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8685C">
      <w:pPr>
        <w:jc w:val="center"/>
        <w:rPr>
          <w:rFonts w:hint="eastAsia" w:ascii="宋体" w:hAnsi="宋体" w:eastAsia="宋体" w:cs="宋体"/>
          <w:lang w:val="en-US" w:eastAsia="zh-CN"/>
        </w:rPr>
      </w:pPr>
    </w:p>
    <w:p w14:paraId="0C30993F">
      <w:pPr>
        <w:jc w:val="center"/>
        <w:rPr>
          <w:rFonts w:ascii="宋体" w:hAnsi="宋体" w:cs="宋体"/>
        </w:rPr>
      </w:pPr>
    </w:p>
    <w:p w14:paraId="78F664B3">
      <w:pPr>
        <w:jc w:val="center"/>
        <w:rPr>
          <w:rFonts w:ascii="宋体" w:hAnsi="宋体" w:cs="宋体"/>
        </w:rPr>
      </w:pPr>
    </w:p>
    <w:p w14:paraId="49449051">
      <w:pPr>
        <w:jc w:val="center"/>
        <w:rPr>
          <w:rFonts w:ascii="宋体" w:hAnsi="宋体" w:cs="宋体"/>
        </w:rPr>
      </w:pPr>
    </w:p>
    <w:p w14:paraId="1565D927">
      <w:pPr>
        <w:jc w:val="center"/>
        <w:rPr>
          <w:rFonts w:ascii="宋体" w:hAnsi="宋体" w:cs="宋体"/>
        </w:rPr>
      </w:pPr>
    </w:p>
    <w:p w14:paraId="033B6DB1">
      <w:pPr>
        <w:jc w:val="center"/>
        <w:outlineLvl w:val="0"/>
        <w:rPr>
          <w:rFonts w:ascii="宋体" w:hAnsi="宋体" w:cs="宋体"/>
          <w:spacing w:val="80"/>
          <w:sz w:val="112"/>
          <w:szCs w:val="112"/>
        </w:rPr>
      </w:pPr>
      <w:r>
        <w:rPr>
          <w:rFonts w:hint="eastAsia" w:ascii="宋体" w:hAnsi="宋体" w:cs="宋体"/>
          <w:spacing w:val="80"/>
          <w:sz w:val="112"/>
          <w:szCs w:val="112"/>
        </w:rPr>
        <w:t>竞争性比选</w:t>
      </w:r>
    </w:p>
    <w:p w14:paraId="43CDCD17">
      <w:pPr>
        <w:jc w:val="center"/>
        <w:outlineLvl w:val="0"/>
        <w:rPr>
          <w:rFonts w:ascii="宋体" w:hAnsi="宋体" w:cs="宋体"/>
          <w:sz w:val="32"/>
        </w:rPr>
      </w:pPr>
      <w:r>
        <w:rPr>
          <w:rFonts w:hint="eastAsia" w:ascii="宋体" w:hAnsi="宋体" w:cs="宋体"/>
          <w:spacing w:val="80"/>
          <w:sz w:val="112"/>
          <w:szCs w:val="112"/>
        </w:rPr>
        <w:t>文件</w:t>
      </w:r>
    </w:p>
    <w:p w14:paraId="3AE32C73">
      <w:pPr>
        <w:spacing w:line="700" w:lineRule="exact"/>
        <w:rPr>
          <w:rFonts w:ascii="宋体" w:hAnsi="宋体" w:cs="宋体"/>
          <w:sz w:val="32"/>
        </w:rPr>
      </w:pPr>
    </w:p>
    <w:p w14:paraId="3808D4DB">
      <w:pPr>
        <w:spacing w:line="700" w:lineRule="exact"/>
        <w:rPr>
          <w:rFonts w:ascii="宋体" w:hAnsi="宋体" w:cs="宋体"/>
          <w:sz w:val="32"/>
        </w:rPr>
      </w:pPr>
    </w:p>
    <w:p w14:paraId="55B57B7C">
      <w:pPr>
        <w:pStyle w:val="22"/>
        <w:rPr>
          <w:rFonts w:ascii="宋体" w:hAnsi="宋体" w:eastAsia="宋体" w:cs="宋体"/>
          <w:color w:val="auto"/>
          <w:sz w:val="32"/>
        </w:rPr>
      </w:pPr>
    </w:p>
    <w:p w14:paraId="703C1ACF">
      <w:pPr>
        <w:pStyle w:val="22"/>
        <w:rPr>
          <w:rFonts w:ascii="宋体" w:hAnsi="宋体" w:eastAsia="宋体" w:cs="宋体"/>
          <w:color w:val="auto"/>
          <w:sz w:val="32"/>
        </w:rPr>
      </w:pPr>
    </w:p>
    <w:p w14:paraId="292717D4">
      <w:pPr>
        <w:spacing w:line="700" w:lineRule="exact"/>
        <w:rPr>
          <w:rFonts w:ascii="宋体" w:hAnsi="宋体" w:cs="宋体"/>
          <w:sz w:val="32"/>
        </w:rPr>
      </w:pPr>
      <w:r>
        <w:rPr>
          <w:rFonts w:hint="eastAsia" w:ascii="宋体" w:hAnsi="宋体" w:cs="宋体"/>
          <w:sz w:val="32"/>
        </w:rPr>
        <w:t xml:space="preserve">           采购执行编号：JLJ-SPBQXJ-GC002</w:t>
      </w:r>
    </w:p>
    <w:p w14:paraId="68F1268B">
      <w:pPr>
        <w:spacing w:line="700" w:lineRule="exact"/>
        <w:ind w:left="3952" w:leftChars="640" w:hanging="2160" w:hangingChars="600"/>
        <w:rPr>
          <w:rFonts w:ascii="宋体" w:hAnsi="宋体" w:cs="宋体"/>
          <w:sz w:val="36"/>
          <w:szCs w:val="30"/>
        </w:rPr>
      </w:pPr>
      <w:r>
        <w:rPr>
          <w:rFonts w:hint="eastAsia" w:ascii="宋体" w:hAnsi="宋体" w:cs="宋体"/>
          <w:sz w:val="36"/>
          <w:szCs w:val="30"/>
        </w:rPr>
        <w:t>项 目 名 称：高空站观测场草坪和道路改造</w:t>
      </w:r>
    </w:p>
    <w:p w14:paraId="4F1079A2">
      <w:pPr>
        <w:spacing w:line="700" w:lineRule="exact"/>
        <w:jc w:val="center"/>
        <w:rPr>
          <w:rFonts w:ascii="宋体" w:hAnsi="宋体" w:cs="宋体"/>
          <w:sz w:val="36"/>
          <w:szCs w:val="30"/>
        </w:rPr>
      </w:pPr>
    </w:p>
    <w:p w14:paraId="146C2E13">
      <w:pPr>
        <w:spacing w:line="700" w:lineRule="exact"/>
        <w:jc w:val="center"/>
        <w:rPr>
          <w:rFonts w:ascii="宋体" w:hAnsi="宋体" w:cs="宋体"/>
          <w:sz w:val="36"/>
          <w:szCs w:val="30"/>
        </w:rPr>
      </w:pPr>
    </w:p>
    <w:p w14:paraId="64BE3CD1">
      <w:pPr>
        <w:spacing w:line="700" w:lineRule="exact"/>
        <w:rPr>
          <w:rFonts w:ascii="宋体" w:hAnsi="宋体" w:cs="宋体"/>
          <w:sz w:val="36"/>
          <w:szCs w:val="30"/>
        </w:rPr>
      </w:pPr>
    </w:p>
    <w:p w14:paraId="6C8DC7A5">
      <w:pPr>
        <w:spacing w:line="700" w:lineRule="exact"/>
        <w:ind w:firstLine="1080" w:firstLineChars="300"/>
        <w:rPr>
          <w:rFonts w:ascii="宋体" w:hAnsi="宋体" w:cs="宋体"/>
          <w:sz w:val="36"/>
          <w:szCs w:val="30"/>
        </w:rPr>
      </w:pPr>
      <w:r>
        <w:rPr>
          <w:rFonts w:hint="eastAsia" w:ascii="宋体" w:hAnsi="宋体" w:cs="宋体"/>
          <w:sz w:val="36"/>
          <w:szCs w:val="30"/>
        </w:rPr>
        <w:t>比选人：重庆市沙坪坝区气象局</w:t>
      </w:r>
    </w:p>
    <w:p w14:paraId="33BF362F">
      <w:pPr>
        <w:spacing w:line="700" w:lineRule="exact"/>
        <w:jc w:val="center"/>
        <w:rPr>
          <w:rFonts w:ascii="宋体" w:hAnsi="宋体" w:cs="宋体"/>
          <w:sz w:val="36"/>
          <w:szCs w:val="30"/>
        </w:rPr>
      </w:pPr>
    </w:p>
    <w:p w14:paraId="33D7B3BB">
      <w:pPr>
        <w:spacing w:line="700" w:lineRule="exact"/>
        <w:jc w:val="center"/>
        <w:rPr>
          <w:rFonts w:ascii="宋体" w:hAnsi="宋体" w:cs="宋体"/>
          <w:sz w:val="36"/>
          <w:szCs w:val="30"/>
        </w:rPr>
      </w:pPr>
      <w:r>
        <w:rPr>
          <w:rFonts w:hint="eastAsia" w:ascii="宋体" w:hAnsi="宋体" w:cs="宋体"/>
          <w:sz w:val="36"/>
          <w:szCs w:val="30"/>
        </w:rPr>
        <w:t>比选代理机构：重庆嘉利建工程咨询有限公司</w:t>
      </w:r>
    </w:p>
    <w:p w14:paraId="47684E00">
      <w:pPr>
        <w:spacing w:line="700" w:lineRule="exact"/>
        <w:jc w:val="center"/>
        <w:rPr>
          <w:rFonts w:ascii="宋体" w:hAnsi="宋体" w:cs="宋体"/>
          <w:sz w:val="36"/>
          <w:szCs w:val="36"/>
        </w:rPr>
      </w:pPr>
    </w:p>
    <w:p w14:paraId="563EDB70">
      <w:pPr>
        <w:spacing w:line="700" w:lineRule="exact"/>
        <w:jc w:val="center"/>
        <w:rPr>
          <w:rFonts w:ascii="宋体" w:hAnsi="宋体" w:cs="宋体"/>
          <w:sz w:val="36"/>
          <w:szCs w:val="36"/>
        </w:rPr>
      </w:pPr>
      <w:r>
        <w:rPr>
          <w:rFonts w:hint="eastAsia" w:ascii="宋体" w:hAnsi="宋体" w:cs="宋体"/>
          <w:sz w:val="36"/>
          <w:szCs w:val="36"/>
        </w:rPr>
        <w:t>二〇二五年</w:t>
      </w:r>
      <w:r>
        <w:rPr>
          <w:rFonts w:hint="eastAsia" w:ascii="宋体" w:hAnsi="宋体" w:cs="宋体"/>
          <w:sz w:val="36"/>
          <w:szCs w:val="36"/>
          <w:lang w:val="en-US" w:eastAsia="zh-CN"/>
        </w:rPr>
        <w:t>六</w:t>
      </w:r>
      <w:r>
        <w:rPr>
          <w:rFonts w:hint="eastAsia" w:ascii="宋体" w:hAnsi="宋体" w:cs="宋体"/>
          <w:sz w:val="36"/>
          <w:szCs w:val="36"/>
        </w:rPr>
        <w:t>月</w:t>
      </w:r>
    </w:p>
    <w:p w14:paraId="6FD4DD82">
      <w:pPr>
        <w:rPr>
          <w:rFonts w:ascii="宋体" w:hAnsi="宋体" w:cs="宋体"/>
          <w:sz w:val="44"/>
          <w:szCs w:val="28"/>
        </w:rPr>
      </w:pPr>
      <w:r>
        <w:rPr>
          <w:rFonts w:hint="eastAsia" w:ascii="宋体" w:hAnsi="宋体" w:cs="宋体"/>
          <w:sz w:val="44"/>
          <w:szCs w:val="28"/>
        </w:rPr>
        <w:br w:type="page"/>
      </w:r>
    </w:p>
    <w:p w14:paraId="4790F419">
      <w:pPr>
        <w:spacing w:line="480" w:lineRule="exact"/>
        <w:jc w:val="center"/>
        <w:outlineLvl w:val="0"/>
        <w:rPr>
          <w:rFonts w:ascii="宋体" w:hAnsi="宋体" w:cs="宋体"/>
          <w:sz w:val="44"/>
          <w:szCs w:val="28"/>
        </w:rPr>
      </w:pPr>
      <w:r>
        <w:rPr>
          <w:rFonts w:hint="eastAsia" w:ascii="宋体" w:hAnsi="宋体" w:cs="宋体"/>
          <w:sz w:val="44"/>
          <w:szCs w:val="28"/>
        </w:rPr>
        <w:t>目   录</w:t>
      </w:r>
    </w:p>
    <w:p w14:paraId="422CEAF5">
      <w:pPr>
        <w:pStyle w:val="17"/>
        <w:tabs>
          <w:tab w:val="right" w:leader="dot" w:pos="9412"/>
        </w:tabs>
        <w:spacing w:line="500" w:lineRule="exact"/>
        <w:ind w:left="560"/>
        <w:rPr>
          <w:rFonts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TOC \o "1-3" \h \z </w:instrText>
      </w:r>
      <w:r>
        <w:rPr>
          <w:rFonts w:hint="eastAsia" w:ascii="宋体" w:hAnsi="宋体" w:cs="宋体"/>
          <w:sz w:val="30"/>
          <w:szCs w:val="30"/>
        </w:rPr>
        <w:fldChar w:fldCharType="separate"/>
      </w:r>
      <w:r>
        <w:fldChar w:fldCharType="begin"/>
      </w:r>
      <w:r>
        <w:instrText xml:space="preserve"> HYPERLINK \l "_Toc2886" </w:instrText>
      </w:r>
      <w:r>
        <w:fldChar w:fldCharType="separate"/>
      </w:r>
      <w:r>
        <w:rPr>
          <w:rFonts w:hint="eastAsia" w:ascii="宋体" w:hAnsi="宋体" w:cs="宋体"/>
          <w:sz w:val="30"/>
          <w:szCs w:val="30"/>
        </w:rPr>
        <w:t>第一篇  竞争性比选公告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_Toc2886 \h </w:instrText>
      </w:r>
      <w:r>
        <w:rPr>
          <w:rFonts w:hint="eastAsia" w:ascii="宋体" w:hAnsi="宋体" w:cs="宋体"/>
          <w:sz w:val="30"/>
          <w:szCs w:val="30"/>
        </w:rPr>
        <w:fldChar w:fldCharType="separate"/>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fldChar w:fldCharType="end"/>
      </w:r>
    </w:p>
    <w:p w14:paraId="22EFAF69">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"_Toc25149" </w:instrText>
      </w:r>
      <w:r>
        <w:fldChar w:fldCharType="separate"/>
      </w:r>
      <w:r>
        <w:rPr>
          <w:rFonts w:hint="eastAsia" w:ascii="宋体" w:hAnsi="宋体" w:cs="宋体"/>
          <w:sz w:val="30"/>
          <w:szCs w:val="30"/>
        </w:rPr>
        <w:t>一、竞争性比选内容</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_Toc25149 \h </w:instrText>
      </w:r>
      <w:r>
        <w:rPr>
          <w:rFonts w:hint="eastAsia" w:ascii="宋体" w:hAnsi="宋体" w:cs="宋体"/>
          <w:sz w:val="30"/>
          <w:szCs w:val="30"/>
        </w:rPr>
        <w:fldChar w:fldCharType="separate"/>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fldChar w:fldCharType="end"/>
      </w:r>
    </w:p>
    <w:p w14:paraId="5769F838">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"_Toc15214" </w:instrText>
      </w:r>
      <w:r>
        <w:fldChar w:fldCharType="separate"/>
      </w:r>
      <w:r>
        <w:rPr>
          <w:rFonts w:hint="eastAsia" w:ascii="宋体" w:hAnsi="宋体" w:cs="宋体"/>
          <w:sz w:val="30"/>
          <w:szCs w:val="30"/>
        </w:rPr>
        <w:t>二、资金来源</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_Toc15214 \h </w:instrText>
      </w:r>
      <w:r>
        <w:rPr>
          <w:rFonts w:hint="eastAsia" w:ascii="宋体" w:hAnsi="宋体" w:cs="宋体"/>
          <w:sz w:val="30"/>
          <w:szCs w:val="30"/>
        </w:rPr>
        <w:fldChar w:fldCharType="separate"/>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fldChar w:fldCharType="end"/>
      </w:r>
    </w:p>
    <w:p w14:paraId="3398264E">
      <w:pPr>
        <w:pStyle w:val="11"/>
        <w:tabs>
          <w:tab w:val="right" w:leader="dot" w:pos="9412"/>
        </w:tabs>
        <w:spacing w:line="500" w:lineRule="exact"/>
        <w:ind w:left="1120"/>
        <w:rPr>
          <w:rFonts w:ascii="宋体" w:hAnsi="宋体" w:cs="宋体"/>
          <w:sz w:val="30"/>
          <w:szCs w:val="30"/>
        </w:rPr>
      </w:pPr>
      <w:r>
        <w:fldChar w:fldCharType="begin"/>
      </w:r>
      <w:r>
        <w:instrText xml:space="preserve"> HYPERLINK \l "_Toc648" </w:instrText>
      </w:r>
      <w:r>
        <w:fldChar w:fldCharType="separate"/>
      </w:r>
      <w:r>
        <w:rPr>
          <w:rFonts w:hint="eastAsia" w:ascii="宋体" w:hAnsi="宋体" w:cs="宋体"/>
          <w:sz w:val="30"/>
          <w:szCs w:val="30"/>
        </w:rPr>
        <w:t>三、比选申请人资格条件</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_Toc648 \h </w:instrText>
      </w:r>
      <w:r>
        <w:rPr>
          <w:rFonts w:hint="eastAsia" w:ascii="宋体" w:hAnsi="宋体" w:cs="宋体"/>
          <w:sz w:val="30"/>
          <w:szCs w:val="30"/>
        </w:rPr>
        <w:fldChar w:fldCharType="separate"/>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fldChar w:fldCharType="end"/>
      </w:r>
    </w:p>
    <w:p w14:paraId="4929EB17">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"_Toc11876" </w:instrText>
      </w:r>
      <w:r>
        <w:fldChar w:fldCharType="separate"/>
      </w:r>
      <w:r>
        <w:rPr>
          <w:rFonts w:hint="eastAsia" w:ascii="宋体" w:hAnsi="宋体" w:cs="宋体"/>
          <w:sz w:val="30"/>
          <w:szCs w:val="30"/>
        </w:rPr>
        <w:t>四、比选有关说明</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_Toc11876 \h </w:instrText>
      </w:r>
      <w:r>
        <w:rPr>
          <w:rFonts w:hint="eastAsia" w:ascii="宋体" w:hAnsi="宋体" w:cs="宋体"/>
          <w:sz w:val="30"/>
          <w:szCs w:val="30"/>
        </w:rPr>
        <w:fldChar w:fldCharType="separate"/>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fldChar w:fldCharType="end"/>
      </w:r>
    </w:p>
    <w:p w14:paraId="5B530C9C">
      <w:pPr>
        <w:pStyle w:val="11"/>
        <w:tabs>
          <w:tab w:val="right" w:leader="dot" w:pos="9412"/>
        </w:tabs>
        <w:spacing w:line="500" w:lineRule="exact"/>
        <w:ind w:left="1120"/>
        <w:rPr>
          <w:rFonts w:ascii="宋体" w:hAnsi="宋体" w:cs="宋体"/>
          <w:sz w:val="30"/>
          <w:szCs w:val="30"/>
        </w:rPr>
      </w:pPr>
      <w:r>
        <w:fldChar w:fldCharType="begin"/>
      </w:r>
      <w:r>
        <w:instrText xml:space="preserve"> HYPERLINK \l "_Toc31682" </w:instrText>
      </w:r>
      <w:r>
        <w:fldChar w:fldCharType="separate"/>
      </w:r>
      <w:r>
        <w:rPr>
          <w:rFonts w:hint="eastAsia" w:ascii="宋体" w:hAnsi="宋体" w:cs="宋体"/>
          <w:sz w:val="30"/>
          <w:szCs w:val="30"/>
        </w:rPr>
        <w:t>五、比选保证金</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_Toc31682 \h </w:instrText>
      </w:r>
      <w:r>
        <w:rPr>
          <w:rFonts w:hint="eastAsia" w:ascii="宋体" w:hAnsi="宋体" w:cs="宋体"/>
          <w:sz w:val="30"/>
          <w:szCs w:val="30"/>
        </w:rPr>
        <w:fldChar w:fldCharType="separate"/>
      </w:r>
      <w:r>
        <w:rPr>
          <w:rFonts w:hint="eastAsia" w:ascii="宋体" w:hAnsi="宋体" w:cs="宋体"/>
          <w:sz w:val="30"/>
          <w:szCs w:val="30"/>
        </w:rPr>
        <w:t>5</w:t>
      </w:r>
      <w:r>
        <w:rPr>
          <w:rFonts w:hint="eastAsia" w:ascii="宋体" w:hAnsi="宋体" w:cs="宋体"/>
          <w:sz w:val="30"/>
          <w:szCs w:val="30"/>
        </w:rPr>
        <w:fldChar w:fldCharType="end"/>
      </w:r>
      <w:r>
        <w:rPr>
          <w:rFonts w:hint="eastAsia" w:ascii="宋体" w:hAnsi="宋体" w:cs="宋体"/>
          <w:sz w:val="30"/>
          <w:szCs w:val="30"/>
        </w:rPr>
        <w:fldChar w:fldCharType="end"/>
      </w:r>
    </w:p>
    <w:p w14:paraId="2D1A9D5D">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"_Toc25479" </w:instrText>
      </w:r>
      <w:r>
        <w:fldChar w:fldCharType="separate"/>
      </w:r>
      <w:r>
        <w:rPr>
          <w:rFonts w:hint="eastAsia" w:ascii="宋体" w:hAnsi="宋体" w:cs="宋体"/>
          <w:sz w:val="30"/>
          <w:szCs w:val="30"/>
        </w:rPr>
        <w:t>六、其它有关规定</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_Toc25479 \h </w:instrText>
      </w:r>
      <w:r>
        <w:rPr>
          <w:rFonts w:hint="eastAsia" w:ascii="宋体" w:hAnsi="宋体" w:cs="宋体"/>
          <w:sz w:val="30"/>
          <w:szCs w:val="30"/>
        </w:rPr>
        <w:fldChar w:fldCharType="separate"/>
      </w:r>
      <w:r>
        <w:rPr>
          <w:rFonts w:hint="eastAsia" w:ascii="宋体" w:hAnsi="宋体" w:cs="宋体"/>
          <w:sz w:val="30"/>
          <w:szCs w:val="30"/>
        </w:rPr>
        <w:t>6</w:t>
      </w:r>
      <w:r>
        <w:rPr>
          <w:rFonts w:hint="eastAsia" w:ascii="宋体" w:hAnsi="宋体" w:cs="宋体"/>
          <w:sz w:val="30"/>
          <w:szCs w:val="30"/>
        </w:rPr>
        <w:fldChar w:fldCharType="end"/>
      </w:r>
      <w:r>
        <w:rPr>
          <w:rFonts w:hint="eastAsia" w:ascii="宋体" w:hAnsi="宋体" w:cs="宋体"/>
          <w:sz w:val="30"/>
          <w:szCs w:val="30"/>
        </w:rPr>
        <w:fldChar w:fldCharType="end"/>
      </w:r>
    </w:p>
    <w:p w14:paraId="485825E8">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"_Toc13457" </w:instrText>
      </w:r>
      <w:r>
        <w:fldChar w:fldCharType="separate"/>
      </w:r>
      <w:r>
        <w:rPr>
          <w:rFonts w:hint="eastAsia" w:ascii="宋体" w:hAnsi="宋体" w:cs="宋体"/>
          <w:sz w:val="30"/>
          <w:szCs w:val="30"/>
        </w:rPr>
        <w:t>七、联系方式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_Toc13457 \h </w:instrText>
      </w:r>
      <w:r>
        <w:rPr>
          <w:rFonts w:hint="eastAsia" w:ascii="宋体" w:hAnsi="宋体" w:cs="宋体"/>
          <w:sz w:val="30"/>
          <w:szCs w:val="30"/>
        </w:rPr>
        <w:fldChar w:fldCharType="separate"/>
      </w:r>
      <w:r>
        <w:rPr>
          <w:rFonts w:hint="eastAsia" w:ascii="宋体" w:hAnsi="宋体" w:cs="宋体"/>
          <w:sz w:val="30"/>
          <w:szCs w:val="30"/>
        </w:rPr>
        <w:t>7</w:t>
      </w:r>
      <w:r>
        <w:rPr>
          <w:rFonts w:hint="eastAsia" w:ascii="宋体" w:hAnsi="宋体" w:cs="宋体"/>
          <w:sz w:val="30"/>
          <w:szCs w:val="30"/>
        </w:rPr>
        <w:fldChar w:fldCharType="end"/>
      </w:r>
      <w:r>
        <w:rPr>
          <w:rFonts w:hint="eastAsia" w:ascii="宋体" w:hAnsi="宋体" w:cs="宋体"/>
          <w:sz w:val="30"/>
          <w:szCs w:val="30"/>
        </w:rPr>
        <w:fldChar w:fldCharType="end"/>
      </w:r>
    </w:p>
    <w:p w14:paraId="4DACF322">
      <w:pPr>
        <w:pStyle w:val="17"/>
        <w:tabs>
          <w:tab w:val="right" w:leader="dot" w:pos="9412"/>
        </w:tabs>
        <w:spacing w:line="500" w:lineRule="exact"/>
        <w:ind w:left="560"/>
        <w:rPr>
          <w:rFonts w:ascii="宋体" w:hAnsi="宋体" w:cs="宋体"/>
          <w:sz w:val="30"/>
          <w:szCs w:val="30"/>
        </w:rPr>
      </w:pPr>
      <w:r>
        <w:fldChar w:fldCharType="begin"/>
      </w:r>
      <w:r>
        <w:instrText xml:space="preserve"> HYPERLINK \l "_Toc154" </w:instrText>
      </w:r>
      <w:r>
        <w:fldChar w:fldCharType="separate"/>
      </w:r>
      <w:r>
        <w:rPr>
          <w:rFonts w:hint="eastAsia" w:ascii="宋体" w:hAnsi="宋体" w:cs="宋体"/>
          <w:sz w:val="30"/>
          <w:szCs w:val="30"/>
        </w:rPr>
        <w:t>第二篇  采购技术需求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_Toc154 \h </w:instrText>
      </w:r>
      <w:r>
        <w:rPr>
          <w:rFonts w:hint="eastAsia" w:ascii="宋体" w:hAnsi="宋体" w:cs="宋体"/>
          <w:sz w:val="30"/>
          <w:szCs w:val="30"/>
        </w:rPr>
        <w:fldChar w:fldCharType="separate"/>
      </w:r>
      <w:r>
        <w:rPr>
          <w:rFonts w:hint="eastAsia" w:ascii="宋体" w:hAnsi="宋体" w:cs="宋体"/>
          <w:sz w:val="30"/>
          <w:szCs w:val="30"/>
        </w:rPr>
        <w:t>8</w:t>
      </w:r>
      <w:r>
        <w:rPr>
          <w:rFonts w:hint="eastAsia" w:ascii="宋体" w:hAnsi="宋体" w:cs="宋体"/>
          <w:sz w:val="30"/>
          <w:szCs w:val="30"/>
        </w:rPr>
        <w:fldChar w:fldCharType="end"/>
      </w:r>
      <w:r>
        <w:rPr>
          <w:rFonts w:hint="eastAsia" w:ascii="宋体" w:hAnsi="宋体" w:cs="宋体"/>
          <w:sz w:val="30"/>
          <w:szCs w:val="30"/>
        </w:rPr>
        <w:fldChar w:fldCharType="end"/>
      </w:r>
    </w:p>
    <w:p w14:paraId="7E91DEC2">
      <w:pPr>
        <w:pStyle w:val="11"/>
        <w:tabs>
          <w:tab w:val="right" w:leader="dot" w:pos="9412"/>
        </w:tabs>
        <w:spacing w:line="500" w:lineRule="exact"/>
        <w:ind w:left="1120"/>
        <w:rPr>
          <w:rFonts w:ascii="宋体" w:hAnsi="宋体" w:cs="宋体"/>
          <w:sz w:val="30"/>
          <w:szCs w:val="30"/>
        </w:rPr>
      </w:pPr>
      <w:r>
        <w:fldChar w:fldCharType="begin"/>
      </w:r>
      <w:r>
        <w:instrText xml:space="preserve"> HYPERLINK \l "_Toc5753" </w:instrText>
      </w:r>
      <w:r>
        <w:fldChar w:fldCharType="separate"/>
      </w:r>
      <w:r>
        <w:rPr>
          <w:rFonts w:hint="eastAsia" w:ascii="宋体" w:hAnsi="宋体" w:cs="宋体"/>
          <w:sz w:val="30"/>
          <w:szCs w:val="30"/>
        </w:rPr>
        <w:t>一、项目概况</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_Toc5753 \h </w:instrText>
      </w:r>
      <w:r>
        <w:rPr>
          <w:rFonts w:hint="eastAsia" w:ascii="宋体" w:hAnsi="宋体" w:cs="宋体"/>
          <w:sz w:val="30"/>
          <w:szCs w:val="30"/>
        </w:rPr>
        <w:fldChar w:fldCharType="separate"/>
      </w:r>
      <w:r>
        <w:rPr>
          <w:rFonts w:hint="eastAsia" w:ascii="宋体" w:hAnsi="宋体" w:cs="宋体"/>
          <w:sz w:val="30"/>
          <w:szCs w:val="30"/>
        </w:rPr>
        <w:t>8</w:t>
      </w:r>
      <w:r>
        <w:rPr>
          <w:rFonts w:hint="eastAsia" w:ascii="宋体" w:hAnsi="宋体" w:cs="宋体"/>
          <w:sz w:val="30"/>
          <w:szCs w:val="30"/>
        </w:rPr>
        <w:fldChar w:fldCharType="end"/>
      </w:r>
      <w:r>
        <w:rPr>
          <w:rFonts w:hint="eastAsia" w:ascii="宋体" w:hAnsi="宋体" w:cs="宋体"/>
          <w:sz w:val="30"/>
          <w:szCs w:val="30"/>
        </w:rPr>
        <w:fldChar w:fldCharType="end"/>
      </w:r>
    </w:p>
    <w:p w14:paraId="45A285EE">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"_Toc12775" </w:instrText>
      </w:r>
      <w:r>
        <w:fldChar w:fldCharType="separate"/>
      </w:r>
      <w:r>
        <w:rPr>
          <w:rFonts w:hint="eastAsia" w:ascii="宋体" w:hAnsi="宋体" w:cs="宋体"/>
          <w:sz w:val="30"/>
          <w:szCs w:val="30"/>
        </w:rPr>
        <w:t>二、比选项目服务内容及需求</w:t>
      </w:r>
      <w:r>
        <w:rPr>
          <w:rFonts w:hint="eastAsia" w:ascii="宋体" w:hAnsi="宋体" w:cs="宋体"/>
          <w:sz w:val="30"/>
          <w:szCs w:val="30"/>
        </w:rPr>
        <w:tab/>
      </w:r>
      <w:r>
        <w:rPr>
          <w:rFonts w:hint="eastAsia" w:ascii="宋体" w:hAnsi="宋体" w:cs="宋体"/>
          <w:sz w:val="30"/>
          <w:szCs w:val="30"/>
        </w:rPr>
        <w:t>-</w:t>
      </w:r>
      <w:r>
        <w:rPr>
          <w:rFonts w:hint="eastAsia" w:ascii="宋体" w:hAnsi="宋体" w:cs="宋体"/>
          <w:sz w:val="30"/>
          <w:szCs w:val="30"/>
        </w:rPr>
        <w:fldChar w:fldCharType="end"/>
      </w:r>
      <w:r>
        <w:rPr>
          <w:rFonts w:hint="eastAsia" w:ascii="宋体" w:hAnsi="宋体" w:cs="宋体"/>
          <w:sz w:val="30"/>
          <w:szCs w:val="30"/>
        </w:rPr>
        <w:fldChar w:fldCharType="begin"/>
      </w:r>
      <w:r>
        <w:rPr>
          <w:rFonts w:hint="eastAsia" w:ascii="宋体" w:hAnsi="宋体" w:cs="宋体"/>
          <w:sz w:val="30"/>
          <w:szCs w:val="30"/>
        </w:rPr>
        <w:instrText xml:space="preserve"> PAGEREF _Toc5753 \h </w:instrText>
      </w:r>
      <w:r>
        <w:rPr>
          <w:rFonts w:hint="eastAsia" w:ascii="宋体" w:hAnsi="宋体" w:cs="宋体"/>
          <w:sz w:val="30"/>
          <w:szCs w:val="30"/>
        </w:rPr>
        <w:fldChar w:fldCharType="separate"/>
      </w:r>
      <w:r>
        <w:rPr>
          <w:rFonts w:hint="eastAsia" w:ascii="宋体" w:hAnsi="宋体" w:cs="宋体"/>
          <w:sz w:val="30"/>
          <w:szCs w:val="30"/>
        </w:rPr>
        <w:t>8</w:t>
      </w:r>
      <w:r>
        <w:rPr>
          <w:rFonts w:hint="eastAsia" w:ascii="宋体" w:hAnsi="宋体" w:cs="宋体"/>
          <w:sz w:val="30"/>
          <w:szCs w:val="30"/>
        </w:rPr>
        <w:fldChar w:fldCharType="end"/>
      </w:r>
    </w:p>
    <w:p w14:paraId="7A2E29A1">
      <w:pPr>
        <w:pStyle w:val="17"/>
        <w:tabs>
          <w:tab w:val="right" w:leader="dot" w:pos="9412"/>
        </w:tabs>
        <w:spacing w:line="500" w:lineRule="exact"/>
        <w:ind w:left="560"/>
        <w:rPr>
          <w:rFonts w:ascii="宋体" w:hAnsi="宋体" w:cs="宋体"/>
          <w:sz w:val="30"/>
          <w:szCs w:val="30"/>
        </w:rPr>
      </w:pPr>
      <w:r>
        <w:fldChar w:fldCharType="begin"/>
      </w:r>
      <w:r>
        <w:instrText xml:space="preserve"> HYPERLINK \l "_Toc13857" </w:instrText>
      </w:r>
      <w:r>
        <w:fldChar w:fldCharType="separate"/>
      </w:r>
      <w:r>
        <w:rPr>
          <w:rFonts w:hint="eastAsia" w:ascii="宋体" w:hAnsi="宋体" w:cs="宋体"/>
          <w:sz w:val="30"/>
          <w:szCs w:val="30"/>
        </w:rPr>
        <w:t>第三篇  采购商务需求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_Toc13857 \h </w:instrText>
      </w:r>
      <w:r>
        <w:rPr>
          <w:rFonts w:hint="eastAsia" w:ascii="宋体" w:hAnsi="宋体" w:cs="宋体"/>
          <w:sz w:val="30"/>
          <w:szCs w:val="30"/>
        </w:rPr>
        <w:fldChar w:fldCharType="separate"/>
      </w:r>
      <w:r>
        <w:rPr>
          <w:rFonts w:hint="eastAsia" w:ascii="宋体" w:hAnsi="宋体" w:cs="宋体"/>
          <w:sz w:val="30"/>
          <w:szCs w:val="30"/>
        </w:rPr>
        <w:t>8</w:t>
      </w:r>
      <w:r>
        <w:rPr>
          <w:rFonts w:hint="eastAsia" w:ascii="宋体" w:hAnsi="宋体" w:cs="宋体"/>
          <w:sz w:val="30"/>
          <w:szCs w:val="30"/>
        </w:rPr>
        <w:fldChar w:fldCharType="end"/>
      </w:r>
      <w:r>
        <w:rPr>
          <w:rFonts w:hint="eastAsia" w:ascii="宋体" w:hAnsi="宋体" w:cs="宋体"/>
          <w:sz w:val="30"/>
          <w:szCs w:val="30"/>
        </w:rPr>
        <w:fldChar w:fldCharType="end"/>
      </w:r>
    </w:p>
    <w:p w14:paraId="3E3551B8">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"_Toc27522" </w:instrText>
      </w:r>
      <w:r>
        <w:fldChar w:fldCharType="separate"/>
      </w:r>
      <w:r>
        <w:rPr>
          <w:rFonts w:hint="eastAsia" w:ascii="宋体" w:hAnsi="宋体" w:cs="宋体"/>
          <w:sz w:val="30"/>
          <w:szCs w:val="30"/>
        </w:rPr>
        <w:t>一、服务期限、实施地点及验收方式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_Toc27522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14:paraId="14205218">
      <w:pPr>
        <w:pStyle w:val="11"/>
        <w:tabs>
          <w:tab w:val="right" w:leader="dot" w:pos="9412"/>
        </w:tabs>
        <w:spacing w:line="500" w:lineRule="exact"/>
        <w:ind w:left="1120"/>
        <w:rPr>
          <w:rFonts w:ascii="宋体" w:hAnsi="宋体" w:cs="宋体"/>
          <w:sz w:val="30"/>
          <w:szCs w:val="30"/>
        </w:rPr>
      </w:pPr>
      <w:r>
        <w:fldChar w:fldCharType="begin"/>
      </w:r>
      <w:r>
        <w:instrText xml:space="preserve"> HYPERLINK \l "_Toc9695" </w:instrText>
      </w:r>
      <w:r>
        <w:fldChar w:fldCharType="separate"/>
      </w:r>
      <w:r>
        <w:rPr>
          <w:rFonts w:hint="eastAsia" w:ascii="宋体" w:hAnsi="宋体" w:cs="宋体"/>
          <w:sz w:val="30"/>
          <w:szCs w:val="30"/>
        </w:rPr>
        <w:t>二、报价要求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_Toc9695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14:paraId="4E80E7D6">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"_Toc17725" </w:instrText>
      </w:r>
      <w:r>
        <w:fldChar w:fldCharType="separate"/>
      </w:r>
      <w:r>
        <w:rPr>
          <w:rFonts w:hint="eastAsia" w:ascii="宋体" w:hAnsi="宋体" w:cs="宋体"/>
          <w:sz w:val="30"/>
          <w:szCs w:val="30"/>
        </w:rPr>
        <w:t>三、付款方式及条件</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_Toc17725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14:paraId="5880CC1B">
      <w:pPr>
        <w:pStyle w:val="11"/>
        <w:tabs>
          <w:tab w:val="right" w:leader="dot" w:pos="9412"/>
        </w:tabs>
        <w:spacing w:line="500" w:lineRule="exact"/>
        <w:ind w:left="1120"/>
        <w:rPr>
          <w:rFonts w:ascii="宋体" w:hAnsi="宋体" w:cs="宋体"/>
          <w:sz w:val="30"/>
          <w:szCs w:val="30"/>
        </w:rPr>
      </w:pPr>
      <w:r>
        <w:fldChar w:fldCharType="begin"/>
      </w:r>
      <w:r>
        <w:instrText xml:space="preserve"> HYPERLINK \l "_Toc8695" </w:instrText>
      </w:r>
      <w:r>
        <w:fldChar w:fldCharType="separate"/>
      </w:r>
      <w:r>
        <w:rPr>
          <w:rFonts w:hint="eastAsia" w:ascii="宋体" w:hAnsi="宋体" w:cs="宋体"/>
          <w:sz w:val="30"/>
          <w:szCs w:val="30"/>
        </w:rPr>
        <w:t>四、知识产权</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_Toc8695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14:paraId="0B6DCEFF">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"_Toc10426" </w:instrText>
      </w:r>
      <w:r>
        <w:fldChar w:fldCharType="separate"/>
      </w:r>
      <w:r>
        <w:rPr>
          <w:rFonts w:hint="eastAsia" w:ascii="宋体" w:hAnsi="宋体" w:cs="宋体"/>
          <w:sz w:val="30"/>
          <w:szCs w:val="30"/>
        </w:rPr>
        <w:t>五、其他</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_Toc8695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14:paraId="5BD785B9">
      <w:pPr>
        <w:pStyle w:val="17"/>
        <w:tabs>
          <w:tab w:val="right" w:leader="dot" w:pos="9412"/>
        </w:tabs>
        <w:spacing w:line="500" w:lineRule="exact"/>
        <w:ind w:left="560"/>
        <w:rPr>
          <w:rFonts w:ascii="宋体" w:hAnsi="宋体" w:cs="宋体"/>
          <w:sz w:val="30"/>
          <w:szCs w:val="30"/>
        </w:rPr>
      </w:pPr>
      <w:r>
        <w:fldChar w:fldCharType="begin"/>
      </w:r>
      <w:r>
        <w:instrText xml:space="preserve"> HYPERLINK \l "_Toc5450" </w:instrText>
      </w:r>
      <w:r>
        <w:fldChar w:fldCharType="separate"/>
      </w:r>
      <w:r>
        <w:rPr>
          <w:rFonts w:hint="eastAsia" w:ascii="宋体" w:hAnsi="宋体" w:cs="宋体"/>
          <w:sz w:val="30"/>
          <w:szCs w:val="30"/>
        </w:rPr>
        <w:t>第四篇  比选程序及方法、评审标准、无效响应和采购终止</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_Toc5450 \h </w:instrText>
      </w:r>
      <w:r>
        <w:rPr>
          <w:rFonts w:hint="eastAsia" w:ascii="宋体" w:hAnsi="宋体" w:cs="宋体"/>
          <w:sz w:val="30"/>
          <w:szCs w:val="30"/>
        </w:rPr>
        <w:fldChar w:fldCharType="separate"/>
      </w:r>
      <w:r>
        <w:rPr>
          <w:rFonts w:hint="eastAsia" w:ascii="宋体" w:hAnsi="宋体" w:cs="宋体"/>
          <w:sz w:val="30"/>
          <w:szCs w:val="30"/>
        </w:rPr>
        <w:t>12</w:t>
      </w:r>
      <w:r>
        <w:rPr>
          <w:rFonts w:hint="eastAsia" w:ascii="宋体" w:hAnsi="宋体" w:cs="宋体"/>
          <w:sz w:val="30"/>
          <w:szCs w:val="30"/>
        </w:rPr>
        <w:fldChar w:fldCharType="end"/>
      </w:r>
      <w:r>
        <w:rPr>
          <w:rFonts w:hint="eastAsia" w:ascii="宋体" w:hAnsi="宋体" w:cs="宋体"/>
          <w:sz w:val="30"/>
          <w:szCs w:val="30"/>
        </w:rPr>
        <w:fldChar w:fldCharType="end"/>
      </w:r>
    </w:p>
    <w:p w14:paraId="659704C9">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"_Toc1533" </w:instrText>
      </w:r>
      <w:r>
        <w:fldChar w:fldCharType="separate"/>
      </w:r>
      <w:r>
        <w:rPr>
          <w:rFonts w:hint="eastAsia" w:ascii="宋体" w:hAnsi="宋体" w:cs="宋体"/>
          <w:sz w:val="30"/>
          <w:szCs w:val="30"/>
        </w:rPr>
        <w:t>一、比选程序及方法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_Toc1533 \h </w:instrText>
      </w:r>
      <w:r>
        <w:rPr>
          <w:rFonts w:hint="eastAsia" w:ascii="宋体" w:hAnsi="宋体" w:cs="宋体"/>
          <w:sz w:val="30"/>
          <w:szCs w:val="30"/>
        </w:rPr>
        <w:fldChar w:fldCharType="separate"/>
      </w:r>
      <w:r>
        <w:rPr>
          <w:rFonts w:hint="eastAsia" w:ascii="宋体" w:hAnsi="宋体" w:cs="宋体"/>
          <w:sz w:val="30"/>
          <w:szCs w:val="30"/>
        </w:rPr>
        <w:t>12</w:t>
      </w:r>
      <w:r>
        <w:rPr>
          <w:rFonts w:hint="eastAsia" w:ascii="宋体" w:hAnsi="宋体" w:cs="宋体"/>
          <w:sz w:val="30"/>
          <w:szCs w:val="30"/>
        </w:rPr>
        <w:fldChar w:fldCharType="end"/>
      </w:r>
      <w:r>
        <w:rPr>
          <w:rFonts w:hint="eastAsia" w:ascii="宋体" w:hAnsi="宋体" w:cs="宋体"/>
          <w:sz w:val="30"/>
          <w:szCs w:val="30"/>
        </w:rPr>
        <w:fldChar w:fldCharType="end"/>
      </w:r>
    </w:p>
    <w:p w14:paraId="1A582CD3">
      <w:pPr>
        <w:pStyle w:val="11"/>
        <w:tabs>
          <w:tab w:val="right" w:leader="dot" w:pos="9412"/>
        </w:tabs>
        <w:spacing w:line="500" w:lineRule="exact"/>
        <w:ind w:left="1120"/>
        <w:rPr>
          <w:rFonts w:ascii="宋体" w:hAnsi="宋体" w:cs="宋体"/>
          <w:sz w:val="30"/>
          <w:szCs w:val="30"/>
        </w:rPr>
      </w:pPr>
      <w:r>
        <w:fldChar w:fldCharType="begin"/>
      </w:r>
      <w:r>
        <w:instrText xml:space="preserve"> HYPERLINK \l "_Toc9706" </w:instrText>
      </w:r>
      <w:r>
        <w:fldChar w:fldCharType="separate"/>
      </w:r>
      <w:r>
        <w:rPr>
          <w:rFonts w:hint="eastAsia" w:ascii="宋体" w:hAnsi="宋体" w:cs="宋体"/>
          <w:sz w:val="30"/>
          <w:szCs w:val="30"/>
        </w:rPr>
        <w:t>二、评审标准</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_Toc9706 \h </w:instrText>
      </w:r>
      <w:r>
        <w:rPr>
          <w:rFonts w:hint="eastAsia" w:ascii="宋体" w:hAnsi="宋体" w:cs="宋体"/>
          <w:sz w:val="30"/>
          <w:szCs w:val="30"/>
        </w:rPr>
        <w:fldChar w:fldCharType="separate"/>
      </w:r>
      <w:r>
        <w:rPr>
          <w:rFonts w:hint="eastAsia" w:ascii="宋体" w:hAnsi="宋体" w:cs="宋体"/>
          <w:sz w:val="30"/>
          <w:szCs w:val="30"/>
        </w:rPr>
        <w:t>14</w:t>
      </w:r>
      <w:r>
        <w:rPr>
          <w:rFonts w:hint="eastAsia" w:ascii="宋体" w:hAnsi="宋体" w:cs="宋体"/>
          <w:sz w:val="30"/>
          <w:szCs w:val="30"/>
        </w:rPr>
        <w:fldChar w:fldCharType="end"/>
      </w:r>
      <w:r>
        <w:rPr>
          <w:rFonts w:hint="eastAsia" w:ascii="宋体" w:hAnsi="宋体" w:cs="宋体"/>
          <w:sz w:val="30"/>
          <w:szCs w:val="30"/>
        </w:rPr>
        <w:fldChar w:fldCharType="end"/>
      </w:r>
    </w:p>
    <w:p w14:paraId="3D4BCA6F">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"_Toc28802" </w:instrText>
      </w:r>
      <w:r>
        <w:fldChar w:fldCharType="separate"/>
      </w:r>
      <w:r>
        <w:rPr>
          <w:rFonts w:hint="eastAsia" w:ascii="宋体" w:hAnsi="宋体" w:cs="宋体"/>
          <w:sz w:val="30"/>
          <w:szCs w:val="30"/>
        </w:rPr>
        <w:t>三、无效响应</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_Toc28802 \h </w:instrText>
      </w:r>
      <w:r>
        <w:rPr>
          <w:rFonts w:hint="eastAsia" w:ascii="宋体" w:hAnsi="宋体" w:cs="宋体"/>
          <w:sz w:val="30"/>
          <w:szCs w:val="30"/>
        </w:rPr>
        <w:fldChar w:fldCharType="separate"/>
      </w:r>
      <w:r>
        <w:rPr>
          <w:rFonts w:hint="eastAsia" w:ascii="宋体" w:hAnsi="宋体" w:cs="宋体"/>
          <w:sz w:val="30"/>
          <w:szCs w:val="30"/>
        </w:rPr>
        <w:t>15</w:t>
      </w:r>
      <w:r>
        <w:rPr>
          <w:rFonts w:hint="eastAsia" w:ascii="宋体" w:hAnsi="宋体" w:cs="宋体"/>
          <w:sz w:val="30"/>
          <w:szCs w:val="30"/>
        </w:rPr>
        <w:fldChar w:fldCharType="end"/>
      </w:r>
      <w:r>
        <w:rPr>
          <w:rFonts w:hint="eastAsia" w:ascii="宋体" w:hAnsi="宋体" w:cs="宋体"/>
          <w:sz w:val="30"/>
          <w:szCs w:val="30"/>
        </w:rPr>
        <w:fldChar w:fldCharType="end"/>
      </w:r>
    </w:p>
    <w:p w14:paraId="29A36DC6">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"_Toc20555" </w:instrText>
      </w:r>
      <w:r>
        <w:fldChar w:fldCharType="separate"/>
      </w:r>
      <w:r>
        <w:rPr>
          <w:rFonts w:hint="eastAsia" w:ascii="宋体" w:hAnsi="宋体" w:cs="宋体"/>
          <w:sz w:val="30"/>
          <w:szCs w:val="30"/>
        </w:rPr>
        <w:t>四、采购终止</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_Toc20555 \h </w:instrText>
      </w:r>
      <w:r>
        <w:rPr>
          <w:rFonts w:hint="eastAsia" w:ascii="宋体" w:hAnsi="宋体" w:cs="宋体"/>
          <w:sz w:val="30"/>
          <w:szCs w:val="30"/>
        </w:rPr>
        <w:fldChar w:fldCharType="separate"/>
      </w:r>
      <w:r>
        <w:rPr>
          <w:rFonts w:hint="eastAsia" w:ascii="宋体" w:hAnsi="宋体" w:cs="宋体"/>
          <w:sz w:val="30"/>
          <w:szCs w:val="30"/>
        </w:rPr>
        <w:t>15</w:t>
      </w:r>
      <w:r>
        <w:rPr>
          <w:rFonts w:hint="eastAsia" w:ascii="宋体" w:hAnsi="宋体" w:cs="宋体"/>
          <w:sz w:val="30"/>
          <w:szCs w:val="30"/>
        </w:rPr>
        <w:fldChar w:fldCharType="end"/>
      </w:r>
      <w:r>
        <w:rPr>
          <w:rFonts w:hint="eastAsia" w:ascii="宋体" w:hAnsi="宋体" w:cs="宋体"/>
          <w:sz w:val="30"/>
          <w:szCs w:val="30"/>
        </w:rPr>
        <w:fldChar w:fldCharType="end"/>
      </w:r>
    </w:p>
    <w:p w14:paraId="51C16442">
      <w:pPr>
        <w:pStyle w:val="17"/>
        <w:tabs>
          <w:tab w:val="right" w:leader="dot" w:pos="9412"/>
        </w:tabs>
        <w:spacing w:line="500" w:lineRule="exact"/>
        <w:ind w:left="560"/>
        <w:rPr>
          <w:rFonts w:ascii="宋体" w:hAnsi="宋体" w:cs="宋体"/>
          <w:sz w:val="30"/>
          <w:szCs w:val="30"/>
        </w:rPr>
      </w:pPr>
      <w:r>
        <w:fldChar w:fldCharType="begin"/>
      </w:r>
      <w:r>
        <w:instrText xml:space="preserve"> HYPERLINK \l "_Toc30256" </w:instrText>
      </w:r>
      <w:r>
        <w:fldChar w:fldCharType="separate"/>
      </w:r>
      <w:r>
        <w:rPr>
          <w:rFonts w:hint="eastAsia" w:ascii="宋体" w:hAnsi="宋体" w:cs="宋体"/>
          <w:sz w:val="30"/>
          <w:szCs w:val="30"/>
        </w:rPr>
        <w:t>第五篇  比选申请人须知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_Toc30256 \h </w:instrText>
      </w:r>
      <w:r>
        <w:rPr>
          <w:rFonts w:hint="eastAsia" w:ascii="宋体" w:hAnsi="宋体" w:cs="宋体"/>
          <w:sz w:val="30"/>
          <w:szCs w:val="30"/>
        </w:rPr>
        <w:fldChar w:fldCharType="separate"/>
      </w:r>
      <w:r>
        <w:rPr>
          <w:rFonts w:hint="eastAsia" w:ascii="宋体" w:hAnsi="宋体" w:cs="宋体"/>
          <w:sz w:val="30"/>
          <w:szCs w:val="30"/>
        </w:rPr>
        <w:t>16</w:t>
      </w:r>
      <w:r>
        <w:rPr>
          <w:rFonts w:hint="eastAsia" w:ascii="宋体" w:hAnsi="宋体" w:cs="宋体"/>
          <w:sz w:val="30"/>
          <w:szCs w:val="30"/>
        </w:rPr>
        <w:fldChar w:fldCharType="end"/>
      </w:r>
      <w:r>
        <w:rPr>
          <w:rFonts w:hint="eastAsia" w:ascii="宋体" w:hAnsi="宋体" w:cs="宋体"/>
          <w:sz w:val="30"/>
          <w:szCs w:val="30"/>
        </w:rPr>
        <w:fldChar w:fldCharType="end"/>
      </w:r>
    </w:p>
    <w:p w14:paraId="269B96A0">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"_Toc26867" </w:instrText>
      </w:r>
      <w:r>
        <w:fldChar w:fldCharType="separate"/>
      </w:r>
      <w:r>
        <w:rPr>
          <w:rFonts w:hint="eastAsia" w:ascii="宋体" w:hAnsi="宋体" w:cs="宋体"/>
          <w:sz w:val="30"/>
          <w:szCs w:val="30"/>
        </w:rPr>
        <w:t>一、比选费用</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_Toc26867 \h </w:instrText>
      </w:r>
      <w:r>
        <w:rPr>
          <w:rFonts w:hint="eastAsia" w:ascii="宋体" w:hAnsi="宋体" w:cs="宋体"/>
          <w:sz w:val="30"/>
          <w:szCs w:val="30"/>
        </w:rPr>
        <w:fldChar w:fldCharType="separate"/>
      </w:r>
      <w:r>
        <w:rPr>
          <w:rFonts w:hint="eastAsia" w:ascii="宋体" w:hAnsi="宋体" w:cs="宋体"/>
          <w:sz w:val="30"/>
          <w:szCs w:val="30"/>
        </w:rPr>
        <w:t>16</w:t>
      </w:r>
      <w:r>
        <w:rPr>
          <w:rFonts w:hint="eastAsia" w:ascii="宋体" w:hAnsi="宋体" w:cs="宋体"/>
          <w:sz w:val="30"/>
          <w:szCs w:val="30"/>
        </w:rPr>
        <w:fldChar w:fldCharType="end"/>
      </w:r>
      <w:r>
        <w:rPr>
          <w:rFonts w:hint="eastAsia" w:ascii="宋体" w:hAnsi="宋体" w:cs="宋体"/>
          <w:sz w:val="30"/>
          <w:szCs w:val="30"/>
        </w:rPr>
        <w:fldChar w:fldCharType="end"/>
      </w:r>
    </w:p>
    <w:p w14:paraId="1D4447EE">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"_Toc1731" </w:instrText>
      </w:r>
      <w:r>
        <w:fldChar w:fldCharType="separate"/>
      </w:r>
      <w:r>
        <w:rPr>
          <w:rFonts w:hint="eastAsia" w:ascii="宋体" w:hAnsi="宋体" w:cs="宋体"/>
          <w:sz w:val="30"/>
          <w:szCs w:val="30"/>
        </w:rPr>
        <w:t>二、竞争性比选文件</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_Toc1731 \h </w:instrText>
      </w:r>
      <w:r>
        <w:rPr>
          <w:rFonts w:hint="eastAsia" w:ascii="宋体" w:hAnsi="宋体" w:cs="宋体"/>
          <w:sz w:val="30"/>
          <w:szCs w:val="30"/>
        </w:rPr>
        <w:fldChar w:fldCharType="separate"/>
      </w:r>
      <w:r>
        <w:rPr>
          <w:rFonts w:hint="eastAsia" w:ascii="宋体" w:hAnsi="宋体" w:cs="宋体"/>
          <w:sz w:val="30"/>
          <w:szCs w:val="30"/>
        </w:rPr>
        <w:t>16</w:t>
      </w:r>
      <w:r>
        <w:rPr>
          <w:rFonts w:hint="eastAsia" w:ascii="宋体" w:hAnsi="宋体" w:cs="宋体"/>
          <w:sz w:val="30"/>
          <w:szCs w:val="30"/>
        </w:rPr>
        <w:fldChar w:fldCharType="end"/>
      </w:r>
      <w:r>
        <w:rPr>
          <w:rFonts w:hint="eastAsia" w:ascii="宋体" w:hAnsi="宋体" w:cs="宋体"/>
          <w:sz w:val="30"/>
          <w:szCs w:val="30"/>
        </w:rPr>
        <w:fldChar w:fldCharType="end"/>
      </w:r>
    </w:p>
    <w:p w14:paraId="34314677">
      <w:pPr>
        <w:pStyle w:val="11"/>
        <w:tabs>
          <w:tab w:val="right" w:leader="dot" w:pos="9412"/>
        </w:tabs>
        <w:spacing w:line="500" w:lineRule="exact"/>
        <w:ind w:left="1120"/>
        <w:rPr>
          <w:rFonts w:ascii="宋体" w:hAnsi="宋体" w:cs="宋体"/>
          <w:sz w:val="30"/>
          <w:szCs w:val="30"/>
        </w:rPr>
      </w:pPr>
      <w:r>
        <w:fldChar w:fldCharType="begin"/>
      </w:r>
      <w:r>
        <w:instrText xml:space="preserve"> HYPERLINK \l "_Toc8376" </w:instrText>
      </w:r>
      <w:r>
        <w:fldChar w:fldCharType="separate"/>
      </w:r>
      <w:r>
        <w:rPr>
          <w:rFonts w:hint="eastAsia" w:ascii="宋体" w:hAnsi="宋体" w:cs="宋体"/>
          <w:sz w:val="30"/>
          <w:szCs w:val="30"/>
        </w:rPr>
        <w:t>三、比选要求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_Toc8376 \h </w:instrText>
      </w:r>
      <w:r>
        <w:rPr>
          <w:rFonts w:hint="eastAsia" w:ascii="宋体" w:hAnsi="宋体" w:cs="宋体"/>
          <w:sz w:val="30"/>
          <w:szCs w:val="30"/>
        </w:rPr>
        <w:fldChar w:fldCharType="separate"/>
      </w:r>
      <w:r>
        <w:rPr>
          <w:rFonts w:hint="eastAsia" w:ascii="宋体" w:hAnsi="宋体" w:cs="宋体"/>
          <w:sz w:val="30"/>
          <w:szCs w:val="30"/>
        </w:rPr>
        <w:t>16</w:t>
      </w:r>
      <w:r>
        <w:rPr>
          <w:rFonts w:hint="eastAsia" w:ascii="宋体" w:hAnsi="宋体" w:cs="宋体"/>
          <w:sz w:val="30"/>
          <w:szCs w:val="30"/>
        </w:rPr>
        <w:fldChar w:fldCharType="end"/>
      </w:r>
      <w:r>
        <w:rPr>
          <w:rFonts w:hint="eastAsia" w:ascii="宋体" w:hAnsi="宋体" w:cs="宋体"/>
          <w:sz w:val="30"/>
          <w:szCs w:val="30"/>
        </w:rPr>
        <w:fldChar w:fldCharType="end"/>
      </w:r>
    </w:p>
    <w:p w14:paraId="45FE9912">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"_Toc14239" </w:instrText>
      </w:r>
      <w:r>
        <w:fldChar w:fldCharType="separate"/>
      </w:r>
      <w:r>
        <w:rPr>
          <w:rFonts w:hint="eastAsia" w:ascii="宋体" w:hAnsi="宋体" w:cs="宋体"/>
          <w:sz w:val="30"/>
          <w:szCs w:val="30"/>
        </w:rPr>
        <w:t>四、中选人的确认</w:t>
      </w:r>
      <w:r>
        <w:rPr>
          <w:rFonts w:hint="eastAsia" w:ascii="宋体" w:hAnsi="宋体" w:cs="宋体"/>
          <w:snapToGrid w:val="0"/>
          <w:kern w:val="21"/>
          <w:sz w:val="30"/>
          <w:szCs w:val="30"/>
        </w:rPr>
        <w:t>、</w:t>
      </w:r>
      <w:r>
        <w:rPr>
          <w:rFonts w:hint="eastAsia" w:ascii="宋体" w:hAnsi="宋体" w:cs="宋体"/>
          <w:sz w:val="30"/>
          <w:szCs w:val="30"/>
        </w:rPr>
        <w:t>变更和中选通知书</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_Toc14239 \h </w:instrText>
      </w:r>
      <w:r>
        <w:rPr>
          <w:rFonts w:hint="eastAsia" w:ascii="宋体" w:hAnsi="宋体" w:cs="宋体"/>
          <w:sz w:val="30"/>
          <w:szCs w:val="30"/>
        </w:rPr>
        <w:fldChar w:fldCharType="separate"/>
      </w:r>
      <w:r>
        <w:rPr>
          <w:rFonts w:hint="eastAsia" w:ascii="宋体" w:hAnsi="宋体" w:cs="宋体"/>
          <w:sz w:val="30"/>
          <w:szCs w:val="30"/>
        </w:rPr>
        <w:t>17</w:t>
      </w:r>
      <w:r>
        <w:rPr>
          <w:rFonts w:hint="eastAsia" w:ascii="宋体" w:hAnsi="宋体" w:cs="宋体"/>
          <w:sz w:val="30"/>
          <w:szCs w:val="30"/>
        </w:rPr>
        <w:fldChar w:fldCharType="end"/>
      </w:r>
      <w:r>
        <w:rPr>
          <w:rFonts w:hint="eastAsia" w:ascii="宋体" w:hAnsi="宋体" w:cs="宋体"/>
          <w:sz w:val="30"/>
          <w:szCs w:val="30"/>
        </w:rPr>
        <w:fldChar w:fldCharType="end"/>
      </w:r>
    </w:p>
    <w:p w14:paraId="3266EF51">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"_Toc18374" </w:instrText>
      </w:r>
      <w:r>
        <w:fldChar w:fldCharType="separate"/>
      </w:r>
      <w:r>
        <w:rPr>
          <w:rFonts w:hint="eastAsia" w:ascii="宋体" w:hAnsi="宋体" w:cs="宋体"/>
          <w:sz w:val="30"/>
          <w:szCs w:val="30"/>
        </w:rPr>
        <w:t>五、中选通知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_Toc18374 \h </w:instrText>
      </w:r>
      <w:r>
        <w:rPr>
          <w:rFonts w:hint="eastAsia" w:ascii="宋体" w:hAnsi="宋体" w:cs="宋体"/>
          <w:sz w:val="30"/>
          <w:szCs w:val="30"/>
        </w:rPr>
        <w:fldChar w:fldCharType="separate"/>
      </w:r>
      <w:r>
        <w:rPr>
          <w:rFonts w:hint="eastAsia" w:ascii="宋体" w:hAnsi="宋体" w:cs="宋体"/>
          <w:sz w:val="30"/>
          <w:szCs w:val="30"/>
        </w:rPr>
        <w:t>18</w:t>
      </w:r>
      <w:r>
        <w:rPr>
          <w:rFonts w:hint="eastAsia" w:ascii="宋体" w:hAnsi="宋体" w:cs="宋体"/>
          <w:sz w:val="30"/>
          <w:szCs w:val="30"/>
        </w:rPr>
        <w:fldChar w:fldCharType="end"/>
      </w:r>
      <w:r>
        <w:rPr>
          <w:rFonts w:hint="eastAsia" w:ascii="宋体" w:hAnsi="宋体" w:cs="宋体"/>
          <w:sz w:val="30"/>
          <w:szCs w:val="30"/>
        </w:rPr>
        <w:fldChar w:fldCharType="end"/>
      </w:r>
    </w:p>
    <w:p w14:paraId="37759D18">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"_Toc20271" </w:instrText>
      </w:r>
      <w:r>
        <w:fldChar w:fldCharType="separate"/>
      </w:r>
      <w:r>
        <w:rPr>
          <w:rFonts w:hint="eastAsia" w:ascii="宋体" w:hAnsi="宋体" w:cs="宋体"/>
          <w:sz w:val="30"/>
          <w:szCs w:val="30"/>
        </w:rPr>
        <w:t>六、关于质疑和投诉</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_Toc20271 \h </w:instrText>
      </w:r>
      <w:r>
        <w:rPr>
          <w:rFonts w:hint="eastAsia" w:ascii="宋体" w:hAnsi="宋体" w:cs="宋体"/>
          <w:sz w:val="30"/>
          <w:szCs w:val="30"/>
        </w:rPr>
        <w:fldChar w:fldCharType="separate"/>
      </w:r>
      <w:r>
        <w:rPr>
          <w:rFonts w:hint="eastAsia" w:ascii="宋体" w:hAnsi="宋体" w:cs="宋体"/>
          <w:sz w:val="30"/>
          <w:szCs w:val="30"/>
        </w:rPr>
        <w:t>18</w:t>
      </w:r>
      <w:r>
        <w:rPr>
          <w:rFonts w:hint="eastAsia" w:ascii="宋体" w:hAnsi="宋体" w:cs="宋体"/>
          <w:sz w:val="30"/>
          <w:szCs w:val="30"/>
        </w:rPr>
        <w:fldChar w:fldCharType="end"/>
      </w:r>
      <w:r>
        <w:rPr>
          <w:rFonts w:hint="eastAsia" w:ascii="宋体" w:hAnsi="宋体" w:cs="宋体"/>
          <w:sz w:val="30"/>
          <w:szCs w:val="30"/>
        </w:rPr>
        <w:fldChar w:fldCharType="end"/>
      </w:r>
    </w:p>
    <w:p w14:paraId="0AEED7CA">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"_Toc11784" </w:instrText>
      </w:r>
      <w:r>
        <w:fldChar w:fldCharType="separate"/>
      </w:r>
      <w:r>
        <w:rPr>
          <w:rFonts w:hint="eastAsia" w:ascii="宋体" w:hAnsi="宋体" w:cs="宋体"/>
          <w:sz w:val="30"/>
          <w:szCs w:val="30"/>
        </w:rPr>
        <w:t>七、比选代理服务费</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_Toc11784 \h </w:instrText>
      </w:r>
      <w:r>
        <w:rPr>
          <w:rFonts w:hint="eastAsia" w:ascii="宋体" w:hAnsi="宋体" w:cs="宋体"/>
          <w:sz w:val="30"/>
          <w:szCs w:val="30"/>
        </w:rPr>
        <w:fldChar w:fldCharType="separate"/>
      </w:r>
      <w:r>
        <w:rPr>
          <w:rFonts w:hint="eastAsia" w:ascii="宋体" w:hAnsi="宋体" w:cs="宋体"/>
          <w:sz w:val="30"/>
          <w:szCs w:val="30"/>
        </w:rPr>
        <w:t>19</w:t>
      </w:r>
      <w:r>
        <w:rPr>
          <w:rFonts w:hint="eastAsia" w:ascii="宋体" w:hAnsi="宋体" w:cs="宋体"/>
          <w:sz w:val="30"/>
          <w:szCs w:val="30"/>
        </w:rPr>
        <w:fldChar w:fldCharType="end"/>
      </w:r>
      <w:r>
        <w:rPr>
          <w:rFonts w:hint="eastAsia" w:ascii="宋体" w:hAnsi="宋体" w:cs="宋体"/>
          <w:sz w:val="30"/>
          <w:szCs w:val="30"/>
        </w:rPr>
        <w:fldChar w:fldCharType="end"/>
      </w:r>
    </w:p>
    <w:p w14:paraId="0EE5AAB4">
      <w:pPr>
        <w:pStyle w:val="11"/>
        <w:tabs>
          <w:tab w:val="right" w:leader="dot" w:pos="9412"/>
        </w:tabs>
        <w:spacing w:line="500" w:lineRule="exact"/>
        <w:ind w:left="1120"/>
        <w:rPr>
          <w:rFonts w:ascii="宋体" w:hAnsi="宋体" w:cs="宋体"/>
          <w:sz w:val="30"/>
          <w:szCs w:val="30"/>
        </w:rPr>
      </w:pPr>
      <w:r>
        <w:fldChar w:fldCharType="begin"/>
      </w:r>
      <w:r>
        <w:instrText xml:space="preserve"> HYPERLINK \l "_Toc7223" </w:instrText>
      </w:r>
      <w:r>
        <w:fldChar w:fldCharType="separate"/>
      </w:r>
      <w:r>
        <w:rPr>
          <w:rFonts w:hint="eastAsia" w:ascii="宋体" w:hAnsi="宋体" w:cs="宋体"/>
          <w:sz w:val="30"/>
          <w:szCs w:val="30"/>
        </w:rPr>
        <w:t>八、签订合同</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_Toc7223 \h </w:instrText>
      </w:r>
      <w:r>
        <w:rPr>
          <w:rFonts w:hint="eastAsia" w:ascii="宋体" w:hAnsi="宋体" w:cs="宋体"/>
          <w:sz w:val="30"/>
          <w:szCs w:val="30"/>
        </w:rPr>
        <w:fldChar w:fldCharType="separate"/>
      </w:r>
      <w:r>
        <w:rPr>
          <w:rFonts w:hint="eastAsia" w:ascii="宋体" w:hAnsi="宋体" w:cs="宋体"/>
          <w:sz w:val="30"/>
          <w:szCs w:val="30"/>
        </w:rPr>
        <w:t>19</w:t>
      </w:r>
      <w:r>
        <w:rPr>
          <w:rFonts w:hint="eastAsia" w:ascii="宋体" w:hAnsi="宋体" w:cs="宋体"/>
          <w:sz w:val="30"/>
          <w:szCs w:val="30"/>
        </w:rPr>
        <w:fldChar w:fldCharType="end"/>
      </w:r>
      <w:r>
        <w:rPr>
          <w:rFonts w:hint="eastAsia" w:ascii="宋体" w:hAnsi="宋体" w:cs="宋体"/>
          <w:sz w:val="30"/>
          <w:szCs w:val="30"/>
        </w:rPr>
        <w:fldChar w:fldCharType="end"/>
      </w:r>
    </w:p>
    <w:p w14:paraId="2C51074D">
      <w:pPr>
        <w:pStyle w:val="17"/>
        <w:tabs>
          <w:tab w:val="right" w:leader="dot" w:pos="9412"/>
        </w:tabs>
        <w:spacing w:line="500" w:lineRule="exact"/>
        <w:ind w:left="560"/>
        <w:rPr>
          <w:rFonts w:ascii="宋体" w:hAnsi="宋体" w:cs="宋体"/>
          <w:sz w:val="30"/>
          <w:szCs w:val="30"/>
        </w:rPr>
      </w:pPr>
      <w:r>
        <w:fldChar w:fldCharType="begin"/>
      </w:r>
      <w:r>
        <w:instrText xml:space="preserve"> HYPERLINK \l "_Toc13223" </w:instrText>
      </w:r>
      <w:r>
        <w:fldChar w:fldCharType="separate"/>
      </w:r>
      <w:r>
        <w:rPr>
          <w:rFonts w:hint="eastAsia" w:ascii="宋体" w:hAnsi="宋体" w:cs="宋体"/>
          <w:sz w:val="30"/>
          <w:szCs w:val="30"/>
        </w:rPr>
        <w:t>第六篇  合同主要条款和格式合同（样本）</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_Toc13223 \h </w:instrText>
      </w:r>
      <w:r>
        <w:rPr>
          <w:rFonts w:hint="eastAsia" w:ascii="宋体" w:hAnsi="宋体" w:cs="宋体"/>
          <w:sz w:val="30"/>
          <w:szCs w:val="30"/>
        </w:rPr>
        <w:fldChar w:fldCharType="separate"/>
      </w:r>
      <w:r>
        <w:rPr>
          <w:rFonts w:hint="eastAsia" w:ascii="宋体" w:hAnsi="宋体" w:cs="宋体"/>
          <w:sz w:val="30"/>
          <w:szCs w:val="30"/>
        </w:rPr>
        <w:t>21</w:t>
      </w:r>
      <w:r>
        <w:rPr>
          <w:rFonts w:hint="eastAsia" w:ascii="宋体" w:hAnsi="宋体" w:cs="宋体"/>
          <w:sz w:val="30"/>
          <w:szCs w:val="30"/>
        </w:rPr>
        <w:fldChar w:fldCharType="end"/>
      </w:r>
      <w:r>
        <w:rPr>
          <w:rFonts w:hint="eastAsia" w:ascii="宋体" w:hAnsi="宋体" w:cs="宋体"/>
          <w:sz w:val="30"/>
          <w:szCs w:val="30"/>
        </w:rPr>
        <w:fldChar w:fldCharType="end"/>
      </w:r>
    </w:p>
    <w:p w14:paraId="1EBC148F">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"_Toc201" </w:instrText>
      </w:r>
      <w:r>
        <w:fldChar w:fldCharType="separate"/>
      </w:r>
      <w:r>
        <w:rPr>
          <w:rFonts w:hint="eastAsia" w:ascii="宋体" w:hAnsi="宋体" w:cs="宋体"/>
          <w:sz w:val="30"/>
          <w:szCs w:val="30"/>
        </w:rPr>
        <w:t>一、合同主要条款</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_Toc13223 \h </w:instrText>
      </w:r>
      <w:r>
        <w:rPr>
          <w:rFonts w:hint="eastAsia" w:ascii="宋体" w:hAnsi="宋体" w:cs="宋体"/>
          <w:sz w:val="30"/>
          <w:szCs w:val="30"/>
        </w:rPr>
        <w:fldChar w:fldCharType="separate"/>
      </w:r>
      <w:r>
        <w:rPr>
          <w:rFonts w:hint="eastAsia" w:ascii="宋体" w:hAnsi="宋体" w:cs="宋体"/>
          <w:sz w:val="30"/>
          <w:szCs w:val="30"/>
        </w:rPr>
        <w:t>21</w:t>
      </w:r>
      <w:r>
        <w:rPr>
          <w:rFonts w:hint="eastAsia" w:ascii="宋体" w:hAnsi="宋体" w:cs="宋体"/>
          <w:sz w:val="30"/>
          <w:szCs w:val="30"/>
        </w:rPr>
        <w:fldChar w:fldCharType="end"/>
      </w:r>
      <w:r>
        <w:rPr>
          <w:rFonts w:hint="eastAsia" w:ascii="宋体" w:hAnsi="宋体" w:cs="宋体"/>
          <w:sz w:val="30"/>
          <w:szCs w:val="30"/>
        </w:rPr>
        <w:fldChar w:fldCharType="end"/>
      </w:r>
    </w:p>
    <w:p w14:paraId="67B3D208">
      <w:pPr>
        <w:pStyle w:val="17"/>
        <w:tabs>
          <w:tab w:val="right" w:leader="dot" w:pos="9412"/>
        </w:tabs>
        <w:spacing w:line="500" w:lineRule="exact"/>
        <w:ind w:left="560"/>
        <w:rPr>
          <w:rFonts w:ascii="宋体" w:hAnsi="宋体" w:cs="宋体"/>
          <w:sz w:val="30"/>
          <w:szCs w:val="30"/>
        </w:rPr>
      </w:pPr>
      <w:r>
        <w:fldChar w:fldCharType="begin"/>
      </w:r>
      <w:r>
        <w:instrText xml:space="preserve"> HYPERLINK \l "_Toc5554" </w:instrText>
      </w:r>
      <w:r>
        <w:fldChar w:fldCharType="separate"/>
      </w:r>
      <w:r>
        <w:rPr>
          <w:rFonts w:hint="eastAsia" w:ascii="宋体" w:hAnsi="宋体" w:cs="宋体"/>
          <w:sz w:val="30"/>
          <w:szCs w:val="30"/>
        </w:rPr>
        <w:t>第七篇  响应文件编制要求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_Toc5554 \h </w:instrText>
      </w:r>
      <w:r>
        <w:rPr>
          <w:rFonts w:hint="eastAsia" w:ascii="宋体" w:hAnsi="宋体" w:cs="宋体"/>
          <w:sz w:val="30"/>
          <w:szCs w:val="30"/>
        </w:rPr>
        <w:fldChar w:fldCharType="separate"/>
      </w:r>
      <w:r>
        <w:rPr>
          <w:rFonts w:hint="eastAsia" w:ascii="宋体" w:hAnsi="宋体" w:cs="宋体"/>
          <w:sz w:val="30"/>
          <w:szCs w:val="30"/>
        </w:rPr>
        <w:t>31</w:t>
      </w:r>
      <w:r>
        <w:rPr>
          <w:rFonts w:hint="eastAsia" w:ascii="宋体" w:hAnsi="宋体" w:cs="宋体"/>
          <w:sz w:val="30"/>
          <w:szCs w:val="30"/>
        </w:rPr>
        <w:fldChar w:fldCharType="end"/>
      </w:r>
      <w:r>
        <w:rPr>
          <w:rFonts w:hint="eastAsia" w:ascii="宋体" w:hAnsi="宋体" w:cs="宋体"/>
          <w:sz w:val="30"/>
          <w:szCs w:val="30"/>
        </w:rPr>
        <w:fldChar w:fldCharType="end"/>
      </w:r>
    </w:p>
    <w:p w14:paraId="7BC0CDF2">
      <w:pPr>
        <w:pStyle w:val="11"/>
        <w:tabs>
          <w:tab w:val="right" w:leader="dot" w:pos="9412"/>
        </w:tabs>
        <w:spacing w:line="500" w:lineRule="exact"/>
        <w:ind w:left="1120"/>
        <w:rPr>
          <w:rFonts w:ascii="宋体" w:hAnsi="宋体" w:cs="宋体"/>
          <w:sz w:val="30"/>
          <w:szCs w:val="30"/>
        </w:rPr>
      </w:pPr>
      <w:r>
        <w:fldChar w:fldCharType="begin"/>
      </w:r>
      <w:r>
        <w:instrText xml:space="preserve"> HYPERLINK \l "_Toc29567" </w:instrText>
      </w:r>
      <w:r>
        <w:fldChar w:fldCharType="separate"/>
      </w:r>
      <w:r>
        <w:rPr>
          <w:rFonts w:hint="eastAsia" w:ascii="宋体" w:hAnsi="宋体" w:cs="宋体"/>
          <w:sz w:val="30"/>
          <w:szCs w:val="30"/>
        </w:rPr>
        <w:t>一、经济部分</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_Toc29567 \h </w:instrText>
      </w:r>
      <w:r>
        <w:rPr>
          <w:rFonts w:hint="eastAsia" w:ascii="宋体" w:hAnsi="宋体" w:cs="宋体"/>
          <w:sz w:val="30"/>
          <w:szCs w:val="30"/>
        </w:rPr>
        <w:fldChar w:fldCharType="separate"/>
      </w:r>
      <w:r>
        <w:rPr>
          <w:rFonts w:hint="eastAsia" w:ascii="宋体" w:hAnsi="宋体" w:cs="宋体"/>
          <w:sz w:val="30"/>
          <w:szCs w:val="30"/>
        </w:rPr>
        <w:t>32</w:t>
      </w:r>
      <w:r>
        <w:rPr>
          <w:rFonts w:hint="eastAsia" w:ascii="宋体" w:hAnsi="宋体" w:cs="宋体"/>
          <w:sz w:val="30"/>
          <w:szCs w:val="30"/>
        </w:rPr>
        <w:fldChar w:fldCharType="end"/>
      </w:r>
      <w:r>
        <w:rPr>
          <w:rFonts w:hint="eastAsia" w:ascii="宋体" w:hAnsi="宋体" w:cs="宋体"/>
          <w:sz w:val="30"/>
          <w:szCs w:val="30"/>
        </w:rPr>
        <w:fldChar w:fldCharType="end"/>
      </w:r>
    </w:p>
    <w:p w14:paraId="50C2CA73">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"_Toc12967" </w:instrText>
      </w:r>
      <w:r>
        <w:fldChar w:fldCharType="separate"/>
      </w:r>
      <w:r>
        <w:rPr>
          <w:rFonts w:hint="eastAsia" w:ascii="宋体" w:hAnsi="宋体" w:cs="宋体"/>
          <w:sz w:val="30"/>
          <w:szCs w:val="30"/>
        </w:rPr>
        <w:t>二、技术部分</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_Toc12967 \h </w:instrText>
      </w:r>
      <w:r>
        <w:rPr>
          <w:rFonts w:hint="eastAsia" w:ascii="宋体" w:hAnsi="宋体" w:cs="宋体"/>
          <w:sz w:val="30"/>
          <w:szCs w:val="30"/>
        </w:rPr>
        <w:fldChar w:fldCharType="separate"/>
      </w:r>
      <w:r>
        <w:rPr>
          <w:rFonts w:hint="eastAsia" w:ascii="宋体" w:hAnsi="宋体" w:cs="宋体"/>
          <w:sz w:val="30"/>
          <w:szCs w:val="30"/>
        </w:rPr>
        <w:t>33</w:t>
      </w:r>
      <w:r>
        <w:rPr>
          <w:rFonts w:hint="eastAsia" w:ascii="宋体" w:hAnsi="宋体" w:cs="宋体"/>
          <w:sz w:val="30"/>
          <w:szCs w:val="30"/>
        </w:rPr>
        <w:fldChar w:fldCharType="end"/>
      </w:r>
      <w:r>
        <w:rPr>
          <w:rFonts w:hint="eastAsia" w:ascii="宋体" w:hAnsi="宋体" w:cs="宋体"/>
          <w:sz w:val="30"/>
          <w:szCs w:val="30"/>
        </w:rPr>
        <w:fldChar w:fldCharType="end"/>
      </w:r>
    </w:p>
    <w:p w14:paraId="0CC473F6">
      <w:pPr>
        <w:pStyle w:val="11"/>
        <w:tabs>
          <w:tab w:val="right" w:leader="dot" w:pos="9412"/>
        </w:tabs>
        <w:spacing w:line="500" w:lineRule="exact"/>
        <w:ind w:left="1120"/>
        <w:rPr>
          <w:rFonts w:ascii="宋体" w:hAnsi="宋体" w:cs="宋体"/>
          <w:sz w:val="30"/>
          <w:szCs w:val="30"/>
        </w:rPr>
      </w:pPr>
      <w:r>
        <w:fldChar w:fldCharType="begin"/>
      </w:r>
      <w:r>
        <w:instrText xml:space="preserve"> HYPERLINK \l "_Toc9779" </w:instrText>
      </w:r>
      <w:r>
        <w:fldChar w:fldCharType="separate"/>
      </w:r>
      <w:r>
        <w:rPr>
          <w:rFonts w:hint="eastAsia" w:ascii="宋体" w:hAnsi="宋体" w:cs="宋体"/>
          <w:sz w:val="30"/>
          <w:szCs w:val="30"/>
        </w:rPr>
        <w:t>三、商务部分</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_Toc9779 \h </w:instrText>
      </w:r>
      <w:r>
        <w:rPr>
          <w:rFonts w:hint="eastAsia" w:ascii="宋体" w:hAnsi="宋体" w:cs="宋体"/>
          <w:sz w:val="30"/>
          <w:szCs w:val="30"/>
        </w:rPr>
        <w:fldChar w:fldCharType="separate"/>
      </w:r>
      <w:r>
        <w:rPr>
          <w:rFonts w:hint="eastAsia" w:ascii="宋体" w:hAnsi="宋体" w:cs="宋体"/>
          <w:sz w:val="30"/>
          <w:szCs w:val="30"/>
        </w:rPr>
        <w:t>36</w:t>
      </w:r>
      <w:r>
        <w:rPr>
          <w:rFonts w:hint="eastAsia" w:ascii="宋体" w:hAnsi="宋体" w:cs="宋体"/>
          <w:sz w:val="30"/>
          <w:szCs w:val="30"/>
        </w:rPr>
        <w:fldChar w:fldCharType="end"/>
      </w:r>
      <w:r>
        <w:rPr>
          <w:rFonts w:hint="eastAsia" w:ascii="宋体" w:hAnsi="宋体" w:cs="宋体"/>
          <w:sz w:val="30"/>
          <w:szCs w:val="30"/>
        </w:rPr>
        <w:fldChar w:fldCharType="end"/>
      </w:r>
    </w:p>
    <w:p w14:paraId="5C1E1B39">
      <w:pPr>
        <w:pStyle w:val="11"/>
        <w:tabs>
          <w:tab w:val="right" w:leader="dot" w:pos="9412"/>
        </w:tabs>
        <w:spacing w:line="500" w:lineRule="exact"/>
        <w:ind w:left="1120"/>
        <w:rPr>
          <w:rFonts w:ascii="宋体" w:hAnsi="宋体" w:cs="宋体"/>
          <w:sz w:val="30"/>
          <w:szCs w:val="30"/>
        </w:rPr>
      </w:pPr>
      <w:r>
        <w:fldChar w:fldCharType="begin"/>
      </w:r>
      <w:r>
        <w:instrText xml:space="preserve"> HYPERLINK \l "_Toc18548" </w:instrText>
      </w:r>
      <w:r>
        <w:fldChar w:fldCharType="separate"/>
      </w:r>
      <w:r>
        <w:rPr>
          <w:rFonts w:hint="eastAsia" w:ascii="宋体" w:hAnsi="宋体" w:cs="宋体"/>
          <w:sz w:val="30"/>
          <w:szCs w:val="30"/>
        </w:rPr>
        <w:t>四、资格条件及其他</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_Toc18548 \h </w:instrText>
      </w:r>
      <w:r>
        <w:rPr>
          <w:rFonts w:hint="eastAsia" w:ascii="宋体" w:hAnsi="宋体" w:cs="宋体"/>
          <w:sz w:val="30"/>
          <w:szCs w:val="30"/>
        </w:rPr>
        <w:fldChar w:fldCharType="separate"/>
      </w:r>
      <w:r>
        <w:rPr>
          <w:rFonts w:hint="eastAsia" w:ascii="宋体" w:hAnsi="宋体" w:cs="宋体"/>
          <w:sz w:val="30"/>
          <w:szCs w:val="30"/>
        </w:rPr>
        <w:t>39</w:t>
      </w:r>
      <w:r>
        <w:rPr>
          <w:rFonts w:hint="eastAsia" w:ascii="宋体" w:hAnsi="宋体" w:cs="宋体"/>
          <w:sz w:val="30"/>
          <w:szCs w:val="30"/>
        </w:rPr>
        <w:fldChar w:fldCharType="end"/>
      </w:r>
      <w:r>
        <w:rPr>
          <w:rFonts w:hint="eastAsia" w:ascii="宋体" w:hAnsi="宋体" w:cs="宋体"/>
          <w:sz w:val="30"/>
          <w:szCs w:val="30"/>
        </w:rPr>
        <w:fldChar w:fldCharType="end"/>
      </w:r>
    </w:p>
    <w:p w14:paraId="78AFFCFE">
      <w:pPr>
        <w:pStyle w:val="11"/>
        <w:tabs>
          <w:tab w:val="right" w:leader="dot" w:pos="9412"/>
        </w:tabs>
        <w:spacing w:line="500" w:lineRule="exact"/>
        <w:ind w:left="1120"/>
        <w:rPr>
          <w:rFonts w:ascii="宋体" w:hAnsi="宋体" w:cs="宋体"/>
          <w:sz w:val="30"/>
          <w:szCs w:val="30"/>
        </w:rPr>
      </w:pPr>
      <w:r>
        <w:fldChar w:fldCharType="begin"/>
      </w:r>
      <w:r>
        <w:instrText xml:space="preserve"> HYPERLINK \l "_Toc9718" </w:instrText>
      </w:r>
      <w:r>
        <w:fldChar w:fldCharType="separate"/>
      </w:r>
      <w:r>
        <w:rPr>
          <w:rFonts w:hint="eastAsia" w:ascii="宋体" w:hAnsi="宋体" w:cs="宋体"/>
          <w:sz w:val="30"/>
          <w:szCs w:val="30"/>
        </w:rPr>
        <w:t>五、其他应提供的资料</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_Toc9718 \h </w:instrText>
      </w:r>
      <w:r>
        <w:rPr>
          <w:rFonts w:hint="eastAsia" w:ascii="宋体" w:hAnsi="宋体" w:cs="宋体"/>
          <w:sz w:val="30"/>
          <w:szCs w:val="30"/>
        </w:rPr>
        <w:fldChar w:fldCharType="separate"/>
      </w:r>
      <w:r>
        <w:rPr>
          <w:rFonts w:hint="eastAsia" w:ascii="宋体" w:hAnsi="宋体" w:cs="宋体"/>
          <w:sz w:val="30"/>
          <w:szCs w:val="30"/>
        </w:rPr>
        <w:t>44</w:t>
      </w:r>
      <w:r>
        <w:rPr>
          <w:rFonts w:hint="eastAsia" w:ascii="宋体" w:hAnsi="宋体" w:cs="宋体"/>
          <w:sz w:val="30"/>
          <w:szCs w:val="30"/>
        </w:rPr>
        <w:fldChar w:fldCharType="end"/>
      </w:r>
      <w:r>
        <w:rPr>
          <w:rFonts w:hint="eastAsia" w:ascii="宋体" w:hAnsi="宋体" w:cs="宋体"/>
          <w:sz w:val="30"/>
          <w:szCs w:val="30"/>
        </w:rPr>
        <w:fldChar w:fldCharType="end"/>
      </w:r>
    </w:p>
    <w:p w14:paraId="20DFBBC8">
      <w:pPr>
        <w:pStyle w:val="17"/>
        <w:tabs>
          <w:tab w:val="right" w:leader="dot" w:pos="9402"/>
        </w:tabs>
        <w:spacing w:line="500" w:lineRule="exact"/>
        <w:ind w:left="560"/>
        <w:jc w:val="center"/>
        <w:rPr>
          <w:rFonts w:ascii="宋体" w:hAnsi="宋体" w:cs="宋体"/>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宋体" w:hAnsi="宋体" w:cs="宋体"/>
          <w:sz w:val="30"/>
          <w:szCs w:val="30"/>
        </w:rPr>
        <w:fldChar w:fldCharType="end"/>
      </w:r>
    </w:p>
    <w:p w14:paraId="6AB6E1C3">
      <w:pPr>
        <w:pStyle w:val="5"/>
        <w:spacing w:line="360" w:lineRule="auto"/>
        <w:jc w:val="center"/>
        <w:rPr>
          <w:rFonts w:ascii="宋体" w:hAnsi="宋体" w:eastAsia="宋体" w:cs="宋体"/>
          <w:b w:val="0"/>
          <w:szCs w:val="30"/>
        </w:rPr>
      </w:pPr>
      <w:bookmarkStart w:id="0" w:name="_Toc83288528"/>
      <w:bookmarkStart w:id="1" w:name="_Toc11641050"/>
      <w:bookmarkStart w:id="2" w:name="_Toc5353"/>
      <w:bookmarkStart w:id="3" w:name="_Toc12789052"/>
      <w:bookmarkStart w:id="4" w:name="_Toc23011"/>
      <w:bookmarkStart w:id="5" w:name="_Toc2886"/>
      <w:r>
        <w:rPr>
          <w:rFonts w:hint="eastAsia" w:ascii="宋体" w:hAnsi="宋体" w:eastAsia="宋体" w:cs="宋体"/>
          <w:b w:val="0"/>
          <w:sz w:val="36"/>
          <w:szCs w:val="30"/>
        </w:rPr>
        <w:t>第一篇  竞争性比选公告</w:t>
      </w:r>
      <w:bookmarkEnd w:id="0"/>
      <w:bookmarkEnd w:id="1"/>
      <w:bookmarkEnd w:id="2"/>
      <w:bookmarkEnd w:id="3"/>
      <w:bookmarkEnd w:id="4"/>
      <w:bookmarkEnd w:id="5"/>
    </w:p>
    <w:p w14:paraId="6D0B80C1">
      <w:pPr>
        <w:snapToGrid w:val="0"/>
        <w:spacing w:line="400" w:lineRule="exact"/>
        <w:ind w:firstLine="480" w:firstLineChars="200"/>
        <w:rPr>
          <w:rFonts w:ascii="宋体" w:hAnsi="宋体" w:cs="宋体"/>
          <w:sz w:val="24"/>
          <w:szCs w:val="24"/>
        </w:rPr>
      </w:pPr>
      <w:r>
        <w:rPr>
          <w:rFonts w:hint="eastAsia" w:ascii="宋体" w:hAnsi="宋体" w:cs="宋体"/>
          <w:sz w:val="24"/>
          <w:szCs w:val="24"/>
          <w:u w:val="single"/>
        </w:rPr>
        <w:t>重庆嘉利建工程咨询有限公司</w:t>
      </w:r>
      <w:r>
        <w:rPr>
          <w:rFonts w:hint="eastAsia" w:ascii="宋体" w:hAnsi="宋体" w:cs="宋体"/>
          <w:sz w:val="24"/>
          <w:szCs w:val="24"/>
        </w:rPr>
        <w:t>接受</w:t>
      </w:r>
      <w:r>
        <w:rPr>
          <w:rFonts w:hint="eastAsia" w:ascii="宋体" w:hAnsi="宋体" w:cs="宋体"/>
          <w:sz w:val="24"/>
          <w:szCs w:val="24"/>
          <w:u w:val="single"/>
        </w:rPr>
        <w:t>重庆市沙坪坝区气象局</w:t>
      </w:r>
      <w:r>
        <w:rPr>
          <w:rFonts w:hint="eastAsia" w:ascii="宋体" w:hAnsi="宋体" w:cs="宋体"/>
          <w:sz w:val="24"/>
          <w:szCs w:val="24"/>
        </w:rPr>
        <w:t>的委托，对</w:t>
      </w:r>
      <w:r>
        <w:rPr>
          <w:rFonts w:hint="eastAsia" w:ascii="宋体" w:hAnsi="宋体" w:cs="宋体"/>
          <w:sz w:val="24"/>
          <w:szCs w:val="24"/>
          <w:u w:val="single"/>
        </w:rPr>
        <w:t>高空站观测场草坪和道路改造</w:t>
      </w:r>
      <w:r>
        <w:rPr>
          <w:rFonts w:hint="eastAsia" w:ascii="宋体" w:hAnsi="宋体" w:cs="宋体"/>
          <w:sz w:val="24"/>
          <w:szCs w:val="24"/>
        </w:rPr>
        <w:t>进行竞争性比选采购。欢迎有资格的比选申请人前来参与比选。</w:t>
      </w:r>
    </w:p>
    <w:p w14:paraId="666FAF0A">
      <w:pPr>
        <w:pStyle w:val="6"/>
        <w:spacing w:before="0" w:after="0" w:line="400" w:lineRule="exact"/>
        <w:rPr>
          <w:rFonts w:ascii="宋体" w:hAnsi="宋体" w:cs="宋体"/>
          <w:sz w:val="24"/>
          <w:szCs w:val="24"/>
        </w:rPr>
      </w:pPr>
      <w:bookmarkStart w:id="6" w:name="_Toc2412"/>
      <w:bookmarkStart w:id="7" w:name="_Toc28940"/>
      <w:bookmarkStart w:id="8" w:name="_Toc83288529"/>
      <w:bookmarkStart w:id="9" w:name="_Toc317775175"/>
      <w:bookmarkStart w:id="10" w:name="_Toc313893526"/>
      <w:bookmarkStart w:id="11" w:name="_Toc25149"/>
      <w:r>
        <w:rPr>
          <w:rFonts w:hint="eastAsia" w:ascii="宋体" w:hAnsi="宋体" w:cs="宋体"/>
          <w:sz w:val="24"/>
          <w:szCs w:val="24"/>
        </w:rPr>
        <w:t>一、竞争性比选内容</w:t>
      </w:r>
      <w:bookmarkEnd w:id="6"/>
      <w:bookmarkEnd w:id="7"/>
      <w:bookmarkEnd w:id="8"/>
      <w:bookmarkEnd w:id="9"/>
      <w:bookmarkEnd w:id="10"/>
      <w:bookmarkEnd w:id="11"/>
      <w:bookmarkStart w:id="12" w:name="_Toc83288530"/>
      <w:bookmarkStart w:id="13" w:name="_Toc6877"/>
      <w:bookmarkStart w:id="14" w:name="_Toc373860293"/>
      <w:bookmarkStart w:id="15" w:name="_Toc31777517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1712"/>
        <w:gridCol w:w="1094"/>
        <w:gridCol w:w="1480"/>
        <w:gridCol w:w="1478"/>
      </w:tblGrid>
      <w:tr w14:paraId="2B72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16" w:type="dxa"/>
            <w:tcBorders>
              <w:top w:val="single" w:color="auto" w:sz="4" w:space="0"/>
              <w:left w:val="single" w:color="auto" w:sz="4" w:space="0"/>
              <w:right w:val="single" w:color="auto" w:sz="4" w:space="0"/>
            </w:tcBorders>
            <w:noWrap/>
            <w:vAlign w:val="center"/>
          </w:tcPr>
          <w:p w14:paraId="69B190F4">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12" w:type="dxa"/>
            <w:tcBorders>
              <w:top w:val="single" w:color="auto" w:sz="4" w:space="0"/>
              <w:left w:val="single" w:color="auto" w:sz="4" w:space="0"/>
              <w:right w:val="single" w:color="auto" w:sz="4" w:space="0"/>
            </w:tcBorders>
            <w:noWrap/>
            <w:vAlign w:val="center"/>
          </w:tcPr>
          <w:p w14:paraId="3D00C61D">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14:paraId="4FA3F1B5">
            <w:pPr>
              <w:jc w:val="center"/>
              <w:rPr>
                <w:rFonts w:ascii="宋体" w:hAnsi="宋体" w:cs="宋体"/>
                <w:b/>
                <w:bCs/>
                <w:kern w:val="0"/>
                <w:sz w:val="24"/>
                <w:szCs w:val="24"/>
              </w:rPr>
            </w:pPr>
            <w:r>
              <w:rPr>
                <w:rFonts w:hint="eastAsia" w:ascii="宋体" w:hAnsi="宋体" w:cs="宋体"/>
                <w:b/>
                <w:bCs/>
                <w:kern w:val="0"/>
                <w:sz w:val="24"/>
                <w:szCs w:val="24"/>
              </w:rPr>
              <w:t>（元）</w:t>
            </w:r>
          </w:p>
        </w:tc>
        <w:tc>
          <w:tcPr>
            <w:tcW w:w="1094" w:type="dxa"/>
            <w:tcBorders>
              <w:top w:val="single" w:color="auto" w:sz="4" w:space="0"/>
              <w:left w:val="single" w:color="auto" w:sz="4" w:space="0"/>
              <w:right w:val="single" w:color="auto" w:sz="4" w:space="0"/>
            </w:tcBorders>
            <w:noWrap/>
            <w:vAlign w:val="center"/>
          </w:tcPr>
          <w:p w14:paraId="3B12312C">
            <w:pPr>
              <w:jc w:val="center"/>
              <w:rPr>
                <w:rFonts w:ascii="宋体" w:hAnsi="宋体" w:cs="宋体"/>
                <w:b/>
                <w:bCs/>
                <w:kern w:val="0"/>
                <w:sz w:val="24"/>
                <w:szCs w:val="24"/>
              </w:rPr>
            </w:pPr>
            <w:r>
              <w:rPr>
                <w:rFonts w:hint="eastAsia" w:ascii="宋体" w:hAnsi="宋体" w:cs="宋体"/>
                <w:b/>
                <w:bCs/>
                <w:kern w:val="0"/>
                <w:sz w:val="24"/>
                <w:szCs w:val="24"/>
              </w:rPr>
              <w:t>保证金（元）</w:t>
            </w:r>
          </w:p>
        </w:tc>
        <w:tc>
          <w:tcPr>
            <w:tcW w:w="1480" w:type="dxa"/>
            <w:tcBorders>
              <w:top w:val="single" w:color="auto" w:sz="4" w:space="0"/>
              <w:left w:val="single" w:color="auto" w:sz="4" w:space="0"/>
              <w:right w:val="single" w:color="auto" w:sz="4" w:space="0"/>
            </w:tcBorders>
            <w:noWrap/>
            <w:vAlign w:val="center"/>
          </w:tcPr>
          <w:p w14:paraId="00AFAA52">
            <w:pPr>
              <w:jc w:val="center"/>
              <w:rPr>
                <w:rFonts w:ascii="宋体" w:hAnsi="宋体" w:cs="宋体"/>
                <w:b/>
                <w:bCs/>
                <w:kern w:val="0"/>
                <w:sz w:val="24"/>
                <w:szCs w:val="24"/>
              </w:rPr>
            </w:pPr>
            <w:r>
              <w:rPr>
                <w:rFonts w:hint="eastAsia" w:ascii="宋体" w:hAnsi="宋体" w:cs="宋体"/>
                <w:b/>
                <w:bCs/>
                <w:kern w:val="0"/>
                <w:sz w:val="24"/>
                <w:szCs w:val="24"/>
              </w:rPr>
              <w:t>成交数量（名）</w:t>
            </w:r>
          </w:p>
        </w:tc>
        <w:tc>
          <w:tcPr>
            <w:tcW w:w="1478" w:type="dxa"/>
            <w:tcBorders>
              <w:top w:val="single" w:color="auto" w:sz="4" w:space="0"/>
              <w:left w:val="single" w:color="auto" w:sz="4" w:space="0"/>
              <w:right w:val="single" w:color="auto" w:sz="4" w:space="0"/>
            </w:tcBorders>
            <w:noWrap/>
          </w:tcPr>
          <w:p w14:paraId="1DF40EAD">
            <w:pPr>
              <w:jc w:val="center"/>
              <w:rPr>
                <w:rFonts w:ascii="宋体" w:hAnsi="宋体" w:cs="宋体"/>
                <w:b/>
                <w:bCs/>
                <w:kern w:val="0"/>
                <w:sz w:val="24"/>
                <w:szCs w:val="24"/>
              </w:rPr>
            </w:pPr>
            <w:r>
              <w:rPr>
                <w:rFonts w:hint="eastAsia" w:ascii="宋体" w:hAnsi="宋体" w:cs="宋体"/>
                <w:b/>
                <w:bCs/>
                <w:kern w:val="0"/>
                <w:sz w:val="24"/>
                <w:szCs w:val="24"/>
              </w:rPr>
              <w:t>备注</w:t>
            </w:r>
          </w:p>
        </w:tc>
      </w:tr>
      <w:tr w14:paraId="38AB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16" w:type="dxa"/>
            <w:tcBorders>
              <w:top w:val="single" w:color="auto" w:sz="4" w:space="0"/>
              <w:left w:val="single" w:color="auto" w:sz="4" w:space="0"/>
              <w:right w:val="single" w:color="auto" w:sz="4" w:space="0"/>
            </w:tcBorders>
            <w:noWrap/>
            <w:vAlign w:val="center"/>
          </w:tcPr>
          <w:p w14:paraId="40D45EFB">
            <w:pPr>
              <w:widowControl/>
              <w:jc w:val="center"/>
              <w:rPr>
                <w:rFonts w:ascii="宋体" w:hAnsi="宋体" w:cs="宋体"/>
                <w:kern w:val="0"/>
                <w:sz w:val="24"/>
                <w:szCs w:val="24"/>
              </w:rPr>
            </w:pPr>
            <w:bookmarkStart w:id="16" w:name="_Hlk344477914"/>
            <w:r>
              <w:rPr>
                <w:rFonts w:hint="eastAsia" w:ascii="宋体" w:hAnsi="宋体" w:cs="宋体"/>
                <w:kern w:val="0"/>
                <w:sz w:val="24"/>
                <w:szCs w:val="24"/>
              </w:rPr>
              <w:t>高空站观测场草坪和道路改造</w:t>
            </w:r>
          </w:p>
        </w:tc>
        <w:tc>
          <w:tcPr>
            <w:tcW w:w="1712" w:type="dxa"/>
            <w:tcBorders>
              <w:top w:val="single" w:color="auto" w:sz="4" w:space="0"/>
              <w:left w:val="single" w:color="auto" w:sz="4" w:space="0"/>
              <w:right w:val="single" w:color="auto" w:sz="4" w:space="0"/>
            </w:tcBorders>
            <w:noWrap/>
            <w:vAlign w:val="center"/>
          </w:tcPr>
          <w:p w14:paraId="1869802E">
            <w:pPr>
              <w:widowControl/>
              <w:jc w:val="center"/>
              <w:rPr>
                <w:rFonts w:ascii="宋体" w:hAnsi="宋体" w:cs="宋体"/>
                <w:b/>
                <w:kern w:val="0"/>
                <w:sz w:val="24"/>
                <w:szCs w:val="24"/>
                <w:u w:val="single"/>
              </w:rPr>
            </w:pPr>
            <w:r>
              <w:rPr>
                <w:rFonts w:hint="eastAsia" w:ascii="宋体" w:hAnsi="宋体" w:cs="宋体"/>
                <w:kern w:val="0"/>
                <w:sz w:val="24"/>
                <w:szCs w:val="24"/>
              </w:rPr>
              <w:t>472184.59</w:t>
            </w:r>
          </w:p>
        </w:tc>
        <w:tc>
          <w:tcPr>
            <w:tcW w:w="1094" w:type="dxa"/>
            <w:tcBorders>
              <w:top w:val="single" w:color="auto" w:sz="4" w:space="0"/>
              <w:left w:val="single" w:color="auto" w:sz="4" w:space="0"/>
              <w:right w:val="single" w:color="auto" w:sz="4" w:space="0"/>
            </w:tcBorders>
            <w:noWrap/>
            <w:vAlign w:val="center"/>
          </w:tcPr>
          <w:p w14:paraId="692AEA8A">
            <w:pPr>
              <w:widowControl/>
              <w:jc w:val="center"/>
              <w:rPr>
                <w:rFonts w:ascii="宋体" w:hAnsi="宋体" w:cs="宋体"/>
                <w:kern w:val="0"/>
                <w:sz w:val="24"/>
                <w:szCs w:val="24"/>
              </w:rPr>
            </w:pPr>
            <w:r>
              <w:rPr>
                <w:rFonts w:hint="eastAsia" w:ascii="宋体" w:hAnsi="宋体" w:cs="宋体"/>
                <w:kern w:val="0"/>
                <w:sz w:val="24"/>
                <w:szCs w:val="24"/>
              </w:rPr>
              <w:t>500</w:t>
            </w:r>
          </w:p>
        </w:tc>
        <w:tc>
          <w:tcPr>
            <w:tcW w:w="1480" w:type="dxa"/>
            <w:tcBorders>
              <w:top w:val="single" w:color="auto" w:sz="4" w:space="0"/>
              <w:left w:val="single" w:color="auto" w:sz="4" w:space="0"/>
              <w:right w:val="single" w:color="auto" w:sz="4" w:space="0"/>
            </w:tcBorders>
            <w:noWrap/>
            <w:vAlign w:val="center"/>
          </w:tcPr>
          <w:p w14:paraId="17E7B023">
            <w:pPr>
              <w:widowControl/>
              <w:jc w:val="center"/>
              <w:rPr>
                <w:rFonts w:ascii="宋体" w:hAnsi="宋体" w:cs="宋体"/>
                <w:kern w:val="0"/>
                <w:sz w:val="24"/>
                <w:szCs w:val="24"/>
              </w:rPr>
            </w:pPr>
            <w:r>
              <w:rPr>
                <w:rFonts w:hint="eastAsia" w:ascii="宋体" w:hAnsi="宋体" w:cs="宋体"/>
                <w:kern w:val="0"/>
                <w:sz w:val="24"/>
                <w:szCs w:val="24"/>
              </w:rPr>
              <w:t>1</w:t>
            </w:r>
          </w:p>
        </w:tc>
        <w:tc>
          <w:tcPr>
            <w:tcW w:w="1478" w:type="dxa"/>
            <w:tcBorders>
              <w:top w:val="single" w:color="auto" w:sz="4" w:space="0"/>
              <w:left w:val="single" w:color="auto" w:sz="4" w:space="0"/>
              <w:right w:val="single" w:color="auto" w:sz="4" w:space="0"/>
            </w:tcBorders>
            <w:noWrap/>
            <w:vAlign w:val="center"/>
          </w:tcPr>
          <w:p w14:paraId="3523BC15">
            <w:pPr>
              <w:widowControl/>
              <w:jc w:val="center"/>
              <w:rPr>
                <w:rFonts w:ascii="宋体" w:hAnsi="宋体" w:cs="宋体"/>
                <w:kern w:val="0"/>
                <w:sz w:val="24"/>
                <w:szCs w:val="24"/>
              </w:rPr>
            </w:pPr>
            <w:r>
              <w:rPr>
                <w:rFonts w:hint="eastAsia" w:ascii="宋体" w:hAnsi="宋体" w:cs="宋体"/>
                <w:kern w:val="0"/>
                <w:sz w:val="24"/>
                <w:szCs w:val="24"/>
              </w:rPr>
              <w:t>/</w:t>
            </w:r>
          </w:p>
        </w:tc>
      </w:tr>
      <w:bookmarkEnd w:id="16"/>
    </w:tbl>
    <w:p w14:paraId="746DE976">
      <w:pPr>
        <w:pStyle w:val="6"/>
        <w:spacing w:before="0" w:after="0" w:line="500" w:lineRule="exact"/>
        <w:rPr>
          <w:rFonts w:ascii="宋体" w:hAnsi="宋体" w:cs="宋体"/>
          <w:sz w:val="24"/>
          <w:szCs w:val="24"/>
        </w:rPr>
      </w:pPr>
      <w:bookmarkStart w:id="17" w:name="_Toc15214"/>
      <w:bookmarkStart w:id="18" w:name="_Toc28104"/>
      <w:r>
        <w:rPr>
          <w:rFonts w:hint="eastAsia" w:ascii="宋体" w:hAnsi="宋体" w:cs="宋体"/>
          <w:sz w:val="24"/>
          <w:szCs w:val="24"/>
        </w:rPr>
        <w:t>二、资金来源</w:t>
      </w:r>
      <w:bookmarkEnd w:id="12"/>
      <w:bookmarkEnd w:id="13"/>
      <w:bookmarkEnd w:id="17"/>
      <w:bookmarkEnd w:id="18"/>
    </w:p>
    <w:p w14:paraId="2757D5D3">
      <w:pPr>
        <w:spacing w:line="500" w:lineRule="exact"/>
        <w:ind w:firstLine="480" w:firstLineChars="200"/>
        <w:rPr>
          <w:rFonts w:ascii="宋体" w:hAnsi="宋体" w:cs="宋体"/>
          <w:sz w:val="24"/>
          <w:szCs w:val="24"/>
        </w:rPr>
      </w:pPr>
      <w:r>
        <w:rPr>
          <w:rFonts w:hint="eastAsia" w:ascii="宋体" w:hAnsi="宋体" w:cs="宋体"/>
          <w:sz w:val="24"/>
          <w:szCs w:val="24"/>
        </w:rPr>
        <w:t>最高限价472184.59元。</w:t>
      </w:r>
    </w:p>
    <w:p w14:paraId="5B623901">
      <w:pPr>
        <w:pStyle w:val="6"/>
        <w:spacing w:before="0" w:after="0" w:line="500" w:lineRule="exact"/>
        <w:rPr>
          <w:rFonts w:ascii="宋体" w:hAnsi="宋体" w:cs="宋体"/>
          <w:sz w:val="24"/>
          <w:szCs w:val="24"/>
        </w:rPr>
      </w:pPr>
      <w:bookmarkStart w:id="19" w:name="_Toc8989"/>
      <w:bookmarkStart w:id="20" w:name="_Toc397"/>
      <w:bookmarkStart w:id="21" w:name="_Toc648"/>
      <w:bookmarkStart w:id="22" w:name="_Toc83288531"/>
      <w:r>
        <w:rPr>
          <w:rFonts w:hint="eastAsia" w:ascii="宋体" w:hAnsi="宋体" w:cs="宋体"/>
          <w:sz w:val="24"/>
          <w:szCs w:val="24"/>
        </w:rPr>
        <w:t>三、比选申请人资格条件</w:t>
      </w:r>
      <w:bookmarkEnd w:id="19"/>
      <w:bookmarkEnd w:id="20"/>
      <w:bookmarkEnd w:id="21"/>
      <w:bookmarkEnd w:id="22"/>
    </w:p>
    <w:p w14:paraId="77E050A1">
      <w:pPr>
        <w:spacing w:line="500" w:lineRule="exact"/>
        <w:ind w:firstLine="480" w:firstLineChars="200"/>
        <w:rPr>
          <w:rFonts w:ascii="宋体" w:hAnsi="宋体" w:cs="宋体"/>
          <w:sz w:val="24"/>
          <w:szCs w:val="24"/>
        </w:rPr>
      </w:pPr>
      <w:r>
        <w:rPr>
          <w:rFonts w:hint="eastAsia" w:ascii="宋体" w:hAnsi="宋体" w:cs="宋体"/>
          <w:sz w:val="24"/>
          <w:szCs w:val="24"/>
        </w:rPr>
        <w:t>比选申请人是指向比选人提供该工程的法人、其他组织或者个体工商户。合格的比选申请人应首先符合以下基本资格条件，同时符合根据该项目特殊要求设置的特定资格条件。</w:t>
      </w:r>
    </w:p>
    <w:p w14:paraId="579422FA">
      <w:pPr>
        <w:spacing w:line="500" w:lineRule="exact"/>
        <w:ind w:firstLine="480" w:firstLineChars="200"/>
        <w:rPr>
          <w:rFonts w:ascii="宋体" w:hAnsi="宋体" w:cs="宋体"/>
        </w:rPr>
      </w:pPr>
      <w:r>
        <w:rPr>
          <w:rFonts w:hint="eastAsia" w:ascii="宋体" w:hAnsi="宋体" w:cs="宋体"/>
          <w:sz w:val="24"/>
          <w:szCs w:val="24"/>
        </w:rPr>
        <w:t>（一）基本资格条件</w:t>
      </w:r>
    </w:p>
    <w:p w14:paraId="4F6E407D">
      <w:pPr>
        <w:spacing w:line="500" w:lineRule="exact"/>
        <w:ind w:firstLine="480" w:firstLineChars="200"/>
        <w:rPr>
          <w:rFonts w:ascii="宋体" w:hAnsi="宋体" w:cs="宋体"/>
          <w:sz w:val="24"/>
          <w:szCs w:val="24"/>
        </w:rPr>
      </w:pPr>
      <w:r>
        <w:rPr>
          <w:rFonts w:hint="eastAsia" w:ascii="宋体" w:hAnsi="宋体" w:cs="宋体"/>
          <w:sz w:val="24"/>
          <w:szCs w:val="24"/>
        </w:rPr>
        <w:t>1、具有独立承担民事责任的能力相应企业法人；</w:t>
      </w:r>
    </w:p>
    <w:p w14:paraId="2CA8E6DB">
      <w:pPr>
        <w:spacing w:line="500" w:lineRule="exact"/>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0F59D44E">
      <w:pPr>
        <w:spacing w:line="50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46E24776">
      <w:pPr>
        <w:spacing w:line="50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78D67E6A">
      <w:pPr>
        <w:spacing w:line="500" w:lineRule="exact"/>
        <w:ind w:firstLine="480" w:firstLineChars="200"/>
        <w:rPr>
          <w:rFonts w:ascii="宋体" w:hAnsi="宋体" w:cs="宋体"/>
          <w:sz w:val="24"/>
          <w:szCs w:val="24"/>
        </w:rPr>
      </w:pPr>
      <w:r>
        <w:rPr>
          <w:rFonts w:hint="eastAsia" w:ascii="宋体" w:hAnsi="宋体" w:cs="宋体"/>
          <w:sz w:val="24"/>
          <w:szCs w:val="24"/>
        </w:rPr>
        <w:t>5、参加比选活动前三年内，在经营活动中没有重大违法记录；</w:t>
      </w:r>
    </w:p>
    <w:p w14:paraId="257E8AD0">
      <w:pPr>
        <w:spacing w:line="50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270F2B92">
      <w:pPr>
        <w:spacing w:line="500" w:lineRule="exact"/>
        <w:ind w:firstLine="480" w:firstLineChars="200"/>
        <w:rPr>
          <w:rFonts w:ascii="宋体" w:hAnsi="宋体" w:cs="宋体"/>
          <w:sz w:val="24"/>
          <w:szCs w:val="24"/>
        </w:rPr>
      </w:pPr>
      <w:r>
        <w:rPr>
          <w:rFonts w:hint="eastAsia" w:ascii="宋体" w:hAnsi="宋体" w:cs="宋体"/>
          <w:sz w:val="24"/>
          <w:szCs w:val="24"/>
        </w:rPr>
        <w:t>（二）特定资格条件</w:t>
      </w:r>
      <w:bookmarkStart w:id="23" w:name="_Toc83288532"/>
      <w:bookmarkStart w:id="24" w:name="_Toc27115"/>
      <w:bookmarkStart w:id="25" w:name="_Toc1185"/>
    </w:p>
    <w:p w14:paraId="25D1397A">
      <w:pPr>
        <w:pStyle w:val="6"/>
        <w:spacing w:before="0" w:after="0" w:line="500" w:lineRule="exact"/>
        <w:ind w:firstLine="482" w:firstLineChars="200"/>
        <w:rPr>
          <w:rFonts w:ascii="宋体" w:hAnsi="宋体" w:cs="宋体"/>
          <w:sz w:val="24"/>
          <w:szCs w:val="24"/>
        </w:rPr>
      </w:pPr>
      <w:bookmarkStart w:id="26" w:name="_Toc11876"/>
      <w:r>
        <w:rPr>
          <w:rFonts w:hint="eastAsia" w:ascii="宋体" w:hAnsi="宋体" w:cs="宋体"/>
          <w:sz w:val="24"/>
          <w:szCs w:val="24"/>
        </w:rPr>
        <w:t>无。</w:t>
      </w:r>
    </w:p>
    <w:p w14:paraId="6AD61C69">
      <w:pPr>
        <w:pStyle w:val="6"/>
        <w:spacing w:before="0" w:after="0" w:line="500" w:lineRule="exact"/>
        <w:rPr>
          <w:rFonts w:ascii="宋体" w:hAnsi="宋体" w:cs="宋体"/>
          <w:color w:val="FF0000"/>
          <w:sz w:val="24"/>
          <w:szCs w:val="24"/>
          <w:u w:val="single"/>
        </w:rPr>
      </w:pPr>
      <w:r>
        <w:rPr>
          <w:rFonts w:hint="eastAsia" w:ascii="宋体" w:hAnsi="宋体" w:cs="宋体"/>
          <w:sz w:val="24"/>
          <w:szCs w:val="24"/>
        </w:rPr>
        <w:t>四、比选有关说明</w:t>
      </w:r>
      <w:bookmarkEnd w:id="14"/>
      <w:bookmarkEnd w:id="23"/>
      <w:bookmarkEnd w:id="24"/>
      <w:bookmarkEnd w:id="25"/>
      <w:bookmarkEnd w:id="26"/>
    </w:p>
    <w:bookmarkEnd w:id="15"/>
    <w:p w14:paraId="6CBA48E2">
      <w:pPr>
        <w:snapToGrid w:val="0"/>
        <w:spacing w:line="500" w:lineRule="exact"/>
        <w:ind w:firstLine="480" w:firstLineChars="200"/>
        <w:rPr>
          <w:rFonts w:ascii="宋体" w:hAnsi="宋体" w:cs="宋体"/>
          <w:sz w:val="24"/>
          <w:szCs w:val="24"/>
        </w:rPr>
      </w:pPr>
      <w:r>
        <w:rPr>
          <w:rFonts w:hint="eastAsia" w:ascii="宋体" w:hAnsi="宋体" w:cs="宋体"/>
          <w:sz w:val="24"/>
          <w:szCs w:val="24"/>
        </w:rPr>
        <w:t>（一）供应商需通过“行采家”（http://www.gec123.com）进行注册，登记加入“行采家供应商库”。</w:t>
      </w:r>
    </w:p>
    <w:p w14:paraId="3299C519">
      <w:pPr>
        <w:spacing w:line="500" w:lineRule="exact"/>
        <w:ind w:firstLine="480" w:firstLineChars="200"/>
        <w:rPr>
          <w:rFonts w:ascii="宋体" w:hAnsi="宋体" w:cs="宋体"/>
          <w:sz w:val="24"/>
          <w:szCs w:val="24"/>
        </w:rPr>
      </w:pPr>
      <w:r>
        <w:rPr>
          <w:rFonts w:hint="eastAsia" w:ascii="宋体" w:hAnsi="宋体" w:cs="宋体"/>
          <w:sz w:val="24"/>
          <w:szCs w:val="24"/>
        </w:rPr>
        <w:t>（二）凡有意参加比选的比选申请人，请于公告发布之日起至提交首次响应文件截止时间之前，在比选代理机构领取或在</w:t>
      </w:r>
      <w:r>
        <w:rPr>
          <w:rFonts w:hint="eastAsia" w:ascii="宋体" w:hAnsi="宋体" w:cs="宋体"/>
          <w:sz w:val="24"/>
          <w:szCs w:val="24"/>
          <w:highlight w:val="none"/>
        </w:rPr>
        <w:t>“行采家”（http://www.gec123.com）网上</w:t>
      </w:r>
      <w:r>
        <w:rPr>
          <w:rFonts w:hint="eastAsia" w:ascii="宋体" w:hAnsi="宋体" w:cs="宋体"/>
          <w:sz w:val="24"/>
          <w:szCs w:val="24"/>
        </w:rPr>
        <w:t>下载本项目竞争性比选文件以及补遗等比选前公布的所有项目资料，无论比选申请人下载与否，均视为已知晓所有比选实质性要求内容。</w:t>
      </w:r>
    </w:p>
    <w:p w14:paraId="1C5C729C">
      <w:pPr>
        <w:spacing w:line="500" w:lineRule="exact"/>
        <w:ind w:firstLine="480" w:firstLineChars="200"/>
        <w:rPr>
          <w:rFonts w:ascii="宋体" w:hAnsi="宋体" w:cs="宋体"/>
          <w:sz w:val="24"/>
          <w:szCs w:val="24"/>
        </w:rPr>
      </w:pPr>
      <w:r>
        <w:rPr>
          <w:rFonts w:hint="eastAsia" w:ascii="宋体" w:hAnsi="宋体" w:cs="宋体"/>
          <w:sz w:val="24"/>
          <w:szCs w:val="24"/>
        </w:rPr>
        <w:t>（二）报名时间：凡有意参加比选的比选申请人，请于2025年6月</w:t>
      </w:r>
      <w:r>
        <w:rPr>
          <w:rFonts w:hint="eastAsia" w:ascii="宋体" w:hAnsi="宋体" w:cs="宋体"/>
          <w:sz w:val="24"/>
          <w:szCs w:val="24"/>
          <w:lang w:val="en-US" w:eastAsia="zh-CN"/>
        </w:rPr>
        <w:t>4</w:t>
      </w:r>
      <w:r>
        <w:rPr>
          <w:rFonts w:hint="eastAsia" w:ascii="宋体" w:hAnsi="宋体" w:cs="宋体"/>
          <w:sz w:val="24"/>
          <w:szCs w:val="24"/>
        </w:rPr>
        <w:t>日至2025年6月</w:t>
      </w:r>
      <w:r>
        <w:rPr>
          <w:rFonts w:hint="eastAsia" w:ascii="宋体" w:hAnsi="宋体" w:cs="宋体"/>
          <w:sz w:val="24"/>
          <w:szCs w:val="24"/>
          <w:lang w:val="en-US" w:eastAsia="zh-CN"/>
        </w:rPr>
        <w:t>7</w:t>
      </w:r>
      <w:r>
        <w:rPr>
          <w:rFonts w:hint="eastAsia" w:ascii="宋体" w:hAnsi="宋体" w:cs="宋体"/>
          <w:sz w:val="24"/>
          <w:szCs w:val="24"/>
        </w:rPr>
        <w:t>日上午9：30时至12：00时，下午14：00至17：00时（法定公休日、法定节假日除外）携带《报名登记表》（加盖比选申请人公章）到重庆嘉利建工程咨询有限公司（重庆市南岸区江南大道24号金信大厦1109室）报名。</w:t>
      </w:r>
      <w:r>
        <w:rPr>
          <w:rFonts w:hint="eastAsia" w:ascii="宋体" w:hAnsi="宋体" w:cs="宋体"/>
          <w:sz w:val="24"/>
          <w:szCs w:val="24"/>
          <w:lang w:val="en-US" w:eastAsia="zh-CN"/>
        </w:rPr>
        <w:t>竞争性</w:t>
      </w:r>
      <w:r>
        <w:rPr>
          <w:rFonts w:hint="eastAsia" w:ascii="宋体" w:hAnsi="宋体" w:cs="宋体"/>
          <w:sz w:val="24"/>
          <w:szCs w:val="24"/>
        </w:rPr>
        <w:t>比选文件购买费用在报名现场缴纳。</w:t>
      </w:r>
    </w:p>
    <w:p w14:paraId="0C107FED">
      <w:pPr>
        <w:spacing w:line="500" w:lineRule="exact"/>
        <w:ind w:firstLine="480" w:firstLineChars="200"/>
        <w:rPr>
          <w:rFonts w:ascii="宋体" w:hAnsi="宋体" w:cs="宋体"/>
          <w:sz w:val="24"/>
          <w:szCs w:val="24"/>
        </w:rPr>
      </w:pPr>
      <w:r>
        <w:rPr>
          <w:rFonts w:hint="eastAsia" w:ascii="宋体" w:hAnsi="宋体" w:cs="宋体"/>
          <w:sz w:val="24"/>
          <w:szCs w:val="24"/>
        </w:rPr>
        <w:t>（三）竞争性比选文件售价500元/份（售后不退）。此费用由比选申请人在报名时向代理机构缴纳，否则比选人和比选代理机构有权拒收其响应文件。</w:t>
      </w:r>
    </w:p>
    <w:p w14:paraId="2E18725C">
      <w:pPr>
        <w:spacing w:line="500" w:lineRule="exact"/>
        <w:ind w:firstLine="480" w:firstLineChars="200"/>
        <w:rPr>
          <w:rFonts w:ascii="宋体" w:hAnsi="宋体" w:cs="宋体"/>
          <w:sz w:val="24"/>
          <w:szCs w:val="24"/>
        </w:rPr>
      </w:pPr>
      <w:r>
        <w:rPr>
          <w:rFonts w:hint="eastAsia" w:ascii="宋体" w:hAnsi="宋体" w:cs="宋体"/>
          <w:sz w:val="24"/>
          <w:szCs w:val="24"/>
        </w:rPr>
        <w:t>（四）比选申请人须满足以下两种要件，其响应文件才被接受：</w:t>
      </w:r>
    </w:p>
    <w:p w14:paraId="0389A9FF">
      <w:pPr>
        <w:spacing w:line="500" w:lineRule="exact"/>
        <w:ind w:firstLine="480" w:firstLineChars="200"/>
        <w:rPr>
          <w:rFonts w:ascii="宋体" w:hAnsi="宋体" w:cs="宋体"/>
          <w:sz w:val="24"/>
          <w:szCs w:val="24"/>
        </w:rPr>
      </w:pPr>
      <w:r>
        <w:rPr>
          <w:rFonts w:hint="eastAsia" w:ascii="宋体" w:hAnsi="宋体" w:cs="宋体"/>
          <w:sz w:val="24"/>
          <w:szCs w:val="24"/>
        </w:rPr>
        <w:t>1、按时发售登记表发送至指定邮箱的供应商</w:t>
      </w:r>
      <w:r>
        <w:rPr>
          <w:rFonts w:hint="eastAsia" w:ascii="宋体" w:hAnsi="宋体" w:cs="宋体"/>
          <w:sz w:val="24"/>
          <w:szCs w:val="24"/>
          <w:lang w:val="en-US" w:eastAsia="zh-CN"/>
        </w:rPr>
        <w:t>并</w:t>
      </w:r>
      <w:r>
        <w:rPr>
          <w:rFonts w:hint="eastAsia" w:ascii="宋体" w:hAnsi="宋体" w:cs="宋体"/>
          <w:sz w:val="24"/>
          <w:szCs w:val="24"/>
        </w:rPr>
        <w:t>按时缴纳报名费。</w:t>
      </w:r>
    </w:p>
    <w:p w14:paraId="22B29FE5">
      <w:pPr>
        <w:spacing w:line="500" w:lineRule="exact"/>
        <w:ind w:firstLine="480" w:firstLineChars="200"/>
        <w:rPr>
          <w:rFonts w:ascii="宋体" w:hAnsi="宋体" w:cs="宋体"/>
          <w:sz w:val="24"/>
          <w:szCs w:val="24"/>
        </w:rPr>
      </w:pPr>
      <w:r>
        <w:rPr>
          <w:rFonts w:hint="eastAsia" w:ascii="宋体" w:hAnsi="宋体" w:cs="宋体"/>
          <w:sz w:val="24"/>
          <w:szCs w:val="24"/>
        </w:rPr>
        <w:t>2、按时</w:t>
      </w:r>
      <w:r>
        <w:rPr>
          <w:rFonts w:hint="eastAsia" w:ascii="宋体" w:hAnsi="宋体" w:cs="宋体"/>
          <w:sz w:val="24"/>
          <w:szCs w:val="24"/>
          <w:lang w:val="en-US" w:eastAsia="zh-CN"/>
        </w:rPr>
        <w:t>线上</w:t>
      </w:r>
      <w:r>
        <w:rPr>
          <w:rFonts w:hint="eastAsia" w:ascii="宋体" w:hAnsi="宋体" w:cs="宋体"/>
          <w:sz w:val="24"/>
          <w:szCs w:val="24"/>
        </w:rPr>
        <w:t>上传并线下递交了响应文件的供应商。</w:t>
      </w:r>
    </w:p>
    <w:p w14:paraId="60E14FB6">
      <w:pPr>
        <w:spacing w:line="500" w:lineRule="exact"/>
        <w:ind w:firstLine="480" w:firstLineChars="200"/>
        <w:rPr>
          <w:rFonts w:ascii="宋体" w:hAnsi="宋体" w:cs="宋体"/>
          <w:sz w:val="24"/>
          <w:szCs w:val="24"/>
        </w:rPr>
      </w:pPr>
      <w:r>
        <w:rPr>
          <w:rFonts w:hint="eastAsia" w:ascii="宋体" w:hAnsi="宋体" w:cs="宋体"/>
          <w:sz w:val="24"/>
          <w:szCs w:val="24"/>
        </w:rPr>
        <w:t>（五）递交响应文件地点：重庆嘉利建工程咨询有限公司会议室</w:t>
      </w:r>
    </w:p>
    <w:p w14:paraId="1D0FF708">
      <w:pPr>
        <w:spacing w:line="500" w:lineRule="exact"/>
        <w:ind w:firstLine="480" w:firstLineChars="200"/>
        <w:rPr>
          <w:rFonts w:ascii="宋体" w:hAnsi="宋体" w:cs="宋体"/>
          <w:sz w:val="24"/>
          <w:szCs w:val="24"/>
        </w:rPr>
      </w:pPr>
      <w:r>
        <w:rPr>
          <w:rFonts w:hint="eastAsia" w:ascii="宋体" w:hAnsi="宋体" w:cs="宋体"/>
          <w:sz w:val="24"/>
          <w:szCs w:val="24"/>
        </w:rPr>
        <w:t>（六）响应文件递交截止时间：2025年6月</w:t>
      </w:r>
      <w:r>
        <w:rPr>
          <w:rFonts w:hint="eastAsia" w:ascii="宋体" w:hAnsi="宋体" w:cs="宋体"/>
          <w:sz w:val="24"/>
          <w:szCs w:val="24"/>
          <w:lang w:val="en-US" w:eastAsia="zh-CN"/>
        </w:rPr>
        <w:t>10</w:t>
      </w:r>
      <w:r>
        <w:rPr>
          <w:rFonts w:hint="eastAsia" w:ascii="宋体" w:hAnsi="宋体" w:cs="宋体"/>
          <w:sz w:val="24"/>
          <w:szCs w:val="24"/>
        </w:rPr>
        <w:t>日北京时间14:30</w:t>
      </w:r>
    </w:p>
    <w:p w14:paraId="532891DC">
      <w:pPr>
        <w:spacing w:line="500" w:lineRule="exact"/>
        <w:ind w:firstLine="480" w:firstLineChars="200"/>
        <w:rPr>
          <w:rFonts w:ascii="宋体" w:hAnsi="宋体" w:cs="宋体"/>
          <w:sz w:val="24"/>
          <w:szCs w:val="24"/>
        </w:rPr>
      </w:pPr>
      <w:r>
        <w:rPr>
          <w:rFonts w:hint="eastAsia" w:ascii="宋体" w:hAnsi="宋体" w:cs="宋体"/>
          <w:sz w:val="24"/>
          <w:szCs w:val="24"/>
        </w:rPr>
        <w:t>（七）响应文件开启时间：2025年6月</w:t>
      </w:r>
      <w:r>
        <w:rPr>
          <w:rFonts w:hint="eastAsia" w:ascii="宋体" w:hAnsi="宋体" w:cs="宋体"/>
          <w:sz w:val="24"/>
          <w:szCs w:val="24"/>
          <w:lang w:val="en-US" w:eastAsia="zh-CN"/>
        </w:rPr>
        <w:t>10</w:t>
      </w:r>
      <w:r>
        <w:rPr>
          <w:rFonts w:hint="eastAsia" w:ascii="宋体" w:hAnsi="宋体" w:cs="宋体"/>
          <w:sz w:val="24"/>
          <w:szCs w:val="24"/>
        </w:rPr>
        <w:t>日北京时间14:30</w:t>
      </w:r>
    </w:p>
    <w:p w14:paraId="1AEFDF2B">
      <w:pPr>
        <w:spacing w:line="500" w:lineRule="exact"/>
        <w:ind w:firstLine="480" w:firstLineChars="200"/>
        <w:rPr>
          <w:rFonts w:ascii="宋体" w:hAnsi="宋体" w:cs="宋体"/>
          <w:sz w:val="24"/>
          <w:szCs w:val="24"/>
        </w:rPr>
      </w:pPr>
      <w:r>
        <w:rPr>
          <w:rFonts w:hint="eastAsia" w:ascii="宋体" w:hAnsi="宋体" w:cs="宋体"/>
          <w:sz w:val="24"/>
          <w:szCs w:val="24"/>
        </w:rPr>
        <w:t>（八）比选地点：同递交响应文件地点。</w:t>
      </w:r>
    </w:p>
    <w:p w14:paraId="208CA578">
      <w:pPr>
        <w:snapToGrid w:val="0"/>
        <w:spacing w:line="500" w:lineRule="exact"/>
        <w:ind w:firstLine="480" w:firstLineChars="200"/>
        <w:rPr>
          <w:rFonts w:ascii="宋体" w:hAnsi="宋体" w:cs="宋体"/>
          <w:sz w:val="24"/>
          <w:szCs w:val="24"/>
        </w:rPr>
      </w:pPr>
      <w:bookmarkStart w:id="27" w:name="_Toc31682"/>
      <w:bookmarkStart w:id="28" w:name="_Toc93501726"/>
      <w:bookmarkStart w:id="29" w:name="_Toc499216279"/>
      <w:bookmarkStart w:id="30" w:name="_Toc25802"/>
      <w:bookmarkStart w:id="31" w:name="_Toc32109"/>
      <w:bookmarkStart w:id="32" w:name="_Toc373860294"/>
      <w:bookmarkStart w:id="33" w:name="_Toc460146763"/>
      <w:bookmarkStart w:id="34" w:name="_Toc499131150"/>
      <w:bookmarkStart w:id="35" w:name="_Toc83288533"/>
      <w:bookmarkStart w:id="36" w:name="_Toc457584285"/>
      <w:bookmarkStart w:id="37" w:name="_Toc22181"/>
      <w:bookmarkStart w:id="38" w:name="_Toc499131151"/>
      <w:bookmarkStart w:id="39" w:name="_Toc499216280"/>
      <w:bookmarkStart w:id="40" w:name="_Toc83288534"/>
      <w:r>
        <w:rPr>
          <w:rFonts w:hint="eastAsia" w:ascii="宋体" w:hAnsi="宋体" w:cs="宋体"/>
          <w:sz w:val="24"/>
          <w:szCs w:val="24"/>
        </w:rPr>
        <w:t>（九）线</w:t>
      </w:r>
      <w:bookmarkStart w:id="233" w:name="_GoBack"/>
      <w:bookmarkEnd w:id="233"/>
      <w:r>
        <w:rPr>
          <w:rFonts w:hint="eastAsia" w:ascii="宋体" w:hAnsi="宋体" w:cs="宋体"/>
          <w:sz w:val="24"/>
          <w:szCs w:val="24"/>
        </w:rPr>
        <w:t>上响应及线下递交</w:t>
      </w:r>
    </w:p>
    <w:p w14:paraId="4341ED2E">
      <w:pPr>
        <w:snapToGrid w:val="0"/>
        <w:spacing w:line="500" w:lineRule="exact"/>
        <w:ind w:firstLine="480" w:firstLineChars="200"/>
        <w:rPr>
          <w:rFonts w:ascii="宋体" w:hAnsi="宋体" w:cs="宋体"/>
          <w:sz w:val="24"/>
          <w:szCs w:val="24"/>
        </w:rPr>
      </w:pPr>
      <w:r>
        <w:rPr>
          <w:rFonts w:hint="eastAsia" w:ascii="宋体" w:hAnsi="宋体" w:cs="宋体"/>
          <w:sz w:val="24"/>
          <w:szCs w:val="24"/>
        </w:rPr>
        <w:t>1、线上响应文件</w:t>
      </w:r>
      <w:r>
        <w:rPr>
          <w:rFonts w:hint="eastAsia" w:ascii="宋体" w:hAnsi="宋体" w:cs="宋体"/>
          <w:sz w:val="24"/>
          <w:szCs w:val="24"/>
          <w:lang w:val="en-US" w:eastAsia="zh-CN"/>
        </w:rPr>
        <w:t>提交</w:t>
      </w:r>
      <w:r>
        <w:rPr>
          <w:rFonts w:hint="eastAsia" w:ascii="宋体" w:hAnsi="宋体" w:cs="宋体"/>
          <w:sz w:val="24"/>
          <w:szCs w:val="24"/>
        </w:rPr>
        <w:t>截止时间：2025年6月</w:t>
      </w:r>
      <w:r>
        <w:rPr>
          <w:rFonts w:hint="eastAsia" w:ascii="宋体" w:hAnsi="宋体" w:cs="宋体"/>
          <w:sz w:val="24"/>
          <w:szCs w:val="24"/>
          <w:lang w:val="en-US" w:eastAsia="zh-CN"/>
        </w:rPr>
        <w:t>10</w:t>
      </w:r>
      <w:r>
        <w:rPr>
          <w:rFonts w:hint="eastAsia" w:ascii="宋体" w:hAnsi="宋体" w:cs="宋体"/>
          <w:sz w:val="24"/>
          <w:szCs w:val="24"/>
        </w:rPr>
        <w:t>日12：00（以北京时间为准，逾期不予受理）</w:t>
      </w:r>
    </w:p>
    <w:p w14:paraId="65EB8A1B">
      <w:pPr>
        <w:pStyle w:val="6"/>
        <w:adjustRightInd w:val="0"/>
        <w:snapToGrid w:val="0"/>
        <w:spacing w:before="0" w:after="0" w:line="500" w:lineRule="exact"/>
        <w:ind w:firstLine="480" w:firstLineChars="200"/>
        <w:rPr>
          <w:rFonts w:ascii="宋体" w:hAnsi="宋体" w:cs="宋体"/>
          <w:b w:val="0"/>
          <w:sz w:val="24"/>
          <w:szCs w:val="24"/>
        </w:rPr>
      </w:pPr>
      <w:r>
        <w:rPr>
          <w:rFonts w:hint="eastAsia" w:ascii="宋体" w:hAnsi="宋体" w:cs="宋体"/>
          <w:b w:val="0"/>
          <w:sz w:val="24"/>
          <w:szCs w:val="24"/>
        </w:rPr>
        <w:t>2、线下响应文件递交截止时间：2025年6月</w:t>
      </w:r>
      <w:r>
        <w:rPr>
          <w:rFonts w:hint="eastAsia" w:ascii="宋体" w:hAnsi="宋体" w:cs="宋体"/>
          <w:b w:val="0"/>
          <w:sz w:val="24"/>
          <w:szCs w:val="24"/>
          <w:lang w:val="en-US" w:eastAsia="zh-CN"/>
        </w:rPr>
        <w:t>10</w:t>
      </w:r>
      <w:r>
        <w:rPr>
          <w:rFonts w:hint="eastAsia" w:ascii="宋体" w:hAnsi="宋体" w:cs="宋体"/>
          <w:b w:val="0"/>
          <w:sz w:val="24"/>
          <w:szCs w:val="24"/>
        </w:rPr>
        <w:t>日14：30（以北京时间为准，逾期不予受理），如供应商的上传的响应文件与线下递交的不一致时，以供应商上传的响应文件为准。</w:t>
      </w:r>
    </w:p>
    <w:p w14:paraId="5F00A874">
      <w:pPr>
        <w:pStyle w:val="6"/>
        <w:spacing w:before="0" w:after="0" w:line="500" w:lineRule="exact"/>
        <w:rPr>
          <w:rFonts w:ascii="宋体" w:hAnsi="宋体" w:cs="宋体"/>
          <w:sz w:val="24"/>
          <w:szCs w:val="24"/>
        </w:rPr>
      </w:pPr>
      <w:r>
        <w:rPr>
          <w:rFonts w:hint="eastAsia" w:ascii="宋体" w:hAnsi="宋体" w:cs="宋体"/>
          <w:sz w:val="24"/>
          <w:szCs w:val="24"/>
        </w:rPr>
        <w:t>五、比选保证金</w:t>
      </w:r>
      <w:bookmarkEnd w:id="27"/>
      <w:bookmarkEnd w:id="28"/>
      <w:bookmarkEnd w:id="29"/>
      <w:bookmarkEnd w:id="30"/>
      <w:bookmarkEnd w:id="31"/>
      <w:bookmarkEnd w:id="32"/>
      <w:bookmarkEnd w:id="33"/>
      <w:bookmarkEnd w:id="34"/>
      <w:bookmarkEnd w:id="35"/>
    </w:p>
    <w:p w14:paraId="5400A1A0">
      <w:pPr>
        <w:spacing w:line="500" w:lineRule="exact"/>
        <w:ind w:firstLine="480" w:firstLineChars="200"/>
        <w:rPr>
          <w:rFonts w:ascii="宋体" w:hAnsi="宋体" w:cs="宋体"/>
        </w:rPr>
      </w:pPr>
      <w:r>
        <w:rPr>
          <w:rFonts w:hint="eastAsia" w:ascii="宋体" w:hAnsi="宋体" w:cs="宋体"/>
          <w:sz w:val="24"/>
          <w:szCs w:val="24"/>
        </w:rPr>
        <w:t>（一）保证金现金缴纳方式：现金转账</w:t>
      </w:r>
    </w:p>
    <w:p w14:paraId="4FFF813D">
      <w:pPr>
        <w:snapToGrid w:val="0"/>
        <w:spacing w:line="500" w:lineRule="exact"/>
        <w:ind w:firstLine="480" w:firstLineChars="200"/>
        <w:rPr>
          <w:rFonts w:ascii="宋体" w:hAnsi="宋体" w:cs="宋体"/>
          <w:b/>
          <w:szCs w:val="24"/>
        </w:rPr>
      </w:pPr>
      <w:r>
        <w:rPr>
          <w:rFonts w:hint="eastAsia" w:ascii="宋体" w:hAnsi="宋体" w:cs="宋体"/>
          <w:sz w:val="24"/>
          <w:szCs w:val="24"/>
        </w:rPr>
        <w:t>1、比选保证金金额：伍</w:t>
      </w:r>
      <w:r>
        <w:rPr>
          <w:rFonts w:hint="eastAsia" w:ascii="宋体" w:hAnsi="宋体" w:cs="宋体"/>
          <w:sz w:val="24"/>
          <w:szCs w:val="24"/>
          <w:lang w:val="en-US" w:eastAsia="zh-CN"/>
        </w:rPr>
        <w:t>佰</w:t>
      </w:r>
      <w:r>
        <w:rPr>
          <w:rFonts w:hint="eastAsia" w:ascii="宋体" w:hAnsi="宋体" w:cs="宋体"/>
          <w:sz w:val="24"/>
          <w:szCs w:val="24"/>
        </w:rPr>
        <w:t>元整（请注明项目名称+项目编号）</w:t>
      </w:r>
    </w:p>
    <w:p w14:paraId="58D291FE">
      <w:pPr>
        <w:spacing w:line="500" w:lineRule="exact"/>
        <w:ind w:firstLine="480" w:firstLineChars="200"/>
        <w:rPr>
          <w:rFonts w:ascii="宋体" w:hAnsi="宋体" w:cs="宋体"/>
          <w:sz w:val="24"/>
          <w:szCs w:val="24"/>
        </w:rPr>
      </w:pPr>
      <w:r>
        <w:rPr>
          <w:rFonts w:hint="eastAsia" w:ascii="宋体" w:hAnsi="宋体" w:cs="宋体"/>
          <w:sz w:val="24"/>
          <w:szCs w:val="24"/>
        </w:rPr>
        <w:t>户  名：重庆嘉利建工程咨询有限公司</w:t>
      </w:r>
    </w:p>
    <w:p w14:paraId="60120D69">
      <w:pPr>
        <w:spacing w:line="500" w:lineRule="exact"/>
        <w:ind w:firstLine="480" w:firstLineChars="200"/>
        <w:rPr>
          <w:rFonts w:ascii="宋体" w:hAnsi="宋体" w:cs="宋体"/>
          <w:sz w:val="24"/>
          <w:szCs w:val="24"/>
        </w:rPr>
      </w:pPr>
      <w:r>
        <w:rPr>
          <w:rFonts w:hint="eastAsia" w:ascii="宋体" w:hAnsi="宋体" w:cs="宋体"/>
          <w:sz w:val="24"/>
          <w:szCs w:val="24"/>
        </w:rPr>
        <w:t>开户行：重庆渝北银座村镇银行有限责任公司两路支行</w:t>
      </w:r>
    </w:p>
    <w:p w14:paraId="59DF175B">
      <w:pPr>
        <w:spacing w:line="500" w:lineRule="exact"/>
        <w:ind w:firstLine="480" w:firstLineChars="200"/>
        <w:rPr>
          <w:rFonts w:ascii="宋体" w:hAnsi="宋体" w:cs="宋体"/>
          <w:sz w:val="24"/>
          <w:szCs w:val="24"/>
        </w:rPr>
      </w:pPr>
      <w:r>
        <w:rPr>
          <w:rFonts w:hint="eastAsia" w:ascii="宋体" w:hAnsi="宋体" w:cs="宋体"/>
          <w:sz w:val="24"/>
          <w:szCs w:val="24"/>
        </w:rPr>
        <w:t>账  号：650711169300015</w:t>
      </w:r>
    </w:p>
    <w:p w14:paraId="10440F68">
      <w:pPr>
        <w:numPr>
          <w:ilvl w:val="0"/>
          <w:numId w:val="1"/>
        </w:numPr>
        <w:spacing w:line="500" w:lineRule="exact"/>
        <w:ind w:firstLine="480" w:firstLineChars="200"/>
        <w:rPr>
          <w:rFonts w:ascii="宋体" w:hAnsi="宋体" w:cs="宋体"/>
          <w:sz w:val="24"/>
          <w:szCs w:val="24"/>
        </w:rPr>
      </w:pPr>
      <w:r>
        <w:rPr>
          <w:rFonts w:hint="eastAsia" w:ascii="宋体" w:hAnsi="宋体" w:cs="宋体"/>
          <w:sz w:val="24"/>
          <w:szCs w:val="24"/>
        </w:rPr>
        <w:t>比选保证金转账截止时间：2025年6月</w:t>
      </w:r>
      <w:r>
        <w:rPr>
          <w:rFonts w:hint="eastAsia" w:ascii="宋体" w:hAnsi="宋体" w:cs="宋体"/>
          <w:sz w:val="24"/>
          <w:szCs w:val="24"/>
          <w:lang w:val="en-US" w:eastAsia="zh-CN"/>
        </w:rPr>
        <w:t>9</w:t>
      </w:r>
      <w:r>
        <w:rPr>
          <w:rFonts w:hint="eastAsia" w:ascii="宋体" w:hAnsi="宋体" w:cs="宋体"/>
          <w:sz w:val="24"/>
          <w:szCs w:val="24"/>
        </w:rPr>
        <w:t>日18:00时前</w:t>
      </w:r>
    </w:p>
    <w:p w14:paraId="5A8A3F83">
      <w:pPr>
        <w:spacing w:line="500" w:lineRule="exact"/>
        <w:ind w:firstLine="480" w:firstLineChars="200"/>
        <w:rPr>
          <w:rFonts w:ascii="宋体" w:hAnsi="宋体" w:cs="宋体"/>
          <w:sz w:val="24"/>
          <w:szCs w:val="24"/>
        </w:rPr>
      </w:pPr>
      <w:r>
        <w:rPr>
          <w:rFonts w:hint="eastAsia" w:ascii="宋体" w:hAnsi="宋体" w:cs="宋体"/>
          <w:sz w:val="24"/>
          <w:szCs w:val="24"/>
        </w:rPr>
        <w:t>（二）保证金退还方式</w:t>
      </w:r>
    </w:p>
    <w:p w14:paraId="364C2611">
      <w:pPr>
        <w:spacing w:line="500" w:lineRule="exact"/>
        <w:ind w:firstLine="480" w:firstLineChars="200"/>
        <w:rPr>
          <w:rFonts w:ascii="宋体" w:hAnsi="宋体" w:cs="宋体"/>
          <w:sz w:val="24"/>
          <w:szCs w:val="24"/>
        </w:rPr>
      </w:pPr>
      <w:r>
        <w:rPr>
          <w:rFonts w:hint="eastAsia" w:ascii="宋体" w:hAnsi="宋体" w:cs="宋体"/>
          <w:sz w:val="24"/>
          <w:szCs w:val="24"/>
        </w:rPr>
        <w:t>（1）未中选人的保证金，在中选通知书发放后，在七个工作日内按来款渠道直接退还。</w:t>
      </w:r>
    </w:p>
    <w:p w14:paraId="3A40A2F4">
      <w:pPr>
        <w:spacing w:line="500" w:lineRule="exact"/>
        <w:ind w:firstLine="480" w:firstLineChars="200"/>
        <w:rPr>
          <w:rFonts w:ascii="宋体" w:hAnsi="宋体" w:cs="宋体"/>
          <w:sz w:val="24"/>
          <w:szCs w:val="24"/>
        </w:rPr>
      </w:pPr>
      <w:r>
        <w:rPr>
          <w:rFonts w:hint="eastAsia" w:ascii="宋体" w:hAnsi="宋体" w:cs="宋体"/>
          <w:sz w:val="24"/>
          <w:szCs w:val="24"/>
        </w:rPr>
        <w:t>（2）中选人的保证金，在中选人与比选人签订合同后，在七个工作日内按资金来款渠道直接退还。</w:t>
      </w:r>
    </w:p>
    <w:p w14:paraId="0020C190">
      <w:pPr>
        <w:spacing w:line="500" w:lineRule="exact"/>
        <w:ind w:firstLine="480" w:firstLineChars="200"/>
        <w:rPr>
          <w:rFonts w:ascii="宋体" w:hAnsi="宋体" w:cs="宋体"/>
          <w:sz w:val="24"/>
          <w:szCs w:val="24"/>
        </w:rPr>
      </w:pPr>
      <w:r>
        <w:rPr>
          <w:rFonts w:hint="eastAsia" w:ascii="宋体" w:hAnsi="宋体" w:cs="宋体"/>
          <w:sz w:val="24"/>
          <w:szCs w:val="24"/>
        </w:rPr>
        <w:t>（3）重庆嘉利建工程咨询有限公司咨询电话：023-67814423</w:t>
      </w:r>
    </w:p>
    <w:p w14:paraId="7F5A47F9">
      <w:pPr>
        <w:snapToGrid w:val="0"/>
        <w:spacing w:line="500" w:lineRule="exact"/>
        <w:ind w:firstLine="720" w:firstLineChars="300"/>
        <w:rPr>
          <w:rFonts w:ascii="宋体" w:hAnsi="宋体" w:cs="宋体"/>
          <w:sz w:val="24"/>
          <w:szCs w:val="24"/>
        </w:rPr>
      </w:pPr>
      <w:r>
        <w:rPr>
          <w:rFonts w:hint="eastAsia" w:ascii="宋体" w:hAnsi="宋体" w:cs="宋体"/>
          <w:sz w:val="24"/>
          <w:szCs w:val="24"/>
        </w:rPr>
        <w:t>保证金退还方式：评选结束后15个工作日内无息退还。</w:t>
      </w:r>
    </w:p>
    <w:p w14:paraId="267C789F">
      <w:pPr>
        <w:pStyle w:val="6"/>
        <w:spacing w:before="0" w:after="0" w:line="500" w:lineRule="exact"/>
        <w:rPr>
          <w:rFonts w:ascii="宋体" w:hAnsi="宋体" w:cs="宋体"/>
          <w:sz w:val="24"/>
          <w:szCs w:val="24"/>
        </w:rPr>
      </w:pPr>
      <w:bookmarkStart w:id="41" w:name="_Toc25479"/>
      <w:bookmarkStart w:id="42" w:name="_Toc15172"/>
      <w:r>
        <w:rPr>
          <w:rFonts w:hint="eastAsia" w:ascii="宋体" w:hAnsi="宋体" w:cs="宋体"/>
          <w:sz w:val="24"/>
          <w:szCs w:val="24"/>
        </w:rPr>
        <w:t>六、其它有关规定</w:t>
      </w:r>
      <w:bookmarkEnd w:id="36"/>
      <w:bookmarkEnd w:id="37"/>
      <w:bookmarkEnd w:id="38"/>
      <w:bookmarkEnd w:id="39"/>
      <w:bookmarkEnd w:id="40"/>
      <w:bookmarkEnd w:id="41"/>
      <w:bookmarkEnd w:id="42"/>
    </w:p>
    <w:p w14:paraId="42041C3E">
      <w:pPr>
        <w:spacing w:line="50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（一）单位负责人为同一人或者存在直接控股、管理关系的不同比选申请人，不得参加同一合同项下的比选活动，否则均为无效响应。</w:t>
      </w:r>
    </w:p>
    <w:p w14:paraId="167A0048">
      <w:pPr>
        <w:spacing w:line="500" w:lineRule="exact"/>
        <w:ind w:firstLine="480" w:firstLineChars="200"/>
        <w:rPr>
          <w:rFonts w:ascii="宋体" w:hAnsi="宋体" w:cs="宋体"/>
          <w:sz w:val="24"/>
          <w:szCs w:val="24"/>
        </w:rPr>
      </w:pPr>
      <w:r>
        <w:rPr>
          <w:rFonts w:hint="eastAsia" w:ascii="宋体" w:hAnsi="宋体" w:cs="宋体"/>
          <w:sz w:val="24"/>
          <w:szCs w:val="24"/>
        </w:rPr>
        <w:t>（二）为比选项目提供规范编制或者项目管理、监理、检测等服务的比选申请人，不得再参加该比选项目的其他比选活动，否则均为无效响应。</w:t>
      </w:r>
    </w:p>
    <w:p w14:paraId="2046B51E">
      <w:pPr>
        <w:spacing w:line="500" w:lineRule="exact"/>
        <w:ind w:firstLine="480" w:firstLineChars="200"/>
        <w:rPr>
          <w:rFonts w:ascii="宋体" w:hAnsi="宋体" w:cs="宋体"/>
          <w:sz w:val="24"/>
          <w:szCs w:val="24"/>
        </w:rPr>
      </w:pPr>
      <w:r>
        <w:rPr>
          <w:rFonts w:hint="eastAsia" w:ascii="宋体" w:hAnsi="宋体" w:cs="宋体"/>
          <w:sz w:val="24"/>
          <w:szCs w:val="24"/>
        </w:rPr>
        <w:t>（三）本项目在响应文件提交截止时间前发布的竞争性比选文件及补遗文件（如果有）一律在““行采家”（http://www.gec123.com）上发布，请各比选申请人注意下载；无论比选申请人下载与否，均视同比选申请人已知晓本项目竞争性比选文件、补遗文件（如果有）的内容。</w:t>
      </w:r>
    </w:p>
    <w:p w14:paraId="50177865">
      <w:pPr>
        <w:spacing w:line="500" w:lineRule="exact"/>
        <w:ind w:firstLine="480" w:firstLineChars="200"/>
        <w:rPr>
          <w:rFonts w:ascii="宋体" w:hAnsi="宋体" w:cs="宋体"/>
          <w:sz w:val="24"/>
          <w:szCs w:val="24"/>
        </w:rPr>
      </w:pPr>
      <w:r>
        <w:rPr>
          <w:rFonts w:hint="eastAsia" w:ascii="宋体" w:hAnsi="宋体" w:cs="宋体"/>
          <w:sz w:val="24"/>
          <w:szCs w:val="24"/>
        </w:rPr>
        <w:t>（四）超过响应文件截止时间递交的响应文件为无效文件，恕不接收。</w:t>
      </w:r>
    </w:p>
    <w:p w14:paraId="2BC2458B">
      <w:pPr>
        <w:spacing w:line="500" w:lineRule="exact"/>
        <w:ind w:firstLine="480" w:firstLineChars="200"/>
        <w:rPr>
          <w:rFonts w:ascii="宋体" w:hAnsi="宋体" w:cs="宋体"/>
          <w:sz w:val="24"/>
          <w:szCs w:val="24"/>
        </w:rPr>
      </w:pPr>
      <w:r>
        <w:rPr>
          <w:rFonts w:hint="eastAsia" w:ascii="宋体" w:hAnsi="宋体" w:cs="宋体"/>
          <w:sz w:val="24"/>
          <w:szCs w:val="24"/>
        </w:rPr>
        <w:t>（五）比选费用：无论比选结果如何，比选申请人参与本项目比选的所有费用均应由比选申请人自行承担。</w:t>
      </w:r>
    </w:p>
    <w:p w14:paraId="4DF46D5B">
      <w:pPr>
        <w:spacing w:line="500" w:lineRule="exact"/>
        <w:ind w:firstLine="480" w:firstLineChars="200"/>
        <w:rPr>
          <w:rFonts w:ascii="宋体" w:hAnsi="宋体" w:cs="宋体"/>
          <w:sz w:val="24"/>
          <w:szCs w:val="24"/>
        </w:rPr>
      </w:pPr>
      <w:r>
        <w:rPr>
          <w:rFonts w:hint="eastAsia" w:ascii="宋体" w:hAnsi="宋体" w:cs="宋体"/>
          <w:sz w:val="24"/>
          <w:szCs w:val="24"/>
        </w:rPr>
        <w:t>（六）列入失信被执行人、重大税收违法案件当事人名单、政府采购严重违法失信行为记录名单及其他不符合规定的比选申请人，将拒绝其参与比选活动。</w:t>
      </w:r>
    </w:p>
    <w:p w14:paraId="2A50121E">
      <w:pPr>
        <w:spacing w:line="500" w:lineRule="exact"/>
        <w:ind w:firstLine="480" w:firstLineChars="200"/>
        <w:rPr>
          <w:rFonts w:ascii="宋体" w:hAnsi="宋体" w:cs="宋体"/>
          <w:sz w:val="24"/>
          <w:szCs w:val="24"/>
        </w:rPr>
      </w:pPr>
      <w:r>
        <w:rPr>
          <w:rFonts w:hint="eastAsia" w:ascii="宋体" w:hAnsi="宋体" w:cs="宋体"/>
          <w:sz w:val="24"/>
          <w:szCs w:val="24"/>
        </w:rPr>
        <w:t>1、比选申请人可通过信用中国网站（</w:t>
      </w:r>
      <w:r>
        <w:fldChar w:fldCharType="begin"/>
      </w:r>
      <w:r>
        <w:instrText xml:space="preserve"> HYPERLINK "http://www.creditchina.gov.cn" </w:instrText>
      </w:r>
      <w:r>
        <w:fldChar w:fldCharType="separate"/>
      </w:r>
      <w:r>
        <w:rPr>
          <w:rFonts w:hint="eastAsia" w:ascii="宋体" w:hAnsi="宋体" w:cs="宋体"/>
          <w:sz w:val="24"/>
          <w:szCs w:val="24"/>
        </w:rPr>
        <w:t>creditchina.gov.cn</w:t>
      </w:r>
      <w:r>
        <w:rPr>
          <w:rFonts w:hint="eastAsia" w:ascii="宋体" w:hAnsi="宋体" w:cs="宋体"/>
          <w:sz w:val="24"/>
          <w:szCs w:val="24"/>
        </w:rPr>
        <w:fldChar w:fldCharType="end"/>
      </w:r>
      <w:r>
        <w:rPr>
          <w:rFonts w:hint="eastAsia" w:ascii="宋体" w:hAnsi="宋体" w:cs="宋体"/>
          <w:sz w:val="24"/>
          <w:szCs w:val="24"/>
        </w:rPr>
        <w:t>）查询以下内容</w:t>
      </w:r>
    </w:p>
    <w:p w14:paraId="51CB0E59">
      <w:pPr>
        <w:spacing w:line="500" w:lineRule="exact"/>
        <w:ind w:firstLine="480" w:firstLineChars="200"/>
        <w:rPr>
          <w:rFonts w:ascii="宋体" w:hAnsi="宋体" w:cs="宋体"/>
          <w:sz w:val="24"/>
          <w:szCs w:val="24"/>
        </w:rPr>
      </w:pPr>
      <w:r>
        <w:rPr>
          <w:rFonts w:hint="eastAsia" w:ascii="宋体" w:hAnsi="宋体" w:cs="宋体"/>
          <w:sz w:val="24"/>
          <w:szCs w:val="24"/>
        </w:rPr>
        <w:t>1.1“失信被执行人”；</w:t>
      </w:r>
    </w:p>
    <w:p w14:paraId="2745383E">
      <w:pPr>
        <w:spacing w:line="500" w:lineRule="exact"/>
        <w:ind w:firstLine="480" w:firstLineChars="200"/>
        <w:rPr>
          <w:rFonts w:ascii="宋体" w:hAnsi="宋体" w:cs="宋体"/>
          <w:sz w:val="24"/>
          <w:szCs w:val="24"/>
        </w:rPr>
      </w:pPr>
      <w:r>
        <w:rPr>
          <w:rFonts w:hint="eastAsia" w:ascii="宋体" w:hAnsi="宋体" w:cs="宋体"/>
          <w:sz w:val="24"/>
          <w:szCs w:val="24"/>
        </w:rPr>
        <w:t>1.2“重大税收违法案件当事人名单”；</w:t>
      </w:r>
    </w:p>
    <w:p w14:paraId="43922C26">
      <w:pPr>
        <w:spacing w:line="500" w:lineRule="exact"/>
        <w:ind w:firstLine="480" w:firstLineChars="200"/>
        <w:rPr>
          <w:rFonts w:ascii="宋体" w:hAnsi="宋体" w:cs="宋体"/>
          <w:sz w:val="24"/>
          <w:szCs w:val="24"/>
        </w:rPr>
      </w:pPr>
      <w:r>
        <w:rPr>
          <w:rFonts w:hint="eastAsia" w:ascii="宋体" w:hAnsi="宋体" w:cs="宋体"/>
          <w:sz w:val="24"/>
          <w:szCs w:val="24"/>
        </w:rPr>
        <w:t>2、比选申请人可通过中国政府采购网（www.ccgp.gov.cn）查询“政府采购严重违法失信行为记录名单”</w:t>
      </w:r>
    </w:p>
    <w:p w14:paraId="3EED47B6">
      <w:pPr>
        <w:snapToGrid w:val="0"/>
        <w:spacing w:line="500" w:lineRule="exact"/>
        <w:ind w:firstLine="480" w:firstLineChars="200"/>
        <w:rPr>
          <w:rFonts w:ascii="宋体" w:hAnsi="宋体" w:cs="宋体"/>
          <w:sz w:val="24"/>
          <w:szCs w:val="24"/>
        </w:rPr>
      </w:pPr>
      <w:r>
        <w:rPr>
          <w:rFonts w:hint="eastAsia" w:ascii="宋体" w:hAnsi="宋体" w:cs="宋体"/>
          <w:sz w:val="24"/>
          <w:szCs w:val="24"/>
        </w:rPr>
        <w:t>（七）本项目不接受联合体比选申请。</w:t>
      </w:r>
    </w:p>
    <w:p w14:paraId="74FF68EF">
      <w:pPr>
        <w:pStyle w:val="6"/>
        <w:spacing w:before="0" w:after="0" w:line="500" w:lineRule="exact"/>
        <w:rPr>
          <w:rFonts w:ascii="宋体" w:hAnsi="宋体" w:cs="宋体"/>
          <w:sz w:val="24"/>
          <w:szCs w:val="24"/>
        </w:rPr>
      </w:pPr>
      <w:bookmarkStart w:id="43" w:name="_Toc83288535"/>
      <w:bookmarkStart w:id="44" w:name="_Toc25368"/>
      <w:bookmarkStart w:id="45" w:name="_Toc499131152"/>
      <w:bookmarkStart w:id="46" w:name="_Toc499216281"/>
      <w:bookmarkStart w:id="47" w:name="_Toc963"/>
      <w:bookmarkStart w:id="48" w:name="_Toc13457"/>
      <w:r>
        <w:rPr>
          <w:rFonts w:hint="eastAsia" w:ascii="宋体" w:hAnsi="宋体" w:cs="宋体"/>
          <w:sz w:val="24"/>
          <w:szCs w:val="24"/>
        </w:rPr>
        <w:t>七、联系方式</w:t>
      </w:r>
      <w:bookmarkEnd w:id="43"/>
      <w:bookmarkEnd w:id="44"/>
      <w:bookmarkEnd w:id="45"/>
      <w:bookmarkEnd w:id="46"/>
      <w:bookmarkEnd w:id="47"/>
      <w:bookmarkEnd w:id="48"/>
    </w:p>
    <w:p w14:paraId="38508C23">
      <w:pPr>
        <w:snapToGrid w:val="0"/>
        <w:spacing w:line="500" w:lineRule="exact"/>
        <w:ind w:firstLine="480" w:firstLineChars="200"/>
        <w:rPr>
          <w:rFonts w:ascii="宋体" w:hAnsi="宋体" w:cs="宋体"/>
          <w:sz w:val="24"/>
          <w:szCs w:val="24"/>
        </w:rPr>
      </w:pPr>
      <w:r>
        <w:rPr>
          <w:rFonts w:hint="eastAsia" w:ascii="宋体" w:hAnsi="宋体" w:cs="宋体"/>
          <w:sz w:val="24"/>
          <w:szCs w:val="24"/>
        </w:rPr>
        <w:t>（一）比选人：重庆市沙坪坝区气象局</w:t>
      </w:r>
    </w:p>
    <w:p w14:paraId="04C57694">
      <w:pPr>
        <w:snapToGrid w:val="0"/>
        <w:spacing w:line="500" w:lineRule="exact"/>
        <w:ind w:firstLine="480" w:firstLineChars="200"/>
        <w:rPr>
          <w:rFonts w:ascii="宋体" w:hAnsi="宋体" w:cs="宋体"/>
          <w:sz w:val="24"/>
          <w:szCs w:val="24"/>
        </w:rPr>
      </w:pPr>
      <w:r>
        <w:rPr>
          <w:rFonts w:hint="eastAsia" w:ascii="宋体" w:hAnsi="宋体" w:cs="宋体"/>
          <w:sz w:val="24"/>
          <w:szCs w:val="24"/>
        </w:rPr>
        <w:t>联系人：王老师</w:t>
      </w:r>
    </w:p>
    <w:p w14:paraId="5B907ACA">
      <w:pPr>
        <w:spacing w:line="500" w:lineRule="exact"/>
        <w:ind w:firstLine="480" w:firstLineChars="200"/>
        <w:rPr>
          <w:rFonts w:ascii="宋体" w:hAnsi="宋体" w:cs="宋体"/>
          <w:sz w:val="24"/>
          <w:szCs w:val="24"/>
        </w:rPr>
      </w:pPr>
      <w:r>
        <w:rPr>
          <w:rFonts w:hint="eastAsia" w:ascii="宋体" w:hAnsi="宋体" w:cs="宋体"/>
          <w:sz w:val="24"/>
          <w:szCs w:val="24"/>
        </w:rPr>
        <w:t xml:space="preserve">电  话：023-8628 0788 </w:t>
      </w:r>
    </w:p>
    <w:p w14:paraId="1C4BDD3D">
      <w:pPr>
        <w:spacing w:line="500" w:lineRule="exact"/>
        <w:ind w:firstLine="480" w:firstLineChars="200"/>
        <w:rPr>
          <w:rFonts w:ascii="宋体" w:hAnsi="宋体" w:cs="宋体"/>
          <w:sz w:val="24"/>
          <w:szCs w:val="24"/>
        </w:rPr>
      </w:pPr>
      <w:r>
        <w:rPr>
          <w:rFonts w:hint="eastAsia" w:ascii="宋体" w:hAnsi="宋体" w:cs="宋体"/>
          <w:sz w:val="24"/>
          <w:szCs w:val="24"/>
        </w:rPr>
        <w:t xml:space="preserve">地  址：重庆市沙坪坝区饮水村104号 </w:t>
      </w:r>
    </w:p>
    <w:p w14:paraId="06A05995">
      <w:pPr>
        <w:spacing w:line="500" w:lineRule="exact"/>
        <w:ind w:firstLine="480" w:firstLineChars="200"/>
        <w:rPr>
          <w:rFonts w:ascii="宋体" w:hAnsi="宋体" w:cs="宋体"/>
          <w:sz w:val="24"/>
          <w:szCs w:val="24"/>
        </w:rPr>
      </w:pPr>
    </w:p>
    <w:p w14:paraId="53A2FE26">
      <w:pPr>
        <w:spacing w:line="500" w:lineRule="exact"/>
        <w:ind w:firstLine="480" w:firstLineChars="200"/>
        <w:rPr>
          <w:rFonts w:ascii="宋体" w:hAnsi="宋体" w:cs="宋体"/>
          <w:sz w:val="24"/>
          <w:szCs w:val="24"/>
        </w:rPr>
      </w:pPr>
      <w:r>
        <w:rPr>
          <w:rFonts w:hint="eastAsia" w:ascii="宋体" w:hAnsi="宋体" w:cs="宋体"/>
          <w:sz w:val="24"/>
          <w:szCs w:val="24"/>
        </w:rPr>
        <w:t>（二）比选代理机构：重庆嘉利建工程咨询有限公司</w:t>
      </w:r>
    </w:p>
    <w:p w14:paraId="48DF35C1">
      <w:pPr>
        <w:spacing w:line="500" w:lineRule="exact"/>
        <w:ind w:firstLine="480" w:firstLineChars="200"/>
        <w:rPr>
          <w:rFonts w:ascii="宋体" w:hAnsi="宋体" w:cs="宋体"/>
          <w:sz w:val="24"/>
          <w:szCs w:val="24"/>
        </w:rPr>
      </w:pPr>
      <w:r>
        <w:rPr>
          <w:rFonts w:hint="eastAsia" w:ascii="宋体" w:hAnsi="宋体" w:cs="宋体"/>
          <w:sz w:val="24"/>
          <w:szCs w:val="24"/>
        </w:rPr>
        <w:t>联系人：黄先生</w:t>
      </w:r>
    </w:p>
    <w:p w14:paraId="20D5D683">
      <w:pPr>
        <w:spacing w:line="500" w:lineRule="exact"/>
        <w:ind w:firstLine="480" w:firstLineChars="200"/>
        <w:rPr>
          <w:rFonts w:ascii="宋体" w:hAnsi="宋体" w:cs="宋体"/>
          <w:sz w:val="24"/>
          <w:szCs w:val="24"/>
        </w:rPr>
      </w:pPr>
      <w:r>
        <w:rPr>
          <w:rFonts w:hint="eastAsia" w:ascii="宋体" w:hAnsi="宋体" w:cs="宋体"/>
          <w:sz w:val="24"/>
          <w:szCs w:val="24"/>
        </w:rPr>
        <w:t>电  话：023-67814423</w:t>
      </w:r>
    </w:p>
    <w:p w14:paraId="092F5AF2">
      <w:pPr>
        <w:spacing w:line="500" w:lineRule="exact"/>
        <w:ind w:firstLine="480" w:firstLineChars="200"/>
        <w:rPr>
          <w:rFonts w:ascii="宋体" w:hAnsi="宋体" w:cs="宋体"/>
          <w:sz w:val="24"/>
          <w:szCs w:val="24"/>
        </w:rPr>
      </w:pPr>
      <w:r>
        <w:rPr>
          <w:rFonts w:hint="eastAsia" w:ascii="宋体" w:hAnsi="宋体" w:cs="宋体"/>
          <w:sz w:val="24"/>
          <w:szCs w:val="24"/>
        </w:rPr>
        <w:t>地  址：重庆市南岸区江南大道24号金信大厦1109</w:t>
      </w:r>
    </w:p>
    <w:p w14:paraId="5999465E">
      <w:pPr>
        <w:snapToGrid w:val="0"/>
        <w:spacing w:line="380" w:lineRule="exact"/>
        <w:ind w:firstLine="480" w:firstLineChars="200"/>
        <w:rPr>
          <w:rFonts w:ascii="宋体" w:hAnsi="宋体" w:cs="宋体"/>
          <w:sz w:val="24"/>
          <w:szCs w:val="24"/>
        </w:rPr>
      </w:pPr>
    </w:p>
    <w:p w14:paraId="11D3DB27">
      <w:pPr>
        <w:snapToGrid w:val="0"/>
        <w:spacing w:line="360" w:lineRule="auto"/>
        <w:rPr>
          <w:rFonts w:ascii="宋体" w:hAnsi="宋体" w:cs="宋体"/>
          <w:b/>
          <w:sz w:val="24"/>
          <w:szCs w:val="24"/>
        </w:rPr>
      </w:pPr>
    </w:p>
    <w:p w14:paraId="42854300">
      <w:pPr>
        <w:snapToGrid w:val="0"/>
        <w:spacing w:line="360" w:lineRule="auto"/>
        <w:rPr>
          <w:rFonts w:ascii="宋体" w:hAnsi="宋体" w:cs="宋体"/>
          <w:b/>
          <w:sz w:val="24"/>
          <w:szCs w:val="24"/>
        </w:rPr>
        <w:sectPr>
          <w:headerReference r:id="rId5" w:type="default"/>
          <w:footerReference r:id="rId6" w:type="default"/>
          <w:pgSz w:w="11907" w:h="16840"/>
          <w:pgMar w:top="1134" w:right="1418" w:bottom="1134" w:left="1418" w:header="964" w:footer="992" w:gutter="0"/>
          <w:cols w:space="720" w:num="1"/>
          <w:docGrid w:linePitch="312" w:charSpace="0"/>
        </w:sectPr>
      </w:pPr>
    </w:p>
    <w:p w14:paraId="2C90D7DD">
      <w:pPr>
        <w:pStyle w:val="5"/>
        <w:spacing w:before="0" w:after="0" w:line="360" w:lineRule="auto"/>
        <w:jc w:val="center"/>
        <w:rPr>
          <w:rFonts w:ascii="宋体" w:hAnsi="宋体" w:eastAsia="宋体" w:cs="宋体"/>
          <w:b w:val="0"/>
          <w:sz w:val="30"/>
          <w:szCs w:val="30"/>
        </w:rPr>
      </w:pPr>
      <w:bookmarkStart w:id="49" w:name="_Toc8946"/>
      <w:bookmarkStart w:id="50" w:name="_Toc83288536"/>
      <w:bookmarkStart w:id="51" w:name="_Toc154"/>
      <w:bookmarkStart w:id="52" w:name="_Toc3227"/>
      <w:r>
        <w:rPr>
          <w:rFonts w:hint="eastAsia" w:ascii="宋体" w:hAnsi="宋体" w:eastAsia="宋体" w:cs="宋体"/>
          <w:b w:val="0"/>
          <w:sz w:val="36"/>
          <w:szCs w:val="30"/>
        </w:rPr>
        <w:t>第二篇  采购技术需求</w:t>
      </w:r>
      <w:bookmarkEnd w:id="49"/>
      <w:bookmarkEnd w:id="50"/>
      <w:bookmarkEnd w:id="51"/>
      <w:bookmarkEnd w:id="52"/>
    </w:p>
    <w:p w14:paraId="3C679758">
      <w:pPr>
        <w:pStyle w:val="6"/>
        <w:spacing w:before="0" w:after="0" w:line="500" w:lineRule="exact"/>
        <w:rPr>
          <w:rFonts w:ascii="宋体" w:hAnsi="宋体" w:cs="宋体"/>
          <w:sz w:val="24"/>
          <w:szCs w:val="24"/>
        </w:rPr>
      </w:pPr>
      <w:bookmarkStart w:id="53" w:name="_Toc83288537"/>
      <w:bookmarkStart w:id="54" w:name="_Toc1555"/>
      <w:bookmarkStart w:id="55" w:name="_Toc5753"/>
      <w:bookmarkStart w:id="56" w:name="_Toc7662"/>
      <w:bookmarkStart w:id="57" w:name="_Toc12789058"/>
      <w:r>
        <w:rPr>
          <w:rFonts w:hint="eastAsia" w:ascii="宋体" w:hAnsi="宋体" w:cs="宋体"/>
          <w:sz w:val="24"/>
          <w:szCs w:val="24"/>
        </w:rPr>
        <w:t>一、</w:t>
      </w:r>
      <w:bookmarkEnd w:id="53"/>
      <w:bookmarkEnd w:id="54"/>
      <w:bookmarkEnd w:id="55"/>
      <w:bookmarkEnd w:id="56"/>
      <w:bookmarkStart w:id="58" w:name="_Toc83288541"/>
      <w:bookmarkStart w:id="59" w:name="_Toc19346"/>
      <w:bookmarkStart w:id="60" w:name="_Toc25499"/>
      <w:bookmarkStart w:id="61" w:name="_Toc13857"/>
      <w:r>
        <w:rPr>
          <w:rFonts w:hint="eastAsia" w:ascii="宋体" w:hAnsi="宋体" w:cs="宋体"/>
          <w:sz w:val="24"/>
          <w:szCs w:val="24"/>
        </w:rPr>
        <w:t>项目基本概况介绍</w:t>
      </w:r>
    </w:p>
    <w:p w14:paraId="1C52CC16">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（一）工程名称：高空站观测场草坪和道路改造。</w:t>
      </w:r>
    </w:p>
    <w:p w14:paraId="4E58959D">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（二）工程地址：比选人指定地点。</w:t>
      </w:r>
    </w:p>
    <w:p w14:paraId="4CA0B37B">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（三）工程说明：本工程实行综合单价包干制算。</w:t>
      </w:r>
    </w:p>
    <w:p w14:paraId="4951B6DC">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（四）质保期：交工验收后2年（绿化工程除外）。</w:t>
      </w:r>
    </w:p>
    <w:p w14:paraId="3EE38925">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（五）项目内容：详见工程量清单（另册）。</w:t>
      </w:r>
    </w:p>
    <w:p w14:paraId="3D7AC139">
      <w:pPr>
        <w:pStyle w:val="6"/>
        <w:spacing w:before="0" w:after="0" w:line="500" w:lineRule="exact"/>
        <w:rPr>
          <w:rFonts w:ascii="宋体" w:hAnsi="宋体" w:cs="宋体"/>
          <w:sz w:val="24"/>
          <w:szCs w:val="24"/>
        </w:rPr>
      </w:pPr>
      <w:bookmarkStart w:id="62" w:name="_Toc13226"/>
      <w:bookmarkStart w:id="63" w:name="_Toc55403967"/>
      <w:bookmarkStart w:id="64" w:name="_Toc54879126"/>
      <w:r>
        <w:rPr>
          <w:rFonts w:hint="eastAsia" w:ascii="宋体" w:hAnsi="宋体" w:cs="宋体"/>
          <w:sz w:val="24"/>
          <w:szCs w:val="24"/>
        </w:rPr>
        <w:t>二、安全要求</w:t>
      </w:r>
      <w:bookmarkEnd w:id="62"/>
      <w:bookmarkEnd w:id="63"/>
      <w:bookmarkEnd w:id="64"/>
    </w:p>
    <w:p w14:paraId="5D306B14">
      <w:pPr>
        <w:snapToGrid w:val="0"/>
        <w:spacing w:line="500" w:lineRule="exact"/>
        <w:ind w:firstLine="480" w:firstLineChars="200"/>
        <w:rPr>
          <w:rFonts w:ascii="宋体" w:hAnsi="宋体" w:cs="宋体"/>
          <w:kern w:val="0"/>
          <w:sz w:val="24"/>
          <w:szCs w:val="24"/>
        </w:rPr>
      </w:pPr>
      <w:r>
        <w:rPr>
          <w:rFonts w:hint="eastAsia" w:ascii="宋体" w:hAnsi="宋体" w:cs="宋体"/>
          <w:sz w:val="24"/>
          <w:szCs w:val="24"/>
        </w:rPr>
        <w:t>中选人</w:t>
      </w:r>
      <w:r>
        <w:rPr>
          <w:rFonts w:hint="eastAsia" w:ascii="宋体" w:hAnsi="宋体" w:cs="宋体"/>
          <w:kern w:val="0"/>
          <w:sz w:val="24"/>
          <w:szCs w:val="24"/>
        </w:rPr>
        <w:t>应遵守安全生产的有关管理规定，严格按照安全标准组织实施，采取必要的安全防护措施，消除隐患。在施工过程中由于</w:t>
      </w:r>
      <w:r>
        <w:rPr>
          <w:rFonts w:hint="eastAsia" w:ascii="宋体" w:hAnsi="宋体" w:cs="宋体"/>
          <w:sz w:val="24"/>
          <w:szCs w:val="24"/>
        </w:rPr>
        <w:t>中选人</w:t>
      </w:r>
      <w:r>
        <w:rPr>
          <w:rFonts w:hint="eastAsia" w:ascii="宋体" w:hAnsi="宋体" w:cs="宋体"/>
          <w:kern w:val="0"/>
          <w:sz w:val="24"/>
          <w:szCs w:val="24"/>
        </w:rPr>
        <w:t>管理或安全措施不力造成周边环境破坏或事故责任和因此发生的费用，由</w:t>
      </w:r>
      <w:r>
        <w:rPr>
          <w:rFonts w:hint="eastAsia" w:ascii="宋体" w:hAnsi="宋体" w:cs="宋体"/>
          <w:sz w:val="24"/>
          <w:szCs w:val="24"/>
        </w:rPr>
        <w:t>中选人</w:t>
      </w:r>
      <w:r>
        <w:rPr>
          <w:rFonts w:hint="eastAsia" w:ascii="宋体" w:hAnsi="宋体" w:cs="宋体"/>
          <w:kern w:val="0"/>
          <w:sz w:val="24"/>
          <w:szCs w:val="24"/>
        </w:rPr>
        <w:t>承担。</w:t>
      </w:r>
      <w:r>
        <w:rPr>
          <w:rFonts w:hint="eastAsia" w:ascii="宋体" w:hAnsi="宋体" w:cs="宋体"/>
          <w:sz w:val="24"/>
          <w:szCs w:val="24"/>
        </w:rPr>
        <w:t>中选人</w:t>
      </w:r>
      <w:r>
        <w:rPr>
          <w:rFonts w:hint="eastAsia" w:ascii="宋体" w:hAnsi="宋体" w:cs="宋体"/>
          <w:kern w:val="0"/>
          <w:sz w:val="24"/>
          <w:szCs w:val="24"/>
        </w:rPr>
        <w:t>负责进入现场实施人员及财物安全，发生任何伤亡事故与</w:t>
      </w:r>
      <w:r>
        <w:rPr>
          <w:rFonts w:hint="eastAsia" w:ascii="宋体" w:hAnsi="宋体" w:cs="宋体"/>
          <w:sz w:val="24"/>
          <w:szCs w:val="24"/>
        </w:rPr>
        <w:t>比选人</w:t>
      </w:r>
      <w:r>
        <w:rPr>
          <w:rFonts w:hint="eastAsia" w:ascii="宋体" w:hAnsi="宋体" w:cs="宋体"/>
          <w:kern w:val="0"/>
          <w:sz w:val="24"/>
          <w:szCs w:val="24"/>
        </w:rPr>
        <w:t>无关，</w:t>
      </w:r>
      <w:r>
        <w:rPr>
          <w:rFonts w:hint="eastAsia" w:ascii="宋体" w:hAnsi="宋体" w:cs="宋体"/>
          <w:sz w:val="24"/>
          <w:szCs w:val="24"/>
        </w:rPr>
        <w:t>中选人</w:t>
      </w:r>
      <w:r>
        <w:rPr>
          <w:rFonts w:hint="eastAsia" w:ascii="宋体" w:hAnsi="宋体" w:cs="宋体"/>
          <w:kern w:val="0"/>
          <w:sz w:val="24"/>
          <w:szCs w:val="24"/>
        </w:rPr>
        <w:t>自行解决并承担相应的法律责任和财产损失。如因施工导致第三人人身、财产损失由</w:t>
      </w:r>
      <w:r>
        <w:rPr>
          <w:rFonts w:hint="eastAsia" w:ascii="宋体" w:hAnsi="宋体" w:cs="宋体"/>
          <w:sz w:val="24"/>
          <w:szCs w:val="24"/>
        </w:rPr>
        <w:t>中选人</w:t>
      </w:r>
      <w:r>
        <w:rPr>
          <w:rFonts w:hint="eastAsia" w:ascii="宋体" w:hAnsi="宋体" w:cs="宋体"/>
          <w:kern w:val="0"/>
          <w:sz w:val="24"/>
          <w:szCs w:val="24"/>
        </w:rPr>
        <w:t>承担赔偿责任。</w:t>
      </w:r>
      <w:bookmarkStart w:id="65" w:name="_Toc49960014"/>
    </w:p>
    <w:p w14:paraId="6B83CC64">
      <w:pPr>
        <w:pStyle w:val="6"/>
        <w:spacing w:before="0" w:after="0" w:line="500" w:lineRule="exact"/>
        <w:rPr>
          <w:rFonts w:ascii="宋体" w:hAnsi="宋体" w:cs="宋体"/>
          <w:sz w:val="24"/>
          <w:szCs w:val="24"/>
        </w:rPr>
      </w:pPr>
      <w:bookmarkStart w:id="66" w:name="_Toc5160"/>
      <w:r>
        <w:rPr>
          <w:rFonts w:hint="eastAsia" w:ascii="宋体" w:hAnsi="宋体" w:cs="宋体"/>
          <w:sz w:val="24"/>
          <w:szCs w:val="24"/>
        </w:rPr>
        <w:t>三、踏勘现场</w:t>
      </w:r>
      <w:bookmarkEnd w:id="66"/>
    </w:p>
    <w:p w14:paraId="7C327E06">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不组织。各</w:t>
      </w:r>
      <w:r>
        <w:rPr>
          <w:rFonts w:hint="eastAsia" w:ascii="宋体" w:hAnsi="宋体" w:cs="宋体"/>
          <w:sz w:val="24"/>
          <w:szCs w:val="24"/>
        </w:rPr>
        <w:t>比选申请人</w:t>
      </w:r>
      <w:r>
        <w:rPr>
          <w:rFonts w:hint="eastAsia" w:ascii="宋体" w:hAnsi="宋体" w:cs="宋体"/>
          <w:kern w:val="0"/>
          <w:sz w:val="24"/>
          <w:szCs w:val="24"/>
        </w:rPr>
        <w:t>自行现场踏勘，以便获取本工程编制响应文件和签署合同所需的所有数据。踏勘现场所发生的所有费用（包含因踏勘现场而造成的死亡、人身伤害、财产损失和产生的其他费用）均由</w:t>
      </w:r>
      <w:r>
        <w:rPr>
          <w:rFonts w:hint="eastAsia" w:ascii="宋体" w:hAnsi="宋体" w:cs="宋体"/>
          <w:sz w:val="24"/>
          <w:szCs w:val="24"/>
        </w:rPr>
        <w:t>比选申请人</w:t>
      </w:r>
      <w:r>
        <w:rPr>
          <w:rFonts w:hint="eastAsia" w:ascii="宋体" w:hAnsi="宋体" w:cs="宋体"/>
          <w:kern w:val="0"/>
          <w:sz w:val="24"/>
          <w:szCs w:val="24"/>
        </w:rPr>
        <w:t>自行承担。</w:t>
      </w:r>
      <w:r>
        <w:rPr>
          <w:rFonts w:hint="eastAsia" w:ascii="宋体" w:hAnsi="宋体" w:cs="宋体"/>
          <w:sz w:val="24"/>
          <w:szCs w:val="24"/>
        </w:rPr>
        <w:t>比选申请人</w:t>
      </w:r>
      <w:r>
        <w:rPr>
          <w:rFonts w:hint="eastAsia" w:ascii="宋体" w:hAnsi="宋体" w:cs="宋体"/>
          <w:kern w:val="0"/>
          <w:sz w:val="24"/>
          <w:szCs w:val="24"/>
        </w:rPr>
        <w:t>一旦中选，中选人不得以不完全了解施工现场情况为借口而提出额外赔偿，或延长工期等要求。</w:t>
      </w:r>
    </w:p>
    <w:p w14:paraId="520643D3">
      <w:pPr>
        <w:pStyle w:val="6"/>
        <w:spacing w:before="0" w:after="0" w:line="500" w:lineRule="exact"/>
        <w:rPr>
          <w:rFonts w:ascii="宋体" w:hAnsi="宋体" w:cs="宋体"/>
          <w:sz w:val="24"/>
          <w:szCs w:val="24"/>
        </w:rPr>
      </w:pPr>
      <w:bookmarkStart w:id="67" w:name="_Toc54879127"/>
      <w:bookmarkStart w:id="68" w:name="_Toc55403968"/>
      <w:bookmarkStart w:id="69" w:name="_Toc12434"/>
      <w:r>
        <w:rPr>
          <w:rFonts w:hint="eastAsia" w:ascii="宋体" w:hAnsi="宋体" w:cs="宋体"/>
          <w:sz w:val="24"/>
          <w:szCs w:val="24"/>
        </w:rPr>
        <w:t>四、其他要求</w:t>
      </w:r>
      <w:bookmarkEnd w:id="65"/>
      <w:bookmarkEnd w:id="67"/>
      <w:bookmarkEnd w:id="68"/>
      <w:bookmarkEnd w:id="69"/>
    </w:p>
    <w:p w14:paraId="3A92E87E">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（一）中选人须严格按照随比选文件一并发出的工程项目清单计价表逐项填报清单单价及总价，单价报价及总价不得超出采购人给出的限价。</w:t>
      </w:r>
    </w:p>
    <w:p w14:paraId="35095DD4">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（二）比选申请人若成为中选人，施工时必须严格按照采购人提供的施工图纸及图纸内容、工程量清单内容进行施工，不得擅自修改施工内容。采购人要求的除外。</w:t>
      </w:r>
    </w:p>
    <w:p w14:paraId="7FE024CD">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（三）中选人的工作人员在为采购人的服务期间，因疾病、工伤、意外伤害、疾病传染、劳动保护、职业病等所产生的一切费用，均由中选人自行负责。</w:t>
      </w:r>
    </w:p>
    <w:p w14:paraId="6004D1FA">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四）在履约服务期限内，中选人自行组织人员完成合同约定事务，并按国家法律法规的要求完善用工制度，中选人为完成合同约定事务自行聘请的人员工资、福利、社保等用工责任由中选人自行承担，因中选人未完善而引起的劳动争议由中选人自行负责。</w:t>
      </w:r>
    </w:p>
    <w:p w14:paraId="40ADD6C9">
      <w:pPr>
        <w:snapToGrid w:val="0"/>
        <w:spacing w:line="500" w:lineRule="exact"/>
        <w:ind w:firstLine="480" w:firstLineChars="200"/>
        <w:rPr>
          <w:rFonts w:ascii="宋体" w:hAnsi="宋体" w:cs="宋体"/>
          <w:b/>
          <w:sz w:val="36"/>
          <w:szCs w:val="30"/>
        </w:rPr>
      </w:pPr>
      <w:r>
        <w:rPr>
          <w:rFonts w:hint="eastAsia" w:ascii="宋体" w:hAnsi="宋体" w:cs="宋体"/>
          <w:kern w:val="0"/>
          <w:sz w:val="24"/>
          <w:szCs w:val="24"/>
        </w:rPr>
        <w:t>（五）中选人人员因自身工作失误造成货物、现场、人员及其他损失由中选人自行负责，比选人不承担责任。</w:t>
      </w:r>
    </w:p>
    <w:p w14:paraId="5091E035">
      <w:pPr>
        <w:pStyle w:val="5"/>
        <w:spacing w:before="0" w:after="0" w:line="380" w:lineRule="exact"/>
        <w:rPr>
          <w:rFonts w:ascii="宋体" w:hAnsi="宋体" w:eastAsia="宋体" w:cs="宋体"/>
          <w:b w:val="0"/>
          <w:sz w:val="36"/>
          <w:szCs w:val="30"/>
        </w:rPr>
      </w:pPr>
    </w:p>
    <w:p w14:paraId="4894A8DB">
      <w:pPr>
        <w:pStyle w:val="5"/>
        <w:spacing w:before="0" w:after="0" w:line="380" w:lineRule="exact"/>
        <w:jc w:val="center"/>
        <w:rPr>
          <w:rFonts w:ascii="宋体" w:hAnsi="宋体" w:eastAsia="宋体" w:cs="宋体"/>
          <w:b w:val="0"/>
          <w:sz w:val="36"/>
          <w:szCs w:val="30"/>
        </w:rPr>
        <w:sectPr>
          <w:footerReference r:id="rId7" w:type="default"/>
          <w:pgSz w:w="11907" w:h="16840"/>
          <w:pgMar w:top="1134" w:right="1191" w:bottom="1134" w:left="1304" w:header="964" w:footer="992" w:gutter="0"/>
          <w:cols w:space="720" w:num="1"/>
          <w:docGrid w:linePitch="312" w:charSpace="0"/>
        </w:sectPr>
      </w:pPr>
    </w:p>
    <w:p w14:paraId="4FFEB2B0">
      <w:pPr>
        <w:pStyle w:val="5"/>
        <w:spacing w:before="0" w:after="0" w:line="380" w:lineRule="exact"/>
        <w:jc w:val="center"/>
        <w:rPr>
          <w:rFonts w:ascii="宋体" w:hAnsi="宋体" w:eastAsia="宋体" w:cs="宋体"/>
          <w:b w:val="0"/>
          <w:sz w:val="36"/>
          <w:szCs w:val="30"/>
        </w:rPr>
      </w:pPr>
      <w:r>
        <w:rPr>
          <w:rFonts w:hint="eastAsia" w:ascii="宋体" w:hAnsi="宋体" w:eastAsia="宋体" w:cs="宋体"/>
          <w:b w:val="0"/>
          <w:sz w:val="36"/>
          <w:szCs w:val="30"/>
        </w:rPr>
        <w:t>第三篇  采购商务需求</w:t>
      </w:r>
      <w:bookmarkEnd w:id="57"/>
      <w:bookmarkEnd w:id="58"/>
      <w:bookmarkEnd w:id="59"/>
      <w:bookmarkEnd w:id="60"/>
      <w:bookmarkEnd w:id="61"/>
    </w:p>
    <w:p w14:paraId="2EA9BCB9">
      <w:pPr>
        <w:pStyle w:val="6"/>
        <w:spacing w:before="0" w:after="0" w:line="500" w:lineRule="exact"/>
        <w:rPr>
          <w:rFonts w:ascii="宋体" w:hAnsi="宋体" w:cs="宋体"/>
          <w:sz w:val="24"/>
          <w:szCs w:val="24"/>
        </w:rPr>
      </w:pPr>
      <w:bookmarkStart w:id="70" w:name="_Toc344475120"/>
      <w:bookmarkStart w:id="71" w:name="_Toc83288542"/>
      <w:bookmarkStart w:id="72" w:name="_Toc29784"/>
      <w:bookmarkStart w:id="73" w:name="_Toc967"/>
      <w:bookmarkStart w:id="74" w:name="_Toc27522"/>
      <w:r>
        <w:rPr>
          <w:rFonts w:hint="eastAsia" w:ascii="宋体" w:hAnsi="宋体" w:cs="宋体"/>
          <w:sz w:val="24"/>
          <w:szCs w:val="24"/>
        </w:rPr>
        <w:t>一、</w:t>
      </w:r>
      <w:bookmarkEnd w:id="70"/>
      <w:r>
        <w:rPr>
          <w:rFonts w:hint="eastAsia" w:ascii="宋体" w:hAnsi="宋体" w:cs="宋体"/>
          <w:sz w:val="24"/>
          <w:szCs w:val="24"/>
        </w:rPr>
        <w:t>工期、工程地点</w:t>
      </w:r>
      <w:bookmarkEnd w:id="71"/>
      <w:bookmarkEnd w:id="72"/>
      <w:bookmarkEnd w:id="73"/>
      <w:r>
        <w:rPr>
          <w:rFonts w:hint="eastAsia" w:ascii="宋体" w:hAnsi="宋体" w:cs="宋体"/>
          <w:sz w:val="24"/>
          <w:szCs w:val="24"/>
        </w:rPr>
        <w:t>及验收方式</w:t>
      </w:r>
      <w:bookmarkEnd w:id="74"/>
    </w:p>
    <w:p w14:paraId="2E325210">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（一）工期：合同签订后90日历天，保修期：24个月（绿化工程除外）。</w:t>
      </w:r>
    </w:p>
    <w:p w14:paraId="2FE0811B">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（二）工程地点：比选人指定地点。</w:t>
      </w:r>
    </w:p>
    <w:p w14:paraId="73EA733F">
      <w:pPr>
        <w:pStyle w:val="9"/>
        <w:spacing w:line="500" w:lineRule="exact"/>
        <w:ind w:firstLine="480" w:firstLineChars="200"/>
        <w:rPr>
          <w:rFonts w:ascii="宋体" w:hAnsi="宋体" w:eastAsia="宋体" w:cs="宋体"/>
        </w:rPr>
      </w:pPr>
      <w:r>
        <w:rPr>
          <w:rFonts w:hint="eastAsia" w:ascii="宋体" w:hAnsi="宋体" w:eastAsia="宋体" w:cs="宋体"/>
          <w:kern w:val="0"/>
          <w:sz w:val="24"/>
          <w:szCs w:val="24"/>
        </w:rPr>
        <w:t>（三）验收方式：项目施工完成，质量符合本比选文件、国家及重庆市工程验收规范要求，由中选人提出验收申请，由比选人组织开展对项目的验收工作，并形成专门的验收报告。</w:t>
      </w:r>
    </w:p>
    <w:p w14:paraId="2C1B1F12">
      <w:pPr>
        <w:pStyle w:val="6"/>
        <w:spacing w:before="0" w:after="0" w:line="500" w:lineRule="exact"/>
        <w:rPr>
          <w:rFonts w:ascii="宋体" w:hAnsi="宋体" w:cs="宋体"/>
          <w:kern w:val="0"/>
          <w:sz w:val="24"/>
          <w:szCs w:val="24"/>
        </w:rPr>
      </w:pPr>
      <w:bookmarkStart w:id="75" w:name="_Toc2423"/>
      <w:bookmarkStart w:id="76" w:name="_Toc83288543"/>
      <w:bookmarkStart w:id="77" w:name="_Toc16466"/>
      <w:bookmarkStart w:id="78" w:name="_Toc9695"/>
      <w:r>
        <w:rPr>
          <w:rFonts w:hint="eastAsia" w:ascii="宋体" w:hAnsi="宋体" w:cs="宋体"/>
          <w:sz w:val="24"/>
          <w:szCs w:val="24"/>
        </w:rPr>
        <w:t>二、</w:t>
      </w:r>
      <w:bookmarkEnd w:id="75"/>
      <w:bookmarkEnd w:id="76"/>
      <w:bookmarkStart w:id="79" w:name="_Toc83288544"/>
      <w:bookmarkStart w:id="80" w:name="_Toc12970"/>
      <w:r>
        <w:rPr>
          <w:rFonts w:hint="eastAsia" w:ascii="宋体" w:hAnsi="宋体" w:cs="宋体"/>
          <w:sz w:val="24"/>
          <w:szCs w:val="24"/>
        </w:rPr>
        <w:t>报价要求</w:t>
      </w:r>
      <w:bookmarkEnd w:id="77"/>
      <w:bookmarkEnd w:id="78"/>
      <w:bookmarkEnd w:id="79"/>
      <w:bookmarkEnd w:id="80"/>
    </w:p>
    <w:p w14:paraId="7835DFBF">
      <w:pPr>
        <w:snapToGrid w:val="0"/>
        <w:spacing w:line="500" w:lineRule="exact"/>
        <w:ind w:firstLine="480" w:firstLineChars="200"/>
        <w:rPr>
          <w:rFonts w:ascii="宋体" w:hAnsi="宋体" w:cs="宋体"/>
          <w:sz w:val="24"/>
          <w:szCs w:val="24"/>
        </w:rPr>
      </w:pPr>
      <w:r>
        <w:rPr>
          <w:rFonts w:hint="eastAsia" w:ascii="宋体" w:hAnsi="宋体" w:cs="宋体"/>
          <w:sz w:val="24"/>
          <w:szCs w:val="24"/>
        </w:rPr>
        <w:t>本工程设置单价限价及总价最高限价，</w:t>
      </w:r>
      <w:r>
        <w:rPr>
          <w:rFonts w:hint="eastAsia" w:ascii="宋体" w:hAnsi="宋体" w:cs="宋体"/>
          <w:kern w:val="0"/>
          <w:sz w:val="24"/>
          <w:szCs w:val="24"/>
        </w:rPr>
        <w:t>比选申请人</w:t>
      </w:r>
      <w:r>
        <w:rPr>
          <w:rFonts w:hint="eastAsia" w:ascii="宋体" w:hAnsi="宋体" w:cs="宋体"/>
          <w:sz w:val="24"/>
          <w:szCs w:val="24"/>
        </w:rPr>
        <w:t>的单价报价及总价报价不得超过最高限价，总价最高限价为472184.59元（大写：肆拾柒万贰仟壹佰捌拾肆元伍角玖分）。安全文明施工费为7439.72元（柒仟肆佰叁拾玖元柒角贰分）。</w:t>
      </w:r>
      <w:r>
        <w:rPr>
          <w:rFonts w:hint="eastAsia" w:ascii="宋体" w:hAnsi="宋体" w:cs="宋体"/>
          <w:kern w:val="0"/>
          <w:sz w:val="24"/>
          <w:szCs w:val="24"/>
        </w:rPr>
        <w:t>比选申请人</w:t>
      </w:r>
      <w:r>
        <w:rPr>
          <w:rFonts w:hint="eastAsia" w:ascii="宋体" w:hAnsi="宋体" w:cs="宋体"/>
          <w:sz w:val="24"/>
          <w:szCs w:val="24"/>
        </w:rPr>
        <w:t>的报价不得超过本项目设置的最高限价，否则，其响应文件按废标处理。</w:t>
      </w:r>
    </w:p>
    <w:p w14:paraId="6609AA2B">
      <w:pPr>
        <w:snapToGrid w:val="0"/>
        <w:spacing w:line="500" w:lineRule="exact"/>
        <w:ind w:firstLine="480" w:firstLineChars="200"/>
        <w:rPr>
          <w:rFonts w:ascii="宋体" w:hAnsi="宋体" w:cs="宋体"/>
        </w:rPr>
      </w:pPr>
      <w:r>
        <w:rPr>
          <w:rFonts w:hint="eastAsia" w:ascii="宋体" w:hAnsi="宋体" w:cs="宋体"/>
          <w:sz w:val="24"/>
          <w:szCs w:val="24"/>
        </w:rPr>
        <w:t>本次报价须为人民币报价，</w:t>
      </w:r>
      <w:r>
        <w:rPr>
          <w:rFonts w:hint="eastAsia" w:ascii="宋体" w:hAnsi="宋体" w:cs="宋体"/>
          <w:kern w:val="0"/>
          <w:sz w:val="24"/>
          <w:szCs w:val="24"/>
        </w:rPr>
        <w:t>比选申请人</w:t>
      </w:r>
      <w:r>
        <w:rPr>
          <w:rFonts w:hint="eastAsia" w:ascii="宋体" w:hAnsi="宋体" w:cs="宋体"/>
          <w:sz w:val="24"/>
          <w:szCs w:val="24"/>
        </w:rPr>
        <w:t>以比选文件、合同条件、工程量清单等相关文件为依据，由</w:t>
      </w:r>
      <w:r>
        <w:rPr>
          <w:rFonts w:hint="eastAsia" w:ascii="宋体" w:hAnsi="宋体" w:cs="宋体"/>
          <w:kern w:val="0"/>
          <w:sz w:val="24"/>
          <w:szCs w:val="24"/>
        </w:rPr>
        <w:t>比选申请人</w:t>
      </w:r>
      <w:r>
        <w:rPr>
          <w:rFonts w:hint="eastAsia" w:ascii="宋体" w:hAnsi="宋体" w:cs="宋体"/>
          <w:sz w:val="24"/>
          <w:szCs w:val="24"/>
        </w:rPr>
        <w:t>结合自身实力、市场行情自主合理报价。比选报价应包括完成采购范围内工程项目的人工费、材料费、机械费、企业管理费、利润、风险费用、措施费（含易撒漏物资密闭运输的费用）、规费、安全文明施工措施费、税金、政策性文件规定、报建（如需）、验收、后期服务、保险、二次转运（人工转运）、比选代理服务费等完成本项目的所有费用。因中选人自身原因造成漏报、少报皆由其自行承担责任，比选人不再补偿。</w:t>
      </w:r>
    </w:p>
    <w:p w14:paraId="5896BF0E">
      <w:pPr>
        <w:pStyle w:val="6"/>
        <w:spacing w:before="0" w:after="0" w:line="500" w:lineRule="exact"/>
        <w:rPr>
          <w:rFonts w:ascii="宋体" w:hAnsi="宋体" w:cs="宋体"/>
          <w:kern w:val="0"/>
          <w:sz w:val="24"/>
          <w:szCs w:val="24"/>
        </w:rPr>
      </w:pPr>
      <w:bookmarkStart w:id="81" w:name="_Toc17725"/>
      <w:bookmarkStart w:id="82" w:name="_Toc7360"/>
      <w:r>
        <w:rPr>
          <w:rFonts w:hint="eastAsia" w:ascii="宋体" w:hAnsi="宋体" w:cs="宋体"/>
          <w:sz w:val="24"/>
          <w:szCs w:val="24"/>
        </w:rPr>
        <w:t>三、付款方式</w:t>
      </w:r>
      <w:bookmarkEnd w:id="81"/>
      <w:bookmarkEnd w:id="82"/>
    </w:p>
    <w:p w14:paraId="017CE880">
      <w:pPr>
        <w:pStyle w:val="7"/>
        <w:spacing w:line="500" w:lineRule="exact"/>
        <w:rPr>
          <w:rFonts w:ascii="宋体" w:hAnsi="宋体" w:cs="宋体"/>
          <w:kern w:val="0"/>
          <w:szCs w:val="24"/>
        </w:rPr>
      </w:pPr>
      <w:bookmarkStart w:id="83" w:name="_Toc21912"/>
      <w:r>
        <w:rPr>
          <w:rFonts w:hint="eastAsia" w:ascii="宋体" w:hAnsi="宋体" w:cs="宋体"/>
          <w:kern w:val="0"/>
          <w:szCs w:val="24"/>
        </w:rPr>
        <w:t>合同签订后支付预付款30%，完成80%的工程量支付至合同金额75%，工程完工验收合格，完成工程结算审计后，支付至结算审计金额的97%，剩余3%作为质量保证金，保修期内无质量问题，在保修期满后一次性付清（期间不计利息）。每次支付中选人均需提供相应金额的正式合法发票，其中完成工程结算审计后需对应结算审计金额开具剩余金额全额发票。</w:t>
      </w:r>
    </w:p>
    <w:p w14:paraId="7BFEEC10">
      <w:pPr>
        <w:pStyle w:val="6"/>
        <w:spacing w:before="0" w:after="0" w:line="500" w:lineRule="exact"/>
        <w:rPr>
          <w:rFonts w:ascii="宋体" w:hAnsi="宋体" w:cs="宋体"/>
          <w:sz w:val="24"/>
          <w:szCs w:val="24"/>
        </w:rPr>
      </w:pPr>
      <w:bookmarkStart w:id="84" w:name="_Toc8695"/>
      <w:r>
        <w:rPr>
          <w:rFonts w:hint="eastAsia" w:ascii="宋体" w:hAnsi="宋体" w:cs="宋体"/>
          <w:sz w:val="24"/>
          <w:szCs w:val="24"/>
        </w:rPr>
        <w:t>四、</w:t>
      </w:r>
      <w:bookmarkEnd w:id="83"/>
      <w:bookmarkEnd w:id="84"/>
      <w:r>
        <w:rPr>
          <w:rFonts w:hint="eastAsia" w:ascii="宋体" w:hAnsi="宋体" w:cs="宋体"/>
          <w:sz w:val="24"/>
          <w:szCs w:val="24"/>
        </w:rPr>
        <w:t>转包、分包</w:t>
      </w:r>
    </w:p>
    <w:p w14:paraId="28B1CA4C">
      <w:pPr>
        <w:snapToGrid w:val="0"/>
        <w:spacing w:line="5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kern w:val="0"/>
          <w:sz w:val="24"/>
          <w:szCs w:val="24"/>
        </w:rPr>
        <w:t>中选人</w:t>
      </w:r>
      <w:r>
        <w:rPr>
          <w:rFonts w:hint="eastAsia" w:ascii="宋体" w:hAnsi="宋体" w:cs="宋体"/>
          <w:sz w:val="24"/>
          <w:szCs w:val="24"/>
        </w:rPr>
        <w:t>未经比选人书面同意，不得将本工程项目转包、分包给第三方，如</w:t>
      </w:r>
      <w:r>
        <w:rPr>
          <w:rFonts w:hint="eastAsia" w:ascii="宋体" w:hAnsi="宋体" w:cs="宋体"/>
          <w:kern w:val="0"/>
          <w:sz w:val="24"/>
          <w:szCs w:val="24"/>
        </w:rPr>
        <w:t>中选人</w:t>
      </w:r>
      <w:r>
        <w:rPr>
          <w:rFonts w:hint="eastAsia" w:ascii="宋体" w:hAnsi="宋体" w:cs="宋体"/>
          <w:sz w:val="24"/>
          <w:szCs w:val="24"/>
        </w:rPr>
        <w:t>将本工程项目转包、分包给第三方的，比选人有权解除合同，同时比选人有权要求</w:t>
      </w:r>
      <w:r>
        <w:rPr>
          <w:rFonts w:hint="eastAsia" w:ascii="宋体" w:hAnsi="宋体" w:cs="宋体"/>
          <w:kern w:val="0"/>
          <w:sz w:val="24"/>
          <w:szCs w:val="24"/>
        </w:rPr>
        <w:t>中选人</w:t>
      </w:r>
      <w:r>
        <w:rPr>
          <w:rFonts w:hint="eastAsia" w:ascii="宋体" w:hAnsi="宋体" w:cs="宋体"/>
          <w:sz w:val="24"/>
          <w:szCs w:val="24"/>
        </w:rPr>
        <w:t>按合同总金额的10%支付违约金，因此给比选人造成的损失应由</w:t>
      </w:r>
      <w:r>
        <w:rPr>
          <w:rFonts w:hint="eastAsia" w:ascii="宋体" w:hAnsi="宋体" w:cs="宋体"/>
          <w:kern w:val="0"/>
          <w:sz w:val="24"/>
          <w:szCs w:val="24"/>
        </w:rPr>
        <w:t>中选人</w:t>
      </w:r>
      <w:r>
        <w:rPr>
          <w:rFonts w:hint="eastAsia" w:ascii="宋体" w:hAnsi="宋体" w:cs="宋体"/>
          <w:sz w:val="24"/>
          <w:szCs w:val="24"/>
        </w:rPr>
        <w:t>承担赔偿责任。</w:t>
      </w:r>
    </w:p>
    <w:p w14:paraId="62BCDE9E">
      <w:pPr>
        <w:pStyle w:val="6"/>
        <w:spacing w:before="0" w:after="0" w:line="500" w:lineRule="exact"/>
        <w:rPr>
          <w:rFonts w:ascii="宋体" w:hAnsi="宋体" w:cs="宋体"/>
          <w:sz w:val="24"/>
          <w:szCs w:val="24"/>
        </w:rPr>
      </w:pPr>
      <w:bookmarkStart w:id="85" w:name="_Toc344475124"/>
      <w:bookmarkStart w:id="86" w:name="_Toc62484885"/>
      <w:bookmarkStart w:id="87" w:name="_Toc8433"/>
      <w:bookmarkStart w:id="88" w:name="_Toc54879135"/>
      <w:r>
        <w:rPr>
          <w:rFonts w:hint="eastAsia" w:ascii="宋体" w:hAnsi="宋体" w:cs="宋体"/>
          <w:sz w:val="24"/>
          <w:szCs w:val="24"/>
        </w:rPr>
        <w:t>五、</w:t>
      </w:r>
      <w:bookmarkEnd w:id="85"/>
      <w:bookmarkStart w:id="89" w:name="_Toc344475125"/>
      <w:r>
        <w:rPr>
          <w:rFonts w:hint="eastAsia" w:ascii="宋体" w:hAnsi="宋体" w:cs="宋体"/>
          <w:sz w:val="24"/>
          <w:szCs w:val="24"/>
        </w:rPr>
        <w:t>其他</w:t>
      </w:r>
      <w:bookmarkEnd w:id="86"/>
      <w:bookmarkEnd w:id="87"/>
      <w:bookmarkEnd w:id="88"/>
    </w:p>
    <w:p w14:paraId="78107086">
      <w:pPr>
        <w:snapToGrid w:val="0"/>
        <w:spacing w:line="500" w:lineRule="exact"/>
        <w:ind w:firstLine="480" w:firstLineChars="200"/>
        <w:rPr>
          <w:rFonts w:ascii="宋体" w:hAnsi="宋体" w:cs="宋体"/>
          <w:sz w:val="24"/>
          <w:szCs w:val="24"/>
        </w:rPr>
      </w:pPr>
      <w:r>
        <w:rPr>
          <w:rFonts w:hint="eastAsia" w:ascii="宋体" w:hAnsi="宋体" w:cs="宋体"/>
          <w:sz w:val="24"/>
          <w:szCs w:val="24"/>
        </w:rPr>
        <w:t>（一）价格调整：在合同执行期间（包括工期拖延期间），由于人工、材料和设备价格的上涨而引起工程施工成本增加的风险由</w:t>
      </w:r>
      <w:r>
        <w:rPr>
          <w:rFonts w:hint="eastAsia" w:ascii="宋体" w:hAnsi="宋体" w:cs="宋体"/>
          <w:kern w:val="0"/>
          <w:sz w:val="24"/>
          <w:szCs w:val="24"/>
        </w:rPr>
        <w:t>中选人</w:t>
      </w:r>
      <w:r>
        <w:rPr>
          <w:rFonts w:hint="eastAsia" w:ascii="宋体" w:hAnsi="宋体" w:cs="宋体"/>
          <w:sz w:val="24"/>
          <w:szCs w:val="24"/>
        </w:rPr>
        <w:t>自行承担，合同价格不会因此而调整。</w:t>
      </w:r>
    </w:p>
    <w:bookmarkEnd w:id="89"/>
    <w:p w14:paraId="356A9DCB">
      <w:pPr>
        <w:snapToGrid w:val="0"/>
        <w:spacing w:line="500" w:lineRule="exact"/>
        <w:ind w:firstLine="480" w:firstLineChars="200"/>
        <w:rPr>
          <w:rFonts w:ascii="宋体" w:hAnsi="宋体" w:cs="宋体"/>
          <w:sz w:val="24"/>
          <w:szCs w:val="24"/>
        </w:rPr>
      </w:pPr>
      <w:r>
        <w:rPr>
          <w:rFonts w:hint="eastAsia" w:ascii="宋体" w:hAnsi="宋体" w:cs="宋体"/>
          <w:sz w:val="24"/>
          <w:szCs w:val="24"/>
        </w:rPr>
        <w:t>（二）比选申请人必须在响应文件中对以上条款和服务承诺明确列出，承诺内容必须达到本篇及竞争性比选文件其他条款的要求。</w:t>
      </w:r>
    </w:p>
    <w:p w14:paraId="03F88D14">
      <w:pPr>
        <w:snapToGrid w:val="0"/>
        <w:spacing w:line="500" w:lineRule="exact"/>
        <w:ind w:firstLine="480" w:firstLineChars="200"/>
        <w:rPr>
          <w:rFonts w:ascii="宋体" w:hAnsi="宋体" w:cs="宋体"/>
          <w:sz w:val="24"/>
          <w:szCs w:val="24"/>
        </w:rPr>
      </w:pPr>
      <w:bookmarkStart w:id="90" w:name="_Toc24409"/>
      <w:r>
        <w:rPr>
          <w:rFonts w:hint="eastAsia" w:ascii="宋体" w:hAnsi="宋体" w:cs="宋体"/>
          <w:sz w:val="24"/>
          <w:szCs w:val="24"/>
        </w:rPr>
        <w:t>（三）比选人需要增加个别零星项目经协商另算费用；</w:t>
      </w:r>
      <w:r>
        <w:rPr>
          <w:rFonts w:hint="eastAsia" w:ascii="宋体" w:hAnsi="宋体" w:cs="宋体"/>
          <w:kern w:val="0"/>
          <w:sz w:val="24"/>
          <w:szCs w:val="24"/>
        </w:rPr>
        <w:t>中选人</w:t>
      </w:r>
      <w:r>
        <w:rPr>
          <w:rFonts w:hint="eastAsia" w:ascii="宋体" w:hAnsi="宋体" w:cs="宋体"/>
          <w:sz w:val="24"/>
          <w:szCs w:val="24"/>
        </w:rPr>
        <w:t>在服务期内单价不做调整。</w:t>
      </w:r>
      <w:bookmarkEnd w:id="90"/>
    </w:p>
    <w:p w14:paraId="4408166E">
      <w:pPr>
        <w:snapToGrid w:val="0"/>
        <w:spacing w:line="500" w:lineRule="exact"/>
        <w:ind w:firstLine="480" w:firstLineChars="200"/>
        <w:rPr>
          <w:rFonts w:ascii="宋体" w:hAnsi="宋体" w:cs="宋体"/>
          <w:kern w:val="0"/>
          <w:sz w:val="24"/>
          <w:szCs w:val="24"/>
        </w:rPr>
      </w:pPr>
      <w:r>
        <w:rPr>
          <w:rFonts w:hint="eastAsia" w:ascii="宋体" w:hAnsi="宋体" w:cs="宋体"/>
          <w:sz w:val="24"/>
          <w:szCs w:val="24"/>
        </w:rPr>
        <w:t>（四）其他未尽事宜由供需双方在采购合同中详细约定</w:t>
      </w:r>
      <w:r>
        <w:rPr>
          <w:rFonts w:hint="eastAsia" w:ascii="宋体" w:hAnsi="宋体" w:cs="宋体"/>
          <w:kern w:val="0"/>
          <w:sz w:val="24"/>
          <w:szCs w:val="24"/>
        </w:rPr>
        <w:t>。</w:t>
      </w:r>
    </w:p>
    <w:p w14:paraId="19D19EBE">
      <w:pPr>
        <w:pStyle w:val="5"/>
        <w:spacing w:before="0" w:after="0" w:line="360" w:lineRule="auto"/>
        <w:rPr>
          <w:rFonts w:ascii="宋体" w:hAnsi="宋体" w:eastAsia="宋体" w:cs="宋体"/>
          <w:b w:val="0"/>
          <w:sz w:val="36"/>
          <w:szCs w:val="30"/>
        </w:rPr>
        <w:sectPr>
          <w:pgSz w:w="11907" w:h="16840"/>
          <w:pgMar w:top="1134" w:right="1191" w:bottom="1134" w:left="1304" w:header="964" w:footer="992" w:gutter="0"/>
          <w:cols w:space="720" w:num="1"/>
          <w:docGrid w:linePitch="312" w:charSpace="0"/>
        </w:sectPr>
      </w:pPr>
      <w:bookmarkStart w:id="91" w:name="_Toc83288548"/>
      <w:bookmarkStart w:id="92" w:name="_Toc27426"/>
      <w:bookmarkStart w:id="93" w:name="_Toc28270"/>
    </w:p>
    <w:p w14:paraId="4CEA92DB">
      <w:pPr>
        <w:pStyle w:val="5"/>
        <w:spacing w:before="0" w:after="0" w:line="360" w:lineRule="auto"/>
        <w:rPr>
          <w:rFonts w:ascii="宋体" w:hAnsi="宋体" w:eastAsia="宋体" w:cs="宋体"/>
          <w:b w:val="0"/>
          <w:sz w:val="36"/>
          <w:szCs w:val="30"/>
        </w:rPr>
      </w:pPr>
      <w:bookmarkStart w:id="94" w:name="_Toc5450"/>
      <w:r>
        <w:rPr>
          <w:rFonts w:hint="eastAsia" w:ascii="宋体" w:hAnsi="宋体" w:eastAsia="宋体" w:cs="宋体"/>
          <w:b w:val="0"/>
          <w:sz w:val="36"/>
          <w:szCs w:val="30"/>
        </w:rPr>
        <w:t>第四篇  比选程序及方法、评审标准、无效响应和</w:t>
      </w:r>
      <w:r>
        <w:rPr>
          <w:rFonts w:hint="eastAsia" w:ascii="宋体" w:hAnsi="宋体" w:eastAsia="宋体" w:cs="宋体"/>
          <w:b w:val="0"/>
          <w:sz w:val="36"/>
          <w:szCs w:val="36"/>
        </w:rPr>
        <w:t>采购终止</w:t>
      </w:r>
      <w:bookmarkEnd w:id="91"/>
      <w:bookmarkEnd w:id="92"/>
      <w:bookmarkEnd w:id="93"/>
      <w:bookmarkEnd w:id="94"/>
    </w:p>
    <w:p w14:paraId="20D5A92E">
      <w:pPr>
        <w:pStyle w:val="6"/>
        <w:spacing w:before="0" w:after="0" w:line="500" w:lineRule="exact"/>
        <w:rPr>
          <w:rFonts w:ascii="宋体" w:hAnsi="宋体" w:cs="宋体"/>
          <w:sz w:val="24"/>
          <w:szCs w:val="24"/>
        </w:rPr>
      </w:pPr>
      <w:bookmarkStart w:id="95" w:name="_Toc1533"/>
      <w:bookmarkStart w:id="96" w:name="_Toc5962"/>
      <w:bookmarkStart w:id="97" w:name="_Toc83288549"/>
      <w:bookmarkStart w:id="98" w:name="_Toc31388"/>
      <w:r>
        <w:rPr>
          <w:rFonts w:hint="eastAsia" w:ascii="宋体" w:hAnsi="宋体" w:cs="宋体"/>
          <w:sz w:val="24"/>
          <w:szCs w:val="24"/>
        </w:rPr>
        <w:t>一、比选程序及方法</w:t>
      </w:r>
      <w:bookmarkEnd w:id="95"/>
      <w:bookmarkEnd w:id="96"/>
      <w:bookmarkEnd w:id="97"/>
      <w:bookmarkEnd w:id="98"/>
    </w:p>
    <w:p w14:paraId="46427705">
      <w:pPr>
        <w:snapToGrid w:val="0"/>
        <w:spacing w:line="500" w:lineRule="exact"/>
        <w:ind w:firstLine="480" w:firstLineChars="200"/>
        <w:rPr>
          <w:rFonts w:ascii="宋体" w:hAnsi="宋体" w:cs="宋体"/>
          <w:sz w:val="24"/>
          <w:szCs w:val="24"/>
        </w:rPr>
      </w:pPr>
      <w:r>
        <w:rPr>
          <w:rFonts w:hint="eastAsia" w:ascii="宋体" w:hAnsi="宋体" w:cs="宋体"/>
          <w:sz w:val="24"/>
          <w:szCs w:val="24"/>
        </w:rPr>
        <w:t>（一）比选按竞争性比选文件规定的时间和地点进行，比选申请人须有法定代表人或其授权代表参加并签到。</w:t>
      </w:r>
    </w:p>
    <w:p w14:paraId="72B9944F">
      <w:pPr>
        <w:snapToGrid w:val="0"/>
        <w:spacing w:line="500" w:lineRule="exact"/>
        <w:ind w:firstLine="480" w:firstLineChars="200"/>
        <w:rPr>
          <w:rFonts w:ascii="宋体" w:hAnsi="宋体" w:cs="宋体"/>
          <w:sz w:val="24"/>
          <w:szCs w:val="24"/>
        </w:rPr>
      </w:pPr>
      <w:r>
        <w:rPr>
          <w:rFonts w:hint="eastAsia" w:ascii="宋体" w:hAnsi="宋体" w:cs="宋体"/>
          <w:sz w:val="24"/>
          <w:szCs w:val="24"/>
        </w:rPr>
        <w:t>（二）比选小组对各比选申请人的资格条件、响应文件的有效性、完整性和响应程度进行审查。各比选申请人只有在完全符合要求的前提下，才能参与正式比选。</w:t>
      </w:r>
    </w:p>
    <w:p w14:paraId="7E1DFE0F">
      <w:pPr>
        <w:snapToGrid w:val="0"/>
        <w:spacing w:line="500" w:lineRule="exact"/>
        <w:ind w:firstLine="480" w:firstLineChars="200"/>
        <w:rPr>
          <w:rFonts w:ascii="宋体" w:hAnsi="宋体" w:cs="宋体"/>
          <w:sz w:val="24"/>
          <w:szCs w:val="24"/>
        </w:rPr>
      </w:pPr>
      <w:r>
        <w:rPr>
          <w:rFonts w:hint="eastAsia" w:ascii="宋体" w:hAnsi="宋体" w:cs="宋体"/>
          <w:sz w:val="24"/>
          <w:szCs w:val="24"/>
        </w:rPr>
        <w:t>1、资格性检查。依据法律法规和竞争性比选文件的规定，对响应文件中的资格证明等进行审查，以确定比选申请人是否具备比选资格。资格性检查资料表如下：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0958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76819337">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5388" w:type="dxa"/>
            <w:gridSpan w:val="2"/>
            <w:noWrap/>
            <w:vAlign w:val="center"/>
          </w:tcPr>
          <w:p w14:paraId="688E5012">
            <w:pPr>
              <w:spacing w:line="24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3564" w:type="dxa"/>
            <w:noWrap/>
            <w:vAlign w:val="center"/>
          </w:tcPr>
          <w:p w14:paraId="6A3A2E78">
            <w:pPr>
              <w:spacing w:line="240" w:lineRule="exact"/>
              <w:jc w:val="center"/>
              <w:rPr>
                <w:rFonts w:ascii="宋体" w:hAnsi="宋体" w:cs="宋体"/>
                <w:b/>
                <w:kern w:val="0"/>
                <w:sz w:val="21"/>
                <w:szCs w:val="21"/>
              </w:rPr>
            </w:pPr>
            <w:r>
              <w:rPr>
                <w:rFonts w:hint="eastAsia" w:ascii="宋体" w:hAnsi="宋体" w:cs="宋体"/>
                <w:b/>
                <w:kern w:val="0"/>
                <w:sz w:val="21"/>
                <w:szCs w:val="21"/>
              </w:rPr>
              <w:t>检查内容</w:t>
            </w:r>
          </w:p>
        </w:tc>
      </w:tr>
      <w:tr w14:paraId="6954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ign w:val="center"/>
          </w:tcPr>
          <w:p w14:paraId="66568DC1">
            <w:pPr>
              <w:spacing w:line="240" w:lineRule="exact"/>
              <w:jc w:val="center"/>
              <w:rPr>
                <w:rFonts w:ascii="宋体" w:hAnsi="宋体" w:cs="宋体"/>
                <w:sz w:val="21"/>
                <w:szCs w:val="21"/>
              </w:rPr>
            </w:pPr>
            <w:r>
              <w:rPr>
                <w:rFonts w:hint="eastAsia" w:ascii="宋体" w:hAnsi="宋体" w:cs="宋体"/>
                <w:sz w:val="21"/>
                <w:szCs w:val="21"/>
              </w:rPr>
              <w:t>1</w:t>
            </w:r>
          </w:p>
        </w:tc>
        <w:tc>
          <w:tcPr>
            <w:tcW w:w="709" w:type="dxa"/>
            <w:vMerge w:val="restart"/>
            <w:noWrap/>
            <w:vAlign w:val="center"/>
          </w:tcPr>
          <w:p w14:paraId="6CEF7E6C">
            <w:pPr>
              <w:spacing w:line="240" w:lineRule="exact"/>
              <w:rPr>
                <w:rFonts w:ascii="宋体" w:hAnsi="宋体" w:cs="宋体"/>
                <w:sz w:val="21"/>
                <w:szCs w:val="21"/>
                <w:lang w:val="zh-CN"/>
              </w:rPr>
            </w:pPr>
            <w:r>
              <w:rPr>
                <w:rFonts w:hint="eastAsia" w:ascii="宋体" w:hAnsi="宋体" w:cs="宋体"/>
                <w:sz w:val="21"/>
                <w:szCs w:val="21"/>
              </w:rPr>
              <w:t>比选申请人</w:t>
            </w:r>
            <w:r>
              <w:rPr>
                <w:rFonts w:hint="eastAsia" w:ascii="宋体" w:hAnsi="宋体" w:cs="宋体"/>
                <w:sz w:val="21"/>
                <w:szCs w:val="21"/>
                <w:lang w:val="zh-CN"/>
              </w:rPr>
              <w:t>应符合的基本资格条件</w:t>
            </w:r>
          </w:p>
        </w:tc>
        <w:tc>
          <w:tcPr>
            <w:tcW w:w="4679" w:type="dxa"/>
            <w:noWrap/>
            <w:vAlign w:val="center"/>
          </w:tcPr>
          <w:p w14:paraId="5A1F06B5">
            <w:pPr>
              <w:spacing w:line="240" w:lineRule="exact"/>
              <w:rPr>
                <w:rFonts w:ascii="宋体" w:hAnsi="宋体" w:cs="宋体"/>
                <w:sz w:val="21"/>
                <w:szCs w:val="21"/>
              </w:rPr>
            </w:pPr>
            <w:r>
              <w:rPr>
                <w:rFonts w:hint="eastAsia" w:ascii="宋体" w:hAnsi="宋体" w:cs="宋体"/>
                <w:sz w:val="21"/>
                <w:szCs w:val="21"/>
              </w:rPr>
              <w:t>（1）具有独立承担民事责任的能力</w:t>
            </w:r>
          </w:p>
        </w:tc>
        <w:tc>
          <w:tcPr>
            <w:tcW w:w="3564" w:type="dxa"/>
            <w:noWrap/>
            <w:vAlign w:val="center"/>
          </w:tcPr>
          <w:p w14:paraId="35E66726">
            <w:pPr>
              <w:spacing w:line="240" w:lineRule="exact"/>
              <w:rPr>
                <w:rFonts w:ascii="宋体" w:hAnsi="宋体" w:cs="宋体"/>
                <w:sz w:val="21"/>
                <w:szCs w:val="21"/>
              </w:rPr>
            </w:pPr>
            <w:r>
              <w:rPr>
                <w:rFonts w:hint="eastAsia" w:ascii="宋体" w:hAnsi="宋体" w:cs="宋体"/>
                <w:sz w:val="21"/>
                <w:szCs w:val="21"/>
              </w:rPr>
              <w:t>比选申请人法人营业执照（副本）或事业单位法人证书（副本）或个体工商户营业执照或有效的自然人身份证明、组织机构代码证复印件（注</w:t>
            </w:r>
            <w:r>
              <w:rPr>
                <w:rFonts w:hint="eastAsia" w:ascii="宋体" w:hAnsi="宋体" w:cs="宋体"/>
                <w:sz w:val="21"/>
                <w:szCs w:val="21"/>
              </w:rPr>
              <w:fldChar w:fldCharType="begin"/>
            </w:r>
            <w:r>
              <w:rPr>
                <w:rFonts w:hint="eastAsia" w:ascii="宋体" w:hAnsi="宋体" w:cs="宋体"/>
                <w:sz w:val="21"/>
                <w:szCs w:val="21"/>
              </w:rPr>
              <w:instrText xml:space="preserve"> eq \o\ac(○,1)</w:instrText>
            </w:r>
            <w:r>
              <w:rPr>
                <w:rFonts w:hint="eastAsia" w:ascii="宋体" w:hAnsi="宋体" w:cs="宋体"/>
                <w:sz w:val="21"/>
                <w:szCs w:val="21"/>
              </w:rPr>
              <w:fldChar w:fldCharType="end"/>
            </w:r>
            <w:r>
              <w:rPr>
                <w:rFonts w:hint="eastAsia" w:ascii="宋体" w:hAnsi="宋体" w:cs="宋体"/>
                <w:sz w:val="21"/>
                <w:szCs w:val="21"/>
              </w:rPr>
              <w:t xml:space="preserve">）； </w:t>
            </w:r>
          </w:p>
          <w:p w14:paraId="397830A8">
            <w:pPr>
              <w:spacing w:line="240" w:lineRule="exact"/>
              <w:rPr>
                <w:rFonts w:ascii="宋体" w:hAnsi="宋体" w:cs="宋体"/>
                <w:sz w:val="21"/>
                <w:szCs w:val="21"/>
              </w:rPr>
            </w:pPr>
            <w:r>
              <w:rPr>
                <w:rFonts w:hint="eastAsia" w:ascii="宋体" w:hAnsi="宋体" w:cs="宋体"/>
                <w:sz w:val="21"/>
                <w:szCs w:val="21"/>
              </w:rPr>
              <w:t>比选申请人法定代表人身份证明和法定代表人授权代表委托书。不具有独立法人的分公司、办事处等分支机构不能参加比选。</w:t>
            </w:r>
          </w:p>
        </w:tc>
      </w:tr>
      <w:tr w14:paraId="7B1C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6" w:type="dxa"/>
            <w:vMerge w:val="continue"/>
            <w:noWrap/>
            <w:vAlign w:val="center"/>
          </w:tcPr>
          <w:p w14:paraId="47468592">
            <w:pPr>
              <w:spacing w:line="240" w:lineRule="exact"/>
              <w:jc w:val="center"/>
              <w:rPr>
                <w:rFonts w:ascii="宋体" w:hAnsi="宋体" w:cs="宋体"/>
                <w:sz w:val="21"/>
                <w:szCs w:val="21"/>
              </w:rPr>
            </w:pPr>
          </w:p>
        </w:tc>
        <w:tc>
          <w:tcPr>
            <w:tcW w:w="709" w:type="dxa"/>
            <w:vMerge w:val="continue"/>
            <w:noWrap/>
            <w:vAlign w:val="center"/>
          </w:tcPr>
          <w:p w14:paraId="0CC3F5D6">
            <w:pPr>
              <w:spacing w:line="240" w:lineRule="exact"/>
              <w:rPr>
                <w:rFonts w:ascii="宋体" w:hAnsi="宋体" w:cs="宋体"/>
                <w:sz w:val="21"/>
                <w:szCs w:val="21"/>
                <w:lang w:val="zh-CN"/>
              </w:rPr>
            </w:pPr>
          </w:p>
        </w:tc>
        <w:tc>
          <w:tcPr>
            <w:tcW w:w="4679" w:type="dxa"/>
            <w:noWrap/>
            <w:vAlign w:val="center"/>
          </w:tcPr>
          <w:p w14:paraId="37715613">
            <w:pPr>
              <w:spacing w:line="240" w:lineRule="exact"/>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3564" w:type="dxa"/>
            <w:vMerge w:val="restart"/>
            <w:noWrap/>
            <w:vAlign w:val="center"/>
          </w:tcPr>
          <w:p w14:paraId="5FE4AB20">
            <w:pPr>
              <w:rPr>
                <w:rFonts w:ascii="宋体" w:hAnsi="宋体" w:cs="宋体"/>
                <w:sz w:val="21"/>
                <w:szCs w:val="21"/>
              </w:rPr>
            </w:pPr>
            <w:r>
              <w:rPr>
                <w:rFonts w:hint="eastAsia" w:ascii="宋体" w:hAnsi="宋体" w:cs="宋体"/>
                <w:kern w:val="0"/>
                <w:sz w:val="24"/>
                <w:szCs w:val="24"/>
              </w:rPr>
              <w:t>比选申请人提供“基本资格条件承诺函”（详见第七篇）</w:t>
            </w:r>
          </w:p>
        </w:tc>
      </w:tr>
      <w:tr w14:paraId="2402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Merge w:val="continue"/>
            <w:noWrap/>
            <w:vAlign w:val="center"/>
          </w:tcPr>
          <w:p w14:paraId="69CD290C">
            <w:pPr>
              <w:spacing w:line="240" w:lineRule="exact"/>
              <w:jc w:val="center"/>
              <w:rPr>
                <w:rFonts w:ascii="宋体" w:hAnsi="宋体" w:cs="宋体"/>
                <w:sz w:val="21"/>
                <w:szCs w:val="21"/>
              </w:rPr>
            </w:pPr>
          </w:p>
        </w:tc>
        <w:tc>
          <w:tcPr>
            <w:tcW w:w="709" w:type="dxa"/>
            <w:vMerge w:val="continue"/>
            <w:noWrap/>
            <w:vAlign w:val="center"/>
          </w:tcPr>
          <w:p w14:paraId="4D2EF38B">
            <w:pPr>
              <w:spacing w:line="240" w:lineRule="exact"/>
              <w:rPr>
                <w:rFonts w:ascii="宋体" w:hAnsi="宋体" w:cs="宋体"/>
                <w:sz w:val="21"/>
                <w:szCs w:val="21"/>
                <w:lang w:val="zh-CN"/>
              </w:rPr>
            </w:pPr>
          </w:p>
        </w:tc>
        <w:tc>
          <w:tcPr>
            <w:tcW w:w="4679" w:type="dxa"/>
            <w:noWrap/>
            <w:vAlign w:val="center"/>
          </w:tcPr>
          <w:p w14:paraId="77A611AD">
            <w:pPr>
              <w:spacing w:line="240" w:lineRule="exact"/>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3564" w:type="dxa"/>
            <w:vMerge w:val="continue"/>
            <w:noWrap/>
            <w:vAlign w:val="center"/>
          </w:tcPr>
          <w:p w14:paraId="0D516338">
            <w:pPr>
              <w:spacing w:line="240" w:lineRule="exact"/>
              <w:rPr>
                <w:rFonts w:ascii="宋体" w:hAnsi="宋体" w:cs="宋体"/>
                <w:sz w:val="21"/>
                <w:szCs w:val="21"/>
              </w:rPr>
            </w:pPr>
          </w:p>
        </w:tc>
      </w:tr>
      <w:tr w14:paraId="2503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6" w:type="dxa"/>
            <w:vMerge w:val="continue"/>
            <w:noWrap/>
            <w:vAlign w:val="center"/>
          </w:tcPr>
          <w:p w14:paraId="3C3F303A">
            <w:pPr>
              <w:spacing w:line="240" w:lineRule="exact"/>
              <w:jc w:val="center"/>
              <w:rPr>
                <w:rFonts w:ascii="宋体" w:hAnsi="宋体" w:cs="宋体"/>
                <w:sz w:val="21"/>
                <w:szCs w:val="21"/>
              </w:rPr>
            </w:pPr>
          </w:p>
        </w:tc>
        <w:tc>
          <w:tcPr>
            <w:tcW w:w="709" w:type="dxa"/>
            <w:vMerge w:val="continue"/>
            <w:noWrap/>
            <w:vAlign w:val="center"/>
          </w:tcPr>
          <w:p w14:paraId="2E819439">
            <w:pPr>
              <w:spacing w:line="240" w:lineRule="exact"/>
              <w:rPr>
                <w:rFonts w:ascii="宋体" w:hAnsi="宋体" w:cs="宋体"/>
                <w:sz w:val="21"/>
                <w:szCs w:val="21"/>
                <w:lang w:val="zh-CN"/>
              </w:rPr>
            </w:pPr>
          </w:p>
        </w:tc>
        <w:tc>
          <w:tcPr>
            <w:tcW w:w="4679" w:type="dxa"/>
            <w:noWrap/>
            <w:vAlign w:val="center"/>
          </w:tcPr>
          <w:p w14:paraId="313B8CAA">
            <w:pPr>
              <w:spacing w:line="240" w:lineRule="exact"/>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3564" w:type="dxa"/>
            <w:vMerge w:val="continue"/>
            <w:noWrap/>
            <w:vAlign w:val="center"/>
          </w:tcPr>
          <w:p w14:paraId="7B0DC980">
            <w:pPr>
              <w:spacing w:line="240" w:lineRule="exact"/>
              <w:rPr>
                <w:rFonts w:ascii="宋体" w:hAnsi="宋体" w:cs="宋体"/>
                <w:sz w:val="21"/>
                <w:szCs w:val="21"/>
              </w:rPr>
            </w:pPr>
          </w:p>
        </w:tc>
      </w:tr>
      <w:tr w14:paraId="1D16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6682CF52">
            <w:pPr>
              <w:spacing w:line="240" w:lineRule="exact"/>
              <w:jc w:val="center"/>
              <w:rPr>
                <w:rFonts w:ascii="宋体" w:hAnsi="宋体" w:cs="宋体"/>
                <w:sz w:val="21"/>
                <w:szCs w:val="21"/>
              </w:rPr>
            </w:pPr>
          </w:p>
        </w:tc>
        <w:tc>
          <w:tcPr>
            <w:tcW w:w="709" w:type="dxa"/>
            <w:vMerge w:val="continue"/>
            <w:noWrap/>
            <w:vAlign w:val="center"/>
          </w:tcPr>
          <w:p w14:paraId="40F3869D">
            <w:pPr>
              <w:spacing w:line="240" w:lineRule="exact"/>
              <w:rPr>
                <w:rFonts w:ascii="宋体" w:hAnsi="宋体" w:cs="宋体"/>
                <w:sz w:val="21"/>
                <w:szCs w:val="21"/>
                <w:lang w:val="zh-CN"/>
              </w:rPr>
            </w:pPr>
          </w:p>
        </w:tc>
        <w:tc>
          <w:tcPr>
            <w:tcW w:w="4679" w:type="dxa"/>
            <w:noWrap/>
            <w:vAlign w:val="center"/>
          </w:tcPr>
          <w:p w14:paraId="070AE977">
            <w:pPr>
              <w:spacing w:line="240" w:lineRule="exact"/>
              <w:rPr>
                <w:rFonts w:ascii="宋体" w:hAnsi="宋体" w:cs="宋体"/>
              </w:rPr>
            </w:pPr>
            <w:r>
              <w:rPr>
                <w:rFonts w:hint="eastAsia" w:ascii="宋体" w:hAnsi="宋体" w:cs="宋体"/>
                <w:sz w:val="21"/>
                <w:szCs w:val="21"/>
              </w:rPr>
              <w:t>（</w:t>
            </w:r>
            <w:r>
              <w:rPr>
                <w:rFonts w:hint="eastAsia" w:ascii="宋体" w:hAnsi="宋体" w:cs="宋体"/>
                <w:sz w:val="21"/>
                <w:szCs w:val="21"/>
                <w:lang w:val="zh-CN"/>
              </w:rPr>
              <w:t>5）参加采购活动前三年内，在经营活动中没有重大违法记录；比选申请人未列入信用中国网站（</w:t>
            </w:r>
            <w:r>
              <w:fldChar w:fldCharType="begin"/>
            </w:r>
            <w:r>
              <w:instrText xml:space="preserve"> HYPERLINK "http://www.creditchina.gov.cn" </w:instrText>
            </w:r>
            <w:r>
              <w:fldChar w:fldCharType="separate"/>
            </w:r>
            <w:r>
              <w:rPr>
                <w:rFonts w:hint="eastAsia" w:ascii="宋体" w:hAnsi="宋体" w:cs="宋体"/>
                <w:sz w:val="21"/>
                <w:szCs w:val="21"/>
                <w:lang w:val="zh-CN"/>
              </w:rPr>
              <w:t>www.creditchina.gov.cn</w:t>
            </w:r>
            <w:r>
              <w:rPr>
                <w:rFonts w:hint="eastAsia" w:ascii="宋体" w:hAnsi="宋体" w:cs="宋体"/>
                <w:sz w:val="21"/>
                <w:szCs w:val="21"/>
                <w:lang w:val="zh-CN"/>
              </w:rPr>
              <w:fldChar w:fldCharType="end"/>
            </w:r>
            <w:r>
              <w:rPr>
                <w:rFonts w:hint="eastAsia" w:ascii="宋体" w:hAnsi="宋体" w:cs="宋体"/>
                <w:sz w:val="21"/>
                <w:szCs w:val="21"/>
                <w:lang w:val="zh-CN"/>
              </w:rPr>
              <w:t>）“失信被执行人”；“重大税收违法案件当事人名单”；比选申请人未列入中国政府采购网（www.ccgp.gov.cn）“政府采购严重违法失信行为记录名单”</w:t>
            </w:r>
          </w:p>
        </w:tc>
        <w:tc>
          <w:tcPr>
            <w:tcW w:w="3564" w:type="dxa"/>
            <w:vMerge w:val="continue"/>
            <w:noWrap/>
            <w:vAlign w:val="center"/>
          </w:tcPr>
          <w:p w14:paraId="3EB53498">
            <w:pPr>
              <w:spacing w:line="240" w:lineRule="exact"/>
              <w:rPr>
                <w:rFonts w:ascii="宋体" w:hAnsi="宋体" w:cs="宋体"/>
                <w:bCs/>
                <w:sz w:val="21"/>
                <w:szCs w:val="21"/>
              </w:rPr>
            </w:pPr>
          </w:p>
        </w:tc>
      </w:tr>
      <w:tr w14:paraId="2410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ign w:val="center"/>
          </w:tcPr>
          <w:p w14:paraId="70079237">
            <w:pPr>
              <w:spacing w:line="240" w:lineRule="exact"/>
              <w:jc w:val="center"/>
              <w:rPr>
                <w:rFonts w:ascii="宋体" w:hAnsi="宋体" w:cs="宋体"/>
                <w:sz w:val="21"/>
                <w:szCs w:val="21"/>
              </w:rPr>
            </w:pPr>
          </w:p>
        </w:tc>
        <w:tc>
          <w:tcPr>
            <w:tcW w:w="709" w:type="dxa"/>
            <w:vMerge w:val="continue"/>
            <w:noWrap/>
            <w:vAlign w:val="center"/>
          </w:tcPr>
          <w:p w14:paraId="7313CDD0">
            <w:pPr>
              <w:spacing w:line="240" w:lineRule="exact"/>
              <w:rPr>
                <w:rFonts w:ascii="宋体" w:hAnsi="宋体" w:cs="宋体"/>
                <w:sz w:val="21"/>
                <w:szCs w:val="21"/>
                <w:lang w:val="zh-CN"/>
              </w:rPr>
            </w:pPr>
          </w:p>
        </w:tc>
        <w:tc>
          <w:tcPr>
            <w:tcW w:w="4679" w:type="dxa"/>
            <w:noWrap/>
            <w:vAlign w:val="center"/>
          </w:tcPr>
          <w:p w14:paraId="45A11469">
            <w:pPr>
              <w:spacing w:line="240" w:lineRule="exact"/>
              <w:rPr>
                <w:rFonts w:ascii="宋体" w:hAnsi="宋体" w:cs="宋体"/>
                <w:sz w:val="21"/>
                <w:szCs w:val="21"/>
              </w:rPr>
            </w:pPr>
            <w:r>
              <w:rPr>
                <w:rFonts w:hint="eastAsia" w:ascii="宋体" w:hAnsi="宋体" w:cs="宋体"/>
                <w:sz w:val="21"/>
                <w:szCs w:val="21"/>
              </w:rPr>
              <w:t>（6）法律、行政法规规定的其他条件</w:t>
            </w:r>
          </w:p>
        </w:tc>
        <w:tc>
          <w:tcPr>
            <w:tcW w:w="3564" w:type="dxa"/>
            <w:noWrap/>
            <w:vAlign w:val="center"/>
          </w:tcPr>
          <w:p w14:paraId="37994F07">
            <w:pPr>
              <w:spacing w:line="240" w:lineRule="exact"/>
              <w:rPr>
                <w:rFonts w:ascii="宋体" w:hAnsi="宋体" w:cs="宋体"/>
                <w:sz w:val="21"/>
                <w:szCs w:val="21"/>
              </w:rPr>
            </w:pPr>
          </w:p>
        </w:tc>
      </w:tr>
      <w:tr w14:paraId="4503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046DD715">
            <w:pPr>
              <w:spacing w:line="240" w:lineRule="exact"/>
              <w:jc w:val="center"/>
              <w:rPr>
                <w:rFonts w:ascii="宋体" w:hAnsi="宋体" w:cs="宋体"/>
                <w:sz w:val="21"/>
                <w:szCs w:val="21"/>
              </w:rPr>
            </w:pPr>
            <w:r>
              <w:rPr>
                <w:rFonts w:hint="eastAsia" w:ascii="宋体" w:hAnsi="宋体" w:cs="宋体"/>
                <w:sz w:val="21"/>
                <w:szCs w:val="21"/>
              </w:rPr>
              <w:t>2</w:t>
            </w:r>
          </w:p>
        </w:tc>
        <w:tc>
          <w:tcPr>
            <w:tcW w:w="5388" w:type="dxa"/>
            <w:gridSpan w:val="2"/>
            <w:noWrap/>
            <w:vAlign w:val="center"/>
          </w:tcPr>
          <w:p w14:paraId="18F05BA1">
            <w:pPr>
              <w:spacing w:line="240" w:lineRule="exact"/>
              <w:rPr>
                <w:rFonts w:ascii="宋体" w:hAnsi="宋体" w:cs="宋体"/>
                <w:sz w:val="21"/>
                <w:szCs w:val="21"/>
              </w:rPr>
            </w:pPr>
            <w:r>
              <w:rPr>
                <w:rFonts w:hint="eastAsia" w:ascii="宋体" w:hAnsi="宋体" w:cs="宋体"/>
                <w:sz w:val="21"/>
                <w:szCs w:val="21"/>
              </w:rPr>
              <w:t>特定资格条件</w:t>
            </w:r>
          </w:p>
        </w:tc>
        <w:tc>
          <w:tcPr>
            <w:tcW w:w="3564" w:type="dxa"/>
            <w:noWrap/>
            <w:vAlign w:val="center"/>
          </w:tcPr>
          <w:p w14:paraId="3FF4D224">
            <w:pPr>
              <w:spacing w:line="240" w:lineRule="exact"/>
              <w:rPr>
                <w:rFonts w:ascii="宋体" w:hAnsi="宋体" w:cs="宋体"/>
                <w:sz w:val="21"/>
                <w:szCs w:val="21"/>
              </w:rPr>
            </w:pPr>
            <w:r>
              <w:rPr>
                <w:rFonts w:hint="eastAsia" w:ascii="宋体" w:hAnsi="宋体" w:cs="宋体"/>
                <w:sz w:val="21"/>
                <w:szCs w:val="21"/>
              </w:rPr>
              <w:t>按第一篇“（二）特定资格条件”的要求提交（如果有）</w:t>
            </w:r>
          </w:p>
        </w:tc>
      </w:tr>
      <w:tr w14:paraId="4FAE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1D77BC9E">
            <w:pPr>
              <w:spacing w:line="240" w:lineRule="exact"/>
              <w:jc w:val="center"/>
              <w:rPr>
                <w:rFonts w:ascii="宋体" w:hAnsi="宋体" w:cs="宋体"/>
                <w:sz w:val="21"/>
                <w:szCs w:val="21"/>
              </w:rPr>
            </w:pPr>
            <w:r>
              <w:rPr>
                <w:rFonts w:hint="eastAsia" w:ascii="宋体" w:hAnsi="宋体" w:cs="宋体"/>
                <w:sz w:val="21"/>
                <w:szCs w:val="21"/>
              </w:rPr>
              <w:t>3</w:t>
            </w:r>
          </w:p>
        </w:tc>
        <w:tc>
          <w:tcPr>
            <w:tcW w:w="5388" w:type="dxa"/>
            <w:gridSpan w:val="2"/>
            <w:noWrap/>
            <w:vAlign w:val="center"/>
          </w:tcPr>
          <w:p w14:paraId="47B03F16">
            <w:pPr>
              <w:rPr>
                <w:rFonts w:ascii="宋体" w:hAnsi="宋体" w:cs="宋体"/>
                <w:sz w:val="21"/>
                <w:szCs w:val="21"/>
              </w:rPr>
            </w:pPr>
            <w:r>
              <w:rPr>
                <w:rFonts w:hint="eastAsia" w:ascii="宋体" w:hAnsi="宋体" w:cs="宋体"/>
                <w:sz w:val="21"/>
                <w:szCs w:val="21"/>
              </w:rPr>
              <w:t>保证金</w:t>
            </w:r>
          </w:p>
        </w:tc>
        <w:tc>
          <w:tcPr>
            <w:tcW w:w="3564" w:type="dxa"/>
            <w:noWrap/>
            <w:vAlign w:val="center"/>
          </w:tcPr>
          <w:p w14:paraId="4227E09A">
            <w:pPr>
              <w:rPr>
                <w:rFonts w:ascii="宋体" w:hAnsi="宋体" w:cs="宋体"/>
                <w:sz w:val="21"/>
                <w:szCs w:val="21"/>
              </w:rPr>
            </w:pPr>
            <w:r>
              <w:rPr>
                <w:rFonts w:hint="eastAsia" w:ascii="宋体" w:hAnsi="宋体" w:cs="宋体"/>
                <w:sz w:val="21"/>
                <w:szCs w:val="21"/>
              </w:rPr>
              <w:t>按照竞争性比选文件的规定提交保证金</w:t>
            </w:r>
          </w:p>
        </w:tc>
      </w:tr>
    </w:tbl>
    <w:p w14:paraId="793BC80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1"/>
          <w:szCs w:val="21"/>
        </w:rPr>
        <w:t>比选申请人</w:t>
      </w:r>
      <w:r>
        <w:rPr>
          <w:rFonts w:hint="eastAsia" w:ascii="宋体" w:hAnsi="宋体" w:cs="宋体"/>
          <w:kern w:val="0"/>
          <w:sz w:val="24"/>
          <w:szCs w:val="24"/>
        </w:rPr>
        <w:t>按“多证合一”登记制度办理营业执照的，组织机构代码证和税务登记证（副本）以比选申请人所提供的营业执照（副本）复印件为准。</w:t>
      </w:r>
    </w:p>
    <w:p w14:paraId="11C5EAFC">
      <w:pPr>
        <w:snapToGrid w:val="0"/>
        <w:spacing w:line="400" w:lineRule="exact"/>
        <w:ind w:firstLine="480" w:firstLineChars="200"/>
        <w:rPr>
          <w:rFonts w:ascii="宋体" w:hAnsi="宋体" w:cs="宋体"/>
          <w:sz w:val="24"/>
          <w:szCs w:val="24"/>
        </w:rPr>
      </w:pPr>
      <w:r>
        <w:rPr>
          <w:rFonts w:hint="eastAsia" w:ascii="宋体" w:hAnsi="宋体" w:cs="宋体"/>
          <w:sz w:val="24"/>
          <w:szCs w:val="24"/>
        </w:rPr>
        <w:t>2、符合性检查。依据竞争性比选文件的规定，从响应文件的有效性、完整性和对竞争性比选文件的响应程度进行审查，以确定是否对竞争性比选文件的实质性要求作出响应。符合性检查资料表如下：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525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50060EAE">
            <w:pPr>
              <w:spacing w:line="240" w:lineRule="exact"/>
              <w:rPr>
                <w:rFonts w:ascii="宋体" w:hAnsi="宋体" w:cs="宋体"/>
                <w:sz w:val="21"/>
                <w:szCs w:val="21"/>
              </w:rPr>
            </w:pPr>
            <w:r>
              <w:rPr>
                <w:rFonts w:hint="eastAsia" w:ascii="宋体" w:hAnsi="宋体" w:cs="宋体"/>
                <w:sz w:val="21"/>
                <w:szCs w:val="21"/>
              </w:rPr>
              <w:t>序号</w:t>
            </w:r>
          </w:p>
        </w:tc>
        <w:tc>
          <w:tcPr>
            <w:tcW w:w="3544" w:type="dxa"/>
            <w:gridSpan w:val="2"/>
            <w:noWrap/>
            <w:vAlign w:val="center"/>
          </w:tcPr>
          <w:p w14:paraId="6B0DD815">
            <w:pPr>
              <w:spacing w:line="240" w:lineRule="exact"/>
              <w:rPr>
                <w:rFonts w:ascii="宋体" w:hAnsi="宋体" w:cs="宋体"/>
                <w:sz w:val="21"/>
                <w:szCs w:val="21"/>
              </w:rPr>
            </w:pPr>
            <w:r>
              <w:rPr>
                <w:rFonts w:hint="eastAsia" w:ascii="宋体" w:hAnsi="宋体" w:cs="宋体"/>
                <w:sz w:val="21"/>
                <w:szCs w:val="21"/>
              </w:rPr>
              <w:t>评审因素</w:t>
            </w:r>
          </w:p>
        </w:tc>
        <w:tc>
          <w:tcPr>
            <w:tcW w:w="5409" w:type="dxa"/>
            <w:noWrap/>
            <w:vAlign w:val="center"/>
          </w:tcPr>
          <w:p w14:paraId="754E55F3">
            <w:pPr>
              <w:spacing w:line="240" w:lineRule="exact"/>
              <w:rPr>
                <w:rFonts w:ascii="宋体" w:hAnsi="宋体" w:cs="宋体"/>
                <w:sz w:val="21"/>
                <w:szCs w:val="21"/>
              </w:rPr>
            </w:pPr>
            <w:r>
              <w:rPr>
                <w:rFonts w:hint="eastAsia" w:ascii="宋体" w:hAnsi="宋体" w:cs="宋体"/>
                <w:sz w:val="21"/>
                <w:szCs w:val="21"/>
              </w:rPr>
              <w:t>评审标准</w:t>
            </w:r>
          </w:p>
        </w:tc>
      </w:tr>
      <w:tr w14:paraId="59ED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342F0B63">
            <w:pPr>
              <w:spacing w:line="240" w:lineRule="exact"/>
              <w:rPr>
                <w:rFonts w:ascii="宋体" w:hAnsi="宋体" w:cs="宋体"/>
                <w:sz w:val="21"/>
                <w:szCs w:val="21"/>
              </w:rPr>
            </w:pPr>
            <w:r>
              <w:rPr>
                <w:rFonts w:hint="eastAsia" w:ascii="宋体" w:hAnsi="宋体" w:cs="宋体"/>
                <w:sz w:val="21"/>
                <w:szCs w:val="21"/>
              </w:rPr>
              <w:t>1</w:t>
            </w:r>
          </w:p>
        </w:tc>
        <w:tc>
          <w:tcPr>
            <w:tcW w:w="1560" w:type="dxa"/>
            <w:vMerge w:val="restart"/>
            <w:noWrap/>
            <w:vAlign w:val="center"/>
          </w:tcPr>
          <w:p w14:paraId="266396CD">
            <w:pPr>
              <w:spacing w:line="240" w:lineRule="exact"/>
              <w:rPr>
                <w:rFonts w:ascii="宋体" w:hAnsi="宋体" w:cs="宋体"/>
                <w:sz w:val="21"/>
                <w:szCs w:val="21"/>
              </w:rPr>
            </w:pPr>
            <w:r>
              <w:rPr>
                <w:rFonts w:hint="eastAsia" w:ascii="宋体" w:hAnsi="宋体" w:cs="宋体"/>
                <w:sz w:val="21"/>
                <w:szCs w:val="21"/>
              </w:rPr>
              <w:t>有效性审查</w:t>
            </w:r>
          </w:p>
        </w:tc>
        <w:tc>
          <w:tcPr>
            <w:tcW w:w="1984" w:type="dxa"/>
            <w:noWrap/>
            <w:vAlign w:val="center"/>
          </w:tcPr>
          <w:p w14:paraId="374FE710">
            <w:pPr>
              <w:spacing w:line="240" w:lineRule="exact"/>
              <w:rPr>
                <w:rFonts w:ascii="宋体" w:hAnsi="宋体" w:cs="宋体"/>
                <w:sz w:val="21"/>
                <w:szCs w:val="21"/>
              </w:rPr>
            </w:pPr>
            <w:r>
              <w:rPr>
                <w:rFonts w:hint="eastAsia" w:ascii="宋体" w:hAnsi="宋体" w:cs="宋体"/>
                <w:sz w:val="21"/>
                <w:szCs w:val="21"/>
              </w:rPr>
              <w:t>响应文件签署</w:t>
            </w:r>
          </w:p>
        </w:tc>
        <w:tc>
          <w:tcPr>
            <w:tcW w:w="5409" w:type="dxa"/>
            <w:noWrap/>
            <w:vAlign w:val="center"/>
          </w:tcPr>
          <w:p w14:paraId="587BA886">
            <w:pPr>
              <w:spacing w:line="240" w:lineRule="exact"/>
              <w:rPr>
                <w:rFonts w:ascii="宋体" w:hAnsi="宋体" w:cs="宋体"/>
                <w:sz w:val="21"/>
                <w:szCs w:val="21"/>
              </w:rPr>
            </w:pPr>
            <w:r>
              <w:rPr>
                <w:rFonts w:hint="eastAsia" w:ascii="宋体" w:hAnsi="宋体" w:cs="宋体"/>
                <w:sz w:val="21"/>
                <w:szCs w:val="21"/>
              </w:rPr>
              <w:t>响应文件上法定代表人或其授权代表人的签字齐全。</w:t>
            </w:r>
          </w:p>
        </w:tc>
      </w:tr>
      <w:tr w14:paraId="3D86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14:paraId="3F3F32DA">
            <w:pPr>
              <w:spacing w:line="240" w:lineRule="exact"/>
              <w:rPr>
                <w:rFonts w:ascii="宋体" w:hAnsi="宋体" w:cs="宋体"/>
                <w:sz w:val="21"/>
                <w:szCs w:val="21"/>
              </w:rPr>
            </w:pPr>
          </w:p>
        </w:tc>
        <w:tc>
          <w:tcPr>
            <w:tcW w:w="1560" w:type="dxa"/>
            <w:vMerge w:val="continue"/>
            <w:noWrap/>
            <w:vAlign w:val="center"/>
          </w:tcPr>
          <w:p w14:paraId="21DCD415">
            <w:pPr>
              <w:spacing w:line="240" w:lineRule="exact"/>
              <w:rPr>
                <w:rFonts w:ascii="宋体" w:hAnsi="宋体" w:cs="宋体"/>
                <w:sz w:val="21"/>
                <w:szCs w:val="21"/>
              </w:rPr>
            </w:pPr>
          </w:p>
        </w:tc>
        <w:tc>
          <w:tcPr>
            <w:tcW w:w="1984" w:type="dxa"/>
            <w:noWrap/>
            <w:vAlign w:val="center"/>
          </w:tcPr>
          <w:p w14:paraId="6D3B48F2">
            <w:pPr>
              <w:spacing w:line="240" w:lineRule="exact"/>
              <w:rPr>
                <w:rFonts w:ascii="宋体" w:hAnsi="宋体" w:cs="宋体"/>
                <w:sz w:val="21"/>
                <w:szCs w:val="21"/>
              </w:rPr>
            </w:pPr>
            <w:r>
              <w:rPr>
                <w:rFonts w:hint="eastAsia" w:ascii="宋体" w:hAnsi="宋体" w:cs="宋体"/>
                <w:sz w:val="21"/>
                <w:szCs w:val="21"/>
              </w:rPr>
              <w:t>法定代表人身份证明及授权委托书</w:t>
            </w:r>
          </w:p>
        </w:tc>
        <w:tc>
          <w:tcPr>
            <w:tcW w:w="5409" w:type="dxa"/>
            <w:noWrap/>
            <w:vAlign w:val="center"/>
          </w:tcPr>
          <w:p w14:paraId="5CDFF2D5">
            <w:pPr>
              <w:spacing w:line="240" w:lineRule="exact"/>
              <w:rPr>
                <w:rFonts w:ascii="宋体" w:hAnsi="宋体" w:cs="宋体"/>
                <w:sz w:val="21"/>
                <w:szCs w:val="21"/>
              </w:rPr>
            </w:pPr>
            <w:r>
              <w:rPr>
                <w:rFonts w:hint="eastAsia" w:ascii="宋体" w:hAnsi="宋体" w:cs="宋体"/>
                <w:sz w:val="21"/>
                <w:szCs w:val="21"/>
              </w:rPr>
              <w:t>法定代表人身份证明及授权委托书有效，符合竞争性比选文件规定的格式，签字或盖章齐全。</w:t>
            </w:r>
          </w:p>
        </w:tc>
      </w:tr>
      <w:tr w14:paraId="6E9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331D1385">
            <w:pPr>
              <w:spacing w:line="240" w:lineRule="exact"/>
              <w:rPr>
                <w:rFonts w:ascii="宋体" w:hAnsi="宋体" w:cs="宋体"/>
                <w:sz w:val="21"/>
                <w:szCs w:val="21"/>
              </w:rPr>
            </w:pPr>
          </w:p>
        </w:tc>
        <w:tc>
          <w:tcPr>
            <w:tcW w:w="1560" w:type="dxa"/>
            <w:vMerge w:val="continue"/>
            <w:noWrap/>
            <w:vAlign w:val="center"/>
          </w:tcPr>
          <w:p w14:paraId="6B088E47">
            <w:pPr>
              <w:spacing w:line="240" w:lineRule="exact"/>
              <w:rPr>
                <w:rFonts w:ascii="宋体" w:hAnsi="宋体" w:cs="宋体"/>
                <w:sz w:val="21"/>
                <w:szCs w:val="21"/>
              </w:rPr>
            </w:pPr>
          </w:p>
        </w:tc>
        <w:tc>
          <w:tcPr>
            <w:tcW w:w="1984" w:type="dxa"/>
            <w:noWrap/>
            <w:vAlign w:val="center"/>
          </w:tcPr>
          <w:p w14:paraId="2861C4D3">
            <w:pPr>
              <w:spacing w:line="240" w:lineRule="exact"/>
              <w:rPr>
                <w:rFonts w:ascii="宋体" w:hAnsi="宋体" w:cs="宋体"/>
                <w:sz w:val="21"/>
                <w:szCs w:val="21"/>
              </w:rPr>
            </w:pPr>
            <w:r>
              <w:rPr>
                <w:rFonts w:hint="eastAsia" w:ascii="宋体" w:hAnsi="宋体" w:cs="宋体"/>
                <w:sz w:val="21"/>
                <w:szCs w:val="21"/>
              </w:rPr>
              <w:t>响应方案</w:t>
            </w:r>
          </w:p>
        </w:tc>
        <w:tc>
          <w:tcPr>
            <w:tcW w:w="5409" w:type="dxa"/>
            <w:noWrap/>
            <w:vAlign w:val="center"/>
          </w:tcPr>
          <w:p w14:paraId="3B71193A">
            <w:pPr>
              <w:spacing w:line="240" w:lineRule="exact"/>
              <w:rPr>
                <w:rFonts w:ascii="宋体" w:hAnsi="宋体" w:cs="宋体"/>
                <w:sz w:val="21"/>
                <w:szCs w:val="21"/>
              </w:rPr>
            </w:pPr>
            <w:r>
              <w:rPr>
                <w:rFonts w:hint="eastAsia" w:ascii="宋体" w:hAnsi="宋体" w:cs="宋体"/>
                <w:sz w:val="21"/>
                <w:szCs w:val="21"/>
              </w:rPr>
              <w:t>每个比选只能有一个响应方案。</w:t>
            </w:r>
          </w:p>
        </w:tc>
      </w:tr>
      <w:tr w14:paraId="3981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2120615A">
            <w:pPr>
              <w:spacing w:line="240" w:lineRule="exact"/>
              <w:rPr>
                <w:rFonts w:ascii="宋体" w:hAnsi="宋体" w:cs="宋体"/>
                <w:sz w:val="21"/>
                <w:szCs w:val="21"/>
              </w:rPr>
            </w:pPr>
          </w:p>
        </w:tc>
        <w:tc>
          <w:tcPr>
            <w:tcW w:w="1560" w:type="dxa"/>
            <w:vMerge w:val="continue"/>
            <w:noWrap/>
            <w:vAlign w:val="center"/>
          </w:tcPr>
          <w:p w14:paraId="6762A803">
            <w:pPr>
              <w:spacing w:line="240" w:lineRule="exact"/>
              <w:rPr>
                <w:rFonts w:ascii="宋体" w:hAnsi="宋体" w:cs="宋体"/>
                <w:sz w:val="21"/>
                <w:szCs w:val="21"/>
              </w:rPr>
            </w:pPr>
          </w:p>
        </w:tc>
        <w:tc>
          <w:tcPr>
            <w:tcW w:w="1984" w:type="dxa"/>
            <w:noWrap/>
            <w:vAlign w:val="center"/>
          </w:tcPr>
          <w:p w14:paraId="260E9467">
            <w:pPr>
              <w:spacing w:line="240" w:lineRule="exact"/>
              <w:rPr>
                <w:rFonts w:ascii="宋体" w:hAnsi="宋体" w:cs="宋体"/>
                <w:sz w:val="21"/>
                <w:szCs w:val="21"/>
              </w:rPr>
            </w:pPr>
            <w:r>
              <w:rPr>
                <w:rFonts w:hint="eastAsia" w:ascii="宋体" w:hAnsi="宋体" w:cs="宋体"/>
                <w:sz w:val="21"/>
                <w:szCs w:val="21"/>
              </w:rPr>
              <w:t>报价唯一</w:t>
            </w:r>
          </w:p>
        </w:tc>
        <w:tc>
          <w:tcPr>
            <w:tcW w:w="5409" w:type="dxa"/>
            <w:noWrap/>
            <w:vAlign w:val="center"/>
          </w:tcPr>
          <w:p w14:paraId="49A9026B">
            <w:pPr>
              <w:spacing w:line="240" w:lineRule="exact"/>
              <w:rPr>
                <w:rFonts w:ascii="宋体" w:hAnsi="宋体" w:cs="宋体"/>
                <w:sz w:val="21"/>
                <w:szCs w:val="21"/>
              </w:rPr>
            </w:pPr>
            <w:r>
              <w:rPr>
                <w:rFonts w:hint="eastAsia" w:ascii="宋体" w:hAnsi="宋体" w:cs="宋体"/>
                <w:sz w:val="21"/>
                <w:szCs w:val="21"/>
              </w:rPr>
              <w:t>只能在采购预算范围内报价，只能有一个有效报价，不得提交选择性报价。</w:t>
            </w:r>
          </w:p>
        </w:tc>
      </w:tr>
      <w:tr w14:paraId="6436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ign w:val="center"/>
          </w:tcPr>
          <w:p w14:paraId="0528CD64">
            <w:pPr>
              <w:spacing w:line="240" w:lineRule="exact"/>
              <w:rPr>
                <w:rFonts w:ascii="宋体" w:hAnsi="宋体" w:cs="宋体"/>
                <w:sz w:val="21"/>
                <w:szCs w:val="21"/>
              </w:rPr>
            </w:pPr>
            <w:r>
              <w:rPr>
                <w:rFonts w:hint="eastAsia" w:ascii="宋体" w:hAnsi="宋体" w:cs="宋体"/>
                <w:sz w:val="21"/>
                <w:szCs w:val="21"/>
              </w:rPr>
              <w:t>2</w:t>
            </w:r>
          </w:p>
        </w:tc>
        <w:tc>
          <w:tcPr>
            <w:tcW w:w="1560" w:type="dxa"/>
            <w:vMerge w:val="restart"/>
            <w:noWrap/>
            <w:vAlign w:val="center"/>
          </w:tcPr>
          <w:p w14:paraId="53EB550C">
            <w:pPr>
              <w:spacing w:line="240" w:lineRule="exact"/>
              <w:rPr>
                <w:rFonts w:ascii="宋体" w:hAnsi="宋体" w:cs="宋体"/>
                <w:sz w:val="21"/>
                <w:szCs w:val="21"/>
              </w:rPr>
            </w:pPr>
            <w:r>
              <w:rPr>
                <w:rFonts w:hint="eastAsia" w:ascii="宋体" w:hAnsi="宋体" w:cs="宋体"/>
                <w:sz w:val="21"/>
                <w:szCs w:val="21"/>
              </w:rPr>
              <w:t>完整性审查</w:t>
            </w:r>
          </w:p>
        </w:tc>
        <w:tc>
          <w:tcPr>
            <w:tcW w:w="1984" w:type="dxa"/>
            <w:noWrap/>
            <w:vAlign w:val="center"/>
          </w:tcPr>
          <w:p w14:paraId="1C7AA932">
            <w:pPr>
              <w:spacing w:line="240" w:lineRule="exact"/>
              <w:rPr>
                <w:rFonts w:ascii="宋体" w:hAnsi="宋体" w:cs="宋体"/>
                <w:sz w:val="21"/>
                <w:szCs w:val="21"/>
              </w:rPr>
            </w:pPr>
            <w:r>
              <w:rPr>
                <w:rFonts w:hint="eastAsia" w:ascii="宋体" w:hAnsi="宋体" w:cs="宋体"/>
                <w:sz w:val="21"/>
                <w:szCs w:val="21"/>
              </w:rPr>
              <w:t>响应文件份数</w:t>
            </w:r>
          </w:p>
        </w:tc>
        <w:tc>
          <w:tcPr>
            <w:tcW w:w="5409" w:type="dxa"/>
            <w:noWrap/>
            <w:vAlign w:val="center"/>
          </w:tcPr>
          <w:p w14:paraId="5EACC17E">
            <w:pPr>
              <w:spacing w:line="240" w:lineRule="exact"/>
              <w:rPr>
                <w:rFonts w:ascii="宋体" w:hAnsi="宋体" w:cs="宋体"/>
                <w:sz w:val="21"/>
                <w:szCs w:val="21"/>
              </w:rPr>
            </w:pPr>
            <w:r>
              <w:rPr>
                <w:rFonts w:hint="eastAsia" w:ascii="宋体" w:hAnsi="宋体" w:cs="宋体"/>
                <w:sz w:val="21"/>
                <w:szCs w:val="21"/>
              </w:rPr>
              <w:t>响应文件正、副本数量符合竞争性比选文件要求。</w:t>
            </w:r>
          </w:p>
        </w:tc>
      </w:tr>
      <w:tr w14:paraId="2239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ign w:val="center"/>
          </w:tcPr>
          <w:p w14:paraId="23F45AB7">
            <w:pPr>
              <w:spacing w:line="240" w:lineRule="exact"/>
              <w:rPr>
                <w:rFonts w:ascii="宋体" w:hAnsi="宋体" w:cs="宋体"/>
                <w:sz w:val="21"/>
                <w:szCs w:val="21"/>
              </w:rPr>
            </w:pPr>
          </w:p>
        </w:tc>
        <w:tc>
          <w:tcPr>
            <w:tcW w:w="1560" w:type="dxa"/>
            <w:vMerge w:val="continue"/>
            <w:noWrap/>
            <w:vAlign w:val="center"/>
          </w:tcPr>
          <w:p w14:paraId="5A43ACC0">
            <w:pPr>
              <w:spacing w:line="240" w:lineRule="exact"/>
              <w:rPr>
                <w:rFonts w:ascii="宋体" w:hAnsi="宋体" w:cs="宋体"/>
                <w:sz w:val="21"/>
                <w:szCs w:val="21"/>
              </w:rPr>
            </w:pPr>
          </w:p>
        </w:tc>
        <w:tc>
          <w:tcPr>
            <w:tcW w:w="1984" w:type="dxa"/>
            <w:noWrap/>
            <w:vAlign w:val="center"/>
          </w:tcPr>
          <w:p w14:paraId="4BBD329E">
            <w:pPr>
              <w:spacing w:line="240" w:lineRule="exact"/>
              <w:rPr>
                <w:rFonts w:ascii="宋体" w:hAnsi="宋体" w:cs="宋体"/>
                <w:sz w:val="21"/>
                <w:szCs w:val="21"/>
              </w:rPr>
            </w:pPr>
            <w:r>
              <w:rPr>
                <w:rFonts w:hint="eastAsia" w:ascii="宋体" w:hAnsi="宋体" w:cs="宋体"/>
                <w:sz w:val="21"/>
                <w:szCs w:val="21"/>
              </w:rPr>
              <w:t>响应文件内容</w:t>
            </w:r>
          </w:p>
        </w:tc>
        <w:tc>
          <w:tcPr>
            <w:tcW w:w="5409" w:type="dxa"/>
            <w:noWrap/>
            <w:vAlign w:val="center"/>
          </w:tcPr>
          <w:p w14:paraId="561B6AAA">
            <w:pPr>
              <w:spacing w:line="240" w:lineRule="exact"/>
              <w:rPr>
                <w:rFonts w:ascii="宋体" w:hAnsi="宋体" w:cs="宋体"/>
                <w:sz w:val="21"/>
                <w:szCs w:val="21"/>
              </w:rPr>
            </w:pPr>
            <w:r>
              <w:rPr>
                <w:rFonts w:hint="eastAsia" w:ascii="宋体" w:hAnsi="宋体" w:cs="宋体"/>
                <w:sz w:val="21"/>
                <w:szCs w:val="21"/>
              </w:rPr>
              <w:t>响应文件内容齐全、无遗漏。</w:t>
            </w:r>
          </w:p>
        </w:tc>
      </w:tr>
      <w:tr w14:paraId="20AA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74F9D379">
            <w:pPr>
              <w:spacing w:line="240" w:lineRule="exact"/>
              <w:rPr>
                <w:rFonts w:ascii="宋体" w:hAnsi="宋体" w:cs="宋体"/>
                <w:sz w:val="21"/>
                <w:szCs w:val="21"/>
              </w:rPr>
            </w:pPr>
            <w:r>
              <w:rPr>
                <w:rFonts w:hint="eastAsia" w:ascii="宋体" w:hAnsi="宋体" w:cs="宋体"/>
                <w:sz w:val="21"/>
                <w:szCs w:val="21"/>
              </w:rPr>
              <w:t>3</w:t>
            </w:r>
          </w:p>
        </w:tc>
        <w:tc>
          <w:tcPr>
            <w:tcW w:w="1560" w:type="dxa"/>
            <w:vMerge w:val="restart"/>
            <w:noWrap/>
            <w:vAlign w:val="center"/>
          </w:tcPr>
          <w:p w14:paraId="49553A05">
            <w:pPr>
              <w:spacing w:line="240" w:lineRule="exact"/>
              <w:rPr>
                <w:rFonts w:ascii="宋体" w:hAnsi="宋体" w:cs="宋体"/>
                <w:sz w:val="21"/>
                <w:szCs w:val="21"/>
              </w:rPr>
            </w:pPr>
            <w:r>
              <w:rPr>
                <w:rFonts w:hint="eastAsia" w:ascii="宋体" w:hAnsi="宋体" w:cs="宋体"/>
                <w:sz w:val="21"/>
                <w:szCs w:val="21"/>
              </w:rPr>
              <w:t>竞争性比选文件的响应程度审查</w:t>
            </w:r>
          </w:p>
        </w:tc>
        <w:tc>
          <w:tcPr>
            <w:tcW w:w="1984" w:type="dxa"/>
            <w:noWrap/>
            <w:vAlign w:val="center"/>
          </w:tcPr>
          <w:p w14:paraId="340C2825">
            <w:pPr>
              <w:spacing w:line="240" w:lineRule="exact"/>
              <w:rPr>
                <w:rFonts w:ascii="宋体" w:hAnsi="宋体" w:cs="宋体"/>
                <w:sz w:val="21"/>
                <w:szCs w:val="21"/>
              </w:rPr>
            </w:pPr>
            <w:r>
              <w:rPr>
                <w:rFonts w:hint="eastAsia" w:ascii="宋体" w:hAnsi="宋体" w:cs="宋体"/>
                <w:sz w:val="21"/>
                <w:szCs w:val="21"/>
              </w:rPr>
              <w:t>响应文件内容</w:t>
            </w:r>
          </w:p>
        </w:tc>
        <w:tc>
          <w:tcPr>
            <w:tcW w:w="5409" w:type="dxa"/>
            <w:noWrap/>
            <w:vAlign w:val="center"/>
          </w:tcPr>
          <w:p w14:paraId="7CB879C3">
            <w:pPr>
              <w:pStyle w:val="13"/>
              <w:spacing w:line="240" w:lineRule="exact"/>
              <w:rPr>
                <w:rFonts w:ascii="宋体" w:hAnsi="宋体" w:cs="宋体"/>
                <w:sz w:val="21"/>
                <w:szCs w:val="21"/>
              </w:rPr>
            </w:pPr>
            <w:r>
              <w:rPr>
                <w:rFonts w:hint="eastAsia" w:ascii="宋体" w:hAnsi="宋体" w:cs="宋体"/>
                <w:sz w:val="21"/>
                <w:szCs w:val="21"/>
              </w:rPr>
              <w:t>对竞争性比选文件第二、三篇规定的比选内容作出响应。</w:t>
            </w:r>
          </w:p>
        </w:tc>
      </w:tr>
      <w:tr w14:paraId="0183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14:paraId="3423491B">
            <w:pPr>
              <w:spacing w:line="240" w:lineRule="exact"/>
              <w:rPr>
                <w:rFonts w:ascii="宋体" w:hAnsi="宋体" w:cs="宋体"/>
                <w:sz w:val="21"/>
                <w:szCs w:val="21"/>
              </w:rPr>
            </w:pPr>
          </w:p>
        </w:tc>
        <w:tc>
          <w:tcPr>
            <w:tcW w:w="1560" w:type="dxa"/>
            <w:vMerge w:val="continue"/>
            <w:noWrap/>
            <w:vAlign w:val="center"/>
          </w:tcPr>
          <w:p w14:paraId="28E48CBF">
            <w:pPr>
              <w:spacing w:line="240" w:lineRule="exact"/>
              <w:rPr>
                <w:rFonts w:ascii="宋体" w:hAnsi="宋体" w:cs="宋体"/>
                <w:sz w:val="21"/>
                <w:szCs w:val="21"/>
              </w:rPr>
            </w:pPr>
          </w:p>
        </w:tc>
        <w:tc>
          <w:tcPr>
            <w:tcW w:w="1984" w:type="dxa"/>
            <w:noWrap/>
            <w:vAlign w:val="center"/>
          </w:tcPr>
          <w:p w14:paraId="3AF19F7A">
            <w:pPr>
              <w:spacing w:line="240" w:lineRule="exact"/>
              <w:rPr>
                <w:rFonts w:ascii="宋体" w:hAnsi="宋体" w:cs="宋体"/>
                <w:sz w:val="21"/>
                <w:szCs w:val="21"/>
              </w:rPr>
            </w:pPr>
            <w:r>
              <w:rPr>
                <w:rFonts w:hint="eastAsia" w:ascii="宋体" w:hAnsi="宋体" w:cs="宋体"/>
                <w:sz w:val="21"/>
                <w:szCs w:val="21"/>
              </w:rPr>
              <w:t>比选有效期</w:t>
            </w:r>
          </w:p>
        </w:tc>
        <w:tc>
          <w:tcPr>
            <w:tcW w:w="5409" w:type="dxa"/>
            <w:noWrap/>
            <w:vAlign w:val="center"/>
          </w:tcPr>
          <w:p w14:paraId="5230E41B">
            <w:pPr>
              <w:spacing w:line="240" w:lineRule="exact"/>
              <w:rPr>
                <w:rFonts w:ascii="宋体" w:hAnsi="宋体" w:cs="宋体"/>
                <w:sz w:val="21"/>
                <w:szCs w:val="21"/>
              </w:rPr>
            </w:pPr>
            <w:r>
              <w:rPr>
                <w:rFonts w:hint="eastAsia" w:ascii="宋体" w:hAnsi="宋体" w:cs="宋体"/>
                <w:sz w:val="21"/>
                <w:szCs w:val="21"/>
              </w:rPr>
              <w:t>满足比选文件规定。</w:t>
            </w:r>
          </w:p>
        </w:tc>
      </w:tr>
    </w:tbl>
    <w:p w14:paraId="716AD207">
      <w:pPr>
        <w:spacing w:line="500" w:lineRule="exact"/>
        <w:ind w:firstLine="480" w:firstLineChars="200"/>
        <w:rPr>
          <w:rFonts w:ascii="宋体" w:hAnsi="宋体" w:cs="宋体"/>
          <w:sz w:val="24"/>
          <w:szCs w:val="24"/>
        </w:rPr>
      </w:pPr>
      <w:r>
        <w:rPr>
          <w:rFonts w:hint="eastAsia" w:ascii="宋体" w:hAnsi="宋体" w:cs="宋体"/>
          <w:sz w:val="24"/>
          <w:szCs w:val="24"/>
        </w:rPr>
        <w:t>（三）澄清有关问题。比选小组在对响应文件的有效性、完整性和响应程度进行审查时，可以要求比选申请人对响应文件中含义不明确、同类问题表述不一致或者有明显文字和计算错误的内容等作出必要的澄清、说明或者更正。</w:t>
      </w:r>
      <w:r>
        <w:rPr>
          <w:rFonts w:hint="eastAsia" w:ascii="宋体" w:hAnsi="宋体" w:cs="宋体"/>
          <w:sz w:val="21"/>
          <w:szCs w:val="21"/>
        </w:rPr>
        <w:t>比选申请人</w:t>
      </w:r>
      <w:r>
        <w:rPr>
          <w:rFonts w:hint="eastAsia" w:ascii="宋体" w:hAnsi="宋体" w:cs="宋体"/>
          <w:sz w:val="24"/>
          <w:szCs w:val="24"/>
        </w:rPr>
        <w:t>的澄清、说明或者更正不得超出响应文件的范围或者改变响应文件的实质性内容。</w:t>
      </w:r>
    </w:p>
    <w:p w14:paraId="1A3E6816">
      <w:pPr>
        <w:spacing w:line="500" w:lineRule="exact"/>
        <w:ind w:firstLine="480" w:firstLineChars="200"/>
        <w:rPr>
          <w:rFonts w:ascii="宋体" w:hAnsi="宋体" w:cs="宋体"/>
          <w:sz w:val="24"/>
          <w:szCs w:val="24"/>
        </w:rPr>
      </w:pPr>
      <w:r>
        <w:rPr>
          <w:rFonts w:hint="eastAsia" w:ascii="宋体" w:hAnsi="宋体" w:cs="宋体"/>
          <w:sz w:val="24"/>
          <w:szCs w:val="24"/>
        </w:rPr>
        <w:t>（四）比选小组要求比选申请人澄清、说明或者更正响应文件应当以书面形式作出。比选申请人的澄清、说明或者更正应当由法定代表人或其授权代表签字或者加盖公章。由授权代表签字的，应当附法定代表人授权书。</w:t>
      </w:r>
    </w:p>
    <w:p w14:paraId="36188C77">
      <w:pPr>
        <w:spacing w:line="500" w:lineRule="exact"/>
        <w:ind w:firstLine="480" w:firstLineChars="200"/>
        <w:rPr>
          <w:rFonts w:ascii="宋体" w:hAnsi="宋体" w:cs="宋体"/>
          <w:sz w:val="24"/>
          <w:szCs w:val="24"/>
        </w:rPr>
      </w:pPr>
      <w:r>
        <w:rPr>
          <w:rFonts w:hint="eastAsia" w:ascii="宋体" w:hAnsi="宋体" w:cs="宋体"/>
          <w:sz w:val="24"/>
          <w:szCs w:val="24"/>
        </w:rPr>
        <w:t>（五）在比选过程中比选的任何一方不得向他人透露与比选有关的技术资料、价格或其他信息。</w:t>
      </w:r>
    </w:p>
    <w:p w14:paraId="2B74929A">
      <w:pPr>
        <w:spacing w:line="500" w:lineRule="exact"/>
        <w:ind w:firstLine="480" w:firstLineChars="200"/>
        <w:rPr>
          <w:rFonts w:ascii="宋体" w:hAnsi="宋体" w:cs="宋体"/>
          <w:sz w:val="24"/>
          <w:szCs w:val="24"/>
        </w:rPr>
      </w:pPr>
      <w:r>
        <w:rPr>
          <w:rFonts w:hint="eastAsia" w:ascii="宋体" w:hAnsi="宋体" w:cs="宋体"/>
          <w:sz w:val="24"/>
          <w:szCs w:val="24"/>
        </w:rPr>
        <w:t>（六）在比选过程中，比选小组可以根据竞争性比选文件和比选情况实质性变动采购需求中的技术、服务要求以及合同草案条款，但不得变动竞争性比选文件中的其他内容。实质性变动的内容，须经比选人代表确认。对竞争性比选文件作出的实质性变动是竞争性比选文件的有效组成部分，比选小组应当及时以书面形式同时通知所有参加比选的比选申请人。</w:t>
      </w:r>
    </w:p>
    <w:p w14:paraId="0D3D03E3">
      <w:pPr>
        <w:spacing w:line="500" w:lineRule="exact"/>
        <w:ind w:firstLine="480" w:firstLineChars="200"/>
        <w:rPr>
          <w:rFonts w:ascii="宋体" w:hAnsi="宋体" w:cs="宋体"/>
          <w:sz w:val="24"/>
          <w:szCs w:val="24"/>
        </w:rPr>
      </w:pPr>
      <w:r>
        <w:rPr>
          <w:rFonts w:hint="eastAsia" w:ascii="宋体" w:hAnsi="宋体" w:cs="宋体"/>
          <w:sz w:val="24"/>
          <w:szCs w:val="24"/>
        </w:rPr>
        <w:t>（七）比选申请人在比选时作出的所有书面承诺须由法定代表人或其授权代表签字。</w:t>
      </w:r>
    </w:p>
    <w:p w14:paraId="6A13FB57">
      <w:pPr>
        <w:spacing w:line="500" w:lineRule="exact"/>
        <w:ind w:firstLine="480" w:firstLineChars="200"/>
        <w:rPr>
          <w:rFonts w:ascii="宋体" w:hAnsi="宋体" w:cs="宋体"/>
          <w:sz w:val="24"/>
          <w:szCs w:val="24"/>
        </w:rPr>
      </w:pPr>
      <w:r>
        <w:rPr>
          <w:rFonts w:hint="eastAsia" w:ascii="宋体" w:hAnsi="宋体" w:cs="宋体"/>
          <w:sz w:val="24"/>
          <w:szCs w:val="24"/>
        </w:rPr>
        <w:t>（八）比选小组采用综合评估法对比选申请人进行综合评分。综合评估法，是指响应文件满足竞争性比选文件全部实质性要求且按照评审因素的量化指标评审得分最高的比选申请人为第一候选中选人的评审方法。比选申请人总得分为价格、商务、技术等评定因素分别按照相应权重值计算分项得分后相加，满分为100分。（详见评审标准）。</w:t>
      </w:r>
    </w:p>
    <w:p w14:paraId="36544998">
      <w:pPr>
        <w:pStyle w:val="8"/>
        <w:spacing w:line="500" w:lineRule="exact"/>
        <w:ind w:firstLine="240" w:firstLineChars="100"/>
        <w:rPr>
          <w:rFonts w:ascii="宋体" w:hAnsi="宋体" w:cs="宋体"/>
          <w:szCs w:val="24"/>
        </w:rPr>
      </w:pPr>
      <w:r>
        <w:rPr>
          <w:rFonts w:hint="eastAsia" w:ascii="宋体" w:hAnsi="宋体" w:cs="宋体"/>
          <w:szCs w:val="24"/>
        </w:rPr>
        <w:t>（九）比选小组各成员独立对每个实质性响应文件进行评价、打分，然后汇总每个比选申请人每项评分因素的得分，并根据综合评分情况按照评审得分由高到低顺序推荐3名以上中选候选人，并编写评审报告。若比选申请人的评审得分相同的，按照最后报价由低到高的顺序排列推荐。评审得分且最后报价相同的，按照技术部分优劣顺序排列推荐。</w:t>
      </w:r>
    </w:p>
    <w:p w14:paraId="23BE61DD">
      <w:pPr>
        <w:pStyle w:val="6"/>
        <w:spacing w:before="0" w:after="0" w:line="440" w:lineRule="exact"/>
        <w:rPr>
          <w:rFonts w:ascii="宋体" w:hAnsi="宋体" w:cs="宋体"/>
          <w:color w:val="FF0000"/>
          <w:sz w:val="24"/>
          <w:szCs w:val="24"/>
          <w:u w:val="single"/>
        </w:rPr>
      </w:pPr>
      <w:bookmarkStart w:id="99" w:name="_Toc1098"/>
      <w:bookmarkStart w:id="100" w:name="_Toc7249"/>
      <w:bookmarkStart w:id="101" w:name="_Toc83288550"/>
      <w:bookmarkStart w:id="102" w:name="_Toc9706"/>
      <w:r>
        <w:rPr>
          <w:rFonts w:hint="eastAsia" w:ascii="宋体" w:hAnsi="宋体" w:cs="宋体"/>
          <w:sz w:val="24"/>
          <w:szCs w:val="24"/>
        </w:rPr>
        <w:t>二、</w:t>
      </w:r>
      <w:bookmarkStart w:id="103" w:name="_Toc102227320"/>
      <w:bookmarkStart w:id="104" w:name="_Toc342913394"/>
      <w:r>
        <w:rPr>
          <w:rFonts w:hint="eastAsia" w:ascii="宋体" w:hAnsi="宋体" w:cs="宋体"/>
          <w:sz w:val="24"/>
          <w:szCs w:val="24"/>
        </w:rPr>
        <w:t>评审标准</w:t>
      </w:r>
      <w:bookmarkEnd w:id="99"/>
      <w:bookmarkEnd w:id="100"/>
      <w:bookmarkEnd w:id="101"/>
      <w:bookmarkEnd w:id="102"/>
      <w:r>
        <w:rPr>
          <w:rFonts w:hint="eastAsia" w:ascii="宋体" w:hAnsi="宋体" w:cs="宋体"/>
          <w:sz w:val="24"/>
          <w:szCs w:val="24"/>
        </w:rPr>
        <w:t xml:space="preserve">  </w:t>
      </w:r>
    </w:p>
    <w:tbl>
      <w:tblPr>
        <w:tblStyle w:val="1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15"/>
        <w:gridCol w:w="942"/>
        <w:gridCol w:w="5140"/>
        <w:gridCol w:w="1289"/>
      </w:tblGrid>
      <w:tr w14:paraId="31C1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0" w:type="dxa"/>
            <w:vMerge w:val="restart"/>
            <w:noWrap/>
            <w:vAlign w:val="center"/>
          </w:tcPr>
          <w:p w14:paraId="4F443349">
            <w:pPr>
              <w:rPr>
                <w:rFonts w:ascii="宋体" w:hAnsi="宋体" w:cs="宋体"/>
                <w:kern w:val="0"/>
                <w:sz w:val="21"/>
                <w:szCs w:val="21"/>
              </w:rPr>
            </w:pPr>
            <w:r>
              <w:rPr>
                <w:rFonts w:hint="eastAsia" w:ascii="宋体" w:hAnsi="宋体" w:cs="宋体"/>
                <w:kern w:val="0"/>
                <w:sz w:val="21"/>
                <w:szCs w:val="21"/>
              </w:rPr>
              <w:t>序号</w:t>
            </w:r>
          </w:p>
        </w:tc>
        <w:tc>
          <w:tcPr>
            <w:tcW w:w="1215" w:type="dxa"/>
            <w:vMerge w:val="restart"/>
            <w:noWrap/>
            <w:vAlign w:val="center"/>
          </w:tcPr>
          <w:p w14:paraId="0F236A99">
            <w:pPr>
              <w:rPr>
                <w:rFonts w:ascii="宋体" w:hAnsi="宋体" w:cs="宋体"/>
                <w:kern w:val="0"/>
                <w:sz w:val="21"/>
                <w:szCs w:val="21"/>
              </w:rPr>
            </w:pPr>
            <w:r>
              <w:rPr>
                <w:rFonts w:hint="eastAsia" w:ascii="宋体" w:hAnsi="宋体" w:cs="宋体"/>
                <w:kern w:val="0"/>
                <w:sz w:val="21"/>
                <w:szCs w:val="21"/>
              </w:rPr>
              <w:t>评分因素及权重</w:t>
            </w:r>
          </w:p>
        </w:tc>
        <w:tc>
          <w:tcPr>
            <w:tcW w:w="942" w:type="dxa"/>
            <w:vMerge w:val="restart"/>
            <w:noWrap/>
            <w:vAlign w:val="center"/>
          </w:tcPr>
          <w:p w14:paraId="794EF1F1">
            <w:pPr>
              <w:jc w:val="center"/>
              <w:rPr>
                <w:rFonts w:ascii="宋体" w:hAnsi="宋体" w:cs="宋体"/>
                <w:kern w:val="0"/>
                <w:sz w:val="21"/>
                <w:szCs w:val="21"/>
              </w:rPr>
            </w:pPr>
            <w:r>
              <w:rPr>
                <w:rFonts w:hint="eastAsia" w:ascii="宋体" w:hAnsi="宋体" w:cs="宋体"/>
                <w:kern w:val="0"/>
                <w:sz w:val="21"/>
                <w:szCs w:val="21"/>
              </w:rPr>
              <w:t>分值</w:t>
            </w:r>
          </w:p>
        </w:tc>
        <w:tc>
          <w:tcPr>
            <w:tcW w:w="5140" w:type="dxa"/>
            <w:vMerge w:val="restart"/>
            <w:noWrap/>
            <w:vAlign w:val="center"/>
          </w:tcPr>
          <w:p w14:paraId="61D7D0D0">
            <w:pPr>
              <w:jc w:val="center"/>
              <w:rPr>
                <w:rFonts w:ascii="宋体" w:hAnsi="宋体" w:cs="宋体"/>
                <w:kern w:val="0"/>
                <w:sz w:val="21"/>
                <w:szCs w:val="21"/>
              </w:rPr>
            </w:pPr>
            <w:r>
              <w:rPr>
                <w:rFonts w:hint="eastAsia" w:ascii="宋体" w:hAnsi="宋体" w:cs="宋体"/>
                <w:kern w:val="0"/>
                <w:sz w:val="21"/>
                <w:szCs w:val="21"/>
              </w:rPr>
              <w:t>评分标准</w:t>
            </w:r>
          </w:p>
        </w:tc>
        <w:tc>
          <w:tcPr>
            <w:tcW w:w="1289" w:type="dxa"/>
            <w:vMerge w:val="restart"/>
            <w:noWrap/>
            <w:vAlign w:val="center"/>
          </w:tcPr>
          <w:p w14:paraId="2CC20B3B">
            <w:pPr>
              <w:jc w:val="center"/>
              <w:rPr>
                <w:rFonts w:ascii="宋体" w:hAnsi="宋体" w:cs="宋体"/>
                <w:kern w:val="0"/>
                <w:sz w:val="21"/>
                <w:szCs w:val="21"/>
              </w:rPr>
            </w:pPr>
            <w:r>
              <w:rPr>
                <w:rFonts w:hint="eastAsia" w:ascii="宋体" w:hAnsi="宋体" w:cs="宋体"/>
                <w:kern w:val="0"/>
                <w:sz w:val="21"/>
                <w:szCs w:val="21"/>
              </w:rPr>
              <w:t>说明</w:t>
            </w:r>
          </w:p>
        </w:tc>
      </w:tr>
      <w:tr w14:paraId="3CD3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0" w:type="dxa"/>
            <w:vMerge w:val="continue"/>
            <w:noWrap/>
            <w:vAlign w:val="center"/>
          </w:tcPr>
          <w:p w14:paraId="6AA605C1">
            <w:pPr>
              <w:rPr>
                <w:rFonts w:ascii="宋体" w:hAnsi="宋体" w:cs="宋体"/>
                <w:kern w:val="0"/>
                <w:sz w:val="21"/>
                <w:szCs w:val="21"/>
              </w:rPr>
            </w:pPr>
          </w:p>
        </w:tc>
        <w:tc>
          <w:tcPr>
            <w:tcW w:w="1215" w:type="dxa"/>
            <w:vMerge w:val="continue"/>
            <w:noWrap/>
            <w:vAlign w:val="center"/>
          </w:tcPr>
          <w:p w14:paraId="09E59340">
            <w:pPr>
              <w:rPr>
                <w:rFonts w:ascii="宋体" w:hAnsi="宋体" w:cs="宋体"/>
                <w:kern w:val="0"/>
                <w:sz w:val="21"/>
                <w:szCs w:val="21"/>
              </w:rPr>
            </w:pPr>
          </w:p>
        </w:tc>
        <w:tc>
          <w:tcPr>
            <w:tcW w:w="942" w:type="dxa"/>
            <w:vMerge w:val="continue"/>
            <w:noWrap/>
            <w:vAlign w:val="center"/>
          </w:tcPr>
          <w:p w14:paraId="6EBF387F">
            <w:pPr>
              <w:rPr>
                <w:rFonts w:ascii="宋体" w:hAnsi="宋体" w:cs="宋体"/>
                <w:kern w:val="0"/>
                <w:sz w:val="21"/>
                <w:szCs w:val="21"/>
              </w:rPr>
            </w:pPr>
          </w:p>
        </w:tc>
        <w:tc>
          <w:tcPr>
            <w:tcW w:w="5140" w:type="dxa"/>
            <w:vMerge w:val="continue"/>
            <w:noWrap/>
            <w:vAlign w:val="center"/>
          </w:tcPr>
          <w:p w14:paraId="1BCCE0E5">
            <w:pPr>
              <w:rPr>
                <w:rFonts w:ascii="宋体" w:hAnsi="宋体" w:cs="宋体"/>
                <w:kern w:val="0"/>
                <w:sz w:val="21"/>
                <w:szCs w:val="21"/>
              </w:rPr>
            </w:pPr>
          </w:p>
        </w:tc>
        <w:tc>
          <w:tcPr>
            <w:tcW w:w="1289" w:type="dxa"/>
            <w:vMerge w:val="continue"/>
            <w:noWrap/>
            <w:vAlign w:val="center"/>
          </w:tcPr>
          <w:p w14:paraId="5F586412">
            <w:pPr>
              <w:rPr>
                <w:rFonts w:ascii="宋体" w:hAnsi="宋体" w:cs="宋体"/>
                <w:kern w:val="0"/>
                <w:sz w:val="21"/>
                <w:szCs w:val="21"/>
              </w:rPr>
            </w:pPr>
          </w:p>
        </w:tc>
      </w:tr>
      <w:tr w14:paraId="0742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ign w:val="center"/>
          </w:tcPr>
          <w:p w14:paraId="58BA4BDA">
            <w:pPr>
              <w:jc w:val="center"/>
              <w:rPr>
                <w:rFonts w:ascii="宋体" w:hAnsi="宋体" w:cs="宋体"/>
                <w:kern w:val="0"/>
                <w:sz w:val="21"/>
                <w:szCs w:val="21"/>
              </w:rPr>
            </w:pPr>
            <w:r>
              <w:rPr>
                <w:rFonts w:hint="eastAsia" w:ascii="宋体" w:hAnsi="宋体" w:cs="宋体"/>
                <w:kern w:val="0"/>
                <w:sz w:val="21"/>
                <w:szCs w:val="21"/>
              </w:rPr>
              <w:t>1</w:t>
            </w:r>
          </w:p>
        </w:tc>
        <w:tc>
          <w:tcPr>
            <w:tcW w:w="1215" w:type="dxa"/>
            <w:noWrap/>
            <w:vAlign w:val="center"/>
          </w:tcPr>
          <w:p w14:paraId="3822DBD3">
            <w:pPr>
              <w:rPr>
                <w:rFonts w:ascii="宋体" w:hAnsi="宋体" w:cs="宋体"/>
                <w:kern w:val="0"/>
                <w:sz w:val="21"/>
                <w:szCs w:val="21"/>
              </w:rPr>
            </w:pPr>
            <w:r>
              <w:rPr>
                <w:rFonts w:hint="eastAsia" w:ascii="宋体" w:hAnsi="宋体" w:cs="宋体"/>
                <w:kern w:val="0"/>
                <w:sz w:val="21"/>
                <w:szCs w:val="21"/>
              </w:rPr>
              <w:t>比选报价（</w:t>
            </w:r>
            <w:r>
              <w:rPr>
                <w:rFonts w:hint="eastAsia" w:ascii="宋体" w:hAnsi="宋体" w:cs="宋体"/>
                <w:kern w:val="0"/>
                <w:sz w:val="21"/>
                <w:szCs w:val="21"/>
                <w:lang w:val="en-US" w:eastAsia="zh-CN"/>
              </w:rPr>
              <w:t>50</w:t>
            </w:r>
            <w:r>
              <w:rPr>
                <w:rFonts w:hint="eastAsia" w:ascii="宋体" w:hAnsi="宋体" w:cs="宋体"/>
                <w:kern w:val="0"/>
                <w:sz w:val="21"/>
                <w:szCs w:val="21"/>
              </w:rPr>
              <w:t>%）</w:t>
            </w:r>
          </w:p>
        </w:tc>
        <w:tc>
          <w:tcPr>
            <w:tcW w:w="942" w:type="dxa"/>
            <w:noWrap/>
            <w:vAlign w:val="center"/>
          </w:tcPr>
          <w:p w14:paraId="3EA9221B">
            <w:pPr>
              <w:jc w:val="center"/>
              <w:rPr>
                <w:rFonts w:ascii="宋体" w:hAnsi="宋体" w:cs="宋体"/>
                <w:kern w:val="0"/>
                <w:sz w:val="21"/>
                <w:szCs w:val="21"/>
              </w:rPr>
            </w:pPr>
            <w:r>
              <w:rPr>
                <w:rFonts w:hint="eastAsia" w:ascii="宋体" w:hAnsi="宋体" w:cs="宋体"/>
                <w:kern w:val="0"/>
                <w:sz w:val="21"/>
                <w:szCs w:val="21"/>
                <w:lang w:val="en-US" w:eastAsia="zh-CN"/>
              </w:rPr>
              <w:t>50</w:t>
            </w:r>
            <w:r>
              <w:rPr>
                <w:rFonts w:hint="eastAsia" w:ascii="宋体" w:hAnsi="宋体" w:cs="宋体"/>
                <w:kern w:val="0"/>
                <w:sz w:val="21"/>
                <w:szCs w:val="21"/>
              </w:rPr>
              <w:t>分</w:t>
            </w:r>
          </w:p>
        </w:tc>
        <w:tc>
          <w:tcPr>
            <w:tcW w:w="5140" w:type="dxa"/>
            <w:noWrap/>
            <w:vAlign w:val="center"/>
          </w:tcPr>
          <w:p w14:paraId="522B65B4">
            <w:pPr>
              <w:rPr>
                <w:rFonts w:ascii="宋体" w:hAnsi="宋体" w:cs="宋体"/>
                <w:kern w:val="0"/>
                <w:sz w:val="21"/>
                <w:szCs w:val="21"/>
              </w:rPr>
            </w:pPr>
            <w:r>
              <w:rPr>
                <w:rFonts w:hint="eastAsia" w:ascii="宋体" w:hAnsi="宋体" w:cs="宋体"/>
                <w:kern w:val="0"/>
                <w:sz w:val="21"/>
                <w:szCs w:val="21"/>
              </w:rPr>
              <w:t>（1）、评标基准价：通过资格和符合性审查合格的投标单位的报价算术平均值作为评标基准价。</w:t>
            </w:r>
          </w:p>
          <w:p w14:paraId="0911D9E4">
            <w:pPr>
              <w:rPr>
                <w:rFonts w:ascii="宋体" w:hAnsi="宋体" w:cs="宋体"/>
                <w:kern w:val="0"/>
                <w:sz w:val="21"/>
                <w:szCs w:val="21"/>
              </w:rPr>
            </w:pPr>
            <w:r>
              <w:rPr>
                <w:rFonts w:hint="eastAsia" w:ascii="宋体" w:hAnsi="宋体" w:cs="宋体"/>
                <w:kern w:val="0"/>
                <w:sz w:val="21"/>
                <w:szCs w:val="21"/>
              </w:rPr>
              <w:t>（2）、所有通过资格和符合的有效报价先得满分</w:t>
            </w:r>
            <w:r>
              <w:rPr>
                <w:rFonts w:hint="eastAsia" w:ascii="宋体" w:hAnsi="宋体" w:cs="宋体"/>
                <w:kern w:val="0"/>
                <w:sz w:val="21"/>
                <w:szCs w:val="21"/>
                <w:lang w:val="en-US" w:eastAsia="zh-CN"/>
              </w:rPr>
              <w:t>50</w:t>
            </w:r>
            <w:r>
              <w:rPr>
                <w:rFonts w:hint="eastAsia" w:ascii="宋体" w:hAnsi="宋体" w:cs="宋体"/>
                <w:kern w:val="0"/>
                <w:sz w:val="21"/>
                <w:szCs w:val="21"/>
              </w:rPr>
              <w:t>分，在此基础上，有效报价与评标基准价相比，每增加1%扣0.2分，每减少1%扣0.1分，扣完为止。</w:t>
            </w:r>
          </w:p>
        </w:tc>
        <w:tc>
          <w:tcPr>
            <w:tcW w:w="1289" w:type="dxa"/>
            <w:noWrap/>
            <w:vAlign w:val="center"/>
          </w:tcPr>
          <w:p w14:paraId="6BF7E466">
            <w:pPr>
              <w:rPr>
                <w:rFonts w:ascii="宋体" w:hAnsi="宋体" w:cs="宋体"/>
                <w:kern w:val="0"/>
                <w:sz w:val="21"/>
                <w:szCs w:val="21"/>
              </w:rPr>
            </w:pPr>
          </w:p>
        </w:tc>
      </w:tr>
      <w:tr w14:paraId="56E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70" w:type="dxa"/>
            <w:vMerge w:val="restart"/>
            <w:noWrap/>
            <w:vAlign w:val="center"/>
          </w:tcPr>
          <w:p w14:paraId="623FBDCB">
            <w:pPr>
              <w:ind w:firstLine="210" w:firstLineChars="100"/>
              <w:jc w:val="center"/>
              <w:rPr>
                <w:rFonts w:ascii="宋体" w:hAnsi="宋体" w:cs="宋体"/>
                <w:kern w:val="0"/>
                <w:sz w:val="21"/>
                <w:szCs w:val="21"/>
              </w:rPr>
            </w:pPr>
            <w:r>
              <w:rPr>
                <w:rFonts w:hint="eastAsia" w:ascii="宋体" w:hAnsi="宋体" w:cs="宋体"/>
                <w:kern w:val="0"/>
                <w:sz w:val="21"/>
                <w:szCs w:val="21"/>
              </w:rPr>
              <w:t>2</w:t>
            </w:r>
          </w:p>
        </w:tc>
        <w:tc>
          <w:tcPr>
            <w:tcW w:w="1215" w:type="dxa"/>
            <w:vMerge w:val="restart"/>
            <w:noWrap/>
            <w:vAlign w:val="center"/>
          </w:tcPr>
          <w:p w14:paraId="4F259CD0">
            <w:pPr>
              <w:rPr>
                <w:rFonts w:ascii="宋体" w:hAnsi="宋体" w:cs="宋体"/>
                <w:kern w:val="0"/>
                <w:sz w:val="21"/>
                <w:szCs w:val="21"/>
              </w:rPr>
            </w:pPr>
            <w:r>
              <w:rPr>
                <w:rFonts w:hint="eastAsia" w:ascii="宋体" w:hAnsi="宋体" w:cs="宋体"/>
                <w:kern w:val="0"/>
                <w:sz w:val="21"/>
                <w:szCs w:val="21"/>
              </w:rPr>
              <w:t>技术部分（</w:t>
            </w:r>
            <w:r>
              <w:rPr>
                <w:rFonts w:hint="eastAsia" w:ascii="宋体" w:hAnsi="宋体" w:cs="宋体"/>
                <w:kern w:val="0"/>
                <w:sz w:val="21"/>
                <w:szCs w:val="21"/>
                <w:lang w:val="en-US" w:eastAsia="zh-CN"/>
              </w:rPr>
              <w:t>40</w:t>
            </w:r>
            <w:r>
              <w:rPr>
                <w:rFonts w:hint="eastAsia" w:ascii="宋体" w:hAnsi="宋体" w:cs="宋体"/>
                <w:kern w:val="0"/>
                <w:sz w:val="21"/>
                <w:szCs w:val="21"/>
              </w:rPr>
              <w:t>%）</w:t>
            </w:r>
          </w:p>
        </w:tc>
        <w:tc>
          <w:tcPr>
            <w:tcW w:w="942" w:type="dxa"/>
            <w:noWrap/>
            <w:vAlign w:val="center"/>
          </w:tcPr>
          <w:p w14:paraId="215C62C8">
            <w:pPr>
              <w:jc w:val="center"/>
              <w:rPr>
                <w:rFonts w:ascii="宋体" w:hAnsi="宋体" w:cs="宋体"/>
                <w:kern w:val="0"/>
                <w:sz w:val="21"/>
                <w:szCs w:val="21"/>
              </w:rPr>
            </w:pPr>
            <w:r>
              <w:rPr>
                <w:rFonts w:hint="eastAsia" w:ascii="宋体" w:hAnsi="宋体" w:cs="宋体"/>
                <w:sz w:val="21"/>
                <w:szCs w:val="21"/>
                <w:lang w:val="en-US" w:eastAsia="zh-CN"/>
              </w:rPr>
              <w:t>1</w:t>
            </w:r>
            <w:r>
              <w:rPr>
                <w:rFonts w:hint="eastAsia" w:ascii="宋体" w:hAnsi="宋体" w:cs="宋体"/>
                <w:sz w:val="21"/>
                <w:szCs w:val="21"/>
              </w:rPr>
              <w:t>0分</w:t>
            </w:r>
          </w:p>
        </w:tc>
        <w:tc>
          <w:tcPr>
            <w:tcW w:w="5140" w:type="dxa"/>
            <w:noWrap/>
            <w:vAlign w:val="center"/>
          </w:tcPr>
          <w:p w14:paraId="1013EE94">
            <w:pPr>
              <w:rPr>
                <w:rFonts w:ascii="宋体" w:hAnsi="宋体" w:cs="宋体"/>
                <w:sz w:val="21"/>
                <w:szCs w:val="21"/>
              </w:rPr>
            </w:pPr>
            <w:r>
              <w:rPr>
                <w:rFonts w:hint="eastAsia" w:ascii="宋体" w:hAnsi="宋体" w:cs="宋体"/>
                <w:sz w:val="21"/>
                <w:szCs w:val="21"/>
              </w:rPr>
              <w:t>施工进度计划（</w:t>
            </w:r>
            <w:r>
              <w:rPr>
                <w:rFonts w:hint="eastAsia" w:ascii="宋体" w:hAnsi="宋体" w:cs="宋体"/>
                <w:sz w:val="21"/>
                <w:szCs w:val="21"/>
                <w:lang w:val="en-US" w:eastAsia="zh-CN"/>
              </w:rPr>
              <w:t>1</w:t>
            </w:r>
            <w:r>
              <w:rPr>
                <w:rFonts w:hint="eastAsia" w:ascii="宋体" w:hAnsi="宋体" w:cs="宋体"/>
                <w:sz w:val="21"/>
                <w:szCs w:val="21"/>
              </w:rPr>
              <w:t>0分）</w:t>
            </w:r>
          </w:p>
          <w:p w14:paraId="4724B4CE">
            <w:pPr>
              <w:rPr>
                <w:rFonts w:ascii="宋体" w:hAnsi="宋体" w:cs="宋体"/>
                <w:sz w:val="21"/>
                <w:szCs w:val="21"/>
              </w:rPr>
            </w:pPr>
            <w:r>
              <w:rPr>
                <w:rFonts w:hint="eastAsia" w:ascii="宋体" w:hAnsi="宋体" w:cs="宋体"/>
                <w:sz w:val="21"/>
                <w:szCs w:val="21"/>
              </w:rPr>
              <w:t>比选申请人针对本项目提供完整的施工进度计划，内容包含但不限于：①进度保障措施，②详细的施工进度安排等内容进行评审。</w:t>
            </w:r>
          </w:p>
          <w:p w14:paraId="44892811">
            <w:pPr>
              <w:rPr>
                <w:rFonts w:ascii="宋体" w:hAnsi="宋体" w:cs="宋体"/>
                <w:kern w:val="0"/>
                <w:sz w:val="21"/>
                <w:szCs w:val="21"/>
              </w:rPr>
            </w:pPr>
            <w:r>
              <w:rPr>
                <w:rFonts w:hint="eastAsia" w:ascii="宋体" w:hAnsi="宋体" w:cs="宋体"/>
                <w:sz w:val="21"/>
                <w:szCs w:val="21"/>
              </w:rPr>
              <w:t>内容全面、计划安排合理可行、针对性强的得</w:t>
            </w:r>
            <w:r>
              <w:rPr>
                <w:rFonts w:hint="eastAsia" w:ascii="宋体" w:hAnsi="宋体" w:cs="宋体"/>
                <w:sz w:val="21"/>
                <w:szCs w:val="21"/>
                <w:lang w:val="en-US" w:eastAsia="zh-CN"/>
              </w:rPr>
              <w:t>10</w:t>
            </w:r>
            <w:r>
              <w:rPr>
                <w:rFonts w:hint="eastAsia" w:ascii="宋体" w:hAnsi="宋体" w:cs="宋体"/>
                <w:sz w:val="21"/>
                <w:szCs w:val="21"/>
              </w:rPr>
              <w:t>分；内容较全面、计划安排较合理可行、针对性较强的得</w:t>
            </w:r>
            <w:r>
              <w:rPr>
                <w:rFonts w:hint="eastAsia" w:ascii="宋体" w:hAnsi="宋体" w:cs="宋体"/>
                <w:sz w:val="21"/>
                <w:szCs w:val="21"/>
                <w:lang w:val="en-US" w:eastAsia="zh-CN"/>
              </w:rPr>
              <w:t>7</w:t>
            </w:r>
            <w:r>
              <w:rPr>
                <w:rFonts w:hint="eastAsia" w:ascii="宋体" w:hAnsi="宋体" w:cs="宋体"/>
                <w:sz w:val="21"/>
                <w:szCs w:val="21"/>
              </w:rPr>
              <w:t>分；方案内容一般、计划安排一般、针对性一般的得</w:t>
            </w:r>
            <w:r>
              <w:rPr>
                <w:rFonts w:hint="eastAsia" w:ascii="宋体" w:hAnsi="宋体" w:cs="宋体"/>
                <w:sz w:val="21"/>
                <w:szCs w:val="21"/>
                <w:lang w:val="en-US" w:eastAsia="zh-CN"/>
              </w:rPr>
              <w:t>3</w:t>
            </w:r>
            <w:r>
              <w:rPr>
                <w:rFonts w:hint="eastAsia" w:ascii="宋体" w:hAnsi="宋体" w:cs="宋体"/>
                <w:sz w:val="21"/>
                <w:szCs w:val="21"/>
              </w:rPr>
              <w:t>分；未提供不得分。</w:t>
            </w:r>
          </w:p>
        </w:tc>
        <w:tc>
          <w:tcPr>
            <w:tcW w:w="1289" w:type="dxa"/>
            <w:vMerge w:val="restart"/>
            <w:noWrap/>
            <w:vAlign w:val="center"/>
          </w:tcPr>
          <w:p w14:paraId="3B888DC2">
            <w:pPr>
              <w:jc w:val="center"/>
              <w:rPr>
                <w:rFonts w:ascii="宋体" w:hAnsi="宋体" w:cs="宋体"/>
                <w:sz w:val="21"/>
                <w:szCs w:val="21"/>
              </w:rPr>
            </w:pPr>
            <w:r>
              <w:rPr>
                <w:rFonts w:hint="eastAsia" w:ascii="宋体" w:hAnsi="宋体" w:cs="宋体"/>
                <w:sz w:val="21"/>
                <w:szCs w:val="21"/>
              </w:rPr>
              <w:t>提供技术</w:t>
            </w:r>
          </w:p>
          <w:p w14:paraId="130B91F1">
            <w:pPr>
              <w:jc w:val="center"/>
              <w:rPr>
                <w:rFonts w:ascii="宋体" w:hAnsi="宋体" w:cs="宋体"/>
                <w:kern w:val="0"/>
                <w:sz w:val="21"/>
                <w:szCs w:val="21"/>
              </w:rPr>
            </w:pPr>
            <w:r>
              <w:rPr>
                <w:rFonts w:hint="eastAsia" w:ascii="宋体" w:hAnsi="宋体" w:cs="宋体"/>
                <w:sz w:val="21"/>
                <w:szCs w:val="21"/>
              </w:rPr>
              <w:t>方案</w:t>
            </w:r>
          </w:p>
        </w:tc>
      </w:tr>
      <w:tr w14:paraId="39AD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70" w:type="dxa"/>
            <w:vMerge w:val="continue"/>
            <w:noWrap/>
            <w:vAlign w:val="center"/>
          </w:tcPr>
          <w:p w14:paraId="7DCF3C9B">
            <w:pPr>
              <w:jc w:val="center"/>
              <w:rPr>
                <w:rFonts w:ascii="宋体" w:hAnsi="宋体" w:cs="宋体"/>
                <w:kern w:val="0"/>
                <w:sz w:val="21"/>
                <w:szCs w:val="21"/>
              </w:rPr>
            </w:pPr>
          </w:p>
        </w:tc>
        <w:tc>
          <w:tcPr>
            <w:tcW w:w="1215" w:type="dxa"/>
            <w:vMerge w:val="continue"/>
            <w:noWrap/>
            <w:vAlign w:val="center"/>
          </w:tcPr>
          <w:p w14:paraId="50D9CFD3">
            <w:pPr>
              <w:rPr>
                <w:rFonts w:ascii="宋体" w:hAnsi="宋体" w:cs="宋体"/>
                <w:kern w:val="0"/>
                <w:sz w:val="21"/>
                <w:szCs w:val="21"/>
              </w:rPr>
            </w:pPr>
          </w:p>
        </w:tc>
        <w:tc>
          <w:tcPr>
            <w:tcW w:w="942" w:type="dxa"/>
            <w:noWrap/>
            <w:vAlign w:val="center"/>
          </w:tcPr>
          <w:p w14:paraId="3B89A8DA">
            <w:pPr>
              <w:jc w:val="center"/>
              <w:rPr>
                <w:rFonts w:ascii="宋体" w:hAnsi="宋体" w:cs="宋体"/>
                <w:kern w:val="0"/>
                <w:sz w:val="21"/>
                <w:szCs w:val="21"/>
              </w:rPr>
            </w:pPr>
            <w:r>
              <w:rPr>
                <w:rFonts w:hint="eastAsia" w:ascii="宋体" w:hAnsi="宋体" w:cs="宋体"/>
                <w:sz w:val="21"/>
                <w:szCs w:val="21"/>
                <w:lang w:val="en-US" w:eastAsia="zh-CN"/>
              </w:rPr>
              <w:t>1</w:t>
            </w:r>
            <w:r>
              <w:rPr>
                <w:rFonts w:hint="eastAsia" w:ascii="宋体" w:hAnsi="宋体" w:cs="宋体"/>
                <w:sz w:val="21"/>
                <w:szCs w:val="21"/>
              </w:rPr>
              <w:t>0分</w:t>
            </w:r>
          </w:p>
        </w:tc>
        <w:tc>
          <w:tcPr>
            <w:tcW w:w="5140" w:type="dxa"/>
            <w:noWrap/>
            <w:vAlign w:val="center"/>
          </w:tcPr>
          <w:p w14:paraId="2F227261">
            <w:pPr>
              <w:jc w:val="left"/>
              <w:rPr>
                <w:rFonts w:ascii="宋体" w:hAnsi="宋体" w:cs="宋体"/>
                <w:sz w:val="21"/>
                <w:szCs w:val="21"/>
              </w:rPr>
            </w:pPr>
            <w:r>
              <w:rPr>
                <w:rFonts w:hint="eastAsia" w:ascii="宋体" w:hAnsi="宋体" w:cs="宋体"/>
                <w:sz w:val="21"/>
                <w:szCs w:val="21"/>
              </w:rPr>
              <w:t>质量保证及安全管理方案（</w:t>
            </w:r>
            <w:r>
              <w:rPr>
                <w:rFonts w:hint="eastAsia" w:ascii="宋体" w:hAnsi="宋体" w:cs="宋体"/>
                <w:sz w:val="21"/>
                <w:szCs w:val="21"/>
                <w:lang w:val="en-US" w:eastAsia="zh-CN"/>
              </w:rPr>
              <w:t>1</w:t>
            </w:r>
            <w:r>
              <w:rPr>
                <w:rFonts w:hint="eastAsia" w:ascii="宋体" w:hAnsi="宋体" w:cs="宋体"/>
                <w:sz w:val="21"/>
                <w:szCs w:val="21"/>
              </w:rPr>
              <w:t>0分）</w:t>
            </w:r>
          </w:p>
          <w:p w14:paraId="52291EDA">
            <w:pPr>
              <w:rPr>
                <w:rFonts w:ascii="宋体" w:hAnsi="宋体" w:cs="宋体"/>
                <w:sz w:val="21"/>
                <w:szCs w:val="21"/>
              </w:rPr>
            </w:pPr>
            <w:r>
              <w:rPr>
                <w:rFonts w:hint="eastAsia" w:ascii="宋体" w:hAnsi="宋体" w:cs="宋体"/>
                <w:sz w:val="21"/>
                <w:szCs w:val="21"/>
              </w:rPr>
              <w:t>比选申请人针对本项目提供质量保证及安全管理方案，内容包含但不限于：①质量保障措施；②安全管理方案；③应急措施等内容进行评审。</w:t>
            </w:r>
          </w:p>
          <w:p w14:paraId="396A585C">
            <w:pPr>
              <w:rPr>
                <w:rFonts w:ascii="宋体" w:hAnsi="宋体" w:cs="宋体"/>
                <w:kern w:val="0"/>
                <w:sz w:val="21"/>
                <w:szCs w:val="21"/>
              </w:rPr>
            </w:pPr>
            <w:r>
              <w:rPr>
                <w:rFonts w:hint="eastAsia" w:ascii="宋体" w:hAnsi="宋体" w:cs="宋体"/>
                <w:sz w:val="21"/>
                <w:szCs w:val="21"/>
              </w:rPr>
              <w:t>方案内容全面、针对性强、管理措施合理可行的得</w:t>
            </w:r>
            <w:r>
              <w:rPr>
                <w:rFonts w:hint="eastAsia" w:ascii="宋体" w:hAnsi="宋体" w:cs="宋体"/>
                <w:sz w:val="21"/>
                <w:szCs w:val="21"/>
                <w:lang w:val="en-US" w:eastAsia="zh-CN"/>
              </w:rPr>
              <w:t>10</w:t>
            </w:r>
            <w:r>
              <w:rPr>
                <w:rFonts w:hint="eastAsia" w:ascii="宋体" w:hAnsi="宋体" w:cs="宋体"/>
                <w:sz w:val="21"/>
                <w:szCs w:val="21"/>
              </w:rPr>
              <w:t>分；方案内容较全面、针对性较强、管理措施较合理可行的得</w:t>
            </w:r>
            <w:r>
              <w:rPr>
                <w:rFonts w:hint="eastAsia" w:ascii="宋体" w:hAnsi="宋体" w:cs="宋体"/>
                <w:sz w:val="21"/>
                <w:szCs w:val="21"/>
                <w:lang w:val="en-US" w:eastAsia="zh-CN"/>
              </w:rPr>
              <w:t>7</w:t>
            </w:r>
            <w:r>
              <w:rPr>
                <w:rFonts w:hint="eastAsia" w:ascii="宋体" w:hAnsi="宋体" w:cs="宋体"/>
                <w:sz w:val="21"/>
                <w:szCs w:val="21"/>
              </w:rPr>
              <w:t>分；方案内容一般、针对性一般、管理措施合理可行性一般的得</w:t>
            </w:r>
            <w:r>
              <w:rPr>
                <w:rFonts w:hint="eastAsia" w:ascii="宋体" w:hAnsi="宋体" w:cs="宋体"/>
                <w:sz w:val="21"/>
                <w:szCs w:val="21"/>
                <w:lang w:val="en-US" w:eastAsia="zh-CN"/>
              </w:rPr>
              <w:t>3</w:t>
            </w:r>
            <w:r>
              <w:rPr>
                <w:rFonts w:hint="eastAsia" w:ascii="宋体" w:hAnsi="宋体" w:cs="宋体"/>
                <w:sz w:val="21"/>
                <w:szCs w:val="21"/>
              </w:rPr>
              <w:t xml:space="preserve">分；未提供不得分。 </w:t>
            </w:r>
          </w:p>
        </w:tc>
        <w:tc>
          <w:tcPr>
            <w:tcW w:w="1289" w:type="dxa"/>
            <w:vMerge w:val="continue"/>
            <w:noWrap/>
            <w:vAlign w:val="center"/>
          </w:tcPr>
          <w:p w14:paraId="6C8217F8">
            <w:pPr>
              <w:rPr>
                <w:rFonts w:ascii="宋体" w:hAnsi="宋体" w:cs="宋体"/>
                <w:kern w:val="0"/>
                <w:sz w:val="21"/>
                <w:szCs w:val="21"/>
              </w:rPr>
            </w:pPr>
          </w:p>
        </w:tc>
      </w:tr>
      <w:tr w14:paraId="0E92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0" w:type="dxa"/>
            <w:vMerge w:val="continue"/>
            <w:noWrap/>
            <w:vAlign w:val="center"/>
          </w:tcPr>
          <w:p w14:paraId="25AC6663">
            <w:pPr>
              <w:jc w:val="center"/>
              <w:rPr>
                <w:rFonts w:ascii="宋体" w:hAnsi="宋体" w:cs="宋体"/>
                <w:kern w:val="0"/>
                <w:sz w:val="21"/>
                <w:szCs w:val="21"/>
              </w:rPr>
            </w:pPr>
          </w:p>
        </w:tc>
        <w:tc>
          <w:tcPr>
            <w:tcW w:w="1215" w:type="dxa"/>
            <w:vMerge w:val="continue"/>
            <w:noWrap/>
            <w:vAlign w:val="center"/>
          </w:tcPr>
          <w:p w14:paraId="3C155312">
            <w:pPr>
              <w:rPr>
                <w:rFonts w:ascii="宋体" w:hAnsi="宋体" w:cs="宋体"/>
                <w:kern w:val="0"/>
                <w:sz w:val="21"/>
                <w:szCs w:val="21"/>
              </w:rPr>
            </w:pPr>
          </w:p>
        </w:tc>
        <w:tc>
          <w:tcPr>
            <w:tcW w:w="942" w:type="dxa"/>
            <w:noWrap/>
            <w:vAlign w:val="center"/>
          </w:tcPr>
          <w:p w14:paraId="1280743E">
            <w:pPr>
              <w:jc w:val="center"/>
              <w:rPr>
                <w:rFonts w:ascii="宋体" w:hAnsi="宋体" w:cs="宋体"/>
                <w:kern w:val="0"/>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分</w:t>
            </w:r>
          </w:p>
        </w:tc>
        <w:tc>
          <w:tcPr>
            <w:tcW w:w="5140" w:type="dxa"/>
            <w:noWrap/>
            <w:vAlign w:val="center"/>
          </w:tcPr>
          <w:p w14:paraId="14DB8914">
            <w:pPr>
              <w:rPr>
                <w:rFonts w:ascii="宋体" w:hAnsi="宋体" w:cs="宋体"/>
                <w:sz w:val="21"/>
                <w:szCs w:val="21"/>
              </w:rPr>
            </w:pPr>
            <w:r>
              <w:rPr>
                <w:rFonts w:hint="eastAsia" w:ascii="宋体" w:hAnsi="宋体" w:cs="宋体"/>
                <w:sz w:val="21"/>
                <w:szCs w:val="21"/>
                <w:lang w:val="zh-CN"/>
              </w:rPr>
              <w:t>安全文明施工方案</w:t>
            </w: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分）</w:t>
            </w:r>
          </w:p>
          <w:p w14:paraId="0CF69603">
            <w:pPr>
              <w:rPr>
                <w:rFonts w:ascii="宋体" w:hAnsi="宋体" w:cs="宋体"/>
                <w:sz w:val="21"/>
                <w:szCs w:val="21"/>
              </w:rPr>
            </w:pPr>
            <w:r>
              <w:rPr>
                <w:rFonts w:hint="eastAsia" w:ascii="宋体" w:hAnsi="宋体" w:cs="宋体"/>
                <w:sz w:val="21"/>
                <w:szCs w:val="21"/>
              </w:rPr>
              <w:t>比选申请人针对本项目提供完整的安全文明施工方案，包括但不限于：①安全管理体系；②安全技术措施和安全应急预案等进行评定。</w:t>
            </w:r>
          </w:p>
          <w:p w14:paraId="63F6749F">
            <w:pPr>
              <w:rPr>
                <w:rFonts w:ascii="宋体" w:hAnsi="宋体" w:cs="宋体"/>
                <w:kern w:val="0"/>
                <w:sz w:val="21"/>
                <w:szCs w:val="21"/>
              </w:rPr>
            </w:pPr>
            <w:r>
              <w:rPr>
                <w:rFonts w:hint="eastAsia" w:ascii="宋体" w:hAnsi="宋体" w:cs="宋体"/>
                <w:sz w:val="21"/>
                <w:szCs w:val="21"/>
                <w:lang w:val="zh-CN"/>
              </w:rPr>
              <w:t>安全文明施工方案</w:t>
            </w:r>
            <w:r>
              <w:rPr>
                <w:rFonts w:hint="eastAsia" w:ascii="宋体" w:hAnsi="宋体" w:cs="宋体"/>
                <w:sz w:val="21"/>
                <w:szCs w:val="21"/>
              </w:rPr>
              <w:t>内容全面、针对性强、可实施操作性强的得1</w:t>
            </w:r>
            <w:r>
              <w:rPr>
                <w:rFonts w:hint="eastAsia" w:ascii="宋体" w:hAnsi="宋体" w:cs="宋体"/>
                <w:sz w:val="21"/>
                <w:szCs w:val="21"/>
                <w:lang w:val="en-US" w:eastAsia="zh-CN"/>
              </w:rPr>
              <w:t>0</w:t>
            </w:r>
            <w:r>
              <w:rPr>
                <w:rFonts w:hint="eastAsia" w:ascii="宋体" w:hAnsi="宋体" w:cs="宋体"/>
                <w:sz w:val="21"/>
                <w:szCs w:val="21"/>
              </w:rPr>
              <w:t>分；</w:t>
            </w:r>
            <w:r>
              <w:rPr>
                <w:rFonts w:hint="eastAsia" w:ascii="宋体" w:hAnsi="宋体" w:cs="宋体"/>
                <w:sz w:val="21"/>
                <w:szCs w:val="21"/>
                <w:lang w:val="zh-CN"/>
              </w:rPr>
              <w:t>安全文明施工方案</w:t>
            </w:r>
            <w:r>
              <w:rPr>
                <w:rFonts w:hint="eastAsia" w:ascii="宋体" w:hAnsi="宋体" w:cs="宋体"/>
                <w:sz w:val="21"/>
                <w:szCs w:val="21"/>
              </w:rPr>
              <w:t>内容较全面、针对性较强、可实施操作性较强的得</w:t>
            </w:r>
            <w:r>
              <w:rPr>
                <w:rFonts w:hint="eastAsia" w:ascii="宋体" w:hAnsi="宋体" w:cs="宋体"/>
                <w:sz w:val="21"/>
                <w:szCs w:val="21"/>
                <w:lang w:val="en-US" w:eastAsia="zh-CN"/>
              </w:rPr>
              <w:t>7</w:t>
            </w:r>
            <w:r>
              <w:rPr>
                <w:rFonts w:hint="eastAsia" w:ascii="宋体" w:hAnsi="宋体" w:cs="宋体"/>
                <w:sz w:val="21"/>
                <w:szCs w:val="21"/>
              </w:rPr>
              <w:t>分；</w:t>
            </w:r>
            <w:r>
              <w:rPr>
                <w:rFonts w:hint="eastAsia" w:ascii="宋体" w:hAnsi="宋体" w:cs="宋体"/>
                <w:sz w:val="21"/>
                <w:szCs w:val="21"/>
                <w:lang w:val="zh-CN"/>
              </w:rPr>
              <w:t>安全文明施工方案</w:t>
            </w:r>
            <w:r>
              <w:rPr>
                <w:rFonts w:hint="eastAsia" w:ascii="宋体" w:hAnsi="宋体" w:cs="宋体"/>
                <w:sz w:val="21"/>
                <w:szCs w:val="21"/>
              </w:rPr>
              <w:t>内容一般、针对性一般、可实施操作性一般的得</w:t>
            </w:r>
            <w:r>
              <w:rPr>
                <w:rFonts w:hint="eastAsia" w:ascii="宋体" w:hAnsi="宋体" w:cs="宋体"/>
                <w:sz w:val="21"/>
                <w:szCs w:val="21"/>
                <w:lang w:val="en-US" w:eastAsia="zh-CN"/>
              </w:rPr>
              <w:t>3</w:t>
            </w:r>
            <w:r>
              <w:rPr>
                <w:rFonts w:hint="eastAsia" w:ascii="宋体" w:hAnsi="宋体" w:cs="宋体"/>
                <w:sz w:val="21"/>
                <w:szCs w:val="21"/>
              </w:rPr>
              <w:t>分；未提供不得分。</w:t>
            </w:r>
          </w:p>
        </w:tc>
        <w:tc>
          <w:tcPr>
            <w:tcW w:w="1289" w:type="dxa"/>
            <w:vMerge w:val="continue"/>
            <w:noWrap/>
            <w:vAlign w:val="center"/>
          </w:tcPr>
          <w:p w14:paraId="5A0D8385">
            <w:pPr>
              <w:rPr>
                <w:rFonts w:ascii="宋体" w:hAnsi="宋体" w:cs="宋体"/>
                <w:kern w:val="0"/>
                <w:sz w:val="21"/>
                <w:szCs w:val="21"/>
              </w:rPr>
            </w:pPr>
          </w:p>
        </w:tc>
      </w:tr>
      <w:tr w14:paraId="68EB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70" w:type="dxa"/>
            <w:vMerge w:val="continue"/>
            <w:noWrap/>
            <w:vAlign w:val="center"/>
          </w:tcPr>
          <w:p w14:paraId="64466647">
            <w:pPr>
              <w:jc w:val="center"/>
              <w:rPr>
                <w:rFonts w:ascii="宋体" w:hAnsi="宋体" w:cs="宋体"/>
                <w:kern w:val="0"/>
                <w:sz w:val="21"/>
                <w:szCs w:val="21"/>
              </w:rPr>
            </w:pPr>
          </w:p>
        </w:tc>
        <w:tc>
          <w:tcPr>
            <w:tcW w:w="1215" w:type="dxa"/>
            <w:vMerge w:val="continue"/>
            <w:noWrap/>
            <w:vAlign w:val="center"/>
          </w:tcPr>
          <w:p w14:paraId="56FAE3A0">
            <w:pPr>
              <w:rPr>
                <w:rFonts w:ascii="宋体" w:hAnsi="宋体" w:cs="宋体"/>
                <w:kern w:val="0"/>
                <w:sz w:val="21"/>
                <w:szCs w:val="21"/>
              </w:rPr>
            </w:pPr>
          </w:p>
        </w:tc>
        <w:tc>
          <w:tcPr>
            <w:tcW w:w="942" w:type="dxa"/>
            <w:noWrap/>
            <w:vAlign w:val="center"/>
          </w:tcPr>
          <w:p w14:paraId="1272A2B8">
            <w:pPr>
              <w:jc w:val="center"/>
              <w:rPr>
                <w:rFonts w:ascii="宋体" w:hAnsi="宋体" w:cs="宋体"/>
                <w:kern w:val="0"/>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分</w:t>
            </w:r>
          </w:p>
        </w:tc>
        <w:tc>
          <w:tcPr>
            <w:tcW w:w="5140" w:type="dxa"/>
            <w:noWrap/>
            <w:vAlign w:val="center"/>
          </w:tcPr>
          <w:p w14:paraId="08F6B802">
            <w:pPr>
              <w:rPr>
                <w:rFonts w:ascii="宋体" w:hAnsi="宋体" w:cs="宋体"/>
                <w:sz w:val="21"/>
                <w:szCs w:val="21"/>
              </w:rPr>
            </w:pPr>
            <w:r>
              <w:rPr>
                <w:rFonts w:hint="eastAsia" w:ascii="宋体" w:hAnsi="宋体" w:cs="宋体"/>
                <w:sz w:val="21"/>
                <w:szCs w:val="21"/>
              </w:rPr>
              <w:t>售后服务方案（1</w:t>
            </w:r>
            <w:r>
              <w:rPr>
                <w:rFonts w:hint="eastAsia" w:ascii="宋体" w:hAnsi="宋体" w:cs="宋体"/>
                <w:sz w:val="21"/>
                <w:szCs w:val="21"/>
                <w:lang w:val="en-US" w:eastAsia="zh-CN"/>
              </w:rPr>
              <w:t>0</w:t>
            </w:r>
            <w:r>
              <w:rPr>
                <w:rFonts w:hint="eastAsia" w:ascii="宋体" w:hAnsi="宋体" w:cs="宋体"/>
                <w:sz w:val="21"/>
                <w:szCs w:val="21"/>
              </w:rPr>
              <w:t>分）</w:t>
            </w:r>
          </w:p>
          <w:p w14:paraId="4057453A">
            <w:pPr>
              <w:rPr>
                <w:rFonts w:ascii="宋体" w:hAnsi="宋体" w:cs="宋体"/>
                <w:sz w:val="21"/>
                <w:szCs w:val="21"/>
              </w:rPr>
            </w:pPr>
            <w:r>
              <w:rPr>
                <w:rFonts w:hint="eastAsia" w:ascii="宋体" w:hAnsi="宋体" w:cs="宋体"/>
                <w:sz w:val="21"/>
                <w:szCs w:val="21"/>
              </w:rPr>
              <w:t>比选申请人针对本项目提供完整的售后服务方案，内容包含但不限于：①响应方式及响应时间；②售后服务人员；③详细说明服务方式及具体实施方法等内容进行评审。</w:t>
            </w:r>
          </w:p>
          <w:p w14:paraId="36E93CD4">
            <w:pPr>
              <w:rPr>
                <w:rFonts w:ascii="宋体" w:hAnsi="宋体" w:cs="宋体"/>
                <w:kern w:val="0"/>
                <w:sz w:val="21"/>
                <w:szCs w:val="21"/>
              </w:rPr>
            </w:pPr>
            <w:r>
              <w:rPr>
                <w:rFonts w:hint="eastAsia" w:ascii="宋体" w:hAnsi="宋体" w:cs="宋体"/>
                <w:sz w:val="21"/>
                <w:szCs w:val="21"/>
              </w:rPr>
              <w:t>方案内容全面、针对性强、管理措施合理可行的得1</w:t>
            </w:r>
            <w:r>
              <w:rPr>
                <w:rFonts w:hint="eastAsia" w:ascii="宋体" w:hAnsi="宋体" w:cs="宋体"/>
                <w:sz w:val="21"/>
                <w:szCs w:val="21"/>
                <w:lang w:val="en-US" w:eastAsia="zh-CN"/>
              </w:rPr>
              <w:t>0</w:t>
            </w:r>
            <w:r>
              <w:rPr>
                <w:rFonts w:hint="eastAsia" w:ascii="宋体" w:hAnsi="宋体" w:cs="宋体"/>
                <w:sz w:val="21"/>
                <w:szCs w:val="21"/>
              </w:rPr>
              <w:t>分；方案内容较全面、针对性较强、管理措施较合理可行的得</w:t>
            </w:r>
            <w:r>
              <w:rPr>
                <w:rFonts w:hint="eastAsia" w:ascii="宋体" w:hAnsi="宋体" w:cs="宋体"/>
                <w:sz w:val="21"/>
                <w:szCs w:val="21"/>
                <w:lang w:val="en-US" w:eastAsia="zh-CN"/>
              </w:rPr>
              <w:t>7</w:t>
            </w:r>
            <w:r>
              <w:rPr>
                <w:rFonts w:hint="eastAsia" w:ascii="宋体" w:hAnsi="宋体" w:cs="宋体"/>
                <w:sz w:val="21"/>
                <w:szCs w:val="21"/>
              </w:rPr>
              <w:t>分；方案内容一般、针对性一般、管理措施合理可行性一般的得</w:t>
            </w:r>
            <w:r>
              <w:rPr>
                <w:rFonts w:hint="eastAsia" w:ascii="宋体" w:hAnsi="宋体" w:cs="宋体"/>
                <w:sz w:val="21"/>
                <w:szCs w:val="21"/>
                <w:lang w:val="en-US" w:eastAsia="zh-CN"/>
              </w:rPr>
              <w:t>3</w:t>
            </w:r>
            <w:r>
              <w:rPr>
                <w:rFonts w:hint="eastAsia" w:ascii="宋体" w:hAnsi="宋体" w:cs="宋体"/>
                <w:sz w:val="21"/>
                <w:szCs w:val="21"/>
              </w:rPr>
              <w:t xml:space="preserve">分；未提供不得分。 </w:t>
            </w:r>
          </w:p>
        </w:tc>
        <w:tc>
          <w:tcPr>
            <w:tcW w:w="1289" w:type="dxa"/>
            <w:vMerge w:val="continue"/>
            <w:noWrap/>
            <w:vAlign w:val="center"/>
          </w:tcPr>
          <w:p w14:paraId="49ADE77C">
            <w:pPr>
              <w:rPr>
                <w:rFonts w:ascii="宋体" w:hAnsi="宋体" w:cs="宋体"/>
                <w:kern w:val="0"/>
                <w:sz w:val="21"/>
                <w:szCs w:val="21"/>
              </w:rPr>
            </w:pPr>
          </w:p>
        </w:tc>
      </w:tr>
      <w:tr w14:paraId="3BD5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70" w:type="dxa"/>
            <w:noWrap/>
            <w:vAlign w:val="center"/>
          </w:tcPr>
          <w:p w14:paraId="29342078">
            <w:pPr>
              <w:jc w:val="center"/>
              <w:rPr>
                <w:rFonts w:ascii="宋体" w:hAnsi="宋体" w:cs="宋体"/>
                <w:sz w:val="21"/>
                <w:szCs w:val="21"/>
              </w:rPr>
            </w:pPr>
            <w:r>
              <w:rPr>
                <w:rFonts w:hint="eastAsia" w:ascii="宋体" w:hAnsi="宋体" w:cs="宋体"/>
                <w:sz w:val="21"/>
                <w:szCs w:val="21"/>
              </w:rPr>
              <w:t>3</w:t>
            </w:r>
          </w:p>
        </w:tc>
        <w:tc>
          <w:tcPr>
            <w:tcW w:w="1215" w:type="dxa"/>
            <w:noWrap/>
            <w:vAlign w:val="center"/>
          </w:tcPr>
          <w:p w14:paraId="0FFC1791">
            <w:pPr>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10</w:t>
            </w:r>
            <w:r>
              <w:rPr>
                <w:rFonts w:hint="eastAsia" w:ascii="宋体" w:hAnsi="宋体" w:cs="宋体"/>
                <w:sz w:val="21"/>
                <w:szCs w:val="21"/>
              </w:rPr>
              <w:t>%）</w:t>
            </w:r>
          </w:p>
        </w:tc>
        <w:tc>
          <w:tcPr>
            <w:tcW w:w="942" w:type="dxa"/>
            <w:noWrap/>
            <w:vAlign w:val="center"/>
          </w:tcPr>
          <w:p w14:paraId="1BA822F9">
            <w:pPr>
              <w:jc w:val="center"/>
              <w:rPr>
                <w:rFonts w:ascii="宋体" w:hAnsi="宋体" w:cs="宋体"/>
                <w:sz w:val="21"/>
                <w:szCs w:val="21"/>
              </w:rPr>
            </w:pPr>
            <w:r>
              <w:rPr>
                <w:rFonts w:hint="eastAsia" w:ascii="宋体" w:hAnsi="宋体" w:cs="宋体"/>
                <w:sz w:val="21"/>
                <w:szCs w:val="21"/>
              </w:rPr>
              <w:t>业绩</w:t>
            </w:r>
          </w:p>
          <w:p w14:paraId="0260C775">
            <w:pPr>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分）</w:t>
            </w:r>
          </w:p>
        </w:tc>
        <w:tc>
          <w:tcPr>
            <w:tcW w:w="5140" w:type="dxa"/>
            <w:noWrap/>
            <w:vAlign w:val="center"/>
          </w:tcPr>
          <w:p w14:paraId="5380F4AB">
            <w:pPr>
              <w:rPr>
                <w:rFonts w:ascii="宋体" w:hAnsi="宋体" w:cs="宋体"/>
                <w:sz w:val="21"/>
                <w:szCs w:val="21"/>
              </w:rPr>
            </w:pPr>
            <w:r>
              <w:rPr>
                <w:rFonts w:hint="eastAsia" w:ascii="宋体" w:hAnsi="宋体" w:cs="宋体"/>
                <w:sz w:val="21"/>
                <w:szCs w:val="21"/>
              </w:rPr>
              <w:t>比选申请人自2021年1月1日以来至今具有类似工程相关业绩的，每有1个得5分，最多得</w:t>
            </w:r>
            <w:r>
              <w:rPr>
                <w:rFonts w:hint="eastAsia" w:ascii="宋体" w:hAnsi="宋体" w:cs="宋体"/>
                <w:sz w:val="21"/>
                <w:szCs w:val="21"/>
                <w:lang w:val="en-US" w:eastAsia="zh-CN"/>
              </w:rPr>
              <w:t>10</w:t>
            </w:r>
            <w:r>
              <w:rPr>
                <w:rFonts w:hint="eastAsia" w:ascii="宋体" w:hAnsi="宋体" w:cs="宋体"/>
                <w:sz w:val="21"/>
                <w:szCs w:val="21"/>
              </w:rPr>
              <w:t>分。</w:t>
            </w:r>
          </w:p>
          <w:p w14:paraId="31EEBA13">
            <w:pPr>
              <w:rPr>
                <w:rFonts w:ascii="宋体" w:hAnsi="宋体" w:cs="宋体"/>
                <w:sz w:val="21"/>
                <w:szCs w:val="21"/>
              </w:rPr>
            </w:pPr>
            <w:r>
              <w:rPr>
                <w:rFonts w:hint="eastAsia" w:ascii="宋体" w:hAnsi="宋体" w:cs="宋体"/>
                <w:sz w:val="21"/>
                <w:szCs w:val="21"/>
              </w:rPr>
              <w:t>类似业绩是指：改造或绿化工程。</w:t>
            </w:r>
          </w:p>
        </w:tc>
        <w:tc>
          <w:tcPr>
            <w:tcW w:w="1289" w:type="dxa"/>
            <w:noWrap/>
            <w:vAlign w:val="center"/>
          </w:tcPr>
          <w:p w14:paraId="3AA98440">
            <w:pPr>
              <w:rPr>
                <w:rFonts w:ascii="宋体" w:hAnsi="宋体" w:cs="宋体"/>
                <w:sz w:val="21"/>
                <w:szCs w:val="21"/>
              </w:rPr>
            </w:pPr>
            <w:r>
              <w:rPr>
                <w:rFonts w:hint="eastAsia" w:ascii="宋体" w:hAnsi="宋体" w:cs="宋体"/>
                <w:sz w:val="21"/>
                <w:szCs w:val="21"/>
              </w:rPr>
              <w:t>提供中标通知书、合同协议书复印件并加盖公章。</w:t>
            </w:r>
          </w:p>
        </w:tc>
      </w:tr>
    </w:tbl>
    <w:p w14:paraId="0E0D6729">
      <w:pPr>
        <w:spacing w:line="500" w:lineRule="exact"/>
        <w:rPr>
          <w:rFonts w:ascii="宋体" w:hAnsi="宋体" w:cs="宋体"/>
        </w:rPr>
      </w:pPr>
      <w:r>
        <w:rPr>
          <w:rFonts w:hint="eastAsia" w:ascii="宋体" w:hAnsi="宋体" w:cs="宋体"/>
          <w:sz w:val="24"/>
          <w:szCs w:val="24"/>
        </w:rPr>
        <w:t>注意：比选申请人需保证提供资料的真实性，比选人将对资料真实性进行核实，若核实发现虚假资料，比选人有权取消比选申请人的比选资格或中选资格或解除合同。</w:t>
      </w:r>
    </w:p>
    <w:p w14:paraId="7ED4F60A">
      <w:pPr>
        <w:pStyle w:val="6"/>
        <w:spacing w:before="0" w:after="0" w:line="500" w:lineRule="exact"/>
        <w:rPr>
          <w:rFonts w:ascii="宋体" w:hAnsi="宋体" w:cs="宋体"/>
          <w:sz w:val="24"/>
          <w:szCs w:val="24"/>
        </w:rPr>
      </w:pPr>
      <w:bookmarkStart w:id="105" w:name="_Toc28802"/>
      <w:bookmarkStart w:id="106" w:name="_Toc4966"/>
      <w:bookmarkStart w:id="107" w:name="_Toc15956"/>
      <w:bookmarkStart w:id="108" w:name="_Toc83288551"/>
      <w:r>
        <w:rPr>
          <w:rFonts w:hint="eastAsia" w:ascii="宋体" w:hAnsi="宋体" w:cs="宋体"/>
          <w:sz w:val="24"/>
          <w:szCs w:val="24"/>
        </w:rPr>
        <w:t>三、无效响应</w:t>
      </w:r>
      <w:bookmarkEnd w:id="105"/>
      <w:bookmarkEnd w:id="106"/>
      <w:bookmarkEnd w:id="107"/>
      <w:bookmarkEnd w:id="108"/>
    </w:p>
    <w:p w14:paraId="1E8A66BA">
      <w:pPr>
        <w:snapToGrid w:val="0"/>
        <w:spacing w:line="500" w:lineRule="exact"/>
        <w:ind w:firstLine="465"/>
        <w:rPr>
          <w:rFonts w:ascii="宋体" w:hAnsi="宋体" w:cs="宋体"/>
          <w:sz w:val="24"/>
          <w:szCs w:val="24"/>
        </w:rPr>
      </w:pPr>
      <w:r>
        <w:rPr>
          <w:rFonts w:hint="eastAsia" w:ascii="宋体" w:hAnsi="宋体" w:cs="宋体"/>
          <w:sz w:val="24"/>
          <w:szCs w:val="24"/>
        </w:rPr>
        <w:t>比选申请人发生以下条款情况之一者，视为无效响应，其响应文件将被拒绝：</w:t>
      </w:r>
    </w:p>
    <w:p w14:paraId="74F3B939">
      <w:pPr>
        <w:snapToGrid w:val="0"/>
        <w:spacing w:line="500" w:lineRule="exact"/>
        <w:ind w:firstLine="465"/>
        <w:rPr>
          <w:rFonts w:ascii="宋体" w:hAnsi="宋体" w:cs="宋体"/>
          <w:sz w:val="24"/>
          <w:szCs w:val="24"/>
        </w:rPr>
      </w:pPr>
      <w:r>
        <w:rPr>
          <w:rFonts w:hint="eastAsia" w:ascii="宋体" w:hAnsi="宋体" w:cs="宋体"/>
          <w:sz w:val="24"/>
          <w:szCs w:val="24"/>
        </w:rPr>
        <w:t>（一）比选申请人不符合规定的基本资格条件或特定资格条件的；</w:t>
      </w:r>
    </w:p>
    <w:p w14:paraId="2488EC79">
      <w:pPr>
        <w:snapToGrid w:val="0"/>
        <w:spacing w:line="500" w:lineRule="exact"/>
        <w:ind w:firstLine="465"/>
        <w:rPr>
          <w:rFonts w:ascii="宋体" w:hAnsi="宋体" w:cs="宋体"/>
          <w:sz w:val="24"/>
          <w:szCs w:val="24"/>
        </w:rPr>
      </w:pPr>
      <w:r>
        <w:rPr>
          <w:rFonts w:hint="eastAsia" w:ascii="宋体" w:hAnsi="宋体" w:cs="宋体"/>
          <w:sz w:val="24"/>
          <w:szCs w:val="24"/>
        </w:rPr>
        <w:t>（二）比选申请人的法定代表人或其授权代表未参加比选；</w:t>
      </w:r>
    </w:p>
    <w:p w14:paraId="0C546DEE">
      <w:pPr>
        <w:snapToGrid w:val="0"/>
        <w:spacing w:line="500" w:lineRule="exact"/>
        <w:ind w:firstLine="465"/>
        <w:rPr>
          <w:rFonts w:ascii="宋体" w:hAnsi="宋体" w:cs="宋体"/>
          <w:sz w:val="24"/>
          <w:szCs w:val="24"/>
        </w:rPr>
      </w:pPr>
      <w:r>
        <w:rPr>
          <w:rFonts w:hint="eastAsia" w:ascii="宋体" w:hAnsi="宋体" w:cs="宋体"/>
          <w:sz w:val="24"/>
          <w:szCs w:val="24"/>
        </w:rPr>
        <w:t>（三）比选申请人未按照竞争性比选文件的要求缴纳比选保证金；</w:t>
      </w:r>
    </w:p>
    <w:p w14:paraId="65C43397">
      <w:pPr>
        <w:snapToGrid w:val="0"/>
        <w:spacing w:line="500" w:lineRule="exact"/>
        <w:ind w:firstLine="465"/>
        <w:rPr>
          <w:rFonts w:ascii="宋体" w:hAnsi="宋体" w:cs="宋体"/>
          <w:sz w:val="24"/>
          <w:szCs w:val="24"/>
        </w:rPr>
      </w:pPr>
      <w:r>
        <w:rPr>
          <w:rFonts w:hint="eastAsia" w:ascii="宋体" w:hAnsi="宋体" w:cs="宋体"/>
          <w:sz w:val="24"/>
          <w:szCs w:val="24"/>
        </w:rPr>
        <w:t>（四）比选申请人所提交的响应文件不按第七篇“响应文件编制要求”规定签字、盖章；</w:t>
      </w:r>
    </w:p>
    <w:p w14:paraId="64FC901A">
      <w:pPr>
        <w:snapToGrid w:val="0"/>
        <w:spacing w:line="500" w:lineRule="exact"/>
        <w:ind w:firstLine="465"/>
        <w:rPr>
          <w:rFonts w:ascii="宋体" w:hAnsi="宋体" w:cs="宋体"/>
          <w:sz w:val="24"/>
          <w:szCs w:val="24"/>
        </w:rPr>
      </w:pPr>
      <w:r>
        <w:rPr>
          <w:rFonts w:hint="eastAsia" w:ascii="宋体" w:hAnsi="宋体" w:cs="宋体"/>
          <w:sz w:val="24"/>
          <w:szCs w:val="24"/>
        </w:rPr>
        <w:t>（五）比选申请人的最后报价超过比选预算的；</w:t>
      </w:r>
    </w:p>
    <w:p w14:paraId="3124DDB9">
      <w:pPr>
        <w:snapToGrid w:val="0"/>
        <w:spacing w:line="500" w:lineRule="exact"/>
        <w:ind w:firstLine="465"/>
        <w:rPr>
          <w:rFonts w:ascii="宋体" w:hAnsi="宋体" w:cs="宋体"/>
          <w:sz w:val="24"/>
          <w:szCs w:val="24"/>
        </w:rPr>
      </w:pPr>
      <w:r>
        <w:rPr>
          <w:rFonts w:hint="eastAsia" w:ascii="宋体" w:hAnsi="宋体" w:cs="宋体"/>
          <w:sz w:val="24"/>
          <w:szCs w:val="24"/>
        </w:rPr>
        <w:t>（六）法定代表人为同一个人的两个及两个以上法人，母公司、全资子公司及其控股公司，在同一比选中同时参与比选；</w:t>
      </w:r>
    </w:p>
    <w:p w14:paraId="1666CF9F">
      <w:pPr>
        <w:snapToGrid w:val="0"/>
        <w:spacing w:line="500" w:lineRule="exact"/>
        <w:ind w:firstLine="465"/>
        <w:rPr>
          <w:rFonts w:ascii="宋体" w:hAnsi="宋体" w:cs="宋体"/>
          <w:sz w:val="24"/>
          <w:szCs w:val="24"/>
        </w:rPr>
      </w:pPr>
      <w:r>
        <w:rPr>
          <w:rFonts w:hint="eastAsia" w:ascii="宋体" w:hAnsi="宋体" w:cs="宋体"/>
          <w:sz w:val="24"/>
          <w:szCs w:val="24"/>
        </w:rPr>
        <w:t>（七）单位负责人为同一人或者存在直接控股、管理关系的不同比选申请人，参加同一合同项下的比选活动的；</w:t>
      </w:r>
    </w:p>
    <w:p w14:paraId="050ACEAC">
      <w:pPr>
        <w:snapToGrid w:val="0"/>
        <w:spacing w:line="500" w:lineRule="exact"/>
        <w:ind w:firstLine="465"/>
        <w:rPr>
          <w:rFonts w:ascii="宋体" w:hAnsi="宋体" w:cs="宋体"/>
          <w:sz w:val="24"/>
          <w:szCs w:val="24"/>
        </w:rPr>
      </w:pPr>
      <w:r>
        <w:rPr>
          <w:rFonts w:hint="eastAsia" w:ascii="宋体" w:hAnsi="宋体" w:cs="宋体"/>
          <w:sz w:val="24"/>
          <w:szCs w:val="24"/>
        </w:rPr>
        <w:t>（八）为比选项目提供规范编制或者项目管理、监理、检测等服务的比选申请人，再参加该比选项目的其他比选活动；</w:t>
      </w:r>
    </w:p>
    <w:p w14:paraId="0CE94725">
      <w:pPr>
        <w:snapToGrid w:val="0"/>
        <w:spacing w:line="500" w:lineRule="exact"/>
        <w:ind w:firstLine="465"/>
        <w:rPr>
          <w:rFonts w:ascii="宋体" w:hAnsi="宋体" w:cs="宋体"/>
          <w:sz w:val="24"/>
          <w:szCs w:val="24"/>
        </w:rPr>
      </w:pPr>
      <w:r>
        <w:rPr>
          <w:rFonts w:hint="eastAsia" w:ascii="宋体" w:hAnsi="宋体" w:cs="宋体"/>
          <w:sz w:val="24"/>
          <w:szCs w:val="24"/>
        </w:rPr>
        <w:t>（九）比选申请人的服务期、质量保证期及比选有效期不满足竞争性比选文件要求的；</w:t>
      </w:r>
    </w:p>
    <w:p w14:paraId="603A35B6">
      <w:pPr>
        <w:snapToGrid w:val="0"/>
        <w:spacing w:line="500" w:lineRule="exact"/>
        <w:ind w:firstLine="465"/>
        <w:rPr>
          <w:rFonts w:ascii="宋体" w:hAnsi="宋体" w:cs="宋体"/>
          <w:sz w:val="24"/>
          <w:szCs w:val="24"/>
        </w:rPr>
      </w:pPr>
      <w:r>
        <w:rPr>
          <w:rFonts w:hint="eastAsia" w:ascii="宋体" w:hAnsi="宋体" w:cs="宋体"/>
          <w:sz w:val="24"/>
          <w:szCs w:val="24"/>
        </w:rPr>
        <w:t>（十）比选申请人响应文件内容有与国家现行法律法规相违背的内容，或附有比选人无法接受的条件。</w:t>
      </w:r>
    </w:p>
    <w:p w14:paraId="5F80E193">
      <w:pPr>
        <w:snapToGrid w:val="0"/>
        <w:spacing w:line="500" w:lineRule="exact"/>
        <w:ind w:firstLine="465"/>
        <w:rPr>
          <w:rFonts w:ascii="宋体" w:hAnsi="宋体" w:cs="宋体"/>
          <w:sz w:val="24"/>
          <w:szCs w:val="24"/>
        </w:rPr>
      </w:pPr>
      <w:r>
        <w:rPr>
          <w:rFonts w:hint="eastAsia" w:ascii="宋体" w:hAnsi="宋体" w:cs="宋体"/>
          <w:sz w:val="24"/>
          <w:szCs w:val="24"/>
        </w:rPr>
        <w:t>比选人、比选代理机构将通过“信用中国”网站(creditchina.gov.cn)、中国政府采购网(www.ccgp.gov.cn)等渠道查询比选申请人信用记录，对列入失信被执行人、重大税收违法案件当事人名单、政府采购严重违法失信行为记录名单及其他不符合基本条件的比选申请人，应当拒绝其参与比选活动。</w:t>
      </w:r>
    </w:p>
    <w:p w14:paraId="2F436588">
      <w:pPr>
        <w:pStyle w:val="6"/>
        <w:spacing w:before="0" w:after="0" w:line="500" w:lineRule="exact"/>
        <w:rPr>
          <w:rFonts w:ascii="宋体" w:hAnsi="宋体" w:cs="宋体"/>
          <w:sz w:val="24"/>
          <w:szCs w:val="24"/>
        </w:rPr>
      </w:pPr>
      <w:bookmarkStart w:id="109" w:name="_Toc19649"/>
      <w:bookmarkStart w:id="110" w:name="_Toc83288552"/>
      <w:bookmarkStart w:id="111" w:name="_Toc19644"/>
      <w:bookmarkStart w:id="112" w:name="_Toc20555"/>
      <w:r>
        <w:rPr>
          <w:rFonts w:hint="eastAsia" w:ascii="宋体" w:hAnsi="宋体" w:cs="宋体"/>
          <w:sz w:val="24"/>
          <w:szCs w:val="24"/>
        </w:rPr>
        <w:t>四、</w:t>
      </w:r>
      <w:bookmarkEnd w:id="103"/>
      <w:bookmarkEnd w:id="104"/>
      <w:r>
        <w:rPr>
          <w:rFonts w:hint="eastAsia" w:ascii="宋体" w:hAnsi="宋体" w:cs="宋体"/>
          <w:sz w:val="24"/>
          <w:szCs w:val="24"/>
        </w:rPr>
        <w:t>比选终止</w:t>
      </w:r>
      <w:bookmarkEnd w:id="109"/>
      <w:bookmarkEnd w:id="110"/>
      <w:bookmarkEnd w:id="111"/>
      <w:bookmarkEnd w:id="112"/>
    </w:p>
    <w:p w14:paraId="5F29CA31">
      <w:pPr>
        <w:snapToGrid w:val="0"/>
        <w:spacing w:line="500" w:lineRule="exact"/>
        <w:ind w:firstLine="465"/>
        <w:rPr>
          <w:rFonts w:ascii="宋体" w:hAnsi="宋体" w:cs="宋体"/>
          <w:sz w:val="24"/>
          <w:szCs w:val="24"/>
        </w:rPr>
      </w:pPr>
      <w:r>
        <w:rPr>
          <w:rFonts w:hint="eastAsia" w:ascii="宋体" w:hAnsi="宋体" w:cs="宋体"/>
          <w:sz w:val="24"/>
          <w:szCs w:val="24"/>
        </w:rPr>
        <w:t>出现下列情形之一的，比选人或者比选代理机构应当终止竞争性比选活动，发布项目终止公告并说明原因，重新开展比选活动：</w:t>
      </w:r>
    </w:p>
    <w:p w14:paraId="4AF6F1F0">
      <w:pPr>
        <w:snapToGrid w:val="0"/>
        <w:spacing w:line="500" w:lineRule="exact"/>
        <w:ind w:firstLine="465"/>
        <w:rPr>
          <w:rFonts w:ascii="宋体" w:hAnsi="宋体" w:cs="宋体"/>
          <w:sz w:val="24"/>
          <w:szCs w:val="24"/>
        </w:rPr>
      </w:pPr>
      <w:r>
        <w:rPr>
          <w:rFonts w:hint="eastAsia" w:ascii="宋体" w:hAnsi="宋体" w:cs="宋体"/>
          <w:sz w:val="24"/>
          <w:szCs w:val="24"/>
        </w:rPr>
        <w:t>（一）因情况变化，不再符合规定的竞争性比选方式适用情形的；</w:t>
      </w:r>
    </w:p>
    <w:p w14:paraId="04FAB605">
      <w:pPr>
        <w:snapToGrid w:val="0"/>
        <w:spacing w:line="500" w:lineRule="exact"/>
        <w:ind w:firstLine="465"/>
        <w:rPr>
          <w:rFonts w:ascii="宋体" w:hAnsi="宋体" w:cs="宋体"/>
          <w:sz w:val="24"/>
          <w:szCs w:val="24"/>
        </w:rPr>
        <w:sectPr>
          <w:pgSz w:w="11907" w:h="16840"/>
          <w:pgMar w:top="1134" w:right="1191" w:bottom="1134" w:left="1304" w:header="964" w:footer="992" w:gutter="0"/>
          <w:cols w:space="720" w:num="1"/>
          <w:docGrid w:linePitch="312" w:charSpace="0"/>
        </w:sectPr>
      </w:pPr>
      <w:r>
        <w:rPr>
          <w:rFonts w:hint="eastAsia" w:ascii="宋体" w:hAnsi="宋体" w:cs="宋体"/>
          <w:sz w:val="24"/>
          <w:szCs w:val="24"/>
        </w:rPr>
        <w:t>（二）出现影响比选公正的违法、违规行为的。</w:t>
      </w:r>
    </w:p>
    <w:p w14:paraId="3549C70A">
      <w:pPr>
        <w:pStyle w:val="5"/>
        <w:spacing w:line="240" w:lineRule="auto"/>
        <w:jc w:val="center"/>
        <w:rPr>
          <w:rFonts w:ascii="宋体" w:hAnsi="宋体" w:eastAsia="宋体" w:cs="宋体"/>
          <w:b w:val="0"/>
          <w:szCs w:val="30"/>
        </w:rPr>
      </w:pPr>
      <w:bookmarkStart w:id="113" w:name="_Toc83288553"/>
      <w:bookmarkStart w:id="114" w:name="_Toc30256"/>
      <w:bookmarkStart w:id="115" w:name="_Toc27849"/>
      <w:bookmarkStart w:id="116" w:name="_Toc102227313"/>
      <w:bookmarkStart w:id="117" w:name="_Toc27494"/>
      <w:r>
        <w:rPr>
          <w:rFonts w:hint="eastAsia" w:ascii="宋体" w:hAnsi="宋体" w:eastAsia="宋体" w:cs="宋体"/>
          <w:b w:val="0"/>
          <w:sz w:val="36"/>
          <w:szCs w:val="30"/>
        </w:rPr>
        <w:t>第五篇  比选申请人须知</w:t>
      </w:r>
      <w:bookmarkEnd w:id="113"/>
      <w:bookmarkEnd w:id="114"/>
      <w:bookmarkEnd w:id="115"/>
      <w:bookmarkEnd w:id="116"/>
      <w:bookmarkEnd w:id="117"/>
    </w:p>
    <w:p w14:paraId="16067505">
      <w:pPr>
        <w:pStyle w:val="6"/>
        <w:spacing w:before="0" w:after="0" w:line="500" w:lineRule="exact"/>
        <w:rPr>
          <w:rFonts w:ascii="宋体" w:hAnsi="宋体" w:cs="宋体"/>
          <w:sz w:val="24"/>
          <w:szCs w:val="24"/>
        </w:rPr>
      </w:pPr>
      <w:bookmarkStart w:id="118" w:name="_Toc342913389"/>
      <w:bookmarkStart w:id="119" w:name="_Toc26867"/>
      <w:bookmarkStart w:id="120" w:name="_Toc83288554"/>
      <w:bookmarkStart w:id="121" w:name="_Toc26616"/>
      <w:bookmarkStart w:id="122" w:name="_Toc31767"/>
      <w:r>
        <w:rPr>
          <w:rFonts w:hint="eastAsia" w:ascii="宋体" w:hAnsi="宋体" w:cs="宋体"/>
          <w:sz w:val="24"/>
          <w:szCs w:val="24"/>
        </w:rPr>
        <w:t>一、</w:t>
      </w:r>
      <w:bookmarkEnd w:id="118"/>
      <w:r>
        <w:rPr>
          <w:rFonts w:hint="eastAsia" w:ascii="宋体" w:hAnsi="宋体" w:cs="宋体"/>
          <w:sz w:val="24"/>
          <w:szCs w:val="24"/>
        </w:rPr>
        <w:t>比选费用</w:t>
      </w:r>
      <w:bookmarkEnd w:id="119"/>
      <w:bookmarkEnd w:id="120"/>
      <w:bookmarkEnd w:id="121"/>
      <w:bookmarkEnd w:id="122"/>
    </w:p>
    <w:p w14:paraId="3963924D">
      <w:pPr>
        <w:pStyle w:val="23"/>
        <w:spacing w:line="500" w:lineRule="exact"/>
        <w:ind w:firstLine="480" w:firstLineChars="200"/>
        <w:rPr>
          <w:rFonts w:hAnsi="宋体" w:cs="宋体"/>
          <w:sz w:val="24"/>
          <w:szCs w:val="24"/>
        </w:rPr>
      </w:pPr>
      <w:r>
        <w:rPr>
          <w:rFonts w:hint="eastAsia" w:hAnsi="宋体" w:cs="宋体"/>
          <w:sz w:val="24"/>
          <w:szCs w:val="24"/>
        </w:rPr>
        <w:t>参与比选的比选申请人应承担其编制响应文件与递交响应文件所涉及的一切费用，不论比选结果如何，比选人在任何情况下无义务也无责任承担这些费用。</w:t>
      </w:r>
    </w:p>
    <w:p w14:paraId="51E51CD5">
      <w:pPr>
        <w:pStyle w:val="6"/>
        <w:tabs>
          <w:tab w:val="left" w:pos="2640"/>
        </w:tabs>
        <w:spacing w:before="0" w:after="0" w:line="500" w:lineRule="exact"/>
        <w:rPr>
          <w:rFonts w:ascii="宋体" w:hAnsi="宋体" w:cs="宋体"/>
          <w:sz w:val="24"/>
          <w:szCs w:val="24"/>
        </w:rPr>
      </w:pPr>
      <w:bookmarkStart w:id="123" w:name="_Toc499131167"/>
      <w:bookmarkStart w:id="124" w:name="_Toc83288555"/>
      <w:bookmarkStart w:id="125" w:name="_Toc27909"/>
      <w:bookmarkStart w:id="126" w:name="_Toc24042"/>
      <w:bookmarkStart w:id="127" w:name="_Toc342913391"/>
      <w:bookmarkStart w:id="128" w:name="_Toc499216297"/>
      <w:bookmarkStart w:id="129" w:name="_Toc1731"/>
      <w:r>
        <w:rPr>
          <w:rFonts w:hint="eastAsia" w:ascii="宋体" w:hAnsi="宋体" w:cs="宋体"/>
          <w:sz w:val="24"/>
          <w:szCs w:val="24"/>
        </w:rPr>
        <w:t>二、竞争性比选文件</w:t>
      </w:r>
      <w:bookmarkEnd w:id="123"/>
      <w:bookmarkEnd w:id="124"/>
      <w:bookmarkEnd w:id="125"/>
      <w:bookmarkEnd w:id="126"/>
      <w:bookmarkEnd w:id="127"/>
      <w:bookmarkEnd w:id="128"/>
      <w:bookmarkEnd w:id="129"/>
    </w:p>
    <w:p w14:paraId="566117F1">
      <w:pPr>
        <w:pStyle w:val="23"/>
        <w:spacing w:line="500" w:lineRule="exact"/>
        <w:ind w:firstLine="480" w:firstLineChars="200"/>
        <w:rPr>
          <w:rFonts w:hAnsi="宋体" w:cs="宋体"/>
          <w:sz w:val="24"/>
          <w:szCs w:val="24"/>
        </w:rPr>
      </w:pPr>
      <w:bookmarkStart w:id="130" w:name="_Toc318159160"/>
      <w:bookmarkStart w:id="131" w:name="_Toc318166429"/>
      <w:bookmarkStart w:id="132" w:name="_Toc318159780"/>
      <w:bookmarkStart w:id="133" w:name="_Toc318159349"/>
      <w:r>
        <w:rPr>
          <w:rFonts w:hint="eastAsia" w:hAnsi="宋体" w:cs="宋体"/>
          <w:sz w:val="24"/>
          <w:szCs w:val="24"/>
        </w:rPr>
        <w:t>（一）竞争性比选文件由比选邀请书；比选申请人须知；比选服务需求；比选商务需求； 比选程序及方法；评审标准；无效响应和比选终止；合同草案条款；响应文件编制要求七部分组成。</w:t>
      </w:r>
    </w:p>
    <w:p w14:paraId="66CFDB5D">
      <w:pPr>
        <w:pStyle w:val="23"/>
        <w:spacing w:line="500" w:lineRule="exact"/>
        <w:ind w:firstLine="480" w:firstLineChars="200"/>
        <w:rPr>
          <w:rFonts w:hAnsi="宋体" w:cs="宋体"/>
          <w:sz w:val="24"/>
          <w:szCs w:val="24"/>
        </w:rPr>
      </w:pPr>
      <w:r>
        <w:rPr>
          <w:rFonts w:hint="eastAsia" w:hAnsi="宋体" w:cs="宋体"/>
          <w:sz w:val="24"/>
          <w:szCs w:val="24"/>
        </w:rPr>
        <w:t>（二）比选人所作的一切有效的书面通知、修改及补充，都是竞争性比选文件不可分割的部分。</w:t>
      </w:r>
    </w:p>
    <w:p w14:paraId="40AC1491">
      <w:pPr>
        <w:pStyle w:val="23"/>
        <w:spacing w:line="500" w:lineRule="exact"/>
        <w:ind w:firstLine="480" w:firstLineChars="200"/>
        <w:rPr>
          <w:rFonts w:hAnsi="宋体" w:cs="宋体"/>
          <w:sz w:val="24"/>
          <w:szCs w:val="24"/>
        </w:rPr>
      </w:pPr>
      <w:r>
        <w:rPr>
          <w:rFonts w:hint="eastAsia" w:hAnsi="宋体" w:cs="宋体"/>
          <w:sz w:val="24"/>
          <w:szCs w:val="24"/>
        </w:rPr>
        <w:t>（三）竞争性比选文件的解释</w:t>
      </w:r>
    </w:p>
    <w:p w14:paraId="3DE093B3">
      <w:pPr>
        <w:pStyle w:val="23"/>
        <w:spacing w:line="500" w:lineRule="exact"/>
        <w:ind w:firstLine="480" w:firstLineChars="200"/>
        <w:rPr>
          <w:rFonts w:hAnsi="宋体" w:cs="宋体"/>
          <w:sz w:val="24"/>
          <w:szCs w:val="24"/>
        </w:rPr>
      </w:pPr>
      <w:r>
        <w:rPr>
          <w:rFonts w:hint="eastAsia" w:hAnsi="宋体" w:cs="宋体"/>
          <w:sz w:val="24"/>
          <w:szCs w:val="24"/>
        </w:rPr>
        <w:t>比选申请人如对竞争性比选文件有疑问，必须以书面形式在提交响应文件截止时间3个工作日前向比选人要求澄清，比选人可视具体情况做出处理或答复。如比选申请人未提出疑问，视为完全理解并同意本竞争性比选文件。一经进入比选程序，即视为比选申请人已详细阅读全部文件资料，完全理解竞争性比选文件所有条款内容并同意放弃对这方面有不明白及误解的权利。</w:t>
      </w:r>
    </w:p>
    <w:p w14:paraId="0F6FF01A">
      <w:pPr>
        <w:pStyle w:val="23"/>
        <w:spacing w:line="500" w:lineRule="exact"/>
        <w:ind w:firstLine="480" w:firstLineChars="200"/>
        <w:rPr>
          <w:rFonts w:hAnsi="宋体" w:cs="宋体"/>
          <w:sz w:val="24"/>
          <w:szCs w:val="24"/>
        </w:rPr>
      </w:pPr>
      <w:r>
        <w:rPr>
          <w:rFonts w:hint="eastAsia" w:hAnsi="宋体" w:cs="宋体"/>
          <w:sz w:val="24"/>
          <w:szCs w:val="24"/>
        </w:rPr>
        <w:t>（四）评审的依据为竞争性比选文件和响应文件（含有效的书面承诺）。比选小组判断响应文件对竞争性比选文件的响应，仅基于响应文件本身而不靠外部证据。</w:t>
      </w:r>
    </w:p>
    <w:bookmarkEnd w:id="130"/>
    <w:bookmarkEnd w:id="131"/>
    <w:bookmarkEnd w:id="132"/>
    <w:bookmarkEnd w:id="133"/>
    <w:p w14:paraId="0A7511F5">
      <w:pPr>
        <w:pStyle w:val="6"/>
        <w:spacing w:before="0" w:after="0" w:line="500" w:lineRule="exact"/>
        <w:rPr>
          <w:rFonts w:ascii="宋体" w:hAnsi="宋体" w:cs="宋体"/>
          <w:sz w:val="24"/>
          <w:szCs w:val="24"/>
        </w:rPr>
      </w:pPr>
      <w:bookmarkStart w:id="134" w:name="_Toc12013"/>
      <w:bookmarkStart w:id="135" w:name="_Toc8385"/>
      <w:bookmarkStart w:id="136" w:name="_Toc102227318"/>
      <w:bookmarkStart w:id="137" w:name="_Toc179714297"/>
      <w:bookmarkStart w:id="138" w:name="_Toc499131168"/>
      <w:bookmarkStart w:id="139" w:name="_Toc83288556"/>
      <w:bookmarkStart w:id="140" w:name="_Toc342913392"/>
      <w:bookmarkStart w:id="141" w:name="_Toc8376"/>
      <w:bookmarkStart w:id="142" w:name="_Toc499216298"/>
      <w:r>
        <w:rPr>
          <w:rFonts w:hint="eastAsia" w:ascii="宋体" w:hAnsi="宋体" w:cs="宋体"/>
          <w:sz w:val="24"/>
          <w:szCs w:val="24"/>
        </w:rPr>
        <w:t>三、比选要求</w:t>
      </w:r>
      <w:bookmarkEnd w:id="134"/>
      <w:bookmarkEnd w:id="135"/>
      <w:bookmarkEnd w:id="136"/>
      <w:bookmarkEnd w:id="137"/>
      <w:bookmarkEnd w:id="138"/>
      <w:bookmarkEnd w:id="139"/>
      <w:bookmarkEnd w:id="140"/>
      <w:bookmarkEnd w:id="141"/>
      <w:bookmarkEnd w:id="142"/>
    </w:p>
    <w:p w14:paraId="426B50E2">
      <w:pPr>
        <w:pStyle w:val="23"/>
        <w:spacing w:line="500" w:lineRule="exact"/>
        <w:ind w:firstLine="480" w:firstLineChars="200"/>
        <w:rPr>
          <w:rFonts w:hAnsi="宋体" w:cs="宋体"/>
          <w:sz w:val="24"/>
          <w:szCs w:val="24"/>
        </w:rPr>
      </w:pPr>
      <w:r>
        <w:rPr>
          <w:rFonts w:hint="eastAsia" w:hAnsi="宋体" w:cs="宋体"/>
          <w:sz w:val="24"/>
          <w:szCs w:val="24"/>
        </w:rPr>
        <w:t>（一）响应文件</w:t>
      </w:r>
    </w:p>
    <w:p w14:paraId="49E98C6B">
      <w:pPr>
        <w:pStyle w:val="23"/>
        <w:spacing w:line="500" w:lineRule="exact"/>
        <w:ind w:firstLine="482" w:firstLineChars="200"/>
        <w:rPr>
          <w:rFonts w:hAnsi="宋体" w:cs="宋体"/>
          <w:b/>
          <w:bCs/>
          <w:sz w:val="24"/>
          <w:szCs w:val="24"/>
        </w:rPr>
      </w:pPr>
      <w:r>
        <w:rPr>
          <w:rFonts w:hint="eastAsia" w:hAnsi="宋体" w:cs="宋体"/>
          <w:b/>
          <w:bCs/>
          <w:sz w:val="24"/>
          <w:szCs w:val="24"/>
        </w:rPr>
        <w:t>1、线上响应文件按照本项目的网上询比文件要求进行编制并按时上传。</w:t>
      </w:r>
    </w:p>
    <w:p w14:paraId="468D9B83">
      <w:pPr>
        <w:pStyle w:val="23"/>
        <w:spacing w:line="500" w:lineRule="exact"/>
        <w:ind w:firstLine="480" w:firstLineChars="200"/>
        <w:rPr>
          <w:rFonts w:hAnsi="宋体" w:cs="宋体"/>
          <w:sz w:val="24"/>
          <w:szCs w:val="24"/>
        </w:rPr>
      </w:pPr>
      <w:r>
        <w:rPr>
          <w:rFonts w:hint="eastAsia" w:hAnsi="宋体" w:cs="宋体"/>
          <w:sz w:val="24"/>
          <w:szCs w:val="24"/>
        </w:rPr>
        <w:t>2、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7F49437">
      <w:pPr>
        <w:pStyle w:val="23"/>
        <w:spacing w:line="500" w:lineRule="exact"/>
        <w:ind w:firstLine="482" w:firstLineChars="200"/>
        <w:rPr>
          <w:rFonts w:hAnsi="宋体" w:cs="宋体"/>
          <w:b/>
          <w:bCs/>
          <w:sz w:val="24"/>
          <w:szCs w:val="24"/>
        </w:rPr>
      </w:pPr>
      <w:r>
        <w:rPr>
          <w:rFonts w:hint="eastAsia" w:hAnsi="宋体" w:cs="宋体"/>
          <w:b/>
          <w:bCs/>
          <w:sz w:val="24"/>
          <w:szCs w:val="24"/>
        </w:rPr>
        <w:t>注：如供应商的上传的响应文件与线下递交的不一致时，以供应商上传的响应文件为准。</w:t>
      </w:r>
    </w:p>
    <w:p w14:paraId="6D71A55E">
      <w:pPr>
        <w:pStyle w:val="23"/>
        <w:spacing w:line="500" w:lineRule="exact"/>
        <w:ind w:firstLine="480" w:firstLineChars="200"/>
        <w:rPr>
          <w:rFonts w:hAnsi="宋体" w:cs="宋体"/>
          <w:sz w:val="24"/>
          <w:szCs w:val="24"/>
        </w:rPr>
      </w:pPr>
      <w:r>
        <w:rPr>
          <w:rFonts w:hint="eastAsia" w:hAnsi="宋体" w:cs="宋体"/>
          <w:sz w:val="24"/>
          <w:szCs w:val="24"/>
        </w:rPr>
        <w:t>3、比选申请人应当按照竞争性比选文件的要求编制响应文件，并对竞争性比选文件提出的要求和条件作出实质性响应，响应文件原则上采用软面订本，同时应编制完整的页码、目录。</w:t>
      </w:r>
    </w:p>
    <w:p w14:paraId="106EAAA1">
      <w:pPr>
        <w:pStyle w:val="23"/>
        <w:spacing w:line="500" w:lineRule="exact"/>
        <w:ind w:firstLine="480" w:firstLineChars="200"/>
        <w:rPr>
          <w:rFonts w:hAnsi="宋体" w:cs="宋体"/>
          <w:sz w:val="24"/>
          <w:szCs w:val="24"/>
        </w:rPr>
      </w:pPr>
      <w:r>
        <w:rPr>
          <w:rFonts w:hint="eastAsia" w:hAnsi="宋体" w:cs="宋体"/>
          <w:sz w:val="24"/>
          <w:szCs w:val="24"/>
        </w:rPr>
        <w:t>2、响应文件组成</w:t>
      </w:r>
    </w:p>
    <w:p w14:paraId="4341EA0D">
      <w:pPr>
        <w:pStyle w:val="23"/>
        <w:spacing w:line="500" w:lineRule="exact"/>
        <w:ind w:firstLine="480" w:firstLineChars="200"/>
        <w:rPr>
          <w:rFonts w:hAnsi="宋体" w:cs="宋体"/>
          <w:sz w:val="24"/>
          <w:szCs w:val="24"/>
        </w:rPr>
      </w:pPr>
      <w:r>
        <w:rPr>
          <w:rFonts w:hint="eastAsia" w:hAnsi="宋体" w:cs="宋体"/>
          <w:sz w:val="24"/>
          <w:szCs w:val="24"/>
        </w:rPr>
        <w:t>响应文件由第七篇“响应文件编制要求”规定的部分和比选申请人所作的一切有效补充、修改和承诺等文件组成，比选申请人应按照第七篇“响应文件编制要求”规定的目录顺序组织编写和装订，也可在基本格式基础上对表格进行扩展，未规定格式的由比选申请人自定格式。</w:t>
      </w:r>
    </w:p>
    <w:p w14:paraId="4FAC2677">
      <w:pPr>
        <w:pStyle w:val="23"/>
        <w:spacing w:line="500" w:lineRule="exact"/>
        <w:ind w:firstLine="480" w:firstLineChars="200"/>
        <w:rPr>
          <w:rFonts w:hAnsi="宋体" w:cs="宋体"/>
          <w:sz w:val="24"/>
          <w:szCs w:val="24"/>
        </w:rPr>
      </w:pPr>
      <w:r>
        <w:rPr>
          <w:rFonts w:hint="eastAsia" w:hAnsi="宋体" w:cs="宋体"/>
          <w:sz w:val="24"/>
          <w:szCs w:val="24"/>
        </w:rPr>
        <w:t>（二）联合体</w:t>
      </w:r>
    </w:p>
    <w:p w14:paraId="2F0C1A84">
      <w:pPr>
        <w:spacing w:line="500" w:lineRule="exact"/>
        <w:ind w:firstLine="482" w:firstLineChars="200"/>
        <w:rPr>
          <w:rFonts w:ascii="宋体" w:hAnsi="宋体" w:cs="宋体"/>
          <w:b/>
          <w:sz w:val="24"/>
          <w:szCs w:val="24"/>
        </w:rPr>
      </w:pPr>
      <w:r>
        <w:rPr>
          <w:rFonts w:hint="eastAsia" w:ascii="宋体" w:hAnsi="宋体" w:cs="宋体"/>
          <w:b/>
          <w:sz w:val="24"/>
          <w:szCs w:val="24"/>
        </w:rPr>
        <w:t>本项目不接受联合体比选申请。</w:t>
      </w:r>
    </w:p>
    <w:p w14:paraId="5D9F0D8E">
      <w:pPr>
        <w:pStyle w:val="23"/>
        <w:spacing w:line="500" w:lineRule="exact"/>
        <w:ind w:firstLine="480" w:firstLineChars="200"/>
        <w:rPr>
          <w:rFonts w:hAnsi="宋体" w:cs="宋体"/>
          <w:sz w:val="24"/>
          <w:szCs w:val="24"/>
        </w:rPr>
      </w:pPr>
      <w:r>
        <w:rPr>
          <w:rFonts w:hint="eastAsia" w:hAnsi="宋体" w:cs="宋体"/>
          <w:sz w:val="24"/>
          <w:szCs w:val="24"/>
        </w:rPr>
        <w:t>（三）比选有效期：响应文件及有关承诺文件有效期为提交响应文件截止时间起90天。</w:t>
      </w:r>
    </w:p>
    <w:p w14:paraId="3FED9C0E">
      <w:pPr>
        <w:pStyle w:val="23"/>
        <w:spacing w:line="500" w:lineRule="exact"/>
        <w:ind w:firstLine="480" w:firstLineChars="200"/>
        <w:rPr>
          <w:rFonts w:hAnsi="宋体" w:cs="宋体"/>
          <w:sz w:val="24"/>
          <w:szCs w:val="24"/>
        </w:rPr>
      </w:pPr>
      <w:r>
        <w:rPr>
          <w:rFonts w:hint="eastAsia" w:hAnsi="宋体" w:cs="宋体"/>
          <w:sz w:val="24"/>
          <w:szCs w:val="24"/>
        </w:rPr>
        <w:t>（四）算术性修正</w:t>
      </w:r>
    </w:p>
    <w:p w14:paraId="3148711D">
      <w:pPr>
        <w:pStyle w:val="23"/>
        <w:spacing w:line="500" w:lineRule="exact"/>
        <w:ind w:firstLine="480" w:firstLineChars="200"/>
        <w:rPr>
          <w:rFonts w:hAnsi="宋体" w:cs="宋体"/>
          <w:sz w:val="24"/>
          <w:szCs w:val="24"/>
        </w:rPr>
      </w:pPr>
      <w:r>
        <w:rPr>
          <w:rFonts w:hint="eastAsia" w:hAnsi="宋体" w:cs="宋体"/>
          <w:sz w:val="24"/>
          <w:szCs w:val="24"/>
        </w:rPr>
        <w:t>比选人将只对比选申请文件通过初步评审（符合性审查）的比选申请人的比选报价进行校核，并对其中的算术性错误给予修正。修正原则如下：</w:t>
      </w:r>
    </w:p>
    <w:p w14:paraId="133305DB">
      <w:pPr>
        <w:pStyle w:val="23"/>
        <w:spacing w:line="500" w:lineRule="exact"/>
        <w:ind w:firstLine="480" w:firstLineChars="200"/>
        <w:rPr>
          <w:rFonts w:hAnsi="宋体" w:cs="宋体"/>
          <w:sz w:val="24"/>
          <w:szCs w:val="24"/>
        </w:rPr>
      </w:pPr>
      <w:r>
        <w:rPr>
          <w:rFonts w:hint="eastAsia" w:hAnsi="宋体" w:cs="宋体"/>
          <w:sz w:val="24"/>
          <w:szCs w:val="24"/>
        </w:rPr>
        <w:t>大写金额和小写金额不一致的，以大写金额为准。</w:t>
      </w:r>
    </w:p>
    <w:p w14:paraId="6017A132">
      <w:pPr>
        <w:pStyle w:val="23"/>
        <w:spacing w:line="500" w:lineRule="exact"/>
        <w:ind w:firstLine="480" w:firstLineChars="200"/>
        <w:rPr>
          <w:rFonts w:hAnsi="宋体" w:cs="宋体"/>
          <w:sz w:val="24"/>
          <w:szCs w:val="24"/>
        </w:rPr>
      </w:pPr>
      <w:r>
        <w:rPr>
          <w:rFonts w:hint="eastAsia" w:hAnsi="宋体" w:cs="宋体"/>
          <w:sz w:val="24"/>
          <w:szCs w:val="24"/>
        </w:rPr>
        <w:t>（五）响应文件的递交</w:t>
      </w:r>
    </w:p>
    <w:p w14:paraId="066E6675">
      <w:pPr>
        <w:pStyle w:val="23"/>
        <w:spacing w:line="500" w:lineRule="exact"/>
        <w:ind w:firstLine="480" w:firstLineChars="200"/>
        <w:rPr>
          <w:rFonts w:hAnsi="宋体" w:cs="宋体"/>
          <w:sz w:val="24"/>
          <w:szCs w:val="24"/>
        </w:rPr>
      </w:pPr>
      <w:r>
        <w:rPr>
          <w:rFonts w:hint="eastAsia" w:hAnsi="宋体" w:cs="宋体"/>
          <w:sz w:val="24"/>
          <w:szCs w:val="24"/>
        </w:rPr>
        <w:t>1、响应文件的密封</w:t>
      </w:r>
    </w:p>
    <w:p w14:paraId="4E8EAD95">
      <w:pPr>
        <w:pStyle w:val="23"/>
        <w:spacing w:line="500" w:lineRule="exact"/>
        <w:ind w:firstLine="480" w:firstLineChars="200"/>
        <w:rPr>
          <w:rFonts w:hAnsi="宋体" w:cs="宋体"/>
          <w:sz w:val="24"/>
          <w:szCs w:val="24"/>
        </w:rPr>
      </w:pPr>
      <w:r>
        <w:rPr>
          <w:rFonts w:hint="eastAsia" w:hAnsi="宋体" w:cs="宋体"/>
          <w:sz w:val="24"/>
          <w:szCs w:val="24"/>
        </w:rPr>
        <w:t>1.1响应文件的正本、副本均应密封送达递交响应文件地点，应在封套上注明项目名称、比选申请人名称。若正本、副本分别进行密封的，还应在封套上注明“正本”、“副本”</w:t>
      </w:r>
    </w:p>
    <w:p w14:paraId="15CE295A">
      <w:pPr>
        <w:pStyle w:val="23"/>
        <w:spacing w:line="500" w:lineRule="exact"/>
        <w:ind w:firstLine="480" w:firstLineChars="200"/>
        <w:rPr>
          <w:rFonts w:hAnsi="宋体" w:cs="宋体"/>
          <w:sz w:val="24"/>
          <w:szCs w:val="24"/>
        </w:rPr>
      </w:pPr>
      <w:r>
        <w:rPr>
          <w:rFonts w:hint="eastAsia" w:hAnsi="宋体" w:cs="宋体"/>
          <w:sz w:val="24"/>
          <w:szCs w:val="24"/>
        </w:rPr>
        <w:t>1.2封套的封口处应加盖比选申请人公章或由法定代表人授权代表签字。</w:t>
      </w:r>
    </w:p>
    <w:p w14:paraId="16BA2FBD">
      <w:pPr>
        <w:pStyle w:val="23"/>
        <w:spacing w:line="500" w:lineRule="exact"/>
        <w:ind w:firstLine="480" w:firstLineChars="200"/>
        <w:rPr>
          <w:rFonts w:hAnsi="宋体" w:cs="宋体"/>
          <w:sz w:val="24"/>
          <w:szCs w:val="24"/>
        </w:rPr>
      </w:pPr>
      <w:r>
        <w:rPr>
          <w:rFonts w:hint="eastAsia" w:hAnsi="宋体" w:cs="宋体"/>
          <w:sz w:val="24"/>
          <w:szCs w:val="24"/>
        </w:rPr>
        <w:t>2、如果未按上述规定进行密封，比选代理机构对响应文件误投、丢失或提前拆封不负责任。</w:t>
      </w:r>
    </w:p>
    <w:p w14:paraId="7DF76147">
      <w:pPr>
        <w:pStyle w:val="23"/>
        <w:spacing w:line="500" w:lineRule="exact"/>
        <w:ind w:firstLine="480" w:firstLineChars="200"/>
        <w:rPr>
          <w:rFonts w:hAnsi="宋体" w:cs="宋体"/>
          <w:sz w:val="24"/>
          <w:szCs w:val="24"/>
        </w:rPr>
      </w:pPr>
      <w:r>
        <w:rPr>
          <w:rFonts w:hint="eastAsia" w:hAnsi="宋体" w:cs="宋体"/>
          <w:sz w:val="24"/>
          <w:szCs w:val="24"/>
        </w:rPr>
        <w:t>（六）比选申请人参与人员</w:t>
      </w:r>
    </w:p>
    <w:p w14:paraId="40B423CF">
      <w:pPr>
        <w:pStyle w:val="23"/>
        <w:spacing w:line="500" w:lineRule="exact"/>
        <w:ind w:firstLine="480" w:firstLineChars="200"/>
        <w:rPr>
          <w:rFonts w:hAnsi="宋体" w:cs="宋体"/>
        </w:rPr>
      </w:pPr>
      <w:r>
        <w:rPr>
          <w:rFonts w:hint="eastAsia" w:hAnsi="宋体" w:cs="宋体"/>
          <w:sz w:val="24"/>
          <w:szCs w:val="24"/>
        </w:rPr>
        <w:t>各个比选申请人应当派1-2名代表参与比选，至少1人应为法定代表人或具有法定代表人授权委托书的授权代表。</w:t>
      </w:r>
    </w:p>
    <w:p w14:paraId="7E2B1FFF">
      <w:pPr>
        <w:pStyle w:val="6"/>
        <w:spacing w:before="0" w:after="0" w:line="500" w:lineRule="exact"/>
        <w:rPr>
          <w:rFonts w:ascii="宋体" w:hAnsi="宋体" w:cs="宋体"/>
          <w:sz w:val="24"/>
          <w:szCs w:val="24"/>
        </w:rPr>
      </w:pPr>
      <w:bookmarkStart w:id="143" w:name="_Toc481"/>
      <w:bookmarkStart w:id="144" w:name="_Toc499216299"/>
      <w:bookmarkStart w:id="145" w:name="_Toc499131169"/>
      <w:bookmarkStart w:id="146" w:name="_Toc2260"/>
      <w:bookmarkStart w:id="147" w:name="_Toc83288557"/>
      <w:bookmarkStart w:id="148" w:name="_Toc14239"/>
      <w:r>
        <w:rPr>
          <w:rFonts w:hint="eastAsia" w:ascii="宋体" w:hAnsi="宋体" w:cs="宋体"/>
          <w:sz w:val="24"/>
          <w:szCs w:val="24"/>
        </w:rPr>
        <w:t>四、</w:t>
      </w:r>
      <w:bookmarkEnd w:id="143"/>
      <w:bookmarkEnd w:id="144"/>
      <w:bookmarkEnd w:id="145"/>
      <w:bookmarkEnd w:id="146"/>
      <w:bookmarkEnd w:id="147"/>
      <w:r>
        <w:rPr>
          <w:rFonts w:hint="eastAsia" w:ascii="宋体" w:hAnsi="宋体" w:cs="宋体"/>
          <w:sz w:val="24"/>
          <w:szCs w:val="24"/>
        </w:rPr>
        <w:t>中选人的确认</w:t>
      </w:r>
      <w:r>
        <w:rPr>
          <w:rFonts w:hint="eastAsia" w:ascii="宋体" w:hAnsi="宋体" w:cs="宋体"/>
          <w:snapToGrid w:val="0"/>
          <w:kern w:val="21"/>
          <w:szCs w:val="21"/>
        </w:rPr>
        <w:t>、</w:t>
      </w:r>
      <w:r>
        <w:rPr>
          <w:rFonts w:hint="eastAsia" w:ascii="宋体" w:hAnsi="宋体" w:cs="宋体"/>
          <w:sz w:val="24"/>
          <w:szCs w:val="24"/>
        </w:rPr>
        <w:t>变更和中选通知书</w:t>
      </w:r>
      <w:bookmarkEnd w:id="148"/>
    </w:p>
    <w:p w14:paraId="10CA8A16">
      <w:pPr>
        <w:pStyle w:val="23"/>
        <w:spacing w:line="500" w:lineRule="exact"/>
        <w:ind w:firstLine="480" w:firstLineChars="200"/>
        <w:rPr>
          <w:rFonts w:hAnsi="宋体" w:cs="宋体"/>
          <w:sz w:val="24"/>
          <w:szCs w:val="24"/>
        </w:rPr>
      </w:pPr>
      <w:r>
        <w:rPr>
          <w:rFonts w:hint="eastAsia" w:hAnsi="宋体" w:cs="宋体"/>
          <w:sz w:val="24"/>
          <w:szCs w:val="24"/>
        </w:rPr>
        <w:t>（一）中选人的确认</w:t>
      </w:r>
    </w:p>
    <w:p w14:paraId="4D40977A">
      <w:pPr>
        <w:pStyle w:val="23"/>
        <w:spacing w:line="500" w:lineRule="exact"/>
        <w:ind w:firstLine="480" w:firstLineChars="200"/>
        <w:rPr>
          <w:rFonts w:hAnsi="宋体" w:cs="宋体"/>
          <w:sz w:val="24"/>
          <w:szCs w:val="24"/>
        </w:rPr>
      </w:pPr>
      <w:r>
        <w:rPr>
          <w:rFonts w:hint="eastAsia" w:hAnsi="宋体" w:cs="宋体"/>
          <w:sz w:val="24"/>
          <w:szCs w:val="24"/>
        </w:rPr>
        <w:t>比选代理机构应当在评审结束后2个工作日内将比选报告送比选人确认。比选人应当在收到比选报告后5个工作日内，从比选报告提出的中选候选人中，按照排序由高到低的原则确定中选人，也可以书面授权比选小组直接确定中选人。</w:t>
      </w:r>
    </w:p>
    <w:p w14:paraId="73F0AE2D">
      <w:pPr>
        <w:pStyle w:val="23"/>
        <w:spacing w:line="500" w:lineRule="exact"/>
        <w:ind w:firstLine="480" w:firstLineChars="200"/>
        <w:rPr>
          <w:rFonts w:hAnsi="宋体" w:cs="宋体"/>
          <w:sz w:val="24"/>
          <w:szCs w:val="24"/>
        </w:rPr>
      </w:pPr>
      <w:r>
        <w:rPr>
          <w:rFonts w:hint="eastAsia" w:hAnsi="宋体" w:cs="宋体"/>
          <w:sz w:val="24"/>
          <w:szCs w:val="24"/>
        </w:rPr>
        <w:t>（二）中选人的变更</w:t>
      </w:r>
    </w:p>
    <w:p w14:paraId="45453A8C">
      <w:pPr>
        <w:pStyle w:val="23"/>
        <w:spacing w:line="500" w:lineRule="exact"/>
        <w:ind w:firstLine="480" w:firstLineChars="200"/>
        <w:rPr>
          <w:rFonts w:hAnsi="宋体" w:cs="宋体"/>
          <w:sz w:val="24"/>
          <w:szCs w:val="24"/>
        </w:rPr>
      </w:pPr>
      <w:r>
        <w:rPr>
          <w:rFonts w:hint="eastAsia" w:hAnsi="宋体" w:cs="宋体"/>
          <w:sz w:val="24"/>
          <w:szCs w:val="24"/>
        </w:rPr>
        <w:t>中选人拒绝与比选人签订合同的，比选人可以按照比选报告推荐的中选候选人顺序，确定排名下一位的候选人为中选人，也可以重新开展采购活动。</w:t>
      </w:r>
    </w:p>
    <w:p w14:paraId="73D99BC8">
      <w:pPr>
        <w:pStyle w:val="6"/>
        <w:spacing w:before="0" w:after="0" w:line="500" w:lineRule="exact"/>
        <w:rPr>
          <w:rFonts w:ascii="宋体" w:hAnsi="宋体" w:cs="宋体"/>
          <w:sz w:val="24"/>
          <w:szCs w:val="24"/>
        </w:rPr>
      </w:pPr>
      <w:bookmarkStart w:id="149" w:name="_Toc499131170"/>
      <w:bookmarkStart w:id="150" w:name="_Toc499216300"/>
      <w:bookmarkStart w:id="151" w:name="_Toc18374"/>
      <w:bookmarkStart w:id="152" w:name="_Toc83288558"/>
      <w:bookmarkStart w:id="153" w:name="_Toc8944"/>
      <w:bookmarkStart w:id="154" w:name="_Toc102227321"/>
      <w:bookmarkStart w:id="155" w:name="_Toc342913395"/>
      <w:bookmarkStart w:id="156" w:name="_Toc31422"/>
      <w:r>
        <w:rPr>
          <w:rFonts w:hint="eastAsia" w:ascii="宋体" w:hAnsi="宋体" w:cs="宋体"/>
          <w:sz w:val="24"/>
          <w:szCs w:val="24"/>
        </w:rPr>
        <w:t>五、中选通知</w:t>
      </w:r>
      <w:bookmarkEnd w:id="149"/>
      <w:bookmarkEnd w:id="150"/>
      <w:bookmarkEnd w:id="151"/>
      <w:bookmarkEnd w:id="152"/>
      <w:bookmarkEnd w:id="153"/>
      <w:bookmarkEnd w:id="154"/>
      <w:bookmarkEnd w:id="155"/>
      <w:bookmarkEnd w:id="156"/>
    </w:p>
    <w:p w14:paraId="4D40A001">
      <w:pPr>
        <w:pStyle w:val="23"/>
        <w:spacing w:line="500" w:lineRule="exact"/>
        <w:ind w:firstLine="480" w:firstLineChars="200"/>
        <w:rPr>
          <w:rFonts w:hAnsi="宋体" w:cs="宋体"/>
          <w:sz w:val="24"/>
          <w:szCs w:val="24"/>
        </w:rPr>
      </w:pPr>
      <w:r>
        <w:rPr>
          <w:rFonts w:hint="eastAsia" w:hAnsi="宋体" w:cs="宋体"/>
          <w:sz w:val="24"/>
          <w:szCs w:val="24"/>
        </w:rPr>
        <w:t>（一）中选人确定后，比选代理机构</w:t>
      </w:r>
      <w:r>
        <w:rPr>
          <w:rFonts w:hint="eastAsia" w:hAnsi="宋体" w:cs="宋体"/>
          <w:sz w:val="24"/>
          <w:szCs w:val="24"/>
          <w:highlight w:val="none"/>
        </w:rPr>
        <w:t>将在</w:t>
      </w:r>
      <w:r>
        <w:rPr>
          <w:rFonts w:hint="eastAsia" w:hAnsi="宋体" w:cs="宋体"/>
          <w:sz w:val="24"/>
          <w:highlight w:val="none"/>
        </w:rPr>
        <w:t>“行采家”（http://www.gec123.com）网</w:t>
      </w:r>
      <w:r>
        <w:rPr>
          <w:rFonts w:hint="eastAsia" w:hAnsi="宋体" w:cs="宋体"/>
          <w:sz w:val="24"/>
          <w:szCs w:val="24"/>
          <w:highlight w:val="none"/>
        </w:rPr>
        <w:t>上</w:t>
      </w:r>
      <w:r>
        <w:rPr>
          <w:rFonts w:hint="eastAsia" w:hAnsi="宋体" w:cs="宋体"/>
          <w:sz w:val="24"/>
          <w:szCs w:val="24"/>
        </w:rPr>
        <w:t>发布成交结果公告。</w:t>
      </w:r>
    </w:p>
    <w:p w14:paraId="49AFDB6A">
      <w:pPr>
        <w:pStyle w:val="23"/>
        <w:spacing w:line="500" w:lineRule="exact"/>
        <w:ind w:firstLine="480" w:firstLineChars="200"/>
        <w:rPr>
          <w:rFonts w:hAnsi="宋体" w:cs="宋体"/>
          <w:sz w:val="24"/>
          <w:szCs w:val="24"/>
        </w:rPr>
      </w:pPr>
      <w:r>
        <w:rPr>
          <w:rFonts w:hint="eastAsia" w:hAnsi="宋体" w:cs="宋体"/>
          <w:sz w:val="24"/>
          <w:szCs w:val="24"/>
        </w:rPr>
        <w:t>（二）结果公告发出同时，比选人将以书面形式发出《中选通知书》。《中选通知书》一经发出即发生法律效力。</w:t>
      </w:r>
    </w:p>
    <w:p w14:paraId="170D6CD1">
      <w:pPr>
        <w:pStyle w:val="23"/>
        <w:spacing w:line="500" w:lineRule="exact"/>
        <w:ind w:firstLine="480" w:firstLineChars="200"/>
        <w:rPr>
          <w:rFonts w:hAnsi="宋体" w:cs="宋体"/>
          <w:sz w:val="24"/>
          <w:szCs w:val="24"/>
        </w:rPr>
      </w:pPr>
      <w:r>
        <w:rPr>
          <w:rFonts w:hint="eastAsia" w:hAnsi="宋体" w:cs="宋体"/>
          <w:sz w:val="24"/>
          <w:szCs w:val="24"/>
        </w:rPr>
        <w:t>（三）《中选通知书》将作为签订合同的依据。</w:t>
      </w:r>
    </w:p>
    <w:p w14:paraId="116D413B">
      <w:pPr>
        <w:pStyle w:val="23"/>
        <w:spacing w:line="500" w:lineRule="exact"/>
        <w:ind w:firstLine="480" w:firstLineChars="200"/>
        <w:rPr>
          <w:rFonts w:hAnsi="宋体" w:cs="宋体"/>
          <w:sz w:val="24"/>
          <w:szCs w:val="24"/>
        </w:rPr>
      </w:pPr>
      <w:r>
        <w:rPr>
          <w:rFonts w:hint="eastAsia" w:hAnsi="宋体" w:cs="宋体"/>
          <w:sz w:val="24"/>
          <w:szCs w:val="24"/>
        </w:rPr>
        <w:t>（四）如有比选申请人对中选结果提出质疑的，在质疑处理完毕后发出中选通知书。</w:t>
      </w:r>
    </w:p>
    <w:p w14:paraId="3EABAB13">
      <w:pPr>
        <w:pStyle w:val="6"/>
        <w:spacing w:before="0" w:after="0" w:line="500" w:lineRule="exact"/>
        <w:rPr>
          <w:rFonts w:ascii="宋体" w:hAnsi="宋体" w:cs="宋体"/>
          <w:sz w:val="24"/>
          <w:szCs w:val="24"/>
        </w:rPr>
      </w:pPr>
      <w:bookmarkStart w:id="157" w:name="_Toc2321"/>
      <w:bookmarkStart w:id="158" w:name="_Toc20271"/>
      <w:bookmarkStart w:id="159" w:name="_Toc12269"/>
      <w:bookmarkStart w:id="160" w:name="_Toc499216301"/>
      <w:bookmarkStart w:id="161" w:name="_Toc83288559"/>
      <w:bookmarkStart w:id="162" w:name="_Toc499131171"/>
      <w:r>
        <w:rPr>
          <w:rFonts w:hint="eastAsia" w:ascii="宋体" w:hAnsi="宋体" w:cs="宋体"/>
          <w:sz w:val="24"/>
          <w:szCs w:val="24"/>
        </w:rPr>
        <w:t>六、关于质疑和投诉</w:t>
      </w:r>
      <w:bookmarkEnd w:id="157"/>
      <w:bookmarkEnd w:id="158"/>
      <w:bookmarkEnd w:id="159"/>
      <w:bookmarkEnd w:id="160"/>
      <w:bookmarkEnd w:id="161"/>
      <w:bookmarkEnd w:id="162"/>
    </w:p>
    <w:p w14:paraId="6B524753">
      <w:pPr>
        <w:snapToGrid w:val="0"/>
        <w:spacing w:line="500" w:lineRule="exact"/>
        <w:ind w:firstLine="480" w:firstLineChars="200"/>
        <w:rPr>
          <w:rFonts w:ascii="宋体" w:hAnsi="宋体" w:cs="宋体"/>
          <w:sz w:val="24"/>
          <w:szCs w:val="24"/>
        </w:rPr>
      </w:pPr>
      <w:r>
        <w:rPr>
          <w:rFonts w:hint="eastAsia" w:ascii="宋体" w:hAnsi="宋体" w:cs="宋体"/>
          <w:sz w:val="24"/>
          <w:szCs w:val="24"/>
        </w:rPr>
        <w:t>（一）质疑</w:t>
      </w:r>
    </w:p>
    <w:p w14:paraId="1855184D">
      <w:pPr>
        <w:snapToGrid w:val="0"/>
        <w:spacing w:line="500" w:lineRule="exact"/>
        <w:ind w:firstLine="480" w:firstLineChars="200"/>
        <w:rPr>
          <w:rFonts w:ascii="宋体" w:hAnsi="宋体" w:cs="宋体"/>
          <w:sz w:val="24"/>
          <w:szCs w:val="24"/>
        </w:rPr>
      </w:pPr>
      <w:r>
        <w:rPr>
          <w:rFonts w:hint="eastAsia" w:ascii="宋体" w:hAnsi="宋体" w:cs="宋体"/>
          <w:sz w:val="24"/>
          <w:szCs w:val="24"/>
        </w:rPr>
        <w:t>比选申请人认为比选文件、比选过程和中选结果使自己的权益收到伤害的，可向比选人或比选代理机构以书面形式提出质疑。</w:t>
      </w:r>
    </w:p>
    <w:p w14:paraId="1493BD5E">
      <w:pPr>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提出质疑的应当是参与所质疑项目采购活动的比选申请人。 </w:t>
      </w:r>
    </w:p>
    <w:p w14:paraId="4AEFFE5C">
      <w:pPr>
        <w:snapToGrid w:val="0"/>
        <w:spacing w:line="500" w:lineRule="exact"/>
        <w:ind w:firstLine="480" w:firstLineChars="200"/>
        <w:rPr>
          <w:rFonts w:ascii="宋体" w:hAnsi="宋体" w:cs="宋体"/>
          <w:sz w:val="24"/>
          <w:szCs w:val="24"/>
        </w:rPr>
      </w:pPr>
      <w:r>
        <w:rPr>
          <w:rFonts w:hint="eastAsia" w:ascii="宋体" w:hAnsi="宋体" w:cs="宋体"/>
          <w:sz w:val="24"/>
          <w:szCs w:val="24"/>
        </w:rPr>
        <w:t>1.质疑时限、内容</w:t>
      </w:r>
    </w:p>
    <w:p w14:paraId="49EA2965">
      <w:pPr>
        <w:snapToGrid w:val="0"/>
        <w:spacing w:line="500" w:lineRule="exact"/>
        <w:ind w:firstLine="480" w:firstLineChars="200"/>
        <w:rPr>
          <w:rFonts w:ascii="宋体" w:hAnsi="宋体" w:cs="宋体"/>
          <w:sz w:val="24"/>
          <w:szCs w:val="24"/>
        </w:rPr>
      </w:pPr>
      <w:r>
        <w:rPr>
          <w:rFonts w:hint="eastAsia" w:ascii="宋体" w:hAnsi="宋体" w:cs="宋体"/>
          <w:sz w:val="24"/>
          <w:szCs w:val="24"/>
        </w:rPr>
        <w:t>比选申请人认为比选文件、比选过程、中选结果使自己的权益受到损害的，可以在知道或者应知其权益受到损害之日起7个工作日内，以书面形式向比选人、比选代理机构提出质疑。</w:t>
      </w:r>
    </w:p>
    <w:p w14:paraId="61FA5C51">
      <w:pPr>
        <w:snapToGrid w:val="0"/>
        <w:spacing w:line="500" w:lineRule="exact"/>
        <w:ind w:firstLine="480" w:firstLineChars="200"/>
        <w:rPr>
          <w:rFonts w:ascii="宋体" w:hAnsi="宋体" w:cs="宋体"/>
          <w:sz w:val="24"/>
          <w:szCs w:val="24"/>
        </w:rPr>
      </w:pPr>
      <w:r>
        <w:rPr>
          <w:rFonts w:hint="eastAsia" w:ascii="宋体" w:hAnsi="宋体" w:cs="宋体"/>
          <w:sz w:val="24"/>
          <w:szCs w:val="24"/>
        </w:rPr>
        <w:t>1.2比选申请人提出质疑应当提交质疑函和必要的证明材料，质疑函应当包括下列内容：</w:t>
      </w:r>
    </w:p>
    <w:p w14:paraId="6A920804">
      <w:pPr>
        <w:snapToGrid w:val="0"/>
        <w:spacing w:line="500" w:lineRule="exact"/>
        <w:ind w:firstLine="480" w:firstLineChars="200"/>
        <w:rPr>
          <w:rFonts w:ascii="宋体" w:hAnsi="宋体" w:cs="宋体"/>
          <w:sz w:val="24"/>
          <w:szCs w:val="24"/>
        </w:rPr>
      </w:pPr>
      <w:r>
        <w:rPr>
          <w:rFonts w:hint="eastAsia" w:ascii="宋体" w:hAnsi="宋体" w:cs="宋体"/>
          <w:sz w:val="24"/>
          <w:szCs w:val="24"/>
        </w:rPr>
        <w:t>1.2.1比选申请人的姓名或者名称、地址、邮编、联系人及联系电话；</w:t>
      </w:r>
    </w:p>
    <w:p w14:paraId="6AEB09E9">
      <w:pPr>
        <w:snapToGrid w:val="0"/>
        <w:spacing w:line="500" w:lineRule="exact"/>
        <w:ind w:firstLine="480" w:firstLineChars="200"/>
        <w:rPr>
          <w:rFonts w:ascii="宋体" w:hAnsi="宋体" w:cs="宋体"/>
          <w:sz w:val="24"/>
          <w:szCs w:val="24"/>
        </w:rPr>
      </w:pPr>
      <w:r>
        <w:rPr>
          <w:rFonts w:hint="eastAsia" w:ascii="宋体" w:hAnsi="宋体" w:cs="宋体"/>
          <w:sz w:val="24"/>
          <w:szCs w:val="24"/>
        </w:rPr>
        <w:t>1.2.2质疑项目的名称、项目号以及采购执行编号；</w:t>
      </w:r>
    </w:p>
    <w:p w14:paraId="52D603D7">
      <w:pPr>
        <w:snapToGrid w:val="0"/>
        <w:spacing w:line="500" w:lineRule="exact"/>
        <w:ind w:firstLine="480" w:firstLineChars="200"/>
        <w:rPr>
          <w:rFonts w:ascii="宋体" w:hAnsi="宋体" w:cs="宋体"/>
          <w:sz w:val="24"/>
          <w:szCs w:val="24"/>
        </w:rPr>
      </w:pPr>
      <w:r>
        <w:rPr>
          <w:rFonts w:hint="eastAsia" w:ascii="宋体" w:hAnsi="宋体" w:cs="宋体"/>
          <w:sz w:val="24"/>
          <w:szCs w:val="24"/>
        </w:rPr>
        <w:t>1.2.3具体、明确的质疑事项和与质疑事项相关的请求；</w:t>
      </w:r>
    </w:p>
    <w:p w14:paraId="336243E6">
      <w:pPr>
        <w:snapToGrid w:val="0"/>
        <w:spacing w:line="500" w:lineRule="exact"/>
        <w:ind w:firstLine="480" w:firstLineChars="200"/>
        <w:rPr>
          <w:rFonts w:ascii="宋体" w:hAnsi="宋体" w:cs="宋体"/>
          <w:sz w:val="24"/>
          <w:szCs w:val="24"/>
        </w:rPr>
      </w:pPr>
      <w:r>
        <w:rPr>
          <w:rFonts w:hint="eastAsia" w:ascii="宋体" w:hAnsi="宋体" w:cs="宋体"/>
          <w:sz w:val="24"/>
          <w:szCs w:val="24"/>
        </w:rPr>
        <w:t>1.2.4事实依据；</w:t>
      </w:r>
    </w:p>
    <w:p w14:paraId="75D8CCA3">
      <w:pPr>
        <w:snapToGrid w:val="0"/>
        <w:spacing w:line="500" w:lineRule="exact"/>
        <w:ind w:firstLine="480" w:firstLineChars="200"/>
        <w:rPr>
          <w:rFonts w:ascii="宋体" w:hAnsi="宋体" w:cs="宋体"/>
          <w:sz w:val="24"/>
          <w:szCs w:val="24"/>
        </w:rPr>
      </w:pPr>
      <w:r>
        <w:rPr>
          <w:rFonts w:hint="eastAsia" w:ascii="宋体" w:hAnsi="宋体" w:cs="宋体"/>
          <w:sz w:val="24"/>
          <w:szCs w:val="24"/>
        </w:rPr>
        <w:t>1.2.5必要的法律依据；</w:t>
      </w:r>
    </w:p>
    <w:p w14:paraId="6087C3E1">
      <w:pPr>
        <w:snapToGrid w:val="0"/>
        <w:spacing w:line="500" w:lineRule="exact"/>
        <w:ind w:firstLine="480" w:firstLineChars="200"/>
        <w:rPr>
          <w:rFonts w:ascii="宋体" w:hAnsi="宋体" w:cs="宋体"/>
          <w:sz w:val="24"/>
          <w:szCs w:val="24"/>
        </w:rPr>
      </w:pPr>
      <w:r>
        <w:rPr>
          <w:rFonts w:hint="eastAsia" w:ascii="宋体" w:hAnsi="宋体" w:cs="宋体"/>
          <w:sz w:val="24"/>
          <w:szCs w:val="24"/>
        </w:rPr>
        <w:t>1.2.6提出质疑的日期；</w:t>
      </w:r>
    </w:p>
    <w:p w14:paraId="668758BE">
      <w:pPr>
        <w:snapToGrid w:val="0"/>
        <w:spacing w:line="500" w:lineRule="exact"/>
        <w:ind w:firstLine="480" w:firstLineChars="200"/>
        <w:rPr>
          <w:rFonts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6E7337A5">
      <w:pPr>
        <w:snapToGrid w:val="0"/>
        <w:spacing w:line="500" w:lineRule="exact"/>
        <w:ind w:firstLine="480" w:firstLineChars="200"/>
        <w:rPr>
          <w:rFonts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14:paraId="52EE6647">
      <w:pPr>
        <w:snapToGrid w:val="0"/>
        <w:spacing w:line="500" w:lineRule="exact"/>
        <w:ind w:firstLine="480" w:firstLineChars="200"/>
        <w:rPr>
          <w:rFonts w:ascii="宋体" w:hAnsi="宋体" w:cs="宋体"/>
          <w:sz w:val="24"/>
          <w:szCs w:val="24"/>
        </w:rPr>
      </w:pPr>
      <w:r>
        <w:rPr>
          <w:rFonts w:hint="eastAsia" w:ascii="宋体" w:hAnsi="宋体" w:cs="宋体"/>
          <w:sz w:val="24"/>
          <w:szCs w:val="24"/>
        </w:rPr>
        <w:t>1.3比选申请人为自然人的，质疑函应当由本人签字；比选申请人为法人或者其他组织的，质疑函应当由法定代表人、主要负责人，或者其授权代表签字或者盖章，并加盖公章。</w:t>
      </w:r>
    </w:p>
    <w:p w14:paraId="680B087D">
      <w:pPr>
        <w:snapToGrid w:val="0"/>
        <w:spacing w:line="500" w:lineRule="exact"/>
        <w:ind w:firstLine="480" w:firstLineChars="200"/>
        <w:rPr>
          <w:rFonts w:ascii="宋体" w:hAnsi="宋体" w:cs="宋体"/>
          <w:sz w:val="24"/>
          <w:szCs w:val="24"/>
        </w:rPr>
      </w:pPr>
      <w:r>
        <w:rPr>
          <w:rFonts w:hint="eastAsia" w:ascii="宋体" w:hAnsi="宋体" w:cs="宋体"/>
          <w:sz w:val="24"/>
          <w:szCs w:val="24"/>
        </w:rPr>
        <w:t>2.质疑答复</w:t>
      </w:r>
    </w:p>
    <w:p w14:paraId="68ADCE88">
      <w:pPr>
        <w:snapToGrid w:val="0"/>
        <w:spacing w:line="500" w:lineRule="exact"/>
        <w:ind w:firstLine="480" w:firstLineChars="200"/>
        <w:rPr>
          <w:rFonts w:ascii="宋体" w:hAnsi="宋体" w:cs="宋体"/>
          <w:sz w:val="24"/>
          <w:szCs w:val="24"/>
        </w:rPr>
      </w:pPr>
      <w:r>
        <w:rPr>
          <w:rFonts w:hint="eastAsia" w:ascii="宋体" w:hAnsi="宋体" w:cs="宋体"/>
          <w:sz w:val="24"/>
          <w:szCs w:val="24"/>
        </w:rPr>
        <w:t>比选人、比选代理机构应当在收到比选申请人的书面质疑后七个工作日内作出答复，并以书面形式通知质疑供应商和其他有关比选申请人商。</w:t>
      </w:r>
    </w:p>
    <w:p w14:paraId="4DA9267E">
      <w:pPr>
        <w:snapToGrid w:val="0"/>
        <w:spacing w:line="500" w:lineRule="exact"/>
        <w:ind w:firstLine="480" w:firstLineChars="200"/>
        <w:rPr>
          <w:rFonts w:ascii="宋体" w:hAnsi="宋体" w:cs="宋体"/>
          <w:sz w:val="24"/>
          <w:szCs w:val="24"/>
        </w:rPr>
      </w:pPr>
      <w:r>
        <w:rPr>
          <w:rFonts w:hint="eastAsia" w:ascii="宋体" w:hAnsi="宋体" w:cs="宋体"/>
          <w:sz w:val="24"/>
          <w:szCs w:val="24"/>
        </w:rPr>
        <w:t>3.其他</w:t>
      </w:r>
    </w:p>
    <w:p w14:paraId="429D5A90">
      <w:pPr>
        <w:snapToGrid w:val="0"/>
        <w:spacing w:line="500" w:lineRule="exact"/>
        <w:ind w:firstLine="480" w:firstLineChars="200"/>
        <w:rPr>
          <w:rFonts w:ascii="宋体" w:hAnsi="宋体" w:cs="宋体"/>
          <w:sz w:val="24"/>
          <w:szCs w:val="24"/>
        </w:rPr>
      </w:pPr>
      <w:r>
        <w:rPr>
          <w:rFonts w:hint="eastAsia" w:ascii="宋体" w:hAnsi="宋体" w:cs="宋体"/>
          <w:sz w:val="24"/>
          <w:szCs w:val="24"/>
        </w:rPr>
        <w:t>3.1比选申请人应按照《政府采购质疑和投诉办法》（财政部令第94号）及相关法律法规要求，在法定质疑期内一次性提出针对同一比选程序环节的质疑。</w:t>
      </w:r>
    </w:p>
    <w:p w14:paraId="42F128C2">
      <w:pPr>
        <w:snapToGrid w:val="0"/>
        <w:spacing w:line="500" w:lineRule="exact"/>
        <w:ind w:firstLine="480" w:firstLineChars="200"/>
        <w:rPr>
          <w:rFonts w:ascii="宋体" w:hAnsi="宋体" w:cs="宋体"/>
          <w:sz w:val="24"/>
          <w:szCs w:val="24"/>
        </w:rPr>
      </w:pPr>
      <w:r>
        <w:rPr>
          <w:rFonts w:hint="eastAsia" w:ascii="宋体" w:hAnsi="宋体" w:cs="宋体"/>
          <w:sz w:val="24"/>
          <w:szCs w:val="24"/>
        </w:rPr>
        <w:t>3.2质疑函范本可在财政部门户网站和中国政府采购网下载。</w:t>
      </w:r>
    </w:p>
    <w:p w14:paraId="52E654F9">
      <w:pPr>
        <w:snapToGrid w:val="0"/>
        <w:spacing w:line="500" w:lineRule="exact"/>
        <w:ind w:firstLine="480" w:firstLineChars="200"/>
        <w:rPr>
          <w:rFonts w:ascii="宋体" w:hAnsi="宋体" w:cs="宋体"/>
          <w:sz w:val="24"/>
          <w:szCs w:val="24"/>
        </w:rPr>
      </w:pPr>
      <w:r>
        <w:rPr>
          <w:rFonts w:hint="eastAsia" w:ascii="宋体" w:hAnsi="宋体" w:cs="宋体"/>
          <w:sz w:val="24"/>
          <w:szCs w:val="24"/>
        </w:rPr>
        <w:t>2.质疑答复</w:t>
      </w:r>
    </w:p>
    <w:p w14:paraId="694987F4">
      <w:pPr>
        <w:snapToGrid w:val="0"/>
        <w:spacing w:line="500" w:lineRule="exact"/>
        <w:ind w:firstLine="480" w:firstLineChars="200"/>
        <w:rPr>
          <w:rFonts w:ascii="宋体" w:hAnsi="宋体" w:cs="宋体"/>
          <w:sz w:val="24"/>
          <w:szCs w:val="24"/>
        </w:rPr>
      </w:pPr>
      <w:r>
        <w:rPr>
          <w:rFonts w:hint="eastAsia" w:ascii="宋体" w:hAnsi="宋体" w:cs="宋体"/>
          <w:sz w:val="24"/>
          <w:szCs w:val="24"/>
        </w:rPr>
        <w:t>比选人、比选代理机构应当在收到比选申请人的书面质疑后七个工作日内作出答复，并以书面形式通知质疑比选申请人和其他有关比选申请人。</w:t>
      </w:r>
    </w:p>
    <w:p w14:paraId="5B283333">
      <w:pPr>
        <w:snapToGrid w:val="0"/>
        <w:spacing w:line="500" w:lineRule="exact"/>
        <w:ind w:firstLine="480" w:firstLineChars="200"/>
        <w:rPr>
          <w:rFonts w:ascii="宋体" w:hAnsi="宋体" w:cs="宋体"/>
          <w:sz w:val="24"/>
          <w:szCs w:val="24"/>
        </w:rPr>
      </w:pPr>
      <w:r>
        <w:rPr>
          <w:rFonts w:hint="eastAsia" w:ascii="宋体" w:hAnsi="宋体" w:cs="宋体"/>
          <w:sz w:val="24"/>
          <w:szCs w:val="24"/>
        </w:rPr>
        <w:t>3.其他</w:t>
      </w:r>
    </w:p>
    <w:p w14:paraId="4F5F97AA">
      <w:pPr>
        <w:snapToGrid w:val="0"/>
        <w:spacing w:line="500" w:lineRule="exact"/>
        <w:ind w:firstLine="480" w:firstLineChars="200"/>
        <w:rPr>
          <w:rFonts w:ascii="宋体" w:hAnsi="宋体" w:cs="宋体"/>
          <w:sz w:val="24"/>
          <w:szCs w:val="24"/>
        </w:rPr>
      </w:pPr>
      <w:r>
        <w:rPr>
          <w:rFonts w:hint="eastAsia" w:ascii="宋体" w:hAnsi="宋体" w:cs="宋体"/>
          <w:sz w:val="24"/>
          <w:szCs w:val="24"/>
        </w:rPr>
        <w:t>3.1比选申请人应按照《政府采购质疑和投诉办法》（财政部令第94号）及相关法律法规要求，在法定质疑期内一次性提出针对同一比选程序环节的质疑。</w:t>
      </w:r>
    </w:p>
    <w:p w14:paraId="1631AFC4">
      <w:pPr>
        <w:snapToGrid w:val="0"/>
        <w:spacing w:line="500" w:lineRule="exact"/>
        <w:ind w:firstLine="480" w:firstLineChars="200"/>
        <w:rPr>
          <w:rFonts w:ascii="宋体" w:hAnsi="宋体" w:cs="宋体"/>
          <w:sz w:val="24"/>
          <w:szCs w:val="24"/>
        </w:rPr>
      </w:pPr>
      <w:r>
        <w:rPr>
          <w:rFonts w:hint="eastAsia" w:ascii="宋体" w:hAnsi="宋体" w:cs="宋体"/>
          <w:sz w:val="24"/>
          <w:szCs w:val="24"/>
        </w:rPr>
        <w:t>3.2质疑函范本可在财政部门户网站和中国政府采购网下载。</w:t>
      </w:r>
    </w:p>
    <w:p w14:paraId="08AE5758">
      <w:pPr>
        <w:pStyle w:val="6"/>
        <w:spacing w:before="0" w:after="0" w:line="500" w:lineRule="exact"/>
        <w:rPr>
          <w:rFonts w:ascii="宋体" w:hAnsi="宋体" w:cs="宋体"/>
          <w:color w:val="FF0000"/>
          <w:sz w:val="24"/>
          <w:szCs w:val="24"/>
          <w:u w:val="single"/>
        </w:rPr>
      </w:pPr>
      <w:bookmarkStart w:id="163" w:name="_Toc30465"/>
      <w:bookmarkStart w:id="164" w:name="_Toc4669"/>
      <w:bookmarkStart w:id="165" w:name="_Toc83288560"/>
      <w:bookmarkStart w:id="166" w:name="_Toc11784"/>
      <w:r>
        <w:rPr>
          <w:rFonts w:hint="eastAsia" w:ascii="宋体" w:hAnsi="宋体" w:cs="宋体"/>
          <w:sz w:val="24"/>
          <w:szCs w:val="24"/>
        </w:rPr>
        <w:t>七、比选代理服务费</w:t>
      </w:r>
      <w:bookmarkEnd w:id="163"/>
      <w:bookmarkEnd w:id="164"/>
      <w:bookmarkEnd w:id="165"/>
      <w:bookmarkEnd w:id="166"/>
    </w:p>
    <w:p w14:paraId="1ABCD736">
      <w:pPr>
        <w:spacing w:line="500" w:lineRule="exact"/>
        <w:ind w:firstLine="480" w:firstLineChars="200"/>
        <w:rPr>
          <w:rFonts w:ascii="宋体" w:hAnsi="宋体" w:cs="宋体"/>
          <w:sz w:val="24"/>
          <w:szCs w:val="24"/>
        </w:rPr>
      </w:pPr>
      <w:bookmarkStart w:id="167" w:name="_Toc102227322"/>
      <w:bookmarkStart w:id="168" w:name="_Toc21283"/>
      <w:bookmarkStart w:id="169" w:name="_Toc7223"/>
      <w:bookmarkStart w:id="170" w:name="_Toc551"/>
      <w:bookmarkStart w:id="171" w:name="_Toc342913396"/>
      <w:bookmarkStart w:id="172" w:name="_Toc83288561"/>
      <w:bookmarkStart w:id="173" w:name="_Toc11641055"/>
      <w:bookmarkStart w:id="174" w:name="_Toc12789059"/>
      <w:r>
        <w:rPr>
          <w:rFonts w:hint="eastAsia" w:ascii="宋体" w:hAnsi="宋体" w:cs="宋体"/>
          <w:sz w:val="24"/>
          <w:szCs w:val="24"/>
        </w:rPr>
        <w:t>（一）比选申请人中选后向比选代理机构缴纳比选代理服务费，比选代理服务费的收取标准按照以下标准执行（不足伍仟圆，按照伍仟圆收取）: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53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tcPr>
          <w:p w14:paraId="253E4184">
            <w:pPr>
              <w:spacing w:line="400" w:lineRule="exact"/>
              <w:ind w:firstLine="1440" w:firstLineChars="6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PvmD1gAAAAgBAAAPAAAAAAAAAAEAIAAAACIAAABkcnMvZG93bnJldi54bWxQSwECFAAU&#10;AAAACACHTuJA9FmfXfMBAADw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cs="宋体"/>
                <w:sz w:val="24"/>
                <w:szCs w:val="24"/>
              </w:rPr>
              <w:t>招标类型</w:t>
            </w:r>
          </w:p>
          <w:p w14:paraId="0A344A0A">
            <w:pPr>
              <w:spacing w:line="400" w:lineRule="exact"/>
              <w:rPr>
                <w:rFonts w:ascii="宋体" w:hAnsi="宋体" w:cs="宋体"/>
                <w:sz w:val="24"/>
                <w:szCs w:val="24"/>
              </w:rPr>
            </w:pPr>
            <w:r>
              <w:rPr>
                <w:rFonts w:hint="eastAsia" w:ascii="宋体" w:hAnsi="宋体" w:cs="宋体"/>
                <w:sz w:val="24"/>
                <w:szCs w:val="24"/>
              </w:rPr>
              <w:t>中标金额（万元）</w:t>
            </w:r>
          </w:p>
        </w:tc>
        <w:tc>
          <w:tcPr>
            <w:tcW w:w="2273" w:type="dxa"/>
            <w:noWrap/>
            <w:vAlign w:val="center"/>
          </w:tcPr>
          <w:p w14:paraId="0A1EE3AA">
            <w:pPr>
              <w:spacing w:line="400" w:lineRule="exact"/>
              <w:ind w:firstLine="480" w:firstLineChars="200"/>
              <w:rPr>
                <w:rFonts w:ascii="宋体" w:hAnsi="宋体" w:cs="宋体"/>
                <w:sz w:val="24"/>
                <w:szCs w:val="24"/>
              </w:rPr>
            </w:pPr>
            <w:r>
              <w:rPr>
                <w:rFonts w:hint="eastAsia" w:ascii="宋体" w:hAnsi="宋体" w:cs="宋体"/>
                <w:sz w:val="24"/>
                <w:szCs w:val="24"/>
              </w:rPr>
              <w:t>货物招标</w:t>
            </w:r>
          </w:p>
        </w:tc>
        <w:tc>
          <w:tcPr>
            <w:tcW w:w="2273" w:type="dxa"/>
            <w:noWrap/>
            <w:vAlign w:val="center"/>
          </w:tcPr>
          <w:p w14:paraId="6BDF1148">
            <w:pPr>
              <w:spacing w:line="400" w:lineRule="exact"/>
              <w:ind w:firstLine="480" w:firstLineChars="200"/>
              <w:rPr>
                <w:rFonts w:ascii="宋体" w:hAnsi="宋体" w:cs="宋体"/>
                <w:sz w:val="24"/>
                <w:szCs w:val="24"/>
              </w:rPr>
            </w:pPr>
            <w:r>
              <w:rPr>
                <w:rFonts w:hint="eastAsia" w:ascii="宋体" w:hAnsi="宋体" w:cs="宋体"/>
                <w:sz w:val="24"/>
                <w:szCs w:val="24"/>
              </w:rPr>
              <w:t>服务招标</w:t>
            </w:r>
          </w:p>
        </w:tc>
        <w:tc>
          <w:tcPr>
            <w:tcW w:w="2272" w:type="dxa"/>
            <w:noWrap/>
            <w:vAlign w:val="center"/>
          </w:tcPr>
          <w:p w14:paraId="1E8A8237">
            <w:pPr>
              <w:spacing w:line="400" w:lineRule="exact"/>
              <w:ind w:firstLine="480" w:firstLineChars="200"/>
              <w:rPr>
                <w:rFonts w:ascii="宋体" w:hAnsi="宋体" w:cs="宋体"/>
                <w:sz w:val="24"/>
                <w:szCs w:val="24"/>
              </w:rPr>
            </w:pPr>
            <w:r>
              <w:rPr>
                <w:rFonts w:hint="eastAsia" w:ascii="宋体" w:hAnsi="宋体" w:cs="宋体"/>
                <w:sz w:val="24"/>
                <w:szCs w:val="24"/>
              </w:rPr>
              <w:t>工程招标</w:t>
            </w:r>
          </w:p>
        </w:tc>
      </w:tr>
      <w:tr w14:paraId="5D29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5E5E3AD5">
            <w:pPr>
              <w:spacing w:line="400" w:lineRule="exact"/>
              <w:ind w:firstLine="480" w:firstLineChars="200"/>
              <w:rPr>
                <w:rFonts w:ascii="宋体" w:hAnsi="宋体" w:cs="宋体"/>
                <w:sz w:val="24"/>
                <w:szCs w:val="24"/>
              </w:rPr>
            </w:pPr>
            <w:r>
              <w:rPr>
                <w:rFonts w:hint="eastAsia" w:ascii="宋体" w:hAnsi="宋体" w:cs="宋体"/>
                <w:sz w:val="24"/>
                <w:szCs w:val="24"/>
              </w:rPr>
              <w:t>100以下</w:t>
            </w:r>
          </w:p>
        </w:tc>
        <w:tc>
          <w:tcPr>
            <w:tcW w:w="2273" w:type="dxa"/>
            <w:noWrap/>
            <w:vAlign w:val="center"/>
          </w:tcPr>
          <w:p w14:paraId="4012513E">
            <w:pPr>
              <w:spacing w:line="400" w:lineRule="exact"/>
              <w:ind w:firstLine="480" w:firstLineChars="200"/>
              <w:rPr>
                <w:rFonts w:ascii="宋体" w:hAnsi="宋体" w:cs="宋体"/>
                <w:sz w:val="24"/>
                <w:szCs w:val="24"/>
              </w:rPr>
            </w:pPr>
            <w:r>
              <w:rPr>
                <w:rFonts w:hint="eastAsia" w:ascii="宋体" w:hAnsi="宋体" w:cs="宋体"/>
                <w:sz w:val="24"/>
                <w:szCs w:val="24"/>
              </w:rPr>
              <w:t>1.5%</w:t>
            </w:r>
          </w:p>
        </w:tc>
        <w:tc>
          <w:tcPr>
            <w:tcW w:w="2273" w:type="dxa"/>
            <w:noWrap/>
            <w:vAlign w:val="center"/>
          </w:tcPr>
          <w:p w14:paraId="61866563">
            <w:pPr>
              <w:spacing w:line="400" w:lineRule="exact"/>
              <w:ind w:firstLine="480" w:firstLineChars="200"/>
              <w:rPr>
                <w:rFonts w:ascii="宋体" w:hAnsi="宋体" w:cs="宋体"/>
                <w:sz w:val="24"/>
                <w:szCs w:val="24"/>
              </w:rPr>
            </w:pPr>
            <w:r>
              <w:rPr>
                <w:rFonts w:hint="eastAsia" w:ascii="宋体" w:hAnsi="宋体" w:cs="宋体"/>
                <w:sz w:val="24"/>
                <w:szCs w:val="24"/>
              </w:rPr>
              <w:t>1.5%</w:t>
            </w:r>
          </w:p>
        </w:tc>
        <w:tc>
          <w:tcPr>
            <w:tcW w:w="2272" w:type="dxa"/>
            <w:noWrap/>
            <w:vAlign w:val="center"/>
          </w:tcPr>
          <w:p w14:paraId="21F1BC4D">
            <w:pPr>
              <w:spacing w:line="400" w:lineRule="exact"/>
              <w:ind w:firstLine="480" w:firstLineChars="200"/>
              <w:rPr>
                <w:rFonts w:ascii="宋体" w:hAnsi="宋体" w:cs="宋体"/>
                <w:sz w:val="24"/>
                <w:szCs w:val="24"/>
              </w:rPr>
            </w:pPr>
            <w:r>
              <w:rPr>
                <w:rFonts w:hint="eastAsia" w:ascii="宋体" w:hAnsi="宋体" w:cs="宋体"/>
                <w:sz w:val="24"/>
                <w:szCs w:val="24"/>
              </w:rPr>
              <w:t>1.0%</w:t>
            </w:r>
          </w:p>
        </w:tc>
      </w:tr>
      <w:tr w14:paraId="5005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08EB61D4">
            <w:pPr>
              <w:spacing w:line="400" w:lineRule="exact"/>
              <w:ind w:firstLine="480" w:firstLineChars="200"/>
              <w:rPr>
                <w:rFonts w:ascii="宋体" w:hAnsi="宋体" w:cs="宋体"/>
                <w:sz w:val="24"/>
                <w:szCs w:val="24"/>
              </w:rPr>
            </w:pPr>
            <w:r>
              <w:rPr>
                <w:rFonts w:hint="eastAsia" w:ascii="宋体" w:hAnsi="宋体" w:cs="宋体"/>
                <w:sz w:val="24"/>
                <w:szCs w:val="24"/>
              </w:rPr>
              <w:t>100-500</w:t>
            </w:r>
          </w:p>
        </w:tc>
        <w:tc>
          <w:tcPr>
            <w:tcW w:w="2273" w:type="dxa"/>
            <w:noWrap/>
            <w:vAlign w:val="center"/>
          </w:tcPr>
          <w:p w14:paraId="1BEDDF0C">
            <w:pPr>
              <w:spacing w:line="400" w:lineRule="exact"/>
              <w:ind w:firstLine="480" w:firstLineChars="200"/>
              <w:rPr>
                <w:rFonts w:ascii="宋体" w:hAnsi="宋体" w:cs="宋体"/>
                <w:sz w:val="24"/>
                <w:szCs w:val="24"/>
              </w:rPr>
            </w:pPr>
            <w:r>
              <w:rPr>
                <w:rFonts w:hint="eastAsia" w:ascii="宋体" w:hAnsi="宋体" w:cs="宋体"/>
                <w:sz w:val="24"/>
                <w:szCs w:val="24"/>
              </w:rPr>
              <w:t>1.1%</w:t>
            </w:r>
          </w:p>
        </w:tc>
        <w:tc>
          <w:tcPr>
            <w:tcW w:w="2273" w:type="dxa"/>
            <w:noWrap/>
            <w:vAlign w:val="center"/>
          </w:tcPr>
          <w:p w14:paraId="684DCC8D">
            <w:pPr>
              <w:spacing w:line="400" w:lineRule="exact"/>
              <w:ind w:firstLine="480" w:firstLineChars="200"/>
              <w:rPr>
                <w:rFonts w:ascii="宋体" w:hAnsi="宋体" w:cs="宋体"/>
                <w:sz w:val="24"/>
                <w:szCs w:val="24"/>
              </w:rPr>
            </w:pPr>
            <w:r>
              <w:rPr>
                <w:rFonts w:hint="eastAsia" w:ascii="宋体" w:hAnsi="宋体" w:cs="宋体"/>
                <w:sz w:val="24"/>
                <w:szCs w:val="24"/>
              </w:rPr>
              <w:t>0.8%</w:t>
            </w:r>
          </w:p>
        </w:tc>
        <w:tc>
          <w:tcPr>
            <w:tcW w:w="2272" w:type="dxa"/>
            <w:noWrap/>
            <w:vAlign w:val="center"/>
          </w:tcPr>
          <w:p w14:paraId="73A45BEE">
            <w:pPr>
              <w:spacing w:line="400" w:lineRule="exact"/>
              <w:ind w:firstLine="480" w:firstLineChars="200"/>
              <w:rPr>
                <w:rFonts w:ascii="宋体" w:hAnsi="宋体" w:cs="宋体"/>
                <w:sz w:val="24"/>
                <w:szCs w:val="24"/>
              </w:rPr>
            </w:pPr>
            <w:r>
              <w:rPr>
                <w:rFonts w:hint="eastAsia" w:ascii="宋体" w:hAnsi="宋体" w:cs="宋体"/>
                <w:sz w:val="24"/>
                <w:szCs w:val="24"/>
              </w:rPr>
              <w:t>0.7%</w:t>
            </w:r>
          </w:p>
        </w:tc>
      </w:tr>
      <w:tr w14:paraId="040D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5A3CB652">
            <w:pPr>
              <w:spacing w:line="400" w:lineRule="exact"/>
              <w:ind w:firstLine="480" w:firstLineChars="200"/>
              <w:rPr>
                <w:rFonts w:ascii="宋体" w:hAnsi="宋体" w:cs="宋体"/>
                <w:sz w:val="24"/>
                <w:szCs w:val="24"/>
              </w:rPr>
            </w:pPr>
            <w:r>
              <w:rPr>
                <w:rFonts w:hint="eastAsia" w:ascii="宋体" w:hAnsi="宋体" w:cs="宋体"/>
                <w:sz w:val="24"/>
                <w:szCs w:val="24"/>
              </w:rPr>
              <w:t>500-1000</w:t>
            </w:r>
          </w:p>
        </w:tc>
        <w:tc>
          <w:tcPr>
            <w:tcW w:w="2273" w:type="dxa"/>
            <w:noWrap/>
            <w:vAlign w:val="center"/>
          </w:tcPr>
          <w:p w14:paraId="3BAB914D">
            <w:pPr>
              <w:spacing w:line="400" w:lineRule="exact"/>
              <w:ind w:firstLine="480" w:firstLineChars="200"/>
              <w:rPr>
                <w:rFonts w:ascii="宋体" w:hAnsi="宋体" w:cs="宋体"/>
                <w:sz w:val="24"/>
                <w:szCs w:val="24"/>
              </w:rPr>
            </w:pPr>
            <w:r>
              <w:rPr>
                <w:rFonts w:hint="eastAsia" w:ascii="宋体" w:hAnsi="宋体" w:cs="宋体"/>
                <w:sz w:val="24"/>
                <w:szCs w:val="24"/>
              </w:rPr>
              <w:t>0.8%</w:t>
            </w:r>
          </w:p>
        </w:tc>
        <w:tc>
          <w:tcPr>
            <w:tcW w:w="2273" w:type="dxa"/>
            <w:noWrap/>
            <w:vAlign w:val="center"/>
          </w:tcPr>
          <w:p w14:paraId="04F777A7">
            <w:pPr>
              <w:spacing w:line="400" w:lineRule="exact"/>
              <w:ind w:firstLine="480" w:firstLineChars="200"/>
              <w:rPr>
                <w:rFonts w:ascii="宋体" w:hAnsi="宋体" w:cs="宋体"/>
                <w:sz w:val="24"/>
                <w:szCs w:val="24"/>
              </w:rPr>
            </w:pPr>
            <w:r>
              <w:rPr>
                <w:rFonts w:hint="eastAsia" w:ascii="宋体" w:hAnsi="宋体" w:cs="宋体"/>
                <w:sz w:val="24"/>
                <w:szCs w:val="24"/>
              </w:rPr>
              <w:t>0.45%</w:t>
            </w:r>
          </w:p>
        </w:tc>
        <w:tc>
          <w:tcPr>
            <w:tcW w:w="2272" w:type="dxa"/>
            <w:noWrap/>
            <w:vAlign w:val="center"/>
          </w:tcPr>
          <w:p w14:paraId="33132597">
            <w:pPr>
              <w:spacing w:line="400" w:lineRule="exact"/>
              <w:ind w:firstLine="480" w:firstLineChars="200"/>
              <w:rPr>
                <w:rFonts w:ascii="宋体" w:hAnsi="宋体" w:cs="宋体"/>
                <w:sz w:val="24"/>
                <w:szCs w:val="24"/>
              </w:rPr>
            </w:pPr>
            <w:r>
              <w:rPr>
                <w:rFonts w:hint="eastAsia" w:ascii="宋体" w:hAnsi="宋体" w:cs="宋体"/>
                <w:sz w:val="24"/>
                <w:szCs w:val="24"/>
              </w:rPr>
              <w:t>0.55%</w:t>
            </w:r>
          </w:p>
        </w:tc>
      </w:tr>
      <w:tr w14:paraId="1091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0C0FCC46">
            <w:pPr>
              <w:spacing w:line="400" w:lineRule="exact"/>
              <w:ind w:firstLine="480" w:firstLineChars="200"/>
              <w:rPr>
                <w:rFonts w:ascii="宋体" w:hAnsi="宋体" w:cs="宋体"/>
                <w:sz w:val="24"/>
                <w:szCs w:val="24"/>
              </w:rPr>
            </w:pPr>
            <w:r>
              <w:rPr>
                <w:rFonts w:hint="eastAsia" w:ascii="宋体" w:hAnsi="宋体" w:cs="宋体"/>
                <w:sz w:val="24"/>
                <w:szCs w:val="24"/>
              </w:rPr>
              <w:t>1000-5000</w:t>
            </w:r>
          </w:p>
        </w:tc>
        <w:tc>
          <w:tcPr>
            <w:tcW w:w="2273" w:type="dxa"/>
            <w:noWrap/>
            <w:vAlign w:val="center"/>
          </w:tcPr>
          <w:p w14:paraId="7095ABB3">
            <w:pPr>
              <w:spacing w:line="400" w:lineRule="exact"/>
              <w:ind w:firstLine="480" w:firstLineChars="200"/>
              <w:rPr>
                <w:rFonts w:ascii="宋体" w:hAnsi="宋体" w:cs="宋体"/>
                <w:sz w:val="24"/>
                <w:szCs w:val="24"/>
              </w:rPr>
            </w:pPr>
            <w:r>
              <w:rPr>
                <w:rFonts w:hint="eastAsia" w:ascii="宋体" w:hAnsi="宋体" w:cs="宋体"/>
                <w:sz w:val="24"/>
                <w:szCs w:val="24"/>
              </w:rPr>
              <w:t>0.5%</w:t>
            </w:r>
          </w:p>
        </w:tc>
        <w:tc>
          <w:tcPr>
            <w:tcW w:w="2273" w:type="dxa"/>
            <w:noWrap/>
            <w:vAlign w:val="center"/>
          </w:tcPr>
          <w:p w14:paraId="1C5D7171">
            <w:pPr>
              <w:spacing w:line="400" w:lineRule="exact"/>
              <w:ind w:firstLine="480" w:firstLineChars="200"/>
              <w:rPr>
                <w:rFonts w:ascii="宋体" w:hAnsi="宋体" w:cs="宋体"/>
                <w:sz w:val="24"/>
                <w:szCs w:val="24"/>
              </w:rPr>
            </w:pPr>
            <w:r>
              <w:rPr>
                <w:rFonts w:hint="eastAsia" w:ascii="宋体" w:hAnsi="宋体" w:cs="宋体"/>
                <w:sz w:val="24"/>
                <w:szCs w:val="24"/>
              </w:rPr>
              <w:t>0.25%</w:t>
            </w:r>
          </w:p>
        </w:tc>
        <w:tc>
          <w:tcPr>
            <w:tcW w:w="2272" w:type="dxa"/>
            <w:noWrap/>
            <w:vAlign w:val="center"/>
          </w:tcPr>
          <w:p w14:paraId="0CF7BC28">
            <w:pPr>
              <w:spacing w:line="400" w:lineRule="exact"/>
              <w:ind w:firstLine="480" w:firstLineChars="200"/>
              <w:rPr>
                <w:rFonts w:ascii="宋体" w:hAnsi="宋体" w:cs="宋体"/>
                <w:sz w:val="24"/>
                <w:szCs w:val="24"/>
              </w:rPr>
            </w:pPr>
            <w:r>
              <w:rPr>
                <w:rFonts w:hint="eastAsia" w:ascii="宋体" w:hAnsi="宋体" w:cs="宋体"/>
                <w:sz w:val="24"/>
                <w:szCs w:val="24"/>
              </w:rPr>
              <w:t>0.35%</w:t>
            </w:r>
          </w:p>
        </w:tc>
      </w:tr>
      <w:tr w14:paraId="2F38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1751D47D">
            <w:pPr>
              <w:spacing w:line="400" w:lineRule="exact"/>
              <w:ind w:firstLine="480" w:firstLineChars="200"/>
              <w:rPr>
                <w:rFonts w:ascii="宋体" w:hAnsi="宋体" w:cs="宋体"/>
                <w:sz w:val="24"/>
                <w:szCs w:val="24"/>
              </w:rPr>
            </w:pPr>
            <w:r>
              <w:rPr>
                <w:rFonts w:hint="eastAsia" w:ascii="宋体" w:hAnsi="宋体" w:cs="宋体"/>
                <w:sz w:val="24"/>
                <w:szCs w:val="24"/>
              </w:rPr>
              <w:t>5000-10000</w:t>
            </w:r>
          </w:p>
        </w:tc>
        <w:tc>
          <w:tcPr>
            <w:tcW w:w="2273" w:type="dxa"/>
            <w:noWrap/>
            <w:vAlign w:val="center"/>
          </w:tcPr>
          <w:p w14:paraId="1CAB29F8">
            <w:pPr>
              <w:spacing w:line="400" w:lineRule="exact"/>
              <w:ind w:firstLine="480" w:firstLineChars="200"/>
              <w:rPr>
                <w:rFonts w:ascii="宋体" w:hAnsi="宋体" w:cs="宋体"/>
                <w:sz w:val="24"/>
                <w:szCs w:val="24"/>
              </w:rPr>
            </w:pPr>
            <w:r>
              <w:rPr>
                <w:rFonts w:hint="eastAsia" w:ascii="宋体" w:hAnsi="宋体" w:cs="宋体"/>
                <w:sz w:val="24"/>
                <w:szCs w:val="24"/>
              </w:rPr>
              <w:t>0.25%</w:t>
            </w:r>
          </w:p>
        </w:tc>
        <w:tc>
          <w:tcPr>
            <w:tcW w:w="2273" w:type="dxa"/>
            <w:noWrap/>
            <w:vAlign w:val="center"/>
          </w:tcPr>
          <w:p w14:paraId="5C62BEC8">
            <w:pPr>
              <w:spacing w:line="400" w:lineRule="exact"/>
              <w:ind w:firstLine="480" w:firstLineChars="200"/>
              <w:rPr>
                <w:rFonts w:ascii="宋体" w:hAnsi="宋体" w:cs="宋体"/>
                <w:sz w:val="24"/>
                <w:szCs w:val="24"/>
              </w:rPr>
            </w:pPr>
            <w:r>
              <w:rPr>
                <w:rFonts w:hint="eastAsia" w:ascii="宋体" w:hAnsi="宋体" w:cs="宋体"/>
                <w:sz w:val="24"/>
                <w:szCs w:val="24"/>
              </w:rPr>
              <w:t>0.1%</w:t>
            </w:r>
          </w:p>
        </w:tc>
        <w:tc>
          <w:tcPr>
            <w:tcW w:w="2272" w:type="dxa"/>
            <w:noWrap/>
            <w:vAlign w:val="center"/>
          </w:tcPr>
          <w:p w14:paraId="25832B42">
            <w:pPr>
              <w:spacing w:line="400" w:lineRule="exact"/>
              <w:ind w:firstLine="480" w:firstLineChars="200"/>
              <w:rPr>
                <w:rFonts w:ascii="宋体" w:hAnsi="宋体" w:cs="宋体"/>
                <w:sz w:val="24"/>
                <w:szCs w:val="24"/>
              </w:rPr>
            </w:pPr>
            <w:r>
              <w:rPr>
                <w:rFonts w:hint="eastAsia" w:ascii="宋体" w:hAnsi="宋体" w:cs="宋体"/>
                <w:sz w:val="24"/>
                <w:szCs w:val="24"/>
              </w:rPr>
              <w:t>0.2%</w:t>
            </w:r>
          </w:p>
        </w:tc>
      </w:tr>
      <w:tr w14:paraId="1C43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0B65C5F2">
            <w:pPr>
              <w:spacing w:line="400" w:lineRule="exact"/>
              <w:ind w:firstLine="480" w:firstLineChars="200"/>
              <w:rPr>
                <w:rFonts w:ascii="宋体" w:hAnsi="宋体" w:cs="宋体"/>
                <w:sz w:val="24"/>
                <w:szCs w:val="24"/>
              </w:rPr>
            </w:pPr>
            <w:r>
              <w:rPr>
                <w:rFonts w:hint="eastAsia" w:ascii="宋体" w:hAnsi="宋体" w:cs="宋体"/>
                <w:sz w:val="24"/>
                <w:szCs w:val="24"/>
              </w:rPr>
              <w:t>10000-100000</w:t>
            </w:r>
          </w:p>
        </w:tc>
        <w:tc>
          <w:tcPr>
            <w:tcW w:w="2273" w:type="dxa"/>
            <w:noWrap/>
            <w:vAlign w:val="center"/>
          </w:tcPr>
          <w:p w14:paraId="57430916">
            <w:pPr>
              <w:spacing w:line="400" w:lineRule="exact"/>
              <w:ind w:firstLine="480" w:firstLineChars="200"/>
              <w:rPr>
                <w:rFonts w:ascii="宋体" w:hAnsi="宋体" w:cs="宋体"/>
                <w:sz w:val="24"/>
                <w:szCs w:val="24"/>
              </w:rPr>
            </w:pPr>
            <w:r>
              <w:rPr>
                <w:rFonts w:hint="eastAsia" w:ascii="宋体" w:hAnsi="宋体" w:cs="宋体"/>
                <w:sz w:val="24"/>
                <w:szCs w:val="24"/>
              </w:rPr>
              <w:t>0.05%</w:t>
            </w:r>
          </w:p>
        </w:tc>
        <w:tc>
          <w:tcPr>
            <w:tcW w:w="2273" w:type="dxa"/>
            <w:noWrap/>
            <w:vAlign w:val="center"/>
          </w:tcPr>
          <w:p w14:paraId="201B139E">
            <w:pPr>
              <w:spacing w:line="400" w:lineRule="exact"/>
              <w:ind w:firstLine="480" w:firstLineChars="200"/>
              <w:rPr>
                <w:rFonts w:ascii="宋体" w:hAnsi="宋体" w:cs="宋体"/>
                <w:sz w:val="24"/>
                <w:szCs w:val="24"/>
              </w:rPr>
            </w:pPr>
            <w:r>
              <w:rPr>
                <w:rFonts w:hint="eastAsia" w:ascii="宋体" w:hAnsi="宋体" w:cs="宋体"/>
                <w:sz w:val="24"/>
                <w:szCs w:val="24"/>
              </w:rPr>
              <w:t>0.05%</w:t>
            </w:r>
          </w:p>
        </w:tc>
        <w:tc>
          <w:tcPr>
            <w:tcW w:w="2272" w:type="dxa"/>
            <w:noWrap/>
            <w:vAlign w:val="center"/>
          </w:tcPr>
          <w:p w14:paraId="6FDBE6DF">
            <w:pPr>
              <w:spacing w:line="400" w:lineRule="exact"/>
              <w:ind w:firstLine="480" w:firstLineChars="200"/>
              <w:rPr>
                <w:rFonts w:ascii="宋体" w:hAnsi="宋体" w:cs="宋体"/>
                <w:sz w:val="24"/>
                <w:szCs w:val="24"/>
              </w:rPr>
            </w:pPr>
            <w:r>
              <w:rPr>
                <w:rFonts w:hint="eastAsia" w:ascii="宋体" w:hAnsi="宋体" w:cs="宋体"/>
                <w:sz w:val="24"/>
                <w:szCs w:val="24"/>
              </w:rPr>
              <w:t>0.05%</w:t>
            </w:r>
          </w:p>
        </w:tc>
      </w:tr>
      <w:tr w14:paraId="201C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47AE49F4">
            <w:pPr>
              <w:spacing w:line="400" w:lineRule="exact"/>
              <w:ind w:firstLine="480" w:firstLineChars="200"/>
              <w:rPr>
                <w:rFonts w:ascii="宋体" w:hAnsi="宋体" w:cs="宋体"/>
                <w:sz w:val="24"/>
                <w:szCs w:val="24"/>
              </w:rPr>
            </w:pPr>
            <w:r>
              <w:rPr>
                <w:rFonts w:hint="eastAsia" w:ascii="宋体" w:hAnsi="宋体" w:cs="宋体"/>
                <w:sz w:val="24"/>
                <w:szCs w:val="24"/>
              </w:rPr>
              <w:t>1000000以上</w:t>
            </w:r>
          </w:p>
        </w:tc>
        <w:tc>
          <w:tcPr>
            <w:tcW w:w="2273" w:type="dxa"/>
            <w:noWrap/>
            <w:vAlign w:val="center"/>
          </w:tcPr>
          <w:p w14:paraId="155D7F29">
            <w:pPr>
              <w:spacing w:line="400" w:lineRule="exact"/>
              <w:ind w:firstLine="480" w:firstLineChars="200"/>
              <w:rPr>
                <w:rFonts w:ascii="宋体" w:hAnsi="宋体" w:cs="宋体"/>
                <w:sz w:val="24"/>
                <w:szCs w:val="24"/>
              </w:rPr>
            </w:pPr>
            <w:r>
              <w:rPr>
                <w:rFonts w:hint="eastAsia" w:ascii="宋体" w:hAnsi="宋体" w:cs="宋体"/>
                <w:sz w:val="24"/>
                <w:szCs w:val="24"/>
              </w:rPr>
              <w:t>0.01%</w:t>
            </w:r>
          </w:p>
        </w:tc>
        <w:tc>
          <w:tcPr>
            <w:tcW w:w="2273" w:type="dxa"/>
            <w:noWrap/>
            <w:vAlign w:val="center"/>
          </w:tcPr>
          <w:p w14:paraId="7E0FBA40">
            <w:pPr>
              <w:spacing w:line="400" w:lineRule="exact"/>
              <w:ind w:firstLine="480" w:firstLineChars="200"/>
              <w:rPr>
                <w:rFonts w:ascii="宋体" w:hAnsi="宋体" w:cs="宋体"/>
                <w:sz w:val="24"/>
                <w:szCs w:val="24"/>
              </w:rPr>
            </w:pPr>
            <w:r>
              <w:rPr>
                <w:rFonts w:hint="eastAsia" w:ascii="宋体" w:hAnsi="宋体" w:cs="宋体"/>
                <w:sz w:val="24"/>
                <w:szCs w:val="24"/>
              </w:rPr>
              <w:t>0.01%</w:t>
            </w:r>
          </w:p>
        </w:tc>
        <w:tc>
          <w:tcPr>
            <w:tcW w:w="2272" w:type="dxa"/>
            <w:noWrap/>
            <w:vAlign w:val="center"/>
          </w:tcPr>
          <w:p w14:paraId="24A53467">
            <w:pPr>
              <w:spacing w:line="400" w:lineRule="exact"/>
              <w:ind w:firstLine="480" w:firstLineChars="200"/>
              <w:rPr>
                <w:rFonts w:ascii="宋体" w:hAnsi="宋体" w:cs="宋体"/>
                <w:sz w:val="24"/>
                <w:szCs w:val="24"/>
              </w:rPr>
            </w:pPr>
            <w:r>
              <w:rPr>
                <w:rFonts w:hint="eastAsia" w:ascii="宋体" w:hAnsi="宋体" w:cs="宋体"/>
                <w:sz w:val="24"/>
                <w:szCs w:val="24"/>
              </w:rPr>
              <w:t>0.01%</w:t>
            </w:r>
          </w:p>
        </w:tc>
      </w:tr>
    </w:tbl>
    <w:p w14:paraId="572D332D">
      <w:pPr>
        <w:spacing w:line="500" w:lineRule="exact"/>
        <w:ind w:firstLine="480" w:firstLineChars="200"/>
        <w:rPr>
          <w:rFonts w:ascii="宋体" w:hAnsi="宋体" w:cs="宋体"/>
          <w:sz w:val="24"/>
          <w:szCs w:val="24"/>
        </w:rPr>
      </w:pPr>
      <w:r>
        <w:rPr>
          <w:rFonts w:hint="eastAsia" w:ascii="宋体" w:hAnsi="宋体" w:cs="宋体"/>
          <w:sz w:val="24"/>
          <w:szCs w:val="24"/>
        </w:rPr>
        <w:t>注：招标代理服务收费按差额定率累进法计算。例如：某工程招标代理业务中标金额为6000万元，计算招标代理服务收费额如下：</w:t>
      </w:r>
    </w:p>
    <w:p w14:paraId="306D041D">
      <w:pPr>
        <w:spacing w:line="500" w:lineRule="exact"/>
        <w:ind w:firstLine="480" w:firstLineChars="200"/>
        <w:rPr>
          <w:rFonts w:ascii="宋体" w:hAnsi="宋体" w:cs="宋体"/>
          <w:sz w:val="24"/>
          <w:szCs w:val="24"/>
        </w:rPr>
      </w:pPr>
      <w:r>
        <w:rPr>
          <w:rFonts w:hint="eastAsia" w:ascii="宋体" w:hAnsi="宋体" w:cs="宋体"/>
          <w:sz w:val="24"/>
          <w:szCs w:val="24"/>
        </w:rPr>
        <w:t>100万元×1.0%=1万元</w:t>
      </w:r>
    </w:p>
    <w:p w14:paraId="7C5580E8">
      <w:pPr>
        <w:spacing w:line="500" w:lineRule="exact"/>
        <w:ind w:firstLine="480" w:firstLineChars="200"/>
        <w:rPr>
          <w:rFonts w:ascii="宋体" w:hAnsi="宋体" w:cs="宋体"/>
          <w:sz w:val="24"/>
          <w:szCs w:val="24"/>
        </w:rPr>
      </w:pPr>
      <w:r>
        <w:rPr>
          <w:rFonts w:hint="eastAsia" w:ascii="宋体" w:hAnsi="宋体" w:cs="宋体"/>
          <w:sz w:val="24"/>
          <w:szCs w:val="24"/>
        </w:rPr>
        <w:t>（500-100）万元×0.7%=2.8万元</w:t>
      </w:r>
    </w:p>
    <w:p w14:paraId="634DAA98">
      <w:pPr>
        <w:spacing w:line="500" w:lineRule="exact"/>
        <w:ind w:firstLine="480" w:firstLineChars="200"/>
        <w:rPr>
          <w:rFonts w:ascii="宋体" w:hAnsi="宋体" w:cs="宋体"/>
          <w:sz w:val="24"/>
          <w:szCs w:val="24"/>
        </w:rPr>
      </w:pPr>
      <w:r>
        <w:rPr>
          <w:rFonts w:hint="eastAsia" w:ascii="宋体" w:hAnsi="宋体" w:cs="宋体"/>
          <w:sz w:val="24"/>
          <w:szCs w:val="24"/>
        </w:rPr>
        <w:t>（1000-500）×0.55%=2.75万元</w:t>
      </w:r>
    </w:p>
    <w:p w14:paraId="261AC27B">
      <w:pPr>
        <w:spacing w:line="500" w:lineRule="exact"/>
        <w:ind w:firstLine="480" w:firstLineChars="200"/>
        <w:rPr>
          <w:rFonts w:ascii="宋体" w:hAnsi="宋体" w:cs="宋体"/>
          <w:sz w:val="24"/>
          <w:szCs w:val="24"/>
        </w:rPr>
      </w:pPr>
      <w:r>
        <w:rPr>
          <w:rFonts w:hint="eastAsia" w:ascii="宋体" w:hAnsi="宋体" w:cs="宋体"/>
          <w:sz w:val="24"/>
          <w:szCs w:val="24"/>
        </w:rPr>
        <w:t>（5000-1000）×0.35%=14万元</w:t>
      </w:r>
    </w:p>
    <w:p w14:paraId="25C14911">
      <w:pPr>
        <w:spacing w:line="500" w:lineRule="exact"/>
        <w:ind w:firstLine="480" w:firstLineChars="200"/>
        <w:rPr>
          <w:rFonts w:ascii="宋体" w:hAnsi="宋体" w:cs="宋体"/>
          <w:sz w:val="24"/>
          <w:szCs w:val="24"/>
        </w:rPr>
      </w:pPr>
      <w:r>
        <w:rPr>
          <w:rFonts w:hint="eastAsia" w:ascii="宋体" w:hAnsi="宋体" w:cs="宋体"/>
          <w:sz w:val="24"/>
          <w:szCs w:val="24"/>
        </w:rPr>
        <w:t>（6000-5000）×0.2%=2万元</w:t>
      </w:r>
    </w:p>
    <w:p w14:paraId="2C1B7512">
      <w:pPr>
        <w:spacing w:line="500" w:lineRule="exact"/>
        <w:ind w:firstLine="480" w:firstLineChars="200"/>
        <w:rPr>
          <w:rFonts w:ascii="宋体" w:hAnsi="宋体" w:cs="宋体"/>
          <w:sz w:val="24"/>
          <w:szCs w:val="24"/>
        </w:rPr>
      </w:pPr>
      <w:r>
        <w:rPr>
          <w:rFonts w:hint="eastAsia" w:ascii="宋体" w:hAnsi="宋体" w:cs="宋体"/>
          <w:sz w:val="24"/>
          <w:szCs w:val="24"/>
        </w:rPr>
        <w:t>合计收费=1+2.8+2.75+14+2=22.55（万元）</w:t>
      </w:r>
    </w:p>
    <w:p w14:paraId="60A02BF3">
      <w:pPr>
        <w:spacing w:line="500" w:lineRule="exact"/>
        <w:ind w:firstLine="480" w:firstLineChars="200"/>
        <w:rPr>
          <w:rFonts w:ascii="宋体" w:hAnsi="宋体" w:cs="宋体"/>
          <w:sz w:val="24"/>
          <w:szCs w:val="24"/>
        </w:rPr>
      </w:pPr>
      <w:r>
        <w:rPr>
          <w:rFonts w:hint="eastAsia" w:ascii="宋体" w:hAnsi="宋体" w:cs="宋体"/>
          <w:sz w:val="24"/>
          <w:szCs w:val="24"/>
        </w:rPr>
        <w:t>（二）招标代理服务费缴纳账号：</w:t>
      </w:r>
    </w:p>
    <w:p w14:paraId="7B549FB7">
      <w:pPr>
        <w:spacing w:line="500" w:lineRule="exact"/>
        <w:ind w:firstLine="480" w:firstLineChars="200"/>
        <w:rPr>
          <w:rFonts w:ascii="宋体" w:hAnsi="宋体" w:cs="宋体"/>
          <w:sz w:val="24"/>
          <w:szCs w:val="24"/>
        </w:rPr>
      </w:pPr>
      <w:r>
        <w:rPr>
          <w:rFonts w:hint="eastAsia" w:ascii="宋体" w:hAnsi="宋体" w:cs="宋体"/>
          <w:sz w:val="24"/>
          <w:szCs w:val="24"/>
        </w:rPr>
        <w:t>户  名：重庆嘉利建工程咨询有限公司</w:t>
      </w:r>
    </w:p>
    <w:p w14:paraId="0B885AA0">
      <w:pPr>
        <w:spacing w:line="500" w:lineRule="exact"/>
        <w:ind w:firstLine="480" w:firstLineChars="200"/>
        <w:rPr>
          <w:rFonts w:ascii="宋体" w:hAnsi="宋体" w:cs="宋体"/>
          <w:sz w:val="24"/>
          <w:szCs w:val="24"/>
        </w:rPr>
      </w:pPr>
      <w:r>
        <w:rPr>
          <w:rFonts w:hint="eastAsia" w:ascii="宋体" w:hAnsi="宋体" w:cs="宋体"/>
          <w:sz w:val="24"/>
          <w:szCs w:val="24"/>
        </w:rPr>
        <w:t>开户行： 650711169300015</w:t>
      </w:r>
    </w:p>
    <w:p w14:paraId="79A2A10F">
      <w:pPr>
        <w:spacing w:line="500" w:lineRule="exact"/>
        <w:ind w:firstLine="480" w:firstLineChars="200"/>
        <w:rPr>
          <w:rFonts w:ascii="宋体" w:hAnsi="宋体" w:cs="宋体"/>
          <w:b/>
          <w:sz w:val="24"/>
          <w:szCs w:val="24"/>
        </w:rPr>
      </w:pPr>
      <w:r>
        <w:rPr>
          <w:rFonts w:hint="eastAsia" w:ascii="宋体" w:hAnsi="宋体" w:cs="宋体"/>
          <w:sz w:val="24"/>
          <w:szCs w:val="24"/>
        </w:rPr>
        <w:t>账  号： 重庆渝北银座村镇银行有限责任公司两路支行</w:t>
      </w:r>
    </w:p>
    <w:p w14:paraId="5AC0216C">
      <w:pPr>
        <w:pStyle w:val="6"/>
        <w:spacing w:before="0" w:after="0" w:line="500" w:lineRule="exact"/>
        <w:rPr>
          <w:rFonts w:ascii="宋体" w:hAnsi="宋体" w:cs="宋体"/>
          <w:sz w:val="24"/>
          <w:szCs w:val="24"/>
        </w:rPr>
      </w:pPr>
      <w:r>
        <w:rPr>
          <w:rFonts w:hint="eastAsia" w:ascii="宋体" w:hAnsi="宋体" w:cs="宋体"/>
          <w:sz w:val="24"/>
          <w:szCs w:val="24"/>
        </w:rPr>
        <w:t>八、签订</w:t>
      </w:r>
      <w:bookmarkEnd w:id="167"/>
      <w:r>
        <w:rPr>
          <w:rFonts w:hint="eastAsia" w:ascii="宋体" w:hAnsi="宋体" w:cs="宋体"/>
          <w:sz w:val="24"/>
          <w:szCs w:val="24"/>
        </w:rPr>
        <w:t>合同</w:t>
      </w:r>
      <w:bookmarkEnd w:id="168"/>
      <w:bookmarkEnd w:id="169"/>
      <w:bookmarkEnd w:id="170"/>
      <w:bookmarkEnd w:id="171"/>
      <w:bookmarkEnd w:id="172"/>
    </w:p>
    <w:p w14:paraId="77BD5C90">
      <w:pPr>
        <w:spacing w:line="500" w:lineRule="exact"/>
        <w:ind w:firstLine="480" w:firstLineChars="200"/>
        <w:rPr>
          <w:rFonts w:ascii="宋体" w:hAnsi="宋体" w:cs="宋体"/>
          <w:sz w:val="24"/>
          <w:szCs w:val="24"/>
        </w:rPr>
      </w:pPr>
      <w:r>
        <w:rPr>
          <w:rFonts w:hint="eastAsia" w:ascii="宋体" w:hAnsi="宋体" w:cs="宋体"/>
          <w:sz w:val="24"/>
          <w:szCs w:val="24"/>
        </w:rPr>
        <w:t>（一） 比选人与中选人应当在中选通知书发出之日起20日内，按照比选文件确定的合同文本以及采购标的、规格型号、采购金额、采购数量、技术和服务要求等事项签订采购合同。</w:t>
      </w:r>
    </w:p>
    <w:p w14:paraId="5DB3BFB3">
      <w:pPr>
        <w:spacing w:line="500" w:lineRule="exact"/>
        <w:ind w:firstLine="480" w:firstLineChars="200"/>
        <w:rPr>
          <w:rFonts w:ascii="宋体" w:hAnsi="宋体" w:cs="宋体"/>
          <w:sz w:val="24"/>
          <w:szCs w:val="24"/>
        </w:rPr>
      </w:pPr>
      <w:r>
        <w:rPr>
          <w:rFonts w:hint="eastAsia" w:ascii="宋体" w:hAnsi="宋体" w:cs="宋体"/>
          <w:sz w:val="24"/>
          <w:szCs w:val="24"/>
        </w:rPr>
        <w:t>（二）竞争性比选文件、中选人的响应文件及有效承诺文件等，均为签订合同的依据。</w:t>
      </w:r>
    </w:p>
    <w:p w14:paraId="34E5FE20">
      <w:pPr>
        <w:spacing w:line="500" w:lineRule="exact"/>
        <w:ind w:firstLine="480" w:firstLineChars="200"/>
        <w:rPr>
          <w:rFonts w:ascii="宋体" w:hAnsi="宋体" w:cs="宋体"/>
          <w:sz w:val="24"/>
          <w:szCs w:val="24"/>
        </w:rPr>
      </w:pPr>
      <w:r>
        <w:rPr>
          <w:rFonts w:hint="eastAsia" w:ascii="宋体" w:hAnsi="宋体" w:cs="宋体"/>
          <w:sz w:val="24"/>
          <w:szCs w:val="24"/>
        </w:rPr>
        <w:t>（三）如中选人放弃成交项目或在签订合同时擅自改变中选状态的，比选人将按照相关法律法规处理。</w:t>
      </w:r>
    </w:p>
    <w:p w14:paraId="53612CC1">
      <w:pPr>
        <w:spacing w:line="500" w:lineRule="exact"/>
        <w:ind w:firstLine="480" w:firstLineChars="200"/>
        <w:rPr>
          <w:rFonts w:ascii="宋体" w:hAnsi="宋体" w:cs="宋体"/>
          <w:sz w:val="24"/>
          <w:szCs w:val="24"/>
        </w:rPr>
      </w:pPr>
      <w:r>
        <w:rPr>
          <w:rFonts w:hint="eastAsia" w:ascii="宋体" w:hAnsi="宋体" w:cs="宋体"/>
          <w:sz w:val="24"/>
          <w:szCs w:val="24"/>
        </w:rPr>
        <w:t>（四）除不可抗力等因素外，中选通知书发出后，中选人拒绝签订政府采购合同的，应当承担相应的法律责任。</w:t>
      </w:r>
    </w:p>
    <w:bookmarkEnd w:id="173"/>
    <w:bookmarkEnd w:id="174"/>
    <w:p w14:paraId="3EF27FE8">
      <w:pPr>
        <w:pStyle w:val="5"/>
        <w:spacing w:line="240" w:lineRule="auto"/>
        <w:rPr>
          <w:rFonts w:ascii="宋体" w:hAnsi="宋体" w:eastAsia="宋体" w:cs="宋体"/>
          <w:b w:val="0"/>
          <w:sz w:val="36"/>
          <w:szCs w:val="30"/>
        </w:rPr>
        <w:sectPr>
          <w:footerReference r:id="rId8" w:type="default"/>
          <w:pgSz w:w="11907" w:h="16840"/>
          <w:pgMar w:top="1134" w:right="1191" w:bottom="1134" w:left="1304" w:header="851" w:footer="992" w:gutter="0"/>
          <w:cols w:space="720" w:num="1"/>
          <w:docGrid w:linePitch="380" w:charSpace="-5735"/>
        </w:sectPr>
      </w:pPr>
      <w:bookmarkStart w:id="175" w:name="_Toc30747"/>
      <w:bookmarkStart w:id="176" w:name="_Toc83288562"/>
      <w:bookmarkStart w:id="177" w:name="_Toc22664"/>
    </w:p>
    <w:p w14:paraId="70FAC1A3">
      <w:pPr>
        <w:pStyle w:val="5"/>
        <w:spacing w:line="240" w:lineRule="auto"/>
        <w:jc w:val="center"/>
        <w:rPr>
          <w:rFonts w:ascii="宋体" w:hAnsi="宋体" w:eastAsia="宋体" w:cs="宋体"/>
          <w:szCs w:val="30"/>
        </w:rPr>
      </w:pPr>
      <w:bookmarkStart w:id="178" w:name="_Toc13223"/>
      <w:r>
        <w:rPr>
          <w:rFonts w:hint="eastAsia" w:ascii="宋体" w:hAnsi="宋体" w:eastAsia="宋体" w:cs="宋体"/>
          <w:b w:val="0"/>
          <w:sz w:val="36"/>
          <w:szCs w:val="30"/>
        </w:rPr>
        <w:t>第六篇  合同主要条款和格式合同</w:t>
      </w:r>
      <w:bookmarkEnd w:id="175"/>
      <w:bookmarkEnd w:id="176"/>
      <w:bookmarkEnd w:id="177"/>
      <w:bookmarkEnd w:id="178"/>
    </w:p>
    <w:p w14:paraId="1DB5B90F">
      <w:pPr>
        <w:jc w:val="center"/>
        <w:rPr>
          <w:rFonts w:ascii="宋体" w:hAnsi="宋体" w:cs="宋体"/>
          <w:b/>
          <w:sz w:val="52"/>
          <w:szCs w:val="28"/>
        </w:rPr>
      </w:pPr>
      <w:bookmarkStart w:id="179" w:name="_Hlt41879464"/>
      <w:bookmarkEnd w:id="179"/>
      <w:bookmarkStart w:id="180" w:name="_Toc12789072"/>
      <w:r>
        <w:rPr>
          <w:rFonts w:hint="eastAsia" w:ascii="宋体" w:hAnsi="宋体" w:cs="宋体"/>
          <w:b/>
          <w:sz w:val="52"/>
          <w:szCs w:val="28"/>
        </w:rPr>
        <w:t>建设工程施工合同</w:t>
      </w:r>
    </w:p>
    <w:p w14:paraId="6FAB9A18">
      <w:pPr>
        <w:jc w:val="center"/>
        <w:rPr>
          <w:rFonts w:ascii="宋体" w:hAnsi="宋体" w:cs="宋体"/>
          <w:b/>
          <w:szCs w:val="28"/>
        </w:rPr>
      </w:pPr>
    </w:p>
    <w:p w14:paraId="2F89E372">
      <w:pPr>
        <w:jc w:val="center"/>
        <w:rPr>
          <w:rFonts w:ascii="宋体" w:hAnsi="宋体" w:cs="宋体"/>
          <w:b/>
          <w:szCs w:val="28"/>
        </w:rPr>
      </w:pPr>
    </w:p>
    <w:p w14:paraId="0E76BA04">
      <w:pPr>
        <w:jc w:val="center"/>
        <w:rPr>
          <w:rFonts w:ascii="宋体" w:hAnsi="宋体" w:cs="宋体"/>
          <w:b/>
          <w:szCs w:val="28"/>
        </w:rPr>
      </w:pPr>
    </w:p>
    <w:p w14:paraId="4E3E3267">
      <w:pPr>
        <w:jc w:val="center"/>
        <w:rPr>
          <w:rFonts w:ascii="宋体" w:hAnsi="宋体" w:cs="宋体"/>
          <w:b/>
          <w:szCs w:val="28"/>
        </w:rPr>
      </w:pPr>
    </w:p>
    <w:p w14:paraId="70965804">
      <w:pPr>
        <w:jc w:val="center"/>
        <w:rPr>
          <w:rFonts w:ascii="宋体" w:hAnsi="宋体" w:cs="宋体"/>
          <w:b/>
          <w:szCs w:val="28"/>
        </w:rPr>
      </w:pPr>
    </w:p>
    <w:p w14:paraId="76F4B89E">
      <w:pPr>
        <w:jc w:val="center"/>
        <w:rPr>
          <w:rFonts w:ascii="宋体" w:hAnsi="宋体" w:cs="宋体"/>
          <w:b/>
          <w:szCs w:val="28"/>
        </w:rPr>
      </w:pPr>
    </w:p>
    <w:p w14:paraId="46BC9630">
      <w:pPr>
        <w:spacing w:beforeLines="100" w:afterLines="50" w:line="480" w:lineRule="auto"/>
        <w:jc w:val="left"/>
        <w:rPr>
          <w:rFonts w:ascii="宋体" w:hAnsi="宋体" w:cs="宋体"/>
          <w:sz w:val="32"/>
          <w:szCs w:val="28"/>
          <w:u w:val="single"/>
        </w:rPr>
      </w:pPr>
      <w:r>
        <w:rPr>
          <w:rFonts w:hint="eastAsia" w:ascii="宋体" w:hAnsi="宋体" w:cs="宋体"/>
          <w:sz w:val="32"/>
          <w:szCs w:val="28"/>
        </w:rPr>
        <w:t>工程名称：高空站观测场草坪和道路改造</w:t>
      </w:r>
    </w:p>
    <w:p w14:paraId="62228405">
      <w:pPr>
        <w:spacing w:beforeLines="100" w:afterLines="50" w:line="480" w:lineRule="auto"/>
        <w:jc w:val="left"/>
        <w:rPr>
          <w:rFonts w:ascii="宋体" w:hAnsi="宋体" w:cs="宋体"/>
          <w:sz w:val="32"/>
          <w:szCs w:val="28"/>
          <w:u w:val="single"/>
        </w:rPr>
      </w:pPr>
      <w:r>
        <w:rPr>
          <w:rFonts w:hint="eastAsia" w:ascii="宋体" w:hAnsi="宋体" w:cs="宋体"/>
          <w:sz w:val="32"/>
          <w:szCs w:val="28"/>
        </w:rPr>
        <w:t>工程地点：重庆市沙坪坝区饮水村104号</w:t>
      </w:r>
    </w:p>
    <w:p w14:paraId="512680AF">
      <w:pPr>
        <w:spacing w:beforeLines="100" w:afterLines="50" w:line="480" w:lineRule="auto"/>
        <w:jc w:val="left"/>
        <w:rPr>
          <w:rFonts w:ascii="宋体" w:hAnsi="宋体" w:cs="宋体"/>
          <w:sz w:val="32"/>
          <w:szCs w:val="28"/>
          <w:u w:val="single"/>
        </w:rPr>
      </w:pPr>
      <w:r>
        <w:rPr>
          <w:rFonts w:hint="eastAsia" w:ascii="宋体" w:hAnsi="宋体" w:cs="宋体"/>
          <w:sz w:val="32"/>
          <w:szCs w:val="28"/>
        </w:rPr>
        <w:t>甲    方：重庆市沙坪坝区气象局</w:t>
      </w:r>
    </w:p>
    <w:p w14:paraId="782783B3">
      <w:pPr>
        <w:spacing w:beforeLines="100" w:afterLines="50" w:line="480" w:lineRule="auto"/>
        <w:jc w:val="left"/>
        <w:rPr>
          <w:rFonts w:ascii="宋体" w:hAnsi="宋体" w:cs="宋体"/>
          <w:sz w:val="32"/>
          <w:szCs w:val="28"/>
          <w:u w:val="single"/>
        </w:rPr>
      </w:pPr>
      <w:r>
        <w:rPr>
          <w:rFonts w:hint="eastAsia" w:ascii="宋体" w:hAnsi="宋体" w:cs="宋体"/>
          <w:sz w:val="32"/>
          <w:szCs w:val="28"/>
        </w:rPr>
        <w:t>乙    方：</w:t>
      </w:r>
      <w:r>
        <w:rPr>
          <w:rFonts w:hint="eastAsia" w:ascii="宋体" w:hAnsi="宋体" w:cs="宋体"/>
          <w:sz w:val="32"/>
          <w:szCs w:val="28"/>
          <w:u w:val="single"/>
        </w:rPr>
        <w:t>　　　　　　　　　　　　　　　</w:t>
      </w:r>
    </w:p>
    <w:p w14:paraId="38B516AE">
      <w:pPr>
        <w:jc w:val="center"/>
        <w:rPr>
          <w:rFonts w:ascii="宋体" w:hAnsi="宋体" w:cs="宋体"/>
          <w:b/>
          <w:szCs w:val="28"/>
        </w:rPr>
      </w:pPr>
    </w:p>
    <w:p w14:paraId="60661BB8">
      <w:pPr>
        <w:jc w:val="center"/>
        <w:rPr>
          <w:rFonts w:ascii="宋体" w:hAnsi="宋体" w:cs="宋体"/>
          <w:b/>
          <w:szCs w:val="28"/>
        </w:rPr>
      </w:pPr>
    </w:p>
    <w:p w14:paraId="02F54B9D">
      <w:pPr>
        <w:jc w:val="center"/>
        <w:rPr>
          <w:rFonts w:ascii="宋体" w:hAnsi="宋体" w:cs="宋体"/>
          <w:b/>
          <w:szCs w:val="28"/>
        </w:rPr>
      </w:pPr>
    </w:p>
    <w:p w14:paraId="2F897913">
      <w:pPr>
        <w:ind w:firstLine="1800" w:firstLineChars="500"/>
        <w:jc w:val="left"/>
        <w:rPr>
          <w:rFonts w:ascii="宋体" w:hAnsi="宋体" w:cs="宋体"/>
          <w:sz w:val="32"/>
          <w:szCs w:val="28"/>
        </w:rPr>
        <w:sectPr>
          <w:footerReference r:id="rId9" w:type="default"/>
          <w:pgSz w:w="11906" w:h="16838"/>
          <w:pgMar w:top="1134" w:right="1191" w:bottom="1134" w:left="1304" w:header="624" w:footer="992" w:gutter="0"/>
          <w:cols w:space="720" w:num="1"/>
          <w:titlePg/>
          <w:docGrid w:type="lines" w:linePitch="312" w:charSpace="0"/>
        </w:sectPr>
      </w:pPr>
      <w:r>
        <w:rPr>
          <w:rFonts w:hint="eastAsia" w:ascii="宋体" w:hAnsi="宋体" w:cs="宋体"/>
          <w:spacing w:val="20"/>
          <w:sz w:val="32"/>
          <w:szCs w:val="28"/>
        </w:rPr>
        <w:t>签 订 日 期：</w:t>
      </w:r>
      <w:r>
        <w:rPr>
          <w:rFonts w:hint="eastAsia" w:ascii="宋体" w:hAnsi="宋体" w:cs="宋体"/>
          <w:bCs/>
          <w:sz w:val="32"/>
          <w:szCs w:val="28"/>
        </w:rPr>
        <w:t>年月日</w:t>
      </w:r>
      <w:bookmarkStart w:id="181" w:name="_Toc383727194"/>
    </w:p>
    <w:bookmarkEnd w:id="181"/>
    <w:p w14:paraId="41734596">
      <w:pPr>
        <w:jc w:val="center"/>
        <w:rPr>
          <w:rFonts w:ascii="宋体" w:hAnsi="宋体" w:cs="宋体"/>
          <w:sz w:val="32"/>
          <w:szCs w:val="28"/>
        </w:rPr>
      </w:pPr>
      <w:r>
        <w:rPr>
          <w:rFonts w:hint="eastAsia" w:ascii="宋体" w:hAnsi="宋体" w:cs="宋体"/>
          <w:sz w:val="32"/>
          <w:szCs w:val="28"/>
        </w:rPr>
        <w:t>建设工程施工合同</w:t>
      </w:r>
    </w:p>
    <w:p w14:paraId="6E27A5BD">
      <w:pPr>
        <w:jc w:val="center"/>
        <w:rPr>
          <w:rFonts w:ascii="宋体" w:hAnsi="宋体" w:cs="宋体"/>
          <w:sz w:val="32"/>
          <w:szCs w:val="28"/>
        </w:rPr>
      </w:pPr>
      <w:r>
        <w:rPr>
          <w:rFonts w:hint="eastAsia" w:ascii="宋体" w:hAnsi="宋体" w:cs="宋体"/>
          <w:sz w:val="32"/>
          <w:szCs w:val="28"/>
        </w:rPr>
        <w:t>（采用清单计价范本）</w:t>
      </w:r>
    </w:p>
    <w:p w14:paraId="2527A0F8">
      <w:pPr>
        <w:spacing w:line="400" w:lineRule="exact"/>
        <w:ind w:firstLine="480" w:firstLineChars="200"/>
        <w:rPr>
          <w:rFonts w:ascii="宋体" w:hAnsi="宋体" w:cs="宋体"/>
          <w:bCs/>
          <w:kern w:val="52"/>
          <w:sz w:val="24"/>
          <w:szCs w:val="24"/>
          <w:u w:val="single"/>
        </w:rPr>
      </w:pPr>
      <w:r>
        <w:rPr>
          <w:rFonts w:hint="eastAsia" w:ascii="宋体" w:hAnsi="宋体" w:cs="宋体"/>
          <w:kern w:val="0"/>
          <w:sz w:val="24"/>
          <w:szCs w:val="24"/>
        </w:rPr>
        <w:t>甲方（全称）：重庆市沙坪坝区气象局</w:t>
      </w:r>
    </w:p>
    <w:p w14:paraId="4C2A50AA">
      <w:pPr>
        <w:spacing w:line="400" w:lineRule="exact"/>
        <w:ind w:firstLine="480" w:firstLineChars="200"/>
        <w:rPr>
          <w:rFonts w:ascii="宋体" w:hAnsi="宋体" w:cs="宋体"/>
          <w:kern w:val="0"/>
          <w:sz w:val="24"/>
          <w:szCs w:val="24"/>
          <w:u w:val="single"/>
        </w:rPr>
      </w:pPr>
      <w:r>
        <w:rPr>
          <w:rFonts w:hint="eastAsia" w:ascii="宋体" w:hAnsi="宋体" w:cs="宋体"/>
          <w:kern w:val="0"/>
          <w:sz w:val="24"/>
          <w:szCs w:val="24"/>
        </w:rPr>
        <w:t>乙方（全称）：</w:t>
      </w:r>
    </w:p>
    <w:p w14:paraId="79FDF08B">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根据《中华人民共和国民法典》《中华人民共和国建筑法》及其他有关法律规定，遵循平等、自愿、公平和诚实信用的原则，双方就</w:t>
      </w:r>
      <w:r>
        <w:rPr>
          <w:rFonts w:hint="eastAsia" w:ascii="宋体" w:hAnsi="宋体" w:cs="宋体"/>
          <w:kern w:val="0"/>
          <w:sz w:val="24"/>
          <w:szCs w:val="24"/>
          <w:u w:val="single"/>
        </w:rPr>
        <w:t>高空站观测场草坪和道路改造</w:t>
      </w:r>
      <w:r>
        <w:rPr>
          <w:rFonts w:hint="eastAsia" w:ascii="宋体" w:hAnsi="宋体" w:cs="宋体"/>
          <w:kern w:val="0"/>
          <w:sz w:val="24"/>
          <w:szCs w:val="24"/>
        </w:rPr>
        <w:t>施工及有关事项协商一致，共同达成如下协议：</w:t>
      </w:r>
    </w:p>
    <w:p w14:paraId="21265FEB">
      <w:pPr>
        <w:spacing w:line="400" w:lineRule="exact"/>
        <w:ind w:firstLine="482" w:firstLineChars="200"/>
        <w:rPr>
          <w:rFonts w:ascii="宋体" w:hAnsi="宋体" w:cs="宋体"/>
          <w:b/>
          <w:bCs/>
          <w:sz w:val="24"/>
          <w:szCs w:val="24"/>
        </w:rPr>
      </w:pPr>
      <w:r>
        <w:rPr>
          <w:rFonts w:hint="eastAsia" w:ascii="宋体" w:hAnsi="宋体" w:cs="宋体"/>
          <w:b/>
          <w:bCs/>
          <w:sz w:val="24"/>
          <w:szCs w:val="24"/>
        </w:rPr>
        <w:t>一、工程概况</w:t>
      </w:r>
    </w:p>
    <w:p w14:paraId="22E46B62">
      <w:pPr>
        <w:spacing w:line="400" w:lineRule="exact"/>
        <w:ind w:firstLine="480" w:firstLineChars="200"/>
        <w:rPr>
          <w:rFonts w:ascii="宋体" w:hAnsi="宋体" w:cs="宋体"/>
          <w:sz w:val="24"/>
          <w:szCs w:val="24"/>
        </w:rPr>
      </w:pPr>
      <w:r>
        <w:rPr>
          <w:rFonts w:hint="eastAsia" w:ascii="宋体" w:hAnsi="宋体" w:cs="宋体"/>
          <w:kern w:val="0"/>
          <w:sz w:val="24"/>
          <w:szCs w:val="24"/>
        </w:rPr>
        <w:t>1.工程名称：高空站观测场草坪和道路改造</w:t>
      </w:r>
    </w:p>
    <w:p w14:paraId="0CBE5E52">
      <w:pPr>
        <w:spacing w:line="400" w:lineRule="exact"/>
        <w:ind w:firstLine="480" w:firstLineChars="200"/>
        <w:rPr>
          <w:rFonts w:ascii="宋体" w:hAnsi="宋体" w:cs="宋体"/>
          <w:sz w:val="24"/>
          <w:szCs w:val="24"/>
        </w:rPr>
      </w:pPr>
      <w:r>
        <w:rPr>
          <w:rFonts w:hint="eastAsia" w:ascii="宋体" w:hAnsi="宋体" w:cs="宋体"/>
          <w:sz w:val="24"/>
          <w:szCs w:val="24"/>
        </w:rPr>
        <w:t>2.工程地点：重庆市沙坪坝区饮水村104号</w:t>
      </w:r>
    </w:p>
    <w:p w14:paraId="5592F0BE">
      <w:pPr>
        <w:spacing w:line="400" w:lineRule="exact"/>
        <w:ind w:firstLine="480" w:firstLineChars="200"/>
        <w:rPr>
          <w:rFonts w:ascii="宋体" w:hAnsi="宋体" w:cs="宋体"/>
          <w:sz w:val="24"/>
          <w:szCs w:val="24"/>
        </w:rPr>
      </w:pPr>
      <w:r>
        <w:rPr>
          <w:rFonts w:hint="eastAsia" w:ascii="宋体" w:hAnsi="宋体" w:cs="宋体"/>
          <w:sz w:val="24"/>
          <w:szCs w:val="24"/>
        </w:rPr>
        <w:t xml:space="preserve">3.工程内容： </w:t>
      </w:r>
      <w:r>
        <w:rPr>
          <w:rFonts w:hint="eastAsia" w:ascii="宋体" w:hAnsi="宋体" w:cs="宋体"/>
          <w:b/>
          <w:color w:val="FF0000"/>
          <w:sz w:val="24"/>
          <w:szCs w:val="24"/>
          <w:u w:val="single"/>
        </w:rPr>
        <w:t>建议完善</w:t>
      </w:r>
    </w:p>
    <w:p w14:paraId="5652ABD4">
      <w:pPr>
        <w:spacing w:line="400" w:lineRule="exact"/>
        <w:ind w:firstLine="482" w:firstLineChars="200"/>
        <w:rPr>
          <w:rFonts w:ascii="宋体" w:hAnsi="宋体" w:cs="宋体"/>
          <w:b/>
          <w:bCs/>
          <w:sz w:val="24"/>
          <w:szCs w:val="24"/>
        </w:rPr>
      </w:pPr>
      <w:r>
        <w:rPr>
          <w:rFonts w:hint="eastAsia" w:ascii="宋体" w:hAnsi="宋体" w:cs="宋体"/>
          <w:b/>
          <w:bCs/>
          <w:sz w:val="24"/>
          <w:szCs w:val="24"/>
        </w:rPr>
        <w:t>二、合同工期</w:t>
      </w:r>
    </w:p>
    <w:p w14:paraId="506085D5">
      <w:pPr>
        <w:spacing w:line="400" w:lineRule="exact"/>
        <w:ind w:firstLine="480" w:firstLineChars="200"/>
        <w:rPr>
          <w:rFonts w:ascii="宋体" w:hAnsi="宋体" w:cs="宋体"/>
          <w:sz w:val="24"/>
          <w:szCs w:val="24"/>
        </w:rPr>
      </w:pPr>
      <w:r>
        <w:rPr>
          <w:rFonts w:hint="eastAsia" w:ascii="宋体" w:hAnsi="宋体" w:cs="宋体"/>
          <w:sz w:val="24"/>
          <w:szCs w:val="24"/>
        </w:rPr>
        <w:t>计划开工日期：年月日（暂定以中选人收到预付款的时间为准）。</w:t>
      </w:r>
    </w:p>
    <w:p w14:paraId="0F0189B8">
      <w:pPr>
        <w:spacing w:line="400" w:lineRule="exact"/>
        <w:ind w:firstLine="480" w:firstLineChars="200"/>
        <w:rPr>
          <w:rFonts w:ascii="宋体" w:hAnsi="宋体" w:cs="宋体"/>
          <w:sz w:val="24"/>
          <w:szCs w:val="24"/>
          <w:u w:val="single"/>
        </w:rPr>
      </w:pPr>
      <w:r>
        <w:rPr>
          <w:rFonts w:hint="eastAsia" w:ascii="宋体" w:hAnsi="宋体" w:cs="宋体"/>
          <w:sz w:val="24"/>
          <w:szCs w:val="24"/>
        </w:rPr>
        <w:t>计划竣工日期：年月日。</w:t>
      </w:r>
    </w:p>
    <w:p w14:paraId="52A27E56">
      <w:pPr>
        <w:spacing w:line="400" w:lineRule="exact"/>
        <w:ind w:firstLine="480" w:firstLineChars="200"/>
        <w:rPr>
          <w:rFonts w:ascii="宋体" w:hAnsi="宋体" w:cs="宋体"/>
          <w:sz w:val="24"/>
          <w:szCs w:val="24"/>
        </w:rPr>
      </w:pPr>
      <w:r>
        <w:rPr>
          <w:rFonts w:hint="eastAsia" w:ascii="宋体" w:hAnsi="宋体" w:cs="宋体"/>
          <w:sz w:val="24"/>
          <w:szCs w:val="24"/>
        </w:rPr>
        <w:t>工期要求：</w:t>
      </w:r>
      <w:r>
        <w:rPr>
          <w:rFonts w:hint="eastAsia" w:ascii="宋体" w:hAnsi="宋体" w:cs="宋体"/>
          <w:sz w:val="24"/>
          <w:szCs w:val="24"/>
          <w:u w:val="single"/>
        </w:rPr>
        <w:t>90</w:t>
      </w:r>
      <w:r>
        <w:rPr>
          <w:rFonts w:hint="eastAsia" w:ascii="宋体" w:hAnsi="宋体" w:cs="宋体"/>
          <w:sz w:val="24"/>
          <w:szCs w:val="24"/>
        </w:rPr>
        <w:t>日历天。工期总日历天数与根据前述计划开竣工日期计算的工期天数不一致的，以工期总日历天数为准。</w:t>
      </w:r>
    </w:p>
    <w:p w14:paraId="6AAE52FF">
      <w:pPr>
        <w:spacing w:line="400" w:lineRule="exact"/>
        <w:ind w:firstLine="482" w:firstLineChars="200"/>
        <w:rPr>
          <w:rFonts w:ascii="宋体" w:hAnsi="宋体" w:cs="宋体"/>
          <w:b/>
          <w:bCs/>
          <w:sz w:val="24"/>
          <w:szCs w:val="24"/>
        </w:rPr>
      </w:pPr>
      <w:bookmarkStart w:id="182" w:name="_Toc351203484"/>
      <w:r>
        <w:rPr>
          <w:rFonts w:hint="eastAsia" w:ascii="宋体" w:hAnsi="宋体" w:cs="宋体"/>
          <w:b/>
          <w:bCs/>
          <w:sz w:val="24"/>
          <w:szCs w:val="24"/>
        </w:rPr>
        <w:t>三、暂定合同价</w:t>
      </w:r>
      <w:bookmarkEnd w:id="182"/>
      <w:r>
        <w:rPr>
          <w:rFonts w:hint="eastAsia" w:ascii="宋体" w:hAnsi="宋体" w:cs="宋体"/>
          <w:b/>
          <w:bCs/>
          <w:sz w:val="24"/>
          <w:szCs w:val="24"/>
        </w:rPr>
        <w:t>及合同价格形式</w:t>
      </w:r>
    </w:p>
    <w:p w14:paraId="3992E953">
      <w:pPr>
        <w:spacing w:line="400" w:lineRule="exact"/>
        <w:ind w:firstLine="480" w:firstLineChars="200"/>
        <w:rPr>
          <w:rFonts w:ascii="宋体" w:hAnsi="宋体" w:cs="宋体"/>
          <w:sz w:val="24"/>
          <w:szCs w:val="24"/>
        </w:rPr>
      </w:pPr>
      <w:r>
        <w:rPr>
          <w:rFonts w:hint="eastAsia" w:ascii="宋体" w:hAnsi="宋体" w:cs="宋体"/>
          <w:sz w:val="24"/>
          <w:szCs w:val="24"/>
        </w:rPr>
        <w:t>合同价为  ：    人民币元（大写：       ），合同价格形式：</w:t>
      </w:r>
      <w:r>
        <w:rPr>
          <w:rFonts w:hint="eastAsia" w:ascii="宋体" w:hAnsi="宋体" w:cs="宋体"/>
          <w:sz w:val="24"/>
          <w:szCs w:val="24"/>
          <w:u w:val="single"/>
        </w:rPr>
        <w:t>固定综合单价，</w:t>
      </w:r>
      <w:r>
        <w:rPr>
          <w:rFonts w:hint="eastAsia" w:ascii="宋体" w:hAnsi="宋体" w:cs="宋体"/>
          <w:b/>
          <w:sz w:val="24"/>
          <w:szCs w:val="24"/>
          <w:u w:val="single"/>
        </w:rPr>
        <w:t>各项单价详见工程量清单</w:t>
      </w:r>
      <w:r>
        <w:rPr>
          <w:rFonts w:hint="eastAsia" w:ascii="宋体" w:hAnsi="宋体" w:cs="宋体"/>
          <w:b/>
          <w:sz w:val="24"/>
          <w:szCs w:val="24"/>
        </w:rPr>
        <w:t>。</w:t>
      </w:r>
    </w:p>
    <w:p w14:paraId="4C4FE599">
      <w:pPr>
        <w:spacing w:line="400" w:lineRule="exact"/>
        <w:ind w:firstLine="482" w:firstLineChars="200"/>
        <w:rPr>
          <w:rFonts w:ascii="宋体" w:hAnsi="宋体" w:cs="宋体"/>
          <w:b/>
          <w:bCs/>
          <w:sz w:val="24"/>
          <w:szCs w:val="24"/>
        </w:rPr>
      </w:pPr>
      <w:r>
        <w:rPr>
          <w:rFonts w:hint="eastAsia" w:ascii="宋体" w:hAnsi="宋体" w:cs="宋体"/>
          <w:b/>
          <w:bCs/>
          <w:sz w:val="24"/>
          <w:szCs w:val="24"/>
        </w:rPr>
        <w:t>四、合同文件构成</w:t>
      </w:r>
    </w:p>
    <w:p w14:paraId="2F49F5FC">
      <w:pPr>
        <w:spacing w:line="400" w:lineRule="exact"/>
        <w:ind w:firstLine="480" w:firstLineChars="200"/>
        <w:rPr>
          <w:rFonts w:ascii="宋体" w:hAnsi="宋体" w:cs="宋体"/>
          <w:sz w:val="24"/>
          <w:szCs w:val="24"/>
        </w:rPr>
      </w:pPr>
      <w:r>
        <w:rPr>
          <w:rFonts w:hint="eastAsia" w:ascii="宋体" w:hAnsi="宋体" w:cs="宋体"/>
          <w:sz w:val="24"/>
          <w:szCs w:val="24"/>
        </w:rPr>
        <w:t>本合同与下列文件一起构成合同文件：</w:t>
      </w:r>
    </w:p>
    <w:p w14:paraId="1B6BFDF4">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（1）中选通知书；</w:t>
      </w:r>
    </w:p>
    <w:p w14:paraId="4E084EC7">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 xml:space="preserve">（2）比选文件及投标响应文件； </w:t>
      </w:r>
    </w:p>
    <w:p w14:paraId="266DFD28">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（3）合同附件；</w:t>
      </w:r>
    </w:p>
    <w:p w14:paraId="4CC4CF71">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（4）技术标准和要求；</w:t>
      </w:r>
    </w:p>
    <w:p w14:paraId="15ADD1A9">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（5）图纸；</w:t>
      </w:r>
    </w:p>
    <w:p w14:paraId="2A0A07DE">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（6）已标价工程量清单；</w:t>
      </w:r>
    </w:p>
    <w:p w14:paraId="2B71AA51">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（7）其他合同文件。</w:t>
      </w:r>
    </w:p>
    <w:p w14:paraId="70C9B9ED">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79402090">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上述各项合同文件包括合同当事人就该项合同文件所做出的补充和修改，属于同一类内容的文件，应以最新签署的为准。合同附件须经合同当事人签字或盖章。</w:t>
      </w:r>
    </w:p>
    <w:p w14:paraId="0D24A2EE">
      <w:pPr>
        <w:spacing w:line="400" w:lineRule="exact"/>
        <w:ind w:firstLine="482" w:firstLineChars="200"/>
        <w:rPr>
          <w:rFonts w:ascii="宋体" w:hAnsi="宋体" w:cs="宋体"/>
          <w:kern w:val="0"/>
          <w:sz w:val="24"/>
          <w:szCs w:val="24"/>
        </w:rPr>
      </w:pPr>
      <w:r>
        <w:rPr>
          <w:rFonts w:hint="eastAsia" w:ascii="宋体" w:hAnsi="宋体" w:cs="宋体"/>
          <w:b/>
          <w:bCs/>
          <w:sz w:val="24"/>
          <w:szCs w:val="24"/>
        </w:rPr>
        <w:t>五、工程质量</w:t>
      </w:r>
    </w:p>
    <w:p w14:paraId="5AD2FBB3">
      <w:pPr>
        <w:spacing w:line="400" w:lineRule="exact"/>
        <w:ind w:firstLine="480" w:firstLineChars="200"/>
        <w:rPr>
          <w:rFonts w:ascii="宋体" w:hAnsi="宋体" w:cs="宋体"/>
          <w:sz w:val="24"/>
          <w:szCs w:val="24"/>
        </w:rPr>
      </w:pPr>
      <w:r>
        <w:rPr>
          <w:rFonts w:hint="eastAsia" w:ascii="宋体" w:hAnsi="宋体" w:cs="宋体"/>
          <w:sz w:val="24"/>
          <w:szCs w:val="24"/>
        </w:rPr>
        <w:t>质量要求：工程质量符合达到国家现行有关施工质量验收规范要求，并达到一次验收合格标准。</w:t>
      </w:r>
    </w:p>
    <w:p w14:paraId="3E0E3409">
      <w:pPr>
        <w:spacing w:line="400" w:lineRule="exact"/>
        <w:ind w:firstLine="482" w:firstLineChars="200"/>
        <w:rPr>
          <w:rFonts w:ascii="宋体" w:hAnsi="宋体" w:cs="宋体"/>
          <w:b/>
          <w:bCs/>
          <w:sz w:val="24"/>
          <w:szCs w:val="24"/>
        </w:rPr>
      </w:pPr>
      <w:r>
        <w:rPr>
          <w:rFonts w:hint="eastAsia" w:ascii="宋体" w:hAnsi="宋体" w:cs="宋体"/>
          <w:b/>
          <w:bCs/>
          <w:sz w:val="24"/>
          <w:szCs w:val="24"/>
        </w:rPr>
        <w:t>六、材料、设备要求</w:t>
      </w:r>
    </w:p>
    <w:p w14:paraId="07F26E60">
      <w:pPr>
        <w:spacing w:line="400" w:lineRule="exact"/>
        <w:ind w:firstLine="480" w:firstLineChars="200"/>
        <w:rPr>
          <w:rFonts w:ascii="宋体" w:hAnsi="宋体" w:cs="宋体"/>
          <w:sz w:val="24"/>
          <w:szCs w:val="24"/>
        </w:rPr>
      </w:pPr>
      <w:r>
        <w:rPr>
          <w:rFonts w:hint="eastAsia" w:ascii="宋体" w:hAnsi="宋体" w:cs="宋体"/>
          <w:sz w:val="24"/>
          <w:szCs w:val="24"/>
        </w:rPr>
        <w:t>（一）本工程所有材料均由乙方采购，所采购的材料必须符合国家、地方现行规范标准及设计和采购文件要求，保证质量，并对材料质量负责，不得使用假冒伪劣产品或擅自变更建筑材料材质、规格、型号。</w:t>
      </w:r>
    </w:p>
    <w:p w14:paraId="7DD22CAC">
      <w:pPr>
        <w:spacing w:line="400" w:lineRule="exact"/>
        <w:ind w:firstLine="480" w:firstLineChars="200"/>
        <w:rPr>
          <w:rFonts w:ascii="宋体" w:hAnsi="宋体" w:cs="宋体"/>
          <w:sz w:val="24"/>
          <w:szCs w:val="24"/>
        </w:rPr>
      </w:pPr>
      <w:r>
        <w:rPr>
          <w:rFonts w:hint="eastAsia" w:ascii="宋体" w:hAnsi="宋体" w:cs="宋体"/>
          <w:sz w:val="24"/>
          <w:szCs w:val="24"/>
        </w:rPr>
        <w:t>（二）乙方采购的材料与设计或标准要求不符时，乙方应按监理工程师或甲方要求的时间运出施工场地，重新采购符合要求的产品，承担由此发生的费用，由此延误的工期不予顺延。</w:t>
      </w:r>
    </w:p>
    <w:p w14:paraId="63D5B71A">
      <w:pPr>
        <w:spacing w:line="400" w:lineRule="exact"/>
        <w:ind w:firstLine="480" w:firstLineChars="200"/>
        <w:rPr>
          <w:rFonts w:ascii="宋体" w:hAnsi="宋体" w:cs="宋体"/>
          <w:sz w:val="24"/>
          <w:szCs w:val="24"/>
        </w:rPr>
      </w:pPr>
      <w:r>
        <w:rPr>
          <w:rFonts w:hint="eastAsia" w:ascii="宋体" w:hAnsi="宋体" w:cs="宋体"/>
          <w:sz w:val="24"/>
          <w:szCs w:val="24"/>
        </w:rPr>
        <w:t>（三）本工程使用的材料必须报甲方审核、确认。乙方必须按甲方的要求进行检验或试验，未按规定检验或试验、检验或试验不合格的材料不得用于本工程。甲方发现乙方采购并使用不符合设计或标准要求的材料时，应要求乙方负责修复、拆除或重新采购，由乙方承担发生的费用，由此延误的工期不予顺延。</w:t>
      </w:r>
    </w:p>
    <w:p w14:paraId="2A0609C5">
      <w:pPr>
        <w:spacing w:line="400" w:lineRule="exact"/>
        <w:ind w:firstLine="482" w:firstLineChars="200"/>
        <w:rPr>
          <w:rFonts w:ascii="宋体" w:hAnsi="宋体" w:cs="宋体"/>
          <w:b/>
          <w:bCs/>
          <w:sz w:val="24"/>
          <w:szCs w:val="24"/>
        </w:rPr>
      </w:pPr>
      <w:r>
        <w:rPr>
          <w:rFonts w:hint="eastAsia" w:ascii="宋体" w:hAnsi="宋体" w:cs="宋体"/>
          <w:b/>
          <w:bCs/>
          <w:sz w:val="24"/>
          <w:szCs w:val="24"/>
        </w:rPr>
        <w:t>七、安全文明施工</w:t>
      </w:r>
    </w:p>
    <w:p w14:paraId="41278D49">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一）乙方在施工过程中，必须严格按照现行国家规定的安全文明施工相关规范及相关安全生产的法律条文执行。乙方的项目管理团队必须到现场加强对项目的管理，施工期间施工现场的所有安全责任（包括但不限于造成施工人员及第三人等人身伤害、财产损失）均由乙方负责承担。如在施工过程中发生任何安全事故和其他一切人身损害事故，均由乙方自行负责。</w:t>
      </w:r>
    </w:p>
    <w:p w14:paraId="1E2791AA">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（二）因乙方对有关人员管理不善造成的事故以及对非施工人员进入施工范围产生的事故，损害赔偿责任均由乙方自行负责；因乙方未做到安全文明施工造成乙方及他人财产损失的均由乙方自行负责。</w:t>
      </w:r>
    </w:p>
    <w:p w14:paraId="7173B345">
      <w:pPr>
        <w:spacing w:line="400" w:lineRule="exact"/>
        <w:ind w:firstLine="480" w:firstLineChars="200"/>
        <w:rPr>
          <w:rFonts w:ascii="宋体" w:hAnsi="宋体" w:cs="宋体"/>
          <w:sz w:val="24"/>
          <w:szCs w:val="24"/>
        </w:rPr>
      </w:pPr>
      <w:r>
        <w:rPr>
          <w:rFonts w:hint="eastAsia" w:ascii="宋体" w:hAnsi="宋体" w:cs="宋体"/>
          <w:sz w:val="24"/>
          <w:szCs w:val="24"/>
        </w:rPr>
        <w:t>（三）乙方应作好防火、防盗及用电安全和学校设施设备的保护工作，因乙方原因造成设施设备损坏的乙方照价赔偿和因乙方原因造成的一切责任（防火、防盗、用电安全）由乙方承担。施工时，须至少有2人同时在现场才能作业。</w:t>
      </w:r>
    </w:p>
    <w:p w14:paraId="1E3530B4">
      <w:pPr>
        <w:spacing w:line="400" w:lineRule="exact"/>
        <w:ind w:firstLine="482" w:firstLineChars="200"/>
        <w:rPr>
          <w:rFonts w:ascii="宋体" w:hAnsi="宋体" w:cs="宋体"/>
          <w:b/>
          <w:bCs/>
          <w:sz w:val="24"/>
          <w:szCs w:val="24"/>
        </w:rPr>
      </w:pPr>
      <w:r>
        <w:rPr>
          <w:rFonts w:hint="eastAsia" w:ascii="宋体" w:hAnsi="宋体" w:cs="宋体"/>
          <w:b/>
          <w:bCs/>
          <w:sz w:val="24"/>
          <w:szCs w:val="24"/>
        </w:rPr>
        <w:t>九、工程结算</w:t>
      </w:r>
    </w:p>
    <w:p w14:paraId="07505395">
      <w:pPr>
        <w:spacing w:line="400" w:lineRule="exact"/>
        <w:ind w:firstLine="480" w:firstLineChars="200"/>
        <w:rPr>
          <w:rFonts w:ascii="宋体" w:hAnsi="宋体" w:cs="宋体"/>
          <w:sz w:val="24"/>
          <w:szCs w:val="24"/>
        </w:rPr>
      </w:pPr>
      <w:r>
        <w:rPr>
          <w:rFonts w:hint="eastAsia" w:ascii="宋体" w:hAnsi="宋体" w:cs="宋体"/>
          <w:sz w:val="24"/>
          <w:szCs w:val="24"/>
        </w:rPr>
        <w:t>1、分部分项工程量清单结算价：</w:t>
      </w:r>
    </w:p>
    <w:p w14:paraId="2A302DC4">
      <w:pPr>
        <w:spacing w:line="400" w:lineRule="exact"/>
        <w:ind w:firstLine="480" w:firstLineChars="200"/>
        <w:rPr>
          <w:rFonts w:ascii="宋体" w:hAnsi="宋体" w:cs="宋体"/>
          <w:sz w:val="24"/>
          <w:szCs w:val="24"/>
        </w:rPr>
      </w:pPr>
      <w:r>
        <w:rPr>
          <w:rFonts w:hint="eastAsia" w:ascii="宋体" w:hAnsi="宋体" w:cs="宋体"/>
          <w:sz w:val="24"/>
          <w:szCs w:val="24"/>
        </w:rPr>
        <w:t>以承包人投标报价时的分部分项工程量清单中子项综合单价×子项工程量</w:t>
      </w:r>
    </w:p>
    <w:p w14:paraId="182BF3A0">
      <w:pPr>
        <w:spacing w:line="400" w:lineRule="exact"/>
        <w:ind w:firstLine="480" w:firstLineChars="200"/>
        <w:rPr>
          <w:rFonts w:ascii="宋体" w:hAnsi="宋体" w:cs="宋体"/>
          <w:sz w:val="24"/>
          <w:szCs w:val="24"/>
        </w:rPr>
      </w:pPr>
      <w:r>
        <w:rPr>
          <w:rFonts w:hint="eastAsia" w:ascii="宋体" w:hAnsi="宋体" w:cs="宋体"/>
          <w:sz w:val="24"/>
          <w:szCs w:val="24"/>
        </w:rPr>
        <w:t>（1）子项工程量：工程量计算以施工图、设计变更（技术洽商）、竣工图及有效签证资料作为计算依据，按《建设工程工程量清单计价规范》（GB50500-2013）、《重庆市建设工程工程量清单计价规则》（CQJJGZ-2013）、《通用安装工程工程量计算规范》（GB50856-2013）、《市政工程工程量计算规范》（GB50857-2013）、《重庆市市政工程计价定额》（CQSZDE-2018）、《重庆市建筑工程计价定额》(CQJZDE-2018)和《重庆市建设工程费用定额》CQFYDE-2018）、《重庆市房屋修缮工程计价定额》（CQXSDE-2018）、《重庆市房屋建筑与装饰工程计价定额》（CQJZZSDE-2018）、《重庆市通用安装工程计价定额》（CQAZDE-2018）、《混凝土及砂浆配合比表、施工机械台班定额》（CQPSDE-2018）、《重庆市建设工程工程量计算规则》（CQJLGZ-2013）约定的计量规则计算的合格工程量作为结算依据。</w:t>
      </w:r>
    </w:p>
    <w:p w14:paraId="3F030A6E">
      <w:pPr>
        <w:spacing w:line="400" w:lineRule="exact"/>
        <w:ind w:firstLine="480" w:firstLineChars="200"/>
        <w:rPr>
          <w:rFonts w:ascii="宋体" w:hAnsi="宋体" w:cs="宋体"/>
          <w:sz w:val="24"/>
          <w:szCs w:val="24"/>
        </w:rPr>
      </w:pPr>
      <w:r>
        <w:rPr>
          <w:rFonts w:hint="eastAsia" w:ascii="宋体" w:hAnsi="宋体" w:cs="宋体"/>
          <w:sz w:val="24"/>
          <w:szCs w:val="24"/>
        </w:rPr>
        <w:t>（2）子项综合单价以承包人投标报价时的分部分项工程量清单中子项综合单价为结算依据。</w:t>
      </w:r>
    </w:p>
    <w:p w14:paraId="6F5B8392">
      <w:pPr>
        <w:spacing w:line="400" w:lineRule="exact"/>
        <w:ind w:firstLine="480" w:firstLineChars="200"/>
        <w:rPr>
          <w:rFonts w:ascii="宋体" w:hAnsi="宋体" w:cs="宋体"/>
          <w:sz w:val="24"/>
          <w:szCs w:val="24"/>
        </w:rPr>
      </w:pPr>
      <w:r>
        <w:rPr>
          <w:rFonts w:hint="eastAsia" w:ascii="宋体" w:hAnsi="宋体" w:cs="宋体"/>
          <w:sz w:val="24"/>
          <w:szCs w:val="24"/>
        </w:rPr>
        <w:t>2、措施费：参照分部分项工程量清单计算原则进行结算</w:t>
      </w:r>
    </w:p>
    <w:p w14:paraId="55E602B7">
      <w:pPr>
        <w:spacing w:line="400" w:lineRule="exact"/>
        <w:ind w:firstLine="480" w:firstLineChars="200"/>
        <w:rPr>
          <w:rFonts w:ascii="宋体" w:hAnsi="宋体" w:cs="宋体"/>
          <w:sz w:val="24"/>
          <w:szCs w:val="24"/>
        </w:rPr>
      </w:pPr>
      <w:r>
        <w:rPr>
          <w:rFonts w:hint="eastAsia" w:ascii="宋体" w:hAnsi="宋体" w:cs="宋体"/>
          <w:sz w:val="24"/>
          <w:szCs w:val="24"/>
        </w:rPr>
        <w:t>3、安全文明施工费、规范、税金：按照国家及重庆市的相关规定按实结算</w:t>
      </w:r>
    </w:p>
    <w:p w14:paraId="3B1EFC05">
      <w:pPr>
        <w:spacing w:line="400" w:lineRule="exact"/>
        <w:ind w:firstLine="480" w:firstLineChars="200"/>
        <w:rPr>
          <w:rFonts w:ascii="宋体" w:hAnsi="宋体" w:cs="宋体"/>
          <w:sz w:val="24"/>
          <w:szCs w:val="24"/>
        </w:rPr>
      </w:pPr>
      <w:r>
        <w:rPr>
          <w:rFonts w:hint="eastAsia" w:ascii="宋体" w:hAnsi="宋体" w:cs="宋体"/>
          <w:sz w:val="24"/>
          <w:szCs w:val="24"/>
        </w:rPr>
        <w:t>4、变更及新增工程</w:t>
      </w:r>
    </w:p>
    <w:p w14:paraId="1B20ABB7">
      <w:pPr>
        <w:spacing w:line="400" w:lineRule="exact"/>
        <w:ind w:firstLine="480" w:firstLineChars="200"/>
        <w:rPr>
          <w:rFonts w:ascii="宋体" w:hAnsi="宋体" w:cs="宋体"/>
          <w:sz w:val="24"/>
          <w:szCs w:val="24"/>
        </w:rPr>
      </w:pPr>
      <w:r>
        <w:rPr>
          <w:rFonts w:hint="eastAsia" w:ascii="宋体" w:hAnsi="宋体" w:cs="宋体"/>
          <w:sz w:val="24"/>
          <w:szCs w:val="24"/>
        </w:rPr>
        <w:t>（1）已标价工程量清单中有相同或类似的子项时，按投标时的相同子项或类似子项综合单价执行。</w:t>
      </w:r>
    </w:p>
    <w:p w14:paraId="4A6CE6FF">
      <w:pPr>
        <w:spacing w:line="400" w:lineRule="exact"/>
        <w:ind w:firstLine="480" w:firstLineChars="200"/>
        <w:rPr>
          <w:rFonts w:ascii="宋体" w:hAnsi="宋体" w:cs="宋体"/>
          <w:sz w:val="24"/>
          <w:szCs w:val="24"/>
        </w:rPr>
      </w:pPr>
      <w:r>
        <w:rPr>
          <w:rFonts w:hint="eastAsia" w:ascii="宋体" w:hAnsi="宋体" w:cs="宋体"/>
          <w:sz w:val="24"/>
          <w:szCs w:val="24"/>
        </w:rPr>
        <w:t>（2）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且不偏离市场行情；投标时没有的材料，按审计单位充分结合施工期市场核定的价格执行，并不高于施工同期《重庆工程造价信息》和背离市场行情，调整后的综合单价作为类似子目的综合单价。</w:t>
      </w:r>
    </w:p>
    <w:p w14:paraId="41BD1751">
      <w:pPr>
        <w:spacing w:line="400" w:lineRule="exact"/>
        <w:ind w:firstLine="480" w:firstLineChars="200"/>
        <w:rPr>
          <w:rFonts w:hint="eastAsia" w:ascii="宋体" w:hAnsi="宋体" w:cs="宋体"/>
          <w:color w:val="FF0000"/>
          <w:sz w:val="24"/>
          <w:szCs w:val="24"/>
        </w:rPr>
      </w:pPr>
      <w:r>
        <w:rPr>
          <w:rFonts w:hint="eastAsia" w:ascii="宋体" w:hAnsi="宋体" w:cs="宋体"/>
          <w:sz w:val="24"/>
          <w:szCs w:val="24"/>
        </w:rPr>
        <w:t>（3）已标价工程量清单中无相同或类似的子项时，按照《建设工程工程量清单计价规范》（GB50500-2013）和《重庆市建设工程工程量清单计价规则》（CQJJGZ-2013）、2018《重庆市修缮工程计价定额》、2018《重庆市建设工程费用定额》及相关配套文件计算组价。人工单价和材料价按施工期间《重庆工程造价信息》公布的市场指导价的平均值执行；《重庆工程造价信息》上没有的，经结算审核单位审核后执行。新增工程量清单组价后按照中标与招标限价的比例下浮。</w:t>
      </w:r>
    </w:p>
    <w:p w14:paraId="4FC9B65E">
      <w:pPr>
        <w:pStyle w:val="2"/>
        <w:rPr>
          <w:b/>
          <w:color w:val="FF0000"/>
          <w:u w:val="single"/>
        </w:rPr>
      </w:pPr>
      <w:r>
        <w:rPr>
          <w:rFonts w:hint="eastAsia"/>
          <w:color w:val="FF0000"/>
        </w:rPr>
        <w:t xml:space="preserve">      </w:t>
      </w:r>
      <w:r>
        <w:rPr>
          <w:rFonts w:hint="eastAsia"/>
          <w:b/>
          <w:color w:val="FF0000"/>
          <w:u w:val="single"/>
        </w:rPr>
        <w:t>最终结算价以甲方指定的审核机构审定的金额为准。</w:t>
      </w:r>
    </w:p>
    <w:p w14:paraId="555EC829">
      <w:pPr>
        <w:numPr>
          <w:ilvl w:val="0"/>
          <w:numId w:val="2"/>
        </w:numPr>
        <w:spacing w:line="400" w:lineRule="exact"/>
        <w:ind w:firstLine="482" w:firstLineChars="200"/>
        <w:rPr>
          <w:rFonts w:ascii="宋体" w:hAnsi="宋体" w:cs="宋体"/>
          <w:sz w:val="24"/>
          <w:szCs w:val="24"/>
        </w:rPr>
      </w:pPr>
      <w:r>
        <w:rPr>
          <w:rFonts w:hint="eastAsia" w:ascii="宋体" w:hAnsi="宋体" w:cs="宋体"/>
          <w:b/>
          <w:bCs/>
          <w:sz w:val="24"/>
          <w:szCs w:val="24"/>
        </w:rPr>
        <w:t>履约保证金</w:t>
      </w:r>
    </w:p>
    <w:p w14:paraId="3EACDE85">
      <w:pPr>
        <w:spacing w:line="400" w:lineRule="exact"/>
        <w:ind w:firstLine="480" w:firstLineChars="200"/>
        <w:rPr>
          <w:rFonts w:ascii="宋体" w:hAnsi="宋体" w:cs="宋体"/>
          <w:sz w:val="24"/>
          <w:szCs w:val="24"/>
        </w:rPr>
      </w:pPr>
      <w:r>
        <w:rPr>
          <w:rFonts w:hint="eastAsia" w:ascii="宋体" w:hAnsi="宋体" w:cs="宋体"/>
          <w:sz w:val="24"/>
          <w:szCs w:val="24"/>
        </w:rPr>
        <w:t>无。</w:t>
      </w:r>
    </w:p>
    <w:p w14:paraId="47E37C3A">
      <w:pPr>
        <w:spacing w:line="400" w:lineRule="exact"/>
        <w:ind w:firstLine="482" w:firstLineChars="200"/>
        <w:rPr>
          <w:rFonts w:ascii="宋体" w:hAnsi="宋体" w:cs="宋体"/>
          <w:b/>
          <w:bCs/>
          <w:sz w:val="24"/>
          <w:szCs w:val="24"/>
        </w:rPr>
      </w:pPr>
      <w:r>
        <w:rPr>
          <w:rFonts w:hint="eastAsia" w:ascii="宋体" w:hAnsi="宋体" w:cs="宋体"/>
          <w:b/>
          <w:bCs/>
          <w:sz w:val="24"/>
          <w:szCs w:val="24"/>
        </w:rPr>
        <w:t>十一、工程款支付</w:t>
      </w:r>
    </w:p>
    <w:p w14:paraId="748B1F92">
      <w:pPr>
        <w:spacing w:line="400" w:lineRule="exact"/>
        <w:ind w:firstLine="480" w:firstLineChars="200"/>
        <w:rPr>
          <w:rFonts w:ascii="宋体" w:hAnsi="宋体" w:cs="宋体"/>
          <w:sz w:val="24"/>
          <w:szCs w:val="24"/>
        </w:rPr>
      </w:pPr>
      <w:r>
        <w:rPr>
          <w:rFonts w:hint="eastAsia" w:ascii="宋体" w:hAnsi="宋体" w:cs="宋体"/>
          <w:sz w:val="24"/>
          <w:szCs w:val="24"/>
          <w:lang w:val="zh-CN"/>
        </w:rPr>
        <w:t>本工程实行进度付款支付。</w:t>
      </w:r>
      <w:r>
        <w:rPr>
          <w:rFonts w:hint="eastAsia" w:ascii="宋体" w:hAnsi="宋体" w:cs="宋体"/>
          <w:sz w:val="24"/>
          <w:szCs w:val="24"/>
        </w:rPr>
        <w:t>在工程合同签订后支付预付款30%，完成80%的工程量支付至合同金额75%，工程完工验收合格，完成工程结算审计后，支付至结算审计金额的97%，剩余3%作为质量保证金，保修期内无质量问题，在保修期满后一次性付清（期间不计利息）。每次支付乙方均需提供相应金额的正式合法发票，其中完成工程结算审计后需对应结算审计金额开具剩余金额全额发票。</w:t>
      </w:r>
    </w:p>
    <w:p w14:paraId="035282B3">
      <w:pPr>
        <w:spacing w:line="400" w:lineRule="exact"/>
        <w:ind w:firstLine="482" w:firstLineChars="200"/>
        <w:rPr>
          <w:rFonts w:ascii="宋体" w:hAnsi="宋体" w:cs="宋体"/>
          <w:b/>
          <w:sz w:val="24"/>
          <w:szCs w:val="24"/>
          <w:u w:val="single"/>
        </w:rPr>
      </w:pPr>
      <w:r>
        <w:rPr>
          <w:rFonts w:hint="eastAsia" w:ascii="宋体" w:hAnsi="宋体" w:cs="宋体"/>
          <w:b/>
          <w:sz w:val="24"/>
          <w:szCs w:val="24"/>
          <w:u w:val="single"/>
          <w:lang w:val="zh-CN"/>
        </w:rPr>
        <w:t xml:space="preserve">乙方收款人：         开户行 ：                帐号：             </w:t>
      </w:r>
    </w:p>
    <w:p w14:paraId="00967854">
      <w:pPr>
        <w:spacing w:line="400" w:lineRule="exact"/>
        <w:ind w:firstLine="482" w:firstLineChars="200"/>
        <w:rPr>
          <w:rFonts w:ascii="宋体" w:hAnsi="宋体" w:cs="宋体"/>
          <w:b/>
          <w:bCs/>
          <w:sz w:val="24"/>
          <w:szCs w:val="24"/>
        </w:rPr>
      </w:pPr>
      <w:r>
        <w:rPr>
          <w:rFonts w:hint="eastAsia" w:ascii="宋体" w:hAnsi="宋体" w:cs="宋体"/>
          <w:b/>
          <w:bCs/>
          <w:sz w:val="24"/>
          <w:szCs w:val="24"/>
        </w:rPr>
        <w:t>十二、工程质量保修期</w:t>
      </w:r>
    </w:p>
    <w:p w14:paraId="072CD0D7">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根据国家有关规定，结合本工程项目实际，约定工程质量保修期为</w:t>
      </w:r>
      <w:r>
        <w:rPr>
          <w:rFonts w:hint="eastAsia" w:ascii="宋体" w:hAnsi="宋体" w:cs="宋体"/>
          <w:kern w:val="0"/>
          <w:sz w:val="24"/>
          <w:szCs w:val="24"/>
          <w:u w:val="single"/>
        </w:rPr>
        <w:t>贰</w:t>
      </w:r>
      <w:r>
        <w:rPr>
          <w:rFonts w:hint="eastAsia" w:ascii="宋体" w:hAnsi="宋体" w:cs="宋体"/>
          <w:kern w:val="0"/>
          <w:sz w:val="24"/>
          <w:szCs w:val="24"/>
        </w:rPr>
        <w:t>年（绿化工程除外），</w:t>
      </w:r>
      <w:r>
        <w:rPr>
          <w:rFonts w:hint="eastAsia" w:ascii="宋体" w:hAnsi="宋体" w:cs="宋体"/>
          <w:b/>
          <w:color w:val="FF0000"/>
          <w:kern w:val="0"/>
          <w:sz w:val="24"/>
          <w:szCs w:val="24"/>
          <w:u w:val="single"/>
        </w:rPr>
        <w:t>从验收合格之日起计算。</w:t>
      </w:r>
    </w:p>
    <w:p w14:paraId="570BEC04">
      <w:pPr>
        <w:spacing w:line="400" w:lineRule="exact"/>
        <w:ind w:firstLine="482" w:firstLineChars="200"/>
        <w:rPr>
          <w:rFonts w:ascii="宋体" w:hAnsi="宋体" w:cs="宋体"/>
          <w:b/>
          <w:bCs/>
          <w:sz w:val="24"/>
          <w:szCs w:val="24"/>
        </w:rPr>
      </w:pPr>
      <w:r>
        <w:rPr>
          <w:rFonts w:hint="eastAsia" w:ascii="宋体" w:hAnsi="宋体" w:cs="宋体"/>
          <w:b/>
          <w:bCs/>
          <w:sz w:val="24"/>
          <w:szCs w:val="24"/>
        </w:rPr>
        <w:t>十三、双方权利与义务</w:t>
      </w:r>
    </w:p>
    <w:p w14:paraId="3159054E">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（一）甲方权利和义务</w:t>
      </w:r>
    </w:p>
    <w:p w14:paraId="6E29E280">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1.负责本工程的监督，积极协调施工配合关系。</w:t>
      </w:r>
    </w:p>
    <w:p w14:paraId="7C1079B4">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2.负责对乙方施工进度、质量、安全保护、综合管理的监督。</w:t>
      </w:r>
    </w:p>
    <w:p w14:paraId="5590B1B3">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3.负责提供施工所需的必要条件。</w:t>
      </w:r>
    </w:p>
    <w:p w14:paraId="4534B574">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4.审核乙方提交的施工组织方案、施工总进度计划、材料进场计划等资料。</w:t>
      </w:r>
    </w:p>
    <w:p w14:paraId="134A8FBE">
      <w:pPr>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5.负责对图纸、方案的审核、确认，负责对工程进度、工程质量、隐蔽工程、配套工程和合同执行情况进行监督检查及设计图纸变更签证，工程中间验收和其他必要的签证。</w:t>
      </w:r>
    </w:p>
    <w:p w14:paraId="30B80A2E">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6.负责组织竣工验收工作，在收到乙方提交所有竣工资料后及时组织验收。</w:t>
      </w:r>
    </w:p>
    <w:p w14:paraId="5E38A3F6">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7.按合同约定向乙方支付本项目的工程价款。</w:t>
      </w:r>
    </w:p>
    <w:p w14:paraId="422D05C9">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（二）乙方权利和义务</w:t>
      </w:r>
    </w:p>
    <w:p w14:paraId="7A4BB902">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1.编制施工组织方案，施工总进度计划，材料进场计划，工程质量保证体系，安全保证体系，专项施工方案，安全应急方案，进度报表等，并及时报送甲方及监理。</w:t>
      </w:r>
    </w:p>
    <w:p w14:paraId="1971ADEE">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2.组织有技术水平的施工队伍，项目经理、技术负责人、工程管理人员必须到场施工。</w:t>
      </w:r>
    </w:p>
    <w:p w14:paraId="4860597B">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3.严格按设计图施工，质量技术指标符合工程的各类标准和规范的要求。乙方要遵守甲方及其主管部门的相关管理规定。</w:t>
      </w:r>
    </w:p>
    <w:p w14:paraId="313DF7B0">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4.施工中发现问题及时向甲方报告并提出解决方案。</w:t>
      </w:r>
    </w:p>
    <w:p w14:paraId="68884061">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5.提供竣工验收技术档案资料，参加竣工验收。竣工资料应同时满足法律法规规章规定和行政主管部门要求。</w:t>
      </w:r>
    </w:p>
    <w:p w14:paraId="657971EF">
      <w:pPr>
        <w:widowControl/>
        <w:spacing w:line="400" w:lineRule="exact"/>
        <w:ind w:firstLine="480" w:firstLineChars="200"/>
        <w:textAlignment w:val="top"/>
        <w:rPr>
          <w:rFonts w:ascii="宋体" w:hAnsi="宋体" w:cs="宋体"/>
          <w:kern w:val="0"/>
          <w:sz w:val="24"/>
          <w:szCs w:val="24"/>
        </w:rPr>
      </w:pPr>
      <w:r>
        <w:rPr>
          <w:rFonts w:hint="eastAsia" w:ascii="宋体" w:hAnsi="宋体" w:cs="宋体"/>
          <w:kern w:val="0"/>
          <w:sz w:val="24"/>
          <w:szCs w:val="24"/>
        </w:rPr>
        <w:t>7.负责对施工所产生的所有余土、建筑和生活垃圾的外运和倾倒，并严格实行《重庆市人民政府关于对主城区易撒漏物质实行密闭运输的通告》（市政府令第164号）的规定，由此所发生的费用已计入本合同价款内。如果乙方不按上述规定执行，造成损失的，由乙方承担相应责任。</w:t>
      </w:r>
    </w:p>
    <w:p w14:paraId="14828EE6">
      <w:pPr>
        <w:autoSpaceDE w:val="0"/>
        <w:autoSpaceDN w:val="0"/>
        <w:spacing w:line="400" w:lineRule="exact"/>
        <w:ind w:firstLine="482" w:firstLineChars="200"/>
        <w:rPr>
          <w:rFonts w:ascii="宋体" w:hAnsi="宋体" w:cs="宋体"/>
          <w:b/>
          <w:kern w:val="0"/>
          <w:sz w:val="24"/>
          <w:szCs w:val="24"/>
        </w:rPr>
      </w:pPr>
      <w:r>
        <w:rPr>
          <w:rFonts w:hint="eastAsia" w:ascii="宋体" w:hAnsi="宋体" w:cs="宋体"/>
          <w:b/>
          <w:kern w:val="0"/>
          <w:sz w:val="24"/>
          <w:szCs w:val="24"/>
        </w:rPr>
        <w:t>十四、争议解决</w:t>
      </w:r>
    </w:p>
    <w:p w14:paraId="32EFA54E">
      <w:pPr>
        <w:autoSpaceDE w:val="0"/>
        <w:autoSpaceDN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因合同及合同有关事项发生的争议，由甲乙双方协商解决，协商不成的，向</w:t>
      </w:r>
      <w:r>
        <w:rPr>
          <w:rFonts w:hint="eastAsia" w:ascii="宋体" w:hAnsi="宋体" w:cs="宋体"/>
          <w:kern w:val="0"/>
          <w:sz w:val="24"/>
          <w:szCs w:val="24"/>
          <w:u w:val="single"/>
        </w:rPr>
        <w:t>工程所在地的</w:t>
      </w:r>
      <w:r>
        <w:rPr>
          <w:rFonts w:hint="eastAsia" w:ascii="宋体" w:hAnsi="宋体" w:cs="宋体"/>
          <w:kern w:val="0"/>
          <w:sz w:val="24"/>
          <w:szCs w:val="24"/>
        </w:rPr>
        <w:t>人民法院起诉。</w:t>
      </w:r>
    </w:p>
    <w:p w14:paraId="5BFFBB7D">
      <w:pPr>
        <w:autoSpaceDE w:val="0"/>
        <w:autoSpaceDN w:val="0"/>
        <w:spacing w:line="400" w:lineRule="exact"/>
        <w:ind w:firstLine="482" w:firstLineChars="200"/>
        <w:rPr>
          <w:rFonts w:ascii="宋体" w:hAnsi="宋体" w:cs="宋体"/>
          <w:b/>
          <w:kern w:val="0"/>
          <w:sz w:val="24"/>
          <w:szCs w:val="24"/>
        </w:rPr>
      </w:pPr>
      <w:r>
        <w:rPr>
          <w:rFonts w:hint="eastAsia" w:ascii="宋体" w:hAnsi="宋体" w:cs="宋体"/>
          <w:b/>
          <w:kern w:val="0"/>
          <w:sz w:val="24"/>
          <w:szCs w:val="24"/>
        </w:rPr>
        <w:t>十五、合同生效</w:t>
      </w:r>
    </w:p>
    <w:p w14:paraId="4C7B15D4">
      <w:pPr>
        <w:spacing w:line="400" w:lineRule="exact"/>
        <w:ind w:firstLine="480" w:firstLineChars="200"/>
        <w:rPr>
          <w:rFonts w:ascii="宋体" w:hAnsi="宋体" w:cs="宋体"/>
          <w:bCs/>
          <w:sz w:val="24"/>
          <w:szCs w:val="24"/>
        </w:rPr>
      </w:pPr>
      <w:r>
        <w:rPr>
          <w:rFonts w:hint="eastAsia" w:ascii="宋体" w:hAnsi="宋体" w:cs="宋体"/>
          <w:bCs/>
          <w:sz w:val="24"/>
          <w:szCs w:val="24"/>
        </w:rPr>
        <w:t>本合同自</w:t>
      </w:r>
      <w:r>
        <w:rPr>
          <w:rFonts w:hint="eastAsia" w:ascii="宋体" w:hAnsi="宋体" w:cs="宋体"/>
          <w:bCs/>
          <w:sz w:val="24"/>
          <w:szCs w:val="24"/>
          <w:u w:val="single"/>
        </w:rPr>
        <w:t xml:space="preserve"> 签订之日起 </w:t>
      </w:r>
      <w:r>
        <w:rPr>
          <w:rFonts w:hint="eastAsia" w:ascii="宋体" w:hAnsi="宋体" w:cs="宋体"/>
          <w:bCs/>
          <w:sz w:val="24"/>
          <w:szCs w:val="24"/>
        </w:rPr>
        <w:t>生效。</w:t>
      </w:r>
    </w:p>
    <w:p w14:paraId="74CD026A">
      <w:pPr>
        <w:autoSpaceDE w:val="0"/>
        <w:autoSpaceDN w:val="0"/>
        <w:spacing w:line="400" w:lineRule="exact"/>
        <w:ind w:firstLine="482" w:firstLineChars="200"/>
        <w:rPr>
          <w:rFonts w:ascii="宋体" w:hAnsi="宋体" w:cs="宋体"/>
          <w:b/>
          <w:kern w:val="0"/>
          <w:sz w:val="24"/>
          <w:szCs w:val="24"/>
        </w:rPr>
      </w:pPr>
      <w:r>
        <w:rPr>
          <w:rFonts w:hint="eastAsia" w:ascii="宋体" w:hAnsi="宋体" w:cs="宋体"/>
          <w:b/>
          <w:kern w:val="0"/>
          <w:sz w:val="24"/>
          <w:szCs w:val="24"/>
        </w:rPr>
        <w:t>十六、合同份数</w:t>
      </w:r>
    </w:p>
    <w:p w14:paraId="20C8FC16">
      <w:pPr>
        <w:spacing w:line="400" w:lineRule="exact"/>
        <w:ind w:firstLine="480" w:firstLineChars="200"/>
        <w:rPr>
          <w:rFonts w:ascii="宋体" w:hAnsi="宋体" w:cs="宋体"/>
          <w:bCs/>
          <w:sz w:val="24"/>
          <w:szCs w:val="24"/>
        </w:rPr>
      </w:pPr>
      <w:r>
        <w:rPr>
          <w:rFonts w:hint="eastAsia" w:ascii="宋体" w:hAnsi="宋体" w:cs="宋体"/>
          <w:bCs/>
          <w:sz w:val="24"/>
          <w:szCs w:val="24"/>
        </w:rPr>
        <w:t>本合同一式份，均具有同等法律效力，甲方执份，乙方执份。</w:t>
      </w:r>
    </w:p>
    <w:p w14:paraId="41D91D3B">
      <w:pPr>
        <w:pStyle w:val="24"/>
        <w:ind w:firstLine="482" w:firstLineChars="200"/>
        <w:rPr>
          <w:rFonts w:ascii="宋体" w:hAnsi="宋体" w:cs="宋体"/>
          <w:kern w:val="0"/>
          <w:szCs w:val="24"/>
        </w:rPr>
      </w:pPr>
      <w:r>
        <w:rPr>
          <w:rFonts w:hint="eastAsia" w:ascii="宋体" w:hAnsi="宋体" w:cs="宋体"/>
          <w:b/>
          <w:kern w:val="0"/>
          <w:szCs w:val="24"/>
        </w:rPr>
        <w:t>十七、其他未尽事宜由双方共同协商确定。</w:t>
      </w:r>
    </w:p>
    <w:p w14:paraId="58F635A5">
      <w:pPr>
        <w:spacing w:line="400" w:lineRule="exact"/>
        <w:rPr>
          <w:rFonts w:ascii="宋体" w:hAnsi="宋体" w:cs="宋体"/>
          <w:kern w:val="0"/>
          <w:sz w:val="24"/>
          <w:szCs w:val="24"/>
        </w:rPr>
      </w:pPr>
      <w:r>
        <w:rPr>
          <w:rFonts w:hint="eastAsia" w:ascii="宋体" w:hAnsi="宋体" w:cs="宋体"/>
          <w:kern w:val="0"/>
          <w:sz w:val="24"/>
          <w:szCs w:val="24"/>
        </w:rPr>
        <w:t>甲方现场代表：               联系电话：</w:t>
      </w:r>
    </w:p>
    <w:p w14:paraId="7D846BDD">
      <w:pPr>
        <w:spacing w:line="400" w:lineRule="exact"/>
        <w:rPr>
          <w:rFonts w:ascii="宋体" w:hAnsi="宋体" w:cs="宋体"/>
          <w:kern w:val="0"/>
          <w:sz w:val="24"/>
          <w:szCs w:val="24"/>
        </w:rPr>
      </w:pPr>
      <w:r>
        <w:rPr>
          <w:rFonts w:hint="eastAsia" w:ascii="宋体" w:hAnsi="宋体" w:cs="宋体"/>
          <w:kern w:val="0"/>
          <w:sz w:val="24"/>
          <w:szCs w:val="24"/>
        </w:rPr>
        <w:t>乙方项目负责人：             联系电话：</w:t>
      </w:r>
    </w:p>
    <w:p w14:paraId="0C431040">
      <w:pPr>
        <w:spacing w:line="400" w:lineRule="exact"/>
        <w:rPr>
          <w:rFonts w:ascii="宋体" w:hAnsi="宋体" w:cs="宋体"/>
          <w:kern w:val="0"/>
          <w:sz w:val="24"/>
          <w:szCs w:val="24"/>
        </w:rPr>
      </w:pPr>
    </w:p>
    <w:p w14:paraId="4C31443A">
      <w:pPr>
        <w:spacing w:line="400" w:lineRule="exact"/>
        <w:rPr>
          <w:rFonts w:ascii="宋体" w:hAnsi="宋体" w:cs="宋体"/>
          <w:kern w:val="0"/>
          <w:sz w:val="24"/>
          <w:szCs w:val="24"/>
        </w:rPr>
      </w:pPr>
      <w:r>
        <w:rPr>
          <w:rFonts w:hint="eastAsia" w:ascii="宋体" w:hAnsi="宋体" w:cs="宋体"/>
          <w:kern w:val="0"/>
          <w:sz w:val="24"/>
          <w:szCs w:val="24"/>
        </w:rPr>
        <w:t>甲方：（公章）       乙方：（公章）</w:t>
      </w:r>
    </w:p>
    <w:p w14:paraId="0289607F">
      <w:pPr>
        <w:spacing w:line="400" w:lineRule="exact"/>
        <w:rPr>
          <w:rFonts w:ascii="宋体" w:hAnsi="宋体" w:cs="宋体"/>
          <w:kern w:val="0"/>
          <w:sz w:val="24"/>
          <w:szCs w:val="24"/>
        </w:rPr>
      </w:pPr>
      <w:r>
        <w:rPr>
          <w:rFonts w:hint="eastAsia" w:ascii="宋体" w:hAnsi="宋体" w:cs="宋体"/>
          <w:kern w:val="0"/>
          <w:sz w:val="24"/>
          <w:szCs w:val="24"/>
        </w:rPr>
        <w:t>法定代表人                        法定代表人</w:t>
      </w:r>
    </w:p>
    <w:p w14:paraId="7E7569A0">
      <w:pPr>
        <w:spacing w:line="400" w:lineRule="exact"/>
        <w:rPr>
          <w:rFonts w:ascii="宋体" w:hAnsi="宋体" w:cs="宋体"/>
          <w:kern w:val="0"/>
          <w:sz w:val="24"/>
          <w:szCs w:val="24"/>
        </w:rPr>
      </w:pPr>
      <w:r>
        <w:rPr>
          <w:rFonts w:hint="eastAsia" w:ascii="宋体" w:hAnsi="宋体" w:cs="宋体"/>
          <w:kern w:val="0"/>
          <w:sz w:val="24"/>
          <w:szCs w:val="24"/>
        </w:rPr>
        <w:t>或其委托代理人（签字）：          或其委托代理人（签字）：</w:t>
      </w:r>
    </w:p>
    <w:p w14:paraId="23707AA8">
      <w:pPr>
        <w:spacing w:line="400" w:lineRule="exact"/>
        <w:rPr>
          <w:rFonts w:ascii="宋体" w:hAnsi="宋体" w:cs="宋体"/>
          <w:kern w:val="0"/>
          <w:sz w:val="24"/>
          <w:szCs w:val="24"/>
          <w:u w:val="single"/>
        </w:rPr>
      </w:pPr>
      <w:r>
        <w:rPr>
          <w:rFonts w:hint="eastAsia" w:ascii="宋体" w:hAnsi="宋体" w:cs="宋体"/>
          <w:kern w:val="0"/>
          <w:sz w:val="24"/>
          <w:szCs w:val="24"/>
        </w:rPr>
        <w:t>地址：           地址：</w:t>
      </w:r>
    </w:p>
    <w:p w14:paraId="6816E3E9">
      <w:pPr>
        <w:spacing w:line="400" w:lineRule="exact"/>
        <w:rPr>
          <w:rFonts w:ascii="宋体" w:hAnsi="宋体" w:cs="宋体"/>
          <w:kern w:val="0"/>
          <w:sz w:val="24"/>
          <w:szCs w:val="24"/>
        </w:rPr>
      </w:pPr>
      <w:r>
        <w:rPr>
          <w:rFonts w:hint="eastAsia" w:ascii="宋体" w:hAnsi="宋体" w:cs="宋体"/>
          <w:kern w:val="0"/>
          <w:sz w:val="24"/>
          <w:szCs w:val="24"/>
        </w:rPr>
        <w:t>电话：           电话：</w:t>
      </w:r>
    </w:p>
    <w:p w14:paraId="02F40711">
      <w:pPr>
        <w:spacing w:line="400" w:lineRule="exact"/>
        <w:rPr>
          <w:rFonts w:ascii="宋体" w:hAnsi="宋体" w:cs="宋体"/>
          <w:kern w:val="0"/>
          <w:sz w:val="24"/>
          <w:szCs w:val="24"/>
          <w:u w:val="single"/>
        </w:rPr>
      </w:pPr>
    </w:p>
    <w:p w14:paraId="0B6EA4DB">
      <w:pPr>
        <w:spacing w:line="400" w:lineRule="exact"/>
        <w:rPr>
          <w:rFonts w:ascii="宋体" w:hAnsi="宋体" w:cs="宋体"/>
          <w:bCs/>
          <w:sz w:val="24"/>
          <w:szCs w:val="24"/>
        </w:rPr>
      </w:pPr>
      <w:r>
        <w:rPr>
          <w:rFonts w:hint="eastAsia" w:ascii="宋体" w:hAnsi="宋体" w:cs="宋体"/>
          <w:kern w:val="0"/>
          <w:sz w:val="24"/>
          <w:szCs w:val="24"/>
        </w:rPr>
        <w:t>签订时间：</w:t>
      </w:r>
      <w:r>
        <w:rPr>
          <w:rFonts w:hint="eastAsia" w:ascii="宋体" w:hAnsi="宋体" w:cs="宋体"/>
          <w:bCs/>
          <w:sz w:val="24"/>
          <w:szCs w:val="24"/>
        </w:rPr>
        <w:t>年月日</w:t>
      </w:r>
    </w:p>
    <w:p w14:paraId="32EF3DD2">
      <w:pPr>
        <w:pStyle w:val="10"/>
        <w:ind w:left="1960" w:right="1960"/>
        <w:rPr>
          <w:rFonts w:ascii="宋体" w:hAnsi="宋体" w:cs="宋体"/>
          <w:bCs/>
          <w:sz w:val="24"/>
          <w:szCs w:val="24"/>
        </w:rPr>
      </w:pPr>
    </w:p>
    <w:p w14:paraId="73382EDC">
      <w:pPr>
        <w:pStyle w:val="10"/>
        <w:ind w:left="1960" w:right="1960"/>
        <w:rPr>
          <w:rFonts w:ascii="宋体" w:hAnsi="宋体" w:cs="宋体"/>
          <w:bCs/>
          <w:sz w:val="24"/>
          <w:szCs w:val="24"/>
        </w:rPr>
      </w:pPr>
    </w:p>
    <w:p w14:paraId="0AEF9A59">
      <w:pPr>
        <w:pStyle w:val="6"/>
        <w:spacing w:line="360" w:lineRule="auto"/>
        <w:rPr>
          <w:rFonts w:ascii="宋体" w:hAnsi="宋体" w:cs="宋体"/>
          <w:bCs/>
          <w:sz w:val="28"/>
          <w:szCs w:val="28"/>
        </w:rPr>
      </w:pPr>
      <w:bookmarkStart w:id="183" w:name="_Toc322867182"/>
      <w:bookmarkStart w:id="184" w:name="_Toc322867288"/>
      <w:bookmarkStart w:id="185" w:name="_Toc29607"/>
      <w:bookmarkStart w:id="186" w:name="_Toc13238"/>
      <w:bookmarkStart w:id="187" w:name="_Toc9758"/>
      <w:r>
        <w:rPr>
          <w:rFonts w:hint="eastAsia" w:ascii="宋体" w:hAnsi="宋体" w:cs="宋体"/>
          <w:b w:val="0"/>
          <w:bCs/>
          <w:sz w:val="28"/>
          <w:szCs w:val="28"/>
        </w:rPr>
        <w:t>附件</w:t>
      </w:r>
      <w:bookmarkEnd w:id="183"/>
      <w:bookmarkEnd w:id="184"/>
      <w:r>
        <w:rPr>
          <w:rFonts w:hint="eastAsia" w:ascii="宋体" w:hAnsi="宋体" w:cs="宋体"/>
          <w:b w:val="0"/>
          <w:bCs/>
          <w:sz w:val="28"/>
          <w:szCs w:val="28"/>
        </w:rPr>
        <w:t>一</w:t>
      </w:r>
      <w:r>
        <w:rPr>
          <w:rFonts w:hint="eastAsia" w:ascii="宋体" w:hAnsi="宋体" w:cs="宋体"/>
          <w:bCs/>
          <w:sz w:val="28"/>
          <w:szCs w:val="28"/>
        </w:rPr>
        <w:t xml:space="preserve"> ：</w:t>
      </w:r>
      <w:bookmarkEnd w:id="185"/>
      <w:bookmarkEnd w:id="186"/>
      <w:bookmarkEnd w:id="187"/>
    </w:p>
    <w:p w14:paraId="3FF03A7B">
      <w:pPr>
        <w:spacing w:line="360" w:lineRule="auto"/>
        <w:jc w:val="center"/>
        <w:rPr>
          <w:rFonts w:ascii="宋体" w:hAnsi="宋体" w:cs="宋体"/>
          <w:b/>
          <w:sz w:val="32"/>
          <w:szCs w:val="32"/>
        </w:rPr>
      </w:pPr>
      <w:bookmarkStart w:id="188" w:name="_Toc254631678"/>
      <w:bookmarkStart w:id="189" w:name="_Toc233208993"/>
      <w:bookmarkStart w:id="190" w:name="_Toc41751687"/>
      <w:r>
        <w:rPr>
          <w:rFonts w:hint="eastAsia" w:ascii="宋体" w:hAnsi="宋体" w:cs="宋体"/>
          <w:b/>
          <w:sz w:val="32"/>
          <w:szCs w:val="32"/>
        </w:rPr>
        <w:t>工程质量保修书</w:t>
      </w:r>
    </w:p>
    <w:p w14:paraId="492F91E9">
      <w:pPr>
        <w:pStyle w:val="18"/>
        <w:rPr>
          <w:rFonts w:cs="宋体"/>
        </w:rPr>
      </w:pPr>
    </w:p>
    <w:p w14:paraId="5E9555F8">
      <w:pPr>
        <w:spacing w:line="360" w:lineRule="auto"/>
        <w:jc w:val="left"/>
        <w:rPr>
          <w:rFonts w:ascii="宋体" w:hAnsi="宋体" w:cs="宋体"/>
          <w:sz w:val="24"/>
          <w:szCs w:val="24"/>
        </w:rPr>
      </w:pPr>
      <w:r>
        <w:rPr>
          <w:rFonts w:hint="eastAsia" w:ascii="宋体" w:hAnsi="宋体" w:cs="宋体"/>
          <w:sz w:val="24"/>
          <w:szCs w:val="24"/>
        </w:rPr>
        <w:t>发包人：</w:t>
      </w:r>
      <w:r>
        <w:rPr>
          <w:rFonts w:hint="eastAsia" w:ascii="宋体" w:hAnsi="宋体" w:cs="宋体"/>
          <w:sz w:val="24"/>
          <w:szCs w:val="24"/>
          <w:u w:val="single"/>
        </w:rPr>
        <w:t>重庆市沙坪坝区气象局　　</w:t>
      </w:r>
      <w:r>
        <w:rPr>
          <w:rFonts w:hint="eastAsia" w:ascii="宋体" w:hAnsi="宋体" w:cs="宋体"/>
          <w:sz w:val="24"/>
          <w:szCs w:val="24"/>
        </w:rPr>
        <w:t>　　　　　　　　　　　　　　　　　　　　　　</w:t>
      </w:r>
    </w:p>
    <w:p w14:paraId="3944321C">
      <w:pPr>
        <w:spacing w:line="360" w:lineRule="auto"/>
        <w:jc w:val="left"/>
        <w:rPr>
          <w:rFonts w:ascii="宋体" w:hAnsi="宋体" w:cs="宋体"/>
          <w:sz w:val="24"/>
          <w:szCs w:val="24"/>
        </w:rPr>
      </w:pPr>
      <w:r>
        <w:rPr>
          <w:rFonts w:hint="eastAsia" w:ascii="宋体" w:hAnsi="宋体" w:cs="宋体"/>
          <w:sz w:val="24"/>
          <w:szCs w:val="24"/>
        </w:rPr>
        <w:t>承包人： 　　　　　　　　　　　　　　　　　　　　　　　</w:t>
      </w:r>
    </w:p>
    <w:p w14:paraId="36731852">
      <w:pPr>
        <w:spacing w:line="360" w:lineRule="auto"/>
        <w:jc w:val="left"/>
        <w:rPr>
          <w:rFonts w:ascii="宋体" w:hAnsi="宋体" w:cs="宋体"/>
          <w:sz w:val="24"/>
          <w:szCs w:val="24"/>
        </w:rPr>
      </w:pPr>
      <w:r>
        <w:rPr>
          <w:rFonts w:hint="eastAsia" w:ascii="宋体" w:hAnsi="宋体" w:cs="宋体"/>
          <w:sz w:val="24"/>
          <w:szCs w:val="24"/>
        </w:rPr>
        <w:t>　　发包人、承包人根据《房屋建筑工程质量保修办法》，经协商一致，对</w:t>
      </w:r>
      <w:r>
        <w:rPr>
          <w:rFonts w:hint="eastAsia" w:ascii="宋体" w:hAnsi="宋体" w:cs="宋体"/>
          <w:sz w:val="24"/>
          <w:szCs w:val="24"/>
          <w:u w:val="single"/>
        </w:rPr>
        <w:t>高空站观测场草坪和道路改造</w:t>
      </w:r>
      <w:r>
        <w:rPr>
          <w:rFonts w:hint="eastAsia" w:ascii="宋体" w:hAnsi="宋体" w:cs="宋体"/>
          <w:sz w:val="24"/>
          <w:szCs w:val="24"/>
        </w:rPr>
        <w:t>(工程名称)签订保修书。</w:t>
      </w:r>
    </w:p>
    <w:p w14:paraId="031491F6">
      <w:pPr>
        <w:spacing w:line="360" w:lineRule="auto"/>
        <w:jc w:val="left"/>
        <w:rPr>
          <w:rFonts w:ascii="宋体" w:hAnsi="宋体" w:cs="宋体"/>
          <w:b/>
          <w:sz w:val="24"/>
          <w:szCs w:val="24"/>
        </w:rPr>
      </w:pPr>
      <w:r>
        <w:rPr>
          <w:rFonts w:hint="eastAsia" w:ascii="宋体" w:hAnsi="宋体" w:cs="宋体"/>
          <w:b/>
          <w:sz w:val="24"/>
          <w:szCs w:val="24"/>
        </w:rPr>
        <w:t>　　一、工程保修范围和内容</w:t>
      </w:r>
    </w:p>
    <w:p w14:paraId="65C1836C">
      <w:pPr>
        <w:spacing w:line="360" w:lineRule="auto"/>
        <w:jc w:val="left"/>
        <w:rPr>
          <w:rFonts w:ascii="宋体" w:hAnsi="宋体" w:cs="宋体"/>
          <w:sz w:val="24"/>
          <w:szCs w:val="24"/>
        </w:rPr>
      </w:pPr>
      <w:r>
        <w:rPr>
          <w:rFonts w:hint="eastAsia" w:ascii="宋体" w:hAnsi="宋体" w:cs="宋体"/>
          <w:sz w:val="24"/>
          <w:szCs w:val="24"/>
        </w:rPr>
        <w:t>　　承包人在保修期内，按照有关法律、法规、规章的管理规定和双方约定，承担本工程保修责任。</w:t>
      </w:r>
    </w:p>
    <w:p w14:paraId="783CF4C8">
      <w:pPr>
        <w:spacing w:line="360" w:lineRule="auto"/>
        <w:jc w:val="left"/>
        <w:rPr>
          <w:rFonts w:ascii="宋体" w:hAnsi="宋体" w:cs="宋体"/>
          <w:sz w:val="24"/>
          <w:szCs w:val="24"/>
        </w:rPr>
      </w:pPr>
      <w:r>
        <w:rPr>
          <w:rFonts w:hint="eastAsia" w:ascii="宋体" w:hAnsi="宋体" w:cs="宋体"/>
          <w:sz w:val="24"/>
          <w:szCs w:val="24"/>
        </w:rPr>
        <w:t>　  具体保修的内容，双方约定如下：</w:t>
      </w:r>
      <w:r>
        <w:rPr>
          <w:rFonts w:hint="eastAsia" w:ascii="宋体" w:hAnsi="宋体" w:cs="宋体"/>
          <w:snapToGrid w:val="0"/>
          <w:kern w:val="0"/>
          <w:sz w:val="24"/>
          <w:szCs w:val="24"/>
        </w:rPr>
        <w:t>施工图所示范围内的</w:t>
      </w:r>
      <w:r>
        <w:rPr>
          <w:rFonts w:hint="eastAsia" w:ascii="宋体" w:hAnsi="宋体" w:cs="宋体"/>
          <w:sz w:val="24"/>
          <w:szCs w:val="24"/>
          <w:u w:val="single"/>
        </w:rPr>
        <w:t>高空站观测场草坪和道路改造</w:t>
      </w:r>
      <w:r>
        <w:rPr>
          <w:rFonts w:hint="eastAsia" w:ascii="宋体" w:hAnsi="宋体" w:cs="宋体"/>
          <w:sz w:val="24"/>
          <w:szCs w:val="24"/>
        </w:rPr>
        <w:t>等内容。</w:t>
      </w:r>
    </w:p>
    <w:p w14:paraId="683AF937">
      <w:pPr>
        <w:spacing w:line="360" w:lineRule="auto"/>
        <w:jc w:val="left"/>
        <w:rPr>
          <w:rFonts w:ascii="宋体" w:hAnsi="宋体" w:cs="宋体"/>
          <w:b/>
          <w:sz w:val="24"/>
          <w:szCs w:val="24"/>
        </w:rPr>
      </w:pPr>
      <w:r>
        <w:rPr>
          <w:rFonts w:hint="eastAsia" w:ascii="宋体" w:hAnsi="宋体" w:cs="宋体"/>
          <w:b/>
          <w:sz w:val="24"/>
          <w:szCs w:val="24"/>
        </w:rPr>
        <w:t>　　二、保修期</w:t>
      </w:r>
    </w:p>
    <w:p w14:paraId="70EE480C">
      <w:pPr>
        <w:spacing w:line="360" w:lineRule="auto"/>
        <w:ind w:firstLine="420"/>
        <w:jc w:val="left"/>
        <w:rPr>
          <w:rFonts w:ascii="宋体" w:hAnsi="宋体" w:cs="宋体"/>
          <w:sz w:val="24"/>
          <w:szCs w:val="24"/>
        </w:rPr>
      </w:pPr>
      <w:r>
        <w:rPr>
          <w:rFonts w:hint="eastAsia" w:ascii="宋体" w:hAnsi="宋体" w:cs="宋体"/>
          <w:sz w:val="24"/>
          <w:szCs w:val="24"/>
        </w:rPr>
        <w:t>交工验收后2年（（绿化工程除外））</w:t>
      </w:r>
    </w:p>
    <w:p w14:paraId="22702830">
      <w:pPr>
        <w:pStyle w:val="18"/>
        <w:rPr>
          <w:rFonts w:cs="宋体"/>
          <w:szCs w:val="24"/>
        </w:rPr>
      </w:pPr>
      <w:r>
        <w:rPr>
          <w:rFonts w:hint="eastAsia" w:cs="宋体"/>
          <w:szCs w:val="24"/>
        </w:rPr>
        <w:t>建设工程的保修期，自工程竣工验收合格之日起算起。</w:t>
      </w:r>
    </w:p>
    <w:p w14:paraId="5E60F871">
      <w:pPr>
        <w:spacing w:line="360" w:lineRule="auto"/>
        <w:jc w:val="left"/>
        <w:rPr>
          <w:rFonts w:ascii="宋体" w:hAnsi="宋体" w:cs="宋体"/>
          <w:b/>
          <w:sz w:val="24"/>
          <w:szCs w:val="24"/>
        </w:rPr>
      </w:pPr>
      <w:r>
        <w:rPr>
          <w:rFonts w:hint="eastAsia" w:ascii="宋体" w:hAnsi="宋体" w:cs="宋体"/>
          <w:b/>
          <w:sz w:val="24"/>
          <w:szCs w:val="24"/>
        </w:rPr>
        <w:t>　　三、保修责任</w:t>
      </w:r>
    </w:p>
    <w:p w14:paraId="37464321">
      <w:pPr>
        <w:spacing w:line="360" w:lineRule="auto"/>
        <w:jc w:val="left"/>
        <w:rPr>
          <w:rFonts w:ascii="宋体" w:hAnsi="宋体" w:cs="宋体"/>
          <w:sz w:val="24"/>
          <w:szCs w:val="24"/>
        </w:rPr>
      </w:pPr>
      <w:r>
        <w:rPr>
          <w:rFonts w:hint="eastAsia" w:ascii="宋体" w:hAnsi="宋体" w:cs="宋体"/>
          <w:sz w:val="24"/>
          <w:szCs w:val="24"/>
        </w:rPr>
        <w:t>　　1、属于责任范围、内容的项目，承包人应当在接到保修通知之日起7天内派人保修。承包人不在约定期限内派人保修的，发包人可以委托他人修理。</w:t>
      </w:r>
    </w:p>
    <w:p w14:paraId="7B4D04D5">
      <w:pPr>
        <w:spacing w:line="360" w:lineRule="auto"/>
        <w:jc w:val="left"/>
        <w:rPr>
          <w:rFonts w:ascii="宋体" w:hAnsi="宋体" w:cs="宋体"/>
          <w:sz w:val="24"/>
          <w:szCs w:val="24"/>
        </w:rPr>
      </w:pPr>
      <w:r>
        <w:rPr>
          <w:rFonts w:hint="eastAsia" w:ascii="宋体" w:hAnsi="宋体" w:cs="宋体"/>
          <w:sz w:val="24"/>
          <w:szCs w:val="24"/>
        </w:rPr>
        <w:t>　　2、发生紧急抢修事故的，承包人在接到事故通知后，应当立即到达事故现场抢修。</w:t>
      </w:r>
    </w:p>
    <w:p w14:paraId="067EED3A">
      <w:pPr>
        <w:spacing w:line="360" w:lineRule="auto"/>
        <w:jc w:val="left"/>
        <w:rPr>
          <w:rFonts w:ascii="宋体" w:hAnsi="宋体" w:cs="宋体"/>
          <w:sz w:val="24"/>
          <w:szCs w:val="24"/>
        </w:rPr>
      </w:pPr>
      <w:r>
        <w:rPr>
          <w:rFonts w:hint="eastAsia" w:ascii="宋体" w:hAnsi="宋体" w:cs="宋体"/>
          <w:sz w:val="24"/>
          <w:szCs w:val="24"/>
        </w:rPr>
        <w:t>　　3、对于涉及安全的质量问题，应当立即采取安全防范措施；由原设计人或者具有相应资质等级的设计人提出保修方案，承包人实施保修。</w:t>
      </w:r>
    </w:p>
    <w:p w14:paraId="6AC41BE2">
      <w:pPr>
        <w:spacing w:line="360" w:lineRule="auto"/>
        <w:jc w:val="left"/>
        <w:rPr>
          <w:rFonts w:ascii="宋体" w:hAnsi="宋体" w:cs="宋体"/>
          <w:sz w:val="24"/>
          <w:szCs w:val="24"/>
        </w:rPr>
      </w:pPr>
      <w:r>
        <w:rPr>
          <w:rFonts w:hint="eastAsia" w:ascii="宋体" w:hAnsi="宋体" w:cs="宋体"/>
          <w:sz w:val="24"/>
          <w:szCs w:val="24"/>
        </w:rPr>
        <w:t>　　4、质量保修完成后，由发包人组织验收。</w:t>
      </w:r>
    </w:p>
    <w:p w14:paraId="4E706070">
      <w:pPr>
        <w:spacing w:line="360" w:lineRule="auto"/>
        <w:jc w:val="left"/>
        <w:rPr>
          <w:rFonts w:ascii="宋体" w:hAnsi="宋体" w:cs="宋体"/>
          <w:b/>
          <w:sz w:val="24"/>
          <w:szCs w:val="24"/>
        </w:rPr>
      </w:pPr>
      <w:r>
        <w:rPr>
          <w:rFonts w:hint="eastAsia" w:ascii="宋体" w:hAnsi="宋体" w:cs="宋体"/>
          <w:b/>
          <w:sz w:val="24"/>
          <w:szCs w:val="24"/>
        </w:rPr>
        <w:t>　　四、保修费用</w:t>
      </w:r>
    </w:p>
    <w:p w14:paraId="1384B48D">
      <w:pPr>
        <w:spacing w:line="360" w:lineRule="auto"/>
        <w:jc w:val="left"/>
        <w:rPr>
          <w:rFonts w:ascii="宋体" w:hAnsi="宋体" w:cs="宋体"/>
          <w:sz w:val="24"/>
          <w:szCs w:val="24"/>
        </w:rPr>
      </w:pPr>
      <w:r>
        <w:rPr>
          <w:rFonts w:hint="eastAsia" w:ascii="宋体" w:hAnsi="宋体" w:cs="宋体"/>
          <w:sz w:val="24"/>
          <w:szCs w:val="24"/>
        </w:rPr>
        <w:t>　　保修费用由造成质量缺陷的责任方承担。</w:t>
      </w:r>
    </w:p>
    <w:p w14:paraId="49F6BFB5">
      <w:pPr>
        <w:spacing w:line="360" w:lineRule="auto"/>
        <w:jc w:val="left"/>
        <w:rPr>
          <w:rFonts w:ascii="宋体" w:hAnsi="宋体" w:cs="宋体"/>
          <w:b/>
          <w:sz w:val="24"/>
          <w:szCs w:val="24"/>
        </w:rPr>
      </w:pPr>
      <w:r>
        <w:rPr>
          <w:rFonts w:hint="eastAsia" w:ascii="宋体" w:hAnsi="宋体" w:cs="宋体"/>
          <w:b/>
          <w:sz w:val="24"/>
          <w:szCs w:val="24"/>
        </w:rPr>
        <w:t>　　五、其他</w:t>
      </w:r>
    </w:p>
    <w:p w14:paraId="61DE8E1A">
      <w:pPr>
        <w:spacing w:line="360" w:lineRule="auto"/>
        <w:jc w:val="left"/>
        <w:rPr>
          <w:rFonts w:ascii="宋体" w:hAnsi="宋体" w:cs="宋体"/>
          <w:sz w:val="24"/>
          <w:szCs w:val="24"/>
        </w:rPr>
      </w:pPr>
      <w:r>
        <w:rPr>
          <w:rFonts w:hint="eastAsia" w:ascii="宋体" w:hAnsi="宋体" w:cs="宋体"/>
          <w:sz w:val="24"/>
          <w:szCs w:val="24"/>
        </w:rPr>
        <w:t>　　双方约定的其他工程保修责任事项：　　　　　　　　　　　　　　　　　　　　　　　　　　　　　　　　　　　　　　　　</w:t>
      </w:r>
    </w:p>
    <w:p w14:paraId="451158A9">
      <w:pPr>
        <w:spacing w:line="360" w:lineRule="auto"/>
        <w:jc w:val="left"/>
        <w:rPr>
          <w:rFonts w:ascii="宋体" w:hAnsi="宋体" w:cs="宋体"/>
          <w:sz w:val="24"/>
          <w:szCs w:val="24"/>
        </w:rPr>
      </w:pPr>
      <w:r>
        <w:rPr>
          <w:rFonts w:hint="eastAsia" w:ascii="宋体" w:hAnsi="宋体" w:cs="宋体"/>
          <w:sz w:val="24"/>
          <w:szCs w:val="24"/>
        </w:rPr>
        <w:t>　　本工程保修书，由施工合同发包人、承包人双方在竣工验收前共同签署，作为施工合同附件，其有效期限至保修期满。</w:t>
      </w:r>
    </w:p>
    <w:p w14:paraId="1E66FC3E">
      <w:pPr>
        <w:spacing w:line="360" w:lineRule="auto"/>
        <w:jc w:val="left"/>
        <w:rPr>
          <w:rFonts w:ascii="宋体" w:hAnsi="宋体" w:cs="宋体"/>
          <w:sz w:val="24"/>
          <w:szCs w:val="24"/>
        </w:rPr>
      </w:pPr>
    </w:p>
    <w:p w14:paraId="49CD92BA">
      <w:pPr>
        <w:spacing w:line="360" w:lineRule="auto"/>
        <w:jc w:val="left"/>
        <w:rPr>
          <w:rFonts w:ascii="宋体" w:hAnsi="宋体" w:cs="宋体"/>
          <w:sz w:val="24"/>
          <w:szCs w:val="24"/>
        </w:rPr>
      </w:pPr>
      <w:r>
        <w:rPr>
          <w:rFonts w:hint="eastAsia" w:ascii="宋体" w:hAnsi="宋体" w:cs="宋体"/>
          <w:sz w:val="24"/>
          <w:szCs w:val="24"/>
        </w:rPr>
        <w:t>发包人：　　　　　　　　　　　(公章)　　承包人：　　　　　　　　　　　(公章)</w:t>
      </w:r>
    </w:p>
    <w:p w14:paraId="5B073771">
      <w:pPr>
        <w:spacing w:line="360" w:lineRule="auto"/>
        <w:jc w:val="left"/>
        <w:rPr>
          <w:rFonts w:ascii="宋体" w:hAnsi="宋体" w:cs="宋体"/>
          <w:sz w:val="24"/>
          <w:szCs w:val="24"/>
        </w:rPr>
      </w:pPr>
    </w:p>
    <w:p w14:paraId="2C1EBDE0">
      <w:pPr>
        <w:spacing w:line="360" w:lineRule="auto"/>
        <w:jc w:val="left"/>
        <w:rPr>
          <w:rFonts w:ascii="宋体" w:hAnsi="宋体" w:cs="宋体"/>
          <w:sz w:val="24"/>
          <w:szCs w:val="24"/>
        </w:rPr>
      </w:pPr>
      <w:r>
        <w:rPr>
          <w:rFonts w:hint="eastAsia" w:ascii="宋体" w:hAnsi="宋体" w:cs="宋体"/>
          <w:sz w:val="24"/>
          <w:szCs w:val="24"/>
        </w:rPr>
        <w:t>法定地址：　　　　　　　　　　　　　　　法定地址：　　　　　　　　　　</w:t>
      </w:r>
    </w:p>
    <w:p w14:paraId="025716AD">
      <w:pPr>
        <w:pStyle w:val="18"/>
        <w:rPr>
          <w:rFonts w:cs="宋体"/>
          <w:szCs w:val="24"/>
        </w:rPr>
      </w:pPr>
    </w:p>
    <w:p w14:paraId="5954835E">
      <w:pPr>
        <w:spacing w:line="360" w:lineRule="auto"/>
        <w:jc w:val="left"/>
        <w:rPr>
          <w:rFonts w:ascii="宋体" w:hAnsi="宋体" w:cs="宋体"/>
          <w:sz w:val="24"/>
          <w:szCs w:val="24"/>
        </w:rPr>
      </w:pPr>
      <w:r>
        <w:rPr>
          <w:rFonts w:hint="eastAsia" w:ascii="宋体" w:hAnsi="宋体" w:cs="宋体"/>
          <w:sz w:val="24"/>
          <w:szCs w:val="24"/>
        </w:rPr>
        <w:t>法定代表人或其                         法定代表人或其</w:t>
      </w:r>
    </w:p>
    <w:p w14:paraId="760A1222">
      <w:pPr>
        <w:spacing w:line="360" w:lineRule="auto"/>
        <w:jc w:val="left"/>
        <w:rPr>
          <w:rFonts w:ascii="宋体" w:hAnsi="宋体" w:cs="宋体"/>
          <w:sz w:val="24"/>
          <w:szCs w:val="24"/>
        </w:rPr>
      </w:pPr>
      <w:r>
        <w:rPr>
          <w:rFonts w:hint="eastAsia" w:ascii="宋体" w:hAnsi="宋体" w:cs="宋体"/>
          <w:sz w:val="24"/>
          <w:szCs w:val="24"/>
        </w:rPr>
        <w:t>委托代理人：　　　　　　　　         　委托代理人：　</w:t>
      </w:r>
    </w:p>
    <w:p w14:paraId="7B44A70A">
      <w:pPr>
        <w:spacing w:line="360" w:lineRule="auto"/>
        <w:jc w:val="left"/>
        <w:rPr>
          <w:rFonts w:ascii="宋体" w:hAnsi="宋体" w:cs="宋体"/>
          <w:sz w:val="24"/>
          <w:szCs w:val="24"/>
        </w:rPr>
      </w:pPr>
    </w:p>
    <w:p w14:paraId="508659ED">
      <w:pPr>
        <w:spacing w:line="360" w:lineRule="auto"/>
        <w:jc w:val="left"/>
        <w:rPr>
          <w:rFonts w:ascii="宋体" w:hAnsi="宋体" w:cs="宋体"/>
          <w:sz w:val="24"/>
          <w:szCs w:val="24"/>
        </w:rPr>
      </w:pPr>
      <w:r>
        <w:rPr>
          <w:rFonts w:hint="eastAsia" w:ascii="宋体" w:hAnsi="宋体" w:cs="宋体"/>
          <w:sz w:val="24"/>
          <w:szCs w:val="24"/>
        </w:rPr>
        <w:t>经办人：　　　　　　　                 经办人：　</w:t>
      </w:r>
    </w:p>
    <w:p w14:paraId="7FFD2D52">
      <w:pPr>
        <w:spacing w:line="360" w:lineRule="auto"/>
        <w:jc w:val="left"/>
        <w:rPr>
          <w:rFonts w:ascii="宋体" w:hAnsi="宋体" w:cs="宋体"/>
          <w:sz w:val="24"/>
          <w:szCs w:val="24"/>
        </w:rPr>
      </w:pPr>
    </w:p>
    <w:p w14:paraId="2E3989B4">
      <w:pPr>
        <w:spacing w:line="360" w:lineRule="auto"/>
        <w:jc w:val="left"/>
        <w:rPr>
          <w:rFonts w:ascii="宋体" w:hAnsi="宋体" w:cs="宋体"/>
          <w:sz w:val="24"/>
          <w:szCs w:val="24"/>
        </w:rPr>
      </w:pPr>
      <w:r>
        <w:rPr>
          <w:rFonts w:hint="eastAsia" w:ascii="宋体" w:hAnsi="宋体" w:cs="宋体"/>
          <w:sz w:val="24"/>
          <w:szCs w:val="24"/>
        </w:rPr>
        <w:t>电话：　　　　　　　　　　　　　　　　　电话：　　　　　　　　　　　　</w:t>
      </w:r>
    </w:p>
    <w:p w14:paraId="6D018827">
      <w:pPr>
        <w:spacing w:line="360" w:lineRule="auto"/>
        <w:jc w:val="left"/>
        <w:rPr>
          <w:rFonts w:ascii="宋体" w:hAnsi="宋体" w:cs="宋体"/>
          <w:sz w:val="24"/>
          <w:szCs w:val="24"/>
        </w:rPr>
      </w:pPr>
    </w:p>
    <w:p w14:paraId="0A50FF7A">
      <w:pPr>
        <w:spacing w:line="360" w:lineRule="auto"/>
        <w:jc w:val="left"/>
        <w:rPr>
          <w:rFonts w:ascii="宋体" w:hAnsi="宋体" w:cs="宋体"/>
          <w:sz w:val="24"/>
          <w:szCs w:val="24"/>
        </w:rPr>
      </w:pPr>
      <w:r>
        <w:rPr>
          <w:rFonts w:hint="eastAsia" w:ascii="宋体" w:hAnsi="宋体" w:cs="宋体"/>
          <w:sz w:val="24"/>
          <w:szCs w:val="24"/>
        </w:rPr>
        <w:t>传真：　　　　　　　　　　　　　　　　　传真：　　　　　　　　　　　　</w:t>
      </w:r>
    </w:p>
    <w:p w14:paraId="6E311EF0">
      <w:pPr>
        <w:spacing w:line="360" w:lineRule="auto"/>
        <w:jc w:val="left"/>
        <w:rPr>
          <w:rFonts w:ascii="宋体" w:hAnsi="宋体" w:cs="宋体"/>
          <w:sz w:val="24"/>
          <w:szCs w:val="24"/>
        </w:rPr>
      </w:pPr>
    </w:p>
    <w:p w14:paraId="5D2ED0AF">
      <w:pPr>
        <w:spacing w:line="360" w:lineRule="auto"/>
        <w:jc w:val="left"/>
        <w:rPr>
          <w:rFonts w:ascii="宋体" w:hAnsi="宋体" w:cs="宋体"/>
          <w:sz w:val="24"/>
          <w:szCs w:val="24"/>
        </w:rPr>
      </w:pPr>
      <w:r>
        <w:rPr>
          <w:rFonts w:hint="eastAsia" w:ascii="宋体" w:hAnsi="宋体" w:cs="宋体"/>
          <w:sz w:val="24"/>
          <w:szCs w:val="24"/>
        </w:rPr>
        <w:t>电子邮箱：　　　　　　　　　　　　　　　电子邮箱：　　　　　　　　　　</w:t>
      </w:r>
    </w:p>
    <w:p w14:paraId="2DC85497">
      <w:pPr>
        <w:spacing w:line="360" w:lineRule="auto"/>
        <w:jc w:val="left"/>
        <w:rPr>
          <w:rFonts w:ascii="宋体" w:hAnsi="宋体" w:cs="宋体"/>
          <w:sz w:val="24"/>
          <w:szCs w:val="24"/>
        </w:rPr>
      </w:pPr>
    </w:p>
    <w:p w14:paraId="4FEDACE3">
      <w:pPr>
        <w:spacing w:line="360" w:lineRule="auto"/>
        <w:jc w:val="left"/>
        <w:rPr>
          <w:rFonts w:ascii="宋体" w:hAnsi="宋体" w:cs="宋体"/>
          <w:sz w:val="24"/>
          <w:szCs w:val="24"/>
        </w:rPr>
      </w:pPr>
      <w:r>
        <w:rPr>
          <w:rFonts w:hint="eastAsia" w:ascii="宋体" w:hAnsi="宋体" w:cs="宋体"/>
          <w:sz w:val="24"/>
          <w:szCs w:val="24"/>
        </w:rPr>
        <w:t>开户银行：　　　　　　　　　　　　　　　开户银行：　　　　　　　　　　</w:t>
      </w:r>
    </w:p>
    <w:p w14:paraId="5217C277">
      <w:pPr>
        <w:spacing w:line="360" w:lineRule="auto"/>
        <w:jc w:val="left"/>
        <w:rPr>
          <w:rFonts w:ascii="宋体" w:hAnsi="宋体" w:cs="宋体"/>
          <w:sz w:val="24"/>
          <w:szCs w:val="24"/>
        </w:rPr>
      </w:pPr>
    </w:p>
    <w:p w14:paraId="34DAB5B2">
      <w:pPr>
        <w:spacing w:line="360" w:lineRule="auto"/>
        <w:jc w:val="left"/>
        <w:rPr>
          <w:rFonts w:ascii="宋体" w:hAnsi="宋体" w:cs="宋体"/>
          <w:sz w:val="24"/>
          <w:szCs w:val="24"/>
        </w:rPr>
      </w:pPr>
      <w:r>
        <w:rPr>
          <w:rFonts w:hint="eastAsia" w:ascii="宋体" w:hAnsi="宋体" w:cs="宋体"/>
          <w:sz w:val="24"/>
          <w:szCs w:val="24"/>
        </w:rPr>
        <w:t>帐号：　　　　　　　　　　　　　　　　　帐号：　　　　　　　　　　　　</w:t>
      </w:r>
    </w:p>
    <w:p w14:paraId="1D09708B">
      <w:pPr>
        <w:tabs>
          <w:tab w:val="left" w:pos="5010"/>
        </w:tabs>
        <w:spacing w:line="360" w:lineRule="auto"/>
        <w:jc w:val="left"/>
        <w:rPr>
          <w:rFonts w:ascii="宋体" w:hAnsi="宋体" w:cs="宋体"/>
          <w:sz w:val="24"/>
          <w:szCs w:val="24"/>
        </w:rPr>
      </w:pPr>
    </w:p>
    <w:p w14:paraId="0C5BD85E">
      <w:pPr>
        <w:tabs>
          <w:tab w:val="left" w:pos="5010"/>
        </w:tabs>
        <w:spacing w:line="360" w:lineRule="auto"/>
        <w:jc w:val="left"/>
        <w:rPr>
          <w:rFonts w:ascii="宋体" w:hAnsi="宋体" w:cs="宋体"/>
          <w:bCs/>
          <w:sz w:val="24"/>
          <w:szCs w:val="24"/>
        </w:rPr>
      </w:pPr>
      <w:r>
        <w:rPr>
          <w:rFonts w:hint="eastAsia" w:ascii="宋体" w:hAnsi="宋体" w:cs="宋体"/>
          <w:sz w:val="24"/>
          <w:szCs w:val="24"/>
        </w:rPr>
        <w:t>邮政编码：　　　　　　　　　　　　　　　邮政编码：　　　　　　　</w:t>
      </w:r>
    </w:p>
    <w:p w14:paraId="4CA25532">
      <w:pPr>
        <w:tabs>
          <w:tab w:val="left" w:pos="5010"/>
        </w:tabs>
        <w:spacing w:line="360" w:lineRule="auto"/>
        <w:jc w:val="left"/>
        <w:rPr>
          <w:rFonts w:ascii="宋体" w:hAnsi="宋体" w:cs="宋体"/>
          <w:bCs/>
          <w:sz w:val="24"/>
          <w:szCs w:val="24"/>
        </w:rPr>
      </w:pPr>
    </w:p>
    <w:p w14:paraId="245D192D">
      <w:pPr>
        <w:tabs>
          <w:tab w:val="left" w:pos="5010"/>
        </w:tabs>
        <w:spacing w:line="360" w:lineRule="auto"/>
        <w:jc w:val="left"/>
        <w:rPr>
          <w:rFonts w:ascii="宋体" w:hAnsi="宋体" w:cs="宋体"/>
          <w:bCs/>
          <w:szCs w:val="21"/>
        </w:rPr>
      </w:pPr>
    </w:p>
    <w:p w14:paraId="4678A0D2">
      <w:pPr>
        <w:tabs>
          <w:tab w:val="left" w:pos="5010"/>
        </w:tabs>
        <w:spacing w:line="360" w:lineRule="auto"/>
        <w:jc w:val="left"/>
        <w:rPr>
          <w:rFonts w:ascii="宋体" w:hAnsi="宋体" w:cs="宋体"/>
          <w:bCs/>
          <w:szCs w:val="21"/>
        </w:rPr>
      </w:pPr>
    </w:p>
    <w:p w14:paraId="1F348D8A">
      <w:pPr>
        <w:pStyle w:val="18"/>
        <w:rPr>
          <w:rFonts w:cs="宋体"/>
          <w:bCs/>
          <w:szCs w:val="21"/>
        </w:rPr>
      </w:pPr>
    </w:p>
    <w:p w14:paraId="5A15BCA4">
      <w:pPr>
        <w:pStyle w:val="18"/>
        <w:rPr>
          <w:rFonts w:cs="宋体"/>
          <w:bCs/>
          <w:szCs w:val="21"/>
        </w:rPr>
      </w:pPr>
    </w:p>
    <w:p w14:paraId="5B2E209D">
      <w:pPr>
        <w:pStyle w:val="18"/>
        <w:rPr>
          <w:rFonts w:cs="宋体"/>
          <w:bCs/>
          <w:szCs w:val="21"/>
        </w:rPr>
      </w:pPr>
    </w:p>
    <w:p w14:paraId="41933A0E">
      <w:pPr>
        <w:pStyle w:val="18"/>
        <w:rPr>
          <w:rFonts w:cs="宋体"/>
          <w:bCs/>
          <w:szCs w:val="21"/>
        </w:rPr>
      </w:pPr>
    </w:p>
    <w:p w14:paraId="69A75348">
      <w:pPr>
        <w:pStyle w:val="18"/>
        <w:ind w:firstLine="0"/>
        <w:rPr>
          <w:rFonts w:cs="宋体"/>
          <w:bCs/>
          <w:szCs w:val="21"/>
        </w:rPr>
      </w:pPr>
    </w:p>
    <w:p w14:paraId="6DA99B79">
      <w:pPr>
        <w:tabs>
          <w:tab w:val="left" w:pos="5010"/>
        </w:tabs>
        <w:spacing w:line="360" w:lineRule="auto"/>
        <w:jc w:val="left"/>
        <w:rPr>
          <w:rFonts w:ascii="宋体" w:hAnsi="宋体" w:cs="宋体"/>
          <w:bCs/>
          <w:szCs w:val="21"/>
        </w:rPr>
      </w:pPr>
    </w:p>
    <w:p w14:paraId="3FDC1C87">
      <w:pPr>
        <w:pStyle w:val="18"/>
        <w:rPr>
          <w:rFonts w:cs="宋体"/>
          <w:bCs/>
          <w:szCs w:val="21"/>
        </w:rPr>
      </w:pPr>
    </w:p>
    <w:p w14:paraId="5CA7FE8C">
      <w:pPr>
        <w:pStyle w:val="18"/>
        <w:rPr>
          <w:rFonts w:cs="宋体"/>
          <w:bCs/>
          <w:szCs w:val="21"/>
        </w:rPr>
      </w:pPr>
    </w:p>
    <w:p w14:paraId="13104284">
      <w:pPr>
        <w:tabs>
          <w:tab w:val="left" w:pos="5010"/>
        </w:tabs>
        <w:spacing w:line="360" w:lineRule="auto"/>
        <w:jc w:val="left"/>
        <w:rPr>
          <w:rFonts w:ascii="宋体" w:hAnsi="宋体" w:cs="宋体"/>
          <w:bCs/>
          <w:szCs w:val="21"/>
        </w:rPr>
      </w:pPr>
      <w:r>
        <w:rPr>
          <w:rFonts w:hint="eastAsia" w:ascii="宋体" w:hAnsi="宋体" w:cs="宋体"/>
          <w:bCs/>
          <w:szCs w:val="21"/>
        </w:rPr>
        <w:t>附件</w:t>
      </w:r>
      <w:bookmarkEnd w:id="188"/>
      <w:bookmarkEnd w:id="189"/>
      <w:bookmarkEnd w:id="190"/>
      <w:r>
        <w:rPr>
          <w:rFonts w:hint="eastAsia" w:ascii="宋体" w:hAnsi="宋体" w:cs="宋体"/>
          <w:bCs/>
          <w:szCs w:val="21"/>
        </w:rPr>
        <w:t>二：</w:t>
      </w:r>
    </w:p>
    <w:p w14:paraId="35606568">
      <w:pPr>
        <w:autoSpaceDE w:val="0"/>
        <w:autoSpaceDN w:val="0"/>
        <w:adjustRightInd w:val="0"/>
        <w:spacing w:before="17" w:line="120" w:lineRule="exact"/>
        <w:jc w:val="left"/>
        <w:rPr>
          <w:rFonts w:ascii="宋体" w:hAnsi="宋体" w:cs="宋体"/>
          <w:snapToGrid w:val="0"/>
          <w:kern w:val="0"/>
          <w:sz w:val="12"/>
          <w:szCs w:val="12"/>
        </w:rPr>
      </w:pPr>
    </w:p>
    <w:p w14:paraId="16C95C24">
      <w:pPr>
        <w:autoSpaceDE w:val="0"/>
        <w:autoSpaceDN w:val="0"/>
        <w:adjustRightInd w:val="0"/>
        <w:spacing w:line="200" w:lineRule="exact"/>
        <w:jc w:val="left"/>
        <w:rPr>
          <w:rFonts w:ascii="宋体" w:hAnsi="宋体" w:cs="宋体"/>
          <w:snapToGrid w:val="0"/>
          <w:kern w:val="0"/>
          <w:sz w:val="20"/>
        </w:rPr>
      </w:pPr>
    </w:p>
    <w:p w14:paraId="34E0CA33">
      <w:pPr>
        <w:spacing w:line="360" w:lineRule="auto"/>
        <w:jc w:val="center"/>
        <w:rPr>
          <w:rFonts w:ascii="宋体" w:hAnsi="宋体" w:cs="宋体"/>
          <w:b/>
          <w:sz w:val="32"/>
          <w:szCs w:val="32"/>
        </w:rPr>
      </w:pPr>
      <w:bookmarkStart w:id="191" w:name="_Toc22054"/>
      <w:r>
        <w:rPr>
          <w:rFonts w:hint="eastAsia" w:ascii="宋体" w:hAnsi="宋体" w:cs="宋体"/>
          <w:b/>
          <w:sz w:val="32"/>
          <w:szCs w:val="32"/>
        </w:rPr>
        <w:t>建设工程廉政责任书</w:t>
      </w:r>
    </w:p>
    <w:p w14:paraId="1D426BD9">
      <w:pPr>
        <w:spacing w:line="360" w:lineRule="auto"/>
        <w:jc w:val="left"/>
        <w:rPr>
          <w:rFonts w:ascii="宋体" w:hAnsi="宋体" w:cs="宋体"/>
        </w:rPr>
      </w:pPr>
    </w:p>
    <w:p w14:paraId="7C7124A8">
      <w:pPr>
        <w:spacing w:line="360" w:lineRule="auto"/>
        <w:jc w:val="left"/>
        <w:rPr>
          <w:rFonts w:ascii="宋体" w:hAnsi="宋体" w:cs="宋体"/>
          <w:sz w:val="24"/>
          <w:szCs w:val="24"/>
          <w:u w:val="single"/>
        </w:rPr>
      </w:pPr>
      <w:r>
        <w:rPr>
          <w:rFonts w:hint="eastAsia" w:ascii="宋体" w:hAnsi="宋体" w:cs="宋体"/>
          <w:sz w:val="24"/>
          <w:szCs w:val="24"/>
        </w:rPr>
        <w:t>发包人：</w:t>
      </w:r>
      <w:r>
        <w:rPr>
          <w:rFonts w:hint="eastAsia" w:ascii="宋体" w:hAnsi="宋体" w:cs="宋体"/>
          <w:sz w:val="24"/>
          <w:szCs w:val="24"/>
          <w:u w:val="single"/>
        </w:rPr>
        <w:t>重庆市沙坪坝区气象局　</w:t>
      </w:r>
    </w:p>
    <w:p w14:paraId="103B2811">
      <w:pPr>
        <w:spacing w:line="360" w:lineRule="auto"/>
        <w:jc w:val="left"/>
        <w:rPr>
          <w:rFonts w:ascii="宋体" w:hAnsi="宋体" w:cs="宋体"/>
          <w:sz w:val="24"/>
          <w:szCs w:val="24"/>
        </w:rPr>
      </w:pPr>
      <w:r>
        <w:rPr>
          <w:rFonts w:hint="eastAsia" w:ascii="宋体" w:hAnsi="宋体" w:cs="宋体"/>
          <w:sz w:val="24"/>
          <w:szCs w:val="24"/>
        </w:rPr>
        <w:t>承包人： 　　　　　　　　　　　　</w:t>
      </w:r>
    </w:p>
    <w:p w14:paraId="6BF75FF3">
      <w:pPr>
        <w:spacing w:line="360" w:lineRule="auto"/>
        <w:jc w:val="left"/>
        <w:rPr>
          <w:rFonts w:ascii="宋体" w:hAnsi="宋体" w:cs="宋体"/>
          <w:sz w:val="24"/>
          <w:szCs w:val="24"/>
        </w:rPr>
      </w:pPr>
      <w:r>
        <w:rPr>
          <w:rFonts w:hint="eastAsia" w:ascii="宋体" w:hAnsi="宋体" w:cs="宋体"/>
          <w:sz w:val="24"/>
          <w:szCs w:val="24"/>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698D673">
      <w:pPr>
        <w:spacing w:line="360" w:lineRule="auto"/>
        <w:jc w:val="left"/>
        <w:rPr>
          <w:rFonts w:ascii="宋体" w:hAnsi="宋体" w:cs="宋体"/>
          <w:b/>
          <w:sz w:val="24"/>
          <w:szCs w:val="24"/>
        </w:rPr>
      </w:pPr>
      <w:r>
        <w:rPr>
          <w:rFonts w:hint="eastAsia" w:ascii="宋体" w:hAnsi="宋体" w:cs="宋体"/>
          <w:b/>
          <w:sz w:val="24"/>
          <w:szCs w:val="24"/>
        </w:rPr>
        <w:t>一、双方的责任</w:t>
      </w:r>
    </w:p>
    <w:p w14:paraId="3DA187AB">
      <w:pPr>
        <w:spacing w:line="360" w:lineRule="auto"/>
        <w:jc w:val="left"/>
        <w:rPr>
          <w:rFonts w:ascii="宋体" w:hAnsi="宋体" w:cs="宋体"/>
          <w:sz w:val="24"/>
          <w:szCs w:val="24"/>
        </w:rPr>
      </w:pPr>
      <w:r>
        <w:rPr>
          <w:rFonts w:hint="eastAsia" w:ascii="宋体" w:hAnsi="宋体" w:cs="宋体"/>
          <w:sz w:val="24"/>
          <w:szCs w:val="24"/>
        </w:rPr>
        <w:t>　　1.1应严格遵守国家关于建设工程的有关法律、法规，相关政策，以及廉政建设的各项规定。</w:t>
      </w:r>
    </w:p>
    <w:p w14:paraId="09E0ADC7">
      <w:pPr>
        <w:spacing w:line="360" w:lineRule="auto"/>
        <w:jc w:val="left"/>
        <w:rPr>
          <w:rFonts w:ascii="宋体" w:hAnsi="宋体" w:cs="宋体"/>
          <w:sz w:val="24"/>
          <w:szCs w:val="24"/>
        </w:rPr>
      </w:pPr>
      <w:r>
        <w:rPr>
          <w:rFonts w:hint="eastAsia" w:ascii="宋体" w:hAnsi="宋体" w:cs="宋体"/>
          <w:sz w:val="24"/>
          <w:szCs w:val="24"/>
        </w:rPr>
        <w:t>　　1.2严格执行建设工程合同文件，自觉按合同办事。</w:t>
      </w:r>
    </w:p>
    <w:p w14:paraId="18CB7352">
      <w:pPr>
        <w:spacing w:line="360" w:lineRule="auto"/>
        <w:jc w:val="left"/>
        <w:rPr>
          <w:rFonts w:ascii="宋体" w:hAnsi="宋体" w:cs="宋体"/>
          <w:sz w:val="24"/>
          <w:szCs w:val="24"/>
        </w:rPr>
      </w:pPr>
      <w:r>
        <w:rPr>
          <w:rFonts w:hint="eastAsia" w:ascii="宋体" w:hAnsi="宋体" w:cs="宋体"/>
          <w:sz w:val="24"/>
          <w:szCs w:val="24"/>
        </w:rPr>
        <w:t>　　1.3各项活动必须坚持公开、公平、公正、诚信、透明的原则(除法律法规另有规定者外)，不得为获取不正当的利益，损害国家、集体和对方利益，不得违反建设工程管理的规章制度。</w:t>
      </w:r>
    </w:p>
    <w:p w14:paraId="26DDA9FA">
      <w:pPr>
        <w:spacing w:line="360" w:lineRule="auto"/>
        <w:jc w:val="left"/>
        <w:rPr>
          <w:rFonts w:ascii="宋体" w:hAnsi="宋体" w:cs="宋体"/>
          <w:sz w:val="24"/>
          <w:szCs w:val="24"/>
        </w:rPr>
      </w:pPr>
      <w:r>
        <w:rPr>
          <w:rFonts w:hint="eastAsia" w:ascii="宋体" w:hAnsi="宋体" w:cs="宋体"/>
          <w:sz w:val="24"/>
          <w:szCs w:val="24"/>
        </w:rPr>
        <w:t>　　1.4发现对方在业务活动中有违规、违纪、违法行为的，应及时提醒对方，情节严重的，应向其上级主管部门或纪检监察、司法等有关机关举报。</w:t>
      </w:r>
    </w:p>
    <w:p w14:paraId="7A3C84A4">
      <w:pPr>
        <w:spacing w:line="360" w:lineRule="auto"/>
        <w:jc w:val="left"/>
        <w:rPr>
          <w:rFonts w:ascii="宋体" w:hAnsi="宋体" w:cs="宋体"/>
          <w:b/>
          <w:sz w:val="24"/>
          <w:szCs w:val="24"/>
        </w:rPr>
      </w:pPr>
      <w:r>
        <w:rPr>
          <w:rFonts w:hint="eastAsia" w:ascii="宋体" w:hAnsi="宋体" w:cs="宋体"/>
          <w:b/>
          <w:sz w:val="24"/>
          <w:szCs w:val="24"/>
        </w:rPr>
        <w:t>二、发包人责任</w:t>
      </w:r>
    </w:p>
    <w:p w14:paraId="41806476">
      <w:pPr>
        <w:spacing w:line="360" w:lineRule="auto"/>
        <w:jc w:val="left"/>
        <w:rPr>
          <w:rFonts w:ascii="宋体" w:hAnsi="宋体" w:cs="宋体"/>
          <w:sz w:val="24"/>
          <w:szCs w:val="24"/>
        </w:rPr>
      </w:pPr>
      <w:r>
        <w:rPr>
          <w:rFonts w:hint="eastAsia" w:ascii="宋体" w:hAnsi="宋体" w:cs="宋体"/>
          <w:sz w:val="24"/>
          <w:szCs w:val="24"/>
        </w:rPr>
        <w:t>　　发包人的领导和从事该建设工程项目的工作人员，在工程建设的事前、事中、事后应遵守以下规定：</w:t>
      </w:r>
    </w:p>
    <w:p w14:paraId="03808AD3">
      <w:pPr>
        <w:spacing w:line="360" w:lineRule="auto"/>
        <w:jc w:val="left"/>
        <w:rPr>
          <w:rFonts w:ascii="宋体" w:hAnsi="宋体" w:cs="宋体"/>
          <w:sz w:val="24"/>
          <w:szCs w:val="24"/>
        </w:rPr>
      </w:pPr>
      <w:r>
        <w:rPr>
          <w:rFonts w:hint="eastAsia" w:ascii="宋体" w:hAnsi="宋体" w:cs="宋体"/>
          <w:sz w:val="24"/>
          <w:szCs w:val="24"/>
        </w:rPr>
        <w:t>　　2.1不得向承包人和相关单位索要或接受回扣、礼金、有价证券、贵重物品和好处费、感谢费等。</w:t>
      </w:r>
    </w:p>
    <w:p w14:paraId="6C6B1E77">
      <w:pPr>
        <w:spacing w:line="360" w:lineRule="auto"/>
        <w:jc w:val="left"/>
        <w:rPr>
          <w:rFonts w:ascii="宋体" w:hAnsi="宋体" w:cs="宋体"/>
          <w:sz w:val="24"/>
          <w:szCs w:val="24"/>
        </w:rPr>
      </w:pPr>
      <w:r>
        <w:rPr>
          <w:rFonts w:hint="eastAsia" w:ascii="宋体" w:hAnsi="宋体" w:cs="宋体"/>
          <w:sz w:val="24"/>
          <w:szCs w:val="24"/>
        </w:rPr>
        <w:t>　　2.2不得在承包人和相关单位报销任何应由发包人或个人支付的费用。</w:t>
      </w:r>
    </w:p>
    <w:p w14:paraId="28900404">
      <w:pPr>
        <w:spacing w:line="360" w:lineRule="auto"/>
        <w:jc w:val="left"/>
        <w:rPr>
          <w:rFonts w:ascii="宋体" w:hAnsi="宋体" w:cs="宋体"/>
          <w:sz w:val="24"/>
          <w:szCs w:val="24"/>
        </w:rPr>
      </w:pPr>
      <w:r>
        <w:rPr>
          <w:rFonts w:hint="eastAsia" w:ascii="宋体" w:hAnsi="宋体" w:cs="宋体"/>
          <w:sz w:val="24"/>
          <w:szCs w:val="24"/>
        </w:rPr>
        <w:t>　　2.3不得要求、暗示或接受承包人和相关单位为个人装修住房、婚丧嫁娶、配偶子女的工作安排以及出国(境)、旅游等提供方便。</w:t>
      </w:r>
    </w:p>
    <w:p w14:paraId="5FC96757">
      <w:pPr>
        <w:spacing w:line="360" w:lineRule="auto"/>
        <w:jc w:val="left"/>
        <w:rPr>
          <w:rFonts w:ascii="宋体" w:hAnsi="宋体" w:cs="宋体"/>
          <w:sz w:val="24"/>
          <w:szCs w:val="24"/>
        </w:rPr>
      </w:pPr>
      <w:r>
        <w:rPr>
          <w:rFonts w:hint="eastAsia" w:ascii="宋体" w:hAnsi="宋体" w:cs="宋体"/>
          <w:sz w:val="24"/>
          <w:szCs w:val="24"/>
        </w:rPr>
        <w:t>　　2.4不得参加有可能影响公正执行公务的承包人和相关单位的宴请、健身、娱乐等活动。</w:t>
      </w:r>
    </w:p>
    <w:p w14:paraId="5221119D">
      <w:pPr>
        <w:spacing w:line="360" w:lineRule="auto"/>
        <w:jc w:val="left"/>
        <w:rPr>
          <w:rFonts w:ascii="宋体" w:hAnsi="宋体" w:cs="宋体"/>
          <w:sz w:val="24"/>
          <w:szCs w:val="24"/>
        </w:rPr>
      </w:pPr>
      <w:r>
        <w:rPr>
          <w:rFonts w:hint="eastAsia" w:ascii="宋体" w:hAnsi="宋体" w:cs="宋体"/>
          <w:sz w:val="24"/>
          <w:szCs w:val="24"/>
        </w:rPr>
        <w:t>　　2.5不得向承包人和相关单位介绍或为配偶、子女、亲属参与同发包人工程建设管理合同有关的业务活动；不得以任何理由要求承包人和相关单位使用某种产品、材料和设备。</w:t>
      </w:r>
    </w:p>
    <w:p w14:paraId="47A2C0FB">
      <w:pPr>
        <w:spacing w:line="360" w:lineRule="auto"/>
        <w:jc w:val="left"/>
        <w:rPr>
          <w:rFonts w:ascii="宋体" w:hAnsi="宋体" w:cs="宋体"/>
          <w:b/>
          <w:sz w:val="24"/>
          <w:szCs w:val="24"/>
        </w:rPr>
      </w:pPr>
      <w:r>
        <w:rPr>
          <w:rFonts w:hint="eastAsia" w:ascii="宋体" w:hAnsi="宋体" w:cs="宋体"/>
          <w:b/>
          <w:sz w:val="24"/>
          <w:szCs w:val="24"/>
        </w:rPr>
        <w:t>三、承包人责任</w:t>
      </w:r>
    </w:p>
    <w:p w14:paraId="202FF8D1">
      <w:pPr>
        <w:spacing w:line="360" w:lineRule="auto"/>
        <w:jc w:val="left"/>
        <w:rPr>
          <w:rFonts w:ascii="宋体" w:hAnsi="宋体" w:cs="宋体"/>
          <w:sz w:val="24"/>
          <w:szCs w:val="24"/>
        </w:rPr>
      </w:pPr>
      <w:r>
        <w:rPr>
          <w:rFonts w:hint="eastAsia" w:ascii="宋体" w:hAnsi="宋体" w:cs="宋体"/>
          <w:sz w:val="24"/>
          <w:szCs w:val="24"/>
        </w:rPr>
        <w:t>　　应与发包人保持正常的业务交往，按照有关法律法规和程序开展业务工作，严格执行工程建设的有关方针、政策，执行工程建设强制性标准，并遵守以下规定：</w:t>
      </w:r>
    </w:p>
    <w:p w14:paraId="2DF97923">
      <w:pPr>
        <w:spacing w:line="360" w:lineRule="auto"/>
        <w:jc w:val="left"/>
        <w:rPr>
          <w:rFonts w:ascii="宋体" w:hAnsi="宋体" w:cs="宋体"/>
          <w:sz w:val="24"/>
          <w:szCs w:val="24"/>
        </w:rPr>
      </w:pPr>
      <w:r>
        <w:rPr>
          <w:rFonts w:hint="eastAsia" w:ascii="宋体" w:hAnsi="宋体" w:cs="宋体"/>
          <w:sz w:val="24"/>
          <w:szCs w:val="24"/>
        </w:rPr>
        <w:t>　　3.1不得以任何理由向发包人及其工作人员索要、接受或赠送礼金、有价证券、贵重物品及回扣、好处费、感谢费等。</w:t>
      </w:r>
    </w:p>
    <w:p w14:paraId="76974208">
      <w:pPr>
        <w:spacing w:line="360" w:lineRule="auto"/>
        <w:jc w:val="left"/>
        <w:rPr>
          <w:rFonts w:ascii="宋体" w:hAnsi="宋体" w:cs="宋体"/>
          <w:sz w:val="24"/>
          <w:szCs w:val="24"/>
        </w:rPr>
      </w:pPr>
      <w:r>
        <w:rPr>
          <w:rFonts w:hint="eastAsia" w:ascii="宋体" w:hAnsi="宋体" w:cs="宋体"/>
          <w:sz w:val="24"/>
          <w:szCs w:val="24"/>
        </w:rPr>
        <w:t>　　3.2不得以任何理由为发包人和相关单位报销应由对方或个人支付的费用。</w:t>
      </w:r>
    </w:p>
    <w:p w14:paraId="134BF3CC">
      <w:pPr>
        <w:spacing w:line="360" w:lineRule="auto"/>
        <w:jc w:val="left"/>
        <w:rPr>
          <w:rFonts w:ascii="宋体" w:hAnsi="宋体" w:cs="宋体"/>
          <w:sz w:val="24"/>
          <w:szCs w:val="24"/>
        </w:rPr>
      </w:pPr>
      <w:r>
        <w:rPr>
          <w:rFonts w:hint="eastAsia" w:ascii="宋体" w:hAnsi="宋体" w:cs="宋体"/>
          <w:sz w:val="24"/>
          <w:szCs w:val="24"/>
        </w:rPr>
        <w:t>　　3.3不得接受或暗示为发包人、相关单位或个人装修住房、婚丧嫁娶、配偶子女的工作安排以及出国(境)、旅游等提供方便。</w:t>
      </w:r>
    </w:p>
    <w:p w14:paraId="76A795F8">
      <w:pPr>
        <w:spacing w:line="360" w:lineRule="auto"/>
        <w:jc w:val="left"/>
        <w:rPr>
          <w:rFonts w:ascii="宋体" w:hAnsi="宋体" w:cs="宋体"/>
          <w:sz w:val="24"/>
          <w:szCs w:val="24"/>
        </w:rPr>
      </w:pPr>
      <w:r>
        <w:rPr>
          <w:rFonts w:hint="eastAsia" w:ascii="宋体" w:hAnsi="宋体" w:cs="宋体"/>
          <w:sz w:val="24"/>
          <w:szCs w:val="24"/>
        </w:rPr>
        <w:t>　　3.4不得以任何理由为发包人、相关单位或个人组织有可能影响公正执行公务的宴请、健身、娱乐等活动。</w:t>
      </w:r>
    </w:p>
    <w:p w14:paraId="36D1F78D">
      <w:pPr>
        <w:spacing w:line="360" w:lineRule="auto"/>
        <w:jc w:val="left"/>
        <w:rPr>
          <w:rFonts w:ascii="宋体" w:hAnsi="宋体" w:cs="宋体"/>
          <w:b/>
          <w:sz w:val="24"/>
          <w:szCs w:val="24"/>
        </w:rPr>
      </w:pPr>
      <w:r>
        <w:rPr>
          <w:rFonts w:hint="eastAsia" w:ascii="宋体" w:hAnsi="宋体" w:cs="宋体"/>
          <w:b/>
          <w:sz w:val="24"/>
          <w:szCs w:val="24"/>
        </w:rPr>
        <w:t>四、违约责任</w:t>
      </w:r>
    </w:p>
    <w:p w14:paraId="323F981B">
      <w:pPr>
        <w:spacing w:line="360" w:lineRule="auto"/>
        <w:jc w:val="left"/>
        <w:rPr>
          <w:rFonts w:ascii="宋体" w:hAnsi="宋体" w:cs="宋体"/>
          <w:sz w:val="24"/>
          <w:szCs w:val="24"/>
        </w:rPr>
      </w:pPr>
      <w:r>
        <w:rPr>
          <w:rFonts w:hint="eastAsia" w:ascii="宋体" w:hAnsi="宋体" w:cs="宋体"/>
          <w:sz w:val="24"/>
          <w:szCs w:val="24"/>
        </w:rPr>
        <w:t>　　4.1发包人工作人员有违反本责任书第一、二条责任行为的，依据有关法律、法规给予处理；涉嫌犯罪的，移交司法机关追究刑事责任；给承包人单位造成经济损失的，应予以赔偿。</w:t>
      </w:r>
    </w:p>
    <w:p w14:paraId="3DED8588">
      <w:pPr>
        <w:spacing w:line="360" w:lineRule="auto"/>
        <w:jc w:val="left"/>
        <w:rPr>
          <w:rFonts w:ascii="宋体" w:hAnsi="宋体" w:cs="宋体"/>
          <w:sz w:val="24"/>
          <w:szCs w:val="24"/>
        </w:rPr>
      </w:pPr>
      <w:r>
        <w:rPr>
          <w:rFonts w:hint="eastAsia" w:ascii="宋体" w:hAnsi="宋体" w:cs="宋体"/>
          <w:sz w:val="24"/>
          <w:szCs w:val="24"/>
        </w:rPr>
        <w:t>　　4.2承包人工作人员有违反本责任书第一、三条责任行为的，依据有关法律法规处理；涉嫌犯罪的，移交司法机关追究刑事责任；给发包人单位造成经济损失的，应予以赔偿。</w:t>
      </w:r>
    </w:p>
    <w:p w14:paraId="5270C1F0">
      <w:pPr>
        <w:spacing w:line="360" w:lineRule="auto"/>
        <w:jc w:val="left"/>
        <w:rPr>
          <w:rFonts w:ascii="宋体" w:hAnsi="宋体" w:cs="宋体"/>
          <w:sz w:val="24"/>
          <w:szCs w:val="24"/>
        </w:rPr>
      </w:pPr>
      <w:r>
        <w:rPr>
          <w:rFonts w:hint="eastAsia" w:ascii="宋体" w:hAnsi="宋体" w:cs="宋体"/>
          <w:sz w:val="24"/>
          <w:szCs w:val="24"/>
        </w:rPr>
        <w:t>　　4.3本责任书作为建设工程合同的组成部分，与建设工程合同具有同等法律效力。经双方签署后立即生效。</w:t>
      </w:r>
    </w:p>
    <w:p w14:paraId="7F8A1615">
      <w:pPr>
        <w:spacing w:line="360" w:lineRule="auto"/>
        <w:jc w:val="left"/>
        <w:rPr>
          <w:rFonts w:ascii="宋体" w:hAnsi="宋体" w:cs="宋体"/>
          <w:b/>
          <w:sz w:val="24"/>
          <w:szCs w:val="24"/>
        </w:rPr>
      </w:pPr>
      <w:r>
        <w:rPr>
          <w:rFonts w:hint="eastAsia" w:ascii="宋体" w:hAnsi="宋体" w:cs="宋体"/>
          <w:b/>
          <w:sz w:val="24"/>
          <w:szCs w:val="24"/>
        </w:rPr>
        <w:t>五、责任书有效期</w:t>
      </w:r>
    </w:p>
    <w:p w14:paraId="433F4590">
      <w:pPr>
        <w:spacing w:line="360" w:lineRule="auto"/>
        <w:jc w:val="left"/>
        <w:rPr>
          <w:rFonts w:ascii="宋体" w:hAnsi="宋体" w:cs="宋体"/>
          <w:sz w:val="24"/>
          <w:szCs w:val="24"/>
        </w:rPr>
      </w:pPr>
      <w:r>
        <w:rPr>
          <w:rFonts w:hint="eastAsia" w:ascii="宋体" w:hAnsi="宋体" w:cs="宋体"/>
          <w:sz w:val="24"/>
          <w:szCs w:val="24"/>
        </w:rPr>
        <w:t>　　本责任书的有效期为双方签署之日起至该工程项目竣工验收合格时止。</w:t>
      </w:r>
    </w:p>
    <w:p w14:paraId="05632F89">
      <w:pPr>
        <w:spacing w:line="360" w:lineRule="auto"/>
        <w:jc w:val="left"/>
        <w:rPr>
          <w:rFonts w:ascii="宋体" w:hAnsi="宋体" w:cs="宋体"/>
          <w:b/>
          <w:sz w:val="24"/>
          <w:szCs w:val="24"/>
        </w:rPr>
      </w:pPr>
      <w:r>
        <w:rPr>
          <w:rFonts w:hint="eastAsia" w:ascii="宋体" w:hAnsi="宋体" w:cs="宋体"/>
          <w:b/>
          <w:sz w:val="24"/>
          <w:szCs w:val="24"/>
        </w:rPr>
        <w:t>　　六、责任书份数</w:t>
      </w:r>
    </w:p>
    <w:p w14:paraId="0A4A7CA3">
      <w:pPr>
        <w:spacing w:line="360" w:lineRule="auto"/>
        <w:jc w:val="left"/>
        <w:rPr>
          <w:rFonts w:ascii="宋体" w:hAnsi="宋体" w:cs="宋体"/>
          <w:sz w:val="24"/>
          <w:szCs w:val="24"/>
        </w:rPr>
      </w:pPr>
      <w:r>
        <w:rPr>
          <w:rFonts w:hint="eastAsia" w:ascii="宋体" w:hAnsi="宋体" w:cs="宋体"/>
          <w:sz w:val="24"/>
          <w:szCs w:val="24"/>
        </w:rPr>
        <w:t>　　本责任书一式陆份，发包人承包人各执叁份，具有同等效力。</w:t>
      </w:r>
    </w:p>
    <w:p w14:paraId="476BAE75">
      <w:pPr>
        <w:spacing w:line="360" w:lineRule="auto"/>
        <w:rPr>
          <w:rFonts w:ascii="宋体" w:hAnsi="宋体" w:cs="宋体"/>
          <w:sz w:val="24"/>
          <w:szCs w:val="24"/>
        </w:rPr>
      </w:pPr>
      <w:r>
        <w:rPr>
          <w:rFonts w:hint="eastAsia" w:ascii="宋体" w:hAnsi="宋体" w:cs="宋体"/>
          <w:sz w:val="24"/>
          <w:szCs w:val="24"/>
        </w:rPr>
        <w:t>发包人：(公章)　 　                     承包人：(公章)</w:t>
      </w:r>
    </w:p>
    <w:p w14:paraId="6EE4A9A8">
      <w:pPr>
        <w:spacing w:line="360" w:lineRule="auto"/>
        <w:rPr>
          <w:rFonts w:ascii="宋体" w:hAnsi="宋体" w:cs="宋体"/>
          <w:sz w:val="24"/>
          <w:szCs w:val="24"/>
        </w:rPr>
      </w:pPr>
      <w:r>
        <w:rPr>
          <w:rFonts w:hint="eastAsia" w:ascii="宋体" w:hAnsi="宋体" w:cs="宋体"/>
          <w:sz w:val="24"/>
          <w:szCs w:val="24"/>
        </w:rPr>
        <w:t>法定地址：　　　　　　　　　　　　　　　法定地址：　　　　　　　　　　</w:t>
      </w:r>
    </w:p>
    <w:p w14:paraId="29319488">
      <w:pPr>
        <w:spacing w:line="360" w:lineRule="auto"/>
        <w:rPr>
          <w:rFonts w:ascii="宋体" w:hAnsi="宋体" w:cs="宋体"/>
          <w:sz w:val="24"/>
          <w:szCs w:val="24"/>
        </w:rPr>
      </w:pPr>
      <w:r>
        <w:rPr>
          <w:rFonts w:hint="eastAsia" w:ascii="宋体" w:hAnsi="宋体" w:cs="宋体"/>
          <w:sz w:val="24"/>
          <w:szCs w:val="24"/>
        </w:rPr>
        <w:t>法定代表人或其                          法定代表人或其</w:t>
      </w:r>
    </w:p>
    <w:p w14:paraId="6E36CCBD">
      <w:pPr>
        <w:spacing w:line="360" w:lineRule="auto"/>
        <w:rPr>
          <w:rFonts w:ascii="宋体" w:hAnsi="宋体" w:cs="宋体"/>
          <w:sz w:val="24"/>
          <w:szCs w:val="24"/>
        </w:rPr>
      </w:pPr>
      <w:r>
        <w:rPr>
          <w:rFonts w:hint="eastAsia" w:ascii="宋体" w:hAnsi="宋体" w:cs="宋体"/>
          <w:sz w:val="24"/>
          <w:szCs w:val="24"/>
        </w:rPr>
        <w:t>委托代理人：　　　　　　　　　　      　委托代理人：　　　　　　　</w:t>
      </w:r>
    </w:p>
    <w:p w14:paraId="38BA8697">
      <w:pPr>
        <w:spacing w:line="360" w:lineRule="auto"/>
        <w:rPr>
          <w:rFonts w:ascii="宋体" w:hAnsi="宋体" w:cs="宋体"/>
          <w:sz w:val="24"/>
          <w:szCs w:val="24"/>
        </w:rPr>
      </w:pPr>
      <w:r>
        <w:rPr>
          <w:rFonts w:hint="eastAsia" w:ascii="宋体" w:hAnsi="宋体" w:cs="宋体"/>
          <w:sz w:val="24"/>
          <w:szCs w:val="24"/>
        </w:rPr>
        <w:t>经办人：　                              经办人：　</w:t>
      </w:r>
    </w:p>
    <w:p w14:paraId="08FD9FDC">
      <w:pPr>
        <w:spacing w:line="360" w:lineRule="auto"/>
        <w:rPr>
          <w:rFonts w:ascii="宋体" w:hAnsi="宋体" w:cs="宋体"/>
          <w:sz w:val="24"/>
          <w:szCs w:val="24"/>
        </w:rPr>
      </w:pPr>
      <w:r>
        <w:rPr>
          <w:rFonts w:hint="eastAsia" w:ascii="宋体" w:hAnsi="宋体" w:cs="宋体"/>
          <w:sz w:val="24"/>
          <w:szCs w:val="24"/>
        </w:rPr>
        <w:t>电话：　　　　　　　　　　　　　　　　　电话：　　　　　　　　　　　　</w:t>
      </w:r>
    </w:p>
    <w:p w14:paraId="176E584C">
      <w:pPr>
        <w:spacing w:line="360" w:lineRule="auto"/>
        <w:rPr>
          <w:rFonts w:ascii="宋体" w:hAnsi="宋体" w:cs="宋体"/>
          <w:sz w:val="24"/>
          <w:szCs w:val="24"/>
        </w:rPr>
      </w:pPr>
      <w:r>
        <w:rPr>
          <w:rFonts w:hint="eastAsia" w:ascii="宋体" w:hAnsi="宋体" w:cs="宋体"/>
          <w:sz w:val="24"/>
          <w:szCs w:val="24"/>
        </w:rPr>
        <w:t>传真：　　　　　　　　　　　　　　　　　传真：　　　　　　　　　　　　</w:t>
      </w:r>
    </w:p>
    <w:p w14:paraId="062D3182">
      <w:pPr>
        <w:spacing w:line="360" w:lineRule="auto"/>
        <w:rPr>
          <w:rFonts w:ascii="宋体" w:hAnsi="宋体" w:cs="宋体"/>
          <w:sz w:val="24"/>
          <w:szCs w:val="24"/>
        </w:rPr>
      </w:pPr>
      <w:r>
        <w:rPr>
          <w:rFonts w:hint="eastAsia" w:ascii="宋体" w:hAnsi="宋体" w:cs="宋体"/>
          <w:sz w:val="24"/>
          <w:szCs w:val="24"/>
        </w:rPr>
        <w:t>电子邮箱：　　　　　　　　　　　　　　　电子邮箱：　　　　　　　　　　</w:t>
      </w:r>
    </w:p>
    <w:p w14:paraId="45F76A39">
      <w:pPr>
        <w:spacing w:line="360" w:lineRule="auto"/>
        <w:rPr>
          <w:rFonts w:ascii="宋体" w:hAnsi="宋体" w:cs="宋体"/>
          <w:sz w:val="24"/>
          <w:szCs w:val="24"/>
        </w:rPr>
      </w:pPr>
      <w:r>
        <w:rPr>
          <w:rFonts w:hint="eastAsia" w:ascii="宋体" w:hAnsi="宋体" w:cs="宋体"/>
          <w:sz w:val="24"/>
          <w:szCs w:val="24"/>
        </w:rPr>
        <w:t>开户银行：　　　　　　　　　　　　　　　开户银行：　　　　　　　　　　</w:t>
      </w:r>
    </w:p>
    <w:p w14:paraId="3AA29AF8">
      <w:pPr>
        <w:spacing w:line="360" w:lineRule="auto"/>
        <w:rPr>
          <w:rFonts w:ascii="宋体" w:hAnsi="宋体" w:cs="宋体"/>
          <w:sz w:val="24"/>
          <w:szCs w:val="24"/>
        </w:rPr>
      </w:pPr>
      <w:r>
        <w:rPr>
          <w:rFonts w:hint="eastAsia" w:ascii="宋体" w:hAnsi="宋体" w:cs="宋体"/>
          <w:sz w:val="24"/>
          <w:szCs w:val="24"/>
        </w:rPr>
        <w:t>帐号：　　　　　　　　　　　　　　　　　帐号：　　　　　　　　　　　　</w:t>
      </w:r>
    </w:p>
    <w:p w14:paraId="2D029776">
      <w:pPr>
        <w:spacing w:line="360" w:lineRule="auto"/>
        <w:rPr>
          <w:rFonts w:ascii="宋体" w:hAnsi="宋体" w:cs="宋体"/>
          <w:sz w:val="24"/>
          <w:szCs w:val="24"/>
        </w:rPr>
      </w:pPr>
      <w:r>
        <w:rPr>
          <w:rFonts w:hint="eastAsia" w:ascii="宋体" w:hAnsi="宋体" w:cs="宋体"/>
          <w:sz w:val="24"/>
          <w:szCs w:val="24"/>
        </w:rPr>
        <w:t>邮政编码：　　　　　　　　　　　　　　　邮政编码：</w:t>
      </w:r>
      <w:bookmarkEnd w:id="191"/>
    </w:p>
    <w:p w14:paraId="4FE876AD">
      <w:pPr>
        <w:pStyle w:val="18"/>
        <w:rPr>
          <w:rFonts w:cs="宋体"/>
        </w:rPr>
      </w:pPr>
    </w:p>
    <w:p w14:paraId="48104ECB">
      <w:pPr>
        <w:pStyle w:val="18"/>
        <w:rPr>
          <w:rFonts w:cs="宋体"/>
        </w:rPr>
      </w:pPr>
    </w:p>
    <w:p w14:paraId="3AE860D9">
      <w:pPr>
        <w:pStyle w:val="18"/>
        <w:rPr>
          <w:rFonts w:cs="宋体"/>
        </w:rPr>
      </w:pPr>
    </w:p>
    <w:p w14:paraId="30B787A9">
      <w:pPr>
        <w:pStyle w:val="18"/>
        <w:rPr>
          <w:rFonts w:cs="宋体"/>
        </w:rPr>
      </w:pPr>
    </w:p>
    <w:p w14:paraId="1A7B6C8C">
      <w:pPr>
        <w:pStyle w:val="25"/>
        <w:ind w:firstLine="0"/>
        <w:rPr>
          <w:rFonts w:ascii="宋体" w:hAnsi="宋体" w:cs="宋体"/>
          <w:b/>
          <w:sz w:val="36"/>
          <w:szCs w:val="30"/>
        </w:rPr>
      </w:pPr>
    </w:p>
    <w:p w14:paraId="6FB64FB8">
      <w:pPr>
        <w:pStyle w:val="5"/>
        <w:spacing w:before="0" w:after="0" w:line="360" w:lineRule="auto"/>
        <w:rPr>
          <w:rFonts w:ascii="宋体" w:hAnsi="宋体" w:eastAsia="宋体" w:cs="宋体"/>
          <w:b w:val="0"/>
          <w:sz w:val="36"/>
          <w:szCs w:val="30"/>
        </w:rPr>
        <w:sectPr>
          <w:pgSz w:w="11907" w:h="16840"/>
          <w:pgMar w:top="1134" w:right="1191" w:bottom="1134" w:left="1304" w:header="851" w:footer="992" w:gutter="0"/>
          <w:cols w:space="720" w:num="1"/>
          <w:docGrid w:linePitch="380" w:charSpace="-5735"/>
        </w:sectPr>
      </w:pPr>
      <w:bookmarkStart w:id="192" w:name="_Toc25336"/>
      <w:bookmarkStart w:id="193" w:name="_Toc32476"/>
      <w:bookmarkStart w:id="194" w:name="_Toc83288563"/>
    </w:p>
    <w:p w14:paraId="2D3167B5">
      <w:pPr>
        <w:pStyle w:val="5"/>
        <w:spacing w:before="0" w:after="0" w:line="360" w:lineRule="auto"/>
        <w:jc w:val="center"/>
        <w:rPr>
          <w:rFonts w:ascii="宋体" w:hAnsi="宋体" w:eastAsia="宋体" w:cs="宋体"/>
          <w:b w:val="0"/>
          <w:sz w:val="36"/>
          <w:szCs w:val="30"/>
        </w:rPr>
      </w:pPr>
      <w:bookmarkStart w:id="195" w:name="_Toc5554"/>
      <w:r>
        <w:rPr>
          <w:rFonts w:hint="eastAsia" w:ascii="宋体" w:hAnsi="宋体" w:eastAsia="宋体" w:cs="宋体"/>
          <w:b w:val="0"/>
          <w:sz w:val="36"/>
          <w:szCs w:val="30"/>
        </w:rPr>
        <w:t xml:space="preserve">第七篇  </w:t>
      </w:r>
      <w:bookmarkEnd w:id="180"/>
      <w:r>
        <w:rPr>
          <w:rFonts w:hint="eastAsia" w:ascii="宋体" w:hAnsi="宋体" w:eastAsia="宋体" w:cs="宋体"/>
          <w:b w:val="0"/>
          <w:sz w:val="36"/>
          <w:szCs w:val="30"/>
        </w:rPr>
        <w:t>响应文件编制要求</w:t>
      </w:r>
      <w:bookmarkEnd w:id="192"/>
      <w:bookmarkEnd w:id="193"/>
      <w:bookmarkEnd w:id="194"/>
      <w:bookmarkEnd w:id="195"/>
    </w:p>
    <w:p w14:paraId="3948F976">
      <w:pPr>
        <w:spacing w:line="440" w:lineRule="exact"/>
        <w:ind w:firstLine="480" w:firstLineChars="200"/>
        <w:rPr>
          <w:rFonts w:ascii="宋体" w:hAnsi="宋体" w:cs="宋体"/>
          <w:sz w:val="24"/>
          <w:szCs w:val="24"/>
        </w:rPr>
      </w:pPr>
      <w:r>
        <w:rPr>
          <w:rFonts w:hint="eastAsia" w:ascii="宋体" w:hAnsi="宋体" w:cs="宋体"/>
          <w:sz w:val="24"/>
          <w:szCs w:val="24"/>
        </w:rPr>
        <w:t>一、经济部分</w:t>
      </w:r>
    </w:p>
    <w:p w14:paraId="23A3DCD2">
      <w:pPr>
        <w:spacing w:line="440" w:lineRule="exact"/>
        <w:ind w:firstLine="480" w:firstLineChars="200"/>
        <w:rPr>
          <w:rFonts w:ascii="宋体" w:hAnsi="宋体" w:cs="宋体"/>
          <w:sz w:val="24"/>
          <w:szCs w:val="24"/>
        </w:rPr>
      </w:pPr>
      <w:r>
        <w:rPr>
          <w:rFonts w:hint="eastAsia" w:ascii="宋体" w:hAnsi="宋体" w:cs="宋体"/>
          <w:sz w:val="24"/>
          <w:szCs w:val="24"/>
        </w:rPr>
        <w:t>（一）竞争性比选报价函</w:t>
      </w:r>
    </w:p>
    <w:p w14:paraId="1B89AF4E">
      <w:pPr>
        <w:spacing w:line="440" w:lineRule="exact"/>
        <w:ind w:firstLine="480" w:firstLineChars="200"/>
        <w:rPr>
          <w:rFonts w:ascii="宋体" w:hAnsi="宋体" w:cs="宋体"/>
        </w:rPr>
      </w:pPr>
      <w:r>
        <w:rPr>
          <w:rFonts w:hint="eastAsia" w:ascii="宋体" w:hAnsi="宋体" w:cs="宋体"/>
          <w:sz w:val="24"/>
          <w:szCs w:val="24"/>
        </w:rPr>
        <w:t>（二）已标价工程量清单</w:t>
      </w:r>
    </w:p>
    <w:p w14:paraId="2477CAF9">
      <w:pPr>
        <w:spacing w:line="440" w:lineRule="exact"/>
        <w:ind w:firstLine="480" w:firstLineChars="200"/>
        <w:rPr>
          <w:rFonts w:ascii="宋体" w:hAnsi="宋体" w:cs="宋体"/>
          <w:sz w:val="24"/>
          <w:szCs w:val="24"/>
        </w:rPr>
      </w:pPr>
      <w:r>
        <w:rPr>
          <w:rFonts w:hint="eastAsia" w:ascii="宋体" w:hAnsi="宋体" w:cs="宋体"/>
          <w:sz w:val="24"/>
          <w:szCs w:val="24"/>
        </w:rPr>
        <w:t>二、技术部分</w:t>
      </w:r>
    </w:p>
    <w:p w14:paraId="64D71D9F">
      <w:pPr>
        <w:spacing w:line="440" w:lineRule="exact"/>
        <w:ind w:firstLine="480" w:firstLineChars="200"/>
        <w:rPr>
          <w:rFonts w:ascii="宋体" w:hAnsi="宋体" w:cs="宋体"/>
          <w:sz w:val="24"/>
          <w:szCs w:val="24"/>
        </w:rPr>
      </w:pPr>
      <w:r>
        <w:rPr>
          <w:rFonts w:hint="eastAsia" w:ascii="宋体" w:hAnsi="宋体" w:cs="宋体"/>
          <w:sz w:val="24"/>
          <w:szCs w:val="24"/>
        </w:rPr>
        <w:t>（一）技术应答</w:t>
      </w:r>
    </w:p>
    <w:p w14:paraId="36F9F6EA">
      <w:pPr>
        <w:spacing w:line="440" w:lineRule="exact"/>
        <w:ind w:firstLine="480" w:firstLineChars="200"/>
        <w:rPr>
          <w:rFonts w:ascii="宋体" w:hAnsi="宋体" w:cs="宋体"/>
          <w:sz w:val="24"/>
          <w:szCs w:val="24"/>
        </w:rPr>
      </w:pPr>
      <w:r>
        <w:rPr>
          <w:rFonts w:hint="eastAsia" w:ascii="宋体" w:hAnsi="宋体" w:cs="宋体"/>
          <w:sz w:val="24"/>
          <w:szCs w:val="24"/>
        </w:rPr>
        <w:t>（二）技术响应偏离表</w:t>
      </w:r>
    </w:p>
    <w:p w14:paraId="7AB0E46B">
      <w:pPr>
        <w:spacing w:line="440" w:lineRule="exact"/>
        <w:ind w:firstLine="480" w:firstLineChars="200"/>
        <w:rPr>
          <w:rFonts w:ascii="宋体" w:hAnsi="宋体" w:cs="宋体"/>
          <w:sz w:val="24"/>
          <w:szCs w:val="24"/>
        </w:rPr>
      </w:pPr>
      <w:r>
        <w:rPr>
          <w:rFonts w:hint="eastAsia" w:ascii="宋体" w:hAnsi="宋体" w:cs="宋体"/>
          <w:sz w:val="24"/>
          <w:szCs w:val="24"/>
        </w:rPr>
        <w:t>三、商务部分</w:t>
      </w:r>
    </w:p>
    <w:p w14:paraId="56396EC7">
      <w:pPr>
        <w:spacing w:line="440" w:lineRule="exact"/>
        <w:ind w:firstLine="480" w:firstLineChars="200"/>
        <w:rPr>
          <w:rFonts w:ascii="宋体" w:hAnsi="宋体" w:cs="宋体"/>
          <w:sz w:val="24"/>
        </w:rPr>
      </w:pPr>
      <w:r>
        <w:rPr>
          <w:rFonts w:hint="eastAsia" w:ascii="宋体" w:hAnsi="宋体" w:cs="宋体"/>
          <w:sz w:val="24"/>
        </w:rPr>
        <w:t>（一）服务要求响应情况</w:t>
      </w:r>
    </w:p>
    <w:p w14:paraId="7BC6665E">
      <w:pPr>
        <w:spacing w:line="440" w:lineRule="exact"/>
        <w:ind w:firstLine="480" w:firstLineChars="200"/>
        <w:rPr>
          <w:rFonts w:ascii="宋体" w:hAnsi="宋体" w:cs="宋体"/>
          <w:sz w:val="24"/>
        </w:rPr>
      </w:pPr>
      <w:r>
        <w:rPr>
          <w:rFonts w:hint="eastAsia" w:ascii="宋体" w:hAnsi="宋体" w:cs="宋体"/>
          <w:sz w:val="24"/>
        </w:rPr>
        <w:t>（二）商务响应偏离表</w:t>
      </w:r>
    </w:p>
    <w:p w14:paraId="521E8935">
      <w:pPr>
        <w:spacing w:line="440" w:lineRule="exact"/>
        <w:ind w:firstLine="480" w:firstLineChars="200"/>
        <w:rPr>
          <w:rFonts w:ascii="宋体" w:hAnsi="宋体" w:cs="宋体"/>
          <w:sz w:val="24"/>
          <w:szCs w:val="24"/>
        </w:rPr>
      </w:pPr>
      <w:r>
        <w:rPr>
          <w:rFonts w:hint="eastAsia" w:ascii="宋体" w:hAnsi="宋体" w:cs="宋体"/>
          <w:sz w:val="24"/>
          <w:szCs w:val="24"/>
        </w:rPr>
        <w:t>四、资格条件及其他</w:t>
      </w:r>
    </w:p>
    <w:p w14:paraId="707F121C">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2C03CEA2">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061898C0">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66862ABC">
      <w:pPr>
        <w:spacing w:line="44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14:paraId="4B2EE48A">
      <w:pPr>
        <w:pStyle w:val="9"/>
        <w:ind w:firstLine="480" w:firstLineChars="200"/>
        <w:rPr>
          <w:rFonts w:ascii="宋体" w:hAnsi="宋体" w:eastAsia="宋体" w:cs="宋体"/>
        </w:rPr>
      </w:pPr>
      <w:r>
        <w:rPr>
          <w:rFonts w:hint="eastAsia" w:ascii="宋体" w:hAnsi="宋体" w:eastAsia="宋体" w:cs="宋体"/>
          <w:sz w:val="24"/>
          <w:szCs w:val="24"/>
        </w:rPr>
        <w:t>（五）特定资格条件</w:t>
      </w:r>
    </w:p>
    <w:p w14:paraId="3937B2A4">
      <w:pPr>
        <w:numPr>
          <w:ilvl w:val="0"/>
          <w:numId w:val="3"/>
        </w:numPr>
        <w:spacing w:line="440" w:lineRule="exact"/>
        <w:ind w:firstLine="480" w:firstLineChars="200"/>
        <w:rPr>
          <w:rFonts w:ascii="宋体" w:hAnsi="宋体" w:cs="宋体"/>
          <w:sz w:val="24"/>
          <w:szCs w:val="24"/>
        </w:rPr>
      </w:pPr>
      <w:r>
        <w:rPr>
          <w:rFonts w:hint="eastAsia" w:ascii="宋体" w:hAnsi="宋体" w:cs="宋体"/>
          <w:sz w:val="24"/>
          <w:szCs w:val="24"/>
        </w:rPr>
        <w:t>其他应提供的资料</w:t>
      </w:r>
    </w:p>
    <w:p w14:paraId="66AE6609">
      <w:pPr>
        <w:spacing w:line="440" w:lineRule="exact"/>
        <w:ind w:firstLine="480" w:firstLineChars="200"/>
        <w:rPr>
          <w:rFonts w:ascii="宋体" w:hAnsi="宋体" w:cs="宋体"/>
          <w:sz w:val="24"/>
          <w:szCs w:val="24"/>
        </w:rPr>
      </w:pPr>
      <w:r>
        <w:rPr>
          <w:rFonts w:hint="eastAsia" w:ascii="宋体" w:hAnsi="宋体" w:cs="宋体"/>
          <w:sz w:val="24"/>
          <w:szCs w:val="24"/>
        </w:rPr>
        <w:t>（一）保证金缴纳情况证明文件</w:t>
      </w:r>
    </w:p>
    <w:p w14:paraId="6B58F35C">
      <w:pPr>
        <w:spacing w:line="440" w:lineRule="exact"/>
        <w:ind w:firstLine="480" w:firstLineChars="200"/>
        <w:rPr>
          <w:rFonts w:ascii="宋体" w:hAnsi="宋体" w:cs="宋体"/>
          <w:sz w:val="24"/>
          <w:szCs w:val="24"/>
          <w:bdr w:val="single" w:color="auto" w:sz="4" w:space="0"/>
        </w:rPr>
        <w:sectPr>
          <w:pgSz w:w="11907" w:h="16840"/>
          <w:pgMar w:top="1134" w:right="1191" w:bottom="1134" w:left="1304" w:header="851" w:footer="992" w:gutter="0"/>
          <w:cols w:space="720" w:num="1"/>
          <w:docGrid w:linePitch="380" w:charSpace="-5735"/>
        </w:sectPr>
      </w:pPr>
      <w:r>
        <w:rPr>
          <w:rFonts w:hint="eastAsia" w:ascii="宋体" w:hAnsi="宋体" w:cs="宋体"/>
          <w:sz w:val="24"/>
          <w:szCs w:val="24"/>
        </w:rPr>
        <w:t>（二）其他与项目有关的资料。</w:t>
      </w:r>
    </w:p>
    <w:p w14:paraId="080A4089">
      <w:pPr>
        <w:pStyle w:val="6"/>
        <w:spacing w:before="0" w:after="0" w:line="360" w:lineRule="auto"/>
        <w:rPr>
          <w:rFonts w:ascii="宋体" w:hAnsi="宋体" w:cs="宋体"/>
          <w:sz w:val="24"/>
          <w:szCs w:val="24"/>
        </w:rPr>
      </w:pPr>
      <w:bookmarkStart w:id="196" w:name="_Toc7665"/>
      <w:bookmarkStart w:id="197" w:name="_Toc342913419"/>
      <w:bookmarkStart w:id="198" w:name="_Toc83288564"/>
      <w:bookmarkStart w:id="199" w:name="_Toc29567"/>
      <w:bookmarkStart w:id="200" w:name="_Toc23329"/>
      <w:bookmarkStart w:id="201" w:name="_Toc313008356"/>
      <w:bookmarkStart w:id="202" w:name="_Toc313888360"/>
      <w:bookmarkStart w:id="203" w:name="_Toc12789073"/>
      <w:bookmarkStart w:id="204" w:name="_Toc283382454"/>
      <w:r>
        <w:rPr>
          <w:rFonts w:hint="eastAsia" w:ascii="宋体" w:hAnsi="宋体" w:cs="宋体"/>
          <w:sz w:val="24"/>
          <w:szCs w:val="24"/>
        </w:rPr>
        <w:t>一、经济部分</w:t>
      </w:r>
      <w:bookmarkEnd w:id="196"/>
      <w:bookmarkEnd w:id="197"/>
      <w:bookmarkEnd w:id="198"/>
      <w:bookmarkEnd w:id="199"/>
      <w:bookmarkEnd w:id="200"/>
      <w:bookmarkEnd w:id="201"/>
      <w:bookmarkEnd w:id="202"/>
    </w:p>
    <w:bookmarkEnd w:id="203"/>
    <w:bookmarkEnd w:id="204"/>
    <w:p w14:paraId="68B29AE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（一）竞争性比选报价函</w:t>
      </w:r>
    </w:p>
    <w:p w14:paraId="3035F9B8">
      <w:pPr>
        <w:tabs>
          <w:tab w:val="left" w:pos="6300"/>
        </w:tabs>
        <w:snapToGrid w:val="0"/>
        <w:spacing w:line="480" w:lineRule="exact"/>
        <w:jc w:val="center"/>
        <w:outlineLvl w:val="0"/>
        <w:rPr>
          <w:rFonts w:ascii="宋体" w:hAnsi="宋体" w:cs="宋体"/>
          <w:b/>
          <w:szCs w:val="28"/>
        </w:rPr>
      </w:pPr>
      <w:r>
        <w:rPr>
          <w:rFonts w:hint="eastAsia" w:ascii="宋体" w:hAnsi="宋体" w:cs="宋体"/>
          <w:b/>
          <w:szCs w:val="28"/>
        </w:rPr>
        <w:t>竞争性比选报价函</w:t>
      </w:r>
    </w:p>
    <w:p w14:paraId="0B8784E2">
      <w:pPr>
        <w:tabs>
          <w:tab w:val="left" w:pos="6300"/>
        </w:tabs>
        <w:snapToGrid w:val="0"/>
        <w:spacing w:line="480" w:lineRule="exact"/>
        <w:rPr>
          <w:rFonts w:ascii="宋体" w:hAnsi="宋体" w:cs="宋体"/>
          <w:sz w:val="24"/>
          <w:szCs w:val="24"/>
        </w:rPr>
      </w:pPr>
      <w:r>
        <w:rPr>
          <w:rFonts w:hint="eastAsia" w:ascii="宋体" w:hAnsi="宋体" w:cs="宋体"/>
          <w:sz w:val="24"/>
          <w:szCs w:val="24"/>
          <w:u w:val="single"/>
        </w:rPr>
        <w:t>（比选代理机构名称）</w:t>
      </w:r>
      <w:r>
        <w:rPr>
          <w:rFonts w:hint="eastAsia" w:ascii="宋体" w:hAnsi="宋体" w:cs="宋体"/>
          <w:sz w:val="24"/>
          <w:szCs w:val="24"/>
        </w:rPr>
        <w:t>：</w:t>
      </w:r>
    </w:p>
    <w:p w14:paraId="79067B32">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我方收到____________________________（项目名称）及_____________（项目号）的竞争性比选文件，经详细研究，决定参加该项目的比选。</w:t>
      </w:r>
    </w:p>
    <w:p w14:paraId="2BA12C3D">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1、愿意按照竞争性比选文件中的一切要求，提供本项目的服务服务，报价为人民币大写：元；人民币小写：元。</w:t>
      </w:r>
    </w:p>
    <w:p w14:paraId="2972719A">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2、我方现提交的响应文件为：响应文件正本份，副本份，电子文档份。</w:t>
      </w:r>
    </w:p>
    <w:p w14:paraId="07F13AA5">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3、我方承诺：本次比选的有效期为90天。</w:t>
      </w:r>
    </w:p>
    <w:p w14:paraId="30761858">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4、我方完全理解和接受贵方竞争性比选文件的一切规定和要求及评审办法。</w:t>
      </w:r>
    </w:p>
    <w:p w14:paraId="6A5EBC32">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5、在整个竞争性比选过程中，我方若有违规行为，接受按照《中华人民共和国政府采购法》及其实施条例等规定给予惩罚。</w:t>
      </w:r>
    </w:p>
    <w:p w14:paraId="59D4C8AF">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6、我方若成为中选人，将按照最终比选结果签订合同，并且严格履行合同义务。本承诺函将成为合同不可分割的一部分，与合同具有同等的法律效力。</w:t>
      </w:r>
    </w:p>
    <w:p w14:paraId="4B4D64D4">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5C24C65F">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8、如果我方成为中选人，保证在接到中选通知书后，向比选代理机构交纳竞争性比选文件规定的采购代理服务费。</w:t>
      </w:r>
    </w:p>
    <w:p w14:paraId="619075AE">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sz w:val="24"/>
          <w:szCs w:val="28"/>
        </w:rPr>
        <w:t>我方未</w:t>
      </w:r>
      <w:r>
        <w:rPr>
          <w:rFonts w:hint="eastAsia" w:ascii="宋体" w:hAnsi="宋体" w:cs="宋体"/>
          <w:sz w:val="24"/>
          <w:szCs w:val="24"/>
        </w:rPr>
        <w:t>为采购项目提供规范编制或者项目管理、监理、检测等服务。</w:t>
      </w:r>
    </w:p>
    <w:p w14:paraId="62F6E7A1">
      <w:pPr>
        <w:tabs>
          <w:tab w:val="left" w:pos="6300"/>
        </w:tabs>
        <w:snapToGrid w:val="0"/>
        <w:spacing w:line="312" w:lineRule="auto"/>
        <w:ind w:firstLine="570"/>
        <w:rPr>
          <w:rFonts w:ascii="宋体" w:hAnsi="宋体" w:cs="宋体"/>
          <w:sz w:val="24"/>
          <w:szCs w:val="24"/>
        </w:rPr>
      </w:pPr>
    </w:p>
    <w:p w14:paraId="7EECAE61">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2"/>
        </w:rPr>
        <w:t>比选申请人</w:t>
      </w:r>
      <w:r>
        <w:rPr>
          <w:rFonts w:hint="eastAsia" w:ascii="宋体" w:hAnsi="宋体" w:cs="宋体"/>
          <w:sz w:val="24"/>
          <w:szCs w:val="24"/>
        </w:rPr>
        <w:t>（公章）：</w:t>
      </w:r>
    </w:p>
    <w:p w14:paraId="4A2B6DF7">
      <w:pPr>
        <w:tabs>
          <w:tab w:val="left" w:pos="6300"/>
        </w:tabs>
        <w:snapToGrid w:val="0"/>
        <w:spacing w:line="312" w:lineRule="auto"/>
        <w:ind w:firstLine="570"/>
        <w:rPr>
          <w:rFonts w:ascii="宋体" w:hAnsi="宋体" w:cs="宋体"/>
          <w:sz w:val="24"/>
          <w:szCs w:val="24"/>
        </w:rPr>
      </w:pPr>
    </w:p>
    <w:p w14:paraId="07C3FAB1">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14:paraId="146C6A23">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14:paraId="2A23EB80">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14:paraId="578A8E40">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14:paraId="482612E6">
      <w:pPr>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                                                  年   月   日</w:t>
      </w:r>
    </w:p>
    <w:p w14:paraId="4881EF45">
      <w:pPr>
        <w:pStyle w:val="7"/>
        <w:ind w:firstLine="0"/>
        <w:rPr>
          <w:rFonts w:ascii="宋体" w:hAnsi="宋体" w:cs="宋体"/>
          <w:szCs w:val="24"/>
        </w:rPr>
      </w:pPr>
    </w:p>
    <w:p w14:paraId="157DB1F0">
      <w:pPr>
        <w:pStyle w:val="7"/>
        <w:ind w:firstLine="0"/>
        <w:rPr>
          <w:rFonts w:ascii="宋体" w:hAnsi="宋体" w:cs="宋体"/>
          <w:szCs w:val="24"/>
        </w:rPr>
      </w:pPr>
    </w:p>
    <w:p w14:paraId="3B0194F6">
      <w:pPr>
        <w:pStyle w:val="7"/>
        <w:ind w:firstLine="0"/>
        <w:rPr>
          <w:rFonts w:ascii="宋体" w:hAnsi="宋体" w:cs="宋体"/>
          <w:szCs w:val="24"/>
        </w:rPr>
      </w:pPr>
    </w:p>
    <w:p w14:paraId="7D238F41">
      <w:pPr>
        <w:rPr>
          <w:rFonts w:ascii="宋体" w:hAnsi="宋体" w:cs="宋体"/>
          <w:sz w:val="24"/>
          <w:szCs w:val="24"/>
        </w:rPr>
      </w:pPr>
      <w:r>
        <w:rPr>
          <w:rFonts w:hint="eastAsia" w:ascii="宋体" w:hAnsi="宋体" w:cs="宋体"/>
          <w:sz w:val="24"/>
          <w:szCs w:val="24"/>
        </w:rPr>
        <w:br w:type="page"/>
      </w:r>
    </w:p>
    <w:p w14:paraId="497C87BA">
      <w:pPr>
        <w:tabs>
          <w:tab w:val="left" w:pos="2895"/>
        </w:tabs>
        <w:spacing w:line="380" w:lineRule="exact"/>
        <w:ind w:firstLine="480" w:firstLineChars="200"/>
        <w:rPr>
          <w:rFonts w:ascii="宋体" w:hAnsi="宋体" w:cs="宋体"/>
        </w:rPr>
      </w:pPr>
      <w:r>
        <w:rPr>
          <w:rFonts w:hint="eastAsia" w:ascii="宋体" w:hAnsi="宋体" w:cs="宋体"/>
          <w:sz w:val="24"/>
          <w:szCs w:val="24"/>
        </w:rPr>
        <w:t>（二）</w:t>
      </w:r>
      <w:bookmarkStart w:id="205" w:name="_Toc342913420"/>
      <w:bookmarkStart w:id="206" w:name="_Toc4052"/>
      <w:bookmarkStart w:id="207" w:name="_Toc83288565"/>
      <w:bookmarkStart w:id="208" w:name="_Toc12967"/>
      <w:bookmarkStart w:id="209" w:name="_Toc313888361"/>
      <w:bookmarkStart w:id="210" w:name="_Toc11178"/>
      <w:bookmarkStart w:id="211" w:name="_Toc313008357"/>
      <w:r>
        <w:rPr>
          <w:rFonts w:hint="eastAsia" w:ascii="宋体" w:hAnsi="宋体" w:cs="宋体"/>
          <w:sz w:val="24"/>
          <w:szCs w:val="24"/>
        </w:rPr>
        <w:t>已标价工程量清单</w:t>
      </w:r>
    </w:p>
    <w:p w14:paraId="07FFFDEC">
      <w:pPr>
        <w:snapToGrid w:val="0"/>
        <w:spacing w:line="360" w:lineRule="auto"/>
        <w:ind w:firstLine="480" w:firstLineChars="200"/>
        <w:rPr>
          <w:rFonts w:ascii="宋体" w:hAnsi="宋体" w:cs="宋体"/>
        </w:rPr>
      </w:pPr>
      <w:r>
        <w:rPr>
          <w:rFonts w:hint="eastAsia" w:ascii="宋体" w:hAnsi="宋体" w:cs="宋体"/>
          <w:sz w:val="24"/>
          <w:szCs w:val="24"/>
        </w:rPr>
        <w:t xml:space="preserve">  （格式自拟）</w:t>
      </w:r>
    </w:p>
    <w:p w14:paraId="10537A3F">
      <w:pPr>
        <w:snapToGrid w:val="0"/>
        <w:spacing w:line="360" w:lineRule="auto"/>
        <w:ind w:firstLine="560" w:firstLineChars="200"/>
        <w:rPr>
          <w:rFonts w:ascii="宋体" w:hAnsi="宋体" w:cs="宋体"/>
        </w:rPr>
      </w:pPr>
    </w:p>
    <w:p w14:paraId="5FC0399C">
      <w:pPr>
        <w:snapToGrid w:val="0"/>
        <w:spacing w:line="380" w:lineRule="exact"/>
        <w:rPr>
          <w:rFonts w:ascii="宋体" w:hAnsi="宋体" w:cs="宋体"/>
        </w:rPr>
      </w:pPr>
    </w:p>
    <w:p w14:paraId="40556148">
      <w:pPr>
        <w:pStyle w:val="16"/>
        <w:spacing w:line="380" w:lineRule="exact"/>
        <w:rPr>
          <w:rFonts w:ascii="宋体" w:hAnsi="宋体" w:eastAsia="宋体" w:cs="宋体"/>
        </w:rPr>
      </w:pPr>
    </w:p>
    <w:p w14:paraId="53FA8DE1">
      <w:pPr>
        <w:spacing w:line="380" w:lineRule="exact"/>
        <w:rPr>
          <w:rFonts w:ascii="宋体" w:hAnsi="宋体" w:cs="宋体"/>
        </w:rPr>
      </w:pPr>
    </w:p>
    <w:p w14:paraId="20ED3244">
      <w:pPr>
        <w:spacing w:line="380" w:lineRule="exact"/>
        <w:rPr>
          <w:rFonts w:ascii="宋体" w:hAnsi="宋体" w:cs="宋体"/>
        </w:rPr>
      </w:pPr>
    </w:p>
    <w:p w14:paraId="2A6E11FA">
      <w:pPr>
        <w:spacing w:line="380" w:lineRule="exact"/>
        <w:rPr>
          <w:rFonts w:ascii="宋体" w:hAnsi="宋体" w:cs="宋体"/>
        </w:rPr>
      </w:pPr>
    </w:p>
    <w:p w14:paraId="0F69E180">
      <w:pPr>
        <w:spacing w:line="380" w:lineRule="exact"/>
        <w:ind w:firstLine="280" w:firstLineChars="100"/>
        <w:jc w:val="right"/>
        <w:rPr>
          <w:rFonts w:ascii="宋体" w:hAnsi="宋体" w:cs="宋体"/>
        </w:rPr>
      </w:pPr>
    </w:p>
    <w:p w14:paraId="2D03F89E">
      <w:pPr>
        <w:spacing w:line="380" w:lineRule="exact"/>
        <w:ind w:firstLine="280" w:firstLineChars="100"/>
        <w:jc w:val="right"/>
        <w:rPr>
          <w:rFonts w:ascii="宋体" w:hAnsi="宋体" w:cs="宋体"/>
        </w:rPr>
      </w:pPr>
    </w:p>
    <w:p w14:paraId="167F0707">
      <w:pPr>
        <w:spacing w:line="380" w:lineRule="exact"/>
        <w:ind w:firstLine="280" w:firstLineChars="100"/>
        <w:jc w:val="right"/>
        <w:rPr>
          <w:rFonts w:ascii="宋体" w:hAnsi="宋体" w:cs="宋体"/>
        </w:rPr>
      </w:pPr>
    </w:p>
    <w:p w14:paraId="59D44B14">
      <w:pPr>
        <w:spacing w:line="380" w:lineRule="exact"/>
        <w:ind w:firstLine="280" w:firstLineChars="100"/>
        <w:jc w:val="right"/>
        <w:rPr>
          <w:rFonts w:ascii="宋体" w:hAnsi="宋体" w:cs="宋体"/>
        </w:rPr>
      </w:pPr>
    </w:p>
    <w:p w14:paraId="614C997D">
      <w:pPr>
        <w:spacing w:line="380" w:lineRule="exact"/>
        <w:ind w:firstLine="280" w:firstLineChars="100"/>
        <w:jc w:val="right"/>
        <w:rPr>
          <w:rFonts w:ascii="宋体" w:hAnsi="宋体" w:cs="宋体"/>
        </w:rPr>
      </w:pPr>
    </w:p>
    <w:p w14:paraId="793CF0F6">
      <w:pPr>
        <w:spacing w:line="380" w:lineRule="exact"/>
        <w:ind w:firstLine="280" w:firstLineChars="100"/>
        <w:jc w:val="right"/>
        <w:rPr>
          <w:rFonts w:ascii="宋体" w:hAnsi="宋体" w:cs="宋体"/>
        </w:rPr>
      </w:pPr>
    </w:p>
    <w:p w14:paraId="18C83867">
      <w:pPr>
        <w:spacing w:line="380" w:lineRule="exact"/>
        <w:ind w:firstLine="280" w:firstLineChars="100"/>
        <w:jc w:val="right"/>
        <w:rPr>
          <w:rFonts w:ascii="宋体" w:hAnsi="宋体" w:cs="宋体"/>
        </w:rPr>
      </w:pPr>
      <w:r>
        <w:rPr>
          <w:rFonts w:hint="eastAsia" w:ascii="宋体" w:hAnsi="宋体" w:cs="宋体"/>
        </w:rPr>
        <w:t>比选申请人（公章）：</w:t>
      </w:r>
    </w:p>
    <w:p w14:paraId="4EE20AF9">
      <w:pPr>
        <w:spacing w:line="380" w:lineRule="exact"/>
        <w:ind w:right="480"/>
        <w:jc w:val="right"/>
        <w:rPr>
          <w:rFonts w:ascii="宋体" w:hAnsi="宋体" w:cs="宋体"/>
        </w:rPr>
      </w:pPr>
      <w:r>
        <w:rPr>
          <w:rFonts w:hint="eastAsia" w:ascii="宋体" w:hAnsi="宋体" w:cs="宋体"/>
        </w:rPr>
        <w:t>年    月    日</w:t>
      </w:r>
    </w:p>
    <w:p w14:paraId="1334AE65">
      <w:pPr>
        <w:pStyle w:val="6"/>
        <w:spacing w:before="0" w:after="0" w:line="360" w:lineRule="auto"/>
        <w:rPr>
          <w:rFonts w:ascii="宋体" w:hAnsi="宋体" w:cs="宋体"/>
          <w:sz w:val="24"/>
          <w:szCs w:val="24"/>
        </w:rPr>
      </w:pPr>
    </w:p>
    <w:p w14:paraId="33EE7FF0">
      <w:pPr>
        <w:pStyle w:val="6"/>
        <w:spacing w:before="0" w:after="0" w:line="360" w:lineRule="auto"/>
        <w:rPr>
          <w:rFonts w:ascii="宋体" w:hAnsi="宋体" w:cs="宋体"/>
          <w:sz w:val="24"/>
          <w:szCs w:val="24"/>
        </w:rPr>
      </w:pPr>
    </w:p>
    <w:p w14:paraId="043D3FC6">
      <w:pPr>
        <w:pStyle w:val="6"/>
        <w:spacing w:before="0" w:after="0" w:line="360" w:lineRule="auto"/>
        <w:rPr>
          <w:rFonts w:ascii="宋体" w:hAnsi="宋体" w:cs="宋体"/>
          <w:sz w:val="24"/>
          <w:szCs w:val="24"/>
        </w:rPr>
      </w:pPr>
    </w:p>
    <w:p w14:paraId="022BDA66">
      <w:pPr>
        <w:pStyle w:val="6"/>
        <w:spacing w:before="0" w:after="0" w:line="360" w:lineRule="auto"/>
        <w:rPr>
          <w:rFonts w:ascii="宋体" w:hAnsi="宋体" w:cs="宋体"/>
          <w:sz w:val="24"/>
          <w:szCs w:val="24"/>
        </w:rPr>
      </w:pPr>
    </w:p>
    <w:p w14:paraId="14E87682">
      <w:pPr>
        <w:pStyle w:val="6"/>
        <w:spacing w:before="0" w:after="0" w:line="360" w:lineRule="auto"/>
        <w:rPr>
          <w:rFonts w:ascii="宋体" w:hAnsi="宋体" w:cs="宋体"/>
          <w:sz w:val="24"/>
          <w:szCs w:val="24"/>
        </w:rPr>
      </w:pPr>
    </w:p>
    <w:p w14:paraId="709F666F">
      <w:pPr>
        <w:pStyle w:val="6"/>
        <w:spacing w:before="0" w:after="0" w:line="360" w:lineRule="auto"/>
        <w:rPr>
          <w:rFonts w:ascii="宋体" w:hAnsi="宋体" w:cs="宋体"/>
          <w:sz w:val="24"/>
          <w:szCs w:val="24"/>
        </w:rPr>
      </w:pPr>
    </w:p>
    <w:p w14:paraId="245B3557">
      <w:pPr>
        <w:pStyle w:val="6"/>
        <w:spacing w:before="0" w:after="0" w:line="360" w:lineRule="auto"/>
        <w:rPr>
          <w:rFonts w:ascii="宋体" w:hAnsi="宋体" w:cs="宋体"/>
          <w:sz w:val="24"/>
          <w:szCs w:val="24"/>
        </w:rPr>
      </w:pPr>
    </w:p>
    <w:p w14:paraId="362483BA">
      <w:pPr>
        <w:pStyle w:val="6"/>
        <w:spacing w:before="0" w:after="0" w:line="360" w:lineRule="auto"/>
        <w:rPr>
          <w:rFonts w:ascii="宋体" w:hAnsi="宋体" w:cs="宋体"/>
          <w:sz w:val="24"/>
          <w:szCs w:val="24"/>
        </w:rPr>
      </w:pPr>
    </w:p>
    <w:p w14:paraId="1D32220B">
      <w:pPr>
        <w:rPr>
          <w:rFonts w:ascii="宋体" w:hAnsi="宋体" w:cs="宋体"/>
        </w:rPr>
      </w:pPr>
    </w:p>
    <w:p w14:paraId="7D53EBD3">
      <w:pPr>
        <w:pStyle w:val="6"/>
        <w:spacing w:before="0" w:after="0" w:line="360" w:lineRule="auto"/>
        <w:rPr>
          <w:rFonts w:ascii="宋体" w:hAnsi="宋体" w:cs="宋体"/>
          <w:sz w:val="24"/>
          <w:szCs w:val="24"/>
        </w:rPr>
        <w:sectPr>
          <w:headerReference r:id="rId10" w:type="default"/>
          <w:pgSz w:w="11907" w:h="16840"/>
          <w:pgMar w:top="1134" w:right="1191" w:bottom="1134" w:left="1304" w:header="851" w:footer="992" w:gutter="0"/>
          <w:cols w:space="720" w:num="1"/>
          <w:docGrid w:linePitch="380" w:charSpace="-5735"/>
        </w:sectPr>
      </w:pPr>
    </w:p>
    <w:p w14:paraId="44119416">
      <w:pPr>
        <w:pStyle w:val="6"/>
        <w:spacing w:before="0" w:after="0" w:line="360" w:lineRule="auto"/>
        <w:rPr>
          <w:rFonts w:ascii="宋体" w:hAnsi="宋体" w:cs="宋体"/>
          <w:sz w:val="24"/>
          <w:szCs w:val="24"/>
        </w:rPr>
      </w:pPr>
      <w:r>
        <w:rPr>
          <w:rFonts w:hint="eastAsia" w:ascii="宋体" w:hAnsi="宋体" w:cs="宋体"/>
          <w:sz w:val="24"/>
          <w:szCs w:val="24"/>
        </w:rPr>
        <w:t>二、技术部分</w:t>
      </w:r>
      <w:bookmarkEnd w:id="205"/>
      <w:bookmarkEnd w:id="206"/>
      <w:bookmarkEnd w:id="207"/>
      <w:bookmarkEnd w:id="208"/>
      <w:bookmarkEnd w:id="209"/>
      <w:bookmarkEnd w:id="210"/>
      <w:bookmarkEnd w:id="211"/>
    </w:p>
    <w:p w14:paraId="5B45AA3C">
      <w:pPr>
        <w:snapToGrid w:val="0"/>
        <w:spacing w:line="360" w:lineRule="auto"/>
        <w:rPr>
          <w:rFonts w:ascii="宋体" w:hAnsi="宋体" w:cs="宋体"/>
          <w:sz w:val="24"/>
          <w:szCs w:val="24"/>
        </w:rPr>
      </w:pPr>
      <w:r>
        <w:rPr>
          <w:rFonts w:hint="eastAsia" w:ascii="宋体" w:hAnsi="宋体" w:cs="宋体"/>
          <w:sz w:val="24"/>
          <w:szCs w:val="24"/>
        </w:rPr>
        <w:t>（一）技术方案（格式自定）</w:t>
      </w:r>
    </w:p>
    <w:p w14:paraId="1D354163">
      <w:pPr>
        <w:snapToGrid w:val="0"/>
        <w:spacing w:line="360" w:lineRule="auto"/>
        <w:jc w:val="left"/>
        <w:rPr>
          <w:rFonts w:ascii="宋体" w:hAnsi="宋体" w:cs="宋体"/>
          <w:sz w:val="24"/>
          <w:szCs w:val="24"/>
        </w:rPr>
      </w:pPr>
    </w:p>
    <w:p w14:paraId="120B6EAF">
      <w:pPr>
        <w:snapToGrid w:val="0"/>
        <w:spacing w:line="360" w:lineRule="auto"/>
        <w:jc w:val="left"/>
        <w:rPr>
          <w:rFonts w:ascii="宋体" w:hAnsi="宋体" w:cs="宋体"/>
          <w:sz w:val="24"/>
          <w:szCs w:val="24"/>
        </w:rPr>
      </w:pPr>
    </w:p>
    <w:p w14:paraId="58E761D2">
      <w:pPr>
        <w:snapToGrid w:val="0"/>
        <w:spacing w:line="360" w:lineRule="auto"/>
        <w:jc w:val="left"/>
        <w:rPr>
          <w:rFonts w:ascii="宋体" w:hAnsi="宋体" w:cs="宋体"/>
          <w:sz w:val="24"/>
          <w:szCs w:val="24"/>
        </w:rPr>
      </w:pPr>
    </w:p>
    <w:p w14:paraId="6E5909F9">
      <w:pPr>
        <w:snapToGrid w:val="0"/>
        <w:spacing w:line="360" w:lineRule="auto"/>
        <w:jc w:val="left"/>
        <w:rPr>
          <w:rFonts w:ascii="宋体" w:hAnsi="宋体" w:cs="宋体"/>
          <w:sz w:val="24"/>
          <w:szCs w:val="24"/>
        </w:rPr>
      </w:pPr>
    </w:p>
    <w:p w14:paraId="1F15706F">
      <w:pPr>
        <w:snapToGrid w:val="0"/>
        <w:spacing w:line="360" w:lineRule="auto"/>
        <w:jc w:val="left"/>
        <w:rPr>
          <w:rFonts w:ascii="宋体" w:hAnsi="宋体" w:cs="宋体"/>
          <w:sz w:val="24"/>
          <w:szCs w:val="24"/>
        </w:rPr>
      </w:pPr>
    </w:p>
    <w:p w14:paraId="5295DA67">
      <w:pPr>
        <w:snapToGrid w:val="0"/>
        <w:spacing w:line="360" w:lineRule="auto"/>
        <w:jc w:val="left"/>
        <w:rPr>
          <w:rFonts w:ascii="宋体" w:hAnsi="宋体" w:cs="宋体"/>
          <w:sz w:val="24"/>
          <w:szCs w:val="24"/>
        </w:rPr>
      </w:pPr>
    </w:p>
    <w:p w14:paraId="54D11E81">
      <w:pPr>
        <w:snapToGrid w:val="0"/>
        <w:spacing w:line="360" w:lineRule="auto"/>
        <w:jc w:val="left"/>
        <w:rPr>
          <w:rFonts w:ascii="宋体" w:hAnsi="宋体" w:cs="宋体"/>
          <w:sz w:val="24"/>
          <w:szCs w:val="24"/>
        </w:rPr>
      </w:pPr>
    </w:p>
    <w:p w14:paraId="4B10106C">
      <w:pPr>
        <w:snapToGrid w:val="0"/>
        <w:spacing w:line="360" w:lineRule="auto"/>
        <w:jc w:val="left"/>
        <w:rPr>
          <w:rFonts w:ascii="宋体" w:hAnsi="宋体" w:cs="宋体"/>
          <w:sz w:val="24"/>
          <w:szCs w:val="24"/>
        </w:rPr>
      </w:pPr>
    </w:p>
    <w:p w14:paraId="206E1BFB">
      <w:pPr>
        <w:snapToGrid w:val="0"/>
        <w:spacing w:line="360" w:lineRule="auto"/>
        <w:jc w:val="left"/>
        <w:rPr>
          <w:rFonts w:ascii="宋体" w:hAnsi="宋体" w:cs="宋体"/>
          <w:sz w:val="24"/>
          <w:szCs w:val="24"/>
        </w:rPr>
      </w:pPr>
    </w:p>
    <w:p w14:paraId="224C9B21">
      <w:pPr>
        <w:snapToGrid w:val="0"/>
        <w:spacing w:line="360" w:lineRule="auto"/>
        <w:jc w:val="left"/>
        <w:rPr>
          <w:rFonts w:ascii="宋体" w:hAnsi="宋体" w:cs="宋体"/>
          <w:sz w:val="24"/>
          <w:szCs w:val="24"/>
        </w:rPr>
      </w:pPr>
    </w:p>
    <w:p w14:paraId="14D6AF5C">
      <w:pPr>
        <w:snapToGrid w:val="0"/>
        <w:spacing w:line="360" w:lineRule="auto"/>
        <w:jc w:val="left"/>
        <w:rPr>
          <w:rFonts w:ascii="宋体" w:hAnsi="宋体" w:cs="宋体"/>
          <w:sz w:val="24"/>
          <w:szCs w:val="24"/>
        </w:rPr>
      </w:pPr>
    </w:p>
    <w:p w14:paraId="18F076D4">
      <w:pPr>
        <w:snapToGrid w:val="0"/>
        <w:spacing w:line="360" w:lineRule="auto"/>
        <w:jc w:val="left"/>
        <w:rPr>
          <w:rFonts w:ascii="宋体" w:hAnsi="宋体" w:cs="宋体"/>
          <w:sz w:val="24"/>
          <w:szCs w:val="24"/>
        </w:rPr>
      </w:pPr>
    </w:p>
    <w:p w14:paraId="315F2587">
      <w:pPr>
        <w:snapToGrid w:val="0"/>
        <w:spacing w:line="360" w:lineRule="auto"/>
        <w:jc w:val="left"/>
        <w:rPr>
          <w:rFonts w:ascii="宋体" w:hAnsi="宋体" w:cs="宋体"/>
          <w:sz w:val="24"/>
          <w:szCs w:val="24"/>
        </w:rPr>
      </w:pPr>
    </w:p>
    <w:p w14:paraId="63001872">
      <w:pPr>
        <w:snapToGrid w:val="0"/>
        <w:spacing w:line="360" w:lineRule="auto"/>
        <w:jc w:val="left"/>
        <w:rPr>
          <w:rFonts w:ascii="宋体" w:hAnsi="宋体" w:cs="宋体"/>
          <w:sz w:val="24"/>
          <w:szCs w:val="24"/>
        </w:rPr>
      </w:pPr>
    </w:p>
    <w:p w14:paraId="32B2B025">
      <w:pPr>
        <w:snapToGrid w:val="0"/>
        <w:spacing w:line="360" w:lineRule="auto"/>
        <w:jc w:val="left"/>
        <w:rPr>
          <w:rFonts w:ascii="宋体" w:hAnsi="宋体" w:cs="宋体"/>
          <w:sz w:val="24"/>
          <w:szCs w:val="24"/>
        </w:rPr>
      </w:pPr>
    </w:p>
    <w:p w14:paraId="5A7D854C">
      <w:pPr>
        <w:snapToGrid w:val="0"/>
        <w:spacing w:line="360" w:lineRule="auto"/>
        <w:jc w:val="left"/>
        <w:rPr>
          <w:rFonts w:ascii="宋体" w:hAnsi="宋体" w:cs="宋体"/>
          <w:sz w:val="24"/>
          <w:szCs w:val="24"/>
        </w:rPr>
      </w:pPr>
    </w:p>
    <w:p w14:paraId="70A85036">
      <w:pPr>
        <w:snapToGrid w:val="0"/>
        <w:spacing w:line="360" w:lineRule="auto"/>
        <w:jc w:val="left"/>
        <w:rPr>
          <w:rFonts w:ascii="宋体" w:hAnsi="宋体" w:cs="宋体"/>
          <w:sz w:val="24"/>
          <w:szCs w:val="24"/>
        </w:rPr>
      </w:pPr>
    </w:p>
    <w:p w14:paraId="1662A4C4">
      <w:pPr>
        <w:snapToGrid w:val="0"/>
        <w:spacing w:line="360" w:lineRule="auto"/>
        <w:jc w:val="left"/>
        <w:rPr>
          <w:rFonts w:ascii="宋体" w:hAnsi="宋体" w:cs="宋体"/>
          <w:sz w:val="24"/>
          <w:szCs w:val="24"/>
        </w:rPr>
      </w:pPr>
    </w:p>
    <w:p w14:paraId="29A4C382">
      <w:pPr>
        <w:snapToGrid w:val="0"/>
        <w:spacing w:line="360" w:lineRule="auto"/>
        <w:jc w:val="left"/>
        <w:rPr>
          <w:rFonts w:ascii="宋体" w:hAnsi="宋体" w:cs="宋体"/>
          <w:sz w:val="24"/>
          <w:szCs w:val="24"/>
        </w:rPr>
      </w:pPr>
    </w:p>
    <w:p w14:paraId="5ABF2ECF">
      <w:pPr>
        <w:snapToGrid w:val="0"/>
        <w:spacing w:line="360" w:lineRule="auto"/>
        <w:jc w:val="left"/>
        <w:rPr>
          <w:rFonts w:ascii="宋体" w:hAnsi="宋体" w:cs="宋体"/>
          <w:sz w:val="24"/>
          <w:szCs w:val="24"/>
        </w:rPr>
      </w:pPr>
    </w:p>
    <w:p w14:paraId="72E94C7B">
      <w:pPr>
        <w:pStyle w:val="10"/>
        <w:ind w:left="1960" w:right="1960"/>
        <w:rPr>
          <w:rFonts w:ascii="宋体" w:hAnsi="宋体" w:cs="宋体"/>
          <w:sz w:val="24"/>
          <w:szCs w:val="24"/>
        </w:rPr>
      </w:pPr>
    </w:p>
    <w:p w14:paraId="2406CFB0">
      <w:pPr>
        <w:pStyle w:val="10"/>
        <w:ind w:left="1960" w:right="1960"/>
        <w:rPr>
          <w:rFonts w:ascii="宋体" w:hAnsi="宋体" w:cs="宋体"/>
          <w:sz w:val="24"/>
          <w:szCs w:val="24"/>
        </w:rPr>
      </w:pPr>
    </w:p>
    <w:p w14:paraId="70278E25">
      <w:pPr>
        <w:pStyle w:val="10"/>
        <w:ind w:left="1960" w:right="1960"/>
        <w:rPr>
          <w:rFonts w:ascii="宋体" w:hAnsi="宋体" w:cs="宋体"/>
          <w:sz w:val="24"/>
          <w:szCs w:val="24"/>
        </w:rPr>
      </w:pPr>
    </w:p>
    <w:p w14:paraId="7E10A2EF">
      <w:pPr>
        <w:pStyle w:val="10"/>
        <w:ind w:left="1960" w:right="1960"/>
        <w:rPr>
          <w:rFonts w:ascii="宋体" w:hAnsi="宋体" w:cs="宋体"/>
          <w:sz w:val="24"/>
          <w:szCs w:val="24"/>
        </w:rPr>
      </w:pPr>
    </w:p>
    <w:p w14:paraId="6B2B5F1B">
      <w:pPr>
        <w:pStyle w:val="10"/>
        <w:ind w:left="1960" w:right="1960"/>
        <w:rPr>
          <w:rFonts w:ascii="宋体" w:hAnsi="宋体" w:cs="宋体"/>
          <w:sz w:val="24"/>
          <w:szCs w:val="24"/>
        </w:rPr>
      </w:pPr>
    </w:p>
    <w:p w14:paraId="017040EF">
      <w:pPr>
        <w:snapToGrid w:val="0"/>
        <w:spacing w:line="360" w:lineRule="auto"/>
        <w:jc w:val="left"/>
        <w:rPr>
          <w:rFonts w:ascii="宋体" w:hAnsi="宋体" w:cs="宋体"/>
          <w:sz w:val="24"/>
          <w:szCs w:val="24"/>
        </w:rPr>
      </w:pPr>
    </w:p>
    <w:p w14:paraId="45C41D06">
      <w:pPr>
        <w:rPr>
          <w:rFonts w:ascii="宋体" w:hAnsi="宋体" w:cs="宋体"/>
          <w:sz w:val="24"/>
          <w:szCs w:val="24"/>
        </w:rPr>
      </w:pPr>
      <w:r>
        <w:rPr>
          <w:rFonts w:hint="eastAsia" w:ascii="宋体" w:hAnsi="宋体" w:cs="宋体"/>
          <w:sz w:val="24"/>
          <w:szCs w:val="24"/>
        </w:rPr>
        <w:br w:type="page"/>
      </w:r>
    </w:p>
    <w:p w14:paraId="7DB4DEFC">
      <w:pPr>
        <w:numPr>
          <w:ilvl w:val="0"/>
          <w:numId w:val="4"/>
        </w:numPr>
        <w:snapToGrid w:val="0"/>
        <w:spacing w:line="360" w:lineRule="auto"/>
        <w:jc w:val="left"/>
        <w:rPr>
          <w:rFonts w:ascii="宋体" w:hAnsi="宋体" w:cs="宋体"/>
          <w:sz w:val="24"/>
          <w:szCs w:val="24"/>
        </w:rPr>
      </w:pPr>
      <w:r>
        <w:rPr>
          <w:rFonts w:hint="eastAsia" w:ascii="宋体" w:hAnsi="宋体" w:cs="宋体"/>
          <w:sz w:val="24"/>
          <w:szCs w:val="24"/>
        </w:rPr>
        <w:t>技术响应偏离表</w:t>
      </w:r>
    </w:p>
    <w:p w14:paraId="1670B71C">
      <w:pPr>
        <w:snapToGrid w:val="0"/>
        <w:spacing w:line="360" w:lineRule="auto"/>
        <w:jc w:val="left"/>
        <w:rPr>
          <w:rFonts w:ascii="宋体" w:hAnsi="宋体" w:cs="宋体"/>
          <w:sz w:val="24"/>
          <w:szCs w:val="24"/>
        </w:rPr>
      </w:pPr>
      <w:r>
        <w:rPr>
          <w:rFonts w:hint="eastAsia" w:ascii="宋体" w:hAnsi="宋体" w:cs="宋体"/>
          <w:sz w:val="24"/>
          <w:szCs w:val="24"/>
        </w:rPr>
        <w:t>项目名称：</w:t>
      </w:r>
    </w:p>
    <w:p w14:paraId="1BDB2C85">
      <w:pPr>
        <w:snapToGrid w:val="0"/>
        <w:spacing w:line="500" w:lineRule="exact"/>
        <w:jc w:val="center"/>
        <w:rPr>
          <w:rFonts w:ascii="宋体" w:hAnsi="宋体" w:cs="宋体"/>
          <w:sz w:val="24"/>
        </w:rPr>
      </w:pPr>
      <w:r>
        <w:rPr>
          <w:rFonts w:hint="eastAsia" w:ascii="宋体" w:hAnsi="宋体" w:cs="宋体"/>
          <w:sz w:val="24"/>
        </w:rPr>
        <w:t>技术响应偏离表（本表可自行设计格式）</w:t>
      </w:r>
    </w:p>
    <w:p w14:paraId="539C19EB">
      <w:pPr>
        <w:snapToGrid w:val="0"/>
        <w:spacing w:line="500" w:lineRule="exact"/>
        <w:ind w:firstLine="465"/>
        <w:rPr>
          <w:rFonts w:ascii="宋体" w:hAnsi="宋体" w:cs="宋体"/>
          <w:sz w:val="24"/>
        </w:rPr>
      </w:pPr>
      <w:r>
        <w:rPr>
          <w:rFonts w:hint="eastAsia" w:ascii="宋体" w:hAnsi="宋体" w:cs="宋体"/>
          <w:sz w:val="24"/>
        </w:rPr>
        <w:t>对于竞争性比选文件的技术要求，如有任何偏离请如实填写下表：</w:t>
      </w:r>
    </w:p>
    <w:p w14:paraId="23C076F2">
      <w:pPr>
        <w:pStyle w:val="2"/>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A15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DFEC92C">
            <w:pPr>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2658" w:type="dxa"/>
            <w:noWrap/>
            <w:vAlign w:val="center"/>
          </w:tcPr>
          <w:p w14:paraId="1D977892">
            <w:pPr>
              <w:snapToGrid w:val="0"/>
              <w:spacing w:line="360" w:lineRule="auto"/>
              <w:jc w:val="center"/>
              <w:rPr>
                <w:rFonts w:ascii="宋体" w:hAnsi="宋体" w:cs="宋体"/>
                <w:sz w:val="24"/>
                <w:szCs w:val="24"/>
              </w:rPr>
            </w:pPr>
            <w:r>
              <w:rPr>
                <w:rFonts w:hint="eastAsia" w:ascii="宋体" w:hAnsi="宋体" w:cs="宋体"/>
                <w:sz w:val="24"/>
                <w:szCs w:val="24"/>
              </w:rPr>
              <w:t>采购需求</w:t>
            </w:r>
          </w:p>
        </w:tc>
        <w:tc>
          <w:tcPr>
            <w:tcW w:w="2759" w:type="dxa"/>
            <w:noWrap/>
            <w:vAlign w:val="center"/>
          </w:tcPr>
          <w:p w14:paraId="28F8F444">
            <w:pPr>
              <w:snapToGrid w:val="0"/>
              <w:spacing w:line="360" w:lineRule="auto"/>
              <w:jc w:val="center"/>
              <w:rPr>
                <w:rFonts w:ascii="宋体" w:hAnsi="宋体" w:cs="宋体"/>
                <w:sz w:val="24"/>
                <w:szCs w:val="24"/>
              </w:rPr>
            </w:pPr>
            <w:r>
              <w:rPr>
                <w:rFonts w:hint="eastAsia" w:ascii="宋体" w:hAnsi="宋体" w:cs="宋体"/>
                <w:sz w:val="24"/>
                <w:szCs w:val="24"/>
              </w:rPr>
              <w:t>响应情况</w:t>
            </w:r>
          </w:p>
        </w:tc>
        <w:tc>
          <w:tcPr>
            <w:tcW w:w="2067" w:type="dxa"/>
            <w:noWrap/>
            <w:vAlign w:val="center"/>
          </w:tcPr>
          <w:p w14:paraId="75958600">
            <w:pPr>
              <w:snapToGrid w:val="0"/>
              <w:spacing w:line="360" w:lineRule="auto"/>
              <w:jc w:val="center"/>
              <w:rPr>
                <w:rFonts w:ascii="宋体" w:hAnsi="宋体" w:cs="宋体"/>
                <w:sz w:val="24"/>
                <w:szCs w:val="24"/>
              </w:rPr>
            </w:pPr>
            <w:r>
              <w:rPr>
                <w:rFonts w:hint="eastAsia" w:ascii="宋体" w:hAnsi="宋体" w:cs="宋体"/>
                <w:sz w:val="24"/>
                <w:szCs w:val="24"/>
              </w:rPr>
              <w:t>差异说明</w:t>
            </w:r>
          </w:p>
        </w:tc>
      </w:tr>
      <w:tr w14:paraId="26E8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B7433CC">
            <w:pPr>
              <w:snapToGrid w:val="0"/>
              <w:spacing w:line="360" w:lineRule="auto"/>
              <w:jc w:val="left"/>
              <w:rPr>
                <w:rFonts w:ascii="宋体" w:hAnsi="宋体" w:cs="宋体"/>
                <w:sz w:val="24"/>
                <w:szCs w:val="24"/>
              </w:rPr>
            </w:pPr>
          </w:p>
        </w:tc>
        <w:tc>
          <w:tcPr>
            <w:tcW w:w="2658" w:type="dxa"/>
            <w:noWrap/>
            <w:vAlign w:val="center"/>
          </w:tcPr>
          <w:p w14:paraId="004D2D9B">
            <w:pPr>
              <w:snapToGrid w:val="0"/>
              <w:spacing w:line="360" w:lineRule="auto"/>
              <w:jc w:val="left"/>
              <w:rPr>
                <w:rFonts w:ascii="宋体" w:hAnsi="宋体" w:cs="宋体"/>
                <w:sz w:val="24"/>
                <w:szCs w:val="24"/>
              </w:rPr>
            </w:pPr>
          </w:p>
        </w:tc>
        <w:tc>
          <w:tcPr>
            <w:tcW w:w="2759" w:type="dxa"/>
            <w:noWrap/>
            <w:vAlign w:val="center"/>
          </w:tcPr>
          <w:p w14:paraId="5CCF6DB8">
            <w:pPr>
              <w:snapToGrid w:val="0"/>
              <w:spacing w:line="360" w:lineRule="auto"/>
              <w:jc w:val="left"/>
              <w:rPr>
                <w:rFonts w:ascii="宋体" w:hAnsi="宋体" w:cs="宋体"/>
                <w:sz w:val="24"/>
                <w:szCs w:val="24"/>
              </w:rPr>
            </w:pPr>
          </w:p>
        </w:tc>
        <w:tc>
          <w:tcPr>
            <w:tcW w:w="2067" w:type="dxa"/>
            <w:noWrap/>
            <w:vAlign w:val="center"/>
          </w:tcPr>
          <w:p w14:paraId="3E6D9F03">
            <w:pPr>
              <w:snapToGrid w:val="0"/>
              <w:spacing w:line="360" w:lineRule="auto"/>
              <w:jc w:val="left"/>
              <w:rPr>
                <w:rFonts w:ascii="宋体" w:hAnsi="宋体" w:cs="宋体"/>
                <w:sz w:val="24"/>
                <w:szCs w:val="24"/>
              </w:rPr>
            </w:pPr>
          </w:p>
        </w:tc>
      </w:tr>
      <w:tr w14:paraId="3DDB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A17FAD5">
            <w:pPr>
              <w:snapToGrid w:val="0"/>
              <w:spacing w:line="360" w:lineRule="auto"/>
              <w:jc w:val="left"/>
              <w:rPr>
                <w:rFonts w:ascii="宋体" w:hAnsi="宋体" w:cs="宋体"/>
                <w:sz w:val="24"/>
                <w:szCs w:val="24"/>
              </w:rPr>
            </w:pPr>
          </w:p>
        </w:tc>
        <w:tc>
          <w:tcPr>
            <w:tcW w:w="2658" w:type="dxa"/>
            <w:noWrap/>
            <w:vAlign w:val="center"/>
          </w:tcPr>
          <w:p w14:paraId="5979F01D">
            <w:pPr>
              <w:snapToGrid w:val="0"/>
              <w:spacing w:line="360" w:lineRule="auto"/>
              <w:jc w:val="left"/>
              <w:rPr>
                <w:rFonts w:ascii="宋体" w:hAnsi="宋体" w:cs="宋体"/>
                <w:sz w:val="24"/>
                <w:szCs w:val="24"/>
              </w:rPr>
            </w:pPr>
          </w:p>
        </w:tc>
        <w:tc>
          <w:tcPr>
            <w:tcW w:w="2759" w:type="dxa"/>
            <w:noWrap/>
            <w:vAlign w:val="center"/>
          </w:tcPr>
          <w:p w14:paraId="264A14ED">
            <w:pPr>
              <w:snapToGrid w:val="0"/>
              <w:spacing w:line="360" w:lineRule="auto"/>
              <w:jc w:val="left"/>
              <w:rPr>
                <w:rFonts w:ascii="宋体" w:hAnsi="宋体" w:cs="宋体"/>
                <w:sz w:val="24"/>
                <w:szCs w:val="24"/>
              </w:rPr>
            </w:pPr>
          </w:p>
        </w:tc>
        <w:tc>
          <w:tcPr>
            <w:tcW w:w="2067" w:type="dxa"/>
            <w:noWrap/>
            <w:vAlign w:val="center"/>
          </w:tcPr>
          <w:p w14:paraId="62E5E431">
            <w:pPr>
              <w:snapToGrid w:val="0"/>
              <w:spacing w:line="360" w:lineRule="auto"/>
              <w:jc w:val="left"/>
              <w:rPr>
                <w:rFonts w:ascii="宋体" w:hAnsi="宋体" w:cs="宋体"/>
                <w:sz w:val="24"/>
                <w:szCs w:val="24"/>
              </w:rPr>
            </w:pPr>
          </w:p>
        </w:tc>
      </w:tr>
      <w:tr w14:paraId="4F58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A730DF1">
            <w:pPr>
              <w:snapToGrid w:val="0"/>
              <w:spacing w:line="360" w:lineRule="auto"/>
              <w:jc w:val="left"/>
              <w:rPr>
                <w:rFonts w:ascii="宋体" w:hAnsi="宋体" w:cs="宋体"/>
                <w:sz w:val="24"/>
                <w:szCs w:val="24"/>
              </w:rPr>
            </w:pPr>
          </w:p>
        </w:tc>
        <w:tc>
          <w:tcPr>
            <w:tcW w:w="2658" w:type="dxa"/>
            <w:noWrap/>
            <w:vAlign w:val="center"/>
          </w:tcPr>
          <w:p w14:paraId="5D9DF47F">
            <w:pPr>
              <w:snapToGrid w:val="0"/>
              <w:spacing w:line="360" w:lineRule="auto"/>
              <w:jc w:val="left"/>
              <w:rPr>
                <w:rFonts w:ascii="宋体" w:hAnsi="宋体" w:cs="宋体"/>
                <w:sz w:val="24"/>
                <w:szCs w:val="24"/>
              </w:rPr>
            </w:pPr>
          </w:p>
        </w:tc>
        <w:tc>
          <w:tcPr>
            <w:tcW w:w="2759" w:type="dxa"/>
            <w:noWrap/>
            <w:vAlign w:val="center"/>
          </w:tcPr>
          <w:p w14:paraId="36A4679E">
            <w:pPr>
              <w:snapToGrid w:val="0"/>
              <w:spacing w:line="360" w:lineRule="auto"/>
              <w:jc w:val="left"/>
              <w:rPr>
                <w:rFonts w:ascii="宋体" w:hAnsi="宋体" w:cs="宋体"/>
                <w:sz w:val="24"/>
                <w:szCs w:val="24"/>
              </w:rPr>
            </w:pPr>
          </w:p>
        </w:tc>
        <w:tc>
          <w:tcPr>
            <w:tcW w:w="2067" w:type="dxa"/>
            <w:noWrap/>
            <w:vAlign w:val="center"/>
          </w:tcPr>
          <w:p w14:paraId="01C7BDAD">
            <w:pPr>
              <w:snapToGrid w:val="0"/>
              <w:spacing w:line="360" w:lineRule="auto"/>
              <w:jc w:val="left"/>
              <w:rPr>
                <w:rFonts w:ascii="宋体" w:hAnsi="宋体" w:cs="宋体"/>
                <w:sz w:val="24"/>
                <w:szCs w:val="24"/>
              </w:rPr>
            </w:pPr>
          </w:p>
        </w:tc>
      </w:tr>
      <w:tr w14:paraId="06EA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3CC7A06">
            <w:pPr>
              <w:snapToGrid w:val="0"/>
              <w:spacing w:line="360" w:lineRule="auto"/>
              <w:jc w:val="left"/>
              <w:rPr>
                <w:rFonts w:ascii="宋体" w:hAnsi="宋体" w:cs="宋体"/>
                <w:sz w:val="24"/>
                <w:szCs w:val="24"/>
              </w:rPr>
            </w:pPr>
          </w:p>
        </w:tc>
        <w:tc>
          <w:tcPr>
            <w:tcW w:w="2658" w:type="dxa"/>
            <w:noWrap/>
            <w:vAlign w:val="center"/>
          </w:tcPr>
          <w:p w14:paraId="7A1EA185">
            <w:pPr>
              <w:snapToGrid w:val="0"/>
              <w:spacing w:line="360" w:lineRule="auto"/>
              <w:jc w:val="left"/>
              <w:rPr>
                <w:rFonts w:ascii="宋体" w:hAnsi="宋体" w:cs="宋体"/>
                <w:sz w:val="24"/>
                <w:szCs w:val="24"/>
              </w:rPr>
            </w:pPr>
          </w:p>
        </w:tc>
        <w:tc>
          <w:tcPr>
            <w:tcW w:w="2759" w:type="dxa"/>
            <w:noWrap/>
            <w:vAlign w:val="center"/>
          </w:tcPr>
          <w:p w14:paraId="0334D707">
            <w:pPr>
              <w:snapToGrid w:val="0"/>
              <w:spacing w:line="360" w:lineRule="auto"/>
              <w:jc w:val="left"/>
              <w:rPr>
                <w:rFonts w:ascii="宋体" w:hAnsi="宋体" w:cs="宋体"/>
                <w:sz w:val="24"/>
                <w:szCs w:val="24"/>
              </w:rPr>
            </w:pPr>
          </w:p>
        </w:tc>
        <w:tc>
          <w:tcPr>
            <w:tcW w:w="2067" w:type="dxa"/>
            <w:noWrap/>
            <w:vAlign w:val="center"/>
          </w:tcPr>
          <w:p w14:paraId="33F3B4F1">
            <w:pPr>
              <w:snapToGrid w:val="0"/>
              <w:spacing w:line="360" w:lineRule="auto"/>
              <w:jc w:val="left"/>
              <w:rPr>
                <w:rFonts w:ascii="宋体" w:hAnsi="宋体" w:cs="宋体"/>
                <w:sz w:val="24"/>
                <w:szCs w:val="24"/>
              </w:rPr>
            </w:pPr>
          </w:p>
        </w:tc>
      </w:tr>
      <w:tr w14:paraId="0631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6BCE9C0">
            <w:pPr>
              <w:snapToGrid w:val="0"/>
              <w:spacing w:line="360" w:lineRule="auto"/>
              <w:jc w:val="left"/>
              <w:rPr>
                <w:rFonts w:ascii="宋体" w:hAnsi="宋体" w:cs="宋体"/>
                <w:sz w:val="24"/>
                <w:szCs w:val="24"/>
              </w:rPr>
            </w:pPr>
          </w:p>
        </w:tc>
        <w:tc>
          <w:tcPr>
            <w:tcW w:w="2658" w:type="dxa"/>
            <w:noWrap/>
            <w:vAlign w:val="center"/>
          </w:tcPr>
          <w:p w14:paraId="6FFC477C">
            <w:pPr>
              <w:snapToGrid w:val="0"/>
              <w:spacing w:line="360" w:lineRule="auto"/>
              <w:jc w:val="left"/>
              <w:rPr>
                <w:rFonts w:ascii="宋体" w:hAnsi="宋体" w:cs="宋体"/>
                <w:sz w:val="24"/>
                <w:szCs w:val="24"/>
              </w:rPr>
            </w:pPr>
          </w:p>
        </w:tc>
        <w:tc>
          <w:tcPr>
            <w:tcW w:w="2759" w:type="dxa"/>
            <w:noWrap/>
            <w:vAlign w:val="center"/>
          </w:tcPr>
          <w:p w14:paraId="5315F0D5">
            <w:pPr>
              <w:snapToGrid w:val="0"/>
              <w:spacing w:line="360" w:lineRule="auto"/>
              <w:jc w:val="left"/>
              <w:rPr>
                <w:rFonts w:ascii="宋体" w:hAnsi="宋体" w:cs="宋体"/>
                <w:sz w:val="24"/>
                <w:szCs w:val="24"/>
              </w:rPr>
            </w:pPr>
          </w:p>
        </w:tc>
        <w:tc>
          <w:tcPr>
            <w:tcW w:w="2067" w:type="dxa"/>
            <w:noWrap/>
            <w:vAlign w:val="center"/>
          </w:tcPr>
          <w:p w14:paraId="0E860F46">
            <w:pPr>
              <w:snapToGrid w:val="0"/>
              <w:spacing w:line="360" w:lineRule="auto"/>
              <w:jc w:val="left"/>
              <w:rPr>
                <w:rFonts w:ascii="宋体" w:hAnsi="宋体" w:cs="宋体"/>
                <w:sz w:val="24"/>
                <w:szCs w:val="24"/>
              </w:rPr>
            </w:pPr>
          </w:p>
        </w:tc>
      </w:tr>
      <w:tr w14:paraId="53AB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8AEE209">
            <w:pPr>
              <w:snapToGrid w:val="0"/>
              <w:spacing w:line="360" w:lineRule="auto"/>
              <w:jc w:val="left"/>
              <w:rPr>
                <w:rFonts w:ascii="宋体" w:hAnsi="宋体" w:cs="宋体"/>
                <w:sz w:val="24"/>
                <w:szCs w:val="24"/>
              </w:rPr>
            </w:pPr>
          </w:p>
        </w:tc>
        <w:tc>
          <w:tcPr>
            <w:tcW w:w="2658" w:type="dxa"/>
            <w:noWrap/>
            <w:vAlign w:val="center"/>
          </w:tcPr>
          <w:p w14:paraId="7F9677E9">
            <w:pPr>
              <w:snapToGrid w:val="0"/>
              <w:spacing w:line="360" w:lineRule="auto"/>
              <w:jc w:val="left"/>
              <w:rPr>
                <w:rFonts w:ascii="宋体" w:hAnsi="宋体" w:cs="宋体"/>
                <w:sz w:val="24"/>
                <w:szCs w:val="24"/>
              </w:rPr>
            </w:pPr>
          </w:p>
        </w:tc>
        <w:tc>
          <w:tcPr>
            <w:tcW w:w="2759" w:type="dxa"/>
            <w:noWrap/>
            <w:vAlign w:val="center"/>
          </w:tcPr>
          <w:p w14:paraId="54CA7071">
            <w:pPr>
              <w:snapToGrid w:val="0"/>
              <w:spacing w:line="360" w:lineRule="auto"/>
              <w:jc w:val="left"/>
              <w:rPr>
                <w:rFonts w:ascii="宋体" w:hAnsi="宋体" w:cs="宋体"/>
                <w:sz w:val="24"/>
                <w:szCs w:val="24"/>
              </w:rPr>
            </w:pPr>
          </w:p>
        </w:tc>
        <w:tc>
          <w:tcPr>
            <w:tcW w:w="2067" w:type="dxa"/>
            <w:noWrap/>
            <w:vAlign w:val="center"/>
          </w:tcPr>
          <w:p w14:paraId="6CBE9B33">
            <w:pPr>
              <w:snapToGrid w:val="0"/>
              <w:spacing w:line="360" w:lineRule="auto"/>
              <w:jc w:val="left"/>
              <w:rPr>
                <w:rFonts w:ascii="宋体" w:hAnsi="宋体" w:cs="宋体"/>
                <w:sz w:val="24"/>
                <w:szCs w:val="24"/>
              </w:rPr>
            </w:pPr>
          </w:p>
        </w:tc>
      </w:tr>
      <w:tr w14:paraId="1C5D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2F8D830">
            <w:pPr>
              <w:snapToGrid w:val="0"/>
              <w:spacing w:line="360" w:lineRule="auto"/>
              <w:jc w:val="left"/>
              <w:rPr>
                <w:rFonts w:ascii="宋体" w:hAnsi="宋体" w:cs="宋体"/>
                <w:sz w:val="24"/>
                <w:szCs w:val="24"/>
              </w:rPr>
            </w:pPr>
          </w:p>
        </w:tc>
        <w:tc>
          <w:tcPr>
            <w:tcW w:w="2658" w:type="dxa"/>
            <w:noWrap/>
            <w:vAlign w:val="center"/>
          </w:tcPr>
          <w:p w14:paraId="6760346C">
            <w:pPr>
              <w:snapToGrid w:val="0"/>
              <w:spacing w:line="360" w:lineRule="auto"/>
              <w:jc w:val="left"/>
              <w:rPr>
                <w:rFonts w:ascii="宋体" w:hAnsi="宋体" w:cs="宋体"/>
                <w:sz w:val="24"/>
                <w:szCs w:val="24"/>
              </w:rPr>
            </w:pPr>
          </w:p>
        </w:tc>
        <w:tc>
          <w:tcPr>
            <w:tcW w:w="2759" w:type="dxa"/>
            <w:noWrap/>
            <w:vAlign w:val="center"/>
          </w:tcPr>
          <w:p w14:paraId="5B18B35F">
            <w:pPr>
              <w:snapToGrid w:val="0"/>
              <w:spacing w:line="360" w:lineRule="auto"/>
              <w:jc w:val="left"/>
              <w:rPr>
                <w:rFonts w:ascii="宋体" w:hAnsi="宋体" w:cs="宋体"/>
                <w:sz w:val="24"/>
                <w:szCs w:val="24"/>
              </w:rPr>
            </w:pPr>
          </w:p>
        </w:tc>
        <w:tc>
          <w:tcPr>
            <w:tcW w:w="2067" w:type="dxa"/>
            <w:noWrap/>
            <w:vAlign w:val="center"/>
          </w:tcPr>
          <w:p w14:paraId="26EE02BE">
            <w:pPr>
              <w:snapToGrid w:val="0"/>
              <w:spacing w:line="360" w:lineRule="auto"/>
              <w:jc w:val="left"/>
              <w:rPr>
                <w:rFonts w:ascii="宋体" w:hAnsi="宋体" w:cs="宋体"/>
                <w:sz w:val="24"/>
                <w:szCs w:val="24"/>
              </w:rPr>
            </w:pPr>
          </w:p>
        </w:tc>
      </w:tr>
    </w:tbl>
    <w:p w14:paraId="719D6516">
      <w:pPr>
        <w:snapToGrid w:val="0"/>
        <w:spacing w:line="360" w:lineRule="auto"/>
        <w:jc w:val="left"/>
        <w:rPr>
          <w:rFonts w:ascii="宋体" w:hAnsi="宋体" w:cs="宋体"/>
          <w:sz w:val="24"/>
          <w:szCs w:val="24"/>
        </w:rPr>
      </w:pPr>
      <w:r>
        <w:rPr>
          <w:rFonts w:hint="eastAsia" w:ascii="宋体" w:hAnsi="宋体" w:cs="宋体"/>
          <w:sz w:val="24"/>
          <w:szCs w:val="24"/>
        </w:rPr>
        <w:t>比选申请人：                                      法定代表人或授权代表：</w:t>
      </w:r>
    </w:p>
    <w:p w14:paraId="735A7C98">
      <w:pPr>
        <w:snapToGrid w:val="0"/>
        <w:spacing w:line="360" w:lineRule="auto"/>
        <w:jc w:val="left"/>
        <w:rPr>
          <w:rFonts w:ascii="宋体" w:hAnsi="宋体" w:cs="宋体"/>
          <w:sz w:val="24"/>
          <w:szCs w:val="24"/>
        </w:rPr>
      </w:pPr>
    </w:p>
    <w:p w14:paraId="6E8FC296">
      <w:pPr>
        <w:snapToGrid w:val="0"/>
        <w:spacing w:line="360" w:lineRule="auto"/>
        <w:jc w:val="left"/>
        <w:rPr>
          <w:rFonts w:ascii="宋体" w:hAnsi="宋体" w:cs="宋体"/>
          <w:sz w:val="24"/>
          <w:szCs w:val="24"/>
        </w:rPr>
      </w:pPr>
      <w:r>
        <w:rPr>
          <w:rFonts w:hint="eastAsia" w:ascii="宋体" w:hAnsi="宋体" w:cs="宋体"/>
          <w:sz w:val="24"/>
          <w:szCs w:val="24"/>
        </w:rPr>
        <w:t>（比选申请人公章）                               （签字或盖章）</w:t>
      </w:r>
    </w:p>
    <w:p w14:paraId="0EE6F2A4">
      <w:pPr>
        <w:snapToGrid w:val="0"/>
        <w:spacing w:line="360" w:lineRule="auto"/>
        <w:jc w:val="left"/>
        <w:rPr>
          <w:rFonts w:ascii="宋体" w:hAnsi="宋体" w:cs="宋体"/>
          <w:sz w:val="24"/>
          <w:szCs w:val="24"/>
        </w:rPr>
      </w:pPr>
      <w:r>
        <w:rPr>
          <w:rFonts w:hint="eastAsia" w:ascii="宋体" w:hAnsi="宋体" w:cs="宋体"/>
          <w:sz w:val="24"/>
          <w:szCs w:val="24"/>
        </w:rPr>
        <w:t xml:space="preserve">                                            年     月     日</w:t>
      </w:r>
    </w:p>
    <w:p w14:paraId="7707CEAE">
      <w:pPr>
        <w:snapToGrid w:val="0"/>
        <w:spacing w:line="360" w:lineRule="auto"/>
        <w:jc w:val="left"/>
        <w:rPr>
          <w:rFonts w:ascii="宋体" w:hAnsi="宋体" w:cs="宋体"/>
          <w:sz w:val="24"/>
          <w:szCs w:val="24"/>
        </w:rPr>
      </w:pPr>
      <w:r>
        <w:rPr>
          <w:rFonts w:hint="eastAsia" w:ascii="宋体" w:hAnsi="宋体" w:cs="宋体"/>
          <w:sz w:val="24"/>
          <w:szCs w:val="24"/>
        </w:rPr>
        <w:t>注：</w:t>
      </w:r>
    </w:p>
    <w:p w14:paraId="572F0B43">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1.本表即为对本项目“第二篇  采购技术需求”中所列技术要求逐条进行比较和响应；</w:t>
      </w:r>
    </w:p>
    <w:p w14:paraId="3044FC73">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2.该表必须按照比选文件要求逐条如实填写，根据响应情况在“差异说明”项填写正偏离或负偏离及原因，完全符合的填写“无差异”；</w:t>
      </w:r>
    </w:p>
    <w:p w14:paraId="7AF56DC0">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3.该表可扩展，并逐页签字或盖章；</w:t>
      </w:r>
    </w:p>
    <w:p w14:paraId="2941F9FA">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4.可附相关技术支撑材料。（格式自定）</w:t>
      </w:r>
    </w:p>
    <w:p w14:paraId="2DA426E7">
      <w:pPr>
        <w:snapToGrid w:val="0"/>
        <w:spacing w:line="360" w:lineRule="auto"/>
        <w:jc w:val="center"/>
        <w:rPr>
          <w:rFonts w:ascii="宋体" w:hAnsi="宋体" w:cs="宋体"/>
          <w:sz w:val="24"/>
          <w:szCs w:val="24"/>
        </w:rPr>
      </w:pPr>
    </w:p>
    <w:p w14:paraId="393C2296">
      <w:pPr>
        <w:pStyle w:val="6"/>
        <w:spacing w:before="0" w:after="0" w:line="360" w:lineRule="auto"/>
        <w:rPr>
          <w:rFonts w:ascii="宋体" w:hAnsi="宋体" w:cs="宋体"/>
          <w:sz w:val="24"/>
          <w:szCs w:val="24"/>
        </w:rPr>
        <w:sectPr>
          <w:pgSz w:w="11907" w:h="16840"/>
          <w:pgMar w:top="1134" w:right="1191" w:bottom="1134" w:left="1304" w:header="851" w:footer="992" w:gutter="0"/>
          <w:cols w:space="720" w:num="1"/>
          <w:docGrid w:linePitch="380" w:charSpace="-5735"/>
        </w:sectPr>
      </w:pPr>
      <w:bookmarkStart w:id="212" w:name="_Toc3637"/>
      <w:bookmarkStart w:id="213" w:name="_Toc313008358"/>
      <w:bookmarkStart w:id="214" w:name="_Toc83288566"/>
      <w:bookmarkStart w:id="215" w:name="_Toc20657"/>
      <w:bookmarkStart w:id="216" w:name="_Toc313888362"/>
      <w:bookmarkStart w:id="217" w:name="_Toc342913421"/>
    </w:p>
    <w:p w14:paraId="61E2F01C">
      <w:pPr>
        <w:pStyle w:val="6"/>
        <w:spacing w:before="0" w:after="0" w:line="360" w:lineRule="auto"/>
        <w:rPr>
          <w:rFonts w:ascii="宋体" w:hAnsi="宋体" w:cs="宋体"/>
          <w:sz w:val="24"/>
          <w:szCs w:val="24"/>
        </w:rPr>
      </w:pPr>
      <w:bookmarkStart w:id="218" w:name="_Toc9779"/>
      <w:r>
        <w:rPr>
          <w:rFonts w:hint="eastAsia" w:ascii="宋体" w:hAnsi="宋体" w:cs="宋体"/>
          <w:sz w:val="24"/>
          <w:szCs w:val="24"/>
        </w:rPr>
        <w:t>三、商务部分</w:t>
      </w:r>
      <w:bookmarkEnd w:id="212"/>
      <w:bookmarkEnd w:id="213"/>
      <w:bookmarkEnd w:id="214"/>
      <w:bookmarkEnd w:id="215"/>
      <w:bookmarkEnd w:id="216"/>
      <w:bookmarkEnd w:id="217"/>
      <w:bookmarkEnd w:id="218"/>
    </w:p>
    <w:p w14:paraId="6132260E">
      <w:pPr>
        <w:ind w:firstLine="480" w:firstLineChars="200"/>
        <w:rPr>
          <w:rFonts w:ascii="宋体" w:hAnsi="宋体" w:cs="宋体"/>
          <w:sz w:val="24"/>
        </w:rPr>
      </w:pPr>
      <w:bookmarkStart w:id="219" w:name="_Toc283382459"/>
      <w:r>
        <w:rPr>
          <w:rFonts w:hint="eastAsia" w:ascii="宋体" w:hAnsi="宋体" w:cs="宋体"/>
          <w:sz w:val="24"/>
        </w:rPr>
        <w:t>（一）按照商务要求进行响应</w:t>
      </w:r>
    </w:p>
    <w:p w14:paraId="3CB9C4F5">
      <w:pPr>
        <w:spacing w:line="360" w:lineRule="auto"/>
        <w:rPr>
          <w:rFonts w:ascii="宋体" w:hAnsi="宋体" w:cs="宋体"/>
        </w:rPr>
      </w:pPr>
    </w:p>
    <w:p w14:paraId="75A3C45F">
      <w:pPr>
        <w:spacing w:line="360" w:lineRule="auto"/>
        <w:rPr>
          <w:rFonts w:ascii="宋体" w:hAnsi="宋体" w:cs="宋体"/>
        </w:rPr>
      </w:pPr>
    </w:p>
    <w:p w14:paraId="19AC05E2">
      <w:pPr>
        <w:spacing w:line="360" w:lineRule="auto"/>
        <w:rPr>
          <w:rFonts w:ascii="宋体" w:hAnsi="宋体" w:cs="宋体"/>
        </w:rPr>
      </w:pPr>
    </w:p>
    <w:p w14:paraId="7759B39C">
      <w:pPr>
        <w:spacing w:line="360" w:lineRule="auto"/>
        <w:rPr>
          <w:rFonts w:ascii="宋体" w:hAnsi="宋体" w:cs="宋体"/>
        </w:rPr>
      </w:pPr>
    </w:p>
    <w:p w14:paraId="2C700347">
      <w:pPr>
        <w:spacing w:line="360" w:lineRule="auto"/>
        <w:rPr>
          <w:rFonts w:ascii="宋体" w:hAnsi="宋体" w:cs="宋体"/>
        </w:rPr>
      </w:pPr>
    </w:p>
    <w:p w14:paraId="5EE7E382">
      <w:pPr>
        <w:spacing w:line="360" w:lineRule="auto"/>
        <w:rPr>
          <w:rFonts w:ascii="宋体" w:hAnsi="宋体" w:cs="宋体"/>
        </w:rPr>
      </w:pPr>
    </w:p>
    <w:p w14:paraId="0EA5075A">
      <w:pPr>
        <w:spacing w:line="360" w:lineRule="auto"/>
        <w:rPr>
          <w:rFonts w:ascii="宋体" w:hAnsi="宋体" w:cs="宋体"/>
        </w:rPr>
      </w:pPr>
    </w:p>
    <w:p w14:paraId="5893CE1B">
      <w:pPr>
        <w:spacing w:line="360" w:lineRule="auto"/>
        <w:rPr>
          <w:rFonts w:ascii="宋体" w:hAnsi="宋体" w:cs="宋体"/>
        </w:rPr>
      </w:pPr>
    </w:p>
    <w:p w14:paraId="3B4E0BF7">
      <w:pPr>
        <w:spacing w:line="360" w:lineRule="auto"/>
        <w:rPr>
          <w:rFonts w:ascii="宋体" w:hAnsi="宋体" w:cs="宋体"/>
        </w:rPr>
      </w:pPr>
    </w:p>
    <w:p w14:paraId="100C694B">
      <w:pPr>
        <w:spacing w:line="360" w:lineRule="auto"/>
        <w:rPr>
          <w:rFonts w:ascii="宋体" w:hAnsi="宋体" w:cs="宋体"/>
        </w:rPr>
      </w:pPr>
    </w:p>
    <w:p w14:paraId="2854CFEE">
      <w:pPr>
        <w:spacing w:line="360" w:lineRule="auto"/>
        <w:rPr>
          <w:rFonts w:ascii="宋体" w:hAnsi="宋体" w:cs="宋体"/>
        </w:rPr>
      </w:pPr>
    </w:p>
    <w:p w14:paraId="5B7393E6">
      <w:pPr>
        <w:spacing w:line="360" w:lineRule="auto"/>
        <w:rPr>
          <w:rFonts w:ascii="宋体" w:hAnsi="宋体" w:cs="宋体"/>
        </w:rPr>
      </w:pPr>
    </w:p>
    <w:p w14:paraId="38656DD0">
      <w:pPr>
        <w:spacing w:line="360" w:lineRule="auto"/>
        <w:rPr>
          <w:rFonts w:ascii="宋体" w:hAnsi="宋体" w:cs="宋体"/>
        </w:rPr>
      </w:pPr>
    </w:p>
    <w:p w14:paraId="14C2B43F">
      <w:pPr>
        <w:spacing w:line="360" w:lineRule="auto"/>
        <w:rPr>
          <w:rFonts w:ascii="宋体" w:hAnsi="宋体" w:cs="宋体"/>
        </w:rPr>
      </w:pPr>
    </w:p>
    <w:p w14:paraId="49EB48BC">
      <w:pPr>
        <w:spacing w:line="360" w:lineRule="auto"/>
        <w:rPr>
          <w:rFonts w:ascii="宋体" w:hAnsi="宋体" w:cs="宋体"/>
        </w:rPr>
      </w:pPr>
    </w:p>
    <w:p w14:paraId="3BEB3164">
      <w:pPr>
        <w:spacing w:line="360" w:lineRule="auto"/>
        <w:rPr>
          <w:rFonts w:ascii="宋体" w:hAnsi="宋体" w:cs="宋体"/>
        </w:rPr>
      </w:pPr>
    </w:p>
    <w:p w14:paraId="34B607EA">
      <w:pPr>
        <w:spacing w:line="360" w:lineRule="auto"/>
        <w:rPr>
          <w:rFonts w:ascii="宋体" w:hAnsi="宋体" w:cs="宋体"/>
        </w:rPr>
      </w:pPr>
    </w:p>
    <w:p w14:paraId="4406ECCE">
      <w:pPr>
        <w:spacing w:line="360" w:lineRule="auto"/>
        <w:rPr>
          <w:rFonts w:ascii="宋体" w:hAnsi="宋体" w:cs="宋体"/>
        </w:rPr>
      </w:pPr>
    </w:p>
    <w:p w14:paraId="79E9DD21">
      <w:pPr>
        <w:pStyle w:val="9"/>
        <w:rPr>
          <w:rFonts w:ascii="宋体" w:hAnsi="宋体" w:eastAsia="宋体" w:cs="宋体"/>
        </w:rPr>
      </w:pPr>
    </w:p>
    <w:p w14:paraId="1ABB2D3F">
      <w:pPr>
        <w:pStyle w:val="26"/>
        <w:rPr>
          <w:rFonts w:ascii="宋体" w:hAnsi="宋体" w:cs="宋体"/>
        </w:rPr>
      </w:pPr>
    </w:p>
    <w:p w14:paraId="36706F30">
      <w:pPr>
        <w:rPr>
          <w:rFonts w:ascii="宋体" w:hAnsi="宋体" w:cs="宋体"/>
        </w:rPr>
      </w:pPr>
    </w:p>
    <w:p w14:paraId="33D82B0A">
      <w:pPr>
        <w:rPr>
          <w:rFonts w:ascii="宋体" w:hAnsi="宋体" w:cs="宋体"/>
        </w:rPr>
      </w:pPr>
    </w:p>
    <w:p w14:paraId="7C6D1A65">
      <w:pPr>
        <w:pStyle w:val="9"/>
        <w:rPr>
          <w:rFonts w:ascii="宋体" w:hAnsi="宋体" w:eastAsia="宋体" w:cs="宋体"/>
        </w:rPr>
      </w:pPr>
    </w:p>
    <w:p w14:paraId="59678F1D">
      <w:pPr>
        <w:rPr>
          <w:rFonts w:ascii="宋体" w:hAnsi="宋体" w:cs="宋体"/>
        </w:rPr>
      </w:pPr>
    </w:p>
    <w:p w14:paraId="02568727">
      <w:pPr>
        <w:pStyle w:val="9"/>
        <w:rPr>
          <w:rFonts w:ascii="宋体" w:hAnsi="宋体" w:eastAsia="宋体" w:cs="宋体"/>
        </w:rPr>
      </w:pPr>
    </w:p>
    <w:p w14:paraId="3BA4BD42">
      <w:pPr>
        <w:rPr>
          <w:rFonts w:ascii="宋体" w:hAnsi="宋体" w:cs="宋体"/>
        </w:rPr>
      </w:pPr>
    </w:p>
    <w:p w14:paraId="326AD43F">
      <w:pPr>
        <w:pStyle w:val="10"/>
        <w:ind w:left="1960" w:right="1960"/>
        <w:rPr>
          <w:rFonts w:ascii="宋体" w:hAnsi="宋体" w:cs="宋体"/>
        </w:rPr>
      </w:pPr>
    </w:p>
    <w:p w14:paraId="3DA7CEBD">
      <w:pPr>
        <w:ind w:firstLine="480" w:firstLineChars="200"/>
        <w:rPr>
          <w:rFonts w:ascii="宋体" w:hAnsi="宋体" w:cs="宋体"/>
          <w:sz w:val="24"/>
        </w:rPr>
      </w:pPr>
      <w:r>
        <w:rPr>
          <w:rFonts w:hint="eastAsia" w:ascii="宋体" w:hAnsi="宋体" w:cs="宋体"/>
          <w:sz w:val="24"/>
        </w:rPr>
        <w:t>（二）商务响应偏离表</w:t>
      </w:r>
    </w:p>
    <w:p w14:paraId="4AEAC7B8">
      <w:pPr>
        <w:snapToGrid w:val="0"/>
        <w:spacing w:line="500" w:lineRule="exact"/>
        <w:jc w:val="center"/>
        <w:rPr>
          <w:rFonts w:ascii="宋体" w:hAnsi="宋体" w:cs="宋体"/>
          <w:sz w:val="24"/>
        </w:rPr>
      </w:pPr>
      <w:r>
        <w:rPr>
          <w:rFonts w:hint="eastAsia" w:ascii="宋体" w:hAnsi="宋体" w:cs="宋体"/>
          <w:sz w:val="24"/>
        </w:rPr>
        <w:t>商务响应偏离表（本表可自行设计格式）</w:t>
      </w:r>
    </w:p>
    <w:p w14:paraId="0C7D692C">
      <w:pPr>
        <w:snapToGrid w:val="0"/>
        <w:spacing w:line="500" w:lineRule="exact"/>
        <w:ind w:firstLine="465"/>
        <w:rPr>
          <w:rFonts w:ascii="宋体" w:hAnsi="宋体" w:cs="宋体"/>
          <w:sz w:val="24"/>
        </w:rPr>
      </w:pPr>
      <w:r>
        <w:rPr>
          <w:rFonts w:hint="eastAsia" w:ascii="宋体" w:hAnsi="宋体" w:cs="宋体"/>
          <w:sz w:val="24"/>
        </w:rPr>
        <w:t>对于竞争性比选文件的商务要求，如有任何偏离请如实填写下表：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11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1E05CDF8">
            <w:pPr>
              <w:tabs>
                <w:tab w:val="left" w:pos="6300"/>
              </w:tabs>
              <w:snapToGrid w:val="0"/>
              <w:jc w:val="center"/>
              <w:outlineLvl w:val="0"/>
              <w:rPr>
                <w:rFonts w:ascii="宋体" w:hAnsi="宋体" w:cs="宋体"/>
                <w:sz w:val="24"/>
              </w:rPr>
            </w:pPr>
            <w:r>
              <w:rPr>
                <w:rFonts w:hint="eastAsia" w:ascii="宋体" w:hAnsi="宋体" w:cs="宋体"/>
                <w:sz w:val="24"/>
              </w:rPr>
              <w:t>序号</w:t>
            </w:r>
          </w:p>
        </w:tc>
        <w:tc>
          <w:tcPr>
            <w:tcW w:w="3179" w:type="dxa"/>
            <w:noWrap/>
            <w:vAlign w:val="center"/>
          </w:tcPr>
          <w:p w14:paraId="0E22605E">
            <w:pPr>
              <w:tabs>
                <w:tab w:val="left" w:pos="6300"/>
              </w:tabs>
              <w:snapToGrid w:val="0"/>
              <w:jc w:val="center"/>
              <w:outlineLvl w:val="0"/>
              <w:rPr>
                <w:rFonts w:ascii="宋体" w:hAnsi="宋体" w:cs="宋体"/>
                <w:sz w:val="24"/>
              </w:rPr>
            </w:pPr>
            <w:r>
              <w:rPr>
                <w:rFonts w:hint="eastAsia" w:ascii="宋体" w:hAnsi="宋体" w:cs="宋体"/>
                <w:sz w:val="24"/>
              </w:rPr>
              <w:t>比选项目商务需求</w:t>
            </w:r>
          </w:p>
        </w:tc>
        <w:tc>
          <w:tcPr>
            <w:tcW w:w="2434" w:type="dxa"/>
            <w:noWrap/>
            <w:vAlign w:val="center"/>
          </w:tcPr>
          <w:p w14:paraId="077C3616">
            <w:pPr>
              <w:tabs>
                <w:tab w:val="left" w:pos="6300"/>
              </w:tabs>
              <w:snapToGrid w:val="0"/>
              <w:jc w:val="center"/>
              <w:outlineLvl w:val="0"/>
              <w:rPr>
                <w:rFonts w:ascii="宋体" w:hAnsi="宋体" w:cs="宋体"/>
                <w:sz w:val="24"/>
              </w:rPr>
            </w:pPr>
            <w:r>
              <w:rPr>
                <w:rFonts w:hint="eastAsia" w:ascii="宋体" w:hAnsi="宋体" w:cs="宋体"/>
                <w:sz w:val="24"/>
              </w:rPr>
              <w:t>响应情况</w:t>
            </w:r>
          </w:p>
        </w:tc>
        <w:tc>
          <w:tcPr>
            <w:tcW w:w="2355" w:type="dxa"/>
            <w:noWrap/>
            <w:vAlign w:val="center"/>
          </w:tcPr>
          <w:p w14:paraId="278FE666">
            <w:pPr>
              <w:tabs>
                <w:tab w:val="left" w:pos="6300"/>
              </w:tabs>
              <w:snapToGrid w:val="0"/>
              <w:jc w:val="center"/>
              <w:outlineLvl w:val="0"/>
              <w:rPr>
                <w:rFonts w:ascii="宋体" w:hAnsi="宋体" w:cs="宋体"/>
                <w:sz w:val="24"/>
              </w:rPr>
            </w:pPr>
            <w:r>
              <w:rPr>
                <w:rFonts w:hint="eastAsia" w:ascii="宋体" w:hAnsi="宋体" w:cs="宋体"/>
                <w:sz w:val="24"/>
              </w:rPr>
              <w:t>偏离说明</w:t>
            </w:r>
          </w:p>
        </w:tc>
      </w:tr>
      <w:tr w14:paraId="3038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D79975F">
            <w:pPr>
              <w:tabs>
                <w:tab w:val="left" w:pos="6300"/>
              </w:tabs>
              <w:snapToGrid w:val="0"/>
              <w:jc w:val="center"/>
              <w:outlineLvl w:val="0"/>
              <w:rPr>
                <w:rFonts w:ascii="宋体" w:hAnsi="宋体" w:cs="宋体"/>
                <w:sz w:val="24"/>
              </w:rPr>
            </w:pPr>
          </w:p>
        </w:tc>
        <w:tc>
          <w:tcPr>
            <w:tcW w:w="3179" w:type="dxa"/>
            <w:noWrap/>
            <w:vAlign w:val="center"/>
          </w:tcPr>
          <w:p w14:paraId="4366E227">
            <w:pPr>
              <w:tabs>
                <w:tab w:val="left" w:pos="6300"/>
              </w:tabs>
              <w:snapToGrid w:val="0"/>
              <w:jc w:val="center"/>
              <w:outlineLvl w:val="0"/>
              <w:rPr>
                <w:rFonts w:ascii="宋体" w:hAnsi="宋体" w:cs="宋体"/>
                <w:sz w:val="24"/>
              </w:rPr>
            </w:pPr>
          </w:p>
        </w:tc>
        <w:tc>
          <w:tcPr>
            <w:tcW w:w="2434" w:type="dxa"/>
            <w:noWrap/>
            <w:vAlign w:val="center"/>
          </w:tcPr>
          <w:p w14:paraId="605174B1">
            <w:pPr>
              <w:tabs>
                <w:tab w:val="left" w:pos="6300"/>
              </w:tabs>
              <w:snapToGrid w:val="0"/>
              <w:jc w:val="center"/>
              <w:outlineLvl w:val="0"/>
              <w:rPr>
                <w:rFonts w:ascii="宋体" w:hAnsi="宋体" w:cs="宋体"/>
                <w:sz w:val="24"/>
              </w:rPr>
            </w:pPr>
          </w:p>
        </w:tc>
        <w:tc>
          <w:tcPr>
            <w:tcW w:w="2355" w:type="dxa"/>
            <w:noWrap/>
            <w:vAlign w:val="center"/>
          </w:tcPr>
          <w:p w14:paraId="370D07E3">
            <w:pPr>
              <w:tabs>
                <w:tab w:val="left" w:pos="6300"/>
              </w:tabs>
              <w:snapToGrid w:val="0"/>
              <w:jc w:val="center"/>
              <w:outlineLvl w:val="0"/>
              <w:rPr>
                <w:rFonts w:ascii="宋体" w:hAnsi="宋体" w:cs="宋体"/>
                <w:sz w:val="24"/>
              </w:rPr>
            </w:pPr>
          </w:p>
        </w:tc>
      </w:tr>
      <w:tr w14:paraId="33F3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B220B53">
            <w:pPr>
              <w:tabs>
                <w:tab w:val="left" w:pos="6300"/>
              </w:tabs>
              <w:snapToGrid w:val="0"/>
              <w:jc w:val="center"/>
              <w:outlineLvl w:val="0"/>
              <w:rPr>
                <w:rFonts w:ascii="宋体" w:hAnsi="宋体" w:cs="宋体"/>
                <w:sz w:val="24"/>
              </w:rPr>
            </w:pPr>
          </w:p>
        </w:tc>
        <w:tc>
          <w:tcPr>
            <w:tcW w:w="3179" w:type="dxa"/>
            <w:noWrap/>
            <w:vAlign w:val="center"/>
          </w:tcPr>
          <w:p w14:paraId="430AC894">
            <w:pPr>
              <w:tabs>
                <w:tab w:val="left" w:pos="6300"/>
              </w:tabs>
              <w:snapToGrid w:val="0"/>
              <w:jc w:val="center"/>
              <w:outlineLvl w:val="0"/>
              <w:rPr>
                <w:rFonts w:ascii="宋体" w:hAnsi="宋体" w:cs="宋体"/>
                <w:sz w:val="24"/>
              </w:rPr>
            </w:pPr>
          </w:p>
        </w:tc>
        <w:tc>
          <w:tcPr>
            <w:tcW w:w="2434" w:type="dxa"/>
            <w:noWrap/>
            <w:vAlign w:val="center"/>
          </w:tcPr>
          <w:p w14:paraId="4D50BA6B">
            <w:pPr>
              <w:tabs>
                <w:tab w:val="left" w:pos="6300"/>
              </w:tabs>
              <w:snapToGrid w:val="0"/>
              <w:jc w:val="center"/>
              <w:outlineLvl w:val="0"/>
              <w:rPr>
                <w:rFonts w:ascii="宋体" w:hAnsi="宋体" w:cs="宋体"/>
                <w:sz w:val="24"/>
              </w:rPr>
            </w:pPr>
          </w:p>
        </w:tc>
        <w:tc>
          <w:tcPr>
            <w:tcW w:w="2355" w:type="dxa"/>
            <w:noWrap/>
            <w:vAlign w:val="center"/>
          </w:tcPr>
          <w:p w14:paraId="33BB692A">
            <w:pPr>
              <w:tabs>
                <w:tab w:val="left" w:pos="6300"/>
              </w:tabs>
              <w:snapToGrid w:val="0"/>
              <w:jc w:val="center"/>
              <w:outlineLvl w:val="0"/>
              <w:rPr>
                <w:rFonts w:ascii="宋体" w:hAnsi="宋体" w:cs="宋体"/>
                <w:sz w:val="24"/>
              </w:rPr>
            </w:pPr>
          </w:p>
        </w:tc>
      </w:tr>
      <w:tr w14:paraId="4399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0DEF40D">
            <w:pPr>
              <w:tabs>
                <w:tab w:val="left" w:pos="6300"/>
              </w:tabs>
              <w:snapToGrid w:val="0"/>
              <w:jc w:val="center"/>
              <w:outlineLvl w:val="0"/>
              <w:rPr>
                <w:rFonts w:ascii="宋体" w:hAnsi="宋体" w:cs="宋体"/>
                <w:sz w:val="24"/>
              </w:rPr>
            </w:pPr>
          </w:p>
        </w:tc>
        <w:tc>
          <w:tcPr>
            <w:tcW w:w="3179" w:type="dxa"/>
            <w:noWrap/>
            <w:vAlign w:val="center"/>
          </w:tcPr>
          <w:p w14:paraId="3D6ED231">
            <w:pPr>
              <w:tabs>
                <w:tab w:val="left" w:pos="6300"/>
              </w:tabs>
              <w:snapToGrid w:val="0"/>
              <w:jc w:val="center"/>
              <w:outlineLvl w:val="0"/>
              <w:rPr>
                <w:rFonts w:ascii="宋体" w:hAnsi="宋体" w:cs="宋体"/>
                <w:sz w:val="24"/>
              </w:rPr>
            </w:pPr>
          </w:p>
        </w:tc>
        <w:tc>
          <w:tcPr>
            <w:tcW w:w="2434" w:type="dxa"/>
            <w:noWrap/>
            <w:vAlign w:val="center"/>
          </w:tcPr>
          <w:p w14:paraId="18377ACD">
            <w:pPr>
              <w:tabs>
                <w:tab w:val="left" w:pos="6300"/>
              </w:tabs>
              <w:snapToGrid w:val="0"/>
              <w:jc w:val="center"/>
              <w:outlineLvl w:val="0"/>
              <w:rPr>
                <w:rFonts w:ascii="宋体" w:hAnsi="宋体" w:cs="宋体"/>
                <w:sz w:val="24"/>
              </w:rPr>
            </w:pPr>
          </w:p>
        </w:tc>
        <w:tc>
          <w:tcPr>
            <w:tcW w:w="2355" w:type="dxa"/>
            <w:noWrap/>
            <w:vAlign w:val="center"/>
          </w:tcPr>
          <w:p w14:paraId="1D0A532B">
            <w:pPr>
              <w:tabs>
                <w:tab w:val="left" w:pos="6300"/>
              </w:tabs>
              <w:snapToGrid w:val="0"/>
              <w:jc w:val="center"/>
              <w:outlineLvl w:val="0"/>
              <w:rPr>
                <w:rFonts w:ascii="宋体" w:hAnsi="宋体" w:cs="宋体"/>
                <w:sz w:val="24"/>
              </w:rPr>
            </w:pPr>
          </w:p>
        </w:tc>
      </w:tr>
      <w:tr w14:paraId="45E9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708F99F">
            <w:pPr>
              <w:tabs>
                <w:tab w:val="left" w:pos="6300"/>
              </w:tabs>
              <w:snapToGrid w:val="0"/>
              <w:jc w:val="center"/>
              <w:outlineLvl w:val="0"/>
              <w:rPr>
                <w:rFonts w:ascii="宋体" w:hAnsi="宋体" w:cs="宋体"/>
                <w:sz w:val="24"/>
              </w:rPr>
            </w:pPr>
          </w:p>
        </w:tc>
        <w:tc>
          <w:tcPr>
            <w:tcW w:w="3179" w:type="dxa"/>
            <w:noWrap/>
            <w:vAlign w:val="center"/>
          </w:tcPr>
          <w:p w14:paraId="2CA3CF49">
            <w:pPr>
              <w:tabs>
                <w:tab w:val="left" w:pos="6300"/>
              </w:tabs>
              <w:snapToGrid w:val="0"/>
              <w:jc w:val="center"/>
              <w:outlineLvl w:val="0"/>
              <w:rPr>
                <w:rFonts w:ascii="宋体" w:hAnsi="宋体" w:cs="宋体"/>
                <w:sz w:val="24"/>
              </w:rPr>
            </w:pPr>
          </w:p>
        </w:tc>
        <w:tc>
          <w:tcPr>
            <w:tcW w:w="2434" w:type="dxa"/>
            <w:noWrap/>
            <w:vAlign w:val="center"/>
          </w:tcPr>
          <w:p w14:paraId="63605CBB">
            <w:pPr>
              <w:tabs>
                <w:tab w:val="left" w:pos="6300"/>
              </w:tabs>
              <w:snapToGrid w:val="0"/>
              <w:jc w:val="center"/>
              <w:outlineLvl w:val="0"/>
              <w:rPr>
                <w:rFonts w:ascii="宋体" w:hAnsi="宋体" w:cs="宋体"/>
                <w:sz w:val="24"/>
              </w:rPr>
            </w:pPr>
          </w:p>
        </w:tc>
        <w:tc>
          <w:tcPr>
            <w:tcW w:w="2355" w:type="dxa"/>
            <w:noWrap/>
            <w:vAlign w:val="center"/>
          </w:tcPr>
          <w:p w14:paraId="56119C5A">
            <w:pPr>
              <w:tabs>
                <w:tab w:val="left" w:pos="6300"/>
              </w:tabs>
              <w:snapToGrid w:val="0"/>
              <w:jc w:val="center"/>
              <w:outlineLvl w:val="0"/>
              <w:rPr>
                <w:rFonts w:ascii="宋体" w:hAnsi="宋体" w:cs="宋体"/>
                <w:sz w:val="24"/>
              </w:rPr>
            </w:pPr>
          </w:p>
        </w:tc>
      </w:tr>
      <w:tr w14:paraId="200C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17ADD9C">
            <w:pPr>
              <w:tabs>
                <w:tab w:val="left" w:pos="6300"/>
              </w:tabs>
              <w:snapToGrid w:val="0"/>
              <w:jc w:val="center"/>
              <w:outlineLvl w:val="0"/>
              <w:rPr>
                <w:rFonts w:ascii="宋体" w:hAnsi="宋体" w:cs="宋体"/>
                <w:sz w:val="24"/>
              </w:rPr>
            </w:pPr>
          </w:p>
        </w:tc>
        <w:tc>
          <w:tcPr>
            <w:tcW w:w="3179" w:type="dxa"/>
            <w:noWrap/>
            <w:vAlign w:val="center"/>
          </w:tcPr>
          <w:p w14:paraId="58FA2591">
            <w:pPr>
              <w:tabs>
                <w:tab w:val="left" w:pos="6300"/>
              </w:tabs>
              <w:snapToGrid w:val="0"/>
              <w:jc w:val="center"/>
              <w:outlineLvl w:val="0"/>
              <w:rPr>
                <w:rFonts w:ascii="宋体" w:hAnsi="宋体" w:cs="宋体"/>
                <w:sz w:val="24"/>
              </w:rPr>
            </w:pPr>
          </w:p>
        </w:tc>
        <w:tc>
          <w:tcPr>
            <w:tcW w:w="2434" w:type="dxa"/>
            <w:noWrap/>
            <w:vAlign w:val="center"/>
          </w:tcPr>
          <w:p w14:paraId="38AEFB9E">
            <w:pPr>
              <w:tabs>
                <w:tab w:val="left" w:pos="6300"/>
              </w:tabs>
              <w:snapToGrid w:val="0"/>
              <w:jc w:val="center"/>
              <w:outlineLvl w:val="0"/>
              <w:rPr>
                <w:rFonts w:ascii="宋体" w:hAnsi="宋体" w:cs="宋体"/>
                <w:sz w:val="24"/>
              </w:rPr>
            </w:pPr>
          </w:p>
        </w:tc>
        <w:tc>
          <w:tcPr>
            <w:tcW w:w="2355" w:type="dxa"/>
            <w:noWrap/>
            <w:vAlign w:val="center"/>
          </w:tcPr>
          <w:p w14:paraId="59C9F3E2">
            <w:pPr>
              <w:tabs>
                <w:tab w:val="left" w:pos="6300"/>
              </w:tabs>
              <w:snapToGrid w:val="0"/>
              <w:jc w:val="center"/>
              <w:outlineLvl w:val="0"/>
              <w:rPr>
                <w:rFonts w:ascii="宋体" w:hAnsi="宋体" w:cs="宋体"/>
                <w:sz w:val="24"/>
              </w:rPr>
            </w:pPr>
          </w:p>
        </w:tc>
      </w:tr>
      <w:tr w14:paraId="6DAC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D56B57C">
            <w:pPr>
              <w:tabs>
                <w:tab w:val="left" w:pos="6300"/>
              </w:tabs>
              <w:snapToGrid w:val="0"/>
              <w:jc w:val="center"/>
              <w:outlineLvl w:val="0"/>
              <w:rPr>
                <w:rFonts w:ascii="宋体" w:hAnsi="宋体" w:cs="宋体"/>
                <w:sz w:val="24"/>
              </w:rPr>
            </w:pPr>
          </w:p>
        </w:tc>
        <w:tc>
          <w:tcPr>
            <w:tcW w:w="3179" w:type="dxa"/>
            <w:noWrap/>
            <w:vAlign w:val="center"/>
          </w:tcPr>
          <w:p w14:paraId="654F4DE0">
            <w:pPr>
              <w:tabs>
                <w:tab w:val="left" w:pos="6300"/>
              </w:tabs>
              <w:snapToGrid w:val="0"/>
              <w:jc w:val="center"/>
              <w:outlineLvl w:val="0"/>
              <w:rPr>
                <w:rFonts w:ascii="宋体" w:hAnsi="宋体" w:cs="宋体"/>
                <w:sz w:val="24"/>
              </w:rPr>
            </w:pPr>
          </w:p>
        </w:tc>
        <w:tc>
          <w:tcPr>
            <w:tcW w:w="2434" w:type="dxa"/>
            <w:noWrap/>
            <w:vAlign w:val="center"/>
          </w:tcPr>
          <w:p w14:paraId="0EA314B6">
            <w:pPr>
              <w:tabs>
                <w:tab w:val="left" w:pos="6300"/>
              </w:tabs>
              <w:snapToGrid w:val="0"/>
              <w:jc w:val="center"/>
              <w:outlineLvl w:val="0"/>
              <w:rPr>
                <w:rFonts w:ascii="宋体" w:hAnsi="宋体" w:cs="宋体"/>
                <w:sz w:val="24"/>
              </w:rPr>
            </w:pPr>
          </w:p>
        </w:tc>
        <w:tc>
          <w:tcPr>
            <w:tcW w:w="2355" w:type="dxa"/>
            <w:noWrap/>
            <w:vAlign w:val="center"/>
          </w:tcPr>
          <w:p w14:paraId="48A0B73A">
            <w:pPr>
              <w:tabs>
                <w:tab w:val="left" w:pos="6300"/>
              </w:tabs>
              <w:snapToGrid w:val="0"/>
              <w:jc w:val="center"/>
              <w:outlineLvl w:val="0"/>
              <w:rPr>
                <w:rFonts w:ascii="宋体" w:hAnsi="宋体" w:cs="宋体"/>
                <w:sz w:val="24"/>
              </w:rPr>
            </w:pPr>
          </w:p>
        </w:tc>
      </w:tr>
    </w:tbl>
    <w:p w14:paraId="703EA302">
      <w:pPr>
        <w:snapToGrid w:val="0"/>
        <w:ind w:firstLine="465"/>
        <w:rPr>
          <w:rFonts w:ascii="宋体" w:hAnsi="宋体" w:cs="宋体"/>
          <w:sz w:val="24"/>
        </w:rPr>
      </w:pPr>
    </w:p>
    <w:p w14:paraId="1F0294D3">
      <w:pPr>
        <w:spacing w:line="500" w:lineRule="exact"/>
        <w:ind w:firstLine="600" w:firstLineChars="250"/>
        <w:rPr>
          <w:rFonts w:ascii="宋体" w:hAnsi="宋体" w:cs="宋体"/>
          <w:sz w:val="24"/>
        </w:rPr>
      </w:pPr>
      <w:r>
        <w:rPr>
          <w:rFonts w:hint="eastAsia" w:ascii="宋体" w:hAnsi="宋体" w:cs="宋体"/>
          <w:sz w:val="24"/>
        </w:rPr>
        <w:t>比选申请人：                                      法定代表人或授权代表：</w:t>
      </w:r>
    </w:p>
    <w:p w14:paraId="71CFAED5">
      <w:pPr>
        <w:spacing w:line="500" w:lineRule="exact"/>
        <w:rPr>
          <w:rFonts w:ascii="宋体" w:hAnsi="宋体" w:cs="宋体"/>
          <w:sz w:val="24"/>
        </w:rPr>
      </w:pPr>
    </w:p>
    <w:p w14:paraId="718E1414">
      <w:pPr>
        <w:spacing w:line="500" w:lineRule="exact"/>
        <w:ind w:firstLine="360" w:firstLineChars="150"/>
        <w:rPr>
          <w:rFonts w:ascii="宋体" w:hAnsi="宋体" w:cs="宋体"/>
          <w:sz w:val="24"/>
        </w:rPr>
      </w:pPr>
      <w:r>
        <w:rPr>
          <w:rFonts w:hint="eastAsia" w:ascii="宋体" w:hAnsi="宋体" w:cs="宋体"/>
          <w:sz w:val="24"/>
        </w:rPr>
        <w:t>（</w:t>
      </w:r>
      <w:r>
        <w:rPr>
          <w:rFonts w:hint="eastAsia" w:ascii="宋体" w:hAnsi="宋体" w:cs="宋体"/>
          <w:sz w:val="24"/>
          <w:szCs w:val="22"/>
        </w:rPr>
        <w:t>比选申请人</w:t>
      </w:r>
      <w:r>
        <w:rPr>
          <w:rFonts w:hint="eastAsia" w:ascii="宋体" w:hAnsi="宋体" w:cs="宋体"/>
          <w:sz w:val="24"/>
        </w:rPr>
        <w:t>公章）                                 （签字或盖章）</w:t>
      </w:r>
    </w:p>
    <w:p w14:paraId="0C0FD6B1">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1A290B1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47E423B3">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1、本表即为对本项目“第三篇 项目商务需求”中所列服务要求进行逐条比较和响应；</w:t>
      </w:r>
    </w:p>
    <w:p w14:paraId="346F418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2、该表必须按照竞争性比选要求逐条如实填写，根据响应情况在“偏离说明”项填写正偏离或负偏离及原因，完全符合的填写“无差异”；</w:t>
      </w:r>
    </w:p>
    <w:p w14:paraId="10F5CA2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3、该表可扩展，并逐页签字或盖章；</w:t>
      </w:r>
    </w:p>
    <w:p w14:paraId="6D52B195">
      <w:pPr>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（三）业绩</w:t>
      </w:r>
    </w:p>
    <w:p w14:paraId="4E79A0F4">
      <w:pPr>
        <w:spacing w:line="500" w:lineRule="exact"/>
        <w:ind w:firstLine="480" w:firstLineChars="200"/>
        <w:rPr>
          <w:rFonts w:ascii="宋体" w:hAnsi="宋体" w:cs="宋体"/>
          <w:sz w:val="24"/>
        </w:rPr>
      </w:pPr>
      <w:r>
        <w:rPr>
          <w:rFonts w:hint="eastAsia" w:ascii="宋体" w:hAnsi="宋体" w:cs="宋体"/>
          <w:sz w:val="24"/>
        </w:rPr>
        <w:t>（四）其他证明材料</w:t>
      </w:r>
    </w:p>
    <w:p w14:paraId="0FB2A389">
      <w:pPr>
        <w:rPr>
          <w:rFonts w:ascii="宋体" w:hAnsi="宋体" w:cs="宋体"/>
          <w:sz w:val="24"/>
        </w:rPr>
      </w:pPr>
    </w:p>
    <w:bookmarkEnd w:id="219"/>
    <w:p w14:paraId="6B829CBA">
      <w:pPr>
        <w:pStyle w:val="6"/>
        <w:spacing w:before="0" w:after="0" w:line="360" w:lineRule="auto"/>
        <w:rPr>
          <w:rFonts w:ascii="宋体" w:hAnsi="宋体" w:cs="宋体"/>
          <w:sz w:val="24"/>
          <w:szCs w:val="24"/>
        </w:rPr>
        <w:sectPr>
          <w:pgSz w:w="11907" w:h="16840"/>
          <w:pgMar w:top="1134" w:right="1191" w:bottom="1134" w:left="1304" w:header="851" w:footer="992" w:gutter="0"/>
          <w:cols w:space="720" w:num="1"/>
          <w:docGrid w:linePitch="380" w:charSpace="-5735"/>
        </w:sectPr>
      </w:pPr>
      <w:bookmarkStart w:id="220" w:name="_Toc313008359"/>
      <w:bookmarkStart w:id="221" w:name="_Toc342913422"/>
      <w:bookmarkStart w:id="222" w:name="_Toc4768"/>
      <w:bookmarkStart w:id="223" w:name="_Toc83288567"/>
      <w:bookmarkStart w:id="224" w:name="_Toc313888363"/>
      <w:bookmarkStart w:id="225" w:name="_Toc6310"/>
    </w:p>
    <w:p w14:paraId="5C04C36A">
      <w:pPr>
        <w:pStyle w:val="6"/>
        <w:spacing w:before="0" w:after="0" w:line="360" w:lineRule="auto"/>
        <w:rPr>
          <w:rFonts w:ascii="宋体" w:hAnsi="宋体" w:cs="宋体"/>
        </w:rPr>
      </w:pPr>
      <w:bookmarkStart w:id="226" w:name="_Toc18548"/>
      <w:r>
        <w:rPr>
          <w:rFonts w:hint="eastAsia" w:ascii="宋体" w:hAnsi="宋体" w:cs="宋体"/>
          <w:sz w:val="24"/>
          <w:szCs w:val="24"/>
        </w:rPr>
        <w:t>四、资格条件及其他</w:t>
      </w:r>
      <w:bookmarkEnd w:id="220"/>
      <w:bookmarkEnd w:id="221"/>
      <w:bookmarkEnd w:id="222"/>
      <w:bookmarkEnd w:id="223"/>
      <w:bookmarkEnd w:id="224"/>
      <w:bookmarkEnd w:id="225"/>
      <w:bookmarkEnd w:id="226"/>
    </w:p>
    <w:p w14:paraId="77DA316A">
      <w:pPr>
        <w:tabs>
          <w:tab w:val="left" w:pos="6300"/>
        </w:tabs>
        <w:snapToGrid w:val="0"/>
        <w:spacing w:line="500" w:lineRule="exact"/>
        <w:ind w:firstLine="570"/>
        <w:rPr>
          <w:rFonts w:ascii="宋体" w:hAnsi="宋体" w:cs="宋体"/>
          <w:sz w:val="24"/>
          <w:szCs w:val="24"/>
        </w:rPr>
      </w:pPr>
      <w:r>
        <w:rPr>
          <w:rFonts w:hint="eastAsia" w:ascii="宋体" w:hAnsi="宋体" w:cs="宋体"/>
          <w:sz w:val="24"/>
        </w:rPr>
        <w:t>（一）</w:t>
      </w:r>
      <w:r>
        <w:rPr>
          <w:rFonts w:hint="eastAsia" w:ascii="宋体" w:hAnsi="宋体" w:cs="宋体"/>
          <w:sz w:val="24"/>
          <w:szCs w:val="24"/>
        </w:rPr>
        <w:t>法人营业执照（副本）或事业单位法人证书（副本）或个体工商户营业执照或有效的自然人身份证明或社会团体法人登记证书复印件</w:t>
      </w:r>
    </w:p>
    <w:p w14:paraId="0974D6F1">
      <w:pPr>
        <w:tabs>
          <w:tab w:val="left" w:pos="6300"/>
        </w:tabs>
        <w:snapToGrid w:val="0"/>
        <w:spacing w:line="500" w:lineRule="exact"/>
        <w:ind w:firstLine="570"/>
        <w:rPr>
          <w:rFonts w:ascii="宋体" w:hAnsi="宋体" w:cs="宋体"/>
          <w:sz w:val="24"/>
          <w:szCs w:val="24"/>
        </w:rPr>
      </w:pPr>
    </w:p>
    <w:p w14:paraId="750E1BE8">
      <w:pPr>
        <w:tabs>
          <w:tab w:val="left" w:pos="6300"/>
        </w:tabs>
        <w:snapToGrid w:val="0"/>
        <w:spacing w:line="500" w:lineRule="exact"/>
        <w:ind w:firstLine="570"/>
        <w:rPr>
          <w:rFonts w:ascii="宋体" w:hAnsi="宋体" w:cs="宋体"/>
          <w:sz w:val="24"/>
          <w:szCs w:val="24"/>
        </w:rPr>
      </w:pPr>
    </w:p>
    <w:p w14:paraId="39CCF530">
      <w:pPr>
        <w:tabs>
          <w:tab w:val="left" w:pos="6300"/>
        </w:tabs>
        <w:snapToGrid w:val="0"/>
        <w:spacing w:line="500" w:lineRule="exact"/>
        <w:ind w:firstLine="570"/>
        <w:rPr>
          <w:rFonts w:ascii="宋体" w:hAnsi="宋体" w:cs="宋体"/>
          <w:sz w:val="24"/>
          <w:szCs w:val="24"/>
        </w:rPr>
      </w:pPr>
    </w:p>
    <w:p w14:paraId="074F8DE5">
      <w:pPr>
        <w:tabs>
          <w:tab w:val="left" w:pos="6300"/>
        </w:tabs>
        <w:snapToGrid w:val="0"/>
        <w:spacing w:line="500" w:lineRule="exact"/>
        <w:ind w:firstLine="570"/>
        <w:rPr>
          <w:rFonts w:ascii="宋体" w:hAnsi="宋体" w:cs="宋体"/>
          <w:sz w:val="24"/>
          <w:szCs w:val="24"/>
        </w:rPr>
      </w:pPr>
    </w:p>
    <w:p w14:paraId="339AA87B">
      <w:pPr>
        <w:widowControl/>
        <w:ind w:firstLine="480" w:firstLineChars="2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（二）法定代表人身份证明书（格式）</w:t>
      </w:r>
    </w:p>
    <w:p w14:paraId="250CD6AB">
      <w:pPr>
        <w:tabs>
          <w:tab w:val="left" w:pos="6300"/>
        </w:tabs>
        <w:snapToGrid w:val="0"/>
        <w:spacing w:line="500" w:lineRule="exact"/>
        <w:ind w:firstLine="570"/>
        <w:rPr>
          <w:rFonts w:ascii="宋体" w:hAnsi="宋体" w:cs="宋体"/>
          <w:sz w:val="24"/>
          <w:szCs w:val="24"/>
        </w:rPr>
      </w:pPr>
    </w:p>
    <w:p w14:paraId="68F9AD5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项目名称：</w:t>
      </w:r>
    </w:p>
    <w:p w14:paraId="70FFD3DB">
      <w:pPr>
        <w:tabs>
          <w:tab w:val="left" w:pos="6300"/>
        </w:tabs>
        <w:snapToGrid w:val="0"/>
        <w:spacing w:line="500" w:lineRule="exact"/>
        <w:ind w:firstLine="570"/>
        <w:rPr>
          <w:rFonts w:ascii="宋体" w:hAnsi="宋体" w:cs="宋体"/>
          <w:sz w:val="24"/>
          <w:szCs w:val="24"/>
        </w:rPr>
      </w:pPr>
    </w:p>
    <w:p w14:paraId="2E91CE61">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致：（比选代理机构名称）：</w:t>
      </w:r>
    </w:p>
    <w:p w14:paraId="47241446">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（法定代表人姓名）在（比选申请人名称）任（职务名称）职务，是（比选申请人名称）的法定代表人。</w:t>
      </w:r>
    </w:p>
    <w:p w14:paraId="08E3F67B">
      <w:pPr>
        <w:tabs>
          <w:tab w:val="left" w:pos="6300"/>
        </w:tabs>
        <w:snapToGrid w:val="0"/>
        <w:spacing w:line="500" w:lineRule="exact"/>
        <w:ind w:firstLine="570"/>
        <w:rPr>
          <w:rFonts w:ascii="宋体" w:hAnsi="宋体" w:cs="宋体"/>
          <w:sz w:val="24"/>
          <w:szCs w:val="24"/>
        </w:rPr>
      </w:pPr>
    </w:p>
    <w:p w14:paraId="3B4DB173">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14:paraId="388BC593">
      <w:pPr>
        <w:tabs>
          <w:tab w:val="left" w:pos="6300"/>
        </w:tabs>
        <w:snapToGrid w:val="0"/>
        <w:spacing w:line="500" w:lineRule="exact"/>
        <w:ind w:firstLine="570"/>
        <w:rPr>
          <w:rFonts w:ascii="宋体" w:hAnsi="宋体" w:cs="宋体"/>
          <w:sz w:val="24"/>
          <w:szCs w:val="24"/>
        </w:rPr>
      </w:pPr>
    </w:p>
    <w:p w14:paraId="7E6D6D31">
      <w:pPr>
        <w:tabs>
          <w:tab w:val="left" w:pos="6300"/>
        </w:tabs>
        <w:snapToGrid w:val="0"/>
        <w:spacing w:line="500" w:lineRule="exact"/>
        <w:ind w:firstLine="570"/>
        <w:rPr>
          <w:rFonts w:ascii="宋体" w:hAnsi="宋体" w:cs="宋体"/>
          <w:sz w:val="24"/>
          <w:szCs w:val="24"/>
        </w:rPr>
      </w:pPr>
    </w:p>
    <w:p w14:paraId="7B0D933D">
      <w:pPr>
        <w:tabs>
          <w:tab w:val="left" w:pos="6300"/>
        </w:tabs>
        <w:snapToGrid w:val="0"/>
        <w:spacing w:line="500" w:lineRule="exact"/>
        <w:ind w:firstLine="570"/>
        <w:rPr>
          <w:rFonts w:ascii="宋体" w:hAnsi="宋体" w:cs="宋体"/>
          <w:sz w:val="24"/>
          <w:szCs w:val="24"/>
        </w:rPr>
      </w:pPr>
    </w:p>
    <w:p w14:paraId="6A8C3918">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2"/>
        </w:rPr>
        <w:t>比选申请人</w:t>
      </w:r>
      <w:r>
        <w:rPr>
          <w:rFonts w:hint="eastAsia" w:ascii="宋体" w:hAnsi="宋体" w:cs="宋体"/>
          <w:sz w:val="24"/>
          <w:szCs w:val="24"/>
        </w:rPr>
        <w:t>公章）</w:t>
      </w:r>
    </w:p>
    <w:p w14:paraId="68F83013">
      <w:pPr>
        <w:tabs>
          <w:tab w:val="left" w:pos="6300"/>
        </w:tabs>
        <w:snapToGrid w:val="0"/>
        <w:spacing w:line="500" w:lineRule="exact"/>
        <w:ind w:firstLine="570"/>
        <w:rPr>
          <w:rFonts w:ascii="宋体" w:hAnsi="宋体" w:cs="宋体"/>
          <w:sz w:val="24"/>
          <w:szCs w:val="24"/>
        </w:rPr>
      </w:pPr>
    </w:p>
    <w:p w14:paraId="22EC2DC7">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1343BE53">
      <w:pPr>
        <w:tabs>
          <w:tab w:val="left" w:pos="6300"/>
        </w:tabs>
        <w:snapToGrid w:val="0"/>
        <w:spacing w:line="500" w:lineRule="exact"/>
        <w:ind w:firstLine="570"/>
        <w:rPr>
          <w:rFonts w:ascii="宋体" w:hAnsi="宋体" w:cs="宋体"/>
          <w:sz w:val="24"/>
          <w:szCs w:val="24"/>
        </w:rPr>
      </w:pPr>
      <w:r>
        <w:rPr>
          <w:rFonts w:hint="eastAsia" w:ascii="宋体" w:hAnsi="宋体" w:cs="宋体"/>
          <w:sz w:val="24"/>
        </w:rPr>
        <w:t>法定代表人电话：XXXXXXX      电子邮箱：XXXXXX@XXXXX（若授权他人办理并签署响应文件的可不填写）</w:t>
      </w:r>
    </w:p>
    <w:p w14:paraId="6396867A">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14:paraId="582CE3DF">
      <w:pPr>
        <w:tabs>
          <w:tab w:val="left" w:pos="6300"/>
        </w:tabs>
        <w:snapToGrid w:val="0"/>
        <w:spacing w:line="500" w:lineRule="exact"/>
        <w:ind w:firstLine="570"/>
        <w:rPr>
          <w:rFonts w:ascii="宋体" w:hAnsi="宋体" w:cs="宋体"/>
          <w:sz w:val="24"/>
          <w:szCs w:val="24"/>
        </w:rPr>
      </w:pPr>
    </w:p>
    <w:p w14:paraId="6E0DE5F2">
      <w:pPr>
        <w:tabs>
          <w:tab w:val="left" w:pos="6300"/>
        </w:tabs>
        <w:snapToGrid w:val="0"/>
        <w:spacing w:line="500" w:lineRule="exact"/>
        <w:ind w:firstLine="570"/>
        <w:rPr>
          <w:rFonts w:ascii="宋体" w:hAnsi="宋体" w:cs="宋体"/>
          <w:sz w:val="24"/>
          <w:szCs w:val="24"/>
        </w:rPr>
      </w:pPr>
    </w:p>
    <w:p w14:paraId="655FAAA1">
      <w:pPr>
        <w:tabs>
          <w:tab w:val="left" w:pos="6300"/>
        </w:tabs>
        <w:snapToGrid w:val="0"/>
        <w:spacing w:line="500" w:lineRule="exact"/>
        <w:ind w:firstLine="570"/>
        <w:rPr>
          <w:rFonts w:ascii="宋体" w:hAnsi="宋体" w:cs="宋体"/>
          <w:sz w:val="24"/>
          <w:szCs w:val="24"/>
        </w:rPr>
      </w:pPr>
    </w:p>
    <w:p w14:paraId="152DD753">
      <w:pPr>
        <w:tabs>
          <w:tab w:val="left" w:pos="6300"/>
        </w:tabs>
        <w:snapToGrid w:val="0"/>
        <w:spacing w:line="500" w:lineRule="exact"/>
        <w:ind w:firstLine="570"/>
        <w:rPr>
          <w:rFonts w:ascii="宋体" w:hAnsi="宋体" w:cs="宋体"/>
          <w:sz w:val="24"/>
          <w:szCs w:val="24"/>
        </w:rPr>
      </w:pPr>
    </w:p>
    <w:p w14:paraId="422FEAE0">
      <w:pPr>
        <w:tabs>
          <w:tab w:val="left" w:pos="6300"/>
        </w:tabs>
        <w:snapToGrid w:val="0"/>
        <w:spacing w:line="500" w:lineRule="exact"/>
        <w:ind w:firstLine="570"/>
        <w:rPr>
          <w:rFonts w:ascii="宋体" w:hAnsi="宋体" w:cs="宋体"/>
          <w:sz w:val="24"/>
          <w:szCs w:val="24"/>
        </w:rPr>
      </w:pPr>
    </w:p>
    <w:p w14:paraId="4C9981F3">
      <w:pPr>
        <w:tabs>
          <w:tab w:val="left" w:pos="6300"/>
        </w:tabs>
        <w:snapToGrid w:val="0"/>
        <w:spacing w:line="500" w:lineRule="exact"/>
        <w:ind w:firstLine="570"/>
        <w:rPr>
          <w:rFonts w:ascii="宋体" w:hAnsi="宋体" w:cs="宋体"/>
          <w:sz w:val="24"/>
          <w:szCs w:val="24"/>
        </w:rPr>
      </w:pPr>
    </w:p>
    <w:p w14:paraId="1DF7E3C6">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14:paraId="1F57C41D">
      <w:pPr>
        <w:tabs>
          <w:tab w:val="left" w:pos="6300"/>
        </w:tabs>
        <w:snapToGrid w:val="0"/>
        <w:spacing w:line="500" w:lineRule="exact"/>
        <w:ind w:firstLine="570"/>
        <w:rPr>
          <w:rFonts w:ascii="宋体" w:hAnsi="宋体" w:cs="宋体"/>
          <w:sz w:val="24"/>
          <w:szCs w:val="24"/>
        </w:rPr>
      </w:pPr>
    </w:p>
    <w:p w14:paraId="1CFD7084">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项目名称：</w:t>
      </w:r>
    </w:p>
    <w:p w14:paraId="3CEEA8D4">
      <w:pPr>
        <w:tabs>
          <w:tab w:val="left" w:pos="6300"/>
        </w:tabs>
        <w:snapToGrid w:val="0"/>
        <w:spacing w:line="500" w:lineRule="exact"/>
        <w:ind w:firstLine="570"/>
        <w:rPr>
          <w:rFonts w:ascii="宋体" w:hAnsi="宋体" w:cs="宋体"/>
          <w:sz w:val="24"/>
          <w:szCs w:val="24"/>
        </w:rPr>
      </w:pPr>
    </w:p>
    <w:p w14:paraId="70F3265A">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致：（比选代理机构名称）：</w:t>
      </w:r>
    </w:p>
    <w:p w14:paraId="07C045A5">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（比选申请人法定代表人名称）是（比选申请人名称）的法定代表人，特授权（被授权人姓名及身份证代码）代表我单位全权办理上述项目的磋商、签约等具体工作，并签署全部有关文件、协议及合同。</w:t>
      </w:r>
    </w:p>
    <w:p w14:paraId="35BE8ED4">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709BD1E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7A3A96C0">
      <w:pPr>
        <w:tabs>
          <w:tab w:val="left" w:pos="6300"/>
        </w:tabs>
        <w:snapToGrid w:val="0"/>
        <w:spacing w:line="500" w:lineRule="exact"/>
        <w:ind w:firstLine="570"/>
        <w:rPr>
          <w:rFonts w:ascii="宋体" w:hAnsi="宋体" w:cs="宋体"/>
          <w:sz w:val="24"/>
          <w:szCs w:val="24"/>
        </w:rPr>
      </w:pPr>
    </w:p>
    <w:p w14:paraId="2D9F5B4A">
      <w:pPr>
        <w:tabs>
          <w:tab w:val="left" w:pos="6300"/>
        </w:tabs>
        <w:snapToGrid w:val="0"/>
        <w:spacing w:line="500" w:lineRule="exact"/>
        <w:ind w:firstLine="570"/>
        <w:rPr>
          <w:rFonts w:ascii="宋体" w:hAnsi="宋体" w:cs="宋体"/>
          <w:sz w:val="24"/>
          <w:szCs w:val="24"/>
        </w:rPr>
      </w:pPr>
    </w:p>
    <w:p w14:paraId="45DCA7BF">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被授权人：                                 </w:t>
      </w:r>
      <w:r>
        <w:rPr>
          <w:rFonts w:hint="eastAsia" w:ascii="宋体" w:hAnsi="宋体" w:cs="宋体"/>
          <w:sz w:val="24"/>
          <w:szCs w:val="22"/>
        </w:rPr>
        <w:t>比选申请人</w:t>
      </w:r>
      <w:r>
        <w:rPr>
          <w:rFonts w:hint="eastAsia" w:ascii="宋体" w:hAnsi="宋体" w:cs="宋体"/>
          <w:sz w:val="24"/>
          <w:szCs w:val="24"/>
        </w:rPr>
        <w:t>法定代表人：</w:t>
      </w:r>
    </w:p>
    <w:p w14:paraId="27B97658">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（签字或盖章）                                （签字或盖章）</w:t>
      </w:r>
    </w:p>
    <w:p w14:paraId="541F99F7">
      <w:pPr>
        <w:tabs>
          <w:tab w:val="left" w:pos="6300"/>
        </w:tabs>
        <w:snapToGrid w:val="0"/>
        <w:spacing w:line="500" w:lineRule="exact"/>
        <w:ind w:firstLine="570"/>
        <w:rPr>
          <w:rFonts w:ascii="宋体" w:hAnsi="宋体" w:cs="宋体"/>
          <w:sz w:val="24"/>
          <w:szCs w:val="24"/>
        </w:rPr>
      </w:pPr>
    </w:p>
    <w:p w14:paraId="2A0E826B">
      <w:pPr>
        <w:tabs>
          <w:tab w:val="left" w:pos="6300"/>
        </w:tabs>
        <w:snapToGrid w:val="0"/>
        <w:spacing w:line="500" w:lineRule="exact"/>
        <w:ind w:firstLine="570"/>
        <w:rPr>
          <w:rFonts w:ascii="宋体" w:hAnsi="宋体" w:cs="宋体"/>
          <w:sz w:val="24"/>
          <w:szCs w:val="24"/>
        </w:rPr>
      </w:pPr>
    </w:p>
    <w:p w14:paraId="7C459F3E">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14:paraId="68B3C97B">
      <w:pPr>
        <w:tabs>
          <w:tab w:val="left" w:pos="6300"/>
        </w:tabs>
        <w:snapToGrid w:val="0"/>
        <w:spacing w:line="500" w:lineRule="exact"/>
        <w:ind w:firstLine="570"/>
        <w:rPr>
          <w:rFonts w:ascii="宋体" w:hAnsi="宋体" w:cs="宋体"/>
          <w:sz w:val="24"/>
          <w:szCs w:val="24"/>
        </w:rPr>
      </w:pPr>
    </w:p>
    <w:p w14:paraId="0A7DBA1F">
      <w:pPr>
        <w:tabs>
          <w:tab w:val="left" w:pos="6300"/>
        </w:tabs>
        <w:snapToGrid w:val="0"/>
        <w:spacing w:line="500" w:lineRule="exact"/>
        <w:ind w:firstLine="570"/>
        <w:rPr>
          <w:rFonts w:ascii="宋体" w:hAnsi="宋体" w:cs="宋体"/>
          <w:sz w:val="24"/>
          <w:szCs w:val="24"/>
        </w:rPr>
      </w:pPr>
    </w:p>
    <w:p w14:paraId="198CE960">
      <w:pPr>
        <w:tabs>
          <w:tab w:val="left" w:pos="6300"/>
        </w:tabs>
        <w:snapToGrid w:val="0"/>
        <w:spacing w:line="500" w:lineRule="exact"/>
        <w:ind w:firstLine="570"/>
        <w:rPr>
          <w:rFonts w:ascii="宋体" w:hAnsi="宋体" w:cs="宋体"/>
          <w:sz w:val="24"/>
          <w:szCs w:val="24"/>
        </w:rPr>
      </w:pPr>
    </w:p>
    <w:p w14:paraId="0C7D5BEF">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w:t>
      </w:r>
      <w:r>
        <w:rPr>
          <w:rFonts w:hint="eastAsia" w:ascii="宋体" w:hAnsi="宋体" w:cs="宋体"/>
          <w:sz w:val="24"/>
          <w:szCs w:val="22"/>
        </w:rPr>
        <w:t>比选申请人</w:t>
      </w:r>
      <w:r>
        <w:rPr>
          <w:rFonts w:hint="eastAsia" w:ascii="宋体" w:hAnsi="宋体" w:cs="宋体"/>
          <w:sz w:val="24"/>
          <w:szCs w:val="24"/>
        </w:rPr>
        <w:t>公章）</w:t>
      </w:r>
    </w:p>
    <w:p w14:paraId="08D28129">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年   月   日</w:t>
      </w:r>
    </w:p>
    <w:p w14:paraId="41D169FA">
      <w:pPr>
        <w:tabs>
          <w:tab w:val="left" w:pos="6300"/>
        </w:tabs>
        <w:snapToGrid w:val="0"/>
        <w:spacing w:line="500" w:lineRule="exact"/>
        <w:ind w:right="480" w:firstLine="570"/>
        <w:jc w:val="right"/>
        <w:rPr>
          <w:rFonts w:ascii="宋体" w:hAnsi="宋体" w:cs="宋体"/>
          <w:sz w:val="24"/>
          <w:szCs w:val="24"/>
        </w:rPr>
      </w:pPr>
    </w:p>
    <w:p w14:paraId="01337462">
      <w:pPr>
        <w:tabs>
          <w:tab w:val="left" w:pos="6300"/>
        </w:tabs>
        <w:snapToGrid w:val="0"/>
        <w:spacing w:line="500" w:lineRule="exact"/>
        <w:ind w:right="480" w:firstLine="570"/>
        <w:jc w:val="left"/>
        <w:rPr>
          <w:rFonts w:ascii="宋体" w:hAnsi="宋体" w:cs="宋体"/>
          <w:sz w:val="24"/>
          <w:szCs w:val="24"/>
        </w:rPr>
      </w:pPr>
      <w:r>
        <w:rPr>
          <w:rFonts w:hint="eastAsia" w:ascii="宋体" w:hAnsi="宋体" w:cs="宋体"/>
          <w:sz w:val="24"/>
        </w:rPr>
        <w:t>被授权人电话：XXXXXXX     电子邮箱：XXXXXX@XXXXX（若法定代表人办理并签署响应文件的可不填写）</w:t>
      </w:r>
    </w:p>
    <w:p w14:paraId="711D218B">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4"/>
        </w:rPr>
        <w:br w:type="column"/>
      </w:r>
      <w:r>
        <w:rPr>
          <w:rFonts w:hint="eastAsia" w:ascii="宋体" w:hAnsi="宋体" w:cs="宋体"/>
          <w:szCs w:val="22"/>
        </w:rPr>
        <w:t>（四）基本资格条件承诺函</w:t>
      </w:r>
    </w:p>
    <w:p w14:paraId="10A930D5">
      <w:pPr>
        <w:spacing w:line="530" w:lineRule="exact"/>
        <w:ind w:firstLine="723" w:firstLineChars="200"/>
        <w:jc w:val="center"/>
        <w:outlineLvl w:val="0"/>
        <w:rPr>
          <w:rFonts w:ascii="宋体" w:hAnsi="宋体" w:cs="宋体"/>
          <w:b/>
          <w:bCs/>
          <w:sz w:val="36"/>
          <w:szCs w:val="36"/>
        </w:rPr>
      </w:pPr>
      <w:r>
        <w:rPr>
          <w:rFonts w:hint="eastAsia" w:ascii="宋体" w:hAnsi="宋体" w:cs="宋体"/>
          <w:b/>
          <w:bCs/>
          <w:sz w:val="36"/>
          <w:szCs w:val="36"/>
        </w:rPr>
        <w:t>基本资格条件承诺函</w:t>
      </w:r>
    </w:p>
    <w:p w14:paraId="6C3ED48A">
      <w:pPr>
        <w:tabs>
          <w:tab w:val="left" w:pos="6300"/>
        </w:tabs>
        <w:snapToGrid w:val="0"/>
        <w:spacing w:line="530" w:lineRule="exact"/>
        <w:rPr>
          <w:rFonts w:ascii="宋体" w:hAnsi="宋体" w:cs="宋体"/>
          <w:sz w:val="24"/>
        </w:rPr>
      </w:pPr>
    </w:p>
    <w:p w14:paraId="4D3A8EDD">
      <w:pPr>
        <w:tabs>
          <w:tab w:val="left" w:pos="6300"/>
        </w:tabs>
        <w:snapToGrid w:val="0"/>
        <w:spacing w:line="500" w:lineRule="exact"/>
        <w:ind w:firstLine="480" w:firstLineChars="200"/>
        <w:rPr>
          <w:rFonts w:ascii="宋体" w:hAnsi="宋体" w:cs="宋体"/>
          <w:sz w:val="24"/>
          <w:szCs w:val="22"/>
        </w:rPr>
      </w:pPr>
      <w:r>
        <w:rPr>
          <w:rFonts w:hint="eastAsia" w:ascii="宋体" w:hAnsi="宋体" w:cs="宋体"/>
          <w:sz w:val="24"/>
          <w:szCs w:val="22"/>
        </w:rPr>
        <w:t>致（比选代理机构名称）：</w:t>
      </w:r>
    </w:p>
    <w:p w14:paraId="733B0A76">
      <w:pPr>
        <w:tabs>
          <w:tab w:val="left" w:pos="6300"/>
        </w:tabs>
        <w:snapToGrid w:val="0"/>
        <w:spacing w:line="500" w:lineRule="exact"/>
        <w:ind w:firstLine="480" w:firstLineChars="200"/>
        <w:rPr>
          <w:rFonts w:ascii="宋体" w:hAnsi="宋体" w:cs="宋体"/>
          <w:sz w:val="24"/>
          <w:szCs w:val="22"/>
        </w:rPr>
      </w:pPr>
      <w:r>
        <w:rPr>
          <w:rFonts w:hint="eastAsia" w:ascii="宋体" w:hAnsi="宋体" w:cs="宋体"/>
          <w:sz w:val="24"/>
          <w:szCs w:val="22"/>
        </w:rPr>
        <w:t>（比选申请人名称）郑重承诺：</w:t>
      </w:r>
    </w:p>
    <w:p w14:paraId="04672E26">
      <w:pPr>
        <w:tabs>
          <w:tab w:val="left" w:pos="6300"/>
        </w:tabs>
        <w:snapToGrid w:val="0"/>
        <w:spacing w:line="500" w:lineRule="exact"/>
        <w:ind w:firstLine="480" w:firstLineChars="200"/>
        <w:rPr>
          <w:rFonts w:ascii="宋体" w:hAnsi="宋体" w:cs="宋体"/>
          <w:sz w:val="24"/>
          <w:szCs w:val="22"/>
        </w:rPr>
      </w:pPr>
      <w:r>
        <w:rPr>
          <w:rFonts w:hint="eastAsia" w:ascii="宋体" w:hAnsi="宋体" w:cs="宋体"/>
          <w:sz w:val="24"/>
          <w:szCs w:val="22"/>
        </w:rPr>
        <w:t>1.我方具有良好的商业信誉和健全的财务会计制度，具有履行合同所必需的设备和专业技术能力，具</w:t>
      </w:r>
      <w:r>
        <w:rPr>
          <w:rFonts w:hint="eastAsia" w:ascii="宋体" w:hAnsi="宋体" w:cs="宋体"/>
          <w:sz w:val="24"/>
          <w:szCs w:val="22"/>
          <w:lang w:val="zh-CN"/>
        </w:rPr>
        <w:t>有依法缴纳税收和社会保障金的良好记录</w:t>
      </w:r>
      <w:r>
        <w:rPr>
          <w:rFonts w:hint="eastAsia" w:ascii="宋体" w:hAnsi="宋体" w:cs="宋体"/>
          <w:sz w:val="24"/>
          <w:szCs w:val="22"/>
        </w:rPr>
        <w:t>，参加本项目采购活动前三年内无重大违法活动记录。</w:t>
      </w:r>
    </w:p>
    <w:p w14:paraId="0E883EC4">
      <w:pPr>
        <w:tabs>
          <w:tab w:val="left" w:pos="6300"/>
        </w:tabs>
        <w:snapToGrid w:val="0"/>
        <w:spacing w:line="500" w:lineRule="exact"/>
        <w:ind w:firstLine="480" w:firstLineChars="200"/>
        <w:rPr>
          <w:rFonts w:ascii="宋体" w:hAnsi="宋体" w:cs="宋体"/>
          <w:sz w:val="24"/>
          <w:szCs w:val="22"/>
        </w:rPr>
      </w:pPr>
      <w:r>
        <w:rPr>
          <w:rFonts w:hint="eastAsia" w:ascii="宋体" w:hAnsi="宋体" w:cs="宋体"/>
          <w:sz w:val="24"/>
          <w:szCs w:val="22"/>
        </w:rPr>
        <w:t>2.我方未列入在信用中国网站（www.creditchina.gov.cn）“失信被执行人”、“重大税收违法案件当事人名单”中，也未列入中国政府采购网（www.ccgp.gov.cn）“政府采购严重违法失信行为记录名单”中。</w:t>
      </w:r>
    </w:p>
    <w:p w14:paraId="5222ED2E">
      <w:pPr>
        <w:tabs>
          <w:tab w:val="left" w:pos="6300"/>
        </w:tabs>
        <w:snapToGrid w:val="0"/>
        <w:spacing w:line="500" w:lineRule="exact"/>
        <w:ind w:firstLine="480" w:firstLineChars="200"/>
        <w:rPr>
          <w:rFonts w:ascii="宋体" w:hAnsi="宋体" w:cs="宋体"/>
          <w:sz w:val="24"/>
          <w:szCs w:val="22"/>
        </w:rPr>
      </w:pPr>
      <w:r>
        <w:rPr>
          <w:rFonts w:hint="eastAsia" w:ascii="宋体" w:hAnsi="宋体" w:cs="宋体"/>
          <w:sz w:val="24"/>
          <w:szCs w:val="22"/>
        </w:rPr>
        <w:t>3.我方在采购项目评审（评标）环节结束后，随时接受比选人、比选代理机构的检查验证，配合提供相关证明材料，证明符合《中华人民共和国政府采购法》规定的比选申请人基本资格条件。</w:t>
      </w:r>
    </w:p>
    <w:p w14:paraId="7E59FDFA">
      <w:pPr>
        <w:tabs>
          <w:tab w:val="left" w:pos="6300"/>
        </w:tabs>
        <w:snapToGrid w:val="0"/>
        <w:spacing w:line="500" w:lineRule="exact"/>
        <w:ind w:firstLine="480" w:firstLineChars="200"/>
        <w:rPr>
          <w:rFonts w:ascii="宋体" w:hAnsi="宋体" w:cs="宋体"/>
          <w:sz w:val="24"/>
          <w:szCs w:val="22"/>
        </w:rPr>
      </w:pPr>
      <w:r>
        <w:rPr>
          <w:rFonts w:hint="eastAsia" w:ascii="宋体" w:hAnsi="宋体" w:cs="宋体"/>
          <w:sz w:val="24"/>
          <w:szCs w:val="22"/>
        </w:rPr>
        <w:t>我方对以上承诺负全部法律责任。</w:t>
      </w:r>
    </w:p>
    <w:p w14:paraId="47378701">
      <w:pPr>
        <w:tabs>
          <w:tab w:val="left" w:pos="6300"/>
        </w:tabs>
        <w:snapToGrid w:val="0"/>
        <w:spacing w:line="500" w:lineRule="exact"/>
        <w:ind w:firstLine="480" w:firstLineChars="200"/>
        <w:rPr>
          <w:rFonts w:ascii="宋体" w:hAnsi="宋体" w:cs="宋体"/>
          <w:sz w:val="24"/>
          <w:szCs w:val="22"/>
        </w:rPr>
      </w:pPr>
      <w:r>
        <w:rPr>
          <w:rFonts w:hint="eastAsia" w:ascii="宋体" w:hAnsi="宋体" w:cs="宋体"/>
          <w:sz w:val="24"/>
          <w:szCs w:val="22"/>
        </w:rPr>
        <w:t>特此承诺。</w:t>
      </w:r>
    </w:p>
    <w:p w14:paraId="3B9BDEF1">
      <w:pPr>
        <w:tabs>
          <w:tab w:val="left" w:pos="6300"/>
        </w:tabs>
        <w:snapToGrid w:val="0"/>
        <w:spacing w:line="500" w:lineRule="exact"/>
        <w:ind w:firstLine="480" w:firstLineChars="200"/>
        <w:rPr>
          <w:rFonts w:ascii="宋体" w:hAnsi="宋体" w:cs="宋体"/>
          <w:sz w:val="24"/>
          <w:szCs w:val="22"/>
        </w:rPr>
      </w:pPr>
    </w:p>
    <w:p w14:paraId="34491B30">
      <w:pPr>
        <w:tabs>
          <w:tab w:val="left" w:pos="6300"/>
        </w:tabs>
        <w:snapToGrid w:val="0"/>
        <w:spacing w:line="500" w:lineRule="exact"/>
        <w:ind w:firstLine="480" w:firstLineChars="200"/>
        <w:jc w:val="right"/>
        <w:rPr>
          <w:rFonts w:ascii="宋体" w:hAnsi="宋体" w:cs="宋体"/>
          <w:sz w:val="24"/>
          <w:szCs w:val="22"/>
        </w:rPr>
      </w:pPr>
      <w:r>
        <w:rPr>
          <w:rFonts w:hint="eastAsia" w:ascii="宋体" w:hAnsi="宋体" w:cs="宋体"/>
          <w:sz w:val="24"/>
          <w:szCs w:val="22"/>
        </w:rPr>
        <w:t>（比选申请人公章）</w:t>
      </w:r>
    </w:p>
    <w:p w14:paraId="3F712AF7">
      <w:pPr>
        <w:tabs>
          <w:tab w:val="left" w:pos="6300"/>
        </w:tabs>
        <w:snapToGrid w:val="0"/>
        <w:spacing w:line="500" w:lineRule="exact"/>
        <w:ind w:firstLine="480" w:firstLineChars="200"/>
        <w:jc w:val="right"/>
        <w:rPr>
          <w:rFonts w:ascii="宋体" w:hAnsi="宋体" w:cs="宋体"/>
          <w:sz w:val="24"/>
          <w:szCs w:val="22"/>
        </w:rPr>
      </w:pPr>
      <w:r>
        <w:rPr>
          <w:rFonts w:hint="eastAsia" w:ascii="宋体" w:hAnsi="宋体" w:cs="宋体"/>
          <w:sz w:val="24"/>
          <w:szCs w:val="22"/>
        </w:rPr>
        <w:t>年   月   日</w:t>
      </w:r>
    </w:p>
    <w:p w14:paraId="5C66DF53">
      <w:pPr>
        <w:pStyle w:val="9"/>
        <w:rPr>
          <w:rFonts w:ascii="宋体" w:hAnsi="宋体" w:eastAsia="宋体" w:cs="宋体"/>
          <w:sz w:val="24"/>
          <w:szCs w:val="22"/>
        </w:rPr>
      </w:pPr>
    </w:p>
    <w:p w14:paraId="1490241E">
      <w:pPr>
        <w:pStyle w:val="9"/>
        <w:rPr>
          <w:rFonts w:ascii="宋体" w:hAnsi="宋体" w:eastAsia="宋体" w:cs="宋体"/>
          <w:sz w:val="24"/>
          <w:szCs w:val="22"/>
        </w:rPr>
      </w:pPr>
    </w:p>
    <w:p w14:paraId="25F166F5">
      <w:pPr>
        <w:pStyle w:val="9"/>
        <w:rPr>
          <w:rFonts w:ascii="宋体" w:hAnsi="宋体" w:eastAsia="宋体" w:cs="宋体"/>
          <w:sz w:val="24"/>
          <w:szCs w:val="22"/>
        </w:rPr>
      </w:pPr>
    </w:p>
    <w:p w14:paraId="08C10607">
      <w:pPr>
        <w:pStyle w:val="9"/>
        <w:rPr>
          <w:rFonts w:ascii="宋体" w:hAnsi="宋体" w:eastAsia="宋体" w:cs="宋体"/>
          <w:sz w:val="24"/>
          <w:szCs w:val="22"/>
        </w:rPr>
      </w:pPr>
    </w:p>
    <w:p w14:paraId="0549AABD">
      <w:pPr>
        <w:pStyle w:val="9"/>
        <w:rPr>
          <w:rFonts w:ascii="宋体" w:hAnsi="宋体" w:eastAsia="宋体" w:cs="宋体"/>
          <w:sz w:val="24"/>
          <w:szCs w:val="22"/>
        </w:rPr>
      </w:pPr>
    </w:p>
    <w:p w14:paraId="7404689D">
      <w:pPr>
        <w:pStyle w:val="9"/>
        <w:rPr>
          <w:rFonts w:ascii="宋体" w:hAnsi="宋体" w:eastAsia="宋体" w:cs="宋体"/>
          <w:sz w:val="24"/>
          <w:szCs w:val="22"/>
        </w:rPr>
      </w:pPr>
    </w:p>
    <w:p w14:paraId="5CFE061B">
      <w:pPr>
        <w:pStyle w:val="9"/>
        <w:rPr>
          <w:rFonts w:ascii="宋体" w:hAnsi="宋体" w:eastAsia="宋体" w:cs="宋体"/>
          <w:sz w:val="24"/>
          <w:szCs w:val="22"/>
        </w:rPr>
      </w:pPr>
    </w:p>
    <w:p w14:paraId="7B6BB63C">
      <w:pPr>
        <w:pStyle w:val="9"/>
        <w:rPr>
          <w:rFonts w:ascii="宋体" w:hAnsi="宋体" w:eastAsia="宋体" w:cs="宋体"/>
          <w:sz w:val="24"/>
          <w:szCs w:val="22"/>
        </w:rPr>
      </w:pPr>
    </w:p>
    <w:p w14:paraId="530DD5D5">
      <w:pPr>
        <w:rPr>
          <w:rFonts w:ascii="宋体" w:hAnsi="宋体" w:cs="宋体"/>
        </w:rPr>
      </w:pPr>
    </w:p>
    <w:p w14:paraId="283F6203">
      <w:pPr>
        <w:pStyle w:val="9"/>
        <w:rPr>
          <w:rFonts w:ascii="宋体" w:hAnsi="宋体" w:eastAsia="宋体" w:cs="宋体"/>
        </w:rPr>
      </w:pPr>
    </w:p>
    <w:p w14:paraId="135C6BBD">
      <w:pPr>
        <w:pStyle w:val="7"/>
        <w:ind w:firstLine="0"/>
        <w:rPr>
          <w:rFonts w:ascii="宋体" w:hAnsi="宋体" w:cs="宋体"/>
        </w:rPr>
      </w:pPr>
    </w:p>
    <w:p w14:paraId="06551E56">
      <w:pPr>
        <w:pStyle w:val="7"/>
        <w:ind w:firstLine="0"/>
        <w:rPr>
          <w:rFonts w:ascii="宋体" w:hAnsi="宋体" w:cs="宋体"/>
        </w:rPr>
      </w:pPr>
    </w:p>
    <w:p w14:paraId="6AED3120">
      <w:pPr>
        <w:pStyle w:val="7"/>
        <w:ind w:firstLine="0"/>
        <w:rPr>
          <w:rFonts w:ascii="宋体" w:hAnsi="宋体" w:cs="宋体"/>
        </w:rPr>
      </w:pPr>
    </w:p>
    <w:p w14:paraId="1A81E184">
      <w:pPr>
        <w:tabs>
          <w:tab w:val="left" w:pos="6300"/>
        </w:tabs>
        <w:snapToGrid w:val="0"/>
        <w:spacing w:line="500" w:lineRule="exact"/>
        <w:rPr>
          <w:rFonts w:ascii="宋体" w:hAnsi="宋体" w:cs="宋体"/>
          <w:sz w:val="24"/>
        </w:rPr>
      </w:pPr>
      <w:r>
        <w:rPr>
          <w:rFonts w:hint="eastAsia" w:ascii="宋体" w:hAnsi="宋体" w:cs="宋体"/>
          <w:sz w:val="24"/>
          <w:szCs w:val="22"/>
        </w:rPr>
        <w:t>（五）特定资格条件</w:t>
      </w:r>
    </w:p>
    <w:p w14:paraId="735618FD">
      <w:pPr>
        <w:tabs>
          <w:tab w:val="left" w:pos="6300"/>
        </w:tabs>
        <w:snapToGrid w:val="0"/>
        <w:spacing w:line="360" w:lineRule="auto"/>
        <w:ind w:firstLine="560" w:firstLineChars="200"/>
        <w:rPr>
          <w:rFonts w:ascii="宋体" w:hAnsi="宋体" w:cs="宋体"/>
        </w:rPr>
      </w:pPr>
    </w:p>
    <w:p w14:paraId="6B52E92F">
      <w:pPr>
        <w:tabs>
          <w:tab w:val="left" w:pos="6300"/>
        </w:tabs>
        <w:snapToGrid w:val="0"/>
        <w:spacing w:line="360" w:lineRule="auto"/>
        <w:ind w:firstLine="560" w:firstLineChars="200"/>
        <w:rPr>
          <w:rFonts w:ascii="宋体" w:hAnsi="宋体" w:cs="宋体"/>
        </w:rPr>
      </w:pPr>
    </w:p>
    <w:p w14:paraId="6F9EF4C8">
      <w:pPr>
        <w:tabs>
          <w:tab w:val="left" w:pos="6300"/>
        </w:tabs>
        <w:snapToGrid w:val="0"/>
        <w:spacing w:line="360" w:lineRule="auto"/>
        <w:ind w:firstLine="560" w:firstLineChars="200"/>
        <w:rPr>
          <w:rFonts w:ascii="宋体" w:hAnsi="宋体" w:cs="宋体"/>
        </w:rPr>
      </w:pPr>
    </w:p>
    <w:p w14:paraId="66FAB3DA">
      <w:pPr>
        <w:tabs>
          <w:tab w:val="left" w:pos="6300"/>
        </w:tabs>
        <w:snapToGrid w:val="0"/>
        <w:spacing w:line="360" w:lineRule="auto"/>
        <w:ind w:firstLine="560" w:firstLineChars="200"/>
        <w:rPr>
          <w:rFonts w:ascii="宋体" w:hAnsi="宋体" w:cs="宋体"/>
        </w:rPr>
      </w:pPr>
    </w:p>
    <w:p w14:paraId="27900570">
      <w:pPr>
        <w:tabs>
          <w:tab w:val="left" w:pos="6300"/>
        </w:tabs>
        <w:snapToGrid w:val="0"/>
        <w:spacing w:line="360" w:lineRule="auto"/>
        <w:ind w:firstLine="560" w:firstLineChars="200"/>
        <w:rPr>
          <w:rFonts w:ascii="宋体" w:hAnsi="宋体" w:cs="宋体"/>
        </w:rPr>
      </w:pPr>
    </w:p>
    <w:p w14:paraId="1B6F1F54">
      <w:pPr>
        <w:tabs>
          <w:tab w:val="left" w:pos="6300"/>
        </w:tabs>
        <w:snapToGrid w:val="0"/>
        <w:spacing w:line="360" w:lineRule="auto"/>
        <w:ind w:firstLine="560" w:firstLineChars="200"/>
        <w:rPr>
          <w:rFonts w:ascii="宋体" w:hAnsi="宋体" w:cs="宋体"/>
        </w:rPr>
      </w:pPr>
    </w:p>
    <w:p w14:paraId="2DE9F43F">
      <w:pPr>
        <w:tabs>
          <w:tab w:val="left" w:pos="6300"/>
        </w:tabs>
        <w:snapToGrid w:val="0"/>
        <w:spacing w:line="360" w:lineRule="auto"/>
        <w:ind w:firstLine="560" w:firstLineChars="200"/>
        <w:rPr>
          <w:rFonts w:ascii="宋体" w:hAnsi="宋体" w:cs="宋体"/>
        </w:rPr>
      </w:pPr>
    </w:p>
    <w:p w14:paraId="4A7A53DD">
      <w:pPr>
        <w:tabs>
          <w:tab w:val="left" w:pos="6300"/>
        </w:tabs>
        <w:snapToGrid w:val="0"/>
        <w:spacing w:line="360" w:lineRule="auto"/>
        <w:ind w:firstLine="560" w:firstLineChars="200"/>
        <w:rPr>
          <w:rFonts w:ascii="宋体" w:hAnsi="宋体" w:cs="宋体"/>
        </w:rPr>
      </w:pPr>
    </w:p>
    <w:p w14:paraId="4BF32278">
      <w:pPr>
        <w:tabs>
          <w:tab w:val="left" w:pos="6300"/>
        </w:tabs>
        <w:snapToGrid w:val="0"/>
        <w:spacing w:line="360" w:lineRule="auto"/>
        <w:ind w:firstLine="560" w:firstLineChars="200"/>
        <w:rPr>
          <w:rFonts w:ascii="宋体" w:hAnsi="宋体" w:cs="宋体"/>
        </w:rPr>
      </w:pPr>
    </w:p>
    <w:p w14:paraId="287EB6A0">
      <w:pPr>
        <w:pStyle w:val="25"/>
        <w:ind w:firstLine="0"/>
        <w:rPr>
          <w:rFonts w:ascii="宋体" w:hAnsi="宋体" w:cs="宋体"/>
        </w:rPr>
      </w:pPr>
    </w:p>
    <w:p w14:paraId="7F100D82">
      <w:pPr>
        <w:tabs>
          <w:tab w:val="left" w:pos="6300"/>
        </w:tabs>
        <w:snapToGrid w:val="0"/>
        <w:spacing w:line="360" w:lineRule="auto"/>
        <w:rPr>
          <w:rFonts w:ascii="宋体" w:hAnsi="宋体" w:cs="宋体"/>
        </w:rPr>
      </w:pPr>
    </w:p>
    <w:p w14:paraId="34A36FC3">
      <w:pPr>
        <w:pStyle w:val="6"/>
        <w:numPr>
          <w:ilvl w:val="0"/>
          <w:numId w:val="5"/>
        </w:numPr>
        <w:spacing w:before="0" w:after="0" w:line="360" w:lineRule="auto"/>
        <w:rPr>
          <w:rFonts w:ascii="宋体" w:hAnsi="宋体" w:cs="宋体"/>
          <w:sz w:val="24"/>
          <w:szCs w:val="24"/>
        </w:rPr>
        <w:sectPr>
          <w:pgSz w:w="11907" w:h="16840"/>
          <w:pgMar w:top="1134" w:right="1191" w:bottom="1134" w:left="1304" w:header="851" w:footer="992" w:gutter="0"/>
          <w:cols w:space="720" w:num="1"/>
          <w:docGrid w:linePitch="380" w:charSpace="-5735"/>
        </w:sectPr>
      </w:pPr>
      <w:bookmarkStart w:id="227" w:name="_Toc3440"/>
      <w:bookmarkStart w:id="228" w:name="_Toc14422"/>
      <w:bookmarkStart w:id="229" w:name="_Toc98164613"/>
      <w:bookmarkStart w:id="230" w:name="_Toc83288568"/>
      <w:bookmarkStart w:id="231" w:name="_Toc27355"/>
    </w:p>
    <w:p w14:paraId="26B7112C">
      <w:pPr>
        <w:pStyle w:val="6"/>
        <w:spacing w:before="0" w:after="0" w:line="360" w:lineRule="auto"/>
        <w:rPr>
          <w:rFonts w:ascii="宋体" w:hAnsi="宋体" w:cs="宋体"/>
          <w:sz w:val="24"/>
          <w:szCs w:val="24"/>
        </w:rPr>
      </w:pPr>
      <w:bookmarkStart w:id="232" w:name="_Toc9718"/>
      <w:r>
        <w:rPr>
          <w:rFonts w:hint="eastAsia" w:ascii="宋体" w:hAnsi="宋体" w:cs="宋体"/>
          <w:sz w:val="24"/>
          <w:szCs w:val="24"/>
        </w:rPr>
        <w:t>五、其他应提供的资料</w:t>
      </w:r>
      <w:bookmarkEnd w:id="227"/>
      <w:bookmarkEnd w:id="228"/>
      <w:bookmarkEnd w:id="229"/>
      <w:bookmarkEnd w:id="230"/>
      <w:bookmarkEnd w:id="231"/>
      <w:bookmarkEnd w:id="232"/>
    </w:p>
    <w:p w14:paraId="39858C32">
      <w:pPr>
        <w:spacing w:line="360" w:lineRule="auto"/>
        <w:ind w:firstLine="480" w:firstLineChars="200"/>
        <w:rPr>
          <w:rFonts w:ascii="宋体" w:hAnsi="宋体" w:cs="宋体"/>
          <w:sz w:val="24"/>
          <w:szCs w:val="24"/>
        </w:rPr>
      </w:pPr>
      <w:r>
        <w:rPr>
          <w:rFonts w:hint="eastAsia" w:ascii="宋体" w:hAnsi="宋体" w:cs="宋体"/>
          <w:sz w:val="24"/>
          <w:szCs w:val="24"/>
        </w:rPr>
        <w:t>（一）比选保证金缴纳情况证明文件</w:t>
      </w:r>
    </w:p>
    <w:p w14:paraId="68BB25FE">
      <w:pPr>
        <w:spacing w:line="360" w:lineRule="auto"/>
        <w:ind w:firstLine="480" w:firstLineChars="200"/>
        <w:rPr>
          <w:rFonts w:ascii="宋体" w:hAnsi="宋体" w:cs="宋体"/>
          <w:sz w:val="24"/>
          <w:szCs w:val="24"/>
        </w:rPr>
      </w:pPr>
      <w:r>
        <w:rPr>
          <w:rFonts w:hint="eastAsia" w:ascii="宋体" w:hAnsi="宋体" w:cs="宋体"/>
          <w:sz w:val="24"/>
          <w:szCs w:val="24"/>
        </w:rPr>
        <w:t>（二）其他与项目有关的资料（自附）：比选申请人总体情况介绍、其他与本项目有关的资料等。</w:t>
      </w:r>
    </w:p>
    <w:p w14:paraId="4A669C1F">
      <w:pPr>
        <w:ind w:firstLine="560" w:firstLineChars="200"/>
        <w:rPr>
          <w:rFonts w:ascii="宋体" w:hAnsi="宋体" w:cs="宋体"/>
          <w:szCs w:val="24"/>
        </w:rPr>
      </w:pPr>
    </w:p>
    <w:p w14:paraId="6EAC5F7F">
      <w:pPr>
        <w:ind w:firstLine="560" w:firstLineChars="200"/>
        <w:jc w:val="center"/>
        <w:rPr>
          <w:rFonts w:ascii="宋体" w:hAnsi="宋体" w:cs="宋体"/>
          <w:szCs w:val="24"/>
        </w:rPr>
      </w:pPr>
    </w:p>
    <w:p w14:paraId="49BECC62">
      <w:pPr>
        <w:ind w:firstLine="560" w:firstLineChars="200"/>
        <w:jc w:val="center"/>
        <w:rPr>
          <w:rFonts w:ascii="宋体" w:hAnsi="宋体" w:cs="宋体"/>
          <w:szCs w:val="24"/>
        </w:rPr>
      </w:pPr>
    </w:p>
    <w:p w14:paraId="2021F119">
      <w:pPr>
        <w:rPr>
          <w:rFonts w:ascii="宋体" w:hAnsi="宋体" w:cs="宋体"/>
          <w:szCs w:val="24"/>
        </w:rPr>
      </w:pPr>
    </w:p>
    <w:p w14:paraId="72354FC4">
      <w:pPr>
        <w:snapToGrid w:val="0"/>
        <w:spacing w:line="440" w:lineRule="exact"/>
        <w:ind w:firstLine="480" w:firstLineChars="200"/>
        <w:jc w:val="center"/>
        <w:rPr>
          <w:rFonts w:ascii="宋体" w:hAnsi="宋体" w:cs="宋体"/>
          <w:sz w:val="24"/>
        </w:rPr>
      </w:pPr>
    </w:p>
    <w:p w14:paraId="2FDE449B">
      <w:pPr>
        <w:pStyle w:val="7"/>
        <w:rPr>
          <w:rFonts w:ascii="宋体" w:hAnsi="宋体" w:cs="宋体"/>
        </w:rPr>
      </w:pPr>
    </w:p>
    <w:p w14:paraId="0A963F94">
      <w:pPr>
        <w:pStyle w:val="7"/>
        <w:rPr>
          <w:rFonts w:ascii="宋体" w:hAnsi="宋体" w:cs="宋体"/>
        </w:rPr>
      </w:pPr>
    </w:p>
    <w:p w14:paraId="243F9F56">
      <w:pPr>
        <w:pStyle w:val="7"/>
        <w:rPr>
          <w:rFonts w:ascii="宋体" w:hAnsi="宋体" w:cs="宋体"/>
        </w:rPr>
      </w:pPr>
    </w:p>
    <w:p w14:paraId="14811141">
      <w:pPr>
        <w:pStyle w:val="7"/>
        <w:rPr>
          <w:rFonts w:ascii="宋体" w:hAnsi="宋体" w:cs="宋体"/>
        </w:rPr>
      </w:pPr>
    </w:p>
    <w:p w14:paraId="53C2CCF0">
      <w:pPr>
        <w:pStyle w:val="7"/>
        <w:rPr>
          <w:rFonts w:ascii="宋体" w:hAnsi="宋体" w:cs="宋体"/>
        </w:rPr>
      </w:pPr>
    </w:p>
    <w:p w14:paraId="2254E88C">
      <w:pPr>
        <w:pStyle w:val="7"/>
        <w:rPr>
          <w:rFonts w:ascii="宋体" w:hAnsi="宋体" w:cs="宋体"/>
        </w:rPr>
      </w:pPr>
    </w:p>
    <w:p w14:paraId="7B795F95">
      <w:pPr>
        <w:pStyle w:val="7"/>
        <w:rPr>
          <w:rFonts w:ascii="宋体" w:hAnsi="宋体" w:cs="宋体"/>
        </w:rPr>
      </w:pPr>
    </w:p>
    <w:p w14:paraId="5E594851">
      <w:pPr>
        <w:snapToGrid w:val="0"/>
        <w:spacing w:line="440" w:lineRule="exact"/>
        <w:ind w:firstLine="480" w:firstLineChars="200"/>
        <w:jc w:val="center"/>
        <w:rPr>
          <w:rFonts w:ascii="宋体" w:hAnsi="宋体" w:cs="宋体"/>
          <w:sz w:val="24"/>
        </w:rPr>
      </w:pPr>
      <w:r>
        <w:rPr>
          <w:rFonts w:hint="eastAsia" w:ascii="宋体" w:hAnsi="宋体" w:cs="宋体"/>
          <w:sz w:val="24"/>
        </w:rPr>
        <w:t>（结束）</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C0315F69-0586-427A-B638-7D7475D4AA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DC71">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189504">
                          <w:pPr>
                            <w:pStyle w:val="14"/>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0F189504">
                    <w:pPr>
                      <w:pStyle w:val="1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CEB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4E3B9D">
                          <w:pPr>
                            <w:pStyle w:val="14"/>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184E3B9D">
                    <w:pPr>
                      <w:pStyle w:val="1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2893">
    <w:pPr>
      <w:pStyle w:val="14"/>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41A4FE">
                          <w:pPr>
                            <w:pStyle w:val="14"/>
                          </w:pPr>
                          <w:r>
                            <w:t xml:space="preserve">— </w:t>
                          </w:r>
                          <w:r>
                            <w:fldChar w:fldCharType="begin"/>
                          </w:r>
                          <w:r>
                            <w:instrText xml:space="preserve"> PAGE  \* MERGEFORMAT </w:instrText>
                          </w:r>
                          <w:r>
                            <w:fldChar w:fldCharType="separate"/>
                          </w:r>
                          <w:r>
                            <w:t>16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041A4FE">
                    <w:pPr>
                      <w:pStyle w:val="14"/>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B3F1">
    <w:pPr>
      <w:pStyle w:val="14"/>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A845A6">
                          <w:pPr>
                            <w:pStyle w:val="14"/>
                          </w:pPr>
                          <w:r>
                            <w:t xml:space="preserve">— </w:t>
                          </w:r>
                          <w:r>
                            <w:fldChar w:fldCharType="begin"/>
                          </w:r>
                          <w:r>
                            <w:instrText xml:space="preserve"> PAGE  \* MERGEFORMAT </w:instrText>
                          </w:r>
                          <w:r>
                            <w:fldChar w:fldCharType="separate"/>
                          </w:r>
                          <w:r>
                            <w:t>21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FA845A6">
                    <w:pPr>
                      <w:pStyle w:val="14"/>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9D11">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9193E0">
                          <w:pPr>
                            <w:pStyle w:val="14"/>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19193E0">
                    <w:pPr>
                      <w:pStyle w:val="14"/>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33BC">
    <w:pPr>
      <w:pStyle w:val="1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370C">
    <w:pPr>
      <w:pStyle w:val="15"/>
      <w:jc w:val="both"/>
      <w:rPr>
        <w:rFonts w:ascii="方正仿宋_GBK" w:eastAsia="方正仿宋_GBK"/>
        <w:sz w:val="21"/>
        <w:szCs w:val="21"/>
      </w:rPr>
    </w:pPr>
    <w:r>
      <w:rPr>
        <w:rFonts w:hint="eastAsia" w:ascii="方正仿宋_GBK" w:eastAsia="方正仿宋_GBK"/>
        <w:sz w:val="21"/>
        <w:szCs w:val="21"/>
      </w:rPr>
      <w:t>重庆嘉利建工程咨询有限公司                                         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F9FD">
    <w:pPr>
      <w:pStyle w:val="15"/>
      <w:jc w:val="both"/>
      <w:rPr>
        <w:rFonts w:ascii="方正仿宋_GBK" w:eastAsia="方正仿宋_GBK"/>
        <w:sz w:val="21"/>
        <w:szCs w:val="21"/>
      </w:rPr>
    </w:pPr>
    <w:r>
      <w:rPr>
        <w:rFonts w:hint="eastAsia" w:ascii="方正仿宋_GBK" w:eastAsia="方正仿宋_GBK"/>
        <w:sz w:val="21"/>
        <w:szCs w:val="21"/>
      </w:rPr>
      <w:t>重庆嘉利建工程咨询有限公司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F67BC"/>
    <w:multiLevelType w:val="singleLevel"/>
    <w:tmpl w:val="F82F67BC"/>
    <w:lvl w:ilvl="0" w:tentative="0">
      <w:start w:val="5"/>
      <w:numFmt w:val="chineseCounting"/>
      <w:suff w:val="nothing"/>
      <w:lvlText w:val="%1、"/>
      <w:lvlJc w:val="left"/>
      <w:rPr>
        <w:rFonts w:hint="eastAsia"/>
      </w:rPr>
    </w:lvl>
  </w:abstractNum>
  <w:abstractNum w:abstractNumId="1">
    <w:nsid w:val="1C2B685C"/>
    <w:multiLevelType w:val="singleLevel"/>
    <w:tmpl w:val="1C2B685C"/>
    <w:lvl w:ilvl="0" w:tentative="0">
      <w:start w:val="3"/>
      <w:numFmt w:val="decimal"/>
      <w:suff w:val="nothing"/>
      <w:lvlText w:val="%1、"/>
      <w:lvlJc w:val="left"/>
    </w:lvl>
  </w:abstractNum>
  <w:abstractNum w:abstractNumId="2">
    <w:nsid w:val="2596305E"/>
    <w:multiLevelType w:val="singleLevel"/>
    <w:tmpl w:val="2596305E"/>
    <w:lvl w:ilvl="0" w:tentative="0">
      <w:start w:val="2"/>
      <w:numFmt w:val="chineseCounting"/>
      <w:suff w:val="nothing"/>
      <w:lvlText w:val="（%1）"/>
      <w:lvlJc w:val="left"/>
      <w:rPr>
        <w:rFonts w:hint="eastAsia"/>
      </w:rPr>
    </w:lvl>
  </w:abstractNum>
  <w:abstractNum w:abstractNumId="3">
    <w:nsid w:val="25EF6502"/>
    <w:multiLevelType w:val="singleLevel"/>
    <w:tmpl w:val="25EF6502"/>
    <w:lvl w:ilvl="0" w:tentative="0">
      <w:start w:val="5"/>
      <w:numFmt w:val="chineseCounting"/>
      <w:suff w:val="nothing"/>
      <w:lvlText w:val="%1、"/>
      <w:lvlJc w:val="left"/>
      <w:rPr>
        <w:rFonts w:hint="eastAsia"/>
      </w:rPr>
    </w:lvl>
  </w:abstractNum>
  <w:abstractNum w:abstractNumId="4">
    <w:nsid w:val="43920BC3"/>
    <w:multiLevelType w:val="singleLevel"/>
    <w:tmpl w:val="43920BC3"/>
    <w:lvl w:ilvl="0" w:tentative="0">
      <w:start w:val="10"/>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E53638E"/>
    <w:rsid w:val="00390F75"/>
    <w:rsid w:val="009F74FA"/>
    <w:rsid w:val="00FF60D9"/>
    <w:rsid w:val="0D763DFD"/>
    <w:rsid w:val="146F4B27"/>
    <w:rsid w:val="1C87265B"/>
    <w:rsid w:val="1D0A73B1"/>
    <w:rsid w:val="24C94258"/>
    <w:rsid w:val="2D922250"/>
    <w:rsid w:val="3A8B2D83"/>
    <w:rsid w:val="40361803"/>
    <w:rsid w:val="42760499"/>
    <w:rsid w:val="5DD07337"/>
    <w:rsid w:val="69802F75"/>
    <w:rsid w:val="6E53638E"/>
    <w:rsid w:val="6EC55940"/>
    <w:rsid w:val="6EE32433"/>
    <w:rsid w:val="705047D3"/>
    <w:rsid w:val="710224F8"/>
    <w:rsid w:val="72162E3A"/>
    <w:rsid w:val="72C4039A"/>
    <w:rsid w:val="790D6E80"/>
    <w:rsid w:val="7CB70C2F"/>
    <w:rsid w:val="7F284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仿宋_GB2312" w:eastAsia="仿宋_GB2312"/>
      <w:sz w:val="32"/>
    </w:rPr>
  </w:style>
  <w:style w:type="paragraph" w:customStyle="1" w:styleId="3">
    <w:name w:val="BodyTextIndent"/>
    <w:basedOn w:val="1"/>
    <w:next w:val="4"/>
    <w:qFormat/>
    <w:uiPriority w:val="0"/>
    <w:pPr>
      <w:spacing w:line="700" w:lineRule="exact"/>
      <w:ind w:left="960"/>
      <w:textAlignment w:val="baseline"/>
    </w:pPr>
    <w:rPr>
      <w:sz w:val="44"/>
    </w:rPr>
  </w:style>
  <w:style w:type="paragraph" w:customStyle="1" w:styleId="4">
    <w:name w:val="List5"/>
    <w:basedOn w:val="1"/>
    <w:qFormat/>
    <w:uiPriority w:val="0"/>
    <w:pPr>
      <w:snapToGrid w:val="0"/>
      <w:spacing w:line="360" w:lineRule="auto"/>
      <w:ind w:left="100" w:leftChars="800" w:hanging="200" w:hangingChars="200"/>
      <w:textAlignment w:val="baseline"/>
    </w:pPr>
    <w:rPr>
      <w:sz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annotation text"/>
    <w:basedOn w:val="1"/>
    <w:qFormat/>
    <w:uiPriority w:val="0"/>
    <w:pPr>
      <w:adjustRightInd w:val="0"/>
      <w:spacing w:line="360" w:lineRule="atLeast"/>
      <w:jc w:val="left"/>
      <w:textAlignment w:val="baseline"/>
    </w:pPr>
    <w:rPr>
      <w:kern w:val="0"/>
      <w:sz w:val="24"/>
    </w:rPr>
  </w:style>
  <w:style w:type="paragraph" w:styleId="9">
    <w:name w:val="Body Text"/>
    <w:basedOn w:val="1"/>
    <w:next w:val="1"/>
    <w:qFormat/>
    <w:uiPriority w:val="0"/>
    <w:rPr>
      <w:rFonts w:ascii="仿宋_GB2312" w:eastAsia="仿宋_GB2312"/>
      <w:sz w:val="32"/>
    </w:rPr>
  </w:style>
  <w:style w:type="paragraph" w:styleId="10">
    <w:name w:val="Block Text"/>
    <w:basedOn w:val="1"/>
    <w:qFormat/>
    <w:uiPriority w:val="0"/>
    <w:pPr>
      <w:spacing w:after="120"/>
      <w:ind w:left="1440" w:leftChars="700" w:right="1440" w:rightChars="700"/>
    </w:p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7">
    <w:name w:val="toc 2"/>
    <w:basedOn w:val="1"/>
    <w:next w:val="1"/>
    <w:qFormat/>
    <w:uiPriority w:val="39"/>
    <w:pPr>
      <w:ind w:left="420" w:leftChars="200"/>
    </w:pPr>
  </w:style>
  <w:style w:type="paragraph" w:styleId="18">
    <w:name w:val="Body Text First Indent"/>
    <w:basedOn w:val="9"/>
    <w:qFormat/>
    <w:uiPriority w:val="0"/>
    <w:pPr>
      <w:spacing w:line="360" w:lineRule="auto"/>
      <w:ind w:firstLine="420"/>
    </w:pPr>
    <w:rPr>
      <w:rFonts w:ascii="宋体" w:hAnsi="宋体" w:eastAsia="宋体"/>
      <w:sz w:val="24"/>
    </w:rPr>
  </w:style>
  <w:style w:type="character" w:styleId="21">
    <w:name w:val="Hyperlink"/>
    <w:basedOn w:val="20"/>
    <w:qFormat/>
    <w:uiPriority w:val="0"/>
    <w:rPr>
      <w:color w:val="0000FF"/>
      <w:u w:val="single"/>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1"/>
    <w:basedOn w:val="1"/>
    <w:next w:val="12"/>
    <w:qFormat/>
    <w:uiPriority w:val="0"/>
    <w:rPr>
      <w:rFonts w:ascii="宋体" w:hAnsi="Courier New"/>
      <w:sz w:val="21"/>
    </w:rPr>
  </w:style>
  <w:style w:type="paragraph" w:customStyle="1" w:styleId="24">
    <w:name w:val="无间隔1"/>
    <w:basedOn w:val="1"/>
    <w:qFormat/>
    <w:uiPriority w:val="1"/>
    <w:pPr>
      <w:spacing w:line="400" w:lineRule="exact"/>
    </w:pPr>
    <w:rPr>
      <w:sz w:val="24"/>
    </w:rPr>
  </w:style>
  <w:style w:type="paragraph" w:customStyle="1" w:styleId="25">
    <w:name w:val="正文（缩进）"/>
    <w:basedOn w:val="1"/>
    <w:qFormat/>
    <w:uiPriority w:val="99"/>
    <w:pPr>
      <w:spacing w:before="156" w:after="156"/>
      <w:ind w:firstLine="480"/>
    </w:pPr>
  </w:style>
  <w:style w:type="paragraph" w:customStyle="1" w:styleId="2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7078</Words>
  <Characters>7436</Characters>
  <Lines>170</Lines>
  <Paragraphs>48</Paragraphs>
  <TotalTime>11</TotalTime>
  <ScaleCrop>false</ScaleCrop>
  <LinksUpToDate>false</LinksUpToDate>
  <CharactersWithSpaces>7534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2025-05-28T01:19:00Z</dcterms:created>
  <dc:creator>韩</dc:creator>
  <cp:lastModifiedBy>代理公司</cp:lastModifiedBy>
  <dcterms:modified xsi:type="dcterms:W3CDTF">2025-06-04T08:31:25Z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9A8D5CDD92184F8D917C5BC82CEB756C_13</vt:lpwstr>
  </property>
  <property fmtid="{D5CDD505-2E9C-101B-9397-08002B2CF9AE}" pid="4" name="KSOTemplateDocerSaveRecord">
    <vt:lpwstr>eyJoZGlkIjoiNmIxMzZlZTA3N2E5YzFiNWUyZjUwYmZiMzc5YjQyMjMiLCJ1c2VySWQiOiIzODAxMDE5MzIifQ==</vt:lpwstr>
  </property>
</Properties>
</file>