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9"/>
        <w:rPr>
          <w:rFonts w:hint="eastAsia" w:ascii="仿宋" w:hAnsi="仿宋" w:eastAsia="仿宋"/>
          <w:color w:val="auto"/>
          <w:sz w:val="130"/>
          <w:szCs w:val="130"/>
        </w:rPr>
      </w:pPr>
    </w:p>
    <w:p>
      <w:pPr>
        <w:spacing w:line="1600" w:lineRule="exact"/>
        <w:jc w:val="center"/>
        <w:outlineLvl w:val="9"/>
        <w:rPr>
          <w:rFonts w:hint="eastAsia" w:ascii="仿宋" w:hAnsi="仿宋" w:eastAsia="仿宋"/>
          <w:color w:val="auto"/>
          <w:sz w:val="130"/>
          <w:szCs w:val="130"/>
        </w:rPr>
      </w:pPr>
    </w:p>
    <w:p>
      <w:pPr>
        <w:pStyle w:val="1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公文小标宋" w:hAnsi="方正公文小标宋" w:eastAsia="方正公文小标宋" w:cs="方正公文小标宋"/>
          <w:color w:val="auto"/>
          <w:sz w:val="32"/>
        </w:rPr>
      </w:pPr>
      <w:r>
        <w:rPr>
          <w:rFonts w:hint="eastAsia" w:ascii="方正公文小标宋" w:hAnsi="方正公文小标宋" w:eastAsia="方正公文小标宋" w:cs="方正公文小标宋"/>
          <w:color w:val="auto"/>
          <w:sz w:val="130"/>
          <w:szCs w:val="130"/>
          <w:lang w:val="en-US" w:eastAsia="zh-CN"/>
        </w:rPr>
        <w:t>竞 采 文 件</w:t>
      </w:r>
    </w:p>
    <w:p>
      <w:pPr>
        <w:pStyle w:val="15"/>
        <w:spacing w:line="500" w:lineRule="exact"/>
        <w:ind w:left="0" w:leftChars="0" w:firstLine="1440" w:firstLineChars="400"/>
        <w:jc w:val="left"/>
        <w:outlineLvl w:val="9"/>
        <w:rPr>
          <w:rFonts w:hint="eastAsia" w:ascii="方正小标宋_GBK" w:hAnsi="宋体" w:eastAsia="方正小标宋_GBK" w:cs="Times New Roman"/>
          <w:color w:val="auto"/>
          <w:kern w:val="2"/>
          <w:sz w:val="36"/>
          <w:szCs w:val="36"/>
          <w:lang w:val="en-US" w:eastAsia="zh-CN" w:bidi="ar-SA"/>
        </w:rPr>
      </w:pPr>
    </w:p>
    <w:p>
      <w:pPr>
        <w:pStyle w:val="15"/>
        <w:spacing w:line="500" w:lineRule="exact"/>
        <w:ind w:left="0" w:leftChars="0" w:firstLine="0" w:firstLineChars="0"/>
        <w:jc w:val="left"/>
        <w:outlineLvl w:val="9"/>
        <w:rPr>
          <w:rFonts w:hint="eastAsia" w:ascii="方正小标宋_GBK" w:hAnsi="宋体" w:eastAsia="方正小标宋_GBK" w:cs="Times New Roman"/>
          <w:color w:val="auto"/>
          <w:kern w:val="2"/>
          <w:sz w:val="36"/>
          <w:szCs w:val="36"/>
          <w:lang w:val="en-US" w:eastAsia="zh-CN" w:bidi="ar-SA"/>
        </w:rPr>
      </w:pPr>
    </w:p>
    <w:p>
      <w:pPr>
        <w:pStyle w:val="15"/>
        <w:spacing w:line="500" w:lineRule="exact"/>
        <w:ind w:left="3192" w:leftChars="684" w:hanging="1756" w:hangingChars="488"/>
        <w:jc w:val="left"/>
        <w:outlineLvl w:val="9"/>
        <w:rPr>
          <w:rFonts w:hint="eastAsia" w:ascii="方正小标宋_GBK" w:hAnsi="宋体" w:eastAsia="方正小标宋_GBK" w:cs="Times New Roman"/>
          <w:color w:val="auto"/>
          <w:kern w:val="2"/>
          <w:sz w:val="36"/>
          <w:szCs w:val="36"/>
          <w:lang w:val="en-US" w:eastAsia="zh-CN" w:bidi="ar-SA"/>
        </w:rPr>
      </w:pPr>
      <w:r>
        <w:rPr>
          <w:rFonts w:hint="eastAsia" w:ascii="方正小标宋_GBK" w:hAnsi="宋体" w:eastAsia="方正小标宋_GBK" w:cs="Times New Roman"/>
          <w:color w:val="auto"/>
          <w:kern w:val="2"/>
          <w:sz w:val="36"/>
          <w:szCs w:val="36"/>
          <w:lang w:val="en-US" w:eastAsia="zh-CN" w:bidi="ar-SA"/>
        </w:rPr>
        <w:t xml:space="preserve">项目名称：长寿区实验一小古镇校区、菩提校区定点生活垃圾清运 </w:t>
      </w:r>
    </w:p>
    <w:p>
      <w:pPr>
        <w:spacing w:line="500" w:lineRule="exact"/>
        <w:ind w:left="0" w:leftChars="0" w:firstLine="1475" w:firstLineChars="410"/>
        <w:jc w:val="both"/>
        <w:outlineLvl w:val="9"/>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项目</w:t>
      </w:r>
      <w:r>
        <w:rPr>
          <w:rFonts w:hint="eastAsia" w:ascii="方正小标宋_GBK" w:hAnsi="宋体" w:eastAsia="方正小标宋_GBK"/>
          <w:color w:val="auto"/>
          <w:sz w:val="36"/>
          <w:szCs w:val="36"/>
          <w:lang w:val="en-US" w:eastAsia="zh-CN"/>
        </w:rPr>
        <w:t>编</w:t>
      </w:r>
      <w:r>
        <w:rPr>
          <w:rFonts w:hint="eastAsia" w:ascii="方正小标宋_GBK" w:hAnsi="宋体" w:eastAsia="方正小标宋_GBK"/>
          <w:color w:val="auto"/>
          <w:sz w:val="36"/>
          <w:szCs w:val="36"/>
        </w:rPr>
        <w:t>号：J</w:t>
      </w:r>
      <w:r>
        <w:rPr>
          <w:rFonts w:ascii="方正小标宋_GBK" w:hAnsi="宋体" w:eastAsia="方正小标宋_GBK"/>
          <w:color w:val="auto"/>
          <w:sz w:val="36"/>
          <w:szCs w:val="36"/>
        </w:rPr>
        <w:t>Y</w:t>
      </w:r>
      <w:r>
        <w:rPr>
          <w:rFonts w:hint="eastAsia" w:ascii="方正小标宋_GBK" w:hAnsi="宋体" w:eastAsia="方正小标宋_GBK"/>
          <w:color w:val="auto"/>
          <w:sz w:val="36"/>
          <w:szCs w:val="36"/>
          <w:lang w:val="en-US" w:eastAsia="zh-CN"/>
        </w:rPr>
        <w:t>HCJ</w:t>
      </w:r>
      <w:r>
        <w:rPr>
          <w:rFonts w:ascii="方正小标宋_GBK" w:hAnsi="宋体" w:eastAsia="方正小标宋_GBK"/>
          <w:color w:val="auto"/>
          <w:sz w:val="36"/>
          <w:szCs w:val="36"/>
        </w:rPr>
        <w:t>20</w:t>
      </w:r>
      <w:r>
        <w:rPr>
          <w:rFonts w:hint="eastAsia" w:ascii="方正小标宋_GBK" w:hAnsi="宋体" w:eastAsia="方正小标宋_GBK"/>
          <w:color w:val="auto"/>
          <w:sz w:val="36"/>
          <w:szCs w:val="36"/>
          <w:lang w:eastAsia="zh-CN"/>
        </w:rPr>
        <w:t>2</w:t>
      </w:r>
      <w:r>
        <w:rPr>
          <w:rFonts w:hint="eastAsia" w:ascii="方正小标宋_GBK" w:hAnsi="宋体" w:eastAsia="方正小标宋_GBK"/>
          <w:color w:val="auto"/>
          <w:sz w:val="36"/>
          <w:szCs w:val="36"/>
          <w:lang w:val="en-US" w:eastAsia="zh-CN"/>
        </w:rPr>
        <w:t>5</w:t>
      </w:r>
      <w:r>
        <w:rPr>
          <w:rFonts w:hint="eastAsia" w:ascii="方正小标宋_GBK" w:hAnsi="宋体" w:eastAsia="方正小标宋_GBK"/>
          <w:color w:val="auto"/>
          <w:sz w:val="36"/>
          <w:szCs w:val="36"/>
          <w:lang w:eastAsia="zh-CN"/>
        </w:rPr>
        <w:t>-</w:t>
      </w:r>
      <w:r>
        <w:rPr>
          <w:rFonts w:hint="eastAsia" w:ascii="方正小标宋_GBK" w:hAnsi="宋体" w:eastAsia="方正小标宋_GBK"/>
          <w:color w:val="auto"/>
          <w:sz w:val="36"/>
          <w:szCs w:val="36"/>
          <w:lang w:val="en-US" w:eastAsia="zh-CN"/>
        </w:rPr>
        <w:t>020</w:t>
      </w:r>
    </w:p>
    <w:p>
      <w:pPr>
        <w:pStyle w:val="15"/>
        <w:spacing w:line="500" w:lineRule="exact"/>
        <w:outlineLvl w:val="9"/>
        <w:rPr>
          <w:rFonts w:hint="eastAsia" w:ascii="方正小标宋_GBK" w:hAnsi="宋体" w:eastAsia="方正小标宋_GBK" w:cs="Times New Roman"/>
          <w:color w:val="auto"/>
          <w:kern w:val="2"/>
          <w:sz w:val="36"/>
          <w:szCs w:val="36"/>
          <w:lang w:val="en-US" w:eastAsia="zh-CN" w:bidi="ar-SA"/>
        </w:rPr>
      </w:pPr>
    </w:p>
    <w:p>
      <w:pPr>
        <w:spacing w:line="500" w:lineRule="exact"/>
        <w:jc w:val="center"/>
        <w:outlineLvl w:val="9"/>
        <w:rPr>
          <w:rFonts w:hint="eastAsia"/>
          <w:color w:val="auto"/>
          <w:sz w:val="32"/>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spacing w:line="500" w:lineRule="exact"/>
        <w:jc w:val="center"/>
        <w:outlineLvl w:val="9"/>
        <w:rPr>
          <w:rFonts w:hint="eastAsia"/>
          <w:color w:val="auto"/>
          <w:sz w:val="32"/>
        </w:rPr>
      </w:pPr>
    </w:p>
    <w:p>
      <w:pPr>
        <w:spacing w:line="500" w:lineRule="exact"/>
        <w:ind w:firstLine="1440" w:firstLineChars="400"/>
        <w:jc w:val="both"/>
        <w:outlineLvl w:val="9"/>
        <w:rPr>
          <w:rFonts w:hint="eastAsia" w:ascii="方正小标宋_GBK" w:eastAsia="方正小标宋_GBK"/>
          <w:color w:val="auto"/>
          <w:sz w:val="36"/>
          <w:lang w:eastAsia="zh-CN"/>
        </w:rPr>
      </w:pPr>
      <w:r>
        <w:rPr>
          <w:rFonts w:hint="eastAsia" w:ascii="方正小标宋_GBK" w:eastAsia="方正小标宋_GBK"/>
          <w:color w:val="auto"/>
          <w:sz w:val="36"/>
        </w:rPr>
        <w:t>采购单位：</w:t>
      </w:r>
      <w:r>
        <w:rPr>
          <w:rFonts w:hint="eastAsia" w:ascii="方正小标宋_GBK" w:eastAsia="方正小标宋_GBK"/>
          <w:color w:val="auto"/>
          <w:sz w:val="36"/>
          <w:lang w:eastAsia="zh-CN"/>
        </w:rPr>
        <w:t>重庆市长寿区第一实验小学</w:t>
      </w:r>
    </w:p>
    <w:p>
      <w:pPr>
        <w:snapToGrid w:val="0"/>
        <w:spacing w:line="500" w:lineRule="exact"/>
        <w:ind w:firstLine="1440" w:firstLineChars="400"/>
        <w:jc w:val="both"/>
        <w:outlineLvl w:val="9"/>
        <w:rPr>
          <w:rFonts w:hint="eastAsia" w:ascii="方正小标宋_GBK" w:eastAsia="方正小标宋_GBK"/>
          <w:color w:val="auto"/>
          <w:sz w:val="36"/>
        </w:rPr>
      </w:pPr>
      <w:r>
        <w:rPr>
          <w:rFonts w:hint="eastAsia" w:ascii="方正小标宋_GBK" w:eastAsia="方正小标宋_GBK"/>
          <w:color w:val="auto"/>
          <w:sz w:val="36"/>
          <w:szCs w:val="36"/>
        </w:rPr>
        <w:t>采购代理机构：重庆嘉易招投标咨询有限责任公司</w:t>
      </w:r>
    </w:p>
    <w:p>
      <w:pPr>
        <w:snapToGrid w:val="0"/>
        <w:spacing w:line="500" w:lineRule="exact"/>
        <w:outlineLvl w:val="9"/>
        <w:rPr>
          <w:rFonts w:hint="eastAsia" w:ascii="方正小标宋_GBK" w:eastAsia="方正小标宋_GBK"/>
          <w:color w:val="auto"/>
          <w:sz w:val="36"/>
        </w:rPr>
      </w:pPr>
    </w:p>
    <w:p>
      <w:pPr>
        <w:spacing w:line="500" w:lineRule="exact"/>
        <w:jc w:val="center"/>
        <w:outlineLvl w:val="9"/>
        <w:rPr>
          <w:rFonts w:hint="eastAsia" w:ascii="方正小标宋_GBK" w:hAnsi="Times New Roman" w:eastAsia="方正小标宋_GBK" w:cs="Times New Roman"/>
          <w:color w:val="auto"/>
          <w:sz w:val="36"/>
        </w:rPr>
        <w:sectPr>
          <w:headerReference r:id="rId3" w:type="default"/>
          <w:footerReference r:id="rId5" w:type="default"/>
          <w:headerReference r:id="rId4" w:type="even"/>
          <w:footerReference r:id="rId6" w:type="even"/>
          <w:pgSz w:w="11907" w:h="16840"/>
          <w:pgMar w:top="1134" w:right="1191" w:bottom="1134" w:left="1304" w:header="964" w:footer="992" w:gutter="0"/>
          <w:pgBorders>
            <w:top w:val="none" w:sz="0" w:space="0"/>
            <w:left w:val="none" w:sz="0" w:space="0"/>
            <w:bottom w:val="none" w:sz="0" w:space="0"/>
            <w:right w:val="none" w:sz="0" w:space="0"/>
          </w:pgBorders>
          <w:pgNumType w:fmt="numberInDash" w:start="1"/>
          <w:cols w:space="720" w:num="1"/>
          <w:titlePg/>
          <w:docGrid w:linePitch="312" w:charSpace="0"/>
        </w:sectPr>
      </w:pPr>
      <w:r>
        <w:rPr>
          <w:rFonts w:hint="eastAsia" w:ascii="方正小标宋_GBK" w:hAnsi="Times New Roman" w:eastAsia="方正小标宋_GBK" w:cs="Times New Roman"/>
          <w:color w:val="auto"/>
          <w:sz w:val="36"/>
          <w:lang w:val="en-US" w:eastAsia="zh-CN"/>
        </w:rPr>
        <w:t>2025</w:t>
      </w:r>
      <w:r>
        <w:rPr>
          <w:rFonts w:hint="eastAsia" w:ascii="方正小标宋_GBK" w:hAnsi="Times New Roman" w:eastAsia="方正小标宋_GBK" w:cs="Times New Roman"/>
          <w:color w:val="auto"/>
          <w:sz w:val="36"/>
        </w:rPr>
        <w:t>年</w:t>
      </w:r>
      <w:r>
        <w:rPr>
          <w:rFonts w:hint="eastAsia" w:ascii="方正小标宋_GBK" w:eastAsia="方正小标宋_GBK" w:cs="Times New Roman"/>
          <w:color w:val="auto"/>
          <w:sz w:val="36"/>
          <w:lang w:val="en-US" w:eastAsia="zh-CN"/>
        </w:rPr>
        <w:t>7月</w:t>
      </w:r>
    </w:p>
    <w:p>
      <w:pPr>
        <w:spacing w:line="480" w:lineRule="exact"/>
        <w:jc w:val="center"/>
        <w:outlineLvl w:val="9"/>
        <w:rPr>
          <w:rFonts w:hint="eastAsia" w:ascii="方正黑体_GBK" w:eastAsia="方正黑体_GBK"/>
          <w:color w:val="auto"/>
          <w:sz w:val="44"/>
          <w:szCs w:val="28"/>
        </w:rPr>
      </w:pPr>
      <w:bookmarkStart w:id="0" w:name="_Toc12789052"/>
      <w:bookmarkStart w:id="1" w:name="_Toc76462316"/>
      <w:bookmarkStart w:id="2" w:name="_Toc11641050"/>
      <w:bookmarkStart w:id="3" w:name="_Toc6926"/>
    </w:p>
    <w:p>
      <w:pPr>
        <w:spacing w:line="480" w:lineRule="exact"/>
        <w:jc w:val="center"/>
        <w:outlineLvl w:val="9"/>
        <w:rPr>
          <w:rFonts w:hint="eastAsia" w:ascii="方正黑体_GBK" w:hAnsi="Times New Roman" w:eastAsia="方正黑体_GBK" w:cs="Times New Roman"/>
          <w:color w:val="auto"/>
          <w:sz w:val="44"/>
          <w:szCs w:val="28"/>
        </w:rPr>
      </w:pPr>
      <w:bookmarkStart w:id="4" w:name="_Toc32279"/>
      <w:r>
        <w:rPr>
          <w:rFonts w:hint="eastAsia" w:ascii="方正黑体_GBK" w:hAnsi="Times New Roman" w:eastAsia="方正黑体_GBK" w:cs="Times New Roman"/>
          <w:color w:val="auto"/>
          <w:sz w:val="44"/>
          <w:szCs w:val="28"/>
        </w:rPr>
        <w:t>目   录</w:t>
      </w:r>
      <w:bookmarkEnd w:id="4"/>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rPr>
          <w:color w:val="auto"/>
          <w:sz w:val="32"/>
          <w:szCs w:val="32"/>
        </w:rPr>
      </w:pPr>
    </w:p>
    <w:p>
      <w:pPr>
        <w:pStyle w:val="19"/>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TOC \o "1-3" \h \z </w:instrText>
      </w:r>
      <w:r>
        <w:rPr>
          <w:rFonts w:hint="eastAsia" w:ascii="方正仿宋_GBK" w:hAnsi="宋体" w:eastAsia="方正仿宋_GBK"/>
          <w:color w:val="auto"/>
          <w:sz w:val="30"/>
          <w:szCs w:val="30"/>
        </w:rPr>
        <w:fldChar w:fldCharType="separate"/>
      </w: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_Toc27111 </w:instrText>
      </w:r>
      <w:r>
        <w:rPr>
          <w:rFonts w:hint="eastAsia" w:ascii="方正仿宋_GBK" w:hAnsi="宋体" w:eastAsia="方正仿宋_GBK"/>
          <w:color w:val="auto"/>
          <w:sz w:val="30"/>
          <w:szCs w:val="30"/>
        </w:rPr>
        <w:fldChar w:fldCharType="separate"/>
      </w:r>
      <w:r>
        <w:rPr>
          <w:rFonts w:hint="eastAsia" w:ascii="方正小标宋_GBK" w:hAnsi="宋体" w:eastAsia="方正小标宋_GBK" w:cs="Times New Roman"/>
          <w:bCs/>
          <w:color w:val="auto"/>
          <w:sz w:val="30"/>
          <w:szCs w:val="30"/>
        </w:rPr>
        <w:t>第一篇  采购邀请书</w:t>
      </w:r>
      <w:r>
        <w:rPr>
          <w:color w:val="auto"/>
          <w:sz w:val="30"/>
          <w:szCs w:val="30"/>
        </w:rPr>
        <w:tab/>
      </w:r>
      <w:r>
        <w:rPr>
          <w:color w:val="auto"/>
          <w:sz w:val="30"/>
          <w:szCs w:val="30"/>
        </w:rPr>
        <w:fldChar w:fldCharType="begin"/>
      </w:r>
      <w:r>
        <w:rPr>
          <w:color w:val="auto"/>
          <w:sz w:val="30"/>
          <w:szCs w:val="30"/>
        </w:rPr>
        <w:instrText xml:space="preserve"> PAGEREF _Toc27111 \h </w:instrText>
      </w:r>
      <w:r>
        <w:rPr>
          <w:color w:val="auto"/>
          <w:sz w:val="30"/>
          <w:szCs w:val="30"/>
        </w:rPr>
        <w:fldChar w:fldCharType="separate"/>
      </w:r>
      <w:r>
        <w:rPr>
          <w:color w:val="auto"/>
          <w:sz w:val="30"/>
          <w:szCs w:val="30"/>
        </w:rPr>
        <w:t>- 1 -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_Toc17948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一、 竞采项目内容</w:t>
      </w:r>
      <w:r>
        <w:rPr>
          <w:color w:val="auto"/>
          <w:sz w:val="30"/>
          <w:szCs w:val="30"/>
        </w:rPr>
        <w:tab/>
      </w:r>
      <w:r>
        <w:rPr>
          <w:color w:val="auto"/>
          <w:sz w:val="30"/>
          <w:szCs w:val="30"/>
        </w:rPr>
        <w:fldChar w:fldCharType="begin"/>
      </w:r>
      <w:r>
        <w:rPr>
          <w:color w:val="auto"/>
          <w:sz w:val="30"/>
          <w:szCs w:val="30"/>
        </w:rPr>
        <w:instrText xml:space="preserve"> PAGEREF _Toc17948 \h </w:instrText>
      </w:r>
      <w:r>
        <w:rPr>
          <w:color w:val="auto"/>
          <w:sz w:val="30"/>
          <w:szCs w:val="30"/>
        </w:rPr>
        <w:fldChar w:fldCharType="separate"/>
      </w:r>
      <w:r>
        <w:rPr>
          <w:color w:val="auto"/>
          <w:sz w:val="30"/>
          <w:szCs w:val="30"/>
        </w:rPr>
        <w:t>- 1 -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_Toc1585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二、 项目要求</w:t>
      </w:r>
      <w:r>
        <w:rPr>
          <w:color w:val="auto"/>
          <w:sz w:val="30"/>
          <w:szCs w:val="30"/>
        </w:rPr>
        <w:tab/>
      </w:r>
      <w:r>
        <w:rPr>
          <w:color w:val="auto"/>
          <w:sz w:val="30"/>
          <w:szCs w:val="30"/>
        </w:rPr>
        <w:fldChar w:fldCharType="begin"/>
      </w:r>
      <w:r>
        <w:rPr>
          <w:color w:val="auto"/>
          <w:sz w:val="30"/>
          <w:szCs w:val="30"/>
        </w:rPr>
        <w:instrText xml:space="preserve"> PAGEREF _Toc1585 \h </w:instrText>
      </w:r>
      <w:r>
        <w:rPr>
          <w:color w:val="auto"/>
          <w:sz w:val="30"/>
          <w:szCs w:val="30"/>
        </w:rPr>
        <w:fldChar w:fldCharType="separate"/>
      </w:r>
      <w:r>
        <w:rPr>
          <w:color w:val="auto"/>
          <w:sz w:val="30"/>
          <w:szCs w:val="30"/>
        </w:rPr>
        <w:t>- 1 -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_Toc24136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三、 供应商资格条件</w:t>
      </w:r>
      <w:r>
        <w:rPr>
          <w:color w:val="auto"/>
          <w:sz w:val="30"/>
          <w:szCs w:val="30"/>
        </w:rPr>
        <w:tab/>
      </w:r>
      <w:r>
        <w:rPr>
          <w:color w:val="auto"/>
          <w:sz w:val="30"/>
          <w:szCs w:val="30"/>
        </w:rPr>
        <w:fldChar w:fldCharType="begin"/>
      </w:r>
      <w:r>
        <w:rPr>
          <w:color w:val="auto"/>
          <w:sz w:val="30"/>
          <w:szCs w:val="30"/>
        </w:rPr>
        <w:instrText xml:space="preserve"> PAGEREF _Toc24136 \h </w:instrText>
      </w:r>
      <w:r>
        <w:rPr>
          <w:color w:val="auto"/>
          <w:sz w:val="30"/>
          <w:szCs w:val="30"/>
        </w:rPr>
        <w:fldChar w:fldCharType="separate"/>
      </w:r>
      <w:r>
        <w:rPr>
          <w:color w:val="auto"/>
          <w:sz w:val="30"/>
          <w:szCs w:val="30"/>
        </w:rPr>
        <w:t>- 2 -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_Toc2477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四、 竞采有关说明</w:t>
      </w:r>
      <w:r>
        <w:rPr>
          <w:color w:val="auto"/>
          <w:sz w:val="30"/>
          <w:szCs w:val="30"/>
        </w:rPr>
        <w:tab/>
      </w:r>
      <w:r>
        <w:rPr>
          <w:color w:val="auto"/>
          <w:sz w:val="30"/>
          <w:szCs w:val="30"/>
        </w:rPr>
        <w:fldChar w:fldCharType="begin"/>
      </w:r>
      <w:r>
        <w:rPr>
          <w:color w:val="auto"/>
          <w:sz w:val="30"/>
          <w:szCs w:val="30"/>
        </w:rPr>
        <w:instrText xml:space="preserve"> PAGEREF _Toc2477 \h </w:instrText>
      </w:r>
      <w:r>
        <w:rPr>
          <w:color w:val="auto"/>
          <w:sz w:val="30"/>
          <w:szCs w:val="30"/>
        </w:rPr>
        <w:fldChar w:fldCharType="separate"/>
      </w:r>
      <w:r>
        <w:rPr>
          <w:color w:val="auto"/>
          <w:sz w:val="30"/>
          <w:szCs w:val="30"/>
        </w:rPr>
        <w:t>- 2 -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_Toc13938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五、 其他规定</w:t>
      </w:r>
      <w:r>
        <w:rPr>
          <w:color w:val="auto"/>
          <w:sz w:val="30"/>
          <w:szCs w:val="30"/>
        </w:rPr>
        <w:tab/>
      </w:r>
      <w:r>
        <w:rPr>
          <w:color w:val="auto"/>
          <w:sz w:val="30"/>
          <w:szCs w:val="30"/>
        </w:rPr>
        <w:fldChar w:fldCharType="begin"/>
      </w:r>
      <w:r>
        <w:rPr>
          <w:color w:val="auto"/>
          <w:sz w:val="30"/>
          <w:szCs w:val="30"/>
        </w:rPr>
        <w:instrText xml:space="preserve"> PAGEREF _Toc13938 \h </w:instrText>
      </w:r>
      <w:r>
        <w:rPr>
          <w:color w:val="auto"/>
          <w:sz w:val="30"/>
          <w:szCs w:val="30"/>
        </w:rPr>
        <w:fldChar w:fldCharType="separate"/>
      </w:r>
      <w:r>
        <w:rPr>
          <w:color w:val="auto"/>
          <w:sz w:val="30"/>
          <w:szCs w:val="30"/>
        </w:rPr>
        <w:t>- 3 -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_Toc1403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六、 采购代理服务费</w:t>
      </w:r>
      <w:r>
        <w:rPr>
          <w:color w:val="auto"/>
          <w:sz w:val="30"/>
          <w:szCs w:val="30"/>
        </w:rPr>
        <w:tab/>
      </w:r>
      <w:r>
        <w:rPr>
          <w:color w:val="auto"/>
          <w:sz w:val="30"/>
          <w:szCs w:val="30"/>
        </w:rPr>
        <w:fldChar w:fldCharType="begin"/>
      </w:r>
      <w:r>
        <w:rPr>
          <w:color w:val="auto"/>
          <w:sz w:val="30"/>
          <w:szCs w:val="30"/>
        </w:rPr>
        <w:instrText xml:space="preserve"> PAGEREF _Toc1403 \h </w:instrText>
      </w:r>
      <w:r>
        <w:rPr>
          <w:color w:val="auto"/>
          <w:sz w:val="30"/>
          <w:szCs w:val="30"/>
        </w:rPr>
        <w:fldChar w:fldCharType="separate"/>
      </w:r>
      <w:r>
        <w:rPr>
          <w:color w:val="auto"/>
          <w:sz w:val="30"/>
          <w:szCs w:val="30"/>
        </w:rPr>
        <w:t>- 3 -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_Toc12745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七、 合同签订</w:t>
      </w:r>
      <w:r>
        <w:rPr>
          <w:color w:val="auto"/>
          <w:sz w:val="30"/>
          <w:szCs w:val="30"/>
        </w:rPr>
        <w:tab/>
      </w:r>
      <w:r>
        <w:rPr>
          <w:color w:val="auto"/>
          <w:sz w:val="30"/>
          <w:szCs w:val="30"/>
        </w:rPr>
        <w:fldChar w:fldCharType="begin"/>
      </w:r>
      <w:r>
        <w:rPr>
          <w:color w:val="auto"/>
          <w:sz w:val="30"/>
          <w:szCs w:val="30"/>
        </w:rPr>
        <w:instrText xml:space="preserve"> PAGEREF _Toc12745 \h </w:instrText>
      </w:r>
      <w:r>
        <w:rPr>
          <w:color w:val="auto"/>
          <w:sz w:val="30"/>
          <w:szCs w:val="30"/>
        </w:rPr>
        <w:fldChar w:fldCharType="separate"/>
      </w:r>
      <w:r>
        <w:rPr>
          <w:color w:val="auto"/>
          <w:sz w:val="30"/>
          <w:szCs w:val="30"/>
        </w:rPr>
        <w:t>- 4 -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_Toc21587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八、 成交原则</w:t>
      </w:r>
      <w:r>
        <w:rPr>
          <w:color w:val="auto"/>
          <w:sz w:val="30"/>
          <w:szCs w:val="30"/>
        </w:rPr>
        <w:tab/>
      </w:r>
      <w:r>
        <w:rPr>
          <w:color w:val="auto"/>
          <w:sz w:val="30"/>
          <w:szCs w:val="30"/>
        </w:rPr>
        <w:fldChar w:fldCharType="begin"/>
      </w:r>
      <w:r>
        <w:rPr>
          <w:color w:val="auto"/>
          <w:sz w:val="30"/>
          <w:szCs w:val="30"/>
        </w:rPr>
        <w:instrText xml:space="preserve"> PAGEREF _Toc21587 \h </w:instrText>
      </w:r>
      <w:r>
        <w:rPr>
          <w:color w:val="auto"/>
          <w:sz w:val="30"/>
          <w:szCs w:val="30"/>
        </w:rPr>
        <w:fldChar w:fldCharType="separate"/>
      </w:r>
      <w:r>
        <w:rPr>
          <w:color w:val="auto"/>
          <w:sz w:val="30"/>
          <w:szCs w:val="30"/>
        </w:rPr>
        <w:t>- 4 -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_Toc23366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九、 付款方式</w:t>
      </w:r>
      <w:r>
        <w:rPr>
          <w:color w:val="auto"/>
          <w:sz w:val="30"/>
          <w:szCs w:val="30"/>
        </w:rPr>
        <w:tab/>
      </w:r>
      <w:r>
        <w:rPr>
          <w:color w:val="auto"/>
          <w:sz w:val="30"/>
          <w:szCs w:val="30"/>
        </w:rPr>
        <w:fldChar w:fldCharType="begin"/>
      </w:r>
      <w:r>
        <w:rPr>
          <w:color w:val="auto"/>
          <w:sz w:val="30"/>
          <w:szCs w:val="30"/>
        </w:rPr>
        <w:instrText xml:space="preserve"> PAGEREF _Toc23366 \h </w:instrText>
      </w:r>
      <w:r>
        <w:rPr>
          <w:color w:val="auto"/>
          <w:sz w:val="30"/>
          <w:szCs w:val="30"/>
        </w:rPr>
        <w:fldChar w:fldCharType="separate"/>
      </w:r>
      <w:r>
        <w:rPr>
          <w:color w:val="auto"/>
          <w:sz w:val="30"/>
          <w:szCs w:val="30"/>
        </w:rPr>
        <w:t>- 4 -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_Toc3046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十、 竞采报价要求及评分标准</w:t>
      </w:r>
      <w:r>
        <w:rPr>
          <w:color w:val="auto"/>
          <w:sz w:val="30"/>
          <w:szCs w:val="30"/>
        </w:rPr>
        <w:tab/>
      </w:r>
      <w:r>
        <w:rPr>
          <w:color w:val="auto"/>
          <w:sz w:val="30"/>
          <w:szCs w:val="30"/>
        </w:rPr>
        <w:fldChar w:fldCharType="begin"/>
      </w:r>
      <w:r>
        <w:rPr>
          <w:color w:val="auto"/>
          <w:sz w:val="30"/>
          <w:szCs w:val="30"/>
        </w:rPr>
        <w:instrText xml:space="preserve"> PAGEREF _Toc3046 \h </w:instrText>
      </w:r>
      <w:r>
        <w:rPr>
          <w:color w:val="auto"/>
          <w:sz w:val="30"/>
          <w:szCs w:val="30"/>
        </w:rPr>
        <w:fldChar w:fldCharType="separate"/>
      </w:r>
      <w:r>
        <w:rPr>
          <w:color w:val="auto"/>
          <w:sz w:val="30"/>
          <w:szCs w:val="30"/>
        </w:rPr>
        <w:t>- 4 -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_Toc13838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十一、 无效条款及废标条款</w:t>
      </w:r>
      <w:r>
        <w:rPr>
          <w:color w:val="auto"/>
          <w:sz w:val="30"/>
          <w:szCs w:val="30"/>
        </w:rPr>
        <w:tab/>
      </w:r>
      <w:r>
        <w:rPr>
          <w:color w:val="auto"/>
          <w:sz w:val="30"/>
          <w:szCs w:val="30"/>
        </w:rPr>
        <w:fldChar w:fldCharType="begin"/>
      </w:r>
      <w:r>
        <w:rPr>
          <w:color w:val="auto"/>
          <w:sz w:val="30"/>
          <w:szCs w:val="30"/>
        </w:rPr>
        <w:instrText xml:space="preserve"> PAGEREF _Toc13838 \h </w:instrText>
      </w:r>
      <w:r>
        <w:rPr>
          <w:color w:val="auto"/>
          <w:sz w:val="30"/>
          <w:szCs w:val="30"/>
        </w:rPr>
        <w:fldChar w:fldCharType="separate"/>
      </w:r>
      <w:r>
        <w:rPr>
          <w:color w:val="auto"/>
          <w:sz w:val="30"/>
          <w:szCs w:val="30"/>
        </w:rPr>
        <w:t>- 5 -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_Toc7729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kern w:val="2"/>
          <w:sz w:val="30"/>
          <w:szCs w:val="30"/>
          <w:lang w:val="en-US" w:eastAsia="zh-CN" w:bidi="ar-SA"/>
        </w:rPr>
        <w:t>十二、 联系方式</w:t>
      </w:r>
      <w:r>
        <w:rPr>
          <w:color w:val="auto"/>
          <w:sz w:val="30"/>
          <w:szCs w:val="30"/>
        </w:rPr>
        <w:tab/>
      </w:r>
      <w:r>
        <w:rPr>
          <w:color w:val="auto"/>
          <w:sz w:val="30"/>
          <w:szCs w:val="30"/>
        </w:rPr>
        <w:fldChar w:fldCharType="begin"/>
      </w:r>
      <w:r>
        <w:rPr>
          <w:color w:val="auto"/>
          <w:sz w:val="30"/>
          <w:szCs w:val="30"/>
        </w:rPr>
        <w:instrText xml:space="preserve"> PAGEREF _Toc7729 \h </w:instrText>
      </w:r>
      <w:r>
        <w:rPr>
          <w:color w:val="auto"/>
          <w:sz w:val="30"/>
          <w:szCs w:val="30"/>
        </w:rPr>
        <w:fldChar w:fldCharType="separate"/>
      </w:r>
      <w:r>
        <w:rPr>
          <w:color w:val="auto"/>
          <w:sz w:val="30"/>
          <w:szCs w:val="30"/>
        </w:rPr>
        <w:t>- 6 -</w:t>
      </w:r>
      <w:r>
        <w:rPr>
          <w:color w:val="auto"/>
          <w:sz w:val="30"/>
          <w:szCs w:val="30"/>
        </w:rPr>
        <w:fldChar w:fldCharType="end"/>
      </w:r>
      <w:r>
        <w:rPr>
          <w:rFonts w:hint="eastAsia" w:ascii="方正仿宋_GBK" w:hAnsi="宋体" w:eastAsia="方正仿宋_GBK"/>
          <w:color w:val="auto"/>
          <w:sz w:val="30"/>
          <w:szCs w:val="30"/>
        </w:rPr>
        <w:fldChar w:fldCharType="end"/>
      </w:r>
    </w:p>
    <w:p>
      <w:pPr>
        <w:pStyle w:val="19"/>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_Toc8678 </w:instrText>
      </w:r>
      <w:r>
        <w:rPr>
          <w:rFonts w:hint="eastAsia" w:ascii="方正仿宋_GBK" w:hAnsi="宋体" w:eastAsia="方正仿宋_GBK"/>
          <w:color w:val="auto"/>
          <w:sz w:val="30"/>
          <w:szCs w:val="30"/>
        </w:rPr>
        <w:fldChar w:fldCharType="separate"/>
      </w:r>
      <w:r>
        <w:rPr>
          <w:rFonts w:hint="eastAsia" w:ascii="方正小标宋_GBK" w:hAnsi="宋体" w:eastAsia="方正小标宋_GBK" w:cs="Times New Roman"/>
          <w:bCs/>
          <w:color w:val="auto"/>
          <w:sz w:val="30"/>
          <w:szCs w:val="30"/>
          <w:lang w:val="en-US" w:eastAsia="zh-CN"/>
        </w:rPr>
        <w:t xml:space="preserve">第二篇  </w:t>
      </w:r>
      <w:r>
        <w:rPr>
          <w:rFonts w:hint="eastAsia" w:ascii="方正小标宋_GBK" w:hAnsi="宋体" w:eastAsia="方正小标宋_GBK" w:cs="Times New Roman"/>
          <w:bCs/>
          <w:color w:val="auto"/>
          <w:sz w:val="30"/>
          <w:szCs w:val="30"/>
          <w:lang w:eastAsia="zh-CN"/>
        </w:rPr>
        <w:t>响应文件</w:t>
      </w:r>
      <w:r>
        <w:rPr>
          <w:rFonts w:hint="eastAsia" w:ascii="方正小标宋_GBK" w:hAnsi="宋体" w:eastAsia="方正小标宋_GBK" w:cs="Times New Roman"/>
          <w:bCs/>
          <w:color w:val="auto"/>
          <w:sz w:val="30"/>
          <w:szCs w:val="30"/>
        </w:rPr>
        <w:t>格式</w:t>
      </w:r>
      <w:r>
        <w:rPr>
          <w:color w:val="auto"/>
          <w:sz w:val="30"/>
          <w:szCs w:val="30"/>
        </w:rPr>
        <w:tab/>
      </w:r>
      <w:r>
        <w:rPr>
          <w:color w:val="auto"/>
          <w:sz w:val="30"/>
          <w:szCs w:val="30"/>
        </w:rPr>
        <w:fldChar w:fldCharType="begin"/>
      </w:r>
      <w:r>
        <w:rPr>
          <w:color w:val="auto"/>
          <w:sz w:val="30"/>
          <w:szCs w:val="30"/>
        </w:rPr>
        <w:instrText xml:space="preserve"> PAGEREF _Toc8678 \h </w:instrText>
      </w:r>
      <w:r>
        <w:rPr>
          <w:color w:val="auto"/>
          <w:sz w:val="30"/>
          <w:szCs w:val="30"/>
        </w:rPr>
        <w:fldChar w:fldCharType="separate"/>
      </w:r>
      <w:r>
        <w:rPr>
          <w:color w:val="auto"/>
          <w:sz w:val="30"/>
          <w:szCs w:val="30"/>
        </w:rPr>
        <w:t>- 7 -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_Toc21147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sz w:val="30"/>
          <w:szCs w:val="30"/>
        </w:rPr>
        <w:t>一、 经济文件</w:t>
      </w:r>
      <w:r>
        <w:rPr>
          <w:color w:val="auto"/>
          <w:sz w:val="30"/>
          <w:szCs w:val="30"/>
        </w:rPr>
        <w:tab/>
      </w:r>
      <w:r>
        <w:rPr>
          <w:color w:val="auto"/>
          <w:sz w:val="30"/>
          <w:szCs w:val="30"/>
        </w:rPr>
        <w:fldChar w:fldCharType="begin"/>
      </w:r>
      <w:r>
        <w:rPr>
          <w:color w:val="auto"/>
          <w:sz w:val="30"/>
          <w:szCs w:val="30"/>
        </w:rPr>
        <w:instrText xml:space="preserve"> PAGEREF _Toc21147 \h </w:instrText>
      </w:r>
      <w:r>
        <w:rPr>
          <w:color w:val="auto"/>
          <w:sz w:val="30"/>
          <w:szCs w:val="30"/>
        </w:rPr>
        <w:fldChar w:fldCharType="separate"/>
      </w:r>
      <w:r>
        <w:rPr>
          <w:color w:val="auto"/>
          <w:sz w:val="30"/>
          <w:szCs w:val="30"/>
        </w:rPr>
        <w:t>- 8 -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_Toc31853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sz w:val="30"/>
          <w:szCs w:val="30"/>
        </w:rPr>
        <w:t xml:space="preserve">二、 </w:t>
      </w:r>
      <w:r>
        <w:rPr>
          <w:rFonts w:hint="eastAsia" w:ascii="方正仿宋_GBK" w:hAnsi="方正仿宋_GBK" w:eastAsia="方正仿宋_GBK" w:cs="方正仿宋_GBK"/>
          <w:color w:val="auto"/>
          <w:sz w:val="30"/>
          <w:szCs w:val="30"/>
          <w:lang w:val="en-US" w:eastAsia="zh-CN"/>
        </w:rPr>
        <w:t>商务</w:t>
      </w:r>
      <w:r>
        <w:rPr>
          <w:rFonts w:hint="eastAsia" w:ascii="方正仿宋_GBK" w:hAnsi="方正仿宋_GBK" w:eastAsia="方正仿宋_GBK" w:cs="方正仿宋_GBK"/>
          <w:color w:val="auto"/>
          <w:sz w:val="30"/>
          <w:szCs w:val="30"/>
        </w:rPr>
        <w:t>技术文件</w:t>
      </w:r>
      <w:r>
        <w:rPr>
          <w:color w:val="auto"/>
          <w:sz w:val="30"/>
          <w:szCs w:val="30"/>
        </w:rPr>
        <w:tab/>
      </w:r>
      <w:r>
        <w:rPr>
          <w:color w:val="auto"/>
          <w:sz w:val="30"/>
          <w:szCs w:val="30"/>
        </w:rPr>
        <w:fldChar w:fldCharType="begin"/>
      </w:r>
      <w:r>
        <w:rPr>
          <w:color w:val="auto"/>
          <w:sz w:val="30"/>
          <w:szCs w:val="30"/>
        </w:rPr>
        <w:instrText xml:space="preserve"> PAGEREF _Toc31853 \h </w:instrText>
      </w:r>
      <w:r>
        <w:rPr>
          <w:color w:val="auto"/>
          <w:sz w:val="30"/>
          <w:szCs w:val="30"/>
        </w:rPr>
        <w:fldChar w:fldCharType="separate"/>
      </w:r>
      <w:r>
        <w:rPr>
          <w:color w:val="auto"/>
          <w:sz w:val="30"/>
          <w:szCs w:val="30"/>
        </w:rPr>
        <w:t>- 9 -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_Toc15574 </w:instrText>
      </w:r>
      <w:r>
        <w:rPr>
          <w:rFonts w:hint="eastAsia" w:ascii="方正仿宋_GBK" w:hAnsi="宋体" w:eastAsia="方正仿宋_GBK"/>
          <w:color w:val="auto"/>
          <w:sz w:val="30"/>
          <w:szCs w:val="30"/>
        </w:rPr>
        <w:fldChar w:fldCharType="separate"/>
      </w:r>
      <w:r>
        <w:rPr>
          <w:rFonts w:hint="eastAsia" w:ascii="方正仿宋_GBK" w:hAnsi="方正仿宋_GBK" w:eastAsia="方正仿宋_GBK" w:cs="方正仿宋_GBK"/>
          <w:color w:val="auto"/>
          <w:sz w:val="30"/>
          <w:szCs w:val="30"/>
        </w:rPr>
        <w:t>三、 资格文件</w:t>
      </w:r>
      <w:r>
        <w:rPr>
          <w:color w:val="auto"/>
          <w:sz w:val="30"/>
          <w:szCs w:val="30"/>
        </w:rPr>
        <w:tab/>
      </w:r>
      <w:r>
        <w:rPr>
          <w:color w:val="auto"/>
          <w:sz w:val="30"/>
          <w:szCs w:val="30"/>
        </w:rPr>
        <w:fldChar w:fldCharType="begin"/>
      </w:r>
      <w:r>
        <w:rPr>
          <w:color w:val="auto"/>
          <w:sz w:val="30"/>
          <w:szCs w:val="30"/>
        </w:rPr>
        <w:instrText xml:space="preserve"> PAGEREF _Toc15574 \h </w:instrText>
      </w:r>
      <w:r>
        <w:rPr>
          <w:color w:val="auto"/>
          <w:sz w:val="30"/>
          <w:szCs w:val="30"/>
        </w:rPr>
        <w:fldChar w:fldCharType="separate"/>
      </w:r>
      <w:r>
        <w:rPr>
          <w:color w:val="auto"/>
          <w:sz w:val="30"/>
          <w:szCs w:val="30"/>
        </w:rPr>
        <w:t>- 11 -</w:t>
      </w:r>
      <w:r>
        <w:rPr>
          <w:color w:val="auto"/>
          <w:sz w:val="30"/>
          <w:szCs w:val="30"/>
        </w:rPr>
        <w:fldChar w:fldCharType="end"/>
      </w:r>
      <w:r>
        <w:rPr>
          <w:rFonts w:hint="eastAsia" w:ascii="方正仿宋_GBK" w:hAnsi="宋体" w:eastAsia="方正仿宋_GBK"/>
          <w:color w:val="auto"/>
          <w:sz w:val="30"/>
          <w:szCs w:val="30"/>
        </w:rPr>
        <w:fldChar w:fldCharType="end"/>
      </w:r>
    </w:p>
    <w:p>
      <w:pPr>
        <w:pStyle w:val="19"/>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30"/>
          <w:szCs w:val="30"/>
        </w:rPr>
      </w:pPr>
      <w:r>
        <w:rPr>
          <w:rFonts w:hint="eastAsia" w:ascii="方正仿宋_GBK" w:hAnsi="宋体" w:eastAsia="方正仿宋_GBK"/>
          <w:color w:val="auto"/>
          <w:sz w:val="30"/>
          <w:szCs w:val="30"/>
        </w:rPr>
        <w:fldChar w:fldCharType="begin"/>
      </w:r>
      <w:r>
        <w:rPr>
          <w:rFonts w:hint="eastAsia" w:ascii="方正仿宋_GBK" w:hAnsi="宋体" w:eastAsia="方正仿宋_GBK"/>
          <w:color w:val="auto"/>
          <w:sz w:val="30"/>
          <w:szCs w:val="30"/>
        </w:rPr>
        <w:instrText xml:space="preserve"> HYPERLINK \l _Toc11504 </w:instrText>
      </w:r>
      <w:r>
        <w:rPr>
          <w:rFonts w:hint="eastAsia" w:ascii="方正仿宋_GBK" w:hAnsi="宋体" w:eastAsia="方正仿宋_GBK"/>
          <w:color w:val="auto"/>
          <w:sz w:val="30"/>
          <w:szCs w:val="30"/>
        </w:rPr>
        <w:fldChar w:fldCharType="separate"/>
      </w:r>
      <w:r>
        <w:rPr>
          <w:rFonts w:hint="eastAsia" w:ascii="方正小标宋_GBK" w:hAnsi="宋体" w:eastAsia="方正小标宋_GBK" w:cs="Times New Roman"/>
          <w:color w:val="auto"/>
          <w:sz w:val="30"/>
          <w:szCs w:val="30"/>
          <w:lang w:val="en-US" w:eastAsia="zh-CN"/>
        </w:rPr>
        <w:t>第三篇  合同</w:t>
      </w:r>
      <w:r>
        <w:rPr>
          <w:color w:val="auto"/>
          <w:sz w:val="30"/>
          <w:szCs w:val="30"/>
        </w:rPr>
        <w:tab/>
      </w:r>
      <w:r>
        <w:rPr>
          <w:color w:val="auto"/>
          <w:sz w:val="30"/>
          <w:szCs w:val="30"/>
        </w:rPr>
        <w:fldChar w:fldCharType="begin"/>
      </w:r>
      <w:r>
        <w:rPr>
          <w:color w:val="auto"/>
          <w:sz w:val="30"/>
          <w:szCs w:val="30"/>
        </w:rPr>
        <w:instrText xml:space="preserve"> PAGEREF _Toc11504 \h </w:instrText>
      </w:r>
      <w:r>
        <w:rPr>
          <w:color w:val="auto"/>
          <w:sz w:val="30"/>
          <w:szCs w:val="30"/>
        </w:rPr>
        <w:fldChar w:fldCharType="separate"/>
      </w:r>
      <w:r>
        <w:rPr>
          <w:color w:val="auto"/>
          <w:sz w:val="30"/>
          <w:szCs w:val="30"/>
        </w:rPr>
        <w:t>- 19 -</w:t>
      </w:r>
      <w:r>
        <w:rPr>
          <w:color w:val="auto"/>
          <w:sz w:val="30"/>
          <w:szCs w:val="30"/>
        </w:rPr>
        <w:fldChar w:fldCharType="end"/>
      </w:r>
      <w:r>
        <w:rPr>
          <w:rFonts w:hint="eastAsia" w:ascii="方正仿宋_GBK" w:hAnsi="宋体" w:eastAsia="方正仿宋_GBK"/>
          <w:color w:val="auto"/>
          <w:sz w:val="30"/>
          <w:szCs w:val="30"/>
        </w:rPr>
        <w:fldChar w:fldCharType="end"/>
      </w:r>
    </w:p>
    <w:p>
      <w:pPr>
        <w:pStyle w:val="20"/>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center"/>
        <w:textAlignment w:val="auto"/>
        <w:rPr>
          <w:rFonts w:ascii="方正仿宋_GBK" w:hAnsi="Calibri" w:eastAsia="方正仿宋_GBK"/>
          <w:color w:val="auto"/>
          <w:sz w:val="28"/>
          <w:szCs w:val="28"/>
        </w:rPr>
        <w:sectPr>
          <w:footerReference r:id="rId7"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 w:val="30"/>
          <w:szCs w:val="30"/>
        </w:rPr>
        <w:fldChar w:fldCharType="end"/>
      </w:r>
    </w:p>
    <w:p>
      <w:pPr>
        <w:pStyle w:val="3"/>
        <w:keepNext/>
        <w:keepLines/>
        <w:pageBreakBefore w:val="0"/>
        <w:widowControl w:val="0"/>
        <w:tabs>
          <w:tab w:val="left" w:pos="3360"/>
        </w:tabs>
        <w:kinsoku/>
        <w:wordWrap/>
        <w:overflowPunct/>
        <w:topLinePunct w:val="0"/>
        <w:autoSpaceDE/>
        <w:autoSpaceDN/>
        <w:bidi w:val="0"/>
        <w:adjustRightInd/>
        <w:snapToGrid/>
        <w:spacing w:before="260" w:beforeLines="0" w:beforeAutospacing="0" w:after="260" w:afterLines="0" w:afterAutospacing="0" w:line="240" w:lineRule="auto"/>
        <w:jc w:val="center"/>
        <w:textAlignment w:val="auto"/>
        <w:outlineLvl w:val="0"/>
        <w:rPr>
          <w:rFonts w:hint="eastAsia" w:ascii="方正小标宋_GBK" w:hAnsi="宋体" w:eastAsia="方正小标宋_GBK" w:cs="Times New Roman"/>
          <w:b w:val="0"/>
          <w:bCs/>
          <w:color w:val="auto"/>
          <w:sz w:val="36"/>
          <w:szCs w:val="30"/>
        </w:rPr>
      </w:pPr>
      <w:bookmarkStart w:id="5" w:name="_Toc6990"/>
      <w:bookmarkStart w:id="6" w:name="_Toc27111"/>
      <w:r>
        <w:rPr>
          <w:rFonts w:hint="eastAsia" w:ascii="方正小标宋_GBK" w:hAnsi="宋体" w:eastAsia="方正小标宋_GBK" w:cs="Times New Roman"/>
          <w:b w:val="0"/>
          <w:bCs/>
          <w:color w:val="auto"/>
          <w:sz w:val="36"/>
          <w:szCs w:val="30"/>
        </w:rPr>
        <w:t>第一篇  采购邀请书</w:t>
      </w:r>
      <w:bookmarkEnd w:id="0"/>
      <w:bookmarkEnd w:id="1"/>
      <w:bookmarkEnd w:id="2"/>
      <w:bookmarkEnd w:id="3"/>
      <w:bookmarkEnd w:id="5"/>
      <w:bookmarkEnd w:id="6"/>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color w:val="auto"/>
          <w:sz w:val="24"/>
          <w:szCs w:val="24"/>
        </w:rPr>
        <w:t>重庆嘉易招投标咨询有限责任公司（以下简称：采购代理机构）接受</w:t>
      </w:r>
      <w:r>
        <w:rPr>
          <w:rFonts w:hint="eastAsia" w:ascii="方正仿宋_GBK" w:hAnsi="方正仿宋_GBK" w:eastAsia="方正仿宋_GBK" w:cs="方正仿宋_GBK"/>
          <w:color w:val="auto"/>
          <w:sz w:val="24"/>
          <w:szCs w:val="24"/>
          <w:lang w:eastAsia="zh-CN"/>
        </w:rPr>
        <w:t>重庆市长寿区第一实验小学</w:t>
      </w:r>
      <w:r>
        <w:rPr>
          <w:rFonts w:hint="eastAsia" w:ascii="方正仿宋_GBK" w:hAnsi="方正仿宋_GBK" w:eastAsia="方正仿宋_GBK" w:cs="方正仿宋_GBK"/>
          <w:color w:val="auto"/>
          <w:sz w:val="24"/>
          <w:szCs w:val="24"/>
        </w:rPr>
        <w:t>（以下简称：采购人）的委托</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对</w:t>
      </w:r>
      <w:r>
        <w:rPr>
          <w:rFonts w:hint="eastAsia" w:ascii="方正仿宋_GBK" w:eastAsia="方正仿宋_GBK"/>
          <w:color w:val="auto"/>
          <w:sz w:val="24"/>
          <w:szCs w:val="24"/>
          <w:lang w:eastAsia="zh-CN"/>
        </w:rPr>
        <w:t>长寿区实验一小古镇校区、菩提校区定点生活垃圾清运</w:t>
      </w:r>
      <w:r>
        <w:rPr>
          <w:rFonts w:hint="eastAsia" w:ascii="方正仿宋_GBK" w:hAnsi="方正仿宋_GBK" w:eastAsia="方正仿宋_GBK" w:cs="方正仿宋_GBK"/>
          <w:color w:val="auto"/>
          <w:sz w:val="24"/>
          <w:szCs w:val="24"/>
        </w:rPr>
        <w:t>进行</w:t>
      </w:r>
      <w:r>
        <w:rPr>
          <w:rFonts w:hint="eastAsia" w:ascii="方正仿宋_GBK" w:hAnsi="方正仿宋_GBK" w:eastAsia="方正仿宋_GBK" w:cs="方正仿宋_GBK"/>
          <w:color w:val="auto"/>
          <w:sz w:val="24"/>
          <w:szCs w:val="24"/>
          <w:lang w:eastAsia="zh-CN"/>
        </w:rPr>
        <w:t>竞采</w:t>
      </w:r>
      <w:r>
        <w:rPr>
          <w:rFonts w:hint="eastAsia" w:ascii="方正仿宋_GBK" w:hAnsi="方正仿宋_GBK" w:eastAsia="方正仿宋_GBK" w:cs="方正仿宋_GBK"/>
          <w:color w:val="auto"/>
          <w:sz w:val="24"/>
          <w:szCs w:val="24"/>
        </w:rPr>
        <w:t>，欢迎有资格的</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参加。</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7" w:name="_Toc14127"/>
      <w:bookmarkStart w:id="8" w:name="_Toc17948"/>
      <w:r>
        <w:rPr>
          <w:rFonts w:hint="eastAsia" w:ascii="方正仿宋_GBK" w:hAnsi="方正仿宋_GBK" w:eastAsia="方正仿宋_GBK" w:cs="方正仿宋_GBK"/>
          <w:b/>
          <w:color w:val="auto"/>
          <w:kern w:val="2"/>
          <w:sz w:val="24"/>
          <w:szCs w:val="24"/>
          <w:lang w:val="en-US" w:eastAsia="zh-CN" w:bidi="ar-SA"/>
        </w:rPr>
        <w:t>竞采项目内容</w:t>
      </w:r>
      <w:bookmarkEnd w:id="7"/>
      <w:bookmarkEnd w:id="8"/>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455"/>
        <w:gridCol w:w="2040"/>
        <w:gridCol w:w="1161"/>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项目名称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资金来源</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default"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服务期</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leftChars="0" w:right="0" w:rightChars="0"/>
              <w:jc w:val="center"/>
              <w:textAlignment w:val="auto"/>
              <w:rPr>
                <w:rFonts w:hint="default"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最高限价总价</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jc w:val="center"/>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lang w:val="en-US" w:eastAsia="zh-CN"/>
              </w:rPr>
              <w:t>成交</w:t>
            </w:r>
            <w:r>
              <w:rPr>
                <w:rFonts w:hint="eastAsia" w:ascii="方正仿宋_GBK" w:hAnsi="方正仿宋_GBK" w:eastAsia="方正仿宋_GBK" w:cs="方正仿宋_GBK"/>
                <w:b/>
                <w:color w:val="auto"/>
                <w:sz w:val="24"/>
                <w:szCs w:val="24"/>
              </w:rPr>
              <w:t>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Times New Roman"/>
                <w:color w:val="auto"/>
                <w:sz w:val="24"/>
                <w:szCs w:val="24"/>
                <w:lang w:val="en-US" w:eastAsia="zh-CN"/>
              </w:rPr>
            </w:pPr>
            <w:bookmarkStart w:id="9" w:name="_Toc3792"/>
            <w:r>
              <w:rPr>
                <w:rFonts w:hint="eastAsia" w:ascii="仿宋" w:hAnsi="仿宋" w:eastAsia="仿宋" w:cs="Times New Roman"/>
                <w:color w:val="auto"/>
                <w:sz w:val="24"/>
                <w:szCs w:val="24"/>
                <w:lang w:val="en-US" w:eastAsia="zh-CN"/>
              </w:rPr>
              <w:t>长寿区实验一小古镇校区、菩提校区定点生活垃圾清运</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财政资金</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2年2025.08-2027.08</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color w:val="auto"/>
                <w:lang w:val="en-US" w:eastAsia="zh-CN"/>
              </w:rPr>
            </w:pPr>
            <w:r>
              <w:rPr>
                <w:rFonts w:hint="eastAsia" w:ascii="仿宋" w:hAnsi="仿宋" w:eastAsia="仿宋" w:cs="Times New Roman"/>
                <w:color w:val="auto"/>
                <w:sz w:val="24"/>
                <w:szCs w:val="24"/>
                <w:lang w:val="en-US" w:eastAsia="zh-CN"/>
              </w:rPr>
              <w:t>7.85万元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1人</w:t>
            </w:r>
          </w:p>
        </w:tc>
      </w:tr>
    </w:tbl>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default" w:ascii="方正仿宋_GBK" w:hAnsi="方正仿宋_GBK" w:eastAsia="方正仿宋_GBK" w:cs="方正仿宋_GBK"/>
          <w:b/>
          <w:color w:val="auto"/>
          <w:kern w:val="2"/>
          <w:sz w:val="24"/>
          <w:szCs w:val="24"/>
          <w:lang w:val="en-US" w:eastAsia="zh-CN" w:bidi="ar-SA"/>
        </w:rPr>
      </w:pPr>
      <w:bookmarkStart w:id="10" w:name="_Toc1585"/>
      <w:r>
        <w:rPr>
          <w:rFonts w:hint="eastAsia" w:ascii="方正仿宋_GBK" w:hAnsi="方正仿宋_GBK" w:eastAsia="方正仿宋_GBK" w:cs="方正仿宋_GBK"/>
          <w:b/>
          <w:color w:val="auto"/>
          <w:kern w:val="2"/>
          <w:sz w:val="24"/>
          <w:szCs w:val="24"/>
          <w:lang w:val="en-US" w:eastAsia="zh-CN" w:bidi="ar-SA"/>
        </w:rPr>
        <w:t>项目要求</w:t>
      </w:r>
      <w:bookmarkEnd w:id="9"/>
      <w:bookmarkEnd w:id="10"/>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两校在校师生</w:t>
      </w:r>
      <w:r>
        <w:rPr>
          <w:rFonts w:hint="eastAsia" w:ascii="方正仿宋_GBK" w:hAnsi="方正仿宋_GBK" w:eastAsia="方正仿宋_GBK" w:cs="方正仿宋_GBK"/>
          <w:color w:val="auto"/>
          <w:sz w:val="24"/>
          <w:highlight w:val="none"/>
          <w:lang w:eastAsia="zh-CN"/>
        </w:rPr>
        <w:t>9000余</w:t>
      </w:r>
      <w:r>
        <w:rPr>
          <w:rFonts w:hint="eastAsia" w:ascii="方正仿宋_GBK" w:hAnsi="方正仿宋_GBK" w:eastAsia="方正仿宋_GBK" w:cs="方正仿宋_GBK"/>
          <w:color w:val="auto"/>
          <w:sz w:val="24"/>
          <w:highlight w:val="none"/>
        </w:rPr>
        <w:t>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2.清运</w:t>
      </w:r>
      <w:r>
        <w:rPr>
          <w:rFonts w:hint="eastAsia" w:ascii="方正仿宋_GBK" w:hAnsi="方正仿宋_GBK" w:eastAsia="方正仿宋_GBK" w:cs="方正仿宋_GBK"/>
          <w:color w:val="auto"/>
          <w:sz w:val="24"/>
          <w:highlight w:val="none"/>
        </w:rPr>
        <w:t>实验一小(古镇校区)三号门指定位置</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rPr>
        <w:t>实验一小(菩提校区)侧门指定位置</w:t>
      </w:r>
      <w:r>
        <w:rPr>
          <w:rFonts w:hint="eastAsia" w:ascii="方正仿宋_GBK" w:hAnsi="方正仿宋_GBK" w:eastAsia="方正仿宋_GBK" w:cs="方正仿宋_GBK"/>
          <w:color w:val="auto"/>
          <w:sz w:val="24"/>
          <w:highlight w:val="none"/>
          <w:lang w:val="en-US" w:eastAsia="zh-CN"/>
        </w:rPr>
        <w:t>各1个箱体垃圾。</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3.每天早上7</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30之前，下午6：00点之后。中途箱体满由清洁</w:t>
      </w:r>
      <w:r>
        <w:rPr>
          <w:rFonts w:hint="eastAsia" w:ascii="方正仿宋_GBK" w:hAnsi="方正仿宋_GBK" w:eastAsia="方正仿宋_GBK" w:cs="方正仿宋_GBK"/>
          <w:color w:val="auto"/>
          <w:sz w:val="24"/>
          <w:highlight w:val="none"/>
          <w:lang w:val="en-US" w:eastAsia="zh-CN"/>
        </w:rPr>
        <w:t>人员</w:t>
      </w:r>
      <w:r>
        <w:rPr>
          <w:rFonts w:hint="eastAsia" w:ascii="方正仿宋_GBK" w:hAnsi="方正仿宋_GBK" w:eastAsia="方正仿宋_GBK" w:cs="方正仿宋_GBK"/>
          <w:color w:val="auto"/>
          <w:sz w:val="24"/>
          <w:highlight w:val="none"/>
        </w:rPr>
        <w:t>电话联系及时清运。</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（二）服务及质量要求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bookmarkStart w:id="11" w:name="_Toc11724"/>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供应商每天固定时间清洁清运，如遇特殊情况，须按照采购人要求的时间进行清运。</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供应商提供垃圾清运车和箱体</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清运垃圾等事项由供应商全权负责。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供应商工作行为应该符合法律和政府相关部门之规定，相关责任供应商自行承担和解决。</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供应商提供派往的所有工作人员，须向采</w:t>
      </w:r>
      <w:r>
        <w:rPr>
          <w:rFonts w:hint="eastAsia" w:ascii="方正仿宋_GBK" w:hAnsi="方正仿宋_GBK" w:eastAsia="方正仿宋_GBK" w:cs="方正仿宋_GBK"/>
          <w:color w:val="auto"/>
          <w:sz w:val="24"/>
          <w:highlight w:val="none"/>
          <w:lang w:eastAsia="zh-CN"/>
        </w:rPr>
        <w:t>购人</w:t>
      </w:r>
      <w:r>
        <w:rPr>
          <w:rFonts w:hint="eastAsia" w:ascii="方正仿宋_GBK" w:hAnsi="方正仿宋_GBK" w:eastAsia="方正仿宋_GBK" w:cs="方正仿宋_GBK"/>
          <w:color w:val="auto"/>
          <w:sz w:val="24"/>
          <w:highlight w:val="none"/>
        </w:rPr>
        <w:t>提交所有工作人员有效证件</w:t>
      </w:r>
      <w:r>
        <w:rPr>
          <w:rFonts w:hint="eastAsia" w:ascii="方正仿宋_GBK" w:hAnsi="方正仿宋_GBK" w:eastAsia="方正仿宋_GBK" w:cs="方正仿宋_GBK"/>
          <w:color w:val="auto"/>
          <w:sz w:val="24"/>
          <w:highlight w:val="none"/>
          <w:lang w:eastAsia="zh-CN"/>
        </w:rPr>
        <w:t>的复</w:t>
      </w:r>
      <w:r>
        <w:rPr>
          <w:rFonts w:hint="eastAsia" w:ascii="方正仿宋_GBK" w:hAnsi="方正仿宋_GBK" w:eastAsia="方正仿宋_GBK" w:cs="方正仿宋_GBK"/>
          <w:color w:val="auto"/>
          <w:sz w:val="24"/>
          <w:highlight w:val="none"/>
        </w:rPr>
        <w:t>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供应商清运车辆运行需</w:t>
      </w:r>
      <w:r>
        <w:rPr>
          <w:rFonts w:hint="eastAsia" w:ascii="方正仿宋_GBK" w:hAnsi="方正仿宋_GBK" w:eastAsia="方正仿宋_GBK" w:cs="方正仿宋_GBK"/>
          <w:color w:val="auto"/>
          <w:sz w:val="24"/>
          <w:highlight w:val="none"/>
          <w:lang w:eastAsia="zh-CN"/>
        </w:rPr>
        <w:t>做好</w:t>
      </w:r>
      <w:r>
        <w:rPr>
          <w:rFonts w:hint="eastAsia" w:ascii="方正仿宋_GBK" w:hAnsi="方正仿宋_GBK" w:eastAsia="方正仿宋_GBK" w:cs="方正仿宋_GBK"/>
          <w:color w:val="auto"/>
          <w:sz w:val="24"/>
          <w:highlight w:val="none"/>
        </w:rPr>
        <w:t>封闭措施，避免垃圾沿路飘落，以保持沿路环境卫生。</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6.</w:t>
      </w:r>
      <w:r>
        <w:rPr>
          <w:rFonts w:hint="eastAsia" w:ascii="方正仿宋_GBK" w:hAnsi="方正仿宋_GBK" w:eastAsia="方正仿宋_GBK" w:cs="方正仿宋_GBK"/>
          <w:color w:val="auto"/>
          <w:sz w:val="24"/>
          <w:highlight w:val="none"/>
        </w:rPr>
        <w:t>供应商将垃圾运往有资质的固体垃圾废物处理中心。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7.</w:t>
      </w:r>
      <w:r>
        <w:rPr>
          <w:rFonts w:hint="eastAsia" w:ascii="方正仿宋_GBK" w:hAnsi="方正仿宋_GBK" w:eastAsia="方正仿宋_GBK" w:cs="方正仿宋_GBK"/>
          <w:color w:val="auto"/>
          <w:sz w:val="24"/>
          <w:highlight w:val="none"/>
        </w:rPr>
        <w:t>供应商负责定期清理，并做到车走场清。</w:t>
      </w:r>
    </w:p>
    <w:p>
      <w:pPr>
        <w:spacing w:line="440" w:lineRule="exact"/>
        <w:ind w:firstLine="480" w:firstLineChars="200"/>
        <w:outlineLvl w:val="2"/>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val="en-US" w:eastAsia="zh-CN"/>
        </w:rPr>
        <w:t>三</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val="en-US" w:eastAsia="zh-CN"/>
        </w:rPr>
        <w:t>项目验收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每月（特别是服务质量问题）未及时正确清洁，采购人有权提出书面警告，并责令其及时解决。并在当月清运服务（当月总计服务费=每日清运费用的总和）中扣除5%</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30%的</w:t>
      </w:r>
      <w:r>
        <w:rPr>
          <w:rFonts w:hint="eastAsia" w:ascii="方正仿宋_GBK" w:hAnsi="方正仿宋_GBK" w:eastAsia="方正仿宋_GBK" w:cs="方正仿宋_GBK"/>
          <w:color w:val="auto"/>
          <w:sz w:val="24"/>
          <w:highlight w:val="none"/>
          <w:lang w:val="en-US" w:eastAsia="zh-CN"/>
        </w:rPr>
        <w:t>当月服务费</w:t>
      </w:r>
      <w:r>
        <w:rPr>
          <w:rFonts w:hint="eastAsia" w:ascii="方正仿宋_GBK" w:hAnsi="方正仿宋_GBK" w:eastAsia="方正仿宋_GBK" w:cs="方正仿宋_GBK"/>
          <w:color w:val="auto"/>
          <w:sz w:val="24"/>
          <w:highlight w:val="none"/>
        </w:rPr>
        <w:t>服务，若因</w:t>
      </w:r>
      <w:r>
        <w:rPr>
          <w:rFonts w:hint="eastAsia" w:ascii="方正仿宋_GBK" w:hAnsi="方正仿宋_GBK" w:eastAsia="方正仿宋_GBK" w:cs="方正仿宋_GBK"/>
          <w:color w:val="auto"/>
          <w:sz w:val="24"/>
          <w:highlight w:val="none"/>
          <w:lang w:eastAsia="zh-CN"/>
        </w:rPr>
        <w:t>供应商</w:t>
      </w:r>
      <w:r>
        <w:rPr>
          <w:rFonts w:hint="eastAsia" w:ascii="方正仿宋_GBK" w:hAnsi="方正仿宋_GBK" w:eastAsia="方正仿宋_GBK" w:cs="方正仿宋_GBK"/>
          <w:color w:val="auto"/>
          <w:sz w:val="24"/>
          <w:highlight w:val="none"/>
        </w:rPr>
        <w:t>承包范围内之清洁服务质量不达标准，而被有关部门（爱卫会、环卫、市容、街道办事处等单位）予以处罚，所需之罚金，由供应商负责。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供应商如中途未经采购人同意单方中止清运行为，采购人有权拒绝支付合同尾款，同时供应商每拖延一天须向采购人支付人民币160元作为</w:t>
      </w:r>
      <w:r>
        <w:rPr>
          <w:rFonts w:hint="eastAsia" w:ascii="方正仿宋_GBK" w:hAnsi="方正仿宋_GBK" w:eastAsia="方正仿宋_GBK" w:cs="方正仿宋_GBK"/>
          <w:color w:val="auto"/>
          <w:sz w:val="24"/>
          <w:highlight w:val="none"/>
          <w:lang w:val="en-US" w:eastAsia="zh-CN"/>
        </w:rPr>
        <w:t>违约金</w:t>
      </w:r>
      <w:r>
        <w:rPr>
          <w:rFonts w:hint="eastAsia" w:ascii="方正仿宋_GBK" w:hAnsi="方正仿宋_GBK" w:eastAsia="方正仿宋_GBK" w:cs="方正仿宋_GBK"/>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供应商清洁垃圾过程中出现服务不及时或服务质量未能达到采购人要求，采购人将信息反馈给供应商并督促</w:t>
      </w:r>
      <w:r>
        <w:rPr>
          <w:rFonts w:hint="eastAsia" w:ascii="方正仿宋_GBK" w:hAnsi="方正仿宋_GBK" w:eastAsia="方正仿宋_GBK" w:cs="方正仿宋_GBK"/>
          <w:color w:val="auto"/>
          <w:sz w:val="24"/>
          <w:highlight w:val="none"/>
          <w:lang w:val="en-US" w:eastAsia="zh-CN"/>
        </w:rPr>
        <w:t>供应商</w:t>
      </w:r>
      <w:r>
        <w:rPr>
          <w:rFonts w:hint="eastAsia" w:ascii="方正仿宋_GBK" w:hAnsi="方正仿宋_GBK" w:eastAsia="方正仿宋_GBK" w:cs="方正仿宋_GBK"/>
          <w:color w:val="auto"/>
          <w:sz w:val="24"/>
          <w:highlight w:val="none"/>
        </w:rPr>
        <w:t>在当日内处理，逾期未能妥当处理，</w:t>
      </w:r>
      <w:r>
        <w:rPr>
          <w:rFonts w:hint="eastAsia" w:ascii="方正仿宋_GBK" w:hAnsi="方正仿宋_GBK" w:eastAsia="方正仿宋_GBK" w:cs="方正仿宋_GBK"/>
          <w:color w:val="auto"/>
          <w:sz w:val="24"/>
          <w:highlight w:val="none"/>
          <w:lang w:val="en-US" w:eastAsia="zh-CN"/>
        </w:rPr>
        <w:t>采购人</w:t>
      </w:r>
      <w:r>
        <w:rPr>
          <w:rFonts w:hint="eastAsia" w:ascii="方正仿宋_GBK" w:hAnsi="方正仿宋_GBK" w:eastAsia="方正仿宋_GBK" w:cs="方正仿宋_GBK"/>
          <w:color w:val="auto"/>
          <w:sz w:val="24"/>
          <w:highlight w:val="none"/>
        </w:rPr>
        <w:t>根据实际情况可扣减供应商当月垃圾清运服务费用5%</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10%。</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四</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其他要求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应在开标前对项目现场及周围环境自行踏勘。无论是否踏勘过现场，均被认为在递交响应文件之前已踏勘现场，对本合同项目的风险和义务已经了解，并在其响应文件中已充分考虑了现场和环境因素，踏勘现场所发生的费用由供应商自行承担。</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12" w:name="_Toc24136"/>
      <w:r>
        <w:rPr>
          <w:rFonts w:hint="eastAsia" w:ascii="方正仿宋_GBK" w:hAnsi="方正仿宋_GBK" w:eastAsia="方正仿宋_GBK" w:cs="方正仿宋_GBK"/>
          <w:b/>
          <w:color w:val="auto"/>
          <w:kern w:val="2"/>
          <w:sz w:val="24"/>
          <w:szCs w:val="24"/>
          <w:lang w:val="en-US" w:eastAsia="zh-CN" w:bidi="ar-SA"/>
        </w:rPr>
        <w:t>供应商资格条件</w:t>
      </w:r>
      <w:bookmarkEnd w:id="11"/>
      <w:bookmarkEnd w:id="12"/>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w:t>
      </w:r>
      <w:r>
        <w:rPr>
          <w:rFonts w:hint="eastAsia" w:ascii="方正仿宋_GBK" w:hAnsi="宋体" w:eastAsia="方正仿宋_GBK"/>
          <w:color w:val="auto"/>
          <w:sz w:val="24"/>
          <w:szCs w:val="24"/>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宋体" w:eastAsia="方正仿宋_GBK"/>
          <w:color w:val="auto"/>
          <w:sz w:val="24"/>
          <w:szCs w:val="24"/>
        </w:rPr>
        <w:t>（二）本项目的</w:t>
      </w:r>
      <w:r>
        <w:rPr>
          <w:rFonts w:hint="eastAsia" w:ascii="方正仿宋_GBK" w:hAnsi="方正仿宋_GBK" w:eastAsia="方正仿宋_GBK" w:cs="方正仿宋_GBK"/>
          <w:color w:val="auto"/>
          <w:kern w:val="2"/>
          <w:sz w:val="24"/>
          <w:szCs w:val="24"/>
          <w:lang w:val="en-US" w:eastAsia="zh-CN" w:bidi="ar-SA"/>
        </w:rPr>
        <w:t>特定资格要求：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_GBK" w:hAnsi="宋体" w:eastAsia="方正仿宋_GBK" w:cs="Times New Roman"/>
          <w:color w:val="auto"/>
          <w:sz w:val="24"/>
          <w:szCs w:val="24"/>
          <w:lang w:eastAsia="zh-CN"/>
        </w:rPr>
      </w:pPr>
      <w:bookmarkStart w:id="13" w:name="_Toc48913006"/>
      <w:r>
        <w:rPr>
          <w:rFonts w:hint="eastAsia" w:ascii="方正仿宋_GBK" w:hAnsi="宋体" w:eastAsia="方正仿宋_GBK" w:cs="Times New Roman"/>
          <w:color w:val="auto"/>
          <w:sz w:val="24"/>
          <w:szCs w:val="24"/>
          <w:lang w:val="en-US" w:eastAsia="zh-CN"/>
        </w:rPr>
        <w:t>无</w:t>
      </w:r>
      <w:r>
        <w:rPr>
          <w:rFonts w:hint="eastAsia" w:ascii="方正仿宋_GBK" w:hAnsi="宋体" w:eastAsia="方正仿宋_GBK" w:cs="Times New Roman"/>
          <w:color w:val="auto"/>
          <w:sz w:val="24"/>
          <w:szCs w:val="24"/>
          <w:lang w:eastAsia="zh-CN"/>
        </w:rPr>
        <w:t>。</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14" w:name="_Toc2477"/>
      <w:bookmarkStart w:id="15" w:name="_Toc10288"/>
      <w:r>
        <w:rPr>
          <w:rFonts w:hint="eastAsia" w:ascii="方正仿宋_GBK" w:hAnsi="方正仿宋_GBK" w:eastAsia="方正仿宋_GBK" w:cs="方正仿宋_GBK"/>
          <w:b/>
          <w:color w:val="auto"/>
          <w:kern w:val="2"/>
          <w:sz w:val="24"/>
          <w:szCs w:val="24"/>
          <w:lang w:val="en-US" w:eastAsia="zh-CN" w:bidi="ar-SA"/>
        </w:rPr>
        <w:t>竞采有关说明</w:t>
      </w:r>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bookmarkStart w:id="16" w:name="_Toc48913007"/>
      <w:r>
        <w:rPr>
          <w:rFonts w:hint="eastAsia" w:ascii="方正仿宋_GBK" w:hAnsi="方正仿宋_GBK" w:eastAsia="方正仿宋_GBK" w:cs="方正仿宋_GBK"/>
          <w:color w:val="auto"/>
          <w:sz w:val="24"/>
          <w:highlight w:val="none"/>
        </w:rPr>
        <w:t>（一）凡有意参加</w:t>
      </w:r>
      <w:r>
        <w:rPr>
          <w:rFonts w:hint="eastAsia" w:ascii="方正仿宋_GBK" w:hAnsi="方正仿宋_GBK" w:eastAsia="方正仿宋_GBK" w:cs="方正仿宋_GBK"/>
          <w:color w:val="auto"/>
          <w:sz w:val="24"/>
          <w:highlight w:val="none"/>
          <w:lang w:val="en-US" w:eastAsia="zh-CN"/>
        </w:rPr>
        <w:t>竞采</w:t>
      </w:r>
      <w:r>
        <w:rPr>
          <w:rFonts w:hint="eastAsia" w:ascii="方正仿宋_GBK" w:hAnsi="方正仿宋_GBK" w:eastAsia="方正仿宋_GBK" w:cs="方正仿宋_GBK"/>
          <w:color w:val="auto"/>
          <w:sz w:val="24"/>
          <w:highlight w:val="none"/>
        </w:rPr>
        <w:t>的供应商，请在</w:t>
      </w:r>
      <w:bookmarkStart w:id="17" w:name="OLE_LINK1"/>
      <w:r>
        <w:rPr>
          <w:rFonts w:hint="eastAsia" w:ascii="方正仿宋_GBK" w:hAnsi="方正仿宋_GBK" w:eastAsia="方正仿宋_GBK" w:cs="方正仿宋_GBK"/>
          <w:color w:val="auto"/>
          <w:sz w:val="24"/>
          <w:highlight w:val="none"/>
          <w:lang w:eastAsia="zh-CN"/>
        </w:rPr>
        <w:t>行采家（https://www.gec123.com/）</w:t>
      </w:r>
      <w:bookmarkEnd w:id="17"/>
      <w:r>
        <w:rPr>
          <w:rFonts w:hint="eastAsia" w:ascii="方正仿宋_GBK" w:hAnsi="方正仿宋_GBK" w:eastAsia="方正仿宋_GBK" w:cs="方正仿宋_GBK"/>
          <w:color w:val="auto"/>
          <w:sz w:val="24"/>
          <w:highlight w:val="none"/>
        </w:rPr>
        <w:t>上下载或到采购代理机构处领取本项目竞争性磋商文件以及图纸、澄清等</w:t>
      </w:r>
      <w:r>
        <w:rPr>
          <w:rFonts w:hint="eastAsia" w:ascii="方正仿宋_GBK" w:hAnsi="方正仿宋_GBK" w:eastAsia="方正仿宋_GBK" w:cs="方正仿宋_GBK"/>
          <w:color w:val="auto"/>
          <w:sz w:val="24"/>
          <w:highlight w:val="none"/>
          <w:lang w:val="en-US" w:eastAsia="zh-CN"/>
        </w:rPr>
        <w:t>竞采</w:t>
      </w:r>
      <w:r>
        <w:rPr>
          <w:rFonts w:hint="eastAsia" w:ascii="方正仿宋_GBK" w:hAnsi="方正仿宋_GBK" w:eastAsia="方正仿宋_GBK" w:cs="方正仿宋_GBK"/>
          <w:color w:val="auto"/>
          <w:sz w:val="24"/>
          <w:highlight w:val="none"/>
        </w:rPr>
        <w:t>前公布的所有项目资料，无论供应商下载或领取与否，均视为已知晓所有</w:t>
      </w:r>
      <w:r>
        <w:rPr>
          <w:rFonts w:hint="eastAsia" w:ascii="方正仿宋_GBK" w:hAnsi="方正仿宋_GBK" w:eastAsia="方正仿宋_GBK" w:cs="方正仿宋_GBK"/>
          <w:color w:val="auto"/>
          <w:sz w:val="24"/>
          <w:highlight w:val="none"/>
          <w:lang w:val="en-US" w:eastAsia="zh-CN"/>
        </w:rPr>
        <w:t>竞采文件</w:t>
      </w:r>
      <w:r>
        <w:rPr>
          <w:rFonts w:hint="eastAsia" w:ascii="方正仿宋_GBK" w:hAnsi="方正仿宋_GBK" w:eastAsia="方正仿宋_GBK" w:cs="方正仿宋_GBK"/>
          <w:color w:val="auto"/>
          <w:sz w:val="24"/>
          <w:highlight w:val="none"/>
        </w:rPr>
        <w:t>实质性要求内容。</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（二）公告期限：自采购公告发布之日起三个工作日。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（三）获取</w:t>
      </w:r>
      <w:r>
        <w:rPr>
          <w:rFonts w:hint="eastAsia" w:ascii="方正仿宋_GBK" w:hAnsi="方正仿宋_GBK" w:eastAsia="方正仿宋_GBK" w:cs="方正仿宋_GBK"/>
          <w:color w:val="auto"/>
          <w:sz w:val="24"/>
          <w:highlight w:val="none"/>
          <w:lang w:eastAsia="zh-CN"/>
        </w:rPr>
        <w:t>采购文件</w:t>
      </w:r>
      <w:r>
        <w:rPr>
          <w:rFonts w:hint="eastAsia" w:ascii="方正仿宋_GBK" w:hAnsi="方正仿宋_GBK" w:eastAsia="方正仿宋_GBK" w:cs="方正仿宋_GBK"/>
          <w:color w:val="auto"/>
          <w:sz w:val="24"/>
          <w:highlight w:val="none"/>
        </w:rPr>
        <w:t>期限：</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lang w:eastAsia="zh-CN"/>
        </w:rPr>
        <w:t>采购文件</w:t>
      </w:r>
      <w:r>
        <w:rPr>
          <w:rFonts w:hint="eastAsia" w:ascii="方正仿宋_GBK" w:hAnsi="方正仿宋_GBK" w:eastAsia="方正仿宋_GBK" w:cs="方正仿宋_GBK"/>
          <w:color w:val="auto"/>
          <w:sz w:val="24"/>
          <w:highlight w:val="none"/>
        </w:rPr>
        <w:t>提供期限：</w:t>
      </w:r>
      <w:r>
        <w:rPr>
          <w:rFonts w:hint="eastAsia" w:ascii="方正仿宋_GBK" w:hAnsi="方正仿宋_GBK" w:eastAsia="方正仿宋_GBK" w:cs="方正仿宋_GBK"/>
          <w:color w:val="auto"/>
          <w:sz w:val="24"/>
          <w:highlight w:val="none"/>
          <w:lang w:eastAsia="zh-CN"/>
        </w:rPr>
        <w:t>2025年7月</w:t>
      </w:r>
      <w:r>
        <w:rPr>
          <w:rFonts w:hint="eastAsia" w:ascii="方正仿宋_GBK" w:hAnsi="方正仿宋_GBK" w:eastAsia="方正仿宋_GBK" w:cs="方正仿宋_GBK"/>
          <w:color w:val="auto"/>
          <w:sz w:val="24"/>
          <w:highlight w:val="none"/>
          <w:lang w:val="en-US" w:eastAsia="zh-CN"/>
        </w:rPr>
        <w:t>29日</w:t>
      </w:r>
      <w:r>
        <w:rPr>
          <w:rFonts w:hint="eastAsia" w:ascii="方正仿宋_GBK" w:hAnsi="方正仿宋_GBK" w:eastAsia="方正仿宋_GBK" w:cs="方正仿宋_GBK"/>
          <w:color w:val="auto"/>
          <w:sz w:val="24"/>
          <w:highlight w:val="none"/>
        </w:rPr>
        <w:t>至</w:t>
      </w:r>
      <w:r>
        <w:rPr>
          <w:rFonts w:hint="eastAsia" w:ascii="方正仿宋_GBK" w:hAnsi="方正仿宋_GBK" w:eastAsia="方正仿宋_GBK" w:cs="方正仿宋_GBK"/>
          <w:color w:val="auto"/>
          <w:sz w:val="24"/>
          <w:highlight w:val="none"/>
          <w:lang w:eastAsia="zh-CN"/>
        </w:rPr>
        <w:t>2025年</w:t>
      </w:r>
      <w:r>
        <w:rPr>
          <w:rFonts w:hint="eastAsia" w:ascii="方正仿宋_GBK" w:hAnsi="方正仿宋_GBK" w:eastAsia="方正仿宋_GBK" w:cs="方正仿宋_GBK"/>
          <w:color w:val="auto"/>
          <w:sz w:val="24"/>
          <w:highlight w:val="none"/>
          <w:lang w:val="en-US" w:eastAsia="zh-CN"/>
        </w:rPr>
        <w:t>08</w:t>
      </w:r>
      <w:r>
        <w:rPr>
          <w:rFonts w:hint="eastAsia" w:ascii="方正仿宋_GBK" w:hAnsi="方正仿宋_GBK" w:eastAsia="方正仿宋_GBK" w:cs="方正仿宋_GBK"/>
          <w:color w:val="auto"/>
          <w:sz w:val="24"/>
          <w:highlight w:val="none"/>
          <w:lang w:eastAsia="zh-CN"/>
        </w:rPr>
        <w:t>月</w:t>
      </w:r>
      <w:r>
        <w:rPr>
          <w:rFonts w:hint="eastAsia" w:ascii="方正仿宋_GBK" w:hAnsi="方正仿宋_GBK" w:eastAsia="方正仿宋_GBK" w:cs="方正仿宋_GBK"/>
          <w:color w:val="auto"/>
          <w:sz w:val="24"/>
          <w:highlight w:val="none"/>
          <w:lang w:val="en-US" w:eastAsia="zh-CN"/>
        </w:rPr>
        <w:t>01</w:t>
      </w:r>
      <w:r>
        <w:rPr>
          <w:rFonts w:hint="eastAsia" w:ascii="方正仿宋_GBK" w:hAnsi="方正仿宋_GBK" w:eastAsia="方正仿宋_GBK" w:cs="方正仿宋_GBK"/>
          <w:color w:val="auto"/>
          <w:sz w:val="24"/>
          <w:highlight w:val="none"/>
        </w:rPr>
        <w:t>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采购文件</w:t>
      </w:r>
      <w:r>
        <w:rPr>
          <w:rFonts w:hint="eastAsia" w:ascii="方正仿宋_GBK" w:hAnsi="方正仿宋_GBK" w:eastAsia="方正仿宋_GBK" w:cs="方正仿宋_GBK"/>
          <w:color w:val="auto"/>
          <w:sz w:val="24"/>
          <w:highlight w:val="none"/>
        </w:rPr>
        <w:t>售价：人民币</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元/包。</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四</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提交响应文件时间：</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1.网上递交：</w:t>
      </w:r>
      <w:r>
        <w:rPr>
          <w:rFonts w:hint="eastAsia" w:ascii="方正仿宋_GBK" w:hAnsi="方正仿宋_GBK" w:eastAsia="方正仿宋_GBK" w:cs="方正仿宋_GBK"/>
          <w:color w:val="auto"/>
          <w:sz w:val="24"/>
          <w:highlight w:val="none"/>
        </w:rPr>
        <w:t>供应商须在</w:t>
      </w:r>
      <w:r>
        <w:rPr>
          <w:rFonts w:hint="eastAsia" w:ascii="方正仿宋_GBK" w:hAnsi="方正仿宋_GBK" w:eastAsia="方正仿宋_GBK" w:cs="方正仿宋_GBK"/>
          <w:color w:val="auto"/>
          <w:sz w:val="24"/>
          <w:highlight w:val="none"/>
          <w:lang w:eastAsia="zh-CN"/>
        </w:rPr>
        <w:t>行采家（https://www.gec123.com/）</w:t>
      </w:r>
      <w:r>
        <w:rPr>
          <w:rFonts w:hint="eastAsia" w:ascii="方正仿宋_GBK" w:hAnsi="方正仿宋_GBK" w:eastAsia="方正仿宋_GBK" w:cs="方正仿宋_GBK"/>
          <w:color w:val="auto"/>
          <w:sz w:val="24"/>
          <w:highlight w:val="none"/>
        </w:rPr>
        <w:t>线上报名。线上报名时间和平台上传盖章后响应文件的时间：</w:t>
      </w:r>
      <w:r>
        <w:rPr>
          <w:rFonts w:hint="eastAsia" w:ascii="方正仿宋_GBK" w:hAnsi="方正仿宋_GBK" w:eastAsia="方正仿宋_GBK" w:cs="方正仿宋_GBK"/>
          <w:color w:val="auto"/>
          <w:sz w:val="24"/>
          <w:highlight w:val="none"/>
          <w:lang w:eastAsia="zh-CN"/>
        </w:rPr>
        <w:t>2025年</w:t>
      </w:r>
      <w:r>
        <w:rPr>
          <w:rFonts w:hint="eastAsia" w:ascii="方正仿宋_GBK" w:hAnsi="方正仿宋_GBK" w:eastAsia="方正仿宋_GBK" w:cs="方正仿宋_GBK"/>
          <w:color w:val="auto"/>
          <w:sz w:val="24"/>
          <w:highlight w:val="none"/>
          <w:lang w:val="en-US" w:eastAsia="zh-CN"/>
        </w:rPr>
        <w:t>08</w:t>
      </w:r>
      <w:r>
        <w:rPr>
          <w:rFonts w:hint="eastAsia" w:ascii="方正仿宋_GBK" w:hAnsi="方正仿宋_GBK" w:eastAsia="方正仿宋_GBK" w:cs="方正仿宋_GBK"/>
          <w:color w:val="auto"/>
          <w:sz w:val="24"/>
          <w:highlight w:val="none"/>
          <w:lang w:eastAsia="zh-CN"/>
        </w:rPr>
        <w:t>月</w:t>
      </w:r>
      <w:r>
        <w:rPr>
          <w:rFonts w:hint="eastAsia" w:ascii="方正仿宋_GBK" w:hAnsi="方正仿宋_GBK" w:eastAsia="方正仿宋_GBK" w:cs="方正仿宋_GBK"/>
          <w:color w:val="auto"/>
          <w:sz w:val="24"/>
          <w:highlight w:val="none"/>
          <w:lang w:val="en-US" w:eastAsia="zh-CN"/>
        </w:rPr>
        <w:t>02日</w:t>
      </w:r>
      <w:r>
        <w:rPr>
          <w:rFonts w:hint="eastAsia" w:ascii="方正仿宋_GBK" w:hAnsi="方正仿宋_GBK" w:eastAsia="方正仿宋_GBK" w:cs="方正仿宋_GBK"/>
          <w:color w:val="auto"/>
          <w:sz w:val="24"/>
          <w:highlight w:val="none"/>
        </w:rPr>
        <w:t>09:00至11:00止。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2.线下递交：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方式一邮寄递交：供应商须在2025年08月02日北京时间11:00前，将纸质文件邮寄到长寿区树人路2号实验一小（古镇校区）总务处，</w:t>
      </w:r>
      <w:r>
        <w:rPr>
          <w:rFonts w:hint="eastAsia" w:ascii="方正仿宋_GBK" w:hAnsi="方正仿宋_GBK" w:eastAsia="方正仿宋_GBK" w:cs="方正仿宋_GBK"/>
          <w:color w:val="auto"/>
          <w:sz w:val="24"/>
          <w:highlight w:val="none"/>
          <w:lang w:eastAsia="zh-CN"/>
        </w:rPr>
        <w:t>联系人：谢老师13983879115</w:t>
      </w:r>
      <w:r>
        <w:rPr>
          <w:rFonts w:hint="eastAsia" w:ascii="方正仿宋_GBK" w:hAnsi="方正仿宋_GBK" w:eastAsia="方正仿宋_GBK" w:cs="方正仿宋_GBK"/>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方式二现场递交：供应商须在2025年08月02日北京时间11:00前，将通过纸质文件送至树人路2号实验一小（古镇校区）总务处。</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3.备注：</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供应商需按照网上递交和线下递交要求分别响应；</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（2）未在截止时间前按要求递交响应文件的将不参与评审。文件通过邮寄或者快递方式递交的供应商需考虑文件在途时间，文件接收时间以采购人签收时间为准。</w:t>
      </w:r>
    </w:p>
    <w:p>
      <w:pPr>
        <w:snapToGrid w:val="0"/>
        <w:spacing w:line="400" w:lineRule="exact"/>
        <w:ind w:firstLine="480" w:firstLineChars="200"/>
        <w:rPr>
          <w:rFonts w:hint="eastAsia" w:ascii="方正仿宋_GBK" w:hAnsi="方正仿宋_GBK" w:eastAsia="方正仿宋_GBK" w:cs="方正仿宋_GBK"/>
          <w:b/>
          <w:bCs/>
          <w:i/>
          <w:iCs/>
          <w:color w:val="auto"/>
          <w:sz w:val="24"/>
          <w:szCs w:val="24"/>
          <w:u w:val="single"/>
        </w:rPr>
      </w:pPr>
      <w:r>
        <w:rPr>
          <w:rFonts w:hint="eastAsia" w:eastAsia="仿宋"/>
          <w:color w:val="auto"/>
          <w:sz w:val="24"/>
          <w:szCs w:val="24"/>
          <w:lang w:val="en-US" w:eastAsia="zh-CN"/>
        </w:rPr>
        <w:t>（五</w:t>
      </w:r>
      <w:bookmarkStart w:id="72" w:name="_GoBack"/>
      <w:bookmarkEnd w:id="72"/>
      <w:r>
        <w:rPr>
          <w:rFonts w:hint="eastAsia" w:eastAsia="仿宋"/>
          <w:color w:val="auto"/>
          <w:sz w:val="24"/>
          <w:szCs w:val="24"/>
          <w:lang w:val="en-US" w:eastAsia="zh-CN"/>
        </w:rPr>
        <w:t>）</w:t>
      </w:r>
      <w:r>
        <w:rPr>
          <w:rFonts w:hint="eastAsia" w:ascii="方正仿宋_GBK" w:hAnsi="方正仿宋_GBK" w:eastAsia="方正仿宋_GBK" w:cs="方正仿宋_GBK"/>
          <w:b/>
          <w:bCs/>
          <w:i/>
          <w:iCs/>
          <w:color w:val="auto"/>
          <w:sz w:val="24"/>
          <w:szCs w:val="24"/>
          <w:u w:val="single"/>
        </w:rPr>
        <w:t>供应商制作的响应文件正本1份，副本</w:t>
      </w:r>
      <w:r>
        <w:rPr>
          <w:rFonts w:hint="eastAsia" w:ascii="方正仿宋_GBK" w:hAnsi="方正仿宋_GBK" w:eastAsia="方正仿宋_GBK" w:cs="方正仿宋_GBK"/>
          <w:b/>
          <w:bCs/>
          <w:i/>
          <w:iCs/>
          <w:color w:val="auto"/>
          <w:sz w:val="24"/>
          <w:szCs w:val="24"/>
          <w:u w:val="single"/>
          <w:lang w:val="en-US" w:eastAsia="zh-CN"/>
        </w:rPr>
        <w:t>2</w:t>
      </w:r>
      <w:r>
        <w:rPr>
          <w:rFonts w:hint="eastAsia" w:ascii="方正仿宋_GBK" w:hAnsi="方正仿宋_GBK" w:eastAsia="方正仿宋_GBK" w:cs="方正仿宋_GBK"/>
          <w:b/>
          <w:bCs/>
          <w:i/>
          <w:iCs/>
          <w:color w:val="auto"/>
          <w:sz w:val="24"/>
          <w:szCs w:val="24"/>
          <w:u w:val="single"/>
        </w:rPr>
        <w:t>份</w:t>
      </w:r>
      <w:bookmarkStart w:id="18" w:name="OLE_LINK2"/>
      <w:r>
        <w:rPr>
          <w:rFonts w:hint="eastAsia" w:ascii="方正仿宋_GBK" w:hAnsi="方正仿宋_GBK" w:eastAsia="方正仿宋_GBK" w:cs="方正仿宋_GBK"/>
          <w:b/>
          <w:bCs/>
          <w:i/>
          <w:iCs/>
          <w:color w:val="auto"/>
          <w:sz w:val="24"/>
          <w:szCs w:val="24"/>
          <w:u w:val="single"/>
          <w:lang w:val="en-US" w:eastAsia="zh-CN"/>
        </w:rPr>
        <w:t>和平台上传的电子文档</w:t>
      </w:r>
      <w:bookmarkEnd w:id="18"/>
      <w:r>
        <w:rPr>
          <w:rFonts w:hint="eastAsia" w:ascii="方正仿宋_GBK" w:hAnsi="方正仿宋_GBK" w:eastAsia="方正仿宋_GBK" w:cs="方正仿宋_GBK"/>
          <w:b/>
          <w:bCs/>
          <w:i/>
          <w:iCs/>
          <w:color w:val="auto"/>
          <w:sz w:val="24"/>
          <w:szCs w:val="24"/>
          <w:u w:val="single"/>
        </w:rPr>
        <w:t>，电子文档内容应与纸质文件正本一致，如不一致以纸质文件正本为准。副本可为正本的复印件，应与正本一致，如出现不一致情况以正本为准。须按照要求制作，规定签字、盖章的地方必须签字、盖章，未按要求制作响应文件的按无效投标处理。</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19" w:name="_Toc6190"/>
      <w:bookmarkStart w:id="20" w:name="_Toc13938"/>
      <w:r>
        <w:rPr>
          <w:rFonts w:hint="eastAsia" w:ascii="方正仿宋_GBK" w:hAnsi="方正仿宋_GBK" w:eastAsia="方正仿宋_GBK" w:cs="方正仿宋_GBK"/>
          <w:b/>
          <w:color w:val="auto"/>
          <w:kern w:val="2"/>
          <w:sz w:val="24"/>
          <w:szCs w:val="24"/>
          <w:lang w:val="en-US" w:eastAsia="zh-CN" w:bidi="ar-SA"/>
        </w:rPr>
        <w:t>其他规定</w:t>
      </w:r>
      <w:bookmarkEnd w:id="16"/>
      <w:bookmarkEnd w:id="19"/>
      <w:bookmarkEnd w:id="20"/>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Times New Roman" w:hAnsi="Times New Roman" w:eastAsia="仿宋" w:cs="Times New Roman"/>
          <w:b/>
          <w:color w:val="auto"/>
          <w:sz w:val="24"/>
          <w:szCs w:val="24"/>
        </w:rPr>
      </w:pPr>
      <w:r>
        <w:rPr>
          <w:rFonts w:hint="eastAsia" w:ascii="Times New Roman" w:hAnsi="Times New Roman" w:eastAsia="仿宋" w:cs="Times New Roman"/>
          <w:b/>
          <w:color w:val="auto"/>
          <w:sz w:val="24"/>
          <w:szCs w:val="24"/>
        </w:rPr>
        <w:t>（三）本项目不接受联合体参与</w:t>
      </w:r>
      <w:r>
        <w:rPr>
          <w:rFonts w:hint="eastAsia" w:ascii="Times New Roman" w:hAnsi="Times New Roman" w:eastAsia="仿宋" w:cs="Times New Roman"/>
          <w:b/>
          <w:color w:val="auto"/>
          <w:sz w:val="24"/>
          <w:szCs w:val="24"/>
          <w:lang w:eastAsia="zh-CN"/>
        </w:rPr>
        <w:t>，</w:t>
      </w:r>
      <w:r>
        <w:rPr>
          <w:rFonts w:ascii="Times New Roman" w:hAnsi="Times New Roman" w:eastAsia="仿宋" w:cs="Times New Roman"/>
          <w:b/>
          <w:color w:val="auto"/>
          <w:sz w:val="24"/>
          <w:szCs w:val="24"/>
        </w:rPr>
        <w:t>本项目不接受合同分包。</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kern w:val="2"/>
          <w:sz w:val="24"/>
          <w:szCs w:val="24"/>
          <w:highlight w:val="none"/>
          <w:lang w:val="en-US" w:eastAsia="zh-CN" w:bidi="ar-SA"/>
        </w:rPr>
        <w:t>四）超过投标截止时间递交的响应文件，恕不接收。</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highlight w:val="none"/>
          <w:lang w:val="en-US" w:eastAsia="zh-CN" w:bidi="ar-SA"/>
        </w:rPr>
        <w:t>（五）竞采费用：无论竞采结果如何，供应商参与本项目竞采的所有费用均应由供应商自行承担</w:t>
      </w:r>
      <w:r>
        <w:rPr>
          <w:rFonts w:hint="eastAsia" w:ascii="方正仿宋_GBK" w:hAnsi="方正仿宋_GBK" w:eastAsia="方正仿宋_GBK" w:cs="方正仿宋_GBK"/>
          <w:color w:val="auto"/>
          <w:sz w:val="24"/>
          <w:szCs w:val="24"/>
        </w:rPr>
        <w:t>。</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21" w:name="_Toc20613"/>
      <w:bookmarkStart w:id="22" w:name="_Toc15143"/>
      <w:bookmarkStart w:id="23" w:name="_Toc1403"/>
      <w:bookmarkStart w:id="24" w:name="_Toc76462344"/>
      <w:r>
        <w:rPr>
          <w:rFonts w:hint="eastAsia" w:ascii="方正仿宋_GBK" w:hAnsi="方正仿宋_GBK" w:eastAsia="方正仿宋_GBK" w:cs="方正仿宋_GBK"/>
          <w:b/>
          <w:color w:val="auto"/>
          <w:kern w:val="2"/>
          <w:sz w:val="24"/>
          <w:szCs w:val="24"/>
          <w:lang w:val="en-US" w:eastAsia="zh-CN" w:bidi="ar-SA"/>
        </w:rPr>
        <w:t>采购代理服务费</w:t>
      </w:r>
      <w:bookmarkEnd w:id="21"/>
      <w:bookmarkEnd w:id="22"/>
      <w:bookmarkEnd w:id="23"/>
      <w:bookmarkEnd w:id="24"/>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采购代理服务费已包含在竞采报价中，本项目采购代理服务费3000元（大写：叁仟元整），由成交供应商在领取中标通知书时向采购代理机构一次性全额支付。成交供应商在领取成交通知书后因自身原因无法与采购人签订采购合同其采购代理服务费不予退还。</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账户名称：重庆嘉易招投标咨询有限责任公司</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开户行：重庆三峡银行股份有限公司长寿支行</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账  号：0153014170000562</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default"/>
          <w:color w:val="auto"/>
          <w:lang w:val="en-US"/>
        </w:rPr>
      </w:pPr>
      <w:r>
        <w:rPr>
          <w:rFonts w:hint="eastAsia" w:ascii="方正仿宋_GBK" w:hAnsi="宋体" w:eastAsia="方正仿宋_GBK"/>
          <w:b/>
          <w:color w:val="auto"/>
          <w:sz w:val="24"/>
          <w:szCs w:val="24"/>
        </w:rPr>
        <w:t>汇款时请备注</w:t>
      </w:r>
      <w:r>
        <w:rPr>
          <w:rFonts w:hint="eastAsia" w:ascii="方正仿宋_GBK" w:hAnsi="宋体" w:eastAsia="方正仿宋_GBK" w:cs="Times New Roman"/>
          <w:b/>
          <w:color w:val="auto"/>
          <w:sz w:val="24"/>
          <w:szCs w:val="24"/>
        </w:rPr>
        <w:t>：</w:t>
      </w:r>
      <w:r>
        <w:rPr>
          <w:rFonts w:hint="eastAsia" w:ascii="方正仿宋_GBK" w:hAnsi="宋体" w:eastAsia="方正仿宋_GBK" w:cs="Times New Roman"/>
          <w:b/>
          <w:color w:val="auto"/>
          <w:sz w:val="24"/>
          <w:szCs w:val="24"/>
          <w:lang w:val="en-US" w:eastAsia="zh-CN"/>
        </w:rPr>
        <w:t>项目名称</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25" w:name="_Toc12745"/>
      <w:bookmarkStart w:id="26" w:name="_Toc2065"/>
      <w:r>
        <w:rPr>
          <w:rFonts w:hint="eastAsia" w:ascii="方正仿宋_GBK" w:hAnsi="方正仿宋_GBK" w:eastAsia="方正仿宋_GBK" w:cs="方正仿宋_GBK"/>
          <w:b/>
          <w:color w:val="auto"/>
          <w:kern w:val="2"/>
          <w:sz w:val="24"/>
          <w:szCs w:val="24"/>
          <w:lang w:val="en-US" w:eastAsia="zh-CN" w:bidi="ar-SA"/>
        </w:rPr>
        <w:t>合同签订</w:t>
      </w:r>
      <w:bookmarkEnd w:id="25"/>
      <w:bookmarkEnd w:id="26"/>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供应商应在成交通知书发出之日起五个工作日内和采购人签订政府采购合同，无正当理由不得拒绝或拖延合同签订。所签订的合同不得对采购文件和供应商的响应文件作实质性修改。其他未尽事宜由采购人和成交供应商在采购合同中详细约定。</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27" w:name="_Toc21587"/>
      <w:bookmarkStart w:id="28" w:name="_Toc5061"/>
      <w:r>
        <w:rPr>
          <w:rFonts w:hint="eastAsia" w:ascii="方正仿宋_GBK" w:hAnsi="方正仿宋_GBK" w:eastAsia="方正仿宋_GBK" w:cs="方正仿宋_GBK"/>
          <w:b/>
          <w:color w:val="auto"/>
          <w:kern w:val="2"/>
          <w:sz w:val="24"/>
          <w:szCs w:val="24"/>
          <w:lang w:val="en-US" w:eastAsia="zh-CN" w:bidi="ar-SA"/>
        </w:rPr>
        <w:t>成交原则</w:t>
      </w:r>
      <w:bookmarkEnd w:id="27"/>
      <w:bookmarkEnd w:id="28"/>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根据综合评分情况按照评审得分由高到低顺序确定成交候选供应商。若供应商的评审得分相同的，按照报价由低到高的顺序确定。评审得分且最后报价相同的，按照服务指标优劣顺序确定。以上都相同的，按商务条款的优劣顺序确定。</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29" w:name="_Toc23366"/>
      <w:bookmarkStart w:id="30" w:name="_Toc7552"/>
      <w:r>
        <w:rPr>
          <w:rFonts w:hint="eastAsia" w:ascii="方正仿宋_GBK" w:hAnsi="方正仿宋_GBK" w:eastAsia="方正仿宋_GBK" w:cs="方正仿宋_GBK"/>
          <w:b/>
          <w:color w:val="auto"/>
          <w:kern w:val="2"/>
          <w:sz w:val="24"/>
          <w:szCs w:val="24"/>
          <w:lang w:val="en-US" w:eastAsia="zh-CN" w:bidi="ar-SA"/>
        </w:rPr>
        <w:t>付款方式</w:t>
      </w:r>
      <w:bookmarkEnd w:id="29"/>
      <w:bookmarkEnd w:id="30"/>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第一年服务期满支付合同金额的50%，第二年服务期满且最终验收合格后支付剩余合同金额的50%。</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31" w:name="_Toc3046"/>
      <w:bookmarkStart w:id="32" w:name="_Toc11580"/>
      <w:r>
        <w:rPr>
          <w:rFonts w:hint="eastAsia" w:ascii="方正仿宋_GBK" w:hAnsi="方正仿宋_GBK" w:eastAsia="方正仿宋_GBK" w:cs="方正仿宋_GBK"/>
          <w:b/>
          <w:color w:val="auto"/>
          <w:kern w:val="2"/>
          <w:sz w:val="24"/>
          <w:szCs w:val="24"/>
          <w:lang w:val="en-US" w:eastAsia="zh-CN" w:bidi="ar-SA"/>
        </w:rPr>
        <w:t>竞采报价要求及评分标准</w:t>
      </w:r>
      <w:bookmarkEnd w:id="31"/>
      <w:bookmarkEnd w:id="32"/>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（一）本次报价为人民币报价，项目报价在竞采有效期和合同履行期间固定不变，因供应商自身原因造成漏报、少报皆由供应商自行承担责任。</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（二）本项目为总价报价。包括但不限于</w:t>
      </w:r>
      <w:bookmarkStart w:id="33" w:name="_Toc4852_WPSOffice_Level2"/>
      <w:bookmarkStart w:id="34" w:name="_Toc26849"/>
      <w:r>
        <w:rPr>
          <w:rFonts w:hint="eastAsia" w:ascii="方正仿宋_GBK" w:hAnsi="方正仿宋_GBK" w:eastAsia="方正仿宋_GBK" w:cs="方正仿宋_GBK"/>
          <w:color w:val="auto"/>
          <w:kern w:val="2"/>
          <w:sz w:val="24"/>
          <w:szCs w:val="24"/>
          <w:highlight w:val="none"/>
          <w:lang w:val="en-US" w:eastAsia="zh-CN" w:bidi="ar-SA"/>
        </w:rPr>
        <w:t>完成本项目所需的人员基本工资、岗位工资或岗位津贴、绩效奖金、加班工资、各项补贴、社保、服装及相关器具用具费用等一切费用。上述费用属于所有包干价费用，不再另外支付节假日、加班等项目的费用。</w:t>
      </w:r>
    </w:p>
    <w:bookmarkEnd w:id="33"/>
    <w:bookmarkEnd w:id="34"/>
    <w:p>
      <w:pPr>
        <w:pStyle w:val="17"/>
        <w:spacing w:line="40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（二）评审标准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评标委员会采用综合评分法对提交满足资格性审查的有效报价的供应商的响应文件进行综合评分。供应商总得分为价格、商务、技术等评定因素分别按照相应权重值计算分项得分后相加，满分100分。评审标准如下：</w:t>
      </w:r>
    </w:p>
    <w:tbl>
      <w:tblPr>
        <w:tblStyle w:val="22"/>
        <w:tblpPr w:leftFromText="180" w:rightFromText="180" w:vertAnchor="text" w:horzAnchor="page" w:tblpXSpec="center" w:tblpY="485"/>
        <w:tblOverlap w:val="never"/>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85"/>
        <w:gridCol w:w="960"/>
        <w:gridCol w:w="3750"/>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noWrap w:val="0"/>
            <w:vAlign w:val="center"/>
          </w:tcPr>
          <w:p>
            <w:pPr>
              <w:keepNext w:val="0"/>
              <w:keepLines w:val="0"/>
              <w:suppressLineNumbers w:val="0"/>
              <w:spacing w:before="0" w:beforeAutospacing="0" w:after="0" w:afterAutospacing="0"/>
              <w:ind w:left="0" w:right="0"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185" w:type="dxa"/>
            <w:noWrap w:val="0"/>
            <w:vAlign w:val="center"/>
          </w:tcPr>
          <w:p>
            <w:pPr>
              <w:keepNext w:val="0"/>
              <w:keepLines w:val="0"/>
              <w:suppressLineNumbers w:val="0"/>
              <w:spacing w:before="0" w:beforeAutospacing="0" w:after="0" w:afterAutospacing="0"/>
              <w:ind w:left="0" w:right="0"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评分因素及权值</w:t>
            </w:r>
          </w:p>
        </w:tc>
        <w:tc>
          <w:tcPr>
            <w:tcW w:w="960" w:type="dxa"/>
            <w:noWrap w:val="0"/>
            <w:vAlign w:val="center"/>
          </w:tcPr>
          <w:p>
            <w:pPr>
              <w:keepNext w:val="0"/>
              <w:keepLines w:val="0"/>
              <w:suppressLineNumbers w:val="0"/>
              <w:spacing w:before="0" w:beforeAutospacing="0" w:after="0" w:afterAutospacing="0"/>
              <w:ind w:left="0" w:right="0"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3750" w:type="dxa"/>
            <w:noWrap w:val="0"/>
            <w:vAlign w:val="center"/>
          </w:tcPr>
          <w:p>
            <w:pPr>
              <w:keepNext w:val="0"/>
              <w:keepLines w:val="0"/>
              <w:suppressLineNumbers w:val="0"/>
              <w:spacing w:before="0" w:beforeAutospacing="0" w:after="0" w:afterAutospacing="0"/>
              <w:ind w:left="0" w:right="0"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3430" w:type="dxa"/>
            <w:noWrap w:val="0"/>
            <w:vAlign w:val="center"/>
          </w:tcPr>
          <w:p>
            <w:pPr>
              <w:pStyle w:val="29"/>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8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竞采报价</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w:t>
            </w:r>
          </w:p>
        </w:tc>
        <w:tc>
          <w:tcPr>
            <w:tcW w:w="96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w:t>
            </w:r>
          </w:p>
        </w:tc>
        <w:tc>
          <w:tcPr>
            <w:tcW w:w="375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rPr>
            </w:pPr>
            <w:r>
              <w:rPr>
                <w:rFonts w:hint="eastAsia" w:ascii="仿宋" w:hAnsi="仿宋" w:eastAsia="仿宋" w:cs="仿宋"/>
                <w:color w:val="auto"/>
                <w:sz w:val="21"/>
                <w:szCs w:val="21"/>
              </w:rPr>
              <w:t>满足资格性、符合性要求且报价最低的供应商的价格为竞采基准价，按照下列公式计算每个供应商的竞采报价得分。</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rPr>
            </w:pPr>
            <w:r>
              <w:rPr>
                <w:rFonts w:hint="eastAsia" w:ascii="仿宋" w:hAnsi="仿宋" w:eastAsia="仿宋" w:cs="仿宋"/>
                <w:color w:val="auto"/>
                <w:sz w:val="21"/>
                <w:szCs w:val="21"/>
              </w:rPr>
              <w:t>竞采报价得分=（竞采基准价/竞采报价）×价格权值×100</w:t>
            </w:r>
          </w:p>
        </w:tc>
        <w:tc>
          <w:tcPr>
            <w:tcW w:w="343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报价得分以四舍五入保留小数点后二位</w:t>
            </w:r>
            <w:r>
              <w:rPr>
                <w:rFonts w:hint="eastAsia" w:ascii="仿宋" w:hAnsi="仿宋" w:eastAsia="仿宋" w:cs="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noWrap w:val="0"/>
            <w:vAlign w:val="center"/>
          </w:tcPr>
          <w:p>
            <w:pPr>
              <w:keepNext w:val="0"/>
              <w:keepLines w:val="0"/>
              <w:suppressLineNumbers w:val="0"/>
              <w:spacing w:before="0" w:beforeAutospacing="0" w:after="0" w:afterAutospacing="0"/>
              <w:ind w:left="0" w:right="0"/>
              <w:jc w:val="center"/>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185" w:type="dxa"/>
            <w:noWrap w:val="0"/>
            <w:vAlign w:val="center"/>
          </w:tcPr>
          <w:p>
            <w:pPr>
              <w:keepNext w:val="0"/>
              <w:keepLines w:val="0"/>
              <w:suppressLineNumbers w:val="0"/>
              <w:spacing w:before="0" w:beforeAutospacing="0" w:after="0" w:afterAutospacing="0"/>
              <w:ind w:left="0" w:right="0"/>
              <w:jc w:val="center"/>
              <w:outlineLvl w:val="9"/>
              <w:rPr>
                <w:rFonts w:hint="eastAsia" w:ascii="仿宋" w:hAnsi="仿宋" w:eastAsia="仿宋" w:cs="仿宋"/>
                <w:bCs/>
                <w:color w:val="auto"/>
              </w:rPr>
            </w:pPr>
            <w:r>
              <w:rPr>
                <w:rFonts w:hint="eastAsia" w:ascii="仿宋" w:hAnsi="仿宋" w:eastAsia="仿宋" w:cs="仿宋"/>
                <w:bCs/>
                <w:color w:val="auto"/>
                <w:lang w:val="en-US" w:eastAsia="zh-CN"/>
              </w:rPr>
              <w:t>技术</w:t>
            </w:r>
            <w:r>
              <w:rPr>
                <w:rFonts w:hint="eastAsia" w:ascii="仿宋" w:hAnsi="仿宋" w:eastAsia="仿宋" w:cs="仿宋"/>
                <w:bCs/>
                <w:color w:val="auto"/>
              </w:rPr>
              <w:t>部分</w:t>
            </w:r>
          </w:p>
          <w:p>
            <w:pPr>
              <w:pStyle w:val="2"/>
              <w:keepNext w:val="0"/>
              <w:keepLines w:val="0"/>
              <w:suppressLineNumbers w:val="0"/>
              <w:spacing w:before="0" w:beforeAutospacing="0" w:after="0" w:afterAutospacing="0"/>
              <w:ind w:left="0" w:right="0"/>
              <w:jc w:val="center"/>
              <w:rPr>
                <w:rFonts w:hint="eastAsia" w:eastAsia="仿宋"/>
                <w:color w:val="auto"/>
                <w:lang w:eastAsia="zh-CN"/>
              </w:rPr>
            </w:pPr>
            <w:r>
              <w:rPr>
                <w:rFonts w:hint="eastAsia" w:ascii="仿宋" w:hAnsi="仿宋" w:eastAsia="仿宋" w:cs="仿宋"/>
                <w:bCs/>
                <w:color w:val="auto"/>
                <w:lang w:eastAsia="zh-CN"/>
              </w:rPr>
              <w:t>（</w:t>
            </w:r>
            <w:r>
              <w:rPr>
                <w:rFonts w:hint="eastAsia" w:ascii="仿宋" w:hAnsi="仿宋" w:eastAsia="仿宋" w:cs="仿宋"/>
                <w:bCs/>
                <w:color w:val="auto"/>
                <w:lang w:val="en-US" w:eastAsia="zh-CN"/>
              </w:rPr>
              <w:t>10%</w:t>
            </w:r>
            <w:r>
              <w:rPr>
                <w:rFonts w:hint="eastAsia" w:ascii="仿宋" w:hAnsi="仿宋" w:eastAsia="仿宋" w:cs="仿宋"/>
                <w:bCs/>
                <w:color w:val="auto"/>
                <w:lang w:eastAsia="zh-CN"/>
              </w:rPr>
              <w:t>）</w:t>
            </w:r>
          </w:p>
        </w:tc>
        <w:tc>
          <w:tcPr>
            <w:tcW w:w="96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75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供应商结合现场踏勘，根据项目实际情况提供以下内容：</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1.服务及现场管理方案：包括但不限于清运时间安排、路线规划、应急处理措施等（5分）；</w:t>
            </w:r>
          </w:p>
          <w:p>
            <w:pPr>
              <w:keepNext w:val="0"/>
              <w:keepLines w:val="0"/>
              <w:suppressLineNumbers w:val="0"/>
              <w:spacing w:before="0" w:beforeAutospacing="0" w:after="0" w:afterAutospacing="0"/>
              <w:ind w:left="0" w:right="0"/>
              <w:rPr>
                <w:rFonts w:hint="default"/>
                <w:color w:val="auto"/>
                <w:lang w:val="en-US" w:eastAsia="zh-CN"/>
              </w:rPr>
            </w:pPr>
            <w:r>
              <w:rPr>
                <w:rFonts w:hint="eastAsia" w:ascii="仿宋" w:hAnsi="仿宋" w:eastAsia="仿宋" w:cs="仿宋"/>
                <w:color w:val="auto"/>
                <w:sz w:val="21"/>
                <w:szCs w:val="21"/>
                <w:lang w:val="en-US" w:eastAsia="zh-CN"/>
              </w:rPr>
              <w:t>2.服务质量保障措施：包括但不限于组织机构、沟通机制、质量管理与考核等内容（5分）</w:t>
            </w:r>
          </w:p>
        </w:tc>
        <w:tc>
          <w:tcPr>
            <w:tcW w:w="3430" w:type="dxa"/>
            <w:noWrap w:val="0"/>
            <w:vAlign w:val="center"/>
          </w:tcPr>
          <w:p>
            <w:pPr>
              <w:keepNext w:val="0"/>
              <w:keepLines w:val="0"/>
              <w:suppressLineNumbers w:val="0"/>
              <w:spacing w:before="0" w:beforeAutospacing="0" w:after="0" w:afterAutospacing="0"/>
              <w:ind w:left="0" w:right="0"/>
              <w:rPr>
                <w:rFonts w:hint="default" w:ascii="方正仿宋_GBK" w:hAnsi="宋体" w:eastAsia="方正仿宋_GBK"/>
                <w:color w:val="auto"/>
                <w:sz w:val="21"/>
                <w:szCs w:val="21"/>
              </w:rPr>
            </w:pPr>
            <w:r>
              <w:rPr>
                <w:rFonts w:hint="eastAsia" w:ascii="方正仿宋_GBK" w:hAnsi="宋体" w:eastAsia="方正仿宋_GBK"/>
                <w:color w:val="auto"/>
                <w:sz w:val="21"/>
                <w:szCs w:val="21"/>
              </w:rPr>
              <w:t>优</w:t>
            </w:r>
            <w:r>
              <w:rPr>
                <w:rFonts w:hint="eastAsia" w:ascii="方正仿宋_GBK" w:hAnsi="宋体" w:eastAsia="方正仿宋_GBK"/>
                <w:color w:val="auto"/>
                <w:sz w:val="21"/>
                <w:szCs w:val="21"/>
                <w:lang w:val="en-US" w:eastAsia="zh-CN"/>
              </w:rPr>
              <w:t>得5分</w:t>
            </w:r>
            <w:r>
              <w:rPr>
                <w:rFonts w:hint="eastAsia" w:ascii="方正仿宋_GBK" w:hAnsi="宋体" w:eastAsia="方正仿宋_GBK"/>
                <w:color w:val="auto"/>
                <w:sz w:val="21"/>
                <w:szCs w:val="21"/>
              </w:rPr>
              <w:t>：工作方案内容科学合理、详尽、无缺项、符合项目实际情况；</w:t>
            </w:r>
          </w:p>
          <w:p>
            <w:pPr>
              <w:keepNext w:val="0"/>
              <w:keepLines w:val="0"/>
              <w:suppressLineNumbers w:val="0"/>
              <w:spacing w:before="0" w:beforeAutospacing="0" w:after="0" w:afterAutospacing="0"/>
              <w:ind w:left="0" w:right="0"/>
              <w:rPr>
                <w:rFonts w:hint="default" w:ascii="方正仿宋_GBK" w:hAnsi="宋体" w:eastAsia="方正仿宋_GBK"/>
                <w:color w:val="auto"/>
                <w:sz w:val="21"/>
                <w:szCs w:val="21"/>
              </w:rPr>
            </w:pPr>
            <w:r>
              <w:rPr>
                <w:rFonts w:hint="eastAsia" w:ascii="方正仿宋_GBK" w:hAnsi="宋体" w:eastAsia="方正仿宋_GBK"/>
                <w:color w:val="auto"/>
                <w:sz w:val="21"/>
                <w:szCs w:val="21"/>
              </w:rPr>
              <w:t>一般</w:t>
            </w:r>
            <w:r>
              <w:rPr>
                <w:rFonts w:hint="eastAsia" w:ascii="方正仿宋_GBK" w:hAnsi="宋体" w:eastAsia="方正仿宋_GBK"/>
                <w:color w:val="auto"/>
                <w:sz w:val="21"/>
                <w:szCs w:val="21"/>
                <w:lang w:val="en-US" w:eastAsia="zh-CN"/>
              </w:rPr>
              <w:t>得3分</w:t>
            </w:r>
            <w:r>
              <w:rPr>
                <w:rFonts w:hint="eastAsia" w:ascii="方正仿宋_GBK" w:hAnsi="宋体" w:eastAsia="方正仿宋_GBK"/>
                <w:color w:val="auto"/>
                <w:sz w:val="21"/>
                <w:szCs w:val="21"/>
              </w:rPr>
              <w:t>：方案内容较合理、内容基本完整、基本符合项目实际情况；</w:t>
            </w:r>
          </w:p>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val="en-US" w:eastAsia="zh-CN"/>
              </w:rPr>
            </w:pPr>
            <w:r>
              <w:rPr>
                <w:rFonts w:hint="eastAsia" w:ascii="方正仿宋_GBK" w:hAnsi="宋体" w:eastAsia="方正仿宋_GBK"/>
                <w:color w:val="auto"/>
                <w:sz w:val="21"/>
                <w:szCs w:val="21"/>
              </w:rPr>
              <w:t>方案内容存在缺项、不符合项目实际情况或没有提供方案不得分。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185"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商务部分（40%）</w:t>
            </w:r>
          </w:p>
        </w:tc>
        <w:tc>
          <w:tcPr>
            <w:tcW w:w="960" w:type="dxa"/>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40</w:t>
            </w:r>
          </w:p>
        </w:tc>
        <w:tc>
          <w:tcPr>
            <w:tcW w:w="3750" w:type="dxa"/>
            <w:noWrap w:val="0"/>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拟投入本项目现场管理人员具有垃圾收集运输项目经理与城市环卫管理师(高级)证书得5分。</w:t>
            </w:r>
          </w:p>
        </w:tc>
        <w:tc>
          <w:tcPr>
            <w:tcW w:w="343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提供证书复印件2025年一月以来供应商为其缴纳的任意一个月社保证明材料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8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96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val="en-US" w:eastAsia="zh-CN"/>
              </w:rPr>
            </w:pPr>
          </w:p>
        </w:tc>
        <w:tc>
          <w:tcPr>
            <w:tcW w:w="3750" w:type="dxa"/>
            <w:noWrap w:val="0"/>
            <w:vAlign w:val="center"/>
          </w:tcPr>
          <w:p>
            <w:pPr>
              <w:keepNext w:val="0"/>
              <w:keepLines w:val="0"/>
              <w:suppressLineNumbers w:val="0"/>
              <w:snapToGrid w:val="0"/>
              <w:spacing w:before="0" w:beforeAutospacing="0" w:after="0" w:afterAutospacing="0"/>
              <w:ind w:left="0" w:right="0"/>
              <w:rPr>
                <w:rFonts w:hint="default" w:ascii="仿宋" w:hAnsi="仿宋" w:eastAsia="仿宋" w:cs="仿宋"/>
                <w:color w:val="auto"/>
              </w:rPr>
            </w:pPr>
            <w:r>
              <w:rPr>
                <w:rFonts w:hint="eastAsia" w:ascii="仿宋" w:hAnsi="仿宋" w:eastAsia="仿宋" w:cs="仿宋"/>
                <w:color w:val="auto"/>
              </w:rPr>
              <w:t>1.供应商具有有效期内的质量管理体系证书（</w:t>
            </w:r>
            <w:r>
              <w:rPr>
                <w:rFonts w:hint="eastAsia" w:ascii="仿宋" w:hAnsi="仿宋" w:eastAsia="仿宋" w:cs="仿宋"/>
                <w:color w:val="auto"/>
                <w:lang w:val="en-US" w:eastAsia="zh-CN"/>
              </w:rPr>
              <w:t>3</w:t>
            </w:r>
            <w:r>
              <w:rPr>
                <w:rFonts w:hint="eastAsia" w:ascii="仿宋" w:hAnsi="仿宋" w:eastAsia="仿宋" w:cs="仿宋"/>
                <w:color w:val="auto"/>
              </w:rPr>
              <w:t>分）。</w:t>
            </w:r>
          </w:p>
          <w:p>
            <w:pPr>
              <w:keepNext w:val="0"/>
              <w:keepLines w:val="0"/>
              <w:suppressLineNumbers w:val="0"/>
              <w:snapToGrid w:val="0"/>
              <w:spacing w:before="0" w:beforeAutospacing="0" w:after="0" w:afterAutospacing="0"/>
              <w:ind w:left="0" w:right="0"/>
              <w:rPr>
                <w:rFonts w:hint="default" w:ascii="仿宋" w:hAnsi="仿宋" w:eastAsia="仿宋" w:cs="仿宋"/>
                <w:color w:val="auto"/>
              </w:rPr>
            </w:pPr>
            <w:r>
              <w:rPr>
                <w:rFonts w:hint="eastAsia" w:ascii="仿宋" w:hAnsi="仿宋" w:eastAsia="仿宋" w:cs="仿宋"/>
                <w:color w:val="auto"/>
              </w:rPr>
              <w:t>2.供应商</w:t>
            </w:r>
            <w:r>
              <w:rPr>
                <w:rFonts w:hint="eastAsia" w:ascii="仿宋" w:hAnsi="仿宋" w:eastAsia="仿宋" w:cs="仿宋"/>
                <w:color w:val="auto"/>
                <w:lang w:eastAsia="zh-CN"/>
              </w:rPr>
              <w:t>具有</w:t>
            </w:r>
            <w:r>
              <w:rPr>
                <w:rFonts w:hint="eastAsia" w:ascii="仿宋" w:hAnsi="仿宋" w:eastAsia="仿宋" w:cs="仿宋"/>
                <w:color w:val="auto"/>
              </w:rPr>
              <w:t>有效期内的环境管理体系认证证书（</w:t>
            </w:r>
            <w:r>
              <w:rPr>
                <w:rFonts w:hint="eastAsia" w:ascii="仿宋" w:hAnsi="仿宋" w:eastAsia="仿宋" w:cs="仿宋"/>
                <w:color w:val="auto"/>
                <w:lang w:val="en-US" w:eastAsia="zh-CN"/>
              </w:rPr>
              <w:t>3</w:t>
            </w:r>
            <w:r>
              <w:rPr>
                <w:rFonts w:hint="eastAsia" w:ascii="仿宋" w:hAnsi="仿宋" w:eastAsia="仿宋" w:cs="仿宋"/>
                <w:color w:val="auto"/>
              </w:rPr>
              <w:t>分）。</w:t>
            </w:r>
          </w:p>
          <w:p>
            <w:pPr>
              <w:keepNext w:val="0"/>
              <w:keepLines w:val="0"/>
              <w:suppressLineNumbers w:val="0"/>
              <w:snapToGrid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3.供应商</w:t>
            </w:r>
            <w:r>
              <w:rPr>
                <w:rFonts w:hint="eastAsia" w:ascii="仿宋" w:hAnsi="仿宋" w:eastAsia="仿宋" w:cs="仿宋"/>
                <w:color w:val="auto"/>
                <w:lang w:eastAsia="zh-CN"/>
              </w:rPr>
              <w:t>具有</w:t>
            </w:r>
            <w:r>
              <w:rPr>
                <w:rFonts w:hint="eastAsia" w:ascii="仿宋" w:hAnsi="仿宋" w:eastAsia="仿宋" w:cs="仿宋"/>
                <w:color w:val="auto"/>
              </w:rPr>
              <w:t>有效期内的职业健康安全管理体系认证证书（</w:t>
            </w:r>
            <w:r>
              <w:rPr>
                <w:rFonts w:hint="eastAsia" w:ascii="仿宋" w:hAnsi="仿宋" w:eastAsia="仿宋" w:cs="仿宋"/>
                <w:color w:val="auto"/>
                <w:lang w:val="en-US" w:eastAsia="zh-CN"/>
              </w:rPr>
              <w:t>3</w:t>
            </w:r>
            <w:r>
              <w:rPr>
                <w:rFonts w:hint="eastAsia" w:ascii="仿宋" w:hAnsi="仿宋" w:eastAsia="仿宋" w:cs="仿宋"/>
                <w:color w:val="auto"/>
              </w:rPr>
              <w:t>分）。</w:t>
            </w:r>
          </w:p>
          <w:p>
            <w:pPr>
              <w:keepNext w:val="0"/>
              <w:keepLines w:val="0"/>
              <w:suppressLineNumbers w:val="0"/>
              <w:snapToGrid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4.供应商</w:t>
            </w:r>
            <w:r>
              <w:rPr>
                <w:rFonts w:hint="eastAsia" w:ascii="仿宋" w:hAnsi="仿宋" w:eastAsia="仿宋" w:cs="仿宋"/>
                <w:color w:val="auto"/>
                <w:lang w:eastAsia="zh-CN"/>
              </w:rPr>
              <w:t>具有</w:t>
            </w:r>
            <w:r>
              <w:rPr>
                <w:rFonts w:hint="eastAsia" w:ascii="仿宋" w:hAnsi="仿宋" w:eastAsia="仿宋" w:cs="仿宋"/>
                <w:color w:val="auto"/>
              </w:rPr>
              <w:t>有效期内的</w:t>
            </w:r>
            <w:r>
              <w:rPr>
                <w:rFonts w:hint="eastAsia" w:ascii="仿宋" w:hAnsi="仿宋" w:eastAsia="仿宋" w:cs="仿宋"/>
                <w:color w:val="auto"/>
                <w:lang w:val="en-US" w:eastAsia="zh-CN"/>
              </w:rPr>
              <w:t>垃圾分类处理专业认证证书</w:t>
            </w: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分）</w:t>
            </w:r>
          </w:p>
          <w:p>
            <w:pPr>
              <w:keepNext w:val="0"/>
              <w:keepLines w:val="0"/>
              <w:suppressLineNumbers w:val="0"/>
              <w:snapToGrid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5.供应商</w:t>
            </w:r>
            <w:r>
              <w:rPr>
                <w:rFonts w:hint="eastAsia" w:ascii="仿宋" w:hAnsi="仿宋" w:eastAsia="仿宋" w:cs="仿宋"/>
                <w:color w:val="auto"/>
                <w:lang w:eastAsia="zh-CN"/>
              </w:rPr>
              <w:t>具有</w:t>
            </w:r>
            <w:r>
              <w:rPr>
                <w:rFonts w:hint="eastAsia" w:ascii="仿宋" w:hAnsi="仿宋" w:eastAsia="仿宋" w:cs="仿宋"/>
                <w:color w:val="auto"/>
              </w:rPr>
              <w:t>有效期内的公共环境消毒杀菌服务专业资质证书（</w:t>
            </w:r>
            <w:r>
              <w:rPr>
                <w:rFonts w:hint="eastAsia" w:ascii="仿宋" w:hAnsi="仿宋" w:eastAsia="仿宋" w:cs="仿宋"/>
                <w:color w:val="auto"/>
                <w:lang w:val="en-US" w:eastAsia="zh-CN"/>
              </w:rPr>
              <w:t>3</w:t>
            </w:r>
            <w:r>
              <w:rPr>
                <w:rFonts w:hint="eastAsia" w:ascii="仿宋" w:hAnsi="仿宋" w:eastAsia="仿宋" w:cs="仿宋"/>
                <w:color w:val="auto"/>
              </w:rPr>
              <w:t>分）</w:t>
            </w:r>
          </w:p>
          <w:p>
            <w:pPr>
              <w:keepNext w:val="0"/>
              <w:keepLines w:val="0"/>
              <w:suppressLineNumbers w:val="0"/>
              <w:snapToGrid w:val="0"/>
              <w:spacing w:before="0" w:beforeAutospacing="0" w:after="0" w:afterAutospacing="0"/>
              <w:ind w:left="0" w:right="0"/>
              <w:rPr>
                <w:rFonts w:hint="eastAsia" w:ascii="仿宋" w:hAnsi="仿宋" w:eastAsia="仿宋" w:cs="仿宋"/>
                <w:color w:val="auto"/>
                <w:sz w:val="21"/>
                <w:szCs w:val="21"/>
                <w:lang w:val="en-US" w:eastAsia="zh-CN"/>
              </w:rPr>
            </w:pPr>
            <w:r>
              <w:rPr>
                <w:rFonts w:hint="eastAsia" w:ascii="仿宋" w:hAnsi="仿宋" w:eastAsia="仿宋" w:cs="仿宋"/>
                <w:color w:val="auto"/>
              </w:rPr>
              <w:t>6.供应商具有城市管理部门颁发的城市生活垃圾经营性收集、运输服务证书，得</w:t>
            </w:r>
            <w:r>
              <w:rPr>
                <w:rFonts w:hint="eastAsia" w:ascii="仿宋" w:hAnsi="仿宋" w:eastAsia="仿宋" w:cs="仿宋"/>
                <w:color w:val="auto"/>
                <w:lang w:val="en-US" w:eastAsia="zh-CN"/>
              </w:rPr>
              <w:t>5</w:t>
            </w:r>
            <w:r>
              <w:rPr>
                <w:rFonts w:hint="eastAsia" w:ascii="仿宋" w:hAnsi="仿宋" w:eastAsia="仿宋" w:cs="仿宋"/>
                <w:color w:val="auto"/>
              </w:rPr>
              <w:t>分，无不得分。</w:t>
            </w:r>
          </w:p>
        </w:tc>
        <w:tc>
          <w:tcPr>
            <w:tcW w:w="3430" w:type="dxa"/>
            <w:noWrap w:val="0"/>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118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lang w:val="en-US" w:eastAsia="zh-CN"/>
              </w:rPr>
            </w:pPr>
          </w:p>
        </w:tc>
        <w:tc>
          <w:tcPr>
            <w:tcW w:w="96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val="en-US" w:eastAsia="zh-CN"/>
              </w:rPr>
            </w:pPr>
          </w:p>
        </w:tc>
        <w:tc>
          <w:tcPr>
            <w:tcW w:w="3750" w:type="dxa"/>
            <w:noWrap w:val="0"/>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提供供应商2022年以来，</w:t>
            </w:r>
            <w:r>
              <w:rPr>
                <w:rFonts w:hint="eastAsia" w:ascii="仿宋" w:hAnsi="仿宋" w:eastAsia="仿宋" w:cs="仿宋"/>
                <w:bCs/>
                <w:color w:val="auto"/>
              </w:rPr>
              <w:t>生活垃圾清运或包含生活垃圾清运</w:t>
            </w:r>
            <w:r>
              <w:rPr>
                <w:rFonts w:hint="eastAsia" w:ascii="仿宋" w:hAnsi="仿宋" w:eastAsia="仿宋" w:cs="仿宋"/>
                <w:bCs/>
                <w:color w:val="auto"/>
                <w:lang w:val="en-US" w:eastAsia="zh-CN"/>
              </w:rPr>
              <w:t>且服务期在一年及以上的</w:t>
            </w:r>
            <w:r>
              <w:rPr>
                <w:rFonts w:hint="eastAsia" w:ascii="仿宋" w:hAnsi="仿宋" w:eastAsia="仿宋" w:cs="仿宋"/>
                <w:bCs/>
                <w:color w:val="auto"/>
              </w:rPr>
              <w:t>业绩</w:t>
            </w:r>
            <w:r>
              <w:rPr>
                <w:rFonts w:hint="eastAsia" w:ascii="仿宋" w:hAnsi="仿宋" w:eastAsia="仿宋" w:cs="仿宋"/>
                <w:bCs/>
                <w:color w:val="auto"/>
                <w:lang w:eastAsia="zh-CN"/>
              </w:rPr>
              <w:t>，</w:t>
            </w:r>
            <w:r>
              <w:rPr>
                <w:rFonts w:hint="eastAsia" w:ascii="仿宋" w:hAnsi="仿宋" w:eastAsia="仿宋" w:cs="仿宋"/>
                <w:bCs/>
                <w:color w:val="auto"/>
                <w:lang w:val="en-US" w:eastAsia="zh-CN"/>
              </w:rPr>
              <w:t>每提供一个业绩得3分，本项最高15分。</w:t>
            </w:r>
          </w:p>
        </w:tc>
        <w:tc>
          <w:tcPr>
            <w:tcW w:w="343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提供合同复印件及任意一月发票复印件并加盖供应商公章。</w:t>
            </w:r>
          </w:p>
        </w:tc>
      </w:tr>
    </w:tbl>
    <w:p>
      <w:pPr>
        <w:pStyle w:val="2"/>
        <w:rPr>
          <w:rFonts w:hint="eastAsia"/>
          <w:color w:val="auto"/>
          <w:lang w:eastAsia="zh-CN"/>
        </w:rPr>
      </w:pP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35" w:name="_Toc48913022"/>
      <w:bookmarkStart w:id="36" w:name="_Toc7407"/>
      <w:bookmarkStart w:id="37" w:name="_Toc13838"/>
      <w:r>
        <w:rPr>
          <w:rFonts w:hint="eastAsia" w:ascii="方正仿宋_GBK" w:hAnsi="方正仿宋_GBK" w:eastAsia="方正仿宋_GBK" w:cs="方正仿宋_GBK"/>
          <w:b/>
          <w:color w:val="auto"/>
          <w:kern w:val="2"/>
          <w:sz w:val="24"/>
          <w:szCs w:val="24"/>
          <w:lang w:val="en-US" w:eastAsia="zh-CN" w:bidi="ar-SA"/>
        </w:rPr>
        <w:t>无效条款</w:t>
      </w:r>
      <w:bookmarkEnd w:id="35"/>
      <w:r>
        <w:rPr>
          <w:rFonts w:hint="eastAsia" w:ascii="方正仿宋_GBK" w:hAnsi="方正仿宋_GBK" w:eastAsia="方正仿宋_GBK" w:cs="方正仿宋_GBK"/>
          <w:b/>
          <w:color w:val="auto"/>
          <w:kern w:val="2"/>
          <w:sz w:val="24"/>
          <w:szCs w:val="24"/>
          <w:lang w:val="en-US" w:eastAsia="zh-CN" w:bidi="ar-SA"/>
        </w:rPr>
        <w:t>及废标条款</w:t>
      </w:r>
      <w:bookmarkEnd w:id="36"/>
      <w:bookmarkEnd w:id="37"/>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供应商或其响应文件出现下列情况之一者，应为无效：</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（一）未按照竞采文件的规定提交投标保证金的；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（二）响应文件未按竞采文件要求签署、盖章的；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（三）不具备竞采文件中规定的资格要求的；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（四）报价超过竞采文件中规定的预算金额或者最高限价的；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（五）响应文件含有采购人不能接受的附加条件的；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（六）供应商串通投标的；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（七）法律法规和竞采文件规定的其他无效情形。</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在竞采中，出现下列情形之一的，应予废标：</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（一）符合专业条件的供应商或者对竞采文件做实质响应的供应商不足三家的；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（二）供应商的报价均超过了采购预算，采购人不能支付的；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（三）出现影响采购公正的违法、违规行为的；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（四）因重大变故，采购任务取消的。</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废标后，除采购任务取消情形外，应当重新组织采购。</w:t>
      </w:r>
    </w:p>
    <w:p>
      <w:pPr>
        <w:pStyle w:val="4"/>
        <w:pageBreakBefore w:val="0"/>
        <w:widowControl w:val="0"/>
        <w:numPr>
          <w:ilvl w:val="0"/>
          <w:numId w:val="1"/>
        </w:numPr>
        <w:kinsoku/>
        <w:wordWrap/>
        <w:overflowPunct/>
        <w:topLinePunct w:val="0"/>
        <w:autoSpaceDE/>
        <w:autoSpaceDN/>
        <w:bidi w:val="0"/>
        <w:adjustRightInd/>
        <w:snapToGrid/>
        <w:spacing w:before="0" w:after="0" w:line="480" w:lineRule="exact"/>
        <w:ind w:left="420" w:leftChars="0" w:hanging="23" w:firstLineChars="0"/>
        <w:textAlignment w:val="auto"/>
        <w:outlineLvl w:val="0"/>
        <w:rPr>
          <w:rFonts w:hint="eastAsia" w:ascii="方正仿宋_GBK" w:hAnsi="方正仿宋_GBK" w:eastAsia="方正仿宋_GBK" w:cs="方正仿宋_GBK"/>
          <w:b/>
          <w:color w:val="auto"/>
          <w:kern w:val="2"/>
          <w:sz w:val="24"/>
          <w:szCs w:val="24"/>
          <w:lang w:val="en-US" w:eastAsia="zh-CN" w:bidi="ar-SA"/>
        </w:rPr>
      </w:pPr>
      <w:bookmarkStart w:id="38" w:name="_Toc16403"/>
      <w:bookmarkStart w:id="39" w:name="_Toc7729"/>
      <w:r>
        <w:rPr>
          <w:rFonts w:hint="eastAsia" w:ascii="方正仿宋_GBK" w:hAnsi="方正仿宋_GBK" w:eastAsia="方正仿宋_GBK" w:cs="方正仿宋_GBK"/>
          <w:b/>
          <w:color w:val="auto"/>
          <w:kern w:val="2"/>
          <w:sz w:val="24"/>
          <w:szCs w:val="24"/>
          <w:lang w:val="en-US" w:eastAsia="zh-CN" w:bidi="ar-SA"/>
        </w:rPr>
        <w:t>联系方式</w:t>
      </w:r>
      <w:bookmarkEnd w:id="38"/>
      <w:bookmarkEnd w:id="39"/>
    </w:p>
    <w:p>
      <w:pPr>
        <w:snapToGrid w:val="0"/>
        <w:spacing w:line="44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（一）采购代理机构：重庆嘉易招投标咨询有限责任公司</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联系人：张老师  电  话：13350300086</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（二）采购人：重庆市长寿区第一实验小学</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联系人：谢老师     电  话：02340881832/13983879115</w:t>
      </w:r>
    </w:p>
    <w:p>
      <w:pPr>
        <w:pStyle w:val="20"/>
        <w:tabs>
          <w:tab w:val="right" w:leader="dot" w:pos="9402"/>
        </w:tabs>
        <w:spacing w:line="480" w:lineRule="exact"/>
        <w:ind w:left="560"/>
        <w:jc w:val="center"/>
        <w:rPr>
          <w:rFonts w:hint="eastAsia" w:ascii="方正仿宋_GBK" w:hAnsi="方正仿宋_GBK" w:eastAsia="方正仿宋_GBK" w:cs="方正仿宋_GBK"/>
          <w:color w:val="auto"/>
          <w:kern w:val="2"/>
          <w:sz w:val="24"/>
          <w:szCs w:val="24"/>
          <w:highlight w:val="none"/>
          <w:lang w:val="en-US" w:eastAsia="zh-CN" w:bidi="ar-SA"/>
        </w:rPr>
        <w:sectPr>
          <w:footerReference r:id="rId8" w:type="default"/>
          <w:pgSz w:w="11907" w:h="16840"/>
          <w:pgMar w:top="1134" w:right="1191" w:bottom="1134" w:left="1304" w:header="851" w:footer="992" w:gutter="0"/>
          <w:pgNumType w:fmt="numberInDash" w:start="1"/>
          <w:cols w:space="720" w:num="1"/>
          <w:docGrid w:linePitch="381" w:charSpace="-5735"/>
        </w:sectPr>
      </w:pPr>
    </w:p>
    <w:p>
      <w:pPr>
        <w:pStyle w:val="3"/>
        <w:keepNext/>
        <w:keepLines/>
        <w:pageBreakBefore w:val="0"/>
        <w:widowControl w:val="0"/>
        <w:tabs>
          <w:tab w:val="left" w:pos="3360"/>
        </w:tabs>
        <w:kinsoku/>
        <w:wordWrap/>
        <w:overflowPunct/>
        <w:topLinePunct w:val="0"/>
        <w:autoSpaceDE/>
        <w:autoSpaceDN/>
        <w:bidi w:val="0"/>
        <w:adjustRightInd/>
        <w:snapToGrid/>
        <w:spacing w:before="260" w:beforeLines="0" w:beforeAutospacing="0" w:after="260" w:afterLines="0" w:afterAutospacing="0" w:line="240" w:lineRule="auto"/>
        <w:jc w:val="center"/>
        <w:textAlignment w:val="auto"/>
        <w:outlineLvl w:val="1"/>
        <w:rPr>
          <w:rFonts w:hint="eastAsia" w:ascii="方正小标宋_GBK" w:hAnsi="宋体" w:eastAsia="方正小标宋_GBK" w:cs="Times New Roman"/>
          <w:b w:val="0"/>
          <w:bCs/>
          <w:color w:val="auto"/>
          <w:sz w:val="36"/>
          <w:szCs w:val="30"/>
        </w:rPr>
      </w:pPr>
      <w:bookmarkStart w:id="40" w:name="_Toc21285"/>
      <w:bookmarkStart w:id="41" w:name="_Toc48913036"/>
      <w:bookmarkStart w:id="42" w:name="_Toc8678"/>
      <w:r>
        <w:rPr>
          <w:rFonts w:hint="eastAsia" w:ascii="方正小标宋_GBK" w:hAnsi="宋体" w:eastAsia="方正小标宋_GBK" w:cs="Times New Roman"/>
          <w:b w:val="0"/>
          <w:bCs/>
          <w:color w:val="auto"/>
          <w:sz w:val="36"/>
          <w:szCs w:val="30"/>
          <w:lang w:val="en-US" w:eastAsia="zh-CN"/>
        </w:rPr>
        <w:t xml:space="preserve">第二篇  </w:t>
      </w:r>
      <w:r>
        <w:rPr>
          <w:rFonts w:hint="eastAsia" w:ascii="方正小标宋_GBK" w:hAnsi="宋体" w:eastAsia="方正小标宋_GBK" w:cs="Times New Roman"/>
          <w:b w:val="0"/>
          <w:bCs/>
          <w:color w:val="auto"/>
          <w:sz w:val="36"/>
          <w:szCs w:val="30"/>
          <w:lang w:eastAsia="zh-CN"/>
        </w:rPr>
        <w:t>响应文件</w:t>
      </w:r>
      <w:r>
        <w:rPr>
          <w:rFonts w:hint="eastAsia" w:ascii="方正小标宋_GBK" w:hAnsi="宋体" w:eastAsia="方正小标宋_GBK" w:cs="Times New Roman"/>
          <w:b w:val="0"/>
          <w:bCs/>
          <w:color w:val="auto"/>
          <w:sz w:val="36"/>
          <w:szCs w:val="30"/>
        </w:rPr>
        <w:t>格式</w:t>
      </w:r>
      <w:bookmarkEnd w:id="40"/>
      <w:bookmarkEnd w:id="41"/>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9"/>
        <w:rPr>
          <w:rFonts w:hint="eastAsia" w:ascii="仿宋" w:hAnsi="仿宋" w:eastAsia="仿宋"/>
          <w:b/>
          <w:color w:val="auto"/>
          <w:sz w:val="24"/>
          <w:szCs w:val="24"/>
        </w:rPr>
      </w:pPr>
      <w:r>
        <w:rPr>
          <w:rFonts w:hint="eastAsia" w:ascii="仿宋" w:hAnsi="仿宋" w:eastAsia="仿宋"/>
          <w:b/>
          <w:color w:val="auto"/>
          <w:sz w:val="24"/>
          <w:szCs w:val="24"/>
        </w:rPr>
        <w:t>一、经济文件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报价表</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9"/>
        <w:rPr>
          <w:rFonts w:hint="eastAsia" w:ascii="仿宋" w:hAnsi="仿宋" w:eastAsia="仿宋"/>
          <w:b/>
          <w:color w:val="auto"/>
          <w:sz w:val="24"/>
          <w:szCs w:val="24"/>
        </w:rPr>
      </w:pPr>
      <w:r>
        <w:rPr>
          <w:rFonts w:hint="eastAsia" w:ascii="仿宋" w:hAnsi="仿宋" w:eastAsia="仿宋"/>
          <w:b/>
          <w:color w:val="auto"/>
          <w:sz w:val="24"/>
          <w:szCs w:val="24"/>
        </w:rPr>
        <w:t>二、商务技术文件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仿宋" w:hAnsi="仿宋" w:eastAsia="仿宋"/>
          <w:color w:val="auto"/>
          <w:sz w:val="24"/>
          <w:szCs w:val="24"/>
        </w:rPr>
      </w:pPr>
      <w:r>
        <w:rPr>
          <w:rFonts w:hint="eastAsia" w:ascii="仿宋" w:hAnsi="仿宋" w:eastAsia="仿宋"/>
          <w:color w:val="auto"/>
          <w:sz w:val="24"/>
          <w:szCs w:val="24"/>
        </w:rPr>
        <w:t>（一）投标函（格式）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仿宋" w:hAnsi="仿宋" w:eastAsia="仿宋"/>
          <w:color w:val="auto"/>
          <w:sz w:val="24"/>
          <w:szCs w:val="24"/>
        </w:rPr>
      </w:pPr>
      <w:r>
        <w:rPr>
          <w:rFonts w:hint="eastAsia" w:ascii="仿宋" w:hAnsi="仿宋" w:eastAsia="仿宋"/>
          <w:color w:val="auto"/>
          <w:sz w:val="24"/>
          <w:szCs w:val="24"/>
        </w:rPr>
        <w:t>（二）商务及售后服务承诺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9"/>
        <w:rPr>
          <w:rFonts w:hint="eastAsia" w:ascii="仿宋" w:hAnsi="仿宋" w:eastAsia="仿宋" w:cs="Times New Roman"/>
          <w:color w:val="auto"/>
          <w:sz w:val="24"/>
          <w:szCs w:val="24"/>
        </w:rPr>
      </w:pPr>
      <w:r>
        <w:rPr>
          <w:rFonts w:hint="eastAsia" w:ascii="仿宋" w:hAnsi="仿宋" w:eastAsia="仿宋"/>
          <w:color w:val="auto"/>
          <w:sz w:val="24"/>
          <w:szCs w:val="24"/>
        </w:rPr>
        <w:t>（三）</w:t>
      </w:r>
      <w:r>
        <w:rPr>
          <w:rFonts w:hint="eastAsia" w:ascii="仿宋" w:hAnsi="仿宋" w:eastAsia="仿宋" w:cs="Times New Roman"/>
          <w:color w:val="auto"/>
          <w:sz w:val="24"/>
          <w:szCs w:val="24"/>
        </w:rPr>
        <w:t>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9"/>
        <w:rPr>
          <w:rFonts w:hint="eastAsia" w:ascii="仿宋" w:hAnsi="仿宋" w:eastAsia="仿宋"/>
          <w:b/>
          <w:color w:val="auto"/>
          <w:sz w:val="24"/>
          <w:szCs w:val="24"/>
        </w:rPr>
      </w:pPr>
      <w:r>
        <w:rPr>
          <w:rFonts w:hint="eastAsia" w:ascii="仿宋" w:hAnsi="仿宋" w:eastAsia="仿宋"/>
          <w:b/>
          <w:color w:val="auto"/>
          <w:sz w:val="24"/>
          <w:szCs w:val="24"/>
        </w:rPr>
        <w:t>三、资格证明文件</w:t>
      </w:r>
    </w:p>
    <w:p>
      <w:pPr>
        <w:snapToGrid w:val="0"/>
        <w:spacing w:line="480" w:lineRule="exact"/>
        <w:ind w:firstLine="480" w:firstLineChars="200"/>
        <w:rPr>
          <w:rFonts w:hint="eastAsia" w:ascii="仿宋" w:hAnsi="仿宋" w:eastAsia="仿宋"/>
          <w:color w:val="auto"/>
          <w:sz w:val="24"/>
        </w:rPr>
      </w:pPr>
      <w:bookmarkStart w:id="43" w:name="_Toc429584884"/>
      <w:bookmarkStart w:id="44" w:name="_Toc492721037"/>
      <w:bookmarkStart w:id="45" w:name="_Toc493506319"/>
      <w:r>
        <w:rPr>
          <w:rFonts w:hint="eastAsia" w:ascii="仿宋" w:hAnsi="仿宋" w:eastAsia="仿宋"/>
          <w:color w:val="auto"/>
          <w:sz w:val="24"/>
        </w:rPr>
        <w:t>（一）法人营业执照（副本）或事业单位法人证书（副本）或个体工商户营业执照或有效的自然人身份证明或社会团体法人登记证书复印件</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（二）法定代表人（负责人）身份证明书（格式）</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（三）法定代表人（负责人）授权委托书（格式）</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（四）基本资格条件承诺函（格式）</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（五）特定资格条件证书或证明文件</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（六）技术和服务响应偏离表</w:t>
      </w:r>
    </w:p>
    <w:p>
      <w:pPr>
        <w:snapToGrid w:val="0"/>
        <w:spacing w:line="480" w:lineRule="exact"/>
        <w:ind w:firstLine="480" w:firstLineChars="200"/>
        <w:rPr>
          <w:rFonts w:hint="eastAsia" w:ascii="仿宋" w:hAnsi="仿宋" w:eastAsia="仿宋"/>
          <w:color w:val="auto"/>
          <w:sz w:val="24"/>
        </w:rPr>
      </w:pPr>
      <w:r>
        <w:rPr>
          <w:rFonts w:hint="eastAsia" w:ascii="仿宋" w:hAnsi="仿宋" w:eastAsia="仿宋"/>
          <w:color w:val="auto"/>
          <w:sz w:val="24"/>
        </w:rPr>
        <w:t>（七）评审标准响应材料</w:t>
      </w:r>
    </w:p>
    <w:p>
      <w:pPr>
        <w:snapToGrid w:val="0"/>
        <w:spacing w:line="480" w:lineRule="exact"/>
        <w:ind w:firstLine="480" w:firstLineChars="200"/>
        <w:rPr>
          <w:rFonts w:hint="eastAsia" w:ascii="仿宋" w:hAnsi="仿宋" w:eastAsia="仿宋"/>
          <w:color w:val="auto"/>
          <w:sz w:val="24"/>
        </w:rPr>
        <w:sectPr>
          <w:headerReference r:id="rId9" w:type="default"/>
          <w:pgSz w:w="11907" w:h="16840"/>
          <w:pgMar w:top="1134" w:right="1191" w:bottom="1134" w:left="1304" w:header="851" w:footer="992" w:gutter="0"/>
          <w:pgNumType w:fmt="numberInDash"/>
          <w:cols w:space="720" w:num="1"/>
          <w:docGrid w:linePitch="381" w:charSpace="-5735"/>
        </w:sectPr>
      </w:pPr>
      <w:r>
        <w:rPr>
          <w:rFonts w:hint="eastAsia" w:ascii="仿宋" w:hAnsi="仿宋" w:eastAsia="仿宋"/>
          <w:color w:val="auto"/>
          <w:sz w:val="24"/>
        </w:rPr>
        <w:t>（八）其他证明材料</w:t>
      </w:r>
    </w:p>
    <w:p>
      <w:pPr>
        <w:pStyle w:val="4"/>
        <w:pageBreakBefore w:val="0"/>
        <w:widowControl w:val="0"/>
        <w:numPr>
          <w:ilvl w:val="0"/>
          <w:numId w:val="4"/>
        </w:numPr>
        <w:kinsoku/>
        <w:wordWrap/>
        <w:overflowPunct/>
        <w:topLinePunct w:val="0"/>
        <w:autoSpaceDE/>
        <w:autoSpaceDN/>
        <w:bidi w:val="0"/>
        <w:adjustRightInd/>
        <w:snapToGrid/>
        <w:spacing w:before="0" w:after="0" w:line="520" w:lineRule="exact"/>
        <w:ind w:left="0" w:leftChars="0" w:firstLine="420" w:firstLineChars="0"/>
        <w:textAlignment w:val="auto"/>
        <w:outlineLvl w:val="0"/>
        <w:rPr>
          <w:rFonts w:hint="eastAsia" w:ascii="方正仿宋_GBK" w:hAnsi="方正仿宋_GBK" w:eastAsia="方正仿宋_GBK" w:cs="方正仿宋_GBK"/>
          <w:b/>
          <w:color w:val="auto"/>
          <w:sz w:val="24"/>
          <w:szCs w:val="24"/>
        </w:rPr>
      </w:pPr>
      <w:bookmarkStart w:id="46" w:name="_Toc21147"/>
      <w:bookmarkStart w:id="47" w:name="_Toc27360"/>
      <w:r>
        <w:rPr>
          <w:rFonts w:hint="eastAsia" w:ascii="方正仿宋_GBK" w:hAnsi="方正仿宋_GBK" w:eastAsia="方正仿宋_GBK" w:cs="方正仿宋_GBK"/>
          <w:b/>
          <w:color w:val="auto"/>
          <w:sz w:val="24"/>
          <w:szCs w:val="24"/>
        </w:rPr>
        <w:t>经济文件</w:t>
      </w:r>
      <w:bookmarkEnd w:id="43"/>
      <w:bookmarkEnd w:id="44"/>
      <w:bookmarkEnd w:id="45"/>
      <w:bookmarkEnd w:id="46"/>
      <w:bookmarkEnd w:id="47"/>
    </w:p>
    <w:p>
      <w:pPr>
        <w:snapToGrid w:val="0"/>
        <w:spacing w:line="500" w:lineRule="exact"/>
        <w:jc w:val="center"/>
        <w:rPr>
          <w:rFonts w:hint="eastAsia" w:ascii="方正仿宋_GBK" w:hAnsi="方正仿宋_GBK" w:eastAsia="方正仿宋_GBK" w:cs="方正仿宋_GBK"/>
          <w:color w:val="auto"/>
          <w:sz w:val="24"/>
          <w:szCs w:val="24"/>
        </w:rPr>
      </w:pPr>
      <w:bookmarkStart w:id="48" w:name="_Toc493506320"/>
      <w:r>
        <w:rPr>
          <w:rFonts w:hint="eastAsia" w:ascii="方正仿宋_GBK" w:hAnsi="方正仿宋_GBK" w:eastAsia="方正仿宋_GBK" w:cs="方正仿宋_GBK"/>
          <w:color w:val="auto"/>
          <w:sz w:val="24"/>
          <w:szCs w:val="24"/>
          <w:lang w:val="en-US" w:eastAsia="zh-CN"/>
        </w:rPr>
        <w:t>（一）报价</w:t>
      </w:r>
      <w:r>
        <w:rPr>
          <w:rFonts w:hint="eastAsia" w:ascii="方正仿宋_GBK" w:hAnsi="方正仿宋_GBK" w:eastAsia="方正仿宋_GBK" w:cs="方正仿宋_GBK"/>
          <w:color w:val="auto"/>
          <w:sz w:val="24"/>
          <w:szCs w:val="24"/>
        </w:rPr>
        <w:t>表</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color w:val="auto"/>
          <w:sz w:val="24"/>
          <w:szCs w:val="24"/>
        </w:rPr>
      </w:pPr>
    </w:p>
    <w:tbl>
      <w:tblPr>
        <w:tblStyle w:val="22"/>
        <w:tblW w:w="7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仿宋" w:hAnsi="仿宋" w:eastAsia="仿宋"/>
                <w:color w:val="auto"/>
                <w:sz w:val="24"/>
                <w:szCs w:val="24"/>
                <w:lang w:val="en-US" w:eastAsia="zh-CN"/>
              </w:rPr>
            </w:pPr>
            <w:r>
              <w:rPr>
                <w:rFonts w:hint="eastAsia" w:ascii="方正仿宋_GBK" w:eastAsia="方正仿宋_GBK" w:cs="方正仿宋_GBK"/>
                <w:b/>
                <w:color w:val="auto"/>
                <w:sz w:val="24"/>
                <w:szCs w:val="24"/>
                <w:lang w:bidi="ar-SA"/>
              </w:rPr>
              <w:t>名称</w:t>
            </w:r>
          </w:p>
        </w:tc>
        <w:tc>
          <w:tcPr>
            <w:tcW w:w="4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仿宋" w:hAnsi="仿宋" w:eastAsia="仿宋"/>
                <w:color w:val="auto"/>
                <w:sz w:val="24"/>
                <w:szCs w:val="24"/>
                <w:lang w:eastAsia="zh-CN"/>
              </w:rPr>
            </w:pPr>
            <w:r>
              <w:rPr>
                <w:rFonts w:hint="eastAsia" w:ascii="方正仿宋_GBK" w:eastAsia="方正仿宋_GBK" w:cs="方正仿宋_GBK"/>
                <w:b/>
                <w:color w:val="auto"/>
                <w:sz w:val="24"/>
                <w:szCs w:val="24"/>
                <w:lang w:val="en-US" w:eastAsia="zh-CN" w:bidi="ar-SA"/>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szCs w:val="24"/>
                <w:lang w:val="en-US" w:eastAsia="zh-CN"/>
              </w:rPr>
              <w:t>长寿区实验一小古镇校区、菩提校区定点生活垃圾清运</w:t>
            </w:r>
          </w:p>
        </w:tc>
        <w:tc>
          <w:tcPr>
            <w:tcW w:w="4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方正仿宋_GBK" w:eastAsia="方正仿宋_GBK" w:cs="方正仿宋_GBK"/>
                <w:color w:val="auto"/>
                <w:sz w:val="24"/>
                <w:szCs w:val="24"/>
                <w:lang w:val="en-US" w:eastAsia="zh-CN" w:bidi="ar-SA"/>
              </w:rPr>
            </w:pPr>
            <w:r>
              <w:rPr>
                <w:rFonts w:hint="eastAsia" w:ascii="方正仿宋_GBK" w:eastAsia="方正仿宋_GBK" w:cs="方正仿宋_GBK"/>
                <w:color w:val="auto"/>
                <w:sz w:val="24"/>
                <w:szCs w:val="24"/>
                <w:lang w:val="en-US" w:eastAsia="zh-CN" w:bidi="ar-SA"/>
              </w:rPr>
              <w:t>小写：         元人民币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color w:val="auto"/>
                <w:lang w:eastAsia="zh-CN"/>
              </w:rPr>
            </w:pPr>
            <w:r>
              <w:rPr>
                <w:rFonts w:hint="eastAsia" w:ascii="方正仿宋_GBK" w:eastAsia="方正仿宋_GBK" w:cs="方正仿宋_GBK"/>
                <w:color w:val="auto"/>
                <w:sz w:val="24"/>
                <w:szCs w:val="24"/>
                <w:lang w:val="en-US" w:eastAsia="zh-CN" w:bidi="ar-SA"/>
              </w:rPr>
              <w:t>大写：          元人民币整</w:t>
            </w:r>
          </w:p>
        </w:tc>
      </w:tr>
    </w:tbl>
    <w:p>
      <w:pPr>
        <w:outlineLvl w:val="9"/>
        <w:rPr>
          <w:rFonts w:hint="eastAsia"/>
          <w:color w:val="auto"/>
        </w:rPr>
      </w:pPr>
    </w:p>
    <w:p>
      <w:pPr>
        <w:keepNext w:val="0"/>
        <w:keepLines w:val="0"/>
        <w:pageBreakBefore w:val="0"/>
        <w:widowControl w:val="0"/>
        <w:kinsoku/>
        <w:wordWrap/>
        <w:overflowPunct/>
        <w:topLinePunct w:val="0"/>
        <w:autoSpaceDE/>
        <w:autoSpaceDN/>
        <w:bidi w:val="0"/>
        <w:adjustRightInd/>
        <w:spacing w:line="480" w:lineRule="exact"/>
        <w:ind w:left="4549" w:leftChars="2166" w:firstLine="0" w:firstLineChars="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供应商法定代表人（负责人）</w:t>
      </w:r>
    </w:p>
    <w:p>
      <w:pPr>
        <w:keepNext w:val="0"/>
        <w:keepLines w:val="0"/>
        <w:pageBreakBefore w:val="0"/>
        <w:widowControl w:val="0"/>
        <w:kinsoku/>
        <w:wordWrap/>
        <w:overflowPunct/>
        <w:topLinePunct w:val="0"/>
        <w:autoSpaceDE/>
        <w:autoSpaceDN/>
        <w:bidi w:val="0"/>
        <w:adjustRightInd/>
        <w:spacing w:line="480" w:lineRule="exact"/>
        <w:ind w:left="4549" w:leftChars="2166" w:firstLine="0"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或</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授权代表：</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公章）                               （签字或盖章）</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说明：</w:t>
      </w:r>
      <w:r>
        <w:rPr>
          <w:rFonts w:hint="eastAsia" w:ascii="方正仿宋_GBK" w:hAnsi="方正仿宋_GBK" w:eastAsia="方正仿宋_GBK" w:cs="方正仿宋_GBK"/>
          <w:color w:val="auto"/>
          <w:sz w:val="24"/>
          <w:szCs w:val="24"/>
          <w:lang w:eastAsia="zh-CN"/>
        </w:rPr>
        <w:t>报价表</w:t>
      </w:r>
      <w:r>
        <w:rPr>
          <w:rFonts w:hint="eastAsia" w:ascii="方正仿宋_GBK" w:hAnsi="方正仿宋_GBK" w:eastAsia="方正仿宋_GBK" w:cs="方正仿宋_GBK"/>
          <w:color w:val="auto"/>
          <w:sz w:val="24"/>
          <w:szCs w:val="24"/>
        </w:rPr>
        <w:t>按格式填列</w:t>
      </w:r>
      <w:r>
        <w:rPr>
          <w:rFonts w:hint="eastAsia" w:ascii="方正仿宋_GBK" w:hAnsi="方正仿宋_GBK" w:eastAsia="方正仿宋_GBK" w:cs="方正仿宋_GBK"/>
          <w:color w:val="auto"/>
          <w:sz w:val="24"/>
          <w:szCs w:val="24"/>
          <w:lang w:eastAsia="zh-CN"/>
        </w:rPr>
        <w:t>。</w:t>
      </w:r>
    </w:p>
    <w:p>
      <w:pPr>
        <w:pStyle w:val="20"/>
        <w:tabs>
          <w:tab w:val="right" w:leader="dot" w:pos="9402"/>
        </w:tabs>
        <w:spacing w:line="480" w:lineRule="exact"/>
        <w:ind w:left="560"/>
        <w:jc w:val="center"/>
        <w:rPr>
          <w:rFonts w:ascii="方正仿宋_GBK" w:hAnsi="Calibri" w:eastAsia="方正仿宋_GBK"/>
          <w:color w:val="auto"/>
          <w:sz w:val="18"/>
          <w:szCs w:val="22"/>
        </w:rPr>
        <w:sectPr>
          <w:pgSz w:w="11907" w:h="16840"/>
          <w:pgMar w:top="1134" w:right="1191" w:bottom="1134" w:left="1304" w:header="851" w:footer="992" w:gutter="0"/>
          <w:pgNumType w:fmt="numberInDash"/>
          <w:cols w:space="720" w:num="1"/>
          <w:docGrid w:linePitch="381" w:charSpace="-5735"/>
        </w:sectPr>
      </w:pPr>
    </w:p>
    <w:p>
      <w:pPr>
        <w:pStyle w:val="4"/>
        <w:pageBreakBefore w:val="0"/>
        <w:widowControl w:val="0"/>
        <w:numPr>
          <w:ilvl w:val="0"/>
          <w:numId w:val="4"/>
        </w:numPr>
        <w:kinsoku/>
        <w:wordWrap/>
        <w:overflowPunct/>
        <w:topLinePunct w:val="0"/>
        <w:autoSpaceDE/>
        <w:autoSpaceDN/>
        <w:bidi w:val="0"/>
        <w:adjustRightInd/>
        <w:snapToGrid/>
        <w:spacing w:before="0" w:after="0" w:line="520" w:lineRule="exact"/>
        <w:ind w:left="0" w:leftChars="0" w:firstLine="420" w:firstLineChars="0"/>
        <w:textAlignment w:val="auto"/>
        <w:outlineLvl w:val="0"/>
        <w:rPr>
          <w:rFonts w:hint="eastAsia" w:ascii="方正仿宋_GBK" w:hAnsi="方正仿宋_GBK" w:eastAsia="方正仿宋_GBK" w:cs="方正仿宋_GBK"/>
          <w:b/>
          <w:color w:val="auto"/>
          <w:sz w:val="24"/>
          <w:szCs w:val="24"/>
        </w:rPr>
      </w:pPr>
      <w:bookmarkStart w:id="49" w:name="_Toc31853"/>
      <w:bookmarkStart w:id="50" w:name="_Toc7558"/>
      <w:r>
        <w:rPr>
          <w:rFonts w:hint="eastAsia" w:ascii="方正仿宋_GBK" w:hAnsi="方正仿宋_GBK" w:eastAsia="方正仿宋_GBK" w:cs="方正仿宋_GBK"/>
          <w:b/>
          <w:color w:val="auto"/>
          <w:sz w:val="24"/>
          <w:szCs w:val="24"/>
          <w:lang w:val="en-US" w:eastAsia="zh-CN"/>
        </w:rPr>
        <w:t>商务</w:t>
      </w:r>
      <w:r>
        <w:rPr>
          <w:rFonts w:hint="eastAsia" w:ascii="方正仿宋_GBK" w:hAnsi="方正仿宋_GBK" w:eastAsia="方正仿宋_GBK" w:cs="方正仿宋_GBK"/>
          <w:b/>
          <w:color w:val="auto"/>
          <w:sz w:val="24"/>
          <w:szCs w:val="24"/>
        </w:rPr>
        <w:t>技术文件</w:t>
      </w:r>
      <w:bookmarkEnd w:id="48"/>
      <w:bookmarkEnd w:id="49"/>
      <w:bookmarkEnd w:id="50"/>
    </w:p>
    <w:p>
      <w:pPr>
        <w:pageBreakBefore w:val="0"/>
        <w:widowControl w:val="0"/>
        <w:kinsoku/>
        <w:wordWrap/>
        <w:overflowPunct/>
        <w:topLinePunct w:val="0"/>
        <w:autoSpaceDE/>
        <w:autoSpaceDN/>
        <w:bidi w:val="0"/>
        <w:adjustRightInd/>
        <w:snapToGrid w:val="0"/>
        <w:spacing w:before="156" w:beforeLines="50" w:line="480" w:lineRule="exact"/>
        <w:ind w:firstLine="480" w:firstLineChars="200"/>
        <w:jc w:val="center"/>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（一）投标函</w:t>
      </w:r>
    </w:p>
    <w:p>
      <w:pPr>
        <w:pageBreakBefore w:val="0"/>
        <w:widowControl w:val="0"/>
        <w:kinsoku/>
        <w:wordWrap/>
        <w:overflowPunct/>
        <w:topLinePunct w:val="0"/>
        <w:autoSpaceDE/>
        <w:autoSpaceDN/>
        <w:bidi w:val="0"/>
        <w:adjustRightInd/>
        <w:snapToGrid w:val="0"/>
        <w:spacing w:before="156" w:beforeLines="50" w:line="480" w:lineRule="exact"/>
        <w:ind w:firstLine="480" w:firstLineChars="200"/>
        <w:textAlignment w:val="auto"/>
        <w:outlineLvl w:val="9"/>
        <w:rPr>
          <w:rFonts w:hint="eastAsia" w:ascii="方正仿宋_GBK" w:hAnsi="方正仿宋_GBK" w:eastAsia="方正仿宋_GBK" w:cs="方正仿宋_GBK"/>
          <w:color w:val="auto"/>
          <w:sz w:val="24"/>
          <w:szCs w:val="24"/>
        </w:rPr>
      </w:pPr>
    </w:p>
    <w:p>
      <w:pPr>
        <w:pageBreakBefore w:val="0"/>
        <w:widowControl w:val="0"/>
        <w:kinsoku/>
        <w:wordWrap/>
        <w:overflowPunct/>
        <w:topLinePunct w:val="0"/>
        <w:autoSpaceDE/>
        <w:autoSpaceDN/>
        <w:bidi w:val="0"/>
        <w:adjustRightInd/>
        <w:snapToGrid w:val="0"/>
        <w:spacing w:before="156" w:beforeLines="50"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采购项目名称：</w:t>
      </w:r>
      <w:r>
        <w:rPr>
          <w:rFonts w:hint="eastAsia" w:ascii="方正仿宋_GBK" w:hAnsi="方正仿宋_GBK" w:eastAsia="方正仿宋_GBK" w:cs="方正仿宋_GBK"/>
          <w:color w:val="auto"/>
          <w:sz w:val="24"/>
          <w:szCs w:val="24"/>
          <w:u w:val="single"/>
        </w:rPr>
        <w:t xml:space="preserve">              </w:t>
      </w:r>
    </w:p>
    <w:p>
      <w:pPr>
        <w:pageBreakBefore w:val="0"/>
        <w:widowControl w:val="0"/>
        <w:tabs>
          <w:tab w:val="left" w:pos="6300"/>
        </w:tabs>
        <w:kinsoku/>
        <w:wordWrap/>
        <w:overflowPunct/>
        <w:topLinePunct w:val="0"/>
        <w:autoSpaceDE/>
        <w:autoSpaceDN/>
        <w:bidi w:val="0"/>
        <w:adjustRightInd/>
        <w:snapToGrid w:val="0"/>
        <w:spacing w:line="480" w:lineRule="exac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（采购代理机构名称）：</w:t>
      </w:r>
    </w:p>
    <w:p>
      <w:pPr>
        <w:pageBreakBefore w:val="0"/>
        <w:widowControl w:val="0"/>
        <w:kinsoku/>
        <w:wordWrap/>
        <w:overflowPunct/>
        <w:topLinePunct w:val="0"/>
        <w:autoSpaceDE/>
        <w:autoSpaceDN/>
        <w:bidi w:val="0"/>
        <w:adjustRightInd/>
        <w:snapToGrid w:val="0"/>
        <w:spacing w:before="120" w:beforeLines="50"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名称）系中华人民共和国合法企业，注册地址：</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。我方就参加本次投标有关事项郑重声明如下：</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一、我方完全理解并接受该项目</w:t>
      </w:r>
      <w:r>
        <w:rPr>
          <w:rFonts w:hint="eastAsia" w:ascii="方正仿宋_GBK" w:hAnsi="方正仿宋_GBK" w:eastAsia="方正仿宋_GBK" w:cs="方正仿宋_GBK"/>
          <w:color w:val="auto"/>
          <w:sz w:val="24"/>
          <w:szCs w:val="24"/>
          <w:lang w:eastAsia="zh-CN"/>
        </w:rPr>
        <w:t>竞采文件</w:t>
      </w:r>
      <w:r>
        <w:rPr>
          <w:rFonts w:hint="eastAsia" w:ascii="方正仿宋_GBK" w:hAnsi="方正仿宋_GBK" w:eastAsia="方正仿宋_GBK" w:cs="方正仿宋_GBK"/>
          <w:color w:val="auto"/>
          <w:sz w:val="24"/>
          <w:szCs w:val="24"/>
        </w:rPr>
        <w:t>所有要求。</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二、我方提交的所有</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rPr>
        <w:t>、资料都是准确和真实的，如有虚假或隐瞒，我方愿意承担一切法律责任。</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三、我方承诺按照</w:t>
      </w:r>
      <w:r>
        <w:rPr>
          <w:rFonts w:hint="eastAsia" w:ascii="方正仿宋_GBK" w:hAnsi="方正仿宋_GBK" w:eastAsia="方正仿宋_GBK" w:cs="方正仿宋_GBK"/>
          <w:color w:val="auto"/>
          <w:sz w:val="24"/>
          <w:szCs w:val="24"/>
          <w:lang w:eastAsia="zh-CN"/>
        </w:rPr>
        <w:t>竞采文件</w:t>
      </w:r>
      <w:r>
        <w:rPr>
          <w:rFonts w:hint="eastAsia" w:ascii="方正仿宋_GBK" w:hAnsi="方正仿宋_GBK" w:eastAsia="方正仿宋_GBK" w:cs="方正仿宋_GBK"/>
          <w:color w:val="auto"/>
          <w:sz w:val="24"/>
          <w:szCs w:val="24"/>
        </w:rPr>
        <w:t>要求，提供</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项目的技术（质量）</w:t>
      </w:r>
      <w:r>
        <w:rPr>
          <w:rFonts w:hint="eastAsia" w:ascii="方正仿宋_GBK" w:hAnsi="方正仿宋_GBK" w:eastAsia="方正仿宋_GBK" w:cs="方正仿宋_GBK"/>
          <w:color w:val="auto"/>
          <w:sz w:val="24"/>
          <w:szCs w:val="24"/>
          <w:lang w:val="en-US" w:eastAsia="zh-CN"/>
        </w:rPr>
        <w:t>和</w:t>
      </w:r>
      <w:r>
        <w:rPr>
          <w:rFonts w:hint="eastAsia" w:ascii="方正仿宋_GBK" w:hAnsi="方正仿宋_GBK" w:eastAsia="方正仿宋_GBK" w:cs="方正仿宋_GBK"/>
          <w:color w:val="auto"/>
          <w:sz w:val="24"/>
          <w:szCs w:val="24"/>
        </w:rPr>
        <w:t>服务。</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color w:val="auto"/>
          <w:sz w:val="24"/>
          <w:szCs w:val="24"/>
        </w:rPr>
        <w:t>四、我方按</w:t>
      </w:r>
      <w:r>
        <w:rPr>
          <w:rFonts w:hint="eastAsia" w:ascii="方正仿宋_GBK" w:hAnsi="方正仿宋_GBK" w:eastAsia="方正仿宋_GBK" w:cs="方正仿宋_GBK"/>
          <w:color w:val="auto"/>
          <w:sz w:val="24"/>
          <w:szCs w:val="24"/>
          <w:lang w:eastAsia="zh-CN"/>
        </w:rPr>
        <w:t>竞采文件</w:t>
      </w:r>
      <w:r>
        <w:rPr>
          <w:rFonts w:hint="eastAsia" w:ascii="方正仿宋_GBK" w:hAnsi="方正仿宋_GBK" w:eastAsia="方正仿宋_GBK" w:cs="方正仿宋_GBK"/>
          <w:color w:val="auto"/>
          <w:sz w:val="24"/>
          <w:szCs w:val="24"/>
        </w:rPr>
        <w:t>要求提交的</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rPr>
        <w:t>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rPr>
        <w:t>正本1份，副本</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份</w:t>
      </w:r>
      <w:r>
        <w:rPr>
          <w:rFonts w:hint="eastAsia" w:ascii="方正仿宋_GBK" w:hAnsi="方正仿宋_GBK" w:eastAsia="方正仿宋_GBK" w:cs="方正仿宋_GBK"/>
          <w:color w:val="auto"/>
          <w:sz w:val="24"/>
          <w:szCs w:val="24"/>
          <w:lang w:val="en-US" w:eastAsia="zh-CN"/>
        </w:rPr>
        <w:t>和平台上传的电子文档</w:t>
      </w:r>
      <w:r>
        <w:rPr>
          <w:rFonts w:hint="eastAsia" w:ascii="方正仿宋_GBK" w:hAnsi="方正仿宋_GBK" w:eastAsia="方正仿宋_GBK" w:cs="方正仿宋_GBK"/>
          <w:b/>
          <w:bCs/>
          <w:color w:val="auto"/>
          <w:sz w:val="24"/>
          <w:szCs w:val="24"/>
          <w:lang w:val="en-US" w:eastAsia="zh-CN"/>
        </w:rPr>
        <w:t>。</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五、我方承诺：本次投标的投标有效期为投标截止时间起90天。</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六、我方</w:t>
      </w:r>
      <w:r>
        <w:rPr>
          <w:rFonts w:hint="eastAsia" w:ascii="方正仿宋_GBK" w:hAnsi="方正仿宋_GBK" w:eastAsia="方正仿宋_GBK" w:cs="方正仿宋_GBK"/>
          <w:color w:val="auto"/>
          <w:sz w:val="24"/>
          <w:szCs w:val="24"/>
          <w:lang w:eastAsia="zh-CN"/>
        </w:rPr>
        <w:t>竞采报价</w:t>
      </w:r>
      <w:r>
        <w:rPr>
          <w:rFonts w:hint="eastAsia" w:ascii="方正仿宋_GBK" w:hAnsi="方正仿宋_GBK" w:eastAsia="方正仿宋_GBK" w:cs="方正仿宋_GBK"/>
          <w:color w:val="auto"/>
          <w:sz w:val="24"/>
          <w:szCs w:val="24"/>
        </w:rPr>
        <w:t>为闭口价。即在投标有效期和合同有效期内，该报价固定不变。</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七、如果我方中标，我方将履行</w:t>
      </w:r>
      <w:r>
        <w:rPr>
          <w:rFonts w:hint="eastAsia" w:ascii="方正仿宋_GBK" w:hAnsi="方正仿宋_GBK" w:eastAsia="方正仿宋_GBK" w:cs="方正仿宋_GBK"/>
          <w:color w:val="auto"/>
          <w:sz w:val="24"/>
          <w:szCs w:val="24"/>
          <w:lang w:eastAsia="zh-CN"/>
        </w:rPr>
        <w:t>竞采文件</w:t>
      </w:r>
      <w:r>
        <w:rPr>
          <w:rFonts w:hint="eastAsia" w:ascii="方正仿宋_GBK" w:hAnsi="方正仿宋_GBK" w:eastAsia="方正仿宋_GBK" w:cs="方正仿宋_GBK"/>
          <w:color w:val="auto"/>
          <w:sz w:val="24"/>
          <w:szCs w:val="24"/>
        </w:rPr>
        <w:t>中规定的各项要求以及我方</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rPr>
        <w:t>的各项承诺，按《中华人民共和国政府采购法</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中华人民共和国民法典》及合同约定条款承担我方责任。</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八、我方未为采购项目提供整体设计、规范编制或者项目管理、监理、检测等服务。</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九、我方理解，最低报价不是中标的唯一条件。</w:t>
      </w:r>
    </w:p>
    <w:p>
      <w:pPr>
        <w:pageBreakBefore w:val="0"/>
        <w:widowControl w:val="0"/>
        <w:tabs>
          <w:tab w:val="left" w:pos="6300"/>
        </w:tabs>
        <w:kinsoku/>
        <w:wordWrap/>
        <w:overflowPunct/>
        <w:topLinePunct w:val="0"/>
        <w:autoSpaceDE/>
        <w:autoSpaceDN/>
        <w:bidi w:val="0"/>
        <w:adjustRightInd/>
        <w:snapToGrid w:val="0"/>
        <w:spacing w:line="480" w:lineRule="exact"/>
        <w:ind w:firstLine="482" w:firstLineChars="200"/>
        <w:textAlignment w:val="auto"/>
        <w:outlineLvl w:val="9"/>
        <w:rPr>
          <w:rFonts w:hint="eastAsia" w:ascii="方正仿宋_GBK" w:hAnsi="方正仿宋_GBK" w:eastAsia="方正仿宋_GBK" w:cs="方正仿宋_GBK"/>
          <w:b/>
          <w:bCs/>
          <w:i/>
          <w:iCs/>
          <w:color w:val="auto"/>
          <w:sz w:val="24"/>
          <w:szCs w:val="24"/>
          <w:u w:val="single"/>
          <w:lang w:eastAsia="zh-CN"/>
        </w:rPr>
      </w:pPr>
      <w:r>
        <w:rPr>
          <w:rFonts w:hint="eastAsia" w:ascii="方正仿宋_GBK" w:hAnsi="方正仿宋_GBK" w:eastAsia="方正仿宋_GBK" w:cs="方正仿宋_GBK"/>
          <w:b/>
          <w:bCs/>
          <w:i/>
          <w:iCs/>
          <w:color w:val="auto"/>
          <w:sz w:val="24"/>
          <w:szCs w:val="24"/>
          <w:u w:val="single"/>
        </w:rPr>
        <w:t>十、若我方</w:t>
      </w:r>
      <w:r>
        <w:rPr>
          <w:rFonts w:hint="eastAsia" w:ascii="方正仿宋_GBK" w:hAnsi="方正仿宋_GBK" w:eastAsia="方正仿宋_GBK" w:cs="方正仿宋_GBK"/>
          <w:b/>
          <w:bCs/>
          <w:i/>
          <w:iCs/>
          <w:color w:val="auto"/>
          <w:sz w:val="24"/>
          <w:szCs w:val="24"/>
          <w:u w:val="single"/>
          <w:lang w:val="en-US" w:eastAsia="zh-CN"/>
        </w:rPr>
        <w:t>成为成交供应商</w:t>
      </w:r>
      <w:r>
        <w:rPr>
          <w:rFonts w:hint="eastAsia" w:ascii="方正仿宋_GBK" w:hAnsi="方正仿宋_GBK" w:eastAsia="方正仿宋_GBK" w:cs="方正仿宋_GBK"/>
          <w:b/>
          <w:bCs/>
          <w:i/>
          <w:iCs/>
          <w:color w:val="auto"/>
          <w:sz w:val="24"/>
          <w:szCs w:val="24"/>
          <w:u w:val="single"/>
        </w:rPr>
        <w:t>，愿意按有关规定及</w:t>
      </w:r>
      <w:r>
        <w:rPr>
          <w:rFonts w:hint="eastAsia" w:ascii="方正仿宋_GBK" w:hAnsi="方正仿宋_GBK" w:eastAsia="方正仿宋_GBK" w:cs="方正仿宋_GBK"/>
          <w:b/>
          <w:bCs/>
          <w:i/>
          <w:iCs/>
          <w:color w:val="auto"/>
          <w:sz w:val="24"/>
          <w:szCs w:val="24"/>
          <w:u w:val="single"/>
          <w:lang w:eastAsia="zh-CN"/>
        </w:rPr>
        <w:t>竞采文件</w:t>
      </w:r>
      <w:r>
        <w:rPr>
          <w:rFonts w:hint="eastAsia" w:ascii="方正仿宋_GBK" w:hAnsi="方正仿宋_GBK" w:eastAsia="方正仿宋_GBK" w:cs="方正仿宋_GBK"/>
          <w:b/>
          <w:bCs/>
          <w:i/>
          <w:iCs/>
          <w:color w:val="auto"/>
          <w:sz w:val="24"/>
          <w:szCs w:val="24"/>
          <w:u w:val="single"/>
        </w:rPr>
        <w:t>要求缴纳</w:t>
      </w:r>
      <w:r>
        <w:rPr>
          <w:rFonts w:hint="eastAsia" w:ascii="方正仿宋_GBK" w:hAnsi="方正仿宋_GBK" w:eastAsia="方正仿宋_GBK" w:cs="方正仿宋_GBK"/>
          <w:b/>
          <w:bCs/>
          <w:i/>
          <w:iCs/>
          <w:color w:val="auto"/>
          <w:sz w:val="24"/>
          <w:szCs w:val="24"/>
          <w:u w:val="single"/>
          <w:lang w:eastAsia="zh-CN"/>
        </w:rPr>
        <w:t>采购代理服务费。</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460" w:firstLineChars="2275"/>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公章或自然人签署）</w:t>
      </w:r>
    </w:p>
    <w:p>
      <w:pPr>
        <w:pageBreakBefore w:val="0"/>
        <w:widowControl w:val="0"/>
        <w:tabs>
          <w:tab w:val="left" w:pos="6300"/>
        </w:tabs>
        <w:kinsoku/>
        <w:wordWrap/>
        <w:overflowPunct/>
        <w:topLinePunct w:val="0"/>
        <w:autoSpaceDE/>
        <w:autoSpaceDN/>
        <w:bidi w:val="0"/>
        <w:adjustRightInd/>
        <w:snapToGrid w:val="0"/>
        <w:spacing w:line="480" w:lineRule="exact"/>
        <w:ind w:firstLine="5760" w:firstLineChars="24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（二）商务承诺及售后服务承诺（包括但不限于）：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（三）其他与项目有关的资料（自附）</w:t>
      </w:r>
      <w:bookmarkStart w:id="51" w:name="_Toc13249"/>
      <w:bookmarkStart w:id="52" w:name="_Toc26381"/>
      <w:bookmarkStart w:id="53" w:name="_Toc17848"/>
      <w:bookmarkStart w:id="54" w:name="_Toc12509"/>
      <w:bookmarkStart w:id="55" w:name="_Toc6108"/>
      <w:bookmarkStart w:id="56" w:name="_Toc28432"/>
      <w:bookmarkStart w:id="57" w:name="_Toc106030421"/>
      <w:bookmarkStart w:id="58" w:name="_Toc30818"/>
      <w:bookmarkStart w:id="59" w:name="_Toc21121"/>
      <w:bookmarkStart w:id="60" w:name="_Toc23187"/>
      <w:bookmarkStart w:id="61" w:name="_Toc17829"/>
      <w:bookmarkStart w:id="62" w:name="_Toc30988"/>
      <w:bookmarkStart w:id="63" w:name="_Toc16577"/>
      <w:bookmarkStart w:id="64" w:name="_Toc493178793"/>
      <w:bookmarkStart w:id="65" w:name="_Toc75793544"/>
      <w:bookmarkStart w:id="66" w:name="_Toc11324"/>
      <w:bookmarkStart w:id="67" w:name="_Toc4000"/>
    </w:p>
    <w:p>
      <w:pPr>
        <w:pStyle w:val="20"/>
        <w:tabs>
          <w:tab w:val="right" w:leader="dot" w:pos="9402"/>
        </w:tabs>
        <w:spacing w:line="480" w:lineRule="exact"/>
        <w:ind w:left="560"/>
        <w:jc w:val="center"/>
        <w:rPr>
          <w:rFonts w:ascii="方正仿宋_GBK" w:hAnsi="Calibri" w:eastAsia="方正仿宋_GBK"/>
          <w:color w:val="auto"/>
          <w:sz w:val="18"/>
          <w:szCs w:val="22"/>
        </w:rPr>
        <w:sectPr>
          <w:pgSz w:w="11907" w:h="16840"/>
          <w:pgMar w:top="1134" w:right="1191" w:bottom="1134" w:left="1304" w:header="851" w:footer="992" w:gutter="0"/>
          <w:pgNumType w:fmt="numberInDash"/>
          <w:cols w:space="720" w:num="1"/>
          <w:docGrid w:linePitch="381" w:charSpace="-5735"/>
        </w:sectPr>
      </w:pPr>
      <w:bookmarkStart w:id="68" w:name="_Toc4611"/>
    </w:p>
    <w:p>
      <w:pPr>
        <w:pStyle w:val="4"/>
        <w:pageBreakBefore w:val="0"/>
        <w:widowControl w:val="0"/>
        <w:numPr>
          <w:ilvl w:val="0"/>
          <w:numId w:val="4"/>
        </w:numPr>
        <w:kinsoku/>
        <w:wordWrap/>
        <w:overflowPunct/>
        <w:topLinePunct w:val="0"/>
        <w:autoSpaceDE/>
        <w:autoSpaceDN/>
        <w:bidi w:val="0"/>
        <w:adjustRightInd/>
        <w:snapToGrid/>
        <w:spacing w:before="0" w:after="0" w:line="480" w:lineRule="exact"/>
        <w:ind w:left="0" w:leftChars="0" w:firstLine="420" w:firstLineChars="0"/>
        <w:textAlignment w:val="auto"/>
        <w:outlineLvl w:val="0"/>
        <w:rPr>
          <w:rFonts w:hint="eastAsia" w:ascii="方正仿宋_GBK" w:hAnsi="方正仿宋_GBK" w:eastAsia="方正仿宋_GBK" w:cs="方正仿宋_GBK"/>
          <w:b/>
          <w:color w:val="auto"/>
          <w:sz w:val="24"/>
          <w:szCs w:val="24"/>
        </w:rPr>
      </w:pPr>
      <w:bookmarkStart w:id="69" w:name="_Toc15574"/>
      <w:r>
        <w:rPr>
          <w:rFonts w:hint="eastAsia" w:ascii="方正仿宋_GBK" w:hAnsi="方正仿宋_GBK" w:eastAsia="方正仿宋_GBK" w:cs="方正仿宋_GBK"/>
          <w:b/>
          <w:color w:val="auto"/>
          <w:sz w:val="24"/>
          <w:szCs w:val="24"/>
        </w:rPr>
        <w:t>资格文件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ageBreakBefore w:val="0"/>
        <w:widowControl w:val="0"/>
        <w:numPr>
          <w:ilvl w:val="0"/>
          <w:numId w:val="5"/>
        </w:numPr>
        <w:kinsoku/>
        <w:wordWrap/>
        <w:overflowPunct/>
        <w:topLinePunct w:val="0"/>
        <w:autoSpaceDE/>
        <w:autoSpaceDN/>
        <w:bidi w:val="0"/>
        <w:adjustRightInd/>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营业执照（副本）或事业单位法人证书（副本）或个体工商户营业执照或有效的自然人身份证明或社会团体法人登记证书复印件</w:t>
      </w:r>
    </w:p>
    <w:p>
      <w:pPr>
        <w:pStyle w:val="20"/>
        <w:tabs>
          <w:tab w:val="right" w:leader="dot" w:pos="9402"/>
        </w:tabs>
        <w:spacing w:line="480" w:lineRule="exact"/>
        <w:ind w:left="560"/>
        <w:jc w:val="center"/>
        <w:rPr>
          <w:rFonts w:ascii="方正仿宋_GBK" w:hAnsi="Calibri" w:eastAsia="方正仿宋_GBK"/>
          <w:color w:val="auto"/>
          <w:sz w:val="18"/>
          <w:szCs w:val="22"/>
        </w:rPr>
        <w:sectPr>
          <w:pgSz w:w="11907" w:h="16840"/>
          <w:pgMar w:top="1134" w:right="1191" w:bottom="1134" w:left="1304" w:header="851" w:footer="992" w:gutter="0"/>
          <w:pgNumType w:fmt="numberInDash"/>
          <w:cols w:space="720" w:num="1"/>
          <w:docGrid w:linePitch="381" w:charSpace="-5735"/>
        </w:sectPr>
      </w:pPr>
    </w:p>
    <w:p>
      <w:pPr>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身份证明书（格式）</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比选</w:t>
      </w: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（采购代理机构名称）：</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w:t>
      </w:r>
    </w:p>
    <w:p>
      <w:pPr>
        <w:pageBreakBefore w:val="0"/>
        <w:widowControl w:val="0"/>
        <w:tabs>
          <w:tab w:val="left" w:pos="6300"/>
        </w:tabs>
        <w:kinsoku/>
        <w:wordWrap/>
        <w:overflowPunct/>
        <w:topLinePunct w:val="0"/>
        <w:autoSpaceDE/>
        <w:autoSpaceDN/>
        <w:bidi w:val="0"/>
        <w:adjustRightInd/>
        <w:snapToGrid w:val="0"/>
        <w:spacing w:line="480" w:lineRule="exact"/>
        <w:ind w:firstLine="5848" w:firstLineChars="2437"/>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公章）</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电话：XXXXXXX      电子邮箱：XXXXXX@XXXXX（若授权他人办理并签署</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rPr>
        <w:t>的可不填写）</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身份证正反面复印件）</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（三）</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授权委托书（格式）</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比选</w:t>
      </w: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（采购代理机构名称）：</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供应商法定代表人（负责人）</w:t>
      </w:r>
      <w:r>
        <w:rPr>
          <w:rFonts w:hint="eastAsia" w:ascii="方正仿宋_GBK" w:hAnsi="方正仿宋_GBK" w:eastAsia="方正仿宋_GBK" w:cs="方正仿宋_GBK"/>
          <w:color w:val="auto"/>
          <w:sz w:val="24"/>
          <w:szCs w:val="24"/>
        </w:rPr>
        <w:t>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名称）的</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（被授权人姓名及身份证代码）代表我单位全权办理上述项目的投标、谈判、签约等具体工作，并签署全部有关文件、协议及合同。</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我单位对被授权人的签署负全部责任。</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w:t>
      </w:r>
      <w:r>
        <w:rPr>
          <w:rFonts w:hint="eastAsia" w:ascii="方正仿宋_GBK" w:hAnsi="方正仿宋_GBK" w:eastAsia="方正仿宋_GBK" w:cs="方正仿宋_GBK"/>
          <w:color w:val="auto"/>
          <w:sz w:val="24"/>
          <w:szCs w:val="24"/>
          <w:lang w:eastAsia="zh-CN"/>
        </w:rPr>
        <w:t>撤销</w:t>
      </w:r>
      <w:r>
        <w:rPr>
          <w:rFonts w:hint="eastAsia" w:ascii="方正仿宋_GBK" w:hAnsi="方正仿宋_GBK" w:eastAsia="方正仿宋_GBK" w:cs="方正仿宋_GBK"/>
          <w:color w:val="auto"/>
          <w:sz w:val="24"/>
          <w:szCs w:val="24"/>
        </w:rPr>
        <w:t>授权的书面通知以前，本授权书一直有效。被授权人在授权书有效期内签署的所有文件不因授权</w:t>
      </w:r>
      <w:r>
        <w:rPr>
          <w:rFonts w:hint="eastAsia" w:ascii="方正仿宋_GBK" w:hAnsi="方正仿宋_GBK" w:eastAsia="方正仿宋_GBK" w:cs="方正仿宋_GBK"/>
          <w:color w:val="auto"/>
          <w:sz w:val="24"/>
          <w:szCs w:val="24"/>
          <w:lang w:eastAsia="zh-CN"/>
        </w:rPr>
        <w:t>的撤销</w:t>
      </w:r>
      <w:r>
        <w:rPr>
          <w:rFonts w:hint="eastAsia" w:ascii="方正仿宋_GBK" w:hAnsi="方正仿宋_GBK" w:eastAsia="方正仿宋_GBK" w:cs="方正仿宋_GBK"/>
          <w:color w:val="auto"/>
          <w:sz w:val="24"/>
          <w:szCs w:val="24"/>
        </w:rPr>
        <w:t>而失效。</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被授权人：                                 </w:t>
      </w:r>
      <w:r>
        <w:rPr>
          <w:rFonts w:hint="eastAsia" w:ascii="方正仿宋_GBK" w:hAnsi="方正仿宋_GBK" w:eastAsia="方正仿宋_GBK" w:cs="方正仿宋_GBK"/>
          <w:color w:val="auto"/>
          <w:sz w:val="24"/>
          <w:szCs w:val="24"/>
          <w:lang w:eastAsia="zh-CN"/>
        </w:rPr>
        <w:t>供应商法定代表人（负责人）</w:t>
      </w:r>
      <w:r>
        <w:rPr>
          <w:rFonts w:hint="eastAsia" w:ascii="方正仿宋_GBK" w:hAnsi="方正仿宋_GBK" w:eastAsia="方正仿宋_GBK" w:cs="方正仿宋_GBK"/>
          <w:color w:val="auto"/>
          <w:sz w:val="24"/>
          <w:szCs w:val="24"/>
        </w:rPr>
        <w:t>：</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（签署或盖章）                                （签署或盖章）</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right="480" w:firstLine="570"/>
        <w:jc w:val="righ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公章）</w:t>
      </w:r>
    </w:p>
    <w:p>
      <w:pPr>
        <w:pageBreakBefore w:val="0"/>
        <w:widowControl w:val="0"/>
        <w:tabs>
          <w:tab w:val="left" w:pos="6300"/>
        </w:tabs>
        <w:kinsoku/>
        <w:wordWrap/>
        <w:overflowPunct/>
        <w:topLinePunct w:val="0"/>
        <w:autoSpaceDE/>
        <w:autoSpaceDN/>
        <w:bidi w:val="0"/>
        <w:adjustRightInd/>
        <w:snapToGrid w:val="0"/>
        <w:spacing w:line="480" w:lineRule="exact"/>
        <w:ind w:right="480" w:firstLine="570"/>
        <w:jc w:val="righ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pageBreakBefore w:val="0"/>
        <w:widowControl w:val="0"/>
        <w:tabs>
          <w:tab w:val="left" w:pos="6300"/>
        </w:tabs>
        <w:kinsoku/>
        <w:wordWrap/>
        <w:overflowPunct/>
        <w:topLinePunct w:val="0"/>
        <w:autoSpaceDE/>
        <w:autoSpaceDN/>
        <w:bidi w:val="0"/>
        <w:adjustRightInd/>
        <w:snapToGrid w:val="0"/>
        <w:spacing w:line="480" w:lineRule="exact"/>
        <w:ind w:right="720" w:firstLine="570"/>
        <w:jc w:val="right"/>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被授权人电话：XXXXXXX     电子邮箱：XXXXXX@XXXXX（若</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办理并签署</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rPr>
        <w:t>的可不填写）</w:t>
      </w:r>
    </w:p>
    <w:p>
      <w:pPr>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注：1.若为</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办理并签署</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rPr>
        <w:t>的，不提供此文件。</w:t>
      </w:r>
    </w:p>
    <w:p>
      <w:pPr>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2.若为联合体投标的，</w:t>
      </w:r>
      <w:r>
        <w:rPr>
          <w:rFonts w:hint="eastAsia" w:ascii="方正仿宋_GBK" w:hAnsi="方正仿宋_GBK" w:eastAsia="方正仿宋_GBK" w:cs="方正仿宋_GBK"/>
          <w:color w:val="auto"/>
          <w:sz w:val="24"/>
          <w:szCs w:val="24"/>
          <w:lang w:eastAsia="zh-CN"/>
        </w:rPr>
        <w:t>法定代表人（负责人）</w:t>
      </w:r>
      <w:r>
        <w:rPr>
          <w:rFonts w:hint="eastAsia" w:ascii="方正仿宋_GBK" w:hAnsi="方正仿宋_GBK" w:eastAsia="方正仿宋_GBK" w:cs="方正仿宋_GBK"/>
          <w:color w:val="auto"/>
          <w:sz w:val="24"/>
          <w:szCs w:val="24"/>
        </w:rPr>
        <w:t>授权委托书由联合体主办方</w:t>
      </w:r>
      <w:r>
        <w:rPr>
          <w:rFonts w:hint="eastAsia" w:ascii="方正仿宋_GBK" w:hAnsi="方正仿宋_GBK" w:eastAsia="方正仿宋_GBK" w:cs="方正仿宋_GBK"/>
          <w:color w:val="auto"/>
          <w:kern w:val="0"/>
          <w:sz w:val="24"/>
          <w:szCs w:val="24"/>
        </w:rPr>
        <w:t>（主体）</w:t>
      </w:r>
      <w:r>
        <w:rPr>
          <w:rFonts w:hint="eastAsia" w:ascii="方正仿宋_GBK" w:hAnsi="方正仿宋_GBK" w:eastAsia="方正仿宋_GBK" w:cs="方正仿宋_GBK"/>
          <w:color w:val="auto"/>
          <w:sz w:val="24"/>
          <w:szCs w:val="24"/>
        </w:rPr>
        <w:t>出具。</w:t>
      </w:r>
    </w:p>
    <w:p>
      <w:pPr>
        <w:pageBreakBefore w:val="0"/>
        <w:widowControl w:val="0"/>
        <w:kinsoku/>
        <w:wordWrap/>
        <w:overflowPunct/>
        <w:topLinePunct w:val="0"/>
        <w:autoSpaceDE/>
        <w:autoSpaceDN/>
        <w:bidi w:val="0"/>
        <w:adjustRightInd/>
        <w:spacing w:line="480" w:lineRule="exact"/>
        <w:ind w:firstLine="480" w:firstLineChars="20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（四）基本资格条件承诺函</w:t>
      </w:r>
    </w:p>
    <w:p>
      <w:pPr>
        <w:pageBreakBefore w:val="0"/>
        <w:widowControl w:val="0"/>
        <w:tabs>
          <w:tab w:val="left" w:pos="6300"/>
        </w:tabs>
        <w:kinsoku/>
        <w:wordWrap/>
        <w:overflowPunct/>
        <w:topLinePunct w:val="0"/>
        <w:autoSpaceDE/>
        <w:autoSpaceDN/>
        <w:bidi w:val="0"/>
        <w:adjustRightInd/>
        <w:snapToGrid w:val="0"/>
        <w:spacing w:line="480" w:lineRule="exact"/>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（采购代理机构名称）：</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名称）郑重承诺：</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lang w:val="zh-CN"/>
        </w:rPr>
        <w:t>有依法缴纳税收和社会保障金的良好记录</w:t>
      </w:r>
      <w:r>
        <w:rPr>
          <w:rFonts w:hint="eastAsia" w:ascii="方正仿宋_GBK" w:hAnsi="方正仿宋_GBK" w:eastAsia="方正仿宋_GBK" w:cs="方正仿宋_GBK"/>
          <w:color w:val="auto"/>
          <w:sz w:val="24"/>
          <w:szCs w:val="24"/>
        </w:rPr>
        <w:t>，参加本项目采购活动前三年内无重大违法活动记录。</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2.我方未列入在信用中国网站（www.creditchina.gov.cn）“失信被执行人</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重大税收违法案件当事人名单”中，也未列入中国政府采购网（www.ccgp.gov.cn）“政府采购严重违法失信行为记录名单”中。</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3.我方在采购项目评审（评标）环节结束后，随时接受采购人、采购代理机构的检查验证，配合提供相关证明材料，证明符合《中华人民共和国政府采购法》规定的</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基本资格条件。</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我方对以上承诺负全部法律责任。</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特此承诺。</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方正仿宋_GBK" w:hAnsi="方正仿宋_GBK" w:eastAsia="方正仿宋_GBK" w:cs="方正仿宋_GBK"/>
          <w:color w:val="auto"/>
          <w:sz w:val="24"/>
          <w:szCs w:val="24"/>
        </w:rPr>
      </w:pP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righ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公章）</w:t>
      </w:r>
    </w:p>
    <w:p>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righ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pStyle w:val="20"/>
        <w:tabs>
          <w:tab w:val="right" w:leader="dot" w:pos="9402"/>
        </w:tabs>
        <w:spacing w:line="480" w:lineRule="exact"/>
        <w:ind w:left="560"/>
        <w:jc w:val="center"/>
        <w:rPr>
          <w:rFonts w:ascii="方正仿宋_GBK" w:hAnsi="Calibri" w:eastAsia="方正仿宋_GBK"/>
          <w:color w:val="auto"/>
          <w:sz w:val="18"/>
          <w:szCs w:val="22"/>
        </w:rPr>
        <w:sectPr>
          <w:pgSz w:w="11907" w:h="16840"/>
          <w:pgMar w:top="1134" w:right="1191" w:bottom="1134" w:left="1304" w:header="851" w:footer="992" w:gutter="0"/>
          <w:pgNumType w:fmt="numberInDash"/>
          <w:cols w:space="720" w:num="1"/>
          <w:docGrid w:linePitch="381" w:charSpace="-5735"/>
        </w:sectPr>
      </w:pPr>
    </w:p>
    <w:p>
      <w:pPr>
        <w:pageBreakBefore w:val="0"/>
        <w:widowControl w:val="0"/>
        <w:numPr>
          <w:ilvl w:val="0"/>
          <w:numId w:val="6"/>
        </w:numPr>
        <w:kinsoku/>
        <w:wordWrap/>
        <w:overflowPunct/>
        <w:topLinePunct w:val="0"/>
        <w:autoSpaceDE/>
        <w:autoSpaceDN/>
        <w:bidi w:val="0"/>
        <w:adjustRightInd/>
        <w:spacing w:line="480" w:lineRule="exact"/>
        <w:ind w:left="0" w:leftChars="0" w:firstLine="480" w:firstLineChars="20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特定资格条件证书或证明文件</w:t>
      </w: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pageBreakBefore w:val="0"/>
        <w:widowControl w:val="0"/>
        <w:numPr>
          <w:ilvl w:val="0"/>
          <w:numId w:val="0"/>
        </w:numPr>
        <w:kinsoku/>
        <w:wordWrap/>
        <w:overflowPunct/>
        <w:topLinePunct w:val="0"/>
        <w:autoSpaceDE/>
        <w:autoSpaceDN/>
        <w:bidi w:val="0"/>
        <w:adjustRightInd/>
        <w:spacing w:line="480" w:lineRule="exact"/>
        <w:jc w:val="left"/>
        <w:textAlignment w:val="auto"/>
        <w:outlineLvl w:val="9"/>
        <w:rPr>
          <w:rFonts w:hint="eastAsia" w:ascii="方正仿宋_GBK" w:hAnsi="方正仿宋_GBK" w:eastAsia="方正仿宋_GBK" w:cs="方正仿宋_GBK"/>
          <w:color w:val="auto"/>
          <w:sz w:val="24"/>
          <w:szCs w:val="24"/>
          <w:lang w:eastAsia="zh-CN"/>
        </w:rPr>
      </w:pPr>
    </w:p>
    <w:p>
      <w:pPr>
        <w:tabs>
          <w:tab w:val="left" w:pos="6300"/>
        </w:tabs>
        <w:snapToGrid w:val="0"/>
        <w:spacing w:line="400" w:lineRule="exact"/>
        <w:ind w:firstLine="480" w:firstLineChars="200"/>
        <w:rPr>
          <w:rFonts w:ascii="方正仿宋_GBK" w:hAnsi="宋体" w:eastAsia="方正仿宋_GBK"/>
          <w:color w:val="auto"/>
        </w:rPr>
      </w:pPr>
      <w:bookmarkStart w:id="70" w:name="_Toc24943"/>
      <w:r>
        <w:rPr>
          <w:rFonts w:hint="eastAsia" w:ascii="方正仿宋_GBK" w:hAnsi="方正仿宋_GBK" w:eastAsia="方正仿宋_GBK" w:cs="方正仿宋_GBK"/>
          <w:color w:val="auto"/>
          <w:sz w:val="24"/>
        </w:rPr>
        <w:t>（六）技术和服务</w:t>
      </w:r>
      <w:r>
        <w:rPr>
          <w:rFonts w:hint="eastAsia" w:ascii="方正仿宋_GBK" w:hAnsi="宋体" w:eastAsia="方正仿宋_GBK"/>
          <w:color w:val="auto"/>
          <w:sz w:val="24"/>
        </w:rPr>
        <w:t>响应偏离表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CellMar>
            <w:top w:w="0" w:type="dxa"/>
            <w:left w:w="108" w:type="dxa"/>
            <w:bottom w:w="0" w:type="dxa"/>
            <w:right w:w="108" w:type="dxa"/>
          </w:tblCellMar>
        </w:tblPrEx>
        <w:trPr>
          <w:trHeight w:val="515"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r>
              <w:rPr>
                <w:rFonts w:hint="eastAsia" w:ascii="方正仿宋_GBK" w:hAnsi="宋体" w:eastAsia="方正仿宋_GBK"/>
                <w:color w:val="auto"/>
                <w:szCs w:val="21"/>
              </w:rPr>
              <w:t>序号</w:t>
            </w: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r>
              <w:rPr>
                <w:rFonts w:hint="eastAsia" w:ascii="方正仿宋_GBK" w:hAnsi="宋体" w:eastAsia="方正仿宋_GBK"/>
                <w:color w:val="auto"/>
                <w:szCs w:val="21"/>
              </w:rPr>
              <w:t>采购需求</w:t>
            </w: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r>
              <w:rPr>
                <w:rFonts w:hint="eastAsia" w:ascii="方正仿宋_GBK" w:hAnsi="宋体" w:eastAsia="方正仿宋_GBK"/>
                <w:color w:val="auto"/>
                <w:szCs w:val="21"/>
              </w:rPr>
              <w:t>响应情况</w:t>
            </w: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r>
              <w:rPr>
                <w:rFonts w:hint="eastAsia" w:ascii="方正仿宋_GBK" w:hAnsi="宋体" w:eastAsia="方正仿宋_GBK"/>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541"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600"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c>
          <w:tcPr>
            <w:tcW w:w="1199" w:type="pct"/>
            <w:noWrap w:val="0"/>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方正仿宋_GBK" w:hAnsi="宋体" w:eastAsia="方正仿宋_GBK"/>
                <w:color w:val="auto"/>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rPr>
        <w:t>法定代表人（或其授权代表）或自然人：</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w:t>
      </w:r>
      <w:r>
        <w:rPr>
          <w:rFonts w:hint="eastAsia" w:ascii="方正仿宋_GBK" w:hAnsi="仿宋" w:eastAsia="方正仿宋_GBK"/>
          <w:color w:val="auto"/>
          <w:sz w:val="24"/>
        </w:rPr>
        <w:t>本表即为对本项目“二、项目要求”中所列条款进行比较和响应；</w:t>
      </w:r>
    </w:p>
    <w:p>
      <w:pPr>
        <w:snapToGrid w:val="0"/>
        <w:spacing w:line="400" w:lineRule="exact"/>
        <w:ind w:firstLine="482" w:firstLineChars="200"/>
        <w:jc w:val="left"/>
        <w:rPr>
          <w:rFonts w:ascii="方正仿宋_GBK" w:hAnsi="宋体" w:eastAsia="方正仿宋_GBK"/>
          <w:b/>
          <w:bCs/>
          <w:color w:val="auto"/>
          <w:sz w:val="24"/>
          <w:u w:val="single"/>
        </w:rPr>
      </w:pPr>
      <w:r>
        <w:rPr>
          <w:rFonts w:hint="eastAsia" w:ascii="方正仿宋_GBK" w:hAnsi="宋体" w:eastAsia="方正仿宋_GBK"/>
          <w:b/>
          <w:bCs/>
          <w:color w:val="auto"/>
          <w:sz w:val="24"/>
          <w:u w:val="single"/>
        </w:rPr>
        <w:t>2.需要提供承诺函的附在此表后</w:t>
      </w:r>
    </w:p>
    <w:p>
      <w:pPr>
        <w:snapToGrid w:val="0"/>
        <w:spacing w:line="400" w:lineRule="exact"/>
        <w:ind w:firstLine="480" w:firstLineChars="200"/>
        <w:jc w:val="left"/>
        <w:rPr>
          <w:rFonts w:ascii="方正仿宋_GBK" w:hAnsi="宋体" w:eastAsia="方正仿宋_GBK"/>
          <w:color w:val="auto"/>
          <w:sz w:val="24"/>
        </w:rPr>
      </w:pPr>
      <w:r>
        <w:rPr>
          <w:rFonts w:hint="eastAsia" w:ascii="方正仿宋_GBK" w:hAnsi="宋体" w:eastAsia="方正仿宋_GBK"/>
          <w:color w:val="auto"/>
          <w:sz w:val="24"/>
        </w:rPr>
        <w:t>3.本表可扩展。</w:t>
      </w:r>
    </w:p>
    <w:p>
      <w:pPr>
        <w:adjustRightInd w:val="0"/>
        <w:snapToGrid w:val="0"/>
        <w:spacing w:line="400" w:lineRule="exact"/>
        <w:rPr>
          <w:rFonts w:ascii="方正仿宋_GBK" w:hAnsi="宋体" w:eastAsia="方正仿宋_GBK"/>
          <w:color w:val="auto"/>
          <w:sz w:val="24"/>
        </w:rPr>
      </w:pPr>
    </w:p>
    <w:p>
      <w:pPr>
        <w:rPr>
          <w:rFonts w:ascii="方正仿宋_GBK" w:hAnsi="宋体" w:eastAsia="方正仿宋_GBK"/>
          <w:color w:val="auto"/>
          <w:sz w:val="24"/>
        </w:rPr>
      </w:pPr>
    </w:p>
    <w:p>
      <w:pPr>
        <w:rPr>
          <w:rFonts w:ascii="方正仿宋_GBK" w:hAnsi="宋体" w:eastAsia="方正仿宋_GBK"/>
          <w:color w:val="auto"/>
          <w:sz w:val="24"/>
        </w:rPr>
      </w:pPr>
    </w:p>
    <w:p>
      <w:pPr>
        <w:rPr>
          <w:rFonts w:ascii="方正仿宋_GBK" w:hAnsi="宋体" w:eastAsia="方正仿宋_GBK"/>
          <w:color w:val="auto"/>
          <w:sz w:val="24"/>
        </w:rPr>
      </w:pPr>
    </w:p>
    <w:p>
      <w:pPr>
        <w:rPr>
          <w:rFonts w:ascii="方正仿宋_GBK" w:hAnsi="宋体" w:eastAsia="方正仿宋_GBK"/>
          <w:color w:val="auto"/>
          <w:sz w:val="24"/>
        </w:rPr>
      </w:pPr>
    </w:p>
    <w:p>
      <w:pPr>
        <w:rPr>
          <w:rFonts w:ascii="方正仿宋_GBK" w:hAnsi="宋体" w:eastAsia="方正仿宋_GBK"/>
          <w:color w:val="auto"/>
          <w:sz w:val="24"/>
        </w:rPr>
      </w:pPr>
    </w:p>
    <w:p>
      <w:pPr>
        <w:rPr>
          <w:rFonts w:ascii="方正仿宋_GBK" w:hAnsi="宋体" w:eastAsia="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（七）评审标准响应材料</w:t>
      </w: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pPr>
    </w:p>
    <w:p>
      <w:pPr>
        <w:snapToGrid w:val="0"/>
        <w:spacing w:line="480" w:lineRule="exact"/>
        <w:ind w:firstLine="480" w:firstLineChars="200"/>
        <w:rPr>
          <w:rFonts w:ascii="方正仿宋_GBK" w:hAnsi="方正仿宋_GBK" w:eastAsia="方正仿宋_GBK" w:cs="方正仿宋_GBK"/>
          <w:color w:val="auto"/>
          <w:sz w:val="24"/>
        </w:rPr>
        <w:sectPr>
          <w:headerReference r:id="rId10" w:type="default"/>
          <w:pgSz w:w="11907" w:h="16840"/>
          <w:pgMar w:top="1134" w:right="1191" w:bottom="1134" w:left="1304" w:header="851" w:footer="992" w:gutter="0"/>
          <w:pgNumType w:fmt="numberInDash"/>
          <w:cols w:space="720" w:num="1"/>
          <w:docGrid w:linePitch="381" w:charSpace="-5735"/>
        </w:sectPr>
      </w:pPr>
      <w:r>
        <w:rPr>
          <w:rFonts w:hint="eastAsia" w:ascii="方正仿宋_GBK" w:hAnsi="方正仿宋_GBK" w:eastAsia="方正仿宋_GBK" w:cs="方正仿宋_GBK"/>
          <w:color w:val="auto"/>
          <w:sz w:val="24"/>
        </w:rPr>
        <w:t>（八）其他证明材料</w:t>
      </w:r>
    </w:p>
    <w:p>
      <w:pPr>
        <w:pStyle w:val="3"/>
        <w:keepNext/>
        <w:keepLines/>
        <w:pageBreakBefore w:val="0"/>
        <w:widowControl w:val="0"/>
        <w:tabs>
          <w:tab w:val="left" w:pos="3360"/>
        </w:tabs>
        <w:kinsoku/>
        <w:wordWrap/>
        <w:overflowPunct/>
        <w:topLinePunct w:val="0"/>
        <w:autoSpaceDE/>
        <w:autoSpaceDN/>
        <w:bidi w:val="0"/>
        <w:adjustRightInd/>
        <w:snapToGrid/>
        <w:spacing w:before="260" w:beforeLines="0" w:beforeAutospacing="0" w:after="260" w:afterLines="0" w:afterAutospacing="0" w:line="240" w:lineRule="auto"/>
        <w:jc w:val="center"/>
        <w:textAlignment w:val="auto"/>
        <w:outlineLvl w:val="0"/>
        <w:rPr>
          <w:rFonts w:hint="eastAsia" w:ascii="方正小标宋_GBK" w:hAnsi="宋体" w:eastAsia="方正小标宋_GBK" w:cs="Times New Roman"/>
          <w:b/>
          <w:color w:val="auto"/>
          <w:sz w:val="36"/>
          <w:szCs w:val="30"/>
          <w:lang w:val="en-US" w:eastAsia="zh-CN"/>
        </w:rPr>
      </w:pPr>
      <w:bookmarkStart w:id="71" w:name="_Toc11504"/>
      <w:r>
        <w:rPr>
          <w:rFonts w:hint="eastAsia" w:ascii="方正小标宋_GBK" w:hAnsi="宋体" w:eastAsia="方正小标宋_GBK" w:cs="Times New Roman"/>
          <w:b/>
          <w:color w:val="auto"/>
          <w:sz w:val="36"/>
          <w:szCs w:val="30"/>
          <w:lang w:val="en-US" w:eastAsia="zh-CN"/>
        </w:rPr>
        <w:t>第三篇  合同</w:t>
      </w:r>
      <w:bookmarkEnd w:id="70"/>
      <w:bookmarkEnd w:id="71"/>
    </w:p>
    <w:p>
      <w:pPr>
        <w:spacing w:line="500" w:lineRule="exact"/>
        <w:jc w:val="center"/>
        <w:rPr>
          <w:rFonts w:ascii="仿宋" w:hAnsi="仿宋" w:eastAsia="仿宋"/>
          <w:b/>
          <w:color w:val="auto"/>
          <w:sz w:val="44"/>
        </w:rPr>
      </w:pPr>
      <w:r>
        <w:rPr>
          <w:rFonts w:hint="eastAsia" w:ascii="仿宋" w:hAnsi="仿宋" w:eastAsia="仿宋"/>
          <w:b/>
          <w:color w:val="auto"/>
          <w:sz w:val="44"/>
        </w:rPr>
        <w:t>采购合同</w:t>
      </w:r>
    </w:p>
    <w:p>
      <w:pPr>
        <w:spacing w:line="500" w:lineRule="exact"/>
        <w:jc w:val="center"/>
        <w:rPr>
          <w:rFonts w:hint="eastAsia" w:ascii="仿宋" w:hAnsi="仿宋" w:eastAsia="仿宋"/>
          <w:color w:val="auto"/>
          <w:sz w:val="24"/>
        </w:rPr>
      </w:pPr>
      <w:r>
        <w:rPr>
          <w:rFonts w:hint="eastAsia" w:ascii="仿宋" w:hAnsi="仿宋" w:eastAsia="仿宋"/>
          <w:color w:val="auto"/>
          <w:sz w:val="24"/>
        </w:rPr>
        <w:t>（项目号：     ）</w:t>
      </w:r>
    </w:p>
    <w:p>
      <w:pPr>
        <w:spacing w:line="500" w:lineRule="exact"/>
        <w:rPr>
          <w:rFonts w:ascii="仿宋" w:hAnsi="仿宋" w:eastAsia="仿宋"/>
          <w:color w:val="auto"/>
          <w:sz w:val="24"/>
        </w:rPr>
      </w:pPr>
      <w:r>
        <w:rPr>
          <w:rFonts w:hint="eastAsia" w:ascii="仿宋" w:hAnsi="仿宋" w:eastAsia="仿宋"/>
          <w:color w:val="auto"/>
          <w:sz w:val="24"/>
        </w:rPr>
        <w:t>甲方（需方）：___________________________      计价单位：____________</w:t>
      </w:r>
    </w:p>
    <w:p>
      <w:pPr>
        <w:spacing w:line="500" w:lineRule="exact"/>
        <w:rPr>
          <w:rFonts w:ascii="仿宋" w:hAnsi="仿宋" w:eastAsia="仿宋"/>
          <w:color w:val="auto"/>
          <w:sz w:val="24"/>
        </w:rPr>
      </w:pPr>
      <w:r>
        <w:rPr>
          <w:rFonts w:hint="eastAsia" w:ascii="仿宋" w:hAnsi="仿宋" w:eastAsia="仿宋"/>
          <w:color w:val="auto"/>
          <w:sz w:val="24"/>
        </w:rPr>
        <w:t>乙方（供方）：___________________________      计量单位：_____________</w:t>
      </w:r>
    </w:p>
    <w:p>
      <w:pPr>
        <w:spacing w:line="500" w:lineRule="exact"/>
        <w:rPr>
          <w:rFonts w:hint="eastAsia" w:ascii="仿宋" w:hAnsi="仿宋" w:eastAsia="仿宋"/>
          <w:color w:val="auto"/>
          <w:sz w:val="24"/>
        </w:rPr>
      </w:pPr>
      <w:r>
        <w:rPr>
          <w:rFonts w:hint="eastAsia" w:ascii="仿宋" w:hAnsi="仿宋" w:eastAsia="仿宋"/>
          <w:color w:val="auto"/>
          <w:sz w:val="24"/>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项目名称</w:t>
            </w:r>
          </w:p>
        </w:tc>
        <w:tc>
          <w:tcPr>
            <w:tcW w:w="984"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数量</w:t>
            </w:r>
          </w:p>
        </w:tc>
        <w:tc>
          <w:tcPr>
            <w:tcW w:w="2432" w:type="dxa"/>
            <w:gridSpan w:val="2"/>
            <w:noWrap w:val="0"/>
            <w:vAlign w:val="center"/>
          </w:tcPr>
          <w:p>
            <w:pPr>
              <w:keepNext w:val="0"/>
              <w:keepLines w:val="0"/>
              <w:suppressLineNumbers w:val="0"/>
              <w:spacing w:before="0" w:beforeAutospacing="0" w:after="0" w:afterAutospacing="0" w:line="500" w:lineRule="exact"/>
              <w:ind w:left="0" w:right="0"/>
              <w:rPr>
                <w:rFonts w:hint="default" w:ascii="仿宋" w:hAnsi="仿宋" w:eastAsia="仿宋"/>
                <w:color w:val="auto"/>
                <w:sz w:val="24"/>
              </w:rPr>
            </w:pPr>
            <w:r>
              <w:rPr>
                <w:rFonts w:hint="eastAsia" w:ascii="仿宋" w:hAnsi="仿宋" w:eastAsia="仿宋"/>
                <w:color w:val="auto"/>
                <w:sz w:val="24"/>
              </w:rPr>
              <w:t>单价报价</w:t>
            </w:r>
          </w:p>
        </w:tc>
        <w:tc>
          <w:tcPr>
            <w:tcW w:w="1559"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实施时间</w:t>
            </w:r>
          </w:p>
        </w:tc>
        <w:tc>
          <w:tcPr>
            <w:tcW w:w="1567"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c>
          <w:tcPr>
            <w:tcW w:w="984"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c>
          <w:tcPr>
            <w:tcW w:w="2432" w:type="dxa"/>
            <w:gridSpan w:val="2"/>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c>
          <w:tcPr>
            <w:tcW w:w="1559"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c>
          <w:tcPr>
            <w:tcW w:w="1567" w:type="dxa"/>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pPr>
              <w:keepNext w:val="0"/>
              <w:keepLines w:val="0"/>
              <w:suppressLineNumbers w:val="0"/>
              <w:spacing w:before="0" w:beforeAutospacing="0" w:after="0" w:afterAutospacing="0" w:line="500" w:lineRule="exact"/>
              <w:ind w:left="0" w:right="0"/>
              <w:rPr>
                <w:rFonts w:hint="default" w:ascii="仿宋" w:hAnsi="仿宋" w:eastAsia="仿宋"/>
                <w:color w:val="auto"/>
                <w:sz w:val="24"/>
              </w:rPr>
            </w:pPr>
            <w:r>
              <w:rPr>
                <w:rFonts w:hint="eastAsia" w:ascii="仿宋" w:hAnsi="仿宋" w:eastAsia="仿宋"/>
                <w:color w:val="auto"/>
                <w:sz w:val="24"/>
              </w:rPr>
              <w:t>一、项目需求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二、服务承诺：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三、付款方式：</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四、违约责任：</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按《中华人民共和国民法典》《中华人民共和国政府采购法》执行，或按双方约定。（采购人应按项目实际情况完整填写）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五、其他约定事项：</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1.竞采文件及其澄清文件、响应文件和承诺是本合同不可分割的部分。</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2.本合同如发生争议由双方协商解决，协商不成向需方所在人民法院提请诉讼。</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3.本合同一式__份， 需方__份，供方__份，具备同等法律效力。</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需方：</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地址：</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联系电话：</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授权代表：</w:t>
            </w:r>
          </w:p>
        </w:tc>
        <w:tc>
          <w:tcPr>
            <w:tcW w:w="5125" w:type="dxa"/>
            <w:gridSpan w:val="4"/>
            <w:noWrap w:val="0"/>
            <w:vAlign w:val="top"/>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供方：</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地址：</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电话：</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传真：</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开户银行：</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账号：</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授权代表：</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r>
              <w:rPr>
                <w:rFonts w:hint="eastAsia" w:ascii="仿宋" w:hAnsi="仿宋" w:eastAsia="仿宋"/>
                <w:color w:val="auto"/>
                <w:sz w:val="24"/>
              </w:rPr>
              <w:t>备注：</w:t>
            </w: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p>
            <w:pPr>
              <w:keepNext w:val="0"/>
              <w:keepLines w:val="0"/>
              <w:suppressLineNumbers w:val="0"/>
              <w:spacing w:before="0" w:beforeAutospacing="0" w:after="0" w:afterAutospacing="0" w:line="500" w:lineRule="exact"/>
              <w:ind w:left="0" w:right="0"/>
              <w:rPr>
                <w:rFonts w:hint="eastAsia" w:ascii="仿宋" w:hAnsi="仿宋" w:eastAsia="仿宋"/>
                <w:color w:val="auto"/>
                <w:sz w:val="24"/>
              </w:rPr>
            </w:pPr>
          </w:p>
        </w:tc>
      </w:tr>
    </w:tbl>
    <w:p>
      <w:pPr>
        <w:spacing w:line="500" w:lineRule="exact"/>
        <w:rPr>
          <w:rFonts w:hint="eastAsia" w:ascii="仿宋" w:hAnsi="仿宋" w:eastAsia="仿宋"/>
          <w:color w:val="auto"/>
          <w:sz w:val="24"/>
        </w:rPr>
      </w:pPr>
      <w:r>
        <w:rPr>
          <w:rFonts w:hint="eastAsia" w:ascii="仿宋" w:hAnsi="仿宋" w:eastAsia="仿宋"/>
          <w:color w:val="auto"/>
          <w:sz w:val="24"/>
        </w:rPr>
        <w:t>签约时间：           年   月   日      签约地点：</w:t>
      </w:r>
    </w:p>
    <w:p>
      <w:pPr>
        <w:spacing w:line="500" w:lineRule="exact"/>
        <w:rPr>
          <w:rFonts w:hint="eastAsia" w:ascii="仿宋" w:hAnsi="仿宋" w:eastAsia="仿宋"/>
          <w:color w:val="auto"/>
          <w:sz w:val="24"/>
        </w:rPr>
      </w:pPr>
    </w:p>
    <w:p>
      <w:pPr>
        <w:spacing w:line="500" w:lineRule="exact"/>
        <w:rPr>
          <w:rFonts w:ascii="仿宋" w:hAnsi="仿宋" w:eastAsia="仿宋"/>
          <w:color w:val="auto"/>
          <w:sz w:val="24"/>
        </w:rPr>
      </w:pPr>
    </w:p>
    <w:p>
      <w:pPr>
        <w:spacing w:line="600" w:lineRule="exact"/>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（结束）</w:t>
      </w:r>
    </w:p>
    <w:p>
      <w:pPr>
        <w:rPr>
          <w:rFonts w:hint="default"/>
          <w:color w:val="auto"/>
          <w:lang w:eastAsia="zh-CN"/>
        </w:rPr>
      </w:pPr>
    </w:p>
    <w:sectPr>
      <w:headerReference r:id="rId11" w:type="default"/>
      <w:footerReference r:id="rId12" w:type="default"/>
      <w:pgSz w:w="11906" w:h="16838"/>
      <w:pgMar w:top="1440" w:right="1145" w:bottom="1440" w:left="1242" w:header="851" w:footer="992" w:gutter="0"/>
      <w:pgBorders>
        <w:top w:val="none" w:sz="0" w:space="0"/>
        <w:left w:val="none" w:sz="0" w:space="0"/>
        <w:bottom w:val="none" w:sz="0" w:space="0"/>
        <w:right w:val="none" w:sz="0" w:space="0"/>
      </w:pgBorders>
      <w:pgNumType w:fmt="numberInDash"/>
      <w:cols w:space="72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9231149-6E6A-479D-BD94-16752742FB4B}"/>
  </w:font>
  <w:font w:name="微软雅黑">
    <w:panose1 w:val="020B0503020204020204"/>
    <w:charset w:val="86"/>
    <w:family w:val="auto"/>
    <w:pitch w:val="default"/>
    <w:sig w:usb0="80000287" w:usb1="2ACF3C50" w:usb2="00000016" w:usb3="00000000" w:csb0="0004001F" w:csb1="00000000"/>
    <w:embedRegular r:id="rId2" w:fontKey="{6B102C42-35D6-49E0-B592-A7C8C384FD41}"/>
  </w:font>
  <w:font w:name="仿宋_GB2312">
    <w:altName w:val="仿宋"/>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02ED8705-F9E9-4F42-B732-96E9A22E5167}"/>
  </w:font>
  <w:font w:name="仿宋">
    <w:panose1 w:val="02010609060101010101"/>
    <w:charset w:val="86"/>
    <w:family w:val="modern"/>
    <w:pitch w:val="default"/>
    <w:sig w:usb0="800002BF" w:usb1="38CF7CFA" w:usb2="00000016" w:usb3="00000000" w:csb0="00040001" w:csb1="00000000"/>
    <w:embedRegular r:id="rId4" w:fontKey="{1D482BB2-86A2-45DA-9371-CB1DB2C4C536}"/>
  </w:font>
  <w:font w:name="方正小标宋_GBK">
    <w:panose1 w:val="02000000000000000000"/>
    <w:charset w:val="86"/>
    <w:family w:val="script"/>
    <w:pitch w:val="default"/>
    <w:sig w:usb0="A00002BF" w:usb1="38CF7CFA" w:usb2="00082016" w:usb3="00000000" w:csb0="00040001" w:csb1="00000000"/>
    <w:embedRegular r:id="rId5" w:fontKey="{D27395D7-96D5-4878-94C6-5BFE2823BE93}"/>
  </w:font>
  <w:font w:name="方正仿宋_GBK">
    <w:panose1 w:val="03000509000000000000"/>
    <w:charset w:val="86"/>
    <w:family w:val="script"/>
    <w:pitch w:val="default"/>
    <w:sig w:usb0="00000001" w:usb1="080E0000" w:usb2="00000000" w:usb3="00000000" w:csb0="00040000" w:csb1="00000000"/>
    <w:embedRegular r:id="rId6" w:fontKey="{7D6BC6B2-8BAB-4C1D-9901-54B1A7E37248}"/>
  </w:font>
  <w:font w:name="方正黑体_GBK">
    <w:panose1 w:val="03000509000000000000"/>
    <w:charset w:val="86"/>
    <w:family w:val="script"/>
    <w:pitch w:val="default"/>
    <w:sig w:usb0="00000001" w:usb1="080E0000" w:usb2="00000000" w:usb3="00000000" w:csb0="00040000" w:csb1="00000000"/>
    <w:embedRegular r:id="rId7" w:fontKey="{1EAFA7FD-E7C6-4758-AB4C-0BD85F94A1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5"/>
      </w:rPr>
    </w:pPr>
    <w:r>
      <w:fldChar w:fldCharType="begin"/>
    </w:r>
    <w:r>
      <w:rPr>
        <w:rStyle w:val="25"/>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75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rPr>
        <w:rFonts w:hint="eastAsia" w:ascii="方正仿宋_GBK" w:eastAsia="方正仿宋_GBK"/>
        <w:sz w:val="21"/>
        <w:szCs w:val="24"/>
      </w:rPr>
    </w:pPr>
    <w:r>
      <w:drawing>
        <wp:inline distT="0" distB="0" distL="114300" distR="114300">
          <wp:extent cx="2720340" cy="313690"/>
          <wp:effectExtent l="0" t="0" r="3810" b="10160"/>
          <wp:docPr id="2" name="图片 1" descr="嘉易角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嘉易角标"/>
                  <pic:cNvPicPr>
                    <a:picLocks noChangeAspect="1"/>
                  </pic:cNvPicPr>
                </pic:nvPicPr>
                <pic:blipFill>
                  <a:blip r:embed="rId1"/>
                  <a:stretch>
                    <a:fillRect/>
                  </a:stretch>
                </pic:blipFill>
                <pic:spPr>
                  <a:xfrm>
                    <a:off x="0" y="0"/>
                    <a:ext cx="2720340" cy="313690"/>
                  </a:xfrm>
                  <a:prstGeom prst="rect">
                    <a:avLst/>
                  </a:prstGeom>
                  <a:noFill/>
                  <a:ln>
                    <a:noFill/>
                  </a:ln>
                </pic:spPr>
              </pic:pic>
            </a:graphicData>
          </a:graphic>
        </wp:inline>
      </w:drawing>
    </w:r>
    <w:r>
      <w:t xml:space="preserve">                 </w:t>
    </w:r>
    <w:r>
      <w:rPr>
        <w:rFonts w:hint="eastAsia"/>
        <w:lang w:val="en-US" w:eastAsia="zh-CN"/>
      </w:rPr>
      <w:t xml:space="preserve">   </w:t>
    </w:r>
    <w: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drawing>
        <wp:inline distT="0" distB="0" distL="114300" distR="114300">
          <wp:extent cx="2720340" cy="313690"/>
          <wp:effectExtent l="0" t="0" r="3810" b="10160"/>
          <wp:docPr id="13" name="图片 1" descr="嘉易角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嘉易角标"/>
                  <pic:cNvPicPr>
                    <a:picLocks noChangeAspect="1"/>
                  </pic:cNvPicPr>
                </pic:nvPicPr>
                <pic:blipFill>
                  <a:blip r:embed="rId1"/>
                  <a:stretch>
                    <a:fillRect/>
                  </a:stretch>
                </pic:blipFill>
                <pic:spPr>
                  <a:xfrm>
                    <a:off x="0" y="0"/>
                    <a:ext cx="2720340" cy="313690"/>
                  </a:xfrm>
                  <a:prstGeom prst="rect">
                    <a:avLst/>
                  </a:prstGeom>
                  <a:noFill/>
                  <a:ln>
                    <a:noFill/>
                  </a:ln>
                </pic:spPr>
              </pic:pic>
            </a:graphicData>
          </a:graphic>
        </wp:inline>
      </w:drawing>
    </w:r>
    <w:r>
      <w:t xml:space="preserve">                 </w:t>
    </w:r>
    <w:r>
      <w:rPr>
        <w:rFonts w:hint="eastAsia"/>
      </w:rPr>
      <w:t xml:space="preserve">   </w:t>
    </w:r>
    <w:r>
      <w:t xml:space="preserve">                      </w:t>
    </w:r>
    <w:r>
      <w:rPr>
        <w:rFonts w:hint="eastAsia" w:ascii="方正仿宋_GBK" w:eastAsia="方正仿宋_GBK"/>
        <w:sz w:val="21"/>
        <w:szCs w:val="21"/>
      </w:rPr>
      <w:t xml:space="preserve">  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drawing>
        <wp:inline distT="0" distB="0" distL="114300" distR="114300">
          <wp:extent cx="2720340" cy="313690"/>
          <wp:effectExtent l="0" t="0" r="3810" b="10160"/>
          <wp:docPr id="14" name="图片 2" descr="嘉易角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嘉易角标"/>
                  <pic:cNvPicPr>
                    <a:picLocks noChangeAspect="1"/>
                  </pic:cNvPicPr>
                </pic:nvPicPr>
                <pic:blipFill>
                  <a:blip r:embed="rId1"/>
                  <a:stretch>
                    <a:fillRect/>
                  </a:stretch>
                </pic:blipFill>
                <pic:spPr>
                  <a:xfrm>
                    <a:off x="0" y="0"/>
                    <a:ext cx="2720340" cy="313690"/>
                  </a:xfrm>
                  <a:prstGeom prst="rect">
                    <a:avLst/>
                  </a:prstGeom>
                  <a:noFill/>
                  <a:ln>
                    <a:noFill/>
                  </a:ln>
                </pic:spPr>
              </pic:pic>
            </a:graphicData>
          </a:graphic>
        </wp:inline>
      </w:drawing>
    </w:r>
    <w:r>
      <w:t xml:space="preserve">                 </w:t>
    </w:r>
    <w:r>
      <w:rPr>
        <w:rFonts w:hint="eastAsia"/>
      </w:rPr>
      <w:t xml:space="preserve">   </w:t>
    </w:r>
    <w:r>
      <w:t xml:space="preserve">                      </w:t>
    </w:r>
    <w:r>
      <w:rPr>
        <w:rFonts w:hint="eastAsia" w:ascii="方正仿宋_GBK" w:eastAsia="方正仿宋_GBK"/>
        <w:sz w:val="21"/>
        <w:szCs w:val="21"/>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eastAsia="方正仿宋_GBK"/>
        <w:sz w:val="21"/>
        <w:szCs w:val="21"/>
      </w:rPr>
    </w:pPr>
    <w:r>
      <w:drawing>
        <wp:inline distT="0" distB="0" distL="114300" distR="114300">
          <wp:extent cx="2720340" cy="313690"/>
          <wp:effectExtent l="0" t="0" r="3810" b="10160"/>
          <wp:docPr id="4" name="图片 3" descr="嘉易角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嘉易角标"/>
                  <pic:cNvPicPr>
                    <a:picLocks noChangeAspect="1"/>
                  </pic:cNvPicPr>
                </pic:nvPicPr>
                <pic:blipFill>
                  <a:blip r:embed="rId1"/>
                  <a:stretch>
                    <a:fillRect/>
                  </a:stretch>
                </pic:blipFill>
                <pic:spPr>
                  <a:xfrm>
                    <a:off x="0" y="0"/>
                    <a:ext cx="2720340" cy="313690"/>
                  </a:xfrm>
                  <a:prstGeom prst="rect">
                    <a:avLst/>
                  </a:prstGeom>
                  <a:noFill/>
                  <a:ln>
                    <a:noFill/>
                  </a:ln>
                </pic:spPr>
              </pic:pic>
            </a:graphicData>
          </a:graphic>
        </wp:inline>
      </w:drawing>
    </w:r>
    <w:r>
      <w:rPr>
        <w:rFonts w:hint="eastAsia" w:ascii="方正仿宋_GBK" w:eastAsia="方正仿宋_GBK"/>
        <w:sz w:val="21"/>
        <w:szCs w:val="21"/>
        <w:lang w:val="en-US" w:eastAsia="zh-CN"/>
      </w:rPr>
      <w:t xml:space="preserve">                                         竞采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71199"/>
    <w:multiLevelType w:val="singleLevel"/>
    <w:tmpl w:val="8CB71199"/>
    <w:lvl w:ilvl="0" w:tentative="0">
      <w:start w:val="1"/>
      <w:numFmt w:val="chineseCounting"/>
      <w:suff w:val="nothing"/>
      <w:lvlText w:val="%1、"/>
      <w:lvlJc w:val="left"/>
      <w:pPr>
        <w:ind w:left="420" w:hanging="23"/>
      </w:pPr>
      <w:rPr>
        <w:rFonts w:hint="eastAsia"/>
      </w:rPr>
    </w:lvl>
  </w:abstractNum>
  <w:abstractNum w:abstractNumId="1">
    <w:nsid w:val="BE85144A"/>
    <w:multiLevelType w:val="singleLevel"/>
    <w:tmpl w:val="BE85144A"/>
    <w:lvl w:ilvl="0" w:tentative="0">
      <w:start w:val="1"/>
      <w:numFmt w:val="decimal"/>
      <w:suff w:val="nothing"/>
      <w:lvlText w:val="（%1）"/>
      <w:lvlJc w:val="left"/>
    </w:lvl>
  </w:abstractNum>
  <w:abstractNum w:abstractNumId="2">
    <w:nsid w:val="BF57F691"/>
    <w:multiLevelType w:val="singleLevel"/>
    <w:tmpl w:val="BF57F691"/>
    <w:lvl w:ilvl="0" w:tentative="0">
      <w:start w:val="1"/>
      <w:numFmt w:val="chineseCounting"/>
      <w:suff w:val="nothing"/>
      <w:lvlText w:val="（%1）"/>
      <w:lvlJc w:val="left"/>
      <w:rPr>
        <w:rFonts w:hint="eastAsia"/>
      </w:rPr>
    </w:lvl>
  </w:abstractNum>
  <w:abstractNum w:abstractNumId="3">
    <w:nsid w:val="39BBD5E1"/>
    <w:multiLevelType w:val="singleLevel"/>
    <w:tmpl w:val="39BBD5E1"/>
    <w:lvl w:ilvl="0" w:tentative="0">
      <w:start w:val="1"/>
      <w:numFmt w:val="chineseCounting"/>
      <w:suff w:val="nothing"/>
      <w:lvlText w:val="（%1）"/>
      <w:lvlJc w:val="left"/>
      <w:rPr>
        <w:rFonts w:hint="eastAsia"/>
      </w:rPr>
    </w:lvl>
  </w:abstractNum>
  <w:abstractNum w:abstractNumId="4">
    <w:nsid w:val="55D4340F"/>
    <w:multiLevelType w:val="singleLevel"/>
    <w:tmpl w:val="55D4340F"/>
    <w:lvl w:ilvl="0" w:tentative="0">
      <w:start w:val="4"/>
      <w:numFmt w:val="chineseCounting"/>
      <w:suff w:val="nothing"/>
      <w:lvlText w:val="（%1）"/>
      <w:lvlJc w:val="left"/>
      <w:rPr>
        <w:rFonts w:hint="eastAsia"/>
      </w:rPr>
    </w:lvl>
  </w:abstractNum>
  <w:abstractNum w:abstractNumId="5">
    <w:nsid w:val="60745BD4"/>
    <w:multiLevelType w:val="singleLevel"/>
    <w:tmpl w:val="60745BD4"/>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1AA24D9F"/>
    <w:rsid w:val="007C044C"/>
    <w:rsid w:val="01402CE4"/>
    <w:rsid w:val="0169759F"/>
    <w:rsid w:val="01883901"/>
    <w:rsid w:val="02902E85"/>
    <w:rsid w:val="030E2ABE"/>
    <w:rsid w:val="04453DBB"/>
    <w:rsid w:val="053A4E04"/>
    <w:rsid w:val="055A7363"/>
    <w:rsid w:val="05EF30AA"/>
    <w:rsid w:val="061D4705"/>
    <w:rsid w:val="07011CC2"/>
    <w:rsid w:val="071E1861"/>
    <w:rsid w:val="07644792"/>
    <w:rsid w:val="08CC3084"/>
    <w:rsid w:val="09284798"/>
    <w:rsid w:val="0945450C"/>
    <w:rsid w:val="0A387573"/>
    <w:rsid w:val="0B4311DB"/>
    <w:rsid w:val="0C440D06"/>
    <w:rsid w:val="0CBB6D5C"/>
    <w:rsid w:val="0CE76B85"/>
    <w:rsid w:val="0E721DBC"/>
    <w:rsid w:val="0E925DBF"/>
    <w:rsid w:val="0F2B6FD9"/>
    <w:rsid w:val="10327F45"/>
    <w:rsid w:val="105223BA"/>
    <w:rsid w:val="1550261E"/>
    <w:rsid w:val="177C0239"/>
    <w:rsid w:val="183C240D"/>
    <w:rsid w:val="19D40429"/>
    <w:rsid w:val="1A036032"/>
    <w:rsid w:val="1AA24D9F"/>
    <w:rsid w:val="1C335299"/>
    <w:rsid w:val="1C6F052C"/>
    <w:rsid w:val="1CEF36B0"/>
    <w:rsid w:val="1D63116B"/>
    <w:rsid w:val="1D6A3628"/>
    <w:rsid w:val="1D8C24A3"/>
    <w:rsid w:val="1D8D60CF"/>
    <w:rsid w:val="1DA678A8"/>
    <w:rsid w:val="1ECB1553"/>
    <w:rsid w:val="205C522D"/>
    <w:rsid w:val="23D222F7"/>
    <w:rsid w:val="24BD373E"/>
    <w:rsid w:val="257F6C7E"/>
    <w:rsid w:val="26876DC7"/>
    <w:rsid w:val="2746390E"/>
    <w:rsid w:val="28DA2E89"/>
    <w:rsid w:val="29BB550F"/>
    <w:rsid w:val="29F83054"/>
    <w:rsid w:val="2A1850E2"/>
    <w:rsid w:val="2A4254F9"/>
    <w:rsid w:val="2A992557"/>
    <w:rsid w:val="2BEE1C2D"/>
    <w:rsid w:val="2D1F32F4"/>
    <w:rsid w:val="2F3D3B1D"/>
    <w:rsid w:val="303A0B7A"/>
    <w:rsid w:val="317C49AD"/>
    <w:rsid w:val="323B4D81"/>
    <w:rsid w:val="34346E4D"/>
    <w:rsid w:val="34B70380"/>
    <w:rsid w:val="36144A4D"/>
    <w:rsid w:val="36265AB2"/>
    <w:rsid w:val="364C4D86"/>
    <w:rsid w:val="37D86268"/>
    <w:rsid w:val="380748EC"/>
    <w:rsid w:val="3A0E0F47"/>
    <w:rsid w:val="3AD90A4C"/>
    <w:rsid w:val="3ADB6274"/>
    <w:rsid w:val="3AE174A3"/>
    <w:rsid w:val="403D0ECE"/>
    <w:rsid w:val="411B561D"/>
    <w:rsid w:val="43446334"/>
    <w:rsid w:val="4463626B"/>
    <w:rsid w:val="44791ED1"/>
    <w:rsid w:val="449031B4"/>
    <w:rsid w:val="44A84E71"/>
    <w:rsid w:val="45514295"/>
    <w:rsid w:val="45881958"/>
    <w:rsid w:val="45EF52CA"/>
    <w:rsid w:val="465161D5"/>
    <w:rsid w:val="465B40DC"/>
    <w:rsid w:val="477DCE1E"/>
    <w:rsid w:val="4839630B"/>
    <w:rsid w:val="4A62278E"/>
    <w:rsid w:val="4D8B5A2D"/>
    <w:rsid w:val="4DA94BCF"/>
    <w:rsid w:val="4EE07EA5"/>
    <w:rsid w:val="4FB851EC"/>
    <w:rsid w:val="4FDC3939"/>
    <w:rsid w:val="50883EFC"/>
    <w:rsid w:val="508F1355"/>
    <w:rsid w:val="50AC1FCE"/>
    <w:rsid w:val="52216B64"/>
    <w:rsid w:val="52A31C7B"/>
    <w:rsid w:val="52AA2BCE"/>
    <w:rsid w:val="52B14FC9"/>
    <w:rsid w:val="53051C89"/>
    <w:rsid w:val="531B3D7A"/>
    <w:rsid w:val="539F52F9"/>
    <w:rsid w:val="551379F1"/>
    <w:rsid w:val="56E82775"/>
    <w:rsid w:val="573E1E21"/>
    <w:rsid w:val="58BA255E"/>
    <w:rsid w:val="58C63C68"/>
    <w:rsid w:val="595E6596"/>
    <w:rsid w:val="5B487E91"/>
    <w:rsid w:val="5B7A6F8C"/>
    <w:rsid w:val="5B8D5601"/>
    <w:rsid w:val="5CF9550F"/>
    <w:rsid w:val="5EFEBDE8"/>
    <w:rsid w:val="5F125D10"/>
    <w:rsid w:val="5F5C25B3"/>
    <w:rsid w:val="622F7CB6"/>
    <w:rsid w:val="63433366"/>
    <w:rsid w:val="634B558A"/>
    <w:rsid w:val="64E92CCA"/>
    <w:rsid w:val="659B68BE"/>
    <w:rsid w:val="667547CA"/>
    <w:rsid w:val="685C15C6"/>
    <w:rsid w:val="68CA2609"/>
    <w:rsid w:val="68CC1AED"/>
    <w:rsid w:val="697900BD"/>
    <w:rsid w:val="69841053"/>
    <w:rsid w:val="69BB0F42"/>
    <w:rsid w:val="6A637494"/>
    <w:rsid w:val="6BCF62E6"/>
    <w:rsid w:val="6C2A3CB5"/>
    <w:rsid w:val="6CD3A16D"/>
    <w:rsid w:val="6CD84C6F"/>
    <w:rsid w:val="6D4C6485"/>
    <w:rsid w:val="6D535020"/>
    <w:rsid w:val="6DB64254"/>
    <w:rsid w:val="6E5F49A6"/>
    <w:rsid w:val="6FCA3881"/>
    <w:rsid w:val="6FFF37D2"/>
    <w:rsid w:val="70DE2EF1"/>
    <w:rsid w:val="73FD6264"/>
    <w:rsid w:val="741724F4"/>
    <w:rsid w:val="74B3268A"/>
    <w:rsid w:val="750E64ED"/>
    <w:rsid w:val="76E976A8"/>
    <w:rsid w:val="790B224E"/>
    <w:rsid w:val="79BE4D63"/>
    <w:rsid w:val="7B705F51"/>
    <w:rsid w:val="7BFC78DE"/>
    <w:rsid w:val="7C5F4108"/>
    <w:rsid w:val="7D07200C"/>
    <w:rsid w:val="7EB75C7D"/>
    <w:rsid w:val="7EE027D2"/>
    <w:rsid w:val="7F3F70A9"/>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24">
    <w:name w:val="Default Paragraph Font"/>
    <w:autoRedefine/>
    <w:qFormat/>
    <w:uiPriority w:val="0"/>
    <w:rPr>
      <w:rFonts w:eastAsia="微软雅黑" w:asciiTheme="minorAscii" w:hAnsiTheme="minorAscii"/>
    </w:rPr>
  </w:style>
  <w:style w:type="table" w:default="1" w:styleId="2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12">
    <w:name w:val="Normal Indent"/>
    <w:basedOn w:val="1"/>
    <w:autoRedefine/>
    <w:qFormat/>
    <w:uiPriority w:val="0"/>
    <w:pPr>
      <w:adjustRightInd w:val="0"/>
      <w:snapToGrid w:val="0"/>
      <w:spacing w:line="360" w:lineRule="auto"/>
      <w:ind w:firstLine="420"/>
    </w:pPr>
    <w:rPr>
      <w:sz w:val="24"/>
    </w:rPr>
  </w:style>
  <w:style w:type="paragraph" w:styleId="13">
    <w:name w:val="Body Text"/>
    <w:basedOn w:val="1"/>
    <w:next w:val="14"/>
    <w:autoRedefine/>
    <w:qFormat/>
    <w:uiPriority w:val="99"/>
    <w:rPr>
      <w:rFonts w:ascii="仿宋_GB2312" w:eastAsia="仿宋_GB2312"/>
      <w:sz w:val="32"/>
    </w:rPr>
  </w:style>
  <w:style w:type="paragraph" w:styleId="14">
    <w:name w:val="Date"/>
    <w:basedOn w:val="1"/>
    <w:next w:val="1"/>
    <w:autoRedefine/>
    <w:qFormat/>
    <w:uiPriority w:val="0"/>
  </w:style>
  <w:style w:type="paragraph" w:styleId="15">
    <w:name w:val="Body Text Indent"/>
    <w:basedOn w:val="1"/>
    <w:autoRedefine/>
    <w:qFormat/>
    <w:uiPriority w:val="0"/>
    <w:pPr>
      <w:spacing w:line="700" w:lineRule="exact"/>
      <w:ind w:left="960"/>
    </w:pPr>
    <w:rPr>
      <w:sz w:val="44"/>
    </w:rPr>
  </w:style>
  <w:style w:type="paragraph" w:styleId="16">
    <w:name w:val="toc 3"/>
    <w:basedOn w:val="1"/>
    <w:next w:val="1"/>
    <w:autoRedefine/>
    <w:qFormat/>
    <w:uiPriority w:val="0"/>
    <w:pPr>
      <w:ind w:left="840" w:leftChars="400"/>
    </w:pPr>
  </w:style>
  <w:style w:type="paragraph" w:styleId="17">
    <w:name w:val="Body Text Indent 2"/>
    <w:basedOn w:val="1"/>
    <w:autoRedefine/>
    <w:unhideWhenUsed/>
    <w:qFormat/>
    <w:uiPriority w:val="99"/>
    <w:pPr>
      <w:snapToGrid w:val="0"/>
      <w:spacing w:line="560" w:lineRule="atLeast"/>
      <w:ind w:firstLine="540"/>
    </w:pPr>
    <w:rPr>
      <w:rFonts w:eastAsia="宋体"/>
      <w:sz w:val="2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0"/>
    <w:pPr>
      <w:spacing w:line="180" w:lineRule="auto"/>
      <w:jc w:val="center"/>
    </w:pPr>
    <w:rPr>
      <w:sz w:val="30"/>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rPr>
  </w:style>
  <w:style w:type="table" w:styleId="23">
    <w:name w:val="Table Grid"/>
    <w:basedOn w:val="22"/>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unhideWhenUsed/>
    <w:qFormat/>
    <w:uiPriority w:val="99"/>
    <w:rPr>
      <w:color w:val="0000FF"/>
      <w:u w:val="single"/>
    </w:rPr>
  </w:style>
  <w:style w:type="paragraph" w:customStyle="1" w:styleId="27">
    <w:name w:val="BodyText"/>
    <w:basedOn w:val="1"/>
    <w:next w:val="28"/>
    <w:autoRedefine/>
    <w:qFormat/>
    <w:uiPriority w:val="0"/>
    <w:pPr>
      <w:jc w:val="both"/>
      <w:textAlignment w:val="baseline"/>
    </w:pPr>
    <w:rPr>
      <w:rFonts w:ascii="仿宋_GB2312" w:eastAsia="仿宋_GB2312"/>
      <w:kern w:val="2"/>
      <w:sz w:val="32"/>
      <w:lang w:val="en-US" w:eastAsia="zh-CN" w:bidi="ar-SA"/>
    </w:rPr>
  </w:style>
  <w:style w:type="paragraph" w:customStyle="1" w:styleId="28">
    <w:name w:val="BodyTextIndent"/>
    <w:basedOn w:val="1"/>
    <w:autoRedefine/>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29">
    <w:name w:val="图例"/>
    <w:basedOn w:val="1"/>
    <w:autoRedefine/>
    <w:qFormat/>
    <w:uiPriority w:val="99"/>
    <w:pPr>
      <w:spacing w:before="120" w:after="120" w:line="360" w:lineRule="auto"/>
      <w:jc w:val="center"/>
    </w:pPr>
    <w:rPr>
      <w:rFonts w:eastAsia="仿宋_GB2312"/>
      <w:b/>
      <w:sz w:val="24"/>
    </w:rPr>
  </w:style>
  <w:style w:type="paragraph" w:customStyle="1" w:styleId="30">
    <w:name w:val="Table Text"/>
    <w:basedOn w:val="1"/>
    <w:autoRedefine/>
    <w:qFormat/>
    <w:uiPriority w:val="0"/>
    <w:pPr>
      <w:snapToGrid w:val="0"/>
      <w:spacing w:before="80" w:after="80"/>
    </w:pPr>
    <w:rPr>
      <w:rFonts w:ascii="Arial" w:hAnsi="Arial"/>
      <w:kern w:val="2"/>
      <w:sz w:val="18"/>
      <w:lang w:val="en-US" w:eastAsia="zh-CN" w:bidi="ar-SA"/>
    </w:rPr>
  </w:style>
  <w:style w:type="table" w:customStyle="1" w:styleId="31">
    <w:name w:val="Table Normal"/>
    <w:autoRedefine/>
    <w:unhideWhenUsed/>
    <w:qFormat/>
    <w:uiPriority w:val="0"/>
    <w:rPr>
      <w:lang w:val="en-US" w:eastAsia="zh-CN" w:bidi="ar-SA"/>
    </w:rPr>
    <w:tblPr>
      <w:tblCellMar>
        <w:top w:w="0" w:type="dxa"/>
        <w:left w:w="0" w:type="dxa"/>
        <w:bottom w:w="0" w:type="dxa"/>
        <w:right w:w="0" w:type="dxa"/>
      </w:tblCellMar>
    </w:tblPr>
  </w:style>
  <w:style w:type="character" w:customStyle="1" w:styleId="32">
    <w:name w:val="font11"/>
    <w:basedOn w:val="24"/>
    <w:autoRedefine/>
    <w:qFormat/>
    <w:uiPriority w:val="0"/>
    <w:rPr>
      <w:rFonts w:hint="eastAsia" w:ascii="方正公文小标宋" w:hAnsi="方正公文小标宋" w:eastAsia="方正公文小标宋" w:cs="方正公文小标宋"/>
      <w:color w:val="000000"/>
      <w:sz w:val="32"/>
      <w:szCs w:val="32"/>
      <w:u w:val="none"/>
    </w:rPr>
  </w:style>
  <w:style w:type="character" w:customStyle="1" w:styleId="33">
    <w:name w:val="font21"/>
    <w:basedOn w:val="24"/>
    <w:autoRedefine/>
    <w:qFormat/>
    <w:uiPriority w:val="0"/>
    <w:rPr>
      <w:rFonts w:hint="eastAsia" w:ascii="仿宋" w:hAnsi="仿宋" w:eastAsia="仿宋" w:cs="仿宋"/>
      <w:color w:val="000000"/>
      <w:sz w:val="20"/>
      <w:szCs w:val="20"/>
      <w:u w:val="none"/>
    </w:rPr>
  </w:style>
  <w:style w:type="character" w:customStyle="1" w:styleId="34">
    <w:name w:val="font31"/>
    <w:basedOn w:val="24"/>
    <w:autoRedefine/>
    <w:qFormat/>
    <w:uiPriority w:val="0"/>
    <w:rPr>
      <w:rFonts w:hint="eastAsia" w:ascii="仿宋" w:hAnsi="仿宋" w:eastAsia="仿宋" w:cs="仿宋"/>
      <w:color w:val="000000"/>
      <w:sz w:val="21"/>
      <w:szCs w:val="21"/>
      <w:u w:val="none"/>
    </w:rPr>
  </w:style>
  <w:style w:type="character" w:customStyle="1" w:styleId="35">
    <w:name w:val="font41"/>
    <w:basedOn w:val="24"/>
    <w:autoRedefine/>
    <w:qFormat/>
    <w:uiPriority w:val="0"/>
    <w:rPr>
      <w:rFonts w:hint="eastAsia" w:ascii="仿宋" w:hAnsi="仿宋" w:eastAsia="仿宋" w:cs="仿宋"/>
      <w:color w:val="000000"/>
      <w:sz w:val="31"/>
      <w:szCs w:val="31"/>
      <w:u w:val="none"/>
    </w:rPr>
  </w:style>
  <w:style w:type="character" w:customStyle="1" w:styleId="36">
    <w:name w:val="10"/>
    <w:basedOn w:val="24"/>
    <w:autoRedefine/>
    <w:qFormat/>
    <w:uiPriority w:val="0"/>
    <w:rPr>
      <w:rFonts w:hint="default" w:ascii="Times New Roman" w:hAnsi="Times New Roman" w:cs="Times New Roman"/>
    </w:rPr>
  </w:style>
  <w:style w:type="character" w:customStyle="1" w:styleId="37">
    <w:name w:val="15"/>
    <w:basedOn w:val="24"/>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6570</Words>
  <Characters>6999</Characters>
  <Lines>1</Lines>
  <Paragraphs>1</Paragraphs>
  <TotalTime>25</TotalTime>
  <ScaleCrop>false</ScaleCrop>
  <LinksUpToDate>false</LinksUpToDate>
  <CharactersWithSpaces>7975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64083</cp:lastModifiedBy>
  <cp:lastPrinted>2024-02-28T11:09:00Z</cp:lastPrinted>
  <dcterms:modified xsi:type="dcterms:W3CDTF">2025-07-29T08:51:42Z</dcterms:modified>
  <dc:title>竞 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643EDBF9236B40FFA5AE5A77C63FE3CF_13</vt:lpwstr>
  </property>
  <property fmtid="{D5CDD505-2E9C-101B-9397-08002B2CF9AE}" pid="6" name="KSOTemplateDocerSaveRecord">
    <vt:lpwstr>eyJoZGlkIjoiYzYyNTE3MzY4ZGUxNTAyNWM4ODc2YWEyMjZlZWIxZjMiLCJ1c2VySWQiOiIxMzM4MTM3NjQ0In0=</vt:lpwstr>
  </property>
</Properties>
</file>