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F0CA1">
      <w:pPr>
        <w:pStyle w:val="2"/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0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0"/>
          <w:highlight w:val="none"/>
        </w:rPr>
        <w:t>璧山区健龙镇画眉村2025年农机设备购置项目</w:t>
      </w:r>
    </w:p>
    <w:p w14:paraId="0D1A9424">
      <w:pPr>
        <w:pStyle w:val="2"/>
        <w:spacing w:line="360" w:lineRule="auto"/>
        <w:jc w:val="center"/>
        <w:rPr>
          <w:rFonts w:hint="eastAsia" w:ascii="宋体" w:hAnsi="宋体" w:eastAsia="宋体" w:cs="宋体"/>
          <w:bCs/>
          <w:color w:val="auto"/>
          <w:szCs w:val="30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0"/>
          <w:highlight w:val="none"/>
        </w:rPr>
        <w:t>采购邀请书</w:t>
      </w:r>
    </w:p>
    <w:p w14:paraId="10C0E6DE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  <w:t>重庆绵淼工程项目管理有限公司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（以下简称：采购代理机构）接受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  <w:t>重庆市璧山区健龙镇画眉村股份经济合作联合社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（以下简称：采购人）的委托，对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  <w:t>璧山区健龙镇画眉村2025年农机设备购置项目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进行竞争性磋商采购。欢迎有资格的供应商前来参与磋商。</w:t>
      </w:r>
    </w:p>
    <w:p w14:paraId="323E568B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0" w:name="_Toc313893526"/>
      <w:bookmarkStart w:id="1" w:name="_Toc32701"/>
      <w:bookmarkStart w:id="2" w:name="_Toc317775175"/>
      <w:bookmarkStart w:id="3" w:name="_Toc76462317"/>
      <w:bookmarkStart w:id="4" w:name="_Toc19883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一、竞争性磋商内容</w:t>
      </w:r>
      <w:bookmarkEnd w:id="0"/>
      <w:bookmarkEnd w:id="1"/>
      <w:bookmarkEnd w:id="2"/>
      <w:bookmarkEnd w:id="3"/>
      <w:bookmarkEnd w:id="4"/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2128"/>
        <w:gridCol w:w="1875"/>
        <w:gridCol w:w="1950"/>
        <w:gridCol w:w="816"/>
      </w:tblGrid>
      <w:tr w14:paraId="19FC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A8B7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D21E5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最高限价（元）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672A8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磋商保证金</w:t>
            </w:r>
          </w:p>
          <w:p w14:paraId="46B4A1F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256A1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成交供应商数量（名）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0166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57AA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807D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5" w:name="_Hlk344477914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璧山区健龙镇画眉村2025年农机设备购置项目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A176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712000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BB76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FBA2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B6C9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bookmarkEnd w:id="5"/>
    </w:tbl>
    <w:p w14:paraId="5FCF765E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6" w:name="_Toc26859"/>
      <w:bookmarkStart w:id="7" w:name="_Toc29501"/>
      <w:bookmarkStart w:id="8" w:name="_Toc76462318"/>
      <w:bookmarkStart w:id="9" w:name="_Toc373860293"/>
      <w:bookmarkStart w:id="10" w:name="_Toc317775178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资金来源：预算资金</w:t>
      </w:r>
      <w:bookmarkEnd w:id="6"/>
    </w:p>
    <w:p w14:paraId="10377721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11" w:name="_Toc15732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二、</w:t>
      </w:r>
      <w:bookmarkEnd w:id="7"/>
      <w:bookmarkEnd w:id="8"/>
      <w:bookmarkStart w:id="12" w:name="_Toc76462319"/>
      <w:bookmarkStart w:id="13" w:name="_Toc32498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供应商资格条件</w:t>
      </w:r>
      <w:bookmarkEnd w:id="11"/>
      <w:bookmarkEnd w:id="12"/>
      <w:bookmarkEnd w:id="13"/>
    </w:p>
    <w:p w14:paraId="61177D23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（一）基本资格条件</w:t>
      </w:r>
    </w:p>
    <w:p w14:paraId="01175FFC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1.具有独立承担民事责任的能力。</w:t>
      </w:r>
    </w:p>
    <w:p w14:paraId="5D77E869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2.具有良好的商业信誉和健全的财务会计制度。</w:t>
      </w:r>
    </w:p>
    <w:p w14:paraId="4D0A55CD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3.具有履行合同所必需的设备和专业技术能力。</w:t>
      </w:r>
    </w:p>
    <w:p w14:paraId="19F3C159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4.有依法缴纳税收和社会保障资金的良好记录。</w:t>
      </w:r>
    </w:p>
    <w:p w14:paraId="3E55E5A1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5.参加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招投标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活动近三年内，在经营活动中没有重大违法记录。</w:t>
      </w:r>
    </w:p>
    <w:p w14:paraId="3B9E92F0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6.法律、行政法规规定的其他条件。</w:t>
      </w:r>
    </w:p>
    <w:p w14:paraId="75410CA4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（二）本项目的特定资格要求：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。</w:t>
      </w:r>
    </w:p>
    <w:p w14:paraId="3E026B3B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14" w:name="_Toc15214"/>
      <w:bookmarkStart w:id="15" w:name="_Toc20327"/>
      <w:bookmarkStart w:id="16" w:name="_Toc7646232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、磋商有关说明</w:t>
      </w:r>
      <w:bookmarkEnd w:id="9"/>
      <w:bookmarkEnd w:id="14"/>
      <w:bookmarkEnd w:id="15"/>
      <w:bookmarkEnd w:id="16"/>
    </w:p>
    <w:p w14:paraId="72EAF2DF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17" w:name="_Toc373860294"/>
      <w:bookmarkStart w:id="18" w:name="_Toc7646232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（一）本项目竞争性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公告在行采家（www.gec123.com）网站上发布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凡有意参加磋商的供应商，请在采购代理机构处领取本项目竞争性磋商文件以及图纸、澄清等磋商前公布的所有项目资料，无论供应商领取与否，均视为已知晓所有磋商实质性要求内容。</w:t>
      </w:r>
    </w:p>
    <w:p w14:paraId="223AECAF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）竞争性磋商公告期限：自采购公告发布之日起三个工作日。</w:t>
      </w:r>
    </w:p>
    <w:p w14:paraId="2C24EBAA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）竞争性磋商文件发售</w:t>
      </w:r>
    </w:p>
    <w:p w14:paraId="3CD48694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1.竞争性磋商文件发售期：202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日至202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:00分（北京时间）。</w:t>
      </w:r>
    </w:p>
    <w:p w14:paraId="4AC80600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2.竞争性磋商文件售价：人民币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00元/分包（售后不退）。</w:t>
      </w:r>
    </w:p>
    <w:p w14:paraId="07F9B237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3.报名方式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在竞争性磋商文件发售期内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（工作时间：工作日内每天上午9：00-12:00时，下午14：00-17：00时，北京时间），供应商联系本项目负责人（梁老师，13618328338）递交《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采购文件发售登记表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》（加盖比选申请人公章）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扫描后发送至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277643902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@qq.com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并购买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竞争性磋商文件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竞争性磋商文件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通过邮件发送，如需纸质版竞争性比选文件，邮费自付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724BD214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）供应商须满足以下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种要件，其响应文件才被接受：</w:t>
      </w:r>
    </w:p>
    <w:p w14:paraId="36D53613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1、按时报名并缴纳报名费用；</w:t>
      </w:r>
    </w:p>
    <w:p w14:paraId="0C92FE9D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2、按时递交了响应文件。</w:t>
      </w:r>
    </w:p>
    <w:p w14:paraId="64919BAE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）递交响应文件及磋商地点：重庆市璧山区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健龙镇人民政府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二楼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7A707F03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递交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响应文件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2025年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分至202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日北京时间14: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0。</w:t>
      </w:r>
    </w:p>
    <w:p w14:paraId="0184868C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）磋商开始时间：202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日北京时间14: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0。</w:t>
      </w:r>
    </w:p>
    <w:p w14:paraId="5978986D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GB" w:eastAsia="zh-CN"/>
        </w:rPr>
        <w:t>（八）逾期送达或者未送达指定地点的投标文件，招标人不予受理。</w:t>
      </w:r>
    </w:p>
    <w:p w14:paraId="0B85A4C9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19" w:name="_Toc20667"/>
      <w:bookmarkStart w:id="20" w:name="_Toc14771"/>
      <w:bookmarkStart w:id="21" w:name="_Toc17264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、磋商保证金</w:t>
      </w:r>
      <w:bookmarkEnd w:id="19"/>
      <w:bookmarkEnd w:id="20"/>
      <w:bookmarkEnd w:id="21"/>
    </w:p>
    <w:p w14:paraId="5FE8FB5A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1、磋商保证金金额：人民币: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1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000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元。</w:t>
      </w:r>
    </w:p>
    <w:p w14:paraId="6E5CC9D0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2、磋商保证金的缴纳形式及要求</w:t>
      </w:r>
    </w:p>
    <w:p w14:paraId="6A8027DC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在递交响应文件时须缴纳磋商保证金，磋商保证金在递交投标文件时现场装袋密封，并在密封袋上注明供应商名称及磋商项目名称，密封袋由供应商自行提供。供应商未中标者当场退还，中标者签订合同后退还，中标后未按磋商文件要求签订合同的，磋商保证金不予退还。</w:t>
      </w:r>
    </w:p>
    <w:p w14:paraId="0D43F4D2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22" w:name="_Toc19545"/>
      <w:bookmarkStart w:id="23" w:name="_Toc193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bookmarkEnd w:id="10"/>
      <w:bookmarkEnd w:id="17"/>
      <w:bookmarkEnd w:id="18"/>
      <w:bookmarkEnd w:id="22"/>
      <w:bookmarkStart w:id="24" w:name="_Toc480466699"/>
      <w:bookmarkStart w:id="25" w:name="_Toc76462322"/>
      <w:bookmarkStart w:id="26" w:name="_Toc5026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其它有关规定</w:t>
      </w:r>
      <w:bookmarkEnd w:id="23"/>
      <w:bookmarkEnd w:id="24"/>
      <w:bookmarkEnd w:id="25"/>
      <w:bookmarkEnd w:id="26"/>
    </w:p>
    <w:p w14:paraId="4C573730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（一）单位负责人为同一人或者存在直接控股、管理关系的不同供应商，不得参加同一合同项（包）下的采购活动，否则均为无效响应。</w:t>
      </w:r>
    </w:p>
    <w:p w14:paraId="6CCBF2EB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（二）为采购项目提供整体设计、规范编制或者项目管理、监理、检测等服务的供应商，不得再参加该采购项目的其他采购活动。</w:t>
      </w:r>
    </w:p>
    <w:p w14:paraId="5100B289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）同一合同项（包）下的货物，制造商参与磋商的，不得再委托代理商参与磋商。</w:t>
      </w:r>
    </w:p>
    <w:p w14:paraId="74B8D5B5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）本项目的澄清文件（如果有）一律在行采家（www.gec123.com）上发布，请各供应商注意下载或到采购代理机构处领取；无论供应商下载或领取与否，均视同供应商已知晓本项目澄清文件（如果有）的内容。</w:t>
      </w:r>
    </w:p>
    <w:p w14:paraId="39808C7D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）超过电子响应文件递交截止时间递交的响应文件，恕不接收。</w:t>
      </w:r>
    </w:p>
    <w:p w14:paraId="5AB34548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）磋商费用：无论磋商结果如何，供应商参与本项目磋商的所有费用均应由供应商自行承担。</w:t>
      </w:r>
    </w:p>
    <w:p w14:paraId="317E946D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本项目不接受联合体参与磋商，否则按无效处理。</w:t>
      </w:r>
    </w:p>
    <w:p w14:paraId="458B317E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不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接受合同分包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否则按无效处理。</w:t>
      </w:r>
    </w:p>
    <w:p w14:paraId="13631792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</w:t>
      </w:r>
      <w:bookmarkStart w:id="27" w:name="_Toc48046670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供应商列入失信被执行人、重大税收违法案件当事人名单及其他不符合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法律法规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规定条件的供应商，将拒绝其参与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该项目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采购活动。</w:t>
      </w:r>
    </w:p>
    <w:p w14:paraId="187CBD99"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28" w:name="_Toc16649"/>
      <w:bookmarkStart w:id="29" w:name="_Toc76462323"/>
      <w:bookmarkStart w:id="30" w:name="_Toc935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、联系方式</w:t>
      </w:r>
      <w:bookmarkEnd w:id="27"/>
      <w:bookmarkEnd w:id="28"/>
      <w:bookmarkEnd w:id="29"/>
      <w:bookmarkEnd w:id="30"/>
    </w:p>
    <w:p w14:paraId="522B08C1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Cs w:val="28"/>
          <w:highlight w:val="none"/>
        </w:rPr>
        <w:t>（一）采购人：</w:t>
      </w:r>
      <w:r>
        <w:rPr>
          <w:rFonts w:hint="eastAsia" w:ascii="宋体" w:hAnsi="宋体" w:cs="宋体"/>
          <w:szCs w:val="28"/>
          <w:highlight w:val="none"/>
          <w:lang w:eastAsia="zh-CN"/>
        </w:rPr>
        <w:t>重庆市璧山区健龙镇画眉村股份经济合作联合社</w:t>
      </w:r>
    </w:p>
    <w:p w14:paraId="5448F3E9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 xml:space="preserve">联系人：付昌荣 </w:t>
      </w:r>
    </w:p>
    <w:p w14:paraId="52B8B57B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电  话：17843838010</w:t>
      </w:r>
    </w:p>
    <w:p w14:paraId="3C5D23D8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color w:val="FF0000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8"/>
          <w:highlight w:val="none"/>
        </w:rPr>
        <w:t>地  址：</w:t>
      </w:r>
      <w:r>
        <w:rPr>
          <w:rFonts w:hint="eastAsia" w:ascii="宋体" w:hAnsi="宋体" w:cs="宋体"/>
          <w:color w:val="auto"/>
          <w:szCs w:val="28"/>
          <w:highlight w:val="none"/>
          <w:lang w:eastAsia="zh-CN"/>
        </w:rPr>
        <w:t>重庆市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>璧山区</w:t>
      </w:r>
      <w:r>
        <w:rPr>
          <w:rFonts w:hint="eastAsia" w:ascii="宋体" w:hAnsi="宋体" w:cs="宋体"/>
          <w:szCs w:val="28"/>
          <w:highlight w:val="none"/>
          <w:lang w:eastAsia="zh-CN"/>
        </w:rPr>
        <w:t>健龙镇</w:t>
      </w:r>
      <w:r>
        <w:rPr>
          <w:rFonts w:hint="eastAsia" w:ascii="宋体" w:hAnsi="宋体" w:eastAsia="宋体" w:cs="宋体"/>
          <w:color w:val="auto"/>
          <w:szCs w:val="28"/>
          <w:highlight w:val="none"/>
        </w:rPr>
        <w:t xml:space="preserve">画眉村 </w:t>
      </w:r>
      <w:r>
        <w:rPr>
          <w:rFonts w:hint="eastAsia" w:ascii="宋体" w:hAnsi="宋体" w:cs="宋体"/>
          <w:color w:val="FF0000"/>
          <w:szCs w:val="28"/>
          <w:highlight w:val="none"/>
          <w:lang w:val="en-US" w:eastAsia="zh-CN"/>
        </w:rPr>
        <w:t xml:space="preserve"> </w:t>
      </w:r>
      <w:bookmarkStart w:id="31" w:name="_GoBack"/>
      <w:bookmarkEnd w:id="31"/>
    </w:p>
    <w:p w14:paraId="751D0BFF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（二）采购代理机构：重庆绵淼工程项目管理有限公司</w:t>
      </w:r>
    </w:p>
    <w:p w14:paraId="7A583830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经办人：</w:t>
      </w:r>
      <w:r>
        <w:rPr>
          <w:rFonts w:hint="eastAsia" w:ascii="宋体" w:hAnsi="宋体" w:eastAsia="宋体" w:cs="宋体"/>
          <w:szCs w:val="28"/>
          <w:highlight w:val="none"/>
          <w:lang w:eastAsia="zh-CN"/>
        </w:rPr>
        <w:t>梁</w:t>
      </w:r>
      <w:r>
        <w:rPr>
          <w:rFonts w:hint="eastAsia" w:ascii="宋体" w:hAnsi="宋体" w:eastAsia="宋体" w:cs="宋体"/>
          <w:szCs w:val="28"/>
          <w:highlight w:val="none"/>
        </w:rPr>
        <w:t>老师</w:t>
      </w:r>
    </w:p>
    <w:p w14:paraId="38A871EC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8"/>
          <w:highlight w:val="none"/>
        </w:rPr>
        <w:t>电  话：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13618328338</w:t>
      </w:r>
    </w:p>
    <w:p w14:paraId="0B15BF16">
      <w:pPr>
        <w:pageBreakBefore w:val="0"/>
        <w:kinsoku/>
        <w:overflowPunct/>
        <w:topLinePunct w:val="0"/>
        <w:autoSpaceDE/>
        <w:autoSpaceDN/>
        <w:bidi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Cs w:val="28"/>
          <w:highlight w:val="none"/>
        </w:rPr>
      </w:pPr>
      <w:r>
        <w:rPr>
          <w:rFonts w:hint="eastAsia" w:ascii="宋体" w:hAnsi="宋体" w:eastAsia="宋体" w:cs="宋体"/>
          <w:szCs w:val="28"/>
          <w:highlight w:val="none"/>
        </w:rPr>
        <w:t>地  址：重庆市璧山区璧泉街道泉山路66号附137号3-16</w:t>
      </w:r>
    </w:p>
    <w:p w14:paraId="0455FB61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1730"/>
    <w:rsid w:val="2B590C37"/>
    <w:rsid w:val="556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1602</Words>
  <Characters>1755</Characters>
  <Lines>0</Lines>
  <Paragraphs>0</Paragraphs>
  <TotalTime>5</TotalTime>
  <ScaleCrop>false</ScaleCrop>
  <LinksUpToDate>false</LinksUpToDate>
  <CharactersWithSpaces>1770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2025-08-29T06:54:00Z</dcterms:created>
  <dc:creator>Administrator</dc:creator>
  <cp:lastModifiedBy>海阔天空</cp:lastModifiedBy>
  <dcterms:modified xsi:type="dcterms:W3CDTF">2025-08-29T07:09:33Z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eyJoZGlkIjoiZjc0MzU0OWMwMjMxZGY1YTU3YTdkODRlZjFiZmRmZDkiLCJ1c2VySWQiOiIyMDYyNzYyNjkifQ==</vt:lpwstr>
  </property>
  <property fmtid="{D5CDD505-2E9C-101B-9397-08002B2CF9AE}" pid="4" name="ICV">
    <vt:lpwstr>1DFF010B368A4EA08B7D3FD08881F497_12</vt:lpwstr>
  </property>
</Properties>
</file>