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94300">
      <w:pPr>
        <w:pStyle w:val="5"/>
        <w:tabs>
          <w:tab w:val="right" w:leader="dot" w:pos="9402"/>
        </w:tabs>
        <w:spacing w:line="480" w:lineRule="exact"/>
        <w:ind w:left="560"/>
        <w:jc w:val="center"/>
        <w:outlineLvl w:val="0"/>
        <w:rPr>
          <w:rFonts w:ascii="微软雅黑" w:hAnsi="微软雅黑" w:eastAsia="微软雅黑" w:cs="微软雅黑"/>
          <w:color w:val="auto"/>
          <w:szCs w:val="30"/>
          <w:highlight w:val="none"/>
        </w:rPr>
      </w:pPr>
      <w:r>
        <w:rPr>
          <w:rFonts w:hint="eastAsia" w:ascii="微软雅黑" w:hAnsi="微软雅黑" w:eastAsia="微软雅黑" w:cs="微软雅黑"/>
          <w:color w:val="auto"/>
          <w:sz w:val="36"/>
          <w:szCs w:val="30"/>
          <w:highlight w:val="none"/>
        </w:rPr>
        <w:t>采购公告</w:t>
      </w:r>
    </w:p>
    <w:p w14:paraId="6830ACEA">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瑞天中寰商务信息咨询（重庆）有限公司</w:t>
      </w:r>
      <w:r>
        <w:rPr>
          <w:rFonts w:hint="eastAsia" w:ascii="微软雅黑" w:hAnsi="微软雅黑" w:eastAsia="微软雅黑" w:cs="微软雅黑"/>
          <w:color w:val="auto"/>
          <w:sz w:val="24"/>
          <w:szCs w:val="24"/>
          <w:highlight w:val="none"/>
        </w:rPr>
        <w:t>（以下简称：采购代理机构）接受</w:t>
      </w:r>
      <w:r>
        <w:rPr>
          <w:rFonts w:hint="eastAsia" w:ascii="微软雅黑" w:hAnsi="微软雅黑" w:eastAsia="微软雅黑" w:cs="微软雅黑"/>
          <w:color w:val="auto"/>
          <w:sz w:val="24"/>
          <w:szCs w:val="24"/>
          <w:highlight w:val="none"/>
          <w:lang w:eastAsia="zh-CN"/>
        </w:rPr>
        <w:t>金科智慧服务集团股份有限公司重庆分公司</w:t>
      </w:r>
      <w:r>
        <w:rPr>
          <w:rFonts w:hint="eastAsia" w:ascii="微软雅黑" w:hAnsi="微软雅黑" w:eastAsia="微软雅黑" w:cs="微软雅黑"/>
          <w:color w:val="auto"/>
          <w:sz w:val="24"/>
          <w:szCs w:val="24"/>
          <w:highlight w:val="none"/>
        </w:rPr>
        <w:t>委托，对其“</w:t>
      </w:r>
      <w:r>
        <w:rPr>
          <w:rFonts w:hint="eastAsia" w:ascii="微软雅黑" w:hAnsi="微软雅黑" w:eastAsia="微软雅黑" w:cs="微软雅黑"/>
          <w:color w:val="auto"/>
          <w:sz w:val="24"/>
          <w:szCs w:val="24"/>
          <w:highlight w:val="none"/>
          <w:lang w:val="en-US" w:eastAsia="zh-CN"/>
        </w:rPr>
        <w:t>金科10年城40栋两部电梯更新工程</w:t>
      </w:r>
      <w:r>
        <w:rPr>
          <w:rFonts w:hint="eastAsia" w:ascii="微软雅黑" w:hAnsi="微软雅黑" w:eastAsia="微软雅黑" w:cs="微软雅黑"/>
          <w:color w:val="auto"/>
          <w:sz w:val="24"/>
          <w:szCs w:val="24"/>
          <w:highlight w:val="none"/>
        </w:rPr>
        <w:t>”项目进行询比采购。欢迎有资格的供应商前来参与询比。</w:t>
      </w:r>
    </w:p>
    <w:p w14:paraId="37C303B7">
      <w:pPr>
        <w:pStyle w:val="2"/>
        <w:spacing w:line="400" w:lineRule="exact"/>
        <w:rPr>
          <w:rFonts w:ascii="微软雅黑" w:hAnsi="微软雅黑" w:eastAsia="微软雅黑" w:cs="微软雅黑"/>
          <w:color w:val="auto"/>
          <w:sz w:val="24"/>
          <w:szCs w:val="24"/>
          <w:highlight w:val="none"/>
        </w:rPr>
      </w:pPr>
      <w:bookmarkStart w:id="0" w:name="_Toc5786"/>
      <w:bookmarkStart w:id="1" w:name="_Toc313893526"/>
      <w:bookmarkStart w:id="2" w:name="_Toc28114"/>
      <w:bookmarkStart w:id="3" w:name="_Toc10001"/>
      <w:bookmarkStart w:id="4" w:name="_Toc317775175"/>
      <w:bookmarkStart w:id="5" w:name="_Toc22789"/>
      <w:bookmarkStart w:id="6" w:name="_Toc47094760"/>
      <w:r>
        <w:rPr>
          <w:rFonts w:hint="eastAsia" w:ascii="微软雅黑" w:hAnsi="微软雅黑" w:eastAsia="微软雅黑" w:cs="微软雅黑"/>
          <w:color w:val="auto"/>
          <w:sz w:val="24"/>
          <w:szCs w:val="24"/>
          <w:highlight w:val="none"/>
        </w:rPr>
        <w:t>一、询比内容</w:t>
      </w:r>
      <w:bookmarkEnd w:id="0"/>
      <w:bookmarkEnd w:id="1"/>
      <w:bookmarkEnd w:id="2"/>
      <w:bookmarkEnd w:id="3"/>
      <w:bookmarkEnd w:id="4"/>
      <w:bookmarkEnd w:id="5"/>
      <w:bookmarkEnd w:id="6"/>
    </w:p>
    <w:tbl>
      <w:tblPr>
        <w:tblStyle w:val="6"/>
        <w:tblpPr w:leftFromText="180" w:rightFromText="180" w:vertAnchor="text" w:horzAnchor="page" w:tblpX="1404" w:tblpY="412"/>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648"/>
        <w:gridCol w:w="1592"/>
        <w:gridCol w:w="1592"/>
        <w:gridCol w:w="1606"/>
      </w:tblGrid>
      <w:tr w14:paraId="102B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681" w:type="dxa"/>
            <w:tcBorders>
              <w:top w:val="single" w:color="auto" w:sz="4" w:space="0"/>
              <w:left w:val="single" w:color="auto" w:sz="4" w:space="0"/>
              <w:right w:val="single" w:color="auto" w:sz="4" w:space="0"/>
            </w:tcBorders>
            <w:vAlign w:val="center"/>
          </w:tcPr>
          <w:p w14:paraId="6195C0E6">
            <w:pPr>
              <w:widowControl/>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项目名称</w:t>
            </w:r>
          </w:p>
        </w:tc>
        <w:tc>
          <w:tcPr>
            <w:tcW w:w="1648" w:type="dxa"/>
            <w:tcBorders>
              <w:top w:val="single" w:color="auto" w:sz="4" w:space="0"/>
              <w:left w:val="single" w:color="auto" w:sz="4" w:space="0"/>
              <w:right w:val="single" w:color="auto" w:sz="4" w:space="0"/>
            </w:tcBorders>
            <w:vAlign w:val="center"/>
          </w:tcPr>
          <w:p w14:paraId="63CBAA55">
            <w:pPr>
              <w:widowControl/>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采购数量</w:t>
            </w:r>
          </w:p>
          <w:p w14:paraId="2C9F9F8A">
            <w:pPr>
              <w:widowControl/>
              <w:jc w:val="center"/>
              <w:rPr>
                <w:color w:val="auto"/>
                <w:highlight w:val="none"/>
              </w:rPr>
            </w:pPr>
            <w:r>
              <w:rPr>
                <w:rFonts w:hint="eastAsia" w:ascii="微软雅黑" w:hAnsi="微软雅黑" w:eastAsia="微软雅黑" w:cs="微软雅黑"/>
                <w:b/>
                <w:bCs/>
                <w:color w:val="auto"/>
                <w:kern w:val="0"/>
                <w:sz w:val="21"/>
                <w:szCs w:val="24"/>
                <w:highlight w:val="none"/>
              </w:rPr>
              <w:t>（台）</w:t>
            </w:r>
          </w:p>
        </w:tc>
        <w:tc>
          <w:tcPr>
            <w:tcW w:w="1592" w:type="dxa"/>
            <w:tcBorders>
              <w:top w:val="single" w:color="auto" w:sz="4" w:space="0"/>
              <w:left w:val="single" w:color="auto" w:sz="4" w:space="0"/>
              <w:right w:val="single" w:color="auto" w:sz="4" w:space="0"/>
            </w:tcBorders>
            <w:vAlign w:val="center"/>
          </w:tcPr>
          <w:p w14:paraId="586A479F">
            <w:pPr>
              <w:widowControl/>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最高限价</w:t>
            </w:r>
          </w:p>
          <w:p w14:paraId="793D870E">
            <w:pPr>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w:t>
            </w:r>
            <w:r>
              <w:rPr>
                <w:rFonts w:hint="eastAsia" w:ascii="微软雅黑" w:hAnsi="微软雅黑" w:eastAsia="微软雅黑" w:cs="微软雅黑"/>
                <w:b/>
                <w:bCs/>
                <w:color w:val="auto"/>
                <w:kern w:val="0"/>
                <w:sz w:val="21"/>
                <w:szCs w:val="24"/>
                <w:highlight w:val="none"/>
                <w:lang w:eastAsia="zh-CN"/>
              </w:rPr>
              <w:t>万</w:t>
            </w:r>
            <w:r>
              <w:rPr>
                <w:rFonts w:hint="eastAsia" w:ascii="微软雅黑" w:hAnsi="微软雅黑" w:eastAsia="微软雅黑" w:cs="微软雅黑"/>
                <w:b/>
                <w:bCs/>
                <w:color w:val="auto"/>
                <w:kern w:val="0"/>
                <w:sz w:val="21"/>
                <w:szCs w:val="24"/>
                <w:highlight w:val="none"/>
              </w:rPr>
              <w:t>元）</w:t>
            </w:r>
          </w:p>
        </w:tc>
        <w:tc>
          <w:tcPr>
            <w:tcW w:w="1592" w:type="dxa"/>
            <w:tcBorders>
              <w:top w:val="single" w:color="auto" w:sz="4" w:space="0"/>
              <w:left w:val="single" w:color="auto" w:sz="4" w:space="0"/>
              <w:right w:val="single" w:color="auto" w:sz="4" w:space="0"/>
            </w:tcBorders>
            <w:vAlign w:val="center"/>
          </w:tcPr>
          <w:p w14:paraId="6ABC279A">
            <w:pPr>
              <w:widowControl/>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询比保证金</w:t>
            </w:r>
          </w:p>
          <w:p w14:paraId="559E0DC4">
            <w:pPr>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w:t>
            </w:r>
            <w:r>
              <w:rPr>
                <w:rFonts w:hint="eastAsia" w:ascii="微软雅黑" w:hAnsi="微软雅黑" w:eastAsia="微软雅黑" w:cs="微软雅黑"/>
                <w:b/>
                <w:bCs/>
                <w:color w:val="auto"/>
                <w:kern w:val="0"/>
                <w:sz w:val="21"/>
                <w:szCs w:val="24"/>
                <w:highlight w:val="none"/>
                <w:lang w:eastAsia="zh-CN"/>
              </w:rPr>
              <w:t>万</w:t>
            </w:r>
            <w:r>
              <w:rPr>
                <w:rFonts w:hint="eastAsia" w:ascii="微软雅黑" w:hAnsi="微软雅黑" w:eastAsia="微软雅黑" w:cs="微软雅黑"/>
                <w:b/>
                <w:bCs/>
                <w:color w:val="auto"/>
                <w:kern w:val="0"/>
                <w:sz w:val="21"/>
                <w:szCs w:val="24"/>
                <w:highlight w:val="none"/>
              </w:rPr>
              <w:t>元）</w:t>
            </w:r>
          </w:p>
        </w:tc>
        <w:tc>
          <w:tcPr>
            <w:tcW w:w="1606" w:type="dxa"/>
            <w:tcBorders>
              <w:top w:val="single" w:color="auto" w:sz="4" w:space="0"/>
              <w:left w:val="single" w:color="auto" w:sz="4" w:space="0"/>
              <w:right w:val="single" w:color="auto" w:sz="4" w:space="0"/>
            </w:tcBorders>
          </w:tcPr>
          <w:p w14:paraId="244DF63E">
            <w:pPr>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成交供应商</w:t>
            </w:r>
          </w:p>
          <w:p w14:paraId="4925C23E">
            <w:pPr>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数量（名）</w:t>
            </w:r>
          </w:p>
        </w:tc>
      </w:tr>
      <w:tr w14:paraId="55E7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2681" w:type="dxa"/>
            <w:tcBorders>
              <w:top w:val="single" w:color="auto" w:sz="4" w:space="0"/>
              <w:left w:val="single" w:color="auto" w:sz="4" w:space="0"/>
              <w:bottom w:val="single" w:color="auto" w:sz="4" w:space="0"/>
              <w:right w:val="single" w:color="auto" w:sz="4" w:space="0"/>
            </w:tcBorders>
            <w:vAlign w:val="center"/>
          </w:tcPr>
          <w:p w14:paraId="7ADDDDBA">
            <w:pPr>
              <w:spacing w:line="400" w:lineRule="exact"/>
              <w:jc w:val="center"/>
              <w:rPr>
                <w:rFonts w:ascii="微软雅黑" w:hAnsi="微软雅黑" w:eastAsia="微软雅黑" w:cs="微软雅黑"/>
                <w:color w:val="auto"/>
                <w:sz w:val="21"/>
                <w:szCs w:val="21"/>
                <w:highlight w:val="none"/>
              </w:rPr>
            </w:pPr>
            <w:bookmarkStart w:id="7" w:name="_Hlk344477914"/>
            <w:r>
              <w:rPr>
                <w:rFonts w:hint="eastAsia" w:ascii="微软雅黑" w:hAnsi="微软雅黑" w:eastAsia="微软雅黑" w:cs="微软雅黑"/>
                <w:color w:val="auto"/>
                <w:sz w:val="24"/>
                <w:szCs w:val="24"/>
                <w:highlight w:val="none"/>
                <w:lang w:val="en-US" w:eastAsia="zh-CN"/>
              </w:rPr>
              <w:t>金科10年城40栋两部电梯更新工程项目</w:t>
            </w:r>
          </w:p>
        </w:tc>
        <w:tc>
          <w:tcPr>
            <w:tcW w:w="1648" w:type="dxa"/>
            <w:tcBorders>
              <w:top w:val="single" w:color="auto" w:sz="4" w:space="0"/>
              <w:left w:val="single" w:color="auto" w:sz="4" w:space="0"/>
              <w:bottom w:val="single" w:color="auto" w:sz="4" w:space="0"/>
              <w:right w:val="single" w:color="auto" w:sz="4" w:space="0"/>
            </w:tcBorders>
            <w:vAlign w:val="center"/>
          </w:tcPr>
          <w:p w14:paraId="01E2A55A">
            <w:pPr>
              <w:jc w:val="center"/>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1592" w:type="dxa"/>
            <w:tcBorders>
              <w:top w:val="single" w:color="auto" w:sz="4" w:space="0"/>
              <w:left w:val="single" w:color="auto" w:sz="4" w:space="0"/>
              <w:bottom w:val="single" w:color="auto" w:sz="4" w:space="0"/>
              <w:right w:val="single" w:color="auto" w:sz="4" w:space="0"/>
            </w:tcBorders>
            <w:vAlign w:val="center"/>
          </w:tcPr>
          <w:p w14:paraId="022B8836">
            <w:pPr>
              <w:jc w:val="center"/>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80</w:t>
            </w:r>
          </w:p>
        </w:tc>
        <w:tc>
          <w:tcPr>
            <w:tcW w:w="1592" w:type="dxa"/>
            <w:tcBorders>
              <w:top w:val="single" w:color="auto" w:sz="4" w:space="0"/>
              <w:left w:val="single" w:color="auto" w:sz="4" w:space="0"/>
              <w:bottom w:val="single" w:color="auto" w:sz="4" w:space="0"/>
              <w:right w:val="single" w:color="auto" w:sz="4" w:space="0"/>
            </w:tcBorders>
            <w:vAlign w:val="center"/>
          </w:tcPr>
          <w:p w14:paraId="47714CE3">
            <w:pPr>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1.6</w:t>
            </w:r>
          </w:p>
        </w:tc>
        <w:tc>
          <w:tcPr>
            <w:tcW w:w="1606" w:type="dxa"/>
            <w:tcBorders>
              <w:top w:val="single" w:color="auto" w:sz="4" w:space="0"/>
              <w:left w:val="single" w:color="auto" w:sz="4" w:space="0"/>
              <w:bottom w:val="single" w:color="auto" w:sz="4" w:space="0"/>
              <w:right w:val="single" w:color="auto" w:sz="4" w:space="0"/>
            </w:tcBorders>
            <w:vAlign w:val="center"/>
          </w:tcPr>
          <w:p w14:paraId="7545620A">
            <w:pPr>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r>
      <w:bookmarkEnd w:id="7"/>
    </w:tbl>
    <w:p w14:paraId="1E21ECDC">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color w:val="auto"/>
          <w:kern w:val="2"/>
          <w:sz w:val="24"/>
          <w:szCs w:val="24"/>
          <w:highlight w:val="none"/>
          <w:lang w:val="en-US" w:eastAsia="zh-CN" w:bidi="ar-SA"/>
        </w:rPr>
      </w:pPr>
      <w:bookmarkStart w:id="8" w:name="_Toc22157"/>
      <w:bookmarkStart w:id="9" w:name="_Toc25320"/>
      <w:bookmarkStart w:id="10" w:name="_Toc47094762"/>
      <w:bookmarkStart w:id="11" w:name="_Toc11135"/>
      <w:bookmarkStart w:id="12" w:name="_Toc373860293"/>
      <w:bookmarkStart w:id="13" w:name="_Toc317775178"/>
    </w:p>
    <w:p w14:paraId="0B6BECAC">
      <w:pPr>
        <w:pStyle w:val="2"/>
        <w:spacing w:line="400" w:lineRule="exact"/>
        <w:outlineLvl w:val="0"/>
        <w:rPr>
          <w:rFonts w:ascii="微软雅黑" w:hAnsi="微软雅黑" w:eastAsia="微软雅黑" w:cs="微软雅黑"/>
          <w:color w:val="auto"/>
          <w:sz w:val="24"/>
          <w:szCs w:val="24"/>
          <w:highlight w:val="none"/>
        </w:rPr>
      </w:pPr>
      <w:bookmarkStart w:id="14" w:name="_Toc2876"/>
      <w:bookmarkStart w:id="15" w:name="_Toc20739"/>
      <w:bookmarkStart w:id="16" w:name="_Toc969"/>
      <w:bookmarkStart w:id="17" w:name="_Toc47094761"/>
      <w:bookmarkStart w:id="18" w:name="_Toc20640"/>
      <w:bookmarkStart w:id="19" w:name="_Toc26489"/>
      <w:r>
        <w:rPr>
          <w:rFonts w:hint="eastAsia" w:ascii="微软雅黑" w:hAnsi="微软雅黑" w:eastAsia="微软雅黑" w:cs="微软雅黑"/>
          <w:color w:val="auto"/>
          <w:sz w:val="24"/>
          <w:szCs w:val="24"/>
          <w:highlight w:val="none"/>
        </w:rPr>
        <w:t>二、资金来源</w:t>
      </w:r>
      <w:bookmarkEnd w:id="14"/>
      <w:bookmarkEnd w:id="15"/>
      <w:bookmarkEnd w:id="16"/>
      <w:bookmarkEnd w:id="17"/>
      <w:bookmarkEnd w:id="18"/>
      <w:bookmarkEnd w:id="19"/>
    </w:p>
    <w:p w14:paraId="0E349A88">
      <w:pPr>
        <w:spacing w:line="400" w:lineRule="exact"/>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物业</w:t>
      </w:r>
      <w:r>
        <w:rPr>
          <w:rFonts w:hint="eastAsia" w:ascii="微软雅黑" w:hAnsi="微软雅黑" w:eastAsia="微软雅黑" w:cs="微软雅黑"/>
          <w:color w:val="auto"/>
          <w:sz w:val="24"/>
          <w:szCs w:val="24"/>
          <w:highlight w:val="none"/>
        </w:rPr>
        <w:t>专项维修资金</w:t>
      </w:r>
    </w:p>
    <w:p w14:paraId="381B7C2F">
      <w:pPr>
        <w:pStyle w:val="2"/>
        <w:spacing w:line="400" w:lineRule="exact"/>
        <w:rPr>
          <w:rFonts w:ascii="微软雅黑" w:hAnsi="微软雅黑" w:eastAsia="微软雅黑" w:cs="微软雅黑"/>
          <w:color w:val="auto"/>
          <w:sz w:val="24"/>
          <w:szCs w:val="24"/>
          <w:highlight w:val="none"/>
        </w:rPr>
      </w:pPr>
      <w:bookmarkStart w:id="20" w:name="_Toc25656"/>
      <w:r>
        <w:rPr>
          <w:rFonts w:hint="eastAsia" w:ascii="微软雅黑" w:hAnsi="微软雅黑" w:eastAsia="微软雅黑" w:cs="微软雅黑"/>
          <w:color w:val="auto"/>
          <w:sz w:val="24"/>
          <w:szCs w:val="24"/>
          <w:highlight w:val="none"/>
        </w:rPr>
        <w:t>三、供应商资格条件</w:t>
      </w:r>
      <w:bookmarkEnd w:id="8"/>
      <w:bookmarkEnd w:id="9"/>
      <w:bookmarkEnd w:id="10"/>
      <w:bookmarkEnd w:id="11"/>
      <w:bookmarkEnd w:id="20"/>
    </w:p>
    <w:p w14:paraId="45DC8F88">
      <w:pPr>
        <w:snapToGrid w:val="0"/>
        <w:spacing w:line="400" w:lineRule="exact"/>
        <w:ind w:firstLine="480" w:firstLineChars="200"/>
        <w:outlineLvl w:val="1"/>
        <w:rPr>
          <w:rFonts w:ascii="微软雅黑" w:hAnsi="微软雅黑" w:eastAsia="微软雅黑" w:cs="微软雅黑"/>
          <w:color w:val="auto"/>
          <w:sz w:val="24"/>
          <w:szCs w:val="24"/>
          <w:highlight w:val="none"/>
        </w:rPr>
      </w:pPr>
      <w:bookmarkStart w:id="21" w:name="_Toc9086"/>
      <w:bookmarkStart w:id="22" w:name="_Toc20379"/>
      <w:bookmarkStart w:id="23" w:name="_Toc19434"/>
      <w:bookmarkStart w:id="24" w:name="_Toc16272"/>
      <w:bookmarkStart w:id="25" w:name="_Toc47094763"/>
      <w:bookmarkStart w:id="26" w:name="_Toc9115"/>
      <w:r>
        <w:rPr>
          <w:rFonts w:hint="eastAsia" w:ascii="微软雅黑" w:hAnsi="微软雅黑" w:eastAsia="微软雅黑" w:cs="微软雅黑"/>
          <w:color w:val="auto"/>
          <w:sz w:val="24"/>
          <w:szCs w:val="24"/>
          <w:highlight w:val="none"/>
        </w:rPr>
        <w:t>（一）基本资格条件</w:t>
      </w:r>
      <w:bookmarkEnd w:id="21"/>
      <w:bookmarkEnd w:id="22"/>
      <w:bookmarkEnd w:id="23"/>
      <w:bookmarkEnd w:id="24"/>
    </w:p>
    <w:p w14:paraId="6531CBB2">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 具有独立承担民事责任的能力；</w:t>
      </w:r>
    </w:p>
    <w:p w14:paraId="66B18B9D">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 具有良好的商业信誉和健</w:t>
      </w:r>
      <w:bookmarkStart w:id="85" w:name="_GoBack"/>
      <w:bookmarkEnd w:id="85"/>
      <w:r>
        <w:rPr>
          <w:rFonts w:hint="eastAsia" w:ascii="微软雅黑" w:hAnsi="微软雅黑" w:eastAsia="微软雅黑" w:cs="微软雅黑"/>
          <w:color w:val="auto"/>
          <w:sz w:val="24"/>
          <w:szCs w:val="24"/>
          <w:highlight w:val="none"/>
        </w:rPr>
        <w:t>全的财务会计制度；</w:t>
      </w:r>
    </w:p>
    <w:p w14:paraId="4ED0370F">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 具有履行合同所必需的设备和专业技术能力；</w:t>
      </w:r>
    </w:p>
    <w:p w14:paraId="6B1C0F5A">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 有依法缴纳税收和社会保障资金的良好记录；</w:t>
      </w:r>
    </w:p>
    <w:p w14:paraId="211E8796">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 参加</w:t>
      </w:r>
      <w:r>
        <w:rPr>
          <w:rFonts w:hint="eastAsia" w:ascii="微软雅黑" w:hAnsi="微软雅黑" w:eastAsia="微软雅黑" w:cs="微软雅黑"/>
          <w:color w:val="auto"/>
          <w:sz w:val="24"/>
          <w:szCs w:val="24"/>
          <w:highlight w:val="none"/>
          <w:lang w:eastAsia="zh-CN"/>
        </w:rPr>
        <w:t>本项目</w:t>
      </w:r>
      <w:r>
        <w:rPr>
          <w:rFonts w:hint="eastAsia" w:ascii="微软雅黑" w:hAnsi="微软雅黑" w:eastAsia="微软雅黑" w:cs="微软雅黑"/>
          <w:color w:val="auto"/>
          <w:sz w:val="24"/>
          <w:szCs w:val="24"/>
          <w:highlight w:val="none"/>
        </w:rPr>
        <w:t>采购活动</w:t>
      </w:r>
      <w:r>
        <w:rPr>
          <w:rFonts w:hint="eastAsia" w:ascii="微软雅黑" w:hAnsi="微软雅黑" w:eastAsia="微软雅黑" w:cs="微软雅黑"/>
          <w:color w:val="auto"/>
          <w:sz w:val="24"/>
          <w:szCs w:val="24"/>
          <w:highlight w:val="none"/>
          <w:lang w:eastAsia="zh-CN"/>
        </w:rPr>
        <w:t>近</w:t>
      </w:r>
      <w:r>
        <w:rPr>
          <w:rFonts w:hint="eastAsia" w:ascii="微软雅黑" w:hAnsi="微软雅黑" w:eastAsia="微软雅黑" w:cs="微软雅黑"/>
          <w:color w:val="auto"/>
          <w:sz w:val="24"/>
          <w:szCs w:val="24"/>
          <w:highlight w:val="none"/>
        </w:rPr>
        <w:t>三年内，在经营活动中没有重大违法记录；</w:t>
      </w:r>
    </w:p>
    <w:p w14:paraId="3C53CB89">
      <w:pPr>
        <w:snapToGrid w:val="0"/>
        <w:spacing w:line="400" w:lineRule="exact"/>
        <w:ind w:firstLine="480" w:firstLineChars="200"/>
        <w:rPr>
          <w:rFonts w:hint="eastAsia" w:ascii="微软雅黑" w:hAnsi="微软雅黑" w:eastAsia="微软雅黑" w:cs="微软雅黑"/>
          <w:color w:val="auto"/>
          <w:sz w:val="24"/>
          <w:szCs w:val="24"/>
          <w:highlight w:val="none"/>
        </w:rPr>
      </w:pPr>
      <w:bookmarkStart w:id="27" w:name="OLE_LINK7"/>
      <w:r>
        <w:rPr>
          <w:rFonts w:hint="eastAsia" w:ascii="微软雅黑" w:hAnsi="微软雅黑" w:eastAsia="微软雅黑" w:cs="微软雅黑"/>
          <w:color w:val="auto"/>
          <w:sz w:val="24"/>
          <w:szCs w:val="24"/>
          <w:highlight w:val="none"/>
        </w:rPr>
        <w:t>6. 法律、行政法规规定的其他条件。</w:t>
      </w:r>
    </w:p>
    <w:bookmarkEnd w:id="27"/>
    <w:p w14:paraId="6F1A4609">
      <w:pPr>
        <w:snapToGrid w:val="0"/>
        <w:spacing w:line="400" w:lineRule="exact"/>
        <w:ind w:firstLine="480" w:firstLineChars="200"/>
        <w:outlineLvl w:val="1"/>
        <w:rPr>
          <w:rFonts w:hint="eastAsia" w:ascii="微软雅黑" w:hAnsi="微软雅黑" w:eastAsia="微软雅黑" w:cs="微软雅黑"/>
          <w:color w:val="auto"/>
          <w:sz w:val="24"/>
          <w:szCs w:val="24"/>
          <w:highlight w:val="none"/>
        </w:rPr>
      </w:pPr>
      <w:bookmarkStart w:id="28" w:name="_Toc31900"/>
      <w:bookmarkStart w:id="29" w:name="_Toc12446"/>
      <w:bookmarkStart w:id="30" w:name="_Toc22654"/>
      <w:bookmarkStart w:id="31" w:name="_Toc10828"/>
      <w:r>
        <w:rPr>
          <w:rFonts w:hint="eastAsia" w:ascii="微软雅黑" w:hAnsi="微软雅黑" w:eastAsia="微软雅黑" w:cs="微软雅黑"/>
          <w:color w:val="auto"/>
          <w:sz w:val="24"/>
          <w:szCs w:val="24"/>
          <w:highlight w:val="none"/>
        </w:rPr>
        <w:t>（二）特定资格条件</w:t>
      </w:r>
      <w:bookmarkEnd w:id="28"/>
      <w:bookmarkEnd w:id="29"/>
      <w:bookmarkEnd w:id="30"/>
      <w:bookmarkEnd w:id="31"/>
    </w:p>
    <w:p w14:paraId="11B3D4BA">
      <w:pPr>
        <w:snapToGrid w:val="0"/>
        <w:spacing w:line="400" w:lineRule="exact"/>
        <w:ind w:firstLine="480" w:firstLineChars="200"/>
        <w:rPr>
          <w:rFonts w:ascii="微软雅黑" w:hAnsi="微软雅黑" w:eastAsia="微软雅黑" w:cs="微软雅黑"/>
          <w:color w:val="auto"/>
          <w:sz w:val="24"/>
          <w:szCs w:val="24"/>
          <w:highlight w:val="none"/>
        </w:rPr>
      </w:pPr>
      <w:bookmarkStart w:id="32" w:name="_Toc51056416"/>
      <w:bookmarkStart w:id="33" w:name="_Toc51057643"/>
      <w:bookmarkStart w:id="34" w:name="_Toc51057733"/>
      <w:bookmarkStart w:id="35" w:name="_Toc16314"/>
      <w:bookmarkStart w:id="36" w:name="_Toc21744"/>
      <w:bookmarkStart w:id="37" w:name="_Toc19849"/>
      <w:r>
        <w:rPr>
          <w:rFonts w:hint="eastAsia" w:ascii="微软雅黑" w:hAnsi="微软雅黑" w:eastAsia="微软雅黑" w:cs="微软雅黑"/>
          <w:color w:val="auto"/>
          <w:sz w:val="24"/>
          <w:szCs w:val="24"/>
          <w:highlight w:val="none"/>
        </w:rPr>
        <w:t>1、电梯生产制造商参加</w:t>
      </w:r>
      <w:r>
        <w:rPr>
          <w:rFonts w:hint="eastAsia" w:ascii="微软雅黑" w:hAnsi="微软雅黑" w:eastAsia="微软雅黑" w:cs="微软雅黑"/>
          <w:color w:val="auto"/>
          <w:sz w:val="24"/>
          <w:szCs w:val="24"/>
          <w:highlight w:val="none"/>
          <w:lang w:val="en-US" w:eastAsia="zh-CN"/>
        </w:rPr>
        <w:t>比选</w:t>
      </w:r>
      <w:r>
        <w:rPr>
          <w:rFonts w:hint="eastAsia" w:ascii="微软雅黑" w:hAnsi="微软雅黑" w:eastAsia="微软雅黑" w:cs="微软雅黑"/>
          <w:color w:val="auto"/>
          <w:sz w:val="24"/>
          <w:szCs w:val="24"/>
          <w:highlight w:val="none"/>
        </w:rPr>
        <w:t>的必须具备以下资格：</w:t>
      </w:r>
      <w:bookmarkEnd w:id="32"/>
      <w:bookmarkEnd w:id="33"/>
      <w:bookmarkEnd w:id="34"/>
    </w:p>
    <w:p w14:paraId="59E40FAD">
      <w:pPr>
        <w:snapToGrid w:val="0"/>
        <w:spacing w:line="400" w:lineRule="exact"/>
        <w:ind w:firstLine="480" w:firstLineChars="200"/>
        <w:rPr>
          <w:rFonts w:ascii="微软雅黑" w:hAnsi="微软雅黑" w:eastAsia="微软雅黑" w:cs="微软雅黑"/>
          <w:color w:val="auto"/>
          <w:sz w:val="24"/>
          <w:szCs w:val="24"/>
          <w:highlight w:val="none"/>
        </w:rPr>
      </w:pPr>
      <w:bookmarkStart w:id="38" w:name="_Toc51056417"/>
      <w:bookmarkStart w:id="39" w:name="_Toc51057644"/>
      <w:bookmarkStart w:id="40" w:name="_Toc51057734"/>
      <w:r>
        <w:rPr>
          <w:rFonts w:hint="eastAsia" w:ascii="微软雅黑" w:hAnsi="微软雅黑" w:eastAsia="微软雅黑" w:cs="微软雅黑"/>
          <w:color w:val="auto"/>
          <w:sz w:val="24"/>
          <w:szCs w:val="24"/>
          <w:highlight w:val="none"/>
        </w:rPr>
        <w:t>（1）须在中华人民共和国境内合法注册的电梯制造商（经营范围包含电梯生产或制造），具有工商行政主管部门颁发的有效营业执照的电梯生产企业；</w:t>
      </w:r>
      <w:bookmarkEnd w:id="38"/>
      <w:bookmarkEnd w:id="39"/>
      <w:bookmarkEnd w:id="40"/>
    </w:p>
    <w:p w14:paraId="4FE3D82A">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（须提供有效的法人营业执照副本复印件并加盖电梯生产制造商公章）</w:t>
      </w:r>
    </w:p>
    <w:p w14:paraId="2EF0749E">
      <w:pPr>
        <w:snapToGrid w:val="0"/>
        <w:spacing w:line="400" w:lineRule="exact"/>
        <w:ind w:firstLine="480" w:firstLineChars="200"/>
        <w:rPr>
          <w:rFonts w:ascii="微软雅黑" w:hAnsi="微软雅黑" w:eastAsia="微软雅黑" w:cs="微软雅黑"/>
          <w:color w:val="auto"/>
          <w:sz w:val="24"/>
          <w:szCs w:val="24"/>
          <w:highlight w:val="none"/>
        </w:rPr>
      </w:pPr>
      <w:bookmarkStart w:id="41" w:name="_Toc51057735"/>
      <w:bookmarkStart w:id="42" w:name="_Toc51056418"/>
      <w:bookmarkStart w:id="43" w:name="_Toc51057645"/>
      <w:r>
        <w:rPr>
          <w:rFonts w:hint="eastAsia" w:ascii="微软雅黑" w:hAnsi="微软雅黑" w:eastAsia="微软雅黑" w:cs="微软雅黑"/>
          <w:color w:val="auto"/>
          <w:sz w:val="24"/>
          <w:szCs w:val="24"/>
          <w:highlight w:val="none"/>
        </w:rPr>
        <w:t>(2)</w:t>
      </w:r>
      <w:bookmarkEnd w:id="41"/>
      <w:bookmarkEnd w:id="42"/>
      <w:bookmarkEnd w:id="43"/>
      <w:r>
        <w:rPr>
          <w:rFonts w:hint="eastAsia" w:ascii="微软雅黑" w:hAnsi="微软雅黑" w:eastAsia="微软雅黑" w:cs="微软雅黑"/>
          <w:color w:val="auto"/>
          <w:sz w:val="24"/>
          <w:szCs w:val="24"/>
          <w:highlight w:val="none"/>
        </w:rPr>
        <w:t xml:space="preserve"> 具有中华人民共和国国家质量监督检验检疫总局颁发的且在有效期的《中华人民共和国特种设备制造许可证》(电梯)（乘客电梯A级资质）或具有市场监督管理部门颁发且在有效期的《中华人民共和国特种设备生产许可证》｛许可项目：电梯制造〔含安装、修理、改造〕｝。</w:t>
      </w:r>
    </w:p>
    <w:p w14:paraId="67C89F84">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 具有有关质量监督检验部门颁发的且在有效期的《中华人民共和国特种设备安装改造修理（或维修）许可证》〔（电梯）安装、改造、修理（或维修）〕（乘客电梯A级及以上资质）或具有市场监督管理部门颁发且在有效期的《中华人民共和国特种设备生产许可证》｛许可项目：电梯制造〔含安装、修理、改造〕｝。</w:t>
      </w:r>
    </w:p>
    <w:p w14:paraId="1B7D26CE">
      <w:pPr>
        <w:snapToGrid w:val="0"/>
        <w:spacing w:line="400" w:lineRule="exact"/>
        <w:ind w:firstLine="480" w:firstLineChars="200"/>
        <w:rPr>
          <w:rFonts w:eastAsia="微软雅黑"/>
          <w:color w:val="auto"/>
          <w:highlight w:val="none"/>
        </w:rPr>
      </w:pPr>
      <w:r>
        <w:rPr>
          <w:rFonts w:hint="eastAsia" w:ascii="微软雅黑" w:hAnsi="微软雅黑" w:eastAsia="微软雅黑" w:cs="微软雅黑"/>
          <w:color w:val="auto"/>
          <w:sz w:val="24"/>
          <w:szCs w:val="24"/>
          <w:highlight w:val="none"/>
        </w:rPr>
        <w:t>（须提供有效的证书复印件并加盖</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公章）</w:t>
      </w:r>
    </w:p>
    <w:p w14:paraId="5C6EBB33">
      <w:pPr>
        <w:snapToGrid w:val="0"/>
        <w:spacing w:line="400" w:lineRule="exact"/>
        <w:ind w:firstLine="480" w:firstLineChars="200"/>
        <w:rPr>
          <w:rFonts w:ascii="微软雅黑" w:hAnsi="微软雅黑" w:eastAsia="微软雅黑" w:cs="微软雅黑"/>
          <w:color w:val="auto"/>
          <w:sz w:val="24"/>
          <w:szCs w:val="24"/>
          <w:highlight w:val="none"/>
        </w:rPr>
      </w:pPr>
      <w:bookmarkStart w:id="44" w:name="_Toc51057736"/>
      <w:bookmarkStart w:id="45" w:name="_Toc51057646"/>
      <w:bookmarkStart w:id="46" w:name="_Toc51056419"/>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代理供应商</w:t>
      </w:r>
      <w:r>
        <w:rPr>
          <w:rFonts w:hint="eastAsia" w:ascii="微软雅黑" w:hAnsi="微软雅黑" w:eastAsia="微软雅黑" w:cs="微软雅黑"/>
          <w:color w:val="auto"/>
          <w:sz w:val="24"/>
          <w:szCs w:val="24"/>
          <w:highlight w:val="none"/>
        </w:rPr>
        <w:t>参加</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的必须具备以下资格：</w:t>
      </w:r>
      <w:bookmarkEnd w:id="44"/>
      <w:bookmarkEnd w:id="45"/>
      <w:bookmarkEnd w:id="46"/>
    </w:p>
    <w:p w14:paraId="2106576A">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（1）须在中华人民共和国境内合法注册的电梯安装企业，具有工商行政主管部门颁发的有效营业执照的电梯安装企业；</w:t>
      </w:r>
    </w:p>
    <w:p w14:paraId="16CEBE65">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（须提供有效的法人营业执照副本复印件并加盖</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公章，原件备查。）</w:t>
      </w:r>
    </w:p>
    <w:p w14:paraId="6E7FBA47">
      <w:pPr>
        <w:snapToGrid w:val="0"/>
        <w:spacing w:line="400" w:lineRule="exact"/>
        <w:ind w:firstLine="480" w:firstLineChars="200"/>
        <w:rPr>
          <w:rFonts w:ascii="微软雅黑" w:hAnsi="微软雅黑" w:eastAsia="微软雅黑" w:cs="微软雅黑"/>
          <w:color w:val="auto"/>
          <w:sz w:val="24"/>
          <w:szCs w:val="24"/>
          <w:highlight w:val="none"/>
        </w:rPr>
      </w:pPr>
      <w:bookmarkStart w:id="47" w:name="_Toc51056420"/>
      <w:bookmarkStart w:id="48" w:name="_Toc51057647"/>
      <w:bookmarkStart w:id="49" w:name="_Toc51057737"/>
      <w:r>
        <w:rPr>
          <w:rFonts w:hint="eastAsia" w:ascii="微软雅黑" w:hAnsi="微软雅黑" w:eastAsia="微软雅黑" w:cs="微软雅黑"/>
          <w:color w:val="auto"/>
          <w:sz w:val="24"/>
          <w:szCs w:val="24"/>
          <w:highlight w:val="none"/>
        </w:rPr>
        <w:t>（2）取得电梯生产制造商针对本项目所投产品的授权，对其授权的生产制造商必须满足生产制造商独立投标的资格条件（即特定资格条件第１条）；</w:t>
      </w:r>
      <w:bookmarkEnd w:id="47"/>
      <w:bookmarkEnd w:id="48"/>
      <w:bookmarkEnd w:id="49"/>
    </w:p>
    <w:p w14:paraId="3C83999E">
      <w:p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〔须提供生产制造商针对本项目授权资料的复印件，原件备查；须提供</w:t>
      </w:r>
      <w:r>
        <w:rPr>
          <w:rFonts w:hint="eastAsia" w:ascii="微软雅黑" w:hAnsi="微软雅黑" w:eastAsia="微软雅黑" w:cs="微软雅黑"/>
          <w:color w:val="auto"/>
          <w:sz w:val="24"/>
          <w:szCs w:val="24"/>
          <w:highlight w:val="none"/>
          <w:lang w:val="en-US" w:eastAsia="zh-CN"/>
        </w:rPr>
        <w:t>供应商</w:t>
      </w:r>
      <w:r>
        <w:rPr>
          <w:rFonts w:hint="eastAsia" w:ascii="微软雅黑" w:hAnsi="微软雅黑" w:eastAsia="微软雅黑" w:cs="微软雅黑"/>
          <w:color w:val="auto"/>
          <w:sz w:val="24"/>
          <w:szCs w:val="24"/>
          <w:highlight w:val="none"/>
        </w:rPr>
        <w:t>品牌生产制造商独立</w:t>
      </w:r>
      <w:r>
        <w:rPr>
          <w:rFonts w:hint="eastAsia" w:ascii="微软雅黑" w:hAnsi="微软雅黑" w:eastAsia="微软雅黑" w:cs="微软雅黑"/>
          <w:color w:val="auto"/>
          <w:sz w:val="24"/>
          <w:szCs w:val="24"/>
          <w:highlight w:val="none"/>
          <w:lang w:val="en-US" w:eastAsia="zh-CN"/>
        </w:rPr>
        <w:t>比选</w:t>
      </w:r>
      <w:r>
        <w:rPr>
          <w:rFonts w:hint="eastAsia" w:ascii="微软雅黑" w:hAnsi="微软雅黑" w:eastAsia="微软雅黑" w:cs="微软雅黑"/>
          <w:color w:val="auto"/>
          <w:sz w:val="24"/>
          <w:szCs w:val="24"/>
          <w:highlight w:val="none"/>
        </w:rPr>
        <w:t>所需的全部资格审查资料的复印件（即特定资格条件第１条）。上述复印件均需同时加盖生产制造商公章和代理</w:t>
      </w:r>
      <w:r>
        <w:rPr>
          <w:rFonts w:hint="eastAsia" w:ascii="微软雅黑" w:hAnsi="微软雅黑" w:eastAsia="微软雅黑" w:cs="微软雅黑"/>
          <w:color w:val="auto"/>
          <w:sz w:val="24"/>
          <w:szCs w:val="24"/>
          <w:highlight w:val="none"/>
          <w:lang w:eastAsia="zh-CN"/>
        </w:rPr>
        <w:t>供应</w:t>
      </w:r>
      <w:r>
        <w:rPr>
          <w:rFonts w:hint="eastAsia" w:ascii="微软雅黑" w:hAnsi="微软雅黑" w:eastAsia="微软雅黑" w:cs="微软雅黑"/>
          <w:color w:val="auto"/>
          <w:sz w:val="24"/>
          <w:szCs w:val="24"/>
          <w:highlight w:val="none"/>
        </w:rPr>
        <w:t>商公章。〕</w:t>
      </w:r>
    </w:p>
    <w:p w14:paraId="03712AE6">
      <w:pPr>
        <w:numPr>
          <w:ilvl w:val="0"/>
          <w:numId w:val="1"/>
        </w:numPr>
        <w:snapToGrid w:val="0"/>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具有有关质量监督检验部门颁发的且在有效期的《中华人民共和国特种设备安装改造修理（或维修）许可证》〔（电梯）安装、改造、修理（或维修）〕（乘客电梯A级及以上资质）或具有市场监督管理部门颁发且在有效期的《中华人民共和国特种设备生产许可证》｛许可项目：电梯安装（含修理）｝。</w:t>
      </w:r>
    </w:p>
    <w:p w14:paraId="030F4D81">
      <w:pPr>
        <w:numPr>
          <w:ilvl w:val="0"/>
          <w:numId w:val="2"/>
        </w:numPr>
        <w:snapToGrid w:val="0"/>
        <w:spacing w:line="400" w:lineRule="exact"/>
        <w:outlineLvl w:val="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询比有关说明</w:t>
      </w:r>
      <w:bookmarkEnd w:id="12"/>
      <w:bookmarkEnd w:id="25"/>
      <w:bookmarkEnd w:id="26"/>
      <w:bookmarkEnd w:id="35"/>
      <w:bookmarkEnd w:id="36"/>
      <w:bookmarkEnd w:id="37"/>
      <w:bookmarkStart w:id="50" w:name="_Toc1411"/>
      <w:bookmarkStart w:id="51" w:name="_Toc31116"/>
      <w:bookmarkStart w:id="52" w:name="_Toc88830797"/>
      <w:bookmarkStart w:id="53" w:name="_Toc47094764"/>
      <w:bookmarkStart w:id="54" w:name="_Toc373860294"/>
      <w:bookmarkStart w:id="55" w:name="_Toc19890"/>
    </w:p>
    <w:p w14:paraId="52A3A4AE">
      <w:pPr>
        <w:numPr>
          <w:ilvl w:val="0"/>
          <w:numId w:val="3"/>
        </w:numPr>
        <w:snapToGrid w:val="0"/>
        <w:spacing w:line="40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报名</w:t>
      </w:r>
      <w:bookmarkEnd w:id="50"/>
      <w:bookmarkEnd w:id="51"/>
      <w:bookmarkEnd w:id="52"/>
      <w:r>
        <w:rPr>
          <w:rFonts w:hint="eastAsia" w:ascii="微软雅黑" w:hAnsi="微软雅黑" w:eastAsia="微软雅黑" w:cs="微软雅黑"/>
          <w:color w:val="auto"/>
          <w:sz w:val="24"/>
          <w:szCs w:val="24"/>
          <w:highlight w:val="none"/>
        </w:rPr>
        <w:t>：请满足资格条件的供应商在询比</w:t>
      </w:r>
      <w:r>
        <w:rPr>
          <w:rFonts w:hint="eastAsia" w:ascii="微软雅黑" w:hAnsi="微软雅黑" w:eastAsia="微软雅黑" w:cs="微软雅黑"/>
          <w:color w:val="auto"/>
          <w:sz w:val="24"/>
          <w:szCs w:val="24"/>
          <w:highlight w:val="none"/>
          <w:lang w:eastAsia="zh-CN"/>
        </w:rPr>
        <w:t>文件发售期</w:t>
      </w:r>
      <w:r>
        <w:rPr>
          <w:rFonts w:hint="eastAsia" w:ascii="微软雅黑" w:hAnsi="微软雅黑" w:eastAsia="微软雅黑" w:cs="微软雅黑"/>
          <w:color w:val="auto"/>
          <w:sz w:val="24"/>
          <w:szCs w:val="24"/>
          <w:highlight w:val="none"/>
        </w:rPr>
        <w:t>内，每日上午09:00至12:00，下午14:00至17:00（北京时间），持单位营业执照（复印件加盖公章）、介绍信（或授权委托书原件）、身份证原件及复印件、文件发售登记表，在</w:t>
      </w:r>
      <w:r>
        <w:rPr>
          <w:rFonts w:hint="eastAsia" w:ascii="微软雅黑" w:hAnsi="微软雅黑" w:eastAsia="微软雅黑" w:cs="微软雅黑"/>
          <w:color w:val="auto"/>
          <w:sz w:val="24"/>
          <w:szCs w:val="24"/>
          <w:highlight w:val="none"/>
          <w:lang w:eastAsia="zh-CN"/>
        </w:rPr>
        <w:t>瑞天中寰商务信息咨询（重庆）有限公司</w:t>
      </w:r>
      <w:r>
        <w:rPr>
          <w:rFonts w:hint="eastAsia" w:ascii="微软雅黑" w:hAnsi="微软雅黑" w:eastAsia="微软雅黑" w:cs="微软雅黑"/>
          <w:color w:val="auto"/>
          <w:sz w:val="24"/>
          <w:szCs w:val="24"/>
          <w:highlight w:val="none"/>
        </w:rPr>
        <w:t>（地址：重庆市渝中区科协大厦909）报名及获取询比资料。</w:t>
      </w:r>
    </w:p>
    <w:p w14:paraId="4A12CEF9">
      <w:pPr>
        <w:snapToGrid w:val="0"/>
        <w:spacing w:line="40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注:未按上述要求报名的供应商不能参与本项目询比。</w:t>
      </w:r>
    </w:p>
    <w:p w14:paraId="60FEC7BE">
      <w:pPr>
        <w:spacing w:line="3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（二）询比公告期限：自询比公告发布之日（202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19</w:t>
      </w:r>
      <w:r>
        <w:rPr>
          <w:rFonts w:hint="eastAsia" w:ascii="微软雅黑" w:hAnsi="微软雅黑" w:eastAsia="微软雅黑" w:cs="微软雅黑"/>
          <w:color w:val="auto"/>
          <w:sz w:val="24"/>
          <w:szCs w:val="24"/>
          <w:highlight w:val="none"/>
        </w:rPr>
        <w:t>日）起</w:t>
      </w:r>
      <w:r>
        <w:rPr>
          <w:rFonts w:hint="eastAsia" w:ascii="微软雅黑" w:hAnsi="微软雅黑" w:eastAsia="微软雅黑" w:cs="微软雅黑"/>
          <w:color w:val="auto"/>
          <w:sz w:val="24"/>
          <w:szCs w:val="24"/>
          <w:highlight w:val="none"/>
          <w:lang w:val="en-US" w:eastAsia="zh-CN"/>
        </w:rPr>
        <w:t>十</w:t>
      </w:r>
      <w:r>
        <w:rPr>
          <w:rFonts w:hint="eastAsia" w:ascii="微软雅黑" w:hAnsi="微软雅黑" w:eastAsia="微软雅黑" w:cs="微软雅黑"/>
          <w:color w:val="auto"/>
          <w:sz w:val="24"/>
          <w:szCs w:val="24"/>
          <w:highlight w:val="none"/>
        </w:rPr>
        <w:t>个</w:t>
      </w:r>
      <w:r>
        <w:rPr>
          <w:rFonts w:hint="eastAsia" w:ascii="微软雅黑" w:hAnsi="微软雅黑" w:eastAsia="微软雅黑" w:cs="微软雅黑"/>
          <w:color w:val="auto"/>
          <w:sz w:val="24"/>
          <w:szCs w:val="24"/>
          <w:highlight w:val="none"/>
          <w:lang w:eastAsia="zh-CN"/>
        </w:rPr>
        <w:t>日历日</w:t>
      </w:r>
      <w:r>
        <w:rPr>
          <w:rFonts w:hint="eastAsia" w:ascii="微软雅黑" w:hAnsi="微软雅黑" w:eastAsia="微软雅黑" w:cs="微软雅黑"/>
          <w:color w:val="auto"/>
          <w:sz w:val="24"/>
          <w:szCs w:val="24"/>
          <w:highlight w:val="none"/>
        </w:rPr>
        <w:t>。（发布媒体：行采家www.gec123.com）</w:t>
      </w:r>
    </w:p>
    <w:p w14:paraId="12F70BA4">
      <w:pPr>
        <w:spacing w:line="3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（三）询比文件售价：人民币</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 xml:space="preserve">00元/份（报名及获取询比资料时现金或银行转账缴纳，售后不退）。 </w:t>
      </w:r>
    </w:p>
    <w:p w14:paraId="4A0EE9CD">
      <w:pPr>
        <w:spacing w:line="380" w:lineRule="exact"/>
        <w:ind w:firstLine="240" w:firstLineChars="100"/>
        <w:rPr>
          <w:rFonts w:ascii="微软雅黑" w:hAnsi="微软雅黑" w:eastAsia="微软雅黑" w:cs="微软雅黑"/>
          <w:color w:val="auto"/>
          <w:sz w:val="22"/>
          <w:szCs w:val="22"/>
          <w:highlight w:val="none"/>
        </w:rPr>
      </w:pPr>
      <w:bookmarkStart w:id="56" w:name="_Toc9920"/>
      <w:bookmarkStart w:id="57" w:name="_Toc88830798"/>
      <w:bookmarkStart w:id="58" w:name="_Toc29760"/>
      <w:r>
        <w:rPr>
          <w:rFonts w:hint="eastAsia" w:ascii="微软雅黑" w:hAnsi="微软雅黑" w:eastAsia="微软雅黑" w:cs="微软雅黑"/>
          <w:color w:val="auto"/>
          <w:sz w:val="24"/>
          <w:szCs w:val="24"/>
          <w:highlight w:val="none"/>
        </w:rPr>
        <w:t>（四）</w:t>
      </w:r>
      <w:bookmarkEnd w:id="56"/>
      <w:bookmarkEnd w:id="57"/>
      <w:bookmarkEnd w:id="58"/>
      <w:r>
        <w:rPr>
          <w:rFonts w:hint="eastAsia" w:ascii="微软雅黑" w:hAnsi="微软雅黑" w:eastAsia="微软雅黑" w:cs="微软雅黑"/>
          <w:color w:val="auto"/>
          <w:sz w:val="24"/>
          <w:szCs w:val="24"/>
          <w:highlight w:val="none"/>
        </w:rPr>
        <w:t>询比响应文件递交时间</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rPr>
        <w:t>年</w:t>
      </w:r>
      <w:r>
        <w:rPr>
          <w:rFonts w:hint="eastAsia" w:ascii="微软雅黑" w:hAnsi="微软雅黑" w:eastAsia="微软雅黑" w:cs="微软雅黑"/>
          <w:color w:val="auto"/>
          <w:sz w:val="24"/>
          <w:szCs w:val="24"/>
          <w:highlight w:val="none"/>
          <w:u w:val="single"/>
          <w:lang w:val="en-US" w:eastAsia="zh-CN"/>
        </w:rPr>
        <w:t>9</w:t>
      </w:r>
      <w:r>
        <w:rPr>
          <w:rFonts w:hint="eastAsia" w:ascii="微软雅黑" w:hAnsi="微软雅黑" w:eastAsia="微软雅黑" w:cs="微软雅黑"/>
          <w:color w:val="auto"/>
          <w:sz w:val="24"/>
          <w:szCs w:val="24"/>
          <w:highlight w:val="none"/>
          <w:u w:val="single"/>
        </w:rPr>
        <w:t>月</w:t>
      </w:r>
      <w:r>
        <w:rPr>
          <w:rFonts w:hint="eastAsia" w:ascii="微软雅黑" w:hAnsi="微软雅黑" w:eastAsia="微软雅黑" w:cs="微软雅黑"/>
          <w:color w:val="auto"/>
          <w:sz w:val="24"/>
          <w:szCs w:val="24"/>
          <w:highlight w:val="none"/>
          <w:u w:val="single"/>
          <w:lang w:val="en-US" w:eastAsia="zh-CN"/>
        </w:rPr>
        <w:t>29</w:t>
      </w:r>
      <w:r>
        <w:rPr>
          <w:rFonts w:hint="eastAsia" w:ascii="微软雅黑" w:hAnsi="微软雅黑" w:eastAsia="微软雅黑" w:cs="微软雅黑"/>
          <w:color w:val="auto"/>
          <w:sz w:val="24"/>
          <w:szCs w:val="24"/>
          <w:highlight w:val="none"/>
          <w:u w:val="single"/>
        </w:rPr>
        <w:t>日</w:t>
      </w:r>
      <w:r>
        <w:rPr>
          <w:rFonts w:hint="eastAsia" w:ascii="微软雅黑" w:hAnsi="微软雅黑" w:eastAsia="微软雅黑" w:cs="微软雅黑"/>
          <w:color w:val="auto"/>
          <w:sz w:val="24"/>
          <w:szCs w:val="24"/>
          <w:highlight w:val="none"/>
          <w:u w:val="single"/>
          <w:lang w:val="en-US" w:eastAsia="zh-CN"/>
        </w:rPr>
        <w:t>14:00-14:30</w:t>
      </w:r>
      <w:r>
        <w:rPr>
          <w:rFonts w:hint="eastAsia" w:ascii="微软雅黑" w:hAnsi="微软雅黑" w:eastAsia="微软雅黑" w:cs="微软雅黑"/>
          <w:color w:val="auto"/>
          <w:sz w:val="24"/>
          <w:szCs w:val="24"/>
          <w:highlight w:val="none"/>
        </w:rPr>
        <w:t>，递交地点为：</w:t>
      </w:r>
      <w:r>
        <w:rPr>
          <w:rFonts w:hint="eastAsia" w:ascii="微软雅黑" w:hAnsi="微软雅黑" w:eastAsia="微软雅黑" w:cs="微软雅黑"/>
          <w:color w:val="auto"/>
          <w:sz w:val="24"/>
          <w:szCs w:val="24"/>
          <w:highlight w:val="none"/>
          <w:u w:val="single"/>
          <w:lang w:eastAsia="zh-CN"/>
        </w:rPr>
        <w:t>金科10年城东区物业中心会议室</w:t>
      </w:r>
      <w:r>
        <w:rPr>
          <w:rFonts w:hint="eastAsia" w:ascii="微软雅黑" w:hAnsi="微软雅黑" w:eastAsia="微软雅黑" w:cs="微软雅黑"/>
          <w:color w:val="auto"/>
          <w:sz w:val="22"/>
          <w:szCs w:val="22"/>
          <w:highlight w:val="none"/>
        </w:rPr>
        <w:t>。</w:t>
      </w:r>
    </w:p>
    <w:p w14:paraId="1BC01FF5">
      <w:pPr>
        <w:spacing w:line="3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注:逾期送达或者未送达指定地点的询比申请文件，不予受理。</w:t>
      </w:r>
    </w:p>
    <w:p w14:paraId="6AF2EF1B">
      <w:pPr>
        <w:spacing w:line="380" w:lineRule="exact"/>
        <w:ind w:left="238" w:leftChars="85" w:firstLine="0" w:firstLineChars="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（五）询比地点：</w:t>
      </w:r>
      <w:r>
        <w:rPr>
          <w:rFonts w:hint="eastAsia" w:ascii="微软雅黑" w:hAnsi="微软雅黑" w:eastAsia="微软雅黑" w:cs="微软雅黑"/>
          <w:color w:val="auto"/>
          <w:sz w:val="24"/>
          <w:szCs w:val="24"/>
          <w:highlight w:val="none"/>
          <w:u w:val="single"/>
          <w:lang w:eastAsia="zh-CN"/>
        </w:rPr>
        <w:t>金科10年城东区物业中心会议室</w:t>
      </w:r>
      <w:r>
        <w:rPr>
          <w:rFonts w:hint="eastAsia" w:ascii="微软雅黑" w:hAnsi="微软雅黑" w:eastAsia="微软雅黑" w:cs="微软雅黑"/>
          <w:color w:val="auto"/>
          <w:sz w:val="24"/>
          <w:szCs w:val="24"/>
          <w:highlight w:val="none"/>
        </w:rPr>
        <w:t>，询比开始时间：</w:t>
      </w:r>
      <w:r>
        <w:rPr>
          <w:rFonts w:hint="eastAsia" w:ascii="微软雅黑" w:hAnsi="微软雅黑" w:eastAsia="微软雅黑" w:cs="微软雅黑"/>
          <w:color w:val="auto"/>
          <w:sz w:val="24"/>
          <w:szCs w:val="24"/>
          <w:highlight w:val="none"/>
          <w:u w:val="single"/>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rPr>
        <w:t>年</w:t>
      </w:r>
      <w:r>
        <w:rPr>
          <w:rFonts w:hint="eastAsia" w:ascii="微软雅黑" w:hAnsi="微软雅黑" w:eastAsia="微软雅黑" w:cs="微软雅黑"/>
          <w:color w:val="auto"/>
          <w:sz w:val="24"/>
          <w:szCs w:val="24"/>
          <w:highlight w:val="none"/>
          <w:u w:val="single"/>
          <w:lang w:val="en-US" w:eastAsia="zh-CN"/>
        </w:rPr>
        <w:t>9</w:t>
      </w:r>
      <w:r>
        <w:rPr>
          <w:rFonts w:hint="eastAsia" w:ascii="微软雅黑" w:hAnsi="微软雅黑" w:eastAsia="微软雅黑" w:cs="微软雅黑"/>
          <w:color w:val="auto"/>
          <w:sz w:val="24"/>
          <w:szCs w:val="24"/>
          <w:highlight w:val="none"/>
          <w:u w:val="single"/>
        </w:rPr>
        <w:t>月</w:t>
      </w:r>
      <w:r>
        <w:rPr>
          <w:rFonts w:hint="eastAsia" w:ascii="微软雅黑" w:hAnsi="微软雅黑" w:eastAsia="微软雅黑" w:cs="微软雅黑"/>
          <w:color w:val="auto"/>
          <w:sz w:val="24"/>
          <w:szCs w:val="24"/>
          <w:highlight w:val="none"/>
          <w:u w:val="single"/>
          <w:lang w:val="en-US" w:eastAsia="zh-CN"/>
        </w:rPr>
        <w:t>29</w:t>
      </w:r>
      <w:r>
        <w:rPr>
          <w:rFonts w:hint="eastAsia" w:ascii="微软雅黑" w:hAnsi="微软雅黑" w:eastAsia="微软雅黑" w:cs="微软雅黑"/>
          <w:color w:val="auto"/>
          <w:sz w:val="24"/>
          <w:szCs w:val="24"/>
          <w:highlight w:val="none"/>
          <w:u w:val="single"/>
        </w:rPr>
        <w:t>日</w:t>
      </w:r>
      <w:r>
        <w:rPr>
          <w:rFonts w:hint="eastAsia" w:ascii="微软雅黑" w:hAnsi="微软雅黑" w:eastAsia="微软雅黑" w:cs="微软雅黑"/>
          <w:color w:val="auto"/>
          <w:sz w:val="24"/>
          <w:szCs w:val="24"/>
          <w:highlight w:val="none"/>
          <w:u w:val="single"/>
          <w:lang w:val="en-US" w:eastAsia="zh-CN"/>
        </w:rPr>
        <w:t>14</w:t>
      </w:r>
      <w:r>
        <w:rPr>
          <w:rFonts w:hint="eastAsia" w:ascii="微软雅黑" w:hAnsi="微软雅黑" w:eastAsia="微软雅黑" w:cs="微软雅黑"/>
          <w:color w:val="auto"/>
          <w:sz w:val="24"/>
          <w:szCs w:val="24"/>
          <w:highlight w:val="none"/>
          <w:u w:val="single"/>
        </w:rPr>
        <w:t>时</w:t>
      </w:r>
      <w:r>
        <w:rPr>
          <w:rFonts w:hint="eastAsia" w:ascii="微软雅黑" w:hAnsi="微软雅黑" w:eastAsia="微软雅黑" w:cs="微软雅黑"/>
          <w:color w:val="auto"/>
          <w:sz w:val="24"/>
          <w:szCs w:val="24"/>
          <w:highlight w:val="none"/>
          <w:u w:val="single"/>
          <w:lang w:val="en-US" w:eastAsia="zh-CN"/>
        </w:rPr>
        <w:t>30</w:t>
      </w:r>
      <w:r>
        <w:rPr>
          <w:rFonts w:hint="eastAsia" w:ascii="微软雅黑" w:hAnsi="微软雅黑" w:eastAsia="微软雅黑" w:cs="微软雅黑"/>
          <w:color w:val="auto"/>
          <w:sz w:val="24"/>
          <w:szCs w:val="24"/>
          <w:highlight w:val="none"/>
          <w:u w:val="single"/>
        </w:rPr>
        <w:t>分</w:t>
      </w:r>
      <w:r>
        <w:rPr>
          <w:rFonts w:hint="eastAsia" w:ascii="微软雅黑" w:hAnsi="微软雅黑" w:eastAsia="微软雅黑" w:cs="微软雅黑"/>
          <w:color w:val="auto"/>
          <w:sz w:val="24"/>
          <w:szCs w:val="24"/>
          <w:highlight w:val="none"/>
        </w:rPr>
        <w:t>。</w:t>
      </w:r>
    </w:p>
    <w:p w14:paraId="3BD5BFCF">
      <w:pPr>
        <w:pStyle w:val="2"/>
        <w:spacing w:line="380" w:lineRule="exact"/>
        <w:rPr>
          <w:rFonts w:ascii="微软雅黑" w:hAnsi="微软雅黑" w:eastAsia="微软雅黑" w:cs="微软雅黑"/>
          <w:color w:val="auto"/>
          <w:sz w:val="24"/>
          <w:szCs w:val="24"/>
          <w:highlight w:val="none"/>
        </w:rPr>
      </w:pPr>
      <w:bookmarkStart w:id="59" w:name="_Toc8865"/>
      <w:bookmarkStart w:id="60" w:name="_Toc13712"/>
      <w:bookmarkStart w:id="61" w:name="_Toc14398"/>
      <w:r>
        <w:rPr>
          <w:rFonts w:hint="eastAsia" w:ascii="微软雅黑" w:hAnsi="微软雅黑" w:eastAsia="微软雅黑" w:cs="微软雅黑"/>
          <w:color w:val="auto"/>
          <w:sz w:val="24"/>
          <w:szCs w:val="24"/>
          <w:highlight w:val="none"/>
        </w:rPr>
        <w:t>五、询比保证金</w:t>
      </w:r>
      <w:bookmarkEnd w:id="53"/>
      <w:bookmarkEnd w:id="54"/>
      <w:bookmarkEnd w:id="55"/>
      <w:bookmarkEnd w:id="59"/>
      <w:bookmarkEnd w:id="60"/>
      <w:bookmarkEnd w:id="61"/>
    </w:p>
    <w:p w14:paraId="468C6325">
      <w:pPr>
        <w:spacing w:line="380" w:lineRule="exact"/>
        <w:ind w:firstLine="480" w:firstLineChars="200"/>
        <w:rPr>
          <w:rFonts w:ascii="微软雅黑" w:hAnsi="微软雅黑" w:eastAsia="微软雅黑" w:cs="微软雅黑"/>
          <w:color w:val="auto"/>
          <w:sz w:val="24"/>
          <w:szCs w:val="24"/>
          <w:highlight w:val="none"/>
        </w:rPr>
      </w:pPr>
      <w:bookmarkStart w:id="62" w:name="_Toc47094766"/>
      <w:bookmarkStart w:id="63" w:name="_Toc23972"/>
      <w:r>
        <w:rPr>
          <w:rFonts w:hint="eastAsia" w:ascii="微软雅黑" w:hAnsi="微软雅黑" w:eastAsia="微软雅黑" w:cs="微软雅黑"/>
          <w:color w:val="auto"/>
          <w:sz w:val="24"/>
          <w:szCs w:val="24"/>
          <w:highlight w:val="none"/>
        </w:rPr>
        <w:t>1、供应商应足额交纳询比保证金人民币：</w:t>
      </w:r>
      <w:r>
        <w:rPr>
          <w:rFonts w:hint="eastAsia" w:ascii="微软雅黑" w:hAnsi="微软雅黑" w:eastAsia="微软雅黑" w:cs="微软雅黑"/>
          <w:color w:val="auto"/>
          <w:sz w:val="24"/>
          <w:szCs w:val="24"/>
          <w:highlight w:val="none"/>
          <w:lang w:val="en-US" w:eastAsia="zh-CN"/>
        </w:rPr>
        <w:t>16000</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大写</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壹万陆仟元</w:t>
      </w:r>
      <w:r>
        <w:rPr>
          <w:rFonts w:hint="eastAsia" w:ascii="微软雅黑" w:hAnsi="微软雅黑" w:eastAsia="微软雅黑" w:cs="微软雅黑"/>
          <w:color w:val="auto"/>
          <w:sz w:val="24"/>
          <w:szCs w:val="24"/>
          <w:highlight w:val="none"/>
          <w:lang w:eastAsia="zh-CN"/>
        </w:rPr>
        <w:t>整）</w:t>
      </w:r>
      <w:r>
        <w:rPr>
          <w:rFonts w:hint="eastAsia" w:ascii="微软雅黑" w:hAnsi="微软雅黑" w:eastAsia="微软雅黑" w:cs="微软雅黑"/>
          <w:color w:val="auto"/>
          <w:sz w:val="24"/>
          <w:szCs w:val="24"/>
          <w:highlight w:val="none"/>
        </w:rPr>
        <w:t>，缴纳方式：银行转帐。缴纳截止时间：</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28</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lang w:val="en-US" w:eastAsia="zh-CN"/>
        </w:rPr>
        <w:t>17</w:t>
      </w:r>
      <w:r>
        <w:rPr>
          <w:rFonts w:hint="eastAsia" w:ascii="微软雅黑" w:hAnsi="微软雅黑" w:eastAsia="微软雅黑" w:cs="微软雅黑"/>
          <w:color w:val="auto"/>
          <w:sz w:val="24"/>
          <w:szCs w:val="24"/>
          <w:highlight w:val="none"/>
        </w:rPr>
        <w:t>时</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分。</w:t>
      </w:r>
    </w:p>
    <w:p w14:paraId="25D8DFF5">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2、供应商自行将询比保证金单据同询比申请文件一并提交，供应商未按时足额提交招询比保证金，视为自动放弃询比。</w:t>
      </w:r>
    </w:p>
    <w:p w14:paraId="61DEA058">
      <w:pPr>
        <w:spacing w:line="380" w:lineRule="exact"/>
        <w:ind w:firstLine="480" w:firstLineChars="200"/>
        <w:outlineLvl w:val="1"/>
        <w:rPr>
          <w:rFonts w:ascii="微软雅黑" w:hAnsi="微软雅黑" w:eastAsia="微软雅黑" w:cs="微软雅黑"/>
          <w:color w:val="auto"/>
          <w:sz w:val="24"/>
          <w:szCs w:val="24"/>
          <w:highlight w:val="none"/>
        </w:rPr>
      </w:pPr>
      <w:bookmarkStart w:id="64" w:name="_Toc22777"/>
      <w:bookmarkStart w:id="65" w:name="_Toc1648"/>
      <w:bookmarkStart w:id="66" w:name="_Toc7338"/>
      <w:bookmarkStart w:id="67" w:name="_Toc18482"/>
      <w:r>
        <w:rPr>
          <w:rFonts w:hint="eastAsia" w:ascii="微软雅黑" w:hAnsi="微软雅黑" w:eastAsia="微软雅黑" w:cs="微软雅黑"/>
          <w:color w:val="auto"/>
          <w:sz w:val="24"/>
          <w:szCs w:val="24"/>
          <w:highlight w:val="none"/>
        </w:rPr>
        <w:t>3、询比保证金退还（不计息）：</w:t>
      </w:r>
      <w:bookmarkEnd w:id="64"/>
      <w:bookmarkEnd w:id="65"/>
      <w:bookmarkEnd w:id="66"/>
      <w:bookmarkEnd w:id="67"/>
    </w:p>
    <w:p w14:paraId="2BCCB3A1">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（1）未成交单位的询比保证金</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在成交通知书发放后，代理机构5个工作日内按来款渠道直接退还。</w:t>
      </w:r>
    </w:p>
    <w:bookmarkEnd w:id="13"/>
    <w:bookmarkEnd w:id="62"/>
    <w:bookmarkEnd w:id="63"/>
    <w:p w14:paraId="73AEDEFA">
      <w:pPr>
        <w:spacing w:line="400" w:lineRule="exact"/>
        <w:ind w:firstLine="480" w:firstLineChars="200"/>
        <w:rPr>
          <w:rFonts w:ascii="微软雅黑" w:hAnsi="微软雅黑" w:eastAsia="微软雅黑" w:cs="微软雅黑"/>
          <w:color w:val="auto"/>
          <w:sz w:val="24"/>
          <w:szCs w:val="24"/>
          <w:highlight w:val="none"/>
        </w:rPr>
      </w:pPr>
      <w:bookmarkStart w:id="68" w:name="_Toc10769"/>
      <w:bookmarkStart w:id="69" w:name="_Toc11942"/>
      <w:bookmarkStart w:id="70" w:name="_Toc19057"/>
      <w:bookmarkStart w:id="71" w:name="_Toc26922"/>
      <w:bookmarkStart w:id="72" w:name="_Toc47094767"/>
      <w:r>
        <w:rPr>
          <w:rFonts w:hint="eastAsia" w:ascii="微软雅黑" w:hAnsi="微软雅黑" w:eastAsia="微软雅黑" w:cs="微软雅黑"/>
          <w:color w:val="auto"/>
          <w:sz w:val="24"/>
          <w:szCs w:val="24"/>
          <w:highlight w:val="none"/>
        </w:rPr>
        <w:t>（2）成交供应商的询比保证金，在成交供应商与采购人签订合同后，代理机构</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日内按资金来款渠道直接退还。</w:t>
      </w:r>
    </w:p>
    <w:p w14:paraId="36D31505">
      <w:pPr>
        <w:pStyle w:val="2"/>
        <w:spacing w:line="380" w:lineRule="exact"/>
        <w:rPr>
          <w:rFonts w:hint="eastAsia" w:ascii="微软雅黑" w:hAnsi="微软雅黑" w:eastAsia="微软雅黑" w:cs="微软雅黑"/>
          <w:color w:val="auto"/>
          <w:sz w:val="24"/>
          <w:szCs w:val="24"/>
          <w:highlight w:val="none"/>
          <w:lang w:eastAsia="zh-CN"/>
        </w:rPr>
      </w:pPr>
      <w:bookmarkStart w:id="73" w:name="_Toc4043"/>
      <w:r>
        <w:rPr>
          <w:rFonts w:hint="eastAsia" w:ascii="微软雅黑" w:hAnsi="微软雅黑" w:eastAsia="微软雅黑" w:cs="微软雅黑"/>
          <w:color w:val="auto"/>
          <w:sz w:val="24"/>
          <w:szCs w:val="24"/>
          <w:highlight w:val="none"/>
        </w:rPr>
        <w:t>六、</w:t>
      </w:r>
      <w:bookmarkEnd w:id="68"/>
      <w:bookmarkEnd w:id="69"/>
      <w:bookmarkEnd w:id="70"/>
      <w:bookmarkEnd w:id="73"/>
      <w:r>
        <w:rPr>
          <w:rFonts w:hint="eastAsia" w:ascii="微软雅黑" w:hAnsi="微软雅黑" w:eastAsia="微软雅黑" w:cs="微软雅黑"/>
          <w:color w:val="auto"/>
          <w:sz w:val="24"/>
          <w:szCs w:val="24"/>
          <w:highlight w:val="none"/>
        </w:rPr>
        <w:t>采购代理服务费</w:t>
      </w:r>
    </w:p>
    <w:p w14:paraId="3715C7E0">
      <w:pPr>
        <w:spacing w:line="38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采购代理</w:t>
      </w:r>
      <w:r>
        <w:rPr>
          <w:rFonts w:hint="eastAsia" w:ascii="微软雅黑" w:hAnsi="微软雅黑" w:eastAsia="微软雅黑" w:cs="微软雅黑"/>
          <w:color w:val="auto"/>
          <w:sz w:val="24"/>
          <w:szCs w:val="24"/>
          <w:highlight w:val="none"/>
          <w:lang w:eastAsia="zh-CN"/>
        </w:rPr>
        <w:t>服务</w:t>
      </w:r>
      <w:r>
        <w:rPr>
          <w:rFonts w:hint="eastAsia" w:ascii="微软雅黑" w:hAnsi="微软雅黑" w:eastAsia="微软雅黑" w:cs="微软雅黑"/>
          <w:color w:val="auto"/>
          <w:sz w:val="24"/>
          <w:szCs w:val="24"/>
          <w:highlight w:val="none"/>
        </w:rPr>
        <w:t>费：</w:t>
      </w:r>
      <w:r>
        <w:rPr>
          <w:rFonts w:hint="eastAsia" w:ascii="微软雅黑" w:hAnsi="微软雅黑" w:eastAsia="微软雅黑" w:cs="微软雅黑"/>
          <w:color w:val="auto"/>
          <w:sz w:val="24"/>
          <w:szCs w:val="24"/>
          <w:highlight w:val="none"/>
          <w:lang w:eastAsia="zh-CN"/>
        </w:rPr>
        <w:t>按</w:t>
      </w:r>
      <w:r>
        <w:rPr>
          <w:rFonts w:hint="eastAsia" w:ascii="微软雅黑" w:hAnsi="微软雅黑" w:eastAsia="微软雅黑" w:cs="微软雅黑"/>
          <w:color w:val="auto"/>
          <w:sz w:val="24"/>
          <w:szCs w:val="24"/>
          <w:highlight w:val="none"/>
        </w:rPr>
        <w:t>固定标准收费</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3000</w:t>
      </w:r>
      <w:r>
        <w:rPr>
          <w:rFonts w:hint="eastAsia" w:ascii="微软雅黑" w:hAnsi="微软雅黑" w:eastAsia="微软雅黑" w:cs="微软雅黑"/>
          <w:color w:val="auto"/>
          <w:sz w:val="24"/>
          <w:szCs w:val="24"/>
          <w:highlight w:val="none"/>
        </w:rPr>
        <w:t>元(大写：</w:t>
      </w:r>
      <w:r>
        <w:rPr>
          <w:rFonts w:hint="eastAsia" w:ascii="微软雅黑" w:hAnsi="微软雅黑" w:eastAsia="微软雅黑" w:cs="微软雅黑"/>
          <w:color w:val="auto"/>
          <w:sz w:val="24"/>
          <w:szCs w:val="24"/>
          <w:highlight w:val="none"/>
          <w:lang w:eastAsia="zh-CN"/>
        </w:rPr>
        <w:t>叁仟</w:t>
      </w:r>
      <w:r>
        <w:rPr>
          <w:rFonts w:hint="eastAsia" w:ascii="微软雅黑" w:hAnsi="微软雅黑" w:eastAsia="微软雅黑" w:cs="微软雅黑"/>
          <w:color w:val="auto"/>
          <w:sz w:val="24"/>
          <w:szCs w:val="24"/>
          <w:highlight w:val="none"/>
        </w:rPr>
        <w:t>元整)</w:t>
      </w:r>
      <w:r>
        <w:rPr>
          <w:rFonts w:hint="eastAsia" w:ascii="微软雅黑" w:hAnsi="微软雅黑" w:eastAsia="微软雅黑" w:cs="微软雅黑"/>
          <w:color w:val="auto"/>
          <w:sz w:val="24"/>
          <w:szCs w:val="24"/>
          <w:highlight w:val="none"/>
          <w:lang w:eastAsia="zh-CN"/>
        </w:rPr>
        <w:t>。</w:t>
      </w:r>
    </w:p>
    <w:p w14:paraId="4D229204">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由</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rPr>
        <w:t>供应商领取成交通知书时一次性支付</w:t>
      </w:r>
      <w:r>
        <w:rPr>
          <w:rFonts w:hint="eastAsia" w:ascii="微软雅黑" w:hAnsi="微软雅黑" w:eastAsia="微软雅黑" w:cs="微软雅黑"/>
          <w:color w:val="auto"/>
          <w:sz w:val="24"/>
          <w:szCs w:val="24"/>
          <w:highlight w:val="none"/>
          <w:lang w:eastAsia="zh-CN"/>
        </w:rPr>
        <w:t>给代理机构</w:t>
      </w:r>
      <w:r>
        <w:rPr>
          <w:rFonts w:hint="eastAsia" w:ascii="微软雅黑" w:hAnsi="微软雅黑" w:eastAsia="微软雅黑" w:cs="微软雅黑"/>
          <w:color w:val="auto"/>
          <w:sz w:val="24"/>
          <w:szCs w:val="24"/>
          <w:highlight w:val="none"/>
        </w:rPr>
        <w:t>。</w:t>
      </w:r>
    </w:p>
    <w:p w14:paraId="4688056B">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询比保证金、采购文件购买费及采购</w:t>
      </w:r>
      <w:r>
        <w:rPr>
          <w:rFonts w:hint="eastAsia" w:ascii="微软雅黑" w:hAnsi="微软雅黑" w:eastAsia="微软雅黑" w:cs="微软雅黑"/>
          <w:color w:val="auto"/>
          <w:sz w:val="24"/>
          <w:szCs w:val="24"/>
          <w:highlight w:val="none"/>
          <w:lang w:eastAsia="zh-CN"/>
        </w:rPr>
        <w:t>相关费用</w:t>
      </w:r>
      <w:r>
        <w:rPr>
          <w:rFonts w:hint="eastAsia" w:ascii="微软雅黑" w:hAnsi="微软雅黑" w:eastAsia="微软雅黑" w:cs="微软雅黑"/>
          <w:color w:val="auto"/>
          <w:sz w:val="24"/>
          <w:szCs w:val="24"/>
          <w:highlight w:val="none"/>
        </w:rPr>
        <w:t>缴纳账户：</w:t>
      </w:r>
    </w:p>
    <w:p w14:paraId="77703A0B">
      <w:pPr>
        <w:spacing w:line="400" w:lineRule="exac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开户名称：</w:t>
      </w:r>
      <w:r>
        <w:rPr>
          <w:rFonts w:hint="eastAsia" w:ascii="微软雅黑" w:hAnsi="微软雅黑" w:eastAsia="微软雅黑" w:cs="微软雅黑"/>
          <w:color w:val="auto"/>
          <w:sz w:val="24"/>
          <w:highlight w:val="none"/>
          <w:lang w:eastAsia="zh-CN"/>
        </w:rPr>
        <w:t>瑞天中寰商务信息咨询（重庆）有限公司</w:t>
      </w:r>
    </w:p>
    <w:p w14:paraId="14D6205D">
      <w:pPr>
        <w:spacing w:line="40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开户行：中国银行重庆江北支行</w:t>
      </w:r>
    </w:p>
    <w:p w14:paraId="2147C150">
      <w:pPr>
        <w:spacing w:line="3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账</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号：108868610478</w:t>
      </w:r>
    </w:p>
    <w:p w14:paraId="00BC23EB">
      <w:pPr>
        <w:pStyle w:val="2"/>
        <w:spacing w:line="380" w:lineRule="exact"/>
        <w:rPr>
          <w:rFonts w:ascii="微软雅黑" w:hAnsi="微软雅黑" w:eastAsia="微软雅黑" w:cs="微软雅黑"/>
          <w:color w:val="auto"/>
          <w:sz w:val="24"/>
          <w:szCs w:val="24"/>
          <w:highlight w:val="none"/>
        </w:rPr>
      </w:pPr>
      <w:bookmarkStart w:id="74" w:name="_Toc30964"/>
      <w:bookmarkStart w:id="75" w:name="_Toc27432"/>
      <w:bookmarkStart w:id="76" w:name="_Toc9019"/>
      <w:r>
        <w:rPr>
          <w:rFonts w:hint="eastAsia" w:ascii="微软雅黑" w:hAnsi="微软雅黑" w:eastAsia="微软雅黑" w:cs="微软雅黑"/>
          <w:color w:val="auto"/>
          <w:sz w:val="24"/>
          <w:szCs w:val="24"/>
          <w:highlight w:val="none"/>
        </w:rPr>
        <w:t>七、联系方式</w:t>
      </w:r>
      <w:bookmarkEnd w:id="71"/>
      <w:bookmarkEnd w:id="72"/>
      <w:bookmarkEnd w:id="74"/>
      <w:bookmarkEnd w:id="75"/>
      <w:bookmarkEnd w:id="76"/>
    </w:p>
    <w:p w14:paraId="70E3503D">
      <w:pPr>
        <w:snapToGrid w:val="0"/>
        <w:spacing w:line="380" w:lineRule="exact"/>
        <w:ind w:firstLine="480" w:firstLineChars="200"/>
        <w:rPr>
          <w:rFonts w:hint="eastAsia" w:ascii="微软雅黑" w:hAnsi="微软雅黑" w:eastAsia="微软雅黑" w:cs="微软雅黑"/>
          <w:color w:val="auto"/>
          <w:sz w:val="24"/>
          <w:szCs w:val="24"/>
          <w:highlight w:val="none"/>
          <w:lang w:val="en-US" w:eastAsia="zh-CN"/>
        </w:rPr>
      </w:pPr>
      <w:bookmarkStart w:id="77" w:name="_Toc4894"/>
      <w:bookmarkStart w:id="78" w:name="_Toc22296"/>
      <w:bookmarkStart w:id="79" w:name="_Toc6584"/>
      <w:bookmarkStart w:id="80" w:name="_Toc29063"/>
      <w:r>
        <w:rPr>
          <w:rFonts w:hint="eastAsia" w:ascii="微软雅黑" w:hAnsi="微软雅黑" w:eastAsia="微软雅黑" w:cs="微软雅黑"/>
          <w:color w:val="auto"/>
          <w:sz w:val="24"/>
          <w:szCs w:val="24"/>
          <w:highlight w:val="none"/>
        </w:rPr>
        <w:t>（一）</w:t>
      </w:r>
      <w:bookmarkEnd w:id="77"/>
      <w:bookmarkEnd w:id="78"/>
      <w:bookmarkEnd w:id="79"/>
      <w:bookmarkEnd w:id="80"/>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金科智慧服务集团股份有限公司重庆分公司</w:t>
      </w:r>
      <w:r>
        <w:rPr>
          <w:rFonts w:hint="eastAsia" w:ascii="微软雅黑" w:hAnsi="微软雅黑" w:eastAsia="微软雅黑" w:cs="微软雅黑"/>
          <w:color w:val="auto"/>
          <w:sz w:val="24"/>
          <w:szCs w:val="24"/>
          <w:highlight w:val="none"/>
          <w:lang w:val="en-US" w:eastAsia="zh-CN"/>
        </w:rPr>
        <w:tab/>
      </w:r>
    </w:p>
    <w:p w14:paraId="04B6ED58">
      <w:pPr>
        <w:snapToGrid w:val="0"/>
        <w:spacing w:line="380" w:lineRule="exact"/>
        <w:ind w:firstLine="1200" w:firstLineChars="5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eastAsia="zh-CN"/>
        </w:rPr>
        <w:t>徐</w:t>
      </w:r>
      <w:r>
        <w:rPr>
          <w:rFonts w:hint="eastAsia" w:ascii="微软雅黑" w:hAnsi="微软雅黑" w:eastAsia="微软雅黑" w:cs="微软雅黑"/>
          <w:color w:val="auto"/>
          <w:sz w:val="24"/>
          <w:szCs w:val="24"/>
          <w:highlight w:val="none"/>
        </w:rPr>
        <w:t>老师</w:t>
      </w:r>
    </w:p>
    <w:p w14:paraId="1EBBD907">
      <w:pPr>
        <w:snapToGrid w:val="0"/>
        <w:spacing w:line="380" w:lineRule="exact"/>
        <w:ind w:firstLine="1200" w:firstLineChars="5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lang w:val="en-US" w:eastAsia="zh-CN"/>
        </w:rPr>
        <w:t>15826041718</w:t>
      </w:r>
    </w:p>
    <w:p w14:paraId="44977B9B">
      <w:pPr>
        <w:snapToGrid w:val="0"/>
        <w:spacing w:line="380" w:lineRule="exact"/>
        <w:ind w:firstLine="1200" w:firstLineChars="500"/>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lang w:eastAsia="zh-CN"/>
        </w:rPr>
        <w:t>重庆市江北区金科</w:t>
      </w:r>
      <w:r>
        <w:rPr>
          <w:rFonts w:hint="eastAsia" w:ascii="微软雅黑" w:hAnsi="微软雅黑" w:eastAsia="微软雅黑" w:cs="微软雅黑"/>
          <w:color w:val="auto"/>
          <w:sz w:val="24"/>
          <w:szCs w:val="24"/>
          <w:highlight w:val="none"/>
          <w:lang w:val="en-US" w:eastAsia="zh-CN"/>
        </w:rPr>
        <w:t>10年城物业中心</w:t>
      </w:r>
    </w:p>
    <w:p w14:paraId="46E720A0">
      <w:pPr>
        <w:snapToGrid w:val="0"/>
        <w:spacing w:line="380" w:lineRule="exact"/>
        <w:ind w:firstLine="480" w:firstLineChars="200"/>
        <w:outlineLvl w:val="1"/>
        <w:rPr>
          <w:rFonts w:hint="eastAsia" w:ascii="微软雅黑" w:hAnsi="微软雅黑" w:eastAsia="微软雅黑" w:cs="微软雅黑"/>
          <w:color w:val="auto"/>
          <w:sz w:val="24"/>
          <w:szCs w:val="24"/>
          <w:highlight w:val="none"/>
          <w:lang w:eastAsia="zh-CN"/>
        </w:rPr>
      </w:pPr>
      <w:bookmarkStart w:id="81" w:name="_Toc28511"/>
      <w:bookmarkStart w:id="82" w:name="_Toc12533"/>
      <w:bookmarkStart w:id="83" w:name="_Toc21457"/>
      <w:bookmarkStart w:id="84" w:name="_Toc31665"/>
      <w:r>
        <w:rPr>
          <w:rFonts w:hint="eastAsia" w:ascii="微软雅黑" w:hAnsi="微软雅黑" w:eastAsia="微软雅黑" w:cs="微软雅黑"/>
          <w:color w:val="auto"/>
          <w:sz w:val="24"/>
          <w:szCs w:val="24"/>
          <w:highlight w:val="none"/>
        </w:rPr>
        <w:t>（二）采购代理机构：</w:t>
      </w:r>
      <w:bookmarkEnd w:id="81"/>
      <w:bookmarkEnd w:id="82"/>
      <w:bookmarkEnd w:id="83"/>
      <w:bookmarkEnd w:id="84"/>
      <w:r>
        <w:rPr>
          <w:rFonts w:hint="eastAsia" w:ascii="微软雅黑" w:hAnsi="微软雅黑" w:eastAsia="微软雅黑" w:cs="微软雅黑"/>
          <w:color w:val="auto"/>
          <w:sz w:val="24"/>
          <w:szCs w:val="24"/>
          <w:highlight w:val="none"/>
          <w:lang w:eastAsia="zh-CN"/>
        </w:rPr>
        <w:t>瑞天中寰商务信息咨询（重庆）有限公司</w:t>
      </w:r>
    </w:p>
    <w:p w14:paraId="5AE21055">
      <w:pPr>
        <w:snapToGrid w:val="0"/>
        <w:spacing w:line="380" w:lineRule="exact"/>
        <w:ind w:firstLine="1200" w:firstLineChars="5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陈</w:t>
      </w:r>
      <w:r>
        <w:rPr>
          <w:rFonts w:hint="eastAsia" w:ascii="微软雅黑" w:hAnsi="微软雅黑" w:eastAsia="微软雅黑" w:cs="微软雅黑"/>
          <w:color w:val="auto"/>
          <w:sz w:val="24"/>
          <w:szCs w:val="24"/>
          <w:highlight w:val="none"/>
        </w:rPr>
        <w:t>老师</w:t>
      </w:r>
    </w:p>
    <w:p w14:paraId="479D0482">
      <w:pPr>
        <w:snapToGrid w:val="0"/>
        <w:spacing w:line="380" w:lineRule="exact"/>
        <w:ind w:firstLine="1200" w:firstLineChars="5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lang w:val="en-US" w:eastAsia="zh-CN"/>
        </w:rPr>
        <w:t>023-63302437</w:t>
      </w:r>
    </w:p>
    <w:p w14:paraId="53FE1628">
      <w:pPr>
        <w:snapToGrid w:val="0"/>
        <w:spacing w:line="380" w:lineRule="exact"/>
        <w:ind w:firstLine="1200" w:firstLineChars="500"/>
      </w:pPr>
      <w:r>
        <w:rPr>
          <w:rFonts w:hint="eastAsia" w:ascii="微软雅黑" w:hAnsi="微软雅黑" w:eastAsia="微软雅黑" w:cs="微软雅黑"/>
          <w:color w:val="auto"/>
          <w:sz w:val="24"/>
          <w:szCs w:val="24"/>
          <w:highlight w:val="none"/>
        </w:rPr>
        <w:t>地  址：重庆市</w:t>
      </w:r>
      <w:r>
        <w:rPr>
          <w:rFonts w:hint="eastAsia" w:ascii="微软雅黑" w:hAnsi="微软雅黑" w:eastAsia="微软雅黑" w:cs="微软雅黑"/>
          <w:color w:val="auto"/>
          <w:sz w:val="24"/>
          <w:szCs w:val="24"/>
          <w:highlight w:val="none"/>
          <w:lang w:eastAsia="zh-CN"/>
        </w:rPr>
        <w:t>渝中区科协大厦</w:t>
      </w:r>
      <w:r>
        <w:rPr>
          <w:rFonts w:hint="eastAsia" w:ascii="微软雅黑" w:hAnsi="微软雅黑" w:eastAsia="微软雅黑" w:cs="微软雅黑"/>
          <w:color w:val="auto"/>
          <w:sz w:val="24"/>
          <w:szCs w:val="24"/>
          <w:highlight w:val="none"/>
          <w:lang w:val="en-US" w:eastAsia="zh-CN"/>
        </w:rPr>
        <w:t>909</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1FA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C5E021">
                          <w:pPr>
                            <w:pStyle w:val="4"/>
                            <w:tabs>
                              <w:tab w:val="center" w:pos="3322"/>
                              <w:tab w:val="right" w:pos="6644"/>
                              <w:tab w:val="clear" w:pos="4153"/>
                              <w:tab w:val="clear" w:pos="8306"/>
                            </w:tabs>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52C5E021">
                    <w:pPr>
                      <w:pStyle w:val="4"/>
                      <w:tabs>
                        <w:tab w:val="center" w:pos="3322"/>
                        <w:tab w:val="right" w:pos="6644"/>
                        <w:tab w:val="clear" w:pos="4153"/>
                        <w:tab w:val="clear"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73F93"/>
    <w:multiLevelType w:val="singleLevel"/>
    <w:tmpl w:val="9C473F93"/>
    <w:lvl w:ilvl="0" w:tentative="0">
      <w:start w:val="1"/>
      <w:numFmt w:val="chineseCounting"/>
      <w:suff w:val="nothing"/>
      <w:lvlText w:val="（%1）"/>
      <w:lvlJc w:val="left"/>
      <w:rPr>
        <w:rFonts w:hint="eastAsia"/>
      </w:rPr>
    </w:lvl>
  </w:abstractNum>
  <w:abstractNum w:abstractNumId="1">
    <w:nsid w:val="B81BDEFE"/>
    <w:multiLevelType w:val="singleLevel"/>
    <w:tmpl w:val="B81BDEFE"/>
    <w:lvl w:ilvl="0" w:tentative="0">
      <w:start w:val="4"/>
      <w:numFmt w:val="chineseCounting"/>
      <w:suff w:val="nothing"/>
      <w:lvlText w:val="%1、"/>
      <w:lvlJc w:val="left"/>
      <w:rPr>
        <w:rFonts w:hint="eastAsia"/>
      </w:rPr>
    </w:lvl>
  </w:abstractNum>
  <w:abstractNum w:abstractNumId="2">
    <w:nsid w:val="F7EA3A41"/>
    <w:multiLevelType w:val="singleLevel"/>
    <w:tmpl w:val="F7EA3A41"/>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25BB2"/>
    <w:rsid w:val="05B50C5A"/>
    <w:rsid w:val="48C2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3"/>
    <w:basedOn w:val="1"/>
    <w:next w:val="1"/>
    <w:qFormat/>
    <w:uiPriority w:val="0"/>
    <w:pPr>
      <w:keepNext/>
      <w:keepLines/>
      <w:spacing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2003</Words>
  <Characters>2133</Characters>
  <Lines>0</Lines>
  <Paragraphs>0</Paragraphs>
  <TotalTime>0</TotalTime>
  <ScaleCrop>false</ScaleCrop>
  <LinksUpToDate>false</LinksUpToDate>
  <CharactersWithSpaces>2153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2025-09-19T07:07:00Z</dcterms:created>
  <dc:creator>Administrator</dc:creator>
  <cp:lastModifiedBy> 夕儿.chan</cp:lastModifiedBy>
  <dcterms:modified xsi:type="dcterms:W3CDTF">2025-09-22T09:33:48Z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53680EB1A395423793AFF9CBDB97DF01_11</vt:lpwstr>
  </property>
  <property fmtid="{D5CDD505-2E9C-101B-9397-08002B2CF9AE}" pid="4" name="KSOTemplateDocerSaveRecord">
    <vt:lpwstr>eyJoZGlkIjoiZjA3NTc0NmIwMTM4ZmVlODJiMDE3ODg3Yzc1MmZhOTciLCJ1c2VySWQiOiIzMTIxNTA5NTQifQ==</vt:lpwstr>
  </property>
</Properties>
</file>