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CC5F8">
      <w:pPr>
        <w:autoSpaceDE w:val="0"/>
        <w:autoSpaceDN w:val="0"/>
        <w:adjustRightInd w:val="0"/>
        <w:snapToGrid w:val="0"/>
        <w:spacing w:line="360" w:lineRule="auto"/>
        <w:jc w:val="center"/>
        <w:rPr>
          <w:b/>
          <w:color w:val="auto"/>
          <w:kern w:val="0"/>
          <w:sz w:val="28"/>
          <w:szCs w:val="28"/>
          <w:highlight w:val="none"/>
        </w:rPr>
      </w:pPr>
      <w:bookmarkStart w:id="0" w:name="_Toc9785"/>
      <w:bookmarkStart w:id="1" w:name="_Toc287620665"/>
      <w:bookmarkStart w:id="2" w:name="_Toc31730"/>
    </w:p>
    <w:p w14:paraId="22DB1D16">
      <w:pPr>
        <w:autoSpaceDE w:val="0"/>
        <w:autoSpaceDN w:val="0"/>
        <w:adjustRightInd w:val="0"/>
        <w:snapToGrid w:val="0"/>
        <w:spacing w:line="360" w:lineRule="auto"/>
        <w:jc w:val="center"/>
        <w:rPr>
          <w:rFonts w:hint="eastAsia" w:ascii="宋体" w:hAnsi="宋体" w:eastAsia="宋体"/>
          <w:b/>
          <w:color w:val="auto"/>
          <w:sz w:val="52"/>
          <w:szCs w:val="52"/>
          <w:highlight w:val="none"/>
          <w:lang w:eastAsia="zh-CN"/>
        </w:rPr>
      </w:pPr>
      <w:r>
        <w:rPr>
          <w:rFonts w:hint="eastAsia"/>
          <w:b/>
          <w:color w:val="auto"/>
          <w:kern w:val="0"/>
          <w:sz w:val="32"/>
          <w:szCs w:val="32"/>
          <w:highlight w:val="none"/>
          <w:lang w:eastAsia="zh-CN"/>
        </w:rPr>
        <w:t>南岸区弹子石片区居民共有产权雨水管网改造工程监理</w:t>
      </w:r>
    </w:p>
    <w:p w14:paraId="369AA5B7">
      <w:pPr>
        <w:pStyle w:val="10"/>
        <w:snapToGrid w:val="0"/>
        <w:spacing w:line="360" w:lineRule="auto"/>
        <w:ind w:left="0" w:right="0" w:firstLine="0" w:firstLineChars="0"/>
        <w:rPr>
          <w:rFonts w:ascii="宋体" w:hAnsi="宋体" w:eastAsia="宋体"/>
          <w:b/>
          <w:color w:val="auto"/>
          <w:sz w:val="56"/>
          <w:szCs w:val="56"/>
          <w:highlight w:val="none"/>
        </w:rPr>
      </w:pPr>
    </w:p>
    <w:p w14:paraId="76303A44">
      <w:pPr>
        <w:pStyle w:val="10"/>
        <w:snapToGrid w:val="0"/>
        <w:spacing w:line="360" w:lineRule="auto"/>
        <w:ind w:left="0" w:right="0" w:firstLine="0" w:firstLineChars="0"/>
        <w:jc w:val="center"/>
        <w:rPr>
          <w:rFonts w:ascii="宋体" w:hAnsi="宋体" w:eastAsia="宋体"/>
          <w:b/>
          <w:color w:val="auto"/>
          <w:sz w:val="84"/>
          <w:szCs w:val="84"/>
          <w:highlight w:val="none"/>
        </w:rPr>
      </w:pPr>
    </w:p>
    <w:p w14:paraId="3F60E59A">
      <w:pPr>
        <w:autoSpaceDE w:val="0"/>
        <w:autoSpaceDN w:val="0"/>
        <w:adjustRightInd w:val="0"/>
        <w:snapToGrid w:val="0"/>
        <w:spacing w:line="360" w:lineRule="auto"/>
        <w:jc w:val="center"/>
        <w:rPr>
          <w:rFonts w:ascii="黑体" w:hAnsi="黑体" w:eastAsia="黑体" w:cs="黑体"/>
          <w:b/>
          <w:color w:val="auto"/>
          <w:kern w:val="0"/>
          <w:sz w:val="72"/>
          <w:szCs w:val="72"/>
          <w:highlight w:val="none"/>
        </w:rPr>
      </w:pPr>
      <w:r>
        <w:rPr>
          <w:rFonts w:hint="eastAsia" w:ascii="黑体" w:hAnsi="黑体" w:eastAsia="黑体" w:cs="黑体"/>
          <w:b/>
          <w:color w:val="auto"/>
          <w:kern w:val="0"/>
          <w:sz w:val="72"/>
          <w:szCs w:val="72"/>
          <w:highlight w:val="none"/>
        </w:rPr>
        <w:t>竞争性比选文件</w:t>
      </w:r>
    </w:p>
    <w:p w14:paraId="6ADA5849">
      <w:pPr>
        <w:autoSpaceDE w:val="0"/>
        <w:autoSpaceDN w:val="0"/>
        <w:adjustRightInd w:val="0"/>
        <w:snapToGrid w:val="0"/>
        <w:spacing w:line="360" w:lineRule="auto"/>
        <w:jc w:val="center"/>
        <w:rPr>
          <w:rFonts w:ascii="宋体" w:hAnsi="宋体"/>
          <w:color w:val="auto"/>
          <w:kern w:val="0"/>
          <w:position w:val="-5"/>
          <w:sz w:val="44"/>
          <w:szCs w:val="44"/>
          <w:highlight w:val="none"/>
        </w:rPr>
      </w:pPr>
    </w:p>
    <w:p w14:paraId="1646AAB3">
      <w:pPr>
        <w:pStyle w:val="8"/>
        <w:rPr>
          <w:color w:val="auto"/>
          <w:highlight w:val="none"/>
        </w:rPr>
      </w:pPr>
    </w:p>
    <w:p w14:paraId="29CC99BF">
      <w:pPr>
        <w:pStyle w:val="5"/>
        <w:rPr>
          <w:color w:val="auto"/>
          <w:highlight w:val="none"/>
        </w:rPr>
      </w:pPr>
    </w:p>
    <w:p w14:paraId="10B147F4">
      <w:pPr>
        <w:rPr>
          <w:color w:val="auto"/>
          <w:highlight w:val="none"/>
        </w:rPr>
      </w:pPr>
    </w:p>
    <w:p w14:paraId="40DA67AD">
      <w:pPr>
        <w:rPr>
          <w:color w:val="auto"/>
          <w:highlight w:val="none"/>
        </w:rPr>
      </w:pPr>
    </w:p>
    <w:p w14:paraId="6600F8E6">
      <w:pPr>
        <w:rPr>
          <w:color w:val="auto"/>
          <w:highlight w:val="none"/>
        </w:rPr>
      </w:pPr>
    </w:p>
    <w:p w14:paraId="4CC6E9FF">
      <w:pPr>
        <w:rPr>
          <w:color w:val="auto"/>
          <w:highlight w:val="none"/>
        </w:rPr>
      </w:pPr>
    </w:p>
    <w:p w14:paraId="45C0B25A">
      <w:pPr>
        <w:rPr>
          <w:color w:val="auto"/>
          <w:highlight w:val="none"/>
        </w:rPr>
      </w:pPr>
    </w:p>
    <w:p w14:paraId="6BE6A2A1">
      <w:pPr>
        <w:rPr>
          <w:color w:val="auto"/>
          <w:highlight w:val="none"/>
        </w:rPr>
      </w:pPr>
    </w:p>
    <w:p w14:paraId="535994BD">
      <w:pPr>
        <w:rPr>
          <w:color w:val="auto"/>
          <w:highlight w:val="none"/>
        </w:rPr>
      </w:pPr>
    </w:p>
    <w:p w14:paraId="6A78779E">
      <w:pPr>
        <w:autoSpaceDE w:val="0"/>
        <w:autoSpaceDN w:val="0"/>
        <w:adjustRightInd w:val="0"/>
        <w:snapToGrid w:val="0"/>
        <w:spacing w:line="360" w:lineRule="auto"/>
        <w:jc w:val="center"/>
        <w:rPr>
          <w:rFonts w:ascii="宋体" w:hAnsi="宋体"/>
          <w:b/>
          <w:color w:val="auto"/>
          <w:kern w:val="0"/>
          <w:position w:val="-5"/>
          <w:sz w:val="32"/>
          <w:szCs w:val="48"/>
          <w:highlight w:val="none"/>
        </w:rPr>
      </w:pPr>
    </w:p>
    <w:p w14:paraId="7F66F978">
      <w:pPr>
        <w:spacing w:line="800" w:lineRule="exact"/>
        <w:ind w:firstLine="843" w:firstLineChars="300"/>
        <w:rPr>
          <w:color w:val="auto"/>
          <w:sz w:val="28"/>
          <w:szCs w:val="28"/>
          <w:highlight w:val="none"/>
        </w:rPr>
      </w:pPr>
      <w:r>
        <w:rPr>
          <w:rFonts w:hint="eastAsia" w:ascii="宋体" w:hAnsi="宋体" w:cs="宋体"/>
          <w:b/>
          <w:color w:val="auto"/>
          <w:sz w:val="28"/>
          <w:szCs w:val="28"/>
          <w:highlight w:val="none"/>
        </w:rPr>
        <w:t>比选人：</w:t>
      </w:r>
      <w:r>
        <w:rPr>
          <w:rFonts w:hint="eastAsia" w:ascii="宋体" w:hAnsi="宋体" w:cs="宋体"/>
          <w:b/>
          <w:color w:val="auto"/>
          <w:sz w:val="28"/>
          <w:szCs w:val="28"/>
          <w:highlight w:val="none"/>
          <w:u w:val="single"/>
          <w:lang w:eastAsia="zh-CN"/>
        </w:rPr>
        <w:t>重庆市南岸区城市建设发展（集团）有限公司</w:t>
      </w:r>
      <w:r>
        <w:rPr>
          <w:rFonts w:hint="eastAsia" w:ascii="宋体" w:hAnsi="宋体" w:cs="宋体"/>
          <w:b/>
          <w:color w:val="auto"/>
          <w:sz w:val="28"/>
          <w:szCs w:val="28"/>
          <w:highlight w:val="none"/>
          <w:u w:val="single"/>
        </w:rPr>
        <w:t>（盖单位法人章）</w:t>
      </w:r>
    </w:p>
    <w:p w14:paraId="7F41F3E0">
      <w:pPr>
        <w:spacing w:line="800" w:lineRule="exact"/>
        <w:ind w:firstLine="843" w:firstLineChars="300"/>
        <w:rPr>
          <w:rFonts w:ascii="宋体" w:hAnsi="宋体" w:cs="宋体"/>
          <w:b/>
          <w:color w:val="auto"/>
          <w:sz w:val="28"/>
          <w:szCs w:val="28"/>
          <w:highlight w:val="none"/>
        </w:rPr>
      </w:pPr>
      <w:r>
        <w:rPr>
          <w:rFonts w:hint="eastAsia" w:ascii="宋体" w:hAnsi="宋体" w:cs="宋体"/>
          <w:b/>
          <w:color w:val="auto"/>
          <w:sz w:val="28"/>
          <w:szCs w:val="28"/>
          <w:highlight w:val="none"/>
        </w:rPr>
        <w:t>比选代理机构：</w:t>
      </w:r>
      <w:r>
        <w:rPr>
          <w:rFonts w:hint="eastAsia" w:ascii="宋体" w:hAnsi="宋体" w:cs="宋体"/>
          <w:b/>
          <w:color w:val="auto"/>
          <w:sz w:val="28"/>
          <w:szCs w:val="28"/>
          <w:highlight w:val="none"/>
          <w:u w:val="single"/>
        </w:rPr>
        <w:t>中资（重庆）工程咨询有限公司 （盖单位法人章）</w:t>
      </w:r>
    </w:p>
    <w:p w14:paraId="45B1703F">
      <w:pPr>
        <w:pStyle w:val="44"/>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0B5164E8">
      <w:pPr>
        <w:pStyle w:val="44"/>
        <w:jc w:val="center"/>
        <w:rPr>
          <w:rFonts w:ascii="宋体" w:hAnsi="宋体" w:cs="宋体"/>
          <w:b/>
          <w:color w:val="auto"/>
          <w:sz w:val="30"/>
          <w:szCs w:val="30"/>
          <w:highlight w:val="none"/>
        </w:rPr>
      </w:pPr>
    </w:p>
    <w:p w14:paraId="10CEC493">
      <w:pPr>
        <w:pStyle w:val="44"/>
        <w:jc w:val="center"/>
        <w:rPr>
          <w:rFonts w:ascii="宋体" w:hAnsi="宋体" w:cs="宋体"/>
          <w:b/>
          <w:color w:val="auto"/>
          <w:sz w:val="30"/>
          <w:szCs w:val="30"/>
          <w:highlight w:val="none"/>
        </w:rPr>
      </w:pPr>
    </w:p>
    <w:p w14:paraId="69D959E4">
      <w:pPr>
        <w:autoSpaceDE w:val="0"/>
        <w:autoSpaceDN w:val="0"/>
        <w:adjustRightInd w:val="0"/>
        <w:snapToGrid w:val="0"/>
        <w:spacing w:line="360" w:lineRule="auto"/>
        <w:jc w:val="center"/>
        <w:rPr>
          <w:rFonts w:ascii="宋体" w:hAnsi="宋体"/>
          <w:b/>
          <w:color w:val="auto"/>
          <w:spacing w:val="8"/>
          <w:kern w:val="0"/>
          <w:sz w:val="28"/>
          <w:szCs w:val="28"/>
          <w:highlight w:val="none"/>
        </w:rPr>
      </w:pPr>
      <w:r>
        <w:rPr>
          <w:rFonts w:hint="eastAsia" w:ascii="宋体" w:hAnsi="宋体"/>
          <w:b/>
          <w:color w:val="auto"/>
          <w:spacing w:val="8"/>
          <w:kern w:val="0"/>
          <w:sz w:val="28"/>
          <w:szCs w:val="28"/>
          <w:highlight w:val="none"/>
          <w:u w:val="single"/>
        </w:rPr>
        <w:t>2025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u w:val="single"/>
          <w:lang w:val="en-US" w:eastAsia="zh-CN"/>
        </w:rPr>
        <w:t>8</w:t>
      </w:r>
      <w:r>
        <w:rPr>
          <w:rFonts w:ascii="宋体" w:hAnsi="宋体"/>
          <w:b/>
          <w:color w:val="auto"/>
          <w:spacing w:val="8"/>
          <w:kern w:val="0"/>
          <w:sz w:val="28"/>
          <w:szCs w:val="28"/>
          <w:highlight w:val="none"/>
        </w:rPr>
        <w:t>月</w:t>
      </w:r>
    </w:p>
    <w:p w14:paraId="49220132">
      <w:pPr>
        <w:rPr>
          <w:rFonts w:ascii="宋体" w:hAnsi="宋体"/>
          <w:b/>
          <w:color w:val="auto"/>
          <w:spacing w:val="8"/>
          <w:kern w:val="0"/>
          <w:sz w:val="28"/>
          <w:szCs w:val="28"/>
          <w:highlight w:val="none"/>
        </w:rPr>
      </w:pPr>
    </w:p>
    <w:p w14:paraId="2ED6ACDF">
      <w:pPr>
        <w:pStyle w:val="5"/>
        <w:jc w:val="center"/>
        <w:rPr>
          <w:color w:val="auto"/>
          <w:highlight w:val="none"/>
        </w:rPr>
      </w:pPr>
      <w:r>
        <w:rPr>
          <w:rFonts w:hint="eastAsia"/>
          <w:color w:val="auto"/>
          <w:highlight w:val="none"/>
        </w:rPr>
        <w:t>目  录</w:t>
      </w:r>
    </w:p>
    <w:p w14:paraId="067BA0FB">
      <w:pPr>
        <w:pStyle w:val="5"/>
        <w:rPr>
          <w:color w:val="auto"/>
          <w:sz w:val="28"/>
          <w:szCs w:val="28"/>
          <w:highlight w:val="none"/>
        </w:rPr>
      </w:pPr>
      <w:r>
        <w:rPr>
          <w:rFonts w:hint="eastAsia"/>
          <w:color w:val="auto"/>
          <w:sz w:val="28"/>
          <w:szCs w:val="28"/>
          <w:highlight w:val="none"/>
        </w:rPr>
        <w:t>第一章 比选公告</w:t>
      </w:r>
    </w:p>
    <w:p w14:paraId="6DD44CB9">
      <w:pPr>
        <w:pStyle w:val="5"/>
        <w:rPr>
          <w:color w:val="auto"/>
          <w:sz w:val="28"/>
          <w:szCs w:val="28"/>
          <w:highlight w:val="none"/>
        </w:rPr>
      </w:pPr>
      <w:r>
        <w:rPr>
          <w:rFonts w:hint="eastAsia"/>
          <w:color w:val="auto"/>
          <w:sz w:val="28"/>
          <w:szCs w:val="28"/>
          <w:highlight w:val="none"/>
        </w:rPr>
        <w:t>第二章 竞选人须知</w:t>
      </w:r>
    </w:p>
    <w:p w14:paraId="3CCC546C">
      <w:pPr>
        <w:pStyle w:val="5"/>
        <w:rPr>
          <w:color w:val="auto"/>
          <w:sz w:val="28"/>
          <w:szCs w:val="28"/>
          <w:highlight w:val="none"/>
        </w:rPr>
      </w:pPr>
      <w:r>
        <w:rPr>
          <w:rFonts w:hint="eastAsia"/>
          <w:color w:val="auto"/>
          <w:sz w:val="28"/>
          <w:szCs w:val="28"/>
          <w:highlight w:val="none"/>
        </w:rPr>
        <w:t>第三章 评选办法</w:t>
      </w:r>
    </w:p>
    <w:p w14:paraId="762A2394">
      <w:pPr>
        <w:pStyle w:val="5"/>
        <w:rPr>
          <w:color w:val="auto"/>
          <w:sz w:val="28"/>
          <w:szCs w:val="28"/>
          <w:highlight w:val="none"/>
        </w:rPr>
      </w:pPr>
      <w:r>
        <w:rPr>
          <w:rFonts w:hint="eastAsia"/>
          <w:color w:val="auto"/>
          <w:sz w:val="28"/>
          <w:szCs w:val="28"/>
          <w:highlight w:val="none"/>
        </w:rPr>
        <w:t>第四章 合同条款及格式</w:t>
      </w:r>
    </w:p>
    <w:p w14:paraId="0C977AFF">
      <w:pPr>
        <w:rPr>
          <w:b/>
          <w:bCs/>
          <w:color w:val="auto"/>
          <w:sz w:val="28"/>
          <w:szCs w:val="28"/>
          <w:highlight w:val="none"/>
        </w:rPr>
      </w:pPr>
      <w:r>
        <w:rPr>
          <w:rFonts w:hint="eastAsia"/>
          <w:b/>
          <w:bCs/>
          <w:color w:val="auto"/>
          <w:sz w:val="28"/>
          <w:szCs w:val="28"/>
          <w:highlight w:val="none"/>
        </w:rPr>
        <w:t>第五章 竞选文件格式</w:t>
      </w:r>
    </w:p>
    <w:bookmarkEnd w:id="0"/>
    <w:bookmarkEnd w:id="1"/>
    <w:bookmarkEnd w:id="2"/>
    <w:sdt>
      <w:sdtPr>
        <w:rPr>
          <w:rFonts w:ascii="宋体" w:hAnsi="宋体"/>
          <w:color w:val="auto"/>
          <w:highlight w:val="none"/>
        </w:rPr>
        <w:id w:val="147455173"/>
        <w:showingPlcHdr/>
        <w:docPartObj>
          <w:docPartGallery w:val="Table of Contents"/>
          <w:docPartUnique/>
        </w:docPartObj>
      </w:sdtPr>
      <w:sdtEndPr>
        <w:rPr>
          <w:rFonts w:ascii="宋体" w:hAnsi="宋体" w:cs="宋体"/>
          <w:b/>
          <w:bCs/>
          <w:color w:val="auto"/>
          <w:sz w:val="32"/>
          <w:szCs w:val="40"/>
          <w:highlight w:val="none"/>
        </w:rPr>
      </w:sdtEndPr>
      <w:sdtContent>
        <w:p w14:paraId="310D01BF">
          <w:pPr>
            <w:jc w:val="center"/>
            <w:rPr>
              <w:color w:val="auto"/>
              <w:highlight w:val="none"/>
            </w:rPr>
          </w:pPr>
          <w:bookmarkStart w:id="3" w:name="_Toc430530415"/>
          <w:bookmarkStart w:id="4" w:name="_Toc287620666"/>
          <w:bookmarkStart w:id="5" w:name="_Toc509218691"/>
          <w:bookmarkStart w:id="6" w:name="_Toc8580"/>
          <w:bookmarkStart w:id="7" w:name="_Toc224103298"/>
          <w:bookmarkStart w:id="8" w:name="_Toc287607727"/>
          <w:bookmarkStart w:id="9" w:name="_Toc277082535"/>
          <w:bookmarkStart w:id="10" w:name="_Toc2534"/>
          <w:r>
            <w:rPr>
              <w:rFonts w:hint="eastAsia" w:ascii="宋体" w:hAnsi="宋体"/>
              <w:color w:val="auto"/>
              <w:highlight w:val="none"/>
            </w:rPr>
            <w:t xml:space="preserve">     </w:t>
          </w:r>
        </w:p>
      </w:sdtContent>
    </w:sdt>
    <w:p w14:paraId="693AE180">
      <w:pPr>
        <w:spacing w:line="360" w:lineRule="auto"/>
        <w:rPr>
          <w:rFonts w:ascii="宋体" w:hAnsi="宋体" w:cs="宋体"/>
          <w:snapToGrid w:val="0"/>
          <w:color w:val="auto"/>
          <w:kern w:val="0"/>
          <w:sz w:val="15"/>
          <w:szCs w:val="15"/>
          <w:highlight w:val="none"/>
        </w:rPr>
      </w:pPr>
    </w:p>
    <w:p w14:paraId="4118BA84">
      <w:pPr>
        <w:rPr>
          <w:rFonts w:ascii="宋体" w:hAnsi="宋体" w:cs="宋体"/>
          <w:snapToGrid w:val="0"/>
          <w:color w:val="auto"/>
          <w:kern w:val="0"/>
          <w:sz w:val="15"/>
          <w:szCs w:val="15"/>
          <w:highlight w:val="none"/>
        </w:rPr>
      </w:pPr>
    </w:p>
    <w:p w14:paraId="7B6C5788">
      <w:pPr>
        <w:pStyle w:val="8"/>
        <w:rPr>
          <w:rFonts w:ascii="宋体" w:hAnsi="宋体" w:cs="宋体"/>
          <w:snapToGrid w:val="0"/>
          <w:color w:val="auto"/>
          <w:kern w:val="0"/>
          <w:sz w:val="15"/>
          <w:szCs w:val="15"/>
          <w:highlight w:val="none"/>
        </w:rPr>
      </w:pPr>
    </w:p>
    <w:p w14:paraId="6F044D45">
      <w:pPr>
        <w:rPr>
          <w:rFonts w:ascii="宋体" w:hAnsi="宋体" w:cs="宋体"/>
          <w:snapToGrid w:val="0"/>
          <w:color w:val="auto"/>
          <w:kern w:val="0"/>
          <w:sz w:val="15"/>
          <w:szCs w:val="15"/>
          <w:highlight w:val="none"/>
        </w:rPr>
      </w:pPr>
    </w:p>
    <w:p w14:paraId="2B9B198F">
      <w:pPr>
        <w:pStyle w:val="8"/>
        <w:rPr>
          <w:rFonts w:ascii="宋体" w:hAnsi="宋体" w:cs="宋体"/>
          <w:snapToGrid w:val="0"/>
          <w:color w:val="auto"/>
          <w:kern w:val="0"/>
          <w:sz w:val="15"/>
          <w:szCs w:val="15"/>
          <w:highlight w:val="none"/>
        </w:rPr>
      </w:pPr>
    </w:p>
    <w:p w14:paraId="22B83EE2">
      <w:pPr>
        <w:rPr>
          <w:rFonts w:ascii="宋体" w:hAnsi="宋体" w:cs="宋体"/>
          <w:snapToGrid w:val="0"/>
          <w:color w:val="auto"/>
          <w:kern w:val="0"/>
          <w:sz w:val="15"/>
          <w:szCs w:val="15"/>
          <w:highlight w:val="none"/>
        </w:rPr>
      </w:pPr>
    </w:p>
    <w:p w14:paraId="75953C24">
      <w:pPr>
        <w:pStyle w:val="8"/>
        <w:rPr>
          <w:rFonts w:ascii="宋体" w:hAnsi="宋体" w:cs="宋体"/>
          <w:snapToGrid w:val="0"/>
          <w:color w:val="auto"/>
          <w:kern w:val="0"/>
          <w:sz w:val="15"/>
          <w:szCs w:val="15"/>
          <w:highlight w:val="none"/>
        </w:rPr>
      </w:pPr>
    </w:p>
    <w:p w14:paraId="51894B41">
      <w:pPr>
        <w:rPr>
          <w:rFonts w:ascii="宋体" w:hAnsi="宋体" w:cs="宋体"/>
          <w:snapToGrid w:val="0"/>
          <w:color w:val="auto"/>
          <w:kern w:val="0"/>
          <w:sz w:val="15"/>
          <w:szCs w:val="15"/>
          <w:highlight w:val="none"/>
        </w:rPr>
      </w:pPr>
    </w:p>
    <w:p w14:paraId="208FEA4C">
      <w:pPr>
        <w:pStyle w:val="8"/>
        <w:rPr>
          <w:rFonts w:ascii="宋体" w:hAnsi="宋体" w:cs="宋体"/>
          <w:snapToGrid w:val="0"/>
          <w:color w:val="auto"/>
          <w:kern w:val="0"/>
          <w:sz w:val="15"/>
          <w:szCs w:val="15"/>
          <w:highlight w:val="none"/>
        </w:rPr>
      </w:pPr>
    </w:p>
    <w:p w14:paraId="03185AD2">
      <w:pPr>
        <w:rPr>
          <w:rFonts w:ascii="宋体" w:hAnsi="宋体" w:cs="宋体"/>
          <w:snapToGrid w:val="0"/>
          <w:color w:val="auto"/>
          <w:kern w:val="0"/>
          <w:sz w:val="15"/>
          <w:szCs w:val="15"/>
          <w:highlight w:val="none"/>
        </w:rPr>
      </w:pPr>
    </w:p>
    <w:p w14:paraId="29A109EC">
      <w:pPr>
        <w:pStyle w:val="8"/>
        <w:rPr>
          <w:rFonts w:ascii="宋体" w:hAnsi="宋体" w:cs="宋体"/>
          <w:snapToGrid w:val="0"/>
          <w:color w:val="auto"/>
          <w:kern w:val="0"/>
          <w:sz w:val="15"/>
          <w:szCs w:val="15"/>
          <w:highlight w:val="none"/>
        </w:rPr>
      </w:pPr>
    </w:p>
    <w:p w14:paraId="4AC5F824">
      <w:pPr>
        <w:rPr>
          <w:rFonts w:ascii="宋体" w:hAnsi="宋体" w:cs="宋体"/>
          <w:snapToGrid w:val="0"/>
          <w:color w:val="auto"/>
          <w:kern w:val="0"/>
          <w:sz w:val="15"/>
          <w:szCs w:val="15"/>
          <w:highlight w:val="none"/>
        </w:rPr>
      </w:pPr>
    </w:p>
    <w:p w14:paraId="5EB10630">
      <w:pPr>
        <w:pStyle w:val="8"/>
        <w:rPr>
          <w:color w:val="auto"/>
          <w:highlight w:val="none"/>
        </w:rPr>
      </w:pPr>
    </w:p>
    <w:p w14:paraId="594A9388">
      <w:pPr>
        <w:rPr>
          <w:color w:val="auto"/>
          <w:highlight w:val="none"/>
        </w:rPr>
      </w:pPr>
    </w:p>
    <w:p w14:paraId="3255B9D0">
      <w:pPr>
        <w:rPr>
          <w:color w:val="auto"/>
          <w:highlight w:val="none"/>
        </w:rPr>
      </w:pPr>
    </w:p>
    <w:p w14:paraId="3A879988">
      <w:pPr>
        <w:pStyle w:val="2"/>
        <w:rPr>
          <w:color w:val="auto"/>
          <w:highlight w:val="none"/>
        </w:rPr>
      </w:pPr>
    </w:p>
    <w:p w14:paraId="23F40D9D">
      <w:pPr>
        <w:rPr>
          <w:color w:val="auto"/>
          <w:highlight w:val="none"/>
        </w:rPr>
      </w:pPr>
    </w:p>
    <w:p w14:paraId="22C64591">
      <w:pPr>
        <w:pStyle w:val="8"/>
        <w:rPr>
          <w:color w:val="auto"/>
          <w:highlight w:val="none"/>
        </w:rPr>
      </w:pPr>
    </w:p>
    <w:p w14:paraId="255D7F52">
      <w:pPr>
        <w:pStyle w:val="8"/>
        <w:rPr>
          <w:color w:val="auto"/>
          <w:highlight w:val="none"/>
        </w:rPr>
      </w:pPr>
    </w:p>
    <w:p w14:paraId="4751F330">
      <w:pPr>
        <w:pStyle w:val="8"/>
        <w:rPr>
          <w:color w:val="auto"/>
          <w:highlight w:val="none"/>
        </w:rPr>
      </w:pPr>
    </w:p>
    <w:p w14:paraId="3ADC69D9">
      <w:pPr>
        <w:rPr>
          <w:color w:val="auto"/>
          <w:highlight w:val="none"/>
        </w:rPr>
      </w:pPr>
    </w:p>
    <w:p w14:paraId="3C4F0609">
      <w:pPr>
        <w:pStyle w:val="2"/>
        <w:rPr>
          <w:color w:val="auto"/>
          <w:highlight w:val="none"/>
        </w:rPr>
      </w:pPr>
    </w:p>
    <w:p w14:paraId="28B4C2CE">
      <w:pPr>
        <w:rPr>
          <w:rFonts w:ascii="宋体" w:hAnsi="宋体" w:cs="宋体"/>
          <w:snapToGrid w:val="0"/>
          <w:color w:val="auto"/>
          <w:kern w:val="0"/>
          <w:highlight w:val="none"/>
        </w:rPr>
      </w:pPr>
    </w:p>
    <w:p w14:paraId="3C82C196">
      <w:pPr>
        <w:pStyle w:val="3"/>
        <w:spacing w:before="0" w:after="0" w:line="360" w:lineRule="auto"/>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第一章  比选公告</w:t>
      </w:r>
      <w:bookmarkEnd w:id="3"/>
      <w:bookmarkEnd w:id="4"/>
      <w:bookmarkEnd w:id="5"/>
      <w:bookmarkEnd w:id="6"/>
      <w:bookmarkEnd w:id="7"/>
      <w:bookmarkEnd w:id="8"/>
      <w:bookmarkEnd w:id="9"/>
      <w:bookmarkEnd w:id="10"/>
    </w:p>
    <w:p w14:paraId="5E7BF2E9">
      <w:pPr>
        <w:autoSpaceDE w:val="0"/>
        <w:autoSpaceDN w:val="0"/>
        <w:adjustRightInd w:val="0"/>
        <w:snapToGrid w:val="0"/>
        <w:spacing w:line="360" w:lineRule="auto"/>
        <w:jc w:val="center"/>
        <w:rPr>
          <w:rFonts w:hint="eastAsia" w:ascii="宋体" w:hAnsi="宋体" w:eastAsia="宋体" w:cs="宋体"/>
          <w:b/>
          <w:snapToGrid w:val="0"/>
          <w:color w:val="auto"/>
          <w:kern w:val="0"/>
          <w:sz w:val="28"/>
          <w:szCs w:val="28"/>
          <w:highlight w:val="none"/>
          <w:lang w:eastAsia="zh-CN"/>
        </w:rPr>
      </w:pPr>
      <w:bookmarkStart w:id="11" w:name="OLE_LINK2"/>
      <w:r>
        <w:rPr>
          <w:rFonts w:hint="eastAsia" w:ascii="宋体" w:hAnsi="宋体" w:cs="宋体"/>
          <w:b/>
          <w:snapToGrid w:val="0"/>
          <w:color w:val="auto"/>
          <w:kern w:val="0"/>
          <w:sz w:val="28"/>
          <w:szCs w:val="28"/>
          <w:highlight w:val="none"/>
          <w:lang w:eastAsia="zh-CN"/>
        </w:rPr>
        <w:t>南岸区弹子石片区居民共有产权雨水管网改造工程监理</w:t>
      </w:r>
    </w:p>
    <w:p w14:paraId="250A4CDE">
      <w:pPr>
        <w:autoSpaceDE w:val="0"/>
        <w:autoSpaceDN w:val="0"/>
        <w:adjustRightInd w:val="0"/>
        <w:snapToGrid w:val="0"/>
        <w:spacing w:line="360" w:lineRule="auto"/>
        <w:jc w:val="center"/>
        <w:rPr>
          <w:rFonts w:ascii="宋体" w:hAnsi="宋体" w:cs="宋体"/>
          <w:b/>
          <w:snapToGrid w:val="0"/>
          <w:color w:val="auto"/>
          <w:kern w:val="0"/>
          <w:sz w:val="28"/>
          <w:szCs w:val="28"/>
          <w:highlight w:val="none"/>
        </w:rPr>
      </w:pPr>
      <w:r>
        <w:rPr>
          <w:rFonts w:hint="eastAsia" w:ascii="宋体" w:hAnsi="宋体" w:cs="宋体"/>
          <w:b/>
          <w:snapToGrid w:val="0"/>
          <w:color w:val="auto"/>
          <w:kern w:val="0"/>
          <w:sz w:val="28"/>
          <w:szCs w:val="28"/>
          <w:highlight w:val="none"/>
        </w:rPr>
        <w:t>竞争性比选公告</w:t>
      </w:r>
    </w:p>
    <w:p w14:paraId="2B98D8F6">
      <w:pPr>
        <w:pStyle w:val="4"/>
        <w:spacing w:before="100" w:after="100" w:line="400" w:lineRule="exact"/>
        <w:rPr>
          <w:rFonts w:ascii="宋体" w:hAnsi="宋体" w:cs="宋体"/>
          <w:bCs w:val="0"/>
          <w:snapToGrid w:val="0"/>
          <w:color w:val="auto"/>
          <w:sz w:val="21"/>
          <w:szCs w:val="21"/>
          <w:highlight w:val="none"/>
        </w:rPr>
      </w:pPr>
      <w:bookmarkStart w:id="12" w:name="_Toc7072"/>
      <w:bookmarkStart w:id="13" w:name="_Toc31381"/>
      <w:bookmarkStart w:id="14" w:name="_Toc13786"/>
      <w:r>
        <w:rPr>
          <w:rFonts w:hint="eastAsia" w:ascii="宋体" w:hAnsi="宋体" w:cs="宋体"/>
          <w:bCs w:val="0"/>
          <w:snapToGrid w:val="0"/>
          <w:color w:val="auto"/>
          <w:sz w:val="21"/>
          <w:szCs w:val="21"/>
          <w:highlight w:val="none"/>
        </w:rPr>
        <w:t>一、比选条件</w:t>
      </w:r>
      <w:bookmarkEnd w:id="12"/>
      <w:bookmarkEnd w:id="13"/>
      <w:bookmarkEnd w:id="14"/>
    </w:p>
    <w:p w14:paraId="0D53C452">
      <w:pPr>
        <w:tabs>
          <w:tab w:val="left" w:pos="3315"/>
          <w:tab w:val="left" w:pos="3390"/>
          <w:tab w:val="left" w:pos="6120"/>
          <w:tab w:val="left" w:pos="8850"/>
        </w:tabs>
        <w:adjustRightInd w:val="0"/>
        <w:snapToGrid w:val="0"/>
        <w:spacing w:line="48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u w:val="single"/>
        </w:rPr>
        <w:t>南岸区弹子石片区居民共有产权雨水管网改造工程</w:t>
      </w:r>
      <w:r>
        <w:rPr>
          <w:rFonts w:ascii="宋体" w:hAnsi="宋体"/>
          <w:snapToGrid w:val="0"/>
          <w:color w:val="auto"/>
          <w:kern w:val="0"/>
          <w:szCs w:val="21"/>
          <w:highlight w:val="none"/>
        </w:rPr>
        <w:t>已由</w:t>
      </w:r>
      <w:r>
        <w:rPr>
          <w:rFonts w:hint="eastAsia" w:ascii="宋体" w:hAnsi="宋体"/>
          <w:snapToGrid w:val="0"/>
          <w:color w:val="auto"/>
          <w:kern w:val="0"/>
          <w:szCs w:val="21"/>
          <w:highlight w:val="none"/>
          <w:u w:val="single"/>
        </w:rPr>
        <w:t>重庆市南岸区发展和改革委员会</w:t>
      </w:r>
      <w:r>
        <w:rPr>
          <w:rFonts w:ascii="宋体" w:hAnsi="宋体"/>
          <w:snapToGrid w:val="0"/>
          <w:color w:val="auto"/>
          <w:kern w:val="0"/>
          <w:szCs w:val="21"/>
          <w:highlight w:val="none"/>
        </w:rPr>
        <w:t>以</w:t>
      </w:r>
      <w:r>
        <w:rPr>
          <w:rFonts w:hint="eastAsia" w:ascii="宋体" w:hAnsi="宋体" w:cs="宋体"/>
          <w:color w:val="auto"/>
          <w:szCs w:val="21"/>
          <w:highlight w:val="none"/>
          <w:u w:val="single"/>
          <w:shd w:val="clear" w:color="auto" w:fill="FFFFFF"/>
        </w:rPr>
        <w:t>南岸发改〔2025〕33号</w:t>
      </w:r>
      <w:r>
        <w:rPr>
          <w:rFonts w:ascii="宋体" w:hAnsi="宋体"/>
          <w:snapToGrid w:val="0"/>
          <w:color w:val="auto"/>
          <w:kern w:val="0"/>
          <w:szCs w:val="21"/>
          <w:highlight w:val="none"/>
        </w:rPr>
        <w:t>批准建设，项目业主为</w:t>
      </w:r>
      <w:r>
        <w:rPr>
          <w:rFonts w:hint="eastAsia" w:ascii="宋体" w:hAnsi="宋体"/>
          <w:snapToGrid w:val="0"/>
          <w:color w:val="auto"/>
          <w:kern w:val="0"/>
          <w:szCs w:val="21"/>
          <w:highlight w:val="none"/>
          <w:u w:val="single"/>
          <w:lang w:eastAsia="zh-CN"/>
        </w:rPr>
        <w:t>重庆市南岸区城市建设发展（集团）有限公司</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val="en-US" w:eastAsia="zh-CN"/>
        </w:rPr>
        <w:t>国有资金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100% </w:t>
      </w:r>
      <w:r>
        <w:rPr>
          <w:rFonts w:ascii="宋体" w:hAnsi="宋体"/>
          <w:snapToGrid w:val="0"/>
          <w:color w:val="auto"/>
          <w:kern w:val="0"/>
          <w:szCs w:val="21"/>
          <w:highlight w:val="none"/>
        </w:rPr>
        <w:t>，招标人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重庆市南岸区城市建设发展（集团）有限公司</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single"/>
        </w:rPr>
        <w:t>该项目的监理</w:t>
      </w:r>
      <w:r>
        <w:rPr>
          <w:rFonts w:ascii="宋体" w:hAnsi="宋体"/>
          <w:snapToGrid w:val="0"/>
          <w:color w:val="auto"/>
          <w:kern w:val="0"/>
          <w:position w:val="-2"/>
          <w:szCs w:val="21"/>
          <w:highlight w:val="none"/>
        </w:rPr>
        <w:t>进行</w:t>
      </w:r>
      <w:r>
        <w:rPr>
          <w:rFonts w:hint="eastAsia" w:ascii="宋体" w:hAnsi="宋体"/>
          <w:snapToGrid w:val="0"/>
          <w:color w:val="auto"/>
          <w:kern w:val="0"/>
          <w:szCs w:val="21"/>
          <w:highlight w:val="none"/>
        </w:rPr>
        <w:t>公开竞争性比选，欢迎各潜在竞选人参与竞选。</w:t>
      </w:r>
    </w:p>
    <w:p w14:paraId="1E0AF1DB">
      <w:pPr>
        <w:pStyle w:val="4"/>
        <w:numPr>
          <w:ilvl w:val="0"/>
          <w:numId w:val="1"/>
        </w:numPr>
        <w:spacing w:before="100" w:after="100" w:line="400" w:lineRule="exact"/>
        <w:rPr>
          <w:rFonts w:ascii="宋体" w:hAnsi="宋体" w:cs="宋体"/>
          <w:bCs w:val="0"/>
          <w:snapToGrid w:val="0"/>
          <w:color w:val="auto"/>
          <w:sz w:val="21"/>
          <w:szCs w:val="21"/>
          <w:highlight w:val="none"/>
        </w:rPr>
      </w:pPr>
      <w:bookmarkStart w:id="15" w:name="_Toc13219"/>
      <w:bookmarkStart w:id="16" w:name="_Toc30487"/>
      <w:bookmarkStart w:id="17" w:name="_Toc17229"/>
      <w:r>
        <w:rPr>
          <w:rFonts w:hint="eastAsia" w:ascii="宋体" w:hAnsi="宋体" w:cs="宋体"/>
          <w:bCs w:val="0"/>
          <w:snapToGrid w:val="0"/>
          <w:color w:val="auto"/>
          <w:sz w:val="21"/>
          <w:szCs w:val="21"/>
          <w:highlight w:val="none"/>
        </w:rPr>
        <w:t>项目概况与比选范围</w:t>
      </w:r>
    </w:p>
    <w:p w14:paraId="025CF2C4">
      <w:pPr>
        <w:tabs>
          <w:tab w:val="left" w:pos="3840"/>
          <w:tab w:val="left" w:pos="5300"/>
        </w:tabs>
        <w:adjustRightInd w:val="0"/>
        <w:snapToGrid w:val="0"/>
        <w:spacing w:line="480" w:lineRule="exact"/>
        <w:ind w:firstLine="420" w:firstLineChars="200"/>
        <w:jc w:val="left"/>
        <w:rPr>
          <w:rFonts w:ascii="宋体" w:hAnsi="宋体"/>
          <w:snapToGrid w:val="0"/>
          <w:color w:val="auto"/>
          <w:kern w:val="0"/>
          <w:szCs w:val="21"/>
          <w:highlight w:val="none"/>
          <w:u w:val="single"/>
        </w:rPr>
      </w:pPr>
      <w:bookmarkStart w:id="18" w:name="_Hlk536432704"/>
      <w:r>
        <w:rPr>
          <w:rFonts w:hint="eastAsia" w:asciiTheme="minorEastAsia" w:hAnsiTheme="minorEastAsia" w:eastAsiaTheme="minorEastAsia"/>
          <w:color w:val="auto"/>
          <w:szCs w:val="21"/>
          <w:highlight w:val="none"/>
        </w:rPr>
        <w:t>2.1 建设地点：</w:t>
      </w:r>
      <w:r>
        <w:rPr>
          <w:rFonts w:hint="eastAsia" w:asciiTheme="minorEastAsia" w:hAnsiTheme="minorEastAsia" w:eastAsiaTheme="minorEastAsia"/>
          <w:color w:val="auto"/>
          <w:szCs w:val="21"/>
          <w:highlight w:val="none"/>
          <w:u w:val="single"/>
          <w:lang w:val="en-US" w:eastAsia="zh-CN"/>
        </w:rPr>
        <w:t>重庆市</w:t>
      </w:r>
      <w:r>
        <w:rPr>
          <w:rFonts w:hint="eastAsia" w:ascii="宋体" w:hAnsi="宋体"/>
          <w:snapToGrid w:val="0"/>
          <w:color w:val="auto"/>
          <w:kern w:val="0"/>
          <w:szCs w:val="21"/>
          <w:highlight w:val="none"/>
          <w:u w:val="single"/>
        </w:rPr>
        <w:t>南岸区</w:t>
      </w:r>
      <w:r>
        <w:rPr>
          <w:rFonts w:hint="eastAsia" w:ascii="宋体" w:hAnsi="宋体"/>
          <w:snapToGrid w:val="0"/>
          <w:color w:val="auto"/>
          <w:kern w:val="0"/>
          <w:szCs w:val="21"/>
          <w:highlight w:val="none"/>
          <w:u w:val="single"/>
        </w:rPr>
        <w:t>；</w:t>
      </w:r>
    </w:p>
    <w:p w14:paraId="72CDEEA9">
      <w:pPr>
        <w:tabs>
          <w:tab w:val="left" w:pos="3840"/>
          <w:tab w:val="left" w:pos="5300"/>
        </w:tabs>
        <w:adjustRightInd w:val="0"/>
        <w:snapToGrid w:val="0"/>
        <w:spacing w:line="480" w:lineRule="exact"/>
        <w:ind w:firstLine="420" w:firstLineChars="200"/>
        <w:jc w:val="left"/>
        <w:rPr>
          <w:rFonts w:ascii="宋体" w:hAnsi="宋体" w:eastAsiaTheme="minorEastAsia"/>
          <w:i/>
          <w:snapToGrid w:val="0"/>
          <w:color w:val="auto"/>
          <w:kern w:val="0"/>
          <w:szCs w:val="21"/>
          <w:highlight w:val="none"/>
        </w:rPr>
      </w:pPr>
      <w:r>
        <w:rPr>
          <w:rFonts w:hint="eastAsia" w:asciiTheme="minorEastAsia" w:hAnsiTheme="minorEastAsia" w:eastAsiaTheme="minorEastAsia"/>
          <w:color w:val="auto"/>
          <w:szCs w:val="21"/>
          <w:highlight w:val="none"/>
        </w:rPr>
        <w:t xml:space="preserve">2.2 </w:t>
      </w:r>
      <w:r>
        <w:rPr>
          <w:rFonts w:hint="eastAsia" w:asciiTheme="minorEastAsia" w:hAnsiTheme="minorEastAsia" w:eastAsiaTheme="minorEastAsia"/>
          <w:snapToGrid w:val="0"/>
          <w:color w:val="auto"/>
          <w:kern w:val="0"/>
          <w:szCs w:val="21"/>
          <w:highlight w:val="none"/>
        </w:rPr>
        <w:t>项目概况与建设规模</w:t>
      </w:r>
      <w:r>
        <w:rPr>
          <w:rFonts w:hint="eastAsia" w:asciiTheme="minorEastAsia" w:hAnsiTheme="minorEastAsia" w:eastAsiaTheme="minorEastAsia"/>
          <w:color w:val="auto"/>
          <w:szCs w:val="21"/>
          <w:highlight w:val="none"/>
        </w:rPr>
        <w:t>：</w:t>
      </w:r>
      <w:r>
        <w:rPr>
          <w:rFonts w:hint="eastAsia" w:ascii="宋体" w:hAnsi="宋体"/>
          <w:snapToGrid w:val="0"/>
          <w:color w:val="auto"/>
          <w:kern w:val="0"/>
          <w:szCs w:val="21"/>
          <w:highlight w:val="none"/>
          <w:u w:val="single"/>
        </w:rPr>
        <w:t>改造南岸区弹子石街道、龙门浩街道等居民共有产权排水管网错混接，建筑排水立管改造、老旧排水管道更新。</w:t>
      </w:r>
    </w:p>
    <w:p w14:paraId="2D4F609A">
      <w:pPr>
        <w:tabs>
          <w:tab w:val="left" w:pos="3840"/>
          <w:tab w:val="left" w:pos="5300"/>
        </w:tabs>
        <w:adjustRightInd w:val="0"/>
        <w:snapToGrid w:val="0"/>
        <w:spacing w:line="480" w:lineRule="exact"/>
        <w:ind w:firstLine="420" w:firstLineChars="200"/>
        <w:jc w:val="left"/>
        <w:rPr>
          <w:rFonts w:ascii="宋体" w:hAnsi="宋体"/>
          <w:i/>
          <w:snapToGrid w:val="0"/>
          <w:color w:val="auto"/>
          <w:kern w:val="0"/>
          <w:szCs w:val="21"/>
          <w:highlight w:val="none"/>
        </w:rPr>
      </w:pPr>
      <w:r>
        <w:rPr>
          <w:rFonts w:hint="eastAsia" w:asciiTheme="minorEastAsia" w:hAnsiTheme="minorEastAsia" w:eastAsiaTheme="minorEastAsia"/>
          <w:color w:val="auto"/>
          <w:szCs w:val="21"/>
          <w:highlight w:val="none"/>
        </w:rPr>
        <w:t xml:space="preserve">2.3 </w:t>
      </w:r>
      <w:r>
        <w:rPr>
          <w:rFonts w:hint="eastAsia" w:asciiTheme="minorEastAsia" w:hAnsiTheme="minorEastAsia" w:eastAsiaTheme="minorEastAsia"/>
          <w:snapToGrid w:val="0"/>
          <w:color w:val="auto"/>
          <w:kern w:val="0"/>
          <w:szCs w:val="21"/>
          <w:highlight w:val="none"/>
        </w:rPr>
        <w:t>本次</w:t>
      </w:r>
      <w:r>
        <w:rPr>
          <w:rFonts w:hint="eastAsia" w:ascii="宋体" w:hAnsi="宋体"/>
          <w:snapToGrid w:val="0"/>
          <w:color w:val="auto"/>
          <w:szCs w:val="21"/>
          <w:highlight w:val="none"/>
        </w:rPr>
        <w:t>比选</w:t>
      </w:r>
      <w:r>
        <w:rPr>
          <w:rFonts w:hint="eastAsia" w:asciiTheme="minorEastAsia" w:hAnsiTheme="minorEastAsia" w:eastAsiaTheme="minorEastAsia"/>
          <w:snapToGrid w:val="0"/>
          <w:color w:val="auto"/>
          <w:kern w:val="0"/>
          <w:szCs w:val="21"/>
          <w:highlight w:val="none"/>
        </w:rPr>
        <w:t>项目建筑安装工程费估算金额：</w:t>
      </w:r>
      <w:r>
        <w:rPr>
          <w:rFonts w:hint="eastAsia" w:ascii="宋体" w:hAnsi="宋体" w:eastAsiaTheme="minorEastAsia"/>
          <w:snapToGrid w:val="0"/>
          <w:color w:val="auto"/>
          <w:kern w:val="0"/>
          <w:szCs w:val="21"/>
          <w:highlight w:val="none"/>
          <w:u w:val="single"/>
          <w:lang w:val="en-US" w:eastAsia="zh-CN"/>
        </w:rPr>
        <w:t>89</w:t>
      </w:r>
      <w:r>
        <w:rPr>
          <w:rFonts w:hint="eastAsia" w:ascii="宋体" w:hAnsi="宋体" w:eastAsiaTheme="minorEastAsia"/>
          <w:snapToGrid w:val="0"/>
          <w:color w:val="auto"/>
          <w:kern w:val="0"/>
          <w:szCs w:val="21"/>
          <w:highlight w:val="none"/>
          <w:u w:val="single"/>
        </w:rPr>
        <w:t>00</w:t>
      </w:r>
      <w:r>
        <w:rPr>
          <w:rFonts w:hint="eastAsia" w:ascii="宋体" w:hAnsi="宋体"/>
          <w:snapToGrid w:val="0"/>
          <w:color w:val="auto"/>
          <w:kern w:val="0"/>
          <w:szCs w:val="21"/>
          <w:highlight w:val="none"/>
          <w:u w:val="single"/>
        </w:rPr>
        <w:t xml:space="preserve">万元  </w:t>
      </w:r>
    </w:p>
    <w:p w14:paraId="4066DADA">
      <w:pPr>
        <w:tabs>
          <w:tab w:val="left" w:pos="3840"/>
          <w:tab w:val="left" w:pos="5300"/>
        </w:tabs>
        <w:adjustRightInd w:val="0"/>
        <w:snapToGrid w:val="0"/>
        <w:spacing w:line="480" w:lineRule="exact"/>
        <w:ind w:firstLine="840" w:firstLineChars="400"/>
        <w:jc w:val="left"/>
        <w:rPr>
          <w:rFonts w:ascii="宋体" w:hAnsi="宋体"/>
          <w:i/>
          <w:snapToGrid w:val="0"/>
          <w:color w:val="auto"/>
          <w:kern w:val="0"/>
          <w:szCs w:val="21"/>
          <w:highlight w:val="none"/>
        </w:rPr>
      </w:pPr>
      <w:r>
        <w:rPr>
          <w:rFonts w:hint="eastAsia" w:asciiTheme="minorEastAsia" w:hAnsiTheme="minorEastAsia" w:eastAsiaTheme="minorEastAsia"/>
          <w:snapToGrid w:val="0"/>
          <w:color w:val="auto"/>
          <w:kern w:val="0"/>
          <w:szCs w:val="21"/>
          <w:highlight w:val="none"/>
        </w:rPr>
        <w:t>本次</w:t>
      </w:r>
      <w:r>
        <w:rPr>
          <w:rFonts w:hint="eastAsia" w:ascii="宋体" w:hAnsi="宋体"/>
          <w:snapToGrid w:val="0"/>
          <w:color w:val="auto"/>
          <w:szCs w:val="21"/>
          <w:highlight w:val="none"/>
        </w:rPr>
        <w:t>比选</w:t>
      </w:r>
      <w:r>
        <w:rPr>
          <w:rFonts w:hint="eastAsia" w:asciiTheme="minorEastAsia" w:hAnsiTheme="minorEastAsia" w:eastAsiaTheme="minorEastAsia"/>
          <w:snapToGrid w:val="0"/>
          <w:color w:val="auto"/>
          <w:kern w:val="0"/>
          <w:szCs w:val="21"/>
          <w:highlight w:val="none"/>
        </w:rPr>
        <w:t>项目监理合同估算金额：</w:t>
      </w:r>
      <w:r>
        <w:rPr>
          <w:rFonts w:hint="eastAsia" w:ascii="宋体" w:hAnsi="宋体" w:eastAsiaTheme="minorEastAsia"/>
          <w:snapToGrid w:val="0"/>
          <w:color w:val="auto"/>
          <w:kern w:val="0"/>
          <w:szCs w:val="21"/>
          <w:highlight w:val="none"/>
          <w:u w:val="single"/>
          <w:lang w:val="en-US" w:eastAsia="zh-CN"/>
        </w:rPr>
        <w:t>94.5</w:t>
      </w:r>
      <w:r>
        <w:rPr>
          <w:rFonts w:hint="eastAsia" w:ascii="宋体" w:hAnsi="宋体"/>
          <w:snapToGrid w:val="0"/>
          <w:color w:val="auto"/>
          <w:kern w:val="0"/>
          <w:szCs w:val="21"/>
          <w:highlight w:val="none"/>
          <w:u w:val="single"/>
        </w:rPr>
        <w:t>万元</w:t>
      </w:r>
    </w:p>
    <w:p w14:paraId="5363E4F8">
      <w:pPr>
        <w:tabs>
          <w:tab w:val="left" w:pos="3840"/>
          <w:tab w:val="left" w:pos="5300"/>
        </w:tabs>
        <w:adjustRightInd w:val="0"/>
        <w:snapToGrid w:val="0"/>
        <w:spacing w:line="480" w:lineRule="exact"/>
        <w:ind w:firstLine="420" w:firstLineChars="200"/>
        <w:jc w:val="left"/>
        <w:rPr>
          <w:rFonts w:ascii="宋体" w:hAnsi="宋体"/>
          <w:i/>
          <w:snapToGrid w:val="0"/>
          <w:color w:val="auto"/>
          <w:kern w:val="0"/>
          <w:szCs w:val="21"/>
          <w:highlight w:val="none"/>
        </w:rPr>
      </w:pPr>
      <w:r>
        <w:rPr>
          <w:rFonts w:hint="eastAsia" w:asciiTheme="minorEastAsia" w:hAnsiTheme="minorEastAsia" w:eastAsiaTheme="minorEastAsia"/>
          <w:color w:val="auto"/>
          <w:szCs w:val="21"/>
          <w:highlight w:val="none"/>
        </w:rPr>
        <w:t xml:space="preserve">2.4 </w:t>
      </w:r>
      <w:r>
        <w:rPr>
          <w:rFonts w:hint="eastAsia" w:ascii="宋体" w:hAnsi="宋体"/>
          <w:snapToGrid w:val="0"/>
          <w:color w:val="auto"/>
          <w:szCs w:val="21"/>
          <w:highlight w:val="none"/>
        </w:rPr>
        <w:t>比选</w:t>
      </w:r>
      <w:r>
        <w:rPr>
          <w:rFonts w:hint="eastAsia" w:asciiTheme="minorEastAsia" w:hAnsiTheme="minorEastAsia" w:eastAsiaTheme="minorEastAsia"/>
          <w:color w:val="auto"/>
          <w:szCs w:val="21"/>
          <w:highlight w:val="none"/>
        </w:rPr>
        <w:t>范围：</w:t>
      </w:r>
      <w:r>
        <w:rPr>
          <w:rFonts w:hint="eastAsia" w:ascii="宋体" w:hAnsi="宋体" w:cs="宋体"/>
          <w:color w:val="auto"/>
          <w:szCs w:val="21"/>
          <w:highlight w:val="none"/>
          <w:u w:val="single"/>
        </w:rPr>
        <w:t>包含施工、缺陷责任期内表现出的任何缺陷修复的监理服务。具体如下：</w:t>
      </w:r>
    </w:p>
    <w:p w14:paraId="76A0D5CD">
      <w:pPr>
        <w:tabs>
          <w:tab w:val="left" w:pos="3840"/>
          <w:tab w:val="left" w:pos="5300"/>
        </w:tabs>
        <w:adjustRightInd w:val="0"/>
        <w:snapToGrid w:val="0"/>
        <w:spacing w:line="480" w:lineRule="exact"/>
        <w:ind w:firstLine="420" w:firstLineChars="200"/>
        <w:jc w:val="left"/>
        <w:rPr>
          <w:rFonts w:ascii="宋体" w:hAnsi="宋体"/>
          <w:i/>
          <w:snapToGrid w:val="0"/>
          <w:color w:val="auto"/>
          <w:kern w:val="0"/>
          <w:szCs w:val="21"/>
          <w:highlight w:val="none"/>
        </w:rPr>
      </w:pPr>
      <w:r>
        <w:rPr>
          <w:rFonts w:hint="eastAsia" w:ascii="宋体" w:hAnsi="宋体" w:cs="宋体"/>
          <w:color w:val="auto"/>
          <w:szCs w:val="21"/>
          <w:highlight w:val="none"/>
          <w:u w:val="single"/>
        </w:rPr>
        <w:t>施工阶段：含施工图设计及清单范围内全部工程施工及竣工验收的监理服务，包括施工准备阶段，施工过程中的质量，进度，费用控制，安全、文明施工监理，合同、信息方面的协调管理等。</w:t>
      </w:r>
    </w:p>
    <w:p w14:paraId="3ABE71FA">
      <w:pPr>
        <w:tabs>
          <w:tab w:val="left" w:pos="3840"/>
          <w:tab w:val="left" w:pos="5300"/>
        </w:tabs>
        <w:adjustRightInd w:val="0"/>
        <w:snapToGrid w:val="0"/>
        <w:spacing w:line="480" w:lineRule="exact"/>
        <w:ind w:firstLine="420" w:firstLineChars="200"/>
        <w:jc w:val="left"/>
        <w:rPr>
          <w:rFonts w:ascii="宋体" w:hAnsi="宋体"/>
          <w:i/>
          <w:snapToGrid w:val="0"/>
          <w:color w:val="auto"/>
          <w:kern w:val="0"/>
          <w:szCs w:val="21"/>
          <w:highlight w:val="none"/>
        </w:rPr>
      </w:pPr>
      <w:r>
        <w:rPr>
          <w:rFonts w:hint="eastAsia" w:ascii="宋体" w:hAnsi="宋体" w:cs="宋体"/>
          <w:color w:val="auto"/>
          <w:szCs w:val="21"/>
          <w:highlight w:val="none"/>
          <w:u w:val="single"/>
        </w:rPr>
        <w:t>缺陷责任期阶段：检查和记录工程质量缺陷，对缺陷原因进行调查分析并确定责任归属，审核修复方案，监督修复过程并验收，审核修复费用等保修阶段的监理服务</w:t>
      </w:r>
      <w:r>
        <w:rPr>
          <w:rFonts w:hint="eastAsia" w:ascii="宋体" w:hAnsi="宋体" w:cs="宋体"/>
          <w:color w:val="auto"/>
          <w:szCs w:val="21"/>
          <w:highlight w:val="none"/>
        </w:rPr>
        <w:t>。</w:t>
      </w:r>
    </w:p>
    <w:p w14:paraId="7371B2D4">
      <w:pPr>
        <w:tabs>
          <w:tab w:val="left" w:pos="3840"/>
          <w:tab w:val="left" w:pos="5300"/>
        </w:tabs>
        <w:adjustRightInd w:val="0"/>
        <w:snapToGrid w:val="0"/>
        <w:spacing w:line="480" w:lineRule="exact"/>
        <w:ind w:firstLine="420" w:firstLineChars="200"/>
        <w:jc w:val="left"/>
        <w:rPr>
          <w:rFonts w:ascii="宋体" w:hAnsi="宋体" w:cs="宋体"/>
          <w:color w:val="auto"/>
          <w:highlight w:val="none"/>
          <w:u w:val="single"/>
        </w:rPr>
      </w:pPr>
      <w:r>
        <w:rPr>
          <w:rFonts w:hint="eastAsia" w:asciiTheme="minorEastAsia" w:hAnsiTheme="minorEastAsia" w:eastAsiaTheme="minorEastAsia"/>
          <w:color w:val="auto"/>
          <w:szCs w:val="21"/>
          <w:highlight w:val="none"/>
        </w:rPr>
        <w:t>2.5 监理服务期要求</w:t>
      </w:r>
      <w:bookmarkEnd w:id="15"/>
      <w:bookmarkEnd w:id="16"/>
      <w:bookmarkEnd w:id="17"/>
      <w:bookmarkEnd w:id="18"/>
      <w:bookmarkStart w:id="19" w:name="_Toc6792"/>
      <w:bookmarkStart w:id="20" w:name="_Toc4964"/>
      <w:bookmarkStart w:id="21" w:name="_Toc3686"/>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从监理合同签订之日起至缺陷责任期满止，其中：计划施工工期:暂定施工阶段服务期80日历天，缺陷责任期：24个月，具体以招标人的书面进场通知为监理服务期的起始时间，以项目竣工验收合格且监理资料交接完成并协助建设单位取得工程备案验收证书且缺陷责任期满为监理服务期的完成时间。</w:t>
      </w:r>
    </w:p>
    <w:p w14:paraId="16575479">
      <w:pPr>
        <w:tabs>
          <w:tab w:val="left" w:pos="3840"/>
          <w:tab w:val="left" w:pos="5300"/>
        </w:tabs>
        <w:adjustRightInd w:val="0"/>
        <w:snapToGrid w:val="0"/>
        <w:spacing w:line="480" w:lineRule="exact"/>
        <w:ind w:firstLine="422" w:firstLineChars="200"/>
        <w:jc w:val="left"/>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注：①如实际完工时间与计划完工时间有差异，以实际完工时间为准。</w:t>
      </w:r>
    </w:p>
    <w:p w14:paraId="1D49A1E2">
      <w:pPr>
        <w:tabs>
          <w:tab w:val="left" w:pos="3840"/>
          <w:tab w:val="left" w:pos="5300"/>
        </w:tabs>
        <w:adjustRightInd w:val="0"/>
        <w:snapToGrid w:val="0"/>
        <w:spacing w:line="480" w:lineRule="exact"/>
        <w:ind w:firstLine="843" w:firstLineChars="400"/>
        <w:jc w:val="left"/>
        <w:rPr>
          <w:rFonts w:ascii="宋体" w:hAnsi="宋体"/>
          <w:i/>
          <w:snapToGrid w:val="0"/>
          <w:color w:val="auto"/>
          <w:kern w:val="0"/>
          <w:szCs w:val="21"/>
          <w:highlight w:val="none"/>
        </w:rPr>
      </w:pPr>
      <w:r>
        <w:rPr>
          <w:rFonts w:hint="eastAsia" w:ascii="宋体" w:hAnsi="宋体"/>
          <w:b/>
          <w:bCs/>
          <w:snapToGrid w:val="0"/>
          <w:color w:val="auto"/>
          <w:kern w:val="0"/>
          <w:szCs w:val="21"/>
          <w:highlight w:val="none"/>
        </w:rPr>
        <w:t>②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p w14:paraId="0710FC27">
      <w:pPr>
        <w:tabs>
          <w:tab w:val="left" w:pos="3840"/>
          <w:tab w:val="left" w:pos="5300"/>
        </w:tabs>
        <w:autoSpaceDE w:val="0"/>
        <w:autoSpaceDN w:val="0"/>
        <w:adjustRightInd w:val="0"/>
        <w:snapToGrid w:val="0"/>
        <w:spacing w:line="460" w:lineRule="exact"/>
        <w:jc w:val="left"/>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三、竞选人资格要求</w:t>
      </w:r>
      <w:bookmarkEnd w:id="19"/>
      <w:bookmarkEnd w:id="20"/>
      <w:bookmarkEnd w:id="21"/>
    </w:p>
    <w:p w14:paraId="2FE146F5">
      <w:pPr>
        <w:tabs>
          <w:tab w:val="left" w:pos="3840"/>
          <w:tab w:val="left" w:pos="5300"/>
        </w:tabs>
        <w:adjustRightInd w:val="0"/>
        <w:snapToGrid w:val="0"/>
        <w:spacing w:line="480" w:lineRule="exact"/>
        <w:ind w:firstLine="420" w:firstLineChars="200"/>
        <w:jc w:val="left"/>
        <w:rPr>
          <w:rFonts w:ascii="宋体" w:hAnsi="宋体"/>
          <w:snapToGrid w:val="0"/>
          <w:color w:val="auto"/>
          <w:kern w:val="0"/>
          <w:szCs w:val="21"/>
          <w:highlight w:val="none"/>
        </w:rPr>
      </w:pPr>
      <w:bookmarkStart w:id="22" w:name="_Toc29881"/>
      <w:bookmarkStart w:id="23" w:name="_Toc22348"/>
      <w:bookmarkStart w:id="24" w:name="_Toc26534"/>
      <w:r>
        <w:rPr>
          <w:rFonts w:hint="eastAsia" w:ascii="宋体" w:hAnsi="宋体"/>
          <w:snapToGrid w:val="0"/>
          <w:color w:val="auto"/>
          <w:kern w:val="0"/>
          <w:szCs w:val="21"/>
          <w:highlight w:val="none"/>
        </w:rPr>
        <w:t>1.竞选人具有独立的法人资格，具备建设行政主管部门颁发的工程监理综合资质或</w:t>
      </w:r>
      <w:r>
        <w:rPr>
          <w:rFonts w:hint="eastAsia" w:ascii="宋体" w:hAnsi="宋体"/>
          <w:snapToGrid w:val="0"/>
          <w:color w:val="auto"/>
          <w:kern w:val="0"/>
          <w:szCs w:val="21"/>
          <w:highlight w:val="none"/>
        </w:rPr>
        <w:t>市政公用工程监理乙级</w:t>
      </w:r>
      <w:r>
        <w:rPr>
          <w:rFonts w:hint="eastAsia" w:ascii="宋体" w:hAnsi="宋体"/>
          <w:snapToGrid w:val="0"/>
          <w:color w:val="auto"/>
          <w:kern w:val="0"/>
          <w:szCs w:val="21"/>
          <w:highlight w:val="none"/>
        </w:rPr>
        <w:t xml:space="preserve">及以上资质，并在人员、设备、资金等方面具有相应的能力。 </w:t>
      </w:r>
    </w:p>
    <w:p w14:paraId="7B84EEC3">
      <w:pPr>
        <w:tabs>
          <w:tab w:val="left" w:pos="3840"/>
          <w:tab w:val="left" w:pos="5300"/>
        </w:tabs>
        <w:adjustRightInd w:val="0"/>
        <w:snapToGrid w:val="0"/>
        <w:spacing w:line="48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2.具备有效的营业执照。 </w:t>
      </w:r>
    </w:p>
    <w:p w14:paraId="35D10A1F">
      <w:pPr>
        <w:tabs>
          <w:tab w:val="left" w:pos="3045"/>
          <w:tab w:val="left" w:pos="8310"/>
        </w:tabs>
        <w:adjustRightInd w:val="0"/>
        <w:snapToGrid w:val="0"/>
        <w:spacing w:line="48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3.本次比选不接受联合体参加竞选</w:t>
      </w:r>
      <w:r>
        <w:rPr>
          <w:rFonts w:ascii="宋体" w:hAnsi="宋体"/>
          <w:snapToGrid w:val="0"/>
          <w:color w:val="auto"/>
          <w:kern w:val="0"/>
          <w:szCs w:val="21"/>
          <w:highlight w:val="none"/>
        </w:rPr>
        <w:t>。</w:t>
      </w:r>
    </w:p>
    <w:p w14:paraId="6D2183AD">
      <w:pPr>
        <w:pStyle w:val="17"/>
        <w:widowControl/>
        <w:snapToGrid w:val="0"/>
        <w:spacing w:beforeAutospacing="0" w:afterAutospacing="0" w:line="420" w:lineRule="exact"/>
        <w:rPr>
          <w:rFonts w:ascii="宋体" w:hAnsi="宋体" w:cs="宋体"/>
          <w:snapToGrid w:val="0"/>
          <w:color w:val="auto"/>
          <w:sz w:val="22"/>
          <w:szCs w:val="22"/>
          <w:highlight w:val="none"/>
        </w:rPr>
      </w:pPr>
      <w:r>
        <w:rPr>
          <w:rFonts w:hint="eastAsia" w:ascii="宋体" w:hAnsi="宋体" w:cs="宋体"/>
          <w:b/>
          <w:bCs/>
          <w:snapToGrid w:val="0"/>
          <w:color w:val="auto"/>
          <w:sz w:val="22"/>
          <w:szCs w:val="22"/>
          <w:highlight w:val="none"/>
        </w:rPr>
        <w:t>四、比选文件的购买</w:t>
      </w:r>
    </w:p>
    <w:p w14:paraId="1D1D41E5">
      <w:pPr>
        <w:adjustRightInd w:val="0"/>
        <w:snapToGrid w:val="0"/>
        <w:spacing w:line="480" w:lineRule="exact"/>
        <w:ind w:firstLine="409" w:firstLineChars="186"/>
        <w:jc w:val="left"/>
        <w:rPr>
          <w:rFonts w:cs="宋体" w:asciiTheme="minorEastAsia" w:hAnsiTheme="minorEastAsia" w:eastAsiaTheme="minorEastAsia"/>
          <w:snapToGrid w:val="0"/>
          <w:color w:val="auto"/>
          <w:kern w:val="0"/>
          <w:szCs w:val="21"/>
          <w:highlight w:val="none"/>
        </w:rPr>
      </w:pPr>
      <w:r>
        <w:rPr>
          <w:rFonts w:hint="eastAsia" w:asciiTheme="minorEastAsia" w:hAnsiTheme="minorEastAsia" w:eastAsiaTheme="minorEastAsia"/>
          <w:snapToGrid w:val="0"/>
          <w:color w:val="auto"/>
          <w:kern w:val="0"/>
          <w:sz w:val="22"/>
          <w:szCs w:val="22"/>
          <w:highlight w:val="none"/>
        </w:rPr>
        <w:t xml:space="preserve">4.1 </w:t>
      </w:r>
      <w:r>
        <w:rPr>
          <w:rFonts w:hint="eastAsia" w:ascii="宋体" w:hAnsi="宋体" w:cs="宋体"/>
          <w:snapToGrid w:val="0"/>
          <w:color w:val="auto"/>
          <w:kern w:val="0"/>
          <w:szCs w:val="21"/>
          <w:highlight w:val="none"/>
        </w:rPr>
        <w:t>凡有意参加比选的比选申请人在行采家（https://www.gec123.com/）上获取竞争性比选文件以及补遗等开标前公布的所有项目资料，无论比选申请人领取或下载与否，均视为已知晓所有比选内容，并在</w:t>
      </w:r>
      <w:r>
        <w:rPr>
          <w:rFonts w:hint="eastAsia" w:ascii="宋体" w:hAnsi="宋体" w:cs="宋体"/>
          <w:snapToGrid w:val="0"/>
          <w:color w:val="auto"/>
          <w:kern w:val="0"/>
          <w:szCs w:val="21"/>
          <w:highlight w:val="none"/>
          <w:u w:val="single"/>
        </w:rPr>
        <w:t xml:space="preserve"> 2025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8</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18</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日下午</w:t>
      </w:r>
      <w:r>
        <w:rPr>
          <w:rFonts w:hint="eastAsia" w:ascii="宋体" w:hAnsi="宋体" w:cs="宋体"/>
          <w:snapToGrid w:val="0"/>
          <w:color w:val="auto"/>
          <w:kern w:val="0"/>
          <w:szCs w:val="21"/>
          <w:highlight w:val="none"/>
          <w:u w:val="single"/>
        </w:rPr>
        <w:t>17：00时前</w:t>
      </w:r>
      <w:r>
        <w:rPr>
          <w:rFonts w:hint="eastAsia" w:ascii="宋体" w:hAnsi="宋体" w:cs="宋体"/>
          <w:snapToGrid w:val="0"/>
          <w:color w:val="auto"/>
          <w:kern w:val="0"/>
          <w:szCs w:val="21"/>
          <w:highlight w:val="none"/>
        </w:rPr>
        <w:t>持单位授权委托书至中资（重庆）工程咨询有限公司（地址：重庆市沙坪坝区龙湖光年2号楼14层）递交《登记表》（加盖投人公章）报名或《登记表》（加盖投人公章）的扫描件发至邮箱</w:t>
      </w:r>
      <w:r>
        <w:rPr>
          <w:rFonts w:hint="eastAsia" w:ascii="宋体" w:hAnsi="宋体" w:cs="宋体"/>
          <w:snapToGrid w:val="0"/>
          <w:color w:val="auto"/>
          <w:kern w:val="0"/>
          <w:szCs w:val="21"/>
          <w:highlight w:val="none"/>
        </w:rPr>
        <w:t>（</w:t>
      </w:r>
      <w:r>
        <w:rPr>
          <w:rFonts w:ascii="宋体" w:hAnsi="宋体" w:cs="宋体"/>
          <w:snapToGrid w:val="0"/>
          <w:color w:val="auto"/>
          <w:kern w:val="0"/>
          <w:szCs w:val="21"/>
          <w:highlight w:val="none"/>
        </w:rPr>
        <w:t>ZZCQGC@163.com</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报名。</w:t>
      </w:r>
    </w:p>
    <w:p w14:paraId="2587C078">
      <w:pPr>
        <w:adjustRightInd w:val="0"/>
        <w:snapToGrid w:val="0"/>
        <w:spacing w:line="48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4.2 本次竞争性比选不采用邮寄等方式报名。</w:t>
      </w:r>
    </w:p>
    <w:p w14:paraId="6C0CFA9A">
      <w:pPr>
        <w:adjustRightInd w:val="0"/>
        <w:snapToGrid w:val="0"/>
        <w:spacing w:line="48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4.3 比选文件每套售价</w:t>
      </w:r>
      <w:r>
        <w:rPr>
          <w:rFonts w:cs="宋体" w:asciiTheme="minorEastAsia" w:hAnsiTheme="minorEastAsia" w:eastAsiaTheme="minorEastAsia"/>
          <w:snapToGrid w:val="0"/>
          <w:color w:val="auto"/>
          <w:kern w:val="0"/>
          <w:szCs w:val="21"/>
          <w:highlight w:val="none"/>
        </w:rPr>
        <w:t>5</w:t>
      </w:r>
      <w:r>
        <w:rPr>
          <w:rFonts w:hint="eastAsia" w:cs="宋体" w:asciiTheme="minorEastAsia" w:hAnsiTheme="minorEastAsia" w:eastAsiaTheme="minorEastAsia"/>
          <w:snapToGrid w:val="0"/>
          <w:color w:val="auto"/>
          <w:kern w:val="0"/>
          <w:szCs w:val="21"/>
          <w:highlight w:val="none"/>
        </w:rPr>
        <w:t>00元/份，在递交比选文件时支付给代理机构，售后不退。</w:t>
      </w:r>
    </w:p>
    <w:p w14:paraId="2F7DBC93">
      <w:pPr>
        <w:adjustRightInd w:val="0"/>
        <w:snapToGrid w:val="0"/>
        <w:spacing w:line="48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 比选申请人须满足以下要件，其比选申请文件才被接受：</w:t>
      </w:r>
    </w:p>
    <w:p w14:paraId="1D4A6E24">
      <w:pPr>
        <w:adjustRightInd w:val="0"/>
        <w:snapToGrid w:val="0"/>
        <w:spacing w:line="48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4.4.1  按时递交了比选申请文件；</w:t>
      </w:r>
    </w:p>
    <w:p w14:paraId="06BC8A54">
      <w:pPr>
        <w:adjustRightInd w:val="0"/>
        <w:snapToGrid w:val="0"/>
        <w:spacing w:line="480" w:lineRule="exact"/>
        <w:ind w:firstLine="390" w:firstLineChars="186"/>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4.4.2  按时报名并签到。</w:t>
      </w:r>
    </w:p>
    <w:p w14:paraId="1D28E06B">
      <w:pPr>
        <w:pStyle w:val="17"/>
        <w:widowControl/>
        <w:snapToGrid w:val="0"/>
        <w:spacing w:beforeAutospacing="0" w:afterAutospacing="0" w:line="420" w:lineRule="exact"/>
        <w:jc w:val="both"/>
        <w:rPr>
          <w:rFonts w:ascii="宋体" w:hAnsi="宋体" w:cs="宋体"/>
          <w:color w:val="auto"/>
          <w:sz w:val="22"/>
          <w:szCs w:val="22"/>
          <w:highlight w:val="none"/>
        </w:rPr>
      </w:pPr>
      <w:r>
        <w:rPr>
          <w:rFonts w:hint="eastAsia" w:ascii="宋体" w:hAnsi="宋体" w:cs="宋体"/>
          <w:b/>
          <w:snapToGrid w:val="0"/>
          <w:color w:val="auto"/>
          <w:sz w:val="22"/>
          <w:szCs w:val="22"/>
          <w:highlight w:val="none"/>
        </w:rPr>
        <w:t>五、竞选文件的递交</w:t>
      </w:r>
    </w:p>
    <w:p w14:paraId="46E440AC">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5.1  竞选文件递交的截止时间（竞选截止时间，下同）为</w:t>
      </w:r>
      <w:r>
        <w:rPr>
          <w:rFonts w:hint="eastAsia" w:ascii="宋体" w:hAnsi="宋体" w:cs="宋体"/>
          <w:snapToGrid w:val="0"/>
          <w:color w:val="auto"/>
          <w:kern w:val="0"/>
          <w:szCs w:val="21"/>
          <w:highlight w:val="none"/>
          <w:u w:val="single"/>
        </w:rPr>
        <w:t xml:space="preserve"> 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 xml:space="preserve">8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19</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u w:val="single"/>
        </w:rPr>
        <w:t xml:space="preserve"> 10 </w:t>
      </w:r>
      <w:r>
        <w:rPr>
          <w:rFonts w:hint="eastAsia" w:ascii="宋体" w:hAnsi="宋体" w:cs="宋体"/>
          <w:snapToGrid w:val="0"/>
          <w:color w:val="auto"/>
          <w:kern w:val="0"/>
          <w:szCs w:val="21"/>
          <w:highlight w:val="none"/>
        </w:rPr>
        <w:t>时</w:t>
      </w:r>
      <w:r>
        <w:rPr>
          <w:rFonts w:hint="eastAsia" w:ascii="宋体" w:hAnsi="宋体" w:cs="宋体"/>
          <w:snapToGrid w:val="0"/>
          <w:color w:val="auto"/>
          <w:kern w:val="0"/>
          <w:szCs w:val="21"/>
          <w:highlight w:val="none"/>
          <w:u w:val="single"/>
        </w:rPr>
        <w:t xml:space="preserve"> 00 </w:t>
      </w:r>
      <w:r>
        <w:rPr>
          <w:rFonts w:hint="eastAsia" w:ascii="宋体" w:hAnsi="宋体" w:cs="宋体"/>
          <w:snapToGrid w:val="0"/>
          <w:color w:val="auto"/>
          <w:kern w:val="0"/>
          <w:szCs w:val="21"/>
          <w:highlight w:val="none"/>
        </w:rPr>
        <w:t>分，地点为</w:t>
      </w:r>
      <w:r>
        <w:rPr>
          <w:rFonts w:hint="eastAsia" w:ascii="宋体" w:hAnsi="宋体" w:cs="宋体"/>
          <w:snapToGrid w:val="0"/>
          <w:color w:val="auto"/>
          <w:kern w:val="0"/>
          <w:szCs w:val="21"/>
          <w:highlight w:val="none"/>
          <w:u w:val="single"/>
        </w:rPr>
        <w:t xml:space="preserve"> 重庆市南岸区行政服务中心B区3号楼</w:t>
      </w:r>
      <w:r>
        <w:rPr>
          <w:rFonts w:hint="eastAsia" w:ascii="宋体" w:hAnsi="宋体" w:cs="宋体"/>
          <w:snapToGrid w:val="0"/>
          <w:color w:val="auto"/>
          <w:kern w:val="0"/>
          <w:szCs w:val="21"/>
          <w:highlight w:val="none"/>
          <w:u w:val="single"/>
          <w:lang w:val="en-US" w:eastAsia="zh-CN"/>
        </w:rPr>
        <w:t>2012</w:t>
      </w:r>
      <w:r>
        <w:rPr>
          <w:rFonts w:hint="eastAsia" w:ascii="宋体" w:hAnsi="宋体" w:cs="宋体"/>
          <w:snapToGrid w:val="0"/>
          <w:color w:val="auto"/>
          <w:kern w:val="0"/>
          <w:szCs w:val="21"/>
          <w:highlight w:val="none"/>
          <w:u w:val="single"/>
        </w:rPr>
        <w:t xml:space="preserve">室 </w:t>
      </w:r>
      <w:r>
        <w:rPr>
          <w:rFonts w:hint="eastAsia" w:ascii="宋体" w:hAnsi="宋体" w:cs="宋体"/>
          <w:snapToGrid w:val="0"/>
          <w:color w:val="auto"/>
          <w:kern w:val="0"/>
          <w:szCs w:val="21"/>
          <w:highlight w:val="none"/>
        </w:rPr>
        <w:t>。</w:t>
      </w:r>
    </w:p>
    <w:p w14:paraId="77D0F83C">
      <w:pPr>
        <w:autoSpaceDE w:val="0"/>
        <w:autoSpaceDN w:val="0"/>
        <w:adjustRightInd w:val="0"/>
        <w:snapToGrid w:val="0"/>
        <w:spacing w:line="45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5.2  逾期送达的或者未送达指定地点的竞选文件，比选人不予受理。</w:t>
      </w:r>
    </w:p>
    <w:p w14:paraId="3D109C4F">
      <w:pPr>
        <w:pStyle w:val="17"/>
        <w:widowControl/>
        <w:snapToGrid w:val="0"/>
        <w:spacing w:beforeAutospacing="0" w:afterAutospacing="0" w:line="420" w:lineRule="exact"/>
        <w:jc w:val="both"/>
        <w:rPr>
          <w:rFonts w:ascii="宋体" w:hAnsi="宋体" w:cs="宋体"/>
          <w:b/>
          <w:snapToGrid w:val="0"/>
          <w:color w:val="auto"/>
          <w:sz w:val="22"/>
          <w:szCs w:val="22"/>
          <w:highlight w:val="none"/>
        </w:rPr>
      </w:pPr>
      <w:r>
        <w:rPr>
          <w:rFonts w:hint="eastAsia" w:ascii="宋体" w:hAnsi="宋体" w:cs="宋体"/>
          <w:b/>
          <w:snapToGrid w:val="0"/>
          <w:color w:val="auto"/>
          <w:sz w:val="22"/>
          <w:szCs w:val="22"/>
          <w:highlight w:val="none"/>
        </w:rPr>
        <w:t>六、发布公告的媒介</w:t>
      </w:r>
      <w:bookmarkStart w:id="833" w:name="_GoBack"/>
      <w:bookmarkEnd w:id="833"/>
    </w:p>
    <w:p w14:paraId="6C9B4676">
      <w:pPr>
        <w:pStyle w:val="17"/>
        <w:widowControl/>
        <w:snapToGrid w:val="0"/>
        <w:spacing w:beforeAutospacing="0" w:afterAutospacing="0" w:line="480" w:lineRule="exact"/>
        <w:ind w:firstLine="420" w:firstLineChars="200"/>
        <w:jc w:val="both"/>
        <w:rPr>
          <w:rFonts w:ascii="宋体" w:hAnsi="宋体" w:cs="宋体"/>
          <w:color w:val="auto"/>
          <w:sz w:val="21"/>
          <w:szCs w:val="21"/>
          <w:highlight w:val="none"/>
        </w:rPr>
      </w:pPr>
      <w:r>
        <w:rPr>
          <w:rFonts w:hint="eastAsia" w:ascii="宋体" w:hAnsi="宋体" w:cs="宋体"/>
          <w:snapToGrid w:val="0"/>
          <w:color w:val="auto"/>
          <w:sz w:val="21"/>
          <w:szCs w:val="21"/>
          <w:highlight w:val="none"/>
        </w:rPr>
        <w:t>本次比选公告在</w:t>
      </w:r>
      <w:r>
        <w:rPr>
          <w:rFonts w:hint="eastAsia" w:ascii="宋体" w:hAnsi="宋体" w:cs="宋体"/>
          <w:snapToGrid w:val="0"/>
          <w:color w:val="auto"/>
          <w:kern w:val="0"/>
          <w:szCs w:val="21"/>
          <w:highlight w:val="none"/>
          <w:u w:val="single"/>
        </w:rPr>
        <w:t>行采家（http://www.gec123.com）、中国招标投标公共服务平台 （http://www.cebpubservice.com）</w:t>
      </w:r>
      <w:r>
        <w:rPr>
          <w:rFonts w:hint="eastAsia" w:ascii="宋体" w:hAnsi="宋体" w:cs="宋体"/>
          <w:snapToGrid w:val="0"/>
          <w:color w:val="auto"/>
          <w:sz w:val="21"/>
          <w:szCs w:val="21"/>
          <w:highlight w:val="none"/>
        </w:rPr>
        <w:t>上发布。</w:t>
      </w:r>
    </w:p>
    <w:p w14:paraId="2D31301C">
      <w:pPr>
        <w:pStyle w:val="17"/>
        <w:widowControl/>
        <w:snapToGrid w:val="0"/>
        <w:spacing w:beforeAutospacing="0" w:afterAutospacing="0" w:line="420" w:lineRule="exact"/>
        <w:jc w:val="both"/>
        <w:rPr>
          <w:color w:val="auto"/>
          <w:highlight w:val="none"/>
        </w:rPr>
      </w:pPr>
      <w:r>
        <w:rPr>
          <w:rFonts w:hint="eastAsia" w:ascii="宋体" w:hAnsi="宋体" w:cs="宋体"/>
          <w:b/>
          <w:snapToGrid w:val="0"/>
          <w:color w:val="auto"/>
          <w:sz w:val="22"/>
          <w:szCs w:val="22"/>
          <w:highlight w:val="none"/>
        </w:rPr>
        <w:t>七、联系方式</w:t>
      </w:r>
    </w:p>
    <w:bookmarkEnd w:id="11"/>
    <w:bookmarkEnd w:id="22"/>
    <w:bookmarkEnd w:id="23"/>
    <w:bookmarkEnd w:id="24"/>
    <w:p w14:paraId="678C9BFF">
      <w:pPr>
        <w:tabs>
          <w:tab w:val="left" w:pos="5140"/>
          <w:tab w:val="left" w:pos="8520"/>
        </w:tabs>
        <w:autoSpaceDE w:val="0"/>
        <w:autoSpaceDN w:val="0"/>
        <w:adjustRightInd w:val="0"/>
        <w:snapToGrid w:val="0"/>
        <w:spacing w:line="420" w:lineRule="exact"/>
        <w:ind w:firstLine="210" w:firstLineChars="100"/>
        <w:jc w:val="left"/>
        <w:rPr>
          <w:rFonts w:ascii="宋体" w:hAnsi="宋体"/>
          <w:color w:val="auto"/>
          <w:szCs w:val="21"/>
          <w:highlight w:val="none"/>
        </w:rPr>
      </w:pPr>
      <w:bookmarkStart w:id="25" w:name="_Toc287607744"/>
      <w:bookmarkStart w:id="26" w:name="_Toc287620683"/>
      <w:bookmarkStart w:id="27" w:name="_Toc30449"/>
      <w:bookmarkStart w:id="28" w:name="_Toc430530432"/>
      <w:bookmarkStart w:id="29" w:name="_Toc1178"/>
      <w:bookmarkStart w:id="30" w:name="_Toc224103315"/>
      <w:r>
        <w:rPr>
          <w:rFonts w:hint="eastAsia" w:ascii="宋体" w:hAnsi="宋体"/>
          <w:color w:val="auto"/>
          <w:szCs w:val="21"/>
          <w:highlight w:val="none"/>
        </w:rPr>
        <w:t xml:space="preserve"> 比选人：</w:t>
      </w:r>
      <w:r>
        <w:rPr>
          <w:rFonts w:hint="eastAsia" w:ascii="宋体" w:hAnsi="宋体"/>
          <w:color w:val="auto"/>
          <w:szCs w:val="21"/>
          <w:highlight w:val="none"/>
          <w:lang w:eastAsia="zh-CN"/>
        </w:rPr>
        <w:t>重庆市南岸区城市建设发展（集团）有限公司</w:t>
      </w:r>
      <w:r>
        <w:rPr>
          <w:rFonts w:hint="eastAsia" w:ascii="宋体" w:hAnsi="宋体"/>
          <w:color w:val="auto"/>
          <w:szCs w:val="21"/>
          <w:highlight w:val="none"/>
        </w:rPr>
        <w:t xml:space="preserve">      </w:t>
      </w:r>
    </w:p>
    <w:p w14:paraId="1E39BDBA">
      <w:pPr>
        <w:tabs>
          <w:tab w:val="left" w:pos="5140"/>
          <w:tab w:val="left" w:pos="8520"/>
        </w:tabs>
        <w:autoSpaceDE w:val="0"/>
        <w:autoSpaceDN w:val="0"/>
        <w:adjustRightInd w:val="0"/>
        <w:snapToGrid w:val="0"/>
        <w:spacing w:line="420" w:lineRule="exact"/>
        <w:ind w:firstLine="210" w:firstLineChars="100"/>
        <w:jc w:val="left"/>
        <w:rPr>
          <w:rFonts w:ascii="宋体" w:hAnsi="宋体"/>
          <w:color w:val="auto"/>
          <w:szCs w:val="21"/>
          <w:highlight w:val="none"/>
        </w:rPr>
      </w:pPr>
      <w:r>
        <w:rPr>
          <w:rFonts w:hint="eastAsia" w:ascii="宋体" w:hAnsi="宋体"/>
          <w:color w:val="auto"/>
          <w:szCs w:val="21"/>
          <w:highlight w:val="none"/>
        </w:rPr>
        <w:t xml:space="preserve"> 地址：重庆市南岸区行政中心B区三号楼                        </w:t>
      </w:r>
    </w:p>
    <w:p w14:paraId="16CB9681">
      <w:pPr>
        <w:tabs>
          <w:tab w:val="left" w:pos="5140"/>
          <w:tab w:val="left" w:pos="8520"/>
        </w:tabs>
        <w:autoSpaceDE w:val="0"/>
        <w:autoSpaceDN w:val="0"/>
        <w:adjustRightInd w:val="0"/>
        <w:snapToGrid w:val="0"/>
        <w:spacing w:line="420" w:lineRule="exact"/>
        <w:ind w:firstLine="210" w:firstLineChars="100"/>
        <w:jc w:val="left"/>
        <w:rPr>
          <w:rFonts w:ascii="宋体" w:hAnsi="宋体"/>
          <w:color w:val="auto"/>
          <w:szCs w:val="21"/>
          <w:highlight w:val="none"/>
        </w:rPr>
      </w:pPr>
      <w:r>
        <w:rPr>
          <w:rFonts w:hint="eastAsia" w:ascii="宋体" w:hAnsi="宋体"/>
          <w:color w:val="auto"/>
          <w:szCs w:val="21"/>
          <w:highlight w:val="none"/>
        </w:rPr>
        <w:t xml:space="preserve"> 联系人：李老师                                           </w:t>
      </w:r>
    </w:p>
    <w:p w14:paraId="006B889D">
      <w:pPr>
        <w:tabs>
          <w:tab w:val="left" w:pos="5140"/>
          <w:tab w:val="left" w:pos="8520"/>
        </w:tabs>
        <w:autoSpaceDE w:val="0"/>
        <w:autoSpaceDN w:val="0"/>
        <w:adjustRightInd w:val="0"/>
        <w:snapToGrid w:val="0"/>
        <w:spacing w:line="420" w:lineRule="exact"/>
        <w:ind w:firstLine="210" w:firstLineChars="100"/>
        <w:jc w:val="left"/>
        <w:rPr>
          <w:rFonts w:ascii="宋体" w:hAnsi="宋体"/>
          <w:color w:val="auto"/>
          <w:szCs w:val="21"/>
          <w:highlight w:val="none"/>
        </w:rPr>
      </w:pPr>
      <w:r>
        <w:rPr>
          <w:rFonts w:hint="eastAsia" w:ascii="宋体" w:hAnsi="宋体"/>
          <w:color w:val="auto"/>
          <w:szCs w:val="21"/>
          <w:highlight w:val="none"/>
        </w:rPr>
        <w:t xml:space="preserve"> 电  话：023-62905607</w:t>
      </w:r>
    </w:p>
    <w:p w14:paraId="2409AF39">
      <w:pPr>
        <w:pStyle w:val="8"/>
        <w:spacing w:line="420" w:lineRule="exact"/>
        <w:rPr>
          <w:color w:val="auto"/>
          <w:szCs w:val="21"/>
          <w:highlight w:val="none"/>
        </w:rPr>
      </w:pPr>
    </w:p>
    <w:p w14:paraId="12BC3A74">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比选代理机构：中资（重庆）工程咨询有限公司</w:t>
      </w:r>
    </w:p>
    <w:p w14:paraId="13B9F091">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s="宋体"/>
          <w:snapToGrid w:val="0"/>
          <w:color w:val="auto"/>
          <w:kern w:val="0"/>
          <w:szCs w:val="21"/>
          <w:highlight w:val="none"/>
        </w:rPr>
        <w:t>重庆市沙坪坝区龙湖光年2号楼14层</w:t>
      </w:r>
    </w:p>
    <w:p w14:paraId="3A7E9B9B">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联系人：冉老师  </w:t>
      </w:r>
    </w:p>
    <w:p w14:paraId="6DB4A8DC">
      <w:pPr>
        <w:autoSpaceDE w:val="0"/>
        <w:autoSpaceDN w:val="0"/>
        <w:adjustRightInd w:val="0"/>
        <w:snapToGrid w:val="0"/>
        <w:spacing w:line="440" w:lineRule="exact"/>
        <w:ind w:firstLine="420" w:firstLineChars="200"/>
        <w:rPr>
          <w:rFonts w:ascii="宋体" w:hAnsi="宋体"/>
          <w:snapToGrid w:val="0"/>
          <w:color w:val="auto"/>
          <w:kern w:val="0"/>
          <w:sz w:val="20"/>
          <w:szCs w:val="20"/>
          <w:highlight w:val="none"/>
        </w:rPr>
      </w:pPr>
      <w:r>
        <w:rPr>
          <w:rFonts w:hint="eastAsia" w:ascii="宋体" w:hAnsi="宋体"/>
          <w:color w:val="auto"/>
          <w:szCs w:val="21"/>
          <w:highlight w:val="none"/>
        </w:rPr>
        <w:t xml:space="preserve">电  话：18680861765 </w:t>
      </w:r>
      <w:r>
        <w:rPr>
          <w:rFonts w:hint="eastAsia" w:ascii="宋体" w:hAnsi="宋体"/>
          <w:snapToGrid w:val="0"/>
          <w:color w:val="auto"/>
          <w:kern w:val="0"/>
          <w:szCs w:val="21"/>
          <w:highlight w:val="none"/>
        </w:rPr>
        <w:t xml:space="preserve">  </w:t>
      </w:r>
    </w:p>
    <w:p w14:paraId="3E4F08AF">
      <w:pPr>
        <w:rPr>
          <w:rFonts w:ascii="宋体" w:hAnsi="宋体" w:cs="宋体"/>
          <w:snapToGrid w:val="0"/>
          <w:color w:val="auto"/>
          <w:kern w:val="0"/>
          <w:highlight w:val="none"/>
        </w:rPr>
      </w:pPr>
      <w:r>
        <w:rPr>
          <w:rFonts w:hint="eastAsia" w:ascii="宋体" w:hAnsi="宋体" w:cs="宋体"/>
          <w:snapToGrid w:val="0"/>
          <w:color w:val="auto"/>
          <w:kern w:val="0"/>
          <w:highlight w:val="none"/>
        </w:rPr>
        <w:br w:type="page"/>
      </w:r>
    </w:p>
    <w:p w14:paraId="7529BA09">
      <w:pPr>
        <w:pStyle w:val="3"/>
        <w:spacing w:before="0" w:after="0" w:line="360" w:lineRule="auto"/>
        <w:jc w:val="center"/>
        <w:rPr>
          <w:rFonts w:ascii="宋体" w:hAnsi="宋体" w:cs="宋体"/>
          <w:bCs w:val="0"/>
          <w:snapToGrid w:val="0"/>
          <w:color w:val="auto"/>
          <w:kern w:val="0"/>
          <w:highlight w:val="none"/>
        </w:rPr>
      </w:pPr>
      <w:r>
        <w:rPr>
          <w:rFonts w:hint="eastAsia" w:ascii="宋体" w:hAnsi="宋体" w:cs="宋体"/>
          <w:snapToGrid w:val="0"/>
          <w:color w:val="auto"/>
          <w:kern w:val="0"/>
          <w:highlight w:val="none"/>
        </w:rPr>
        <w:t>第二章  竞选人须知</w:t>
      </w:r>
      <w:bookmarkEnd w:id="25"/>
      <w:bookmarkEnd w:id="26"/>
      <w:bookmarkEnd w:id="27"/>
      <w:bookmarkEnd w:id="28"/>
      <w:bookmarkEnd w:id="29"/>
      <w:bookmarkEnd w:id="30"/>
      <w:bookmarkStart w:id="31" w:name="_Toc287620684"/>
      <w:bookmarkStart w:id="32" w:name="_Toc287607745"/>
      <w:bookmarkStart w:id="33" w:name="_Toc430530433"/>
      <w:bookmarkStart w:id="34" w:name="_Toc224103316"/>
      <w:bookmarkStart w:id="35" w:name="_Toc277082551"/>
    </w:p>
    <w:p w14:paraId="13F914FC">
      <w:pPr>
        <w:pStyle w:val="4"/>
        <w:spacing w:before="100" w:after="100" w:line="360" w:lineRule="auto"/>
        <w:rPr>
          <w:rFonts w:ascii="宋体" w:hAnsi="宋体" w:cs="宋体"/>
          <w:color w:val="auto"/>
          <w:highlight w:val="none"/>
        </w:rPr>
      </w:pPr>
      <w:bookmarkStart w:id="36" w:name="_Toc9850"/>
      <w:bookmarkStart w:id="37" w:name="_Toc509218708"/>
      <w:bookmarkStart w:id="38" w:name="_Toc15182"/>
      <w:bookmarkStart w:id="39" w:name="_Toc4746"/>
      <w:r>
        <w:rPr>
          <w:rFonts w:hint="eastAsia" w:ascii="宋体" w:hAnsi="宋体" w:cs="宋体"/>
          <w:color w:val="auto"/>
          <w:highlight w:val="none"/>
        </w:rPr>
        <w:t>竞选人须知前附表</w:t>
      </w:r>
      <w:bookmarkEnd w:id="31"/>
      <w:bookmarkEnd w:id="32"/>
      <w:bookmarkEnd w:id="33"/>
      <w:bookmarkEnd w:id="34"/>
      <w:bookmarkEnd w:id="35"/>
      <w:bookmarkEnd w:id="36"/>
      <w:bookmarkEnd w:id="37"/>
      <w:bookmarkEnd w:id="38"/>
      <w:bookmarkEnd w:id="39"/>
    </w:p>
    <w:p w14:paraId="4E679EB6">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若竞选人须知前附表与正文不一致的地方，以竞选人须知前附表为准。</w:t>
      </w:r>
    </w:p>
    <w:tbl>
      <w:tblPr>
        <w:tblStyle w:val="20"/>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64"/>
        <w:gridCol w:w="6372"/>
      </w:tblGrid>
      <w:tr w14:paraId="127FF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dxa"/>
            <w:vAlign w:val="center"/>
          </w:tcPr>
          <w:p w14:paraId="67E07C94">
            <w:pPr>
              <w:snapToGrid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964" w:type="dxa"/>
            <w:vAlign w:val="center"/>
          </w:tcPr>
          <w:p w14:paraId="26390E49">
            <w:pPr>
              <w:snapToGrid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372" w:type="dxa"/>
            <w:vAlign w:val="center"/>
          </w:tcPr>
          <w:p w14:paraId="13B4D6B4">
            <w:pPr>
              <w:snapToGrid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59456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79775F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1.1.2</w:t>
            </w:r>
          </w:p>
        </w:tc>
        <w:tc>
          <w:tcPr>
            <w:tcW w:w="1964" w:type="dxa"/>
            <w:vAlign w:val="center"/>
          </w:tcPr>
          <w:p w14:paraId="317235A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比选人</w:t>
            </w:r>
          </w:p>
        </w:tc>
        <w:tc>
          <w:tcPr>
            <w:tcW w:w="6372" w:type="dxa"/>
          </w:tcPr>
          <w:p w14:paraId="7EFEAD7F">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名称：</w:t>
            </w:r>
            <w:r>
              <w:rPr>
                <w:rFonts w:hint="eastAsia" w:ascii="宋体" w:hAnsi="宋体"/>
                <w:color w:val="auto"/>
                <w:kern w:val="0"/>
                <w:szCs w:val="21"/>
                <w:highlight w:val="none"/>
                <w:lang w:eastAsia="zh-CN"/>
              </w:rPr>
              <w:t>重庆市南岸区城市建设发展（集团）有限公司</w:t>
            </w:r>
          </w:p>
          <w:p w14:paraId="31E0FE60">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宋体"/>
                <w:color w:val="auto"/>
                <w:kern w:val="0"/>
                <w:szCs w:val="21"/>
                <w:highlight w:val="none"/>
              </w:rPr>
              <w:t>重庆市南岸区行政中心B区三号楼</w:t>
            </w:r>
          </w:p>
          <w:p w14:paraId="07FC6F02">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s="宋体"/>
                <w:color w:val="auto"/>
                <w:kern w:val="0"/>
                <w:szCs w:val="21"/>
                <w:highlight w:val="none"/>
              </w:rPr>
              <w:t>李老师</w:t>
            </w:r>
          </w:p>
          <w:p w14:paraId="63F23AFD">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023-62905607</w:t>
            </w:r>
          </w:p>
        </w:tc>
      </w:tr>
      <w:tr w14:paraId="439B0C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46DF01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1.1.3</w:t>
            </w:r>
          </w:p>
        </w:tc>
        <w:tc>
          <w:tcPr>
            <w:tcW w:w="1964" w:type="dxa"/>
            <w:vAlign w:val="center"/>
          </w:tcPr>
          <w:p w14:paraId="579A345B">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比选代理机构</w:t>
            </w:r>
          </w:p>
        </w:tc>
        <w:tc>
          <w:tcPr>
            <w:tcW w:w="6372" w:type="dxa"/>
          </w:tcPr>
          <w:p w14:paraId="3343AE9B">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color w:val="auto"/>
                <w:highlight w:val="none"/>
              </w:rPr>
              <w:fldChar w:fldCharType="begin"/>
            </w:r>
            <w:r>
              <w:rPr>
                <w:color w:val="auto"/>
                <w:highlight w:val="none"/>
              </w:rPr>
              <w:instrText xml:space="preserve"> HYPERLINK "http://183.66.171.75:88/CQCollect/Qy_Query/Zjzxjg/javascript:__doPostBack('DataGrid1$_ctl2$_ctl0','')" </w:instrText>
            </w:r>
            <w:r>
              <w:rPr>
                <w:color w:val="auto"/>
                <w:highlight w:val="none"/>
              </w:rPr>
              <w:fldChar w:fldCharType="separate"/>
            </w:r>
            <w:r>
              <w:rPr>
                <w:rFonts w:hint="eastAsia" w:ascii="宋体" w:hAnsi="宋体"/>
                <w:color w:val="auto"/>
                <w:szCs w:val="21"/>
                <w:highlight w:val="none"/>
              </w:rPr>
              <w:t>中资（重庆）工程咨询有限公司</w:t>
            </w:r>
            <w:r>
              <w:rPr>
                <w:rFonts w:hint="eastAsia" w:ascii="宋体" w:hAnsi="宋体"/>
                <w:color w:val="auto"/>
                <w:szCs w:val="21"/>
                <w:highlight w:val="none"/>
              </w:rPr>
              <w:fldChar w:fldCharType="end"/>
            </w:r>
          </w:p>
          <w:p w14:paraId="421FDB51">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宋体"/>
                <w:snapToGrid w:val="0"/>
                <w:color w:val="auto"/>
                <w:kern w:val="0"/>
                <w:szCs w:val="21"/>
                <w:highlight w:val="none"/>
              </w:rPr>
              <w:t>重庆市沙坪坝区龙湖光年2号楼14层</w:t>
            </w:r>
          </w:p>
          <w:p w14:paraId="651A726B">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szCs w:val="21"/>
                <w:highlight w:val="none"/>
              </w:rPr>
              <w:t>冉老师</w:t>
            </w:r>
          </w:p>
          <w:p w14:paraId="6303156A">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szCs w:val="21"/>
                <w:highlight w:val="none"/>
              </w:rPr>
              <w:t>18680861765</w:t>
            </w:r>
          </w:p>
        </w:tc>
      </w:tr>
      <w:tr w14:paraId="21FC4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EBFB9E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1.1.4</w:t>
            </w:r>
          </w:p>
        </w:tc>
        <w:tc>
          <w:tcPr>
            <w:tcW w:w="1964" w:type="dxa"/>
            <w:vAlign w:val="center"/>
          </w:tcPr>
          <w:p w14:paraId="203709D8">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372" w:type="dxa"/>
          </w:tcPr>
          <w:p w14:paraId="0BB98944">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lang w:eastAsia="zh-CN"/>
              </w:rPr>
              <w:t>南岸区弹子石片区居民共有产权雨水管网改造工程监理</w:t>
            </w:r>
            <w:r>
              <w:rPr>
                <w:rFonts w:hint="eastAsia" w:ascii="宋体" w:hAnsi="宋体"/>
                <w:color w:val="auto"/>
                <w:kern w:val="0"/>
                <w:szCs w:val="21"/>
                <w:highlight w:val="none"/>
              </w:rPr>
              <w:t xml:space="preserve">                </w:t>
            </w:r>
          </w:p>
        </w:tc>
      </w:tr>
      <w:tr w14:paraId="20034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9A1655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1.1.5</w:t>
            </w:r>
          </w:p>
        </w:tc>
        <w:tc>
          <w:tcPr>
            <w:tcW w:w="1964" w:type="dxa"/>
            <w:vAlign w:val="center"/>
          </w:tcPr>
          <w:p w14:paraId="64547C3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6372" w:type="dxa"/>
          </w:tcPr>
          <w:p w14:paraId="044C9C5D">
            <w:pPr>
              <w:rPr>
                <w:color w:val="auto"/>
                <w:highlight w:val="none"/>
              </w:rPr>
            </w:pPr>
            <w:r>
              <w:rPr>
                <w:rFonts w:hint="eastAsia" w:asciiTheme="minorEastAsia" w:hAnsiTheme="minorEastAsia" w:eastAsiaTheme="minorEastAsia"/>
                <w:color w:val="auto"/>
                <w:szCs w:val="21"/>
                <w:highlight w:val="none"/>
                <w:u w:val="single"/>
                <w:lang w:val="en-US" w:eastAsia="zh-CN"/>
              </w:rPr>
              <w:t>重庆市</w:t>
            </w:r>
            <w:r>
              <w:rPr>
                <w:rFonts w:hint="eastAsia" w:ascii="宋体" w:hAnsi="宋体"/>
                <w:snapToGrid w:val="0"/>
                <w:color w:val="auto"/>
                <w:kern w:val="0"/>
                <w:szCs w:val="21"/>
                <w:highlight w:val="none"/>
                <w:u w:val="single"/>
              </w:rPr>
              <w:t>南岸区</w:t>
            </w:r>
          </w:p>
        </w:tc>
      </w:tr>
      <w:tr w14:paraId="591CF5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C64FA2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1.1.6</w:t>
            </w:r>
          </w:p>
        </w:tc>
        <w:tc>
          <w:tcPr>
            <w:tcW w:w="1964" w:type="dxa"/>
            <w:vAlign w:val="center"/>
          </w:tcPr>
          <w:p w14:paraId="15D8120D">
            <w:pPr>
              <w:snapToGri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项目总投资及</w:t>
            </w:r>
          </w:p>
          <w:p w14:paraId="1FE606F9">
            <w:pPr>
              <w:snapToGrid w:val="0"/>
              <w:spacing w:line="400" w:lineRule="exact"/>
              <w:jc w:val="center"/>
              <w:rPr>
                <w:rFonts w:ascii="宋体" w:hAnsi="宋体" w:cs="宋体"/>
                <w:color w:val="auto"/>
                <w:kern w:val="0"/>
                <w:szCs w:val="21"/>
                <w:highlight w:val="none"/>
              </w:rPr>
            </w:pPr>
            <w:r>
              <w:rPr>
                <w:rFonts w:hint="eastAsia" w:ascii="宋体" w:hAnsi="宋体"/>
                <w:snapToGrid w:val="0"/>
                <w:color w:val="auto"/>
                <w:kern w:val="0"/>
                <w:szCs w:val="21"/>
                <w:highlight w:val="none"/>
              </w:rPr>
              <w:t>建设内容</w:t>
            </w:r>
          </w:p>
        </w:tc>
        <w:tc>
          <w:tcPr>
            <w:tcW w:w="6372" w:type="dxa"/>
            <w:vAlign w:val="center"/>
          </w:tcPr>
          <w:p w14:paraId="14D0B014">
            <w:pPr>
              <w:widowControl/>
              <w:shd w:val="clear" w:color="auto" w:fill="FFFFFF"/>
              <w:spacing w:line="420" w:lineRule="exact"/>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改造南岸区弹子石街道、龙门浩街道等居民共有产权排水管网错混接，建筑排水立管改造、老旧排水管道更新。</w:t>
            </w:r>
          </w:p>
        </w:tc>
      </w:tr>
      <w:tr w14:paraId="516DD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D248C6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1.2.1</w:t>
            </w:r>
          </w:p>
        </w:tc>
        <w:tc>
          <w:tcPr>
            <w:tcW w:w="1964" w:type="dxa"/>
            <w:vAlign w:val="center"/>
          </w:tcPr>
          <w:p w14:paraId="13DBBFF4">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372" w:type="dxa"/>
            <w:vAlign w:val="center"/>
          </w:tcPr>
          <w:p w14:paraId="03328835">
            <w:pPr>
              <w:snapToGrid w:val="0"/>
              <w:spacing w:line="400" w:lineRule="exact"/>
              <w:rPr>
                <w:rFonts w:hint="default" w:ascii="宋体" w:hAnsi="宋体" w:eastAsia="宋体" w:cs="宋体"/>
                <w:color w:val="auto"/>
                <w:szCs w:val="21"/>
                <w:highlight w:val="none"/>
                <w:lang w:val="en-US" w:eastAsia="zh-CN"/>
              </w:rPr>
            </w:pPr>
            <w:r>
              <w:rPr>
                <w:rFonts w:hint="eastAsia" w:ascii="宋体" w:hAnsi="宋体"/>
                <w:snapToGrid w:val="0"/>
                <w:color w:val="auto"/>
                <w:kern w:val="0"/>
                <w:szCs w:val="21"/>
                <w:highlight w:val="none"/>
                <w:u w:val="single"/>
                <w:lang w:val="en-US" w:eastAsia="zh-CN"/>
              </w:rPr>
              <w:t>国有资金</w:t>
            </w:r>
          </w:p>
        </w:tc>
      </w:tr>
      <w:tr w14:paraId="76337E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8C4022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1.2.2</w:t>
            </w:r>
          </w:p>
        </w:tc>
        <w:tc>
          <w:tcPr>
            <w:tcW w:w="1964" w:type="dxa"/>
            <w:vAlign w:val="center"/>
          </w:tcPr>
          <w:p w14:paraId="09E33EA6">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出资比例</w:t>
            </w:r>
          </w:p>
        </w:tc>
        <w:tc>
          <w:tcPr>
            <w:tcW w:w="6372" w:type="dxa"/>
            <w:vAlign w:val="center"/>
          </w:tcPr>
          <w:p w14:paraId="011CA349">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100%</w:t>
            </w:r>
          </w:p>
        </w:tc>
      </w:tr>
      <w:tr w14:paraId="3963F2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44EFF5E">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1.2.3</w:t>
            </w:r>
          </w:p>
        </w:tc>
        <w:tc>
          <w:tcPr>
            <w:tcW w:w="1964" w:type="dxa"/>
            <w:vAlign w:val="center"/>
          </w:tcPr>
          <w:p w14:paraId="55AFB0BA">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372" w:type="dxa"/>
            <w:vAlign w:val="center"/>
          </w:tcPr>
          <w:p w14:paraId="7A29C674">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已落实</w:t>
            </w:r>
          </w:p>
        </w:tc>
      </w:tr>
      <w:tr w14:paraId="677761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F00940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1.3.1</w:t>
            </w:r>
          </w:p>
        </w:tc>
        <w:tc>
          <w:tcPr>
            <w:tcW w:w="1964" w:type="dxa"/>
            <w:vAlign w:val="center"/>
          </w:tcPr>
          <w:p w14:paraId="639921F3">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比选范围</w:t>
            </w:r>
          </w:p>
        </w:tc>
        <w:tc>
          <w:tcPr>
            <w:tcW w:w="6372" w:type="dxa"/>
            <w:vAlign w:val="center"/>
          </w:tcPr>
          <w:p w14:paraId="4C4F2FCF">
            <w:pPr>
              <w:tabs>
                <w:tab w:val="left" w:pos="3840"/>
                <w:tab w:val="left" w:pos="5300"/>
              </w:tabs>
              <w:autoSpaceDE w:val="0"/>
              <w:autoSpaceDN w:val="0"/>
              <w:adjustRightInd w:val="0"/>
              <w:snapToGrid w:val="0"/>
              <w:spacing w:line="360" w:lineRule="auto"/>
              <w:ind w:firstLine="420" w:firstLineChars="200"/>
              <w:jc w:val="left"/>
              <w:rPr>
                <w:rFonts w:ascii="宋体" w:hAnsi="宋体"/>
                <w:i/>
                <w:snapToGrid w:val="0"/>
                <w:color w:val="auto"/>
                <w:kern w:val="0"/>
                <w:szCs w:val="21"/>
                <w:highlight w:val="none"/>
              </w:rPr>
            </w:pPr>
            <w:r>
              <w:rPr>
                <w:rFonts w:hint="eastAsia" w:ascii="宋体" w:hAnsi="宋体" w:cs="宋体"/>
                <w:color w:val="auto"/>
                <w:szCs w:val="21"/>
                <w:highlight w:val="none"/>
                <w:u w:val="single"/>
              </w:rPr>
              <w:t>包含施工、缺陷责任期内表现出的任何缺陷修复的监理服务。具体如下：</w:t>
            </w:r>
          </w:p>
          <w:p w14:paraId="4E9D57C4">
            <w:pPr>
              <w:tabs>
                <w:tab w:val="left" w:pos="3840"/>
                <w:tab w:val="left" w:pos="5300"/>
              </w:tabs>
              <w:autoSpaceDE w:val="0"/>
              <w:autoSpaceDN w:val="0"/>
              <w:adjustRightInd w:val="0"/>
              <w:snapToGrid w:val="0"/>
              <w:spacing w:line="360" w:lineRule="auto"/>
              <w:ind w:firstLine="420" w:firstLineChars="200"/>
              <w:jc w:val="left"/>
              <w:rPr>
                <w:rFonts w:ascii="宋体" w:hAnsi="宋体"/>
                <w:i/>
                <w:snapToGrid w:val="0"/>
                <w:color w:val="auto"/>
                <w:kern w:val="0"/>
                <w:szCs w:val="21"/>
                <w:highlight w:val="none"/>
              </w:rPr>
            </w:pPr>
            <w:r>
              <w:rPr>
                <w:rFonts w:hint="eastAsia" w:ascii="宋体" w:hAnsi="宋体" w:cs="宋体"/>
                <w:color w:val="auto"/>
                <w:szCs w:val="21"/>
                <w:highlight w:val="none"/>
                <w:u w:val="single"/>
              </w:rPr>
              <w:t>施工阶段：含施工图设计及清单范围内全部工程施工及竣工验收的监理服务，包括施工准备阶段，施工过程中的质量，进度，费用控制，安全、文明施工监理，合同、信息方面的协助管理等。</w:t>
            </w:r>
          </w:p>
          <w:p w14:paraId="6919AE10">
            <w:pPr>
              <w:tabs>
                <w:tab w:val="left" w:pos="3840"/>
                <w:tab w:val="left" w:pos="5300"/>
              </w:tabs>
              <w:autoSpaceDE w:val="0"/>
              <w:autoSpaceDN w:val="0"/>
              <w:adjustRightInd w:val="0"/>
              <w:snapToGrid w:val="0"/>
              <w:spacing w:line="360" w:lineRule="auto"/>
              <w:ind w:firstLine="420" w:firstLineChars="200"/>
              <w:jc w:val="left"/>
              <w:rPr>
                <w:rFonts w:ascii="宋体" w:hAnsi="宋体"/>
                <w:i/>
                <w:snapToGrid w:val="0"/>
                <w:color w:val="auto"/>
                <w:kern w:val="0"/>
                <w:szCs w:val="21"/>
                <w:highlight w:val="none"/>
              </w:rPr>
            </w:pPr>
            <w:r>
              <w:rPr>
                <w:rFonts w:hint="eastAsia" w:ascii="宋体" w:hAnsi="宋体" w:cs="宋体"/>
                <w:color w:val="auto"/>
                <w:szCs w:val="21"/>
                <w:highlight w:val="none"/>
                <w:u w:val="single"/>
              </w:rPr>
              <w:t>缺陷责任期阶段：检查和记录工程质量缺陷，对缺陷原因进行调查分析并确定责任归属，审核修复方案，监督修复过程并验收，审核修复费用等保修阶段的监理服务</w:t>
            </w:r>
            <w:r>
              <w:rPr>
                <w:rFonts w:hint="eastAsia" w:ascii="宋体" w:hAnsi="宋体" w:cs="宋体"/>
                <w:color w:val="auto"/>
                <w:szCs w:val="21"/>
                <w:highlight w:val="none"/>
              </w:rPr>
              <w:t>。</w:t>
            </w:r>
          </w:p>
        </w:tc>
      </w:tr>
      <w:tr w14:paraId="19772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44B89D2">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1.3.2</w:t>
            </w:r>
          </w:p>
        </w:tc>
        <w:tc>
          <w:tcPr>
            <w:tcW w:w="1964" w:type="dxa"/>
            <w:vAlign w:val="center"/>
          </w:tcPr>
          <w:p w14:paraId="1300B75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监理服务期</w:t>
            </w:r>
          </w:p>
        </w:tc>
        <w:tc>
          <w:tcPr>
            <w:tcW w:w="6372" w:type="dxa"/>
            <w:vAlign w:val="center"/>
          </w:tcPr>
          <w:p w14:paraId="01CECA7D">
            <w:pPr>
              <w:tabs>
                <w:tab w:val="left" w:pos="3840"/>
                <w:tab w:val="left" w:pos="5300"/>
              </w:tabs>
              <w:autoSpaceDE w:val="0"/>
              <w:autoSpaceDN w:val="0"/>
              <w:adjustRightInd w:val="0"/>
              <w:snapToGrid w:val="0"/>
              <w:spacing w:line="360" w:lineRule="auto"/>
              <w:ind w:firstLine="420" w:firstLineChars="200"/>
              <w:jc w:val="left"/>
              <w:rPr>
                <w:rFonts w:ascii="宋体" w:hAnsi="宋体" w:cs="宋体"/>
                <w:color w:val="auto"/>
                <w:highlight w:val="none"/>
                <w:u w:val="single"/>
              </w:rPr>
            </w:pPr>
            <w:r>
              <w:rPr>
                <w:rFonts w:hint="eastAsia" w:asciiTheme="minorEastAsia" w:hAnsiTheme="minorEastAsia" w:eastAsiaTheme="minorEastAsia"/>
                <w:color w:val="auto"/>
                <w:szCs w:val="21"/>
                <w:highlight w:val="none"/>
                <w:u w:val="single"/>
              </w:rPr>
              <w:t>从监理合同签订之日起至缺陷责任期满止，其中：计划施工工期:暂定施工阶段服务期80日历天，缺陷责任期：24个月，具体以招标人的书面进场通知为监理服务期的起始时间，以项目竣工验收合格且监理资料交接完成并协助建设单位取得工程备案验收证书且缺陷责任期满为监理服务期的完成时间。</w:t>
            </w:r>
          </w:p>
          <w:p w14:paraId="1B7E6C14">
            <w:pPr>
              <w:tabs>
                <w:tab w:val="left" w:pos="3840"/>
                <w:tab w:val="left" w:pos="5300"/>
              </w:tabs>
              <w:autoSpaceDE w:val="0"/>
              <w:autoSpaceDN w:val="0"/>
              <w:adjustRightInd w:val="0"/>
              <w:snapToGrid w:val="0"/>
              <w:spacing w:line="360" w:lineRule="auto"/>
              <w:ind w:firstLine="422" w:firstLineChars="200"/>
              <w:jc w:val="left"/>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注：①如实际完工时间与计划完工时间有差异，将以实际完工时间为准。</w:t>
            </w:r>
          </w:p>
          <w:p w14:paraId="64450D7C">
            <w:pPr>
              <w:tabs>
                <w:tab w:val="left" w:pos="3840"/>
                <w:tab w:val="left" w:pos="5300"/>
              </w:tabs>
              <w:autoSpaceDE w:val="0"/>
              <w:autoSpaceDN w:val="0"/>
              <w:adjustRightInd w:val="0"/>
              <w:snapToGrid w:val="0"/>
              <w:spacing w:line="360" w:lineRule="auto"/>
              <w:ind w:firstLine="422" w:firstLineChars="200"/>
              <w:jc w:val="left"/>
              <w:rPr>
                <w:rFonts w:ascii="宋体" w:hAnsi="宋体"/>
                <w:i/>
                <w:snapToGrid w:val="0"/>
                <w:color w:val="auto"/>
                <w:kern w:val="0"/>
                <w:szCs w:val="21"/>
                <w:highlight w:val="none"/>
              </w:rPr>
            </w:pPr>
            <w:r>
              <w:rPr>
                <w:rFonts w:hint="eastAsia" w:ascii="宋体" w:hAnsi="宋体"/>
                <w:b/>
                <w:bCs/>
                <w:snapToGrid w:val="0"/>
                <w:color w:val="auto"/>
                <w:kern w:val="0"/>
                <w:szCs w:val="21"/>
                <w:highlight w:val="none"/>
              </w:rPr>
              <w:t>②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r w14:paraId="53730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127D90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964" w:type="dxa"/>
            <w:vAlign w:val="center"/>
          </w:tcPr>
          <w:p w14:paraId="03EBDC25">
            <w:pPr>
              <w:pStyle w:val="39"/>
              <w:spacing w:line="400" w:lineRule="exact"/>
              <w:jc w:val="center"/>
              <w:rPr>
                <w:rFonts w:ascii="宋体" w:hAnsi="宋体"/>
                <w:color w:val="auto"/>
                <w:szCs w:val="21"/>
                <w:highlight w:val="none"/>
              </w:rPr>
            </w:pPr>
            <w:r>
              <w:rPr>
                <w:rFonts w:hint="eastAsia"/>
                <w:color w:val="auto"/>
                <w:szCs w:val="21"/>
                <w:highlight w:val="none"/>
              </w:rPr>
              <w:t>质量标准</w:t>
            </w:r>
          </w:p>
        </w:tc>
        <w:tc>
          <w:tcPr>
            <w:tcW w:w="6372" w:type="dxa"/>
            <w:vAlign w:val="center"/>
          </w:tcPr>
          <w:p w14:paraId="73F58BDC">
            <w:pPr>
              <w:pStyle w:val="39"/>
              <w:spacing w:line="400" w:lineRule="exact"/>
              <w:ind w:firstLine="420" w:firstLineChars="200"/>
              <w:rPr>
                <w:rFonts w:ascii="宋体" w:hAnsi="宋体"/>
                <w:color w:val="auto"/>
                <w:szCs w:val="21"/>
                <w:highlight w:val="none"/>
              </w:rPr>
            </w:pPr>
            <w:r>
              <w:rPr>
                <w:rFonts w:hint="eastAsia" w:asciiTheme="minorEastAsia" w:hAnsiTheme="minorEastAsia" w:eastAsiaTheme="minorEastAsia"/>
                <w:color w:val="auto"/>
                <w:szCs w:val="21"/>
                <w:highlight w:val="none"/>
                <w:u w:val="single"/>
              </w:rPr>
              <w:t>服务质量达到《建设工程监理规范》（GB/T50319—2013）等国家现行有关法规要求</w:t>
            </w:r>
            <w:r>
              <w:rPr>
                <w:rFonts w:hint="eastAsia"/>
                <w:snapToGrid w:val="0"/>
                <w:color w:val="auto"/>
                <w:szCs w:val="21"/>
                <w:highlight w:val="none"/>
              </w:rPr>
              <w:t>。</w:t>
            </w:r>
          </w:p>
        </w:tc>
      </w:tr>
      <w:tr w14:paraId="151BC7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D6F0CF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1.3.4</w:t>
            </w:r>
          </w:p>
        </w:tc>
        <w:tc>
          <w:tcPr>
            <w:tcW w:w="1964" w:type="dxa"/>
            <w:vAlign w:val="center"/>
          </w:tcPr>
          <w:p w14:paraId="51E2577E">
            <w:pPr>
              <w:pStyle w:val="39"/>
              <w:spacing w:line="400" w:lineRule="exact"/>
              <w:jc w:val="center"/>
              <w:rPr>
                <w:color w:val="auto"/>
                <w:szCs w:val="21"/>
                <w:highlight w:val="none"/>
              </w:rPr>
            </w:pPr>
            <w:r>
              <w:rPr>
                <w:rFonts w:hint="eastAsia" w:ascii="宋体" w:hAnsi="宋体"/>
                <w:color w:val="auto"/>
                <w:kern w:val="0"/>
                <w:szCs w:val="21"/>
                <w:highlight w:val="none"/>
              </w:rPr>
              <w:t>服务目标</w:t>
            </w:r>
          </w:p>
        </w:tc>
        <w:tc>
          <w:tcPr>
            <w:tcW w:w="6372" w:type="dxa"/>
            <w:vAlign w:val="center"/>
          </w:tcPr>
          <w:p w14:paraId="7D1A8198">
            <w:pPr>
              <w:spacing w:line="400" w:lineRule="exact"/>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（1）质量控制目标：</w:t>
            </w:r>
            <w:r>
              <w:rPr>
                <w:rFonts w:hint="eastAsia" w:asciiTheme="minorEastAsia" w:hAnsiTheme="minorEastAsia" w:eastAsiaTheme="minorEastAsia"/>
                <w:color w:val="auto"/>
                <w:szCs w:val="21"/>
                <w:highlight w:val="none"/>
                <w:u w:val="single"/>
              </w:rPr>
              <w:t>达到国家现行有关施工质量验收规范要求并验收合格</w:t>
            </w:r>
            <w:r>
              <w:rPr>
                <w:rFonts w:hint="eastAsia" w:asciiTheme="minorEastAsia" w:hAnsiTheme="minorEastAsia" w:eastAsiaTheme="minorEastAsia"/>
                <w:color w:val="auto"/>
                <w:szCs w:val="21"/>
                <w:highlight w:val="none"/>
              </w:rPr>
              <w:t>。</w:t>
            </w:r>
          </w:p>
          <w:p w14:paraId="5F9C10EB">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（2）造价控制目标：</w:t>
            </w:r>
            <w:r>
              <w:rPr>
                <w:rFonts w:hint="eastAsia" w:asciiTheme="minorEastAsia" w:hAnsiTheme="minorEastAsia" w:eastAsiaTheme="minorEastAsia"/>
                <w:color w:val="auto"/>
                <w:szCs w:val="21"/>
                <w:highlight w:val="none"/>
                <w:u w:val="single"/>
              </w:rPr>
              <w:t>控制在概算批复内，无超前支付发生，严格控制工程变更</w:t>
            </w:r>
            <w:r>
              <w:rPr>
                <w:rFonts w:hint="eastAsia" w:asciiTheme="minorEastAsia" w:hAnsiTheme="minorEastAsia" w:eastAsiaTheme="minorEastAsia"/>
                <w:color w:val="auto"/>
                <w:szCs w:val="21"/>
                <w:highlight w:val="none"/>
              </w:rPr>
              <w:t>。</w:t>
            </w:r>
          </w:p>
          <w:p w14:paraId="3A437690">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（3）进度控制目标：</w:t>
            </w:r>
            <w:r>
              <w:rPr>
                <w:rFonts w:hint="eastAsia" w:asciiTheme="minorEastAsia" w:hAnsiTheme="minorEastAsia" w:eastAsiaTheme="minorEastAsia"/>
                <w:color w:val="auto"/>
                <w:szCs w:val="21"/>
                <w:highlight w:val="none"/>
                <w:u w:val="single"/>
              </w:rPr>
              <w:t>督促施工单位采用合理的施工工艺和工序按期完工</w:t>
            </w:r>
            <w:r>
              <w:rPr>
                <w:rFonts w:hint="eastAsia" w:asciiTheme="minorEastAsia" w:hAnsiTheme="minorEastAsia" w:eastAsiaTheme="minorEastAsia"/>
                <w:color w:val="auto"/>
                <w:szCs w:val="21"/>
                <w:highlight w:val="none"/>
              </w:rPr>
              <w:t>。</w:t>
            </w:r>
          </w:p>
          <w:p w14:paraId="011E3DE9">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（4）合同管理：</w:t>
            </w:r>
            <w:r>
              <w:rPr>
                <w:rFonts w:hint="eastAsia" w:asciiTheme="minorEastAsia" w:hAnsiTheme="minorEastAsia" w:eastAsiaTheme="minorEastAsia"/>
                <w:color w:val="auto"/>
                <w:szCs w:val="21"/>
                <w:highlight w:val="none"/>
                <w:u w:val="single"/>
              </w:rPr>
              <w:t>正确处理项目有关的合同索赔和合同纠纷</w:t>
            </w:r>
            <w:r>
              <w:rPr>
                <w:rFonts w:hint="eastAsia" w:asciiTheme="minorEastAsia" w:hAnsiTheme="minorEastAsia" w:eastAsiaTheme="minorEastAsia"/>
                <w:color w:val="auto"/>
                <w:szCs w:val="21"/>
                <w:highlight w:val="none"/>
              </w:rPr>
              <w:t>。</w:t>
            </w:r>
          </w:p>
          <w:p w14:paraId="541A4913">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（5）信息管理：</w:t>
            </w:r>
            <w:r>
              <w:rPr>
                <w:rFonts w:hint="eastAsia" w:asciiTheme="minorEastAsia" w:hAnsiTheme="minorEastAsia" w:eastAsiaTheme="minorEastAsia"/>
                <w:color w:val="auto"/>
                <w:szCs w:val="21"/>
                <w:highlight w:val="none"/>
                <w:u w:val="single"/>
              </w:rPr>
              <w:t>对项目施工阶段的信息进行收集、整理和保管，保证过程中重要环节的可追溯性</w:t>
            </w:r>
            <w:r>
              <w:rPr>
                <w:rFonts w:hint="eastAsia" w:asciiTheme="minorEastAsia" w:hAnsiTheme="minorEastAsia" w:eastAsiaTheme="minorEastAsia"/>
                <w:color w:val="auto"/>
                <w:szCs w:val="21"/>
                <w:highlight w:val="none"/>
              </w:rPr>
              <w:t>。</w:t>
            </w:r>
          </w:p>
          <w:p w14:paraId="2A887B64">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（6）协调管理：</w:t>
            </w:r>
            <w:r>
              <w:rPr>
                <w:rFonts w:hint="eastAsia" w:asciiTheme="minorEastAsia" w:hAnsiTheme="minorEastAsia" w:eastAsiaTheme="minorEastAsia"/>
                <w:color w:val="auto"/>
                <w:szCs w:val="21"/>
                <w:highlight w:val="none"/>
                <w:u w:val="single"/>
              </w:rPr>
              <w:t>对工程建设相关方的关系进行协调</w:t>
            </w:r>
            <w:r>
              <w:rPr>
                <w:rFonts w:hint="eastAsia" w:asciiTheme="minorEastAsia" w:hAnsiTheme="minorEastAsia" w:eastAsiaTheme="minorEastAsia"/>
                <w:color w:val="auto"/>
                <w:szCs w:val="21"/>
                <w:highlight w:val="none"/>
              </w:rPr>
              <w:t>。</w:t>
            </w:r>
          </w:p>
          <w:p w14:paraId="7E34F08D">
            <w:pPr>
              <w:pStyle w:val="39"/>
              <w:spacing w:line="400" w:lineRule="exact"/>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（7）安全生产履职：</w:t>
            </w:r>
            <w:r>
              <w:rPr>
                <w:rFonts w:hint="eastAsia" w:asciiTheme="minorEastAsia" w:hAnsiTheme="minorEastAsia" w:eastAsiaTheme="minorEastAsia"/>
                <w:color w:val="auto"/>
                <w:szCs w:val="21"/>
                <w:highlight w:val="none"/>
                <w:u w:val="single"/>
              </w:rPr>
              <w:t>履行建设工程安全生产管理法定职责</w:t>
            </w:r>
            <w:r>
              <w:rPr>
                <w:rFonts w:hint="eastAsia" w:asciiTheme="minorEastAsia" w:hAnsiTheme="minorEastAsia" w:eastAsiaTheme="minorEastAsia"/>
                <w:color w:val="auto"/>
                <w:szCs w:val="21"/>
                <w:highlight w:val="none"/>
              </w:rPr>
              <w:t>。</w:t>
            </w:r>
          </w:p>
        </w:tc>
      </w:tr>
      <w:tr w14:paraId="22D50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3DFE022">
            <w:pPr>
              <w:spacing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1.3.5</w:t>
            </w:r>
          </w:p>
        </w:tc>
        <w:tc>
          <w:tcPr>
            <w:tcW w:w="1964" w:type="dxa"/>
            <w:vAlign w:val="center"/>
          </w:tcPr>
          <w:p w14:paraId="2A9293FD">
            <w:pPr>
              <w:spacing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监理工作内容</w:t>
            </w:r>
          </w:p>
        </w:tc>
        <w:tc>
          <w:tcPr>
            <w:tcW w:w="6372" w:type="dxa"/>
            <w:vAlign w:val="center"/>
          </w:tcPr>
          <w:p w14:paraId="10152622">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u w:val="single"/>
              </w:rPr>
              <w:t>施工阶段及缺陷责任期全过程监理，包括：“三控制、两管理、一协调、一履职”即：质量控制、造价控制、进度控制，合同管理、信息管理，对工程建设相关方的关系进行协调，履行建设工程安全生产管理法定职责</w:t>
            </w:r>
            <w:r>
              <w:rPr>
                <w:rFonts w:hint="eastAsia" w:asciiTheme="minorEastAsia" w:hAnsiTheme="minorEastAsia" w:eastAsiaTheme="minorEastAsia"/>
                <w:b/>
                <w:color w:val="auto"/>
                <w:szCs w:val="21"/>
                <w:highlight w:val="none"/>
              </w:rPr>
              <w:t>。</w:t>
            </w:r>
          </w:p>
        </w:tc>
      </w:tr>
      <w:tr w14:paraId="7E5377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45A9910">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1.3.6</w:t>
            </w:r>
          </w:p>
        </w:tc>
        <w:tc>
          <w:tcPr>
            <w:tcW w:w="1964" w:type="dxa"/>
            <w:vAlign w:val="center"/>
          </w:tcPr>
          <w:p w14:paraId="25A7DA41">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监理工作的其他说明</w:t>
            </w:r>
          </w:p>
        </w:tc>
        <w:tc>
          <w:tcPr>
            <w:tcW w:w="6372" w:type="dxa"/>
            <w:vAlign w:val="center"/>
          </w:tcPr>
          <w:p w14:paraId="33631F73">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中选人应按委托人批准的监理规划和监理细则开展监理工作：</w:t>
            </w:r>
          </w:p>
          <w:p w14:paraId="4A7B7B7B">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1、协助委托人编写开工报告；</w:t>
            </w:r>
          </w:p>
          <w:p w14:paraId="37CBE325">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审查承包人各项施工准备工作，下达开工通知书</w:t>
            </w:r>
            <w:r>
              <w:rPr>
                <w:rFonts w:hint="eastAsia" w:ascii="宋体" w:hAnsi="宋体" w:cs="宋体"/>
                <w:color w:val="auto"/>
                <w:szCs w:val="21"/>
                <w:highlight w:val="none"/>
              </w:rPr>
              <w:t>；</w:t>
            </w:r>
          </w:p>
          <w:p w14:paraId="37C8F907">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pacing w:val="-10"/>
                <w:kern w:val="0"/>
                <w:szCs w:val="21"/>
                <w:highlight w:val="none"/>
              </w:rPr>
              <w:t>督促承包人施工管理制度和质量保证体系的建立、健全与实施；</w:t>
            </w:r>
          </w:p>
          <w:p w14:paraId="5B4C1ABA">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4、审查承包人提交的施工组织设计、施工技术方案、施工质量保证措施、安全文明施工措施和专项安全技术方案并督促实施；</w:t>
            </w:r>
          </w:p>
          <w:p w14:paraId="18FA22E8">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5、组织技术交底，图纸会审，审查设计变更；</w:t>
            </w:r>
          </w:p>
          <w:p w14:paraId="5F00DA0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6、根据施工合同约定，审核承包人提出的分包工程项目及选择分包的单位；</w:t>
            </w:r>
          </w:p>
          <w:p w14:paraId="24842C1E">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7、编制投资目标控制计划，审核承包人的已完工程量及月进度报表，签署工程中期付款凭证，经招标人批准后支付；</w:t>
            </w:r>
          </w:p>
          <w:p w14:paraId="0E161D16">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8、设计变更经设计咨询单位审核、委托人批准后，发布施工工程变更令，检查工程变更执行情况并作出书面记录；</w:t>
            </w:r>
          </w:p>
          <w:p w14:paraId="3C2EBAA6">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检查施工现场原材料、构配件的采购、入库、保管、领用等管理制度及其执行情况；审查工程使用的原材料、半成品、成品、构配件和设备的实物质量和资料，并按规定进行检测和监控，对有疑问的必须进行复测；</w:t>
            </w:r>
          </w:p>
          <w:p w14:paraId="13ECD01B">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w:t>
            </w:r>
            <w:r>
              <w:rPr>
                <w:rFonts w:hint="eastAsia"/>
                <w:color w:val="auto"/>
                <w:highlight w:val="none"/>
              </w:rPr>
              <w:t>协助发包人进行材料设备的核价工作，对承包人提交的材料核价单进行审核。</w:t>
            </w:r>
          </w:p>
          <w:p w14:paraId="59D4857B">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11、监督承包人严格按技术和设计文件施工，控制工程质量，重要工程部位督促承包商实施预控措施；</w:t>
            </w:r>
          </w:p>
          <w:p w14:paraId="682DB07A">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12、抽查工程施工质量，对隐蔽工程进行复验签证，参与工程质量事故的分析及处理；</w:t>
            </w:r>
          </w:p>
          <w:p w14:paraId="3C19715F">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13、编制进度目标控制计划、审查承包商编制的网络进度计划，经招标人批准后组织实施；分阶段进行进度控制，及时提出调整意见；</w:t>
            </w:r>
          </w:p>
          <w:p w14:paraId="02EF2FC9">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14、对工程承发包合同实施管理；协助处理合同纠纷和索赔事宜，协调委托人与承包人之间的争议；</w:t>
            </w:r>
          </w:p>
          <w:p w14:paraId="2CB84615">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15、督促检查安全生产，文明施工；</w:t>
            </w:r>
          </w:p>
          <w:p w14:paraId="777EC395">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16、现场监理工程师如实填写监理日志并报总监审核。监理人如实编制监理工作月报、监理工作总结和质检运行报告，报委托人和市有关主管部门；</w:t>
            </w:r>
          </w:p>
          <w:p w14:paraId="72E28DF7">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17、督促承包人整理合同文件及施工技术档案资料；</w:t>
            </w:r>
          </w:p>
          <w:p w14:paraId="347F1B59">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18、组织对工程验收预备会，参与工程竣工验收，对施工质量提出评价意见；</w:t>
            </w:r>
          </w:p>
          <w:p w14:paraId="2385A786">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19、督促承包人按合同规定及要求整理施工技术档案资料；认真审核竣工图纸和其他技术文件资料；</w:t>
            </w:r>
          </w:p>
          <w:p w14:paraId="35C7413F">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20、编制监理工作竣工文件和项目工程最终总结；</w:t>
            </w:r>
          </w:p>
          <w:p w14:paraId="1C354A2E">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21、签发交工验收证书和工程缺陷责任终止证书；</w:t>
            </w:r>
          </w:p>
          <w:p w14:paraId="609A0C46">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严格按照《建筑工程安全施工管理条例》、《安全生产法》和《关于落实建设工程安全生产监理责任的若干意见》（建市[2006]248号）等国家、地方颁布的安全法律、法规开展安全监理工作，认真履行监理的安全责任；</w:t>
            </w:r>
          </w:p>
          <w:p w14:paraId="2D2FFFC2">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23、签发最终支付证书；</w:t>
            </w:r>
          </w:p>
          <w:p w14:paraId="3E22033A">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24、监理人可采用现场远程监控设备对现场各承包人进行管理；</w:t>
            </w:r>
          </w:p>
          <w:p w14:paraId="271FE65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25、督促承包人施工管理制度和质量保证体系的建立、健全与实施；编制质量目标控制计划，对工程的重要部位督促承包人实施预控措施；</w:t>
            </w:r>
          </w:p>
          <w:p w14:paraId="0709C41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26、每月提供监理月报，工程完工后，编制监理工作档案资料和项目监理工作总结； </w:t>
            </w:r>
          </w:p>
          <w:p w14:paraId="6E526AA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27、按照旁站监理规定进行旁站监理；完成《建设工程监理规范》（GB50319—2013）规定的其他相应监理工作内容；</w:t>
            </w:r>
          </w:p>
          <w:p w14:paraId="72C83694">
            <w:pPr>
              <w:adjustRightInd w:val="0"/>
              <w:snapToGrid w:val="0"/>
              <w:spacing w:line="360" w:lineRule="auto"/>
              <w:ind w:firstLine="420" w:firstLineChars="200"/>
              <w:rPr>
                <w:color w:val="auto"/>
                <w:highlight w:val="none"/>
              </w:rPr>
            </w:pPr>
            <w:r>
              <w:rPr>
                <w:rFonts w:hint="eastAsia" w:ascii="宋体" w:hAnsi="宋体" w:cs="宋体"/>
                <w:bCs/>
                <w:color w:val="auto"/>
                <w:szCs w:val="21"/>
                <w:highlight w:val="none"/>
              </w:rPr>
              <w:t>28、具体监理内容以签订合同时，发包人最终确认为准</w:t>
            </w:r>
            <w:r>
              <w:rPr>
                <w:rFonts w:hint="eastAsia" w:ascii="宋体" w:hAnsi="宋体" w:cs="宋体"/>
                <w:color w:val="auto"/>
                <w:szCs w:val="21"/>
                <w:highlight w:val="none"/>
              </w:rPr>
              <w:t>。</w:t>
            </w:r>
          </w:p>
          <w:p w14:paraId="6717D0F6">
            <w:pPr>
              <w:spacing w:line="400" w:lineRule="exact"/>
              <w:ind w:firstLine="420" w:firstLineChars="200"/>
              <w:rPr>
                <w:rFonts w:asciiTheme="minorEastAsia" w:hAnsiTheme="minorEastAsia" w:eastAsiaTheme="minorEastAsia"/>
                <w:color w:val="auto"/>
                <w:szCs w:val="21"/>
                <w:highlight w:val="none"/>
                <w:u w:val="single"/>
              </w:rPr>
            </w:pPr>
            <w:r>
              <w:rPr>
                <w:rFonts w:hint="eastAsia" w:ascii="宋体" w:hAnsi="宋体" w:cs="宋体"/>
                <w:color w:val="auto"/>
                <w:szCs w:val="21"/>
                <w:highlight w:val="none"/>
              </w:rPr>
              <w:t>注：以上未尽事项，参照《建设工程监理规范》及房屋建筑工程监理实施细则执行。</w:t>
            </w:r>
          </w:p>
        </w:tc>
      </w:tr>
      <w:tr w14:paraId="78C95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Align w:val="center"/>
          </w:tcPr>
          <w:p w14:paraId="23D69AEF">
            <w:pPr>
              <w:snapToGrid w:val="0"/>
              <w:spacing w:line="400" w:lineRule="exact"/>
              <w:jc w:val="center"/>
              <w:rPr>
                <w:rFonts w:ascii="宋体" w:hAnsi="宋体" w:cs="宋体"/>
                <w:color w:val="auto"/>
                <w:kern w:val="0"/>
                <w:szCs w:val="21"/>
                <w:highlight w:val="none"/>
              </w:rPr>
            </w:pPr>
          </w:p>
          <w:p w14:paraId="329AFF86">
            <w:pPr>
              <w:snapToGrid w:val="0"/>
              <w:spacing w:line="400" w:lineRule="exact"/>
              <w:jc w:val="center"/>
              <w:rPr>
                <w:rFonts w:ascii="宋体" w:hAnsi="宋体" w:cs="宋体"/>
                <w:color w:val="auto"/>
                <w:kern w:val="0"/>
                <w:szCs w:val="21"/>
                <w:highlight w:val="none"/>
              </w:rPr>
            </w:pPr>
          </w:p>
          <w:p w14:paraId="1846AB7C">
            <w:pPr>
              <w:snapToGrid w:val="0"/>
              <w:spacing w:line="400" w:lineRule="exact"/>
              <w:jc w:val="center"/>
              <w:rPr>
                <w:rFonts w:ascii="宋体" w:hAnsi="宋体" w:cs="宋体"/>
                <w:color w:val="auto"/>
                <w:kern w:val="0"/>
                <w:szCs w:val="21"/>
                <w:highlight w:val="none"/>
              </w:rPr>
            </w:pPr>
          </w:p>
          <w:p w14:paraId="74A908CD">
            <w:pPr>
              <w:snapToGrid w:val="0"/>
              <w:spacing w:line="400" w:lineRule="exact"/>
              <w:jc w:val="center"/>
              <w:rPr>
                <w:rFonts w:ascii="宋体" w:hAnsi="宋体" w:cs="宋体"/>
                <w:color w:val="auto"/>
                <w:kern w:val="0"/>
                <w:szCs w:val="21"/>
                <w:highlight w:val="none"/>
              </w:rPr>
            </w:pPr>
          </w:p>
          <w:p w14:paraId="7D4F36C2">
            <w:pPr>
              <w:snapToGrid w:val="0"/>
              <w:spacing w:line="400" w:lineRule="exact"/>
              <w:jc w:val="center"/>
              <w:rPr>
                <w:rFonts w:ascii="宋体" w:hAnsi="宋体" w:cs="宋体"/>
                <w:color w:val="auto"/>
                <w:kern w:val="0"/>
                <w:szCs w:val="21"/>
                <w:highlight w:val="none"/>
              </w:rPr>
            </w:pPr>
          </w:p>
          <w:p w14:paraId="55241482">
            <w:pPr>
              <w:snapToGrid w:val="0"/>
              <w:spacing w:line="400" w:lineRule="exact"/>
              <w:jc w:val="center"/>
              <w:rPr>
                <w:rFonts w:ascii="宋体" w:hAnsi="宋体" w:cs="宋体"/>
                <w:color w:val="auto"/>
                <w:kern w:val="0"/>
                <w:szCs w:val="21"/>
                <w:highlight w:val="none"/>
              </w:rPr>
            </w:pPr>
          </w:p>
          <w:p w14:paraId="7E743E67">
            <w:pPr>
              <w:snapToGrid w:val="0"/>
              <w:spacing w:line="400" w:lineRule="exact"/>
              <w:jc w:val="center"/>
              <w:rPr>
                <w:rFonts w:ascii="宋体" w:hAnsi="宋体" w:cs="宋体"/>
                <w:color w:val="auto"/>
                <w:kern w:val="0"/>
                <w:szCs w:val="21"/>
                <w:highlight w:val="none"/>
              </w:rPr>
            </w:pPr>
          </w:p>
          <w:p w14:paraId="57A7601C">
            <w:pPr>
              <w:snapToGrid w:val="0"/>
              <w:spacing w:line="400" w:lineRule="exact"/>
              <w:jc w:val="center"/>
              <w:rPr>
                <w:rFonts w:ascii="宋体" w:hAnsi="宋体" w:cs="宋体"/>
                <w:color w:val="auto"/>
                <w:kern w:val="0"/>
                <w:szCs w:val="21"/>
                <w:highlight w:val="none"/>
              </w:rPr>
            </w:pPr>
          </w:p>
          <w:p w14:paraId="5F50233E">
            <w:pPr>
              <w:snapToGrid w:val="0"/>
              <w:spacing w:line="400" w:lineRule="exact"/>
              <w:jc w:val="center"/>
              <w:rPr>
                <w:rFonts w:ascii="宋体" w:hAnsi="宋体" w:cs="宋体"/>
                <w:color w:val="auto"/>
                <w:kern w:val="0"/>
                <w:szCs w:val="21"/>
                <w:highlight w:val="none"/>
              </w:rPr>
            </w:pPr>
          </w:p>
          <w:p w14:paraId="7C0B40E4">
            <w:pPr>
              <w:snapToGrid w:val="0"/>
              <w:spacing w:line="400" w:lineRule="exact"/>
              <w:jc w:val="center"/>
              <w:rPr>
                <w:rFonts w:ascii="宋体" w:hAnsi="宋体" w:cs="宋体"/>
                <w:color w:val="auto"/>
                <w:kern w:val="0"/>
                <w:szCs w:val="21"/>
                <w:highlight w:val="none"/>
              </w:rPr>
            </w:pPr>
          </w:p>
          <w:p w14:paraId="1E2D507B">
            <w:pPr>
              <w:snapToGrid w:val="0"/>
              <w:spacing w:line="400" w:lineRule="exact"/>
              <w:jc w:val="center"/>
              <w:rPr>
                <w:rFonts w:ascii="宋体" w:hAnsi="宋体" w:cs="宋体"/>
                <w:color w:val="auto"/>
                <w:kern w:val="0"/>
                <w:szCs w:val="21"/>
                <w:highlight w:val="none"/>
              </w:rPr>
            </w:pPr>
          </w:p>
          <w:p w14:paraId="516D6470">
            <w:pPr>
              <w:snapToGrid w:val="0"/>
              <w:spacing w:line="400" w:lineRule="exact"/>
              <w:jc w:val="center"/>
              <w:rPr>
                <w:rFonts w:ascii="宋体" w:hAnsi="宋体" w:cs="宋体"/>
                <w:color w:val="auto"/>
                <w:kern w:val="0"/>
                <w:szCs w:val="21"/>
                <w:highlight w:val="none"/>
              </w:rPr>
            </w:pPr>
          </w:p>
          <w:p w14:paraId="1A567B8E">
            <w:pPr>
              <w:snapToGrid w:val="0"/>
              <w:spacing w:line="400" w:lineRule="exact"/>
              <w:jc w:val="center"/>
              <w:rPr>
                <w:rFonts w:ascii="宋体" w:hAnsi="宋体" w:cs="宋体"/>
                <w:color w:val="auto"/>
                <w:kern w:val="0"/>
                <w:szCs w:val="21"/>
                <w:highlight w:val="none"/>
              </w:rPr>
            </w:pPr>
          </w:p>
          <w:p w14:paraId="6CCC60A2">
            <w:pPr>
              <w:snapToGrid w:val="0"/>
              <w:spacing w:line="400" w:lineRule="exact"/>
              <w:jc w:val="center"/>
              <w:rPr>
                <w:rFonts w:ascii="宋体" w:hAnsi="宋体" w:cs="宋体"/>
                <w:color w:val="auto"/>
                <w:kern w:val="0"/>
                <w:szCs w:val="21"/>
                <w:highlight w:val="none"/>
              </w:rPr>
            </w:pPr>
          </w:p>
          <w:p w14:paraId="21F10617">
            <w:pPr>
              <w:snapToGrid w:val="0"/>
              <w:spacing w:line="400" w:lineRule="exact"/>
              <w:jc w:val="center"/>
              <w:rPr>
                <w:rFonts w:ascii="宋体" w:hAnsi="宋体" w:cs="宋体"/>
                <w:color w:val="auto"/>
                <w:kern w:val="0"/>
                <w:szCs w:val="21"/>
                <w:highlight w:val="none"/>
              </w:rPr>
            </w:pPr>
          </w:p>
          <w:p w14:paraId="09A9FBE9">
            <w:pPr>
              <w:snapToGrid w:val="0"/>
              <w:spacing w:line="400" w:lineRule="exact"/>
              <w:jc w:val="center"/>
              <w:rPr>
                <w:rFonts w:ascii="宋体" w:hAnsi="宋体" w:cs="宋体"/>
                <w:color w:val="auto"/>
                <w:kern w:val="0"/>
                <w:szCs w:val="21"/>
                <w:highlight w:val="none"/>
              </w:rPr>
            </w:pPr>
          </w:p>
          <w:p w14:paraId="00C40977">
            <w:pPr>
              <w:snapToGrid w:val="0"/>
              <w:spacing w:line="400" w:lineRule="exact"/>
              <w:jc w:val="center"/>
              <w:rPr>
                <w:rFonts w:ascii="宋体" w:hAnsi="宋体" w:cs="宋体"/>
                <w:color w:val="auto"/>
                <w:kern w:val="0"/>
                <w:szCs w:val="21"/>
                <w:highlight w:val="none"/>
              </w:rPr>
            </w:pPr>
          </w:p>
          <w:p w14:paraId="745BE09C">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1.4.1</w:t>
            </w:r>
          </w:p>
          <w:p w14:paraId="234440EE">
            <w:pPr>
              <w:snapToGrid w:val="0"/>
              <w:spacing w:line="400" w:lineRule="exact"/>
              <w:jc w:val="center"/>
              <w:rPr>
                <w:rFonts w:ascii="宋体" w:hAnsi="宋体" w:cs="宋体"/>
                <w:color w:val="auto"/>
                <w:kern w:val="0"/>
                <w:szCs w:val="21"/>
                <w:highlight w:val="none"/>
              </w:rPr>
            </w:pPr>
          </w:p>
          <w:p w14:paraId="76BF147C">
            <w:pPr>
              <w:snapToGrid w:val="0"/>
              <w:spacing w:line="400" w:lineRule="exact"/>
              <w:jc w:val="center"/>
              <w:rPr>
                <w:rFonts w:ascii="宋体" w:hAnsi="宋体" w:cs="宋体"/>
                <w:color w:val="auto"/>
                <w:kern w:val="0"/>
                <w:szCs w:val="21"/>
                <w:highlight w:val="none"/>
              </w:rPr>
            </w:pPr>
          </w:p>
          <w:p w14:paraId="7F581DDC">
            <w:pPr>
              <w:snapToGrid w:val="0"/>
              <w:spacing w:line="400" w:lineRule="exact"/>
              <w:jc w:val="center"/>
              <w:rPr>
                <w:rFonts w:ascii="宋体" w:hAnsi="宋体" w:cs="宋体"/>
                <w:color w:val="auto"/>
                <w:kern w:val="0"/>
                <w:szCs w:val="21"/>
                <w:highlight w:val="none"/>
              </w:rPr>
            </w:pPr>
          </w:p>
          <w:p w14:paraId="165F78C0">
            <w:pPr>
              <w:snapToGrid w:val="0"/>
              <w:spacing w:line="400" w:lineRule="exact"/>
              <w:jc w:val="center"/>
              <w:rPr>
                <w:rFonts w:ascii="宋体" w:hAnsi="宋体" w:cs="宋体"/>
                <w:color w:val="auto"/>
                <w:kern w:val="0"/>
                <w:szCs w:val="21"/>
                <w:highlight w:val="none"/>
              </w:rPr>
            </w:pPr>
          </w:p>
          <w:p w14:paraId="60005DE2">
            <w:pPr>
              <w:snapToGrid w:val="0"/>
              <w:spacing w:line="400" w:lineRule="exact"/>
              <w:jc w:val="center"/>
              <w:rPr>
                <w:rFonts w:ascii="宋体" w:hAnsi="宋体" w:cs="宋体"/>
                <w:color w:val="auto"/>
                <w:kern w:val="0"/>
                <w:szCs w:val="21"/>
                <w:highlight w:val="none"/>
              </w:rPr>
            </w:pPr>
          </w:p>
          <w:p w14:paraId="5EAB3D43">
            <w:pPr>
              <w:snapToGrid w:val="0"/>
              <w:spacing w:line="400" w:lineRule="exact"/>
              <w:jc w:val="center"/>
              <w:rPr>
                <w:rFonts w:ascii="宋体" w:hAnsi="宋体" w:cs="宋体"/>
                <w:color w:val="auto"/>
                <w:kern w:val="0"/>
                <w:szCs w:val="21"/>
                <w:highlight w:val="none"/>
              </w:rPr>
            </w:pPr>
          </w:p>
          <w:p w14:paraId="4B25F87F">
            <w:pPr>
              <w:snapToGrid w:val="0"/>
              <w:spacing w:line="400" w:lineRule="exact"/>
              <w:jc w:val="center"/>
              <w:rPr>
                <w:rFonts w:ascii="宋体" w:hAnsi="宋体" w:cs="宋体"/>
                <w:color w:val="auto"/>
                <w:kern w:val="0"/>
                <w:szCs w:val="21"/>
                <w:highlight w:val="none"/>
              </w:rPr>
            </w:pPr>
          </w:p>
          <w:p w14:paraId="5CFB26EC">
            <w:pPr>
              <w:snapToGrid w:val="0"/>
              <w:spacing w:line="400" w:lineRule="exact"/>
              <w:jc w:val="center"/>
              <w:rPr>
                <w:rFonts w:ascii="宋体" w:hAnsi="宋体" w:cs="宋体"/>
                <w:color w:val="auto"/>
                <w:kern w:val="0"/>
                <w:szCs w:val="21"/>
                <w:highlight w:val="none"/>
              </w:rPr>
            </w:pPr>
          </w:p>
          <w:p w14:paraId="2759D377">
            <w:pPr>
              <w:snapToGrid w:val="0"/>
              <w:spacing w:line="400" w:lineRule="exact"/>
              <w:jc w:val="center"/>
              <w:rPr>
                <w:rFonts w:ascii="宋体" w:hAnsi="宋体" w:cs="宋体"/>
                <w:color w:val="auto"/>
                <w:kern w:val="0"/>
                <w:szCs w:val="21"/>
                <w:highlight w:val="none"/>
              </w:rPr>
            </w:pPr>
          </w:p>
          <w:p w14:paraId="0CF55F79">
            <w:pPr>
              <w:snapToGrid w:val="0"/>
              <w:spacing w:line="400" w:lineRule="exact"/>
              <w:jc w:val="center"/>
              <w:rPr>
                <w:rFonts w:ascii="宋体" w:hAnsi="宋体" w:cs="宋体"/>
                <w:color w:val="auto"/>
                <w:kern w:val="0"/>
                <w:szCs w:val="21"/>
                <w:highlight w:val="none"/>
              </w:rPr>
            </w:pPr>
          </w:p>
          <w:p w14:paraId="220C8E99">
            <w:pPr>
              <w:snapToGrid w:val="0"/>
              <w:spacing w:line="400" w:lineRule="exact"/>
              <w:jc w:val="center"/>
              <w:rPr>
                <w:rFonts w:ascii="宋体" w:hAnsi="宋体" w:cs="宋体"/>
                <w:color w:val="auto"/>
                <w:kern w:val="0"/>
                <w:szCs w:val="21"/>
                <w:highlight w:val="none"/>
              </w:rPr>
            </w:pPr>
          </w:p>
          <w:p w14:paraId="6CBBD187">
            <w:pPr>
              <w:snapToGrid w:val="0"/>
              <w:spacing w:line="400" w:lineRule="exact"/>
              <w:jc w:val="center"/>
              <w:rPr>
                <w:rFonts w:ascii="宋体" w:hAnsi="宋体" w:cs="宋体"/>
                <w:color w:val="auto"/>
                <w:kern w:val="0"/>
                <w:szCs w:val="21"/>
                <w:highlight w:val="none"/>
              </w:rPr>
            </w:pPr>
          </w:p>
          <w:p w14:paraId="7F2E104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1.4.1</w:t>
            </w:r>
          </w:p>
        </w:tc>
        <w:tc>
          <w:tcPr>
            <w:tcW w:w="1964" w:type="dxa"/>
            <w:vAlign w:val="center"/>
          </w:tcPr>
          <w:p w14:paraId="3815CDF4">
            <w:pPr>
              <w:snapToGrid w:val="0"/>
              <w:spacing w:line="400" w:lineRule="exact"/>
              <w:jc w:val="center"/>
              <w:rPr>
                <w:rFonts w:ascii="宋体" w:hAnsi="宋体" w:cs="宋体"/>
                <w:color w:val="auto"/>
                <w:kern w:val="0"/>
                <w:szCs w:val="21"/>
                <w:highlight w:val="none"/>
              </w:rPr>
            </w:pPr>
          </w:p>
          <w:p w14:paraId="0C47E28F">
            <w:pPr>
              <w:snapToGrid w:val="0"/>
              <w:spacing w:line="400" w:lineRule="exact"/>
              <w:jc w:val="center"/>
              <w:rPr>
                <w:rFonts w:ascii="宋体" w:hAnsi="宋体" w:cs="宋体"/>
                <w:color w:val="auto"/>
                <w:kern w:val="0"/>
                <w:szCs w:val="21"/>
                <w:highlight w:val="none"/>
              </w:rPr>
            </w:pPr>
          </w:p>
          <w:p w14:paraId="09639B97">
            <w:pPr>
              <w:snapToGrid w:val="0"/>
              <w:spacing w:line="400" w:lineRule="exact"/>
              <w:jc w:val="center"/>
              <w:rPr>
                <w:rFonts w:ascii="宋体" w:hAnsi="宋体" w:cs="宋体"/>
                <w:color w:val="auto"/>
                <w:kern w:val="0"/>
                <w:szCs w:val="21"/>
                <w:highlight w:val="none"/>
              </w:rPr>
            </w:pPr>
          </w:p>
          <w:p w14:paraId="2981033B">
            <w:pPr>
              <w:snapToGrid w:val="0"/>
              <w:spacing w:line="400" w:lineRule="exact"/>
              <w:jc w:val="center"/>
              <w:rPr>
                <w:rFonts w:ascii="宋体" w:hAnsi="宋体" w:cs="宋体"/>
                <w:color w:val="auto"/>
                <w:kern w:val="0"/>
                <w:szCs w:val="21"/>
                <w:highlight w:val="none"/>
              </w:rPr>
            </w:pPr>
          </w:p>
          <w:p w14:paraId="111BDC8A">
            <w:pPr>
              <w:snapToGrid w:val="0"/>
              <w:spacing w:line="400" w:lineRule="exact"/>
              <w:jc w:val="center"/>
              <w:rPr>
                <w:rFonts w:ascii="宋体" w:hAnsi="宋体" w:cs="宋体"/>
                <w:color w:val="auto"/>
                <w:kern w:val="0"/>
                <w:szCs w:val="21"/>
                <w:highlight w:val="none"/>
              </w:rPr>
            </w:pPr>
          </w:p>
          <w:p w14:paraId="3FE37BA9">
            <w:pPr>
              <w:snapToGrid w:val="0"/>
              <w:spacing w:line="400" w:lineRule="exact"/>
              <w:jc w:val="center"/>
              <w:rPr>
                <w:rFonts w:ascii="宋体" w:hAnsi="宋体" w:cs="宋体"/>
                <w:color w:val="auto"/>
                <w:kern w:val="0"/>
                <w:szCs w:val="21"/>
                <w:highlight w:val="none"/>
              </w:rPr>
            </w:pPr>
          </w:p>
          <w:p w14:paraId="7A13660C">
            <w:pPr>
              <w:snapToGrid w:val="0"/>
              <w:spacing w:line="400" w:lineRule="exact"/>
              <w:jc w:val="center"/>
              <w:rPr>
                <w:rFonts w:ascii="宋体" w:hAnsi="宋体" w:cs="宋体"/>
                <w:color w:val="auto"/>
                <w:kern w:val="0"/>
                <w:szCs w:val="21"/>
                <w:highlight w:val="none"/>
              </w:rPr>
            </w:pPr>
          </w:p>
          <w:p w14:paraId="7BE74607">
            <w:pPr>
              <w:snapToGrid w:val="0"/>
              <w:spacing w:line="400" w:lineRule="exact"/>
              <w:jc w:val="center"/>
              <w:rPr>
                <w:rFonts w:ascii="宋体" w:hAnsi="宋体" w:cs="宋体"/>
                <w:color w:val="auto"/>
                <w:kern w:val="0"/>
                <w:szCs w:val="21"/>
                <w:highlight w:val="none"/>
              </w:rPr>
            </w:pPr>
          </w:p>
          <w:p w14:paraId="6BCE9226">
            <w:pPr>
              <w:snapToGrid w:val="0"/>
              <w:spacing w:line="400" w:lineRule="exact"/>
              <w:jc w:val="center"/>
              <w:rPr>
                <w:rFonts w:ascii="宋体" w:hAnsi="宋体" w:cs="宋体"/>
                <w:color w:val="auto"/>
                <w:kern w:val="0"/>
                <w:szCs w:val="21"/>
                <w:highlight w:val="none"/>
              </w:rPr>
            </w:pPr>
          </w:p>
          <w:p w14:paraId="43719AFC">
            <w:pPr>
              <w:snapToGrid w:val="0"/>
              <w:spacing w:line="400" w:lineRule="exact"/>
              <w:jc w:val="center"/>
              <w:rPr>
                <w:rFonts w:ascii="宋体" w:hAnsi="宋体" w:cs="宋体"/>
                <w:color w:val="auto"/>
                <w:kern w:val="0"/>
                <w:szCs w:val="21"/>
                <w:highlight w:val="none"/>
              </w:rPr>
            </w:pPr>
          </w:p>
          <w:p w14:paraId="2174142A">
            <w:pPr>
              <w:snapToGrid w:val="0"/>
              <w:spacing w:line="400" w:lineRule="exact"/>
              <w:jc w:val="center"/>
              <w:rPr>
                <w:rFonts w:ascii="宋体" w:hAnsi="宋体" w:cs="宋体"/>
                <w:color w:val="auto"/>
                <w:kern w:val="0"/>
                <w:szCs w:val="21"/>
                <w:highlight w:val="none"/>
              </w:rPr>
            </w:pPr>
          </w:p>
          <w:p w14:paraId="33B8F890">
            <w:pPr>
              <w:snapToGrid w:val="0"/>
              <w:spacing w:line="400" w:lineRule="exact"/>
              <w:jc w:val="center"/>
              <w:rPr>
                <w:rFonts w:ascii="宋体" w:hAnsi="宋体" w:cs="宋体"/>
                <w:color w:val="auto"/>
                <w:kern w:val="0"/>
                <w:szCs w:val="21"/>
                <w:highlight w:val="none"/>
              </w:rPr>
            </w:pPr>
          </w:p>
          <w:p w14:paraId="6814BADD">
            <w:pPr>
              <w:snapToGrid w:val="0"/>
              <w:spacing w:line="400" w:lineRule="exact"/>
              <w:jc w:val="center"/>
              <w:rPr>
                <w:rFonts w:ascii="宋体" w:hAnsi="宋体" w:cs="宋体"/>
                <w:color w:val="auto"/>
                <w:kern w:val="0"/>
                <w:szCs w:val="21"/>
                <w:highlight w:val="none"/>
              </w:rPr>
            </w:pPr>
          </w:p>
          <w:p w14:paraId="1653C318">
            <w:pPr>
              <w:snapToGrid w:val="0"/>
              <w:spacing w:line="400" w:lineRule="exact"/>
              <w:jc w:val="center"/>
              <w:rPr>
                <w:rFonts w:ascii="宋体" w:hAnsi="宋体" w:cs="宋体"/>
                <w:color w:val="auto"/>
                <w:kern w:val="0"/>
                <w:szCs w:val="21"/>
                <w:highlight w:val="none"/>
              </w:rPr>
            </w:pPr>
          </w:p>
          <w:p w14:paraId="2ABB6C96">
            <w:pPr>
              <w:snapToGrid w:val="0"/>
              <w:spacing w:line="400" w:lineRule="exact"/>
              <w:jc w:val="center"/>
              <w:rPr>
                <w:rFonts w:ascii="宋体" w:hAnsi="宋体" w:cs="宋体"/>
                <w:color w:val="auto"/>
                <w:kern w:val="0"/>
                <w:szCs w:val="21"/>
                <w:highlight w:val="none"/>
              </w:rPr>
            </w:pPr>
          </w:p>
          <w:p w14:paraId="2D477108">
            <w:pPr>
              <w:snapToGrid w:val="0"/>
              <w:spacing w:line="400" w:lineRule="exact"/>
              <w:jc w:val="center"/>
              <w:rPr>
                <w:rFonts w:ascii="宋体" w:hAnsi="宋体" w:cs="宋体"/>
                <w:color w:val="auto"/>
                <w:kern w:val="0"/>
                <w:szCs w:val="21"/>
                <w:highlight w:val="none"/>
              </w:rPr>
            </w:pPr>
          </w:p>
          <w:p w14:paraId="1AF1CF39">
            <w:pPr>
              <w:snapToGrid w:val="0"/>
              <w:spacing w:line="400" w:lineRule="exact"/>
              <w:jc w:val="center"/>
              <w:rPr>
                <w:rFonts w:ascii="宋体" w:hAnsi="宋体" w:cs="宋体"/>
                <w:color w:val="auto"/>
                <w:kern w:val="0"/>
                <w:szCs w:val="21"/>
                <w:highlight w:val="none"/>
              </w:rPr>
            </w:pPr>
          </w:p>
          <w:p w14:paraId="4BC961F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竞选人资质条件、能力和信誉</w:t>
            </w:r>
          </w:p>
          <w:p w14:paraId="4A9F5E76">
            <w:pPr>
              <w:snapToGrid w:val="0"/>
              <w:spacing w:line="400" w:lineRule="exact"/>
              <w:jc w:val="center"/>
              <w:rPr>
                <w:rFonts w:ascii="宋体" w:hAnsi="宋体" w:cs="宋体"/>
                <w:color w:val="auto"/>
                <w:kern w:val="0"/>
                <w:szCs w:val="21"/>
                <w:highlight w:val="none"/>
              </w:rPr>
            </w:pPr>
          </w:p>
          <w:p w14:paraId="12B93087">
            <w:pPr>
              <w:snapToGrid w:val="0"/>
              <w:spacing w:line="400" w:lineRule="exact"/>
              <w:jc w:val="center"/>
              <w:rPr>
                <w:rFonts w:ascii="宋体" w:hAnsi="宋体" w:cs="宋体"/>
                <w:color w:val="auto"/>
                <w:kern w:val="0"/>
                <w:szCs w:val="21"/>
                <w:highlight w:val="none"/>
              </w:rPr>
            </w:pPr>
          </w:p>
          <w:p w14:paraId="359DE064">
            <w:pPr>
              <w:snapToGrid w:val="0"/>
              <w:spacing w:line="400" w:lineRule="exact"/>
              <w:jc w:val="center"/>
              <w:rPr>
                <w:rFonts w:ascii="宋体" w:hAnsi="宋体" w:cs="宋体"/>
                <w:color w:val="auto"/>
                <w:kern w:val="0"/>
                <w:szCs w:val="21"/>
                <w:highlight w:val="none"/>
              </w:rPr>
            </w:pPr>
          </w:p>
          <w:p w14:paraId="0FF8E0CF">
            <w:pPr>
              <w:snapToGrid w:val="0"/>
              <w:spacing w:line="400" w:lineRule="exact"/>
              <w:jc w:val="center"/>
              <w:rPr>
                <w:rFonts w:ascii="宋体" w:hAnsi="宋体" w:cs="宋体"/>
                <w:color w:val="auto"/>
                <w:kern w:val="0"/>
                <w:szCs w:val="21"/>
                <w:highlight w:val="none"/>
              </w:rPr>
            </w:pPr>
          </w:p>
          <w:p w14:paraId="14F3699A">
            <w:pPr>
              <w:snapToGrid w:val="0"/>
              <w:spacing w:line="400" w:lineRule="exact"/>
              <w:jc w:val="center"/>
              <w:rPr>
                <w:rFonts w:ascii="宋体" w:hAnsi="宋体" w:cs="宋体"/>
                <w:color w:val="auto"/>
                <w:kern w:val="0"/>
                <w:szCs w:val="21"/>
                <w:highlight w:val="none"/>
              </w:rPr>
            </w:pPr>
          </w:p>
          <w:p w14:paraId="5D93EC7C">
            <w:pPr>
              <w:snapToGrid w:val="0"/>
              <w:spacing w:line="400" w:lineRule="exact"/>
              <w:jc w:val="center"/>
              <w:rPr>
                <w:rFonts w:ascii="宋体" w:hAnsi="宋体" w:cs="宋体"/>
                <w:color w:val="auto"/>
                <w:kern w:val="0"/>
                <w:szCs w:val="21"/>
                <w:highlight w:val="none"/>
              </w:rPr>
            </w:pPr>
          </w:p>
          <w:p w14:paraId="4A3346CD">
            <w:pPr>
              <w:snapToGrid w:val="0"/>
              <w:spacing w:line="400" w:lineRule="exact"/>
              <w:jc w:val="center"/>
              <w:rPr>
                <w:rFonts w:ascii="宋体" w:hAnsi="宋体" w:cs="宋体"/>
                <w:color w:val="auto"/>
                <w:kern w:val="0"/>
                <w:szCs w:val="21"/>
                <w:highlight w:val="none"/>
              </w:rPr>
            </w:pPr>
          </w:p>
          <w:p w14:paraId="5B766729">
            <w:pPr>
              <w:snapToGrid w:val="0"/>
              <w:spacing w:line="400" w:lineRule="exact"/>
              <w:jc w:val="center"/>
              <w:rPr>
                <w:rFonts w:ascii="宋体" w:hAnsi="宋体" w:cs="宋体"/>
                <w:color w:val="auto"/>
                <w:kern w:val="0"/>
                <w:szCs w:val="21"/>
                <w:highlight w:val="none"/>
              </w:rPr>
            </w:pPr>
          </w:p>
          <w:p w14:paraId="27C2FB06">
            <w:pPr>
              <w:snapToGrid w:val="0"/>
              <w:spacing w:line="400" w:lineRule="exact"/>
              <w:jc w:val="center"/>
              <w:rPr>
                <w:rFonts w:ascii="宋体" w:hAnsi="宋体" w:cs="宋体"/>
                <w:color w:val="auto"/>
                <w:kern w:val="0"/>
                <w:szCs w:val="21"/>
                <w:highlight w:val="none"/>
              </w:rPr>
            </w:pPr>
          </w:p>
          <w:p w14:paraId="2A9836EA">
            <w:pPr>
              <w:snapToGrid w:val="0"/>
              <w:spacing w:line="400" w:lineRule="exact"/>
              <w:jc w:val="center"/>
              <w:rPr>
                <w:rFonts w:ascii="宋体" w:hAnsi="宋体" w:cs="宋体"/>
                <w:color w:val="auto"/>
                <w:kern w:val="0"/>
                <w:szCs w:val="21"/>
                <w:highlight w:val="none"/>
              </w:rPr>
            </w:pPr>
          </w:p>
          <w:p w14:paraId="74A4AD42">
            <w:pPr>
              <w:snapToGrid w:val="0"/>
              <w:spacing w:line="400" w:lineRule="exact"/>
              <w:rPr>
                <w:rFonts w:ascii="宋体" w:hAnsi="宋体" w:cs="宋体"/>
                <w:color w:val="auto"/>
                <w:kern w:val="0"/>
                <w:szCs w:val="21"/>
                <w:highlight w:val="none"/>
              </w:rPr>
            </w:pPr>
          </w:p>
          <w:p w14:paraId="096CEF8B">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竞选人资质条件、能力和信誉</w:t>
            </w:r>
          </w:p>
        </w:tc>
        <w:tc>
          <w:tcPr>
            <w:tcW w:w="6372" w:type="dxa"/>
            <w:vAlign w:val="center"/>
          </w:tcPr>
          <w:p w14:paraId="530CF5B4">
            <w:pPr>
              <w:snapToGrid w:val="0"/>
              <w:spacing w:line="400" w:lineRule="exact"/>
              <w:ind w:firstLine="420" w:firstLineChars="200"/>
              <w:rPr>
                <w:rFonts w:ascii="宋体" w:hAnsi="宋体" w:cs="宋体"/>
                <w:color w:val="auto"/>
                <w:highlight w:val="none"/>
              </w:rPr>
            </w:pPr>
            <w:bookmarkStart w:id="40" w:name="OLE_LINK1"/>
            <w:r>
              <w:rPr>
                <w:rFonts w:hint="eastAsia" w:ascii="宋体" w:hAnsi="宋体" w:cs="宋体"/>
                <w:color w:val="auto"/>
                <w:highlight w:val="none"/>
              </w:rPr>
              <w:t>本次比选实行资格后审，</w:t>
            </w:r>
            <w:bookmarkStart w:id="41" w:name="一是"/>
            <w:bookmarkEnd w:id="41"/>
            <w:r>
              <w:rPr>
                <w:rFonts w:hint="eastAsia" w:ascii="宋体" w:hAnsi="宋体" w:cs="宋体"/>
                <w:color w:val="auto"/>
                <w:highlight w:val="none"/>
              </w:rPr>
              <w:t>竞选人须具备以下资格条件：</w:t>
            </w:r>
          </w:p>
          <w:bookmarkEnd w:id="40"/>
          <w:p w14:paraId="50F14D62">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1.资质条件、营业执照</w:t>
            </w:r>
          </w:p>
          <w:p w14:paraId="594B2155">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（1）具备建设行政主管部门颁发的工程监理综合资质或</w:t>
            </w:r>
            <w:r>
              <w:rPr>
                <w:rFonts w:hint="eastAsia" w:ascii="宋体" w:hAnsi="宋体" w:cs="宋体"/>
                <w:color w:val="auto"/>
                <w:highlight w:val="none"/>
              </w:rPr>
              <w:t>市政公用工程监理</w:t>
            </w:r>
            <w:r>
              <w:rPr>
                <w:rFonts w:hint="eastAsia" w:ascii="宋体" w:hAnsi="宋体"/>
                <w:snapToGrid w:val="0"/>
                <w:color w:val="auto"/>
                <w:kern w:val="0"/>
                <w:szCs w:val="21"/>
                <w:highlight w:val="none"/>
              </w:rPr>
              <w:t>乙</w:t>
            </w:r>
            <w:r>
              <w:rPr>
                <w:rFonts w:hint="eastAsia" w:ascii="宋体" w:hAnsi="宋体" w:cs="宋体"/>
                <w:color w:val="auto"/>
                <w:highlight w:val="none"/>
              </w:rPr>
              <w:t>级</w:t>
            </w:r>
            <w:r>
              <w:rPr>
                <w:rFonts w:hint="eastAsia" w:ascii="宋体" w:hAnsi="宋体" w:cs="宋体"/>
                <w:color w:val="auto"/>
                <w:highlight w:val="none"/>
              </w:rPr>
              <w:t>及以上资质。</w:t>
            </w:r>
          </w:p>
          <w:p w14:paraId="4947A7DB">
            <w:pPr>
              <w:snapToGrid w:val="0"/>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竞选人须在竞选文件资格审查部分提供提供有效的资质证书。</w:t>
            </w:r>
          </w:p>
          <w:p w14:paraId="433142B3">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（2）具备有效的营业执照。</w:t>
            </w:r>
          </w:p>
          <w:p w14:paraId="2248623D">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竞选人须在竞选文件资格审查部分</w:t>
            </w:r>
            <w:r>
              <w:rPr>
                <w:rFonts w:hint="eastAsia" w:asciiTheme="minorEastAsia" w:hAnsiTheme="minorEastAsia" w:eastAsiaTheme="minorEastAsia" w:cstheme="minorEastAsia"/>
                <w:color w:val="auto"/>
                <w:szCs w:val="21"/>
                <w:highlight w:val="none"/>
              </w:rPr>
              <w:t>提供有效的营业执照。注：不得将投标人营业执照记载的经营范围作为评审因素。</w:t>
            </w:r>
          </w:p>
          <w:p w14:paraId="48C64D1A">
            <w:pPr>
              <w:snapToGrid w:val="0"/>
              <w:spacing w:line="400" w:lineRule="exact"/>
              <w:ind w:firstLine="422" w:firstLineChars="200"/>
              <w:rPr>
                <w:rFonts w:ascii="宋体" w:hAnsi="宋体" w:cs="宋体"/>
                <w:color w:val="auto"/>
                <w:highlight w:val="none"/>
              </w:rPr>
            </w:pPr>
            <w:r>
              <w:rPr>
                <w:rFonts w:hint="eastAsia" w:ascii="宋体" w:hAnsi="宋体" w:cs="宋体"/>
                <w:b/>
                <w:color w:val="auto"/>
                <w:highlight w:val="none"/>
              </w:rPr>
              <w:t>2.财务要求：</w:t>
            </w:r>
            <w:r>
              <w:rPr>
                <w:rFonts w:hint="eastAsia" w:ascii="宋体" w:hAnsi="宋体" w:cs="宋体"/>
                <w:color w:val="auto"/>
                <w:highlight w:val="none"/>
              </w:rPr>
              <w:t>202</w:t>
            </w:r>
            <w:r>
              <w:rPr>
                <w:rFonts w:hint="eastAsia" w:ascii="宋体" w:hAnsi="宋体" w:cs="宋体"/>
                <w:color w:val="auto"/>
                <w:highlight w:val="none"/>
                <w:lang w:val="en-US" w:eastAsia="zh-CN"/>
              </w:rPr>
              <w:t>4</w:t>
            </w:r>
            <w:r>
              <w:rPr>
                <w:rFonts w:hint="eastAsia" w:ascii="宋体" w:hAnsi="宋体" w:cs="宋体"/>
                <w:color w:val="auto"/>
                <w:highlight w:val="none"/>
              </w:rPr>
              <w:t>年的年度财务状况不亏损。</w:t>
            </w:r>
          </w:p>
          <w:p w14:paraId="5E6FF30C">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竞选人须在竞选文件资格审查部分提供经会计师事务所或审计机构出具的合法有效的财务审计报告或财务报表复印件加盖竞选人公章，财务报表须至少包括现金流量表、资产负债表、利润表。</w:t>
            </w:r>
          </w:p>
          <w:p w14:paraId="7CA7492F">
            <w:pPr>
              <w:autoSpaceDE w:val="0"/>
              <w:autoSpaceDN w:val="0"/>
              <w:adjustRightInd w:val="0"/>
              <w:snapToGrid w:val="0"/>
              <w:spacing w:line="400" w:lineRule="exact"/>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3.业绩要求</w:t>
            </w:r>
          </w:p>
          <w:p w14:paraId="5F22055A">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投标人提供的类似业绩应同时满足以下要求：</w:t>
            </w:r>
          </w:p>
          <w:p w14:paraId="31A2F51F">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3.1业绩时间要求：</w:t>
            </w:r>
          </w:p>
          <w:p w14:paraId="22BDB771">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highlight w:val="none"/>
              </w:rPr>
              <w:t>竞选人</w:t>
            </w:r>
            <w:r>
              <w:rPr>
                <w:rFonts w:hint="eastAsia" w:asciiTheme="minorEastAsia" w:hAnsiTheme="minorEastAsia" w:eastAsiaTheme="minorEastAsia" w:cstheme="minorEastAsia"/>
                <w:color w:val="auto"/>
                <w:szCs w:val="21"/>
                <w:highlight w:val="none"/>
              </w:rPr>
              <w:t>在</w:t>
            </w:r>
            <w:r>
              <w:rPr>
                <w:rFonts w:hint="eastAsia" w:asciiTheme="minorEastAsia" w:hAnsiTheme="minorEastAsia" w:eastAsiaTheme="minorEastAsia" w:cstheme="minorEastAsia"/>
                <w:color w:val="auto"/>
                <w:szCs w:val="21"/>
                <w:highlight w:val="none"/>
                <w:u w:val="single"/>
              </w:rPr>
              <w:t>2022</w:t>
            </w:r>
            <w:r>
              <w:rPr>
                <w:rFonts w:hint="eastAsia" w:asciiTheme="minorEastAsia" w:hAnsiTheme="minorEastAsia" w:eastAsiaTheme="minorEastAsia" w:cstheme="minorEastAsia"/>
                <w:color w:val="auto"/>
                <w:szCs w:val="21"/>
                <w:highlight w:val="none"/>
              </w:rPr>
              <w:t>年1月1日起至投标截止日止（以□交工□完工☑</w:t>
            </w:r>
            <w:r>
              <w:rPr>
                <w:rFonts w:asciiTheme="minorEastAsia" w:hAnsiTheme="minorEastAsia" w:eastAsiaTheme="minorEastAsia" w:cstheme="minorEastAsia"/>
                <w:color w:val="auto"/>
                <w:szCs w:val="21"/>
                <w:highlight w:val="none"/>
              </w:rPr>
              <w:t>竣工</w:t>
            </w:r>
            <w:r>
              <w:rPr>
                <w:rFonts w:hint="eastAsia" w:asciiTheme="minorEastAsia" w:hAnsiTheme="minorEastAsia" w:eastAsiaTheme="minorEastAsia" w:cstheme="minorEastAsia"/>
                <w:color w:val="auto"/>
                <w:szCs w:val="21"/>
                <w:highlight w:val="none"/>
              </w:rPr>
              <w:t>时间为准）完成的</w:t>
            </w:r>
            <w:r>
              <w:rPr>
                <w:rFonts w:hint="eastAsia" w:asciiTheme="minorEastAsia" w:hAnsiTheme="minorEastAsia" w:eastAsiaTheme="minorEastAsia" w:cstheme="minorEastAsia"/>
                <w:color w:val="auto"/>
                <w:szCs w:val="21"/>
                <w:highlight w:val="none"/>
                <w:u w:val="single"/>
              </w:rPr>
              <w:t>1个</w:t>
            </w:r>
            <w:r>
              <w:rPr>
                <w:rFonts w:hint="eastAsia" w:asciiTheme="minorEastAsia" w:hAnsiTheme="minorEastAsia" w:eastAsiaTheme="minorEastAsia" w:cstheme="minorEastAsia"/>
                <w:color w:val="auto"/>
                <w:szCs w:val="21"/>
                <w:highlight w:val="none"/>
              </w:rPr>
              <w:t>类似项目监理业绩，或</w:t>
            </w:r>
            <w:r>
              <w:rPr>
                <w:rFonts w:hint="eastAsia" w:asciiTheme="minorEastAsia" w:hAnsiTheme="minorEastAsia" w:eastAsiaTheme="minorEastAsia" w:cstheme="minorEastAsia"/>
                <w:color w:val="auto"/>
                <w:szCs w:val="21"/>
                <w:highlight w:val="none"/>
                <w:u w:val="single"/>
              </w:rPr>
              <w:t>1个</w:t>
            </w:r>
            <w:r>
              <w:rPr>
                <w:rFonts w:hint="eastAsia" w:asciiTheme="minorEastAsia" w:hAnsiTheme="minorEastAsia" w:eastAsiaTheme="minorEastAsia" w:cstheme="minorEastAsia"/>
                <w:color w:val="auto"/>
                <w:szCs w:val="21"/>
                <w:highlight w:val="none"/>
              </w:rPr>
              <w:t>包含类似监理工作的全过程咨询业绩。</w:t>
            </w:r>
          </w:p>
          <w:p w14:paraId="0304E2A3">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3.2业绩规模要求：</w:t>
            </w:r>
          </w:p>
          <w:p w14:paraId="33998C6A">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（1）工程类别：</w:t>
            </w:r>
            <w:r>
              <w:rPr>
                <w:rFonts w:hint="eastAsia" w:asciiTheme="minorEastAsia" w:hAnsiTheme="minorEastAsia" w:eastAsiaTheme="minorEastAsia" w:cstheme="minorEastAsia"/>
                <w:color w:val="auto"/>
                <w:szCs w:val="21"/>
                <w:highlight w:val="none"/>
                <w:u w:val="single"/>
              </w:rPr>
              <w:t>市政公用工程</w:t>
            </w:r>
          </w:p>
          <w:p w14:paraId="7C09D3DA">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（2）项目金额：</w:t>
            </w:r>
          </w:p>
          <w:p w14:paraId="0AF7D8D5">
            <w:pPr>
              <w:autoSpaceDE w:val="0"/>
              <w:autoSpaceDN w:val="0"/>
              <w:adjustRightInd w:val="0"/>
              <w:snapToGrid w:val="0"/>
              <w:spacing w:line="400" w:lineRule="exact"/>
              <w:ind w:firstLine="630" w:firstLineChars="3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监理合同金额：</w:t>
            </w:r>
            <w:r>
              <w:rPr>
                <w:rFonts w:hint="eastAsia" w:asciiTheme="minorEastAsia" w:hAnsiTheme="minorEastAsia" w:eastAsiaTheme="minorEastAsia" w:cstheme="minorEastAsia"/>
                <w:color w:val="auto"/>
                <w:szCs w:val="21"/>
                <w:highlight w:val="none"/>
                <w:u w:val="single"/>
                <w:lang w:val="en-US" w:eastAsia="zh-CN"/>
              </w:rPr>
              <w:t>60</w:t>
            </w:r>
            <w:r>
              <w:rPr>
                <w:rFonts w:hint="eastAsia" w:asciiTheme="minorEastAsia" w:hAnsiTheme="minorEastAsia" w:eastAsiaTheme="minorEastAsia" w:cstheme="minorEastAsia"/>
                <w:color w:val="auto"/>
                <w:szCs w:val="21"/>
                <w:highlight w:val="none"/>
                <w:u w:val="single"/>
              </w:rPr>
              <w:t>万元及以上</w:t>
            </w:r>
            <w:r>
              <w:rPr>
                <w:rFonts w:hint="eastAsia" w:asciiTheme="minorEastAsia" w:hAnsiTheme="minorEastAsia" w:eastAsiaTheme="minorEastAsia" w:cstheme="minorEastAsia"/>
                <w:color w:val="auto"/>
                <w:szCs w:val="21"/>
                <w:highlight w:val="none"/>
              </w:rPr>
              <w:t>（注：提供全过程咨询业绩的，全过程咨询业绩中监理部分的合同金额须达到该金额要求。）</w:t>
            </w:r>
          </w:p>
          <w:p w14:paraId="494B6585">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3.3业绩证明材料要求：</w:t>
            </w:r>
          </w:p>
          <w:p w14:paraId="7E7E7F10">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highlight w:val="none"/>
              </w:rPr>
              <w:t>竞选人</w:t>
            </w:r>
            <w:r>
              <w:rPr>
                <w:rFonts w:hint="eastAsia" w:asciiTheme="minorEastAsia" w:hAnsiTheme="minorEastAsia" w:eastAsiaTheme="minorEastAsia" w:cstheme="minorEastAsia"/>
                <w:color w:val="auto"/>
                <w:szCs w:val="21"/>
                <w:highlight w:val="none"/>
              </w:rPr>
              <w:t>须在竞选文件中提供该业绩的中标通知书（直接发包的项目可提供项目发包人出具的项目直接发包情况说明或证明文书代替）、合同协议书、竣工验收证明材料（或监理业务手册）。</w:t>
            </w:r>
          </w:p>
          <w:p w14:paraId="74312D5E">
            <w:pPr>
              <w:autoSpaceDE w:val="0"/>
              <w:autoSpaceDN w:val="0"/>
              <w:adjustRightInd w:val="0"/>
              <w:snapToGrid w:val="0"/>
              <w:spacing w:line="400" w:lineRule="exact"/>
              <w:ind w:firstLine="415" w:firstLineChars="19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w:t>
            </w:r>
            <w:r>
              <w:rPr>
                <w:rFonts w:hint="eastAsia" w:ascii="宋体" w:hAnsi="宋体" w:cs="宋体"/>
                <w:color w:val="auto"/>
                <w:highlight w:val="none"/>
              </w:rPr>
              <w:t>竞选人</w:t>
            </w:r>
            <w:r>
              <w:rPr>
                <w:rFonts w:hint="eastAsia" w:asciiTheme="minorEastAsia" w:hAnsiTheme="minorEastAsia" w:eastAsiaTheme="minorEastAsia" w:cstheme="minorEastAsia"/>
                <w:color w:val="auto"/>
                <w:szCs w:val="21"/>
                <w:highlight w:val="none"/>
              </w:rPr>
              <w:t>应对其提供的业绩证明材料的真实性负责。业绩证明材料应能体现□交工□完工☑</w:t>
            </w:r>
            <w:r>
              <w:rPr>
                <w:rFonts w:asciiTheme="minorEastAsia" w:hAnsiTheme="minorEastAsia" w:eastAsiaTheme="minorEastAsia" w:cstheme="minorEastAsia"/>
                <w:color w:val="auto"/>
                <w:szCs w:val="21"/>
                <w:highlight w:val="none"/>
              </w:rPr>
              <w:t>竣工</w:t>
            </w:r>
            <w:r>
              <w:rPr>
                <w:rFonts w:hint="eastAsia" w:asciiTheme="minorEastAsia" w:hAnsiTheme="minorEastAsia" w:eastAsiaTheme="minorEastAsia" w:cstheme="minorEastAsia"/>
                <w:color w:val="auto"/>
                <w:szCs w:val="21"/>
                <w:highlight w:val="none"/>
              </w:rPr>
              <w:t>时间、工程类别、项目金额（如有）、工程规模（如有）的信息，当上述资料中针对同一指标存在不一致时，以</w:t>
            </w:r>
            <w:r>
              <w:rPr>
                <w:rFonts w:hint="eastAsia" w:asciiTheme="minorEastAsia" w:hAnsiTheme="minorEastAsia" w:eastAsiaTheme="minorEastAsia" w:cstheme="minorEastAsia"/>
                <w:color w:val="auto"/>
                <w:szCs w:val="21"/>
                <w:highlight w:val="none"/>
                <w:u w:val="single"/>
              </w:rPr>
              <w:t xml:space="preserve"> 以竣工验收证明材料  </w:t>
            </w:r>
            <w:r>
              <w:rPr>
                <w:rFonts w:hint="eastAsia" w:asciiTheme="minorEastAsia" w:hAnsiTheme="minorEastAsia" w:eastAsiaTheme="minorEastAsia" w:cstheme="minorEastAsia"/>
                <w:color w:val="auto"/>
                <w:szCs w:val="21"/>
                <w:highlight w:val="none"/>
              </w:rPr>
              <w:t>体现的信息为准。</w:t>
            </w:r>
          </w:p>
          <w:p w14:paraId="2F5255A8">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不满足上述业绩要求的视为业绩无效。</w:t>
            </w:r>
          </w:p>
          <w:p w14:paraId="6313E6BA">
            <w:pPr>
              <w:spacing w:line="400" w:lineRule="exact"/>
              <w:ind w:firstLine="420" w:firstLineChars="200"/>
              <w:rPr>
                <w:rFonts w:asciiTheme="minorEastAsia" w:hAnsiTheme="minorEastAsia" w:eastAsiaTheme="minorEastAsia" w:cstheme="minorEastAsia"/>
                <w:b/>
                <w:color w:val="auto"/>
                <w:szCs w:val="21"/>
                <w:highlight w:val="none"/>
              </w:rPr>
            </w:pPr>
            <w:r>
              <w:rPr>
                <w:rFonts w:hint="eastAsia" w:ascii="宋体" w:hAnsi="宋体" w:cs="宋体"/>
                <w:color w:val="auto"/>
                <w:highlight w:val="none"/>
              </w:rPr>
              <w:t>4.</w:t>
            </w:r>
            <w:r>
              <w:rPr>
                <w:rFonts w:hint="eastAsia" w:asciiTheme="minorEastAsia" w:hAnsiTheme="minorEastAsia" w:eastAsiaTheme="minorEastAsia" w:cstheme="minorEastAsia"/>
                <w:b/>
                <w:color w:val="auto"/>
                <w:szCs w:val="21"/>
                <w:highlight w:val="none"/>
              </w:rPr>
              <w:t>投标截止日投标资格情况</w:t>
            </w:r>
          </w:p>
          <w:p w14:paraId="68A06985">
            <w:pPr>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竞标人须自行承诺（格式见第五章投标文件格式）投标截止日投标资格情况不得存在下列情形之一：</w:t>
            </w:r>
          </w:p>
          <w:p w14:paraId="1788519C">
            <w:pPr>
              <w:snapToGrid w:val="0"/>
              <w:spacing w:line="40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（1）被人民法院列入失信被执行人名单且在被执行期内；</w:t>
            </w:r>
          </w:p>
          <w:p w14:paraId="00BC3E0E">
            <w:pPr>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（2）被列入《重庆市工程建设领域招标投标信用管理暂行办法》规定的重点关注名单且记分达到12分且在记分有效期内；</w:t>
            </w:r>
          </w:p>
          <w:p w14:paraId="32E57221">
            <w:pPr>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（3）被列入《重庆市工程建设领域招标投标信用管理暂行办法》规定的重庆市工程建设领域招标投标失信惩戒对象名单（以下称黑名单）且在记分有效期内；</w:t>
            </w:r>
          </w:p>
          <w:p w14:paraId="2D3476CE">
            <w:pPr>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（4）被国家、重庆市（含市或任意区县）有关行政部门处以暂停投标资格行政处罚，且在处罚期限内；</w:t>
            </w:r>
          </w:p>
          <w:p w14:paraId="0B7230D9">
            <w:pPr>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（5）被重庆市市级有关行业主管部门暂停在渝承揽新业务且在暂停期内。</w:t>
            </w:r>
          </w:p>
          <w:p w14:paraId="7863B8AB">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竞标人须在</w:t>
            </w:r>
            <w:r>
              <w:rPr>
                <w:rFonts w:hint="eastAsia" w:ascii="宋体" w:hAnsi="宋体" w:cs="宋体"/>
                <w:color w:val="auto"/>
                <w:highlight w:val="none"/>
              </w:rPr>
              <w:t>竞选文件</w:t>
            </w:r>
            <w:r>
              <w:rPr>
                <w:rFonts w:hint="eastAsia" w:asciiTheme="minorEastAsia" w:hAnsiTheme="minorEastAsia" w:eastAsiaTheme="minorEastAsia" w:cstheme="minorEastAsia"/>
                <w:color w:val="auto"/>
                <w:szCs w:val="21"/>
                <w:highlight w:val="none"/>
              </w:rPr>
              <w:t>资格审查部分提供承诺。</w:t>
            </w:r>
          </w:p>
          <w:p w14:paraId="55B2B844">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5.拟派监理人员</w:t>
            </w:r>
          </w:p>
          <w:p w14:paraId="25961107">
            <w:pPr>
              <w:pStyle w:val="7"/>
              <w:spacing w:line="400" w:lineRule="exact"/>
              <w:ind w:firstLine="420" w:firstLineChars="200"/>
              <w:rPr>
                <w:rFonts w:ascii="宋体" w:hAnsi="宋体" w:cs="宋体"/>
                <w:color w:val="auto"/>
                <w:highlight w:val="none"/>
              </w:rPr>
            </w:pPr>
            <w:r>
              <w:rPr>
                <w:rFonts w:hint="eastAsia" w:ascii="宋体" w:hAnsi="宋体" w:cs="宋体"/>
                <w:color w:val="auto"/>
                <w:highlight w:val="none"/>
              </w:rPr>
              <w:t>5.1</w:t>
            </w:r>
            <w:r>
              <w:rPr>
                <w:rFonts w:hint="eastAsia" w:ascii="宋体" w:hAnsi="宋体" w:cs="宋体"/>
                <w:color w:val="auto"/>
                <w:highlight w:val="none"/>
              </w:rPr>
              <w:t>总监理工程师1名：应具备建设行政主管部门颁发的有效</w:t>
            </w:r>
            <w:r>
              <w:rPr>
                <w:rFonts w:hint="eastAsia"/>
                <w:color w:val="auto"/>
                <w:highlight w:val="none"/>
              </w:rPr>
              <w:t>市政公用工程专业注册监理</w:t>
            </w:r>
            <w:r>
              <w:rPr>
                <w:rFonts w:hint="eastAsia" w:ascii="宋体" w:hAnsi="宋体" w:cs="宋体"/>
                <w:color w:val="auto"/>
                <w:highlight w:val="none"/>
              </w:rPr>
              <w:t>工程师证书（必须在本单位注册），且具有工程类中级及以上职称。</w:t>
            </w:r>
          </w:p>
          <w:p w14:paraId="15B0E099">
            <w:pPr>
              <w:pStyle w:val="7"/>
              <w:spacing w:line="400" w:lineRule="exact"/>
              <w:ind w:firstLine="420" w:firstLineChars="200"/>
              <w:rPr>
                <w:rFonts w:ascii="宋体" w:hAnsi="宋体" w:cs="宋体"/>
                <w:color w:val="auto"/>
                <w:highlight w:val="none"/>
              </w:rPr>
            </w:pPr>
            <w:r>
              <w:rPr>
                <w:rFonts w:hint="eastAsia" w:ascii="宋体" w:hAnsi="宋体" w:cs="宋体"/>
                <w:color w:val="auto"/>
                <w:highlight w:val="none"/>
              </w:rPr>
              <w:t>5.2</w:t>
            </w:r>
            <w:r>
              <w:rPr>
                <w:rFonts w:hint="eastAsia" w:ascii="宋体" w:hAnsi="宋体" w:cs="宋体"/>
                <w:color w:val="auto"/>
                <w:highlight w:val="none"/>
              </w:rPr>
              <w:t>专业监理工程师1名：专业监理工程师提供全国注册监理工程师注册证书或监理工程师岗位证书复印件。</w:t>
            </w:r>
          </w:p>
          <w:p w14:paraId="7166FD91">
            <w:pPr>
              <w:pStyle w:val="7"/>
              <w:spacing w:line="400" w:lineRule="exact"/>
              <w:ind w:firstLine="420" w:firstLineChars="200"/>
              <w:rPr>
                <w:rFonts w:ascii="宋体" w:hAnsi="宋体" w:cs="宋体"/>
                <w:color w:val="auto"/>
                <w:highlight w:val="none"/>
              </w:rPr>
            </w:pPr>
            <w:r>
              <w:rPr>
                <w:rFonts w:hint="eastAsia" w:ascii="宋体" w:hAnsi="宋体" w:cs="宋体"/>
                <w:color w:val="auto"/>
                <w:highlight w:val="none"/>
              </w:rPr>
              <w:t>5.3监理员：</w:t>
            </w:r>
          </w:p>
          <w:p w14:paraId="2DCEFD94">
            <w:pPr>
              <w:pStyle w:val="7"/>
              <w:spacing w:line="400" w:lineRule="exact"/>
              <w:ind w:firstLine="420" w:firstLineChars="200"/>
              <w:rPr>
                <w:rFonts w:ascii="宋体" w:hAnsi="宋体" w:cs="宋体"/>
                <w:color w:val="auto"/>
                <w:highlight w:val="none"/>
              </w:rPr>
            </w:pPr>
            <w:r>
              <w:rPr>
                <w:rFonts w:hint="eastAsia" w:ascii="宋体" w:hAnsi="宋体" w:cs="宋体"/>
                <w:color w:val="auto"/>
                <w:highlight w:val="none"/>
              </w:rPr>
              <w:t>监理员至少2名：监理员提供全国注册监理工程师注册证书或监理工程师岗位证书或监理员上岗证书（或监理业务培训合格证书），且必须到场，由竞选人自行承诺。</w:t>
            </w:r>
            <w:r>
              <w:rPr>
                <w:rFonts w:hint="eastAsia" w:ascii="宋体" w:hAnsi="宋体"/>
                <w:color w:val="auto"/>
                <w:kern w:val="0"/>
                <w:highlight w:val="none"/>
              </w:rPr>
              <w:t>（合格证为监理协会颁发）</w:t>
            </w:r>
          </w:p>
          <w:p w14:paraId="61E23946">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6.其他要求</w:t>
            </w:r>
          </w:p>
          <w:p w14:paraId="528B2652">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（1）委托代理人：</w:t>
            </w:r>
          </w:p>
          <w:p w14:paraId="05859216">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委托代理人必须为投标人本单位在职人员。</w:t>
            </w:r>
          </w:p>
          <w:p w14:paraId="498BB2D2">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竞选人须在</w:t>
            </w:r>
            <w:r>
              <w:rPr>
                <w:rFonts w:hint="eastAsia" w:ascii="宋体" w:hAnsi="宋体" w:cs="宋体"/>
                <w:color w:val="auto"/>
                <w:highlight w:val="none"/>
              </w:rPr>
              <w:t>竞选文件</w:t>
            </w:r>
            <w:r>
              <w:rPr>
                <w:rFonts w:hint="eastAsia" w:asciiTheme="minorEastAsia" w:hAnsiTheme="minorEastAsia" w:eastAsiaTheme="minorEastAsia" w:cstheme="minorEastAsia"/>
                <w:color w:val="auto"/>
                <w:kern w:val="0"/>
                <w:szCs w:val="21"/>
                <w:highlight w:val="none"/>
              </w:rPr>
              <w:t>资格审查部分提供投标人为该委托代理人缴纳的养老保险证明。否则，将由评选委员会作否决投标处理。</w:t>
            </w:r>
          </w:p>
          <w:p w14:paraId="0D343D7F">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特别说明：</w:t>
            </w:r>
          </w:p>
          <w:p w14:paraId="293B59CC">
            <w:pPr>
              <w:snapToGrid w:val="0"/>
              <w:spacing w:line="400" w:lineRule="exact"/>
              <w:ind w:firstLine="420" w:firstLineChars="200"/>
              <w:rPr>
                <w:b/>
                <w:bCs/>
                <w:color w:val="auto"/>
                <w:highlight w:val="none"/>
              </w:rPr>
            </w:pPr>
            <w:r>
              <w:rPr>
                <w:rFonts w:hint="eastAsia" w:ascii="宋体" w:hAnsi="宋体" w:cs="宋体"/>
                <w:color w:val="auto"/>
                <w:highlight w:val="none"/>
              </w:rPr>
              <w:t>（1）上述1～6条所须提交的相关证明材料复印件均应加盖竞选单位公章并装入竞选文件资格审查部分中。上述1～6条，有一条不满足，则竞选文件由评选委员会作否决投标处理；</w:t>
            </w:r>
          </w:p>
          <w:p w14:paraId="7854A5D1">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（2）比选人在合同签订前均有权对潜在竞选人提供的上述相关证明材料进行核实，若发现资料存在弄虚作假，按照相关法律法规处理， 其比选保证金不予退还，潜在竞选人承担因此造成的相关责任并赔偿相应损失。 </w:t>
            </w:r>
          </w:p>
          <w:p w14:paraId="643BAF9E">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（3）本竞选文件中所要求的人员养老保险证明要求如下：</w:t>
            </w:r>
          </w:p>
          <w:p w14:paraId="57D3DECE">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①企业提供养老保险证明，事业单位提供养老保险证明或行政主管部门在编证明。</w:t>
            </w:r>
          </w:p>
          <w:p w14:paraId="76251874">
            <w:pPr>
              <w:autoSpaceDE w:val="0"/>
              <w:autoSpaceDN w:val="0"/>
              <w:adjustRightInd w:val="0"/>
              <w:snapToGrid w:val="0"/>
              <w:spacing w:line="400" w:lineRule="exact"/>
              <w:ind w:firstLine="420" w:firstLineChars="200"/>
              <w:rPr>
                <w:rFonts w:ascii="宋体" w:hAnsi="宋体" w:cs="宋体"/>
                <w:color w:val="auto"/>
                <w:kern w:val="0"/>
                <w:szCs w:val="21"/>
                <w:highlight w:val="none"/>
              </w:rPr>
            </w:pPr>
            <w:r>
              <w:rPr>
                <w:rFonts w:hint="eastAsia" w:asciiTheme="minorEastAsia" w:hAnsiTheme="minorEastAsia" w:eastAsiaTheme="minorEastAsia" w:cstheme="minorEastAsia"/>
                <w:bCs/>
                <w:color w:val="auto"/>
                <w:kern w:val="0"/>
                <w:szCs w:val="21"/>
                <w:highlight w:val="none"/>
              </w:rPr>
              <w:t>②</w:t>
            </w:r>
            <w:r>
              <w:rPr>
                <w:rFonts w:hint="eastAsia" w:asciiTheme="minorEastAsia" w:hAnsiTheme="minorEastAsia" w:eastAsiaTheme="minorEastAsia" w:cstheme="minorEastAsia"/>
                <w:bCs/>
                <w:snapToGrid w:val="0"/>
                <w:color w:val="auto"/>
                <w:kern w:val="0"/>
                <w:szCs w:val="21"/>
                <w:highlight w:val="none"/>
              </w:rPr>
              <w:t>总监理工程师、专业监理工程师、监理员和委托代理人的连续养老保险证明期限须包含</w:t>
            </w:r>
            <w:r>
              <w:rPr>
                <w:rFonts w:hint="eastAsia" w:asciiTheme="minorEastAsia" w:hAnsiTheme="minorEastAsia" w:eastAsiaTheme="minorEastAsia" w:cstheme="minorEastAsia"/>
                <w:bCs/>
                <w:snapToGrid w:val="0"/>
                <w:color w:val="auto"/>
                <w:kern w:val="0"/>
                <w:szCs w:val="21"/>
                <w:highlight w:val="none"/>
                <w:u w:val="single"/>
              </w:rPr>
              <w:t xml:space="preserve"> 202</w:t>
            </w:r>
            <w:r>
              <w:rPr>
                <w:rFonts w:hint="eastAsia" w:asciiTheme="minorEastAsia" w:hAnsiTheme="minorEastAsia" w:eastAsiaTheme="minorEastAsia" w:cstheme="minorEastAsia"/>
                <w:bCs/>
                <w:snapToGrid w:val="0"/>
                <w:color w:val="auto"/>
                <w:kern w:val="0"/>
                <w:szCs w:val="21"/>
                <w:highlight w:val="none"/>
                <w:u w:val="single"/>
                <w:lang w:val="en-US" w:eastAsia="zh-CN"/>
              </w:rPr>
              <w:t>5</w:t>
            </w:r>
            <w:r>
              <w:rPr>
                <w:rFonts w:hint="eastAsia" w:asciiTheme="minorEastAsia" w:hAnsiTheme="minorEastAsia" w:eastAsiaTheme="minorEastAsia" w:cstheme="minorEastAsia"/>
                <w:bCs/>
                <w:snapToGrid w:val="0"/>
                <w:color w:val="auto"/>
                <w:kern w:val="0"/>
                <w:szCs w:val="21"/>
                <w:highlight w:val="none"/>
                <w:u w:val="none"/>
              </w:rPr>
              <w:t>年</w:t>
            </w:r>
            <w:r>
              <w:rPr>
                <w:rFonts w:hint="eastAsia" w:asciiTheme="minorEastAsia" w:hAnsiTheme="minorEastAsia" w:eastAsiaTheme="minorEastAsia" w:cstheme="minorEastAsia"/>
                <w:bCs/>
                <w:snapToGrid w:val="0"/>
                <w:color w:val="auto"/>
                <w:kern w:val="0"/>
                <w:szCs w:val="21"/>
                <w:highlight w:val="none"/>
                <w:u w:val="single"/>
                <w:lang w:val="en-US" w:eastAsia="zh-CN"/>
              </w:rPr>
              <w:t xml:space="preserve"> 2 </w:t>
            </w:r>
            <w:r>
              <w:rPr>
                <w:rFonts w:hint="eastAsia" w:asciiTheme="minorEastAsia" w:hAnsiTheme="minorEastAsia" w:eastAsiaTheme="minorEastAsia" w:cstheme="minorEastAsia"/>
                <w:bCs/>
                <w:snapToGrid w:val="0"/>
                <w:color w:val="auto"/>
                <w:kern w:val="0"/>
                <w:szCs w:val="21"/>
                <w:highlight w:val="none"/>
              </w:rPr>
              <w:t>月至</w:t>
            </w:r>
            <w:r>
              <w:rPr>
                <w:rFonts w:hint="eastAsia" w:asciiTheme="minorEastAsia" w:hAnsiTheme="minorEastAsia" w:eastAsiaTheme="minorEastAsia" w:cstheme="minorEastAsia"/>
                <w:bCs/>
                <w:snapToGrid w:val="0"/>
                <w:color w:val="auto"/>
                <w:kern w:val="0"/>
                <w:szCs w:val="21"/>
                <w:highlight w:val="none"/>
                <w:u w:val="single"/>
              </w:rPr>
              <w:t xml:space="preserve">2025 </w:t>
            </w:r>
            <w:r>
              <w:rPr>
                <w:rFonts w:hint="eastAsia" w:asciiTheme="minorEastAsia" w:hAnsiTheme="minorEastAsia" w:eastAsiaTheme="minorEastAsia" w:cstheme="minorEastAsia"/>
                <w:bCs/>
                <w:snapToGrid w:val="0"/>
                <w:color w:val="auto"/>
                <w:kern w:val="0"/>
                <w:szCs w:val="21"/>
                <w:highlight w:val="none"/>
              </w:rPr>
              <w:t>年</w:t>
            </w:r>
            <w:r>
              <w:rPr>
                <w:rFonts w:hint="eastAsia" w:asciiTheme="minorEastAsia" w:hAnsiTheme="minorEastAsia" w:eastAsiaTheme="minorEastAsia" w:cstheme="minorEastAsia"/>
                <w:bCs/>
                <w:snapToGrid w:val="0"/>
                <w:color w:val="auto"/>
                <w:kern w:val="0"/>
                <w:szCs w:val="21"/>
                <w:highlight w:val="none"/>
                <w:u w:val="single"/>
                <w:lang w:val="en-US" w:eastAsia="zh-CN"/>
              </w:rPr>
              <w:t xml:space="preserve"> 7 </w:t>
            </w:r>
            <w:r>
              <w:rPr>
                <w:rFonts w:hint="eastAsia" w:asciiTheme="minorEastAsia" w:hAnsiTheme="minorEastAsia" w:eastAsiaTheme="minorEastAsia" w:cstheme="minorEastAsia"/>
                <w:bCs/>
                <w:snapToGrid w:val="0"/>
                <w:color w:val="auto"/>
                <w:kern w:val="0"/>
                <w:szCs w:val="21"/>
                <w:highlight w:val="none"/>
              </w:rPr>
              <w:t>月</w:t>
            </w:r>
            <w:r>
              <w:rPr>
                <w:rFonts w:hint="eastAsia" w:asciiTheme="minorEastAsia" w:hAnsiTheme="minorEastAsia" w:eastAsiaTheme="minorEastAsia" w:cstheme="minorEastAsia"/>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54F0C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B3FACE2">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1.4.2</w:t>
            </w:r>
          </w:p>
        </w:tc>
        <w:tc>
          <w:tcPr>
            <w:tcW w:w="1964" w:type="dxa"/>
            <w:vAlign w:val="center"/>
          </w:tcPr>
          <w:p w14:paraId="1BF1C090">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14:paraId="5B50429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联合体竞选</w:t>
            </w:r>
          </w:p>
        </w:tc>
        <w:tc>
          <w:tcPr>
            <w:tcW w:w="6372" w:type="dxa"/>
            <w:vAlign w:val="center"/>
          </w:tcPr>
          <w:p w14:paraId="5A650A74">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14:paraId="509A5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0F76B49">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1.9.1</w:t>
            </w:r>
          </w:p>
        </w:tc>
        <w:tc>
          <w:tcPr>
            <w:tcW w:w="1964" w:type="dxa"/>
            <w:vAlign w:val="center"/>
          </w:tcPr>
          <w:p w14:paraId="42C80346">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6372" w:type="dxa"/>
            <w:vAlign w:val="center"/>
          </w:tcPr>
          <w:p w14:paraId="7729D631">
            <w:pPr>
              <w:snapToGrid w:val="0"/>
              <w:spacing w:line="400" w:lineRule="exact"/>
              <w:ind w:firstLine="420" w:firstLineChars="200"/>
              <w:rPr>
                <w:rFonts w:ascii="宋体" w:hAnsi="宋体" w:cs="宋体"/>
                <w:color w:val="auto"/>
                <w:kern w:val="0"/>
                <w:szCs w:val="21"/>
                <w:highlight w:val="none"/>
              </w:rPr>
            </w:pPr>
            <w:r>
              <w:rPr>
                <w:rFonts w:hint="eastAsia" w:ascii="MS Gothic" w:hAnsi="MS Gothic" w:eastAsia="MS Gothic" w:cs="MS Gothic"/>
                <w:color w:val="auto"/>
                <w:kern w:val="0"/>
                <w:szCs w:val="21"/>
                <w:highlight w:val="none"/>
              </w:rPr>
              <w:t>☑</w:t>
            </w:r>
            <w:r>
              <w:rPr>
                <w:rFonts w:hint="eastAsia" w:ascii="宋体" w:hAnsi="宋体" w:cs="宋体"/>
                <w:color w:val="auto"/>
                <w:kern w:val="0"/>
                <w:szCs w:val="21"/>
                <w:highlight w:val="none"/>
              </w:rPr>
              <w:t>不组织，由竞选人自行踏勘现场。</w:t>
            </w:r>
          </w:p>
        </w:tc>
      </w:tr>
      <w:tr w14:paraId="3D2D1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710B6F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1.10.1</w:t>
            </w:r>
          </w:p>
        </w:tc>
        <w:tc>
          <w:tcPr>
            <w:tcW w:w="1964" w:type="dxa"/>
            <w:vAlign w:val="center"/>
          </w:tcPr>
          <w:p w14:paraId="0C244AC4">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比选预备会</w:t>
            </w:r>
          </w:p>
        </w:tc>
        <w:tc>
          <w:tcPr>
            <w:tcW w:w="6372" w:type="dxa"/>
            <w:vAlign w:val="center"/>
          </w:tcPr>
          <w:p w14:paraId="0BB5D821">
            <w:pPr>
              <w:snapToGrid w:val="0"/>
              <w:spacing w:line="400" w:lineRule="exact"/>
              <w:ind w:firstLine="420" w:firstLineChars="200"/>
              <w:rPr>
                <w:rFonts w:ascii="宋体" w:hAnsi="宋体" w:cs="宋体"/>
                <w:color w:val="auto"/>
                <w:kern w:val="0"/>
                <w:szCs w:val="21"/>
                <w:highlight w:val="none"/>
              </w:rPr>
            </w:pPr>
            <w:r>
              <w:rPr>
                <w:rFonts w:hint="eastAsia" w:ascii="MS Gothic" w:hAnsi="MS Gothic" w:eastAsia="MS Gothic" w:cs="MS Gothic"/>
                <w:color w:val="auto"/>
                <w:kern w:val="0"/>
                <w:szCs w:val="21"/>
                <w:highlight w:val="none"/>
              </w:rPr>
              <w:t>☑</w:t>
            </w:r>
            <w:r>
              <w:rPr>
                <w:rFonts w:hint="eastAsia" w:ascii="宋体" w:hAnsi="宋体" w:cs="宋体"/>
                <w:color w:val="auto"/>
                <w:kern w:val="0"/>
                <w:szCs w:val="21"/>
                <w:highlight w:val="none"/>
              </w:rPr>
              <w:t>不召开</w:t>
            </w:r>
          </w:p>
        </w:tc>
      </w:tr>
      <w:tr w14:paraId="54703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FBA6A5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1.11</w:t>
            </w:r>
          </w:p>
        </w:tc>
        <w:tc>
          <w:tcPr>
            <w:tcW w:w="1964" w:type="dxa"/>
            <w:vAlign w:val="center"/>
          </w:tcPr>
          <w:p w14:paraId="493F956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6372" w:type="dxa"/>
            <w:vAlign w:val="center"/>
          </w:tcPr>
          <w:p w14:paraId="21548A1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不允许</w:t>
            </w:r>
          </w:p>
        </w:tc>
      </w:tr>
      <w:tr w14:paraId="4A574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47DEF7B">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964" w:type="dxa"/>
            <w:vAlign w:val="center"/>
          </w:tcPr>
          <w:p w14:paraId="2DDCE473">
            <w:pPr>
              <w:snapToGrid w:val="0"/>
              <w:spacing w:after="15" w:afterLines="5"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构成比选文件的其他材料</w:t>
            </w:r>
          </w:p>
        </w:tc>
        <w:tc>
          <w:tcPr>
            <w:tcW w:w="6372" w:type="dxa"/>
            <w:vAlign w:val="center"/>
          </w:tcPr>
          <w:p w14:paraId="37257D91">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比选人发出的答疑及补遗书</w:t>
            </w:r>
          </w:p>
        </w:tc>
      </w:tr>
      <w:tr w14:paraId="6E698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FABC3B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2.2.1</w:t>
            </w:r>
          </w:p>
        </w:tc>
        <w:tc>
          <w:tcPr>
            <w:tcW w:w="1964" w:type="dxa"/>
            <w:tcBorders>
              <w:bottom w:val="single" w:color="auto" w:sz="4" w:space="0"/>
            </w:tcBorders>
            <w:vAlign w:val="center"/>
          </w:tcPr>
          <w:p w14:paraId="1B592D9B">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竞选人对比选文件提出疑问的</w:t>
            </w:r>
          </w:p>
          <w:p w14:paraId="699DC19C">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截止时间</w:t>
            </w:r>
          </w:p>
        </w:tc>
        <w:tc>
          <w:tcPr>
            <w:tcW w:w="6372" w:type="dxa"/>
            <w:vAlign w:val="center"/>
          </w:tcPr>
          <w:p w14:paraId="69C6D808">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竞选人在收到比选文件后，应仔细检查比选文件的所有内容，如有残缺或文字表述不清，图纸尺寸标注不明以及存在错、碰、漏、缺、概念模糊和有可能出现歧义或理解上的偏差的内容等应</w:t>
            </w:r>
            <w:r>
              <w:rPr>
                <w:rFonts w:hint="eastAsia" w:ascii="宋体" w:hAnsi="宋体" w:cs="宋体"/>
                <w:color w:val="auto"/>
                <w:kern w:val="0"/>
                <w:szCs w:val="21"/>
                <w:highlight w:val="none"/>
                <w:u w:val="single"/>
              </w:rPr>
              <w:t xml:space="preserve"> 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8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17</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12 </w:t>
            </w:r>
            <w:r>
              <w:rPr>
                <w:rFonts w:hint="eastAsia" w:ascii="宋体" w:hAnsi="宋体" w:cs="宋体"/>
                <w:color w:val="auto"/>
                <w:szCs w:val="21"/>
                <w:highlight w:val="none"/>
              </w:rPr>
              <w:t>时</w:t>
            </w:r>
            <w:r>
              <w:rPr>
                <w:rFonts w:hint="eastAsia" w:ascii="宋体" w:hAnsi="宋体" w:cs="宋体"/>
                <w:color w:val="auto"/>
                <w:kern w:val="0"/>
                <w:szCs w:val="21"/>
                <w:highlight w:val="none"/>
                <w:u w:val="single"/>
              </w:rPr>
              <w:t xml:space="preserve"> 00 </w:t>
            </w:r>
            <w:r>
              <w:rPr>
                <w:rFonts w:hint="eastAsia" w:ascii="宋体" w:hAnsi="宋体" w:cs="宋体"/>
                <w:color w:val="auto"/>
                <w:szCs w:val="21"/>
                <w:highlight w:val="none"/>
              </w:rPr>
              <w:t>分（北京时间）</w:t>
            </w:r>
            <w:r>
              <w:rPr>
                <w:rFonts w:hint="eastAsia" w:ascii="宋体" w:hAnsi="宋体" w:cs="宋体"/>
                <w:color w:val="auto"/>
                <w:kern w:val="0"/>
                <w:szCs w:val="21"/>
                <w:highlight w:val="none"/>
              </w:rPr>
              <w:t>前以书面形式提交。</w:t>
            </w:r>
          </w:p>
        </w:tc>
      </w:tr>
      <w:tr w14:paraId="3C8A9A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Merge w:val="restart"/>
            <w:vAlign w:val="center"/>
          </w:tcPr>
          <w:p w14:paraId="4219061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2.2.2</w:t>
            </w:r>
          </w:p>
        </w:tc>
        <w:tc>
          <w:tcPr>
            <w:tcW w:w="1964" w:type="dxa"/>
            <w:tcBorders>
              <w:top w:val="single" w:color="auto" w:sz="4" w:space="0"/>
            </w:tcBorders>
            <w:vAlign w:val="center"/>
          </w:tcPr>
          <w:p w14:paraId="7757B87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比选人对比选文件答疑的截止时间</w:t>
            </w:r>
          </w:p>
        </w:tc>
        <w:tc>
          <w:tcPr>
            <w:tcW w:w="6372" w:type="dxa"/>
            <w:vAlign w:val="center"/>
          </w:tcPr>
          <w:p w14:paraId="7E63AECB">
            <w:pPr>
              <w:snapToGrid w:val="0"/>
              <w:spacing w:line="400" w:lineRule="exact"/>
              <w:ind w:firstLine="420" w:firstLineChars="200"/>
              <w:rPr>
                <w:rFonts w:ascii="宋体" w:hAnsi="宋体" w:cs="宋体"/>
                <w:snapToGrid w:val="0"/>
                <w:color w:val="auto"/>
                <w:kern w:val="0"/>
                <w:szCs w:val="21"/>
                <w:highlight w:val="none"/>
              </w:rPr>
            </w:pPr>
            <w:r>
              <w:rPr>
                <w:rFonts w:hint="eastAsia" w:cs="宋体" w:asciiTheme="minorEastAsia" w:hAnsiTheme="minorEastAsia" w:eastAsiaTheme="minorEastAsia"/>
                <w:color w:val="auto"/>
                <w:szCs w:val="21"/>
                <w:highlight w:val="none"/>
                <w:u w:val="single"/>
              </w:rPr>
              <w:t>2025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8 </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17 </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rPr>
              <w:t>1</w:t>
            </w:r>
            <w:r>
              <w:rPr>
                <w:rFonts w:cs="宋体" w:asciiTheme="minorEastAsia" w:hAnsiTheme="minorEastAsia" w:eastAsiaTheme="minorEastAsia"/>
                <w:color w:val="auto"/>
                <w:szCs w:val="21"/>
                <w:highlight w:val="none"/>
                <w:u w:val="single"/>
              </w:rPr>
              <w:t>7</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时</w:t>
            </w:r>
            <w:r>
              <w:rPr>
                <w:rFonts w:hint="eastAsia"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u w:val="single"/>
              </w:rPr>
              <w:t>3</w:t>
            </w:r>
            <w:r>
              <w:rPr>
                <w:rFonts w:hint="eastAsia" w:cs="宋体" w:asciiTheme="minorEastAsia" w:hAnsiTheme="minorEastAsia" w:eastAsiaTheme="minorEastAsia"/>
                <w:color w:val="auto"/>
                <w:szCs w:val="21"/>
                <w:highlight w:val="none"/>
                <w:u w:val="single"/>
              </w:rPr>
              <w:t xml:space="preserve">0 </w:t>
            </w:r>
            <w:r>
              <w:rPr>
                <w:rFonts w:hint="eastAsia" w:cs="宋体" w:asciiTheme="minorEastAsia" w:hAnsiTheme="minorEastAsia" w:eastAsiaTheme="minorEastAsia"/>
                <w:color w:val="auto"/>
                <w:szCs w:val="21"/>
                <w:highlight w:val="none"/>
              </w:rPr>
              <w:t>分（北京时间）</w:t>
            </w:r>
            <w:r>
              <w:rPr>
                <w:rFonts w:hint="eastAsia" w:cs="宋体" w:asciiTheme="minorEastAsia" w:hAnsiTheme="minorEastAsia" w:eastAsiaTheme="minorEastAsia"/>
                <w:color w:val="auto"/>
                <w:kern w:val="0"/>
                <w:szCs w:val="21"/>
                <w:highlight w:val="none"/>
              </w:rPr>
              <w:t>前对所有比选申请人提出的问题在《行采家》https://www.gec123.com/发布，比选申请人在开标前因未随时关注发布的补遗通知而产生的一切后果由比选申请人自负。</w:t>
            </w:r>
            <w:r>
              <w:rPr>
                <w:rFonts w:hint="eastAsia" w:ascii="宋体" w:hAnsi="宋体" w:cs="宋体"/>
                <w:color w:val="auto"/>
                <w:kern w:val="0"/>
                <w:highlight w:val="none"/>
              </w:rPr>
              <w:t xml:space="preserve"> </w:t>
            </w:r>
          </w:p>
        </w:tc>
      </w:tr>
      <w:tr w14:paraId="64278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Merge w:val="continue"/>
            <w:vAlign w:val="center"/>
          </w:tcPr>
          <w:p w14:paraId="4A101820">
            <w:pPr>
              <w:snapToGrid w:val="0"/>
              <w:spacing w:line="400" w:lineRule="exact"/>
              <w:jc w:val="center"/>
              <w:rPr>
                <w:rFonts w:ascii="宋体" w:hAnsi="宋体" w:cs="宋体"/>
                <w:color w:val="auto"/>
                <w:kern w:val="0"/>
                <w:szCs w:val="21"/>
                <w:highlight w:val="none"/>
              </w:rPr>
            </w:pPr>
          </w:p>
        </w:tc>
        <w:tc>
          <w:tcPr>
            <w:tcW w:w="1964" w:type="dxa"/>
            <w:vAlign w:val="center"/>
          </w:tcPr>
          <w:p w14:paraId="2BA54E3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竞选文件递交</w:t>
            </w:r>
          </w:p>
          <w:p w14:paraId="52EC7AC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截止时间</w:t>
            </w:r>
          </w:p>
        </w:tc>
        <w:tc>
          <w:tcPr>
            <w:tcW w:w="6372" w:type="dxa"/>
            <w:vAlign w:val="center"/>
          </w:tcPr>
          <w:p w14:paraId="307F5187">
            <w:pPr>
              <w:snapToGrid w:val="0"/>
              <w:spacing w:line="400" w:lineRule="exact"/>
              <w:ind w:firstLine="420" w:firstLineChars="200"/>
              <w:rPr>
                <w:rFonts w:ascii="宋体" w:hAnsi="宋体" w:cs="宋体"/>
                <w:color w:val="auto"/>
                <w:szCs w:val="21"/>
                <w:highlight w:val="none"/>
                <w:u w:val="single"/>
              </w:rPr>
            </w:pPr>
            <w:r>
              <w:rPr>
                <w:rFonts w:hint="eastAsia" w:ascii="宋体" w:hAnsi="宋体"/>
                <w:color w:val="auto"/>
                <w:szCs w:val="21"/>
                <w:highlight w:val="none"/>
              </w:rPr>
              <w:t>详见竞选公告规定的竞选截止时间。</w:t>
            </w:r>
          </w:p>
        </w:tc>
      </w:tr>
      <w:tr w14:paraId="44DC7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A7AA05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3.1.1</w:t>
            </w:r>
          </w:p>
        </w:tc>
        <w:tc>
          <w:tcPr>
            <w:tcW w:w="1964" w:type="dxa"/>
            <w:vAlign w:val="center"/>
          </w:tcPr>
          <w:p w14:paraId="36CC58EE">
            <w:pPr>
              <w:snapToGrid w:val="0"/>
              <w:spacing w:after="31" w:afterLines="1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构成竞选文件</w:t>
            </w:r>
          </w:p>
          <w:p w14:paraId="74868F63">
            <w:pPr>
              <w:snapToGrid w:val="0"/>
              <w:spacing w:after="31" w:afterLines="1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的其他材料</w:t>
            </w:r>
          </w:p>
        </w:tc>
        <w:tc>
          <w:tcPr>
            <w:tcW w:w="6372" w:type="dxa"/>
            <w:vAlign w:val="center"/>
          </w:tcPr>
          <w:p w14:paraId="36EAEA50">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竞选人的书面澄清、说明和补正（但不得改变竞选文件的实质性内容）</w:t>
            </w:r>
          </w:p>
        </w:tc>
      </w:tr>
      <w:tr w14:paraId="54BC6C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79927DF">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w:t>
            </w:r>
          </w:p>
        </w:tc>
        <w:tc>
          <w:tcPr>
            <w:tcW w:w="1964" w:type="dxa"/>
            <w:vAlign w:val="center"/>
          </w:tcPr>
          <w:p w14:paraId="41429E8A">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增值税税金的计算方式</w:t>
            </w:r>
          </w:p>
        </w:tc>
        <w:tc>
          <w:tcPr>
            <w:tcW w:w="6372" w:type="dxa"/>
            <w:vAlign w:val="center"/>
          </w:tcPr>
          <w:p w14:paraId="75DD2850">
            <w:pPr>
              <w:pStyle w:val="8"/>
              <w:tabs>
                <w:tab w:val="left" w:pos="546"/>
                <w:tab w:val="left" w:pos="711"/>
              </w:tabs>
              <w:snapToGrid w:val="0"/>
              <w:spacing w:after="0" w:line="400" w:lineRule="exact"/>
              <w:ind w:left="6" w:leftChars="3"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增值税计税方法由招标人依据国家税法规定选择：</w:t>
            </w:r>
          </w:p>
          <w:p w14:paraId="38C0BB4F">
            <w:pPr>
              <w:pStyle w:val="8"/>
              <w:tabs>
                <w:tab w:val="left" w:pos="546"/>
                <w:tab w:val="left" w:pos="711"/>
              </w:tabs>
              <w:snapToGrid w:val="0"/>
              <w:spacing w:after="0" w:line="400" w:lineRule="exact"/>
              <w:ind w:left="6" w:leftChars="3" w:firstLine="420" w:firstLineChars="200"/>
              <w:rPr>
                <w:rFonts w:asciiTheme="minorEastAsia" w:hAnsiTheme="minorEastAsia" w:eastAsiaTheme="minorEastAsia" w:cstheme="minorEastAsia"/>
                <w:color w:val="auto"/>
                <w:szCs w:val="21"/>
                <w:highlight w:val="none"/>
              </w:rPr>
            </w:pPr>
            <w:r>
              <w:rPr>
                <w:rFonts w:hint="eastAsia" w:ascii="MS Gothic" w:hAnsi="MS Gothic" w:eastAsia="MS Gothic" w:cs="MS Gothic"/>
                <w:snapToGrid w:val="0"/>
                <w:color w:val="auto"/>
                <w:kern w:val="0"/>
                <w:szCs w:val="21"/>
                <w:highlight w:val="none"/>
              </w:rPr>
              <w:t>☑</w:t>
            </w:r>
            <w:r>
              <w:rPr>
                <w:rFonts w:hint="eastAsia" w:asciiTheme="minorEastAsia" w:hAnsiTheme="minorEastAsia" w:eastAsiaTheme="minorEastAsia" w:cstheme="minorEastAsia"/>
                <w:color w:val="auto"/>
                <w:szCs w:val="21"/>
                <w:highlight w:val="none"/>
              </w:rPr>
              <w:t>一般计税法</w:t>
            </w:r>
          </w:p>
          <w:p w14:paraId="5D97E1BF">
            <w:pPr>
              <w:pStyle w:val="8"/>
              <w:tabs>
                <w:tab w:val="left" w:pos="546"/>
                <w:tab w:val="left" w:pos="711"/>
              </w:tabs>
              <w:snapToGrid w:val="0"/>
              <w:spacing w:after="0" w:line="400" w:lineRule="exact"/>
              <w:ind w:left="6" w:leftChars="3"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□简易计税法</w:t>
            </w:r>
          </w:p>
        </w:tc>
      </w:tr>
      <w:tr w14:paraId="1AB8E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34AD9C9">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w:t>
            </w:r>
          </w:p>
        </w:tc>
        <w:tc>
          <w:tcPr>
            <w:tcW w:w="1964" w:type="dxa"/>
            <w:vAlign w:val="center"/>
          </w:tcPr>
          <w:p w14:paraId="2194561D">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报价方式</w:t>
            </w:r>
          </w:p>
        </w:tc>
        <w:tc>
          <w:tcPr>
            <w:tcW w:w="6372" w:type="dxa"/>
            <w:vAlign w:val="center"/>
          </w:tcPr>
          <w:p w14:paraId="07E9CB93">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本次招标采用的报价方式为：取费比例报价，暂定总价。</w:t>
            </w:r>
          </w:p>
        </w:tc>
      </w:tr>
      <w:tr w14:paraId="26E02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1539112">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w:t>
            </w:r>
          </w:p>
        </w:tc>
        <w:tc>
          <w:tcPr>
            <w:tcW w:w="1964" w:type="dxa"/>
            <w:vAlign w:val="center"/>
          </w:tcPr>
          <w:p w14:paraId="48DD6BCC">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最高投标限价</w:t>
            </w:r>
          </w:p>
        </w:tc>
        <w:tc>
          <w:tcPr>
            <w:tcW w:w="6372" w:type="dxa"/>
            <w:vAlign w:val="center"/>
          </w:tcPr>
          <w:p w14:paraId="0B2ADF7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本项目监理服务计算基数暂按</w:t>
            </w:r>
            <w:r>
              <w:rPr>
                <w:rFonts w:hint="eastAsia" w:asciiTheme="minorEastAsia" w:hAnsiTheme="minorEastAsia" w:eastAsiaTheme="minorEastAsia" w:cstheme="minorEastAsia"/>
                <w:color w:val="auto"/>
                <w:szCs w:val="21"/>
                <w:highlight w:val="none"/>
                <w:u w:val="single"/>
                <w:lang w:val="en-US" w:eastAsia="zh-CN"/>
              </w:rPr>
              <w:t>8900</w:t>
            </w:r>
            <w:r>
              <w:rPr>
                <w:rFonts w:hint="eastAsia" w:asciiTheme="minorEastAsia" w:hAnsiTheme="minorEastAsia" w:eastAsiaTheme="minorEastAsia" w:cstheme="minorEastAsia"/>
                <w:color w:val="auto"/>
                <w:szCs w:val="21"/>
                <w:highlight w:val="none"/>
                <w:u w:val="single"/>
              </w:rPr>
              <w:t>万</w:t>
            </w:r>
            <w:r>
              <w:rPr>
                <w:rFonts w:hint="eastAsia" w:asciiTheme="minorEastAsia" w:hAnsiTheme="minorEastAsia" w:eastAsiaTheme="minorEastAsia" w:cstheme="minorEastAsia"/>
                <w:color w:val="auto"/>
                <w:szCs w:val="21"/>
                <w:highlight w:val="none"/>
              </w:rPr>
              <w:t>元计算；本项目监理费率最高限价为</w:t>
            </w:r>
            <w:r>
              <w:rPr>
                <w:rFonts w:hint="eastAsia" w:asciiTheme="minorEastAsia" w:hAnsiTheme="minorEastAsia" w:eastAsiaTheme="minorEastAsia" w:cstheme="minorEastAsia"/>
                <w:color w:val="auto"/>
                <w:szCs w:val="21"/>
                <w:highlight w:val="none"/>
                <w:u w:val="single"/>
              </w:rPr>
              <w:t xml:space="preserve"> 1.</w:t>
            </w:r>
            <w:r>
              <w:rPr>
                <w:rFonts w:hint="eastAsia" w:asciiTheme="minorEastAsia" w:hAnsiTheme="minorEastAsia" w:eastAsiaTheme="minorEastAsia" w:cstheme="minorEastAsia"/>
                <w:color w:val="auto"/>
                <w:szCs w:val="21"/>
                <w:highlight w:val="none"/>
                <w:u w:val="single"/>
                <w:lang w:val="en-US" w:eastAsia="zh-CN"/>
              </w:rPr>
              <w:t>06</w:t>
            </w:r>
            <w:r>
              <w:rPr>
                <w:rFonts w:hint="eastAsia" w:asciiTheme="minorEastAsia" w:hAnsiTheme="minorEastAsia" w:eastAsiaTheme="minorEastAsia" w:cstheme="minorEastAsia"/>
                <w:color w:val="auto"/>
                <w:szCs w:val="21"/>
                <w:highlight w:val="none"/>
                <w:u w:val="single"/>
              </w:rPr>
              <w:t xml:space="preserve"> </w:t>
            </w:r>
            <w:r>
              <w:rPr>
                <w:rFonts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rPr>
              <w:t>，暂定监理费用最高限价为</w:t>
            </w:r>
            <w:r>
              <w:rPr>
                <w:rFonts w:hint="eastAsia" w:eastAsia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94.50</w:t>
            </w:r>
            <w:r>
              <w:rPr>
                <w:rFonts w:hint="eastAsia" w:eastAsiaTheme="minorEastAsia"/>
                <w:color w:val="auto"/>
                <w:szCs w:val="21"/>
                <w:highlight w:val="none"/>
                <w:u w:val="single"/>
              </w:rPr>
              <w:t xml:space="preserve"> 万</w:t>
            </w:r>
            <w:r>
              <w:rPr>
                <w:rFonts w:hint="eastAsia" w:asciiTheme="minorEastAsia" w:hAnsiTheme="minorEastAsia" w:eastAsiaTheme="minorEastAsia" w:cstheme="minorEastAsia"/>
                <w:color w:val="auto"/>
                <w:szCs w:val="21"/>
                <w:highlight w:val="none"/>
              </w:rPr>
              <w:t>元；投标报价不得高于最高限价，监理服务费比例百分号前保留小数点后两位数，第三位四舍五入。否则按否决投标处理。</w:t>
            </w:r>
          </w:p>
          <w:p w14:paraId="7EEC95EE">
            <w:pPr>
              <w:spacing w:line="400" w:lineRule="exact"/>
              <w:ind w:firstLine="420" w:firstLineChars="200"/>
              <w:rPr>
                <w:color w:val="auto"/>
                <w:szCs w:val="21"/>
                <w:highlight w:val="none"/>
              </w:rPr>
            </w:pPr>
            <w:r>
              <w:rPr>
                <w:rFonts w:hint="eastAsia" w:asciiTheme="minorEastAsia" w:hAnsiTheme="minorEastAsia" w:eastAsiaTheme="minorEastAsia" w:cstheme="minorEastAsia"/>
                <w:color w:val="auto"/>
                <w:szCs w:val="21"/>
                <w:highlight w:val="none"/>
              </w:rPr>
              <w:t>注：评标委员会发现投标人的投标费率明显低于其他投标投标费率，使得其投标费率可能低于其个别成本的，应要求该投标人作出书面说明并提供相应的证明材料。投标人不能合理说明或不能提供相应证明材料的，评标委员会应认定该投标人以低</w:t>
            </w:r>
            <w:r>
              <w:rPr>
                <w:rFonts w:hint="eastAsia"/>
                <w:color w:val="auto"/>
                <w:highlight w:val="none"/>
              </w:rPr>
              <w:t>于成本报价竞标，并否决其投标。</w:t>
            </w:r>
          </w:p>
        </w:tc>
      </w:tr>
      <w:tr w14:paraId="66D6D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351454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964" w:type="dxa"/>
            <w:vAlign w:val="center"/>
          </w:tcPr>
          <w:p w14:paraId="5C3B05E2">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竞选报价</w:t>
            </w:r>
          </w:p>
        </w:tc>
        <w:tc>
          <w:tcPr>
            <w:tcW w:w="6372" w:type="dxa"/>
            <w:vAlign w:val="center"/>
          </w:tcPr>
          <w:p w14:paraId="35C0E9E9">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竞选人的竞选报价为完成本次比选确定的监理范围和监理工作内容所需的全部费用（含施工准备阶段、施工阶段及缺陷责任期）。具体包括为实施和完成本项目全部监理工作所需的劳务费、技术服务费、设备的使用和管理、检测和试验费用、办公家具、办公设施、通讯工具、通讯费用、生活用房、生活设施及生活费用、交通工具、保险、税费、利润及协调费等实施工程监理所产生的一切费用。比选人除此以外不支付其它费用，竞选人也不得与本项目的承包人发生任何经济关系。</w:t>
            </w:r>
          </w:p>
          <w:p w14:paraId="7FA5D66C">
            <w:pPr>
              <w:spacing w:line="400" w:lineRule="exact"/>
              <w:ind w:firstLine="420" w:firstLineChars="200"/>
              <w:rPr>
                <w:color w:val="auto"/>
                <w:highlight w:val="none"/>
              </w:rPr>
            </w:pPr>
            <w:r>
              <w:rPr>
                <w:rFonts w:ascii="宋体" w:hAnsi="宋体"/>
                <w:color w:val="auto"/>
                <w:kern w:val="0"/>
                <w:szCs w:val="21"/>
                <w:highlight w:val="none"/>
              </w:rPr>
              <w:t>竞选人的监理报酬包含监理机构按相关规范及要求利用必要的检查、检测手段或委托专业实验单位在监理单位自检的基础上，按比例独立进行平行抽检的相关费用及相应的试验检测费。</w:t>
            </w:r>
          </w:p>
          <w:p w14:paraId="2AC10B98">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hint="eastAsia" w:asciiTheme="minorEastAsia" w:hAnsiTheme="minorEastAsia" w:eastAsiaTheme="minorEastAsia" w:cstheme="minorEastAsia"/>
                <w:color w:val="auto"/>
                <w:szCs w:val="21"/>
                <w:highlight w:val="none"/>
              </w:rPr>
              <w:t xml:space="preserve"> 监理费竞选报价包括在施工准备阶段、施工阶段及完工验收、</w:t>
            </w:r>
            <w:r>
              <w:rPr>
                <w:rFonts w:hint="eastAsia" w:ascii="宋体" w:hAnsi="宋体"/>
                <w:color w:val="auto"/>
                <w:kern w:val="0"/>
                <w:szCs w:val="21"/>
                <w:highlight w:val="none"/>
              </w:rPr>
              <w:t>竣工验收、办理</w:t>
            </w:r>
            <w:r>
              <w:rPr>
                <w:rFonts w:hint="eastAsia" w:asciiTheme="minorEastAsia" w:hAnsiTheme="minorEastAsia" w:eastAsiaTheme="minorEastAsia" w:cstheme="minorEastAsia"/>
                <w:color w:val="auto"/>
                <w:szCs w:val="21"/>
                <w:highlight w:val="none"/>
              </w:rPr>
              <w:t>结算、缺陷责任期（含配合审计工作）期间的总费用。在监理服务合同有效期内无论物价变动、国家或地方政府的法律法规的变动，均不增减监理费。</w:t>
            </w:r>
            <w:r>
              <w:rPr>
                <w:rFonts w:asciiTheme="minorEastAsia" w:hAnsiTheme="minorEastAsia" w:eastAsiaTheme="minorEastAsia" w:cstheme="minorEastAsia"/>
                <w:color w:val="auto"/>
                <w:szCs w:val="21"/>
                <w:highlight w:val="none"/>
              </w:rPr>
              <w:t>非监理人的原因导致工程延期</w:t>
            </w:r>
            <w:r>
              <w:rPr>
                <w:rFonts w:hint="eastAsia"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rPr>
              <w:t>监理合同</w:t>
            </w:r>
            <w:r>
              <w:rPr>
                <w:rFonts w:hint="eastAsia" w:asciiTheme="minorEastAsia" w:hAnsiTheme="minorEastAsia" w:eastAsiaTheme="minorEastAsia" w:cstheme="minorEastAsia"/>
                <w:color w:val="auto"/>
                <w:szCs w:val="21"/>
                <w:highlight w:val="none"/>
              </w:rPr>
              <w:t>相</w:t>
            </w:r>
            <w:r>
              <w:rPr>
                <w:rFonts w:asciiTheme="minorEastAsia" w:hAnsiTheme="minorEastAsia" w:eastAsiaTheme="minorEastAsia" w:cstheme="minorEastAsia"/>
                <w:color w:val="auto"/>
                <w:szCs w:val="21"/>
                <w:highlight w:val="none"/>
              </w:rPr>
              <w:t>应延期</w:t>
            </w:r>
            <w:r>
              <w:rPr>
                <w:rFonts w:hint="eastAsia"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rPr>
              <w:t>延期的监理报酬计算方式：</w:t>
            </w:r>
            <w:r>
              <w:rPr>
                <w:rFonts w:hint="eastAsia" w:asciiTheme="minorEastAsia" w:hAnsiTheme="minorEastAsia" w:eastAsiaTheme="minorEastAsia" w:cstheme="minorEastAsia"/>
                <w:color w:val="auto"/>
                <w:szCs w:val="21"/>
                <w:highlight w:val="none"/>
                <w:u w:val="single"/>
              </w:rPr>
              <w:t xml:space="preserve">不调整 </w:t>
            </w:r>
            <w:r>
              <w:rPr>
                <w:rFonts w:hint="eastAsia" w:ascii="宋体" w:hAnsi="宋体"/>
                <w:color w:val="auto"/>
                <w:kern w:val="0"/>
                <w:szCs w:val="21"/>
                <w:highlight w:val="none"/>
              </w:rPr>
              <w:t>。</w:t>
            </w:r>
          </w:p>
          <w:p w14:paraId="3E0C7B06">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3.结算原则</w:t>
            </w:r>
          </w:p>
          <w:p w14:paraId="1EE37770">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本项目监理服务费结算价=工程监理收费基价（按项目最终结算审定金额计取）×中标固定费率。</w:t>
            </w:r>
          </w:p>
        </w:tc>
      </w:tr>
      <w:tr w14:paraId="4B986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57F8E3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3.3.1</w:t>
            </w:r>
          </w:p>
        </w:tc>
        <w:tc>
          <w:tcPr>
            <w:tcW w:w="1964" w:type="dxa"/>
            <w:vAlign w:val="center"/>
          </w:tcPr>
          <w:p w14:paraId="4AA2EA3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比选有效期</w:t>
            </w:r>
          </w:p>
        </w:tc>
        <w:tc>
          <w:tcPr>
            <w:tcW w:w="6372" w:type="dxa"/>
            <w:vAlign w:val="center"/>
          </w:tcPr>
          <w:p w14:paraId="010D356D">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90</w:t>
            </w:r>
            <w:r>
              <w:rPr>
                <w:rFonts w:hint="eastAsia" w:ascii="宋体" w:hAnsi="宋体" w:cs="宋体"/>
                <w:color w:val="auto"/>
                <w:szCs w:val="21"/>
                <w:highlight w:val="none"/>
              </w:rPr>
              <w:t>日历天（从提交竞选文件截止日起计算）</w:t>
            </w:r>
          </w:p>
        </w:tc>
      </w:tr>
      <w:tr w14:paraId="56F23F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A31C5A6">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1964" w:type="dxa"/>
            <w:vAlign w:val="center"/>
          </w:tcPr>
          <w:p w14:paraId="195A5A7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比选保证金</w:t>
            </w:r>
          </w:p>
        </w:tc>
        <w:tc>
          <w:tcPr>
            <w:tcW w:w="6372" w:type="dxa"/>
            <w:vAlign w:val="center"/>
          </w:tcPr>
          <w:p w14:paraId="602575AC">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投标保证金的交纳方式：投标人可选择以下二种方式之一。</w:t>
            </w:r>
          </w:p>
          <w:p w14:paraId="370E8DA8">
            <w:pPr>
              <w:snapToGrid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方式一</w:t>
            </w:r>
          </w:p>
          <w:p w14:paraId="6DADBA85">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一、以转账支票或电汇形式交纳投标保证金</w:t>
            </w:r>
          </w:p>
          <w:p w14:paraId="4712191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 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s="宋体"/>
                <w:color w:val="auto"/>
                <w:kern w:val="0"/>
                <w:szCs w:val="21"/>
                <w:highlight w:val="none"/>
              </w:rPr>
              <w:t>不满足上述要求的投标保证金无效。</w:t>
            </w:r>
          </w:p>
          <w:p w14:paraId="4A8C9E49">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投标人自行考虑汇入时间风险，如同城汇入、异地汇入、跨行汇入的时间要求。</w:t>
            </w:r>
          </w:p>
          <w:p w14:paraId="1C863371">
            <w:pPr>
              <w:numPr>
                <w:ilvl w:val="0"/>
                <w:numId w:val="2"/>
              </w:num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以转账支票或电汇形式提交投标保证金的金额：</w:t>
            </w:r>
            <w:r>
              <w:rPr>
                <w:rFonts w:hint="eastAsia" w:ascii="宋体" w:hAnsi="宋体" w:cs="宋体"/>
                <w:color w:val="auto"/>
                <w:highlight w:val="none"/>
                <w:u w:val="single"/>
              </w:rPr>
              <w:t>4000</w:t>
            </w:r>
            <w:r>
              <w:rPr>
                <w:rFonts w:ascii="宋体" w:hAnsi="宋体" w:cs="宋体"/>
                <w:color w:val="auto"/>
                <w:highlight w:val="none"/>
                <w:u w:val="single"/>
              </w:rPr>
              <w:t>.00</w:t>
            </w:r>
            <w:r>
              <w:rPr>
                <w:rFonts w:hint="eastAsia" w:ascii="宋体" w:hAnsi="宋体" w:cs="宋体"/>
                <w:color w:val="auto"/>
                <w:highlight w:val="none"/>
              </w:rPr>
              <w:t>元整（人民币）。</w:t>
            </w:r>
          </w:p>
          <w:p w14:paraId="6AF6797D">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3. 投标保证金账户及账号：</w:t>
            </w:r>
          </w:p>
          <w:p w14:paraId="213A86FE">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开户名：中资（重庆）工程咨询有限公司</w:t>
            </w:r>
          </w:p>
          <w:p w14:paraId="47B485D8">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开户行：中国银行股份有限公司重庆空港支行</w:t>
            </w:r>
          </w:p>
          <w:p w14:paraId="5BE44A2B">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帐  号：108885534992</w:t>
            </w:r>
          </w:p>
          <w:p w14:paraId="6AABC7E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投标保证金以开标现场展示的保证金交纳情况为准。投标人须在投标文件资格审查部分</w:t>
            </w:r>
            <w:r>
              <w:rPr>
                <w:rFonts w:hint="eastAsia" w:ascii="宋体" w:hAnsi="宋体" w:cs="宋体"/>
                <w:color w:val="auto"/>
                <w:kern w:val="0"/>
                <w:szCs w:val="21"/>
                <w:highlight w:val="none"/>
              </w:rPr>
              <w:t>“其他资料”中</w:t>
            </w:r>
            <w:r>
              <w:rPr>
                <w:rFonts w:hint="eastAsia" w:ascii="宋体" w:hAnsi="宋体" w:cs="宋体"/>
                <w:color w:val="auto"/>
                <w:highlight w:val="none"/>
              </w:rPr>
              <w:t>提供企业基本账户开户证明文件。</w:t>
            </w:r>
          </w:p>
          <w:p w14:paraId="27159DC5">
            <w:pPr>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4. 投标人必须在付款凭证备注栏中注明是“</w:t>
            </w:r>
            <w:r>
              <w:rPr>
                <w:rFonts w:hint="eastAsia" w:ascii="宋体" w:hAnsi="宋体" w:cs="宋体"/>
                <w:color w:val="auto"/>
                <w:highlight w:val="none"/>
                <w:u w:val="single"/>
                <w:lang w:eastAsia="zh-CN"/>
              </w:rPr>
              <w:t>南岸区弹子石片区居民共有产权雨水管网改造工程监理</w:t>
            </w:r>
            <w:r>
              <w:rPr>
                <w:rFonts w:hint="eastAsia" w:ascii="宋体" w:hAnsi="宋体" w:cs="宋体"/>
                <w:color w:val="auto"/>
                <w:highlight w:val="none"/>
              </w:rPr>
              <w:t>项目投标保证金”。项目名称可简写成：</w:t>
            </w:r>
            <w:r>
              <w:rPr>
                <w:rFonts w:hint="eastAsia" w:ascii="宋体" w:hAnsi="宋体" w:cs="宋体"/>
                <w:color w:val="auto"/>
                <w:highlight w:val="none"/>
                <w:u w:val="single"/>
                <w:lang w:eastAsia="zh-CN"/>
              </w:rPr>
              <w:t>弹子石共有产权雨水管网工程监理</w:t>
            </w:r>
            <w:r>
              <w:rPr>
                <w:rFonts w:hint="eastAsia" w:ascii="宋体" w:hAnsi="宋体" w:cs="宋体"/>
                <w:color w:val="auto"/>
                <w:highlight w:val="none"/>
              </w:rPr>
              <w:t>。</w:t>
            </w:r>
          </w:p>
          <w:p w14:paraId="59763ED8">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5. 投标保证金有效期与投标有效期一致。</w:t>
            </w:r>
          </w:p>
          <w:p w14:paraId="6129CFDC">
            <w:pPr>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6. 评标过程中由评标委员会根据投标人在投标文件中提供的企业基本账户开户证明文件核实其投标保证金是否由基本账户转入，未从基本账户转入的，由评标委员会作否决投标处理。</w:t>
            </w:r>
          </w:p>
          <w:p w14:paraId="01B9983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二、投标保证金的退还</w:t>
            </w:r>
          </w:p>
          <w:p w14:paraId="0B40138E">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招标人应当在法定时间内确定中标人。招标人应当在中标通知书发出后2个工作日内退还。</w:t>
            </w:r>
          </w:p>
          <w:p w14:paraId="47421062">
            <w:pPr>
              <w:snapToGrid w:val="0"/>
              <w:spacing w:line="400" w:lineRule="exact"/>
              <w:ind w:firstLine="420" w:firstLineChars="200"/>
              <w:rPr>
                <w:rFonts w:ascii="宋体" w:hAnsi="宋体" w:cs="宋体"/>
                <w:bCs/>
                <w:color w:val="auto"/>
                <w:kern w:val="0"/>
                <w:szCs w:val="21"/>
                <w:highlight w:val="none"/>
              </w:rPr>
            </w:pPr>
            <w:r>
              <w:rPr>
                <w:rFonts w:hint="eastAsia" w:ascii="宋体" w:hAnsi="宋体" w:cs="宋体"/>
                <w:color w:val="auto"/>
                <w:highlight w:val="none"/>
              </w:rPr>
              <w:t>招标人应当在法定时间内和中标人签订合同。招标人应当在合同生效后2个工作日内退还。</w:t>
            </w:r>
          </w:p>
          <w:p w14:paraId="37095C16">
            <w:pPr>
              <w:snapToGrid w:val="0"/>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方式二</w:t>
            </w:r>
          </w:p>
          <w:p w14:paraId="5551CCF2">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一、以纸质投标保函形式交纳投标保证金</w:t>
            </w:r>
          </w:p>
          <w:p w14:paraId="084BCAD8">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 纸质投标保函交纳形式及要求：</w:t>
            </w:r>
          </w:p>
          <w:p w14:paraId="76ADE1D6">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（1）缴纳形式：纸质投标保函包括银行保函、保证保险和担保保函，其示范文本详见第八章投标文件格式。投标人提交的纸质投标保函应严格执行其示范文本，不得对示范文本中的实质性内容进行修改。</w:t>
            </w:r>
          </w:p>
          <w:p w14:paraId="7579B66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14:paraId="6B7807A0">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投标人须在投标文件资格审查部分“其他资料”中提供纸质投标保函扫描件，纸质投标保函原件应当于投标截止时间前在开标现场递交招标人保管。</w:t>
            </w:r>
          </w:p>
          <w:p w14:paraId="13AFA54B">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若投标截止时间延期，则纸质投标保函递交的截止时间和投标截止时间保持一致。</w:t>
            </w:r>
          </w:p>
          <w:p w14:paraId="5EBBF414">
            <w:pPr>
              <w:snapToGrid w:val="0"/>
              <w:spacing w:line="400" w:lineRule="exact"/>
              <w:ind w:firstLine="420" w:firstLineChars="200"/>
              <w:rPr>
                <w:rFonts w:ascii="宋体" w:hAnsi="宋体" w:cs="宋体"/>
                <w:color w:val="auto"/>
                <w:highlight w:val="none"/>
              </w:rPr>
            </w:pPr>
            <w:r>
              <w:rPr>
                <w:rFonts w:hint="eastAsia" w:ascii="宋体" w:hAnsi="宋体" w:cs="宋体"/>
                <w:color w:val="auto"/>
                <w:kern w:val="0"/>
                <w:szCs w:val="21"/>
                <w:highlight w:val="none"/>
              </w:rPr>
              <w:t>不满足上述要求的纸质投标保函无效。</w:t>
            </w:r>
          </w:p>
          <w:p w14:paraId="57220276">
            <w:pPr>
              <w:numPr>
                <w:ilvl w:val="0"/>
                <w:numId w:val="2"/>
              </w:num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以纸质投标保函形式担保的投标保证金的金额</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4000</w:t>
            </w:r>
            <w:r>
              <w:rPr>
                <w:rFonts w:ascii="宋体" w:hAnsi="宋体" w:cs="宋体"/>
                <w:color w:val="auto"/>
                <w:kern w:val="0"/>
                <w:szCs w:val="21"/>
                <w:highlight w:val="none"/>
                <w:u w:val="single"/>
              </w:rPr>
              <w:t>.00</w:t>
            </w:r>
            <w:r>
              <w:rPr>
                <w:rFonts w:hint="eastAsia" w:ascii="宋体" w:hAnsi="宋体" w:cs="宋体"/>
                <w:color w:val="auto"/>
                <w:kern w:val="0"/>
                <w:szCs w:val="21"/>
                <w:highlight w:val="none"/>
              </w:rPr>
              <w:t>元整（人民币）</w:t>
            </w:r>
            <w:r>
              <w:rPr>
                <w:rFonts w:hint="eastAsia" w:ascii="宋体" w:hAnsi="宋体" w:cs="宋体"/>
                <w:color w:val="auto"/>
                <w:highlight w:val="none"/>
              </w:rPr>
              <w:t>。</w:t>
            </w:r>
          </w:p>
          <w:p w14:paraId="308CA59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 投标人须</w:t>
            </w:r>
            <w:r>
              <w:rPr>
                <w:rFonts w:hint="eastAsia" w:ascii="宋体" w:hAnsi="宋体" w:cs="宋体"/>
                <w:color w:val="auto"/>
                <w:highlight w:val="none"/>
              </w:rPr>
              <w:t>在</w:t>
            </w:r>
            <w:r>
              <w:rPr>
                <w:rFonts w:hint="eastAsia" w:ascii="宋体" w:hAnsi="宋体" w:cs="宋体"/>
                <w:color w:val="auto"/>
                <w:kern w:val="0"/>
                <w:szCs w:val="21"/>
                <w:highlight w:val="none"/>
              </w:rPr>
              <w:t>纸质投标保函中注明在重庆市辖区范围内的核验地址和核验方式，并确保其递交的纸质投标保函能在开立人在渝的总部或者分支机构进行核验。</w:t>
            </w:r>
          </w:p>
          <w:p w14:paraId="176DDC0D">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 投标人在开标现场递交的纸质投标保函原件应与投标文件中提供的纸质投标保函扫描件一致，否则由评标委员会作否决投标处理。</w:t>
            </w:r>
          </w:p>
          <w:p w14:paraId="6C1BF2F8">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cs="宋体"/>
                <w:color w:val="auto"/>
                <w:szCs w:val="21"/>
                <w:highlight w:val="none"/>
              </w:rPr>
              <w:t>已取得中标候选人资格或中标资格的投标人，按相关规定取消中标候选人资格或中标资格</w:t>
            </w:r>
            <w:r>
              <w:rPr>
                <w:rFonts w:hint="eastAsia" w:ascii="宋体" w:hAnsi="宋体" w:cs="宋体"/>
                <w:color w:val="auto"/>
                <w:kern w:val="0"/>
                <w:szCs w:val="21"/>
                <w:highlight w:val="none"/>
              </w:rPr>
              <w:t>，</w:t>
            </w:r>
            <w:r>
              <w:rPr>
                <w:rFonts w:hint="eastAsia" w:ascii="宋体" w:hAnsi="宋体" w:cs="宋体"/>
                <w:color w:val="auto"/>
                <w:szCs w:val="21"/>
                <w:highlight w:val="none"/>
              </w:rPr>
              <w:t>给招标人造成损失的，投标人依法承担赔偿责任。</w:t>
            </w:r>
            <w:r>
              <w:rPr>
                <w:rFonts w:hint="eastAsia" w:ascii="宋体" w:hAnsi="宋体" w:cs="宋体"/>
                <w:color w:val="auto"/>
                <w:kern w:val="0"/>
                <w:szCs w:val="21"/>
                <w:highlight w:val="none"/>
              </w:rPr>
              <w:t>投标人提交的纸质投标</w:t>
            </w:r>
            <w:r>
              <w:rPr>
                <w:rFonts w:hint="eastAsia" w:ascii="宋体" w:hAnsi="宋体" w:cs="宋体"/>
                <w:color w:val="auto"/>
                <w:szCs w:val="21"/>
                <w:highlight w:val="none"/>
              </w:rPr>
              <w:t>保函涉及弄虚作假或其他违法违规情形的，移送相关部门处理</w:t>
            </w:r>
            <w:r>
              <w:rPr>
                <w:rFonts w:hint="eastAsia" w:ascii="宋体" w:hAnsi="宋体" w:cs="宋体"/>
                <w:color w:val="auto"/>
                <w:kern w:val="0"/>
                <w:szCs w:val="21"/>
                <w:highlight w:val="none"/>
              </w:rPr>
              <w:t>。</w:t>
            </w:r>
          </w:p>
          <w:p w14:paraId="6CDD6662">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二、纸质投标保函的退还、注销</w:t>
            </w:r>
          </w:p>
          <w:p w14:paraId="0EB3AE00">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14:paraId="2540F757">
            <w:pPr>
              <w:pStyle w:val="8"/>
              <w:spacing w:after="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招标人应在法定时间内和中标人签订合同，并同时书面通知相关金融机构向中标人和其他中标候选人注销纸质投标保函。具体注销事宜由投标人与金融机构协商。</w:t>
            </w:r>
          </w:p>
        </w:tc>
      </w:tr>
      <w:tr w14:paraId="427A02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BD9B7C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3.5.1</w:t>
            </w:r>
          </w:p>
        </w:tc>
        <w:tc>
          <w:tcPr>
            <w:tcW w:w="1964" w:type="dxa"/>
            <w:vAlign w:val="center"/>
          </w:tcPr>
          <w:p w14:paraId="1C33C612">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资格审查资料</w:t>
            </w:r>
          </w:p>
        </w:tc>
        <w:tc>
          <w:tcPr>
            <w:tcW w:w="6372" w:type="dxa"/>
            <w:vAlign w:val="center"/>
          </w:tcPr>
          <w:p w14:paraId="640552C2">
            <w:pPr>
              <w:snapToGrid w:val="0"/>
              <w:spacing w:after="93" w:afterLines="30"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按1.4.1要求提供</w:t>
            </w:r>
          </w:p>
        </w:tc>
      </w:tr>
      <w:tr w14:paraId="36D05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8F465A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3.5.2</w:t>
            </w:r>
          </w:p>
        </w:tc>
        <w:tc>
          <w:tcPr>
            <w:tcW w:w="1964" w:type="dxa"/>
            <w:vAlign w:val="center"/>
          </w:tcPr>
          <w:p w14:paraId="45945D48">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近年财务状况</w:t>
            </w:r>
          </w:p>
          <w:p w14:paraId="38167DF0">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的年份要求</w:t>
            </w:r>
          </w:p>
        </w:tc>
        <w:tc>
          <w:tcPr>
            <w:tcW w:w="6372" w:type="dxa"/>
            <w:vAlign w:val="center"/>
          </w:tcPr>
          <w:p w14:paraId="445191C2">
            <w:pPr>
              <w:snapToGrid w:val="0"/>
              <w:spacing w:after="93" w:afterLines="30"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按1.4.1要求提供</w:t>
            </w:r>
          </w:p>
        </w:tc>
      </w:tr>
      <w:tr w14:paraId="3E09A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A56FAB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964" w:type="dxa"/>
            <w:vAlign w:val="center"/>
          </w:tcPr>
          <w:p w14:paraId="452F1988">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是否允许递交</w:t>
            </w:r>
          </w:p>
          <w:p w14:paraId="4A404007">
            <w:pPr>
              <w:snapToGrid w:val="0"/>
              <w:spacing w:after="93" w:afterLines="3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备选竞选方案</w:t>
            </w:r>
          </w:p>
        </w:tc>
        <w:tc>
          <w:tcPr>
            <w:tcW w:w="6372" w:type="dxa"/>
            <w:vAlign w:val="center"/>
          </w:tcPr>
          <w:p w14:paraId="55CC3E0E">
            <w:pPr>
              <w:snapToGrid w:val="0"/>
              <w:spacing w:line="400" w:lineRule="exact"/>
              <w:ind w:firstLine="420" w:firstLineChars="200"/>
              <w:rPr>
                <w:rFonts w:ascii="宋体" w:hAnsi="宋体" w:cs="宋体"/>
                <w:color w:val="auto"/>
                <w:kern w:val="0"/>
                <w:szCs w:val="21"/>
                <w:highlight w:val="none"/>
              </w:rPr>
            </w:pPr>
            <w:r>
              <w:rPr>
                <w:rFonts w:hint="eastAsia" w:ascii="MS Gothic" w:hAnsi="MS Gothic" w:eastAsia="MS Gothic" w:cs="MS Gothic"/>
                <w:color w:val="auto"/>
                <w:kern w:val="0"/>
                <w:szCs w:val="21"/>
                <w:highlight w:val="none"/>
              </w:rPr>
              <w:t>☑</w:t>
            </w:r>
            <w:r>
              <w:rPr>
                <w:rFonts w:hint="eastAsia" w:ascii="宋体" w:hAnsi="宋体" w:cs="宋体"/>
                <w:color w:val="auto"/>
                <w:kern w:val="0"/>
                <w:szCs w:val="21"/>
                <w:highlight w:val="none"/>
              </w:rPr>
              <w:t>不允许</w:t>
            </w:r>
          </w:p>
        </w:tc>
      </w:tr>
      <w:tr w14:paraId="032D2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32B50A3">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3.7.3</w:t>
            </w:r>
          </w:p>
        </w:tc>
        <w:tc>
          <w:tcPr>
            <w:tcW w:w="1964" w:type="dxa"/>
            <w:vAlign w:val="center"/>
          </w:tcPr>
          <w:p w14:paraId="231A3DC3">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签字盖章要求</w:t>
            </w:r>
          </w:p>
        </w:tc>
        <w:tc>
          <w:tcPr>
            <w:tcW w:w="6372" w:type="dxa"/>
            <w:vAlign w:val="center"/>
          </w:tcPr>
          <w:p w14:paraId="0E0C5C33">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选文件应用不褪色的材料书写或打印，并由竞选人的法定代表人或其委托代理人在比选文件规定的位置按比选文件要求签字或盖章、盖单位公章。委托代理人签字的，竞选文件应附法定代表人签署的授权委托书。竞选文件应尽量避免涂改、行间插字或删除。如果出现上述情况，改动之处应加盖单位公章或由竞选人的法定代表人或其授权的代理人签字确认。</w:t>
            </w:r>
          </w:p>
          <w:p w14:paraId="0D644F0C">
            <w:pPr>
              <w:snapToGrid w:val="0"/>
              <w:spacing w:line="400" w:lineRule="exact"/>
              <w:ind w:firstLine="420" w:firstLineChars="200"/>
              <w:rPr>
                <w:rFonts w:ascii="宋体" w:hAnsi="宋体" w:cs="宋体"/>
                <w:i/>
                <w:color w:val="auto"/>
                <w:szCs w:val="21"/>
                <w:highlight w:val="none"/>
              </w:rPr>
            </w:pPr>
            <w:r>
              <w:rPr>
                <w:rFonts w:hint="eastAsia" w:ascii="宋体" w:hAnsi="宋体" w:cs="宋体"/>
                <w:color w:val="auto"/>
                <w:szCs w:val="21"/>
                <w:highlight w:val="none"/>
              </w:rPr>
              <w:t>未按上述规定执行的，交由评选委员会作否决竞选处理。</w:t>
            </w:r>
          </w:p>
        </w:tc>
      </w:tr>
      <w:tr w14:paraId="254117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DD84DA9">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3.7.4</w:t>
            </w:r>
          </w:p>
        </w:tc>
        <w:tc>
          <w:tcPr>
            <w:tcW w:w="1964" w:type="dxa"/>
            <w:vAlign w:val="center"/>
          </w:tcPr>
          <w:p w14:paraId="3C9D1959">
            <w:pPr>
              <w:snapToGrid w:val="0"/>
              <w:spacing w:line="400" w:lineRule="exac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竞选文件的份数</w:t>
            </w:r>
          </w:p>
        </w:tc>
        <w:tc>
          <w:tcPr>
            <w:tcW w:w="6372" w:type="dxa"/>
            <w:vAlign w:val="center"/>
          </w:tcPr>
          <w:p w14:paraId="0C7D3E63">
            <w:pPr>
              <w:pStyle w:val="46"/>
              <w:snapToGrid w:val="0"/>
              <w:spacing w:before="105" w:line="400" w:lineRule="exact"/>
              <w:ind w:right="74" w:firstLine="420" w:firstLineChars="200"/>
              <w:rPr>
                <w:rFonts w:cs="宋体"/>
                <w:color w:val="auto"/>
                <w:kern w:val="0"/>
                <w:szCs w:val="21"/>
                <w:highlight w:val="none"/>
              </w:rPr>
            </w:pPr>
            <w:r>
              <w:rPr>
                <w:rStyle w:val="47"/>
                <w:rFonts w:hint="eastAsia"/>
                <w:color w:val="auto"/>
                <w:highlight w:val="none"/>
              </w:rPr>
              <w:t>竞选文件</w:t>
            </w:r>
            <w:r>
              <w:rPr>
                <w:rStyle w:val="47"/>
                <w:color w:val="auto"/>
                <w:highlight w:val="none"/>
              </w:rPr>
              <w:t>正本</w:t>
            </w:r>
            <w:r>
              <w:rPr>
                <w:rStyle w:val="47"/>
                <w:rFonts w:hint="eastAsia"/>
                <w:color w:val="auto"/>
                <w:highlight w:val="none"/>
              </w:rPr>
              <w:t>一</w:t>
            </w:r>
            <w:r>
              <w:rPr>
                <w:rStyle w:val="47"/>
                <w:color w:val="auto"/>
                <w:highlight w:val="none"/>
              </w:rPr>
              <w:t>份</w:t>
            </w:r>
            <w:r>
              <w:rPr>
                <w:rStyle w:val="47"/>
                <w:rFonts w:hint="eastAsia"/>
                <w:color w:val="auto"/>
                <w:highlight w:val="none"/>
              </w:rPr>
              <w:t>，副本</w:t>
            </w:r>
            <w:r>
              <w:rPr>
                <w:rStyle w:val="47"/>
                <w:rFonts w:hint="eastAsia"/>
                <w:color w:val="auto"/>
                <w:highlight w:val="none"/>
                <w:lang w:val="en-US"/>
              </w:rPr>
              <w:t>2份，</w:t>
            </w:r>
            <w:r>
              <w:rPr>
                <w:rStyle w:val="47"/>
                <w:color w:val="auto"/>
                <w:highlight w:val="none"/>
              </w:rPr>
              <w:t>电子文档（U盘</w:t>
            </w:r>
            <w:r>
              <w:rPr>
                <w:rStyle w:val="47"/>
                <w:rFonts w:hint="eastAsia"/>
                <w:color w:val="auto"/>
                <w:highlight w:val="none"/>
              </w:rPr>
              <w:t>为载体）</w:t>
            </w:r>
            <w:r>
              <w:rPr>
                <w:rStyle w:val="47"/>
                <w:color w:val="auto"/>
                <w:highlight w:val="none"/>
              </w:rPr>
              <w:t>1</w:t>
            </w:r>
            <w:r>
              <w:rPr>
                <w:rStyle w:val="47"/>
                <w:rFonts w:hint="eastAsia"/>
                <w:color w:val="auto"/>
                <w:highlight w:val="none"/>
              </w:rPr>
              <w:t>个</w:t>
            </w:r>
            <w:r>
              <w:rPr>
                <w:rStyle w:val="47"/>
                <w:color w:val="auto"/>
                <w:highlight w:val="none"/>
              </w:rPr>
              <w:t>，包含</w:t>
            </w:r>
            <w:r>
              <w:rPr>
                <w:rStyle w:val="47"/>
                <w:rFonts w:hint="eastAsia"/>
                <w:color w:val="auto"/>
                <w:highlight w:val="none"/>
              </w:rPr>
              <w:t>竞选函</w:t>
            </w:r>
            <w:r>
              <w:rPr>
                <w:rStyle w:val="47"/>
                <w:color w:val="auto"/>
                <w:highlight w:val="none"/>
              </w:rPr>
              <w:t>部分、资格审查部分、技术部分的所有资料的电子版，U盘需标明项目名称、</w:t>
            </w:r>
            <w:r>
              <w:rPr>
                <w:rStyle w:val="47"/>
                <w:rFonts w:hint="eastAsia"/>
                <w:color w:val="auto"/>
                <w:highlight w:val="none"/>
              </w:rPr>
              <w:t>竞选单位</w:t>
            </w:r>
            <w:r>
              <w:rPr>
                <w:rStyle w:val="47"/>
                <w:color w:val="auto"/>
                <w:highlight w:val="none"/>
              </w:rPr>
              <w:t>名称并加盖公章），装入</w:t>
            </w:r>
            <w:r>
              <w:rPr>
                <w:rStyle w:val="47"/>
                <w:rFonts w:hint="eastAsia"/>
                <w:color w:val="auto"/>
                <w:highlight w:val="none"/>
              </w:rPr>
              <w:t>竞选函</w:t>
            </w:r>
            <w:r>
              <w:rPr>
                <w:rStyle w:val="47"/>
                <w:color w:val="auto"/>
                <w:highlight w:val="none"/>
              </w:rPr>
              <w:t>袋中提交。</w:t>
            </w:r>
          </w:p>
        </w:tc>
      </w:tr>
      <w:tr w14:paraId="1ECA0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9B71BD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3.7.5</w:t>
            </w:r>
          </w:p>
        </w:tc>
        <w:tc>
          <w:tcPr>
            <w:tcW w:w="1964" w:type="dxa"/>
            <w:vAlign w:val="center"/>
          </w:tcPr>
          <w:p w14:paraId="2F593316">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装订要求</w:t>
            </w:r>
          </w:p>
        </w:tc>
        <w:tc>
          <w:tcPr>
            <w:tcW w:w="6372" w:type="dxa"/>
            <w:vAlign w:val="center"/>
          </w:tcPr>
          <w:p w14:paraId="2AD545E5">
            <w:pPr>
              <w:adjustRightInd w:val="0"/>
              <w:snapToGrid w:val="0"/>
              <w:spacing w:line="360" w:lineRule="auto"/>
              <w:ind w:firstLine="420" w:firstLineChars="200"/>
              <w:rPr>
                <w:color w:val="auto"/>
                <w:highlight w:val="none"/>
              </w:rPr>
            </w:pPr>
            <w:r>
              <w:rPr>
                <w:rFonts w:hint="eastAsia"/>
                <w:color w:val="auto"/>
                <w:highlight w:val="none"/>
              </w:rPr>
              <w:t>1、资格审查资料、竞选函部分、技术部分资料各自分别装订成册。</w:t>
            </w:r>
          </w:p>
          <w:p w14:paraId="68E5B32C">
            <w:pPr>
              <w:adjustRightInd w:val="0"/>
              <w:snapToGrid w:val="0"/>
              <w:spacing w:line="360" w:lineRule="auto"/>
              <w:ind w:firstLine="420" w:firstLineChars="200"/>
              <w:rPr>
                <w:color w:val="auto"/>
                <w:highlight w:val="none"/>
              </w:rPr>
            </w:pPr>
            <w:r>
              <w:rPr>
                <w:rFonts w:hint="eastAsia"/>
                <w:color w:val="auto"/>
                <w:highlight w:val="none"/>
              </w:rPr>
              <w:t>2、装订</w:t>
            </w:r>
          </w:p>
          <w:p w14:paraId="5BDC8824">
            <w:pPr>
              <w:adjustRightInd w:val="0"/>
              <w:snapToGrid w:val="0"/>
              <w:spacing w:line="360" w:lineRule="auto"/>
              <w:ind w:firstLine="420" w:firstLineChars="200"/>
              <w:rPr>
                <w:color w:val="auto"/>
                <w:highlight w:val="none"/>
              </w:rPr>
            </w:pPr>
            <w:r>
              <w:rPr>
                <w:rFonts w:hint="eastAsia"/>
                <w:color w:val="auto"/>
                <w:highlight w:val="none"/>
              </w:rPr>
              <w:t>（1）资格审查资料的装订要求</w:t>
            </w:r>
          </w:p>
          <w:p w14:paraId="54F8FE35">
            <w:pPr>
              <w:adjustRightInd w:val="0"/>
              <w:snapToGrid w:val="0"/>
              <w:spacing w:line="360" w:lineRule="auto"/>
              <w:ind w:firstLine="420" w:firstLineChars="200"/>
              <w:rPr>
                <w:color w:val="auto"/>
                <w:highlight w:val="none"/>
              </w:rPr>
            </w:pPr>
            <w:r>
              <w:rPr>
                <w:rFonts w:hint="eastAsia"/>
                <w:color w:val="auto"/>
                <w:highlight w:val="none"/>
              </w:rPr>
              <w:t>按照第五章规定格式装订成册。</w:t>
            </w:r>
          </w:p>
          <w:p w14:paraId="37CF7A46">
            <w:pPr>
              <w:adjustRightInd w:val="0"/>
              <w:snapToGrid w:val="0"/>
              <w:spacing w:line="360" w:lineRule="auto"/>
              <w:ind w:firstLine="420" w:firstLineChars="200"/>
              <w:rPr>
                <w:color w:val="auto"/>
                <w:highlight w:val="none"/>
              </w:rPr>
            </w:pPr>
            <w:r>
              <w:rPr>
                <w:rFonts w:hint="eastAsia"/>
                <w:color w:val="auto"/>
                <w:highlight w:val="none"/>
              </w:rPr>
              <w:t>（2）竞选函部分资料的装订要求</w:t>
            </w:r>
          </w:p>
          <w:p w14:paraId="5755C416">
            <w:pPr>
              <w:adjustRightInd w:val="0"/>
              <w:snapToGrid w:val="0"/>
              <w:spacing w:line="360" w:lineRule="auto"/>
              <w:ind w:firstLine="420" w:firstLineChars="200"/>
              <w:rPr>
                <w:color w:val="auto"/>
                <w:highlight w:val="none"/>
              </w:rPr>
            </w:pPr>
            <w:r>
              <w:rPr>
                <w:rFonts w:hint="eastAsia"/>
                <w:color w:val="auto"/>
                <w:highlight w:val="none"/>
              </w:rPr>
              <w:t>按照第五章规定格式装订成册。</w:t>
            </w:r>
          </w:p>
          <w:p w14:paraId="77CDCD6C">
            <w:pPr>
              <w:numPr>
                <w:ilvl w:val="0"/>
                <w:numId w:val="3"/>
              </w:numPr>
              <w:snapToGrid w:val="0"/>
              <w:spacing w:line="360" w:lineRule="auto"/>
              <w:ind w:firstLine="420" w:firstLineChars="200"/>
              <w:rPr>
                <w:color w:val="auto"/>
                <w:highlight w:val="none"/>
              </w:rPr>
            </w:pPr>
            <w:r>
              <w:rPr>
                <w:rFonts w:hint="eastAsia"/>
                <w:color w:val="auto"/>
                <w:highlight w:val="none"/>
              </w:rPr>
              <w:t>技术部分的装订要求</w:t>
            </w:r>
          </w:p>
          <w:p w14:paraId="50FA43D7">
            <w:pPr>
              <w:snapToGrid w:val="0"/>
              <w:spacing w:line="360" w:lineRule="auto"/>
              <w:ind w:firstLine="420" w:firstLineChars="200"/>
              <w:rPr>
                <w:color w:val="auto"/>
                <w:highlight w:val="none"/>
              </w:rPr>
            </w:pPr>
            <w:r>
              <w:rPr>
                <w:rFonts w:hint="eastAsia"/>
                <w:color w:val="auto"/>
                <w:highlight w:val="none"/>
              </w:rPr>
              <w:t>按照第五章规定格式装订成册。(技术部分采用明标评审，原则上不得超过200页)</w:t>
            </w:r>
          </w:p>
        </w:tc>
      </w:tr>
      <w:tr w14:paraId="34514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361327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4.1.1</w:t>
            </w:r>
          </w:p>
        </w:tc>
        <w:tc>
          <w:tcPr>
            <w:tcW w:w="1964" w:type="dxa"/>
            <w:vAlign w:val="center"/>
          </w:tcPr>
          <w:p w14:paraId="7C83E3A9">
            <w:pPr>
              <w:snapToGrid w:val="0"/>
              <w:spacing w:line="40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竞选文件的密封</w:t>
            </w:r>
          </w:p>
        </w:tc>
        <w:tc>
          <w:tcPr>
            <w:tcW w:w="6372" w:type="dxa"/>
            <w:vAlign w:val="center"/>
          </w:tcPr>
          <w:p w14:paraId="72E9ED84">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选文件的正本、副本、电子文档均应密封送达递交地点，应按本表第4.1.2项的规定在封套上写明相应内容。若正本、副本、电子文档分别进行密封的，还应在封套上注明“正本”、“副本”、“电子文档”字样。封套的封口处应加盖竞选人公章或由法定代表人授权代表签字。</w:t>
            </w:r>
          </w:p>
          <w:p w14:paraId="20ACBD0A">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如果未按上述规定进行密封和标记，比选代理机构对竞选文件误投、丢失或提前拆封不负责任。</w:t>
            </w:r>
          </w:p>
        </w:tc>
      </w:tr>
      <w:tr w14:paraId="0B9E9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B4A90C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4.1.2</w:t>
            </w:r>
          </w:p>
        </w:tc>
        <w:tc>
          <w:tcPr>
            <w:tcW w:w="1964" w:type="dxa"/>
            <w:vAlign w:val="center"/>
          </w:tcPr>
          <w:p w14:paraId="268E922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封套上写明</w:t>
            </w:r>
          </w:p>
        </w:tc>
        <w:tc>
          <w:tcPr>
            <w:tcW w:w="6372" w:type="dxa"/>
            <w:vAlign w:val="center"/>
          </w:tcPr>
          <w:p w14:paraId="11BC4036">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应在封套上写明如下内容：</w:t>
            </w:r>
          </w:p>
          <w:p w14:paraId="3B7CBA9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竞选人名称：</w:t>
            </w:r>
          </w:p>
          <w:p w14:paraId="3B715C18">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竞选文件</w:t>
            </w:r>
          </w:p>
          <w:p w14:paraId="0E1142C6">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分前不得开启</w:t>
            </w:r>
          </w:p>
        </w:tc>
      </w:tr>
      <w:tr w14:paraId="5F447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DDFE04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4.2.2</w:t>
            </w:r>
          </w:p>
        </w:tc>
        <w:tc>
          <w:tcPr>
            <w:tcW w:w="1964" w:type="dxa"/>
            <w:vAlign w:val="center"/>
          </w:tcPr>
          <w:p w14:paraId="3DBE879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递交竞选文件地点</w:t>
            </w:r>
          </w:p>
        </w:tc>
        <w:tc>
          <w:tcPr>
            <w:tcW w:w="6372" w:type="dxa"/>
            <w:vAlign w:val="center"/>
          </w:tcPr>
          <w:p w14:paraId="2071636C">
            <w:pPr>
              <w:adjustRightInd w:val="0"/>
              <w:snapToGrid w:val="0"/>
              <w:spacing w:line="400" w:lineRule="exact"/>
              <w:ind w:firstLine="420" w:firstLineChars="200"/>
              <w:rPr>
                <w:rFonts w:ascii="宋体" w:hAnsi="宋体" w:cs="宋体"/>
                <w:bCs/>
                <w:i/>
                <w:color w:val="auto"/>
                <w:szCs w:val="21"/>
                <w:highlight w:val="none"/>
              </w:rPr>
            </w:pPr>
            <w:r>
              <w:rPr>
                <w:rFonts w:hint="eastAsia" w:cs="宋体" w:asciiTheme="minorEastAsia" w:hAnsiTheme="minorEastAsia" w:eastAsiaTheme="minorEastAsia"/>
                <w:color w:val="auto"/>
                <w:szCs w:val="21"/>
                <w:highlight w:val="none"/>
              </w:rPr>
              <w:t>重庆市南岸区行政服务中心B区3号楼</w:t>
            </w:r>
            <w:r>
              <w:rPr>
                <w:rFonts w:hint="eastAsia" w:cs="宋体" w:asciiTheme="minorEastAsia" w:hAnsiTheme="minorEastAsia" w:eastAsiaTheme="minorEastAsia"/>
                <w:color w:val="auto"/>
                <w:szCs w:val="21"/>
                <w:highlight w:val="none"/>
                <w:lang w:val="en-US" w:eastAsia="zh-CN"/>
              </w:rPr>
              <w:t>2012</w:t>
            </w:r>
            <w:r>
              <w:rPr>
                <w:rFonts w:hint="eastAsia" w:cs="宋体" w:asciiTheme="minorEastAsia" w:hAnsiTheme="minorEastAsia" w:eastAsiaTheme="minorEastAsia"/>
                <w:color w:val="auto"/>
                <w:szCs w:val="21"/>
                <w:highlight w:val="none"/>
              </w:rPr>
              <w:t>室</w:t>
            </w:r>
          </w:p>
        </w:tc>
      </w:tr>
      <w:tr w14:paraId="5F048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FFAEC36">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4.2.3</w:t>
            </w:r>
          </w:p>
        </w:tc>
        <w:tc>
          <w:tcPr>
            <w:tcW w:w="1964" w:type="dxa"/>
            <w:vAlign w:val="center"/>
          </w:tcPr>
          <w:p w14:paraId="059AB30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是否退还竞选文件</w:t>
            </w:r>
          </w:p>
        </w:tc>
        <w:tc>
          <w:tcPr>
            <w:tcW w:w="6372" w:type="dxa"/>
            <w:vAlign w:val="center"/>
          </w:tcPr>
          <w:p w14:paraId="380F2074">
            <w:pPr>
              <w:spacing w:line="400" w:lineRule="exact"/>
              <w:ind w:firstLine="210" w:firstLineChars="100"/>
              <w:rPr>
                <w:rFonts w:ascii="宋体" w:hAnsi="宋体" w:cs="宋体"/>
                <w:color w:val="auto"/>
                <w:kern w:val="0"/>
                <w:szCs w:val="21"/>
                <w:highlight w:val="none"/>
              </w:rPr>
            </w:pPr>
            <w:r>
              <w:rPr>
                <w:rFonts w:hint="eastAsia" w:ascii="MS Gothic" w:hAnsi="MS Gothic" w:eastAsia="MS Gothic" w:cs="MS Gothic"/>
                <w:color w:val="auto"/>
                <w:szCs w:val="21"/>
                <w:highlight w:val="none"/>
              </w:rPr>
              <w:t>☑</w:t>
            </w:r>
            <w:r>
              <w:rPr>
                <w:rFonts w:hint="eastAsia" w:ascii="宋体" w:hAnsi="宋体" w:cs="宋体"/>
                <w:color w:val="auto"/>
                <w:szCs w:val="21"/>
                <w:highlight w:val="none"/>
              </w:rPr>
              <w:t>否</w:t>
            </w:r>
          </w:p>
        </w:tc>
      </w:tr>
      <w:tr w14:paraId="15F12A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71389B3">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5.1.1</w:t>
            </w:r>
          </w:p>
        </w:tc>
        <w:tc>
          <w:tcPr>
            <w:tcW w:w="1964" w:type="dxa"/>
            <w:vAlign w:val="center"/>
          </w:tcPr>
          <w:p w14:paraId="2A38C3E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评选时间和地点</w:t>
            </w:r>
          </w:p>
        </w:tc>
        <w:tc>
          <w:tcPr>
            <w:tcW w:w="6372" w:type="dxa"/>
            <w:vAlign w:val="center"/>
          </w:tcPr>
          <w:p w14:paraId="20B99C64">
            <w:pPr>
              <w:snapToGrid w:val="0"/>
              <w:spacing w:line="400" w:lineRule="exact"/>
              <w:ind w:firstLine="420" w:firstLineChars="200"/>
              <w:rPr>
                <w:rFonts w:ascii="宋体" w:hAnsi="宋体" w:cs="宋体"/>
                <w:bCs/>
                <w:i/>
                <w:color w:val="auto"/>
                <w:szCs w:val="21"/>
                <w:highlight w:val="none"/>
              </w:rPr>
            </w:pPr>
            <w:r>
              <w:rPr>
                <w:rFonts w:hint="eastAsia" w:ascii="宋体" w:hAnsi="宋体" w:cs="宋体"/>
                <w:color w:val="auto"/>
                <w:kern w:val="0"/>
                <w:szCs w:val="21"/>
                <w:highlight w:val="none"/>
              </w:rPr>
              <w:t>同竞选文件递交截止时间和地点</w:t>
            </w:r>
          </w:p>
        </w:tc>
      </w:tr>
      <w:tr w14:paraId="0A1EE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70CA7BF">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1964" w:type="dxa"/>
            <w:vAlign w:val="center"/>
          </w:tcPr>
          <w:p w14:paraId="1D8F03B6">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竞选文件开启</w:t>
            </w:r>
          </w:p>
          <w:p w14:paraId="7D5AB626">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及唱标程序</w:t>
            </w:r>
          </w:p>
        </w:tc>
        <w:tc>
          <w:tcPr>
            <w:tcW w:w="6372" w:type="dxa"/>
            <w:vAlign w:val="center"/>
          </w:tcPr>
          <w:p w14:paraId="6BE23336">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62437C7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3F5B15A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512390B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19E9EAB1">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w:t>
            </w:r>
            <w:r>
              <w:rPr>
                <w:rFonts w:hint="eastAsia" w:ascii="宋体" w:hAnsi="宋体"/>
                <w:color w:val="auto"/>
                <w:szCs w:val="21"/>
                <w:highlight w:val="none"/>
              </w:rPr>
              <w:t>竞选截止时间</w:t>
            </w:r>
            <w:r>
              <w:rPr>
                <w:rFonts w:ascii="宋体" w:hAnsi="宋体"/>
                <w:color w:val="auto"/>
                <w:szCs w:val="21"/>
                <w:highlight w:val="none"/>
              </w:rPr>
              <w:t>前递交</w:t>
            </w:r>
            <w:r>
              <w:rPr>
                <w:rFonts w:hint="eastAsia" w:ascii="宋体" w:hAnsi="宋体"/>
                <w:color w:val="auto"/>
                <w:szCs w:val="21"/>
                <w:highlight w:val="none"/>
              </w:rPr>
              <w:t>竞选文件</w:t>
            </w:r>
            <w:r>
              <w:rPr>
                <w:rFonts w:ascii="宋体" w:hAnsi="宋体"/>
                <w:color w:val="auto"/>
                <w:szCs w:val="21"/>
                <w:highlight w:val="none"/>
              </w:rPr>
              <w:t>的</w:t>
            </w:r>
            <w:r>
              <w:rPr>
                <w:rFonts w:hint="eastAsia" w:ascii="宋体" w:hAnsi="宋体"/>
                <w:color w:val="auto"/>
                <w:szCs w:val="21"/>
                <w:highlight w:val="none"/>
              </w:rPr>
              <w:t>竞选人</w:t>
            </w:r>
            <w:r>
              <w:rPr>
                <w:rFonts w:ascii="宋体" w:hAnsi="宋体"/>
                <w:color w:val="auto"/>
                <w:szCs w:val="21"/>
                <w:highlight w:val="none"/>
              </w:rPr>
              <w:t>名称</w:t>
            </w:r>
            <w:r>
              <w:rPr>
                <w:rFonts w:hint="eastAsia" w:ascii="宋体" w:hAnsi="宋体"/>
                <w:color w:val="auto"/>
                <w:szCs w:val="21"/>
                <w:highlight w:val="none"/>
              </w:rPr>
              <w:t>。</w:t>
            </w:r>
          </w:p>
          <w:p w14:paraId="717A60A1">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竞选文件的密封检查：竞选人可对自己的竞选文件封装情况进行检查，以确认其竞选文件密封完好。</w:t>
            </w:r>
          </w:p>
          <w:p w14:paraId="3872EAB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核验投标保证金交纳情况。</w:t>
            </w:r>
          </w:p>
          <w:p w14:paraId="112F8040">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14:paraId="7BD841E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rPr>
              <w:t>竞选文件</w:t>
            </w:r>
            <w:r>
              <w:rPr>
                <w:rFonts w:ascii="宋体" w:hAnsi="宋体"/>
                <w:color w:val="auto"/>
                <w:szCs w:val="21"/>
                <w:highlight w:val="none"/>
              </w:rPr>
              <w:t>。开启</w:t>
            </w:r>
            <w:r>
              <w:rPr>
                <w:rFonts w:hint="eastAsia" w:ascii="宋体" w:hAnsi="宋体"/>
                <w:color w:val="auto"/>
                <w:szCs w:val="21"/>
                <w:highlight w:val="none"/>
              </w:rPr>
              <w:t>竞选文件</w:t>
            </w:r>
            <w:r>
              <w:rPr>
                <w:rFonts w:ascii="宋体" w:hAnsi="宋体"/>
                <w:color w:val="auto"/>
                <w:szCs w:val="21"/>
                <w:highlight w:val="none"/>
              </w:rPr>
              <w:t>大袋及投标函部分袋、技术部分袋</w:t>
            </w:r>
            <w:r>
              <w:rPr>
                <w:rFonts w:hint="eastAsia" w:ascii="宋体" w:hAnsi="宋体"/>
                <w:color w:val="auto"/>
                <w:szCs w:val="21"/>
                <w:highlight w:val="none"/>
              </w:rPr>
              <w:t>、资格审查部分袋</w:t>
            </w:r>
            <w:r>
              <w:rPr>
                <w:rFonts w:ascii="宋体" w:hAnsi="宋体"/>
                <w:color w:val="auto"/>
                <w:szCs w:val="21"/>
                <w:highlight w:val="none"/>
              </w:rPr>
              <w:t>；公布</w:t>
            </w:r>
            <w:r>
              <w:rPr>
                <w:rFonts w:hint="eastAsia" w:ascii="宋体" w:hAnsi="宋体"/>
                <w:color w:val="auto"/>
                <w:szCs w:val="21"/>
                <w:highlight w:val="none"/>
              </w:rPr>
              <w:t>竞选人</w:t>
            </w:r>
            <w:r>
              <w:rPr>
                <w:rFonts w:ascii="宋体" w:hAnsi="宋体"/>
                <w:color w:val="auto"/>
                <w:szCs w:val="21"/>
                <w:highlight w:val="none"/>
              </w:rPr>
              <w:t>名称、投标报价、质量要求、工期及其他内容并记录在案</w:t>
            </w:r>
            <w:r>
              <w:rPr>
                <w:rFonts w:hint="eastAsia" w:ascii="宋体" w:hAnsi="宋体"/>
                <w:color w:val="auto"/>
                <w:szCs w:val="21"/>
                <w:highlight w:val="none"/>
              </w:rPr>
              <w:t>。</w:t>
            </w:r>
          </w:p>
          <w:p w14:paraId="021BBFEB">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 竞选人对开标有异议的，应当场提出，由比选人或代理机构当场答复，并记录到开标记录表中。异议处理完毕后，汇总开标情况，打印开标记录表。</w:t>
            </w:r>
          </w:p>
          <w:p w14:paraId="44EBB61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 xml:space="preserve">. </w:t>
            </w:r>
            <w:r>
              <w:rPr>
                <w:rFonts w:hint="eastAsia" w:ascii="宋体" w:hAnsi="宋体"/>
                <w:color w:val="auto"/>
                <w:szCs w:val="21"/>
                <w:highlight w:val="none"/>
              </w:rPr>
              <w:t>竞选人</w:t>
            </w:r>
            <w:r>
              <w:rPr>
                <w:rFonts w:ascii="宋体" w:hAnsi="宋体"/>
                <w:color w:val="auto"/>
                <w:szCs w:val="21"/>
                <w:highlight w:val="none"/>
              </w:rPr>
              <w:t>代表、</w:t>
            </w:r>
            <w:r>
              <w:rPr>
                <w:rFonts w:hint="eastAsia" w:ascii="宋体" w:hAnsi="宋体"/>
                <w:color w:val="auto"/>
                <w:szCs w:val="21"/>
                <w:highlight w:val="none"/>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7207417A">
            <w:pPr>
              <w:autoSpaceDE w:val="0"/>
              <w:autoSpaceDN w:val="0"/>
              <w:adjustRightInd w:val="0"/>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 开标结束。</w:t>
            </w:r>
          </w:p>
        </w:tc>
      </w:tr>
      <w:tr w14:paraId="4E33B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C4F6CAC">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6.1.1</w:t>
            </w:r>
          </w:p>
        </w:tc>
        <w:tc>
          <w:tcPr>
            <w:tcW w:w="1964" w:type="dxa"/>
            <w:vAlign w:val="center"/>
          </w:tcPr>
          <w:p w14:paraId="68728E4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评选委员会的组建</w:t>
            </w:r>
          </w:p>
        </w:tc>
        <w:tc>
          <w:tcPr>
            <w:tcW w:w="6372" w:type="dxa"/>
            <w:vAlign w:val="center"/>
          </w:tcPr>
          <w:p w14:paraId="5B70803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1、评选委员会构成：</w:t>
            </w:r>
            <w:r>
              <w:rPr>
                <w:rFonts w:ascii="宋体" w:hAnsi="宋体"/>
                <w:color w:val="auto"/>
                <w:szCs w:val="21"/>
                <w:highlight w:val="none"/>
              </w:rPr>
              <w:t>3</w:t>
            </w:r>
            <w:r>
              <w:rPr>
                <w:rFonts w:hint="eastAsia" w:ascii="宋体" w:hAnsi="宋体"/>
                <w:color w:val="auto"/>
                <w:szCs w:val="21"/>
                <w:highlight w:val="none"/>
              </w:rPr>
              <w:t>人。</w:t>
            </w:r>
          </w:p>
          <w:p w14:paraId="41B9050A">
            <w:pPr>
              <w:pStyle w:val="8"/>
              <w:spacing w:line="400" w:lineRule="exact"/>
              <w:ind w:firstLine="420" w:firstLineChars="200"/>
              <w:rPr>
                <w:color w:val="auto"/>
                <w:highlight w:val="none"/>
              </w:rPr>
            </w:pPr>
            <w:r>
              <w:rPr>
                <w:rFonts w:hint="eastAsia" w:ascii="宋体" w:hAnsi="宋体"/>
                <w:color w:val="auto"/>
                <w:szCs w:val="21"/>
                <w:highlight w:val="none"/>
              </w:rPr>
              <w:t>2、评选专家确定方式：由比选人按法律法规及相关规定依法组建评标委员会。</w:t>
            </w:r>
          </w:p>
        </w:tc>
      </w:tr>
      <w:tr w14:paraId="6CF4A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0034D2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7.1</w:t>
            </w:r>
          </w:p>
        </w:tc>
        <w:tc>
          <w:tcPr>
            <w:tcW w:w="1964" w:type="dxa"/>
            <w:vAlign w:val="center"/>
          </w:tcPr>
          <w:p w14:paraId="3465A0B3">
            <w:pPr>
              <w:snapToGrid w:val="0"/>
              <w:spacing w:after="62" w:afterLines="2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是否授权评选委员会确定中选人</w:t>
            </w:r>
          </w:p>
        </w:tc>
        <w:tc>
          <w:tcPr>
            <w:tcW w:w="6372" w:type="dxa"/>
            <w:vAlign w:val="center"/>
          </w:tcPr>
          <w:p w14:paraId="7B307CA8">
            <w:pPr>
              <w:snapToGrid w:val="0"/>
              <w:spacing w:line="400" w:lineRule="exact"/>
              <w:ind w:firstLine="210" w:firstLineChars="100"/>
              <w:rPr>
                <w:rFonts w:ascii="宋体" w:hAnsi="宋体" w:cs="宋体"/>
                <w:i/>
                <w:color w:val="auto"/>
                <w:kern w:val="0"/>
                <w:szCs w:val="21"/>
                <w:highlight w:val="none"/>
              </w:rPr>
            </w:pPr>
            <w:r>
              <w:rPr>
                <w:rFonts w:hint="eastAsia" w:ascii="宋体" w:hAnsi="宋体" w:cs="宋体"/>
                <w:color w:val="auto"/>
                <w:kern w:val="0"/>
                <w:szCs w:val="21"/>
                <w:highlight w:val="none"/>
              </w:rPr>
              <w:t>☑否，</w:t>
            </w:r>
            <w:r>
              <w:rPr>
                <w:rFonts w:ascii="宋体" w:hAnsi="宋体" w:cs="宋体"/>
                <w:color w:val="auto"/>
                <w:szCs w:val="21"/>
                <w:highlight w:val="none"/>
              </w:rPr>
              <w:t>推荐经评审综合得分由高到低排名前三名为</w:t>
            </w:r>
            <w:r>
              <w:rPr>
                <w:rFonts w:hint="eastAsia" w:ascii="宋体" w:hAnsi="宋体" w:cs="宋体"/>
                <w:color w:val="auto"/>
                <w:szCs w:val="21"/>
                <w:highlight w:val="none"/>
              </w:rPr>
              <w:t>中选</w:t>
            </w:r>
            <w:r>
              <w:rPr>
                <w:rFonts w:ascii="宋体" w:hAnsi="宋体" w:cs="宋体"/>
                <w:color w:val="auto"/>
                <w:szCs w:val="21"/>
                <w:highlight w:val="none"/>
              </w:rPr>
              <w:t>候选人</w:t>
            </w:r>
            <w:r>
              <w:rPr>
                <w:rFonts w:hint="eastAsia" w:ascii="宋体" w:hAnsi="宋体" w:cs="宋体"/>
                <w:color w:val="auto"/>
                <w:kern w:val="0"/>
                <w:szCs w:val="21"/>
                <w:highlight w:val="none"/>
              </w:rPr>
              <w:t>。</w:t>
            </w:r>
            <w:r>
              <w:rPr>
                <w:rFonts w:hint="eastAsia" w:ascii="宋体" w:hAnsi="宋体" w:cs="宋体"/>
                <w:i/>
                <w:color w:val="auto"/>
                <w:kern w:val="0"/>
                <w:szCs w:val="21"/>
                <w:highlight w:val="none"/>
              </w:rPr>
              <w:t xml:space="preserve"> </w:t>
            </w:r>
          </w:p>
        </w:tc>
      </w:tr>
      <w:tr w14:paraId="315E2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0A1B5F2">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7.2</w:t>
            </w:r>
          </w:p>
        </w:tc>
        <w:tc>
          <w:tcPr>
            <w:tcW w:w="1964" w:type="dxa"/>
            <w:vAlign w:val="center"/>
          </w:tcPr>
          <w:p w14:paraId="235E5B18">
            <w:pPr>
              <w:snapToGrid w:val="0"/>
              <w:spacing w:after="62" w:afterLines="2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中选结果公告</w:t>
            </w:r>
          </w:p>
        </w:tc>
        <w:tc>
          <w:tcPr>
            <w:tcW w:w="6372" w:type="dxa"/>
            <w:vAlign w:val="center"/>
          </w:tcPr>
          <w:p w14:paraId="0DEDF0A5">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评选结果在“</w:t>
            </w:r>
            <w:r>
              <w:rPr>
                <w:rFonts w:hint="eastAsia" w:ascii="宋体" w:hAnsi="宋体"/>
                <w:snapToGrid w:val="0"/>
                <w:color w:val="auto"/>
                <w:kern w:val="0"/>
                <w:szCs w:val="21"/>
                <w:highlight w:val="none"/>
              </w:rPr>
              <w:t>行采家”网站（https://www.gec123.com/）上</w:t>
            </w:r>
            <w:r>
              <w:rPr>
                <w:rFonts w:hint="eastAsia" w:ascii="宋体" w:hAnsi="宋体" w:cs="宋体"/>
                <w:color w:val="auto"/>
                <w:szCs w:val="21"/>
                <w:highlight w:val="none"/>
              </w:rPr>
              <w:t>进行公告。</w:t>
            </w:r>
          </w:p>
        </w:tc>
      </w:tr>
      <w:tr w14:paraId="37CAE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4339F8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7.3.1</w:t>
            </w:r>
          </w:p>
        </w:tc>
        <w:tc>
          <w:tcPr>
            <w:tcW w:w="1964" w:type="dxa"/>
            <w:vAlign w:val="center"/>
          </w:tcPr>
          <w:p w14:paraId="35D4445B">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履约担保</w:t>
            </w:r>
          </w:p>
        </w:tc>
        <w:tc>
          <w:tcPr>
            <w:tcW w:w="6372" w:type="dxa"/>
            <w:vAlign w:val="center"/>
          </w:tcPr>
          <w:p w14:paraId="40EA63F9">
            <w:pPr>
              <w:snapToGrid w:val="0"/>
              <w:spacing w:after="48" w:line="400" w:lineRule="exact"/>
              <w:ind w:firstLine="420" w:firstLineChars="200"/>
              <w:rPr>
                <w:rStyle w:val="47"/>
                <w:rFonts w:ascii="宋体" w:hAnsi="宋体" w:cs="宋体"/>
                <w:color w:val="auto"/>
                <w:kern w:val="0"/>
                <w:szCs w:val="21"/>
                <w:highlight w:val="none"/>
              </w:rPr>
            </w:pPr>
            <w:r>
              <w:rPr>
                <w:rStyle w:val="47"/>
                <w:rFonts w:hint="eastAsia" w:ascii="宋体" w:hAnsi="宋体" w:cs="宋体"/>
                <w:color w:val="auto"/>
                <w:kern w:val="0"/>
                <w:szCs w:val="21"/>
                <w:highlight w:val="none"/>
              </w:rPr>
              <w:t>1.担保形式：</w:t>
            </w:r>
            <w:r>
              <w:rPr>
                <w:rStyle w:val="47"/>
                <w:rFonts w:hint="eastAsia" w:ascii="宋体" w:hAnsi="宋体" w:cs="宋体"/>
                <w:color w:val="auto"/>
                <w:kern w:val="0"/>
                <w:szCs w:val="21"/>
                <w:highlight w:val="none"/>
                <w:u w:val="single"/>
              </w:rPr>
              <w:t>经委托人认可的商业担保、现金均可</w:t>
            </w:r>
            <w:r>
              <w:rPr>
                <w:rStyle w:val="47"/>
                <w:rFonts w:hint="eastAsia" w:ascii="宋体" w:hAnsi="宋体" w:cs="宋体"/>
                <w:color w:val="auto"/>
                <w:kern w:val="0"/>
                <w:szCs w:val="21"/>
                <w:highlight w:val="none"/>
              </w:rPr>
              <w:t>；</w:t>
            </w:r>
          </w:p>
          <w:p w14:paraId="342DF83A">
            <w:pPr>
              <w:snapToGrid w:val="0"/>
              <w:spacing w:after="48" w:line="400" w:lineRule="exact"/>
              <w:ind w:firstLine="420" w:firstLineChars="200"/>
              <w:rPr>
                <w:rStyle w:val="47"/>
                <w:rFonts w:ascii="宋体" w:hAnsi="宋体" w:cs="宋体"/>
                <w:color w:val="auto"/>
                <w:kern w:val="0"/>
                <w:szCs w:val="21"/>
                <w:highlight w:val="none"/>
              </w:rPr>
            </w:pPr>
            <w:r>
              <w:rPr>
                <w:rStyle w:val="47"/>
                <w:rFonts w:hint="eastAsia" w:ascii="宋体" w:hAnsi="宋体" w:cs="宋体"/>
                <w:color w:val="auto"/>
                <w:kern w:val="0"/>
                <w:szCs w:val="21"/>
                <w:highlight w:val="none"/>
              </w:rPr>
              <w:t>2.担保金额：</w:t>
            </w:r>
            <w:r>
              <w:rPr>
                <w:rStyle w:val="47"/>
                <w:rFonts w:hint="eastAsia" w:ascii="宋体" w:hAnsi="宋体" w:cs="宋体"/>
                <w:color w:val="auto"/>
                <w:kern w:val="0"/>
                <w:szCs w:val="21"/>
                <w:highlight w:val="none"/>
                <w:u w:val="single"/>
              </w:rPr>
              <w:t xml:space="preserve"> 合同签约金额的10% ；</w:t>
            </w:r>
          </w:p>
          <w:p w14:paraId="6997C509">
            <w:pPr>
              <w:snapToGrid w:val="0"/>
              <w:spacing w:after="48" w:line="400" w:lineRule="exact"/>
              <w:ind w:firstLine="420" w:firstLineChars="200"/>
              <w:rPr>
                <w:rStyle w:val="47"/>
                <w:rFonts w:ascii="宋体" w:hAnsi="宋体" w:cs="宋体"/>
                <w:color w:val="auto"/>
                <w:kern w:val="0"/>
                <w:szCs w:val="21"/>
                <w:highlight w:val="none"/>
              </w:rPr>
            </w:pPr>
            <w:r>
              <w:rPr>
                <w:rStyle w:val="47"/>
                <w:rFonts w:hint="eastAsia" w:ascii="宋体" w:hAnsi="宋体" w:cs="宋体"/>
                <w:color w:val="auto"/>
                <w:kern w:val="0"/>
                <w:szCs w:val="21"/>
                <w:highlight w:val="none"/>
              </w:rPr>
              <w:t>3.提交时间：承包人领取中选通知书后，并作为签订合同的必备条件。其中：</w:t>
            </w:r>
          </w:p>
          <w:p w14:paraId="0866BDFC">
            <w:pPr>
              <w:snapToGrid w:val="0"/>
              <w:spacing w:after="48" w:line="400" w:lineRule="exact"/>
              <w:ind w:firstLine="420" w:firstLineChars="200"/>
              <w:rPr>
                <w:rStyle w:val="47"/>
                <w:rFonts w:hint="eastAsia" w:ascii="宋体" w:hAnsi="宋体" w:cs="宋体"/>
                <w:color w:val="auto"/>
                <w:kern w:val="0"/>
                <w:szCs w:val="21"/>
                <w:highlight w:val="none"/>
              </w:rPr>
            </w:pPr>
            <w:r>
              <w:rPr>
                <w:rStyle w:val="47"/>
                <w:rFonts w:hint="eastAsia" w:ascii="宋体" w:hAnsi="宋体" w:cs="宋体"/>
                <w:color w:val="auto"/>
                <w:kern w:val="0"/>
                <w:szCs w:val="21"/>
                <w:highlight w:val="none"/>
              </w:rPr>
              <w:t>①履约担保采用商业担保的，保函必须为发包人认可的担保公司或银行提供的不可撤销且见索即付，且应选择在渝依法设立总部或者设有分支机构的金融机构开具履约保函（包括纸质保函或电子保函）；</w:t>
            </w:r>
          </w:p>
          <w:p w14:paraId="036CD402">
            <w:pPr>
              <w:snapToGrid w:val="0"/>
              <w:spacing w:after="48" w:line="400" w:lineRule="exact"/>
              <w:ind w:firstLine="420" w:firstLineChars="200"/>
              <w:rPr>
                <w:rStyle w:val="47"/>
                <w:rFonts w:hint="eastAsia" w:ascii="宋体" w:hAnsi="宋体" w:cs="宋体"/>
                <w:color w:val="auto"/>
                <w:kern w:val="0"/>
                <w:szCs w:val="21"/>
                <w:highlight w:val="none"/>
              </w:rPr>
            </w:pPr>
            <w:r>
              <w:rPr>
                <w:rStyle w:val="47"/>
                <w:rFonts w:hint="eastAsia" w:ascii="宋体" w:hAnsi="宋体" w:cs="宋体"/>
                <w:color w:val="auto"/>
                <w:kern w:val="0"/>
                <w:szCs w:val="21"/>
                <w:highlight w:val="none"/>
              </w:rPr>
              <w:t>②履约担保为银行转账的，承包人须从其企业基本账户将相应的履约担保金额打入比选人下述指定账户。</w:t>
            </w:r>
          </w:p>
          <w:p w14:paraId="332559E9">
            <w:pPr>
              <w:snapToGrid w:val="0"/>
              <w:spacing w:after="48" w:line="400" w:lineRule="exact"/>
              <w:ind w:firstLine="420" w:firstLineChars="200"/>
              <w:rPr>
                <w:rStyle w:val="47"/>
                <w:rFonts w:ascii="宋体" w:hAnsi="宋体" w:cs="宋体"/>
                <w:color w:val="auto"/>
                <w:highlight w:val="none"/>
              </w:rPr>
            </w:pPr>
            <w:r>
              <w:rPr>
                <w:rStyle w:val="47"/>
                <w:rFonts w:hint="eastAsia" w:ascii="宋体" w:hAnsi="宋体" w:cs="宋体"/>
                <w:color w:val="auto"/>
                <w:highlight w:val="none"/>
              </w:rPr>
              <w:t>9.1.4退还时间：施工完成后通过审核并经发包人认可后退还（履约保证金不计算利息）。</w:t>
            </w:r>
          </w:p>
          <w:p w14:paraId="7320DAD7">
            <w:pPr>
              <w:snapToGrid w:val="0"/>
              <w:spacing w:after="48" w:line="400" w:lineRule="exact"/>
              <w:ind w:firstLine="420" w:firstLineChars="200"/>
              <w:rPr>
                <w:rStyle w:val="47"/>
                <w:rFonts w:ascii="宋体" w:hAnsi="宋体" w:cs="宋体"/>
                <w:color w:val="auto"/>
                <w:kern w:val="0"/>
                <w:szCs w:val="21"/>
                <w:highlight w:val="none"/>
              </w:rPr>
            </w:pPr>
            <w:r>
              <w:rPr>
                <w:rStyle w:val="47"/>
                <w:rFonts w:hint="eastAsia" w:ascii="宋体" w:hAnsi="宋体" w:cs="宋体"/>
                <w:color w:val="auto"/>
                <w:kern w:val="0"/>
                <w:szCs w:val="21"/>
                <w:highlight w:val="none"/>
              </w:rPr>
              <w:t>9.1.5 贯彻落实上级文件精神，进一步减轻企业负担，主要推行以保函方式缴纳，由承包人根据自身情况自行选择缴纳方式。</w:t>
            </w:r>
          </w:p>
          <w:p w14:paraId="3276F71B">
            <w:pPr>
              <w:overflowPunct w:val="0"/>
              <w:autoSpaceDE w:val="0"/>
              <w:autoSpaceDN w:val="0"/>
              <w:adjustRightInd w:val="0"/>
              <w:snapToGrid w:val="0"/>
              <w:spacing w:line="360" w:lineRule="auto"/>
              <w:ind w:firstLine="422" w:firstLineChars="200"/>
              <w:jc w:val="left"/>
              <w:rPr>
                <w:rFonts w:ascii="宋体" w:hAnsi="宋体"/>
                <w:color w:val="auto"/>
                <w:kern w:val="0"/>
                <w:szCs w:val="21"/>
                <w:highlight w:val="none"/>
              </w:rPr>
            </w:pPr>
            <w:r>
              <w:rPr>
                <w:rStyle w:val="47"/>
                <w:rFonts w:ascii="宋体" w:hAnsi="宋体"/>
                <w:b/>
                <w:bCs/>
                <w:color w:val="auto"/>
                <w:kern w:val="0"/>
                <w:szCs w:val="21"/>
                <w:highlight w:val="none"/>
              </w:rPr>
              <w:t>注：</w:t>
            </w:r>
            <w:r>
              <w:rPr>
                <w:rStyle w:val="47"/>
                <w:rFonts w:hint="eastAsia" w:ascii="宋体" w:hAnsi="宋体"/>
                <w:b/>
                <w:bCs/>
                <w:color w:val="auto"/>
                <w:kern w:val="0"/>
                <w:szCs w:val="21"/>
                <w:highlight w:val="none"/>
              </w:rPr>
              <w:t>1</w:t>
            </w:r>
            <w:r>
              <w:rPr>
                <w:rStyle w:val="47"/>
                <w:rFonts w:ascii="宋体" w:hAnsi="宋体"/>
                <w:b/>
                <w:bCs/>
                <w:color w:val="auto"/>
                <w:kern w:val="0"/>
                <w:szCs w:val="21"/>
                <w:highlight w:val="none"/>
              </w:rPr>
              <w:t>.</w:t>
            </w:r>
            <w:r>
              <w:rPr>
                <w:rStyle w:val="47"/>
                <w:rFonts w:hint="eastAsia" w:ascii="宋体" w:hAnsi="宋体"/>
                <w:b/>
                <w:bCs/>
                <w:color w:val="auto"/>
                <w:kern w:val="0"/>
                <w:szCs w:val="21"/>
                <w:highlight w:val="none"/>
              </w:rPr>
              <w:t>承包人</w:t>
            </w:r>
            <w:r>
              <w:rPr>
                <w:rStyle w:val="47"/>
                <w:rFonts w:ascii="宋体" w:hAnsi="宋体"/>
                <w:b/>
                <w:bCs/>
                <w:color w:val="auto"/>
                <w:kern w:val="0"/>
                <w:szCs w:val="21"/>
                <w:highlight w:val="none"/>
              </w:rPr>
              <w:t>提供虚假银行保函的，</w:t>
            </w:r>
            <w:r>
              <w:rPr>
                <w:rStyle w:val="47"/>
                <w:rFonts w:hint="eastAsia" w:ascii="宋体" w:hAnsi="宋体"/>
                <w:b/>
                <w:bCs/>
                <w:color w:val="auto"/>
                <w:kern w:val="0"/>
                <w:szCs w:val="21"/>
                <w:highlight w:val="none"/>
              </w:rPr>
              <w:t>发包人</w:t>
            </w:r>
            <w:r>
              <w:rPr>
                <w:rStyle w:val="47"/>
                <w:rFonts w:ascii="宋体" w:hAnsi="宋体"/>
                <w:b/>
                <w:bCs/>
                <w:color w:val="auto"/>
                <w:kern w:val="0"/>
                <w:szCs w:val="21"/>
                <w:highlight w:val="none"/>
              </w:rPr>
              <w:t>取消其</w:t>
            </w:r>
            <w:r>
              <w:rPr>
                <w:rStyle w:val="47"/>
                <w:rFonts w:hint="eastAsia" w:ascii="宋体" w:hAnsi="宋体"/>
                <w:b/>
                <w:bCs/>
                <w:color w:val="auto"/>
                <w:kern w:val="0"/>
                <w:szCs w:val="21"/>
                <w:highlight w:val="none"/>
              </w:rPr>
              <w:t>中选</w:t>
            </w:r>
            <w:r>
              <w:rPr>
                <w:rStyle w:val="47"/>
                <w:rFonts w:ascii="宋体" w:hAnsi="宋体"/>
                <w:b/>
                <w:bCs/>
                <w:color w:val="auto"/>
                <w:kern w:val="0"/>
                <w:szCs w:val="21"/>
                <w:highlight w:val="none"/>
              </w:rPr>
              <w:t>资格，</w:t>
            </w:r>
            <w:r>
              <w:rPr>
                <w:rStyle w:val="47"/>
                <w:rFonts w:hint="eastAsia" w:ascii="宋体" w:hAnsi="宋体"/>
                <w:b/>
                <w:bCs/>
                <w:color w:val="auto"/>
                <w:kern w:val="0"/>
                <w:szCs w:val="21"/>
                <w:highlight w:val="none"/>
              </w:rPr>
              <w:t>比选保证金</w:t>
            </w:r>
            <w:r>
              <w:rPr>
                <w:rStyle w:val="47"/>
                <w:rFonts w:ascii="宋体" w:hAnsi="宋体"/>
                <w:b/>
                <w:bCs/>
                <w:color w:val="auto"/>
                <w:kern w:val="0"/>
                <w:szCs w:val="21"/>
                <w:highlight w:val="none"/>
              </w:rPr>
              <w:t>不予退还，同时</w:t>
            </w:r>
            <w:r>
              <w:rPr>
                <w:rStyle w:val="47"/>
                <w:rFonts w:hint="eastAsia" w:ascii="宋体" w:hAnsi="宋体"/>
                <w:b/>
                <w:bCs/>
                <w:color w:val="auto"/>
                <w:kern w:val="0"/>
                <w:szCs w:val="21"/>
                <w:highlight w:val="none"/>
              </w:rPr>
              <w:t>由比选人将其不良行为上报监督部门记分处理并</w:t>
            </w:r>
            <w:r>
              <w:rPr>
                <w:rStyle w:val="47"/>
                <w:rFonts w:ascii="宋体" w:hAnsi="宋体"/>
                <w:b/>
                <w:bCs/>
                <w:color w:val="auto"/>
                <w:kern w:val="0"/>
                <w:szCs w:val="21"/>
                <w:highlight w:val="none"/>
              </w:rPr>
              <w:t>纳入黑名单。</w:t>
            </w:r>
            <w:r>
              <w:rPr>
                <w:rStyle w:val="47"/>
                <w:rFonts w:hint="eastAsia" w:ascii="宋体" w:hAnsi="宋体"/>
                <w:b/>
                <w:bCs/>
                <w:color w:val="auto"/>
                <w:kern w:val="0"/>
                <w:szCs w:val="21"/>
                <w:highlight w:val="none"/>
              </w:rPr>
              <w:t>2</w:t>
            </w:r>
            <w:r>
              <w:rPr>
                <w:rStyle w:val="47"/>
                <w:rFonts w:ascii="宋体" w:hAnsi="宋体"/>
                <w:b/>
                <w:bCs/>
                <w:color w:val="auto"/>
                <w:kern w:val="0"/>
                <w:szCs w:val="21"/>
                <w:highlight w:val="none"/>
              </w:rPr>
              <w:t>.</w:t>
            </w:r>
            <w:r>
              <w:rPr>
                <w:rStyle w:val="47"/>
                <w:rFonts w:hint="eastAsia" w:ascii="宋体" w:hAnsi="宋体"/>
                <w:b/>
                <w:bCs/>
                <w:color w:val="auto"/>
                <w:kern w:val="0"/>
                <w:szCs w:val="21"/>
                <w:highlight w:val="none"/>
              </w:rPr>
              <w:t>中选</w:t>
            </w:r>
            <w:r>
              <w:rPr>
                <w:rStyle w:val="47"/>
                <w:rFonts w:ascii="宋体" w:hAnsi="宋体"/>
                <w:b/>
                <w:bCs/>
                <w:color w:val="auto"/>
                <w:kern w:val="0"/>
                <w:szCs w:val="21"/>
                <w:highlight w:val="none"/>
              </w:rPr>
              <w:t>通知书发出之日起30日内，比选人与</w:t>
            </w:r>
            <w:r>
              <w:rPr>
                <w:rStyle w:val="47"/>
                <w:rFonts w:hint="eastAsia" w:ascii="宋体" w:hAnsi="宋体"/>
                <w:b/>
                <w:bCs/>
                <w:color w:val="auto"/>
                <w:kern w:val="0"/>
                <w:szCs w:val="21"/>
                <w:highlight w:val="none"/>
              </w:rPr>
              <w:t>承包人</w:t>
            </w:r>
            <w:r>
              <w:rPr>
                <w:rStyle w:val="47"/>
                <w:rFonts w:ascii="宋体" w:hAnsi="宋体"/>
                <w:b/>
                <w:bCs/>
                <w:color w:val="auto"/>
                <w:kern w:val="0"/>
                <w:szCs w:val="21"/>
                <w:highlight w:val="none"/>
              </w:rPr>
              <w:t>须完成合同签订事宜。</w:t>
            </w:r>
          </w:p>
        </w:tc>
      </w:tr>
      <w:tr w14:paraId="15C65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876F30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8.1</w:t>
            </w:r>
          </w:p>
        </w:tc>
        <w:tc>
          <w:tcPr>
            <w:tcW w:w="1964" w:type="dxa"/>
            <w:vAlign w:val="center"/>
          </w:tcPr>
          <w:p w14:paraId="14ECE073">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重新比选</w:t>
            </w:r>
          </w:p>
        </w:tc>
        <w:tc>
          <w:tcPr>
            <w:tcW w:w="6372" w:type="dxa"/>
            <w:vAlign w:val="center"/>
          </w:tcPr>
          <w:p w14:paraId="0F95EA1A">
            <w:pPr>
              <w:autoSpaceDE w:val="0"/>
              <w:autoSpaceDN w:val="0"/>
              <w:adjustRightInd w:val="0"/>
              <w:snapToGrid w:val="0"/>
              <w:spacing w:after="62" w:afterLines="20"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1.按竞选人须知第8.1（1）执行；</w:t>
            </w:r>
          </w:p>
          <w:p w14:paraId="44093DE1">
            <w:pPr>
              <w:autoSpaceDE w:val="0"/>
              <w:autoSpaceDN w:val="0"/>
              <w:adjustRightInd w:val="0"/>
              <w:snapToGrid w:val="0"/>
              <w:spacing w:after="62" w:afterLines="20"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2.按竞选人须知第8.1（2）执行；</w:t>
            </w:r>
          </w:p>
          <w:p w14:paraId="79D25AA9">
            <w:pPr>
              <w:autoSpaceDE w:val="0"/>
              <w:autoSpaceDN w:val="0"/>
              <w:adjustRightInd w:val="0"/>
              <w:snapToGrid w:val="0"/>
              <w:spacing w:after="62" w:afterLines="20"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3.按竞选人须知第8.1（3）执行；</w:t>
            </w:r>
          </w:p>
          <w:p w14:paraId="45F2A908">
            <w:pPr>
              <w:autoSpaceDE w:val="0"/>
              <w:autoSpaceDN w:val="0"/>
              <w:adjustRightInd w:val="0"/>
              <w:snapToGrid w:val="0"/>
              <w:spacing w:after="62" w:afterLines="20"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4.按竞选人须知第8.1（4）执行。</w:t>
            </w:r>
          </w:p>
        </w:tc>
      </w:tr>
      <w:tr w14:paraId="554E05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9AB398E">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336" w:type="dxa"/>
            <w:gridSpan w:val="2"/>
            <w:vAlign w:val="center"/>
          </w:tcPr>
          <w:p w14:paraId="346F991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需要补充的其他内容</w:t>
            </w:r>
          </w:p>
        </w:tc>
      </w:tr>
      <w:tr w14:paraId="70EE5A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A23C88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9.1</w:t>
            </w:r>
          </w:p>
        </w:tc>
        <w:tc>
          <w:tcPr>
            <w:tcW w:w="1964" w:type="dxa"/>
            <w:vAlign w:val="center"/>
          </w:tcPr>
          <w:p w14:paraId="789792E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关于对比选文件及竞选文件理解争议的解释</w:t>
            </w:r>
          </w:p>
        </w:tc>
        <w:tc>
          <w:tcPr>
            <w:tcW w:w="6372" w:type="dxa"/>
            <w:vAlign w:val="center"/>
          </w:tcPr>
          <w:p w14:paraId="678F62A2">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对比选文件的评选标准和方法，以及资格审查和否决条款理解有争议的，应当作出不利于比选人的解释，但违背国家利益、社会公共利益的除外。</w:t>
            </w:r>
          </w:p>
          <w:p w14:paraId="7B91F319">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对竞选文件理解有争议的，应当作出不利于提交该竞选文件的竞选人的解释。</w:t>
            </w:r>
          </w:p>
        </w:tc>
      </w:tr>
      <w:tr w14:paraId="555E3C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7B415FA">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9.</w:t>
            </w:r>
            <w:r>
              <w:rPr>
                <w:rFonts w:hint="eastAsia" w:ascii="宋体" w:hAnsi="宋体"/>
                <w:color w:val="auto"/>
                <w:kern w:val="0"/>
                <w:szCs w:val="21"/>
                <w:highlight w:val="none"/>
                <w:lang w:val="en-US" w:eastAsia="zh-CN"/>
              </w:rPr>
              <w:t>2</w:t>
            </w:r>
          </w:p>
        </w:tc>
        <w:tc>
          <w:tcPr>
            <w:tcW w:w="1964" w:type="dxa"/>
            <w:vAlign w:val="center"/>
          </w:tcPr>
          <w:p w14:paraId="03E9C4A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中选候选人和中选人无故放弃中选或不签订合同的后果</w:t>
            </w:r>
          </w:p>
        </w:tc>
        <w:tc>
          <w:tcPr>
            <w:tcW w:w="6372" w:type="dxa"/>
            <w:vAlign w:val="center"/>
          </w:tcPr>
          <w:p w14:paraId="77D7887B">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1.不予退还比选保证金；</w:t>
            </w:r>
          </w:p>
          <w:p w14:paraId="6D36C9E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2.给比选人造成经济损失的，要赔偿比选人合理损失；</w:t>
            </w:r>
          </w:p>
          <w:p w14:paraId="3EF4CD3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3.由比选人将其不良行为上报监督部门记分处理并纳入黑名单。</w:t>
            </w:r>
          </w:p>
        </w:tc>
      </w:tr>
      <w:tr w14:paraId="30887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8A7821B">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9</w:t>
            </w:r>
            <w:r>
              <w:rPr>
                <w:rFonts w:ascii="宋体" w:hAnsi="宋体"/>
                <w:color w:val="auto"/>
                <w:kern w:val="0"/>
                <w:szCs w:val="21"/>
                <w:highlight w:val="none"/>
              </w:rPr>
              <w:t>.</w:t>
            </w:r>
            <w:r>
              <w:rPr>
                <w:rFonts w:hint="eastAsia" w:ascii="宋体" w:hAnsi="宋体"/>
                <w:color w:val="auto"/>
                <w:kern w:val="0"/>
                <w:szCs w:val="21"/>
                <w:highlight w:val="none"/>
                <w:lang w:val="en-US" w:eastAsia="zh-CN"/>
              </w:rPr>
              <w:t>3</w:t>
            </w:r>
          </w:p>
        </w:tc>
        <w:tc>
          <w:tcPr>
            <w:tcW w:w="1964" w:type="dxa"/>
            <w:vAlign w:val="center"/>
          </w:tcPr>
          <w:p w14:paraId="4E3CA53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tc>
        <w:tc>
          <w:tcPr>
            <w:tcW w:w="6372" w:type="dxa"/>
            <w:vAlign w:val="center"/>
          </w:tcPr>
          <w:p w14:paraId="0854C5FC">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1、低价风险担保：中标价低于最高限价的85%时提供，如不按时足额提供，视为中标人放弃中标，招标人有权不退还其投标保证金，</w:t>
            </w:r>
            <w:r>
              <w:rPr>
                <w:rFonts w:hint="eastAsia" w:asciiTheme="minorEastAsia" w:hAnsiTheme="minorEastAsia" w:eastAsiaTheme="minorEastAsia" w:cstheme="minorEastAsia"/>
                <w:color w:val="auto"/>
                <w:szCs w:val="21"/>
                <w:highlight w:val="none"/>
              </w:rPr>
              <w:t>并报招标投标行政监督部门按照信用管理办法的规定处理，对中标人的不良行为直接记12分，纳入重点关注名单。</w:t>
            </w:r>
          </w:p>
          <w:p w14:paraId="6E948C80">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2、中标人提供低价风险担保的形式、金额及期限：</w:t>
            </w:r>
          </w:p>
          <w:p w14:paraId="70124F37">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（1）低价风险担保的形式：现金或银行保函</w:t>
            </w:r>
            <w:r>
              <w:rPr>
                <w:rFonts w:hint="eastAsia" w:asciiTheme="minorEastAsia" w:hAnsiTheme="minorEastAsia" w:eastAsiaTheme="minorEastAsia" w:cstheme="minorEastAsia"/>
                <w:color w:val="auto"/>
                <w:szCs w:val="21"/>
                <w:highlight w:val="none"/>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Theme="minorEastAsia" w:hAnsiTheme="minorEastAsia" w:eastAsiaTheme="minorEastAsia" w:cstheme="minorEastAsia"/>
                <w:color w:val="auto"/>
                <w:kern w:val="0"/>
                <w:szCs w:val="21"/>
                <w:highlight w:val="none"/>
              </w:rPr>
              <w:t>。</w:t>
            </w:r>
          </w:p>
          <w:p w14:paraId="4834F1A5">
            <w:pPr>
              <w:autoSpaceDE w:val="0"/>
              <w:autoSpaceDN w:val="0"/>
              <w:adjustRightInd w:val="0"/>
              <w:snapToGrid w:val="0"/>
              <w:spacing w:line="400" w:lineRule="exact"/>
              <w:ind w:firstLine="420" w:firstLineChars="200"/>
              <w:rPr>
                <w:rFonts w:asciiTheme="minorEastAsia" w:hAnsiTheme="minorEastAsia" w:eastAsiaTheme="minorEastAsia" w:cstheme="minorEastAsia"/>
                <w:i/>
                <w:iCs/>
                <w:color w:val="auto"/>
                <w:kern w:val="0"/>
                <w:szCs w:val="21"/>
                <w:highlight w:val="none"/>
              </w:rPr>
            </w:pPr>
            <w:r>
              <w:rPr>
                <w:rFonts w:hint="eastAsia" w:asciiTheme="minorEastAsia" w:hAnsiTheme="minorEastAsia" w:eastAsiaTheme="minorEastAsia" w:cstheme="minorEastAsia"/>
                <w:color w:val="auto"/>
                <w:kern w:val="0"/>
                <w:szCs w:val="21"/>
                <w:highlight w:val="none"/>
              </w:rPr>
              <w:t>（2）低价风险担保的金额：（最高限价×85%-中标价）×3</w:t>
            </w:r>
            <w:r>
              <w:rPr>
                <w:rStyle w:val="32"/>
                <w:rFonts w:hint="eastAsia" w:asciiTheme="minorEastAsia" w:hAnsiTheme="minorEastAsia" w:eastAsiaTheme="minorEastAsia" w:cstheme="minorEastAsia"/>
                <w:color w:val="auto"/>
                <w:highlight w:val="none"/>
              </w:rPr>
              <w:t>，且最高不超过最高限价的85%。</w:t>
            </w:r>
          </w:p>
          <w:p w14:paraId="768BE3D9">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（3）低价风险担保送达招标人的时间：</w:t>
            </w:r>
            <w:r>
              <w:rPr>
                <w:rFonts w:hint="eastAsia" w:asciiTheme="minorEastAsia" w:hAnsiTheme="minorEastAsia" w:eastAsiaTheme="minorEastAsia" w:cstheme="minorEastAsia"/>
                <w:color w:val="auto"/>
                <w:szCs w:val="21"/>
                <w:highlight w:val="none"/>
              </w:rPr>
              <w:t>从招标人中标通知书送达拟中标人之日起</w:t>
            </w:r>
            <w:r>
              <w:rPr>
                <w:rFonts w:hint="eastAsia" w:asciiTheme="minorEastAsia" w:hAnsiTheme="minorEastAsia" w:eastAsiaTheme="minorEastAsia" w:cstheme="minorEastAsia"/>
                <w:color w:val="auto"/>
                <w:szCs w:val="21"/>
                <w:highlight w:val="none"/>
                <w:u w:val="single"/>
              </w:rPr>
              <w:t xml:space="preserve"> 10 </w:t>
            </w:r>
            <w:r>
              <w:rPr>
                <w:rFonts w:hint="eastAsia" w:asciiTheme="minorEastAsia" w:hAnsiTheme="minorEastAsia" w:eastAsiaTheme="minorEastAsia" w:cstheme="minorEastAsia"/>
                <w:color w:val="auto"/>
                <w:szCs w:val="21"/>
                <w:highlight w:val="none"/>
              </w:rPr>
              <w:t>工作日内</w:t>
            </w:r>
            <w:r>
              <w:rPr>
                <w:rFonts w:hint="eastAsia" w:asciiTheme="minorEastAsia" w:hAnsiTheme="minorEastAsia" w:eastAsiaTheme="minorEastAsia" w:cstheme="minorEastAsia"/>
                <w:color w:val="auto"/>
                <w:kern w:val="0"/>
                <w:szCs w:val="21"/>
                <w:highlight w:val="none"/>
              </w:rPr>
              <w:t>；</w:t>
            </w:r>
          </w:p>
          <w:p w14:paraId="27552497">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（4）中标人因自身原因未按中标通知书规定的时限与招标人签订合同的，招标人有权扣除其低价风险担保并取消中标资格。</w:t>
            </w:r>
          </w:p>
          <w:p w14:paraId="0FFF3566">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（5）低价风险担保的期限：</w:t>
            </w:r>
            <w:r>
              <w:rPr>
                <w:rFonts w:hint="eastAsia" w:asciiTheme="minorEastAsia" w:hAnsiTheme="minorEastAsia" w:eastAsiaTheme="minorEastAsia" w:cstheme="minorEastAsia"/>
                <w:color w:val="auto"/>
                <w:kern w:val="0"/>
                <w:szCs w:val="21"/>
                <w:highlight w:val="none"/>
                <w:u w:val="single"/>
              </w:rPr>
              <w:t>自低价风险担保生效之日起至竣工验收合格之日止</w:t>
            </w:r>
            <w:r>
              <w:rPr>
                <w:rFonts w:hint="eastAsia" w:asciiTheme="minorEastAsia" w:hAnsiTheme="minorEastAsia" w:eastAsiaTheme="minorEastAsia" w:cstheme="minorEastAsia"/>
                <w:color w:val="auto"/>
                <w:kern w:val="0"/>
                <w:szCs w:val="21"/>
                <w:highlight w:val="none"/>
              </w:rPr>
              <w:t>。</w:t>
            </w:r>
          </w:p>
          <w:p w14:paraId="1A9325C8">
            <w:pPr>
              <w:widowControl/>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3、低价风险担保的退还时间：采用现金担保的，工程竣工验收合格后14天内退还，合同履行期间允许承包人用符合要求的银行保函进行置换；采用银行保函的，工程竣工验收合格后14天内退还。</w:t>
            </w:r>
          </w:p>
          <w:p w14:paraId="697D67E4">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4D6D318B">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备注：当中标人或拟中标人未按时提交低价风险担保，且属于可以延长低价风险担保提交期限的特殊情形时，经招标人同意，可适当延长低价风险担保的提交期限。</w:t>
            </w:r>
          </w:p>
          <w:p w14:paraId="573A5FFD">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stheme="minorEastAsia"/>
                <w:color w:val="auto"/>
                <w:szCs w:val="21"/>
                <w:highlight w:val="none"/>
              </w:rPr>
              <w:t>5、投标总报价低于最高限价85%的，投标人应在编制投标文件时，在投标函部分中递交低价风险担保提交承诺书。承诺书格式详见第五章投标文件格式。</w:t>
            </w:r>
          </w:p>
        </w:tc>
      </w:tr>
      <w:tr w14:paraId="67C64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D8662FA">
            <w:pPr>
              <w:snapToGrid w:val="0"/>
              <w:spacing w:line="400" w:lineRule="exact"/>
              <w:jc w:val="center"/>
              <w:rPr>
                <w:rFonts w:hint="eastAsia" w:ascii="宋体" w:hAnsi="宋体" w:eastAsiaTheme="minorEastAsia"/>
                <w:color w:val="auto"/>
                <w:kern w:val="0"/>
                <w:szCs w:val="21"/>
                <w:highlight w:val="none"/>
                <w:lang w:eastAsia="zh-CN"/>
              </w:rPr>
            </w:pPr>
            <w:r>
              <w:rPr>
                <w:rFonts w:hint="eastAsia" w:asciiTheme="minorEastAsia" w:hAnsiTheme="minorEastAsia" w:eastAsiaTheme="minorEastAsia"/>
                <w:color w:val="auto"/>
                <w:kern w:val="0"/>
                <w:szCs w:val="21"/>
                <w:highlight w:val="none"/>
              </w:rPr>
              <w:t>9.</w:t>
            </w:r>
            <w:r>
              <w:rPr>
                <w:rFonts w:hint="eastAsia" w:asciiTheme="minorEastAsia" w:hAnsiTheme="minorEastAsia" w:eastAsiaTheme="minorEastAsia"/>
                <w:color w:val="auto"/>
                <w:kern w:val="0"/>
                <w:szCs w:val="21"/>
                <w:highlight w:val="none"/>
                <w:lang w:val="en-US" w:eastAsia="zh-CN"/>
              </w:rPr>
              <w:t>4</w:t>
            </w:r>
          </w:p>
        </w:tc>
        <w:tc>
          <w:tcPr>
            <w:tcW w:w="1964" w:type="dxa"/>
            <w:vAlign w:val="center"/>
          </w:tcPr>
          <w:p w14:paraId="02AF119B">
            <w:pPr>
              <w:snapToGrid w:val="0"/>
              <w:spacing w:line="400" w:lineRule="exact"/>
              <w:jc w:val="center"/>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代理服务费</w:t>
            </w:r>
          </w:p>
        </w:tc>
        <w:tc>
          <w:tcPr>
            <w:tcW w:w="6372" w:type="dxa"/>
            <w:vAlign w:val="center"/>
          </w:tcPr>
          <w:p w14:paraId="7668F413">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比选代理服务费：按照《招标代理服务收费管理暂行办法》（计价格[2002]1980号）收费标准70%计算，不足6</w:t>
            </w:r>
            <w:r>
              <w:rPr>
                <w:rFonts w:asciiTheme="minorEastAsia" w:hAnsiTheme="minorEastAsia" w:eastAsiaTheme="minorEastAsia"/>
                <w:color w:val="auto"/>
                <w:kern w:val="0"/>
                <w:szCs w:val="21"/>
                <w:highlight w:val="none"/>
              </w:rPr>
              <w:t>5</w:t>
            </w:r>
            <w:r>
              <w:rPr>
                <w:rFonts w:hint="eastAsia" w:asciiTheme="minorEastAsia" w:hAnsiTheme="minorEastAsia" w:eastAsiaTheme="minorEastAsia"/>
                <w:color w:val="auto"/>
                <w:kern w:val="0"/>
                <w:szCs w:val="21"/>
                <w:highlight w:val="none"/>
              </w:rPr>
              <w:t>00.00元按固定收费金额6</w:t>
            </w:r>
            <w:r>
              <w:rPr>
                <w:rFonts w:asciiTheme="minorEastAsia" w:hAnsiTheme="minorEastAsia" w:eastAsiaTheme="minorEastAsia"/>
                <w:color w:val="auto"/>
                <w:kern w:val="0"/>
                <w:szCs w:val="21"/>
                <w:highlight w:val="none"/>
              </w:rPr>
              <w:t>5</w:t>
            </w:r>
            <w:r>
              <w:rPr>
                <w:rFonts w:hint="eastAsia" w:asciiTheme="minorEastAsia" w:hAnsiTheme="minorEastAsia" w:eastAsiaTheme="minorEastAsia"/>
                <w:color w:val="auto"/>
                <w:kern w:val="0"/>
                <w:szCs w:val="21"/>
                <w:highlight w:val="none"/>
              </w:rPr>
              <w:t>00.00元计算。由中标人在领取中标通知书时一次性支付。</w:t>
            </w:r>
          </w:p>
        </w:tc>
      </w:tr>
      <w:tr w14:paraId="5A828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921C9B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9.</w:t>
            </w:r>
            <w:r>
              <w:rPr>
                <w:rFonts w:ascii="宋体" w:hAnsi="宋体"/>
                <w:color w:val="auto"/>
                <w:kern w:val="0"/>
                <w:szCs w:val="21"/>
                <w:highlight w:val="none"/>
              </w:rPr>
              <w:t>6</w:t>
            </w:r>
          </w:p>
        </w:tc>
        <w:tc>
          <w:tcPr>
            <w:tcW w:w="1964" w:type="dxa"/>
            <w:vAlign w:val="center"/>
          </w:tcPr>
          <w:p w14:paraId="39C24B33">
            <w:pPr>
              <w:snapToGrid w:val="0"/>
              <w:spacing w:line="400" w:lineRule="exact"/>
              <w:jc w:val="center"/>
              <w:rPr>
                <w:rFonts w:ascii="宋体" w:hAnsi="宋体"/>
                <w:color w:val="auto"/>
                <w:kern w:val="0"/>
                <w:szCs w:val="21"/>
                <w:highlight w:val="none"/>
              </w:rPr>
            </w:pPr>
            <w:r>
              <w:rPr>
                <w:rFonts w:hint="eastAsia" w:ascii="宋体" w:hAnsi="宋体"/>
                <w:b/>
                <w:bCs/>
                <w:color w:val="auto"/>
                <w:kern w:val="0"/>
                <w:szCs w:val="21"/>
                <w:highlight w:val="none"/>
              </w:rPr>
              <w:t>特别提醒</w:t>
            </w:r>
          </w:p>
        </w:tc>
        <w:tc>
          <w:tcPr>
            <w:tcW w:w="6372" w:type="dxa"/>
            <w:vAlign w:val="center"/>
          </w:tcPr>
          <w:p w14:paraId="3E796E98">
            <w:pPr>
              <w:autoSpaceDE w:val="0"/>
              <w:autoSpaceDN w:val="0"/>
              <w:adjustRightInd w:val="0"/>
              <w:snapToGrid w:val="0"/>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1.中选候选人或中选人放弃中选项目，无正当理由不与比选人签订合同，在签订合同时向比选人提出附加条件或者更改合同实质性内容，或者拒不提交履约担保的，取消其中选资格，比选保证金不予退还，给比选人的损失超过比选保证金数额的，中选候选人或中选人应对超过部分予以赔偿。竞选人应对上述要求在竞选文件中无条件予以响应，否则由评选委员会作否决竞选处理。</w:t>
            </w:r>
          </w:p>
          <w:p w14:paraId="0BF7EEDE">
            <w:pPr>
              <w:autoSpaceDE w:val="0"/>
              <w:autoSpaceDN w:val="0"/>
              <w:adjustRightInd w:val="0"/>
              <w:snapToGrid w:val="0"/>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中选单位派驻项目现场的监理人员必须与竞选文件承诺的人员一致，除特殊原因不得更换。凡发现派驻的监理人员和与竞选文件不同的，建设单位视为监理单位存在违法挂靠承包行为，责令改正，并给予相应经济处罚，并将该处理情况上报监督部门纳入信用考核，相关信息纳入全市信用监管平台。</w:t>
            </w:r>
          </w:p>
          <w:p w14:paraId="2815BA37">
            <w:pPr>
              <w:autoSpaceDE w:val="0"/>
              <w:autoSpaceDN w:val="0"/>
              <w:adjustRightInd w:val="0"/>
              <w:snapToGrid w:val="0"/>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bl>
    <w:p w14:paraId="6BE2D29B">
      <w:pPr>
        <w:pStyle w:val="8"/>
        <w:rPr>
          <w:rFonts w:ascii="宋体" w:hAnsi="宋体" w:cs="宋体"/>
          <w:bCs/>
          <w:snapToGrid w:val="0"/>
          <w:color w:val="auto"/>
          <w:sz w:val="24"/>
          <w:highlight w:val="none"/>
        </w:rPr>
      </w:pPr>
      <w:bookmarkStart w:id="42" w:name="_Toc224103317"/>
      <w:bookmarkStart w:id="43" w:name="_Toc287620685"/>
      <w:bookmarkStart w:id="44" w:name="_Toc277082552"/>
      <w:bookmarkStart w:id="45" w:name="_Toc430530435"/>
      <w:bookmarkStart w:id="46" w:name="_Toc509218710"/>
      <w:bookmarkStart w:id="47" w:name="_Toc287607746"/>
      <w:bookmarkStart w:id="48" w:name="_Toc200513126"/>
    </w:p>
    <w:p w14:paraId="3480EB8F">
      <w:pPr>
        <w:pStyle w:val="8"/>
        <w:rPr>
          <w:rFonts w:ascii="宋体" w:hAnsi="宋体" w:cs="宋体"/>
          <w:bCs/>
          <w:snapToGrid w:val="0"/>
          <w:color w:val="auto"/>
          <w:sz w:val="24"/>
          <w:highlight w:val="none"/>
        </w:rPr>
      </w:pPr>
    </w:p>
    <w:p w14:paraId="6F3A9DB4">
      <w:pPr>
        <w:pStyle w:val="8"/>
        <w:rPr>
          <w:rFonts w:ascii="宋体" w:hAnsi="宋体" w:cs="宋体"/>
          <w:bCs/>
          <w:snapToGrid w:val="0"/>
          <w:color w:val="auto"/>
          <w:sz w:val="24"/>
          <w:highlight w:val="none"/>
        </w:rPr>
      </w:pPr>
    </w:p>
    <w:p w14:paraId="3910539F">
      <w:pPr>
        <w:pStyle w:val="8"/>
        <w:rPr>
          <w:rFonts w:ascii="宋体" w:hAnsi="宋体" w:cs="宋体"/>
          <w:bCs/>
          <w:snapToGrid w:val="0"/>
          <w:color w:val="auto"/>
          <w:sz w:val="24"/>
          <w:highlight w:val="none"/>
        </w:rPr>
      </w:pPr>
    </w:p>
    <w:p w14:paraId="301DA2E0">
      <w:pPr>
        <w:pStyle w:val="8"/>
        <w:rPr>
          <w:rFonts w:ascii="宋体" w:hAnsi="宋体" w:cs="宋体"/>
          <w:bCs/>
          <w:snapToGrid w:val="0"/>
          <w:color w:val="auto"/>
          <w:sz w:val="24"/>
          <w:highlight w:val="none"/>
        </w:rPr>
      </w:pPr>
    </w:p>
    <w:p w14:paraId="42A241FD">
      <w:pPr>
        <w:pStyle w:val="8"/>
        <w:rPr>
          <w:rFonts w:ascii="宋体" w:hAnsi="宋体" w:cs="宋体"/>
          <w:bCs/>
          <w:snapToGrid w:val="0"/>
          <w:color w:val="auto"/>
          <w:sz w:val="24"/>
          <w:highlight w:val="none"/>
        </w:rPr>
      </w:pPr>
    </w:p>
    <w:p w14:paraId="0C14728C">
      <w:pPr>
        <w:rPr>
          <w:rFonts w:ascii="宋体" w:hAnsi="宋体" w:cs="宋体"/>
          <w:bCs/>
          <w:snapToGrid w:val="0"/>
          <w:color w:val="auto"/>
          <w:sz w:val="24"/>
          <w:highlight w:val="none"/>
        </w:rPr>
      </w:pPr>
      <w:r>
        <w:rPr>
          <w:rFonts w:hint="eastAsia" w:ascii="宋体" w:hAnsi="宋体" w:cs="宋体"/>
          <w:bCs/>
          <w:snapToGrid w:val="0"/>
          <w:color w:val="auto"/>
          <w:sz w:val="24"/>
          <w:highlight w:val="none"/>
        </w:rPr>
        <w:br w:type="page"/>
      </w:r>
    </w:p>
    <w:p w14:paraId="115726A8">
      <w:pPr>
        <w:pStyle w:val="8"/>
        <w:rPr>
          <w:rFonts w:ascii="宋体" w:hAnsi="宋体" w:cs="宋体"/>
          <w:bCs/>
          <w:snapToGrid w:val="0"/>
          <w:color w:val="auto"/>
          <w:sz w:val="24"/>
          <w:highlight w:val="none"/>
        </w:rPr>
      </w:pPr>
      <w:r>
        <w:rPr>
          <w:rFonts w:hint="eastAsia" w:ascii="宋体" w:hAnsi="宋体" w:cs="宋体"/>
          <w:bCs/>
          <w:snapToGrid w:val="0"/>
          <w:color w:val="auto"/>
          <w:sz w:val="24"/>
          <w:highlight w:val="none"/>
        </w:rPr>
        <w:t>1.  总则</w:t>
      </w:r>
      <w:bookmarkEnd w:id="42"/>
      <w:bookmarkEnd w:id="43"/>
      <w:bookmarkEnd w:id="44"/>
      <w:bookmarkEnd w:id="45"/>
      <w:bookmarkEnd w:id="46"/>
      <w:bookmarkEnd w:id="47"/>
      <w:bookmarkEnd w:id="48"/>
    </w:p>
    <w:p w14:paraId="1D8F0AF2">
      <w:pPr>
        <w:pStyle w:val="5"/>
        <w:snapToGrid w:val="0"/>
        <w:spacing w:before="0" w:after="0" w:line="360" w:lineRule="auto"/>
        <w:rPr>
          <w:rFonts w:ascii="宋体" w:hAnsi="宋体" w:cs="宋体"/>
          <w:b w:val="0"/>
          <w:snapToGrid w:val="0"/>
          <w:color w:val="auto"/>
          <w:sz w:val="24"/>
          <w:szCs w:val="24"/>
          <w:highlight w:val="none"/>
        </w:rPr>
      </w:pPr>
      <w:bookmarkStart w:id="49" w:name="_Toc509218711"/>
      <w:bookmarkStart w:id="50" w:name="_Toc287607747"/>
      <w:bookmarkStart w:id="51" w:name="_Toc224103318"/>
      <w:bookmarkStart w:id="52" w:name="_Toc40569141"/>
      <w:bookmarkStart w:id="53" w:name="_Toc10890"/>
      <w:bookmarkStart w:id="54" w:name="_Toc32083"/>
      <w:bookmarkStart w:id="55" w:name="_Toc40569046"/>
      <w:bookmarkStart w:id="56" w:name="_Toc430530436"/>
      <w:bookmarkStart w:id="57" w:name="_Toc3411"/>
      <w:bookmarkStart w:id="58" w:name="_Toc287620686"/>
      <w:bookmarkStart w:id="59" w:name="_Toc277082553"/>
      <w:bookmarkStart w:id="60" w:name="_Toc200513127"/>
      <w:r>
        <w:rPr>
          <w:rFonts w:hint="eastAsia" w:ascii="宋体" w:hAnsi="宋体" w:cs="宋体"/>
          <w:b w:val="0"/>
          <w:snapToGrid w:val="0"/>
          <w:color w:val="auto"/>
          <w:sz w:val="24"/>
          <w:szCs w:val="24"/>
          <w:highlight w:val="none"/>
        </w:rPr>
        <w:t>1.1  项目概况</w:t>
      </w:r>
      <w:bookmarkEnd w:id="49"/>
      <w:bookmarkEnd w:id="50"/>
      <w:bookmarkEnd w:id="51"/>
      <w:bookmarkEnd w:id="52"/>
      <w:bookmarkEnd w:id="53"/>
      <w:bookmarkEnd w:id="54"/>
      <w:bookmarkEnd w:id="55"/>
      <w:bookmarkEnd w:id="56"/>
      <w:bookmarkEnd w:id="57"/>
      <w:bookmarkEnd w:id="58"/>
      <w:bookmarkEnd w:id="59"/>
      <w:bookmarkEnd w:id="60"/>
    </w:p>
    <w:p w14:paraId="1F1ED2D3">
      <w:pPr>
        <w:autoSpaceDE w:val="0"/>
        <w:autoSpaceDN w:val="0"/>
        <w:adjustRightInd w:val="0"/>
        <w:snapToGrid w:val="0"/>
        <w:spacing w:line="360" w:lineRule="auto"/>
        <w:ind w:firstLine="357" w:firstLineChars="17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1.1.1  根据《中华人民共和国招标投标法》等有关法律、法规和规章的规定，本发包项目已具备比选条件，现对本项目监理进行竞争性比选。</w:t>
      </w:r>
    </w:p>
    <w:p w14:paraId="15D2BB78">
      <w:pPr>
        <w:autoSpaceDE w:val="0"/>
        <w:autoSpaceDN w:val="0"/>
        <w:adjustRightInd w:val="0"/>
        <w:snapToGrid w:val="0"/>
        <w:spacing w:line="360" w:lineRule="auto"/>
        <w:ind w:firstLine="357" w:firstLineChars="17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  本发包项目比选人：见竞选人须知前附表。</w:t>
      </w:r>
    </w:p>
    <w:p w14:paraId="5D90D860">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1.1.3  本项目比选代理机构：见竞选人须知前附表。</w:t>
      </w:r>
    </w:p>
    <w:p w14:paraId="5059B021">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1.1.4  本发包项目名称：见竞选人须知前附表。</w:t>
      </w:r>
    </w:p>
    <w:p w14:paraId="7DEE3BA4">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1.1.5  本项目建设地点：见竞选人须知前附表。</w:t>
      </w:r>
    </w:p>
    <w:p w14:paraId="08C42E33">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1.1.6  本项目建设规模：见竞选人须知前附表。</w:t>
      </w:r>
    </w:p>
    <w:p w14:paraId="3FDAA4AF">
      <w:pPr>
        <w:pStyle w:val="5"/>
        <w:snapToGrid w:val="0"/>
        <w:spacing w:before="0" w:after="0" w:line="360" w:lineRule="auto"/>
        <w:rPr>
          <w:rFonts w:ascii="宋体" w:hAnsi="宋体" w:cs="宋体"/>
          <w:b w:val="0"/>
          <w:snapToGrid w:val="0"/>
          <w:color w:val="auto"/>
          <w:sz w:val="24"/>
          <w:szCs w:val="24"/>
          <w:highlight w:val="none"/>
        </w:rPr>
      </w:pPr>
      <w:bookmarkStart w:id="61" w:name="_Toc25629"/>
      <w:bookmarkStart w:id="62" w:name="_Toc287607748"/>
      <w:bookmarkStart w:id="63" w:name="_Toc2933"/>
      <w:bookmarkStart w:id="64" w:name="_Toc287620687"/>
      <w:bookmarkStart w:id="65" w:name="_Toc40569047"/>
      <w:bookmarkStart w:id="66" w:name="_Toc277082554"/>
      <w:bookmarkStart w:id="67" w:name="_Toc430530437"/>
      <w:bookmarkStart w:id="68" w:name="_Toc40569142"/>
      <w:bookmarkStart w:id="69" w:name="_Toc21234"/>
      <w:bookmarkStart w:id="70" w:name="_Toc224103319"/>
      <w:bookmarkStart w:id="71" w:name="_Toc509218712"/>
      <w:bookmarkStart w:id="72" w:name="_Toc200513128"/>
      <w:r>
        <w:rPr>
          <w:rFonts w:hint="eastAsia" w:ascii="宋体" w:hAnsi="宋体" w:cs="宋体"/>
          <w:b w:val="0"/>
          <w:snapToGrid w:val="0"/>
          <w:color w:val="auto"/>
          <w:sz w:val="24"/>
          <w:szCs w:val="24"/>
          <w:highlight w:val="none"/>
        </w:rPr>
        <w:t>1.2  资金来源和落实情况</w:t>
      </w:r>
      <w:bookmarkEnd w:id="61"/>
      <w:bookmarkEnd w:id="62"/>
      <w:bookmarkEnd w:id="63"/>
      <w:bookmarkEnd w:id="64"/>
      <w:bookmarkEnd w:id="65"/>
      <w:bookmarkEnd w:id="66"/>
      <w:bookmarkEnd w:id="67"/>
      <w:bookmarkEnd w:id="68"/>
      <w:bookmarkEnd w:id="69"/>
      <w:bookmarkEnd w:id="70"/>
      <w:bookmarkEnd w:id="71"/>
      <w:bookmarkEnd w:id="72"/>
    </w:p>
    <w:p w14:paraId="596A7C4C">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1.2.1  本发包项目的资金来源：见竞选人须知前附表。</w:t>
      </w:r>
    </w:p>
    <w:p w14:paraId="27113D7E">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1.2.2  本发包项目的出资比例：见竞选人须知前附表。</w:t>
      </w:r>
    </w:p>
    <w:p w14:paraId="63CAC721">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1.2.3  本发包项目的资金落实情况：见竞选人须知前附表。</w:t>
      </w:r>
    </w:p>
    <w:p w14:paraId="027E0742">
      <w:pPr>
        <w:pStyle w:val="5"/>
        <w:snapToGrid w:val="0"/>
        <w:spacing w:before="0" w:after="0" w:line="360" w:lineRule="auto"/>
        <w:rPr>
          <w:rFonts w:ascii="宋体" w:hAnsi="宋体" w:cs="宋体"/>
          <w:b w:val="0"/>
          <w:snapToGrid w:val="0"/>
          <w:color w:val="auto"/>
          <w:sz w:val="24"/>
          <w:szCs w:val="24"/>
          <w:highlight w:val="none"/>
        </w:rPr>
      </w:pPr>
      <w:bookmarkStart w:id="73" w:name="_Toc277082555"/>
      <w:bookmarkStart w:id="74" w:name="_Toc509218713"/>
      <w:bookmarkStart w:id="75" w:name="_Toc21182"/>
      <w:bookmarkStart w:id="76" w:name="_Toc287620688"/>
      <w:bookmarkStart w:id="77" w:name="_Toc287607749"/>
      <w:bookmarkStart w:id="78" w:name="_Toc40569143"/>
      <w:bookmarkStart w:id="79" w:name="_Toc224103320"/>
      <w:bookmarkStart w:id="80" w:name="_Toc3621"/>
      <w:bookmarkStart w:id="81" w:name="_Toc23212"/>
      <w:bookmarkStart w:id="82" w:name="_Toc430530438"/>
      <w:bookmarkStart w:id="83" w:name="_Toc200513129"/>
      <w:bookmarkStart w:id="84" w:name="_Toc40569048"/>
      <w:r>
        <w:rPr>
          <w:rFonts w:hint="eastAsia" w:ascii="宋体" w:hAnsi="宋体" w:cs="宋体"/>
          <w:b w:val="0"/>
          <w:snapToGrid w:val="0"/>
          <w:color w:val="auto"/>
          <w:sz w:val="24"/>
          <w:szCs w:val="24"/>
          <w:highlight w:val="none"/>
        </w:rPr>
        <w:t>1.3  比选范围、监理服务期和质量要求</w:t>
      </w:r>
      <w:bookmarkEnd w:id="73"/>
      <w:bookmarkEnd w:id="74"/>
      <w:bookmarkEnd w:id="75"/>
      <w:bookmarkEnd w:id="76"/>
      <w:bookmarkEnd w:id="77"/>
      <w:bookmarkEnd w:id="78"/>
      <w:bookmarkEnd w:id="79"/>
      <w:bookmarkEnd w:id="80"/>
      <w:bookmarkEnd w:id="81"/>
      <w:bookmarkEnd w:id="82"/>
      <w:bookmarkEnd w:id="83"/>
      <w:bookmarkEnd w:id="84"/>
    </w:p>
    <w:p w14:paraId="0E7AC70D">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1.3.1  本次比选范围：见竞选人须知前附表。</w:t>
      </w:r>
    </w:p>
    <w:p w14:paraId="164BB7A1">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1.3.2  本项目的监理服务期：见竞选人须知前附表。</w:t>
      </w:r>
    </w:p>
    <w:p w14:paraId="4AC5A7DA">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1.3.3  本项目的质量要求：见竞选人须知前附表。</w:t>
      </w:r>
    </w:p>
    <w:p w14:paraId="0F63E5EA">
      <w:pPr>
        <w:pStyle w:val="5"/>
        <w:snapToGrid w:val="0"/>
        <w:spacing w:before="0" w:after="0" w:line="360" w:lineRule="auto"/>
        <w:rPr>
          <w:rFonts w:ascii="宋体" w:hAnsi="宋体" w:cs="宋体"/>
          <w:b w:val="0"/>
          <w:snapToGrid w:val="0"/>
          <w:color w:val="auto"/>
          <w:sz w:val="24"/>
          <w:szCs w:val="24"/>
          <w:highlight w:val="none"/>
        </w:rPr>
      </w:pPr>
      <w:bookmarkStart w:id="85" w:name="_Toc287620689"/>
      <w:bookmarkStart w:id="86" w:name="_Toc224103321"/>
      <w:bookmarkStart w:id="87" w:name="_Toc509218714"/>
      <w:bookmarkStart w:id="88" w:name="_Toc287607750"/>
      <w:bookmarkStart w:id="89" w:name="_Toc200513130"/>
      <w:bookmarkStart w:id="90" w:name="_Toc430530439"/>
      <w:bookmarkStart w:id="91" w:name="_Toc277082556"/>
      <w:bookmarkStart w:id="92" w:name="_Toc40569049"/>
      <w:bookmarkStart w:id="93" w:name="_Toc28521"/>
      <w:bookmarkStart w:id="94" w:name="_Toc30002"/>
      <w:bookmarkStart w:id="95" w:name="_Toc40569144"/>
      <w:bookmarkStart w:id="96" w:name="_Toc5712"/>
      <w:r>
        <w:rPr>
          <w:rFonts w:hint="eastAsia" w:ascii="宋体" w:hAnsi="宋体" w:cs="宋体"/>
          <w:b w:val="0"/>
          <w:snapToGrid w:val="0"/>
          <w:color w:val="auto"/>
          <w:sz w:val="24"/>
          <w:szCs w:val="24"/>
          <w:highlight w:val="none"/>
        </w:rPr>
        <w:t xml:space="preserve">1.4  </w:t>
      </w:r>
      <w:bookmarkEnd w:id="85"/>
      <w:bookmarkEnd w:id="86"/>
      <w:bookmarkEnd w:id="87"/>
      <w:bookmarkEnd w:id="88"/>
      <w:bookmarkEnd w:id="89"/>
      <w:bookmarkEnd w:id="90"/>
      <w:bookmarkEnd w:id="91"/>
      <w:bookmarkStart w:id="97" w:name="_Toc200513131"/>
      <w:bookmarkStart w:id="98" w:name="_Toc430530440"/>
      <w:bookmarkStart w:id="99" w:name="_Toc287607751"/>
      <w:bookmarkStart w:id="100" w:name="_Toc277082557"/>
      <w:bookmarkStart w:id="101" w:name="_Toc509218715"/>
      <w:bookmarkStart w:id="102" w:name="_Toc224103322"/>
      <w:bookmarkStart w:id="103" w:name="_Toc287620690"/>
      <w:r>
        <w:rPr>
          <w:rFonts w:hint="eastAsia" w:ascii="宋体" w:hAnsi="宋体" w:cs="宋体"/>
          <w:b w:val="0"/>
          <w:snapToGrid w:val="0"/>
          <w:color w:val="auto"/>
          <w:sz w:val="24"/>
          <w:szCs w:val="24"/>
          <w:highlight w:val="none"/>
        </w:rPr>
        <w:t>竞选人资格要求</w:t>
      </w:r>
      <w:bookmarkEnd w:id="92"/>
      <w:bookmarkEnd w:id="93"/>
      <w:bookmarkEnd w:id="94"/>
      <w:bookmarkEnd w:id="95"/>
      <w:bookmarkEnd w:id="96"/>
      <w:bookmarkEnd w:id="97"/>
      <w:bookmarkEnd w:id="98"/>
      <w:bookmarkEnd w:id="99"/>
      <w:bookmarkEnd w:id="100"/>
      <w:bookmarkEnd w:id="101"/>
      <w:bookmarkEnd w:id="102"/>
      <w:bookmarkEnd w:id="103"/>
    </w:p>
    <w:p w14:paraId="4D78B6D3">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1.4.1 竞选人应具备承担本项目的资质条件、能力和信誉。</w:t>
      </w:r>
    </w:p>
    <w:p w14:paraId="5CA3BF8A">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（1）资质条件、营业执照：见竞选人须知前附表；</w:t>
      </w:r>
    </w:p>
    <w:p w14:paraId="780EB421">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（2）财务要求：见竞选人须知前附表；</w:t>
      </w:r>
    </w:p>
    <w:p w14:paraId="2E6A526F">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（3）业绩要求：见竞选人须知前附表；</w:t>
      </w:r>
    </w:p>
    <w:p w14:paraId="35FE2781">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4</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竞选截止日竞选资格情况</w:t>
      </w:r>
      <w:r>
        <w:rPr>
          <w:rFonts w:ascii="宋体" w:hAnsi="宋体" w:cs="宋体"/>
          <w:snapToGrid w:val="0"/>
          <w:color w:val="auto"/>
          <w:kern w:val="0"/>
          <w:szCs w:val="21"/>
          <w:highlight w:val="none"/>
        </w:rPr>
        <w:t>要求：见</w:t>
      </w:r>
      <w:r>
        <w:rPr>
          <w:rFonts w:hint="eastAsia" w:ascii="宋体" w:hAnsi="宋体" w:cs="宋体"/>
          <w:snapToGrid w:val="0"/>
          <w:color w:val="auto"/>
          <w:kern w:val="0"/>
          <w:szCs w:val="21"/>
          <w:highlight w:val="none"/>
        </w:rPr>
        <w:t>竞选人</w:t>
      </w:r>
      <w:r>
        <w:rPr>
          <w:rFonts w:ascii="宋体" w:hAnsi="宋体" w:cs="宋体"/>
          <w:snapToGrid w:val="0"/>
          <w:color w:val="auto"/>
          <w:kern w:val="0"/>
          <w:szCs w:val="21"/>
          <w:highlight w:val="none"/>
        </w:rPr>
        <w:t>须知前附表；</w:t>
      </w:r>
    </w:p>
    <w:p w14:paraId="42530131">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（5）监理人员要求：见竞选人须知前附表；</w:t>
      </w:r>
    </w:p>
    <w:p w14:paraId="39FF3755">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（6）其他要求：见竞选人须知前附表。</w:t>
      </w:r>
    </w:p>
    <w:p w14:paraId="4E8438FB">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1.4.2  竞选人须知前附表规定接受联合体参与竞选的，除应符合本章第1.4.1项和竞选人须知前附表的要求外，还应遵守以下规定：</w:t>
      </w:r>
    </w:p>
    <w:p w14:paraId="717535BB">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（1）联合体各方应按比选文件提供的格式签订联合体协议书，明确联合体牵头人和各方权利义务；</w:t>
      </w:r>
    </w:p>
    <w:p w14:paraId="007F4625">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（2）联合体各方均应当具备承担竞选项目的相应能力；联合体协议约定同一专业分工由两个及以上单位共同承担的，按照就低不就高的原则确定联合体资质；</w:t>
      </w:r>
    </w:p>
    <w:p w14:paraId="1EFF6F20">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（3）联合体各方不得再以自己名义单独或参加其他联合体在同一标段中竞选。</w:t>
      </w:r>
    </w:p>
    <w:p w14:paraId="47BFC330">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1.4.3  竞选人不得存在下列情形之一：</w:t>
      </w:r>
    </w:p>
    <w:p w14:paraId="6CDF6B16">
      <w:pPr>
        <w:spacing w:line="400" w:lineRule="exact"/>
        <w:ind w:firstLine="420" w:firstLineChars="200"/>
        <w:rPr>
          <w:rFonts w:ascii="宋体" w:hAnsi="宋体"/>
          <w:color w:val="auto"/>
          <w:szCs w:val="21"/>
          <w:highlight w:val="none"/>
        </w:rPr>
      </w:pPr>
      <w:bookmarkStart w:id="104" w:name="_Toc277082558"/>
      <w:bookmarkStart w:id="105" w:name="_Toc287620691"/>
      <w:bookmarkStart w:id="106" w:name="_Toc200513132"/>
      <w:bookmarkStart w:id="107" w:name="_Toc40569145"/>
      <w:bookmarkStart w:id="108" w:name="_Toc430530441"/>
      <w:bookmarkStart w:id="109" w:name="_Toc40569050"/>
      <w:bookmarkStart w:id="110" w:name="_Toc509218716"/>
      <w:bookmarkStart w:id="111" w:name="_Toc7266"/>
      <w:bookmarkStart w:id="112" w:name="_Toc287607752"/>
      <w:bookmarkStart w:id="113" w:name="_Toc5221"/>
      <w:bookmarkStart w:id="114" w:name="_Toc224103323"/>
      <w:bookmarkStart w:id="115" w:name="_Toc9192"/>
      <w:r>
        <w:rPr>
          <w:rFonts w:hint="eastAsia" w:ascii="宋体" w:hAnsi="宋体"/>
          <w:color w:val="auto"/>
          <w:szCs w:val="21"/>
          <w:highlight w:val="none"/>
        </w:rPr>
        <w:t>（1）与比选人存在利害关系可能影响招标公正性的法人、其他组织或者个人；</w:t>
      </w:r>
    </w:p>
    <w:p w14:paraId="2E10DB4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（2）为本项目的代理人；</w:t>
      </w:r>
    </w:p>
    <w:p w14:paraId="2230BB0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（3）为本项目的代建人；</w:t>
      </w:r>
    </w:p>
    <w:p w14:paraId="4531F31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（4）为本项目提供比选代理服务的；</w:t>
      </w:r>
    </w:p>
    <w:p w14:paraId="43CA6DD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（5）与本项目的代建人或比选代理机构同为一个法定代表人的；</w:t>
      </w:r>
    </w:p>
    <w:p w14:paraId="56D27FB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（6）与本项目的代建人或比选代理机构相互控股或参股的；</w:t>
      </w:r>
    </w:p>
    <w:p w14:paraId="0D2384C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（7）与本项目的代建人或比选代理机构相互任职或工作的；</w:t>
      </w:r>
    </w:p>
    <w:p w14:paraId="2704435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（8）被责令停业的；</w:t>
      </w:r>
    </w:p>
    <w:p w14:paraId="200A345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（9）被暂停或取消投标资格的；</w:t>
      </w:r>
    </w:p>
    <w:p w14:paraId="6956D89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（10）财产被接管或冻结的；</w:t>
      </w:r>
    </w:p>
    <w:p w14:paraId="542826B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（11）单位负责人为同一人或者存在控股、管理关系的不同单位，不得在同一标段中同时参与竞选。</w:t>
      </w:r>
    </w:p>
    <w:p w14:paraId="1C52B33C">
      <w:pPr>
        <w:pStyle w:val="5"/>
        <w:snapToGrid w:val="0"/>
        <w:spacing w:before="0" w:after="0" w:line="360" w:lineRule="auto"/>
        <w:rPr>
          <w:rFonts w:ascii="宋体" w:hAnsi="宋体" w:cs="宋体"/>
          <w:b w:val="0"/>
          <w:snapToGrid w:val="0"/>
          <w:color w:val="auto"/>
          <w:sz w:val="24"/>
          <w:szCs w:val="24"/>
          <w:highlight w:val="none"/>
        </w:rPr>
      </w:pPr>
      <w:r>
        <w:rPr>
          <w:rFonts w:hint="eastAsia" w:ascii="宋体" w:hAnsi="宋体" w:cs="宋体"/>
          <w:b w:val="0"/>
          <w:snapToGrid w:val="0"/>
          <w:color w:val="auto"/>
          <w:sz w:val="24"/>
          <w:szCs w:val="24"/>
          <w:highlight w:val="none"/>
        </w:rPr>
        <w:t>1.5  费用承担</w:t>
      </w:r>
      <w:bookmarkEnd w:id="104"/>
      <w:bookmarkEnd w:id="105"/>
      <w:bookmarkEnd w:id="106"/>
      <w:bookmarkEnd w:id="107"/>
      <w:bookmarkEnd w:id="108"/>
      <w:bookmarkEnd w:id="109"/>
      <w:bookmarkEnd w:id="110"/>
      <w:bookmarkEnd w:id="111"/>
      <w:bookmarkEnd w:id="112"/>
      <w:bookmarkEnd w:id="113"/>
      <w:bookmarkEnd w:id="114"/>
      <w:bookmarkEnd w:id="115"/>
    </w:p>
    <w:p w14:paraId="0FAD3DD0">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竞选人准备和参加竞选活动发生的费用自理。</w:t>
      </w:r>
    </w:p>
    <w:p w14:paraId="2021AF4F">
      <w:pPr>
        <w:pStyle w:val="5"/>
        <w:snapToGrid w:val="0"/>
        <w:spacing w:before="0" w:after="0" w:line="360" w:lineRule="auto"/>
        <w:rPr>
          <w:rFonts w:ascii="宋体" w:hAnsi="宋体" w:cs="宋体"/>
          <w:b w:val="0"/>
          <w:snapToGrid w:val="0"/>
          <w:color w:val="auto"/>
          <w:sz w:val="24"/>
          <w:szCs w:val="24"/>
          <w:highlight w:val="none"/>
        </w:rPr>
      </w:pPr>
      <w:bookmarkStart w:id="116" w:name="_Toc277082559"/>
      <w:bookmarkStart w:id="117" w:name="_Toc509218717"/>
      <w:bookmarkStart w:id="118" w:name="_Toc5293"/>
      <w:bookmarkStart w:id="119" w:name="_Toc40569146"/>
      <w:bookmarkStart w:id="120" w:name="_Toc40569051"/>
      <w:bookmarkStart w:id="121" w:name="_Toc287607753"/>
      <w:bookmarkStart w:id="122" w:name="_Toc224103324"/>
      <w:bookmarkStart w:id="123" w:name="_Toc287620692"/>
      <w:bookmarkStart w:id="124" w:name="_Toc430530442"/>
      <w:bookmarkStart w:id="125" w:name="_Toc5781"/>
      <w:bookmarkStart w:id="126" w:name="_Toc20139"/>
      <w:bookmarkStart w:id="127" w:name="_Toc200513133"/>
      <w:r>
        <w:rPr>
          <w:rFonts w:hint="eastAsia" w:ascii="宋体" w:hAnsi="宋体" w:cs="宋体"/>
          <w:b w:val="0"/>
          <w:snapToGrid w:val="0"/>
          <w:color w:val="auto"/>
          <w:sz w:val="24"/>
          <w:szCs w:val="24"/>
          <w:highlight w:val="none"/>
        </w:rPr>
        <w:t>1.6  保密</w:t>
      </w:r>
      <w:bookmarkEnd w:id="116"/>
      <w:bookmarkEnd w:id="117"/>
      <w:bookmarkEnd w:id="118"/>
      <w:bookmarkEnd w:id="119"/>
      <w:bookmarkEnd w:id="120"/>
      <w:bookmarkEnd w:id="121"/>
      <w:bookmarkEnd w:id="122"/>
      <w:bookmarkEnd w:id="123"/>
      <w:bookmarkEnd w:id="124"/>
      <w:bookmarkEnd w:id="125"/>
      <w:bookmarkEnd w:id="126"/>
      <w:bookmarkEnd w:id="127"/>
    </w:p>
    <w:p w14:paraId="1B506419">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参与比选活动的各方应对比选文件和竞选文件中的商业和技术等秘密保密，违者应对由此造成的后果承担法律责任。</w:t>
      </w:r>
    </w:p>
    <w:p w14:paraId="712A0525">
      <w:pPr>
        <w:pStyle w:val="5"/>
        <w:snapToGrid w:val="0"/>
        <w:spacing w:before="0" w:after="0" w:line="360" w:lineRule="auto"/>
        <w:rPr>
          <w:rFonts w:ascii="宋体" w:hAnsi="宋体" w:cs="宋体"/>
          <w:b w:val="0"/>
          <w:snapToGrid w:val="0"/>
          <w:color w:val="auto"/>
          <w:sz w:val="24"/>
          <w:szCs w:val="24"/>
          <w:highlight w:val="none"/>
        </w:rPr>
      </w:pPr>
      <w:bookmarkStart w:id="128" w:name="_Toc10589"/>
      <w:bookmarkStart w:id="129" w:name="_Toc40569052"/>
      <w:bookmarkStart w:id="130" w:name="_Toc287620693"/>
      <w:bookmarkStart w:id="131" w:name="_Toc7317"/>
      <w:bookmarkStart w:id="132" w:name="_Toc200513134"/>
      <w:bookmarkStart w:id="133" w:name="_Toc32367"/>
      <w:bookmarkStart w:id="134" w:name="_Toc430530443"/>
      <w:bookmarkStart w:id="135" w:name="_Toc509218718"/>
      <w:bookmarkStart w:id="136" w:name="_Toc287607754"/>
      <w:bookmarkStart w:id="137" w:name="_Toc277082560"/>
      <w:bookmarkStart w:id="138" w:name="_Toc40569147"/>
      <w:bookmarkStart w:id="139" w:name="_Toc224103325"/>
      <w:r>
        <w:rPr>
          <w:rFonts w:hint="eastAsia" w:ascii="宋体" w:hAnsi="宋体" w:cs="宋体"/>
          <w:b w:val="0"/>
          <w:snapToGrid w:val="0"/>
          <w:color w:val="auto"/>
          <w:sz w:val="24"/>
          <w:szCs w:val="24"/>
          <w:highlight w:val="none"/>
        </w:rPr>
        <w:t>1.7  语言文字</w:t>
      </w:r>
      <w:bookmarkEnd w:id="128"/>
      <w:bookmarkEnd w:id="129"/>
      <w:bookmarkEnd w:id="130"/>
      <w:bookmarkEnd w:id="131"/>
      <w:bookmarkEnd w:id="132"/>
      <w:bookmarkEnd w:id="133"/>
      <w:bookmarkEnd w:id="134"/>
      <w:bookmarkEnd w:id="135"/>
      <w:bookmarkEnd w:id="136"/>
      <w:bookmarkEnd w:id="137"/>
      <w:bookmarkEnd w:id="138"/>
      <w:bookmarkEnd w:id="139"/>
    </w:p>
    <w:p w14:paraId="4E3A6593">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除专用术语外，与比选有关的语言均使用中文。必要时专用术语应附有中文注释。</w:t>
      </w:r>
    </w:p>
    <w:p w14:paraId="45210245">
      <w:pPr>
        <w:pStyle w:val="5"/>
        <w:snapToGrid w:val="0"/>
        <w:spacing w:before="0" w:after="0" w:line="360" w:lineRule="auto"/>
        <w:rPr>
          <w:rFonts w:ascii="宋体" w:hAnsi="宋体" w:cs="宋体"/>
          <w:b w:val="0"/>
          <w:snapToGrid w:val="0"/>
          <w:color w:val="auto"/>
          <w:sz w:val="24"/>
          <w:szCs w:val="24"/>
          <w:highlight w:val="none"/>
        </w:rPr>
      </w:pPr>
      <w:bookmarkStart w:id="140" w:name="_Toc287607755"/>
      <w:bookmarkStart w:id="141" w:name="_Toc277082561"/>
      <w:bookmarkStart w:id="142" w:name="_Toc200513135"/>
      <w:bookmarkStart w:id="143" w:name="_Toc40569148"/>
      <w:bookmarkStart w:id="144" w:name="_Toc430530444"/>
      <w:bookmarkStart w:id="145" w:name="_Toc7911"/>
      <w:bookmarkStart w:id="146" w:name="_Toc509218719"/>
      <w:bookmarkStart w:id="147" w:name="_Toc23841"/>
      <w:bookmarkStart w:id="148" w:name="_Toc1276"/>
      <w:bookmarkStart w:id="149" w:name="_Toc287620694"/>
      <w:bookmarkStart w:id="150" w:name="_Toc224103326"/>
      <w:bookmarkStart w:id="151" w:name="_Toc40569053"/>
      <w:r>
        <w:rPr>
          <w:rFonts w:hint="eastAsia" w:ascii="宋体" w:hAnsi="宋体" w:cs="宋体"/>
          <w:b w:val="0"/>
          <w:snapToGrid w:val="0"/>
          <w:color w:val="auto"/>
          <w:sz w:val="24"/>
          <w:szCs w:val="24"/>
          <w:highlight w:val="none"/>
        </w:rPr>
        <w:t>1.8  计量单位</w:t>
      </w:r>
      <w:bookmarkEnd w:id="140"/>
      <w:bookmarkEnd w:id="141"/>
      <w:bookmarkEnd w:id="142"/>
      <w:bookmarkEnd w:id="143"/>
      <w:bookmarkEnd w:id="144"/>
      <w:bookmarkEnd w:id="145"/>
      <w:bookmarkEnd w:id="146"/>
      <w:bookmarkEnd w:id="147"/>
      <w:bookmarkEnd w:id="148"/>
      <w:bookmarkEnd w:id="149"/>
      <w:bookmarkEnd w:id="150"/>
      <w:bookmarkEnd w:id="151"/>
    </w:p>
    <w:p w14:paraId="305564E9">
      <w:pPr>
        <w:autoSpaceDE w:val="0"/>
        <w:autoSpaceDN w:val="0"/>
        <w:adjustRightInd w:val="0"/>
        <w:snapToGrid w:val="0"/>
        <w:spacing w:line="360" w:lineRule="auto"/>
        <w:ind w:firstLine="424" w:firstLineChars="202"/>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所有计量均采用中华人民共和国法定计量单位。</w:t>
      </w:r>
    </w:p>
    <w:p w14:paraId="2475A426">
      <w:pPr>
        <w:pStyle w:val="5"/>
        <w:snapToGrid w:val="0"/>
        <w:spacing w:before="0" w:after="0" w:line="360" w:lineRule="auto"/>
        <w:rPr>
          <w:rFonts w:ascii="宋体" w:hAnsi="宋体" w:cs="宋体"/>
          <w:b w:val="0"/>
          <w:snapToGrid w:val="0"/>
          <w:color w:val="auto"/>
          <w:sz w:val="24"/>
          <w:szCs w:val="24"/>
          <w:highlight w:val="none"/>
        </w:rPr>
      </w:pPr>
      <w:bookmarkStart w:id="152" w:name="_Toc287607756"/>
      <w:bookmarkStart w:id="153" w:name="_Toc287620695"/>
      <w:bookmarkStart w:id="154" w:name="_Toc277082562"/>
      <w:bookmarkStart w:id="155" w:name="_Toc430530445"/>
      <w:bookmarkStart w:id="156" w:name="_Toc200513136"/>
      <w:bookmarkStart w:id="157" w:name="_Toc509218720"/>
      <w:bookmarkStart w:id="158" w:name="_Toc40569054"/>
      <w:bookmarkStart w:id="159" w:name="_Toc40569149"/>
      <w:bookmarkStart w:id="160" w:name="_Toc11881"/>
      <w:bookmarkStart w:id="161" w:name="_Toc224103327"/>
      <w:bookmarkStart w:id="162" w:name="_Toc5120"/>
      <w:bookmarkStart w:id="163" w:name="_Toc5390"/>
      <w:r>
        <w:rPr>
          <w:rFonts w:hint="eastAsia" w:ascii="宋体" w:hAnsi="宋体" w:cs="宋体"/>
          <w:b w:val="0"/>
          <w:snapToGrid w:val="0"/>
          <w:color w:val="auto"/>
          <w:sz w:val="24"/>
          <w:szCs w:val="24"/>
          <w:highlight w:val="none"/>
        </w:rPr>
        <w:t>1.9  踏勘现场</w:t>
      </w:r>
      <w:bookmarkEnd w:id="152"/>
      <w:bookmarkEnd w:id="153"/>
      <w:bookmarkEnd w:id="154"/>
      <w:bookmarkEnd w:id="155"/>
      <w:bookmarkEnd w:id="156"/>
      <w:bookmarkEnd w:id="157"/>
      <w:bookmarkEnd w:id="158"/>
      <w:bookmarkEnd w:id="159"/>
      <w:bookmarkEnd w:id="160"/>
      <w:bookmarkEnd w:id="161"/>
      <w:bookmarkEnd w:id="162"/>
      <w:bookmarkEnd w:id="163"/>
    </w:p>
    <w:p w14:paraId="050CE4E4">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1.9.1  竞选人须知前附表规定组织踏勘现场的，比选人按竞选人须知前附表规定的时间、 地点组织竞选人踏勘项目现场。</w:t>
      </w:r>
    </w:p>
    <w:p w14:paraId="77C5F9D3">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1.9.2  竞选人踏勘现场发生的费用自理。</w:t>
      </w:r>
    </w:p>
    <w:p w14:paraId="11912801">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1.9.3  除比选人的原因外，竞选人自行负责在踏勘现场中所发生的人员伤亡和财产损失。</w:t>
      </w:r>
    </w:p>
    <w:p w14:paraId="099D49AA">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1.9.4  比选人在踏勘现场中介绍的工程场地和相关的周边环境情况，供竞选人在编制竞选文件时参考，比选人不对竞选人据此做出的判断和决策负责。</w:t>
      </w:r>
    </w:p>
    <w:p w14:paraId="6CBB5CAB">
      <w:pPr>
        <w:pStyle w:val="5"/>
        <w:snapToGrid w:val="0"/>
        <w:spacing w:before="0" w:after="0" w:line="360" w:lineRule="auto"/>
        <w:rPr>
          <w:rFonts w:ascii="宋体" w:hAnsi="宋体" w:cs="宋体"/>
          <w:b w:val="0"/>
          <w:snapToGrid w:val="0"/>
          <w:color w:val="auto"/>
          <w:sz w:val="24"/>
          <w:szCs w:val="24"/>
          <w:highlight w:val="none"/>
        </w:rPr>
      </w:pPr>
      <w:bookmarkStart w:id="164" w:name="_Toc277082563"/>
      <w:bookmarkStart w:id="165" w:name="_Toc287607757"/>
      <w:bookmarkStart w:id="166" w:name="_Toc430530446"/>
      <w:bookmarkStart w:id="167" w:name="_Toc509218721"/>
      <w:bookmarkStart w:id="168" w:name="_Toc40569150"/>
      <w:bookmarkStart w:id="169" w:name="_Toc287620696"/>
      <w:bookmarkStart w:id="170" w:name="_Toc40569055"/>
      <w:bookmarkStart w:id="171" w:name="_Toc224103328"/>
      <w:bookmarkStart w:id="172" w:name="_Toc14731"/>
      <w:bookmarkStart w:id="173" w:name="_Toc27798"/>
      <w:bookmarkStart w:id="174" w:name="_Toc200513137"/>
      <w:bookmarkStart w:id="175" w:name="_Toc10229"/>
      <w:r>
        <w:rPr>
          <w:rFonts w:hint="eastAsia" w:ascii="宋体" w:hAnsi="宋体" w:cs="宋体"/>
          <w:b w:val="0"/>
          <w:snapToGrid w:val="0"/>
          <w:color w:val="auto"/>
          <w:sz w:val="24"/>
          <w:szCs w:val="24"/>
          <w:highlight w:val="none"/>
        </w:rPr>
        <w:t>1.10  比选预备会</w:t>
      </w:r>
      <w:bookmarkEnd w:id="164"/>
      <w:bookmarkEnd w:id="165"/>
      <w:bookmarkEnd w:id="166"/>
      <w:bookmarkEnd w:id="167"/>
      <w:bookmarkEnd w:id="168"/>
      <w:bookmarkEnd w:id="169"/>
      <w:bookmarkEnd w:id="170"/>
      <w:bookmarkEnd w:id="171"/>
      <w:bookmarkEnd w:id="172"/>
      <w:bookmarkEnd w:id="173"/>
      <w:bookmarkEnd w:id="174"/>
      <w:bookmarkEnd w:id="175"/>
    </w:p>
    <w:p w14:paraId="2263CB2D">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1.10.1  竞选人须知前附表规定召开比选预备会的，比选人按竞选人须知前附表规定的时间和地点召开预备会，澄清竞选人提出的问题。</w:t>
      </w:r>
    </w:p>
    <w:p w14:paraId="5909B8E8">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1.10.2  竞选人应在竞选人须知前附表</w:t>
      </w:r>
      <w:r>
        <w:rPr>
          <w:rFonts w:hint="eastAsia" w:ascii="宋体" w:hAnsi="宋体" w:cs="宋体"/>
          <w:color w:val="auto"/>
          <w:kern w:val="0"/>
          <w:szCs w:val="21"/>
          <w:highlight w:val="none"/>
        </w:rPr>
        <w:t>2.2.4</w:t>
      </w:r>
      <w:r>
        <w:rPr>
          <w:rFonts w:hint="eastAsia" w:ascii="宋体" w:hAnsi="宋体" w:cs="宋体"/>
          <w:snapToGrid w:val="0"/>
          <w:color w:val="auto"/>
          <w:kern w:val="0"/>
          <w:szCs w:val="21"/>
          <w:highlight w:val="none"/>
        </w:rPr>
        <w:t>规定的时间前，以书面形式将提出的问题送达比选人，以便比选人澄清。</w:t>
      </w:r>
    </w:p>
    <w:p w14:paraId="76FF4088">
      <w:pPr>
        <w:autoSpaceDE w:val="0"/>
        <w:autoSpaceDN w:val="0"/>
        <w:adjustRightInd w:val="0"/>
        <w:snapToGrid w:val="0"/>
        <w:spacing w:line="360" w:lineRule="auto"/>
        <w:ind w:firstLine="424" w:firstLineChars="202"/>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1.10.3  比选人在竞选人须知前附表规定的时间内，将对竞选人所提</w:t>
      </w:r>
      <w:r>
        <w:rPr>
          <w:rFonts w:hint="eastAsia" w:ascii="宋体" w:hAnsi="宋体" w:cs="宋体"/>
          <w:snapToGrid w:val="0"/>
          <w:color w:val="auto"/>
          <w:kern w:val="0"/>
          <w:position w:val="-2"/>
          <w:szCs w:val="21"/>
          <w:highlight w:val="none"/>
        </w:rPr>
        <w:t>的</w:t>
      </w:r>
      <w:r>
        <w:rPr>
          <w:rFonts w:hint="eastAsia" w:ascii="宋体" w:hAnsi="宋体" w:cs="宋体"/>
          <w:snapToGrid w:val="0"/>
          <w:color w:val="auto"/>
          <w:kern w:val="0"/>
          <w:szCs w:val="21"/>
          <w:highlight w:val="none"/>
        </w:rPr>
        <w:t>问题</w:t>
      </w:r>
      <w:r>
        <w:rPr>
          <w:rFonts w:hint="eastAsia" w:ascii="宋体" w:hAnsi="宋体" w:cs="宋体"/>
          <w:snapToGrid w:val="0"/>
          <w:color w:val="auto"/>
          <w:kern w:val="0"/>
          <w:position w:val="-2"/>
          <w:szCs w:val="21"/>
          <w:highlight w:val="none"/>
        </w:rPr>
        <w:t>进行澄清。该澄清内容为比选文件的组成部分。</w:t>
      </w:r>
    </w:p>
    <w:p w14:paraId="7A5DFA2C">
      <w:pPr>
        <w:pStyle w:val="5"/>
        <w:snapToGrid w:val="0"/>
        <w:spacing w:before="0" w:after="0" w:line="360" w:lineRule="auto"/>
        <w:rPr>
          <w:rFonts w:ascii="宋体" w:hAnsi="宋体" w:cs="宋体"/>
          <w:b w:val="0"/>
          <w:snapToGrid w:val="0"/>
          <w:color w:val="auto"/>
          <w:sz w:val="24"/>
          <w:szCs w:val="24"/>
          <w:highlight w:val="none"/>
        </w:rPr>
      </w:pPr>
      <w:bookmarkStart w:id="176" w:name="_Toc287607758"/>
      <w:bookmarkStart w:id="177" w:name="_Toc224103329"/>
      <w:bookmarkStart w:id="178" w:name="_Toc21877"/>
      <w:bookmarkStart w:id="179" w:name="_Toc200513138"/>
      <w:bookmarkStart w:id="180" w:name="_Toc7176"/>
      <w:bookmarkStart w:id="181" w:name="_Toc430530447"/>
      <w:bookmarkStart w:id="182" w:name="_Toc277082564"/>
      <w:bookmarkStart w:id="183" w:name="_Toc28064"/>
      <w:bookmarkStart w:id="184" w:name="_Toc287620697"/>
      <w:bookmarkStart w:id="185" w:name="_Toc40569151"/>
      <w:bookmarkStart w:id="186" w:name="_Toc509218722"/>
      <w:bookmarkStart w:id="187" w:name="_Toc40569056"/>
      <w:r>
        <w:rPr>
          <w:rFonts w:hint="eastAsia" w:ascii="宋体" w:hAnsi="宋体" w:cs="宋体"/>
          <w:b w:val="0"/>
          <w:snapToGrid w:val="0"/>
          <w:color w:val="auto"/>
          <w:sz w:val="24"/>
          <w:szCs w:val="24"/>
          <w:highlight w:val="none"/>
        </w:rPr>
        <w:t>1.11  分包</w:t>
      </w:r>
      <w:bookmarkEnd w:id="176"/>
      <w:bookmarkEnd w:id="177"/>
      <w:bookmarkEnd w:id="178"/>
      <w:bookmarkEnd w:id="179"/>
      <w:bookmarkEnd w:id="180"/>
      <w:bookmarkEnd w:id="181"/>
      <w:bookmarkEnd w:id="182"/>
      <w:bookmarkEnd w:id="183"/>
      <w:bookmarkEnd w:id="184"/>
      <w:bookmarkEnd w:id="185"/>
      <w:bookmarkEnd w:id="186"/>
      <w:bookmarkEnd w:id="187"/>
    </w:p>
    <w:p w14:paraId="26C85687">
      <w:pPr>
        <w:autoSpaceDE w:val="0"/>
        <w:autoSpaceDN w:val="0"/>
        <w:adjustRightInd w:val="0"/>
        <w:snapToGrid w:val="0"/>
        <w:spacing w:line="360" w:lineRule="auto"/>
        <w:ind w:firstLine="426"/>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竞选人拟在中选后将中选项目的部分非主体、非关键性工作进行分包的，应符合竞选人须知前附表规定的分包内容、分包金额和接受分包的第三人资质要求等限制性条件。</w:t>
      </w:r>
    </w:p>
    <w:p w14:paraId="108E4044">
      <w:pPr>
        <w:pStyle w:val="5"/>
        <w:snapToGrid w:val="0"/>
        <w:spacing w:before="0" w:after="0" w:line="360" w:lineRule="auto"/>
        <w:rPr>
          <w:rFonts w:ascii="宋体" w:hAnsi="宋体" w:cs="宋体"/>
          <w:b w:val="0"/>
          <w:snapToGrid w:val="0"/>
          <w:color w:val="auto"/>
          <w:sz w:val="24"/>
          <w:szCs w:val="24"/>
          <w:highlight w:val="none"/>
        </w:rPr>
      </w:pPr>
      <w:bookmarkStart w:id="188" w:name="_Toc40569057"/>
      <w:bookmarkStart w:id="189" w:name="_Toc277082565"/>
      <w:bookmarkStart w:id="190" w:name="_Toc509218723"/>
      <w:bookmarkStart w:id="191" w:name="_Toc287607759"/>
      <w:bookmarkStart w:id="192" w:name="_Toc224103330"/>
      <w:bookmarkStart w:id="193" w:name="_Toc40569152"/>
      <w:bookmarkStart w:id="194" w:name="_Toc29373"/>
      <w:bookmarkStart w:id="195" w:name="_Toc5934"/>
      <w:bookmarkStart w:id="196" w:name="_Toc287620698"/>
      <w:bookmarkStart w:id="197" w:name="_Toc200513139"/>
      <w:bookmarkStart w:id="198" w:name="_Toc430530448"/>
      <w:bookmarkStart w:id="199" w:name="_Toc23307"/>
      <w:r>
        <w:rPr>
          <w:rFonts w:hint="eastAsia" w:ascii="宋体" w:hAnsi="宋体" w:cs="宋体"/>
          <w:b w:val="0"/>
          <w:snapToGrid w:val="0"/>
          <w:color w:val="auto"/>
          <w:sz w:val="24"/>
          <w:szCs w:val="24"/>
          <w:highlight w:val="none"/>
        </w:rPr>
        <w:t>1.12  偏离</w:t>
      </w:r>
      <w:bookmarkEnd w:id="188"/>
      <w:bookmarkEnd w:id="189"/>
      <w:bookmarkEnd w:id="190"/>
      <w:bookmarkEnd w:id="191"/>
      <w:bookmarkEnd w:id="192"/>
      <w:bookmarkEnd w:id="193"/>
      <w:bookmarkEnd w:id="194"/>
      <w:bookmarkEnd w:id="195"/>
      <w:bookmarkEnd w:id="196"/>
      <w:bookmarkEnd w:id="197"/>
      <w:bookmarkEnd w:id="198"/>
      <w:bookmarkEnd w:id="199"/>
    </w:p>
    <w:p w14:paraId="2120D785">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竞选人须知前附表允许竞选文件偏离比选文件某些要求的，偏离应当符合比选文件规定的偏离范围和幅度。</w:t>
      </w:r>
    </w:p>
    <w:p w14:paraId="6D9C40CA">
      <w:pPr>
        <w:pStyle w:val="4"/>
        <w:spacing w:before="0" w:after="0" w:line="360" w:lineRule="auto"/>
        <w:rPr>
          <w:rFonts w:ascii="宋体" w:hAnsi="宋体" w:cs="宋体"/>
          <w:b w:val="0"/>
          <w:snapToGrid w:val="0"/>
          <w:color w:val="auto"/>
          <w:sz w:val="24"/>
          <w:szCs w:val="24"/>
          <w:highlight w:val="none"/>
        </w:rPr>
      </w:pPr>
      <w:bookmarkStart w:id="200" w:name="_Toc430530449"/>
      <w:bookmarkStart w:id="201" w:name="_Toc7676"/>
      <w:bookmarkStart w:id="202" w:name="_Toc200513140"/>
      <w:bookmarkStart w:id="203" w:name="_Toc23017"/>
      <w:bookmarkStart w:id="204" w:name="_Toc287607760"/>
      <w:bookmarkStart w:id="205" w:name="_Toc277082566"/>
      <w:bookmarkStart w:id="206" w:name="_Toc224103331"/>
      <w:bookmarkStart w:id="207" w:name="_Toc10764"/>
      <w:bookmarkStart w:id="208" w:name="_Toc509218724"/>
      <w:bookmarkStart w:id="209" w:name="_Toc287620699"/>
      <w:r>
        <w:rPr>
          <w:rFonts w:hint="eastAsia" w:ascii="宋体" w:hAnsi="宋体" w:cs="宋体"/>
          <w:b w:val="0"/>
          <w:snapToGrid w:val="0"/>
          <w:color w:val="auto"/>
          <w:sz w:val="24"/>
          <w:szCs w:val="24"/>
          <w:highlight w:val="none"/>
        </w:rPr>
        <w:t>2.  比选文件</w:t>
      </w:r>
      <w:bookmarkEnd w:id="200"/>
      <w:bookmarkEnd w:id="201"/>
      <w:bookmarkEnd w:id="202"/>
      <w:bookmarkEnd w:id="203"/>
      <w:bookmarkEnd w:id="204"/>
      <w:bookmarkEnd w:id="205"/>
      <w:bookmarkEnd w:id="206"/>
      <w:bookmarkEnd w:id="207"/>
      <w:bookmarkEnd w:id="208"/>
      <w:bookmarkEnd w:id="209"/>
    </w:p>
    <w:p w14:paraId="296F3507">
      <w:pPr>
        <w:pStyle w:val="5"/>
        <w:snapToGrid w:val="0"/>
        <w:spacing w:before="0" w:after="0" w:line="360" w:lineRule="auto"/>
        <w:rPr>
          <w:rFonts w:ascii="宋体" w:hAnsi="宋体" w:cs="宋体"/>
          <w:b w:val="0"/>
          <w:snapToGrid w:val="0"/>
          <w:color w:val="auto"/>
          <w:sz w:val="24"/>
          <w:szCs w:val="24"/>
          <w:highlight w:val="none"/>
        </w:rPr>
      </w:pPr>
      <w:bookmarkStart w:id="210" w:name="_Toc40569154"/>
      <w:bookmarkStart w:id="211" w:name="_Toc200513141"/>
      <w:bookmarkStart w:id="212" w:name="_Toc287620700"/>
      <w:bookmarkStart w:id="213" w:name="_Toc1329"/>
      <w:bookmarkStart w:id="214" w:name="_Toc277082567"/>
      <w:bookmarkStart w:id="215" w:name="_Toc21327"/>
      <w:bookmarkStart w:id="216" w:name="_Toc509218725"/>
      <w:bookmarkStart w:id="217" w:name="_Toc40569059"/>
      <w:bookmarkStart w:id="218" w:name="_Toc224103332"/>
      <w:bookmarkStart w:id="219" w:name="_Toc430530450"/>
      <w:bookmarkStart w:id="220" w:name="_Toc31485"/>
      <w:bookmarkStart w:id="221" w:name="_Toc287607761"/>
      <w:r>
        <w:rPr>
          <w:rFonts w:hint="eastAsia" w:ascii="宋体" w:hAnsi="宋体" w:cs="宋体"/>
          <w:b w:val="0"/>
          <w:snapToGrid w:val="0"/>
          <w:color w:val="auto"/>
          <w:sz w:val="24"/>
          <w:szCs w:val="24"/>
          <w:highlight w:val="none"/>
        </w:rPr>
        <w:t>2.1  比选文件的组成</w:t>
      </w:r>
      <w:bookmarkEnd w:id="210"/>
      <w:bookmarkEnd w:id="211"/>
      <w:bookmarkEnd w:id="212"/>
      <w:bookmarkEnd w:id="213"/>
      <w:bookmarkEnd w:id="214"/>
      <w:bookmarkEnd w:id="215"/>
      <w:bookmarkEnd w:id="216"/>
      <w:bookmarkEnd w:id="217"/>
      <w:bookmarkEnd w:id="218"/>
      <w:bookmarkEnd w:id="219"/>
      <w:bookmarkEnd w:id="220"/>
      <w:bookmarkEnd w:id="221"/>
    </w:p>
    <w:p w14:paraId="2E52768C">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本比选文件包括：</w:t>
      </w:r>
    </w:p>
    <w:p w14:paraId="02150847">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（1）比选公告；</w:t>
      </w:r>
    </w:p>
    <w:p w14:paraId="5D2A67AB">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（2）竞选人须知；</w:t>
      </w:r>
    </w:p>
    <w:p w14:paraId="7B931B34">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（3）评选办法；</w:t>
      </w:r>
    </w:p>
    <w:p w14:paraId="6219FF7A">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（4）合同条款及格式；</w:t>
      </w:r>
    </w:p>
    <w:p w14:paraId="185BB3BE">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（5）监理工作规范及技术标准；</w:t>
      </w:r>
    </w:p>
    <w:p w14:paraId="7A59814A">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（6）竞选文件格式；</w:t>
      </w:r>
    </w:p>
    <w:p w14:paraId="25FF40C4">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（7）竞选人须知前附表规定的其他材料。</w:t>
      </w:r>
    </w:p>
    <w:p w14:paraId="058B32D9">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根据本章第1.10款、第2.2款和第2.3款对比选文件所作的澄清、修改，构成比选文件的组成部分。</w:t>
      </w:r>
    </w:p>
    <w:p w14:paraId="5F9FFD13">
      <w:pPr>
        <w:pStyle w:val="5"/>
        <w:snapToGrid w:val="0"/>
        <w:spacing w:before="0" w:after="0" w:line="360" w:lineRule="auto"/>
        <w:rPr>
          <w:rFonts w:ascii="宋体" w:hAnsi="宋体" w:cs="宋体"/>
          <w:b w:val="0"/>
          <w:snapToGrid w:val="0"/>
          <w:color w:val="auto"/>
          <w:sz w:val="24"/>
          <w:szCs w:val="24"/>
          <w:highlight w:val="none"/>
        </w:rPr>
      </w:pPr>
      <w:bookmarkStart w:id="222" w:name="_Toc20393"/>
      <w:bookmarkStart w:id="223" w:name="_Toc25357"/>
      <w:bookmarkStart w:id="224" w:name="_Toc430530451"/>
      <w:bookmarkStart w:id="225" w:name="_Toc40569155"/>
      <w:bookmarkStart w:id="226" w:name="_Toc5751"/>
      <w:bookmarkStart w:id="227" w:name="_Toc40569060"/>
      <w:bookmarkStart w:id="228" w:name="_Toc509218726"/>
      <w:r>
        <w:rPr>
          <w:rFonts w:hint="eastAsia" w:ascii="宋体" w:hAnsi="宋体" w:cs="宋体"/>
          <w:b w:val="0"/>
          <w:snapToGrid w:val="0"/>
          <w:color w:val="auto"/>
          <w:sz w:val="24"/>
          <w:szCs w:val="24"/>
          <w:highlight w:val="none"/>
        </w:rPr>
        <w:t>2.2  比选文件的澄清</w:t>
      </w:r>
      <w:bookmarkEnd w:id="222"/>
      <w:bookmarkEnd w:id="223"/>
      <w:bookmarkEnd w:id="224"/>
      <w:bookmarkEnd w:id="225"/>
      <w:bookmarkEnd w:id="226"/>
      <w:bookmarkEnd w:id="227"/>
      <w:bookmarkEnd w:id="228"/>
    </w:p>
    <w:p w14:paraId="483290F4">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2.2.1  竞选人应仔细阅读和检查比选文件的全部内容。如发现缺页或附件不全，应及时向比选人提出，以便补齐。如有疑问，应在竞选人须知前附表规定的时间前</w:t>
      </w:r>
      <w:r>
        <w:rPr>
          <w:rFonts w:hint="eastAsia" w:ascii="宋体" w:hAnsi="宋体" w:cs="宋体"/>
          <w:color w:val="auto"/>
          <w:kern w:val="0"/>
          <w:szCs w:val="21"/>
          <w:highlight w:val="none"/>
        </w:rPr>
        <w:t>以书面形式向比选人或代理机构提出</w:t>
      </w:r>
      <w:r>
        <w:rPr>
          <w:rFonts w:hint="eastAsia" w:ascii="宋体" w:hAnsi="宋体" w:cs="宋体"/>
          <w:snapToGrid w:val="0"/>
          <w:color w:val="auto"/>
          <w:kern w:val="0"/>
          <w:szCs w:val="21"/>
          <w:highlight w:val="none"/>
        </w:rPr>
        <w:t>，要求比选人对比选文件予以澄清。</w:t>
      </w:r>
    </w:p>
    <w:p w14:paraId="3B2417D1">
      <w:pPr>
        <w:pStyle w:val="5"/>
        <w:snapToGrid w:val="0"/>
        <w:spacing w:before="0" w:after="0" w:line="360" w:lineRule="auto"/>
        <w:rPr>
          <w:rFonts w:ascii="宋体" w:hAnsi="宋体" w:cs="宋体"/>
          <w:b w:val="0"/>
          <w:snapToGrid w:val="0"/>
          <w:color w:val="auto"/>
          <w:sz w:val="24"/>
          <w:szCs w:val="24"/>
          <w:highlight w:val="none"/>
        </w:rPr>
      </w:pPr>
      <w:bookmarkStart w:id="229" w:name="_Toc40569156"/>
      <w:bookmarkStart w:id="230" w:name="_Toc26098"/>
      <w:bookmarkStart w:id="231" w:name="_Toc200513143"/>
      <w:bookmarkStart w:id="232" w:name="_Toc430530452"/>
      <w:bookmarkStart w:id="233" w:name="_Toc8378"/>
      <w:bookmarkStart w:id="234" w:name="_Toc509218727"/>
      <w:bookmarkStart w:id="235" w:name="_Toc277082569"/>
      <w:bookmarkStart w:id="236" w:name="_Toc287620702"/>
      <w:bookmarkStart w:id="237" w:name="_Toc287607763"/>
      <w:bookmarkStart w:id="238" w:name="_Toc14087"/>
      <w:bookmarkStart w:id="239" w:name="_Toc40569061"/>
      <w:bookmarkStart w:id="240" w:name="_Toc224103334"/>
      <w:r>
        <w:rPr>
          <w:rFonts w:hint="eastAsia" w:ascii="宋体" w:hAnsi="宋体" w:cs="宋体"/>
          <w:b w:val="0"/>
          <w:snapToGrid w:val="0"/>
          <w:color w:val="auto"/>
          <w:sz w:val="24"/>
          <w:szCs w:val="24"/>
          <w:highlight w:val="none"/>
        </w:rPr>
        <w:t>2.3  比选文件的修改</w:t>
      </w:r>
      <w:bookmarkEnd w:id="229"/>
      <w:bookmarkEnd w:id="230"/>
      <w:bookmarkEnd w:id="231"/>
      <w:bookmarkEnd w:id="232"/>
      <w:bookmarkEnd w:id="233"/>
      <w:bookmarkEnd w:id="234"/>
      <w:bookmarkEnd w:id="235"/>
      <w:bookmarkEnd w:id="236"/>
      <w:bookmarkEnd w:id="237"/>
      <w:bookmarkEnd w:id="238"/>
      <w:bookmarkEnd w:id="239"/>
      <w:bookmarkEnd w:id="240"/>
    </w:p>
    <w:p w14:paraId="5640D43D">
      <w:pPr>
        <w:autoSpaceDE w:val="0"/>
        <w:autoSpaceDN w:val="0"/>
        <w:adjustRightInd w:val="0"/>
        <w:snapToGrid w:val="0"/>
        <w:spacing w:line="360" w:lineRule="auto"/>
        <w:ind w:firstLine="420"/>
        <w:rPr>
          <w:rFonts w:ascii="宋体" w:hAnsi="宋体" w:cs="宋体"/>
          <w:snapToGrid w:val="0"/>
          <w:color w:val="auto"/>
          <w:highlight w:val="none"/>
        </w:rPr>
      </w:pPr>
      <w:bookmarkStart w:id="241" w:name="_Toc287607764"/>
      <w:bookmarkStart w:id="242" w:name="_Toc200513144"/>
      <w:bookmarkStart w:id="243" w:name="_Toc287620703"/>
      <w:bookmarkStart w:id="244" w:name="_Toc277082570"/>
      <w:bookmarkStart w:id="245" w:name="_Toc224103335"/>
      <w:r>
        <w:rPr>
          <w:rFonts w:hint="eastAsia" w:ascii="宋体" w:hAnsi="宋体" w:cs="宋体"/>
          <w:snapToGrid w:val="0"/>
          <w:color w:val="auto"/>
          <w:highlight w:val="none"/>
        </w:rPr>
        <w:t>按照本章2.2比选文件的澄清相关内容及方式执行。</w:t>
      </w:r>
    </w:p>
    <w:p w14:paraId="03D833B1">
      <w:pPr>
        <w:pStyle w:val="4"/>
        <w:spacing w:before="0" w:after="0" w:line="360" w:lineRule="auto"/>
        <w:rPr>
          <w:rFonts w:ascii="宋体" w:hAnsi="宋体" w:cs="宋体"/>
          <w:b w:val="0"/>
          <w:snapToGrid w:val="0"/>
          <w:color w:val="auto"/>
          <w:sz w:val="24"/>
          <w:szCs w:val="24"/>
          <w:highlight w:val="none"/>
        </w:rPr>
      </w:pPr>
      <w:bookmarkStart w:id="246" w:name="_Toc6009"/>
      <w:bookmarkStart w:id="247" w:name="_Toc5400"/>
      <w:bookmarkStart w:id="248" w:name="_Toc430530453"/>
      <w:bookmarkStart w:id="249" w:name="_Toc509218728"/>
      <w:bookmarkStart w:id="250" w:name="_Toc22016"/>
      <w:r>
        <w:rPr>
          <w:rFonts w:hint="eastAsia" w:ascii="宋体" w:hAnsi="宋体" w:cs="宋体"/>
          <w:b w:val="0"/>
          <w:snapToGrid w:val="0"/>
          <w:color w:val="auto"/>
          <w:sz w:val="24"/>
          <w:szCs w:val="24"/>
          <w:highlight w:val="none"/>
        </w:rPr>
        <w:t xml:space="preserve">3.  </w:t>
      </w:r>
      <w:bookmarkEnd w:id="241"/>
      <w:bookmarkEnd w:id="242"/>
      <w:bookmarkEnd w:id="243"/>
      <w:bookmarkEnd w:id="244"/>
      <w:bookmarkEnd w:id="245"/>
      <w:bookmarkEnd w:id="246"/>
      <w:bookmarkEnd w:id="247"/>
      <w:bookmarkEnd w:id="248"/>
      <w:bookmarkEnd w:id="249"/>
      <w:bookmarkEnd w:id="250"/>
      <w:r>
        <w:rPr>
          <w:rFonts w:hint="eastAsia" w:ascii="宋体" w:hAnsi="宋体" w:cs="宋体"/>
          <w:b w:val="0"/>
          <w:snapToGrid w:val="0"/>
          <w:color w:val="auto"/>
          <w:sz w:val="24"/>
          <w:szCs w:val="24"/>
          <w:highlight w:val="none"/>
        </w:rPr>
        <w:t>竞选文件</w:t>
      </w:r>
    </w:p>
    <w:p w14:paraId="0281E42B">
      <w:pPr>
        <w:pStyle w:val="5"/>
        <w:snapToGrid w:val="0"/>
        <w:spacing w:before="0" w:after="0" w:line="360" w:lineRule="auto"/>
        <w:rPr>
          <w:rFonts w:ascii="宋体" w:hAnsi="宋体" w:cs="宋体"/>
          <w:b w:val="0"/>
          <w:snapToGrid w:val="0"/>
          <w:color w:val="auto"/>
          <w:sz w:val="24"/>
          <w:szCs w:val="24"/>
          <w:highlight w:val="none"/>
        </w:rPr>
      </w:pPr>
      <w:bookmarkStart w:id="251" w:name="_Toc277082571"/>
      <w:bookmarkStart w:id="252" w:name="_Toc13714"/>
      <w:bookmarkStart w:id="253" w:name="_Toc29196"/>
      <w:bookmarkStart w:id="254" w:name="_Toc200513145"/>
      <w:bookmarkStart w:id="255" w:name="_Toc287620704"/>
      <w:bookmarkStart w:id="256" w:name="_Toc509218729"/>
      <w:bookmarkStart w:id="257" w:name="_Toc40569158"/>
      <w:bookmarkStart w:id="258" w:name="_Toc7795"/>
      <w:bookmarkStart w:id="259" w:name="_Toc224103336"/>
      <w:bookmarkStart w:id="260" w:name="_Toc40569063"/>
      <w:bookmarkStart w:id="261" w:name="_Toc287607765"/>
      <w:bookmarkStart w:id="262" w:name="_Toc430530454"/>
      <w:r>
        <w:rPr>
          <w:rFonts w:hint="eastAsia" w:ascii="宋体" w:hAnsi="宋体" w:cs="宋体"/>
          <w:b w:val="0"/>
          <w:snapToGrid w:val="0"/>
          <w:color w:val="auto"/>
          <w:sz w:val="24"/>
          <w:szCs w:val="24"/>
          <w:highlight w:val="none"/>
        </w:rPr>
        <w:t>3.1  竞选文件的组成</w:t>
      </w:r>
      <w:bookmarkEnd w:id="251"/>
      <w:bookmarkEnd w:id="252"/>
      <w:bookmarkEnd w:id="253"/>
      <w:bookmarkEnd w:id="254"/>
      <w:bookmarkEnd w:id="255"/>
      <w:bookmarkEnd w:id="256"/>
      <w:bookmarkEnd w:id="257"/>
      <w:bookmarkEnd w:id="258"/>
      <w:bookmarkEnd w:id="259"/>
      <w:bookmarkEnd w:id="260"/>
      <w:bookmarkEnd w:id="261"/>
      <w:bookmarkEnd w:id="262"/>
    </w:p>
    <w:p w14:paraId="324A227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3.1.1 竞选文件应包括下列内容：</w:t>
      </w:r>
    </w:p>
    <w:p w14:paraId="4D2E9E80">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（1）竞选函及竞选函附录；</w:t>
      </w:r>
    </w:p>
    <w:p w14:paraId="70C84516">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（2）法定代表人身份证明或附有法定代表人身份证明的授权委托书；</w:t>
      </w:r>
    </w:p>
    <w:p w14:paraId="7498E53D">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（3）比选保证金；</w:t>
      </w:r>
    </w:p>
    <w:p w14:paraId="4FB5AFA9">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（4）监理大纲；</w:t>
      </w:r>
    </w:p>
    <w:p w14:paraId="71322BF3">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（5）资格审查资料；</w:t>
      </w:r>
    </w:p>
    <w:p w14:paraId="4CFCAD7D">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（6）竞选人须知前附表规定的其他材料。</w:t>
      </w:r>
    </w:p>
    <w:p w14:paraId="09F1D77C">
      <w:pPr>
        <w:pStyle w:val="5"/>
        <w:snapToGrid w:val="0"/>
        <w:spacing w:before="0" w:after="0" w:line="360" w:lineRule="auto"/>
        <w:rPr>
          <w:rFonts w:ascii="宋体" w:hAnsi="宋体" w:cs="宋体"/>
          <w:b w:val="0"/>
          <w:snapToGrid w:val="0"/>
          <w:color w:val="auto"/>
          <w:sz w:val="24"/>
          <w:szCs w:val="24"/>
          <w:highlight w:val="none"/>
        </w:rPr>
      </w:pPr>
      <w:bookmarkStart w:id="263" w:name="_Toc5935"/>
      <w:bookmarkStart w:id="264" w:name="_Toc287607766"/>
      <w:bookmarkStart w:id="265" w:name="_Toc509218730"/>
      <w:bookmarkStart w:id="266" w:name="_Toc430530455"/>
      <w:bookmarkStart w:id="267" w:name="_Toc2578"/>
      <w:bookmarkStart w:id="268" w:name="_Toc200513146"/>
      <w:bookmarkStart w:id="269" w:name="_Toc3265"/>
      <w:bookmarkStart w:id="270" w:name="_Toc40569064"/>
      <w:bookmarkStart w:id="271" w:name="_Toc277082572"/>
      <w:bookmarkStart w:id="272" w:name="_Toc224103337"/>
      <w:bookmarkStart w:id="273" w:name="_Toc40569159"/>
      <w:bookmarkStart w:id="274" w:name="_Toc287620705"/>
      <w:r>
        <w:rPr>
          <w:rFonts w:hint="eastAsia" w:ascii="宋体" w:hAnsi="宋体" w:cs="宋体"/>
          <w:b w:val="0"/>
          <w:snapToGrid w:val="0"/>
          <w:color w:val="auto"/>
          <w:sz w:val="24"/>
          <w:szCs w:val="24"/>
          <w:highlight w:val="none"/>
        </w:rPr>
        <w:t>3.2  竞选报价</w:t>
      </w:r>
      <w:bookmarkEnd w:id="263"/>
      <w:bookmarkEnd w:id="264"/>
      <w:bookmarkEnd w:id="265"/>
      <w:bookmarkEnd w:id="266"/>
      <w:bookmarkEnd w:id="267"/>
      <w:bookmarkEnd w:id="268"/>
      <w:bookmarkEnd w:id="269"/>
      <w:bookmarkEnd w:id="270"/>
      <w:bookmarkEnd w:id="271"/>
      <w:bookmarkEnd w:id="272"/>
      <w:bookmarkEnd w:id="273"/>
      <w:bookmarkEnd w:id="274"/>
    </w:p>
    <w:p w14:paraId="5E8208C3">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3.2.1  竞选人应按第五章“竞选文件格式”的要求填写相应表格。</w:t>
      </w:r>
    </w:p>
    <w:p w14:paraId="36766E47">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3.2.2  竞选人应认真阅读比选文件规定的计价、结算要求，自行填报报价。</w:t>
      </w:r>
    </w:p>
    <w:p w14:paraId="1510E4FC">
      <w:pPr>
        <w:pStyle w:val="5"/>
        <w:snapToGrid w:val="0"/>
        <w:spacing w:before="0" w:after="0" w:line="360" w:lineRule="auto"/>
        <w:rPr>
          <w:rFonts w:ascii="宋体" w:hAnsi="宋体" w:cs="宋体"/>
          <w:b w:val="0"/>
          <w:snapToGrid w:val="0"/>
          <w:color w:val="auto"/>
          <w:sz w:val="24"/>
          <w:szCs w:val="24"/>
          <w:highlight w:val="none"/>
        </w:rPr>
      </w:pPr>
      <w:bookmarkStart w:id="275" w:name="_Toc287620706"/>
      <w:bookmarkStart w:id="276" w:name="_Toc509218731"/>
      <w:bookmarkStart w:id="277" w:name="_Toc277082573"/>
      <w:bookmarkStart w:id="278" w:name="_Toc27583"/>
      <w:bookmarkStart w:id="279" w:name="_Toc15462"/>
      <w:bookmarkStart w:id="280" w:name="_Toc224103338"/>
      <w:bookmarkStart w:id="281" w:name="_Toc430530456"/>
      <w:bookmarkStart w:id="282" w:name="_Toc287607767"/>
      <w:bookmarkStart w:id="283" w:name="_Toc200513147"/>
      <w:bookmarkStart w:id="284" w:name="_Toc40569065"/>
      <w:bookmarkStart w:id="285" w:name="_Toc40569160"/>
      <w:bookmarkStart w:id="286" w:name="_Toc915"/>
      <w:r>
        <w:rPr>
          <w:rFonts w:hint="eastAsia" w:ascii="宋体" w:hAnsi="宋体" w:cs="宋体"/>
          <w:b w:val="0"/>
          <w:snapToGrid w:val="0"/>
          <w:color w:val="auto"/>
          <w:sz w:val="24"/>
          <w:szCs w:val="24"/>
          <w:highlight w:val="none"/>
        </w:rPr>
        <w:t>3.3  比选有效期</w:t>
      </w:r>
      <w:bookmarkEnd w:id="275"/>
      <w:bookmarkEnd w:id="276"/>
      <w:bookmarkEnd w:id="277"/>
      <w:bookmarkEnd w:id="278"/>
      <w:bookmarkEnd w:id="279"/>
      <w:bookmarkEnd w:id="280"/>
      <w:bookmarkEnd w:id="281"/>
      <w:bookmarkEnd w:id="282"/>
      <w:bookmarkEnd w:id="283"/>
      <w:bookmarkEnd w:id="284"/>
      <w:bookmarkEnd w:id="285"/>
      <w:bookmarkEnd w:id="286"/>
    </w:p>
    <w:p w14:paraId="34A5CD86">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3.3.1  在竞选人须知前附表规定的比选有效期内，竞选人不得要求撤销或修改其竞选文件。</w:t>
      </w:r>
    </w:p>
    <w:p w14:paraId="1D0435AB">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3.3.2  出现特殊情况需要延长比选有效期的，比选人以书面形式通知所有竞选人延长比选有效期。竞选人同意延长的，应相应延长其保证金或保函的有效期，但不得要求或被允许修改或撤销其竞选文件；竞选人拒绝延长的，其竞选文件失效，但竞选人有权收回其保函。（适用于比选保证金采用保函形式的）</w:t>
      </w:r>
    </w:p>
    <w:p w14:paraId="004E75D4">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出现特殊情况需要延长比选有效期的，比选人以书面形式通知所有竞选人延长比选有效期。竞选人同意延长的，应相应延长其比选保证金的有效期，但不得要求或被允许修改或撤销其竞选文件；竞选人拒绝延长的，其竞选文件失效，但竞选人有权收回其比选保证金。（适用于比选保证金采用银行转账形式的）</w:t>
      </w:r>
    </w:p>
    <w:p w14:paraId="272210ED">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287" w:name="_Toc224103339"/>
      <w:bookmarkStart w:id="288" w:name="_Toc430530457"/>
      <w:bookmarkStart w:id="289" w:name="_Toc26206"/>
      <w:bookmarkStart w:id="290" w:name="_Toc287607768"/>
      <w:bookmarkStart w:id="291" w:name="_Toc19857"/>
      <w:bookmarkStart w:id="292" w:name="_Toc287620707"/>
      <w:bookmarkStart w:id="293" w:name="_Toc40569161"/>
      <w:bookmarkStart w:id="294" w:name="_Toc200513148"/>
      <w:bookmarkStart w:id="295" w:name="_Toc40569066"/>
      <w:bookmarkStart w:id="296" w:name="_Toc509218732"/>
      <w:bookmarkStart w:id="297" w:name="_Toc277082574"/>
      <w:bookmarkStart w:id="298" w:name="_Toc14235"/>
      <w:r>
        <w:rPr>
          <w:rFonts w:hint="eastAsia" w:ascii="宋体" w:hAnsi="宋体" w:cs="宋体"/>
          <w:b w:val="0"/>
          <w:snapToGrid w:val="0"/>
          <w:color w:val="auto"/>
          <w:sz w:val="24"/>
          <w:szCs w:val="24"/>
          <w:highlight w:val="none"/>
        </w:rPr>
        <w:t xml:space="preserve">3.4  </w:t>
      </w:r>
      <w:bookmarkEnd w:id="287"/>
      <w:bookmarkEnd w:id="288"/>
      <w:bookmarkEnd w:id="289"/>
      <w:bookmarkEnd w:id="290"/>
      <w:bookmarkEnd w:id="291"/>
      <w:bookmarkEnd w:id="292"/>
      <w:bookmarkEnd w:id="293"/>
      <w:bookmarkEnd w:id="294"/>
      <w:bookmarkEnd w:id="295"/>
      <w:bookmarkEnd w:id="296"/>
      <w:bookmarkEnd w:id="297"/>
      <w:bookmarkEnd w:id="298"/>
      <w:r>
        <w:rPr>
          <w:rFonts w:hint="eastAsia" w:ascii="宋体" w:hAnsi="宋体" w:cs="宋体"/>
          <w:b w:val="0"/>
          <w:snapToGrid w:val="0"/>
          <w:color w:val="auto"/>
          <w:sz w:val="24"/>
          <w:szCs w:val="24"/>
          <w:highlight w:val="none"/>
        </w:rPr>
        <w:t>比选保证金</w:t>
      </w:r>
    </w:p>
    <w:p w14:paraId="20746847">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3.4.1  竞选人在递交竞选文件前，应按竞选人须知前附表规定的金额、担保形式递交比选保证金，并作为其竞选文件的组成部分。联合体竞选的，其比选保证金由牵头人递交，并应符合竞选人须知前附表的规定。</w:t>
      </w:r>
    </w:p>
    <w:p w14:paraId="04BE1AF3">
      <w:pPr>
        <w:autoSpaceDE w:val="0"/>
        <w:autoSpaceDN w:val="0"/>
        <w:adjustRightInd w:val="0"/>
        <w:snapToGrid w:val="0"/>
        <w:spacing w:line="360" w:lineRule="auto"/>
        <w:ind w:left="13" w:leftChars="6" w:firstLine="405" w:firstLineChars="193"/>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3.4.2  竞选人不按本章第 3.4.1 项要求提交比选保证金的，其竞选文件作否决竞选处理。</w:t>
      </w:r>
    </w:p>
    <w:p w14:paraId="0208F9FF">
      <w:pPr>
        <w:autoSpaceDE w:val="0"/>
        <w:autoSpaceDN w:val="0"/>
        <w:adjustRightInd w:val="0"/>
        <w:snapToGrid w:val="0"/>
        <w:spacing w:line="360" w:lineRule="auto"/>
        <w:ind w:left="13" w:leftChars="6" w:firstLine="405" w:firstLineChars="193"/>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3.4.3  比选保证金（保函）退还：见竞选人须知前附表</w:t>
      </w:r>
      <w:r>
        <w:rPr>
          <w:rFonts w:hint="eastAsia" w:ascii="宋体" w:hAnsi="宋体" w:cs="宋体"/>
          <w:snapToGrid w:val="0"/>
          <w:color w:val="auto"/>
          <w:kern w:val="0"/>
          <w:position w:val="-2"/>
          <w:szCs w:val="21"/>
          <w:highlight w:val="none"/>
        </w:rPr>
        <w:t>。</w:t>
      </w:r>
    </w:p>
    <w:p w14:paraId="71877EA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3.4.4  有下列情形之一的，比选保证金将不予退还：</w:t>
      </w:r>
    </w:p>
    <w:p w14:paraId="1FAE3AB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（1）竞选人在规定的比选有效期内撤销或修改其竞选文件；</w:t>
      </w:r>
    </w:p>
    <w:p w14:paraId="715DED13">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（2）中选人在收到中选通知书后，无正当理由拒签合同协议书或未按比选文件规定提交履约担保；</w:t>
      </w:r>
    </w:p>
    <w:p w14:paraId="5743E35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（3）违反本章9.2条对竞选人的纪律要求的；</w:t>
      </w:r>
    </w:p>
    <w:p w14:paraId="22F708B5">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（4）法律法规和本比选文件规定的其他情形。</w:t>
      </w:r>
    </w:p>
    <w:p w14:paraId="27695CC1">
      <w:pPr>
        <w:tabs>
          <w:tab w:val="left" w:pos="611"/>
          <w:tab w:val="left" w:pos="669"/>
        </w:tabs>
        <w:snapToGrid w:val="0"/>
        <w:spacing w:line="360" w:lineRule="auto"/>
        <w:ind w:firstLine="420" w:firstLineChars="200"/>
        <w:rPr>
          <w:rFonts w:ascii="宋体" w:hAnsi="宋体" w:cs="宋体"/>
          <w:color w:val="auto"/>
          <w:kern w:val="0"/>
          <w:highlight w:val="none"/>
        </w:rPr>
      </w:pPr>
      <w:r>
        <w:rPr>
          <w:rFonts w:hint="eastAsia" w:ascii="宋体" w:hAnsi="宋体" w:cs="宋体"/>
          <w:snapToGrid w:val="0"/>
          <w:color w:val="auto"/>
          <w:kern w:val="0"/>
          <w:szCs w:val="21"/>
          <w:highlight w:val="none"/>
        </w:rPr>
        <w:t>3.4.5</w:t>
      </w:r>
      <w:r>
        <w:rPr>
          <w:rFonts w:hint="eastAsia" w:ascii="宋体" w:hAnsi="宋体" w:cs="宋体"/>
          <w:color w:val="auto"/>
          <w:kern w:val="0"/>
          <w:highlight w:val="none"/>
        </w:rPr>
        <w:t>（1）比选保证金为无条件担保；</w:t>
      </w:r>
    </w:p>
    <w:p w14:paraId="1F3A1446">
      <w:pPr>
        <w:tabs>
          <w:tab w:val="left" w:pos="611"/>
          <w:tab w:val="left" w:pos="669"/>
        </w:tabs>
        <w:snapToGrid w:val="0"/>
        <w:spacing w:line="360" w:lineRule="auto"/>
        <w:ind w:firstLine="945" w:firstLineChars="450"/>
        <w:rPr>
          <w:rFonts w:ascii="宋体" w:hAnsi="宋体" w:cs="宋体"/>
          <w:color w:val="auto"/>
          <w:kern w:val="0"/>
          <w:highlight w:val="none"/>
        </w:rPr>
      </w:pPr>
      <w:r>
        <w:rPr>
          <w:rFonts w:hint="eastAsia" w:ascii="宋体" w:hAnsi="宋体" w:cs="宋体"/>
          <w:color w:val="auto"/>
          <w:kern w:val="0"/>
          <w:highlight w:val="none"/>
        </w:rPr>
        <w:t>（2）比选保证金的受益人为比选人。</w:t>
      </w:r>
    </w:p>
    <w:p w14:paraId="1C86623E">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299" w:name="_Toc200513150"/>
      <w:bookmarkStart w:id="300" w:name="_Toc7055"/>
      <w:bookmarkStart w:id="301" w:name="_Toc277082576"/>
      <w:bookmarkStart w:id="302" w:name="_Toc287607770"/>
      <w:bookmarkStart w:id="303" w:name="_Toc30972"/>
      <w:bookmarkStart w:id="304" w:name="_Toc430530459"/>
      <w:bookmarkStart w:id="305" w:name="_Toc40569162"/>
      <w:bookmarkStart w:id="306" w:name="_Toc40569067"/>
      <w:bookmarkStart w:id="307" w:name="_Toc8188"/>
      <w:bookmarkStart w:id="308" w:name="_Toc224103341"/>
      <w:bookmarkStart w:id="309" w:name="_Toc509218734"/>
      <w:bookmarkStart w:id="310" w:name="_Toc287620709"/>
      <w:r>
        <w:rPr>
          <w:rFonts w:hint="eastAsia" w:ascii="宋体" w:hAnsi="宋体" w:cs="宋体"/>
          <w:b w:val="0"/>
          <w:snapToGrid w:val="0"/>
          <w:color w:val="auto"/>
          <w:sz w:val="24"/>
          <w:szCs w:val="24"/>
          <w:highlight w:val="none"/>
        </w:rPr>
        <w:t>3.5  资格审查资料</w:t>
      </w:r>
      <w:bookmarkEnd w:id="299"/>
      <w:bookmarkEnd w:id="300"/>
      <w:bookmarkEnd w:id="301"/>
      <w:bookmarkEnd w:id="302"/>
      <w:bookmarkEnd w:id="303"/>
      <w:bookmarkEnd w:id="304"/>
      <w:bookmarkEnd w:id="305"/>
      <w:bookmarkEnd w:id="306"/>
      <w:bookmarkEnd w:id="307"/>
      <w:bookmarkEnd w:id="308"/>
      <w:bookmarkEnd w:id="309"/>
      <w:bookmarkEnd w:id="310"/>
    </w:p>
    <w:p w14:paraId="4A8AB084">
      <w:pPr>
        <w:autoSpaceDE w:val="0"/>
        <w:autoSpaceDN w:val="0"/>
        <w:adjustRightInd w:val="0"/>
        <w:snapToGrid w:val="0"/>
        <w:spacing w:line="360" w:lineRule="auto"/>
        <w:ind w:left="103" w:leftChars="49" w:right="37" w:firstLine="420" w:firstLineChars="200"/>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kern w:val="0"/>
          <w:szCs w:val="21"/>
          <w:highlight w:val="none"/>
        </w:rPr>
        <w:t>竞选人须知前附表</w:t>
      </w:r>
      <w:r>
        <w:rPr>
          <w:rFonts w:hint="eastAsia" w:ascii="宋体" w:hAnsi="宋体" w:cs="宋体"/>
          <w:color w:val="auto"/>
          <w:szCs w:val="21"/>
          <w:highlight w:val="none"/>
        </w:rPr>
        <w:t>。</w:t>
      </w:r>
    </w:p>
    <w:p w14:paraId="3A4CC9F9">
      <w:pPr>
        <w:autoSpaceDE w:val="0"/>
        <w:autoSpaceDN w:val="0"/>
        <w:adjustRightInd w:val="0"/>
        <w:snapToGrid w:val="0"/>
        <w:spacing w:line="360" w:lineRule="auto"/>
        <w:ind w:left="103" w:leftChars="49" w:right="37"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联合体竞选的，详见竞选人须知前附表联合体竞选相关内容。</w:t>
      </w:r>
    </w:p>
    <w:p w14:paraId="5EEE6E17">
      <w:pPr>
        <w:pStyle w:val="5"/>
        <w:snapToGrid w:val="0"/>
        <w:spacing w:before="0" w:after="0" w:line="360" w:lineRule="auto"/>
        <w:rPr>
          <w:rFonts w:ascii="宋体" w:hAnsi="宋体" w:cs="宋体"/>
          <w:b w:val="0"/>
          <w:snapToGrid w:val="0"/>
          <w:color w:val="auto"/>
          <w:sz w:val="24"/>
          <w:szCs w:val="24"/>
          <w:highlight w:val="none"/>
        </w:rPr>
      </w:pPr>
      <w:bookmarkStart w:id="311" w:name="_Toc200513151"/>
      <w:bookmarkStart w:id="312" w:name="_Toc224103342"/>
      <w:bookmarkStart w:id="313" w:name="_Toc430530460"/>
      <w:bookmarkStart w:id="314" w:name="_Toc509218735"/>
      <w:bookmarkStart w:id="315" w:name="_Toc9341"/>
      <w:bookmarkStart w:id="316" w:name="_Toc40569068"/>
      <w:bookmarkStart w:id="317" w:name="_Toc7522"/>
      <w:bookmarkStart w:id="318" w:name="_Toc26526"/>
      <w:bookmarkStart w:id="319" w:name="_Toc287620710"/>
      <w:bookmarkStart w:id="320" w:name="_Toc277082577"/>
      <w:bookmarkStart w:id="321" w:name="_Toc287607771"/>
      <w:bookmarkStart w:id="322" w:name="_Toc40569163"/>
      <w:r>
        <w:rPr>
          <w:rFonts w:hint="eastAsia" w:ascii="宋体" w:hAnsi="宋体" w:cs="宋体"/>
          <w:b w:val="0"/>
          <w:snapToGrid w:val="0"/>
          <w:color w:val="auto"/>
          <w:sz w:val="24"/>
          <w:szCs w:val="24"/>
          <w:highlight w:val="none"/>
        </w:rPr>
        <w:t>3.6  备选竞选方案</w:t>
      </w:r>
      <w:bookmarkEnd w:id="311"/>
      <w:bookmarkEnd w:id="312"/>
      <w:bookmarkEnd w:id="313"/>
      <w:bookmarkEnd w:id="314"/>
      <w:bookmarkEnd w:id="315"/>
      <w:bookmarkEnd w:id="316"/>
      <w:bookmarkEnd w:id="317"/>
      <w:bookmarkEnd w:id="318"/>
      <w:bookmarkEnd w:id="319"/>
      <w:bookmarkEnd w:id="320"/>
      <w:bookmarkEnd w:id="321"/>
      <w:bookmarkEnd w:id="322"/>
    </w:p>
    <w:p w14:paraId="4D61581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除竞选人须知前附表另有规定外，竞选人不得递交备选竞选方案。允许竞选人递交备选竞选方案的，只有中选人所递交的备选竞选方案方可予以考虑。评选委员会认为中选人的备选竞选方案优于其按照比选文件要求编制的竞选方案的，比选人可以接受该备选竞选方案。</w:t>
      </w:r>
    </w:p>
    <w:p w14:paraId="785B61B6">
      <w:pPr>
        <w:pStyle w:val="5"/>
        <w:snapToGrid w:val="0"/>
        <w:spacing w:before="0" w:after="0" w:line="360" w:lineRule="auto"/>
        <w:rPr>
          <w:rFonts w:ascii="宋体" w:hAnsi="宋体" w:cs="宋体"/>
          <w:b w:val="0"/>
          <w:snapToGrid w:val="0"/>
          <w:color w:val="auto"/>
          <w:sz w:val="24"/>
          <w:szCs w:val="24"/>
          <w:highlight w:val="none"/>
        </w:rPr>
      </w:pPr>
      <w:bookmarkStart w:id="323" w:name="_Toc287620711"/>
      <w:bookmarkStart w:id="324" w:name="_Toc224103343"/>
      <w:bookmarkStart w:id="325" w:name="_Toc287607772"/>
      <w:bookmarkStart w:id="326" w:name="_Toc200513152"/>
      <w:bookmarkStart w:id="327" w:name="_Toc40569164"/>
      <w:bookmarkStart w:id="328" w:name="_Toc29274"/>
      <w:bookmarkStart w:id="329" w:name="_Toc40569069"/>
      <w:bookmarkStart w:id="330" w:name="_Toc277082578"/>
      <w:bookmarkStart w:id="331" w:name="_Toc25048"/>
      <w:bookmarkStart w:id="332" w:name="_Toc509218736"/>
      <w:bookmarkStart w:id="333" w:name="_Toc430530461"/>
      <w:bookmarkStart w:id="334" w:name="_Toc29561"/>
      <w:r>
        <w:rPr>
          <w:rFonts w:hint="eastAsia" w:ascii="宋体" w:hAnsi="宋体" w:cs="宋体"/>
          <w:b w:val="0"/>
          <w:snapToGrid w:val="0"/>
          <w:color w:val="auto"/>
          <w:sz w:val="24"/>
          <w:szCs w:val="24"/>
          <w:highlight w:val="none"/>
        </w:rPr>
        <w:t>3.7  竞选文件的编制</w:t>
      </w:r>
      <w:bookmarkEnd w:id="323"/>
      <w:bookmarkEnd w:id="324"/>
      <w:bookmarkEnd w:id="325"/>
      <w:bookmarkEnd w:id="326"/>
      <w:bookmarkEnd w:id="327"/>
      <w:bookmarkEnd w:id="328"/>
      <w:bookmarkEnd w:id="329"/>
      <w:bookmarkEnd w:id="330"/>
      <w:bookmarkEnd w:id="331"/>
      <w:bookmarkEnd w:id="332"/>
      <w:bookmarkEnd w:id="333"/>
      <w:bookmarkEnd w:id="334"/>
    </w:p>
    <w:p w14:paraId="350B8ACA">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3.7.1  竞选文件应按第五章“竞选文件格式”进行编写，如有必要，可以增加附页，作为竞选文件的组成部分。其中，竞选函附录在满足比选文件实质性要求的基础上，可以提出高于比选文件要求且更有利于比选人的承诺。</w:t>
      </w:r>
    </w:p>
    <w:p w14:paraId="465BBD5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3.7.2  竞选文件应当对比选文件有关监理服务期、比选有效期、质量要求、</w:t>
      </w:r>
      <w:r>
        <w:rPr>
          <w:rFonts w:hint="eastAsia" w:ascii="宋体" w:hAnsi="宋体"/>
          <w:color w:val="auto"/>
          <w:highlight w:val="none"/>
        </w:rPr>
        <w:t>监理工作规范和技术标准</w:t>
      </w:r>
      <w:r>
        <w:rPr>
          <w:rFonts w:hint="eastAsia" w:ascii="宋体" w:hAnsi="宋体" w:cs="宋体"/>
          <w:snapToGrid w:val="0"/>
          <w:color w:val="auto"/>
          <w:kern w:val="0"/>
          <w:szCs w:val="21"/>
          <w:highlight w:val="none"/>
        </w:rPr>
        <w:t>、比选范围等实质性内容做出响应。</w:t>
      </w:r>
    </w:p>
    <w:p w14:paraId="41FC67D5">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position w:val="-2"/>
          <w:szCs w:val="21"/>
          <w:highlight w:val="none"/>
        </w:rPr>
        <w:t>3.7.3  签字盖章要求按竞选人须知前附表3.7.3款执行。</w:t>
      </w:r>
    </w:p>
    <w:p w14:paraId="7BF57675">
      <w:pPr>
        <w:autoSpaceDE w:val="0"/>
        <w:autoSpaceDN w:val="0"/>
        <w:adjustRightInd w:val="0"/>
        <w:snapToGrid w:val="0"/>
        <w:spacing w:line="360" w:lineRule="auto"/>
        <w:ind w:right="-164" w:firstLine="420" w:firstLineChars="200"/>
        <w:rPr>
          <w:rFonts w:ascii="宋体" w:hAnsi="宋体" w:cs="宋体"/>
          <w:i/>
          <w:snapToGrid w:val="0"/>
          <w:color w:val="auto"/>
          <w:kern w:val="0"/>
          <w:szCs w:val="21"/>
          <w:highlight w:val="none"/>
        </w:rPr>
      </w:pPr>
      <w:r>
        <w:rPr>
          <w:rFonts w:hint="eastAsia" w:ascii="宋体" w:hAnsi="宋体" w:cs="宋体"/>
          <w:snapToGrid w:val="0"/>
          <w:color w:val="auto"/>
          <w:kern w:val="0"/>
          <w:szCs w:val="21"/>
          <w:highlight w:val="none"/>
        </w:rPr>
        <w:t>3.7.4  竞选文件的份数见竞选人须知前附表，不按规定递交足够份数的竞选文件作否决处理。</w:t>
      </w:r>
    </w:p>
    <w:p w14:paraId="69A35CDE">
      <w:pPr>
        <w:autoSpaceDE w:val="0"/>
        <w:autoSpaceDN w:val="0"/>
        <w:adjustRightInd w:val="0"/>
        <w:snapToGrid w:val="0"/>
        <w:spacing w:line="360" w:lineRule="auto"/>
        <w:ind w:right="-109"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3.7.5  竞选文件应装订成册，并编制目录，具体装订要求见竞选人须知前附表规定。</w:t>
      </w:r>
    </w:p>
    <w:p w14:paraId="647F56A0">
      <w:pPr>
        <w:pStyle w:val="4"/>
        <w:spacing w:before="0" w:after="0" w:line="360" w:lineRule="auto"/>
        <w:rPr>
          <w:rFonts w:ascii="宋体" w:hAnsi="宋体" w:cs="宋体"/>
          <w:b w:val="0"/>
          <w:snapToGrid w:val="0"/>
          <w:color w:val="auto"/>
          <w:sz w:val="24"/>
          <w:szCs w:val="24"/>
          <w:highlight w:val="none"/>
        </w:rPr>
      </w:pPr>
      <w:bookmarkStart w:id="335" w:name="_Toc17781"/>
      <w:bookmarkStart w:id="336" w:name="_Toc26662"/>
      <w:bookmarkStart w:id="337" w:name="_Toc31627"/>
      <w:bookmarkStart w:id="338" w:name="_Toc224103344"/>
      <w:bookmarkStart w:id="339" w:name="_Toc287620712"/>
      <w:bookmarkStart w:id="340" w:name="_Toc287607773"/>
      <w:bookmarkStart w:id="341" w:name="_Toc200513153"/>
      <w:bookmarkStart w:id="342" w:name="_Toc277082579"/>
      <w:bookmarkStart w:id="343" w:name="_Toc430530462"/>
      <w:bookmarkStart w:id="344" w:name="_Toc509218737"/>
      <w:r>
        <w:rPr>
          <w:rFonts w:hint="eastAsia" w:ascii="宋体" w:hAnsi="宋体" w:cs="宋体"/>
          <w:b w:val="0"/>
          <w:snapToGrid w:val="0"/>
          <w:color w:val="auto"/>
          <w:sz w:val="24"/>
          <w:szCs w:val="24"/>
          <w:highlight w:val="none"/>
        </w:rPr>
        <w:t>4.  投标</w:t>
      </w:r>
      <w:bookmarkEnd w:id="335"/>
      <w:bookmarkEnd w:id="336"/>
      <w:bookmarkEnd w:id="337"/>
      <w:bookmarkEnd w:id="338"/>
      <w:bookmarkEnd w:id="339"/>
      <w:bookmarkEnd w:id="340"/>
      <w:bookmarkEnd w:id="341"/>
      <w:bookmarkEnd w:id="342"/>
      <w:bookmarkEnd w:id="343"/>
      <w:bookmarkEnd w:id="344"/>
    </w:p>
    <w:p w14:paraId="79AFE766">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345" w:name="_Toc430530463"/>
      <w:bookmarkStart w:id="346" w:name="_Toc1906"/>
      <w:bookmarkStart w:id="347" w:name="_Toc287620713"/>
      <w:bookmarkStart w:id="348" w:name="_Toc30123"/>
      <w:bookmarkStart w:id="349" w:name="_Toc21526"/>
      <w:bookmarkStart w:id="350" w:name="_Toc40569166"/>
      <w:bookmarkStart w:id="351" w:name="_Toc40569071"/>
      <w:bookmarkStart w:id="352" w:name="_Toc277082580"/>
      <w:bookmarkStart w:id="353" w:name="_Toc224103345"/>
      <w:bookmarkStart w:id="354" w:name="_Toc509218738"/>
      <w:bookmarkStart w:id="355" w:name="_Toc200513154"/>
      <w:bookmarkStart w:id="356" w:name="_Toc287607774"/>
      <w:r>
        <w:rPr>
          <w:rFonts w:hint="eastAsia" w:ascii="宋体" w:hAnsi="宋体" w:cs="宋体"/>
          <w:b w:val="0"/>
          <w:snapToGrid w:val="0"/>
          <w:color w:val="auto"/>
          <w:sz w:val="24"/>
          <w:szCs w:val="24"/>
          <w:highlight w:val="none"/>
        </w:rPr>
        <w:t>4.1  竞选文件的密封和标记</w:t>
      </w:r>
      <w:bookmarkEnd w:id="345"/>
      <w:bookmarkEnd w:id="346"/>
      <w:bookmarkEnd w:id="347"/>
      <w:bookmarkEnd w:id="348"/>
      <w:bookmarkEnd w:id="349"/>
      <w:bookmarkEnd w:id="350"/>
      <w:bookmarkEnd w:id="351"/>
      <w:bookmarkEnd w:id="352"/>
      <w:bookmarkEnd w:id="353"/>
      <w:bookmarkEnd w:id="354"/>
      <w:bookmarkEnd w:id="355"/>
      <w:bookmarkEnd w:id="356"/>
    </w:p>
    <w:p w14:paraId="08A9601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bookmarkStart w:id="357" w:name="_Toc200513155"/>
      <w:r>
        <w:rPr>
          <w:rFonts w:hint="eastAsia" w:ascii="宋体" w:hAnsi="宋体" w:cs="宋体"/>
          <w:snapToGrid w:val="0"/>
          <w:color w:val="auto"/>
          <w:kern w:val="0"/>
          <w:szCs w:val="21"/>
          <w:highlight w:val="none"/>
        </w:rPr>
        <w:t>4.1.1  竞选文件的正本密封见竞选人须知前附表。</w:t>
      </w:r>
    </w:p>
    <w:p w14:paraId="3BF94801">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4.1.2  竞选文件的封套上应写明的内容见竞选人须知前附表。</w:t>
      </w:r>
    </w:p>
    <w:p w14:paraId="25BD3445">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358" w:name="_Toc7699"/>
      <w:bookmarkStart w:id="359" w:name="_Toc26108"/>
      <w:bookmarkStart w:id="360" w:name="_Toc224103346"/>
      <w:bookmarkStart w:id="361" w:name="_Toc11740"/>
      <w:bookmarkStart w:id="362" w:name="_Toc277082581"/>
      <w:bookmarkStart w:id="363" w:name="_Toc40569167"/>
      <w:bookmarkStart w:id="364" w:name="_Toc287607775"/>
      <w:bookmarkStart w:id="365" w:name="_Toc509218739"/>
      <w:bookmarkStart w:id="366" w:name="_Toc40569072"/>
      <w:bookmarkStart w:id="367" w:name="_Toc430530464"/>
      <w:bookmarkStart w:id="368" w:name="_Toc287620714"/>
      <w:r>
        <w:rPr>
          <w:rFonts w:hint="eastAsia" w:ascii="宋体" w:hAnsi="宋体" w:cs="宋体"/>
          <w:b w:val="0"/>
          <w:snapToGrid w:val="0"/>
          <w:color w:val="auto"/>
          <w:sz w:val="24"/>
          <w:szCs w:val="24"/>
          <w:highlight w:val="none"/>
        </w:rPr>
        <w:t>4.2  竞选文件的递交</w:t>
      </w:r>
      <w:bookmarkEnd w:id="357"/>
      <w:bookmarkEnd w:id="358"/>
      <w:bookmarkEnd w:id="359"/>
      <w:bookmarkEnd w:id="360"/>
      <w:bookmarkEnd w:id="361"/>
      <w:bookmarkEnd w:id="362"/>
      <w:bookmarkEnd w:id="363"/>
      <w:bookmarkEnd w:id="364"/>
      <w:bookmarkEnd w:id="365"/>
      <w:bookmarkEnd w:id="366"/>
      <w:bookmarkEnd w:id="367"/>
      <w:bookmarkEnd w:id="368"/>
    </w:p>
    <w:p w14:paraId="066E3AE1">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4.2.1  竞选人应在竞选人须知前附表第 2.2.2 项规定的竞选文件递交截止时间前递交竞选文件。</w:t>
      </w:r>
    </w:p>
    <w:p w14:paraId="634DE01D">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4.2.2  竞选人递交竞选文件的地点：见竞选人须知前附表。</w:t>
      </w:r>
    </w:p>
    <w:p w14:paraId="0048D14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4.2.3  除竞选人须知前附表另有规定外，竞选人所递交的竞选文件不予退还。</w:t>
      </w:r>
    </w:p>
    <w:p w14:paraId="3AC1B4E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4.2.4  比选人收到竞选文件后，向竞选人出具签收凭证。</w:t>
      </w:r>
    </w:p>
    <w:p w14:paraId="401DCA21">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4.2.5  逾期送达的或者未送达指定地点的竞选文件，比选人不予受理。</w:t>
      </w:r>
    </w:p>
    <w:p w14:paraId="72F710BD">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369" w:name="_Toc40569073"/>
      <w:bookmarkStart w:id="370" w:name="_Toc224103347"/>
      <w:bookmarkStart w:id="371" w:name="_Toc30961"/>
      <w:bookmarkStart w:id="372" w:name="_Toc509218740"/>
      <w:bookmarkStart w:id="373" w:name="_Toc277082582"/>
      <w:bookmarkStart w:id="374" w:name="_Toc23344"/>
      <w:bookmarkStart w:id="375" w:name="_Toc430530465"/>
      <w:bookmarkStart w:id="376" w:name="_Toc287607776"/>
      <w:bookmarkStart w:id="377" w:name="_Toc287620715"/>
      <w:bookmarkStart w:id="378" w:name="_Toc40569168"/>
      <w:bookmarkStart w:id="379" w:name="_Toc200513156"/>
      <w:bookmarkStart w:id="380" w:name="_Toc13850"/>
      <w:r>
        <w:rPr>
          <w:rFonts w:hint="eastAsia" w:ascii="宋体" w:hAnsi="宋体" w:cs="宋体"/>
          <w:b w:val="0"/>
          <w:snapToGrid w:val="0"/>
          <w:color w:val="auto"/>
          <w:sz w:val="24"/>
          <w:szCs w:val="24"/>
          <w:highlight w:val="none"/>
        </w:rPr>
        <w:t>4.3  竞选文件的修改与撤回</w:t>
      </w:r>
      <w:bookmarkEnd w:id="369"/>
      <w:bookmarkEnd w:id="370"/>
      <w:bookmarkEnd w:id="371"/>
      <w:bookmarkEnd w:id="372"/>
      <w:bookmarkEnd w:id="373"/>
      <w:bookmarkEnd w:id="374"/>
      <w:bookmarkEnd w:id="375"/>
      <w:bookmarkEnd w:id="376"/>
      <w:bookmarkEnd w:id="377"/>
      <w:bookmarkEnd w:id="378"/>
      <w:bookmarkEnd w:id="379"/>
      <w:bookmarkEnd w:id="380"/>
    </w:p>
    <w:p w14:paraId="4933EAC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4.3.1  在竞选人须知前附表第2.2.2项规定的竞选文件递交截止时间前，竞选人可以修改或撤回已递交的竞选文件，但应以书面形式通知比选人。</w:t>
      </w:r>
    </w:p>
    <w:p w14:paraId="1D935B12">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4.3.2  竞选人修改或撤回已递交竞选文件的书面通知应按照本章第3.7.3项的要求签字或盖章。比选人收到书面通知后，向竞选人出具签收凭证。</w:t>
      </w:r>
    </w:p>
    <w:p w14:paraId="022079C4">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4.3.3  修改的内容为竞选文件的组成部分。修改的竞选文件应按照本章第3条、第4条规定进行编制、密封、标记和递交，并标明“修改”字样。</w:t>
      </w:r>
    </w:p>
    <w:p w14:paraId="151498FF">
      <w:pPr>
        <w:pStyle w:val="4"/>
        <w:spacing w:before="0" w:after="0" w:line="360" w:lineRule="auto"/>
        <w:rPr>
          <w:rFonts w:ascii="宋体" w:hAnsi="宋体" w:cs="宋体"/>
          <w:b w:val="0"/>
          <w:snapToGrid w:val="0"/>
          <w:color w:val="auto"/>
          <w:sz w:val="24"/>
          <w:szCs w:val="24"/>
          <w:highlight w:val="none"/>
        </w:rPr>
      </w:pPr>
      <w:bookmarkStart w:id="381" w:name="_Toc287607777"/>
      <w:bookmarkStart w:id="382" w:name="_Toc277082583"/>
      <w:bookmarkStart w:id="383" w:name="_Toc224103348"/>
      <w:bookmarkStart w:id="384" w:name="_Toc509218741"/>
      <w:bookmarkStart w:id="385" w:name="_Toc24445"/>
      <w:bookmarkStart w:id="386" w:name="_Toc200513157"/>
      <w:bookmarkStart w:id="387" w:name="_Toc287620716"/>
      <w:bookmarkStart w:id="388" w:name="_Toc18092"/>
      <w:bookmarkStart w:id="389" w:name="_Toc430530466"/>
      <w:bookmarkStart w:id="390" w:name="_Toc7310"/>
      <w:r>
        <w:rPr>
          <w:rFonts w:hint="eastAsia" w:ascii="宋体" w:hAnsi="宋体" w:cs="宋体"/>
          <w:b w:val="0"/>
          <w:snapToGrid w:val="0"/>
          <w:color w:val="auto"/>
          <w:sz w:val="24"/>
          <w:szCs w:val="24"/>
          <w:highlight w:val="none"/>
        </w:rPr>
        <w:t>5.  开标</w:t>
      </w:r>
      <w:bookmarkEnd w:id="381"/>
      <w:bookmarkEnd w:id="382"/>
      <w:bookmarkEnd w:id="383"/>
      <w:bookmarkEnd w:id="384"/>
      <w:bookmarkEnd w:id="385"/>
      <w:bookmarkEnd w:id="386"/>
      <w:bookmarkEnd w:id="387"/>
      <w:bookmarkEnd w:id="388"/>
      <w:bookmarkEnd w:id="389"/>
      <w:bookmarkEnd w:id="390"/>
    </w:p>
    <w:p w14:paraId="5042DEB5">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391" w:name="_Toc23360"/>
      <w:bookmarkStart w:id="392" w:name="_Toc287607778"/>
      <w:bookmarkStart w:id="393" w:name="_Toc224103349"/>
      <w:bookmarkStart w:id="394" w:name="_Toc509218742"/>
      <w:bookmarkStart w:id="395" w:name="_Toc287620717"/>
      <w:bookmarkStart w:id="396" w:name="_Toc21647"/>
      <w:bookmarkStart w:id="397" w:name="_Toc430530467"/>
      <w:bookmarkStart w:id="398" w:name="_Toc40569170"/>
      <w:bookmarkStart w:id="399" w:name="_Toc200513158"/>
      <w:bookmarkStart w:id="400" w:name="_Toc40569075"/>
      <w:bookmarkStart w:id="401" w:name="_Toc277082584"/>
      <w:bookmarkStart w:id="402" w:name="_Toc21177"/>
      <w:r>
        <w:rPr>
          <w:rFonts w:hint="eastAsia" w:ascii="宋体" w:hAnsi="宋体" w:cs="宋体"/>
          <w:b w:val="0"/>
          <w:snapToGrid w:val="0"/>
          <w:color w:val="auto"/>
          <w:sz w:val="24"/>
          <w:szCs w:val="24"/>
          <w:highlight w:val="none"/>
        </w:rPr>
        <w:t>5.1  开标时间和地点</w:t>
      </w:r>
      <w:bookmarkEnd w:id="391"/>
      <w:bookmarkEnd w:id="392"/>
      <w:bookmarkEnd w:id="393"/>
      <w:bookmarkEnd w:id="394"/>
      <w:bookmarkEnd w:id="395"/>
      <w:bookmarkEnd w:id="396"/>
      <w:bookmarkEnd w:id="397"/>
      <w:bookmarkEnd w:id="398"/>
      <w:bookmarkEnd w:id="399"/>
      <w:bookmarkEnd w:id="400"/>
      <w:bookmarkEnd w:id="401"/>
      <w:bookmarkEnd w:id="402"/>
    </w:p>
    <w:p w14:paraId="261D5B4E">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比选人在竞选人须知前附表第 2.2.2 项规定的竞选文件递交截止时间和竞选人须知前附表规定的地点公开开标，并邀请所有竞选人的法定代表人或其委托代理人准时参加。</w:t>
      </w:r>
    </w:p>
    <w:p w14:paraId="01B62894">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403" w:name="_Toc2116"/>
      <w:bookmarkStart w:id="404" w:name="_Toc4086"/>
      <w:bookmarkStart w:id="405" w:name="_Toc40569171"/>
      <w:bookmarkStart w:id="406" w:name="_Toc277082585"/>
      <w:bookmarkStart w:id="407" w:name="_Toc430530468"/>
      <w:bookmarkStart w:id="408" w:name="_Toc200513159"/>
      <w:bookmarkStart w:id="409" w:name="_Toc287607779"/>
      <w:bookmarkStart w:id="410" w:name="_Toc40569076"/>
      <w:bookmarkStart w:id="411" w:name="_Toc509218743"/>
      <w:bookmarkStart w:id="412" w:name="_Toc9819"/>
      <w:bookmarkStart w:id="413" w:name="_Toc287620718"/>
      <w:bookmarkStart w:id="414" w:name="_Toc224103350"/>
      <w:r>
        <w:rPr>
          <w:rFonts w:hint="eastAsia" w:ascii="宋体" w:hAnsi="宋体" w:cs="宋体"/>
          <w:b w:val="0"/>
          <w:snapToGrid w:val="0"/>
          <w:color w:val="auto"/>
          <w:sz w:val="24"/>
          <w:szCs w:val="24"/>
          <w:highlight w:val="none"/>
        </w:rPr>
        <w:t>5.2  开标程序</w:t>
      </w:r>
      <w:bookmarkEnd w:id="403"/>
      <w:bookmarkEnd w:id="404"/>
      <w:bookmarkEnd w:id="405"/>
      <w:bookmarkEnd w:id="406"/>
      <w:bookmarkEnd w:id="407"/>
      <w:bookmarkEnd w:id="408"/>
      <w:bookmarkEnd w:id="409"/>
      <w:bookmarkEnd w:id="410"/>
      <w:bookmarkEnd w:id="411"/>
      <w:bookmarkEnd w:id="412"/>
      <w:bookmarkEnd w:id="413"/>
      <w:bookmarkEnd w:id="414"/>
    </w:p>
    <w:p w14:paraId="104802F0">
      <w:pPr>
        <w:autoSpaceDE w:val="0"/>
        <w:autoSpaceDN w:val="0"/>
        <w:adjustRightInd w:val="0"/>
        <w:snapToGrid w:val="0"/>
        <w:spacing w:line="360" w:lineRule="auto"/>
        <w:ind w:firstLine="420" w:firstLineChars="200"/>
        <w:rPr>
          <w:rFonts w:ascii="宋体" w:hAnsi="宋体" w:cs="宋体"/>
          <w:color w:val="auto"/>
          <w:szCs w:val="21"/>
          <w:highlight w:val="none"/>
        </w:rPr>
      </w:pPr>
      <w:bookmarkStart w:id="415" w:name="_Toc277082586"/>
      <w:bookmarkStart w:id="416" w:name="_Toc224103351"/>
      <w:bookmarkStart w:id="417" w:name="_Toc287607780"/>
      <w:bookmarkStart w:id="418" w:name="_Toc287620719"/>
      <w:bookmarkStart w:id="419" w:name="_Toc200513160"/>
      <w:r>
        <w:rPr>
          <w:rFonts w:hint="eastAsia" w:ascii="宋体" w:hAnsi="宋体" w:cs="宋体"/>
          <w:color w:val="auto"/>
          <w:szCs w:val="21"/>
          <w:highlight w:val="none"/>
        </w:rPr>
        <w:t>详见竞选人须知前附表5.2开标程序。</w:t>
      </w:r>
    </w:p>
    <w:p w14:paraId="7F6E36BD">
      <w:pPr>
        <w:pStyle w:val="4"/>
        <w:spacing w:before="0" w:after="0" w:line="360" w:lineRule="auto"/>
        <w:rPr>
          <w:rFonts w:ascii="宋体" w:hAnsi="宋体" w:cs="宋体"/>
          <w:b w:val="0"/>
          <w:snapToGrid w:val="0"/>
          <w:color w:val="auto"/>
          <w:sz w:val="24"/>
          <w:szCs w:val="24"/>
          <w:highlight w:val="none"/>
        </w:rPr>
      </w:pPr>
      <w:bookmarkStart w:id="420" w:name="_Toc430530469"/>
      <w:bookmarkStart w:id="421" w:name="_Toc20444"/>
      <w:bookmarkStart w:id="422" w:name="_Toc509218744"/>
      <w:bookmarkStart w:id="423" w:name="_Toc28222"/>
      <w:bookmarkStart w:id="424" w:name="_Toc29670"/>
      <w:r>
        <w:rPr>
          <w:rFonts w:hint="eastAsia" w:ascii="宋体" w:hAnsi="宋体" w:cs="宋体"/>
          <w:b w:val="0"/>
          <w:snapToGrid w:val="0"/>
          <w:color w:val="auto"/>
          <w:sz w:val="24"/>
          <w:szCs w:val="24"/>
          <w:highlight w:val="none"/>
        </w:rPr>
        <w:t xml:space="preserve">6.  </w:t>
      </w:r>
      <w:bookmarkEnd w:id="415"/>
      <w:bookmarkEnd w:id="416"/>
      <w:bookmarkEnd w:id="417"/>
      <w:bookmarkEnd w:id="418"/>
      <w:bookmarkEnd w:id="419"/>
      <w:bookmarkEnd w:id="420"/>
      <w:bookmarkEnd w:id="421"/>
      <w:bookmarkEnd w:id="422"/>
      <w:bookmarkEnd w:id="423"/>
      <w:bookmarkEnd w:id="424"/>
      <w:r>
        <w:rPr>
          <w:rFonts w:hint="eastAsia" w:ascii="宋体" w:hAnsi="宋体" w:cs="宋体"/>
          <w:b w:val="0"/>
          <w:snapToGrid w:val="0"/>
          <w:color w:val="auto"/>
          <w:sz w:val="24"/>
          <w:szCs w:val="24"/>
          <w:highlight w:val="none"/>
        </w:rPr>
        <w:t>评选</w:t>
      </w:r>
    </w:p>
    <w:p w14:paraId="5D8170D0">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425" w:name="_Toc224103352"/>
      <w:bookmarkStart w:id="426" w:name="_Toc1171"/>
      <w:bookmarkStart w:id="427" w:name="_Toc200513161"/>
      <w:bookmarkStart w:id="428" w:name="_Toc11628"/>
      <w:bookmarkStart w:id="429" w:name="_Toc8411"/>
      <w:bookmarkStart w:id="430" w:name="_Toc287607781"/>
      <w:bookmarkStart w:id="431" w:name="_Toc430530470"/>
      <w:bookmarkStart w:id="432" w:name="_Toc277082587"/>
      <w:bookmarkStart w:id="433" w:name="_Toc509218745"/>
      <w:bookmarkStart w:id="434" w:name="_Toc40569078"/>
      <w:bookmarkStart w:id="435" w:name="_Toc40569173"/>
      <w:bookmarkStart w:id="436" w:name="_Toc287620720"/>
      <w:r>
        <w:rPr>
          <w:rFonts w:hint="eastAsia" w:ascii="宋体" w:hAnsi="宋体" w:cs="宋体"/>
          <w:b w:val="0"/>
          <w:snapToGrid w:val="0"/>
          <w:color w:val="auto"/>
          <w:sz w:val="24"/>
          <w:szCs w:val="24"/>
          <w:highlight w:val="none"/>
        </w:rPr>
        <w:t>6.1  评选委员会</w:t>
      </w:r>
      <w:bookmarkEnd w:id="425"/>
      <w:bookmarkEnd w:id="426"/>
      <w:bookmarkEnd w:id="427"/>
      <w:bookmarkEnd w:id="428"/>
      <w:bookmarkEnd w:id="429"/>
      <w:bookmarkEnd w:id="430"/>
      <w:bookmarkEnd w:id="431"/>
      <w:bookmarkEnd w:id="432"/>
      <w:bookmarkEnd w:id="433"/>
      <w:bookmarkEnd w:id="434"/>
      <w:bookmarkEnd w:id="435"/>
      <w:bookmarkEnd w:id="436"/>
    </w:p>
    <w:p w14:paraId="66DE203D">
      <w:pPr>
        <w:autoSpaceDE w:val="0"/>
        <w:autoSpaceDN w:val="0"/>
        <w:adjustRightInd w:val="0"/>
        <w:snapToGrid w:val="0"/>
        <w:spacing w:line="360" w:lineRule="auto"/>
        <w:ind w:firstLine="420" w:firstLineChars="200"/>
        <w:rPr>
          <w:rFonts w:ascii="宋体" w:hAnsi="宋体" w:cs="宋体"/>
          <w:b/>
          <w:snapToGrid w:val="0"/>
          <w:color w:val="auto"/>
          <w:kern w:val="0"/>
          <w:szCs w:val="21"/>
          <w:highlight w:val="none"/>
        </w:rPr>
      </w:pPr>
      <w:r>
        <w:rPr>
          <w:rFonts w:hint="eastAsia" w:ascii="宋体" w:hAnsi="宋体" w:cs="宋体"/>
          <w:snapToGrid w:val="0"/>
          <w:color w:val="auto"/>
          <w:kern w:val="0"/>
          <w:szCs w:val="21"/>
          <w:highlight w:val="none"/>
        </w:rPr>
        <w:t>6.1.1  评选由比选人依据法律法规和相关规范性文件组建的评选委员会负责。</w:t>
      </w:r>
    </w:p>
    <w:p w14:paraId="1588E0C4">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6.1.2  评选委员会成员有下列情形之一的，应当回避：</w:t>
      </w:r>
    </w:p>
    <w:p w14:paraId="73DFB852">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（1）竞选人或竞选人的主要负责人的近亲属；</w:t>
      </w:r>
    </w:p>
    <w:p w14:paraId="2754E3D2">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（2）项目主管部门或者行政监督部门的人员；</w:t>
      </w:r>
    </w:p>
    <w:p w14:paraId="01AD2B42">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（3）与竞选人有利害关系，可能影响对竞选公正评审的；</w:t>
      </w:r>
    </w:p>
    <w:p w14:paraId="7F9713C5">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（4）曾因在招标、评选以及其他与招标投标有关活动中从事违法行为而受过行政处罚或刑事处罚的。</w:t>
      </w:r>
    </w:p>
    <w:p w14:paraId="5AFBB820">
      <w:pPr>
        <w:pStyle w:val="5"/>
        <w:snapToGrid w:val="0"/>
        <w:spacing w:before="0" w:after="0" w:line="360" w:lineRule="auto"/>
        <w:rPr>
          <w:rFonts w:ascii="宋体" w:hAnsi="宋体" w:cs="宋体"/>
          <w:b w:val="0"/>
          <w:snapToGrid w:val="0"/>
          <w:color w:val="auto"/>
          <w:sz w:val="24"/>
          <w:szCs w:val="24"/>
          <w:highlight w:val="none"/>
        </w:rPr>
      </w:pPr>
      <w:bookmarkStart w:id="437" w:name="_Toc1737"/>
      <w:bookmarkStart w:id="438" w:name="_Toc40569079"/>
      <w:bookmarkStart w:id="439" w:name="_Toc287607782"/>
      <w:bookmarkStart w:id="440" w:name="_Toc224103353"/>
      <w:bookmarkStart w:id="441" w:name="_Toc200513162"/>
      <w:bookmarkStart w:id="442" w:name="_Toc277082588"/>
      <w:bookmarkStart w:id="443" w:name="_Toc509218746"/>
      <w:bookmarkStart w:id="444" w:name="_Toc430530471"/>
      <w:bookmarkStart w:id="445" w:name="_Toc19907"/>
      <w:bookmarkStart w:id="446" w:name="_Toc5380"/>
      <w:bookmarkStart w:id="447" w:name="_Toc40569174"/>
      <w:bookmarkStart w:id="448" w:name="_Toc287620721"/>
      <w:r>
        <w:rPr>
          <w:rFonts w:hint="eastAsia" w:ascii="宋体" w:hAnsi="宋体" w:cs="宋体"/>
          <w:b w:val="0"/>
          <w:snapToGrid w:val="0"/>
          <w:color w:val="auto"/>
          <w:sz w:val="24"/>
          <w:szCs w:val="24"/>
          <w:highlight w:val="none"/>
        </w:rPr>
        <w:t>6.2  评选原则</w:t>
      </w:r>
      <w:bookmarkEnd w:id="437"/>
      <w:bookmarkEnd w:id="438"/>
      <w:bookmarkEnd w:id="439"/>
      <w:bookmarkEnd w:id="440"/>
      <w:bookmarkEnd w:id="441"/>
      <w:bookmarkEnd w:id="442"/>
      <w:bookmarkEnd w:id="443"/>
      <w:bookmarkEnd w:id="444"/>
      <w:bookmarkEnd w:id="445"/>
      <w:bookmarkEnd w:id="446"/>
      <w:bookmarkEnd w:id="447"/>
      <w:bookmarkEnd w:id="448"/>
    </w:p>
    <w:p w14:paraId="66A716C2">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评选活动遵循公平、公正、科学和择优的原则。</w:t>
      </w:r>
    </w:p>
    <w:p w14:paraId="6BDBA0A0">
      <w:pPr>
        <w:pStyle w:val="5"/>
        <w:snapToGrid w:val="0"/>
        <w:spacing w:before="0" w:after="0" w:line="360" w:lineRule="auto"/>
        <w:rPr>
          <w:rFonts w:ascii="宋体" w:hAnsi="宋体" w:cs="宋体"/>
          <w:b w:val="0"/>
          <w:snapToGrid w:val="0"/>
          <w:color w:val="auto"/>
          <w:sz w:val="24"/>
          <w:szCs w:val="24"/>
          <w:highlight w:val="none"/>
        </w:rPr>
      </w:pPr>
      <w:bookmarkStart w:id="449" w:name="_Toc32653"/>
      <w:bookmarkStart w:id="450" w:name="_Toc40569080"/>
      <w:bookmarkStart w:id="451" w:name="_Toc287607783"/>
      <w:bookmarkStart w:id="452" w:name="_Toc224103354"/>
      <w:bookmarkStart w:id="453" w:name="_Toc200513163"/>
      <w:bookmarkStart w:id="454" w:name="_Toc509218747"/>
      <w:bookmarkStart w:id="455" w:name="_Toc430530472"/>
      <w:bookmarkStart w:id="456" w:name="_Toc40569175"/>
      <w:bookmarkStart w:id="457" w:name="_Toc17901"/>
      <w:bookmarkStart w:id="458" w:name="_Toc277082589"/>
      <w:bookmarkStart w:id="459" w:name="_Toc29814"/>
      <w:bookmarkStart w:id="460" w:name="_Toc287620722"/>
      <w:r>
        <w:rPr>
          <w:rFonts w:hint="eastAsia" w:ascii="宋体" w:hAnsi="宋体" w:cs="宋体"/>
          <w:b w:val="0"/>
          <w:snapToGrid w:val="0"/>
          <w:color w:val="auto"/>
          <w:sz w:val="24"/>
          <w:szCs w:val="24"/>
          <w:highlight w:val="none"/>
        </w:rPr>
        <w:t xml:space="preserve">6.3  </w:t>
      </w:r>
      <w:bookmarkEnd w:id="449"/>
      <w:bookmarkEnd w:id="450"/>
      <w:bookmarkEnd w:id="451"/>
      <w:bookmarkEnd w:id="452"/>
      <w:bookmarkEnd w:id="453"/>
      <w:bookmarkEnd w:id="454"/>
      <w:bookmarkEnd w:id="455"/>
      <w:bookmarkEnd w:id="456"/>
      <w:bookmarkEnd w:id="457"/>
      <w:bookmarkEnd w:id="458"/>
      <w:bookmarkEnd w:id="459"/>
      <w:bookmarkEnd w:id="460"/>
      <w:r>
        <w:rPr>
          <w:rFonts w:hint="eastAsia" w:ascii="宋体" w:hAnsi="宋体" w:cs="宋体"/>
          <w:b w:val="0"/>
          <w:snapToGrid w:val="0"/>
          <w:color w:val="auto"/>
          <w:sz w:val="24"/>
          <w:szCs w:val="24"/>
          <w:highlight w:val="none"/>
        </w:rPr>
        <w:t>评选</w:t>
      </w:r>
    </w:p>
    <w:p w14:paraId="637D411C">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评选委员会按照第三章“评选办法”规定的方法、评审因素、标准和程序对竞选文件进行评审。第三章“评选办法”没有规定的方法、评审因素和标准，不得作为评选依据。</w:t>
      </w:r>
    </w:p>
    <w:p w14:paraId="47047A52">
      <w:pPr>
        <w:pStyle w:val="4"/>
        <w:spacing w:before="0" w:after="0" w:line="360" w:lineRule="auto"/>
        <w:rPr>
          <w:rFonts w:ascii="宋体" w:hAnsi="宋体" w:cs="宋体"/>
          <w:b w:val="0"/>
          <w:snapToGrid w:val="0"/>
          <w:color w:val="auto"/>
          <w:sz w:val="24"/>
          <w:szCs w:val="24"/>
          <w:highlight w:val="none"/>
        </w:rPr>
      </w:pPr>
      <w:bookmarkStart w:id="461" w:name="_Toc200513164"/>
      <w:bookmarkStart w:id="462" w:name="_Toc509218748"/>
      <w:bookmarkStart w:id="463" w:name="_Toc277082590"/>
      <w:bookmarkStart w:id="464" w:name="_Toc23357"/>
      <w:bookmarkStart w:id="465" w:name="_Toc677"/>
      <w:bookmarkStart w:id="466" w:name="_Toc287620723"/>
      <w:bookmarkStart w:id="467" w:name="_Toc287607784"/>
      <w:bookmarkStart w:id="468" w:name="_Toc430530473"/>
      <w:bookmarkStart w:id="469" w:name="_Toc27760"/>
      <w:bookmarkStart w:id="470" w:name="_Toc224103355"/>
      <w:r>
        <w:rPr>
          <w:rFonts w:hint="eastAsia" w:ascii="宋体" w:hAnsi="宋体" w:cs="宋体"/>
          <w:b w:val="0"/>
          <w:snapToGrid w:val="0"/>
          <w:color w:val="auto"/>
          <w:sz w:val="24"/>
          <w:szCs w:val="24"/>
          <w:highlight w:val="none"/>
        </w:rPr>
        <w:t>7.  合同授予</w:t>
      </w:r>
      <w:bookmarkEnd w:id="461"/>
      <w:bookmarkEnd w:id="462"/>
      <w:bookmarkEnd w:id="463"/>
      <w:bookmarkEnd w:id="464"/>
      <w:bookmarkEnd w:id="465"/>
      <w:bookmarkEnd w:id="466"/>
      <w:bookmarkEnd w:id="467"/>
      <w:bookmarkEnd w:id="468"/>
      <w:bookmarkEnd w:id="469"/>
      <w:bookmarkEnd w:id="470"/>
    </w:p>
    <w:p w14:paraId="76D44214">
      <w:pPr>
        <w:pStyle w:val="5"/>
        <w:snapToGrid w:val="0"/>
        <w:spacing w:before="0" w:after="0" w:line="360" w:lineRule="auto"/>
        <w:rPr>
          <w:rFonts w:ascii="宋体" w:hAnsi="宋体" w:cs="宋体"/>
          <w:b w:val="0"/>
          <w:snapToGrid w:val="0"/>
          <w:color w:val="auto"/>
          <w:sz w:val="24"/>
          <w:szCs w:val="24"/>
          <w:highlight w:val="none"/>
        </w:rPr>
      </w:pPr>
      <w:bookmarkStart w:id="471" w:name="_Toc40569082"/>
      <w:bookmarkStart w:id="472" w:name="_Toc12014"/>
      <w:bookmarkStart w:id="473" w:name="_Toc287620724"/>
      <w:bookmarkStart w:id="474" w:name="_Toc200513165"/>
      <w:bookmarkStart w:id="475" w:name="_Toc12616"/>
      <w:bookmarkStart w:id="476" w:name="_Toc287607785"/>
      <w:bookmarkStart w:id="477" w:name="_Toc509218749"/>
      <w:bookmarkStart w:id="478" w:name="_Toc430530474"/>
      <w:bookmarkStart w:id="479" w:name="_Toc40569177"/>
      <w:bookmarkStart w:id="480" w:name="_Toc224103356"/>
      <w:bookmarkStart w:id="481" w:name="_Toc14144"/>
      <w:bookmarkStart w:id="482" w:name="_Toc277082591"/>
      <w:r>
        <w:rPr>
          <w:rFonts w:hint="eastAsia" w:ascii="宋体" w:hAnsi="宋体" w:cs="宋体"/>
          <w:b w:val="0"/>
          <w:snapToGrid w:val="0"/>
          <w:color w:val="auto"/>
          <w:sz w:val="24"/>
          <w:szCs w:val="24"/>
          <w:highlight w:val="none"/>
        </w:rPr>
        <w:t>7.1  定标方式</w:t>
      </w:r>
      <w:bookmarkEnd w:id="471"/>
      <w:bookmarkEnd w:id="472"/>
      <w:bookmarkEnd w:id="473"/>
      <w:bookmarkEnd w:id="474"/>
      <w:bookmarkEnd w:id="475"/>
      <w:bookmarkEnd w:id="476"/>
      <w:bookmarkEnd w:id="477"/>
      <w:bookmarkEnd w:id="478"/>
      <w:bookmarkEnd w:id="479"/>
      <w:bookmarkEnd w:id="480"/>
      <w:bookmarkEnd w:id="481"/>
      <w:bookmarkEnd w:id="482"/>
    </w:p>
    <w:p w14:paraId="6ACC0E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有资金占控股或者主导地位的依法必须进行招标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选委员会提出的中选候选人名单排序依次确定其他中选候选人为中选人，也可以重新比选。</w:t>
      </w:r>
    </w:p>
    <w:p w14:paraId="07D189C2">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评选委员会推荐中选候选人的人数见竞选人须知前附表。</w:t>
      </w:r>
    </w:p>
    <w:p w14:paraId="314DF640">
      <w:pPr>
        <w:pStyle w:val="5"/>
        <w:snapToGrid w:val="0"/>
        <w:spacing w:before="0" w:after="0" w:line="360" w:lineRule="auto"/>
        <w:rPr>
          <w:rFonts w:ascii="宋体" w:hAnsi="宋体" w:cs="宋体"/>
          <w:b w:val="0"/>
          <w:snapToGrid w:val="0"/>
          <w:color w:val="auto"/>
          <w:sz w:val="24"/>
          <w:szCs w:val="24"/>
          <w:highlight w:val="none"/>
        </w:rPr>
      </w:pPr>
      <w:bookmarkStart w:id="483" w:name="_Toc509218750"/>
      <w:bookmarkStart w:id="484" w:name="_Toc3480"/>
      <w:bookmarkStart w:id="485" w:name="_Toc430530475"/>
      <w:bookmarkStart w:id="486" w:name="_Toc757"/>
      <w:bookmarkStart w:id="487" w:name="_Toc40569083"/>
      <w:bookmarkStart w:id="488" w:name="_Toc23600"/>
      <w:bookmarkStart w:id="489" w:name="_Toc40569178"/>
      <w:r>
        <w:rPr>
          <w:rFonts w:hint="eastAsia" w:ascii="宋体" w:hAnsi="宋体" w:cs="宋体"/>
          <w:b w:val="0"/>
          <w:snapToGrid w:val="0"/>
          <w:color w:val="auto"/>
          <w:sz w:val="24"/>
          <w:szCs w:val="24"/>
          <w:highlight w:val="none"/>
        </w:rPr>
        <w:t>7.2  中选公示及中选通知</w:t>
      </w:r>
      <w:bookmarkEnd w:id="483"/>
      <w:bookmarkEnd w:id="484"/>
      <w:bookmarkEnd w:id="485"/>
      <w:bookmarkEnd w:id="486"/>
      <w:bookmarkEnd w:id="487"/>
      <w:bookmarkEnd w:id="488"/>
      <w:bookmarkEnd w:id="489"/>
    </w:p>
    <w:p w14:paraId="6E796B9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详见竞选人须知前附表。</w:t>
      </w:r>
    </w:p>
    <w:p w14:paraId="771FB3BD">
      <w:pPr>
        <w:pStyle w:val="5"/>
        <w:snapToGrid w:val="0"/>
        <w:spacing w:before="0" w:after="0" w:line="360" w:lineRule="auto"/>
        <w:rPr>
          <w:rFonts w:ascii="宋体" w:hAnsi="宋体" w:cs="宋体"/>
          <w:b w:val="0"/>
          <w:snapToGrid w:val="0"/>
          <w:color w:val="auto"/>
          <w:sz w:val="24"/>
          <w:szCs w:val="24"/>
          <w:highlight w:val="none"/>
        </w:rPr>
      </w:pPr>
      <w:bookmarkStart w:id="490" w:name="_Toc40569179"/>
      <w:bookmarkStart w:id="491" w:name="_Toc200513167"/>
      <w:bookmarkStart w:id="492" w:name="_Toc1444"/>
      <w:bookmarkStart w:id="493" w:name="_Toc509218751"/>
      <w:bookmarkStart w:id="494" w:name="_Toc20679"/>
      <w:bookmarkStart w:id="495" w:name="_Toc31150"/>
      <w:bookmarkStart w:id="496" w:name="_Toc287607787"/>
      <w:bookmarkStart w:id="497" w:name="_Toc40569084"/>
      <w:bookmarkStart w:id="498" w:name="_Toc430530476"/>
      <w:bookmarkStart w:id="499" w:name="_Toc224103358"/>
      <w:bookmarkStart w:id="500" w:name="_Toc287620726"/>
      <w:bookmarkStart w:id="501" w:name="_Toc277082593"/>
      <w:r>
        <w:rPr>
          <w:rFonts w:hint="eastAsia" w:ascii="宋体" w:hAnsi="宋体" w:cs="宋体"/>
          <w:b w:val="0"/>
          <w:snapToGrid w:val="0"/>
          <w:color w:val="auto"/>
          <w:sz w:val="24"/>
          <w:szCs w:val="24"/>
          <w:highlight w:val="none"/>
        </w:rPr>
        <w:t>7.3  履约担保</w:t>
      </w:r>
      <w:bookmarkEnd w:id="490"/>
      <w:bookmarkEnd w:id="491"/>
      <w:bookmarkEnd w:id="492"/>
      <w:bookmarkEnd w:id="493"/>
      <w:bookmarkEnd w:id="494"/>
      <w:bookmarkEnd w:id="495"/>
      <w:bookmarkEnd w:id="496"/>
      <w:bookmarkEnd w:id="497"/>
      <w:bookmarkEnd w:id="498"/>
      <w:bookmarkEnd w:id="499"/>
      <w:bookmarkEnd w:id="500"/>
      <w:bookmarkEnd w:id="501"/>
    </w:p>
    <w:p w14:paraId="0E6E55E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7.3.1  在签订合同前，中选人应按竞选人须知前附表规定的金额、担保形式和比选文件第四章“合同条款及格式”规定的履约担保格式向比选人提交履约担保。联合体中选的，其履约担保由牵头人递交，并应符合竞选人须知前附表规定的金额、担保形式和比选文件第四章“合同条款及格式”规定的履约担保格式要求。</w:t>
      </w:r>
    </w:p>
    <w:p w14:paraId="5135ED01">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7.3.2  中选人不能按本章第 7.3.1 项要求提交履约担保的，视为放弃中选，其比选保证金不予退还，给比选人造成的损失超过比选保证金数额的，中选人还应当对超过部分予以赔偿。</w:t>
      </w:r>
    </w:p>
    <w:p w14:paraId="4D09A94E">
      <w:pPr>
        <w:pStyle w:val="5"/>
        <w:snapToGrid w:val="0"/>
        <w:spacing w:before="0" w:after="0" w:line="360" w:lineRule="auto"/>
        <w:rPr>
          <w:rFonts w:ascii="宋体" w:hAnsi="宋体" w:cs="宋体"/>
          <w:b w:val="0"/>
          <w:snapToGrid w:val="0"/>
          <w:color w:val="auto"/>
          <w:sz w:val="24"/>
          <w:szCs w:val="24"/>
          <w:highlight w:val="none"/>
        </w:rPr>
      </w:pPr>
      <w:bookmarkStart w:id="502" w:name="_Toc1871"/>
      <w:bookmarkStart w:id="503" w:name="_Toc23731"/>
      <w:bookmarkStart w:id="504" w:name="_Toc509218752"/>
      <w:bookmarkStart w:id="505" w:name="_Toc40569085"/>
      <w:bookmarkStart w:id="506" w:name="_Toc287620727"/>
      <w:bookmarkStart w:id="507" w:name="_Toc3209"/>
      <w:bookmarkStart w:id="508" w:name="_Toc430530477"/>
      <w:bookmarkStart w:id="509" w:name="_Toc40569180"/>
      <w:bookmarkStart w:id="510" w:name="_Toc287607788"/>
      <w:bookmarkStart w:id="511" w:name="_Toc200513168"/>
      <w:bookmarkStart w:id="512" w:name="_Toc277082594"/>
      <w:bookmarkStart w:id="513" w:name="_Toc224103359"/>
      <w:r>
        <w:rPr>
          <w:rFonts w:hint="eastAsia" w:ascii="宋体" w:hAnsi="宋体" w:cs="宋体"/>
          <w:b w:val="0"/>
          <w:snapToGrid w:val="0"/>
          <w:color w:val="auto"/>
          <w:sz w:val="24"/>
          <w:szCs w:val="24"/>
          <w:highlight w:val="none"/>
        </w:rPr>
        <w:t>7.4  签订合同</w:t>
      </w:r>
      <w:bookmarkEnd w:id="502"/>
      <w:bookmarkEnd w:id="503"/>
      <w:bookmarkEnd w:id="504"/>
      <w:bookmarkEnd w:id="505"/>
      <w:bookmarkEnd w:id="506"/>
      <w:bookmarkEnd w:id="507"/>
      <w:bookmarkEnd w:id="508"/>
      <w:bookmarkEnd w:id="509"/>
      <w:bookmarkEnd w:id="510"/>
      <w:bookmarkEnd w:id="511"/>
      <w:bookmarkEnd w:id="512"/>
      <w:bookmarkEnd w:id="513"/>
    </w:p>
    <w:p w14:paraId="3AB366ED">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7.4.1 比选人和中选人应当自中选通知书发出之日起 30 天内，根据比选文件和中选人的竞选文件订立书面合同。中选人无正当理由拒签合同的，比选人取消其中选资格，其比选保证金不予退还；给比选人造成的损失超过比选保证金数额的，中选人还应当对超过部分予以赔偿。</w:t>
      </w:r>
    </w:p>
    <w:p w14:paraId="3C866034">
      <w:pPr>
        <w:pStyle w:val="4"/>
        <w:spacing w:before="0" w:after="0" w:line="360" w:lineRule="auto"/>
        <w:rPr>
          <w:rFonts w:ascii="宋体" w:hAnsi="宋体" w:cs="宋体"/>
          <w:b w:val="0"/>
          <w:snapToGrid w:val="0"/>
          <w:color w:val="auto"/>
          <w:sz w:val="24"/>
          <w:szCs w:val="24"/>
          <w:highlight w:val="none"/>
        </w:rPr>
      </w:pPr>
      <w:bookmarkStart w:id="514" w:name="_Toc509218753"/>
      <w:bookmarkStart w:id="515" w:name="_Toc224103360"/>
      <w:bookmarkStart w:id="516" w:name="_Toc287620728"/>
      <w:bookmarkStart w:id="517" w:name="_Toc287607789"/>
      <w:bookmarkStart w:id="518" w:name="_Toc200513169"/>
      <w:bookmarkStart w:id="519" w:name="_Toc4906"/>
      <w:bookmarkStart w:id="520" w:name="_Toc430530478"/>
      <w:bookmarkStart w:id="521" w:name="_Toc387"/>
      <w:bookmarkStart w:id="522" w:name="_Toc32452"/>
      <w:bookmarkStart w:id="523" w:name="_Toc277082595"/>
      <w:r>
        <w:rPr>
          <w:rFonts w:hint="eastAsia" w:ascii="宋体" w:hAnsi="宋体" w:cs="宋体"/>
          <w:b w:val="0"/>
          <w:snapToGrid w:val="0"/>
          <w:color w:val="auto"/>
          <w:sz w:val="24"/>
          <w:szCs w:val="24"/>
          <w:highlight w:val="none"/>
        </w:rPr>
        <w:t>8.  重新</w:t>
      </w:r>
      <w:bookmarkEnd w:id="514"/>
      <w:bookmarkEnd w:id="515"/>
      <w:bookmarkEnd w:id="516"/>
      <w:bookmarkEnd w:id="517"/>
      <w:bookmarkEnd w:id="518"/>
      <w:bookmarkEnd w:id="519"/>
      <w:bookmarkEnd w:id="520"/>
      <w:bookmarkEnd w:id="521"/>
      <w:bookmarkEnd w:id="522"/>
      <w:bookmarkEnd w:id="523"/>
      <w:r>
        <w:rPr>
          <w:rFonts w:hint="eastAsia" w:ascii="宋体" w:hAnsi="宋体" w:cs="宋体"/>
          <w:b w:val="0"/>
          <w:snapToGrid w:val="0"/>
          <w:color w:val="auto"/>
          <w:sz w:val="24"/>
          <w:szCs w:val="24"/>
          <w:highlight w:val="none"/>
        </w:rPr>
        <w:t>比选</w:t>
      </w:r>
    </w:p>
    <w:p w14:paraId="1685B9DF">
      <w:pPr>
        <w:pStyle w:val="5"/>
        <w:snapToGrid w:val="0"/>
        <w:spacing w:before="0" w:after="0" w:line="360" w:lineRule="auto"/>
        <w:rPr>
          <w:rFonts w:ascii="宋体" w:hAnsi="宋体" w:cs="宋体"/>
          <w:b w:val="0"/>
          <w:snapToGrid w:val="0"/>
          <w:color w:val="auto"/>
          <w:sz w:val="24"/>
          <w:szCs w:val="24"/>
          <w:highlight w:val="none"/>
        </w:rPr>
      </w:pPr>
      <w:bookmarkStart w:id="524" w:name="_Toc40569182"/>
      <w:bookmarkStart w:id="525" w:name="_Toc40569087"/>
      <w:bookmarkStart w:id="526" w:name="_Toc287607790"/>
      <w:bookmarkStart w:id="527" w:name="_Toc430530479"/>
      <w:bookmarkStart w:id="528" w:name="_Toc277082596"/>
      <w:bookmarkStart w:id="529" w:name="_Toc23599"/>
      <w:bookmarkStart w:id="530" w:name="_Toc287620729"/>
      <w:bookmarkStart w:id="531" w:name="_Toc224103361"/>
      <w:bookmarkStart w:id="532" w:name="_Toc16710"/>
      <w:bookmarkStart w:id="533" w:name="_Toc200513170"/>
      <w:bookmarkStart w:id="534" w:name="_Toc5411"/>
      <w:bookmarkStart w:id="535" w:name="_Toc509218754"/>
      <w:r>
        <w:rPr>
          <w:rFonts w:hint="eastAsia" w:ascii="宋体" w:hAnsi="宋体" w:cs="宋体"/>
          <w:b w:val="0"/>
          <w:snapToGrid w:val="0"/>
          <w:color w:val="auto"/>
          <w:sz w:val="24"/>
          <w:szCs w:val="24"/>
          <w:highlight w:val="none"/>
        </w:rPr>
        <w:t>8.1  重新</w:t>
      </w:r>
      <w:bookmarkEnd w:id="524"/>
      <w:bookmarkEnd w:id="525"/>
      <w:bookmarkEnd w:id="526"/>
      <w:bookmarkEnd w:id="527"/>
      <w:bookmarkEnd w:id="528"/>
      <w:bookmarkEnd w:id="529"/>
      <w:bookmarkEnd w:id="530"/>
      <w:bookmarkEnd w:id="531"/>
      <w:bookmarkEnd w:id="532"/>
      <w:bookmarkEnd w:id="533"/>
      <w:bookmarkEnd w:id="534"/>
      <w:bookmarkEnd w:id="535"/>
      <w:r>
        <w:rPr>
          <w:rFonts w:hint="eastAsia" w:ascii="宋体" w:hAnsi="宋体" w:cs="宋体"/>
          <w:b w:val="0"/>
          <w:snapToGrid w:val="0"/>
          <w:color w:val="auto"/>
          <w:sz w:val="24"/>
          <w:szCs w:val="24"/>
          <w:highlight w:val="none"/>
        </w:rPr>
        <w:t>比选</w:t>
      </w:r>
    </w:p>
    <w:p w14:paraId="55816F3E">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有下列情形之一的，比选人将重新开展比选活动：</w:t>
      </w:r>
    </w:p>
    <w:p w14:paraId="4B52A467">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（1）竞选文件递交截止时间为止，竞选人少于3个的；</w:t>
      </w:r>
    </w:p>
    <w:p w14:paraId="04AD37B3">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（2）经评选委员会评审后否决所有竞选人的；</w:t>
      </w:r>
    </w:p>
    <w:p w14:paraId="5B117E17">
      <w:pPr>
        <w:widowControl/>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经评选委员会评审后部分竞选人被否决，导致有效竞选人不足3个的，原则上应否决全部竞选。但是有效竞选人的经济、技术等指标仍然具有市场竞争力，能够满足比选文件要求的，评选委员会可以继续评选并确定中选候选人。</w:t>
      </w:r>
    </w:p>
    <w:p w14:paraId="0BB76503">
      <w:pPr>
        <w:widowControl/>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（4）法律法规规定的其他情形。</w:t>
      </w:r>
    </w:p>
    <w:p w14:paraId="6B4806C2">
      <w:pPr>
        <w:pStyle w:val="4"/>
        <w:spacing w:before="0" w:after="0" w:line="360" w:lineRule="auto"/>
        <w:rPr>
          <w:rFonts w:ascii="宋体" w:hAnsi="宋体" w:cs="宋体"/>
          <w:b w:val="0"/>
          <w:snapToGrid w:val="0"/>
          <w:color w:val="auto"/>
          <w:sz w:val="24"/>
          <w:szCs w:val="24"/>
          <w:highlight w:val="none"/>
        </w:rPr>
      </w:pPr>
      <w:bookmarkStart w:id="536" w:name="_Toc32459"/>
      <w:bookmarkStart w:id="537" w:name="_Toc200513172"/>
      <w:bookmarkStart w:id="538" w:name="_Toc287607792"/>
      <w:bookmarkStart w:id="539" w:name="_Toc224103363"/>
      <w:bookmarkStart w:id="540" w:name="_Toc277082598"/>
      <w:bookmarkStart w:id="541" w:name="_Toc30342"/>
      <w:bookmarkStart w:id="542" w:name="_Toc287620731"/>
      <w:bookmarkStart w:id="543" w:name="_Toc7059"/>
      <w:bookmarkStart w:id="544" w:name="_Toc430530481"/>
      <w:bookmarkStart w:id="545" w:name="_Toc509218756"/>
      <w:r>
        <w:rPr>
          <w:rFonts w:hint="eastAsia" w:ascii="宋体" w:hAnsi="宋体" w:cs="宋体"/>
          <w:b w:val="0"/>
          <w:snapToGrid w:val="0"/>
          <w:color w:val="auto"/>
          <w:sz w:val="24"/>
          <w:szCs w:val="24"/>
          <w:highlight w:val="none"/>
        </w:rPr>
        <w:t>9.  纪律和监督</w:t>
      </w:r>
      <w:bookmarkEnd w:id="536"/>
      <w:bookmarkEnd w:id="537"/>
      <w:bookmarkEnd w:id="538"/>
      <w:bookmarkEnd w:id="539"/>
      <w:bookmarkEnd w:id="540"/>
      <w:bookmarkEnd w:id="541"/>
      <w:bookmarkEnd w:id="542"/>
      <w:bookmarkEnd w:id="543"/>
      <w:bookmarkEnd w:id="544"/>
      <w:bookmarkEnd w:id="545"/>
    </w:p>
    <w:p w14:paraId="37AD31E9">
      <w:pPr>
        <w:pStyle w:val="5"/>
        <w:snapToGrid w:val="0"/>
        <w:spacing w:before="0" w:after="0" w:line="360" w:lineRule="auto"/>
        <w:rPr>
          <w:rFonts w:ascii="宋体" w:hAnsi="宋体" w:cs="宋体"/>
          <w:b w:val="0"/>
          <w:snapToGrid w:val="0"/>
          <w:color w:val="auto"/>
          <w:sz w:val="24"/>
          <w:szCs w:val="24"/>
          <w:highlight w:val="none"/>
        </w:rPr>
      </w:pPr>
      <w:bookmarkStart w:id="546" w:name="_Toc20555"/>
      <w:bookmarkStart w:id="547" w:name="_Toc277082599"/>
      <w:bookmarkStart w:id="548" w:name="_Toc15838"/>
      <w:bookmarkStart w:id="549" w:name="_Toc14823"/>
      <w:bookmarkStart w:id="550" w:name="_Toc200513173"/>
      <w:bookmarkStart w:id="551" w:name="_Toc40569090"/>
      <w:bookmarkStart w:id="552" w:name="_Toc430530482"/>
      <w:bookmarkStart w:id="553" w:name="_Toc509218757"/>
      <w:bookmarkStart w:id="554" w:name="_Toc287620732"/>
      <w:bookmarkStart w:id="555" w:name="_Toc287607793"/>
      <w:bookmarkStart w:id="556" w:name="_Toc40569185"/>
      <w:bookmarkStart w:id="557" w:name="_Toc224103364"/>
      <w:r>
        <w:rPr>
          <w:rFonts w:hint="eastAsia" w:ascii="宋体" w:hAnsi="宋体" w:cs="宋体"/>
          <w:b w:val="0"/>
          <w:snapToGrid w:val="0"/>
          <w:color w:val="auto"/>
          <w:sz w:val="24"/>
          <w:szCs w:val="24"/>
          <w:highlight w:val="none"/>
        </w:rPr>
        <w:t>9.1  对比选人的纪律要求</w:t>
      </w:r>
      <w:bookmarkEnd w:id="546"/>
      <w:bookmarkEnd w:id="547"/>
      <w:bookmarkEnd w:id="548"/>
      <w:bookmarkEnd w:id="549"/>
      <w:bookmarkEnd w:id="550"/>
      <w:bookmarkEnd w:id="551"/>
      <w:bookmarkEnd w:id="552"/>
      <w:bookmarkEnd w:id="553"/>
      <w:bookmarkEnd w:id="554"/>
      <w:bookmarkEnd w:id="555"/>
      <w:bookmarkEnd w:id="556"/>
      <w:bookmarkEnd w:id="557"/>
    </w:p>
    <w:p w14:paraId="00B72A74">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snapToGrid w:val="0"/>
          <w:color w:val="auto"/>
          <w:kern w:val="0"/>
          <w:szCs w:val="21"/>
          <w:highlight w:val="none"/>
        </w:rPr>
        <w:t>比选人不得泄漏比选活动中应当保密的情况和资料，不得与竞选人串通损害国家利益、社会公共利益或者他人合法权益，</w:t>
      </w:r>
      <w:r>
        <w:rPr>
          <w:rFonts w:hint="eastAsia" w:ascii="宋体" w:hAnsi="宋体" w:cs="宋体"/>
          <w:color w:val="auto"/>
          <w:highlight w:val="none"/>
        </w:rPr>
        <w:t>禁止比选人与竞选人串通投标。</w:t>
      </w:r>
    </w:p>
    <w:p w14:paraId="7DB06DCD">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有下列情形之一的，属于比选人与竞选人串通投标：</w:t>
      </w:r>
    </w:p>
    <w:p w14:paraId="112D786D">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（1）比选人在评选开始前开启竞选文件并将有关信息泄露给其他竞选人；</w:t>
      </w:r>
    </w:p>
    <w:p w14:paraId="56365875">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（2）比选人直接或者间接向竞选人泄露标底、评选委员会成员等信息；</w:t>
      </w:r>
    </w:p>
    <w:p w14:paraId="21DCB6E9">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（3）比选人明示或者暗示竞选人压低或者抬高竞选总报价；</w:t>
      </w:r>
    </w:p>
    <w:p w14:paraId="201E08AC">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（4）比选人授意竞选人撤换、修改竞选文件；</w:t>
      </w:r>
    </w:p>
    <w:p w14:paraId="42B61A9B">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（5）比选人明示或者暗示竞选人为特定竞选人中选提供方便；</w:t>
      </w:r>
    </w:p>
    <w:p w14:paraId="12752848">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color w:val="auto"/>
          <w:highlight w:val="none"/>
        </w:rPr>
        <w:t>（6）比选人与竞选人为谋求特定竞选人中选而采取的其他串通行为。</w:t>
      </w:r>
    </w:p>
    <w:p w14:paraId="674934BC">
      <w:pPr>
        <w:pStyle w:val="5"/>
        <w:snapToGrid w:val="0"/>
        <w:spacing w:before="0" w:after="0" w:line="360" w:lineRule="auto"/>
        <w:rPr>
          <w:rFonts w:ascii="宋体" w:hAnsi="宋体" w:cs="宋体"/>
          <w:b w:val="0"/>
          <w:snapToGrid w:val="0"/>
          <w:color w:val="auto"/>
          <w:sz w:val="24"/>
          <w:szCs w:val="24"/>
          <w:highlight w:val="none"/>
        </w:rPr>
      </w:pPr>
      <w:bookmarkStart w:id="558" w:name="_Toc40569091"/>
      <w:bookmarkStart w:id="559" w:name="_Toc1612"/>
      <w:bookmarkStart w:id="560" w:name="_Toc509218758"/>
      <w:bookmarkStart w:id="561" w:name="_Toc430530483"/>
      <w:bookmarkStart w:id="562" w:name="_Toc200513174"/>
      <w:bookmarkStart w:id="563" w:name="_Toc13914"/>
      <w:bookmarkStart w:id="564" w:name="_Toc287620733"/>
      <w:bookmarkStart w:id="565" w:name="_Toc26842"/>
      <w:bookmarkStart w:id="566" w:name="_Toc40569186"/>
      <w:bookmarkStart w:id="567" w:name="_Toc287607794"/>
      <w:bookmarkStart w:id="568" w:name="_Toc277082600"/>
      <w:bookmarkStart w:id="569" w:name="_Toc224103365"/>
      <w:r>
        <w:rPr>
          <w:rFonts w:hint="eastAsia" w:ascii="宋体" w:hAnsi="宋体" w:cs="宋体"/>
          <w:b w:val="0"/>
          <w:snapToGrid w:val="0"/>
          <w:color w:val="auto"/>
          <w:sz w:val="24"/>
          <w:szCs w:val="24"/>
          <w:highlight w:val="none"/>
        </w:rPr>
        <w:t>9.2  对竞选人的纪律要求</w:t>
      </w:r>
      <w:bookmarkEnd w:id="558"/>
      <w:bookmarkEnd w:id="559"/>
      <w:bookmarkEnd w:id="560"/>
      <w:bookmarkEnd w:id="561"/>
      <w:bookmarkEnd w:id="562"/>
      <w:bookmarkEnd w:id="563"/>
      <w:bookmarkEnd w:id="564"/>
      <w:bookmarkEnd w:id="565"/>
      <w:bookmarkEnd w:id="566"/>
      <w:bookmarkEnd w:id="567"/>
      <w:bookmarkEnd w:id="568"/>
      <w:bookmarkEnd w:id="569"/>
    </w:p>
    <w:p w14:paraId="3F13F057">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snapToGrid w:val="0"/>
          <w:color w:val="auto"/>
          <w:kern w:val="0"/>
          <w:szCs w:val="21"/>
          <w:highlight w:val="none"/>
        </w:rPr>
        <w:t>竞选人不得相互串通投标或者与比选人串通投标，不得向比选人或者评选委员会成员行贿谋取中选，不得以他人名义投标或者以其他方式弄虚作假骗取中选；竞选人不得以任何方式干扰、影响评选工作。</w:t>
      </w:r>
      <w:r>
        <w:rPr>
          <w:rFonts w:hint="eastAsia" w:ascii="宋体" w:hAnsi="宋体" w:cs="宋体"/>
          <w:color w:val="auto"/>
          <w:highlight w:val="none"/>
        </w:rPr>
        <w:t>有下列情形之一的，属于竞选人相互串通投标：</w:t>
      </w:r>
    </w:p>
    <w:p w14:paraId="3E950E43">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（1）竞选人之间协商竞选总报价等竞选文件的实质性内容；</w:t>
      </w:r>
    </w:p>
    <w:p w14:paraId="5E4DBCCF">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（2）竞选人之间约定中选人；</w:t>
      </w:r>
    </w:p>
    <w:p w14:paraId="4BDD0F84">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（3）竞选人之间约定部分竞选人放弃投标或者中选；</w:t>
      </w:r>
    </w:p>
    <w:p w14:paraId="1370FB19">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（4）属于同一集团、协会、商会等组织成员的竞选人按照该组织要求协同投标；</w:t>
      </w:r>
    </w:p>
    <w:p w14:paraId="5080F366">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（5）竞选人之间为谋取中选或者排斥特定竞选人而采取的其他联合行动。</w:t>
      </w:r>
    </w:p>
    <w:p w14:paraId="53DEFD8D">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有下列情形之一的，视为竞选人相互串通投标：</w:t>
      </w:r>
    </w:p>
    <w:p w14:paraId="06EE0FE0">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（1）不同竞选人的竞选文件由同一单位或者个人编制；</w:t>
      </w:r>
    </w:p>
    <w:p w14:paraId="32CB810F">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（2）不同竞选人委托同一单位或者个人办理投标事宜；</w:t>
      </w:r>
    </w:p>
    <w:p w14:paraId="2866B13A">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（3）不同竞选人的竞选文件载明的项目管理成员为同一人；</w:t>
      </w:r>
    </w:p>
    <w:p w14:paraId="503C8A0B">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（4）不同竞选人的竞选文件异常一致或者竞选总报价呈规律性差异；</w:t>
      </w:r>
    </w:p>
    <w:p w14:paraId="5832DD54">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（5）不同竞选人的竞选文件相互混装；</w:t>
      </w:r>
    </w:p>
    <w:p w14:paraId="69FC5D96">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（6）不同竞选人的比选保证金从同一单位或者个人的账户转出。</w:t>
      </w:r>
    </w:p>
    <w:p w14:paraId="3E8D6781">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使用通过受让或者租借等方式获取的资格、资质证书投标的，属于以他人名义投标。</w:t>
      </w:r>
    </w:p>
    <w:p w14:paraId="660382DE">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竞选人有下列情形之一的，属于以其他方式弄虚作假的行为：</w:t>
      </w:r>
    </w:p>
    <w:p w14:paraId="551CCC9B">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（一）使用伪造、变造的许可证件；</w:t>
      </w:r>
    </w:p>
    <w:p w14:paraId="06D0950D">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（二）提供虚假的财务状况或者业绩；</w:t>
      </w:r>
    </w:p>
    <w:p w14:paraId="00C44BB8">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（三）提供虚假的项目负责人或者主要技术人员简历、劳动关系证明；</w:t>
      </w:r>
    </w:p>
    <w:p w14:paraId="2935B310">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（四）提供虚假的信用状况；</w:t>
      </w:r>
    </w:p>
    <w:p w14:paraId="23BC912B">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color w:val="auto"/>
          <w:highlight w:val="none"/>
        </w:rPr>
        <w:t>（五）其他弄虚作假的行为。</w:t>
      </w:r>
    </w:p>
    <w:p w14:paraId="4EF1D4E3">
      <w:pPr>
        <w:pStyle w:val="5"/>
        <w:snapToGrid w:val="0"/>
        <w:spacing w:before="0" w:after="0" w:line="360" w:lineRule="auto"/>
        <w:rPr>
          <w:rFonts w:ascii="宋体" w:hAnsi="宋体" w:cs="宋体"/>
          <w:b w:val="0"/>
          <w:snapToGrid w:val="0"/>
          <w:color w:val="auto"/>
          <w:sz w:val="24"/>
          <w:szCs w:val="24"/>
          <w:highlight w:val="none"/>
        </w:rPr>
      </w:pPr>
      <w:bookmarkStart w:id="570" w:name="_Toc277082601"/>
      <w:bookmarkStart w:id="571" w:name="_Toc287607795"/>
      <w:bookmarkStart w:id="572" w:name="_Toc287620734"/>
      <w:bookmarkStart w:id="573" w:name="_Toc40569187"/>
      <w:bookmarkStart w:id="574" w:name="_Toc224103366"/>
      <w:bookmarkStart w:id="575" w:name="_Toc40569092"/>
      <w:bookmarkStart w:id="576" w:name="_Toc30347"/>
      <w:bookmarkStart w:id="577" w:name="_Toc3385"/>
      <w:bookmarkStart w:id="578" w:name="_Toc200513175"/>
      <w:bookmarkStart w:id="579" w:name="_Toc430530484"/>
      <w:bookmarkStart w:id="580" w:name="_Toc15322"/>
      <w:bookmarkStart w:id="581" w:name="_Toc509218759"/>
      <w:r>
        <w:rPr>
          <w:rFonts w:hint="eastAsia" w:ascii="宋体" w:hAnsi="宋体" w:cs="宋体"/>
          <w:b w:val="0"/>
          <w:snapToGrid w:val="0"/>
          <w:color w:val="auto"/>
          <w:sz w:val="24"/>
          <w:szCs w:val="24"/>
          <w:highlight w:val="none"/>
        </w:rPr>
        <w:t>9.3  对评选委员会成员的纪律要求</w:t>
      </w:r>
      <w:bookmarkEnd w:id="570"/>
      <w:bookmarkEnd w:id="571"/>
      <w:bookmarkEnd w:id="572"/>
      <w:bookmarkEnd w:id="573"/>
      <w:bookmarkEnd w:id="574"/>
      <w:bookmarkEnd w:id="575"/>
      <w:bookmarkEnd w:id="576"/>
      <w:bookmarkEnd w:id="577"/>
      <w:bookmarkEnd w:id="578"/>
      <w:bookmarkEnd w:id="579"/>
      <w:bookmarkEnd w:id="580"/>
      <w:bookmarkEnd w:id="581"/>
    </w:p>
    <w:p w14:paraId="71617FC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委员会成员不得收受他人的财物或者其他好处，不得向他人透漏对竞选文件的评审和比较、中选候选人的推荐情况以及评选有关的其他情况。在评选活动中，评选委员会成员不得擅离职守，影响评选程序正常进行，不得使用第三章“评选办法”没有规定的评审因素和标准进行评选。</w:t>
      </w:r>
    </w:p>
    <w:p w14:paraId="4647748B">
      <w:pPr>
        <w:pStyle w:val="5"/>
        <w:snapToGrid w:val="0"/>
        <w:spacing w:before="0" w:after="0" w:line="360" w:lineRule="auto"/>
        <w:rPr>
          <w:rFonts w:ascii="宋体" w:hAnsi="宋体" w:cs="宋体"/>
          <w:b w:val="0"/>
          <w:snapToGrid w:val="0"/>
          <w:color w:val="auto"/>
          <w:sz w:val="24"/>
          <w:szCs w:val="24"/>
          <w:highlight w:val="none"/>
        </w:rPr>
      </w:pPr>
      <w:bookmarkStart w:id="582" w:name="_Toc14712"/>
      <w:bookmarkStart w:id="583" w:name="_Toc509218760"/>
      <w:bookmarkStart w:id="584" w:name="_Toc224103367"/>
      <w:bookmarkStart w:id="585" w:name="_Toc24901"/>
      <w:bookmarkStart w:id="586" w:name="_Toc200513176"/>
      <w:bookmarkStart w:id="587" w:name="_Toc40569093"/>
      <w:bookmarkStart w:id="588" w:name="_Toc287607796"/>
      <w:bookmarkStart w:id="589" w:name="_Toc19795"/>
      <w:bookmarkStart w:id="590" w:name="_Toc430530485"/>
      <w:bookmarkStart w:id="591" w:name="_Toc287620735"/>
      <w:bookmarkStart w:id="592" w:name="_Toc40569188"/>
      <w:bookmarkStart w:id="593" w:name="_Toc277082602"/>
      <w:r>
        <w:rPr>
          <w:rFonts w:hint="eastAsia" w:ascii="宋体" w:hAnsi="宋体" w:cs="宋体"/>
          <w:b w:val="0"/>
          <w:snapToGrid w:val="0"/>
          <w:color w:val="auto"/>
          <w:sz w:val="24"/>
          <w:szCs w:val="24"/>
          <w:highlight w:val="none"/>
        </w:rPr>
        <w:t>9.4  对与评选活动有关的工作人员的纪律要求</w:t>
      </w:r>
      <w:bookmarkEnd w:id="582"/>
      <w:bookmarkEnd w:id="583"/>
      <w:bookmarkEnd w:id="584"/>
      <w:bookmarkEnd w:id="585"/>
      <w:bookmarkEnd w:id="586"/>
      <w:bookmarkEnd w:id="587"/>
      <w:bookmarkEnd w:id="588"/>
      <w:bookmarkEnd w:id="589"/>
      <w:bookmarkEnd w:id="590"/>
      <w:bookmarkEnd w:id="591"/>
      <w:bookmarkEnd w:id="592"/>
      <w:bookmarkEnd w:id="593"/>
    </w:p>
    <w:p w14:paraId="319650E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与评选活动有关的工作人员不得收受他人的财物或者其他好处，不得向他人透漏对竞选文件的评审和比较、中选候选人的推荐情况以及与评选有关的其他情况。在评选活动中，与评选活动有关的工作人员不得擅离职守，影响评选程序正常进行。</w:t>
      </w:r>
    </w:p>
    <w:p w14:paraId="08D45A03">
      <w:pPr>
        <w:pStyle w:val="5"/>
        <w:snapToGrid w:val="0"/>
        <w:spacing w:before="0" w:after="0" w:line="360" w:lineRule="auto"/>
        <w:rPr>
          <w:rFonts w:ascii="宋体" w:hAnsi="宋体" w:cs="宋体"/>
          <w:b w:val="0"/>
          <w:snapToGrid w:val="0"/>
          <w:color w:val="auto"/>
          <w:sz w:val="24"/>
          <w:szCs w:val="24"/>
          <w:highlight w:val="none"/>
        </w:rPr>
      </w:pPr>
      <w:bookmarkStart w:id="594" w:name="_Toc509218761"/>
      <w:bookmarkStart w:id="595" w:name="_Toc40569094"/>
      <w:bookmarkStart w:id="596" w:name="_Toc430530486"/>
      <w:bookmarkStart w:id="597" w:name="_Toc200513177"/>
      <w:bookmarkStart w:id="598" w:name="_Toc287607797"/>
      <w:bookmarkStart w:id="599" w:name="_Toc24405"/>
      <w:bookmarkStart w:id="600" w:name="_Toc277082603"/>
      <w:bookmarkStart w:id="601" w:name="_Toc40569189"/>
      <w:bookmarkStart w:id="602" w:name="_Toc7152"/>
      <w:bookmarkStart w:id="603" w:name="_Toc9443"/>
      <w:bookmarkStart w:id="604" w:name="_Toc224103368"/>
      <w:bookmarkStart w:id="605" w:name="_Toc287620736"/>
      <w:r>
        <w:rPr>
          <w:rFonts w:hint="eastAsia" w:ascii="宋体" w:hAnsi="宋体" w:cs="宋体"/>
          <w:b w:val="0"/>
          <w:snapToGrid w:val="0"/>
          <w:color w:val="auto"/>
          <w:sz w:val="24"/>
          <w:szCs w:val="24"/>
          <w:highlight w:val="none"/>
        </w:rPr>
        <w:t>9.5  投诉</w:t>
      </w:r>
      <w:bookmarkEnd w:id="594"/>
      <w:bookmarkEnd w:id="595"/>
      <w:bookmarkEnd w:id="596"/>
      <w:bookmarkEnd w:id="597"/>
      <w:bookmarkEnd w:id="598"/>
      <w:bookmarkEnd w:id="599"/>
      <w:bookmarkEnd w:id="600"/>
      <w:bookmarkEnd w:id="601"/>
      <w:bookmarkEnd w:id="602"/>
      <w:bookmarkEnd w:id="603"/>
      <w:bookmarkEnd w:id="604"/>
      <w:bookmarkEnd w:id="605"/>
    </w:p>
    <w:p w14:paraId="0556906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竞选人和其他利害关系人认为本次比选活动违反法律、法规和规章规定的，有权向有关行政监督部门投诉。</w:t>
      </w:r>
    </w:p>
    <w:p w14:paraId="73479E3A">
      <w:pPr>
        <w:pStyle w:val="5"/>
        <w:snapToGrid w:val="0"/>
        <w:spacing w:before="0" w:after="0" w:line="360" w:lineRule="auto"/>
        <w:rPr>
          <w:rFonts w:ascii="宋体" w:hAnsi="宋体" w:cs="宋体"/>
          <w:b w:val="0"/>
          <w:snapToGrid w:val="0"/>
          <w:color w:val="auto"/>
          <w:sz w:val="24"/>
          <w:szCs w:val="24"/>
          <w:highlight w:val="none"/>
        </w:rPr>
      </w:pPr>
      <w:bookmarkStart w:id="606" w:name="_Toc277082604"/>
      <w:bookmarkStart w:id="607" w:name="_Toc287620737"/>
      <w:bookmarkStart w:id="608" w:name="_Toc287607798"/>
      <w:bookmarkStart w:id="609" w:name="_Toc32650"/>
      <w:bookmarkStart w:id="610" w:name="_Toc430530487"/>
      <w:bookmarkStart w:id="611" w:name="_Toc18945"/>
      <w:bookmarkStart w:id="612" w:name="_Toc200513178"/>
      <w:bookmarkStart w:id="613" w:name="_Toc509218762"/>
      <w:bookmarkStart w:id="614" w:name="_Toc224103369"/>
      <w:bookmarkStart w:id="615" w:name="_Toc6297"/>
      <w:r>
        <w:rPr>
          <w:rFonts w:hint="eastAsia" w:ascii="宋体" w:hAnsi="宋体" w:cs="宋体"/>
          <w:b w:val="0"/>
          <w:snapToGrid w:val="0"/>
          <w:color w:val="auto"/>
          <w:sz w:val="24"/>
          <w:szCs w:val="24"/>
          <w:highlight w:val="none"/>
        </w:rPr>
        <w:t>10. 需要补充的其他内容</w:t>
      </w:r>
      <w:bookmarkEnd w:id="606"/>
      <w:bookmarkEnd w:id="607"/>
      <w:bookmarkEnd w:id="608"/>
      <w:bookmarkEnd w:id="609"/>
      <w:bookmarkEnd w:id="610"/>
      <w:bookmarkEnd w:id="611"/>
      <w:bookmarkEnd w:id="612"/>
      <w:bookmarkEnd w:id="613"/>
      <w:bookmarkEnd w:id="614"/>
      <w:bookmarkEnd w:id="615"/>
    </w:p>
    <w:p w14:paraId="18096B1A">
      <w:pPr>
        <w:pStyle w:val="5"/>
        <w:snapToGrid w:val="0"/>
        <w:spacing w:before="0" w:after="0" w:line="360" w:lineRule="auto"/>
        <w:ind w:firstLine="480" w:firstLineChars="200"/>
        <w:rPr>
          <w:rFonts w:ascii="宋体" w:hAnsi="宋体" w:cs="宋体"/>
          <w:b w:val="0"/>
          <w:snapToGrid w:val="0"/>
          <w:color w:val="auto"/>
          <w:sz w:val="24"/>
          <w:szCs w:val="24"/>
          <w:highlight w:val="none"/>
        </w:rPr>
      </w:pPr>
      <w:r>
        <w:rPr>
          <w:rFonts w:hint="eastAsia" w:ascii="宋体" w:hAnsi="宋体" w:cs="宋体"/>
          <w:b w:val="0"/>
          <w:snapToGrid w:val="0"/>
          <w:color w:val="auto"/>
          <w:sz w:val="24"/>
          <w:szCs w:val="24"/>
          <w:highlight w:val="none"/>
        </w:rPr>
        <w:t>见竞选人须知前附表。</w:t>
      </w:r>
    </w:p>
    <w:p w14:paraId="20B9B8BE">
      <w:pPr>
        <w:rPr>
          <w:color w:val="auto"/>
          <w:highlight w:val="none"/>
        </w:rPr>
      </w:pPr>
    </w:p>
    <w:p w14:paraId="0F10FE93">
      <w:pPr>
        <w:autoSpaceDE w:val="0"/>
        <w:autoSpaceDN w:val="0"/>
        <w:adjustRightInd w:val="0"/>
        <w:snapToGrid w:val="0"/>
        <w:spacing w:line="360" w:lineRule="auto"/>
        <w:jc w:val="left"/>
        <w:rPr>
          <w:rFonts w:ascii="宋体" w:hAnsi="宋体" w:cs="宋体"/>
          <w:b/>
          <w:snapToGrid w:val="0"/>
          <w:color w:val="auto"/>
          <w:kern w:val="0"/>
          <w:highlight w:val="none"/>
        </w:rPr>
      </w:pPr>
    </w:p>
    <w:p w14:paraId="2A779CC9">
      <w:pPr>
        <w:autoSpaceDE w:val="0"/>
        <w:autoSpaceDN w:val="0"/>
        <w:adjustRightInd w:val="0"/>
        <w:snapToGrid w:val="0"/>
        <w:spacing w:line="360" w:lineRule="auto"/>
        <w:jc w:val="left"/>
        <w:rPr>
          <w:rFonts w:ascii="宋体" w:hAnsi="宋体" w:cs="宋体"/>
          <w:b/>
          <w:snapToGrid w:val="0"/>
          <w:color w:val="auto"/>
          <w:kern w:val="0"/>
          <w:highlight w:val="none"/>
        </w:rPr>
      </w:pPr>
    </w:p>
    <w:p w14:paraId="5FC40B46">
      <w:pPr>
        <w:pStyle w:val="2"/>
        <w:rPr>
          <w:rFonts w:ascii="宋体" w:hAnsi="宋体" w:cs="宋体"/>
          <w:b/>
          <w:snapToGrid w:val="0"/>
          <w:color w:val="auto"/>
          <w:kern w:val="0"/>
          <w:highlight w:val="none"/>
        </w:rPr>
      </w:pPr>
    </w:p>
    <w:p w14:paraId="06216FE2">
      <w:pPr>
        <w:rPr>
          <w:rFonts w:ascii="宋体" w:hAnsi="宋体" w:cs="宋体"/>
          <w:b/>
          <w:snapToGrid w:val="0"/>
          <w:color w:val="auto"/>
          <w:kern w:val="0"/>
          <w:highlight w:val="none"/>
        </w:rPr>
      </w:pPr>
    </w:p>
    <w:p w14:paraId="106EFA7D">
      <w:pPr>
        <w:pStyle w:val="2"/>
        <w:rPr>
          <w:rFonts w:ascii="宋体" w:hAnsi="宋体" w:cs="宋体"/>
          <w:b/>
          <w:snapToGrid w:val="0"/>
          <w:color w:val="auto"/>
          <w:kern w:val="0"/>
          <w:highlight w:val="none"/>
        </w:rPr>
      </w:pPr>
    </w:p>
    <w:p w14:paraId="2BB8D956">
      <w:pPr>
        <w:rPr>
          <w:rFonts w:ascii="宋体" w:hAnsi="宋体" w:cs="宋体"/>
          <w:b/>
          <w:snapToGrid w:val="0"/>
          <w:color w:val="auto"/>
          <w:kern w:val="0"/>
          <w:highlight w:val="none"/>
        </w:rPr>
      </w:pPr>
    </w:p>
    <w:p w14:paraId="41A1AF1D">
      <w:pPr>
        <w:pStyle w:val="2"/>
        <w:rPr>
          <w:rFonts w:ascii="宋体" w:hAnsi="宋体" w:cs="宋体"/>
          <w:b/>
          <w:snapToGrid w:val="0"/>
          <w:color w:val="auto"/>
          <w:kern w:val="0"/>
          <w:highlight w:val="none"/>
        </w:rPr>
      </w:pPr>
    </w:p>
    <w:p w14:paraId="4F167AE4">
      <w:pPr>
        <w:rPr>
          <w:rFonts w:ascii="宋体" w:hAnsi="宋体" w:cs="宋体"/>
          <w:b/>
          <w:snapToGrid w:val="0"/>
          <w:color w:val="auto"/>
          <w:kern w:val="0"/>
          <w:highlight w:val="none"/>
        </w:rPr>
      </w:pPr>
    </w:p>
    <w:p w14:paraId="7A04F46A">
      <w:pPr>
        <w:pStyle w:val="2"/>
        <w:rPr>
          <w:rFonts w:ascii="宋体" w:hAnsi="宋体" w:cs="宋体"/>
          <w:b/>
          <w:snapToGrid w:val="0"/>
          <w:color w:val="auto"/>
          <w:kern w:val="0"/>
          <w:highlight w:val="none"/>
        </w:rPr>
      </w:pPr>
    </w:p>
    <w:p w14:paraId="00CC0240">
      <w:pPr>
        <w:rPr>
          <w:rFonts w:ascii="宋体" w:hAnsi="宋体" w:cs="宋体"/>
          <w:b/>
          <w:snapToGrid w:val="0"/>
          <w:color w:val="auto"/>
          <w:kern w:val="0"/>
          <w:highlight w:val="none"/>
        </w:rPr>
      </w:pPr>
    </w:p>
    <w:p w14:paraId="264196F3">
      <w:pPr>
        <w:rPr>
          <w:rFonts w:ascii="宋体" w:hAnsi="宋体" w:cs="宋体"/>
          <w:b/>
          <w:snapToGrid w:val="0"/>
          <w:color w:val="auto"/>
          <w:kern w:val="0"/>
          <w:highlight w:val="none"/>
        </w:rPr>
      </w:pPr>
    </w:p>
    <w:p w14:paraId="775C486C">
      <w:pPr>
        <w:rPr>
          <w:rFonts w:ascii="宋体" w:hAnsi="宋体" w:cs="宋体"/>
          <w:b/>
          <w:snapToGrid w:val="0"/>
          <w:color w:val="auto"/>
          <w:kern w:val="0"/>
          <w:highlight w:val="none"/>
        </w:rPr>
      </w:pPr>
    </w:p>
    <w:p w14:paraId="7D830549">
      <w:pPr>
        <w:rPr>
          <w:rFonts w:ascii="宋体" w:hAnsi="宋体" w:cs="宋体"/>
          <w:b/>
          <w:snapToGrid w:val="0"/>
          <w:color w:val="auto"/>
          <w:kern w:val="0"/>
          <w:highlight w:val="none"/>
        </w:rPr>
      </w:pPr>
    </w:p>
    <w:p w14:paraId="65B30BD7">
      <w:pPr>
        <w:rPr>
          <w:rFonts w:ascii="宋体" w:hAnsi="宋体" w:cs="宋体"/>
          <w:b/>
          <w:snapToGrid w:val="0"/>
          <w:color w:val="auto"/>
          <w:kern w:val="0"/>
          <w:highlight w:val="none"/>
        </w:rPr>
      </w:pPr>
    </w:p>
    <w:p w14:paraId="68C0E046">
      <w:pPr>
        <w:rPr>
          <w:rFonts w:ascii="宋体" w:hAnsi="宋体" w:cs="宋体"/>
          <w:b/>
          <w:snapToGrid w:val="0"/>
          <w:color w:val="auto"/>
          <w:kern w:val="0"/>
          <w:highlight w:val="none"/>
        </w:rPr>
      </w:pPr>
    </w:p>
    <w:p w14:paraId="2E50B0F7">
      <w:pPr>
        <w:rPr>
          <w:rFonts w:ascii="宋体" w:hAnsi="宋体" w:cs="宋体"/>
          <w:b/>
          <w:snapToGrid w:val="0"/>
          <w:color w:val="auto"/>
          <w:kern w:val="0"/>
          <w:highlight w:val="none"/>
        </w:rPr>
      </w:pPr>
    </w:p>
    <w:p w14:paraId="16D0A2A2">
      <w:pPr>
        <w:rPr>
          <w:rFonts w:ascii="宋体" w:hAnsi="宋体" w:cs="宋体"/>
          <w:b/>
          <w:snapToGrid w:val="0"/>
          <w:color w:val="auto"/>
          <w:kern w:val="0"/>
          <w:highlight w:val="none"/>
        </w:rPr>
      </w:pPr>
    </w:p>
    <w:p w14:paraId="5BA5192A">
      <w:pPr>
        <w:rPr>
          <w:rFonts w:ascii="宋体" w:hAnsi="宋体" w:cs="宋体"/>
          <w:b/>
          <w:snapToGrid w:val="0"/>
          <w:color w:val="auto"/>
          <w:kern w:val="0"/>
          <w:highlight w:val="none"/>
        </w:rPr>
      </w:pPr>
    </w:p>
    <w:p w14:paraId="2A3B48CF">
      <w:pPr>
        <w:rPr>
          <w:rFonts w:ascii="宋体" w:hAnsi="宋体" w:cs="宋体"/>
          <w:b/>
          <w:snapToGrid w:val="0"/>
          <w:color w:val="auto"/>
          <w:kern w:val="0"/>
          <w:highlight w:val="none"/>
        </w:rPr>
      </w:pPr>
    </w:p>
    <w:p w14:paraId="219DFC53">
      <w:pPr>
        <w:pStyle w:val="2"/>
        <w:rPr>
          <w:rFonts w:ascii="宋体" w:hAnsi="宋体" w:cs="宋体"/>
          <w:b/>
          <w:snapToGrid w:val="0"/>
          <w:color w:val="auto"/>
          <w:kern w:val="0"/>
          <w:highlight w:val="none"/>
        </w:rPr>
      </w:pPr>
    </w:p>
    <w:p w14:paraId="409EC8FF">
      <w:pPr>
        <w:rPr>
          <w:rFonts w:ascii="宋体" w:hAnsi="宋体" w:cs="宋体"/>
          <w:b/>
          <w:snapToGrid w:val="0"/>
          <w:color w:val="auto"/>
          <w:kern w:val="0"/>
          <w:highlight w:val="none"/>
        </w:rPr>
      </w:pPr>
    </w:p>
    <w:p w14:paraId="3E5A0394">
      <w:pPr>
        <w:pStyle w:val="2"/>
        <w:rPr>
          <w:color w:val="auto"/>
          <w:highlight w:val="none"/>
        </w:rPr>
      </w:pPr>
    </w:p>
    <w:p w14:paraId="349924C7">
      <w:pPr>
        <w:autoSpaceDE w:val="0"/>
        <w:autoSpaceDN w:val="0"/>
        <w:adjustRightInd w:val="0"/>
        <w:snapToGrid w:val="0"/>
        <w:spacing w:line="360" w:lineRule="auto"/>
        <w:jc w:val="left"/>
        <w:rPr>
          <w:rFonts w:ascii="宋体" w:hAnsi="宋体" w:cs="宋体"/>
          <w:b/>
          <w:snapToGrid w:val="0"/>
          <w:color w:val="auto"/>
          <w:kern w:val="0"/>
          <w:highlight w:val="none"/>
        </w:rPr>
      </w:pPr>
    </w:p>
    <w:p w14:paraId="4AD5416A">
      <w:pPr>
        <w:autoSpaceDE w:val="0"/>
        <w:autoSpaceDN w:val="0"/>
        <w:adjustRightInd w:val="0"/>
        <w:snapToGrid w:val="0"/>
        <w:spacing w:line="360" w:lineRule="auto"/>
        <w:jc w:val="left"/>
        <w:outlineLvl w:val="2"/>
        <w:rPr>
          <w:rFonts w:ascii="宋体" w:hAnsi="宋体" w:cs="宋体"/>
          <w:b/>
          <w:snapToGrid w:val="0"/>
          <w:color w:val="auto"/>
          <w:kern w:val="0"/>
          <w:highlight w:val="none"/>
        </w:rPr>
      </w:pPr>
      <w:r>
        <w:rPr>
          <w:rFonts w:hint="eastAsia" w:ascii="宋体" w:hAnsi="宋体" w:cs="宋体"/>
          <w:b/>
          <w:snapToGrid w:val="0"/>
          <w:color w:val="auto"/>
          <w:kern w:val="0"/>
          <w:highlight w:val="none"/>
        </w:rPr>
        <w:t>附表一：报价记录表</w:t>
      </w:r>
    </w:p>
    <w:p w14:paraId="5B4DFEDF">
      <w:pPr>
        <w:autoSpaceDE w:val="0"/>
        <w:autoSpaceDN w:val="0"/>
        <w:adjustRightInd w:val="0"/>
        <w:snapToGrid w:val="0"/>
        <w:spacing w:line="360" w:lineRule="auto"/>
        <w:jc w:val="left"/>
        <w:rPr>
          <w:rFonts w:ascii="宋体" w:hAnsi="宋体" w:cs="宋体"/>
          <w:b/>
          <w:snapToGrid w:val="0"/>
          <w:color w:val="auto"/>
          <w:kern w:val="0"/>
          <w:highlight w:val="none"/>
        </w:rPr>
      </w:pPr>
    </w:p>
    <w:p w14:paraId="65D6E5BD">
      <w:pPr>
        <w:spacing w:line="360" w:lineRule="auto"/>
        <w:rPr>
          <w:rFonts w:ascii="宋体" w:hAnsi="宋体" w:cs="宋体"/>
          <w:b/>
          <w:snapToGrid w:val="0"/>
          <w:color w:val="auto"/>
          <w:kern w:val="0"/>
          <w:sz w:val="28"/>
          <w:szCs w:val="28"/>
          <w:highlight w:val="none"/>
        </w:rPr>
      </w:pPr>
      <w:r>
        <w:rPr>
          <w:rFonts w:hint="eastAsia" w:ascii="宋体" w:hAnsi="宋体" w:cs="宋体"/>
          <w:snapToGrid w:val="0"/>
          <w:color w:val="auto"/>
          <w:w w:val="198"/>
          <w:kern w:val="0"/>
          <w:sz w:val="28"/>
          <w:szCs w:val="28"/>
          <w:highlight w:val="none"/>
          <w:u w:val="single"/>
        </w:rPr>
        <w:t xml:space="preserve">              </w:t>
      </w:r>
      <w:r>
        <w:rPr>
          <w:rFonts w:hint="eastAsia" w:ascii="宋体" w:hAnsi="宋体" w:cs="宋体"/>
          <w:snapToGrid w:val="0"/>
          <w:color w:val="auto"/>
          <w:kern w:val="0"/>
          <w:sz w:val="28"/>
          <w:szCs w:val="28"/>
          <w:highlight w:val="none"/>
          <w:u w:val="single"/>
        </w:rPr>
        <w:t xml:space="preserve"> </w:t>
      </w:r>
      <w:r>
        <w:rPr>
          <w:rFonts w:hint="eastAsia" w:ascii="宋体" w:hAnsi="宋体" w:cs="宋体"/>
          <w:b/>
          <w:snapToGrid w:val="0"/>
          <w:color w:val="auto"/>
          <w:w w:val="99"/>
          <w:kern w:val="0"/>
          <w:sz w:val="28"/>
          <w:szCs w:val="28"/>
          <w:highlight w:val="none"/>
        </w:rPr>
        <w:t>（项目名称）报价记录表</w:t>
      </w:r>
    </w:p>
    <w:p w14:paraId="6B288767">
      <w:pPr>
        <w:tabs>
          <w:tab w:val="left" w:pos="2260"/>
          <w:tab w:val="left" w:pos="5060"/>
        </w:tabs>
        <w:autoSpaceDE w:val="0"/>
        <w:autoSpaceDN w:val="0"/>
        <w:adjustRightInd w:val="0"/>
        <w:snapToGrid w:val="0"/>
        <w:spacing w:line="360" w:lineRule="auto"/>
        <w:jc w:val="right"/>
        <w:rPr>
          <w:rFonts w:ascii="宋体" w:hAnsi="宋体" w:cs="宋体"/>
          <w:snapToGrid w:val="0"/>
          <w:color w:val="auto"/>
          <w:kern w:val="0"/>
          <w:szCs w:val="21"/>
          <w:highlight w:val="none"/>
        </w:rPr>
      </w:pPr>
      <w:r>
        <w:rPr>
          <w:rFonts w:hint="eastAsia" w:ascii="宋体" w:hAnsi="宋体" w:cs="宋体"/>
          <w:b/>
          <w:snapToGrid w:val="0"/>
          <w:color w:val="auto"/>
          <w:kern w:val="0"/>
          <w:sz w:val="28"/>
          <w:szCs w:val="28"/>
          <w:highlight w:val="none"/>
        </w:rPr>
        <w:t xml:space="preserve">                             </w:t>
      </w:r>
      <w:r>
        <w:rPr>
          <w:rFonts w:hint="eastAsia" w:ascii="宋体" w:hAnsi="宋体" w:cs="宋体"/>
          <w:snapToGrid w:val="0"/>
          <w:color w:val="auto"/>
          <w:kern w:val="0"/>
          <w:szCs w:val="21"/>
          <w:highlight w:val="none"/>
        </w:rPr>
        <w:t>时间：</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时</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分</w:t>
      </w:r>
    </w:p>
    <w:tbl>
      <w:tblPr>
        <w:tblStyle w:val="20"/>
        <w:tblW w:w="837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27"/>
        <w:gridCol w:w="708"/>
        <w:gridCol w:w="784"/>
        <w:gridCol w:w="712"/>
        <w:gridCol w:w="914"/>
        <w:gridCol w:w="1212"/>
        <w:gridCol w:w="982"/>
        <w:gridCol w:w="961"/>
        <w:gridCol w:w="1618"/>
        <w:gridCol w:w="54"/>
      </w:tblGrid>
      <w:tr w14:paraId="443F1E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851" w:hRule="exact"/>
          <w:jc w:val="center"/>
        </w:trPr>
        <w:tc>
          <w:tcPr>
            <w:tcW w:w="427" w:type="dxa"/>
            <w:vAlign w:val="center"/>
          </w:tcPr>
          <w:p w14:paraId="5B936743">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序号</w:t>
            </w:r>
          </w:p>
        </w:tc>
        <w:tc>
          <w:tcPr>
            <w:tcW w:w="708" w:type="dxa"/>
            <w:vAlign w:val="center"/>
          </w:tcPr>
          <w:p w14:paraId="368E55F7">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w:t>
            </w:r>
          </w:p>
        </w:tc>
        <w:tc>
          <w:tcPr>
            <w:tcW w:w="784" w:type="dxa"/>
            <w:vAlign w:val="center"/>
          </w:tcPr>
          <w:p w14:paraId="5A37AB7D">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密封</w:t>
            </w:r>
          </w:p>
          <w:p w14:paraId="6FD5291B">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情况</w:t>
            </w:r>
          </w:p>
        </w:tc>
        <w:tc>
          <w:tcPr>
            <w:tcW w:w="712" w:type="dxa"/>
            <w:vAlign w:val="center"/>
          </w:tcPr>
          <w:p w14:paraId="35B1C1CF">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比选保</w:t>
            </w:r>
          </w:p>
          <w:p w14:paraId="0D02FC43">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证金</w:t>
            </w:r>
          </w:p>
        </w:tc>
        <w:tc>
          <w:tcPr>
            <w:tcW w:w="914" w:type="dxa"/>
            <w:tcBorders>
              <w:right w:val="single" w:color="auto" w:sz="4" w:space="0"/>
            </w:tcBorders>
            <w:vAlign w:val="center"/>
          </w:tcPr>
          <w:p w14:paraId="35D75589">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竞选报价</w:t>
            </w:r>
          </w:p>
        </w:tc>
        <w:tc>
          <w:tcPr>
            <w:tcW w:w="1212" w:type="dxa"/>
            <w:tcBorders>
              <w:left w:val="single" w:color="auto" w:sz="4" w:space="0"/>
            </w:tcBorders>
            <w:vAlign w:val="center"/>
          </w:tcPr>
          <w:p w14:paraId="7C493D96">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质量</w:t>
            </w:r>
          </w:p>
          <w:p w14:paraId="48287D10">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目标</w:t>
            </w:r>
          </w:p>
        </w:tc>
        <w:tc>
          <w:tcPr>
            <w:tcW w:w="982" w:type="dxa"/>
            <w:vAlign w:val="center"/>
          </w:tcPr>
          <w:p w14:paraId="12B2D6C7">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监理</w:t>
            </w:r>
          </w:p>
          <w:p w14:paraId="0D5D7E90">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服务期</w:t>
            </w:r>
          </w:p>
        </w:tc>
        <w:tc>
          <w:tcPr>
            <w:tcW w:w="961" w:type="dxa"/>
            <w:vAlign w:val="center"/>
          </w:tcPr>
          <w:p w14:paraId="1709C8A1">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c>
          <w:tcPr>
            <w:tcW w:w="1618" w:type="dxa"/>
            <w:vAlign w:val="center"/>
          </w:tcPr>
          <w:p w14:paraId="13E3A2AB">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签名</w:t>
            </w:r>
          </w:p>
        </w:tc>
      </w:tr>
      <w:tr w14:paraId="22CACC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47C8A94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7B00211C">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29FB645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7E1FAF9E">
            <w:pPr>
              <w:autoSpaceDE w:val="0"/>
              <w:autoSpaceDN w:val="0"/>
              <w:adjustRightInd w:val="0"/>
              <w:snapToGrid w:val="0"/>
              <w:spacing w:line="360" w:lineRule="auto"/>
              <w:jc w:val="left"/>
              <w:rPr>
                <w:rFonts w:ascii="宋体" w:hAnsi="宋体" w:cs="宋体"/>
                <w:snapToGrid w:val="0"/>
                <w:color w:val="auto"/>
                <w:kern w:val="0"/>
                <w:szCs w:val="21"/>
                <w:highlight w:val="none"/>
              </w:rPr>
            </w:pPr>
          </w:p>
        </w:tc>
        <w:tc>
          <w:tcPr>
            <w:tcW w:w="914" w:type="dxa"/>
            <w:tcBorders>
              <w:right w:val="single" w:color="auto" w:sz="4" w:space="0"/>
            </w:tcBorders>
            <w:vAlign w:val="center"/>
          </w:tcPr>
          <w:p w14:paraId="13D8E7B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02E728C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4512EB6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2FC83B1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5480829C">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15B404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467A19E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515B7B5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58C5B49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1EA5D6B4">
            <w:pPr>
              <w:autoSpaceDE w:val="0"/>
              <w:autoSpaceDN w:val="0"/>
              <w:adjustRightInd w:val="0"/>
              <w:snapToGrid w:val="0"/>
              <w:spacing w:line="360" w:lineRule="auto"/>
              <w:jc w:val="left"/>
              <w:rPr>
                <w:rFonts w:ascii="宋体" w:hAnsi="宋体" w:cs="宋体"/>
                <w:snapToGrid w:val="0"/>
                <w:color w:val="auto"/>
                <w:kern w:val="0"/>
                <w:szCs w:val="21"/>
                <w:highlight w:val="none"/>
              </w:rPr>
            </w:pPr>
          </w:p>
        </w:tc>
        <w:tc>
          <w:tcPr>
            <w:tcW w:w="914" w:type="dxa"/>
            <w:tcBorders>
              <w:right w:val="single" w:color="auto" w:sz="4" w:space="0"/>
            </w:tcBorders>
            <w:vAlign w:val="center"/>
          </w:tcPr>
          <w:p w14:paraId="50FE93F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6C38CE4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1565E43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7BE4FE6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67B6790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7B512B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70820BE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3501DE2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5C90886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62D2730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75139AA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39406E5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3F7A8F0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6D5313C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719E39A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583048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0C1940B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44185A5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221E223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5409437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4D8A341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69DF9E4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7CBE357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6A007FC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595DC73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72C938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11D2AE2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5919D91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33983F1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468B6F4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0829ADB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2D616D1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00DFF5C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22959F4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28F1C08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2E3A97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082C428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13B4E8E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69E0D0D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176691C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20A62C4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4B57C72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2578D1D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43B93D8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41BCFDD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372150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35ACDE8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2A2BE82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19A51FD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0B9EE71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2814597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6791CDF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2483A9B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54A062B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459D484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640F4C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734EE0A3">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1A14269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1D7BCD7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77FC0E3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70EF4DD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38AA028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5887CE8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28AF6A7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7CFFEDD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060F7C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52FA6EB3">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127D5DD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24BE094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70A90F0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682CD14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1D7C699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12ED655C">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07AA8EB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3DE755E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267B52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4E66A70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2DED50E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79EFB38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58F3843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5CF3325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588D35B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417983C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6D83DEA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555100C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232B0C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6DD6252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42E93B0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7EE4CCD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534D173C">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096FC14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1EE9AFE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55616BE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11F68FE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7F8C6BD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13730F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1742F4D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7754859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37F6C9A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1FD145D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6D66752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152597F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6DD3F43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26A7649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27A49A9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7DE9B0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528805E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451A086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5CD02C6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25B5157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77D0FC7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58FAD6A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10D8743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589FB99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5EDD797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4C50CF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23B7550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1CE342E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1D22DD2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0EDC202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6F8F5BC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29E0258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4EF9708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397B264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625E592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382107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10" w:hRule="exact"/>
          <w:jc w:val="center"/>
        </w:trPr>
        <w:tc>
          <w:tcPr>
            <w:tcW w:w="427" w:type="dxa"/>
            <w:vAlign w:val="center"/>
          </w:tcPr>
          <w:p w14:paraId="6FBE9CE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47AF45C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785289C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4999F6E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3A87D6A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3B45A88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0C83955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5CB0987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4559A57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520FE4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01" w:hRule="exact"/>
          <w:jc w:val="center"/>
        </w:trPr>
        <w:tc>
          <w:tcPr>
            <w:tcW w:w="427" w:type="dxa"/>
            <w:vAlign w:val="center"/>
          </w:tcPr>
          <w:p w14:paraId="410A395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08" w:type="dxa"/>
            <w:vAlign w:val="center"/>
          </w:tcPr>
          <w:p w14:paraId="38646B9C">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84" w:type="dxa"/>
            <w:vAlign w:val="center"/>
          </w:tcPr>
          <w:p w14:paraId="1C197A3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712" w:type="dxa"/>
            <w:vAlign w:val="center"/>
          </w:tcPr>
          <w:p w14:paraId="6A45023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14" w:type="dxa"/>
            <w:tcBorders>
              <w:right w:val="single" w:color="auto" w:sz="4" w:space="0"/>
            </w:tcBorders>
            <w:vAlign w:val="center"/>
          </w:tcPr>
          <w:p w14:paraId="41155573">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212" w:type="dxa"/>
            <w:tcBorders>
              <w:left w:val="single" w:color="auto" w:sz="4" w:space="0"/>
            </w:tcBorders>
            <w:vAlign w:val="center"/>
          </w:tcPr>
          <w:p w14:paraId="366FFD3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82" w:type="dxa"/>
            <w:vAlign w:val="center"/>
          </w:tcPr>
          <w:p w14:paraId="5AF28EA3">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961" w:type="dxa"/>
            <w:vAlign w:val="center"/>
          </w:tcPr>
          <w:p w14:paraId="3E2721B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618" w:type="dxa"/>
            <w:vAlign w:val="center"/>
          </w:tcPr>
          <w:p w14:paraId="10E5AE4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51F08A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919" w:type="dxa"/>
            <w:gridSpan w:val="3"/>
            <w:vAlign w:val="center"/>
          </w:tcPr>
          <w:p w14:paraId="0A17F52F">
            <w:pPr>
              <w:autoSpaceDE w:val="0"/>
              <w:autoSpaceDN w:val="0"/>
              <w:adjustRightInd w:val="0"/>
              <w:snapToGrid w:val="0"/>
              <w:spacing w:line="360" w:lineRule="auto"/>
              <w:jc w:val="center"/>
              <w:rPr>
                <w:rFonts w:ascii="宋体" w:hAnsi="宋体" w:cs="宋体"/>
                <w:snapToGrid w:val="0"/>
                <w:color w:val="auto"/>
                <w:kern w:val="0"/>
                <w:sz w:val="28"/>
                <w:szCs w:val="28"/>
                <w:highlight w:val="none"/>
              </w:rPr>
            </w:pPr>
            <w:r>
              <w:rPr>
                <w:rFonts w:hint="eastAsia" w:ascii="宋体" w:hAnsi="宋体" w:cs="宋体"/>
                <w:snapToGrid w:val="0"/>
                <w:color w:val="auto"/>
                <w:kern w:val="0"/>
                <w:sz w:val="28"/>
                <w:szCs w:val="28"/>
                <w:highlight w:val="none"/>
              </w:rPr>
              <w:t>最高限价</w:t>
            </w:r>
          </w:p>
        </w:tc>
        <w:tc>
          <w:tcPr>
            <w:tcW w:w="6453" w:type="dxa"/>
            <w:gridSpan w:val="7"/>
            <w:vAlign w:val="center"/>
          </w:tcPr>
          <w:p w14:paraId="27E3815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bl>
    <w:p w14:paraId="3F90D922">
      <w:pPr>
        <w:tabs>
          <w:tab w:val="left" w:pos="2740"/>
          <w:tab w:val="left" w:pos="4940"/>
          <w:tab w:val="left" w:pos="7140"/>
        </w:tabs>
        <w:autoSpaceDE w:val="0"/>
        <w:autoSpaceDN w:val="0"/>
        <w:adjustRightInd w:val="0"/>
        <w:snapToGrid w:val="0"/>
        <w:spacing w:line="360" w:lineRule="auto"/>
        <w:jc w:val="left"/>
        <w:rPr>
          <w:rFonts w:ascii="宋体" w:hAnsi="宋体" w:cs="宋体"/>
          <w:snapToGrid w:val="0"/>
          <w:color w:val="auto"/>
          <w:kern w:val="0"/>
          <w:szCs w:val="21"/>
          <w:highlight w:val="none"/>
        </w:rPr>
      </w:pPr>
    </w:p>
    <w:p w14:paraId="067BC6D5">
      <w:pPr>
        <w:tabs>
          <w:tab w:val="left" w:pos="2740"/>
          <w:tab w:val="left" w:pos="4940"/>
          <w:tab w:val="left" w:pos="6930"/>
        </w:tabs>
        <w:autoSpaceDE w:val="0"/>
        <w:autoSpaceDN w:val="0"/>
        <w:adjustRightInd w:val="0"/>
        <w:snapToGrid w:val="0"/>
        <w:spacing w:line="360" w:lineRule="auto"/>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比选人代表：</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rPr>
        <w:t>记录人：</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rPr>
        <w:t xml:space="preserve"> 监督人员：</w:t>
      </w:r>
      <w:r>
        <w:rPr>
          <w:rFonts w:hint="eastAsia" w:ascii="宋体" w:hAnsi="宋体" w:cs="宋体"/>
          <w:snapToGrid w:val="0"/>
          <w:color w:val="auto"/>
          <w:w w:val="200"/>
          <w:kern w:val="0"/>
          <w:szCs w:val="21"/>
          <w:highlight w:val="none"/>
          <w:u w:val="single"/>
        </w:rPr>
        <w:t xml:space="preserve">          </w:t>
      </w:r>
    </w:p>
    <w:p w14:paraId="5CA109AC">
      <w:pPr>
        <w:autoSpaceDE w:val="0"/>
        <w:autoSpaceDN w:val="0"/>
        <w:adjustRightInd w:val="0"/>
        <w:snapToGrid w:val="0"/>
        <w:spacing w:before="62" w:beforeLines="20" w:line="360" w:lineRule="auto"/>
        <w:jc w:val="righ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16D62EA8">
      <w:pPr>
        <w:autoSpaceDE w:val="0"/>
        <w:autoSpaceDN w:val="0"/>
        <w:adjustRightInd w:val="0"/>
        <w:snapToGrid w:val="0"/>
        <w:spacing w:line="360" w:lineRule="auto"/>
        <w:jc w:val="left"/>
        <w:rPr>
          <w:rFonts w:ascii="宋体" w:hAnsi="宋体" w:cs="宋体"/>
          <w:b/>
          <w:snapToGrid w:val="0"/>
          <w:color w:val="auto"/>
          <w:kern w:val="0"/>
          <w:highlight w:val="none"/>
        </w:rPr>
      </w:pPr>
    </w:p>
    <w:p w14:paraId="7294242E">
      <w:pPr>
        <w:autoSpaceDE w:val="0"/>
        <w:autoSpaceDN w:val="0"/>
        <w:adjustRightInd w:val="0"/>
        <w:snapToGrid w:val="0"/>
        <w:spacing w:line="360" w:lineRule="auto"/>
        <w:jc w:val="left"/>
        <w:rPr>
          <w:rFonts w:ascii="宋体" w:hAnsi="宋体" w:cs="宋体"/>
          <w:b/>
          <w:snapToGrid w:val="0"/>
          <w:color w:val="auto"/>
          <w:kern w:val="0"/>
          <w:highlight w:val="none"/>
        </w:rPr>
      </w:pPr>
    </w:p>
    <w:p w14:paraId="171A7BB3">
      <w:pPr>
        <w:pStyle w:val="8"/>
        <w:rPr>
          <w:color w:val="auto"/>
          <w:highlight w:val="none"/>
        </w:rPr>
      </w:pPr>
    </w:p>
    <w:p w14:paraId="3AE7C737">
      <w:pPr>
        <w:autoSpaceDE w:val="0"/>
        <w:autoSpaceDN w:val="0"/>
        <w:adjustRightInd w:val="0"/>
        <w:snapToGrid w:val="0"/>
        <w:spacing w:line="360" w:lineRule="auto"/>
        <w:jc w:val="left"/>
        <w:rPr>
          <w:rFonts w:ascii="宋体" w:hAnsi="宋体" w:cs="宋体"/>
          <w:b/>
          <w:snapToGrid w:val="0"/>
          <w:color w:val="auto"/>
          <w:kern w:val="0"/>
          <w:highlight w:val="none"/>
        </w:rPr>
      </w:pPr>
    </w:p>
    <w:p w14:paraId="37AFB707">
      <w:pPr>
        <w:autoSpaceDE w:val="0"/>
        <w:autoSpaceDN w:val="0"/>
        <w:adjustRightInd w:val="0"/>
        <w:snapToGrid w:val="0"/>
        <w:spacing w:line="360" w:lineRule="auto"/>
        <w:jc w:val="left"/>
        <w:outlineLvl w:val="2"/>
        <w:rPr>
          <w:rFonts w:ascii="宋体" w:hAnsi="宋体" w:cs="宋体"/>
          <w:b/>
          <w:snapToGrid w:val="0"/>
          <w:color w:val="auto"/>
          <w:kern w:val="0"/>
          <w:highlight w:val="none"/>
        </w:rPr>
      </w:pPr>
      <w:r>
        <w:rPr>
          <w:rFonts w:hint="eastAsia" w:ascii="宋体" w:hAnsi="宋体" w:cs="宋体"/>
          <w:b/>
          <w:snapToGrid w:val="0"/>
          <w:color w:val="auto"/>
          <w:kern w:val="0"/>
          <w:highlight w:val="none"/>
        </w:rPr>
        <w:t>附表二：问题澄清通知</w:t>
      </w:r>
    </w:p>
    <w:p w14:paraId="0B8376C5">
      <w:pPr>
        <w:autoSpaceDE w:val="0"/>
        <w:autoSpaceDN w:val="0"/>
        <w:adjustRightInd w:val="0"/>
        <w:snapToGrid w:val="0"/>
        <w:spacing w:line="360" w:lineRule="auto"/>
        <w:jc w:val="left"/>
        <w:rPr>
          <w:rFonts w:ascii="宋体" w:hAnsi="宋体" w:cs="宋体"/>
          <w:b/>
          <w:snapToGrid w:val="0"/>
          <w:color w:val="auto"/>
          <w:kern w:val="0"/>
          <w:sz w:val="24"/>
          <w:highlight w:val="none"/>
        </w:rPr>
      </w:pPr>
    </w:p>
    <w:p w14:paraId="32E3FF59">
      <w:pPr>
        <w:autoSpaceDE w:val="0"/>
        <w:autoSpaceDN w:val="0"/>
        <w:adjustRightInd w:val="0"/>
        <w:snapToGrid w:val="0"/>
        <w:spacing w:line="360" w:lineRule="auto"/>
        <w:jc w:val="center"/>
        <w:rPr>
          <w:rFonts w:ascii="宋体" w:hAnsi="宋体" w:cs="宋体"/>
          <w:b/>
          <w:snapToGrid w:val="0"/>
          <w:color w:val="auto"/>
          <w:w w:val="99"/>
          <w:kern w:val="0"/>
          <w:sz w:val="32"/>
          <w:szCs w:val="32"/>
          <w:highlight w:val="none"/>
        </w:rPr>
      </w:pPr>
      <w:r>
        <w:rPr>
          <w:rFonts w:hint="eastAsia" w:ascii="宋体" w:hAnsi="宋体" w:cs="宋体"/>
          <w:b/>
          <w:snapToGrid w:val="0"/>
          <w:color w:val="auto"/>
          <w:w w:val="99"/>
          <w:kern w:val="0"/>
          <w:sz w:val="32"/>
          <w:szCs w:val="32"/>
          <w:highlight w:val="none"/>
        </w:rPr>
        <w:t>问题澄清通知</w:t>
      </w:r>
    </w:p>
    <w:p w14:paraId="16BF862C">
      <w:pPr>
        <w:autoSpaceDE w:val="0"/>
        <w:autoSpaceDN w:val="0"/>
        <w:adjustRightInd w:val="0"/>
        <w:snapToGrid w:val="0"/>
        <w:spacing w:line="360" w:lineRule="auto"/>
        <w:jc w:val="left"/>
        <w:rPr>
          <w:rFonts w:ascii="宋体" w:hAnsi="宋体" w:cs="宋体"/>
          <w:b/>
          <w:snapToGrid w:val="0"/>
          <w:color w:val="auto"/>
          <w:kern w:val="0"/>
          <w:sz w:val="24"/>
          <w:highlight w:val="none"/>
        </w:rPr>
      </w:pPr>
    </w:p>
    <w:p w14:paraId="7604654C">
      <w:pPr>
        <w:autoSpaceDE w:val="0"/>
        <w:autoSpaceDN w:val="0"/>
        <w:adjustRightInd w:val="0"/>
        <w:snapToGrid w:val="0"/>
        <w:spacing w:line="360" w:lineRule="auto"/>
        <w:ind w:firstLine="3255" w:firstLineChars="1550"/>
        <w:jc w:val="left"/>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编号：</w:t>
      </w:r>
      <w:r>
        <w:rPr>
          <w:rFonts w:hint="eastAsia" w:ascii="宋体" w:hAnsi="宋体" w:cs="宋体"/>
          <w:snapToGrid w:val="0"/>
          <w:color w:val="auto"/>
          <w:kern w:val="0"/>
          <w:szCs w:val="21"/>
          <w:highlight w:val="none"/>
          <w:u w:val="single"/>
        </w:rPr>
        <w:t xml:space="preserve">                     </w:t>
      </w:r>
    </w:p>
    <w:p w14:paraId="6AA19AEF">
      <w:pPr>
        <w:autoSpaceDE w:val="0"/>
        <w:autoSpaceDN w:val="0"/>
        <w:adjustRightInd w:val="0"/>
        <w:snapToGrid w:val="0"/>
        <w:spacing w:line="360" w:lineRule="auto"/>
        <w:jc w:val="left"/>
        <w:rPr>
          <w:rFonts w:ascii="宋体" w:hAnsi="宋体" w:cs="宋体"/>
          <w:b/>
          <w:snapToGrid w:val="0"/>
          <w:color w:val="auto"/>
          <w:kern w:val="0"/>
          <w:sz w:val="24"/>
          <w:highlight w:val="none"/>
        </w:rPr>
      </w:pPr>
    </w:p>
    <w:p w14:paraId="22AD5BA9">
      <w:pPr>
        <w:autoSpaceDE w:val="0"/>
        <w:autoSpaceDN w:val="0"/>
        <w:adjustRightInd w:val="0"/>
        <w:snapToGrid w:val="0"/>
        <w:spacing w:line="360" w:lineRule="auto"/>
        <w:ind w:firstLine="140" w:firstLineChars="50"/>
        <w:rPr>
          <w:rFonts w:ascii="宋体" w:hAnsi="宋体" w:cs="宋体"/>
          <w:snapToGrid w:val="0"/>
          <w:color w:val="auto"/>
          <w:kern w:val="0"/>
          <w:sz w:val="28"/>
          <w:szCs w:val="28"/>
          <w:highlight w:val="none"/>
        </w:rPr>
      </w:pPr>
    </w:p>
    <w:p w14:paraId="7A40E2C6">
      <w:pPr>
        <w:tabs>
          <w:tab w:val="left" w:pos="1580"/>
        </w:tabs>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（竞选人名称）：</w:t>
      </w:r>
    </w:p>
    <w:p w14:paraId="098FF97B">
      <w:pPr>
        <w:tabs>
          <w:tab w:val="left" w:pos="2320"/>
        </w:tabs>
        <w:autoSpaceDE w:val="0"/>
        <w:autoSpaceDN w:val="0"/>
        <w:adjustRightInd w:val="0"/>
        <w:snapToGrid w:val="0"/>
        <w:spacing w:line="360" w:lineRule="auto"/>
        <w:ind w:firstLine="424" w:firstLineChars="101"/>
        <w:jc w:val="left"/>
        <w:rPr>
          <w:rFonts w:ascii="宋体" w:hAnsi="宋体" w:cs="宋体"/>
          <w:snapToGrid w:val="0"/>
          <w:color w:val="auto"/>
          <w:kern w:val="0"/>
          <w:szCs w:val="21"/>
          <w:highlight w:val="none"/>
        </w:rPr>
      </w:pP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（项目名称）区域</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的评选委员会，对你方的竞选文件进行了仔细的审查，现需你方对下列问题以书面形式予以澄清：</w:t>
      </w:r>
    </w:p>
    <w:p w14:paraId="14B231E2">
      <w:pPr>
        <w:autoSpaceDE w:val="0"/>
        <w:autoSpaceDN w:val="0"/>
        <w:adjustRightInd w:val="0"/>
        <w:snapToGrid w:val="0"/>
        <w:spacing w:line="360" w:lineRule="auto"/>
        <w:jc w:val="left"/>
        <w:rPr>
          <w:rFonts w:ascii="宋体" w:hAnsi="宋体" w:cs="宋体"/>
          <w:snapToGrid w:val="0"/>
          <w:color w:val="auto"/>
          <w:kern w:val="0"/>
          <w:sz w:val="24"/>
          <w:highlight w:val="none"/>
        </w:rPr>
      </w:pPr>
    </w:p>
    <w:p w14:paraId="63643CEE">
      <w:pPr>
        <w:autoSpaceDE w:val="0"/>
        <w:autoSpaceDN w:val="0"/>
        <w:adjustRightInd w:val="0"/>
        <w:snapToGrid w:val="0"/>
        <w:spacing w:line="360" w:lineRule="auto"/>
        <w:jc w:val="left"/>
        <w:rPr>
          <w:rFonts w:ascii="宋体" w:hAnsi="宋体" w:cs="宋体"/>
          <w:snapToGrid w:val="0"/>
          <w:color w:val="auto"/>
          <w:kern w:val="0"/>
          <w:sz w:val="24"/>
          <w:highlight w:val="none"/>
        </w:rPr>
      </w:pPr>
    </w:p>
    <w:p w14:paraId="6D1C5BBA">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 </w:t>
      </w:r>
    </w:p>
    <w:p w14:paraId="09DD49F1">
      <w:pPr>
        <w:autoSpaceDE w:val="0"/>
        <w:autoSpaceDN w:val="0"/>
        <w:adjustRightInd w:val="0"/>
        <w:snapToGrid w:val="0"/>
        <w:spacing w:line="360" w:lineRule="auto"/>
        <w:jc w:val="left"/>
        <w:rPr>
          <w:rFonts w:ascii="宋体" w:hAnsi="宋体" w:cs="宋体"/>
          <w:snapToGrid w:val="0"/>
          <w:color w:val="auto"/>
          <w:kern w:val="0"/>
          <w:szCs w:val="21"/>
          <w:highlight w:val="none"/>
        </w:rPr>
      </w:pPr>
    </w:p>
    <w:p w14:paraId="262F7912">
      <w:pPr>
        <w:autoSpaceDE w:val="0"/>
        <w:autoSpaceDN w:val="0"/>
        <w:adjustRightInd w:val="0"/>
        <w:snapToGrid w:val="0"/>
        <w:spacing w:line="360" w:lineRule="auto"/>
        <w:jc w:val="left"/>
        <w:rPr>
          <w:rFonts w:ascii="宋体" w:hAnsi="宋体" w:cs="宋体"/>
          <w:snapToGrid w:val="0"/>
          <w:color w:val="auto"/>
          <w:kern w:val="0"/>
          <w:szCs w:val="21"/>
          <w:highlight w:val="none"/>
        </w:rPr>
      </w:pPr>
    </w:p>
    <w:p w14:paraId="179F56A4">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14:paraId="7D7180DC">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2. </w:t>
      </w:r>
    </w:p>
    <w:p w14:paraId="450EEC8F">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14:paraId="2FA6C15F">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p w14:paraId="7884F452">
      <w:pPr>
        <w:autoSpaceDE w:val="0"/>
        <w:autoSpaceDN w:val="0"/>
        <w:adjustRightInd w:val="0"/>
        <w:snapToGrid w:val="0"/>
        <w:spacing w:line="360" w:lineRule="auto"/>
        <w:jc w:val="left"/>
        <w:rPr>
          <w:rFonts w:ascii="宋体" w:hAnsi="宋体" w:cs="宋体"/>
          <w:snapToGrid w:val="0"/>
          <w:color w:val="auto"/>
          <w:kern w:val="0"/>
          <w:sz w:val="14"/>
          <w:szCs w:val="14"/>
          <w:highlight w:val="none"/>
        </w:rPr>
      </w:pPr>
    </w:p>
    <w:p w14:paraId="2845F35A">
      <w:pPr>
        <w:autoSpaceDE w:val="0"/>
        <w:autoSpaceDN w:val="0"/>
        <w:adjustRightInd w:val="0"/>
        <w:snapToGrid w:val="0"/>
        <w:spacing w:line="360" w:lineRule="auto"/>
        <w:jc w:val="left"/>
        <w:rPr>
          <w:rFonts w:ascii="宋体" w:hAnsi="宋体" w:cs="宋体"/>
          <w:snapToGrid w:val="0"/>
          <w:color w:val="auto"/>
          <w:kern w:val="0"/>
          <w:sz w:val="14"/>
          <w:szCs w:val="14"/>
          <w:highlight w:val="none"/>
        </w:rPr>
      </w:pPr>
    </w:p>
    <w:p w14:paraId="18D992FA">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4F067959">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请将上述问题的澄清于</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时前递交至</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（详细地址）或传真至</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（传真号码）。采用传真方式的，应在</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时前将原件递交至</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（详细地址）。</w:t>
      </w:r>
    </w:p>
    <w:p w14:paraId="7F632C2C">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27F86BA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p w14:paraId="3957144D">
      <w:pPr>
        <w:tabs>
          <w:tab w:val="left" w:pos="6400"/>
        </w:tabs>
        <w:autoSpaceDE w:val="0"/>
        <w:autoSpaceDN w:val="0"/>
        <w:adjustRightInd w:val="0"/>
        <w:snapToGrid w:val="0"/>
        <w:spacing w:line="360" w:lineRule="auto"/>
        <w:jc w:val="right"/>
        <w:rPr>
          <w:rFonts w:ascii="宋体" w:hAnsi="宋体" w:cs="宋体"/>
          <w:snapToGrid w:val="0"/>
          <w:color w:val="auto"/>
          <w:kern w:val="0"/>
          <w:sz w:val="24"/>
          <w:highlight w:val="none"/>
        </w:rPr>
      </w:pPr>
      <w:r>
        <w:rPr>
          <w:rFonts w:hint="eastAsia" w:ascii="宋体" w:hAnsi="宋体" w:cs="宋体"/>
          <w:snapToGrid w:val="0"/>
          <w:color w:val="auto"/>
          <w:kern w:val="0"/>
          <w:szCs w:val="21"/>
          <w:highlight w:val="none"/>
        </w:rPr>
        <w:t xml:space="preserve">                             评选委员会：</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（签字）</w:t>
      </w:r>
      <w:r>
        <w:rPr>
          <w:rFonts w:hint="eastAsia" w:ascii="宋体" w:hAnsi="宋体" w:cs="宋体"/>
          <w:snapToGrid w:val="0"/>
          <w:color w:val="auto"/>
          <w:kern w:val="0"/>
          <w:sz w:val="24"/>
          <w:highlight w:val="none"/>
        </w:rPr>
        <w:t xml:space="preserve"> </w:t>
      </w:r>
    </w:p>
    <w:p w14:paraId="7A206E5C">
      <w:pPr>
        <w:autoSpaceDE w:val="0"/>
        <w:autoSpaceDN w:val="0"/>
        <w:adjustRightInd w:val="0"/>
        <w:snapToGrid w:val="0"/>
        <w:spacing w:line="360" w:lineRule="auto"/>
        <w:ind w:firstLine="315" w:firstLineChars="150"/>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w:t>
      </w:r>
    </w:p>
    <w:p w14:paraId="107B274E">
      <w:pPr>
        <w:wordWrap w:val="0"/>
        <w:autoSpaceDE w:val="0"/>
        <w:autoSpaceDN w:val="0"/>
        <w:adjustRightInd w:val="0"/>
        <w:snapToGrid w:val="0"/>
        <w:spacing w:line="360" w:lineRule="auto"/>
        <w:ind w:firstLine="850" w:firstLineChars="405"/>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日  </w:t>
      </w:r>
    </w:p>
    <w:p w14:paraId="08D78BA3">
      <w:pPr>
        <w:autoSpaceDE w:val="0"/>
        <w:autoSpaceDN w:val="0"/>
        <w:adjustRightInd w:val="0"/>
        <w:snapToGrid w:val="0"/>
        <w:spacing w:line="360" w:lineRule="auto"/>
        <w:jc w:val="left"/>
        <w:rPr>
          <w:rFonts w:ascii="宋体" w:hAnsi="宋体" w:cs="宋体"/>
          <w:b/>
          <w:snapToGrid w:val="0"/>
          <w:color w:val="auto"/>
          <w:kern w:val="0"/>
          <w:highlight w:val="none"/>
        </w:rPr>
      </w:pPr>
    </w:p>
    <w:p w14:paraId="16AFF578">
      <w:pPr>
        <w:autoSpaceDE w:val="0"/>
        <w:autoSpaceDN w:val="0"/>
        <w:adjustRightInd w:val="0"/>
        <w:snapToGrid w:val="0"/>
        <w:spacing w:line="360" w:lineRule="auto"/>
        <w:jc w:val="left"/>
        <w:rPr>
          <w:rFonts w:ascii="宋体" w:hAnsi="宋体" w:cs="宋体"/>
          <w:b/>
          <w:snapToGrid w:val="0"/>
          <w:color w:val="auto"/>
          <w:kern w:val="0"/>
          <w:highlight w:val="none"/>
        </w:rPr>
      </w:pPr>
    </w:p>
    <w:p w14:paraId="4B2FCFC7">
      <w:pPr>
        <w:autoSpaceDE w:val="0"/>
        <w:autoSpaceDN w:val="0"/>
        <w:adjustRightInd w:val="0"/>
        <w:snapToGrid w:val="0"/>
        <w:spacing w:line="360" w:lineRule="auto"/>
        <w:jc w:val="left"/>
        <w:rPr>
          <w:rFonts w:ascii="宋体" w:hAnsi="宋体" w:cs="宋体"/>
          <w:b/>
          <w:snapToGrid w:val="0"/>
          <w:color w:val="auto"/>
          <w:kern w:val="0"/>
          <w:highlight w:val="none"/>
        </w:rPr>
      </w:pPr>
    </w:p>
    <w:p w14:paraId="714C68BF">
      <w:pPr>
        <w:autoSpaceDE w:val="0"/>
        <w:autoSpaceDN w:val="0"/>
        <w:adjustRightInd w:val="0"/>
        <w:snapToGrid w:val="0"/>
        <w:spacing w:line="360" w:lineRule="auto"/>
        <w:jc w:val="left"/>
        <w:rPr>
          <w:rFonts w:ascii="宋体" w:hAnsi="宋体" w:cs="宋体"/>
          <w:b/>
          <w:snapToGrid w:val="0"/>
          <w:color w:val="auto"/>
          <w:kern w:val="0"/>
          <w:highlight w:val="none"/>
        </w:rPr>
      </w:pPr>
    </w:p>
    <w:p w14:paraId="5A14AA1A">
      <w:pPr>
        <w:autoSpaceDE w:val="0"/>
        <w:autoSpaceDN w:val="0"/>
        <w:adjustRightInd w:val="0"/>
        <w:snapToGrid w:val="0"/>
        <w:spacing w:line="360" w:lineRule="auto"/>
        <w:jc w:val="left"/>
        <w:outlineLvl w:val="2"/>
        <w:rPr>
          <w:rFonts w:ascii="宋体" w:hAnsi="宋体" w:cs="宋体"/>
          <w:b/>
          <w:snapToGrid w:val="0"/>
          <w:color w:val="auto"/>
          <w:kern w:val="0"/>
          <w:highlight w:val="none"/>
        </w:rPr>
      </w:pPr>
      <w:r>
        <w:rPr>
          <w:rFonts w:hint="eastAsia" w:ascii="宋体" w:hAnsi="宋体" w:cs="宋体"/>
          <w:b/>
          <w:snapToGrid w:val="0"/>
          <w:color w:val="auto"/>
          <w:kern w:val="0"/>
          <w:highlight w:val="none"/>
        </w:rPr>
        <w:t>附表三：问题的澄清</w:t>
      </w:r>
    </w:p>
    <w:p w14:paraId="2EF19921">
      <w:pPr>
        <w:autoSpaceDE w:val="0"/>
        <w:autoSpaceDN w:val="0"/>
        <w:adjustRightInd w:val="0"/>
        <w:snapToGrid w:val="0"/>
        <w:spacing w:line="360" w:lineRule="auto"/>
        <w:jc w:val="left"/>
        <w:rPr>
          <w:rFonts w:ascii="宋体" w:hAnsi="宋体" w:cs="宋体"/>
          <w:b/>
          <w:snapToGrid w:val="0"/>
          <w:color w:val="auto"/>
          <w:kern w:val="0"/>
          <w:sz w:val="10"/>
          <w:szCs w:val="10"/>
          <w:highlight w:val="none"/>
        </w:rPr>
      </w:pPr>
    </w:p>
    <w:p w14:paraId="531F78E3">
      <w:pPr>
        <w:autoSpaceDE w:val="0"/>
        <w:autoSpaceDN w:val="0"/>
        <w:adjustRightInd w:val="0"/>
        <w:snapToGrid w:val="0"/>
        <w:spacing w:line="360" w:lineRule="auto"/>
        <w:jc w:val="center"/>
        <w:rPr>
          <w:rFonts w:ascii="宋体" w:hAnsi="宋体" w:cs="宋体"/>
          <w:b/>
          <w:snapToGrid w:val="0"/>
          <w:color w:val="auto"/>
          <w:kern w:val="0"/>
          <w:sz w:val="32"/>
          <w:szCs w:val="32"/>
          <w:highlight w:val="none"/>
        </w:rPr>
      </w:pPr>
      <w:r>
        <w:rPr>
          <w:rFonts w:hint="eastAsia" w:ascii="宋体" w:hAnsi="宋体" w:cs="宋体"/>
          <w:b/>
          <w:snapToGrid w:val="0"/>
          <w:color w:val="auto"/>
          <w:w w:val="99"/>
          <w:kern w:val="0"/>
          <w:sz w:val="32"/>
          <w:szCs w:val="32"/>
          <w:highlight w:val="none"/>
        </w:rPr>
        <w:t>问题的澄清</w:t>
      </w:r>
    </w:p>
    <w:p w14:paraId="6A064904">
      <w:pPr>
        <w:autoSpaceDE w:val="0"/>
        <w:autoSpaceDN w:val="0"/>
        <w:adjustRightInd w:val="0"/>
        <w:snapToGrid w:val="0"/>
        <w:spacing w:line="360" w:lineRule="auto"/>
        <w:ind w:firstLine="3255" w:firstLineChars="1550"/>
        <w:jc w:val="left"/>
        <w:rPr>
          <w:rFonts w:ascii="宋体" w:hAnsi="宋体" w:cs="宋体"/>
          <w:snapToGrid w:val="0"/>
          <w:color w:val="auto"/>
          <w:kern w:val="0"/>
          <w:szCs w:val="21"/>
          <w:highlight w:val="none"/>
        </w:rPr>
      </w:pPr>
    </w:p>
    <w:p w14:paraId="4BB4FAFF">
      <w:pPr>
        <w:autoSpaceDE w:val="0"/>
        <w:autoSpaceDN w:val="0"/>
        <w:adjustRightInd w:val="0"/>
        <w:snapToGrid w:val="0"/>
        <w:spacing w:line="360" w:lineRule="auto"/>
        <w:ind w:firstLine="3255" w:firstLineChars="1550"/>
        <w:jc w:val="left"/>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编号：</w:t>
      </w:r>
      <w:r>
        <w:rPr>
          <w:rFonts w:hint="eastAsia" w:ascii="宋体" w:hAnsi="宋体" w:cs="宋体"/>
          <w:snapToGrid w:val="0"/>
          <w:color w:val="auto"/>
          <w:kern w:val="0"/>
          <w:szCs w:val="21"/>
          <w:highlight w:val="none"/>
          <w:u w:val="single"/>
        </w:rPr>
        <w:t xml:space="preserve">                     </w:t>
      </w:r>
    </w:p>
    <w:p w14:paraId="70D36355">
      <w:pPr>
        <w:autoSpaceDE w:val="0"/>
        <w:autoSpaceDN w:val="0"/>
        <w:adjustRightInd w:val="0"/>
        <w:snapToGrid w:val="0"/>
        <w:spacing w:line="360" w:lineRule="auto"/>
        <w:ind w:firstLine="3150" w:firstLineChars="1500"/>
        <w:rPr>
          <w:rFonts w:ascii="宋体" w:hAnsi="宋体" w:cs="宋体"/>
          <w:snapToGrid w:val="0"/>
          <w:color w:val="auto"/>
          <w:kern w:val="0"/>
          <w:szCs w:val="21"/>
          <w:highlight w:val="none"/>
        </w:rPr>
      </w:pPr>
    </w:p>
    <w:p w14:paraId="24A0BCAC">
      <w:pPr>
        <w:autoSpaceDE w:val="0"/>
        <w:autoSpaceDN w:val="0"/>
        <w:adjustRightInd w:val="0"/>
        <w:snapToGrid w:val="0"/>
        <w:spacing w:line="360" w:lineRule="auto"/>
        <w:ind w:firstLine="3150" w:firstLineChars="1500"/>
        <w:rPr>
          <w:rFonts w:ascii="宋体" w:hAnsi="宋体" w:cs="宋体"/>
          <w:snapToGrid w:val="0"/>
          <w:color w:val="auto"/>
          <w:kern w:val="0"/>
          <w:szCs w:val="21"/>
          <w:highlight w:val="none"/>
        </w:rPr>
      </w:pPr>
    </w:p>
    <w:p w14:paraId="7F688207">
      <w:pPr>
        <w:tabs>
          <w:tab w:val="left" w:pos="2415"/>
          <w:tab w:val="left" w:pos="3480"/>
          <w:tab w:val="left" w:pos="4200"/>
        </w:tabs>
        <w:autoSpaceDE w:val="0"/>
        <w:autoSpaceDN w:val="0"/>
        <w:adjustRightInd w:val="0"/>
        <w:snapToGrid w:val="0"/>
        <w:spacing w:line="360" w:lineRule="auto"/>
        <w:ind w:firstLine="840" w:firstLineChars="200"/>
        <w:jc w:val="left"/>
        <w:rPr>
          <w:rFonts w:ascii="宋体" w:hAnsi="宋体" w:cs="宋体"/>
          <w:snapToGrid w:val="0"/>
          <w:color w:val="auto"/>
          <w:kern w:val="0"/>
          <w:szCs w:val="21"/>
          <w:highlight w:val="none"/>
        </w:rPr>
      </w:pP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（项目名称）区域</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评选委员会：</w:t>
      </w:r>
    </w:p>
    <w:p w14:paraId="1E94CAB8">
      <w:pPr>
        <w:tabs>
          <w:tab w:val="left" w:pos="2000"/>
          <w:tab w:val="left" w:pos="3480"/>
          <w:tab w:val="left" w:pos="4200"/>
        </w:tabs>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问题澄清通知（编号：</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）已收悉，现澄清如下：</w:t>
      </w:r>
    </w:p>
    <w:p w14:paraId="41F69F21">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 </w:t>
      </w:r>
    </w:p>
    <w:p w14:paraId="7311E576">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14:paraId="543A4EFB">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14:paraId="2CF74CFE">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14:paraId="403C000C">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2. </w:t>
      </w:r>
    </w:p>
    <w:p w14:paraId="784B259A">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29BB2298">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11750CE6">
      <w:pPr>
        <w:autoSpaceDE w:val="0"/>
        <w:autoSpaceDN w:val="0"/>
        <w:adjustRightInd w:val="0"/>
        <w:snapToGrid w:val="0"/>
        <w:spacing w:line="360" w:lineRule="auto"/>
        <w:jc w:val="left"/>
        <w:rPr>
          <w:rFonts w:ascii="宋体" w:hAnsi="宋体" w:cs="宋体"/>
          <w:snapToGrid w:val="0"/>
          <w:color w:val="auto"/>
          <w:kern w:val="0"/>
          <w:sz w:val="22"/>
          <w:szCs w:val="22"/>
          <w:highlight w:val="none"/>
        </w:rPr>
      </w:pPr>
    </w:p>
    <w:p w14:paraId="32056D86">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p w14:paraId="7BC7948B">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14:paraId="5CE9F74A">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6A3BA85F">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09E2CA14">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0CCC80AB">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276D5631">
      <w:pPr>
        <w:tabs>
          <w:tab w:val="left" w:pos="7035"/>
        </w:tabs>
        <w:autoSpaceDE w:val="0"/>
        <w:autoSpaceDN w:val="0"/>
        <w:adjustRightInd w:val="0"/>
        <w:snapToGrid w:val="0"/>
        <w:spacing w:line="360" w:lineRule="auto"/>
        <w:ind w:firstLine="2551" w:firstLineChars="1215"/>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rPr>
        <w:t xml:space="preserve">（盖单位公章） </w:t>
      </w:r>
    </w:p>
    <w:p w14:paraId="7C4E2750">
      <w:pPr>
        <w:tabs>
          <w:tab w:val="left" w:pos="6620"/>
          <w:tab w:val="left" w:pos="7040"/>
        </w:tabs>
        <w:autoSpaceDE w:val="0"/>
        <w:autoSpaceDN w:val="0"/>
        <w:adjustRightInd w:val="0"/>
        <w:snapToGrid w:val="0"/>
        <w:spacing w:line="360" w:lineRule="auto"/>
        <w:ind w:firstLine="2551" w:firstLineChars="1215"/>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法定代表人或其委托代理人：</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（签字或盖章）</w:t>
      </w:r>
    </w:p>
    <w:p w14:paraId="5CF325A8">
      <w:pPr>
        <w:autoSpaceDE w:val="0"/>
        <w:autoSpaceDN w:val="0"/>
        <w:adjustRightInd w:val="0"/>
        <w:snapToGrid w:val="0"/>
        <w:spacing w:line="360" w:lineRule="auto"/>
        <w:jc w:val="right"/>
        <w:rPr>
          <w:rFonts w:ascii="宋体" w:hAnsi="宋体" w:cs="宋体"/>
          <w:snapToGrid w:val="0"/>
          <w:color w:val="auto"/>
          <w:kern w:val="0"/>
          <w:sz w:val="20"/>
          <w:szCs w:val="20"/>
          <w:highlight w:val="none"/>
        </w:rPr>
      </w:pPr>
    </w:p>
    <w:p w14:paraId="32D8CF9B">
      <w:pPr>
        <w:wordWrap w:val="0"/>
        <w:autoSpaceDE w:val="0"/>
        <w:autoSpaceDN w:val="0"/>
        <w:adjustRightInd w:val="0"/>
        <w:snapToGrid w:val="0"/>
        <w:spacing w:line="360" w:lineRule="auto"/>
        <w:ind w:firstLine="315" w:firstLineChars="150"/>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日 </w:t>
      </w:r>
    </w:p>
    <w:p w14:paraId="08375953">
      <w:pPr>
        <w:autoSpaceDE w:val="0"/>
        <w:autoSpaceDN w:val="0"/>
        <w:adjustRightInd w:val="0"/>
        <w:snapToGrid w:val="0"/>
        <w:spacing w:line="360" w:lineRule="auto"/>
        <w:jc w:val="left"/>
        <w:rPr>
          <w:rFonts w:ascii="宋体" w:hAnsi="宋体" w:cs="宋体"/>
          <w:b/>
          <w:snapToGrid w:val="0"/>
          <w:color w:val="auto"/>
          <w:kern w:val="0"/>
          <w:sz w:val="24"/>
          <w:highlight w:val="none"/>
        </w:rPr>
      </w:pPr>
    </w:p>
    <w:p w14:paraId="6AD671F9">
      <w:pPr>
        <w:autoSpaceDE w:val="0"/>
        <w:autoSpaceDN w:val="0"/>
        <w:adjustRightInd w:val="0"/>
        <w:snapToGrid w:val="0"/>
        <w:spacing w:line="360" w:lineRule="auto"/>
        <w:jc w:val="left"/>
        <w:rPr>
          <w:rFonts w:ascii="宋体" w:hAnsi="宋体" w:cs="宋体"/>
          <w:b/>
          <w:snapToGrid w:val="0"/>
          <w:color w:val="auto"/>
          <w:kern w:val="0"/>
          <w:highlight w:val="none"/>
        </w:rPr>
      </w:pPr>
    </w:p>
    <w:p w14:paraId="036D8700">
      <w:pPr>
        <w:autoSpaceDE w:val="0"/>
        <w:autoSpaceDN w:val="0"/>
        <w:adjustRightInd w:val="0"/>
        <w:snapToGrid w:val="0"/>
        <w:spacing w:line="360" w:lineRule="auto"/>
        <w:jc w:val="left"/>
        <w:rPr>
          <w:rFonts w:ascii="宋体" w:hAnsi="宋体" w:cs="宋体"/>
          <w:b/>
          <w:snapToGrid w:val="0"/>
          <w:color w:val="auto"/>
          <w:kern w:val="0"/>
          <w:highlight w:val="none"/>
        </w:rPr>
      </w:pPr>
    </w:p>
    <w:p w14:paraId="51819EC7">
      <w:pPr>
        <w:autoSpaceDE w:val="0"/>
        <w:autoSpaceDN w:val="0"/>
        <w:adjustRightInd w:val="0"/>
        <w:snapToGrid w:val="0"/>
        <w:spacing w:line="360" w:lineRule="auto"/>
        <w:jc w:val="left"/>
        <w:rPr>
          <w:rFonts w:ascii="宋体" w:hAnsi="宋体" w:cs="宋体"/>
          <w:b/>
          <w:snapToGrid w:val="0"/>
          <w:color w:val="auto"/>
          <w:kern w:val="0"/>
          <w:highlight w:val="none"/>
        </w:rPr>
      </w:pPr>
    </w:p>
    <w:p w14:paraId="275F05B9">
      <w:pPr>
        <w:autoSpaceDE w:val="0"/>
        <w:autoSpaceDN w:val="0"/>
        <w:adjustRightInd w:val="0"/>
        <w:snapToGrid w:val="0"/>
        <w:spacing w:line="360" w:lineRule="auto"/>
        <w:jc w:val="left"/>
        <w:rPr>
          <w:rFonts w:ascii="宋体" w:hAnsi="宋体" w:cs="宋体"/>
          <w:b/>
          <w:snapToGrid w:val="0"/>
          <w:color w:val="auto"/>
          <w:kern w:val="0"/>
          <w:highlight w:val="none"/>
        </w:rPr>
      </w:pPr>
    </w:p>
    <w:p w14:paraId="2749060A">
      <w:pPr>
        <w:autoSpaceDE w:val="0"/>
        <w:autoSpaceDN w:val="0"/>
        <w:adjustRightInd w:val="0"/>
        <w:snapToGrid w:val="0"/>
        <w:spacing w:line="360" w:lineRule="auto"/>
        <w:jc w:val="left"/>
        <w:rPr>
          <w:rFonts w:ascii="宋体" w:hAnsi="宋体" w:cs="宋体"/>
          <w:b/>
          <w:snapToGrid w:val="0"/>
          <w:color w:val="auto"/>
          <w:kern w:val="0"/>
          <w:highlight w:val="none"/>
        </w:rPr>
      </w:pPr>
    </w:p>
    <w:p w14:paraId="21D81187">
      <w:pPr>
        <w:pStyle w:val="8"/>
        <w:rPr>
          <w:color w:val="auto"/>
          <w:highlight w:val="none"/>
        </w:rPr>
      </w:pPr>
    </w:p>
    <w:p w14:paraId="109DA8A9">
      <w:pPr>
        <w:autoSpaceDE w:val="0"/>
        <w:autoSpaceDN w:val="0"/>
        <w:adjustRightInd w:val="0"/>
        <w:snapToGrid w:val="0"/>
        <w:spacing w:line="360" w:lineRule="auto"/>
        <w:jc w:val="left"/>
        <w:rPr>
          <w:rFonts w:ascii="宋体" w:hAnsi="宋体" w:cs="宋体"/>
          <w:b/>
          <w:snapToGrid w:val="0"/>
          <w:color w:val="auto"/>
          <w:kern w:val="0"/>
          <w:highlight w:val="none"/>
        </w:rPr>
      </w:pPr>
    </w:p>
    <w:p w14:paraId="5DCA4BCF">
      <w:pPr>
        <w:autoSpaceDE w:val="0"/>
        <w:autoSpaceDN w:val="0"/>
        <w:adjustRightInd w:val="0"/>
        <w:snapToGrid w:val="0"/>
        <w:spacing w:line="360" w:lineRule="auto"/>
        <w:jc w:val="left"/>
        <w:rPr>
          <w:rFonts w:ascii="宋体" w:hAnsi="宋体" w:cs="宋体"/>
          <w:b/>
          <w:snapToGrid w:val="0"/>
          <w:color w:val="auto"/>
          <w:kern w:val="0"/>
          <w:highlight w:val="none"/>
        </w:rPr>
      </w:pPr>
    </w:p>
    <w:p w14:paraId="0FB903DC">
      <w:pPr>
        <w:autoSpaceDE w:val="0"/>
        <w:autoSpaceDN w:val="0"/>
        <w:adjustRightInd w:val="0"/>
        <w:snapToGrid w:val="0"/>
        <w:spacing w:line="360" w:lineRule="auto"/>
        <w:jc w:val="left"/>
        <w:outlineLvl w:val="2"/>
        <w:rPr>
          <w:rFonts w:ascii="宋体" w:hAnsi="宋体" w:cs="宋体"/>
          <w:snapToGrid w:val="0"/>
          <w:color w:val="auto"/>
          <w:kern w:val="0"/>
          <w:sz w:val="20"/>
          <w:szCs w:val="20"/>
          <w:highlight w:val="none"/>
        </w:rPr>
      </w:pPr>
      <w:r>
        <w:rPr>
          <w:rFonts w:hint="eastAsia" w:ascii="宋体" w:hAnsi="宋体" w:cs="宋体"/>
          <w:b/>
          <w:snapToGrid w:val="0"/>
          <w:color w:val="auto"/>
          <w:kern w:val="0"/>
          <w:highlight w:val="none"/>
        </w:rPr>
        <w:t>附表四：中选通知书</w:t>
      </w:r>
    </w:p>
    <w:p w14:paraId="4B4E94DD">
      <w:pPr>
        <w:autoSpaceDE w:val="0"/>
        <w:autoSpaceDN w:val="0"/>
        <w:adjustRightInd w:val="0"/>
        <w:snapToGrid w:val="0"/>
        <w:spacing w:line="360" w:lineRule="auto"/>
        <w:jc w:val="center"/>
        <w:rPr>
          <w:rFonts w:ascii="宋体" w:hAnsi="宋体" w:cs="宋体"/>
          <w:b/>
          <w:snapToGrid w:val="0"/>
          <w:color w:val="auto"/>
          <w:w w:val="99"/>
          <w:kern w:val="0"/>
          <w:sz w:val="32"/>
          <w:szCs w:val="32"/>
          <w:highlight w:val="none"/>
        </w:rPr>
      </w:pPr>
    </w:p>
    <w:p w14:paraId="68D30FAD">
      <w:pPr>
        <w:autoSpaceDE w:val="0"/>
        <w:autoSpaceDN w:val="0"/>
        <w:adjustRightInd w:val="0"/>
        <w:snapToGrid w:val="0"/>
        <w:spacing w:line="360" w:lineRule="auto"/>
        <w:jc w:val="center"/>
        <w:rPr>
          <w:rFonts w:ascii="宋体" w:hAnsi="宋体" w:cs="宋体"/>
          <w:b/>
          <w:snapToGrid w:val="0"/>
          <w:color w:val="auto"/>
          <w:w w:val="99"/>
          <w:kern w:val="0"/>
          <w:sz w:val="32"/>
          <w:szCs w:val="32"/>
          <w:highlight w:val="none"/>
        </w:rPr>
      </w:pPr>
      <w:r>
        <w:rPr>
          <w:rFonts w:hint="eastAsia" w:ascii="宋体" w:hAnsi="宋体" w:cs="宋体"/>
          <w:b/>
          <w:snapToGrid w:val="0"/>
          <w:color w:val="auto"/>
          <w:w w:val="99"/>
          <w:kern w:val="0"/>
          <w:sz w:val="32"/>
          <w:szCs w:val="32"/>
          <w:highlight w:val="none"/>
        </w:rPr>
        <w:t>中选通知书</w:t>
      </w:r>
    </w:p>
    <w:p w14:paraId="589BE755">
      <w:pPr>
        <w:autoSpaceDE w:val="0"/>
        <w:autoSpaceDN w:val="0"/>
        <w:adjustRightInd w:val="0"/>
        <w:spacing w:line="360" w:lineRule="auto"/>
        <w:jc w:val="left"/>
        <w:rPr>
          <w:rFonts w:ascii="宋体" w:hAnsi="宋体" w:cs="宋体"/>
          <w:snapToGrid w:val="0"/>
          <w:color w:val="auto"/>
          <w:kern w:val="0"/>
          <w:sz w:val="20"/>
          <w:szCs w:val="20"/>
          <w:highlight w:val="none"/>
        </w:rPr>
      </w:pPr>
    </w:p>
    <w:p w14:paraId="14D42D27">
      <w:pPr>
        <w:spacing w:line="360" w:lineRule="auto"/>
        <w:rPr>
          <w:rFonts w:ascii="宋体" w:hAnsi="宋体" w:cs="宋体"/>
          <w:bCs/>
          <w:color w:val="auto"/>
          <w:kern w:val="0"/>
          <w:szCs w:val="21"/>
          <w:highlight w:val="none"/>
          <w:u w:val="single"/>
        </w:rPr>
      </w:pPr>
      <w:r>
        <w:rPr>
          <w:rFonts w:hint="eastAsia" w:ascii="宋体" w:hAnsi="宋体" w:cs="宋体"/>
          <w:bCs/>
          <w:color w:val="auto"/>
          <w:kern w:val="0"/>
          <w:szCs w:val="21"/>
          <w:highlight w:val="none"/>
          <w:u w:val="single"/>
        </w:rPr>
        <w:t xml:space="preserve">       </w:t>
      </w:r>
      <w:r>
        <w:rPr>
          <w:rFonts w:hint="eastAsia" w:ascii="宋体" w:hAnsi="宋体" w:cs="宋体"/>
          <w:color w:val="auto"/>
          <w:kern w:val="0"/>
          <w:szCs w:val="21"/>
          <w:highlight w:val="none"/>
          <w:u w:val="single"/>
        </w:rPr>
        <w:t>中选单位</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w:t>
      </w:r>
    </w:p>
    <w:p w14:paraId="0C969C4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我单位拟建的 </w:t>
      </w:r>
      <w:r>
        <w:rPr>
          <w:rFonts w:hint="eastAsia" w:ascii="宋体" w:hAnsi="宋体" w:cs="宋体"/>
          <w:bCs/>
          <w:color w:val="auto"/>
          <w:kern w:val="0"/>
          <w:szCs w:val="21"/>
          <w:highlight w:val="none"/>
          <w:u w:val="single"/>
        </w:rPr>
        <w:t xml:space="preserve">                </w:t>
      </w:r>
      <w:r>
        <w:rPr>
          <w:rFonts w:hint="eastAsia" w:ascii="宋体" w:hAnsi="宋体" w:cs="宋体"/>
          <w:color w:val="auto"/>
          <w:kern w:val="0"/>
          <w:szCs w:val="21"/>
          <w:highlight w:val="none"/>
        </w:rPr>
        <w:t>于</w:t>
      </w:r>
      <w:r>
        <w:rPr>
          <w:rFonts w:hint="eastAsia" w:ascii="宋体" w:hAnsi="宋体" w:cs="宋体"/>
          <w:bCs/>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color w:val="auto"/>
          <w:kern w:val="0"/>
          <w:szCs w:val="21"/>
          <w:highlight w:val="none"/>
        </w:rPr>
        <w:t>日进行竞争性比选，经评选委员会评定，确定你单位为中选人，中选监理服务费</w:t>
      </w:r>
      <w:r>
        <w:rPr>
          <w:rFonts w:hint="eastAsia" w:ascii="宋体" w:hAnsi="宋体" w:cs="宋体"/>
          <w:bCs/>
          <w:color w:val="auto"/>
          <w:kern w:val="0"/>
          <w:szCs w:val="21"/>
          <w:highlight w:val="none"/>
          <w:u w:val="single"/>
        </w:rPr>
        <w:t xml:space="preserve">          </w:t>
      </w:r>
      <w:r>
        <w:rPr>
          <w:rFonts w:hint="eastAsia" w:ascii="宋体" w:hAnsi="宋体" w:cs="宋体"/>
          <w:color w:val="auto"/>
          <w:kern w:val="0"/>
          <w:szCs w:val="21"/>
          <w:highlight w:val="none"/>
        </w:rPr>
        <w:t>。中选项目范围：</w:t>
      </w:r>
      <w:r>
        <w:rPr>
          <w:rFonts w:hint="eastAsia" w:ascii="宋体" w:hAnsi="宋体" w:cs="宋体"/>
          <w:bCs/>
          <w:color w:val="auto"/>
          <w:kern w:val="0"/>
          <w:szCs w:val="21"/>
          <w:highlight w:val="none"/>
          <w:u w:val="single"/>
        </w:rPr>
        <w:t xml:space="preserve">        </w:t>
      </w:r>
      <w:r>
        <w:rPr>
          <w:rFonts w:hint="eastAsia" w:ascii="宋体" w:hAnsi="宋体" w:cs="宋体"/>
          <w:color w:val="auto"/>
          <w:kern w:val="0"/>
          <w:szCs w:val="21"/>
          <w:highlight w:val="none"/>
        </w:rPr>
        <w:t xml:space="preserve">，工程规模为 </w:t>
      </w:r>
      <w:r>
        <w:rPr>
          <w:rFonts w:hint="eastAsia" w:ascii="宋体" w:hAnsi="宋体" w:cs="宋体"/>
          <w:bCs/>
          <w:color w:val="auto"/>
          <w:kern w:val="0"/>
          <w:szCs w:val="21"/>
          <w:highlight w:val="none"/>
          <w:u w:val="single"/>
        </w:rPr>
        <w:t xml:space="preserve">      </w:t>
      </w:r>
      <w:r>
        <w:rPr>
          <w:rFonts w:hint="eastAsia" w:ascii="宋体" w:hAnsi="宋体" w:cs="宋体"/>
          <w:color w:val="auto"/>
          <w:kern w:val="0"/>
          <w:szCs w:val="21"/>
          <w:highlight w:val="none"/>
        </w:rPr>
        <w:t>，中选监理服务期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，工程质量达到国家施工验收规范标准。</w:t>
      </w:r>
    </w:p>
    <w:p w14:paraId="299229C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你单位收到中选通知书后，在 </w:t>
      </w:r>
      <w:r>
        <w:rPr>
          <w:rFonts w:hint="eastAsia" w:ascii="宋体" w:hAnsi="宋体" w:cs="宋体"/>
          <w:bCs/>
          <w:color w:val="auto"/>
          <w:kern w:val="0"/>
          <w:szCs w:val="21"/>
          <w:highlight w:val="none"/>
          <w:u w:val="single"/>
        </w:rPr>
        <w:t xml:space="preserve">     </w:t>
      </w:r>
      <w:r>
        <w:rPr>
          <w:rFonts w:hint="eastAsia" w:ascii="宋体" w:hAnsi="宋体" w:cs="宋体"/>
          <w:color w:val="auto"/>
          <w:kern w:val="0"/>
          <w:szCs w:val="21"/>
          <w:highlight w:val="none"/>
        </w:rPr>
        <w:t>日内到我单位签订监理合同。</w:t>
      </w:r>
    </w:p>
    <w:p w14:paraId="7ED633FB">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特此通知。</w:t>
      </w:r>
    </w:p>
    <w:p w14:paraId="206A178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3A31F338">
      <w:pPr>
        <w:spacing w:line="360" w:lineRule="auto"/>
        <w:rPr>
          <w:rFonts w:ascii="宋体" w:hAnsi="宋体" w:cs="宋体"/>
          <w:color w:val="auto"/>
          <w:kern w:val="0"/>
          <w:sz w:val="24"/>
          <w:highlight w:val="none"/>
        </w:rPr>
      </w:pPr>
    </w:p>
    <w:p w14:paraId="0E4B2B1C">
      <w:pPr>
        <w:spacing w:line="360" w:lineRule="auto"/>
        <w:rPr>
          <w:rFonts w:ascii="宋体" w:hAnsi="宋体" w:cs="宋体"/>
          <w:color w:val="auto"/>
          <w:kern w:val="0"/>
          <w:sz w:val="24"/>
          <w:highlight w:val="none"/>
        </w:rPr>
      </w:pPr>
    </w:p>
    <w:p w14:paraId="044D3388">
      <w:pPr>
        <w:spacing w:line="360" w:lineRule="auto"/>
        <w:jc w:val="left"/>
        <w:rPr>
          <w:rFonts w:ascii="宋体" w:hAnsi="宋体" w:cs="宋体"/>
          <w:color w:val="auto"/>
          <w:kern w:val="0"/>
          <w:szCs w:val="21"/>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Cs w:val="21"/>
          <w:highlight w:val="none"/>
        </w:rPr>
        <w:t xml:space="preserve">   比选人</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snapToGrid w:val="0"/>
          <w:color w:val="auto"/>
          <w:kern w:val="0"/>
          <w:szCs w:val="21"/>
          <w:highlight w:val="none"/>
        </w:rPr>
        <w:t>盖单位公章</w:t>
      </w:r>
      <w:r>
        <w:rPr>
          <w:rFonts w:hint="eastAsia" w:ascii="宋体" w:hAnsi="宋体" w:cs="宋体"/>
          <w:color w:val="auto"/>
          <w:kern w:val="0"/>
          <w:szCs w:val="21"/>
          <w:highlight w:val="none"/>
        </w:rPr>
        <w:t>）</w:t>
      </w:r>
    </w:p>
    <w:p w14:paraId="18653599">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法定代表人</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14:paraId="4B3BC726">
      <w:pPr>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联系人</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u w:val="single"/>
        </w:rPr>
        <w:t xml:space="preserve">                          </w:t>
      </w:r>
    </w:p>
    <w:p w14:paraId="64F4487B">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联系电话</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u w:val="single"/>
        </w:rPr>
        <w:t xml:space="preserve">                        </w:t>
      </w:r>
    </w:p>
    <w:p w14:paraId="70BDC061">
      <w:pPr>
        <w:spacing w:line="360" w:lineRule="auto"/>
        <w:ind w:firstLine="3780" w:firstLineChars="1800"/>
        <w:rPr>
          <w:rFonts w:ascii="宋体" w:hAnsi="宋体" w:cs="宋体"/>
          <w:color w:val="auto"/>
          <w:kern w:val="0"/>
          <w:szCs w:val="21"/>
          <w:highlight w:val="none"/>
        </w:rPr>
      </w:pPr>
      <w:r>
        <w:rPr>
          <w:rFonts w:hint="eastAsia" w:ascii="宋体" w:hAnsi="宋体" w:cs="宋体"/>
          <w:color w:val="auto"/>
          <w:kern w:val="0"/>
          <w:szCs w:val="21"/>
          <w:highlight w:val="none"/>
        </w:rPr>
        <w:t>签发日期</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5A0D0382">
      <w:pPr>
        <w:spacing w:line="360" w:lineRule="auto"/>
        <w:ind w:firstLine="883"/>
        <w:jc w:val="center"/>
        <w:rPr>
          <w:rFonts w:ascii="宋体" w:hAnsi="宋体" w:cs="宋体"/>
          <w:color w:val="auto"/>
          <w:kern w:val="1"/>
          <w:highlight w:val="none"/>
        </w:rPr>
      </w:pPr>
      <w:bookmarkStart w:id="616" w:name="_Toc29866"/>
      <w:bookmarkStart w:id="617" w:name="_Toc21320"/>
    </w:p>
    <w:p w14:paraId="323CCF2D">
      <w:pPr>
        <w:spacing w:line="360" w:lineRule="auto"/>
        <w:ind w:firstLine="883"/>
        <w:jc w:val="center"/>
        <w:rPr>
          <w:rFonts w:ascii="宋体" w:hAnsi="宋体" w:cs="宋体"/>
          <w:color w:val="auto"/>
          <w:kern w:val="1"/>
          <w:highlight w:val="none"/>
        </w:rPr>
      </w:pPr>
    </w:p>
    <w:p w14:paraId="5175C6E8">
      <w:pPr>
        <w:rPr>
          <w:rFonts w:ascii="宋体" w:hAnsi="宋体" w:cs="宋体"/>
          <w:color w:val="auto"/>
          <w:kern w:val="1"/>
          <w:highlight w:val="none"/>
        </w:rPr>
      </w:pPr>
    </w:p>
    <w:p w14:paraId="5BB6F8B0">
      <w:pPr>
        <w:pStyle w:val="2"/>
        <w:rPr>
          <w:rFonts w:ascii="宋体" w:hAnsi="宋体" w:cs="宋体"/>
          <w:color w:val="auto"/>
          <w:kern w:val="1"/>
          <w:highlight w:val="none"/>
        </w:rPr>
      </w:pPr>
    </w:p>
    <w:p w14:paraId="2CE9726A">
      <w:pPr>
        <w:rPr>
          <w:rFonts w:ascii="宋体" w:hAnsi="宋体" w:cs="宋体"/>
          <w:color w:val="auto"/>
          <w:kern w:val="1"/>
          <w:highlight w:val="none"/>
        </w:rPr>
      </w:pPr>
    </w:p>
    <w:p w14:paraId="425B571F">
      <w:pPr>
        <w:pStyle w:val="2"/>
        <w:rPr>
          <w:rFonts w:ascii="宋体" w:hAnsi="宋体" w:cs="宋体"/>
          <w:color w:val="auto"/>
          <w:kern w:val="1"/>
          <w:highlight w:val="none"/>
        </w:rPr>
      </w:pPr>
    </w:p>
    <w:p w14:paraId="5EBFCB76">
      <w:pPr>
        <w:rPr>
          <w:rFonts w:ascii="宋体" w:hAnsi="宋体" w:cs="宋体"/>
          <w:color w:val="auto"/>
          <w:kern w:val="1"/>
          <w:highlight w:val="none"/>
        </w:rPr>
      </w:pPr>
    </w:p>
    <w:p w14:paraId="0FFA668A">
      <w:pPr>
        <w:pStyle w:val="2"/>
        <w:rPr>
          <w:color w:val="auto"/>
          <w:highlight w:val="none"/>
        </w:rPr>
      </w:pPr>
    </w:p>
    <w:p w14:paraId="072E7071">
      <w:pPr>
        <w:pStyle w:val="3"/>
        <w:spacing w:line="360" w:lineRule="auto"/>
        <w:jc w:val="center"/>
        <w:rPr>
          <w:rFonts w:ascii="宋体" w:hAnsi="宋体" w:cs="宋体"/>
          <w:color w:val="auto"/>
          <w:kern w:val="1"/>
          <w:highlight w:val="none"/>
        </w:rPr>
      </w:pPr>
      <w:r>
        <w:rPr>
          <w:rFonts w:hint="eastAsia" w:ascii="宋体" w:hAnsi="宋体" w:cs="宋体"/>
          <w:color w:val="auto"/>
          <w:kern w:val="1"/>
          <w:highlight w:val="none"/>
        </w:rPr>
        <w:t>第三章  评选办法（综合评估法）</w:t>
      </w:r>
      <w:bookmarkEnd w:id="616"/>
      <w:bookmarkEnd w:id="617"/>
    </w:p>
    <w:p w14:paraId="6AC7E088">
      <w:pPr>
        <w:keepNext/>
        <w:keepLines/>
        <w:spacing w:before="100" w:after="100" w:line="360" w:lineRule="auto"/>
        <w:outlineLvl w:val="1"/>
        <w:rPr>
          <w:rFonts w:ascii="宋体" w:hAnsi="宋体" w:cs="宋体"/>
          <w:b/>
          <w:bCs/>
          <w:color w:val="auto"/>
          <w:kern w:val="1"/>
          <w:sz w:val="32"/>
          <w:szCs w:val="32"/>
          <w:highlight w:val="none"/>
        </w:rPr>
      </w:pPr>
      <w:bookmarkStart w:id="618" w:name="_Toc19136"/>
      <w:bookmarkStart w:id="619" w:name="_Toc21967"/>
      <w:bookmarkStart w:id="620" w:name="_Toc9482"/>
      <w:bookmarkStart w:id="621" w:name="_Toc27983300"/>
      <w:bookmarkStart w:id="622" w:name="_Toc17419"/>
      <w:bookmarkStart w:id="623" w:name="_Toc7285"/>
      <w:bookmarkStart w:id="624" w:name="_Toc14474"/>
      <w:r>
        <w:rPr>
          <w:rFonts w:hint="eastAsia" w:ascii="宋体" w:hAnsi="宋体" w:cs="宋体"/>
          <w:b/>
          <w:bCs/>
          <w:color w:val="auto"/>
          <w:kern w:val="1"/>
          <w:sz w:val="32"/>
          <w:szCs w:val="32"/>
          <w:highlight w:val="none"/>
        </w:rPr>
        <w:t>评选办法前附表</w:t>
      </w:r>
      <w:bookmarkEnd w:id="618"/>
      <w:bookmarkEnd w:id="619"/>
      <w:bookmarkEnd w:id="620"/>
    </w:p>
    <w:p w14:paraId="1CB8CEB9">
      <w:pPr>
        <w:spacing w:line="360" w:lineRule="auto"/>
        <w:ind w:firstLine="420" w:firstLineChars="200"/>
        <w:rPr>
          <w:color w:val="auto"/>
          <w:szCs w:val="21"/>
          <w:highlight w:val="none"/>
        </w:rPr>
      </w:pPr>
      <w:r>
        <w:rPr>
          <w:rFonts w:hint="eastAsia"/>
          <w:color w:val="auto"/>
          <w:szCs w:val="21"/>
          <w:highlight w:val="none"/>
        </w:rPr>
        <w:t>评选</w:t>
      </w:r>
      <w:r>
        <w:rPr>
          <w:color w:val="auto"/>
          <w:szCs w:val="21"/>
          <w:highlight w:val="none"/>
        </w:rPr>
        <w:t>办法前附表中的评审内容必须和</w:t>
      </w:r>
      <w:r>
        <w:rPr>
          <w:rFonts w:hint="eastAsia"/>
          <w:color w:val="auto"/>
          <w:szCs w:val="21"/>
          <w:highlight w:val="none"/>
        </w:rPr>
        <w:t>竞选人</w:t>
      </w:r>
      <w:r>
        <w:rPr>
          <w:color w:val="auto"/>
          <w:szCs w:val="21"/>
          <w:highlight w:val="none"/>
        </w:rPr>
        <w:t>须知前附表中的对应内容一致，若</w:t>
      </w:r>
      <w:r>
        <w:rPr>
          <w:rFonts w:hint="eastAsia"/>
          <w:color w:val="auto"/>
          <w:szCs w:val="21"/>
          <w:highlight w:val="none"/>
        </w:rPr>
        <w:t>竞选人</w:t>
      </w:r>
      <w:r>
        <w:rPr>
          <w:color w:val="auto"/>
          <w:szCs w:val="21"/>
          <w:highlight w:val="none"/>
        </w:rPr>
        <w:t>须知前附表中未作要求的内容，不得列入</w:t>
      </w:r>
      <w:r>
        <w:rPr>
          <w:rFonts w:hint="eastAsia"/>
          <w:color w:val="auto"/>
          <w:szCs w:val="21"/>
          <w:highlight w:val="none"/>
        </w:rPr>
        <w:t>评选</w:t>
      </w:r>
      <w:r>
        <w:rPr>
          <w:color w:val="auto"/>
          <w:szCs w:val="21"/>
          <w:highlight w:val="none"/>
        </w:rPr>
        <w:t>办法前附表作为评定依据。</w:t>
      </w:r>
    </w:p>
    <w:p w14:paraId="0E0749F2">
      <w:pPr>
        <w:rPr>
          <w:color w:val="auto"/>
          <w:highlight w:val="none"/>
        </w:rPr>
      </w:pPr>
    </w:p>
    <w:tbl>
      <w:tblPr>
        <w:tblStyle w:val="20"/>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64"/>
        <w:gridCol w:w="673"/>
        <w:gridCol w:w="1030"/>
        <w:gridCol w:w="985"/>
        <w:gridCol w:w="5917"/>
      </w:tblGrid>
      <w:tr w14:paraId="08F049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37" w:type="dxa"/>
            <w:gridSpan w:val="2"/>
            <w:vAlign w:val="center"/>
          </w:tcPr>
          <w:p w14:paraId="463E0807">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015" w:type="dxa"/>
            <w:gridSpan w:val="2"/>
            <w:vAlign w:val="center"/>
          </w:tcPr>
          <w:p w14:paraId="6238C7DD">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917" w:type="dxa"/>
            <w:vAlign w:val="center"/>
          </w:tcPr>
          <w:p w14:paraId="10F203B0">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7F94F7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37" w:type="dxa"/>
            <w:gridSpan w:val="2"/>
            <w:vAlign w:val="center"/>
          </w:tcPr>
          <w:p w14:paraId="4E70D40E">
            <w:pPr>
              <w:spacing w:line="360" w:lineRule="auto"/>
              <w:jc w:val="center"/>
              <w:rPr>
                <w:rFonts w:ascii="宋体" w:hAnsi="宋体"/>
                <w:b/>
                <w:color w:val="auto"/>
                <w:kern w:val="0"/>
                <w:highlight w:val="none"/>
              </w:rPr>
            </w:pPr>
            <w:r>
              <w:rPr>
                <w:rFonts w:hint="eastAsia" w:ascii="宋体" w:hAnsi="宋体"/>
                <w:color w:val="auto"/>
                <w:kern w:val="0"/>
                <w:highlight w:val="none"/>
              </w:rPr>
              <w:t>1</w:t>
            </w:r>
          </w:p>
        </w:tc>
        <w:tc>
          <w:tcPr>
            <w:tcW w:w="2015" w:type="dxa"/>
            <w:gridSpan w:val="2"/>
            <w:vAlign w:val="center"/>
          </w:tcPr>
          <w:p w14:paraId="6EF43741">
            <w:pPr>
              <w:spacing w:line="360" w:lineRule="auto"/>
              <w:jc w:val="center"/>
              <w:rPr>
                <w:rFonts w:ascii="宋体" w:hAnsi="宋体"/>
                <w:b/>
                <w:color w:val="auto"/>
                <w:kern w:val="0"/>
                <w:highlight w:val="none"/>
              </w:rPr>
            </w:pPr>
            <w:r>
              <w:rPr>
                <w:rFonts w:hint="eastAsia" w:ascii="宋体" w:hAnsi="宋体"/>
                <w:color w:val="auto"/>
                <w:kern w:val="0"/>
                <w:highlight w:val="none"/>
              </w:rPr>
              <w:t>评选</w:t>
            </w:r>
            <w:r>
              <w:rPr>
                <w:rFonts w:ascii="宋体" w:hAnsi="宋体"/>
                <w:color w:val="auto"/>
                <w:kern w:val="0"/>
                <w:highlight w:val="none"/>
              </w:rPr>
              <w:t>办法</w:t>
            </w:r>
          </w:p>
        </w:tc>
        <w:tc>
          <w:tcPr>
            <w:tcW w:w="5917" w:type="dxa"/>
            <w:vAlign w:val="center"/>
          </w:tcPr>
          <w:p w14:paraId="64181A1D">
            <w:pPr>
              <w:spacing w:line="360" w:lineRule="auto"/>
              <w:ind w:firstLine="420" w:firstLineChars="200"/>
              <w:jc w:val="left"/>
              <w:rPr>
                <w:rFonts w:ascii="宋体" w:hAnsi="宋体"/>
                <w:b/>
                <w:color w:val="auto"/>
                <w:kern w:val="0"/>
                <w:highlight w:val="none"/>
              </w:rPr>
            </w:pPr>
            <w:r>
              <w:rPr>
                <w:rFonts w:ascii="宋体" w:hAnsi="宋体"/>
                <w:color w:val="auto"/>
                <w:kern w:val="0"/>
                <w:szCs w:val="21"/>
                <w:highlight w:val="none"/>
              </w:rPr>
              <w:t>本次</w:t>
            </w:r>
            <w:r>
              <w:rPr>
                <w:rFonts w:hint="eastAsia" w:ascii="宋体" w:hAnsi="宋体"/>
                <w:color w:val="auto"/>
                <w:kern w:val="0"/>
                <w:szCs w:val="21"/>
                <w:highlight w:val="none"/>
              </w:rPr>
              <w:t>比选</w:t>
            </w:r>
            <w:r>
              <w:rPr>
                <w:rFonts w:ascii="宋体" w:hAnsi="宋体"/>
                <w:color w:val="auto"/>
                <w:kern w:val="0"/>
                <w:szCs w:val="21"/>
                <w:highlight w:val="none"/>
              </w:rPr>
              <w:t>采用综合评估法</w:t>
            </w:r>
            <w:r>
              <w:rPr>
                <w:rFonts w:ascii="宋体" w:hAnsi="宋体"/>
                <w:color w:val="auto"/>
                <w:spacing w:val="-47"/>
                <w:kern w:val="0"/>
                <w:szCs w:val="21"/>
                <w:highlight w:val="none"/>
              </w:rPr>
              <w:t>。</w:t>
            </w:r>
            <w:r>
              <w:rPr>
                <w:rFonts w:hint="eastAsia" w:ascii="宋体" w:hAnsi="宋体"/>
                <w:color w:val="auto"/>
                <w:kern w:val="0"/>
                <w:szCs w:val="21"/>
                <w:highlight w:val="none"/>
              </w:rPr>
              <w:t>评选</w:t>
            </w:r>
            <w:r>
              <w:rPr>
                <w:rFonts w:ascii="宋体" w:hAnsi="宋体"/>
                <w:color w:val="auto"/>
                <w:kern w:val="0"/>
                <w:szCs w:val="21"/>
                <w:highlight w:val="none"/>
              </w:rPr>
              <w:t xml:space="preserve">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定的评分标准进行打分，按得分由高到低顺序推荐</w:t>
            </w:r>
            <w:r>
              <w:rPr>
                <w:rFonts w:hint="eastAsia" w:ascii="宋体" w:hAnsi="宋体"/>
                <w:color w:val="auto"/>
                <w:kern w:val="0"/>
                <w:szCs w:val="21"/>
                <w:highlight w:val="none"/>
              </w:rPr>
              <w:t>中选</w:t>
            </w:r>
            <w:r>
              <w:rPr>
                <w:rFonts w:ascii="宋体" w:hAnsi="宋体"/>
                <w:color w:val="auto"/>
                <w:kern w:val="0"/>
                <w:szCs w:val="21"/>
                <w:highlight w:val="none"/>
              </w:rPr>
              <w:t>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rPr>
              <w:t>比选人</w:t>
            </w:r>
            <w:r>
              <w:rPr>
                <w:rFonts w:ascii="宋体" w:hAnsi="宋体"/>
                <w:color w:val="auto"/>
                <w:kern w:val="0"/>
                <w:szCs w:val="21"/>
                <w:highlight w:val="none"/>
              </w:rPr>
              <w:t>授权直接确定</w:t>
            </w:r>
            <w:r>
              <w:rPr>
                <w:rFonts w:hint="eastAsia" w:ascii="宋体" w:hAnsi="宋体"/>
                <w:color w:val="auto"/>
                <w:kern w:val="0"/>
                <w:szCs w:val="21"/>
                <w:highlight w:val="none"/>
              </w:rPr>
              <w:t>中选</w:t>
            </w:r>
            <w:r>
              <w:rPr>
                <w:rFonts w:ascii="宋体" w:hAnsi="宋体"/>
                <w:color w:val="auto"/>
                <w:kern w:val="0"/>
                <w:szCs w:val="21"/>
                <w:highlight w:val="none"/>
              </w:rPr>
              <w:t>人</w:t>
            </w:r>
            <w:r>
              <w:rPr>
                <w:rFonts w:ascii="宋体" w:hAnsi="宋体"/>
                <w:color w:val="auto"/>
                <w:spacing w:val="-31"/>
                <w:kern w:val="0"/>
                <w:szCs w:val="21"/>
                <w:highlight w:val="none"/>
              </w:rPr>
              <w:t>。</w:t>
            </w:r>
            <w:r>
              <w:rPr>
                <w:rFonts w:ascii="宋体" w:hAnsi="宋体"/>
                <w:color w:val="auto"/>
                <w:kern w:val="0"/>
                <w:szCs w:val="21"/>
                <w:highlight w:val="none"/>
              </w:rPr>
              <w:t>综合评分相等时</w:t>
            </w:r>
            <w:r>
              <w:rPr>
                <w:rFonts w:ascii="宋体" w:hAnsi="宋体"/>
                <w:color w:val="auto"/>
                <w:spacing w:val="-31"/>
                <w:kern w:val="0"/>
                <w:szCs w:val="21"/>
                <w:highlight w:val="none"/>
              </w:rPr>
              <w:t>，</w:t>
            </w:r>
            <w:r>
              <w:rPr>
                <w:rFonts w:ascii="宋体" w:hAnsi="宋体"/>
                <w:color w:val="auto"/>
                <w:kern w:val="0"/>
                <w:szCs w:val="21"/>
                <w:highlight w:val="none"/>
              </w:rPr>
              <w:t>以</w:t>
            </w:r>
            <w:r>
              <w:rPr>
                <w:rFonts w:hint="eastAsia" w:ascii="宋体" w:hAnsi="宋体"/>
                <w:color w:val="auto"/>
                <w:kern w:val="0"/>
                <w:szCs w:val="21"/>
                <w:highlight w:val="none"/>
              </w:rPr>
              <w:t>竞选总报价</w:t>
            </w:r>
            <w:r>
              <w:rPr>
                <w:rFonts w:ascii="宋体" w:hAnsi="宋体"/>
                <w:color w:val="auto"/>
                <w:kern w:val="0"/>
                <w:szCs w:val="21"/>
                <w:highlight w:val="none"/>
              </w:rPr>
              <w:t>低的优先；</w:t>
            </w:r>
            <w:r>
              <w:rPr>
                <w:rFonts w:hint="eastAsia" w:ascii="宋体" w:hAnsi="宋体"/>
                <w:color w:val="auto"/>
                <w:kern w:val="0"/>
                <w:szCs w:val="21"/>
                <w:highlight w:val="none"/>
              </w:rPr>
              <w:t>竞选总报价</w:t>
            </w:r>
            <w:r>
              <w:rPr>
                <w:rFonts w:ascii="宋体" w:hAnsi="宋体"/>
                <w:color w:val="auto"/>
                <w:kern w:val="0"/>
                <w:szCs w:val="21"/>
                <w:highlight w:val="none"/>
              </w:rPr>
              <w:t>相等的，</w:t>
            </w:r>
            <w:r>
              <w:rPr>
                <w:rFonts w:hint="eastAsia" w:ascii="宋体" w:hAnsi="宋体"/>
                <w:color w:val="auto"/>
                <w:kern w:val="0"/>
                <w:szCs w:val="21"/>
                <w:highlight w:val="none"/>
              </w:rPr>
              <w:t>以技术（监理大纲）得分高的优先；技术得分</w:t>
            </w:r>
            <w:r>
              <w:rPr>
                <w:rFonts w:ascii="宋体" w:hAnsi="宋体"/>
                <w:color w:val="auto"/>
                <w:kern w:val="0"/>
                <w:szCs w:val="21"/>
                <w:highlight w:val="none"/>
              </w:rPr>
              <w:t>相等的</w:t>
            </w:r>
            <w:r>
              <w:rPr>
                <w:rFonts w:hint="eastAsia" w:ascii="宋体" w:hAnsi="宋体"/>
                <w:color w:val="auto"/>
                <w:kern w:val="0"/>
                <w:szCs w:val="21"/>
                <w:highlight w:val="none"/>
              </w:rPr>
              <w:t>，由评选委员会</w:t>
            </w:r>
            <w:r>
              <w:rPr>
                <w:rFonts w:hint="eastAsia" w:ascii="宋体" w:hAnsi="宋体"/>
                <w:color w:val="auto"/>
                <w:spacing w:val="4"/>
                <w:kern w:val="0"/>
                <w:szCs w:val="21"/>
                <w:highlight w:val="none"/>
                <w:u w:val="single"/>
              </w:rPr>
              <w:t>按业绩金额大的优先</w:t>
            </w:r>
            <w:r>
              <w:rPr>
                <w:rFonts w:hint="eastAsia" w:ascii="宋体" w:hAnsi="宋体"/>
                <w:color w:val="auto"/>
                <w:spacing w:val="4"/>
                <w:kern w:val="0"/>
                <w:szCs w:val="21"/>
                <w:highlight w:val="none"/>
              </w:rPr>
              <w:t>原则排序</w:t>
            </w:r>
            <w:r>
              <w:rPr>
                <w:rFonts w:hint="eastAsia" w:ascii="宋体" w:hAnsi="宋体"/>
                <w:color w:val="auto"/>
                <w:kern w:val="0"/>
                <w:szCs w:val="21"/>
                <w:highlight w:val="none"/>
              </w:rPr>
              <w:t>。</w:t>
            </w:r>
          </w:p>
        </w:tc>
      </w:tr>
      <w:tr w14:paraId="62E39C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restart"/>
            <w:vAlign w:val="center"/>
          </w:tcPr>
          <w:p w14:paraId="0D5F7646">
            <w:pPr>
              <w:spacing w:line="360" w:lineRule="auto"/>
              <w:jc w:val="center"/>
              <w:rPr>
                <w:rFonts w:ascii="宋体" w:hAnsi="宋体"/>
                <w:color w:val="auto"/>
                <w:kern w:val="0"/>
                <w:highlight w:val="none"/>
              </w:rPr>
            </w:pPr>
            <w:r>
              <w:rPr>
                <w:rFonts w:ascii="宋体" w:hAnsi="宋体"/>
                <w:color w:val="auto"/>
                <w:kern w:val="0"/>
                <w:highlight w:val="none"/>
              </w:rPr>
              <w:t>2.1.1</w:t>
            </w:r>
          </w:p>
        </w:tc>
        <w:tc>
          <w:tcPr>
            <w:tcW w:w="673" w:type="dxa"/>
            <w:vMerge w:val="restart"/>
            <w:vAlign w:val="center"/>
          </w:tcPr>
          <w:p w14:paraId="3E178DDF">
            <w:pPr>
              <w:spacing w:line="360" w:lineRule="auto"/>
              <w:jc w:val="center"/>
              <w:rPr>
                <w:rFonts w:ascii="宋体" w:hAnsi="宋体"/>
                <w:color w:val="auto"/>
                <w:kern w:val="0"/>
                <w:highlight w:val="none"/>
              </w:rPr>
            </w:pPr>
            <w:r>
              <w:rPr>
                <w:rFonts w:ascii="宋体" w:hAnsi="宋体"/>
                <w:color w:val="auto"/>
                <w:kern w:val="0"/>
                <w:highlight w:val="none"/>
              </w:rPr>
              <w:t>形式评审标准</w:t>
            </w:r>
          </w:p>
        </w:tc>
        <w:tc>
          <w:tcPr>
            <w:tcW w:w="2015" w:type="dxa"/>
            <w:gridSpan w:val="2"/>
            <w:vAlign w:val="center"/>
          </w:tcPr>
          <w:p w14:paraId="4BCDBDD8">
            <w:pPr>
              <w:spacing w:line="360" w:lineRule="auto"/>
              <w:jc w:val="center"/>
              <w:rPr>
                <w:rFonts w:ascii="宋体" w:hAnsi="宋体"/>
                <w:color w:val="auto"/>
                <w:kern w:val="0"/>
                <w:highlight w:val="none"/>
              </w:rPr>
            </w:pPr>
            <w:r>
              <w:rPr>
                <w:rFonts w:hint="eastAsia" w:ascii="宋体" w:hAnsi="宋体"/>
                <w:color w:val="auto"/>
                <w:kern w:val="0"/>
                <w:highlight w:val="none"/>
              </w:rPr>
              <w:t>竞选人</w:t>
            </w:r>
            <w:r>
              <w:rPr>
                <w:rFonts w:ascii="宋体" w:hAnsi="宋体"/>
                <w:color w:val="auto"/>
                <w:kern w:val="0"/>
                <w:highlight w:val="none"/>
              </w:rPr>
              <w:t>名称</w:t>
            </w:r>
          </w:p>
        </w:tc>
        <w:tc>
          <w:tcPr>
            <w:tcW w:w="5917" w:type="dxa"/>
            <w:vAlign w:val="center"/>
          </w:tcPr>
          <w:p w14:paraId="1D8C210E">
            <w:pPr>
              <w:spacing w:line="360" w:lineRule="auto"/>
              <w:ind w:firstLine="420" w:firstLineChars="200"/>
              <w:rPr>
                <w:rFonts w:ascii="宋体" w:hAnsi="宋体"/>
                <w:color w:val="auto"/>
                <w:kern w:val="0"/>
                <w:highlight w:val="none"/>
              </w:rPr>
            </w:pPr>
            <w:r>
              <w:rPr>
                <w:rFonts w:ascii="宋体" w:hAnsi="宋体"/>
                <w:color w:val="auto"/>
                <w:kern w:val="0"/>
                <w:highlight w:val="none"/>
              </w:rPr>
              <w:t>与营业执照、资质证书一致</w:t>
            </w:r>
            <w:r>
              <w:rPr>
                <w:rFonts w:hint="eastAsia" w:ascii="宋体" w:hAnsi="宋体"/>
                <w:color w:val="auto"/>
                <w:kern w:val="0"/>
                <w:highlight w:val="none"/>
              </w:rPr>
              <w:t>，</w:t>
            </w:r>
            <w:r>
              <w:rPr>
                <w:color w:val="auto"/>
                <w:highlight w:val="none"/>
              </w:rPr>
              <w:t>依法变更名称的应提交相应证明材料。</w:t>
            </w:r>
          </w:p>
        </w:tc>
      </w:tr>
      <w:tr w14:paraId="0590FD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15A78B93">
            <w:pPr>
              <w:spacing w:line="360" w:lineRule="auto"/>
              <w:rPr>
                <w:rFonts w:ascii="宋体" w:hAnsi="宋体"/>
                <w:color w:val="auto"/>
                <w:highlight w:val="none"/>
              </w:rPr>
            </w:pPr>
          </w:p>
        </w:tc>
        <w:tc>
          <w:tcPr>
            <w:tcW w:w="673" w:type="dxa"/>
            <w:vMerge w:val="continue"/>
          </w:tcPr>
          <w:p w14:paraId="11A759C2">
            <w:pPr>
              <w:spacing w:line="360" w:lineRule="auto"/>
              <w:rPr>
                <w:rFonts w:ascii="宋体" w:hAnsi="宋体"/>
                <w:color w:val="auto"/>
                <w:highlight w:val="none"/>
              </w:rPr>
            </w:pPr>
          </w:p>
        </w:tc>
        <w:tc>
          <w:tcPr>
            <w:tcW w:w="2015" w:type="dxa"/>
            <w:gridSpan w:val="2"/>
            <w:vAlign w:val="center"/>
          </w:tcPr>
          <w:p w14:paraId="0395B599">
            <w:pPr>
              <w:spacing w:line="360" w:lineRule="auto"/>
              <w:jc w:val="center"/>
              <w:rPr>
                <w:rFonts w:ascii="宋体" w:hAnsi="宋体"/>
                <w:color w:val="auto"/>
                <w:kern w:val="0"/>
                <w:highlight w:val="none"/>
              </w:rPr>
            </w:pPr>
            <w:r>
              <w:rPr>
                <w:rFonts w:hint="eastAsia" w:ascii="宋体" w:hAnsi="宋体"/>
                <w:color w:val="auto"/>
                <w:kern w:val="0"/>
                <w:highlight w:val="none"/>
              </w:rPr>
              <w:t>竞选函</w:t>
            </w:r>
            <w:r>
              <w:rPr>
                <w:rFonts w:ascii="宋体" w:hAnsi="宋体"/>
                <w:color w:val="auto"/>
                <w:kern w:val="0"/>
                <w:highlight w:val="none"/>
              </w:rPr>
              <w:t>签字盖章</w:t>
            </w:r>
          </w:p>
        </w:tc>
        <w:tc>
          <w:tcPr>
            <w:tcW w:w="5917" w:type="dxa"/>
            <w:vAlign w:val="center"/>
          </w:tcPr>
          <w:p w14:paraId="026FE6C3">
            <w:pPr>
              <w:spacing w:line="360" w:lineRule="auto"/>
              <w:ind w:firstLine="420" w:firstLineChars="200"/>
              <w:rPr>
                <w:rFonts w:ascii="宋体" w:hAnsi="宋体"/>
                <w:color w:val="auto"/>
                <w:kern w:val="0"/>
                <w:highlight w:val="none"/>
              </w:rPr>
            </w:pPr>
            <w:r>
              <w:rPr>
                <w:rFonts w:ascii="宋体" w:hAnsi="宋体"/>
                <w:color w:val="auto"/>
                <w:kern w:val="0"/>
                <w:highlight w:val="none"/>
              </w:rPr>
              <w:t>有法定代表人或其委托代理人签字（或盖章）、加盖单位</w:t>
            </w:r>
            <w:r>
              <w:rPr>
                <w:rFonts w:hint="eastAsia" w:ascii="宋体" w:hAnsi="宋体"/>
                <w:color w:val="auto"/>
                <w:kern w:val="0"/>
                <w:highlight w:val="none"/>
              </w:rPr>
              <w:t>公章</w:t>
            </w:r>
            <w:r>
              <w:rPr>
                <w:rFonts w:ascii="宋体" w:hAnsi="宋体"/>
                <w:color w:val="auto"/>
                <w:kern w:val="0"/>
                <w:highlight w:val="none"/>
              </w:rPr>
              <w:t>。</w:t>
            </w:r>
          </w:p>
        </w:tc>
      </w:tr>
      <w:tr w14:paraId="1C8488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7CCF121F">
            <w:pPr>
              <w:spacing w:line="360" w:lineRule="auto"/>
              <w:rPr>
                <w:rFonts w:ascii="宋体" w:hAnsi="宋体"/>
                <w:color w:val="auto"/>
                <w:highlight w:val="none"/>
              </w:rPr>
            </w:pPr>
          </w:p>
        </w:tc>
        <w:tc>
          <w:tcPr>
            <w:tcW w:w="673" w:type="dxa"/>
            <w:vMerge w:val="continue"/>
          </w:tcPr>
          <w:p w14:paraId="722F5A62">
            <w:pPr>
              <w:spacing w:line="360" w:lineRule="auto"/>
              <w:rPr>
                <w:rFonts w:ascii="宋体" w:hAnsi="宋体"/>
                <w:color w:val="auto"/>
                <w:highlight w:val="none"/>
              </w:rPr>
            </w:pPr>
          </w:p>
        </w:tc>
        <w:tc>
          <w:tcPr>
            <w:tcW w:w="2015" w:type="dxa"/>
            <w:gridSpan w:val="2"/>
            <w:vAlign w:val="center"/>
          </w:tcPr>
          <w:p w14:paraId="488D3A10">
            <w:pPr>
              <w:spacing w:line="360" w:lineRule="auto"/>
              <w:jc w:val="center"/>
              <w:rPr>
                <w:rFonts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格式</w:t>
            </w:r>
          </w:p>
        </w:tc>
        <w:tc>
          <w:tcPr>
            <w:tcW w:w="5917" w:type="dxa"/>
            <w:vAlign w:val="center"/>
          </w:tcPr>
          <w:p w14:paraId="172A611A">
            <w:pPr>
              <w:spacing w:line="360" w:lineRule="auto"/>
              <w:ind w:firstLine="420" w:firstLineChars="200"/>
              <w:rPr>
                <w:rFonts w:ascii="宋体" w:hAnsi="宋体"/>
                <w:color w:val="auto"/>
                <w:kern w:val="0"/>
                <w:highlight w:val="none"/>
              </w:rPr>
            </w:pPr>
            <w:r>
              <w:rPr>
                <w:rFonts w:ascii="宋体" w:hAnsi="宋体"/>
                <w:color w:val="auto"/>
                <w:kern w:val="0"/>
                <w:highlight w:val="none"/>
              </w:rPr>
              <w:t>符合第</w:t>
            </w:r>
            <w:r>
              <w:rPr>
                <w:rFonts w:hint="eastAsia" w:ascii="宋体" w:hAnsi="宋体"/>
                <w:color w:val="auto"/>
                <w:kern w:val="0"/>
                <w:highlight w:val="none"/>
              </w:rPr>
              <w:t>五</w:t>
            </w:r>
            <w:r>
              <w:rPr>
                <w:rFonts w:ascii="宋体" w:hAnsi="宋体"/>
                <w:color w:val="auto"/>
                <w:kern w:val="0"/>
                <w:highlight w:val="none"/>
              </w:rPr>
              <w:t>章“</w:t>
            </w:r>
            <w:r>
              <w:rPr>
                <w:rFonts w:hint="eastAsia" w:ascii="宋体" w:hAnsi="宋体"/>
                <w:color w:val="auto"/>
                <w:kern w:val="0"/>
                <w:highlight w:val="none"/>
              </w:rPr>
              <w:t>竞选文件</w:t>
            </w:r>
            <w:r>
              <w:rPr>
                <w:rFonts w:ascii="宋体" w:hAnsi="宋体"/>
                <w:color w:val="auto"/>
                <w:kern w:val="0"/>
                <w:highlight w:val="none"/>
              </w:rPr>
              <w:t>格式”的要求。</w:t>
            </w:r>
          </w:p>
        </w:tc>
      </w:tr>
      <w:tr w14:paraId="0FF9AE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5B20B593">
            <w:pPr>
              <w:spacing w:line="360" w:lineRule="auto"/>
              <w:rPr>
                <w:rFonts w:ascii="宋体" w:hAnsi="宋体"/>
                <w:color w:val="auto"/>
                <w:highlight w:val="none"/>
              </w:rPr>
            </w:pPr>
          </w:p>
        </w:tc>
        <w:tc>
          <w:tcPr>
            <w:tcW w:w="673" w:type="dxa"/>
            <w:vMerge w:val="continue"/>
          </w:tcPr>
          <w:p w14:paraId="05CF9F11">
            <w:pPr>
              <w:spacing w:line="360" w:lineRule="auto"/>
              <w:rPr>
                <w:rFonts w:ascii="宋体" w:hAnsi="宋体"/>
                <w:color w:val="auto"/>
                <w:highlight w:val="none"/>
              </w:rPr>
            </w:pPr>
          </w:p>
        </w:tc>
        <w:tc>
          <w:tcPr>
            <w:tcW w:w="2015" w:type="dxa"/>
            <w:gridSpan w:val="2"/>
            <w:vAlign w:val="center"/>
          </w:tcPr>
          <w:p w14:paraId="15622A9C">
            <w:pPr>
              <w:spacing w:line="360" w:lineRule="auto"/>
              <w:jc w:val="center"/>
              <w:rPr>
                <w:rFonts w:ascii="宋体" w:hAnsi="宋体"/>
                <w:color w:val="auto"/>
                <w:kern w:val="0"/>
                <w:highlight w:val="none"/>
              </w:rPr>
            </w:pPr>
            <w:r>
              <w:rPr>
                <w:rFonts w:ascii="宋体" w:hAnsi="宋体"/>
                <w:color w:val="auto"/>
                <w:kern w:val="0"/>
                <w:highlight w:val="none"/>
              </w:rPr>
              <w:t>报价唯一</w:t>
            </w:r>
          </w:p>
        </w:tc>
        <w:tc>
          <w:tcPr>
            <w:tcW w:w="5917" w:type="dxa"/>
            <w:vAlign w:val="center"/>
          </w:tcPr>
          <w:p w14:paraId="05752E6E">
            <w:pPr>
              <w:spacing w:line="360" w:lineRule="auto"/>
              <w:ind w:firstLine="420" w:firstLineChars="200"/>
              <w:rPr>
                <w:rFonts w:ascii="宋体" w:hAnsi="宋体"/>
                <w:color w:val="auto"/>
                <w:kern w:val="0"/>
                <w:highlight w:val="none"/>
              </w:rPr>
            </w:pPr>
            <w:r>
              <w:rPr>
                <w:rFonts w:ascii="宋体" w:hAnsi="宋体"/>
                <w:color w:val="auto"/>
                <w:kern w:val="0"/>
                <w:highlight w:val="none"/>
              </w:rPr>
              <w:t>只能有一个有效报价，在比选文件没有规定的情况下，不得提交选择性报价。</w:t>
            </w:r>
          </w:p>
        </w:tc>
      </w:tr>
      <w:tr w14:paraId="639BB3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7ECAC19E">
            <w:pPr>
              <w:spacing w:line="360" w:lineRule="auto"/>
              <w:rPr>
                <w:rFonts w:ascii="宋体" w:hAnsi="宋体"/>
                <w:color w:val="auto"/>
                <w:highlight w:val="none"/>
              </w:rPr>
            </w:pPr>
          </w:p>
        </w:tc>
        <w:tc>
          <w:tcPr>
            <w:tcW w:w="673" w:type="dxa"/>
            <w:vMerge w:val="continue"/>
          </w:tcPr>
          <w:p w14:paraId="14F226DC">
            <w:pPr>
              <w:spacing w:line="360" w:lineRule="auto"/>
              <w:rPr>
                <w:rFonts w:ascii="宋体" w:hAnsi="宋体"/>
                <w:color w:val="auto"/>
                <w:highlight w:val="none"/>
              </w:rPr>
            </w:pPr>
          </w:p>
        </w:tc>
        <w:tc>
          <w:tcPr>
            <w:tcW w:w="2015" w:type="dxa"/>
            <w:gridSpan w:val="2"/>
            <w:vAlign w:val="center"/>
          </w:tcPr>
          <w:p w14:paraId="7EB589E8">
            <w:pPr>
              <w:spacing w:line="360" w:lineRule="auto"/>
              <w:jc w:val="center"/>
              <w:rPr>
                <w:rFonts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的签署</w:t>
            </w:r>
          </w:p>
        </w:tc>
        <w:tc>
          <w:tcPr>
            <w:tcW w:w="5917" w:type="dxa"/>
            <w:vAlign w:val="center"/>
          </w:tcPr>
          <w:p w14:paraId="7063E494">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上法定代表人或其委托代理人的签字（或盖章）齐全。</w:t>
            </w:r>
          </w:p>
        </w:tc>
      </w:tr>
      <w:tr w14:paraId="76F862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641D5E17">
            <w:pPr>
              <w:spacing w:line="360" w:lineRule="auto"/>
              <w:rPr>
                <w:rFonts w:ascii="宋体" w:hAnsi="宋体"/>
                <w:color w:val="auto"/>
                <w:highlight w:val="none"/>
              </w:rPr>
            </w:pPr>
          </w:p>
        </w:tc>
        <w:tc>
          <w:tcPr>
            <w:tcW w:w="673" w:type="dxa"/>
            <w:vMerge w:val="continue"/>
          </w:tcPr>
          <w:p w14:paraId="767201DC">
            <w:pPr>
              <w:spacing w:line="360" w:lineRule="auto"/>
              <w:rPr>
                <w:rFonts w:ascii="宋体" w:hAnsi="宋体"/>
                <w:color w:val="auto"/>
                <w:highlight w:val="none"/>
              </w:rPr>
            </w:pPr>
          </w:p>
        </w:tc>
        <w:tc>
          <w:tcPr>
            <w:tcW w:w="2015" w:type="dxa"/>
            <w:gridSpan w:val="2"/>
            <w:vAlign w:val="center"/>
          </w:tcPr>
          <w:p w14:paraId="1A2C7BC0">
            <w:pPr>
              <w:spacing w:line="360" w:lineRule="auto"/>
              <w:jc w:val="center"/>
              <w:rPr>
                <w:rFonts w:ascii="宋体" w:hAnsi="宋体"/>
                <w:color w:val="auto"/>
                <w:kern w:val="0"/>
                <w:highlight w:val="none"/>
              </w:rPr>
            </w:pPr>
            <w:r>
              <w:rPr>
                <w:rFonts w:ascii="宋体" w:hAnsi="宋体"/>
                <w:color w:val="auto"/>
                <w:kern w:val="0"/>
                <w:highlight w:val="none"/>
              </w:rPr>
              <w:t>委托代理人</w:t>
            </w:r>
          </w:p>
        </w:tc>
        <w:tc>
          <w:tcPr>
            <w:tcW w:w="5917" w:type="dxa"/>
            <w:vAlign w:val="center"/>
          </w:tcPr>
          <w:p w14:paraId="0F53E1AD">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竞选人</w:t>
            </w:r>
            <w:r>
              <w:rPr>
                <w:rFonts w:ascii="宋体" w:hAnsi="宋体"/>
                <w:color w:val="auto"/>
                <w:kern w:val="0"/>
                <w:highlight w:val="none"/>
              </w:rPr>
              <w:t>法定代表人的委托代理人有法定代表人签署的授权委托书</w:t>
            </w:r>
            <w:r>
              <w:rPr>
                <w:rFonts w:hint="eastAsia" w:ascii="宋体" w:hAnsi="宋体"/>
                <w:color w:val="auto"/>
                <w:kern w:val="0"/>
                <w:highlight w:val="none"/>
              </w:rPr>
              <w:t>。</w:t>
            </w:r>
          </w:p>
        </w:tc>
      </w:tr>
      <w:tr w14:paraId="3FC936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restart"/>
            <w:vAlign w:val="center"/>
          </w:tcPr>
          <w:p w14:paraId="4ED25795">
            <w:pPr>
              <w:spacing w:line="360" w:lineRule="auto"/>
              <w:jc w:val="center"/>
              <w:rPr>
                <w:rFonts w:ascii="宋体" w:hAnsi="宋体"/>
                <w:color w:val="auto"/>
                <w:kern w:val="0"/>
                <w:highlight w:val="none"/>
              </w:rPr>
            </w:pPr>
            <w:r>
              <w:rPr>
                <w:rFonts w:ascii="宋体" w:hAnsi="宋体"/>
                <w:color w:val="auto"/>
                <w:kern w:val="0"/>
                <w:highlight w:val="none"/>
              </w:rPr>
              <w:t>2.1.2</w:t>
            </w:r>
          </w:p>
        </w:tc>
        <w:tc>
          <w:tcPr>
            <w:tcW w:w="673" w:type="dxa"/>
            <w:vMerge w:val="restart"/>
            <w:vAlign w:val="center"/>
          </w:tcPr>
          <w:p w14:paraId="3221AB49">
            <w:pPr>
              <w:spacing w:line="360" w:lineRule="auto"/>
              <w:jc w:val="center"/>
              <w:rPr>
                <w:rFonts w:ascii="宋体" w:hAnsi="宋体"/>
                <w:color w:val="auto"/>
                <w:kern w:val="0"/>
                <w:highlight w:val="none"/>
              </w:rPr>
            </w:pPr>
            <w:r>
              <w:rPr>
                <w:rFonts w:ascii="宋体" w:hAnsi="宋体"/>
                <w:color w:val="auto"/>
                <w:kern w:val="0"/>
                <w:highlight w:val="none"/>
              </w:rPr>
              <w:t>资格评审标准</w:t>
            </w:r>
          </w:p>
        </w:tc>
        <w:tc>
          <w:tcPr>
            <w:tcW w:w="2015" w:type="dxa"/>
            <w:gridSpan w:val="2"/>
            <w:tcBorders>
              <w:bottom w:val="single" w:color="auto" w:sz="4" w:space="0"/>
            </w:tcBorders>
            <w:vAlign w:val="center"/>
          </w:tcPr>
          <w:p w14:paraId="1F7DDE6B">
            <w:pPr>
              <w:spacing w:line="360" w:lineRule="auto"/>
              <w:jc w:val="center"/>
              <w:rPr>
                <w:rFonts w:ascii="宋体" w:hAnsi="宋体"/>
                <w:color w:val="auto"/>
                <w:kern w:val="0"/>
                <w:highlight w:val="none"/>
              </w:rPr>
            </w:pPr>
            <w:r>
              <w:rPr>
                <w:rFonts w:ascii="宋体" w:hAnsi="宋体"/>
                <w:color w:val="auto"/>
                <w:kern w:val="0"/>
                <w:highlight w:val="none"/>
              </w:rPr>
              <w:t>营业执照</w:t>
            </w:r>
          </w:p>
        </w:tc>
        <w:tc>
          <w:tcPr>
            <w:tcW w:w="5917" w:type="dxa"/>
            <w:vAlign w:val="center"/>
          </w:tcPr>
          <w:p w14:paraId="164299F4">
            <w:pPr>
              <w:spacing w:line="360" w:lineRule="auto"/>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609D1B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304946E3">
            <w:pPr>
              <w:spacing w:line="360" w:lineRule="auto"/>
              <w:rPr>
                <w:rFonts w:ascii="宋体" w:hAnsi="宋体"/>
                <w:color w:val="auto"/>
                <w:highlight w:val="none"/>
              </w:rPr>
            </w:pPr>
          </w:p>
        </w:tc>
        <w:tc>
          <w:tcPr>
            <w:tcW w:w="673" w:type="dxa"/>
            <w:vMerge w:val="continue"/>
          </w:tcPr>
          <w:p w14:paraId="35908184">
            <w:pPr>
              <w:spacing w:line="360" w:lineRule="auto"/>
              <w:rPr>
                <w:rFonts w:ascii="宋体" w:hAnsi="宋体"/>
                <w:color w:val="auto"/>
                <w:highlight w:val="none"/>
              </w:rPr>
            </w:pPr>
          </w:p>
        </w:tc>
        <w:tc>
          <w:tcPr>
            <w:tcW w:w="2015" w:type="dxa"/>
            <w:gridSpan w:val="2"/>
            <w:tcBorders>
              <w:top w:val="single" w:color="auto" w:sz="4" w:space="0"/>
            </w:tcBorders>
          </w:tcPr>
          <w:p w14:paraId="2D5A55AD">
            <w:pPr>
              <w:spacing w:line="360" w:lineRule="auto"/>
              <w:jc w:val="center"/>
              <w:rPr>
                <w:rFonts w:ascii="宋体" w:hAnsi="宋体"/>
                <w:color w:val="auto"/>
                <w:kern w:val="0"/>
                <w:highlight w:val="none"/>
              </w:rPr>
            </w:pPr>
            <w:r>
              <w:rPr>
                <w:rFonts w:ascii="宋体" w:hAnsi="宋体"/>
                <w:color w:val="auto"/>
                <w:kern w:val="0"/>
                <w:highlight w:val="none"/>
              </w:rPr>
              <w:t>资质等级</w:t>
            </w:r>
          </w:p>
        </w:tc>
        <w:tc>
          <w:tcPr>
            <w:tcW w:w="5917" w:type="dxa"/>
            <w:vAlign w:val="center"/>
          </w:tcPr>
          <w:p w14:paraId="67CB9111">
            <w:pPr>
              <w:spacing w:line="360" w:lineRule="auto"/>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4AB425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373529E6">
            <w:pPr>
              <w:spacing w:line="360" w:lineRule="auto"/>
              <w:rPr>
                <w:rFonts w:ascii="宋体" w:hAnsi="宋体"/>
                <w:color w:val="auto"/>
                <w:highlight w:val="none"/>
              </w:rPr>
            </w:pPr>
          </w:p>
        </w:tc>
        <w:tc>
          <w:tcPr>
            <w:tcW w:w="673" w:type="dxa"/>
            <w:vMerge w:val="continue"/>
          </w:tcPr>
          <w:p w14:paraId="1B1F0C56">
            <w:pPr>
              <w:spacing w:line="360" w:lineRule="auto"/>
              <w:rPr>
                <w:rFonts w:ascii="宋体" w:hAnsi="宋体"/>
                <w:color w:val="auto"/>
                <w:highlight w:val="none"/>
              </w:rPr>
            </w:pPr>
          </w:p>
        </w:tc>
        <w:tc>
          <w:tcPr>
            <w:tcW w:w="2015" w:type="dxa"/>
            <w:gridSpan w:val="2"/>
            <w:tcBorders>
              <w:top w:val="single" w:color="auto" w:sz="4" w:space="0"/>
            </w:tcBorders>
          </w:tcPr>
          <w:p w14:paraId="44B6B058">
            <w:pPr>
              <w:spacing w:line="360" w:lineRule="auto"/>
              <w:jc w:val="center"/>
              <w:rPr>
                <w:rFonts w:ascii="宋体" w:hAnsi="宋体"/>
                <w:color w:val="auto"/>
                <w:kern w:val="0"/>
                <w:highlight w:val="none"/>
              </w:rPr>
            </w:pPr>
            <w:r>
              <w:rPr>
                <w:rFonts w:hint="eastAsia" w:ascii="宋体" w:hAnsi="宋体"/>
                <w:color w:val="auto"/>
                <w:kern w:val="0"/>
                <w:highlight w:val="none"/>
              </w:rPr>
              <w:t>财务要求</w:t>
            </w:r>
          </w:p>
        </w:tc>
        <w:tc>
          <w:tcPr>
            <w:tcW w:w="5917" w:type="dxa"/>
            <w:vAlign w:val="center"/>
          </w:tcPr>
          <w:p w14:paraId="6900A272">
            <w:pPr>
              <w:spacing w:line="360" w:lineRule="auto"/>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62A000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502C91B5">
            <w:pPr>
              <w:spacing w:line="360" w:lineRule="auto"/>
              <w:rPr>
                <w:rFonts w:ascii="宋体" w:hAnsi="宋体"/>
                <w:color w:val="auto"/>
                <w:highlight w:val="none"/>
              </w:rPr>
            </w:pPr>
          </w:p>
        </w:tc>
        <w:tc>
          <w:tcPr>
            <w:tcW w:w="673" w:type="dxa"/>
            <w:vMerge w:val="continue"/>
          </w:tcPr>
          <w:p w14:paraId="4455D6F7">
            <w:pPr>
              <w:spacing w:line="360" w:lineRule="auto"/>
              <w:rPr>
                <w:rFonts w:ascii="宋体" w:hAnsi="宋体"/>
                <w:color w:val="auto"/>
                <w:highlight w:val="none"/>
              </w:rPr>
            </w:pPr>
          </w:p>
        </w:tc>
        <w:tc>
          <w:tcPr>
            <w:tcW w:w="2015" w:type="dxa"/>
            <w:gridSpan w:val="2"/>
            <w:tcBorders>
              <w:top w:val="single" w:color="auto" w:sz="4" w:space="0"/>
            </w:tcBorders>
          </w:tcPr>
          <w:p w14:paraId="1620213B">
            <w:pPr>
              <w:spacing w:line="360" w:lineRule="auto"/>
              <w:jc w:val="center"/>
              <w:rPr>
                <w:rFonts w:ascii="宋体" w:hAnsi="宋体"/>
                <w:color w:val="auto"/>
                <w:kern w:val="0"/>
                <w:highlight w:val="none"/>
              </w:rPr>
            </w:pPr>
            <w:r>
              <w:rPr>
                <w:rFonts w:hint="eastAsia" w:ascii="宋体" w:hAnsi="宋体"/>
                <w:color w:val="auto"/>
                <w:kern w:val="0"/>
                <w:highlight w:val="none"/>
              </w:rPr>
              <w:t>业绩要求</w:t>
            </w:r>
          </w:p>
        </w:tc>
        <w:tc>
          <w:tcPr>
            <w:tcW w:w="5917" w:type="dxa"/>
            <w:vAlign w:val="center"/>
          </w:tcPr>
          <w:p w14:paraId="3EA2457C">
            <w:pPr>
              <w:spacing w:line="360" w:lineRule="auto"/>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7C566B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3499B208">
            <w:pPr>
              <w:spacing w:line="360" w:lineRule="auto"/>
              <w:rPr>
                <w:rFonts w:ascii="宋体" w:hAnsi="宋体"/>
                <w:color w:val="auto"/>
                <w:highlight w:val="none"/>
              </w:rPr>
            </w:pPr>
          </w:p>
        </w:tc>
        <w:tc>
          <w:tcPr>
            <w:tcW w:w="673" w:type="dxa"/>
            <w:vMerge w:val="continue"/>
          </w:tcPr>
          <w:p w14:paraId="3FC72A34">
            <w:pPr>
              <w:spacing w:line="360" w:lineRule="auto"/>
              <w:rPr>
                <w:rFonts w:ascii="宋体" w:hAnsi="宋体"/>
                <w:color w:val="auto"/>
                <w:highlight w:val="none"/>
              </w:rPr>
            </w:pPr>
          </w:p>
        </w:tc>
        <w:tc>
          <w:tcPr>
            <w:tcW w:w="2015" w:type="dxa"/>
            <w:gridSpan w:val="2"/>
            <w:tcBorders>
              <w:top w:val="single" w:color="auto" w:sz="4" w:space="0"/>
            </w:tcBorders>
          </w:tcPr>
          <w:p w14:paraId="10ED5344">
            <w:pPr>
              <w:spacing w:line="360" w:lineRule="auto"/>
              <w:jc w:val="center"/>
              <w:rPr>
                <w:rFonts w:ascii="宋体" w:hAnsi="宋体"/>
                <w:color w:val="auto"/>
                <w:kern w:val="0"/>
                <w:highlight w:val="none"/>
              </w:rPr>
            </w:pPr>
            <w:r>
              <w:rPr>
                <w:rFonts w:hint="eastAsia" w:ascii="宋体" w:hAnsi="宋体"/>
                <w:color w:val="auto"/>
                <w:kern w:val="0"/>
                <w:highlight w:val="none"/>
              </w:rPr>
              <w:t>竞选截止日竞选资格情况</w:t>
            </w:r>
          </w:p>
        </w:tc>
        <w:tc>
          <w:tcPr>
            <w:tcW w:w="5917" w:type="dxa"/>
            <w:vAlign w:val="center"/>
          </w:tcPr>
          <w:p w14:paraId="5465C198">
            <w:pPr>
              <w:spacing w:line="360" w:lineRule="auto"/>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5D0B85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67F73675">
            <w:pPr>
              <w:spacing w:line="360" w:lineRule="auto"/>
              <w:rPr>
                <w:rFonts w:ascii="宋体" w:hAnsi="宋体"/>
                <w:color w:val="auto"/>
                <w:highlight w:val="none"/>
              </w:rPr>
            </w:pPr>
          </w:p>
        </w:tc>
        <w:tc>
          <w:tcPr>
            <w:tcW w:w="673" w:type="dxa"/>
            <w:vMerge w:val="continue"/>
          </w:tcPr>
          <w:p w14:paraId="2273503F">
            <w:pPr>
              <w:spacing w:line="360" w:lineRule="auto"/>
              <w:rPr>
                <w:rFonts w:ascii="宋体" w:hAnsi="宋体"/>
                <w:color w:val="auto"/>
                <w:highlight w:val="none"/>
              </w:rPr>
            </w:pPr>
          </w:p>
        </w:tc>
        <w:tc>
          <w:tcPr>
            <w:tcW w:w="2015" w:type="dxa"/>
            <w:gridSpan w:val="2"/>
            <w:tcBorders>
              <w:top w:val="single" w:color="auto" w:sz="4" w:space="0"/>
              <w:bottom w:val="single" w:color="auto" w:sz="4" w:space="0"/>
            </w:tcBorders>
          </w:tcPr>
          <w:p w14:paraId="1A06AB94">
            <w:pPr>
              <w:spacing w:line="360" w:lineRule="auto"/>
              <w:jc w:val="center"/>
              <w:rPr>
                <w:rFonts w:ascii="宋体" w:hAnsi="宋体"/>
                <w:color w:val="auto"/>
                <w:szCs w:val="21"/>
                <w:highlight w:val="none"/>
              </w:rPr>
            </w:pPr>
            <w:r>
              <w:rPr>
                <w:rFonts w:hint="eastAsia" w:ascii="宋体" w:hAnsi="宋体"/>
                <w:color w:val="auto"/>
                <w:kern w:val="0"/>
                <w:highlight w:val="none"/>
              </w:rPr>
              <w:t>拟派监理人员</w:t>
            </w:r>
            <w:r>
              <w:rPr>
                <w:rFonts w:ascii="宋体" w:hAnsi="宋体"/>
                <w:color w:val="auto"/>
                <w:kern w:val="0"/>
                <w:highlight w:val="none"/>
              </w:rPr>
              <w:t>资格</w:t>
            </w:r>
          </w:p>
        </w:tc>
        <w:tc>
          <w:tcPr>
            <w:tcW w:w="5917" w:type="dxa"/>
            <w:vAlign w:val="center"/>
          </w:tcPr>
          <w:p w14:paraId="59BB912F">
            <w:pPr>
              <w:spacing w:line="360" w:lineRule="auto"/>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690A1C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41E7C80A">
            <w:pPr>
              <w:spacing w:line="360" w:lineRule="auto"/>
              <w:rPr>
                <w:rFonts w:ascii="宋体" w:hAnsi="宋体"/>
                <w:color w:val="auto"/>
                <w:highlight w:val="none"/>
              </w:rPr>
            </w:pPr>
          </w:p>
        </w:tc>
        <w:tc>
          <w:tcPr>
            <w:tcW w:w="673" w:type="dxa"/>
            <w:vMerge w:val="continue"/>
          </w:tcPr>
          <w:p w14:paraId="7B4A0F99">
            <w:pPr>
              <w:spacing w:line="360" w:lineRule="auto"/>
              <w:rPr>
                <w:rFonts w:ascii="宋体" w:hAnsi="宋体"/>
                <w:color w:val="auto"/>
                <w:highlight w:val="none"/>
              </w:rPr>
            </w:pPr>
          </w:p>
        </w:tc>
        <w:tc>
          <w:tcPr>
            <w:tcW w:w="2015" w:type="dxa"/>
            <w:gridSpan w:val="2"/>
            <w:tcBorders>
              <w:top w:val="single" w:color="auto" w:sz="4" w:space="0"/>
              <w:bottom w:val="single" w:color="auto" w:sz="4" w:space="0"/>
            </w:tcBorders>
          </w:tcPr>
          <w:p w14:paraId="39F5A35E">
            <w:pPr>
              <w:spacing w:line="360" w:lineRule="auto"/>
              <w:jc w:val="center"/>
              <w:rPr>
                <w:rFonts w:ascii="宋体" w:hAnsi="宋体"/>
                <w:color w:val="auto"/>
                <w:kern w:val="0"/>
                <w:highlight w:val="none"/>
              </w:rPr>
            </w:pPr>
            <w:r>
              <w:rPr>
                <w:rFonts w:ascii="宋体" w:hAnsi="宋体"/>
                <w:color w:val="auto"/>
                <w:kern w:val="0"/>
                <w:highlight w:val="none"/>
              </w:rPr>
              <w:t>其他要求</w:t>
            </w:r>
          </w:p>
        </w:tc>
        <w:tc>
          <w:tcPr>
            <w:tcW w:w="5917" w:type="dxa"/>
            <w:vAlign w:val="center"/>
          </w:tcPr>
          <w:p w14:paraId="0BB208AA">
            <w:pPr>
              <w:spacing w:line="360" w:lineRule="auto"/>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6B24E4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restart"/>
            <w:vAlign w:val="center"/>
          </w:tcPr>
          <w:p w14:paraId="6156CE67">
            <w:pPr>
              <w:spacing w:line="360" w:lineRule="auto"/>
              <w:jc w:val="center"/>
              <w:rPr>
                <w:rFonts w:ascii="宋体" w:hAnsi="宋体"/>
                <w:color w:val="auto"/>
                <w:highlight w:val="none"/>
              </w:rPr>
            </w:pPr>
            <w:r>
              <w:rPr>
                <w:rFonts w:ascii="宋体" w:hAnsi="宋体"/>
                <w:color w:val="auto"/>
                <w:kern w:val="0"/>
                <w:highlight w:val="none"/>
              </w:rPr>
              <w:t>2.1.3</w:t>
            </w:r>
          </w:p>
        </w:tc>
        <w:tc>
          <w:tcPr>
            <w:tcW w:w="673" w:type="dxa"/>
            <w:vMerge w:val="restart"/>
            <w:vAlign w:val="center"/>
          </w:tcPr>
          <w:p w14:paraId="7A146773">
            <w:pPr>
              <w:spacing w:line="360" w:lineRule="auto"/>
              <w:jc w:val="center"/>
              <w:rPr>
                <w:rFonts w:ascii="宋体" w:hAnsi="宋体"/>
                <w:color w:val="auto"/>
                <w:highlight w:val="none"/>
              </w:rPr>
            </w:pPr>
            <w:r>
              <w:rPr>
                <w:rFonts w:ascii="宋体" w:hAnsi="宋体"/>
                <w:color w:val="auto"/>
                <w:kern w:val="0"/>
                <w:highlight w:val="none"/>
              </w:rPr>
              <w:t>响应性评审标准</w:t>
            </w:r>
          </w:p>
        </w:tc>
        <w:tc>
          <w:tcPr>
            <w:tcW w:w="2015" w:type="dxa"/>
            <w:gridSpan w:val="2"/>
            <w:vAlign w:val="center"/>
          </w:tcPr>
          <w:p w14:paraId="0F829685">
            <w:pPr>
              <w:spacing w:line="360" w:lineRule="auto"/>
              <w:jc w:val="center"/>
              <w:rPr>
                <w:rFonts w:ascii="宋体" w:hAnsi="宋体"/>
                <w:color w:val="auto"/>
                <w:kern w:val="0"/>
                <w:highlight w:val="none"/>
              </w:rPr>
            </w:pPr>
            <w:r>
              <w:rPr>
                <w:rFonts w:hint="eastAsia" w:ascii="宋体" w:hAnsi="宋体"/>
                <w:color w:val="auto"/>
                <w:kern w:val="0"/>
                <w:highlight w:val="none"/>
              </w:rPr>
              <w:t>竞选总报价</w:t>
            </w:r>
          </w:p>
        </w:tc>
        <w:tc>
          <w:tcPr>
            <w:tcW w:w="5917" w:type="dxa"/>
            <w:vAlign w:val="center"/>
          </w:tcPr>
          <w:p w14:paraId="0AB77B07">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竞选人的监理服务费总</w:t>
            </w:r>
            <w:r>
              <w:rPr>
                <w:rFonts w:ascii="宋体" w:hAnsi="宋体"/>
                <w:color w:val="auto"/>
                <w:kern w:val="0"/>
                <w:highlight w:val="none"/>
              </w:rPr>
              <w:t>报价不得高于</w:t>
            </w:r>
            <w:r>
              <w:rPr>
                <w:rFonts w:hint="eastAsia" w:ascii="宋体" w:hAnsi="宋体"/>
                <w:color w:val="auto"/>
                <w:kern w:val="0"/>
                <w:highlight w:val="none"/>
              </w:rPr>
              <w:t>比选人</w:t>
            </w:r>
            <w:r>
              <w:rPr>
                <w:rFonts w:ascii="宋体" w:hAnsi="宋体"/>
                <w:color w:val="auto"/>
                <w:kern w:val="0"/>
                <w:highlight w:val="none"/>
              </w:rPr>
              <w:t>公布的</w:t>
            </w:r>
            <w:r>
              <w:rPr>
                <w:rFonts w:hint="eastAsia"/>
                <w:color w:val="auto"/>
                <w:szCs w:val="21"/>
                <w:highlight w:val="none"/>
              </w:rPr>
              <w:t>最高限价。</w:t>
            </w:r>
          </w:p>
          <w:p w14:paraId="619C557E">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竞选总报价不得低于成本：评选</w:t>
            </w:r>
            <w:r>
              <w:rPr>
                <w:rFonts w:ascii="宋体" w:hAnsi="宋体"/>
                <w:color w:val="auto"/>
                <w:kern w:val="0"/>
                <w:highlight w:val="none"/>
              </w:rPr>
              <w:t>委员会发现</w:t>
            </w:r>
            <w:r>
              <w:rPr>
                <w:rFonts w:hint="eastAsia" w:ascii="宋体" w:hAnsi="宋体"/>
                <w:color w:val="auto"/>
                <w:kern w:val="0"/>
                <w:highlight w:val="none"/>
              </w:rPr>
              <w:t>竞选人</w:t>
            </w:r>
            <w:r>
              <w:rPr>
                <w:rFonts w:ascii="宋体" w:hAnsi="宋体"/>
                <w:color w:val="auto"/>
                <w:kern w:val="0"/>
                <w:highlight w:val="none"/>
              </w:rPr>
              <w:t>的报价明显低于其他</w:t>
            </w:r>
            <w:r>
              <w:rPr>
                <w:rFonts w:hint="eastAsia" w:ascii="宋体" w:hAnsi="宋体"/>
                <w:color w:val="auto"/>
                <w:kern w:val="0"/>
                <w:highlight w:val="none"/>
              </w:rPr>
              <w:t>竞选总报价</w:t>
            </w:r>
            <w:r>
              <w:rPr>
                <w:rFonts w:ascii="宋体" w:hAnsi="宋体"/>
                <w:color w:val="auto"/>
                <w:kern w:val="0"/>
                <w:highlight w:val="none"/>
              </w:rPr>
              <w:t>，使得其</w:t>
            </w:r>
            <w:r>
              <w:rPr>
                <w:rFonts w:hint="eastAsia" w:ascii="宋体" w:hAnsi="宋体"/>
                <w:color w:val="auto"/>
                <w:kern w:val="0"/>
                <w:highlight w:val="none"/>
              </w:rPr>
              <w:t>竞选总报价</w:t>
            </w:r>
            <w:r>
              <w:rPr>
                <w:rFonts w:ascii="宋体" w:hAnsi="宋体"/>
                <w:color w:val="auto"/>
                <w:kern w:val="0"/>
                <w:highlight w:val="none"/>
              </w:rPr>
              <w:t>可能低于其个别成本的，应当要求该</w:t>
            </w:r>
            <w:r>
              <w:rPr>
                <w:rFonts w:hint="eastAsia" w:ascii="宋体" w:hAnsi="宋体"/>
                <w:color w:val="auto"/>
                <w:kern w:val="0"/>
                <w:highlight w:val="none"/>
              </w:rPr>
              <w:t>竞选人</w:t>
            </w:r>
            <w:r>
              <w:rPr>
                <w:rFonts w:ascii="宋体" w:hAnsi="宋体"/>
                <w:color w:val="auto"/>
                <w:kern w:val="0"/>
                <w:highlight w:val="none"/>
              </w:rPr>
              <w:t>做出书面说明并提供相应的证明材料。</w:t>
            </w:r>
            <w:r>
              <w:rPr>
                <w:rFonts w:hint="eastAsia" w:ascii="宋体" w:hAnsi="宋体"/>
                <w:color w:val="auto"/>
                <w:kern w:val="0"/>
                <w:highlight w:val="none"/>
              </w:rPr>
              <w:t>竞选人</w:t>
            </w:r>
            <w:r>
              <w:rPr>
                <w:rFonts w:ascii="宋体" w:hAnsi="宋体"/>
                <w:color w:val="auto"/>
                <w:kern w:val="0"/>
                <w:highlight w:val="none"/>
              </w:rPr>
              <w:t>不能合理说明或者不能提供相应证明材料的，由</w:t>
            </w:r>
            <w:r>
              <w:rPr>
                <w:rFonts w:hint="eastAsia" w:ascii="宋体" w:hAnsi="宋体"/>
                <w:color w:val="auto"/>
                <w:kern w:val="0"/>
                <w:highlight w:val="none"/>
              </w:rPr>
              <w:t>评选</w:t>
            </w:r>
            <w:r>
              <w:rPr>
                <w:rFonts w:ascii="宋体" w:hAnsi="宋体"/>
                <w:color w:val="auto"/>
                <w:kern w:val="0"/>
                <w:highlight w:val="none"/>
              </w:rPr>
              <w:t>委员会认定该</w:t>
            </w:r>
            <w:r>
              <w:rPr>
                <w:rFonts w:hint="eastAsia" w:ascii="宋体" w:hAnsi="宋体"/>
                <w:color w:val="auto"/>
                <w:kern w:val="0"/>
                <w:highlight w:val="none"/>
              </w:rPr>
              <w:t>竞选人</w:t>
            </w:r>
            <w:r>
              <w:rPr>
                <w:rFonts w:ascii="宋体" w:hAnsi="宋体"/>
                <w:color w:val="auto"/>
                <w:kern w:val="0"/>
                <w:highlight w:val="none"/>
              </w:rPr>
              <w:t>以低于成本报价竞标，</w:t>
            </w:r>
            <w:r>
              <w:rPr>
                <w:rFonts w:hint="eastAsia" w:ascii="宋体" w:hAnsi="宋体"/>
                <w:color w:val="auto"/>
                <w:kern w:val="0"/>
                <w:highlight w:val="none"/>
              </w:rPr>
              <w:t>对该竞选人作否决竞选</w:t>
            </w:r>
            <w:r>
              <w:rPr>
                <w:rFonts w:ascii="宋体" w:hAnsi="宋体"/>
                <w:color w:val="auto"/>
                <w:kern w:val="0"/>
                <w:highlight w:val="none"/>
              </w:rPr>
              <w:t>处理。</w:t>
            </w:r>
          </w:p>
        </w:tc>
      </w:tr>
      <w:tr w14:paraId="633A70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vAlign w:val="center"/>
          </w:tcPr>
          <w:p w14:paraId="132B4D5E">
            <w:pPr>
              <w:spacing w:line="360" w:lineRule="auto"/>
              <w:jc w:val="center"/>
              <w:rPr>
                <w:rFonts w:ascii="宋体" w:hAnsi="宋体"/>
                <w:color w:val="auto"/>
                <w:kern w:val="0"/>
                <w:highlight w:val="none"/>
              </w:rPr>
            </w:pPr>
          </w:p>
        </w:tc>
        <w:tc>
          <w:tcPr>
            <w:tcW w:w="673" w:type="dxa"/>
            <w:vMerge w:val="continue"/>
            <w:textDirection w:val="tbRlV"/>
            <w:vAlign w:val="center"/>
          </w:tcPr>
          <w:p w14:paraId="2876ECD6">
            <w:pPr>
              <w:spacing w:line="360" w:lineRule="auto"/>
              <w:jc w:val="center"/>
              <w:rPr>
                <w:rFonts w:ascii="宋体" w:hAnsi="宋体"/>
                <w:color w:val="auto"/>
                <w:kern w:val="0"/>
                <w:highlight w:val="none"/>
              </w:rPr>
            </w:pPr>
          </w:p>
        </w:tc>
        <w:tc>
          <w:tcPr>
            <w:tcW w:w="2015" w:type="dxa"/>
            <w:gridSpan w:val="2"/>
            <w:vAlign w:val="center"/>
          </w:tcPr>
          <w:p w14:paraId="6DFFF676">
            <w:pPr>
              <w:spacing w:line="360" w:lineRule="auto"/>
              <w:jc w:val="center"/>
              <w:rPr>
                <w:rFonts w:ascii="宋体" w:hAnsi="宋体"/>
                <w:color w:val="auto"/>
                <w:kern w:val="0"/>
                <w:highlight w:val="none"/>
              </w:rPr>
            </w:pPr>
            <w:r>
              <w:rPr>
                <w:rFonts w:hint="eastAsia" w:ascii="宋体" w:hAnsi="宋体"/>
                <w:color w:val="auto"/>
                <w:kern w:val="0"/>
                <w:highlight w:val="none"/>
              </w:rPr>
              <w:t>竞选内容</w:t>
            </w:r>
          </w:p>
        </w:tc>
        <w:tc>
          <w:tcPr>
            <w:tcW w:w="5917" w:type="dxa"/>
            <w:vAlign w:val="center"/>
          </w:tcPr>
          <w:p w14:paraId="5EE7F860">
            <w:pPr>
              <w:spacing w:line="360" w:lineRule="auto"/>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须知”第1.3.1项规定</w:t>
            </w:r>
          </w:p>
        </w:tc>
      </w:tr>
      <w:tr w14:paraId="04D1EF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6ADAFCF5">
            <w:pPr>
              <w:spacing w:line="360" w:lineRule="auto"/>
              <w:jc w:val="center"/>
              <w:rPr>
                <w:rFonts w:ascii="宋体" w:hAnsi="宋体"/>
                <w:color w:val="auto"/>
                <w:highlight w:val="none"/>
              </w:rPr>
            </w:pPr>
          </w:p>
        </w:tc>
        <w:tc>
          <w:tcPr>
            <w:tcW w:w="673" w:type="dxa"/>
            <w:vMerge w:val="continue"/>
          </w:tcPr>
          <w:p w14:paraId="24D9E8DB">
            <w:pPr>
              <w:spacing w:line="360" w:lineRule="auto"/>
              <w:jc w:val="center"/>
              <w:rPr>
                <w:rFonts w:ascii="宋体" w:hAnsi="宋体"/>
                <w:color w:val="auto"/>
                <w:highlight w:val="none"/>
              </w:rPr>
            </w:pPr>
          </w:p>
        </w:tc>
        <w:tc>
          <w:tcPr>
            <w:tcW w:w="2015" w:type="dxa"/>
            <w:gridSpan w:val="2"/>
            <w:vAlign w:val="center"/>
          </w:tcPr>
          <w:p w14:paraId="208902D6">
            <w:pPr>
              <w:spacing w:line="360" w:lineRule="auto"/>
              <w:jc w:val="center"/>
              <w:rPr>
                <w:rFonts w:ascii="宋体" w:hAnsi="宋体"/>
                <w:color w:val="auto"/>
                <w:kern w:val="0"/>
                <w:highlight w:val="none"/>
              </w:rPr>
            </w:pPr>
            <w:r>
              <w:rPr>
                <w:rFonts w:hint="eastAsia"/>
                <w:color w:val="auto"/>
                <w:highlight w:val="none"/>
              </w:rPr>
              <w:t>监理服务期</w:t>
            </w:r>
          </w:p>
        </w:tc>
        <w:tc>
          <w:tcPr>
            <w:tcW w:w="5917" w:type="dxa"/>
            <w:vAlign w:val="center"/>
          </w:tcPr>
          <w:p w14:paraId="451CE5BE">
            <w:pPr>
              <w:spacing w:line="360" w:lineRule="auto"/>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须知”第1.3.2项规定</w:t>
            </w:r>
          </w:p>
        </w:tc>
      </w:tr>
      <w:tr w14:paraId="2BC770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0D9A8A21">
            <w:pPr>
              <w:spacing w:line="360" w:lineRule="auto"/>
              <w:jc w:val="center"/>
              <w:rPr>
                <w:rFonts w:ascii="宋体" w:hAnsi="宋体"/>
                <w:color w:val="auto"/>
                <w:highlight w:val="none"/>
              </w:rPr>
            </w:pPr>
          </w:p>
        </w:tc>
        <w:tc>
          <w:tcPr>
            <w:tcW w:w="673" w:type="dxa"/>
            <w:vMerge w:val="continue"/>
          </w:tcPr>
          <w:p w14:paraId="4015F9CC">
            <w:pPr>
              <w:spacing w:line="360" w:lineRule="auto"/>
              <w:jc w:val="center"/>
              <w:rPr>
                <w:rFonts w:ascii="宋体" w:hAnsi="宋体"/>
                <w:color w:val="auto"/>
                <w:highlight w:val="none"/>
              </w:rPr>
            </w:pPr>
          </w:p>
        </w:tc>
        <w:tc>
          <w:tcPr>
            <w:tcW w:w="2015" w:type="dxa"/>
            <w:gridSpan w:val="2"/>
            <w:vAlign w:val="center"/>
          </w:tcPr>
          <w:p w14:paraId="20C248A9">
            <w:pPr>
              <w:spacing w:line="360" w:lineRule="auto"/>
              <w:jc w:val="center"/>
              <w:rPr>
                <w:rFonts w:ascii="宋体" w:hAnsi="宋体"/>
                <w:color w:val="auto"/>
                <w:kern w:val="0"/>
                <w:highlight w:val="none"/>
              </w:rPr>
            </w:pPr>
            <w:r>
              <w:rPr>
                <w:rFonts w:ascii="宋体" w:hAnsi="宋体"/>
                <w:color w:val="auto"/>
                <w:kern w:val="0"/>
                <w:highlight w:val="none"/>
              </w:rPr>
              <w:t>质量</w:t>
            </w:r>
            <w:r>
              <w:rPr>
                <w:rFonts w:hint="eastAsia" w:ascii="宋体" w:hAnsi="宋体"/>
                <w:color w:val="auto"/>
                <w:kern w:val="0"/>
                <w:highlight w:val="none"/>
              </w:rPr>
              <w:t>要求</w:t>
            </w:r>
          </w:p>
        </w:tc>
        <w:tc>
          <w:tcPr>
            <w:tcW w:w="5917" w:type="dxa"/>
            <w:vAlign w:val="center"/>
          </w:tcPr>
          <w:p w14:paraId="22C9700F">
            <w:pPr>
              <w:spacing w:line="360" w:lineRule="auto"/>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须知”第1.3.3项规定</w:t>
            </w:r>
          </w:p>
        </w:tc>
      </w:tr>
      <w:tr w14:paraId="7967C0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4F98F004">
            <w:pPr>
              <w:spacing w:line="360" w:lineRule="auto"/>
              <w:jc w:val="center"/>
              <w:rPr>
                <w:rFonts w:ascii="宋体" w:hAnsi="宋体"/>
                <w:color w:val="auto"/>
                <w:highlight w:val="none"/>
              </w:rPr>
            </w:pPr>
          </w:p>
        </w:tc>
        <w:tc>
          <w:tcPr>
            <w:tcW w:w="673" w:type="dxa"/>
            <w:vMerge w:val="continue"/>
          </w:tcPr>
          <w:p w14:paraId="3B8C631F">
            <w:pPr>
              <w:spacing w:line="360" w:lineRule="auto"/>
              <w:jc w:val="center"/>
              <w:rPr>
                <w:rFonts w:ascii="宋体" w:hAnsi="宋体"/>
                <w:color w:val="auto"/>
                <w:highlight w:val="none"/>
              </w:rPr>
            </w:pPr>
          </w:p>
        </w:tc>
        <w:tc>
          <w:tcPr>
            <w:tcW w:w="2015" w:type="dxa"/>
            <w:gridSpan w:val="2"/>
            <w:vAlign w:val="center"/>
          </w:tcPr>
          <w:p w14:paraId="45CE684A">
            <w:pPr>
              <w:spacing w:line="360" w:lineRule="auto"/>
              <w:jc w:val="center"/>
              <w:rPr>
                <w:rFonts w:ascii="宋体" w:hAnsi="宋体"/>
                <w:color w:val="auto"/>
                <w:kern w:val="0"/>
                <w:highlight w:val="none"/>
              </w:rPr>
            </w:pPr>
            <w:r>
              <w:rPr>
                <w:rFonts w:hint="eastAsia" w:ascii="宋体" w:hAnsi="宋体"/>
                <w:color w:val="auto"/>
                <w:kern w:val="0"/>
                <w:highlight w:val="none"/>
              </w:rPr>
              <w:t>比选有效期</w:t>
            </w:r>
          </w:p>
        </w:tc>
        <w:tc>
          <w:tcPr>
            <w:tcW w:w="5917" w:type="dxa"/>
            <w:vAlign w:val="center"/>
          </w:tcPr>
          <w:p w14:paraId="6A813BFF">
            <w:pPr>
              <w:spacing w:line="360" w:lineRule="auto"/>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须知”第3.3.1项规定</w:t>
            </w:r>
          </w:p>
        </w:tc>
      </w:tr>
      <w:tr w14:paraId="14E089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5CB90913">
            <w:pPr>
              <w:spacing w:line="360" w:lineRule="auto"/>
              <w:jc w:val="center"/>
              <w:rPr>
                <w:rFonts w:ascii="宋体" w:hAnsi="宋体"/>
                <w:color w:val="auto"/>
                <w:highlight w:val="none"/>
              </w:rPr>
            </w:pPr>
          </w:p>
        </w:tc>
        <w:tc>
          <w:tcPr>
            <w:tcW w:w="673" w:type="dxa"/>
            <w:vMerge w:val="continue"/>
          </w:tcPr>
          <w:p w14:paraId="26EE06B9">
            <w:pPr>
              <w:spacing w:line="360" w:lineRule="auto"/>
              <w:jc w:val="center"/>
              <w:rPr>
                <w:rFonts w:ascii="宋体" w:hAnsi="宋体"/>
                <w:color w:val="auto"/>
                <w:highlight w:val="none"/>
              </w:rPr>
            </w:pPr>
          </w:p>
        </w:tc>
        <w:tc>
          <w:tcPr>
            <w:tcW w:w="2015" w:type="dxa"/>
            <w:gridSpan w:val="2"/>
            <w:vAlign w:val="center"/>
          </w:tcPr>
          <w:p w14:paraId="726E1370">
            <w:pPr>
              <w:spacing w:line="360" w:lineRule="auto"/>
              <w:jc w:val="center"/>
              <w:rPr>
                <w:rFonts w:ascii="宋体" w:hAnsi="宋体"/>
                <w:color w:val="auto"/>
                <w:kern w:val="0"/>
                <w:highlight w:val="none"/>
              </w:rPr>
            </w:pPr>
            <w:r>
              <w:rPr>
                <w:rFonts w:hint="eastAsia" w:ascii="宋体" w:hAnsi="宋体"/>
                <w:color w:val="auto"/>
                <w:kern w:val="0"/>
                <w:highlight w:val="none"/>
              </w:rPr>
              <w:t>比选保证金</w:t>
            </w:r>
          </w:p>
        </w:tc>
        <w:tc>
          <w:tcPr>
            <w:tcW w:w="5917" w:type="dxa"/>
            <w:vAlign w:val="center"/>
          </w:tcPr>
          <w:p w14:paraId="51F6D1ED">
            <w:pPr>
              <w:tabs>
                <w:tab w:val="left" w:pos="601"/>
                <w:tab w:val="left" w:pos="669"/>
              </w:tabs>
              <w:snapToGrid w:val="0"/>
              <w:spacing w:line="360" w:lineRule="auto"/>
              <w:ind w:firstLine="420" w:firstLineChars="200"/>
              <w:rPr>
                <w:rFonts w:ascii="宋体" w:hAnsi="宋体"/>
                <w:color w:val="auto"/>
                <w:kern w:val="0"/>
                <w:highlight w:val="none"/>
              </w:rPr>
            </w:pPr>
            <w:r>
              <w:rPr>
                <w:rFonts w:ascii="宋体" w:hAnsi="宋体"/>
                <w:color w:val="auto"/>
                <w:kern w:val="0"/>
                <w:szCs w:val="21"/>
                <w:highlight w:val="none"/>
              </w:rPr>
              <w:t>符合第二章</w:t>
            </w:r>
            <w:r>
              <w:rPr>
                <w:rFonts w:hint="eastAsia" w:ascii="宋体" w:hAnsi="宋体"/>
                <w:color w:val="auto"/>
                <w:kern w:val="0"/>
                <w:szCs w:val="21"/>
                <w:highlight w:val="none"/>
              </w:rPr>
              <w:t>竞选人</w:t>
            </w:r>
            <w:r>
              <w:rPr>
                <w:rFonts w:ascii="宋体" w:hAnsi="宋体"/>
                <w:color w:val="auto"/>
                <w:kern w:val="0"/>
                <w:szCs w:val="21"/>
                <w:highlight w:val="none"/>
              </w:rPr>
              <w:t>须知前附表第3.4项</w:t>
            </w:r>
            <w:r>
              <w:rPr>
                <w:rFonts w:ascii="宋体" w:hAnsi="宋体"/>
                <w:color w:val="auto"/>
                <w:kern w:val="0"/>
                <w:highlight w:val="none"/>
              </w:rPr>
              <w:t>规定</w:t>
            </w:r>
          </w:p>
        </w:tc>
      </w:tr>
      <w:tr w14:paraId="4DEE8D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217C7E6D">
            <w:pPr>
              <w:spacing w:line="360" w:lineRule="auto"/>
              <w:jc w:val="center"/>
              <w:rPr>
                <w:rFonts w:ascii="宋体" w:hAnsi="宋体"/>
                <w:color w:val="auto"/>
                <w:highlight w:val="none"/>
              </w:rPr>
            </w:pPr>
          </w:p>
        </w:tc>
        <w:tc>
          <w:tcPr>
            <w:tcW w:w="673" w:type="dxa"/>
            <w:vMerge w:val="continue"/>
          </w:tcPr>
          <w:p w14:paraId="33458D44">
            <w:pPr>
              <w:spacing w:line="360" w:lineRule="auto"/>
              <w:jc w:val="center"/>
              <w:rPr>
                <w:rFonts w:ascii="宋体" w:hAnsi="宋体"/>
                <w:color w:val="auto"/>
                <w:highlight w:val="none"/>
              </w:rPr>
            </w:pPr>
          </w:p>
        </w:tc>
        <w:tc>
          <w:tcPr>
            <w:tcW w:w="2015" w:type="dxa"/>
            <w:gridSpan w:val="2"/>
            <w:vAlign w:val="center"/>
          </w:tcPr>
          <w:p w14:paraId="6E1800B3">
            <w:pPr>
              <w:spacing w:line="360" w:lineRule="auto"/>
              <w:jc w:val="center"/>
              <w:rPr>
                <w:rFonts w:ascii="宋体" w:hAnsi="宋体"/>
                <w:color w:val="auto"/>
                <w:kern w:val="0"/>
                <w:highlight w:val="none"/>
              </w:rPr>
            </w:pPr>
            <w:r>
              <w:rPr>
                <w:rFonts w:ascii="宋体" w:hAnsi="宋体"/>
                <w:color w:val="auto"/>
                <w:kern w:val="0"/>
                <w:highlight w:val="none"/>
              </w:rPr>
              <w:t>权利义务</w:t>
            </w:r>
          </w:p>
        </w:tc>
        <w:tc>
          <w:tcPr>
            <w:tcW w:w="5917" w:type="dxa"/>
            <w:vAlign w:val="center"/>
          </w:tcPr>
          <w:p w14:paraId="0D209971">
            <w:pPr>
              <w:spacing w:after="62" w:afterLines="20" w:line="360" w:lineRule="auto"/>
              <w:ind w:firstLine="420" w:firstLineChars="200"/>
              <w:rPr>
                <w:rFonts w:ascii="宋体" w:hAnsi="宋体"/>
                <w:color w:val="auto"/>
                <w:kern w:val="0"/>
                <w:highlight w:val="none"/>
              </w:rPr>
            </w:pPr>
            <w:r>
              <w:rPr>
                <w:rFonts w:ascii="宋体" w:hAnsi="宋体"/>
                <w:color w:val="auto"/>
                <w:kern w:val="0"/>
                <w:highlight w:val="none"/>
              </w:rPr>
              <w:t>符合第四章“合同条款及格式”规定，</w:t>
            </w:r>
            <w:r>
              <w:rPr>
                <w:rFonts w:hint="eastAsia" w:ascii="宋体" w:hAnsi="宋体"/>
                <w:color w:val="auto"/>
                <w:kern w:val="0"/>
                <w:highlight w:val="none"/>
              </w:rPr>
              <w:t>竞选文件</w:t>
            </w:r>
            <w:r>
              <w:rPr>
                <w:rFonts w:ascii="宋体" w:hAnsi="宋体"/>
                <w:color w:val="auto"/>
                <w:kern w:val="0"/>
                <w:highlight w:val="none"/>
              </w:rPr>
              <w:t>不应附有</w:t>
            </w:r>
            <w:r>
              <w:rPr>
                <w:rFonts w:hint="eastAsia" w:ascii="宋体" w:hAnsi="宋体"/>
                <w:color w:val="auto"/>
                <w:kern w:val="0"/>
                <w:highlight w:val="none"/>
              </w:rPr>
              <w:t>比选人</w:t>
            </w:r>
            <w:r>
              <w:rPr>
                <w:rFonts w:ascii="宋体" w:hAnsi="宋体"/>
                <w:color w:val="auto"/>
                <w:kern w:val="0"/>
                <w:highlight w:val="none"/>
              </w:rPr>
              <w:t>不能接受的条件。</w:t>
            </w:r>
          </w:p>
        </w:tc>
      </w:tr>
      <w:tr w14:paraId="1AA0C5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Merge w:val="continue"/>
          </w:tcPr>
          <w:p w14:paraId="7AD79E9F">
            <w:pPr>
              <w:spacing w:line="360" w:lineRule="auto"/>
              <w:rPr>
                <w:rFonts w:ascii="宋体" w:hAnsi="宋体"/>
                <w:color w:val="auto"/>
                <w:highlight w:val="none"/>
              </w:rPr>
            </w:pPr>
          </w:p>
        </w:tc>
        <w:tc>
          <w:tcPr>
            <w:tcW w:w="673" w:type="dxa"/>
            <w:vMerge w:val="continue"/>
          </w:tcPr>
          <w:p w14:paraId="23903CA5">
            <w:pPr>
              <w:spacing w:line="360" w:lineRule="auto"/>
              <w:rPr>
                <w:rFonts w:ascii="宋体" w:hAnsi="宋体"/>
                <w:color w:val="auto"/>
                <w:highlight w:val="none"/>
              </w:rPr>
            </w:pPr>
          </w:p>
        </w:tc>
        <w:tc>
          <w:tcPr>
            <w:tcW w:w="2015" w:type="dxa"/>
            <w:gridSpan w:val="2"/>
            <w:vAlign w:val="center"/>
          </w:tcPr>
          <w:p w14:paraId="1A37435A">
            <w:pPr>
              <w:spacing w:line="360" w:lineRule="auto"/>
              <w:jc w:val="center"/>
              <w:rPr>
                <w:rFonts w:ascii="宋体" w:hAnsi="宋体"/>
                <w:color w:val="auto"/>
                <w:kern w:val="0"/>
                <w:highlight w:val="none"/>
              </w:rPr>
            </w:pPr>
            <w:r>
              <w:rPr>
                <w:rFonts w:ascii="宋体" w:hAnsi="宋体"/>
                <w:color w:val="auto"/>
                <w:kern w:val="0"/>
                <w:highlight w:val="none"/>
              </w:rPr>
              <w:t>实质性要求</w:t>
            </w:r>
          </w:p>
        </w:tc>
        <w:tc>
          <w:tcPr>
            <w:tcW w:w="5917" w:type="dxa"/>
            <w:vAlign w:val="center"/>
          </w:tcPr>
          <w:p w14:paraId="20A541D7">
            <w:pPr>
              <w:spacing w:after="62" w:afterLines="20" w:line="360" w:lineRule="auto"/>
              <w:ind w:firstLine="420" w:firstLineChars="200"/>
              <w:rPr>
                <w:rFonts w:ascii="宋体" w:hAnsi="宋体"/>
                <w:color w:val="auto"/>
                <w:kern w:val="0"/>
                <w:highlight w:val="none"/>
              </w:rPr>
            </w:pPr>
            <w:r>
              <w:rPr>
                <w:rFonts w:ascii="宋体" w:hAnsi="宋体"/>
                <w:color w:val="auto"/>
                <w:kern w:val="0"/>
                <w:highlight w:val="none"/>
              </w:rPr>
              <w:t>涉嫌</w:t>
            </w:r>
            <w:r>
              <w:rPr>
                <w:rFonts w:hint="eastAsia" w:ascii="宋体" w:hAnsi="宋体"/>
                <w:color w:val="auto"/>
                <w:kern w:val="0"/>
                <w:highlight w:val="none"/>
              </w:rPr>
              <w:t>串通投标</w:t>
            </w:r>
            <w:r>
              <w:rPr>
                <w:rFonts w:ascii="宋体" w:hAnsi="宋体"/>
                <w:color w:val="auto"/>
                <w:kern w:val="0"/>
                <w:highlight w:val="none"/>
              </w:rPr>
              <w:t>、弄虚作假等其他违反招投标相关法律、法规行为的。</w:t>
            </w:r>
          </w:p>
        </w:tc>
      </w:tr>
      <w:tr w14:paraId="01899B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37" w:type="dxa"/>
            <w:gridSpan w:val="2"/>
            <w:vAlign w:val="center"/>
          </w:tcPr>
          <w:p w14:paraId="6244D0F0">
            <w:pPr>
              <w:spacing w:line="360" w:lineRule="auto"/>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015" w:type="dxa"/>
            <w:gridSpan w:val="2"/>
            <w:vAlign w:val="center"/>
          </w:tcPr>
          <w:p w14:paraId="4D614AF8">
            <w:pPr>
              <w:tabs>
                <w:tab w:val="left" w:pos="1875"/>
              </w:tabs>
              <w:spacing w:line="360" w:lineRule="auto"/>
              <w:jc w:val="center"/>
              <w:rPr>
                <w:rFonts w:ascii="宋体" w:hAnsi="宋体"/>
                <w:color w:val="auto"/>
                <w:kern w:val="0"/>
                <w:highlight w:val="none"/>
              </w:rPr>
            </w:pPr>
            <w:r>
              <w:rPr>
                <w:rFonts w:ascii="宋体" w:hAnsi="宋体"/>
                <w:color w:val="auto"/>
                <w:kern w:val="0"/>
                <w:highlight w:val="none"/>
              </w:rPr>
              <w:t xml:space="preserve">分值构成 </w:t>
            </w:r>
          </w:p>
          <w:p w14:paraId="7B23F61F">
            <w:pPr>
              <w:tabs>
                <w:tab w:val="left" w:pos="1875"/>
              </w:tabs>
              <w:spacing w:line="360" w:lineRule="auto"/>
              <w:jc w:val="center"/>
              <w:rPr>
                <w:rFonts w:ascii="宋体" w:hAnsi="宋体"/>
                <w:color w:val="auto"/>
                <w:kern w:val="0"/>
                <w:highlight w:val="none"/>
              </w:rPr>
            </w:pPr>
            <w:r>
              <w:rPr>
                <w:rFonts w:ascii="宋体" w:hAnsi="宋体"/>
                <w:color w:val="auto"/>
                <w:kern w:val="0"/>
                <w:highlight w:val="none"/>
              </w:rPr>
              <w:t>（总分1</w:t>
            </w:r>
            <w:r>
              <w:rPr>
                <w:rFonts w:hint="eastAsia" w:ascii="宋体" w:hAnsi="宋体"/>
                <w:color w:val="auto"/>
                <w:kern w:val="0"/>
                <w:highlight w:val="none"/>
              </w:rPr>
              <w:t>00</w:t>
            </w:r>
            <w:r>
              <w:rPr>
                <w:rFonts w:ascii="宋体" w:hAnsi="宋体"/>
                <w:color w:val="auto"/>
                <w:kern w:val="0"/>
                <w:highlight w:val="none"/>
              </w:rPr>
              <w:t>分）</w:t>
            </w:r>
          </w:p>
        </w:tc>
        <w:tc>
          <w:tcPr>
            <w:tcW w:w="5917" w:type="dxa"/>
            <w:vAlign w:val="center"/>
          </w:tcPr>
          <w:p w14:paraId="68116C0C">
            <w:pPr>
              <w:spacing w:line="360" w:lineRule="auto"/>
              <w:ind w:right="-23" w:firstLine="420" w:firstLineChars="200"/>
              <w:rPr>
                <w:color w:val="auto"/>
                <w:highlight w:val="none"/>
                <w:lang w:val="zh-CN"/>
              </w:rPr>
            </w:pPr>
            <w:r>
              <w:rPr>
                <w:rFonts w:hint="eastAsia"/>
                <w:color w:val="auto"/>
                <w:highlight w:val="none"/>
                <w:lang w:val="zh-CN"/>
              </w:rPr>
              <w:t>1、竞选总报价</w:t>
            </w:r>
            <w:r>
              <w:rPr>
                <w:rFonts w:hint="eastAsia"/>
                <w:color w:val="auto"/>
                <w:highlight w:val="none"/>
              </w:rPr>
              <w:t>30</w:t>
            </w:r>
            <w:r>
              <w:rPr>
                <w:rFonts w:hint="eastAsia"/>
                <w:color w:val="auto"/>
                <w:highlight w:val="none"/>
                <w:lang w:val="zh-CN"/>
              </w:rPr>
              <w:t>分；</w:t>
            </w:r>
          </w:p>
          <w:p w14:paraId="1ECADE77">
            <w:pPr>
              <w:spacing w:line="360" w:lineRule="auto"/>
              <w:ind w:right="-23" w:firstLine="420" w:firstLineChars="200"/>
              <w:rPr>
                <w:color w:val="auto"/>
                <w:highlight w:val="none"/>
              </w:rPr>
            </w:pPr>
            <w:r>
              <w:rPr>
                <w:rFonts w:hint="eastAsia"/>
                <w:color w:val="auto"/>
                <w:highlight w:val="none"/>
                <w:lang w:val="zh-CN"/>
              </w:rPr>
              <w:t>2、技术部分</w:t>
            </w:r>
            <w:r>
              <w:rPr>
                <w:rFonts w:hint="eastAsia"/>
                <w:color w:val="auto"/>
                <w:highlight w:val="none"/>
              </w:rPr>
              <w:t>70</w:t>
            </w:r>
            <w:r>
              <w:rPr>
                <w:rFonts w:hint="eastAsia"/>
                <w:color w:val="auto"/>
                <w:highlight w:val="none"/>
                <w:lang w:val="zh-CN"/>
              </w:rPr>
              <w:t>分。</w:t>
            </w:r>
          </w:p>
        </w:tc>
      </w:tr>
      <w:tr w14:paraId="1091E0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537" w:type="dxa"/>
            <w:gridSpan w:val="2"/>
            <w:vMerge w:val="restart"/>
            <w:vAlign w:val="center"/>
          </w:tcPr>
          <w:p w14:paraId="13D5A0CA">
            <w:pPr>
              <w:spacing w:line="360" w:lineRule="auto"/>
              <w:jc w:val="center"/>
              <w:rPr>
                <w:rFonts w:ascii="宋体" w:hAnsi="宋体"/>
                <w:color w:val="auto"/>
                <w:kern w:val="0"/>
                <w:highlight w:val="none"/>
              </w:rPr>
            </w:pPr>
            <w:r>
              <w:rPr>
                <w:rFonts w:ascii="宋体" w:hAnsi="宋体"/>
                <w:color w:val="auto"/>
                <w:kern w:val="0"/>
                <w:highlight w:val="none"/>
              </w:rPr>
              <w:t>2.2.2</w:t>
            </w:r>
          </w:p>
        </w:tc>
        <w:tc>
          <w:tcPr>
            <w:tcW w:w="1030" w:type="dxa"/>
            <w:vMerge w:val="restart"/>
            <w:vAlign w:val="center"/>
          </w:tcPr>
          <w:p w14:paraId="47A37A71">
            <w:pPr>
              <w:spacing w:line="360" w:lineRule="auto"/>
              <w:jc w:val="center"/>
              <w:rPr>
                <w:rFonts w:ascii="宋体" w:hAnsi="宋体"/>
                <w:color w:val="auto"/>
                <w:kern w:val="0"/>
                <w:highlight w:val="none"/>
              </w:rPr>
            </w:pPr>
            <w:r>
              <w:rPr>
                <w:rFonts w:hint="eastAsia" w:ascii="宋体" w:hAnsi="宋体"/>
                <w:color w:val="auto"/>
                <w:kern w:val="0"/>
                <w:highlight w:val="none"/>
              </w:rPr>
              <w:t>竞选</w:t>
            </w:r>
          </w:p>
          <w:p w14:paraId="1118DCE9">
            <w:pPr>
              <w:spacing w:line="360" w:lineRule="auto"/>
              <w:jc w:val="center"/>
              <w:rPr>
                <w:rFonts w:ascii="宋体" w:hAnsi="宋体"/>
                <w:color w:val="auto"/>
                <w:kern w:val="0"/>
                <w:highlight w:val="none"/>
              </w:rPr>
            </w:pPr>
            <w:r>
              <w:rPr>
                <w:rFonts w:hint="eastAsia" w:ascii="宋体" w:hAnsi="宋体"/>
                <w:color w:val="auto"/>
                <w:kern w:val="0"/>
                <w:highlight w:val="none"/>
              </w:rPr>
              <w:t>总报价</w:t>
            </w:r>
          </w:p>
          <w:p w14:paraId="4DF453DD">
            <w:pPr>
              <w:spacing w:line="360" w:lineRule="auto"/>
              <w:jc w:val="center"/>
              <w:rPr>
                <w:rFonts w:ascii="宋体" w:hAnsi="宋体"/>
                <w:color w:val="auto"/>
                <w:kern w:val="0"/>
                <w:highlight w:val="none"/>
              </w:rPr>
            </w:pPr>
            <w:r>
              <w:rPr>
                <w:rFonts w:hint="eastAsia" w:ascii="宋体" w:hAnsi="宋体"/>
                <w:color w:val="auto"/>
                <w:kern w:val="0"/>
                <w:highlight w:val="none"/>
              </w:rPr>
              <w:t>A</w:t>
            </w:r>
          </w:p>
          <w:p w14:paraId="10E70091">
            <w:pPr>
              <w:spacing w:line="360" w:lineRule="auto"/>
              <w:jc w:val="center"/>
              <w:rPr>
                <w:rFonts w:ascii="宋体" w:hAnsi="宋体"/>
                <w:color w:val="auto"/>
                <w:kern w:val="0"/>
                <w:highlight w:val="none"/>
              </w:rPr>
            </w:pPr>
            <w:r>
              <w:rPr>
                <w:rFonts w:hint="eastAsia" w:ascii="宋体" w:hAnsi="宋体"/>
                <w:color w:val="auto"/>
                <w:kern w:val="0"/>
                <w:highlight w:val="none"/>
              </w:rPr>
              <w:t>（3</w:t>
            </w:r>
            <w:r>
              <w:rPr>
                <w:rFonts w:ascii="宋体" w:hAnsi="宋体"/>
                <w:color w:val="auto"/>
                <w:kern w:val="0"/>
                <w:highlight w:val="none"/>
              </w:rPr>
              <w:t>0</w:t>
            </w:r>
            <w:r>
              <w:rPr>
                <w:rFonts w:hint="eastAsia" w:ascii="宋体" w:hAnsi="宋体"/>
                <w:color w:val="auto"/>
                <w:kern w:val="0"/>
                <w:highlight w:val="none"/>
              </w:rPr>
              <w:t>分）</w:t>
            </w:r>
          </w:p>
        </w:tc>
        <w:tc>
          <w:tcPr>
            <w:tcW w:w="985" w:type="dxa"/>
            <w:vAlign w:val="center"/>
          </w:tcPr>
          <w:p w14:paraId="4B2B28D2">
            <w:pPr>
              <w:spacing w:line="360" w:lineRule="auto"/>
              <w:jc w:val="center"/>
              <w:rPr>
                <w:rFonts w:ascii="宋体" w:hAnsi="宋体"/>
                <w:color w:val="auto"/>
                <w:kern w:val="0"/>
                <w:highlight w:val="none"/>
              </w:rPr>
            </w:pPr>
            <w:r>
              <w:rPr>
                <w:rFonts w:hint="eastAsia" w:ascii="宋体" w:hAnsi="宋体"/>
                <w:color w:val="auto"/>
                <w:kern w:val="0"/>
                <w:highlight w:val="none"/>
              </w:rPr>
              <w:t>评选</w:t>
            </w:r>
            <w:r>
              <w:rPr>
                <w:rFonts w:ascii="宋体" w:hAnsi="宋体"/>
                <w:color w:val="auto"/>
                <w:kern w:val="0"/>
                <w:highlight w:val="none"/>
              </w:rPr>
              <w:t>基准价计算方法</w:t>
            </w:r>
          </w:p>
        </w:tc>
        <w:tc>
          <w:tcPr>
            <w:tcW w:w="5917" w:type="dxa"/>
          </w:tcPr>
          <w:p w14:paraId="4A533001">
            <w:pPr>
              <w:spacing w:line="360" w:lineRule="auto"/>
              <w:ind w:right="-23" w:firstLine="420" w:firstLineChars="200"/>
              <w:rPr>
                <w:rFonts w:ascii="宋体" w:hAnsi="宋体" w:cs="宋体"/>
                <w:color w:val="auto"/>
                <w:szCs w:val="21"/>
                <w:highlight w:val="none"/>
              </w:rPr>
            </w:pPr>
            <w:r>
              <w:rPr>
                <w:rFonts w:hint="eastAsia" w:ascii="宋体" w:hAnsi="宋体" w:cs="宋体"/>
                <w:color w:val="auto"/>
                <w:szCs w:val="21"/>
                <w:highlight w:val="none"/>
              </w:rPr>
              <w:t>所有通过初步评审的竞选人（比选人设有最高限价的，则竞选总报价高于最高限价的除外）的竞选总报价中去掉六分之一（不能整除的按小数点前整数取整，不足六家报价则不去掉）的最低价和相同家数的最高价的算数平均值</w:t>
            </w:r>
            <w:r>
              <w:rPr>
                <w:rFonts w:hint="eastAsia" w:ascii="宋体" w:hAnsi="宋体"/>
                <w:color w:val="auto"/>
                <w:kern w:val="0"/>
                <w:szCs w:val="21"/>
                <w:highlight w:val="none"/>
              </w:rPr>
              <w:t>与本项目最高限价再取平均值</w:t>
            </w:r>
            <w:r>
              <w:rPr>
                <w:rFonts w:hint="eastAsia" w:ascii="宋体" w:hAnsi="宋体" w:cs="宋体"/>
                <w:color w:val="auto"/>
                <w:szCs w:val="21"/>
                <w:highlight w:val="none"/>
              </w:rPr>
              <w:t>即为评选基准价；</w:t>
            </w:r>
          </w:p>
          <w:p w14:paraId="1B328E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评选基准价计算完成后（除计算错误外），在后续的评审中不得再对其做出调整。</w:t>
            </w:r>
          </w:p>
          <w:p w14:paraId="368F7EF5">
            <w:pPr>
              <w:snapToGrid w:val="0"/>
              <w:spacing w:line="360" w:lineRule="auto"/>
              <w:ind w:firstLine="420" w:firstLineChars="200"/>
              <w:jc w:val="left"/>
              <w:rPr>
                <w:rFonts w:ascii="宋体" w:hAnsi="宋体"/>
                <w:color w:val="auto"/>
                <w:kern w:val="0"/>
                <w:szCs w:val="21"/>
                <w:highlight w:val="none"/>
              </w:rPr>
            </w:pPr>
            <w:r>
              <w:rPr>
                <w:rFonts w:hint="eastAsia" w:ascii="宋体" w:hAnsi="宋体" w:cs="宋体"/>
                <w:color w:val="auto"/>
                <w:szCs w:val="21"/>
                <w:highlight w:val="none"/>
              </w:rPr>
              <w:t>以上计算结果保留小数点后两位，第三位四舍五入。</w:t>
            </w:r>
          </w:p>
        </w:tc>
      </w:tr>
      <w:tr w14:paraId="7B0A3F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537" w:type="dxa"/>
            <w:gridSpan w:val="2"/>
            <w:vMerge w:val="continue"/>
            <w:vAlign w:val="center"/>
          </w:tcPr>
          <w:p w14:paraId="61152323">
            <w:pPr>
              <w:spacing w:line="360" w:lineRule="auto"/>
              <w:jc w:val="center"/>
              <w:rPr>
                <w:rFonts w:ascii="宋体" w:hAnsi="宋体"/>
                <w:color w:val="auto"/>
                <w:kern w:val="0"/>
                <w:highlight w:val="none"/>
              </w:rPr>
            </w:pPr>
          </w:p>
        </w:tc>
        <w:tc>
          <w:tcPr>
            <w:tcW w:w="1030" w:type="dxa"/>
            <w:vMerge w:val="continue"/>
            <w:vAlign w:val="center"/>
          </w:tcPr>
          <w:p w14:paraId="6F56124B">
            <w:pPr>
              <w:spacing w:line="360" w:lineRule="auto"/>
              <w:jc w:val="center"/>
              <w:rPr>
                <w:rFonts w:ascii="宋体" w:hAnsi="宋体"/>
                <w:color w:val="auto"/>
                <w:kern w:val="0"/>
                <w:highlight w:val="none"/>
              </w:rPr>
            </w:pPr>
          </w:p>
        </w:tc>
        <w:tc>
          <w:tcPr>
            <w:tcW w:w="985" w:type="dxa"/>
            <w:vAlign w:val="center"/>
          </w:tcPr>
          <w:p w14:paraId="49C2A94B">
            <w:pPr>
              <w:spacing w:line="360" w:lineRule="auto"/>
              <w:jc w:val="center"/>
              <w:rPr>
                <w:rFonts w:ascii="宋体" w:hAnsi="宋体"/>
                <w:color w:val="auto"/>
                <w:kern w:val="0"/>
                <w:highlight w:val="none"/>
              </w:rPr>
            </w:pPr>
            <w:r>
              <w:rPr>
                <w:rFonts w:hint="eastAsia" w:ascii="宋体" w:hAnsi="宋体"/>
                <w:color w:val="auto"/>
                <w:kern w:val="0"/>
                <w:highlight w:val="none"/>
              </w:rPr>
              <w:t>竞选</w:t>
            </w:r>
          </w:p>
          <w:p w14:paraId="79EEB7B2">
            <w:pPr>
              <w:spacing w:line="360" w:lineRule="auto"/>
              <w:jc w:val="center"/>
              <w:rPr>
                <w:rFonts w:ascii="宋体" w:hAnsi="宋体"/>
                <w:color w:val="auto"/>
                <w:kern w:val="0"/>
                <w:highlight w:val="none"/>
              </w:rPr>
            </w:pPr>
            <w:r>
              <w:rPr>
                <w:rFonts w:hint="eastAsia" w:ascii="宋体" w:hAnsi="宋体"/>
                <w:color w:val="auto"/>
                <w:kern w:val="0"/>
                <w:highlight w:val="none"/>
              </w:rPr>
              <w:t>总报价得分</w:t>
            </w:r>
          </w:p>
        </w:tc>
        <w:tc>
          <w:tcPr>
            <w:tcW w:w="5917" w:type="dxa"/>
            <w:vAlign w:val="center"/>
          </w:tcPr>
          <w:p w14:paraId="46E38C89">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所有通过初步评审的竞选人的竞选总报价先得满分30分,在此基础上，竞选总报价与评选准基价相比，每增加1%扣0.5分，每减少1%扣0.25分。</w:t>
            </w:r>
            <w:r>
              <w:rPr>
                <w:rFonts w:hint="eastAsia" w:asciiTheme="minorEastAsia" w:hAnsiTheme="minorEastAsia" w:eastAsiaTheme="minorEastAsia" w:cstheme="minorEastAsia"/>
                <w:color w:val="auto"/>
                <w:szCs w:val="21"/>
                <w:highlight w:val="none"/>
              </w:rPr>
              <w:t>最多扣</w:t>
            </w:r>
            <w:r>
              <w:rPr>
                <w:rFonts w:hint="eastAsia" w:asciiTheme="minorEastAsia" w:hAnsiTheme="minorEastAsia" w:eastAsiaTheme="minorEastAsia" w:cstheme="minorEastAsia"/>
                <w:color w:val="auto"/>
                <w:szCs w:val="21"/>
                <w:highlight w:val="none"/>
                <w:u w:val="single"/>
              </w:rPr>
              <w:t xml:space="preserve"> 5 </w:t>
            </w:r>
            <w:r>
              <w:rPr>
                <w:rFonts w:hint="eastAsia" w:asciiTheme="minorEastAsia" w:hAnsiTheme="minorEastAsia" w:eastAsiaTheme="minorEastAsia" w:cstheme="minorEastAsia"/>
                <w:color w:val="auto"/>
                <w:szCs w:val="21"/>
                <w:highlight w:val="none"/>
              </w:rPr>
              <w:t>分</w:t>
            </w:r>
            <w:r>
              <w:rPr>
                <w:rFonts w:hint="eastAsia" w:ascii="宋体" w:hAnsi="宋体"/>
                <w:color w:val="auto"/>
                <w:kern w:val="0"/>
                <w:highlight w:val="none"/>
              </w:rPr>
              <w:t>。</w:t>
            </w:r>
          </w:p>
          <w:p w14:paraId="7915458E">
            <w:pPr>
              <w:spacing w:line="360" w:lineRule="auto"/>
              <w:ind w:firstLine="420" w:firstLineChars="200"/>
              <w:rPr>
                <w:rFonts w:ascii="宋体" w:hAnsi="宋体" w:cs="宋体"/>
                <w:color w:val="auto"/>
                <w:szCs w:val="21"/>
                <w:highlight w:val="none"/>
              </w:rPr>
            </w:pPr>
            <w:r>
              <w:rPr>
                <w:rFonts w:hint="eastAsia" w:ascii="宋体" w:hAnsi="宋体"/>
                <w:color w:val="auto"/>
                <w:kern w:val="0"/>
                <w:highlight w:val="none"/>
              </w:rPr>
              <w:t>采用插入法计算，保留小数点后两位，第三位四舍五入。</w:t>
            </w:r>
          </w:p>
        </w:tc>
      </w:tr>
      <w:tr w14:paraId="1301C7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restart"/>
            <w:vAlign w:val="center"/>
          </w:tcPr>
          <w:p w14:paraId="6BA573B6">
            <w:pPr>
              <w:snapToGrid w:val="0"/>
              <w:spacing w:line="360" w:lineRule="auto"/>
              <w:rPr>
                <w:rFonts w:ascii="宋体" w:hAnsi="宋体"/>
                <w:color w:val="auto"/>
                <w:kern w:val="0"/>
                <w:szCs w:val="21"/>
                <w:highlight w:val="none"/>
              </w:rPr>
            </w:pPr>
          </w:p>
          <w:p w14:paraId="7CBBBF2E">
            <w:pPr>
              <w:snapToGrid w:val="0"/>
              <w:spacing w:line="360" w:lineRule="auto"/>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3</w:t>
            </w:r>
            <w:r>
              <w:rPr>
                <w:rFonts w:ascii="宋体" w:hAnsi="宋体"/>
                <w:color w:val="auto"/>
                <w:kern w:val="0"/>
                <w:szCs w:val="21"/>
                <w:highlight w:val="none"/>
              </w:rPr>
              <w:t xml:space="preserve"> </w:t>
            </w:r>
          </w:p>
        </w:tc>
        <w:tc>
          <w:tcPr>
            <w:tcW w:w="673" w:type="dxa"/>
            <w:vMerge w:val="restart"/>
            <w:vAlign w:val="center"/>
          </w:tcPr>
          <w:p w14:paraId="27E98F2E">
            <w:pPr>
              <w:snapToGrid w:val="0"/>
              <w:spacing w:line="360" w:lineRule="auto"/>
              <w:jc w:val="center"/>
              <w:rPr>
                <w:rFonts w:ascii="宋体" w:hAnsi="宋体"/>
                <w:color w:val="auto"/>
                <w:kern w:val="0"/>
                <w:highlight w:val="none"/>
              </w:rPr>
            </w:pPr>
            <w:r>
              <w:rPr>
                <w:rFonts w:hint="eastAsia" w:ascii="宋体" w:hAnsi="宋体"/>
                <w:color w:val="auto"/>
                <w:kern w:val="0"/>
                <w:highlight w:val="none"/>
              </w:rPr>
              <w:t>技术部分B（监理大纲）</w:t>
            </w:r>
            <w:r>
              <w:rPr>
                <w:rFonts w:ascii="宋体" w:hAnsi="宋体"/>
                <w:color w:val="auto"/>
                <w:kern w:val="0"/>
                <w:highlight w:val="none"/>
              </w:rPr>
              <w:t>评分标准</w:t>
            </w:r>
            <w:r>
              <w:rPr>
                <w:rFonts w:hint="eastAsia" w:ascii="宋体" w:hAnsi="宋体"/>
                <w:color w:val="auto"/>
                <w:kern w:val="0"/>
                <w:highlight w:val="none"/>
              </w:rPr>
              <w:t>（70分）</w:t>
            </w:r>
          </w:p>
        </w:tc>
        <w:tc>
          <w:tcPr>
            <w:tcW w:w="2015" w:type="dxa"/>
            <w:gridSpan w:val="2"/>
            <w:vAlign w:val="center"/>
          </w:tcPr>
          <w:p w14:paraId="2C9E939D">
            <w:pPr>
              <w:spacing w:line="360" w:lineRule="auto"/>
              <w:jc w:val="center"/>
              <w:rPr>
                <w:rFonts w:ascii="宋体" w:hAnsi="宋体"/>
                <w:color w:val="auto"/>
                <w:kern w:val="0"/>
                <w:highlight w:val="none"/>
              </w:rPr>
            </w:pPr>
            <w:r>
              <w:rPr>
                <w:rFonts w:hint="eastAsia" w:ascii="宋体" w:hAnsi="宋体"/>
                <w:color w:val="auto"/>
                <w:kern w:val="0"/>
                <w:highlight w:val="none"/>
              </w:rPr>
              <w:t>监理依据、监理工作目标</w:t>
            </w:r>
          </w:p>
        </w:tc>
        <w:tc>
          <w:tcPr>
            <w:tcW w:w="5917" w:type="dxa"/>
            <w:vAlign w:val="center"/>
          </w:tcPr>
          <w:p w14:paraId="3319C971">
            <w:pPr>
              <w:ind w:firstLine="420" w:firstLineChars="200"/>
              <w:jc w:val="left"/>
              <w:rPr>
                <w:rFonts w:ascii="宋体" w:hAnsi="宋体"/>
                <w:color w:val="auto"/>
                <w:highlight w:val="none"/>
                <w:u w:val="single"/>
              </w:rPr>
            </w:pPr>
            <w:r>
              <w:rPr>
                <w:rFonts w:hint="eastAsia" w:ascii="宋体" w:hAnsi="宋体"/>
                <w:color w:val="auto"/>
                <w:highlight w:val="none"/>
                <w:u w:val="single"/>
              </w:rPr>
              <w:t>10分</w:t>
            </w:r>
            <w:r>
              <w:rPr>
                <w:rFonts w:hint="eastAsia" w:ascii="宋体" w:hAnsi="宋体"/>
                <w:color w:val="auto"/>
                <w:highlight w:val="none"/>
              </w:rPr>
              <w:t xml:space="preserve">   </w:t>
            </w:r>
            <w:r>
              <w:rPr>
                <w:rFonts w:hint="eastAsia" w:ascii="宋体" w:hAnsi="宋体"/>
                <w:color w:val="auto"/>
                <w:highlight w:val="none"/>
                <w:u w:val="single"/>
              </w:rPr>
              <w:t>编制要点：监理依据、监理工作目标；优得7.5分-10分，良得5分-7.5分（不含），一般得2.5分-5分（不含），差得0分-2.5分（不含）。</w:t>
            </w:r>
          </w:p>
        </w:tc>
      </w:tr>
      <w:tr w14:paraId="5C5F09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2E48F3C6">
            <w:pPr>
              <w:snapToGrid w:val="0"/>
              <w:spacing w:line="360" w:lineRule="auto"/>
              <w:rPr>
                <w:rFonts w:ascii="宋体" w:hAnsi="宋体"/>
                <w:color w:val="auto"/>
                <w:kern w:val="0"/>
                <w:szCs w:val="21"/>
                <w:highlight w:val="none"/>
              </w:rPr>
            </w:pPr>
          </w:p>
        </w:tc>
        <w:tc>
          <w:tcPr>
            <w:tcW w:w="673" w:type="dxa"/>
            <w:vMerge w:val="continue"/>
            <w:vAlign w:val="center"/>
          </w:tcPr>
          <w:p w14:paraId="21DA973D">
            <w:pPr>
              <w:snapToGrid w:val="0"/>
              <w:spacing w:line="360" w:lineRule="auto"/>
              <w:jc w:val="center"/>
              <w:rPr>
                <w:rFonts w:ascii="宋体" w:hAnsi="宋体"/>
                <w:color w:val="auto"/>
                <w:kern w:val="0"/>
                <w:highlight w:val="none"/>
              </w:rPr>
            </w:pPr>
          </w:p>
        </w:tc>
        <w:tc>
          <w:tcPr>
            <w:tcW w:w="2015" w:type="dxa"/>
            <w:gridSpan w:val="2"/>
            <w:vAlign w:val="center"/>
          </w:tcPr>
          <w:p w14:paraId="0AAE246C">
            <w:pPr>
              <w:jc w:val="center"/>
              <w:rPr>
                <w:rFonts w:ascii="宋体" w:hAnsi="宋体"/>
                <w:color w:val="auto"/>
                <w:kern w:val="0"/>
                <w:highlight w:val="none"/>
              </w:rPr>
            </w:pPr>
            <w:r>
              <w:rPr>
                <w:rFonts w:hint="eastAsia" w:ascii="宋体" w:hAnsi="宋体"/>
                <w:color w:val="auto"/>
                <w:kern w:val="0"/>
                <w:highlight w:val="none"/>
              </w:rPr>
              <w:t>监理机构设置和岗位职责</w:t>
            </w:r>
          </w:p>
        </w:tc>
        <w:tc>
          <w:tcPr>
            <w:tcW w:w="5917" w:type="dxa"/>
            <w:vAlign w:val="center"/>
          </w:tcPr>
          <w:p w14:paraId="3A09FFBC">
            <w:pPr>
              <w:ind w:firstLine="420" w:firstLineChars="200"/>
              <w:jc w:val="left"/>
              <w:rPr>
                <w:rFonts w:ascii="宋体" w:hAnsi="宋体"/>
                <w:color w:val="auto"/>
                <w:highlight w:val="none"/>
                <w:u w:val="single"/>
              </w:rPr>
            </w:pPr>
            <w:r>
              <w:rPr>
                <w:rFonts w:hint="eastAsia" w:ascii="宋体" w:hAnsi="宋体"/>
                <w:color w:val="auto"/>
                <w:highlight w:val="none"/>
                <w:u w:val="single"/>
              </w:rPr>
              <w:t>10分</w:t>
            </w:r>
            <w:r>
              <w:rPr>
                <w:rFonts w:hint="eastAsia" w:ascii="宋体" w:hAnsi="宋体"/>
                <w:color w:val="auto"/>
                <w:highlight w:val="none"/>
              </w:rPr>
              <w:t xml:space="preserve">   </w:t>
            </w:r>
            <w:r>
              <w:rPr>
                <w:rFonts w:hint="eastAsia" w:ascii="宋体" w:hAnsi="宋体"/>
                <w:color w:val="auto"/>
                <w:highlight w:val="none"/>
                <w:u w:val="single"/>
              </w:rPr>
              <w:t>编制要点：监理机构设置和岗位职责；优得7.5分-10分，良得5分-7.5分（不含），一般得2.5分-5分（不含），差得0分-2.5分（不含）。</w:t>
            </w:r>
          </w:p>
        </w:tc>
      </w:tr>
      <w:tr w14:paraId="659BC1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75A2C01E">
            <w:pPr>
              <w:snapToGrid w:val="0"/>
              <w:spacing w:line="360" w:lineRule="auto"/>
              <w:rPr>
                <w:rFonts w:ascii="宋体" w:hAnsi="宋体"/>
                <w:color w:val="auto"/>
                <w:kern w:val="0"/>
                <w:szCs w:val="21"/>
                <w:highlight w:val="none"/>
              </w:rPr>
            </w:pPr>
          </w:p>
        </w:tc>
        <w:tc>
          <w:tcPr>
            <w:tcW w:w="673" w:type="dxa"/>
            <w:vMerge w:val="continue"/>
            <w:vAlign w:val="center"/>
          </w:tcPr>
          <w:p w14:paraId="4D1F96A8">
            <w:pPr>
              <w:snapToGrid w:val="0"/>
              <w:spacing w:line="360" w:lineRule="auto"/>
              <w:jc w:val="center"/>
              <w:rPr>
                <w:rFonts w:ascii="宋体" w:hAnsi="宋体"/>
                <w:color w:val="auto"/>
                <w:kern w:val="0"/>
                <w:highlight w:val="none"/>
              </w:rPr>
            </w:pPr>
          </w:p>
        </w:tc>
        <w:tc>
          <w:tcPr>
            <w:tcW w:w="2015" w:type="dxa"/>
            <w:gridSpan w:val="2"/>
            <w:vAlign w:val="center"/>
          </w:tcPr>
          <w:p w14:paraId="41C58A06">
            <w:pPr>
              <w:jc w:val="center"/>
              <w:rPr>
                <w:rFonts w:ascii="宋体" w:hAnsi="宋体" w:cs="宋体"/>
                <w:color w:val="auto"/>
                <w:kern w:val="0"/>
                <w:highlight w:val="none"/>
              </w:rPr>
            </w:pPr>
            <w:r>
              <w:rPr>
                <w:rFonts w:hint="eastAsia" w:ascii="宋体" w:hAnsi="宋体" w:cs="宋体"/>
                <w:color w:val="auto"/>
                <w:kern w:val="0"/>
                <w:highlight w:val="none"/>
              </w:rPr>
              <w:t>监理工作程序、方法和制度</w:t>
            </w:r>
          </w:p>
        </w:tc>
        <w:tc>
          <w:tcPr>
            <w:tcW w:w="5917" w:type="dxa"/>
            <w:vAlign w:val="center"/>
          </w:tcPr>
          <w:p w14:paraId="4443DD60">
            <w:pPr>
              <w:ind w:firstLine="420" w:firstLineChars="200"/>
              <w:jc w:val="left"/>
              <w:rPr>
                <w:rFonts w:ascii="宋体" w:hAnsi="宋体"/>
                <w:color w:val="auto"/>
                <w:highlight w:val="none"/>
                <w:u w:val="single"/>
              </w:rPr>
            </w:pPr>
            <w:r>
              <w:rPr>
                <w:rFonts w:hint="eastAsia" w:ascii="宋体" w:hAnsi="宋体"/>
                <w:color w:val="auto"/>
                <w:highlight w:val="none"/>
                <w:u w:val="single"/>
              </w:rPr>
              <w:t>10分</w:t>
            </w:r>
            <w:r>
              <w:rPr>
                <w:rFonts w:hint="eastAsia" w:ascii="宋体" w:hAnsi="宋体"/>
                <w:color w:val="auto"/>
                <w:highlight w:val="none"/>
              </w:rPr>
              <w:t xml:space="preserve">   </w:t>
            </w:r>
            <w:r>
              <w:rPr>
                <w:rFonts w:hint="eastAsia" w:ascii="宋体" w:hAnsi="宋体"/>
                <w:color w:val="auto"/>
                <w:highlight w:val="none"/>
                <w:u w:val="single"/>
              </w:rPr>
              <w:t>编制要点：监理工作程序、方法和制度；优得7.5分-10分，良得5分-7.5分（不含），一般得2.5分-5分（不含），差得0分-2.5分（不含）。</w:t>
            </w:r>
          </w:p>
        </w:tc>
      </w:tr>
      <w:tr w14:paraId="661FCF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500EE5D3">
            <w:pPr>
              <w:snapToGrid w:val="0"/>
              <w:spacing w:line="360" w:lineRule="auto"/>
              <w:rPr>
                <w:rFonts w:ascii="宋体" w:hAnsi="宋体"/>
                <w:color w:val="auto"/>
                <w:kern w:val="0"/>
                <w:szCs w:val="21"/>
                <w:highlight w:val="none"/>
              </w:rPr>
            </w:pPr>
          </w:p>
        </w:tc>
        <w:tc>
          <w:tcPr>
            <w:tcW w:w="673" w:type="dxa"/>
            <w:vMerge w:val="continue"/>
            <w:vAlign w:val="center"/>
          </w:tcPr>
          <w:p w14:paraId="2365B4DF">
            <w:pPr>
              <w:snapToGrid w:val="0"/>
              <w:spacing w:line="360" w:lineRule="auto"/>
              <w:jc w:val="center"/>
              <w:rPr>
                <w:rFonts w:ascii="宋体" w:hAnsi="宋体"/>
                <w:color w:val="auto"/>
                <w:kern w:val="0"/>
                <w:highlight w:val="none"/>
              </w:rPr>
            </w:pPr>
          </w:p>
        </w:tc>
        <w:tc>
          <w:tcPr>
            <w:tcW w:w="2015" w:type="dxa"/>
            <w:gridSpan w:val="2"/>
            <w:vAlign w:val="center"/>
          </w:tcPr>
          <w:p w14:paraId="5CD3C33B">
            <w:pPr>
              <w:jc w:val="center"/>
              <w:rPr>
                <w:rFonts w:ascii="宋体" w:hAnsi="宋体"/>
                <w:color w:val="auto"/>
                <w:kern w:val="0"/>
                <w:highlight w:val="none"/>
              </w:rPr>
            </w:pPr>
            <w:r>
              <w:rPr>
                <w:rFonts w:hint="eastAsia" w:ascii="宋体" w:hAnsi="宋体"/>
                <w:color w:val="auto"/>
                <w:kern w:val="0"/>
                <w:highlight w:val="none"/>
              </w:rPr>
              <w:t>质量、进度、造价、安全、环保监理措施</w:t>
            </w:r>
          </w:p>
        </w:tc>
        <w:tc>
          <w:tcPr>
            <w:tcW w:w="5917" w:type="dxa"/>
            <w:vAlign w:val="center"/>
          </w:tcPr>
          <w:p w14:paraId="31B0487F">
            <w:pPr>
              <w:ind w:firstLine="420" w:firstLineChars="200"/>
              <w:jc w:val="left"/>
              <w:rPr>
                <w:rFonts w:ascii="宋体" w:hAnsi="宋体"/>
                <w:color w:val="auto"/>
                <w:highlight w:val="none"/>
                <w:u w:val="single"/>
              </w:rPr>
            </w:pPr>
            <w:r>
              <w:rPr>
                <w:rFonts w:hint="eastAsia" w:ascii="宋体" w:hAnsi="宋体"/>
                <w:color w:val="auto"/>
                <w:highlight w:val="none"/>
                <w:u w:val="single"/>
              </w:rPr>
              <w:t>10分</w:t>
            </w:r>
            <w:r>
              <w:rPr>
                <w:rFonts w:hint="eastAsia" w:ascii="宋体" w:hAnsi="宋体"/>
                <w:color w:val="auto"/>
                <w:highlight w:val="none"/>
              </w:rPr>
              <w:t xml:space="preserve">   </w:t>
            </w:r>
            <w:r>
              <w:rPr>
                <w:rFonts w:hint="eastAsia" w:ascii="宋体" w:hAnsi="宋体"/>
                <w:color w:val="auto"/>
                <w:highlight w:val="none"/>
                <w:u w:val="single"/>
              </w:rPr>
              <w:t>编制要点：质量、进度、造价、安全、环保监理措施；优得7.5分-10分，良得5分-7.5分（不含），一般得2.5分-5分（不含），差得0分-2.5分（不含）。</w:t>
            </w:r>
          </w:p>
        </w:tc>
      </w:tr>
      <w:tr w14:paraId="6840F2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5" w:hRule="atLeast"/>
          <w:jc w:val="center"/>
        </w:trPr>
        <w:tc>
          <w:tcPr>
            <w:tcW w:w="864" w:type="dxa"/>
            <w:vMerge w:val="continue"/>
            <w:vAlign w:val="center"/>
          </w:tcPr>
          <w:p w14:paraId="12D78A30">
            <w:pPr>
              <w:snapToGrid w:val="0"/>
              <w:spacing w:line="360" w:lineRule="auto"/>
              <w:rPr>
                <w:rFonts w:ascii="宋体" w:hAnsi="宋体"/>
                <w:color w:val="auto"/>
                <w:kern w:val="0"/>
                <w:szCs w:val="21"/>
                <w:highlight w:val="none"/>
              </w:rPr>
            </w:pPr>
          </w:p>
        </w:tc>
        <w:tc>
          <w:tcPr>
            <w:tcW w:w="673" w:type="dxa"/>
            <w:vMerge w:val="continue"/>
            <w:vAlign w:val="center"/>
          </w:tcPr>
          <w:p w14:paraId="6C37CA75">
            <w:pPr>
              <w:snapToGrid w:val="0"/>
              <w:spacing w:line="360" w:lineRule="auto"/>
              <w:jc w:val="center"/>
              <w:rPr>
                <w:rFonts w:ascii="宋体" w:hAnsi="宋体"/>
                <w:color w:val="auto"/>
                <w:kern w:val="0"/>
                <w:highlight w:val="none"/>
              </w:rPr>
            </w:pPr>
          </w:p>
        </w:tc>
        <w:tc>
          <w:tcPr>
            <w:tcW w:w="2015" w:type="dxa"/>
            <w:gridSpan w:val="2"/>
            <w:vAlign w:val="center"/>
          </w:tcPr>
          <w:p w14:paraId="30F171D5">
            <w:pPr>
              <w:jc w:val="center"/>
              <w:rPr>
                <w:rFonts w:ascii="宋体" w:hAnsi="宋体"/>
                <w:color w:val="auto"/>
                <w:kern w:val="0"/>
                <w:highlight w:val="none"/>
              </w:rPr>
            </w:pPr>
            <w:r>
              <w:rPr>
                <w:rFonts w:hint="eastAsia" w:ascii="宋体" w:hAnsi="宋体"/>
                <w:color w:val="auto"/>
                <w:kern w:val="0"/>
                <w:highlight w:val="none"/>
              </w:rPr>
              <w:t>监理组织协调内容及措施</w:t>
            </w:r>
          </w:p>
        </w:tc>
        <w:tc>
          <w:tcPr>
            <w:tcW w:w="5917" w:type="dxa"/>
            <w:vAlign w:val="center"/>
          </w:tcPr>
          <w:p w14:paraId="0B2C5EE8">
            <w:pPr>
              <w:ind w:firstLine="420" w:firstLineChars="200"/>
              <w:jc w:val="left"/>
              <w:rPr>
                <w:rFonts w:ascii="宋体" w:hAnsi="宋体"/>
                <w:color w:val="auto"/>
                <w:highlight w:val="none"/>
                <w:u w:val="single"/>
              </w:rPr>
            </w:pPr>
            <w:r>
              <w:rPr>
                <w:rFonts w:hint="eastAsia" w:ascii="宋体" w:hAnsi="宋体"/>
                <w:color w:val="auto"/>
                <w:highlight w:val="none"/>
                <w:u w:val="single"/>
              </w:rPr>
              <w:t>10分</w:t>
            </w:r>
            <w:r>
              <w:rPr>
                <w:rFonts w:hint="eastAsia" w:ascii="宋体" w:hAnsi="宋体"/>
                <w:color w:val="auto"/>
                <w:highlight w:val="none"/>
              </w:rPr>
              <w:t xml:space="preserve">   </w:t>
            </w:r>
            <w:r>
              <w:rPr>
                <w:rFonts w:hint="eastAsia" w:ascii="宋体" w:hAnsi="宋体"/>
                <w:color w:val="auto"/>
                <w:highlight w:val="none"/>
                <w:u w:val="single"/>
              </w:rPr>
              <w:t>编制要点：监理组织协调内容及措施；优得7.5分-10分，良得5分-7.5分（不含），一般得2.5分-5分（不含），差得0分-2.5分（不含）。</w:t>
            </w:r>
          </w:p>
        </w:tc>
      </w:tr>
      <w:tr w14:paraId="111023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6EE61CEF">
            <w:pPr>
              <w:snapToGrid w:val="0"/>
              <w:spacing w:line="360" w:lineRule="auto"/>
              <w:rPr>
                <w:rFonts w:ascii="宋体" w:hAnsi="宋体"/>
                <w:color w:val="auto"/>
                <w:kern w:val="0"/>
                <w:szCs w:val="21"/>
                <w:highlight w:val="none"/>
              </w:rPr>
            </w:pPr>
          </w:p>
        </w:tc>
        <w:tc>
          <w:tcPr>
            <w:tcW w:w="673" w:type="dxa"/>
            <w:vMerge w:val="continue"/>
            <w:vAlign w:val="center"/>
          </w:tcPr>
          <w:p w14:paraId="3F86F68F">
            <w:pPr>
              <w:snapToGrid w:val="0"/>
              <w:spacing w:line="360" w:lineRule="auto"/>
              <w:jc w:val="center"/>
              <w:rPr>
                <w:rFonts w:ascii="宋体" w:hAnsi="宋体"/>
                <w:color w:val="auto"/>
                <w:kern w:val="0"/>
                <w:highlight w:val="none"/>
              </w:rPr>
            </w:pPr>
          </w:p>
        </w:tc>
        <w:tc>
          <w:tcPr>
            <w:tcW w:w="2015" w:type="dxa"/>
            <w:gridSpan w:val="2"/>
            <w:vAlign w:val="center"/>
          </w:tcPr>
          <w:p w14:paraId="4D517890">
            <w:pPr>
              <w:jc w:val="center"/>
              <w:rPr>
                <w:rFonts w:ascii="宋体" w:hAnsi="宋体" w:cs="宋体"/>
                <w:color w:val="auto"/>
                <w:highlight w:val="none"/>
              </w:rPr>
            </w:pPr>
            <w:r>
              <w:rPr>
                <w:rFonts w:hint="eastAsia" w:ascii="宋体" w:hAnsi="宋体" w:cs="宋体"/>
                <w:color w:val="auto"/>
                <w:highlight w:val="none"/>
              </w:rPr>
              <w:t>监理工作重点、难点分析</w:t>
            </w:r>
          </w:p>
        </w:tc>
        <w:tc>
          <w:tcPr>
            <w:tcW w:w="5917" w:type="dxa"/>
            <w:vAlign w:val="center"/>
          </w:tcPr>
          <w:p w14:paraId="198ACBE2">
            <w:pPr>
              <w:ind w:firstLine="420" w:firstLineChars="200"/>
              <w:jc w:val="left"/>
              <w:rPr>
                <w:rFonts w:ascii="宋体" w:hAnsi="宋体"/>
                <w:color w:val="auto"/>
                <w:highlight w:val="none"/>
                <w:u w:val="single"/>
              </w:rPr>
            </w:pPr>
            <w:r>
              <w:rPr>
                <w:rFonts w:hint="eastAsia" w:ascii="宋体" w:hAnsi="宋体"/>
                <w:color w:val="auto"/>
                <w:highlight w:val="none"/>
                <w:u w:val="single"/>
              </w:rPr>
              <w:t>10分</w:t>
            </w:r>
            <w:r>
              <w:rPr>
                <w:rFonts w:hint="eastAsia" w:ascii="宋体" w:hAnsi="宋体"/>
                <w:color w:val="auto"/>
                <w:highlight w:val="none"/>
              </w:rPr>
              <w:t xml:space="preserve">   </w:t>
            </w:r>
            <w:r>
              <w:rPr>
                <w:rFonts w:hint="eastAsia" w:ascii="宋体" w:hAnsi="宋体"/>
                <w:color w:val="auto"/>
                <w:highlight w:val="none"/>
                <w:u w:val="single"/>
              </w:rPr>
              <w:t>编制要点：监理工作重点、难点分析；优得7.5分-10分，良得5分-7.5分（不含），一般得2.5分-5分（不含），差得0分-2.5分（不含）。</w:t>
            </w:r>
          </w:p>
        </w:tc>
      </w:tr>
      <w:tr w14:paraId="64CD10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864" w:type="dxa"/>
            <w:vMerge w:val="continue"/>
            <w:vAlign w:val="center"/>
          </w:tcPr>
          <w:p w14:paraId="2E1D038F">
            <w:pPr>
              <w:snapToGrid w:val="0"/>
              <w:spacing w:line="360" w:lineRule="auto"/>
              <w:rPr>
                <w:rFonts w:ascii="宋体" w:hAnsi="宋体"/>
                <w:color w:val="auto"/>
                <w:kern w:val="0"/>
                <w:szCs w:val="21"/>
                <w:highlight w:val="none"/>
              </w:rPr>
            </w:pPr>
          </w:p>
        </w:tc>
        <w:tc>
          <w:tcPr>
            <w:tcW w:w="673" w:type="dxa"/>
            <w:vMerge w:val="continue"/>
            <w:vAlign w:val="center"/>
          </w:tcPr>
          <w:p w14:paraId="5B0E95E4">
            <w:pPr>
              <w:snapToGrid w:val="0"/>
              <w:spacing w:line="360" w:lineRule="auto"/>
              <w:jc w:val="center"/>
              <w:rPr>
                <w:rFonts w:ascii="宋体" w:hAnsi="宋体"/>
                <w:color w:val="auto"/>
                <w:kern w:val="0"/>
                <w:highlight w:val="none"/>
              </w:rPr>
            </w:pPr>
          </w:p>
        </w:tc>
        <w:tc>
          <w:tcPr>
            <w:tcW w:w="2015" w:type="dxa"/>
            <w:gridSpan w:val="2"/>
            <w:vAlign w:val="center"/>
          </w:tcPr>
          <w:p w14:paraId="695D4931">
            <w:pPr>
              <w:jc w:val="center"/>
              <w:rPr>
                <w:rFonts w:ascii="宋体" w:hAnsi="宋体" w:cs="宋体"/>
                <w:color w:val="auto"/>
                <w:highlight w:val="none"/>
              </w:rPr>
            </w:pPr>
            <w:r>
              <w:rPr>
                <w:rFonts w:hint="eastAsia" w:ascii="宋体" w:hAnsi="宋体" w:cs="宋体"/>
                <w:color w:val="auto"/>
                <w:highlight w:val="none"/>
              </w:rPr>
              <w:t>安全控制措施</w:t>
            </w:r>
          </w:p>
        </w:tc>
        <w:tc>
          <w:tcPr>
            <w:tcW w:w="5917" w:type="dxa"/>
            <w:vAlign w:val="center"/>
          </w:tcPr>
          <w:p w14:paraId="58D7C850">
            <w:pPr>
              <w:ind w:firstLine="420" w:firstLineChars="200"/>
              <w:jc w:val="left"/>
              <w:rPr>
                <w:rFonts w:ascii="宋体" w:hAnsi="宋体"/>
                <w:color w:val="auto"/>
                <w:highlight w:val="none"/>
                <w:u w:val="single"/>
              </w:rPr>
            </w:pPr>
            <w:r>
              <w:rPr>
                <w:rFonts w:hint="eastAsia" w:ascii="宋体" w:hAnsi="宋体"/>
                <w:color w:val="auto"/>
                <w:highlight w:val="none"/>
                <w:u w:val="single"/>
              </w:rPr>
              <w:t>10分</w:t>
            </w:r>
            <w:r>
              <w:rPr>
                <w:rFonts w:hint="eastAsia" w:ascii="宋体" w:hAnsi="宋体"/>
                <w:color w:val="auto"/>
                <w:highlight w:val="none"/>
              </w:rPr>
              <w:t xml:space="preserve">   </w:t>
            </w:r>
            <w:r>
              <w:rPr>
                <w:rFonts w:hint="eastAsia" w:ascii="宋体" w:hAnsi="宋体"/>
                <w:color w:val="auto"/>
                <w:highlight w:val="none"/>
                <w:u w:val="single"/>
              </w:rPr>
              <w:t>编制要点：安全控制措施；优得7.5分-10分，良得5分-7.5分（不含），一般得2.5分-5分（不含），差得0分-2.5分（不含）。</w:t>
            </w:r>
          </w:p>
        </w:tc>
      </w:tr>
      <w:tr w14:paraId="38B500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64" w:type="dxa"/>
            <w:vAlign w:val="center"/>
          </w:tcPr>
          <w:p w14:paraId="744E1B9A">
            <w:pPr>
              <w:spacing w:line="360" w:lineRule="auto"/>
              <w:jc w:val="center"/>
              <w:rPr>
                <w:rFonts w:ascii="宋体" w:hAnsi="宋体"/>
                <w:color w:val="auto"/>
                <w:kern w:val="0"/>
                <w:highlight w:val="none"/>
              </w:rPr>
            </w:pPr>
            <w:r>
              <w:rPr>
                <w:rFonts w:ascii="宋体" w:hAnsi="宋体"/>
                <w:color w:val="auto"/>
                <w:highlight w:val="none"/>
              </w:rPr>
              <w:t>3</w:t>
            </w:r>
          </w:p>
        </w:tc>
        <w:tc>
          <w:tcPr>
            <w:tcW w:w="673" w:type="dxa"/>
            <w:vAlign w:val="center"/>
          </w:tcPr>
          <w:p w14:paraId="44A1A81D">
            <w:pPr>
              <w:spacing w:line="360" w:lineRule="auto"/>
              <w:jc w:val="center"/>
              <w:rPr>
                <w:rFonts w:ascii="宋体" w:hAnsi="宋体"/>
                <w:color w:val="auto"/>
                <w:kern w:val="0"/>
                <w:highlight w:val="none"/>
              </w:rPr>
            </w:pPr>
            <w:r>
              <w:rPr>
                <w:rFonts w:hint="eastAsia" w:ascii="宋体" w:hAnsi="宋体"/>
                <w:color w:val="auto"/>
                <w:kern w:val="0"/>
                <w:highlight w:val="none"/>
              </w:rPr>
              <w:t>评选</w:t>
            </w:r>
            <w:r>
              <w:rPr>
                <w:rFonts w:ascii="宋体" w:hAnsi="宋体"/>
                <w:color w:val="auto"/>
                <w:kern w:val="0"/>
                <w:highlight w:val="none"/>
              </w:rPr>
              <w:t>程序</w:t>
            </w:r>
          </w:p>
        </w:tc>
        <w:tc>
          <w:tcPr>
            <w:tcW w:w="7932" w:type="dxa"/>
            <w:gridSpan w:val="3"/>
          </w:tcPr>
          <w:p w14:paraId="1223EBF6">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1.按本章评选办法第2.1款进行初步评审。</w:t>
            </w:r>
          </w:p>
          <w:p w14:paraId="5478A02D">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2.对初步评审合格的竞选人按照本章2.2.2项计算方法计算评选基准价及各竞选人的竞选总报价得分A。（计算结果取小数点后两位，第三位四舍五入）</w:t>
            </w:r>
          </w:p>
          <w:p w14:paraId="5FE61AF5">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3.按本章评选办法前附表2.2.3的规定的各评审因素对技术部分（监理大纲）进行评审。评选委员会全体成员对监理大纲进行评审，各评委打分的算术平均值即为该竞选人监理大纲得分B。（计算结果取小数点后两位，第三位四舍五入）</w:t>
            </w:r>
          </w:p>
          <w:p w14:paraId="179C3CD9">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4.对竞选人综合得分按照</w:t>
            </w:r>
            <w:r>
              <w:rPr>
                <w:rFonts w:hint="eastAsia" w:ascii="宋体" w:hAnsi="宋体"/>
                <w:color w:val="auto"/>
                <w:kern w:val="0"/>
                <w:highlight w:val="none"/>
                <w:u w:val="single"/>
              </w:rPr>
              <w:t>竞选总报价A+技术部分B</w:t>
            </w:r>
            <w:r>
              <w:rPr>
                <w:rFonts w:hint="eastAsia" w:ascii="宋体" w:hAnsi="宋体"/>
                <w:color w:val="auto"/>
                <w:kern w:val="0"/>
                <w:highlight w:val="none"/>
              </w:rPr>
              <w:t>进行汇总，确定综合得分由高至低前3名竞选人为中选候选人。</w:t>
            </w:r>
          </w:p>
        </w:tc>
      </w:tr>
      <w:tr w14:paraId="78DCEB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37" w:type="dxa"/>
            <w:gridSpan w:val="2"/>
            <w:vAlign w:val="center"/>
          </w:tcPr>
          <w:p w14:paraId="54C82BE6">
            <w:pPr>
              <w:spacing w:line="400" w:lineRule="exact"/>
              <w:ind w:firstLine="18" w:firstLineChars="9"/>
              <w:jc w:val="center"/>
              <w:rPr>
                <w:rFonts w:ascii="宋体" w:hAnsi="宋体"/>
                <w:color w:val="auto"/>
                <w:szCs w:val="21"/>
                <w:highlight w:val="none"/>
              </w:rPr>
            </w:pPr>
            <w:r>
              <w:rPr>
                <w:rFonts w:hint="eastAsia" w:ascii="宋体" w:hAnsi="宋体"/>
                <w:color w:val="auto"/>
                <w:szCs w:val="21"/>
                <w:highlight w:val="none"/>
              </w:rPr>
              <w:t>4</w:t>
            </w:r>
          </w:p>
        </w:tc>
        <w:tc>
          <w:tcPr>
            <w:tcW w:w="2015" w:type="dxa"/>
            <w:gridSpan w:val="2"/>
            <w:vAlign w:val="center"/>
          </w:tcPr>
          <w:p w14:paraId="142AC241">
            <w:pPr>
              <w:spacing w:line="400" w:lineRule="exact"/>
              <w:ind w:firstLine="18" w:firstLineChars="9"/>
              <w:jc w:val="center"/>
              <w:rPr>
                <w:rFonts w:ascii="宋体" w:hAnsi="宋体"/>
                <w:color w:val="auto"/>
                <w:szCs w:val="21"/>
                <w:highlight w:val="none"/>
              </w:rPr>
            </w:pPr>
            <w:r>
              <w:rPr>
                <w:rFonts w:hint="eastAsia" w:ascii="宋体" w:hAnsi="宋体"/>
                <w:color w:val="auto"/>
                <w:szCs w:val="21"/>
                <w:highlight w:val="none"/>
              </w:rPr>
              <w:t>竞选人综合</w:t>
            </w:r>
            <w:r>
              <w:rPr>
                <w:rFonts w:ascii="宋体" w:hAnsi="宋体"/>
                <w:color w:val="auto"/>
                <w:szCs w:val="21"/>
                <w:highlight w:val="none"/>
              </w:rPr>
              <w:t>得分</w:t>
            </w:r>
          </w:p>
        </w:tc>
        <w:tc>
          <w:tcPr>
            <w:tcW w:w="5917" w:type="dxa"/>
            <w:vAlign w:val="center"/>
          </w:tcPr>
          <w:p w14:paraId="72324ADB">
            <w:pPr>
              <w:jc w:val="center"/>
              <w:rPr>
                <w:rFonts w:ascii="宋体" w:hAnsi="宋体"/>
                <w:color w:val="auto"/>
                <w:szCs w:val="21"/>
                <w:highlight w:val="none"/>
                <w:u w:val="single"/>
              </w:rPr>
            </w:pPr>
            <w:r>
              <w:rPr>
                <w:rFonts w:ascii="宋体" w:hAnsi="宋体"/>
                <w:color w:val="auto"/>
                <w:szCs w:val="21"/>
                <w:highlight w:val="none"/>
              </w:rPr>
              <w:t>A+B</w:t>
            </w:r>
          </w:p>
        </w:tc>
      </w:tr>
    </w:tbl>
    <w:p w14:paraId="093C0A42">
      <w:pPr>
        <w:rPr>
          <w:rFonts w:ascii="宋体" w:hAnsi="宋体"/>
          <w:snapToGrid w:val="0"/>
          <w:color w:val="auto"/>
          <w:highlight w:val="none"/>
        </w:rPr>
      </w:pPr>
      <w:r>
        <w:rPr>
          <w:rFonts w:ascii="宋体" w:hAnsi="宋体"/>
          <w:snapToGrid w:val="0"/>
          <w:color w:val="auto"/>
          <w:highlight w:val="none"/>
        </w:rPr>
        <w:br w:type="page"/>
      </w:r>
    </w:p>
    <w:p w14:paraId="32889F4C">
      <w:pPr>
        <w:pStyle w:val="4"/>
        <w:spacing w:before="0" w:after="0" w:line="360" w:lineRule="auto"/>
        <w:rPr>
          <w:rFonts w:ascii="宋体" w:hAnsi="宋体"/>
          <w:b w:val="0"/>
          <w:snapToGrid w:val="0"/>
          <w:color w:val="auto"/>
          <w:highlight w:val="none"/>
        </w:rPr>
      </w:pPr>
      <w:r>
        <w:rPr>
          <w:rFonts w:ascii="宋体" w:hAnsi="宋体"/>
          <w:b w:val="0"/>
          <w:snapToGrid w:val="0"/>
          <w:color w:val="auto"/>
          <w:highlight w:val="none"/>
        </w:rPr>
        <w:t xml:space="preserve">1.  </w:t>
      </w:r>
      <w:r>
        <w:rPr>
          <w:rFonts w:hint="eastAsia" w:ascii="宋体" w:hAnsi="宋体"/>
          <w:b w:val="0"/>
          <w:snapToGrid w:val="0"/>
          <w:color w:val="auto"/>
          <w:highlight w:val="none"/>
        </w:rPr>
        <w:t>评选</w:t>
      </w:r>
      <w:r>
        <w:rPr>
          <w:rFonts w:ascii="宋体" w:hAnsi="宋体"/>
          <w:b w:val="0"/>
          <w:snapToGrid w:val="0"/>
          <w:color w:val="auto"/>
          <w:highlight w:val="none"/>
        </w:rPr>
        <w:t>方法</w:t>
      </w:r>
      <w:bookmarkEnd w:id="621"/>
    </w:p>
    <w:p w14:paraId="24EFB162">
      <w:pPr>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本次</w:t>
      </w:r>
      <w:r>
        <w:rPr>
          <w:rFonts w:hint="eastAsia" w:ascii="宋体" w:hAnsi="宋体"/>
          <w:color w:val="auto"/>
          <w:kern w:val="0"/>
          <w:szCs w:val="21"/>
          <w:highlight w:val="none"/>
        </w:rPr>
        <w:t>比选</w:t>
      </w:r>
      <w:r>
        <w:rPr>
          <w:rFonts w:ascii="宋体" w:hAnsi="宋体"/>
          <w:color w:val="auto"/>
          <w:kern w:val="0"/>
          <w:szCs w:val="21"/>
          <w:highlight w:val="none"/>
        </w:rPr>
        <w:t>采用综合评估法</w:t>
      </w:r>
      <w:r>
        <w:rPr>
          <w:rFonts w:ascii="宋体" w:hAnsi="宋体"/>
          <w:color w:val="auto"/>
          <w:spacing w:val="-47"/>
          <w:kern w:val="0"/>
          <w:szCs w:val="21"/>
          <w:highlight w:val="none"/>
        </w:rPr>
        <w:t>。</w:t>
      </w:r>
      <w:r>
        <w:rPr>
          <w:rFonts w:hint="eastAsia" w:ascii="宋体" w:hAnsi="宋体"/>
          <w:color w:val="auto"/>
          <w:kern w:val="0"/>
          <w:szCs w:val="21"/>
          <w:highlight w:val="none"/>
        </w:rPr>
        <w:t>评选</w:t>
      </w:r>
      <w:r>
        <w:rPr>
          <w:rFonts w:ascii="宋体" w:hAnsi="宋体"/>
          <w:color w:val="auto"/>
          <w:kern w:val="0"/>
          <w:szCs w:val="21"/>
          <w:highlight w:val="none"/>
        </w:rPr>
        <w:t xml:space="preserve">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定的评分标准进行打分，按得分由高到低顺序推荐</w:t>
      </w:r>
      <w:r>
        <w:rPr>
          <w:rFonts w:hint="eastAsia" w:ascii="宋体" w:hAnsi="宋体"/>
          <w:color w:val="auto"/>
          <w:kern w:val="0"/>
          <w:szCs w:val="21"/>
          <w:highlight w:val="none"/>
        </w:rPr>
        <w:t>中选</w:t>
      </w:r>
      <w:r>
        <w:rPr>
          <w:rFonts w:ascii="宋体" w:hAnsi="宋体"/>
          <w:color w:val="auto"/>
          <w:kern w:val="0"/>
          <w:szCs w:val="21"/>
          <w:highlight w:val="none"/>
        </w:rPr>
        <w:t>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rPr>
        <w:t>比选人</w:t>
      </w:r>
      <w:r>
        <w:rPr>
          <w:rFonts w:ascii="宋体" w:hAnsi="宋体"/>
          <w:color w:val="auto"/>
          <w:kern w:val="0"/>
          <w:szCs w:val="21"/>
          <w:highlight w:val="none"/>
        </w:rPr>
        <w:t>授权直接确定</w:t>
      </w:r>
      <w:r>
        <w:rPr>
          <w:rFonts w:hint="eastAsia" w:ascii="宋体" w:hAnsi="宋体"/>
          <w:color w:val="auto"/>
          <w:kern w:val="0"/>
          <w:szCs w:val="21"/>
          <w:highlight w:val="none"/>
        </w:rPr>
        <w:t>中选</w:t>
      </w:r>
      <w:r>
        <w:rPr>
          <w:rFonts w:ascii="宋体" w:hAnsi="宋体"/>
          <w:color w:val="auto"/>
          <w:kern w:val="0"/>
          <w:szCs w:val="21"/>
          <w:highlight w:val="none"/>
        </w:rPr>
        <w:t>人</w:t>
      </w:r>
      <w:r>
        <w:rPr>
          <w:rFonts w:hint="eastAsia" w:ascii="宋体" w:hAnsi="宋体"/>
          <w:color w:val="auto"/>
          <w:kern w:val="0"/>
          <w:szCs w:val="21"/>
          <w:highlight w:val="none"/>
        </w:rPr>
        <w:t>，若出现竞选人综合得分相同的，以评选办法前附表约定的原则确定排序</w:t>
      </w:r>
      <w:r>
        <w:rPr>
          <w:rFonts w:ascii="宋体" w:hAnsi="宋体"/>
          <w:color w:val="auto"/>
          <w:spacing w:val="-31"/>
          <w:kern w:val="0"/>
          <w:szCs w:val="21"/>
          <w:highlight w:val="none"/>
        </w:rPr>
        <w:t>。</w:t>
      </w:r>
    </w:p>
    <w:p w14:paraId="7D95FD04">
      <w:pPr>
        <w:pStyle w:val="4"/>
        <w:spacing w:before="0" w:after="0" w:line="360" w:lineRule="auto"/>
        <w:rPr>
          <w:rFonts w:ascii="宋体" w:hAnsi="宋体"/>
          <w:b w:val="0"/>
          <w:snapToGrid w:val="0"/>
          <w:color w:val="auto"/>
          <w:highlight w:val="none"/>
        </w:rPr>
      </w:pPr>
      <w:bookmarkStart w:id="625" w:name="_Toc224103385"/>
      <w:bookmarkStart w:id="626" w:name="_Toc27983301"/>
      <w:bookmarkStart w:id="627" w:name="_Toc287620752"/>
      <w:bookmarkStart w:id="628" w:name="_Toc200513199"/>
      <w:bookmarkStart w:id="629" w:name="_Toc430530501"/>
      <w:bookmarkStart w:id="630" w:name="_Toc509218777"/>
      <w:bookmarkStart w:id="631" w:name="_Toc277082619"/>
      <w:bookmarkStart w:id="632" w:name="_Toc287607813"/>
      <w:r>
        <w:rPr>
          <w:rFonts w:ascii="宋体" w:hAnsi="宋体"/>
          <w:b w:val="0"/>
          <w:snapToGrid w:val="0"/>
          <w:color w:val="auto"/>
          <w:highlight w:val="none"/>
        </w:rPr>
        <w:t>2.  评审标准</w:t>
      </w:r>
      <w:bookmarkEnd w:id="625"/>
      <w:bookmarkEnd w:id="626"/>
      <w:bookmarkEnd w:id="627"/>
      <w:bookmarkEnd w:id="628"/>
      <w:bookmarkEnd w:id="629"/>
      <w:bookmarkEnd w:id="630"/>
      <w:bookmarkEnd w:id="631"/>
      <w:bookmarkEnd w:id="632"/>
    </w:p>
    <w:p w14:paraId="5DBE5646">
      <w:pPr>
        <w:pStyle w:val="5"/>
        <w:snapToGrid w:val="0"/>
        <w:spacing w:before="0" w:after="0" w:line="360" w:lineRule="auto"/>
        <w:rPr>
          <w:rFonts w:ascii="宋体" w:hAnsi="宋体"/>
          <w:b w:val="0"/>
          <w:snapToGrid w:val="0"/>
          <w:color w:val="auto"/>
          <w:sz w:val="24"/>
          <w:szCs w:val="24"/>
          <w:highlight w:val="none"/>
        </w:rPr>
      </w:pPr>
      <w:bookmarkStart w:id="633" w:name="_Toc430530502"/>
      <w:bookmarkStart w:id="634" w:name="_Toc509218778"/>
      <w:bookmarkStart w:id="635" w:name="_Toc287607814"/>
      <w:bookmarkStart w:id="636" w:name="_Toc200513200"/>
      <w:bookmarkStart w:id="637" w:name="_Toc277082620"/>
      <w:bookmarkStart w:id="638" w:name="_Toc224103386"/>
      <w:bookmarkStart w:id="639" w:name="_Toc287620753"/>
      <w:bookmarkStart w:id="640" w:name="_Toc27983302"/>
      <w:r>
        <w:rPr>
          <w:rFonts w:ascii="宋体" w:hAnsi="宋体"/>
          <w:b w:val="0"/>
          <w:snapToGrid w:val="0"/>
          <w:color w:val="auto"/>
          <w:sz w:val="24"/>
          <w:szCs w:val="24"/>
          <w:highlight w:val="none"/>
        </w:rPr>
        <w:t>2.1  初步评审标准</w:t>
      </w:r>
      <w:bookmarkEnd w:id="633"/>
      <w:bookmarkEnd w:id="634"/>
      <w:bookmarkEnd w:id="635"/>
      <w:bookmarkEnd w:id="636"/>
      <w:bookmarkEnd w:id="637"/>
      <w:bookmarkEnd w:id="638"/>
      <w:bookmarkEnd w:id="639"/>
      <w:bookmarkEnd w:id="640"/>
    </w:p>
    <w:p w14:paraId="5F052372">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2.1.1  形式评审标准：见</w:t>
      </w:r>
      <w:r>
        <w:rPr>
          <w:rFonts w:hint="eastAsia" w:ascii="宋体" w:hAnsi="宋体"/>
          <w:color w:val="auto"/>
          <w:kern w:val="0"/>
          <w:szCs w:val="21"/>
          <w:highlight w:val="none"/>
        </w:rPr>
        <w:t>评选</w:t>
      </w:r>
      <w:r>
        <w:rPr>
          <w:rFonts w:ascii="宋体" w:hAnsi="宋体"/>
          <w:color w:val="auto"/>
          <w:kern w:val="0"/>
          <w:szCs w:val="21"/>
          <w:highlight w:val="none"/>
        </w:rPr>
        <w:t>办法前附表。</w:t>
      </w:r>
    </w:p>
    <w:p w14:paraId="08B03F11">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2.1.2  资格评审标准：见</w:t>
      </w:r>
      <w:r>
        <w:rPr>
          <w:rFonts w:hint="eastAsia" w:ascii="宋体" w:hAnsi="宋体"/>
          <w:color w:val="auto"/>
          <w:kern w:val="0"/>
          <w:szCs w:val="21"/>
          <w:highlight w:val="none"/>
        </w:rPr>
        <w:t>评选</w:t>
      </w:r>
      <w:r>
        <w:rPr>
          <w:rFonts w:ascii="宋体" w:hAnsi="宋体"/>
          <w:color w:val="auto"/>
          <w:kern w:val="0"/>
          <w:szCs w:val="21"/>
          <w:highlight w:val="none"/>
        </w:rPr>
        <w:t>办法前附表。</w:t>
      </w:r>
    </w:p>
    <w:p w14:paraId="46AF02EF">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2.1.3  响应性评审标准：见</w:t>
      </w:r>
      <w:r>
        <w:rPr>
          <w:rFonts w:hint="eastAsia" w:ascii="宋体" w:hAnsi="宋体"/>
          <w:color w:val="auto"/>
          <w:kern w:val="0"/>
          <w:szCs w:val="21"/>
          <w:highlight w:val="none"/>
        </w:rPr>
        <w:t>评选</w:t>
      </w:r>
      <w:r>
        <w:rPr>
          <w:rFonts w:ascii="宋体" w:hAnsi="宋体"/>
          <w:color w:val="auto"/>
          <w:kern w:val="0"/>
          <w:szCs w:val="21"/>
          <w:highlight w:val="none"/>
        </w:rPr>
        <w:t>办法前附表。</w:t>
      </w:r>
    </w:p>
    <w:p w14:paraId="0BC99008">
      <w:pPr>
        <w:pStyle w:val="5"/>
        <w:snapToGrid w:val="0"/>
        <w:spacing w:before="0" w:after="0" w:line="360" w:lineRule="auto"/>
        <w:rPr>
          <w:rFonts w:ascii="宋体" w:hAnsi="宋体"/>
          <w:b w:val="0"/>
          <w:snapToGrid w:val="0"/>
          <w:color w:val="auto"/>
          <w:sz w:val="24"/>
          <w:szCs w:val="24"/>
          <w:highlight w:val="none"/>
        </w:rPr>
      </w:pPr>
      <w:bookmarkStart w:id="641" w:name="_Toc509218779"/>
      <w:bookmarkStart w:id="642" w:name="_Toc287607815"/>
      <w:bookmarkStart w:id="643" w:name="_Toc287620754"/>
      <w:bookmarkStart w:id="644" w:name="_Toc277082621"/>
      <w:bookmarkStart w:id="645" w:name="_Toc224103387"/>
      <w:bookmarkStart w:id="646" w:name="_Toc27983303"/>
      <w:bookmarkStart w:id="647" w:name="_Toc430530503"/>
      <w:bookmarkStart w:id="648" w:name="_Toc200513201"/>
      <w:r>
        <w:rPr>
          <w:rFonts w:ascii="宋体" w:hAnsi="宋体"/>
          <w:b w:val="0"/>
          <w:snapToGrid w:val="0"/>
          <w:color w:val="auto"/>
          <w:sz w:val="24"/>
          <w:szCs w:val="24"/>
          <w:highlight w:val="none"/>
        </w:rPr>
        <w:t>2.2  分值构成与评分标准</w:t>
      </w:r>
      <w:bookmarkEnd w:id="641"/>
      <w:bookmarkEnd w:id="642"/>
      <w:bookmarkEnd w:id="643"/>
      <w:bookmarkEnd w:id="644"/>
      <w:bookmarkEnd w:id="645"/>
      <w:bookmarkEnd w:id="646"/>
      <w:bookmarkEnd w:id="647"/>
      <w:bookmarkEnd w:id="648"/>
    </w:p>
    <w:p w14:paraId="6E515E8D">
      <w:pPr>
        <w:autoSpaceDE w:val="0"/>
        <w:autoSpaceDN w:val="0"/>
        <w:adjustRightInd w:val="0"/>
        <w:snapToGrid w:val="0"/>
        <w:spacing w:line="360" w:lineRule="auto"/>
        <w:ind w:firstLine="525" w:firstLineChars="250"/>
        <w:rPr>
          <w:rFonts w:ascii="宋体" w:hAnsi="宋体"/>
          <w:color w:val="auto"/>
          <w:kern w:val="0"/>
          <w:szCs w:val="21"/>
          <w:highlight w:val="none"/>
        </w:rPr>
      </w:pPr>
      <w:r>
        <w:rPr>
          <w:rFonts w:ascii="宋体" w:hAnsi="宋体"/>
          <w:color w:val="auto"/>
          <w:kern w:val="0"/>
          <w:szCs w:val="21"/>
          <w:highlight w:val="none"/>
        </w:rPr>
        <w:t>2.2.1  分值构成</w:t>
      </w:r>
    </w:p>
    <w:p w14:paraId="274C730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w:t>
      </w:r>
      <w:r>
        <w:rPr>
          <w:rFonts w:hint="eastAsia" w:ascii="宋体" w:hAnsi="宋体"/>
          <w:color w:val="auto"/>
          <w:kern w:val="0"/>
          <w:szCs w:val="21"/>
          <w:highlight w:val="none"/>
        </w:rPr>
        <w:t>竞选总报价</w:t>
      </w:r>
      <w:r>
        <w:rPr>
          <w:rFonts w:ascii="宋体" w:hAnsi="宋体"/>
          <w:color w:val="auto"/>
          <w:kern w:val="0"/>
          <w:szCs w:val="21"/>
          <w:highlight w:val="none"/>
        </w:rPr>
        <w:t>：见</w:t>
      </w:r>
      <w:r>
        <w:rPr>
          <w:rFonts w:hint="eastAsia" w:ascii="宋体" w:hAnsi="宋体"/>
          <w:color w:val="auto"/>
          <w:kern w:val="0"/>
          <w:szCs w:val="21"/>
          <w:highlight w:val="none"/>
        </w:rPr>
        <w:t>评选</w:t>
      </w:r>
      <w:r>
        <w:rPr>
          <w:rFonts w:ascii="宋体" w:hAnsi="宋体"/>
          <w:color w:val="auto"/>
          <w:kern w:val="0"/>
          <w:szCs w:val="21"/>
          <w:highlight w:val="none"/>
        </w:rPr>
        <w:t>办法前附表</w:t>
      </w:r>
      <w:r>
        <w:rPr>
          <w:rFonts w:hint="eastAsia" w:ascii="宋体" w:hAnsi="宋体"/>
          <w:color w:val="auto"/>
          <w:kern w:val="0"/>
          <w:szCs w:val="21"/>
          <w:highlight w:val="none"/>
        </w:rPr>
        <w:t>；</w:t>
      </w:r>
    </w:p>
    <w:p w14:paraId="42A3640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技术部分</w:t>
      </w:r>
      <w:r>
        <w:rPr>
          <w:rFonts w:ascii="宋体" w:hAnsi="宋体"/>
          <w:color w:val="auto"/>
          <w:kern w:val="0"/>
          <w:szCs w:val="21"/>
          <w:highlight w:val="none"/>
        </w:rPr>
        <w:t>：见</w:t>
      </w:r>
      <w:r>
        <w:rPr>
          <w:rFonts w:hint="eastAsia" w:ascii="宋体" w:hAnsi="宋体"/>
          <w:color w:val="auto"/>
          <w:kern w:val="0"/>
          <w:szCs w:val="21"/>
          <w:highlight w:val="none"/>
        </w:rPr>
        <w:t>评选</w:t>
      </w:r>
      <w:r>
        <w:rPr>
          <w:rFonts w:ascii="宋体" w:hAnsi="宋体"/>
          <w:color w:val="auto"/>
          <w:kern w:val="0"/>
          <w:szCs w:val="21"/>
          <w:highlight w:val="none"/>
        </w:rPr>
        <w:t>办法前附表</w:t>
      </w:r>
      <w:r>
        <w:rPr>
          <w:rFonts w:hint="eastAsia" w:ascii="宋体" w:hAnsi="宋体"/>
          <w:color w:val="auto"/>
          <w:kern w:val="0"/>
          <w:szCs w:val="21"/>
          <w:highlight w:val="none"/>
        </w:rPr>
        <w:t>；</w:t>
      </w:r>
    </w:p>
    <w:p w14:paraId="6EF3083A">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 xml:space="preserve">2.2.2  </w:t>
      </w:r>
      <w:r>
        <w:rPr>
          <w:rFonts w:hint="eastAsia" w:ascii="宋体" w:hAnsi="宋体"/>
          <w:color w:val="auto"/>
          <w:kern w:val="0"/>
          <w:szCs w:val="21"/>
          <w:highlight w:val="none"/>
        </w:rPr>
        <w:t>竞选总报价</w:t>
      </w:r>
    </w:p>
    <w:p w14:paraId="442686D9">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见</w:t>
      </w:r>
      <w:r>
        <w:rPr>
          <w:rFonts w:hint="eastAsia" w:ascii="宋体" w:hAnsi="宋体"/>
          <w:color w:val="auto"/>
          <w:kern w:val="0"/>
          <w:szCs w:val="21"/>
          <w:highlight w:val="none"/>
        </w:rPr>
        <w:t>评选</w:t>
      </w:r>
      <w:r>
        <w:rPr>
          <w:rFonts w:ascii="宋体" w:hAnsi="宋体"/>
          <w:color w:val="auto"/>
          <w:kern w:val="0"/>
          <w:szCs w:val="21"/>
          <w:highlight w:val="none"/>
        </w:rPr>
        <w:t>办法前附表。</w:t>
      </w:r>
    </w:p>
    <w:p w14:paraId="6622ABEB">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3</w:t>
      </w:r>
      <w:r>
        <w:rPr>
          <w:rFonts w:ascii="宋体" w:hAnsi="宋体"/>
          <w:color w:val="auto"/>
          <w:kern w:val="0"/>
          <w:szCs w:val="21"/>
          <w:highlight w:val="none"/>
        </w:rPr>
        <w:t xml:space="preserve">  </w:t>
      </w:r>
      <w:r>
        <w:rPr>
          <w:rFonts w:hint="eastAsia" w:ascii="宋体" w:hAnsi="宋体"/>
          <w:color w:val="auto"/>
          <w:kern w:val="0"/>
          <w:szCs w:val="21"/>
          <w:highlight w:val="none"/>
        </w:rPr>
        <w:t>技术部分</w:t>
      </w:r>
      <w:r>
        <w:rPr>
          <w:rFonts w:ascii="宋体" w:hAnsi="宋体"/>
          <w:color w:val="auto"/>
          <w:kern w:val="0"/>
          <w:szCs w:val="21"/>
          <w:highlight w:val="none"/>
        </w:rPr>
        <w:t>评分</w:t>
      </w:r>
      <w:r>
        <w:rPr>
          <w:rFonts w:hint="eastAsia" w:ascii="宋体" w:hAnsi="宋体"/>
          <w:color w:val="auto"/>
          <w:kern w:val="0"/>
          <w:szCs w:val="21"/>
          <w:highlight w:val="none"/>
        </w:rPr>
        <w:t>标准</w:t>
      </w:r>
    </w:p>
    <w:p w14:paraId="10A2B4BE">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见</w:t>
      </w:r>
      <w:r>
        <w:rPr>
          <w:rFonts w:hint="eastAsia" w:ascii="宋体" w:hAnsi="宋体"/>
          <w:color w:val="auto"/>
          <w:kern w:val="0"/>
          <w:szCs w:val="21"/>
          <w:highlight w:val="none"/>
        </w:rPr>
        <w:t>评选</w:t>
      </w:r>
      <w:r>
        <w:rPr>
          <w:rFonts w:ascii="宋体" w:hAnsi="宋体"/>
          <w:color w:val="auto"/>
          <w:kern w:val="0"/>
          <w:szCs w:val="21"/>
          <w:highlight w:val="none"/>
        </w:rPr>
        <w:t>办法前附表。</w:t>
      </w:r>
    </w:p>
    <w:p w14:paraId="08314677">
      <w:pPr>
        <w:pStyle w:val="4"/>
        <w:spacing w:before="0" w:after="0" w:line="360" w:lineRule="auto"/>
        <w:rPr>
          <w:rFonts w:ascii="宋体" w:hAnsi="宋体"/>
          <w:b w:val="0"/>
          <w:snapToGrid w:val="0"/>
          <w:color w:val="auto"/>
          <w:highlight w:val="none"/>
        </w:rPr>
      </w:pPr>
      <w:bookmarkStart w:id="649" w:name="_Toc27983304"/>
      <w:bookmarkStart w:id="650" w:name="_Toc224103388"/>
      <w:bookmarkStart w:id="651" w:name="_Toc287607816"/>
      <w:bookmarkStart w:id="652" w:name="_Toc430530504"/>
      <w:bookmarkStart w:id="653" w:name="_Toc509218780"/>
      <w:bookmarkStart w:id="654" w:name="_Toc277082622"/>
      <w:bookmarkStart w:id="655" w:name="_Toc287620755"/>
      <w:bookmarkStart w:id="656" w:name="_Toc200513202"/>
      <w:r>
        <w:rPr>
          <w:rFonts w:ascii="宋体" w:hAnsi="宋体"/>
          <w:b w:val="0"/>
          <w:snapToGrid w:val="0"/>
          <w:color w:val="auto"/>
          <w:highlight w:val="none"/>
        </w:rPr>
        <w:t xml:space="preserve">3.  </w:t>
      </w:r>
      <w:r>
        <w:rPr>
          <w:rFonts w:hint="eastAsia" w:ascii="宋体" w:hAnsi="宋体"/>
          <w:b w:val="0"/>
          <w:snapToGrid w:val="0"/>
          <w:color w:val="auto"/>
          <w:highlight w:val="none"/>
        </w:rPr>
        <w:t>评选</w:t>
      </w:r>
      <w:r>
        <w:rPr>
          <w:rFonts w:ascii="宋体" w:hAnsi="宋体"/>
          <w:b w:val="0"/>
          <w:snapToGrid w:val="0"/>
          <w:color w:val="auto"/>
          <w:highlight w:val="none"/>
        </w:rPr>
        <w:t>程序</w:t>
      </w:r>
      <w:bookmarkEnd w:id="649"/>
      <w:bookmarkEnd w:id="650"/>
      <w:bookmarkEnd w:id="651"/>
      <w:bookmarkEnd w:id="652"/>
      <w:bookmarkEnd w:id="653"/>
      <w:bookmarkEnd w:id="654"/>
      <w:bookmarkEnd w:id="655"/>
      <w:bookmarkEnd w:id="656"/>
    </w:p>
    <w:p w14:paraId="1EAE2960">
      <w:pPr>
        <w:pStyle w:val="5"/>
        <w:snapToGrid w:val="0"/>
        <w:spacing w:before="0" w:after="0" w:line="360" w:lineRule="auto"/>
        <w:rPr>
          <w:rFonts w:ascii="宋体" w:hAnsi="宋体"/>
          <w:b w:val="0"/>
          <w:snapToGrid w:val="0"/>
          <w:color w:val="auto"/>
          <w:sz w:val="24"/>
          <w:szCs w:val="24"/>
          <w:highlight w:val="none"/>
        </w:rPr>
      </w:pPr>
      <w:bookmarkStart w:id="657" w:name="_Toc287620756"/>
      <w:bookmarkStart w:id="658" w:name="_Toc224103389"/>
      <w:bookmarkStart w:id="659" w:name="_Toc277082623"/>
      <w:bookmarkStart w:id="660" w:name="_Toc287607817"/>
      <w:bookmarkStart w:id="661" w:name="_Toc27983305"/>
      <w:bookmarkStart w:id="662" w:name="_Toc509218781"/>
      <w:bookmarkStart w:id="663" w:name="_Toc430530505"/>
      <w:bookmarkStart w:id="664" w:name="_Toc200513203"/>
      <w:r>
        <w:rPr>
          <w:rFonts w:ascii="宋体" w:hAnsi="宋体"/>
          <w:b w:val="0"/>
          <w:snapToGrid w:val="0"/>
          <w:color w:val="auto"/>
          <w:sz w:val="24"/>
          <w:szCs w:val="24"/>
          <w:highlight w:val="none"/>
        </w:rPr>
        <w:t>3.1  初步评审</w:t>
      </w:r>
      <w:bookmarkEnd w:id="657"/>
      <w:bookmarkEnd w:id="658"/>
      <w:bookmarkEnd w:id="659"/>
      <w:bookmarkEnd w:id="660"/>
      <w:bookmarkEnd w:id="661"/>
      <w:bookmarkEnd w:id="662"/>
      <w:bookmarkEnd w:id="663"/>
      <w:bookmarkEnd w:id="664"/>
    </w:p>
    <w:p w14:paraId="40B78B70">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 xml:space="preserve">3.1.1  </w:t>
      </w:r>
      <w:r>
        <w:rPr>
          <w:rFonts w:hint="eastAsia" w:ascii="宋体" w:hAnsi="宋体"/>
          <w:color w:val="auto"/>
          <w:kern w:val="0"/>
          <w:szCs w:val="21"/>
          <w:highlight w:val="none"/>
        </w:rPr>
        <w:t>评选</w:t>
      </w:r>
      <w:r>
        <w:rPr>
          <w:rFonts w:ascii="宋体" w:hAnsi="宋体"/>
          <w:color w:val="auto"/>
          <w:kern w:val="0"/>
          <w:szCs w:val="21"/>
          <w:highlight w:val="none"/>
        </w:rPr>
        <w:t>委员会依据本章第2.1.1项、</w:t>
      </w:r>
      <w:r>
        <w:rPr>
          <w:rFonts w:hint="eastAsia" w:ascii="宋体" w:hAnsi="宋体"/>
          <w:color w:val="auto"/>
          <w:kern w:val="0"/>
          <w:szCs w:val="21"/>
          <w:highlight w:val="none"/>
        </w:rPr>
        <w:t>2.1.2和</w:t>
      </w:r>
      <w:r>
        <w:rPr>
          <w:rFonts w:ascii="宋体" w:hAnsi="宋体"/>
          <w:color w:val="auto"/>
          <w:kern w:val="0"/>
          <w:szCs w:val="21"/>
          <w:highlight w:val="none"/>
        </w:rPr>
        <w:t>第2.1.3项规定的评审标准对</w:t>
      </w:r>
      <w:r>
        <w:rPr>
          <w:rFonts w:hint="eastAsia" w:ascii="宋体" w:hAnsi="宋体"/>
          <w:color w:val="auto"/>
          <w:kern w:val="0"/>
          <w:szCs w:val="21"/>
          <w:highlight w:val="none"/>
        </w:rPr>
        <w:t>竞选文件</w:t>
      </w:r>
      <w:r>
        <w:rPr>
          <w:rFonts w:ascii="宋体" w:hAnsi="宋体"/>
          <w:color w:val="auto"/>
          <w:kern w:val="0"/>
          <w:szCs w:val="21"/>
          <w:highlight w:val="none"/>
        </w:rPr>
        <w:t>进行初步评审。有一项不符合评审标准的，</w:t>
      </w:r>
      <w:r>
        <w:rPr>
          <w:rFonts w:hint="eastAsia" w:ascii="宋体" w:hAnsi="宋体"/>
          <w:color w:val="auto"/>
          <w:kern w:val="0"/>
          <w:szCs w:val="21"/>
          <w:highlight w:val="none"/>
        </w:rPr>
        <w:t>作否决竞选</w:t>
      </w:r>
      <w:r>
        <w:rPr>
          <w:rFonts w:ascii="宋体" w:hAnsi="宋体"/>
          <w:color w:val="auto"/>
          <w:kern w:val="0"/>
          <w:szCs w:val="21"/>
          <w:highlight w:val="none"/>
        </w:rPr>
        <w:t>处理。当</w:t>
      </w:r>
      <w:r>
        <w:rPr>
          <w:rFonts w:hint="eastAsia" w:ascii="宋体" w:hAnsi="宋体"/>
          <w:color w:val="auto"/>
          <w:kern w:val="0"/>
          <w:szCs w:val="21"/>
          <w:highlight w:val="none"/>
        </w:rPr>
        <w:t>竞选人</w:t>
      </w:r>
      <w:r>
        <w:rPr>
          <w:rFonts w:ascii="宋体" w:hAnsi="宋体"/>
          <w:color w:val="auto"/>
          <w:kern w:val="0"/>
          <w:szCs w:val="21"/>
          <w:highlight w:val="none"/>
        </w:rPr>
        <w:t>资格预审申请文件的内容发生重大变化时，</w:t>
      </w:r>
      <w:r>
        <w:rPr>
          <w:rFonts w:hint="eastAsia" w:ascii="宋体" w:hAnsi="宋体"/>
          <w:color w:val="auto"/>
          <w:kern w:val="0"/>
          <w:szCs w:val="21"/>
          <w:highlight w:val="none"/>
        </w:rPr>
        <w:t>评选</w:t>
      </w:r>
      <w:r>
        <w:rPr>
          <w:rFonts w:ascii="宋体" w:hAnsi="宋体"/>
          <w:color w:val="auto"/>
          <w:kern w:val="0"/>
          <w:szCs w:val="21"/>
          <w:highlight w:val="none"/>
        </w:rPr>
        <w:t>委员会依据本章第2.1.2项规定的标准对其更新资料进行评审。</w:t>
      </w:r>
    </w:p>
    <w:p w14:paraId="78364983">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 xml:space="preserve">3.1.2  </w:t>
      </w:r>
      <w:r>
        <w:rPr>
          <w:rFonts w:hint="eastAsia" w:ascii="宋体" w:hAnsi="宋体"/>
          <w:color w:val="auto"/>
          <w:kern w:val="0"/>
          <w:szCs w:val="21"/>
          <w:highlight w:val="none"/>
        </w:rPr>
        <w:t>竞选人</w:t>
      </w:r>
      <w:r>
        <w:rPr>
          <w:rFonts w:ascii="宋体" w:hAnsi="宋体"/>
          <w:color w:val="auto"/>
          <w:kern w:val="0"/>
          <w:szCs w:val="21"/>
          <w:highlight w:val="none"/>
        </w:rPr>
        <w:t>有以下情形之一的，</w:t>
      </w:r>
      <w:r>
        <w:rPr>
          <w:rFonts w:hint="eastAsia" w:ascii="宋体" w:hAnsi="宋体"/>
          <w:color w:val="auto"/>
          <w:kern w:val="0"/>
          <w:szCs w:val="21"/>
          <w:highlight w:val="none"/>
        </w:rPr>
        <w:t>作否决竞选</w:t>
      </w:r>
      <w:r>
        <w:rPr>
          <w:rFonts w:ascii="宋体" w:hAnsi="宋体"/>
          <w:color w:val="auto"/>
          <w:kern w:val="0"/>
          <w:szCs w:val="21"/>
          <w:highlight w:val="none"/>
        </w:rPr>
        <w:t>处理：</w:t>
      </w:r>
    </w:p>
    <w:p w14:paraId="6E1B1CD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（1）与比选人存在利害关系可能影响比选公正性的法人、其他组织或者个人；</w:t>
      </w:r>
    </w:p>
    <w:p w14:paraId="0F0C786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（2）为本项目的代理人；</w:t>
      </w:r>
    </w:p>
    <w:p w14:paraId="4B7D67C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（3）为本项目的代建人；</w:t>
      </w:r>
    </w:p>
    <w:p w14:paraId="4927F14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（4）为本项目提供比选代理服务的；</w:t>
      </w:r>
    </w:p>
    <w:p w14:paraId="385820D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（5）与本项目的代建人或比选代理机构同为一个法定代表人的；</w:t>
      </w:r>
    </w:p>
    <w:p w14:paraId="71DB812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（6）与本项目的代建人或比选代理机构相互控股或参股的；</w:t>
      </w:r>
    </w:p>
    <w:p w14:paraId="1A32BC5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（7）与本项目的代建人或比选代理机构相互任职或工作的；</w:t>
      </w:r>
    </w:p>
    <w:p w14:paraId="5A18E35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（8）被责令停业的；</w:t>
      </w:r>
    </w:p>
    <w:p w14:paraId="2EFCE17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（9）被暂停或取消投标资格的；</w:t>
      </w:r>
    </w:p>
    <w:p w14:paraId="6FBBBF6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（10）财产被接管或冻结的；</w:t>
      </w:r>
    </w:p>
    <w:p w14:paraId="79B5CCA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（11）单位负责人为同一人或者存在控股、管理关系的不同单位，不得在同一标段同时参加竞选。</w:t>
      </w:r>
    </w:p>
    <w:p w14:paraId="2395CA5A">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 xml:space="preserve">3.1.3  </w:t>
      </w:r>
      <w:r>
        <w:rPr>
          <w:rFonts w:hint="eastAsia" w:ascii="宋体" w:hAnsi="宋体"/>
          <w:color w:val="auto"/>
          <w:kern w:val="0"/>
          <w:szCs w:val="21"/>
          <w:highlight w:val="none"/>
        </w:rPr>
        <w:t>竞选总报价</w:t>
      </w:r>
      <w:r>
        <w:rPr>
          <w:rFonts w:ascii="宋体" w:hAnsi="宋体"/>
          <w:color w:val="auto"/>
          <w:kern w:val="0"/>
          <w:szCs w:val="21"/>
          <w:highlight w:val="none"/>
        </w:rPr>
        <w:t>有算术错误的，</w:t>
      </w:r>
      <w:r>
        <w:rPr>
          <w:rFonts w:hint="eastAsia" w:ascii="宋体" w:hAnsi="宋体"/>
          <w:color w:val="auto"/>
          <w:kern w:val="0"/>
          <w:szCs w:val="21"/>
          <w:highlight w:val="none"/>
        </w:rPr>
        <w:t>评选</w:t>
      </w:r>
      <w:r>
        <w:rPr>
          <w:rFonts w:ascii="宋体" w:hAnsi="宋体"/>
          <w:color w:val="auto"/>
          <w:kern w:val="0"/>
          <w:szCs w:val="21"/>
          <w:highlight w:val="none"/>
        </w:rPr>
        <w:t>委员会按以下原则对</w:t>
      </w:r>
      <w:r>
        <w:rPr>
          <w:rFonts w:hint="eastAsia" w:ascii="宋体" w:hAnsi="宋体"/>
          <w:color w:val="auto"/>
          <w:kern w:val="0"/>
          <w:szCs w:val="21"/>
          <w:highlight w:val="none"/>
        </w:rPr>
        <w:t>竞选总报价</w:t>
      </w:r>
      <w:r>
        <w:rPr>
          <w:rFonts w:ascii="宋体" w:hAnsi="宋体"/>
          <w:color w:val="auto"/>
          <w:kern w:val="0"/>
          <w:szCs w:val="21"/>
          <w:highlight w:val="none"/>
        </w:rPr>
        <w:t>进行修正，修正的价格经</w:t>
      </w:r>
      <w:r>
        <w:rPr>
          <w:rFonts w:hint="eastAsia" w:ascii="宋体" w:hAnsi="宋体"/>
          <w:color w:val="auto"/>
          <w:kern w:val="0"/>
          <w:szCs w:val="21"/>
          <w:highlight w:val="none"/>
        </w:rPr>
        <w:t>竞选人</w:t>
      </w:r>
      <w:r>
        <w:rPr>
          <w:rFonts w:ascii="宋体" w:hAnsi="宋体"/>
          <w:color w:val="auto"/>
          <w:kern w:val="0"/>
          <w:szCs w:val="21"/>
          <w:highlight w:val="none"/>
        </w:rPr>
        <w:t>书面确认后具有约束力。</w:t>
      </w:r>
      <w:r>
        <w:rPr>
          <w:rFonts w:hint="eastAsia" w:ascii="宋体" w:hAnsi="宋体"/>
          <w:color w:val="auto"/>
          <w:kern w:val="0"/>
          <w:szCs w:val="21"/>
          <w:highlight w:val="none"/>
        </w:rPr>
        <w:t>竞选人</w:t>
      </w:r>
      <w:r>
        <w:rPr>
          <w:rFonts w:ascii="宋体" w:hAnsi="宋体"/>
          <w:color w:val="auto"/>
          <w:kern w:val="0"/>
          <w:szCs w:val="21"/>
          <w:highlight w:val="none"/>
        </w:rPr>
        <w:t>不接受修正价格的，</w:t>
      </w:r>
      <w:r>
        <w:rPr>
          <w:rFonts w:hint="eastAsia" w:ascii="宋体" w:hAnsi="宋体"/>
          <w:color w:val="auto"/>
          <w:kern w:val="0"/>
          <w:szCs w:val="21"/>
          <w:highlight w:val="none"/>
        </w:rPr>
        <w:t>作否决竞选</w:t>
      </w:r>
      <w:r>
        <w:rPr>
          <w:rFonts w:ascii="宋体" w:hAnsi="宋体"/>
          <w:color w:val="auto"/>
          <w:kern w:val="0"/>
          <w:szCs w:val="21"/>
          <w:highlight w:val="none"/>
        </w:rPr>
        <w:t>处理。</w:t>
      </w:r>
    </w:p>
    <w:p w14:paraId="6162C3EF">
      <w:pPr>
        <w:autoSpaceDE w:val="0"/>
        <w:autoSpaceDN w:val="0"/>
        <w:adjustRightInd w:val="0"/>
        <w:snapToGrid w:val="0"/>
        <w:spacing w:line="360" w:lineRule="auto"/>
        <w:ind w:firstLine="532"/>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竞选文件</w:t>
      </w:r>
      <w:r>
        <w:rPr>
          <w:rFonts w:ascii="宋体" w:hAnsi="宋体"/>
          <w:color w:val="auto"/>
          <w:kern w:val="0"/>
          <w:szCs w:val="21"/>
          <w:highlight w:val="none"/>
        </w:rPr>
        <w:t>中的大写金额与小写金额不一致的，以大写金额为准；</w:t>
      </w:r>
    </w:p>
    <w:p w14:paraId="6B430545">
      <w:pPr>
        <w:autoSpaceDE w:val="0"/>
        <w:autoSpaceDN w:val="0"/>
        <w:adjustRightInd w:val="0"/>
        <w:snapToGrid w:val="0"/>
        <w:spacing w:line="360" w:lineRule="auto"/>
        <w:ind w:firstLine="532"/>
        <w:rPr>
          <w:rFonts w:ascii="宋体" w:hAnsi="宋体"/>
          <w:color w:val="auto"/>
          <w:kern w:val="0"/>
          <w:szCs w:val="21"/>
          <w:highlight w:val="none"/>
        </w:rPr>
      </w:pPr>
      <w:r>
        <w:rPr>
          <w:rFonts w:ascii="宋体" w:hAnsi="宋体"/>
          <w:color w:val="auto"/>
          <w:kern w:val="0"/>
          <w:szCs w:val="21"/>
          <w:highlight w:val="none"/>
        </w:rPr>
        <w:t>（2）总价金额与依据</w:t>
      </w:r>
      <w:r>
        <w:rPr>
          <w:rFonts w:hint="eastAsia" w:ascii="宋体" w:hAnsi="宋体"/>
          <w:color w:val="auto"/>
          <w:kern w:val="0"/>
          <w:szCs w:val="21"/>
          <w:highlight w:val="none"/>
        </w:rPr>
        <w:t>综合费率</w:t>
      </w:r>
      <w:r>
        <w:rPr>
          <w:rFonts w:ascii="宋体" w:hAnsi="宋体"/>
          <w:color w:val="auto"/>
          <w:kern w:val="0"/>
          <w:szCs w:val="21"/>
          <w:highlight w:val="none"/>
        </w:rPr>
        <w:t>计算出的结果不一致的，以</w:t>
      </w:r>
      <w:r>
        <w:rPr>
          <w:rFonts w:hint="eastAsia" w:ascii="宋体" w:hAnsi="宋体"/>
          <w:color w:val="auto"/>
          <w:kern w:val="0"/>
          <w:szCs w:val="21"/>
          <w:highlight w:val="none"/>
        </w:rPr>
        <w:t>综合费率</w:t>
      </w:r>
      <w:r>
        <w:rPr>
          <w:rFonts w:ascii="宋体" w:hAnsi="宋体"/>
          <w:color w:val="auto"/>
          <w:kern w:val="0"/>
          <w:szCs w:val="21"/>
          <w:highlight w:val="none"/>
        </w:rPr>
        <w:t>为准修正总价，但</w:t>
      </w:r>
      <w:r>
        <w:rPr>
          <w:rFonts w:hint="eastAsia" w:ascii="宋体" w:hAnsi="宋体"/>
          <w:color w:val="auto"/>
          <w:kern w:val="0"/>
          <w:szCs w:val="21"/>
          <w:highlight w:val="none"/>
        </w:rPr>
        <w:t>综合费率</w:t>
      </w:r>
      <w:r>
        <w:rPr>
          <w:rFonts w:ascii="宋体" w:hAnsi="宋体"/>
          <w:color w:val="auto"/>
          <w:kern w:val="0"/>
          <w:szCs w:val="21"/>
          <w:highlight w:val="none"/>
        </w:rPr>
        <w:t>小数点有明显错误的除外。</w:t>
      </w:r>
    </w:p>
    <w:p w14:paraId="26F1A465">
      <w:pPr>
        <w:autoSpaceDE w:val="0"/>
        <w:autoSpaceDN w:val="0"/>
        <w:adjustRightInd w:val="0"/>
        <w:snapToGrid w:val="0"/>
        <w:spacing w:line="360" w:lineRule="auto"/>
        <w:ind w:firstLine="532"/>
        <w:rPr>
          <w:rFonts w:ascii="宋体" w:hAnsi="宋体"/>
          <w:color w:val="auto"/>
          <w:kern w:val="0"/>
          <w:szCs w:val="21"/>
          <w:highlight w:val="none"/>
        </w:rPr>
      </w:pPr>
      <w:r>
        <w:rPr>
          <w:rFonts w:hint="eastAsia" w:ascii="宋体" w:hAnsi="宋体"/>
          <w:color w:val="auto"/>
          <w:kern w:val="0"/>
          <w:szCs w:val="21"/>
          <w:highlight w:val="none"/>
        </w:rPr>
        <w:t>（3）比选文件规定的其他关于修正的要求。</w:t>
      </w:r>
    </w:p>
    <w:p w14:paraId="175FC26F">
      <w:pPr>
        <w:pStyle w:val="5"/>
        <w:snapToGrid w:val="0"/>
        <w:spacing w:before="0" w:after="0" w:line="360" w:lineRule="auto"/>
        <w:rPr>
          <w:rFonts w:ascii="宋体" w:hAnsi="宋体"/>
          <w:b w:val="0"/>
          <w:snapToGrid w:val="0"/>
          <w:color w:val="auto"/>
          <w:sz w:val="24"/>
          <w:szCs w:val="24"/>
          <w:highlight w:val="none"/>
        </w:rPr>
      </w:pPr>
      <w:bookmarkStart w:id="665" w:name="_Toc27983306"/>
      <w:bookmarkStart w:id="666" w:name="_Toc430530506"/>
      <w:bookmarkStart w:id="667" w:name="_Toc277082624"/>
      <w:bookmarkStart w:id="668" w:name="_Toc224103390"/>
      <w:bookmarkStart w:id="669" w:name="_Toc509218782"/>
      <w:bookmarkStart w:id="670" w:name="_Toc200513204"/>
      <w:bookmarkStart w:id="671" w:name="_Toc287620757"/>
      <w:bookmarkStart w:id="672" w:name="_Toc287607818"/>
      <w:r>
        <w:rPr>
          <w:rFonts w:ascii="宋体" w:hAnsi="宋体"/>
          <w:b w:val="0"/>
          <w:snapToGrid w:val="0"/>
          <w:color w:val="auto"/>
          <w:sz w:val="24"/>
          <w:szCs w:val="24"/>
          <w:highlight w:val="none"/>
        </w:rPr>
        <w:t>3.2  详细评</w:t>
      </w:r>
      <w:bookmarkEnd w:id="665"/>
      <w:bookmarkEnd w:id="666"/>
      <w:bookmarkEnd w:id="667"/>
      <w:bookmarkEnd w:id="668"/>
      <w:bookmarkEnd w:id="669"/>
      <w:bookmarkEnd w:id="670"/>
      <w:bookmarkEnd w:id="671"/>
      <w:bookmarkEnd w:id="672"/>
      <w:r>
        <w:rPr>
          <w:rFonts w:hint="eastAsia" w:ascii="宋体" w:hAnsi="宋体"/>
          <w:b w:val="0"/>
          <w:snapToGrid w:val="0"/>
          <w:color w:val="auto"/>
          <w:sz w:val="24"/>
          <w:szCs w:val="24"/>
          <w:highlight w:val="none"/>
        </w:rPr>
        <w:t>选</w:t>
      </w:r>
    </w:p>
    <w:p w14:paraId="249D91E2">
      <w:pPr>
        <w:snapToGrid w:val="0"/>
        <w:spacing w:line="360" w:lineRule="auto"/>
        <w:ind w:firstLine="480" w:firstLineChars="200"/>
        <w:rPr>
          <w:rFonts w:ascii="宋体" w:hAnsi="宋体"/>
          <w:snapToGrid w:val="0"/>
          <w:color w:val="auto"/>
          <w:sz w:val="24"/>
          <w:highlight w:val="none"/>
        </w:rPr>
      </w:pPr>
      <w:bookmarkStart w:id="673" w:name="_Toc287607819"/>
      <w:bookmarkStart w:id="674" w:name="_Toc224103391"/>
      <w:bookmarkStart w:id="675" w:name="_Toc200513205"/>
      <w:bookmarkStart w:id="676" w:name="_Toc287620758"/>
      <w:bookmarkStart w:id="677" w:name="_Toc430530507"/>
      <w:bookmarkStart w:id="678" w:name="_Toc27983307"/>
      <w:bookmarkStart w:id="679" w:name="_Toc277082625"/>
      <w:bookmarkStart w:id="680" w:name="_Toc509218783"/>
      <w:r>
        <w:rPr>
          <w:rFonts w:hint="eastAsia" w:ascii="宋体" w:hAnsi="宋体"/>
          <w:snapToGrid w:val="0"/>
          <w:color w:val="auto"/>
          <w:sz w:val="24"/>
          <w:highlight w:val="none"/>
        </w:rPr>
        <w:t>详见评选办法前附表。</w:t>
      </w:r>
    </w:p>
    <w:p w14:paraId="651C9637">
      <w:pPr>
        <w:pStyle w:val="5"/>
        <w:snapToGrid w:val="0"/>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的澄清和补正</w:t>
      </w:r>
      <w:bookmarkEnd w:id="673"/>
      <w:bookmarkEnd w:id="674"/>
      <w:bookmarkEnd w:id="675"/>
      <w:bookmarkEnd w:id="676"/>
      <w:bookmarkEnd w:id="677"/>
      <w:bookmarkEnd w:id="678"/>
      <w:bookmarkEnd w:id="679"/>
      <w:bookmarkEnd w:id="680"/>
    </w:p>
    <w:p w14:paraId="5073946B">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3.3.1  在</w:t>
      </w:r>
      <w:r>
        <w:rPr>
          <w:rFonts w:hint="eastAsia" w:ascii="宋体" w:hAnsi="宋体"/>
          <w:color w:val="auto"/>
          <w:kern w:val="0"/>
          <w:szCs w:val="21"/>
          <w:highlight w:val="none"/>
        </w:rPr>
        <w:t>评选</w:t>
      </w:r>
      <w:r>
        <w:rPr>
          <w:rFonts w:ascii="宋体" w:hAnsi="宋体"/>
          <w:color w:val="auto"/>
          <w:kern w:val="0"/>
          <w:szCs w:val="21"/>
          <w:highlight w:val="none"/>
        </w:rPr>
        <w:t>过程中，</w:t>
      </w:r>
      <w:r>
        <w:rPr>
          <w:rFonts w:hint="eastAsia" w:ascii="宋体" w:hAnsi="宋体"/>
          <w:color w:val="auto"/>
          <w:kern w:val="0"/>
          <w:szCs w:val="21"/>
          <w:highlight w:val="none"/>
        </w:rPr>
        <w:t>评选</w:t>
      </w:r>
      <w:r>
        <w:rPr>
          <w:rFonts w:ascii="宋体" w:hAnsi="宋体"/>
          <w:color w:val="auto"/>
          <w:kern w:val="0"/>
          <w:szCs w:val="21"/>
          <w:highlight w:val="none"/>
        </w:rPr>
        <w:t>委员会可以书面形式要求</w:t>
      </w:r>
      <w:r>
        <w:rPr>
          <w:rFonts w:hint="eastAsia" w:ascii="宋体" w:hAnsi="宋体"/>
          <w:color w:val="auto"/>
          <w:kern w:val="0"/>
          <w:szCs w:val="21"/>
          <w:highlight w:val="none"/>
        </w:rPr>
        <w:t>竞选人</w:t>
      </w:r>
      <w:r>
        <w:rPr>
          <w:rFonts w:ascii="宋体" w:hAnsi="宋体"/>
          <w:color w:val="auto"/>
          <w:kern w:val="0"/>
          <w:szCs w:val="21"/>
          <w:highlight w:val="none"/>
        </w:rPr>
        <w:t>对所提交</w:t>
      </w:r>
      <w:r>
        <w:rPr>
          <w:rFonts w:hint="eastAsia" w:ascii="宋体" w:hAnsi="宋体"/>
          <w:color w:val="auto"/>
          <w:kern w:val="0"/>
          <w:szCs w:val="21"/>
          <w:highlight w:val="none"/>
        </w:rPr>
        <w:t>竞选文件</w:t>
      </w:r>
      <w:r>
        <w:rPr>
          <w:rFonts w:ascii="宋体" w:hAnsi="宋体"/>
          <w:color w:val="auto"/>
          <w:kern w:val="0"/>
          <w:szCs w:val="21"/>
          <w:highlight w:val="none"/>
        </w:rPr>
        <w:t>中不明确的内容进行书面澄清或说明，或者对细微偏差进行补正。</w:t>
      </w:r>
      <w:r>
        <w:rPr>
          <w:rFonts w:hint="eastAsia" w:ascii="宋体" w:hAnsi="宋体"/>
          <w:color w:val="auto"/>
          <w:kern w:val="0"/>
          <w:szCs w:val="21"/>
          <w:highlight w:val="none"/>
        </w:rPr>
        <w:t>评选</w:t>
      </w:r>
      <w:r>
        <w:rPr>
          <w:rFonts w:ascii="宋体" w:hAnsi="宋体"/>
          <w:color w:val="auto"/>
          <w:kern w:val="0"/>
          <w:szCs w:val="21"/>
          <w:highlight w:val="none"/>
        </w:rPr>
        <w:t>委员会不接受</w:t>
      </w:r>
      <w:r>
        <w:rPr>
          <w:rFonts w:hint="eastAsia" w:ascii="宋体" w:hAnsi="宋体"/>
          <w:color w:val="auto"/>
          <w:kern w:val="0"/>
          <w:szCs w:val="21"/>
          <w:highlight w:val="none"/>
        </w:rPr>
        <w:t>竞选人</w:t>
      </w:r>
      <w:r>
        <w:rPr>
          <w:rFonts w:ascii="宋体" w:hAnsi="宋体"/>
          <w:color w:val="auto"/>
          <w:kern w:val="0"/>
          <w:szCs w:val="21"/>
          <w:highlight w:val="none"/>
        </w:rPr>
        <w:t>主动提出的澄清、说明或补正。</w:t>
      </w:r>
    </w:p>
    <w:p w14:paraId="31995CD0">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3.3.2  澄清、说明和补正不得改变</w:t>
      </w:r>
      <w:r>
        <w:rPr>
          <w:rFonts w:hint="eastAsia" w:ascii="宋体" w:hAnsi="宋体"/>
          <w:color w:val="auto"/>
          <w:kern w:val="0"/>
          <w:szCs w:val="21"/>
          <w:highlight w:val="none"/>
        </w:rPr>
        <w:t>竞选文件</w:t>
      </w:r>
      <w:r>
        <w:rPr>
          <w:rFonts w:ascii="宋体" w:hAnsi="宋体"/>
          <w:color w:val="auto"/>
          <w:kern w:val="0"/>
          <w:szCs w:val="21"/>
          <w:highlight w:val="none"/>
        </w:rPr>
        <w:t>的实质性内容（算术性错误修正的除外）。</w:t>
      </w:r>
      <w:r>
        <w:rPr>
          <w:rFonts w:hint="eastAsia" w:ascii="宋体" w:hAnsi="宋体"/>
          <w:color w:val="auto"/>
          <w:kern w:val="0"/>
          <w:szCs w:val="21"/>
          <w:highlight w:val="none"/>
        </w:rPr>
        <w:t>竞选人</w:t>
      </w:r>
      <w:r>
        <w:rPr>
          <w:rFonts w:ascii="宋体" w:hAnsi="宋体"/>
          <w:color w:val="auto"/>
          <w:kern w:val="0"/>
          <w:szCs w:val="21"/>
          <w:highlight w:val="none"/>
        </w:rPr>
        <w:t>的书面澄清、说明和补正属于</w:t>
      </w:r>
      <w:r>
        <w:rPr>
          <w:rFonts w:hint="eastAsia" w:ascii="宋体" w:hAnsi="宋体"/>
          <w:color w:val="auto"/>
          <w:kern w:val="0"/>
          <w:szCs w:val="21"/>
          <w:highlight w:val="none"/>
        </w:rPr>
        <w:t>竞选文件</w:t>
      </w:r>
      <w:r>
        <w:rPr>
          <w:rFonts w:ascii="宋体" w:hAnsi="宋体"/>
          <w:color w:val="auto"/>
          <w:kern w:val="0"/>
          <w:szCs w:val="21"/>
          <w:highlight w:val="none"/>
        </w:rPr>
        <w:t>的组成部分。</w:t>
      </w:r>
    </w:p>
    <w:p w14:paraId="4753D0DD">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 xml:space="preserve">3.3.3  </w:t>
      </w:r>
      <w:r>
        <w:rPr>
          <w:rFonts w:hint="eastAsia" w:ascii="宋体" w:hAnsi="宋体"/>
          <w:color w:val="auto"/>
          <w:kern w:val="0"/>
          <w:szCs w:val="21"/>
          <w:highlight w:val="none"/>
        </w:rPr>
        <w:t>评选</w:t>
      </w:r>
      <w:r>
        <w:rPr>
          <w:rFonts w:ascii="宋体" w:hAnsi="宋体"/>
          <w:color w:val="auto"/>
          <w:kern w:val="0"/>
          <w:szCs w:val="21"/>
          <w:highlight w:val="none"/>
        </w:rPr>
        <w:t>委员会对</w:t>
      </w:r>
      <w:r>
        <w:rPr>
          <w:rFonts w:hint="eastAsia" w:ascii="宋体" w:hAnsi="宋体"/>
          <w:color w:val="auto"/>
          <w:kern w:val="0"/>
          <w:szCs w:val="21"/>
          <w:highlight w:val="none"/>
        </w:rPr>
        <w:t>竞选人</w:t>
      </w:r>
      <w:r>
        <w:rPr>
          <w:rFonts w:ascii="宋体" w:hAnsi="宋体"/>
          <w:color w:val="auto"/>
          <w:kern w:val="0"/>
          <w:szCs w:val="21"/>
          <w:highlight w:val="none"/>
        </w:rPr>
        <w:t>提交的澄清、说明或补正有疑问的，可以要求</w:t>
      </w:r>
      <w:r>
        <w:rPr>
          <w:rFonts w:hint="eastAsia" w:ascii="宋体" w:hAnsi="宋体"/>
          <w:color w:val="auto"/>
          <w:kern w:val="0"/>
          <w:szCs w:val="21"/>
          <w:highlight w:val="none"/>
        </w:rPr>
        <w:t>竞选人</w:t>
      </w:r>
      <w:r>
        <w:rPr>
          <w:rFonts w:ascii="宋体" w:hAnsi="宋体"/>
          <w:color w:val="auto"/>
          <w:kern w:val="0"/>
          <w:szCs w:val="21"/>
          <w:highlight w:val="none"/>
        </w:rPr>
        <w:t>进一步澄清、说明或补正，直至满足</w:t>
      </w:r>
      <w:r>
        <w:rPr>
          <w:rFonts w:hint="eastAsia" w:ascii="宋体" w:hAnsi="宋体"/>
          <w:color w:val="auto"/>
          <w:kern w:val="0"/>
          <w:szCs w:val="21"/>
          <w:highlight w:val="none"/>
        </w:rPr>
        <w:t>评选</w:t>
      </w:r>
      <w:r>
        <w:rPr>
          <w:rFonts w:ascii="宋体" w:hAnsi="宋体"/>
          <w:color w:val="auto"/>
          <w:kern w:val="0"/>
          <w:szCs w:val="21"/>
          <w:highlight w:val="none"/>
        </w:rPr>
        <w:t>委员会的要求。</w:t>
      </w:r>
    </w:p>
    <w:p w14:paraId="68207403">
      <w:pPr>
        <w:autoSpaceDE w:val="0"/>
        <w:autoSpaceDN w:val="0"/>
        <w:adjustRightInd w:val="0"/>
        <w:snapToGrid w:val="0"/>
        <w:spacing w:line="360" w:lineRule="auto"/>
        <w:ind w:firstLine="535" w:firstLineChars="255"/>
        <w:rPr>
          <w:rFonts w:ascii="宋体" w:hAnsi="宋体"/>
          <w:color w:val="auto"/>
          <w:kern w:val="0"/>
          <w:szCs w:val="21"/>
          <w:highlight w:val="none"/>
        </w:rPr>
      </w:pPr>
      <w:bookmarkStart w:id="681" w:name="_Toc277082626"/>
      <w:bookmarkStart w:id="682" w:name="_Toc224103392"/>
      <w:bookmarkStart w:id="683" w:name="_Toc27983308"/>
      <w:bookmarkStart w:id="684" w:name="_Toc200513206"/>
      <w:bookmarkStart w:id="685" w:name="_Toc430530508"/>
      <w:bookmarkStart w:id="686" w:name="_Toc287607820"/>
      <w:bookmarkStart w:id="687" w:name="_Toc509218784"/>
      <w:bookmarkStart w:id="688" w:name="_Toc287620759"/>
      <w:r>
        <w:rPr>
          <w:rFonts w:ascii="宋体" w:hAnsi="宋体"/>
          <w:color w:val="auto"/>
          <w:kern w:val="0"/>
          <w:szCs w:val="21"/>
          <w:highlight w:val="none"/>
        </w:rPr>
        <w:t xml:space="preserve">3.4  </w:t>
      </w:r>
      <w:r>
        <w:rPr>
          <w:rFonts w:hint="eastAsia" w:ascii="宋体" w:hAnsi="宋体"/>
          <w:color w:val="auto"/>
          <w:kern w:val="0"/>
          <w:szCs w:val="21"/>
          <w:highlight w:val="none"/>
        </w:rPr>
        <w:t>评选</w:t>
      </w:r>
      <w:r>
        <w:rPr>
          <w:rFonts w:ascii="宋体" w:hAnsi="宋体"/>
          <w:color w:val="auto"/>
          <w:kern w:val="0"/>
          <w:szCs w:val="21"/>
          <w:highlight w:val="none"/>
        </w:rPr>
        <w:t>结果</w:t>
      </w:r>
      <w:bookmarkEnd w:id="681"/>
      <w:bookmarkEnd w:id="682"/>
      <w:bookmarkEnd w:id="683"/>
      <w:bookmarkEnd w:id="684"/>
      <w:bookmarkEnd w:id="685"/>
      <w:bookmarkEnd w:id="686"/>
      <w:bookmarkEnd w:id="687"/>
      <w:bookmarkEnd w:id="688"/>
    </w:p>
    <w:p w14:paraId="15766669">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3.4.1  除第二章“</w:t>
      </w:r>
      <w:r>
        <w:rPr>
          <w:rFonts w:hint="eastAsia" w:ascii="宋体" w:hAnsi="宋体"/>
          <w:color w:val="auto"/>
          <w:kern w:val="0"/>
          <w:szCs w:val="21"/>
          <w:highlight w:val="none"/>
        </w:rPr>
        <w:t>竞选人</w:t>
      </w:r>
      <w:r>
        <w:rPr>
          <w:rFonts w:ascii="宋体" w:hAnsi="宋体"/>
          <w:color w:val="auto"/>
          <w:kern w:val="0"/>
          <w:szCs w:val="21"/>
          <w:highlight w:val="none"/>
        </w:rPr>
        <w:t>须知”前附表授权直接确定</w:t>
      </w:r>
      <w:r>
        <w:rPr>
          <w:rFonts w:hint="eastAsia" w:ascii="宋体" w:hAnsi="宋体"/>
          <w:color w:val="auto"/>
          <w:kern w:val="0"/>
          <w:szCs w:val="21"/>
          <w:highlight w:val="none"/>
        </w:rPr>
        <w:t>中选</w:t>
      </w:r>
      <w:r>
        <w:rPr>
          <w:rFonts w:ascii="宋体" w:hAnsi="宋体"/>
          <w:color w:val="auto"/>
          <w:kern w:val="0"/>
          <w:szCs w:val="21"/>
          <w:highlight w:val="none"/>
        </w:rPr>
        <w:t>人外，</w:t>
      </w:r>
      <w:r>
        <w:rPr>
          <w:rFonts w:hint="eastAsia" w:ascii="宋体" w:hAnsi="宋体"/>
          <w:color w:val="auto"/>
          <w:kern w:val="0"/>
          <w:szCs w:val="21"/>
          <w:highlight w:val="none"/>
        </w:rPr>
        <w:t>评选</w:t>
      </w:r>
      <w:r>
        <w:rPr>
          <w:rFonts w:ascii="宋体" w:hAnsi="宋体"/>
          <w:color w:val="auto"/>
          <w:kern w:val="0"/>
          <w:szCs w:val="21"/>
          <w:highlight w:val="none"/>
        </w:rPr>
        <w:t>委员会按照得分由高到低的顺序推荐</w:t>
      </w:r>
      <w:r>
        <w:rPr>
          <w:rFonts w:hint="eastAsia" w:ascii="宋体" w:hAnsi="宋体"/>
          <w:color w:val="auto"/>
          <w:kern w:val="0"/>
          <w:szCs w:val="21"/>
          <w:highlight w:val="none"/>
        </w:rPr>
        <w:t>中选</w:t>
      </w:r>
      <w:r>
        <w:rPr>
          <w:rFonts w:ascii="宋体" w:hAnsi="宋体"/>
          <w:color w:val="auto"/>
          <w:kern w:val="0"/>
          <w:szCs w:val="21"/>
          <w:highlight w:val="none"/>
        </w:rPr>
        <w:t>候选人。</w:t>
      </w:r>
    </w:p>
    <w:p w14:paraId="4F797DE2">
      <w:pPr>
        <w:autoSpaceDE w:val="0"/>
        <w:autoSpaceDN w:val="0"/>
        <w:adjustRightInd w:val="0"/>
        <w:snapToGrid w:val="0"/>
        <w:spacing w:line="360" w:lineRule="auto"/>
        <w:ind w:firstLine="535" w:firstLineChars="255"/>
        <w:rPr>
          <w:rFonts w:ascii="宋体" w:hAnsi="宋体"/>
          <w:color w:val="auto"/>
          <w:kern w:val="0"/>
          <w:szCs w:val="21"/>
          <w:highlight w:val="none"/>
        </w:rPr>
      </w:pPr>
      <w:r>
        <w:rPr>
          <w:rFonts w:ascii="宋体" w:hAnsi="宋体"/>
          <w:color w:val="auto"/>
          <w:kern w:val="0"/>
          <w:szCs w:val="21"/>
          <w:highlight w:val="none"/>
        </w:rPr>
        <w:t xml:space="preserve">3.4.2  </w:t>
      </w:r>
      <w:r>
        <w:rPr>
          <w:rFonts w:hint="eastAsia" w:ascii="宋体" w:hAnsi="宋体"/>
          <w:color w:val="auto"/>
          <w:kern w:val="0"/>
          <w:szCs w:val="21"/>
          <w:highlight w:val="none"/>
        </w:rPr>
        <w:t>评选</w:t>
      </w:r>
      <w:r>
        <w:rPr>
          <w:rFonts w:ascii="宋体" w:hAnsi="宋体"/>
          <w:color w:val="auto"/>
          <w:kern w:val="0"/>
          <w:szCs w:val="21"/>
          <w:highlight w:val="none"/>
        </w:rPr>
        <w:t>委员会完成</w:t>
      </w:r>
      <w:r>
        <w:rPr>
          <w:rFonts w:hint="eastAsia" w:ascii="宋体" w:hAnsi="宋体"/>
          <w:color w:val="auto"/>
          <w:kern w:val="0"/>
          <w:szCs w:val="21"/>
          <w:highlight w:val="none"/>
        </w:rPr>
        <w:t>评选</w:t>
      </w:r>
      <w:r>
        <w:rPr>
          <w:rFonts w:ascii="宋体" w:hAnsi="宋体"/>
          <w:color w:val="auto"/>
          <w:kern w:val="0"/>
          <w:szCs w:val="21"/>
          <w:highlight w:val="none"/>
        </w:rPr>
        <w:t>后，应当向</w:t>
      </w:r>
      <w:r>
        <w:rPr>
          <w:rFonts w:hint="eastAsia" w:ascii="宋体" w:hAnsi="宋体"/>
          <w:color w:val="auto"/>
          <w:kern w:val="0"/>
          <w:szCs w:val="21"/>
          <w:highlight w:val="none"/>
        </w:rPr>
        <w:t>比选人</w:t>
      </w:r>
      <w:r>
        <w:rPr>
          <w:rFonts w:ascii="宋体" w:hAnsi="宋体"/>
          <w:color w:val="auto"/>
          <w:kern w:val="0"/>
          <w:szCs w:val="21"/>
          <w:highlight w:val="none"/>
        </w:rPr>
        <w:t>提交书面</w:t>
      </w:r>
      <w:r>
        <w:rPr>
          <w:rFonts w:hint="eastAsia" w:ascii="宋体" w:hAnsi="宋体"/>
          <w:color w:val="auto"/>
          <w:kern w:val="0"/>
          <w:szCs w:val="21"/>
          <w:highlight w:val="none"/>
        </w:rPr>
        <w:t>评选</w:t>
      </w:r>
      <w:r>
        <w:rPr>
          <w:rFonts w:ascii="宋体" w:hAnsi="宋体"/>
          <w:color w:val="auto"/>
          <w:kern w:val="0"/>
          <w:szCs w:val="21"/>
          <w:highlight w:val="none"/>
        </w:rPr>
        <w:t>报告。</w:t>
      </w:r>
    </w:p>
    <w:bookmarkEnd w:id="622"/>
    <w:bookmarkEnd w:id="623"/>
    <w:bookmarkEnd w:id="624"/>
    <w:p w14:paraId="48964A8A">
      <w:pPr>
        <w:autoSpaceDE w:val="0"/>
        <w:autoSpaceDN w:val="0"/>
        <w:adjustRightInd w:val="0"/>
        <w:snapToGrid w:val="0"/>
        <w:spacing w:line="360" w:lineRule="auto"/>
        <w:ind w:firstLine="535" w:firstLineChars="255"/>
        <w:rPr>
          <w:rFonts w:ascii="宋体" w:hAnsi="宋体"/>
          <w:color w:val="auto"/>
          <w:kern w:val="0"/>
          <w:szCs w:val="21"/>
          <w:highlight w:val="none"/>
        </w:rPr>
      </w:pPr>
    </w:p>
    <w:p w14:paraId="3173B520">
      <w:pPr>
        <w:autoSpaceDE w:val="0"/>
        <w:autoSpaceDN w:val="0"/>
        <w:adjustRightInd w:val="0"/>
        <w:snapToGrid w:val="0"/>
        <w:spacing w:line="360" w:lineRule="auto"/>
        <w:ind w:firstLine="535" w:firstLineChars="255"/>
        <w:rPr>
          <w:rFonts w:ascii="宋体" w:hAnsi="宋体"/>
          <w:color w:val="auto"/>
          <w:kern w:val="0"/>
          <w:szCs w:val="21"/>
          <w:highlight w:val="none"/>
        </w:rPr>
      </w:pPr>
    </w:p>
    <w:p w14:paraId="7EFC936B">
      <w:pPr>
        <w:autoSpaceDE w:val="0"/>
        <w:autoSpaceDN w:val="0"/>
        <w:adjustRightInd w:val="0"/>
        <w:snapToGrid w:val="0"/>
        <w:spacing w:line="360" w:lineRule="auto"/>
        <w:ind w:firstLine="535" w:firstLineChars="255"/>
        <w:rPr>
          <w:rFonts w:ascii="宋体" w:hAnsi="宋体"/>
          <w:color w:val="auto"/>
          <w:kern w:val="0"/>
          <w:szCs w:val="21"/>
          <w:highlight w:val="none"/>
        </w:rPr>
      </w:pPr>
    </w:p>
    <w:p w14:paraId="035F56D3">
      <w:pPr>
        <w:autoSpaceDE w:val="0"/>
        <w:autoSpaceDN w:val="0"/>
        <w:adjustRightInd w:val="0"/>
        <w:snapToGrid w:val="0"/>
        <w:spacing w:line="360" w:lineRule="auto"/>
        <w:ind w:firstLine="535" w:firstLineChars="255"/>
        <w:rPr>
          <w:rFonts w:ascii="宋体" w:hAnsi="宋体"/>
          <w:color w:val="auto"/>
          <w:kern w:val="0"/>
          <w:szCs w:val="21"/>
          <w:highlight w:val="none"/>
        </w:rPr>
      </w:pPr>
    </w:p>
    <w:p w14:paraId="5B5EF4F7">
      <w:pPr>
        <w:autoSpaceDE w:val="0"/>
        <w:autoSpaceDN w:val="0"/>
        <w:adjustRightInd w:val="0"/>
        <w:snapToGrid w:val="0"/>
        <w:spacing w:line="360" w:lineRule="auto"/>
        <w:ind w:firstLine="535" w:firstLineChars="255"/>
        <w:rPr>
          <w:rFonts w:ascii="宋体" w:hAnsi="宋体"/>
          <w:color w:val="auto"/>
          <w:kern w:val="0"/>
          <w:szCs w:val="21"/>
          <w:highlight w:val="none"/>
        </w:rPr>
      </w:pPr>
    </w:p>
    <w:p w14:paraId="53FAA7AB">
      <w:pPr>
        <w:autoSpaceDE w:val="0"/>
        <w:autoSpaceDN w:val="0"/>
        <w:adjustRightInd w:val="0"/>
        <w:snapToGrid w:val="0"/>
        <w:spacing w:line="360" w:lineRule="auto"/>
        <w:ind w:firstLine="535" w:firstLineChars="255"/>
        <w:rPr>
          <w:rFonts w:ascii="宋体" w:hAnsi="宋体"/>
          <w:color w:val="auto"/>
          <w:kern w:val="0"/>
          <w:szCs w:val="21"/>
          <w:highlight w:val="none"/>
        </w:rPr>
      </w:pPr>
    </w:p>
    <w:p w14:paraId="475C731F">
      <w:pPr>
        <w:autoSpaceDE w:val="0"/>
        <w:autoSpaceDN w:val="0"/>
        <w:adjustRightInd w:val="0"/>
        <w:snapToGrid w:val="0"/>
        <w:spacing w:line="360" w:lineRule="auto"/>
        <w:ind w:firstLine="535" w:firstLineChars="255"/>
        <w:rPr>
          <w:rFonts w:ascii="宋体" w:hAnsi="宋体"/>
          <w:color w:val="auto"/>
          <w:kern w:val="0"/>
          <w:szCs w:val="21"/>
          <w:highlight w:val="none"/>
        </w:rPr>
      </w:pPr>
    </w:p>
    <w:p w14:paraId="5EE0E5F9">
      <w:pPr>
        <w:autoSpaceDE w:val="0"/>
        <w:autoSpaceDN w:val="0"/>
        <w:adjustRightInd w:val="0"/>
        <w:snapToGrid w:val="0"/>
        <w:spacing w:line="360" w:lineRule="auto"/>
        <w:ind w:firstLine="535" w:firstLineChars="255"/>
        <w:rPr>
          <w:rFonts w:ascii="宋体" w:hAnsi="宋体"/>
          <w:color w:val="auto"/>
          <w:kern w:val="0"/>
          <w:szCs w:val="21"/>
          <w:highlight w:val="none"/>
        </w:rPr>
      </w:pPr>
    </w:p>
    <w:p w14:paraId="547533BF">
      <w:pPr>
        <w:autoSpaceDE w:val="0"/>
        <w:autoSpaceDN w:val="0"/>
        <w:adjustRightInd w:val="0"/>
        <w:snapToGrid w:val="0"/>
        <w:spacing w:line="360" w:lineRule="auto"/>
        <w:ind w:firstLine="535" w:firstLineChars="255"/>
        <w:rPr>
          <w:rFonts w:ascii="宋体" w:hAnsi="宋体"/>
          <w:color w:val="auto"/>
          <w:kern w:val="0"/>
          <w:szCs w:val="21"/>
          <w:highlight w:val="none"/>
        </w:rPr>
      </w:pPr>
    </w:p>
    <w:p w14:paraId="51FF33CC">
      <w:pPr>
        <w:autoSpaceDE w:val="0"/>
        <w:autoSpaceDN w:val="0"/>
        <w:adjustRightInd w:val="0"/>
        <w:snapToGrid w:val="0"/>
        <w:spacing w:line="360" w:lineRule="auto"/>
        <w:ind w:firstLine="535" w:firstLineChars="255"/>
        <w:rPr>
          <w:rFonts w:ascii="宋体" w:hAnsi="宋体"/>
          <w:color w:val="auto"/>
          <w:kern w:val="0"/>
          <w:szCs w:val="21"/>
          <w:highlight w:val="none"/>
        </w:rPr>
      </w:pPr>
    </w:p>
    <w:p w14:paraId="7EA00C77">
      <w:pPr>
        <w:autoSpaceDE w:val="0"/>
        <w:autoSpaceDN w:val="0"/>
        <w:adjustRightInd w:val="0"/>
        <w:snapToGrid w:val="0"/>
        <w:spacing w:line="360" w:lineRule="auto"/>
        <w:ind w:firstLine="535" w:firstLineChars="255"/>
        <w:rPr>
          <w:rFonts w:ascii="宋体" w:hAnsi="宋体"/>
          <w:color w:val="auto"/>
          <w:kern w:val="0"/>
          <w:szCs w:val="21"/>
          <w:highlight w:val="none"/>
        </w:rPr>
      </w:pPr>
    </w:p>
    <w:p w14:paraId="7BD6434E">
      <w:pPr>
        <w:autoSpaceDE w:val="0"/>
        <w:autoSpaceDN w:val="0"/>
        <w:adjustRightInd w:val="0"/>
        <w:snapToGrid w:val="0"/>
        <w:spacing w:line="360" w:lineRule="auto"/>
        <w:ind w:firstLine="535" w:firstLineChars="255"/>
        <w:rPr>
          <w:rFonts w:ascii="宋体" w:hAnsi="宋体"/>
          <w:color w:val="auto"/>
          <w:kern w:val="0"/>
          <w:szCs w:val="21"/>
          <w:highlight w:val="none"/>
        </w:rPr>
      </w:pPr>
    </w:p>
    <w:p w14:paraId="1FF440A6">
      <w:pPr>
        <w:autoSpaceDE w:val="0"/>
        <w:autoSpaceDN w:val="0"/>
        <w:adjustRightInd w:val="0"/>
        <w:snapToGrid w:val="0"/>
        <w:spacing w:line="360" w:lineRule="auto"/>
        <w:ind w:firstLine="535" w:firstLineChars="255"/>
        <w:rPr>
          <w:rFonts w:ascii="宋体" w:hAnsi="宋体"/>
          <w:color w:val="auto"/>
          <w:kern w:val="0"/>
          <w:szCs w:val="21"/>
          <w:highlight w:val="none"/>
        </w:rPr>
      </w:pPr>
    </w:p>
    <w:p w14:paraId="4BAE51FD">
      <w:pPr>
        <w:autoSpaceDE w:val="0"/>
        <w:autoSpaceDN w:val="0"/>
        <w:adjustRightInd w:val="0"/>
        <w:snapToGrid w:val="0"/>
        <w:spacing w:line="360" w:lineRule="auto"/>
        <w:ind w:firstLine="535" w:firstLineChars="255"/>
        <w:rPr>
          <w:rFonts w:ascii="宋体" w:hAnsi="宋体"/>
          <w:color w:val="auto"/>
          <w:kern w:val="0"/>
          <w:szCs w:val="21"/>
          <w:highlight w:val="none"/>
        </w:rPr>
      </w:pPr>
    </w:p>
    <w:p w14:paraId="2C5BDF13">
      <w:pPr>
        <w:rPr>
          <w:rFonts w:ascii="宋体" w:hAnsi="宋体"/>
          <w:color w:val="auto"/>
          <w:kern w:val="0"/>
          <w:szCs w:val="21"/>
          <w:highlight w:val="none"/>
        </w:rPr>
      </w:pPr>
      <w:r>
        <w:rPr>
          <w:rFonts w:ascii="宋体" w:hAnsi="宋体"/>
          <w:color w:val="auto"/>
          <w:kern w:val="0"/>
          <w:szCs w:val="21"/>
          <w:highlight w:val="none"/>
        </w:rPr>
        <w:br w:type="page"/>
      </w:r>
    </w:p>
    <w:p w14:paraId="1A8663E2">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附件A：综合评估法否决竞选情况一览表</w:t>
      </w:r>
    </w:p>
    <w:p w14:paraId="321DC3C3">
      <w:pPr>
        <w:pStyle w:val="15"/>
        <w:spacing w:line="360" w:lineRule="auto"/>
        <w:ind w:firstLine="420"/>
        <w:jc w:val="both"/>
        <w:rPr>
          <w:rFonts w:ascii="宋体" w:hAnsi="宋体" w:cs="宋体"/>
          <w:color w:val="auto"/>
          <w:sz w:val="21"/>
          <w:szCs w:val="21"/>
          <w:highlight w:val="none"/>
          <w:u w:val="none"/>
          <w:lang w:eastAsia="zh-CN"/>
        </w:rPr>
      </w:pPr>
      <w:r>
        <w:rPr>
          <w:rFonts w:hint="eastAsia" w:ascii="宋体" w:hAnsi="宋体" w:cs="宋体"/>
          <w:color w:val="auto"/>
          <w:sz w:val="21"/>
          <w:szCs w:val="21"/>
          <w:highlight w:val="none"/>
          <w:u w:val="none"/>
          <w:lang w:eastAsia="zh-CN"/>
        </w:rPr>
        <w:t>竞选人存在一览表中情形之一的，作否决竞选处理，否决竞选条件之外的评选委员会不得判为重大偏差。</w:t>
      </w:r>
    </w:p>
    <w:tbl>
      <w:tblPr>
        <w:tblStyle w:val="20"/>
        <w:tblW w:w="9627" w:type="dxa"/>
        <w:tblInd w:w="108" w:type="dxa"/>
        <w:tblLayout w:type="fixed"/>
        <w:tblCellMar>
          <w:top w:w="0" w:type="dxa"/>
          <w:left w:w="108" w:type="dxa"/>
          <w:bottom w:w="0" w:type="dxa"/>
          <w:right w:w="108" w:type="dxa"/>
        </w:tblCellMar>
      </w:tblPr>
      <w:tblGrid>
        <w:gridCol w:w="2319"/>
        <w:gridCol w:w="7308"/>
      </w:tblGrid>
      <w:tr w14:paraId="76FCC4DA">
        <w:tc>
          <w:tcPr>
            <w:tcW w:w="2319" w:type="dxa"/>
            <w:tcBorders>
              <w:top w:val="single" w:color="000000" w:sz="8" w:space="0"/>
              <w:left w:val="single" w:color="000000" w:sz="4" w:space="0"/>
              <w:bottom w:val="single" w:color="000000" w:sz="4" w:space="0"/>
              <w:right w:val="single" w:color="000000" w:sz="4" w:space="0"/>
            </w:tcBorders>
            <w:vAlign w:val="center"/>
          </w:tcPr>
          <w:p w14:paraId="74AB883A">
            <w:pPr>
              <w:spacing w:line="400" w:lineRule="exact"/>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条款名称</w:t>
            </w:r>
          </w:p>
        </w:tc>
        <w:tc>
          <w:tcPr>
            <w:tcW w:w="7308" w:type="dxa"/>
            <w:tcBorders>
              <w:top w:val="single" w:color="000000" w:sz="8" w:space="0"/>
              <w:left w:val="single" w:color="000000" w:sz="4" w:space="0"/>
              <w:bottom w:val="single" w:color="000000" w:sz="4" w:space="0"/>
              <w:right w:val="single" w:color="000000" w:sz="8" w:space="0"/>
            </w:tcBorders>
            <w:vAlign w:val="center"/>
          </w:tcPr>
          <w:p w14:paraId="2563EFC8">
            <w:pPr>
              <w:spacing w:line="400" w:lineRule="exact"/>
              <w:jc w:val="center"/>
              <w:rPr>
                <w:rFonts w:ascii="宋体" w:hAnsi="宋体" w:cs="宋体"/>
                <w:b/>
                <w:color w:val="auto"/>
                <w:kern w:val="1"/>
                <w:szCs w:val="21"/>
                <w:highlight w:val="none"/>
              </w:rPr>
            </w:pPr>
            <w:r>
              <w:rPr>
                <w:rFonts w:hint="eastAsia" w:ascii="宋体" w:hAnsi="宋体" w:cs="宋体"/>
                <w:b/>
                <w:color w:val="auto"/>
                <w:kern w:val="1"/>
                <w:szCs w:val="21"/>
                <w:highlight w:val="none"/>
              </w:rPr>
              <w:t>否决竞选条件</w:t>
            </w:r>
          </w:p>
        </w:tc>
      </w:tr>
      <w:tr w14:paraId="310D30E2">
        <w:tblPrEx>
          <w:tblCellMar>
            <w:top w:w="0" w:type="dxa"/>
            <w:left w:w="108" w:type="dxa"/>
            <w:bottom w:w="0" w:type="dxa"/>
            <w:right w:w="108" w:type="dxa"/>
          </w:tblCellMar>
        </w:tblPrEx>
        <w:tc>
          <w:tcPr>
            <w:tcW w:w="2319" w:type="dxa"/>
            <w:vMerge w:val="restart"/>
            <w:tcBorders>
              <w:top w:val="single" w:color="000000" w:sz="4" w:space="0"/>
              <w:left w:val="single" w:color="000000" w:sz="4" w:space="0"/>
              <w:bottom w:val="single" w:color="000000" w:sz="4" w:space="0"/>
              <w:right w:val="single" w:color="000000" w:sz="4" w:space="0"/>
            </w:tcBorders>
            <w:vAlign w:val="center"/>
          </w:tcPr>
          <w:p w14:paraId="0F93BAC2">
            <w:pPr>
              <w:spacing w:line="4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形式评审</w:t>
            </w:r>
          </w:p>
        </w:tc>
        <w:tc>
          <w:tcPr>
            <w:tcW w:w="7308" w:type="dxa"/>
            <w:tcBorders>
              <w:top w:val="single" w:color="000000" w:sz="4" w:space="0"/>
              <w:left w:val="single" w:color="000000" w:sz="4" w:space="0"/>
              <w:bottom w:val="single" w:color="000000" w:sz="4" w:space="0"/>
              <w:right w:val="single" w:color="000000" w:sz="8" w:space="0"/>
            </w:tcBorders>
          </w:tcPr>
          <w:p w14:paraId="5FB6B9BE">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A-1竞选人名称必须与营业执照、资质证书一致，</w:t>
            </w:r>
            <w:r>
              <w:rPr>
                <w:color w:val="auto"/>
                <w:highlight w:val="none"/>
              </w:rPr>
              <w:t>依法变更名称的应提交相应证明材料</w:t>
            </w:r>
            <w:r>
              <w:rPr>
                <w:rFonts w:hint="eastAsia"/>
                <w:color w:val="auto"/>
                <w:highlight w:val="none"/>
              </w:rPr>
              <w:t>，</w:t>
            </w:r>
            <w:r>
              <w:rPr>
                <w:rFonts w:hint="eastAsia" w:ascii="宋体" w:hAnsi="宋体" w:cs="宋体"/>
                <w:color w:val="auto"/>
                <w:kern w:val="1"/>
                <w:szCs w:val="21"/>
                <w:highlight w:val="none"/>
              </w:rPr>
              <w:t>否则由评选委员会作否决竞选处理。</w:t>
            </w:r>
          </w:p>
        </w:tc>
      </w:tr>
      <w:tr w14:paraId="2A05E24B">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32CA690F">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tcPr>
          <w:p w14:paraId="59D11F9D">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A-2竞选文件的签字盖章须按本章竞选人须知3.7.3款执行，规定签字、盖章的位置有法定代表人或其委托代理人签字（或盖章）、加盖单位公章，否则由评选委员会作否决竞选处理。</w:t>
            </w:r>
          </w:p>
        </w:tc>
      </w:tr>
      <w:tr w14:paraId="754B65D1">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0B792493">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tcPr>
          <w:p w14:paraId="7CCD3753">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A-3竞选文件格式符合第五章“竞选文件格式”的要求，否则由评选委员会作否决竞选处理。</w:t>
            </w:r>
          </w:p>
        </w:tc>
      </w:tr>
      <w:tr w14:paraId="55BD4F9B">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20665BED">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tcPr>
          <w:p w14:paraId="745FAE0A">
            <w:pPr>
              <w:spacing w:line="400" w:lineRule="exact"/>
              <w:ind w:firstLine="420"/>
              <w:rPr>
                <w:rFonts w:ascii="宋体" w:hAnsi="宋体" w:cs="宋体"/>
                <w:i/>
                <w:color w:val="auto"/>
                <w:kern w:val="1"/>
                <w:szCs w:val="21"/>
                <w:highlight w:val="none"/>
              </w:rPr>
            </w:pPr>
            <w:r>
              <w:rPr>
                <w:rFonts w:hint="eastAsia" w:ascii="宋体" w:hAnsi="宋体" w:cs="宋体"/>
                <w:color w:val="auto"/>
                <w:kern w:val="1"/>
                <w:szCs w:val="21"/>
                <w:highlight w:val="none"/>
              </w:rPr>
              <w:t>A-4</w:t>
            </w:r>
            <w:r>
              <w:rPr>
                <w:rStyle w:val="47"/>
                <w:rFonts w:hint="eastAsia" w:ascii="宋体" w:hAnsi="宋体"/>
                <w:color w:val="auto"/>
                <w:szCs w:val="21"/>
                <w:highlight w:val="none"/>
              </w:rPr>
              <w:t>竞选文件</w:t>
            </w:r>
            <w:r>
              <w:rPr>
                <w:rStyle w:val="47"/>
                <w:rFonts w:ascii="宋体" w:hAnsi="宋体"/>
                <w:color w:val="auto"/>
                <w:szCs w:val="21"/>
                <w:highlight w:val="none"/>
              </w:rPr>
              <w:t>正本</w:t>
            </w:r>
            <w:r>
              <w:rPr>
                <w:rStyle w:val="47"/>
                <w:rFonts w:hint="eastAsia" w:ascii="宋体" w:hAnsi="宋体"/>
                <w:color w:val="auto"/>
                <w:szCs w:val="21"/>
                <w:highlight w:val="none"/>
              </w:rPr>
              <w:t>、副本、</w:t>
            </w:r>
            <w:r>
              <w:rPr>
                <w:rStyle w:val="47"/>
                <w:rFonts w:ascii="宋体" w:hAnsi="宋体"/>
                <w:color w:val="auto"/>
                <w:kern w:val="0"/>
                <w:szCs w:val="21"/>
                <w:highlight w:val="none"/>
              </w:rPr>
              <w:t>电子版</w:t>
            </w:r>
            <w:r>
              <w:rPr>
                <w:rStyle w:val="47"/>
                <w:rFonts w:hint="eastAsia" w:ascii="宋体" w:hAnsi="宋体"/>
                <w:color w:val="auto"/>
                <w:kern w:val="0"/>
                <w:szCs w:val="21"/>
                <w:highlight w:val="none"/>
              </w:rPr>
              <w:t>份数及形式符合竞选文件要求</w:t>
            </w:r>
            <w:r>
              <w:rPr>
                <w:rStyle w:val="47"/>
                <w:rFonts w:ascii="宋体" w:hAnsi="宋体"/>
                <w:color w:val="auto"/>
                <w:kern w:val="0"/>
                <w:szCs w:val="21"/>
                <w:highlight w:val="none"/>
              </w:rPr>
              <w:t>。</w:t>
            </w:r>
            <w:r>
              <w:rPr>
                <w:rStyle w:val="47"/>
                <w:rFonts w:hint="eastAsia" w:ascii="宋体" w:hAnsi="宋体"/>
                <w:color w:val="auto"/>
                <w:kern w:val="0"/>
                <w:szCs w:val="21"/>
                <w:highlight w:val="none"/>
              </w:rPr>
              <w:t>不按规定递交足够份数或形式不符合要求的，</w:t>
            </w:r>
            <w:r>
              <w:rPr>
                <w:rStyle w:val="47"/>
                <w:rFonts w:ascii="宋体" w:hAnsi="宋体"/>
                <w:color w:val="auto"/>
                <w:szCs w:val="21"/>
                <w:highlight w:val="none"/>
              </w:rPr>
              <w:t>由</w:t>
            </w:r>
            <w:r>
              <w:rPr>
                <w:rStyle w:val="47"/>
                <w:rFonts w:hint="eastAsia" w:ascii="宋体" w:hAnsi="宋体"/>
                <w:color w:val="auto"/>
                <w:szCs w:val="21"/>
                <w:highlight w:val="none"/>
              </w:rPr>
              <w:t>评选</w:t>
            </w:r>
            <w:r>
              <w:rPr>
                <w:rStyle w:val="47"/>
                <w:rFonts w:ascii="宋体" w:hAnsi="宋体"/>
                <w:color w:val="auto"/>
                <w:szCs w:val="21"/>
                <w:highlight w:val="none"/>
              </w:rPr>
              <w:t>委员会</w:t>
            </w:r>
            <w:r>
              <w:rPr>
                <w:rStyle w:val="47"/>
                <w:rFonts w:hint="eastAsia" w:ascii="宋体" w:hAnsi="宋体"/>
                <w:color w:val="auto"/>
                <w:szCs w:val="21"/>
                <w:highlight w:val="none"/>
              </w:rPr>
              <w:t>作否决竞选</w:t>
            </w:r>
            <w:r>
              <w:rPr>
                <w:rStyle w:val="47"/>
                <w:rFonts w:ascii="宋体" w:hAnsi="宋体"/>
                <w:color w:val="auto"/>
                <w:szCs w:val="21"/>
                <w:highlight w:val="none"/>
              </w:rPr>
              <w:t>处理。</w:t>
            </w:r>
          </w:p>
        </w:tc>
      </w:tr>
      <w:tr w14:paraId="3A7EC199">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64221970">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tcPr>
          <w:p w14:paraId="3AC19085">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A-5只能有一个有效报价。在比选文件没有规定的情况下，不得提交选择性报价，不得超过最高限价，否则由评选委员会作否决竞选处理。</w:t>
            </w:r>
          </w:p>
        </w:tc>
      </w:tr>
      <w:tr w14:paraId="3D8FD02A">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23D05FCB">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tcPr>
          <w:p w14:paraId="259C90A0">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A-6竞选文件中竞选文件格式要求须法定代表人或其委托代理人的签字（或盖章）须齐全，否则由评选委员会作否决竞选处理。</w:t>
            </w:r>
          </w:p>
        </w:tc>
      </w:tr>
      <w:tr w14:paraId="083B4D2A">
        <w:tblPrEx>
          <w:tblCellMar>
            <w:top w:w="0" w:type="dxa"/>
            <w:left w:w="108" w:type="dxa"/>
            <w:bottom w:w="0" w:type="dxa"/>
            <w:right w:w="108" w:type="dxa"/>
          </w:tblCellMar>
        </w:tblPrEx>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0DEC996F">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tcPr>
          <w:p w14:paraId="10E890DE">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A-7竞选人法定代表人的委托代理人有法定代表人签署的授权委托书。</w:t>
            </w:r>
          </w:p>
        </w:tc>
      </w:tr>
      <w:tr w14:paraId="155DF82C">
        <w:tblPrEx>
          <w:tblCellMar>
            <w:top w:w="0" w:type="dxa"/>
            <w:left w:w="108" w:type="dxa"/>
            <w:bottom w:w="0" w:type="dxa"/>
            <w:right w:w="108" w:type="dxa"/>
          </w:tblCellMar>
        </w:tblPrEx>
        <w:tc>
          <w:tcPr>
            <w:tcW w:w="2319" w:type="dxa"/>
            <w:vMerge w:val="restart"/>
            <w:tcBorders>
              <w:top w:val="single" w:color="000000" w:sz="4" w:space="0"/>
              <w:left w:val="single" w:color="000000" w:sz="4" w:space="0"/>
              <w:right w:val="single" w:color="000000" w:sz="4" w:space="0"/>
            </w:tcBorders>
            <w:vAlign w:val="center"/>
          </w:tcPr>
          <w:p w14:paraId="36D58ACE">
            <w:pPr>
              <w:spacing w:line="4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资格评审</w:t>
            </w:r>
          </w:p>
        </w:tc>
        <w:tc>
          <w:tcPr>
            <w:tcW w:w="7308" w:type="dxa"/>
            <w:tcBorders>
              <w:top w:val="single" w:color="000000" w:sz="4" w:space="0"/>
              <w:left w:val="single" w:color="000000" w:sz="4" w:space="0"/>
              <w:bottom w:val="single" w:color="000000" w:sz="4" w:space="0"/>
              <w:right w:val="single" w:color="000000" w:sz="8" w:space="0"/>
            </w:tcBorders>
            <w:vAlign w:val="center"/>
          </w:tcPr>
          <w:p w14:paraId="0AC83E93">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A-8竞选人的资质条件、营业执照须满足竞选人须知前附表1.4.1项第1条的要求，否则由评选委员会作否决竞选处理。</w:t>
            </w:r>
          </w:p>
        </w:tc>
      </w:tr>
      <w:tr w14:paraId="71BCAC40">
        <w:tblPrEx>
          <w:tblCellMar>
            <w:top w:w="0" w:type="dxa"/>
            <w:left w:w="108" w:type="dxa"/>
            <w:bottom w:w="0" w:type="dxa"/>
            <w:right w:w="108" w:type="dxa"/>
          </w:tblCellMar>
        </w:tblPrEx>
        <w:tc>
          <w:tcPr>
            <w:tcW w:w="2319" w:type="dxa"/>
            <w:vMerge w:val="continue"/>
            <w:tcBorders>
              <w:left w:val="single" w:color="000000" w:sz="4" w:space="0"/>
              <w:right w:val="single" w:color="000000" w:sz="4" w:space="0"/>
            </w:tcBorders>
            <w:vAlign w:val="center"/>
          </w:tcPr>
          <w:p w14:paraId="184464D6">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527E7599">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A-9竞选人的财务状况须满足竞选人须知前附表1.4.1项第2条的要求，否则由评选委员会作否决竞选处理。</w:t>
            </w:r>
          </w:p>
        </w:tc>
      </w:tr>
      <w:tr w14:paraId="2C4F158F">
        <w:tblPrEx>
          <w:tblCellMar>
            <w:top w:w="0" w:type="dxa"/>
            <w:left w:w="108" w:type="dxa"/>
            <w:bottom w:w="0" w:type="dxa"/>
            <w:right w:w="108" w:type="dxa"/>
          </w:tblCellMar>
        </w:tblPrEx>
        <w:tc>
          <w:tcPr>
            <w:tcW w:w="2319" w:type="dxa"/>
            <w:vMerge w:val="continue"/>
            <w:tcBorders>
              <w:left w:val="single" w:color="000000" w:sz="4" w:space="0"/>
              <w:right w:val="single" w:color="000000" w:sz="4" w:space="0"/>
            </w:tcBorders>
            <w:vAlign w:val="center"/>
          </w:tcPr>
          <w:p w14:paraId="5EE0D20D">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2D2801C5">
            <w:pPr>
              <w:adjustRightInd w:val="0"/>
              <w:snapToGrid w:val="0"/>
              <w:spacing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A-10比选截止日竞选人竞选资格情况须满足竞选人须知前附表1.4.1项第3条的要求，否则由评选委员会作否决竞选处理。</w:t>
            </w:r>
          </w:p>
        </w:tc>
      </w:tr>
      <w:tr w14:paraId="4A680732">
        <w:tblPrEx>
          <w:tblCellMar>
            <w:top w:w="0" w:type="dxa"/>
            <w:left w:w="108" w:type="dxa"/>
            <w:bottom w:w="0" w:type="dxa"/>
            <w:right w:w="108" w:type="dxa"/>
          </w:tblCellMar>
        </w:tblPrEx>
        <w:tc>
          <w:tcPr>
            <w:tcW w:w="2319" w:type="dxa"/>
            <w:vMerge w:val="continue"/>
            <w:tcBorders>
              <w:left w:val="single" w:color="000000" w:sz="4" w:space="0"/>
              <w:right w:val="single" w:color="000000" w:sz="4" w:space="0"/>
            </w:tcBorders>
            <w:vAlign w:val="center"/>
          </w:tcPr>
          <w:p w14:paraId="40D9AB2E">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41BB5F69">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A-11竞选人的</w:t>
            </w:r>
            <w:r>
              <w:rPr>
                <w:rFonts w:hint="eastAsia" w:ascii="宋体" w:hAnsi="宋体" w:cs="宋体"/>
                <w:color w:val="auto"/>
                <w:highlight w:val="none"/>
              </w:rPr>
              <w:t>拟派监理人员</w:t>
            </w:r>
            <w:r>
              <w:rPr>
                <w:rFonts w:hint="eastAsia" w:ascii="宋体" w:hAnsi="宋体" w:cs="宋体"/>
                <w:color w:val="auto"/>
                <w:kern w:val="1"/>
                <w:szCs w:val="21"/>
                <w:highlight w:val="none"/>
              </w:rPr>
              <w:t>须满足竞选人须知前附表1.4.1项第4条的要求，否则由评选委员会作否决竞选处理。</w:t>
            </w:r>
          </w:p>
        </w:tc>
      </w:tr>
      <w:tr w14:paraId="7D0F3F68">
        <w:tblPrEx>
          <w:tblCellMar>
            <w:top w:w="0" w:type="dxa"/>
            <w:left w:w="108" w:type="dxa"/>
            <w:bottom w:w="0" w:type="dxa"/>
            <w:right w:w="108" w:type="dxa"/>
          </w:tblCellMar>
        </w:tblPrEx>
        <w:tc>
          <w:tcPr>
            <w:tcW w:w="2319" w:type="dxa"/>
            <w:vMerge w:val="continue"/>
            <w:tcBorders>
              <w:left w:val="single" w:color="000000" w:sz="4" w:space="0"/>
              <w:right w:val="single" w:color="000000" w:sz="4" w:space="0"/>
            </w:tcBorders>
            <w:vAlign w:val="center"/>
          </w:tcPr>
          <w:p w14:paraId="4A7D0497">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6E5D94A1">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A-12 竞选人的</w:t>
            </w:r>
            <w:r>
              <w:rPr>
                <w:rFonts w:hint="eastAsia" w:ascii="宋体" w:hAnsi="宋体" w:cs="宋体"/>
                <w:color w:val="auto"/>
                <w:highlight w:val="none"/>
              </w:rPr>
              <w:t>委托代理人</w:t>
            </w:r>
            <w:r>
              <w:rPr>
                <w:rFonts w:hint="eastAsia" w:ascii="宋体" w:hAnsi="宋体" w:cs="宋体"/>
                <w:color w:val="auto"/>
                <w:kern w:val="1"/>
                <w:szCs w:val="21"/>
                <w:highlight w:val="none"/>
              </w:rPr>
              <w:t>须满足竞选人须知前附表1.4.1项第5条的要求，否则由评选委员会作否决竞选处理。</w:t>
            </w:r>
          </w:p>
        </w:tc>
      </w:tr>
      <w:tr w14:paraId="4BCC4326">
        <w:tblPrEx>
          <w:tblCellMar>
            <w:top w:w="0" w:type="dxa"/>
            <w:left w:w="108" w:type="dxa"/>
            <w:bottom w:w="0" w:type="dxa"/>
            <w:right w:w="108" w:type="dxa"/>
          </w:tblCellMar>
        </w:tblPrEx>
        <w:tc>
          <w:tcPr>
            <w:tcW w:w="2319" w:type="dxa"/>
            <w:vMerge w:val="restart"/>
            <w:tcBorders>
              <w:top w:val="single" w:color="000000" w:sz="4" w:space="0"/>
              <w:left w:val="single" w:color="000000" w:sz="4" w:space="0"/>
              <w:bottom w:val="single" w:color="000000" w:sz="4" w:space="0"/>
              <w:right w:val="single" w:color="000000" w:sz="4" w:space="0"/>
            </w:tcBorders>
            <w:vAlign w:val="center"/>
          </w:tcPr>
          <w:p w14:paraId="6BE9CBDF">
            <w:pPr>
              <w:spacing w:line="4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响应性评审</w:t>
            </w:r>
          </w:p>
        </w:tc>
        <w:tc>
          <w:tcPr>
            <w:tcW w:w="7308" w:type="dxa"/>
            <w:tcBorders>
              <w:top w:val="single" w:color="000000" w:sz="4" w:space="0"/>
              <w:left w:val="single" w:color="000000" w:sz="4" w:space="0"/>
              <w:bottom w:val="single" w:color="000000" w:sz="4" w:space="0"/>
              <w:right w:val="single" w:color="000000" w:sz="8" w:space="0"/>
            </w:tcBorders>
            <w:vAlign w:val="center"/>
          </w:tcPr>
          <w:p w14:paraId="668FB186">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A-13竞选内容符合第二章“竞选人须知”第1.3.1项规定，否则由评选委员会作否决竞选处理。</w:t>
            </w:r>
          </w:p>
        </w:tc>
      </w:tr>
      <w:tr w14:paraId="4BF71C24">
        <w:tblPrEx>
          <w:tblCellMar>
            <w:top w:w="0" w:type="dxa"/>
            <w:left w:w="108" w:type="dxa"/>
            <w:bottom w:w="0" w:type="dxa"/>
            <w:right w:w="108" w:type="dxa"/>
          </w:tblCellMar>
        </w:tblPrEx>
        <w:trPr>
          <w:trHeight w:val="507" w:hRule="atLeast"/>
        </w:trPr>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4D7D1ED6">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60E95CFE">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A-14监理服务期符合第二章“竞选人须知”第1.3.2项规定，否则由评选委员会作否决竞选处理。</w:t>
            </w:r>
          </w:p>
        </w:tc>
      </w:tr>
      <w:tr w14:paraId="7344A804">
        <w:tblPrEx>
          <w:tblCellMar>
            <w:top w:w="0" w:type="dxa"/>
            <w:left w:w="108" w:type="dxa"/>
            <w:bottom w:w="0" w:type="dxa"/>
            <w:right w:w="108" w:type="dxa"/>
          </w:tblCellMar>
        </w:tblPrEx>
        <w:trPr>
          <w:trHeight w:val="410" w:hRule="atLeast"/>
        </w:trPr>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5F410753">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168E6884">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A-15工程质量符合第二章“竞选人须知”第1.3.</w:t>
            </w:r>
            <w:r>
              <w:rPr>
                <w:rFonts w:ascii="宋体" w:hAnsi="宋体" w:cs="宋体"/>
                <w:color w:val="auto"/>
                <w:kern w:val="1"/>
                <w:szCs w:val="21"/>
                <w:highlight w:val="none"/>
              </w:rPr>
              <w:t>3</w:t>
            </w:r>
            <w:r>
              <w:rPr>
                <w:rFonts w:hint="eastAsia" w:ascii="宋体" w:hAnsi="宋体" w:cs="宋体"/>
                <w:color w:val="auto"/>
                <w:kern w:val="1"/>
                <w:szCs w:val="21"/>
                <w:highlight w:val="none"/>
              </w:rPr>
              <w:t>项规定，否则由评选委员会作否决竞选处理。</w:t>
            </w:r>
          </w:p>
        </w:tc>
      </w:tr>
      <w:tr w14:paraId="581AA435">
        <w:tblPrEx>
          <w:tblCellMar>
            <w:top w:w="0" w:type="dxa"/>
            <w:left w:w="108" w:type="dxa"/>
            <w:bottom w:w="0" w:type="dxa"/>
            <w:right w:w="108" w:type="dxa"/>
          </w:tblCellMar>
        </w:tblPrEx>
        <w:trPr>
          <w:trHeight w:val="603" w:hRule="atLeast"/>
        </w:trPr>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6F9BD85B">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7FE52809">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A-16比选有效期符合第二章“竞选人须知”第3.3.1项规定，否则由评选委员会作否决竞选处理。</w:t>
            </w:r>
          </w:p>
        </w:tc>
      </w:tr>
      <w:tr w14:paraId="26B11E41">
        <w:tblPrEx>
          <w:tblCellMar>
            <w:top w:w="0" w:type="dxa"/>
            <w:left w:w="108" w:type="dxa"/>
            <w:bottom w:w="0" w:type="dxa"/>
            <w:right w:w="108" w:type="dxa"/>
          </w:tblCellMar>
        </w:tblPrEx>
        <w:trPr>
          <w:trHeight w:val="627" w:hRule="atLeast"/>
        </w:trPr>
        <w:tc>
          <w:tcPr>
            <w:tcW w:w="2319" w:type="dxa"/>
            <w:vMerge w:val="continue"/>
            <w:tcBorders>
              <w:top w:val="single" w:color="000000" w:sz="4" w:space="0"/>
              <w:left w:val="single" w:color="000000" w:sz="4" w:space="0"/>
              <w:bottom w:val="single" w:color="000000" w:sz="4" w:space="0"/>
              <w:right w:val="single" w:color="000000" w:sz="4" w:space="0"/>
            </w:tcBorders>
            <w:vAlign w:val="center"/>
          </w:tcPr>
          <w:p w14:paraId="75288054">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000000" w:sz="8" w:space="0"/>
            </w:tcBorders>
            <w:vAlign w:val="center"/>
          </w:tcPr>
          <w:p w14:paraId="36628316">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A-17竞选总报价有算术错误的，评选委员会按比选文件规定的原则对竞选总报价进行修正，修正的价格经竞选人书面确认后具有约束力。竞选人不接受修正价格的，其投标由评选委员会作否决竞选处理。</w:t>
            </w:r>
          </w:p>
        </w:tc>
      </w:tr>
      <w:tr w14:paraId="29C3CBB3">
        <w:tblPrEx>
          <w:tblCellMar>
            <w:top w:w="0" w:type="dxa"/>
            <w:left w:w="108" w:type="dxa"/>
            <w:bottom w:w="0" w:type="dxa"/>
            <w:right w:w="108" w:type="dxa"/>
          </w:tblCellMar>
        </w:tblPrEx>
        <w:trPr>
          <w:trHeight w:val="668" w:hRule="atLeast"/>
        </w:trPr>
        <w:tc>
          <w:tcPr>
            <w:tcW w:w="2319" w:type="dxa"/>
            <w:vMerge w:val="continue"/>
            <w:tcBorders>
              <w:top w:val="single" w:color="000000" w:sz="4" w:space="0"/>
              <w:left w:val="single" w:color="000000" w:sz="4" w:space="0"/>
              <w:bottom w:val="single" w:color="auto" w:sz="4" w:space="0"/>
              <w:right w:val="single" w:color="000000" w:sz="4" w:space="0"/>
            </w:tcBorders>
            <w:vAlign w:val="center"/>
          </w:tcPr>
          <w:p w14:paraId="3D1C490D">
            <w:pPr>
              <w:spacing w:line="400" w:lineRule="exact"/>
              <w:jc w:val="left"/>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auto" w:sz="4" w:space="0"/>
              <w:right w:val="single" w:color="000000" w:sz="8" w:space="0"/>
            </w:tcBorders>
            <w:vAlign w:val="center"/>
          </w:tcPr>
          <w:p w14:paraId="51D781D3">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A-18不得有涉嫌串通投标、弄虚作假等违反招投标相关法律、法规的行为，否则由评选委员会作否决竞选处理。</w:t>
            </w:r>
          </w:p>
        </w:tc>
      </w:tr>
      <w:tr w14:paraId="32AF6E28">
        <w:tblPrEx>
          <w:tblCellMar>
            <w:top w:w="0" w:type="dxa"/>
            <w:left w:w="108" w:type="dxa"/>
            <w:bottom w:w="0" w:type="dxa"/>
            <w:right w:w="108" w:type="dxa"/>
          </w:tblCellMar>
        </w:tblPrEx>
        <w:tc>
          <w:tcPr>
            <w:tcW w:w="2319" w:type="dxa"/>
            <w:vMerge w:val="restart"/>
            <w:tcBorders>
              <w:top w:val="single" w:color="auto" w:sz="4" w:space="0"/>
              <w:left w:val="single" w:color="auto" w:sz="4" w:space="0"/>
              <w:right w:val="single" w:color="000000" w:sz="4" w:space="0"/>
            </w:tcBorders>
            <w:vAlign w:val="center"/>
          </w:tcPr>
          <w:p w14:paraId="60E7EC4B">
            <w:pPr>
              <w:spacing w:line="4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其他</w:t>
            </w:r>
          </w:p>
        </w:tc>
        <w:tc>
          <w:tcPr>
            <w:tcW w:w="7308" w:type="dxa"/>
            <w:tcBorders>
              <w:top w:val="single" w:color="auto" w:sz="4" w:space="0"/>
              <w:left w:val="single" w:color="000000" w:sz="4" w:space="0"/>
              <w:bottom w:val="single" w:color="000000" w:sz="4" w:space="0"/>
              <w:right w:val="single" w:color="auto" w:sz="4" w:space="0"/>
            </w:tcBorders>
          </w:tcPr>
          <w:p w14:paraId="096EBFE6">
            <w:pPr>
              <w:spacing w:line="400" w:lineRule="exact"/>
              <w:ind w:firstLine="420" w:firstLineChars="200"/>
              <w:jc w:val="left"/>
              <w:rPr>
                <w:color w:val="auto"/>
                <w:highlight w:val="none"/>
              </w:rPr>
            </w:pPr>
            <w:r>
              <w:rPr>
                <w:rFonts w:hint="eastAsia" w:ascii="宋体" w:hAnsi="宋体" w:cs="宋体"/>
                <w:color w:val="auto"/>
                <w:kern w:val="1"/>
                <w:szCs w:val="21"/>
                <w:highlight w:val="none"/>
              </w:rPr>
              <w:t>A-19竞选人不按本章第 3.4.1 项要求提交比选保证金的，其竞选文件作否决竞选处理</w:t>
            </w:r>
          </w:p>
        </w:tc>
      </w:tr>
      <w:tr w14:paraId="39FB5DFA">
        <w:tblPrEx>
          <w:tblCellMar>
            <w:top w:w="0" w:type="dxa"/>
            <w:left w:w="108" w:type="dxa"/>
            <w:bottom w:w="0" w:type="dxa"/>
            <w:right w:w="108" w:type="dxa"/>
          </w:tblCellMar>
        </w:tblPrEx>
        <w:tc>
          <w:tcPr>
            <w:tcW w:w="2319" w:type="dxa"/>
            <w:vMerge w:val="continue"/>
            <w:tcBorders>
              <w:left w:val="single" w:color="auto" w:sz="4" w:space="0"/>
              <w:right w:val="single" w:color="000000" w:sz="4" w:space="0"/>
            </w:tcBorders>
            <w:vAlign w:val="center"/>
          </w:tcPr>
          <w:p w14:paraId="60CF1EFF">
            <w:pPr>
              <w:spacing w:line="400" w:lineRule="exact"/>
              <w:jc w:val="center"/>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auto" w:sz="4" w:space="0"/>
            </w:tcBorders>
          </w:tcPr>
          <w:p w14:paraId="03096CD3">
            <w:pPr>
              <w:spacing w:line="400" w:lineRule="exact"/>
              <w:ind w:firstLine="420" w:firstLineChars="200"/>
              <w:jc w:val="left"/>
              <w:rPr>
                <w:rFonts w:ascii="宋体" w:hAnsi="宋体" w:cs="宋体"/>
                <w:color w:val="auto"/>
                <w:kern w:val="1"/>
                <w:szCs w:val="21"/>
                <w:highlight w:val="none"/>
              </w:rPr>
            </w:pPr>
            <w:r>
              <w:rPr>
                <w:rFonts w:hint="eastAsia" w:ascii="宋体" w:hAnsi="宋体" w:cs="宋体"/>
                <w:color w:val="auto"/>
                <w:kern w:val="1"/>
                <w:szCs w:val="21"/>
                <w:highlight w:val="none"/>
              </w:rPr>
              <w:t>A-20评选委员会发现竞选人的报价明显低于其他竞选总报价，使得其竞选总报价可能低于其个别成本的，应当要求该竞选人做出书面说明并提供相应的证明材料。竞选人不能合理说明或者不能提供相应证明材料的，由评选委员会认定该竞选人以低于成本报价竞选，对该竞选人作否决竞选处理。</w:t>
            </w:r>
          </w:p>
        </w:tc>
      </w:tr>
      <w:tr w14:paraId="0F48D711">
        <w:tblPrEx>
          <w:tblCellMar>
            <w:top w:w="0" w:type="dxa"/>
            <w:left w:w="108" w:type="dxa"/>
            <w:bottom w:w="0" w:type="dxa"/>
            <w:right w:w="108" w:type="dxa"/>
          </w:tblCellMar>
        </w:tblPrEx>
        <w:tc>
          <w:tcPr>
            <w:tcW w:w="2319" w:type="dxa"/>
            <w:vMerge w:val="continue"/>
            <w:tcBorders>
              <w:left w:val="single" w:color="auto" w:sz="4" w:space="0"/>
              <w:right w:val="single" w:color="000000" w:sz="4" w:space="0"/>
            </w:tcBorders>
            <w:vAlign w:val="center"/>
          </w:tcPr>
          <w:p w14:paraId="70FD8F16">
            <w:pPr>
              <w:spacing w:line="400" w:lineRule="exact"/>
              <w:jc w:val="center"/>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000000" w:sz="4" w:space="0"/>
              <w:right w:val="single" w:color="auto" w:sz="4" w:space="0"/>
            </w:tcBorders>
          </w:tcPr>
          <w:p w14:paraId="416AB01F">
            <w:pPr>
              <w:spacing w:line="400" w:lineRule="exact"/>
              <w:ind w:firstLine="420" w:firstLineChars="200"/>
              <w:jc w:val="left"/>
              <w:rPr>
                <w:rFonts w:ascii="宋体" w:hAnsi="宋体" w:cs="宋体"/>
                <w:color w:val="auto"/>
                <w:kern w:val="1"/>
                <w:szCs w:val="21"/>
                <w:highlight w:val="none"/>
              </w:rPr>
            </w:pPr>
            <w:r>
              <w:rPr>
                <w:rFonts w:hint="eastAsia" w:ascii="宋体" w:hAnsi="宋体" w:cs="宋体"/>
                <w:color w:val="auto"/>
                <w:kern w:val="1"/>
                <w:szCs w:val="21"/>
                <w:highlight w:val="none"/>
              </w:rPr>
              <w:t>A-21中选候选人或中选人放弃中选项目，无正当理由不与比选人签订合同，在签订合同时向比选人提出附加条件或者更改合同实质性内容，或者拒不提交低价风险担保或者履约担保的，取消其中选资格，比选保证金不予退还，给比选人造成的损失超过比选保证金数额的，中选候选人或中选人应对超过部分予以赔偿。竞选人应对上述要求在竞选文件中无条件予以响应，否则由评选委员会作否决竞选处理。</w:t>
            </w:r>
          </w:p>
        </w:tc>
      </w:tr>
      <w:tr w14:paraId="0C7A9586">
        <w:tblPrEx>
          <w:tblCellMar>
            <w:top w:w="0" w:type="dxa"/>
            <w:left w:w="108" w:type="dxa"/>
            <w:bottom w:w="0" w:type="dxa"/>
            <w:right w:w="108" w:type="dxa"/>
          </w:tblCellMar>
        </w:tblPrEx>
        <w:trPr>
          <w:trHeight w:val="2094" w:hRule="atLeast"/>
        </w:trPr>
        <w:tc>
          <w:tcPr>
            <w:tcW w:w="2319" w:type="dxa"/>
            <w:vMerge w:val="continue"/>
            <w:tcBorders>
              <w:left w:val="single" w:color="auto" w:sz="4" w:space="0"/>
              <w:bottom w:val="single" w:color="auto" w:sz="4" w:space="0"/>
              <w:right w:val="single" w:color="000000" w:sz="4" w:space="0"/>
            </w:tcBorders>
            <w:vAlign w:val="center"/>
          </w:tcPr>
          <w:p w14:paraId="70B76B00">
            <w:pPr>
              <w:spacing w:line="400" w:lineRule="exact"/>
              <w:jc w:val="center"/>
              <w:rPr>
                <w:rFonts w:ascii="宋体" w:hAnsi="宋体" w:cs="宋体"/>
                <w:color w:val="auto"/>
                <w:kern w:val="1"/>
                <w:szCs w:val="21"/>
                <w:highlight w:val="none"/>
              </w:rPr>
            </w:pPr>
          </w:p>
        </w:tc>
        <w:tc>
          <w:tcPr>
            <w:tcW w:w="7308" w:type="dxa"/>
            <w:tcBorders>
              <w:top w:val="single" w:color="000000" w:sz="4" w:space="0"/>
              <w:left w:val="single" w:color="000000" w:sz="4" w:space="0"/>
              <w:bottom w:val="single" w:color="auto" w:sz="4" w:space="0"/>
              <w:right w:val="single" w:color="auto" w:sz="4" w:space="0"/>
            </w:tcBorders>
          </w:tcPr>
          <w:p w14:paraId="3277ED9E">
            <w:pPr>
              <w:snapToGrid w:val="0"/>
              <w:spacing w:line="400" w:lineRule="exact"/>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A-22</w:t>
            </w:r>
            <w:r>
              <w:rPr>
                <w:rFonts w:hint="eastAsia" w:ascii="宋体" w:hAnsi="宋体" w:cs="宋体"/>
                <w:color w:val="auto"/>
                <w:highlight w:val="none"/>
              </w:rPr>
              <w:t>竞选人自行在竞选文件中承诺拟派驻的总监理工程师、专业监理工程师和监理员在本项目比选前未有其他在监项目，如经查证承诺不实，将取消其中选资格，给比选人造成损失的，竞选人依法承担违约赔偿责任。竞选人须在竞选文件资格审查资料附承诺函（格式），否则由评选委员会作否决竞选处理。</w:t>
            </w:r>
          </w:p>
        </w:tc>
      </w:tr>
    </w:tbl>
    <w:p w14:paraId="7C55CD97">
      <w:pPr>
        <w:pStyle w:val="8"/>
        <w:spacing w:line="360" w:lineRule="auto"/>
        <w:rPr>
          <w:rFonts w:ascii="宋体" w:hAnsi="宋体" w:cs="宋体"/>
          <w:color w:val="auto"/>
          <w:kern w:val="0"/>
          <w:sz w:val="52"/>
          <w:szCs w:val="52"/>
          <w:highlight w:val="none"/>
        </w:rPr>
      </w:pPr>
    </w:p>
    <w:p w14:paraId="0BBC98A7">
      <w:pPr>
        <w:jc w:val="center"/>
        <w:rPr>
          <w:color w:val="auto"/>
          <w:highlight w:val="none"/>
        </w:rPr>
      </w:pPr>
      <w:bookmarkStart w:id="689" w:name="_Toc32462"/>
      <w:bookmarkStart w:id="690" w:name="_Toc29600"/>
    </w:p>
    <w:p w14:paraId="7221F5A3">
      <w:pPr>
        <w:pStyle w:val="2"/>
        <w:rPr>
          <w:color w:val="auto"/>
          <w:highlight w:val="none"/>
        </w:rPr>
      </w:pPr>
    </w:p>
    <w:p w14:paraId="4D06545F">
      <w:pPr>
        <w:rPr>
          <w:color w:val="auto"/>
          <w:highlight w:val="none"/>
        </w:rPr>
      </w:pPr>
    </w:p>
    <w:p w14:paraId="5DBC63C9">
      <w:pPr>
        <w:pStyle w:val="2"/>
        <w:rPr>
          <w:color w:val="auto"/>
          <w:highlight w:val="none"/>
        </w:rPr>
      </w:pPr>
    </w:p>
    <w:p w14:paraId="225F2B8F">
      <w:pPr>
        <w:rPr>
          <w:color w:val="auto"/>
          <w:highlight w:val="none"/>
        </w:rPr>
      </w:pPr>
    </w:p>
    <w:p w14:paraId="31A5A2CD">
      <w:pPr>
        <w:pStyle w:val="2"/>
        <w:rPr>
          <w:color w:val="auto"/>
          <w:highlight w:val="none"/>
        </w:rPr>
      </w:pPr>
    </w:p>
    <w:p w14:paraId="11402C5D">
      <w:pPr>
        <w:rPr>
          <w:color w:val="auto"/>
          <w:highlight w:val="none"/>
        </w:rPr>
      </w:pPr>
    </w:p>
    <w:p w14:paraId="6948B752">
      <w:pPr>
        <w:pStyle w:val="2"/>
        <w:rPr>
          <w:color w:val="auto"/>
          <w:highlight w:val="none"/>
        </w:rPr>
      </w:pPr>
    </w:p>
    <w:p w14:paraId="6EC50B8C">
      <w:pPr>
        <w:rPr>
          <w:color w:val="auto"/>
          <w:highlight w:val="none"/>
        </w:rPr>
      </w:pPr>
    </w:p>
    <w:p w14:paraId="28CA3376">
      <w:pPr>
        <w:pStyle w:val="3"/>
        <w:jc w:val="center"/>
        <w:rPr>
          <w:color w:val="auto"/>
          <w:highlight w:val="none"/>
        </w:rPr>
      </w:pPr>
      <w:r>
        <w:rPr>
          <w:rFonts w:hint="eastAsia"/>
          <w:color w:val="auto"/>
          <w:highlight w:val="none"/>
        </w:rPr>
        <w:t>第四章  合同条款及格式</w:t>
      </w:r>
    </w:p>
    <w:p w14:paraId="332A9A8A">
      <w:pPr>
        <w:rPr>
          <w:color w:val="auto"/>
          <w:highlight w:val="none"/>
        </w:rPr>
      </w:pPr>
    </w:p>
    <w:p w14:paraId="3EF874A2">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0194B2CA">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4869BB14">
      <w:pPr>
        <w:pStyle w:val="2"/>
        <w:rPr>
          <w:rFonts w:ascii="宋体" w:hAnsi="宋体"/>
          <w:b/>
          <w:bCs/>
          <w:color w:val="auto"/>
          <w:sz w:val="72"/>
          <w:szCs w:val="72"/>
          <w:highlight w:val="none"/>
        </w:rPr>
      </w:pPr>
    </w:p>
    <w:p w14:paraId="0ADD2EF9">
      <w:pPr>
        <w:rPr>
          <w:rFonts w:ascii="宋体" w:hAnsi="宋体"/>
          <w:b/>
          <w:bCs/>
          <w:color w:val="auto"/>
          <w:sz w:val="72"/>
          <w:szCs w:val="72"/>
          <w:highlight w:val="none"/>
        </w:rPr>
      </w:pPr>
    </w:p>
    <w:p w14:paraId="36158772">
      <w:pPr>
        <w:pStyle w:val="2"/>
        <w:rPr>
          <w:rFonts w:ascii="宋体" w:hAnsi="宋体"/>
          <w:b/>
          <w:bCs/>
          <w:color w:val="auto"/>
          <w:sz w:val="72"/>
          <w:szCs w:val="72"/>
          <w:highlight w:val="none"/>
        </w:rPr>
      </w:pPr>
    </w:p>
    <w:p w14:paraId="655DA948">
      <w:pPr>
        <w:rPr>
          <w:rFonts w:ascii="宋体" w:hAnsi="宋体"/>
          <w:b/>
          <w:bCs/>
          <w:color w:val="auto"/>
          <w:sz w:val="72"/>
          <w:szCs w:val="72"/>
          <w:highlight w:val="none"/>
        </w:rPr>
      </w:pPr>
    </w:p>
    <w:p w14:paraId="3B9C4A21">
      <w:pPr>
        <w:pStyle w:val="2"/>
        <w:rPr>
          <w:rFonts w:ascii="宋体" w:hAnsi="宋体"/>
          <w:b/>
          <w:bCs/>
          <w:color w:val="auto"/>
          <w:sz w:val="72"/>
          <w:szCs w:val="72"/>
          <w:highlight w:val="none"/>
        </w:rPr>
      </w:pPr>
    </w:p>
    <w:p w14:paraId="25EA81C5">
      <w:pPr>
        <w:rPr>
          <w:rFonts w:ascii="宋体" w:hAnsi="宋体"/>
          <w:b/>
          <w:bCs/>
          <w:color w:val="auto"/>
          <w:sz w:val="72"/>
          <w:szCs w:val="72"/>
          <w:highlight w:val="none"/>
        </w:rPr>
      </w:pPr>
    </w:p>
    <w:p w14:paraId="57045C6A">
      <w:pPr>
        <w:pStyle w:val="2"/>
        <w:rPr>
          <w:color w:val="auto"/>
          <w:highlight w:val="none"/>
        </w:rPr>
      </w:pPr>
    </w:p>
    <w:p w14:paraId="53BB3B29">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5E502A53">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1FA3627E">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4BCDF84F">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6DF47A7F">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604BC3E9">
      <w:pPr>
        <w:overflowPunct w:val="0"/>
        <w:autoSpaceDE w:val="0"/>
        <w:autoSpaceDN w:val="0"/>
        <w:adjustRightInd w:val="0"/>
        <w:snapToGrid w:val="0"/>
        <w:spacing w:line="720" w:lineRule="exact"/>
        <w:ind w:firstLine="1446" w:firstLineChars="200"/>
        <w:rPr>
          <w:rFonts w:hint="eastAsia" w:ascii="宋体" w:hAnsi="宋体"/>
          <w:b/>
          <w:bCs/>
          <w:color w:val="auto"/>
          <w:sz w:val="72"/>
          <w:szCs w:val="72"/>
          <w:highlight w:val="none"/>
        </w:rPr>
      </w:pPr>
      <w:bookmarkStart w:id="691" w:name="_Toc267261701"/>
    </w:p>
    <w:p w14:paraId="22E70206">
      <w:pPr>
        <w:overflowPunct w:val="0"/>
        <w:autoSpaceDE w:val="0"/>
        <w:autoSpaceDN w:val="0"/>
        <w:adjustRightInd w:val="0"/>
        <w:snapToGrid w:val="0"/>
        <w:spacing w:line="720" w:lineRule="exact"/>
        <w:ind w:firstLine="1446" w:firstLineChars="200"/>
        <w:rPr>
          <w:rFonts w:hint="eastAsia" w:ascii="宋体" w:hAnsi="宋体"/>
          <w:b/>
          <w:bCs/>
          <w:color w:val="auto"/>
          <w:sz w:val="72"/>
          <w:szCs w:val="72"/>
          <w:highlight w:val="none"/>
        </w:rPr>
      </w:pPr>
    </w:p>
    <w:p w14:paraId="521A95B9">
      <w:pPr>
        <w:overflowPunct w:val="0"/>
        <w:autoSpaceDE w:val="0"/>
        <w:autoSpaceDN w:val="0"/>
        <w:adjustRightInd w:val="0"/>
        <w:snapToGrid w:val="0"/>
        <w:spacing w:line="720" w:lineRule="exact"/>
        <w:ind w:firstLine="1446" w:firstLineChars="200"/>
        <w:rPr>
          <w:rFonts w:hint="eastAsia" w:ascii="宋体" w:hAnsi="宋体"/>
          <w:b/>
          <w:bCs/>
          <w:color w:val="auto"/>
          <w:sz w:val="72"/>
          <w:szCs w:val="72"/>
          <w:highlight w:val="none"/>
        </w:rPr>
      </w:pPr>
    </w:p>
    <w:p w14:paraId="5DBCB160">
      <w:pPr>
        <w:overflowPunct w:val="0"/>
        <w:autoSpaceDE w:val="0"/>
        <w:autoSpaceDN w:val="0"/>
        <w:adjustRightInd w:val="0"/>
        <w:snapToGrid w:val="0"/>
        <w:spacing w:line="720" w:lineRule="exact"/>
        <w:ind w:firstLine="1446" w:firstLineChars="200"/>
        <w:rPr>
          <w:rFonts w:ascii="宋体" w:hAnsi="宋体"/>
          <w:b/>
          <w:bCs/>
          <w:color w:val="auto"/>
          <w:sz w:val="72"/>
          <w:szCs w:val="72"/>
          <w:highlight w:val="none"/>
        </w:rPr>
      </w:pPr>
      <w:r>
        <w:rPr>
          <w:rFonts w:hint="eastAsia" w:ascii="宋体" w:hAnsi="宋体"/>
          <w:b/>
          <w:bCs/>
          <w:color w:val="auto"/>
          <w:sz w:val="72"/>
          <w:szCs w:val="72"/>
          <w:highlight w:val="none"/>
        </w:rPr>
        <w:t>建设工程监理合同</w:t>
      </w:r>
    </w:p>
    <w:p w14:paraId="7FC58BF4">
      <w:pPr>
        <w:overflowPunct w:val="0"/>
        <w:autoSpaceDE w:val="0"/>
        <w:autoSpaceDN w:val="0"/>
        <w:adjustRightInd w:val="0"/>
        <w:snapToGrid w:val="0"/>
        <w:spacing w:line="720" w:lineRule="exact"/>
        <w:ind w:firstLine="960" w:firstLineChars="200"/>
        <w:jc w:val="center"/>
        <w:rPr>
          <w:rFonts w:ascii="宋体" w:hAnsi="宋体"/>
          <w:bCs/>
          <w:color w:val="auto"/>
          <w:sz w:val="48"/>
          <w:szCs w:val="48"/>
          <w:highlight w:val="none"/>
        </w:rPr>
      </w:pPr>
    </w:p>
    <w:p w14:paraId="441994C7">
      <w:pPr>
        <w:overflowPunct w:val="0"/>
        <w:autoSpaceDE w:val="0"/>
        <w:autoSpaceDN w:val="0"/>
        <w:adjustRightInd w:val="0"/>
        <w:snapToGrid w:val="0"/>
        <w:spacing w:line="720" w:lineRule="exact"/>
        <w:ind w:firstLine="480" w:firstLineChars="200"/>
        <w:jc w:val="center"/>
        <w:rPr>
          <w:rFonts w:ascii="宋体" w:hAnsi="宋体"/>
          <w:bCs/>
          <w:color w:val="auto"/>
          <w:sz w:val="24"/>
          <w:highlight w:val="none"/>
        </w:rPr>
      </w:pPr>
    </w:p>
    <w:p w14:paraId="274870EF">
      <w:pPr>
        <w:overflowPunct w:val="0"/>
        <w:autoSpaceDE w:val="0"/>
        <w:autoSpaceDN w:val="0"/>
        <w:adjustRightInd w:val="0"/>
        <w:snapToGrid w:val="0"/>
        <w:spacing w:line="720" w:lineRule="exact"/>
        <w:ind w:firstLine="482" w:firstLineChars="200"/>
        <w:jc w:val="center"/>
        <w:rPr>
          <w:rFonts w:ascii="宋体" w:hAnsi="宋体"/>
          <w:b/>
          <w:bCs/>
          <w:color w:val="auto"/>
          <w:sz w:val="24"/>
          <w:highlight w:val="none"/>
        </w:rPr>
      </w:pPr>
    </w:p>
    <w:p w14:paraId="2580792C">
      <w:pPr>
        <w:overflowPunct w:val="0"/>
        <w:autoSpaceDE w:val="0"/>
        <w:autoSpaceDN w:val="0"/>
        <w:adjustRightInd w:val="0"/>
        <w:snapToGrid w:val="0"/>
        <w:spacing w:line="720" w:lineRule="exact"/>
        <w:rPr>
          <w:rFonts w:ascii="宋体" w:hAnsi="宋体"/>
          <w:b/>
          <w:bCs/>
          <w:color w:val="auto"/>
          <w:sz w:val="24"/>
          <w:highlight w:val="none"/>
        </w:rPr>
      </w:pPr>
    </w:p>
    <w:p w14:paraId="256949CE">
      <w:pPr>
        <w:overflowPunct w:val="0"/>
        <w:autoSpaceDE w:val="0"/>
        <w:autoSpaceDN w:val="0"/>
        <w:adjustRightInd w:val="0"/>
        <w:snapToGrid w:val="0"/>
        <w:spacing w:line="720" w:lineRule="exact"/>
        <w:ind w:firstLine="482" w:firstLineChars="200"/>
        <w:jc w:val="center"/>
        <w:rPr>
          <w:rFonts w:ascii="宋体" w:hAnsi="宋体"/>
          <w:b/>
          <w:bCs/>
          <w:color w:val="auto"/>
          <w:sz w:val="24"/>
          <w:highlight w:val="none"/>
        </w:rPr>
      </w:pPr>
    </w:p>
    <w:p w14:paraId="34FC5AB8">
      <w:pPr>
        <w:overflowPunct w:val="0"/>
        <w:autoSpaceDE w:val="0"/>
        <w:autoSpaceDN w:val="0"/>
        <w:adjustRightInd w:val="0"/>
        <w:snapToGrid w:val="0"/>
        <w:spacing w:line="720" w:lineRule="exact"/>
        <w:ind w:firstLine="482" w:firstLineChars="200"/>
        <w:rPr>
          <w:rFonts w:ascii="宋体" w:hAnsi="宋体"/>
          <w:b/>
          <w:bCs/>
          <w:color w:val="auto"/>
          <w:sz w:val="24"/>
          <w:highlight w:val="none"/>
        </w:rPr>
      </w:pPr>
    </w:p>
    <w:p w14:paraId="5B50FA6E">
      <w:pPr>
        <w:overflowPunct w:val="0"/>
        <w:autoSpaceDE w:val="0"/>
        <w:autoSpaceDN w:val="0"/>
        <w:adjustRightInd w:val="0"/>
        <w:snapToGrid w:val="0"/>
        <w:spacing w:line="720" w:lineRule="exact"/>
        <w:ind w:left="2168" w:leftChars="137" w:hanging="1880" w:hangingChars="600"/>
        <w:jc w:val="left"/>
        <w:rPr>
          <w:rFonts w:hint="eastAsia" w:ascii="宋体" w:hAnsi="宋体" w:cs="宋体"/>
          <w:b/>
          <w:bCs/>
          <w:color w:val="auto"/>
          <w:kern w:val="0"/>
          <w:sz w:val="28"/>
          <w:szCs w:val="28"/>
          <w:highlight w:val="none"/>
          <w:u w:val="single"/>
          <w:lang w:val="zh-TW"/>
        </w:rPr>
      </w:pPr>
      <w:r>
        <w:rPr>
          <w:rFonts w:hint="eastAsia" w:ascii="宋体" w:hAnsi="宋体"/>
          <w:b/>
          <w:snapToGrid w:val="0"/>
          <w:color w:val="auto"/>
          <w:spacing w:val="-4"/>
          <w:kern w:val="0"/>
          <w:sz w:val="32"/>
          <w:szCs w:val="32"/>
          <w:highlight w:val="none"/>
        </w:rPr>
        <w:t>项目名称：</w:t>
      </w:r>
      <w:r>
        <w:rPr>
          <w:rFonts w:hint="eastAsia" w:ascii="宋体" w:hAnsi="宋体" w:cs="宋体"/>
          <w:b/>
          <w:bCs/>
          <w:color w:val="auto"/>
          <w:kern w:val="0"/>
          <w:sz w:val="28"/>
          <w:szCs w:val="28"/>
          <w:highlight w:val="none"/>
          <w:u w:val="single"/>
        </w:rPr>
        <w:t xml:space="preserve">                                  </w:t>
      </w:r>
    </w:p>
    <w:p w14:paraId="22AD3634">
      <w:pPr>
        <w:overflowPunct w:val="0"/>
        <w:autoSpaceDE w:val="0"/>
        <w:autoSpaceDN w:val="0"/>
        <w:adjustRightInd w:val="0"/>
        <w:snapToGrid w:val="0"/>
        <w:spacing w:line="720" w:lineRule="exact"/>
        <w:ind w:firstLine="313" w:firstLineChars="100"/>
        <w:jc w:val="left"/>
        <w:rPr>
          <w:rFonts w:hint="eastAsia" w:ascii="宋体" w:hAnsi="宋体" w:cs="宋体"/>
          <w:b/>
          <w:bCs/>
          <w:color w:val="auto"/>
          <w:kern w:val="0"/>
          <w:sz w:val="28"/>
          <w:szCs w:val="28"/>
          <w:highlight w:val="none"/>
          <w:u w:val="single"/>
          <w:lang w:val="zh-TW"/>
        </w:rPr>
      </w:pPr>
      <w:r>
        <w:rPr>
          <w:rFonts w:hint="eastAsia" w:ascii="宋体" w:hAnsi="宋体"/>
          <w:b/>
          <w:snapToGrid w:val="0"/>
          <w:color w:val="auto"/>
          <w:spacing w:val="-4"/>
          <w:kern w:val="0"/>
          <w:sz w:val="32"/>
          <w:szCs w:val="32"/>
          <w:highlight w:val="none"/>
        </w:rPr>
        <w:t>发包单位：</w:t>
      </w:r>
      <w:r>
        <w:rPr>
          <w:rFonts w:hint="eastAsia" w:ascii="宋体" w:hAnsi="宋体" w:cs="宋体"/>
          <w:b/>
          <w:bCs/>
          <w:color w:val="auto"/>
          <w:kern w:val="0"/>
          <w:sz w:val="28"/>
          <w:szCs w:val="28"/>
          <w:highlight w:val="none"/>
          <w:u w:val="single"/>
          <w:lang w:val="zh-TW"/>
        </w:rPr>
        <w:t xml:space="preserve">                                  </w:t>
      </w:r>
    </w:p>
    <w:p w14:paraId="63937B1B">
      <w:pPr>
        <w:overflowPunct w:val="0"/>
        <w:autoSpaceDE w:val="0"/>
        <w:autoSpaceDN w:val="0"/>
        <w:adjustRightInd w:val="0"/>
        <w:snapToGrid w:val="0"/>
        <w:spacing w:line="720" w:lineRule="exact"/>
        <w:ind w:firstLine="313" w:firstLineChars="100"/>
        <w:jc w:val="left"/>
        <w:rPr>
          <w:rFonts w:ascii="宋体" w:hAnsi="宋体"/>
          <w:b/>
          <w:snapToGrid w:val="0"/>
          <w:color w:val="auto"/>
          <w:spacing w:val="-4"/>
          <w:kern w:val="0"/>
          <w:sz w:val="32"/>
          <w:szCs w:val="32"/>
          <w:highlight w:val="none"/>
          <w:u w:val="single"/>
        </w:rPr>
      </w:pPr>
      <w:r>
        <w:rPr>
          <w:rFonts w:hint="eastAsia" w:ascii="宋体" w:hAnsi="宋体"/>
          <w:b/>
          <w:snapToGrid w:val="0"/>
          <w:color w:val="auto"/>
          <w:spacing w:val="-4"/>
          <w:kern w:val="0"/>
          <w:sz w:val="32"/>
          <w:szCs w:val="32"/>
          <w:highlight w:val="none"/>
          <w:lang w:val="zh-TW"/>
        </w:rPr>
        <w:t>监理单位：</w:t>
      </w:r>
      <w:r>
        <w:rPr>
          <w:rFonts w:hint="eastAsia" w:ascii="宋体" w:hAnsi="宋体" w:cs="宋体"/>
          <w:b/>
          <w:bCs/>
          <w:color w:val="auto"/>
          <w:kern w:val="0"/>
          <w:sz w:val="28"/>
          <w:szCs w:val="28"/>
          <w:highlight w:val="none"/>
          <w:u w:val="single"/>
          <w:lang w:val="zh-TW"/>
        </w:rPr>
        <w:t xml:space="preserve">                                  </w:t>
      </w:r>
    </w:p>
    <w:p w14:paraId="58C3A743">
      <w:pPr>
        <w:overflowPunct w:val="0"/>
        <w:autoSpaceDE w:val="0"/>
        <w:autoSpaceDN w:val="0"/>
        <w:adjustRightInd w:val="0"/>
        <w:snapToGrid w:val="0"/>
        <w:spacing w:line="720" w:lineRule="exact"/>
        <w:ind w:firstLine="624" w:firstLineChars="200"/>
        <w:rPr>
          <w:rFonts w:ascii="宋体" w:hAnsi="宋体"/>
          <w:snapToGrid w:val="0"/>
          <w:color w:val="auto"/>
          <w:spacing w:val="-4"/>
          <w:kern w:val="0"/>
          <w:sz w:val="32"/>
          <w:szCs w:val="32"/>
          <w:highlight w:val="none"/>
          <w:u w:val="single"/>
        </w:rPr>
      </w:pPr>
    </w:p>
    <w:p w14:paraId="5420F26A">
      <w:pPr>
        <w:overflowPunct w:val="0"/>
        <w:autoSpaceDE w:val="0"/>
        <w:autoSpaceDN w:val="0"/>
        <w:adjustRightInd w:val="0"/>
        <w:snapToGrid w:val="0"/>
        <w:spacing w:line="720" w:lineRule="exact"/>
        <w:rPr>
          <w:rFonts w:ascii="宋体" w:hAnsi="宋体"/>
          <w:snapToGrid w:val="0"/>
          <w:color w:val="auto"/>
          <w:spacing w:val="-4"/>
          <w:kern w:val="0"/>
          <w:sz w:val="32"/>
          <w:szCs w:val="32"/>
          <w:highlight w:val="none"/>
        </w:rPr>
      </w:pPr>
    </w:p>
    <w:p w14:paraId="7D7D6E51">
      <w:pPr>
        <w:overflowPunct w:val="0"/>
        <w:autoSpaceDE w:val="0"/>
        <w:autoSpaceDN w:val="0"/>
        <w:adjustRightInd w:val="0"/>
        <w:snapToGrid w:val="0"/>
        <w:spacing w:line="720" w:lineRule="exact"/>
        <w:ind w:firstLine="627" w:firstLineChars="200"/>
        <w:rPr>
          <w:rFonts w:ascii="宋体" w:hAnsi="宋体"/>
          <w:b/>
          <w:snapToGrid w:val="0"/>
          <w:color w:val="auto"/>
          <w:spacing w:val="-4"/>
          <w:kern w:val="0"/>
          <w:sz w:val="32"/>
          <w:szCs w:val="32"/>
          <w:highlight w:val="none"/>
        </w:rPr>
      </w:pPr>
      <w:r>
        <w:rPr>
          <w:rFonts w:hint="eastAsia" w:ascii="宋体" w:hAnsi="宋体"/>
          <w:b/>
          <w:snapToGrid w:val="0"/>
          <w:color w:val="auto"/>
          <w:spacing w:val="-4"/>
          <w:kern w:val="0"/>
          <w:sz w:val="32"/>
          <w:szCs w:val="32"/>
          <w:highlight w:val="none"/>
        </w:rPr>
        <w:t>签订日期：</w:t>
      </w:r>
      <w:r>
        <w:rPr>
          <w:rFonts w:hint="eastAsia" w:ascii="宋体" w:hAnsi="宋体"/>
          <w:b/>
          <w:snapToGrid w:val="0"/>
          <w:color w:val="auto"/>
          <w:spacing w:val="-4"/>
          <w:kern w:val="0"/>
          <w:sz w:val="32"/>
          <w:szCs w:val="32"/>
          <w:highlight w:val="none"/>
          <w:u w:val="single"/>
        </w:rPr>
        <w:t xml:space="preserve">      </w:t>
      </w:r>
      <w:r>
        <w:rPr>
          <w:rFonts w:hint="eastAsia" w:ascii="宋体" w:hAnsi="宋体"/>
          <w:b/>
          <w:snapToGrid w:val="0"/>
          <w:color w:val="auto"/>
          <w:spacing w:val="-4"/>
          <w:kern w:val="0"/>
          <w:sz w:val="32"/>
          <w:szCs w:val="32"/>
          <w:highlight w:val="none"/>
        </w:rPr>
        <w:t>年</w:t>
      </w:r>
      <w:r>
        <w:rPr>
          <w:rFonts w:hint="eastAsia" w:ascii="宋体" w:hAnsi="宋体"/>
          <w:b/>
          <w:snapToGrid w:val="0"/>
          <w:color w:val="auto"/>
          <w:spacing w:val="-4"/>
          <w:kern w:val="0"/>
          <w:sz w:val="32"/>
          <w:szCs w:val="32"/>
          <w:highlight w:val="none"/>
          <w:u w:val="single"/>
        </w:rPr>
        <w:t xml:space="preserve">  </w:t>
      </w:r>
      <w:r>
        <w:rPr>
          <w:rFonts w:ascii="宋体" w:hAnsi="宋体"/>
          <w:b/>
          <w:snapToGrid w:val="0"/>
          <w:color w:val="auto"/>
          <w:spacing w:val="-4"/>
          <w:kern w:val="0"/>
          <w:sz w:val="32"/>
          <w:szCs w:val="32"/>
          <w:highlight w:val="none"/>
          <w:u w:val="single"/>
        </w:rPr>
        <w:t xml:space="preserve"> </w:t>
      </w:r>
      <w:r>
        <w:rPr>
          <w:rFonts w:hint="eastAsia" w:ascii="宋体" w:hAnsi="宋体"/>
          <w:b/>
          <w:snapToGrid w:val="0"/>
          <w:color w:val="auto"/>
          <w:spacing w:val="-4"/>
          <w:kern w:val="0"/>
          <w:sz w:val="32"/>
          <w:szCs w:val="32"/>
          <w:highlight w:val="none"/>
        </w:rPr>
        <w:t>月</w:t>
      </w:r>
      <w:r>
        <w:rPr>
          <w:rFonts w:hint="eastAsia" w:ascii="宋体" w:hAnsi="宋体"/>
          <w:b/>
          <w:snapToGrid w:val="0"/>
          <w:color w:val="auto"/>
          <w:spacing w:val="-4"/>
          <w:kern w:val="0"/>
          <w:sz w:val="32"/>
          <w:szCs w:val="32"/>
          <w:highlight w:val="none"/>
          <w:u w:val="single"/>
        </w:rPr>
        <w:t xml:space="preserve">   </w:t>
      </w:r>
      <w:r>
        <w:rPr>
          <w:rFonts w:hint="eastAsia" w:ascii="宋体" w:hAnsi="宋体"/>
          <w:b/>
          <w:snapToGrid w:val="0"/>
          <w:color w:val="auto"/>
          <w:spacing w:val="-4"/>
          <w:kern w:val="0"/>
          <w:sz w:val="32"/>
          <w:szCs w:val="32"/>
          <w:highlight w:val="none"/>
        </w:rPr>
        <w:t>日</w:t>
      </w:r>
    </w:p>
    <w:p w14:paraId="3CC182E0">
      <w:pPr>
        <w:overflowPunct w:val="0"/>
        <w:autoSpaceDE w:val="0"/>
        <w:autoSpaceDN w:val="0"/>
        <w:adjustRightInd w:val="0"/>
        <w:snapToGrid w:val="0"/>
        <w:spacing w:line="720" w:lineRule="exact"/>
        <w:ind w:firstLine="627" w:firstLineChars="200"/>
        <w:rPr>
          <w:rFonts w:hint="eastAsia" w:ascii="宋体" w:hAnsi="宋体"/>
          <w:b/>
          <w:bCs/>
          <w:snapToGrid w:val="0"/>
          <w:color w:val="auto"/>
          <w:spacing w:val="-4"/>
          <w:kern w:val="0"/>
          <w:sz w:val="32"/>
          <w:szCs w:val="32"/>
          <w:highlight w:val="none"/>
          <w:u w:val="single"/>
        </w:rPr>
      </w:pPr>
      <w:r>
        <w:rPr>
          <w:rFonts w:hint="eastAsia" w:ascii="宋体" w:hAnsi="宋体"/>
          <w:b/>
          <w:snapToGrid w:val="0"/>
          <w:color w:val="auto"/>
          <w:spacing w:val="-4"/>
          <w:kern w:val="0"/>
          <w:sz w:val="32"/>
          <w:szCs w:val="32"/>
          <w:highlight w:val="none"/>
        </w:rPr>
        <w:t>签订地点：</w:t>
      </w:r>
      <w:r>
        <w:rPr>
          <w:rFonts w:hint="eastAsia" w:ascii="宋体" w:hAnsi="宋体"/>
          <w:b/>
          <w:bCs/>
          <w:snapToGrid w:val="0"/>
          <w:color w:val="auto"/>
          <w:spacing w:val="-4"/>
          <w:kern w:val="0"/>
          <w:sz w:val="32"/>
          <w:szCs w:val="32"/>
          <w:highlight w:val="none"/>
          <w:u w:val="single"/>
        </w:rPr>
        <w:t xml:space="preserve">    重庆市南岸区   </w:t>
      </w:r>
    </w:p>
    <w:p w14:paraId="56245101">
      <w:pPr>
        <w:pStyle w:val="2"/>
        <w:rPr>
          <w:rFonts w:hint="eastAsia" w:ascii="宋体" w:hAnsi="宋体"/>
          <w:b/>
          <w:bCs/>
          <w:snapToGrid w:val="0"/>
          <w:color w:val="auto"/>
          <w:spacing w:val="-4"/>
          <w:kern w:val="0"/>
          <w:sz w:val="32"/>
          <w:szCs w:val="32"/>
          <w:highlight w:val="none"/>
          <w:u w:val="single"/>
        </w:rPr>
      </w:pPr>
    </w:p>
    <w:p w14:paraId="3BA96712">
      <w:pPr>
        <w:pStyle w:val="2"/>
        <w:rPr>
          <w:color w:val="auto"/>
          <w:highlight w:val="none"/>
        </w:rPr>
      </w:pPr>
    </w:p>
    <w:p w14:paraId="7236A680">
      <w:pPr>
        <w:tabs>
          <w:tab w:val="left" w:pos="3120"/>
        </w:tabs>
        <w:overflowPunct w:val="0"/>
        <w:autoSpaceDE w:val="0"/>
        <w:autoSpaceDN w:val="0"/>
        <w:adjustRightInd w:val="0"/>
        <w:snapToGrid w:val="0"/>
        <w:spacing w:line="420" w:lineRule="exact"/>
        <w:jc w:val="center"/>
        <w:rPr>
          <w:rFonts w:ascii="宋体" w:hAnsi="宋体"/>
          <w:bCs/>
          <w:color w:val="auto"/>
          <w:sz w:val="32"/>
          <w:szCs w:val="32"/>
          <w:highlight w:val="none"/>
        </w:rPr>
      </w:pPr>
    </w:p>
    <w:p w14:paraId="510C5E73">
      <w:pPr>
        <w:tabs>
          <w:tab w:val="left" w:pos="3120"/>
        </w:tabs>
        <w:overflowPunct w:val="0"/>
        <w:autoSpaceDE w:val="0"/>
        <w:autoSpaceDN w:val="0"/>
        <w:adjustRightInd w:val="0"/>
        <w:snapToGrid w:val="0"/>
        <w:spacing w:line="420" w:lineRule="exact"/>
        <w:jc w:val="center"/>
        <w:rPr>
          <w:rFonts w:hint="eastAsia" w:ascii="宋体" w:hAnsi="宋体"/>
          <w:bCs/>
          <w:color w:val="auto"/>
          <w:sz w:val="32"/>
          <w:szCs w:val="32"/>
          <w:highlight w:val="none"/>
        </w:rPr>
        <w:sectPr>
          <w:pgSz w:w="11906" w:h="16838"/>
          <w:pgMar w:top="1191" w:right="964" w:bottom="1191" w:left="964" w:header="851" w:footer="992" w:gutter="0"/>
          <w:cols w:space="720" w:num="1"/>
          <w:docGrid w:type="lines" w:linePitch="312" w:charSpace="0"/>
        </w:sectPr>
      </w:pPr>
    </w:p>
    <w:p w14:paraId="36499608">
      <w:pPr>
        <w:tabs>
          <w:tab w:val="left" w:pos="3120"/>
        </w:tabs>
        <w:overflowPunct w:val="0"/>
        <w:autoSpaceDE w:val="0"/>
        <w:autoSpaceDN w:val="0"/>
        <w:adjustRightInd w:val="0"/>
        <w:snapToGrid w:val="0"/>
        <w:spacing w:line="420" w:lineRule="exact"/>
        <w:rPr>
          <w:rFonts w:hint="eastAsia" w:ascii="宋体" w:hAnsi="宋体"/>
          <w:bCs/>
          <w:color w:val="auto"/>
          <w:sz w:val="32"/>
          <w:szCs w:val="32"/>
          <w:highlight w:val="none"/>
        </w:rPr>
      </w:pPr>
    </w:p>
    <w:p w14:paraId="3F6003E0">
      <w:pPr>
        <w:tabs>
          <w:tab w:val="left" w:pos="3120"/>
        </w:tabs>
        <w:overflowPunct w:val="0"/>
        <w:autoSpaceDE w:val="0"/>
        <w:autoSpaceDN w:val="0"/>
        <w:adjustRightInd w:val="0"/>
        <w:snapToGrid w:val="0"/>
        <w:spacing w:line="420" w:lineRule="exact"/>
        <w:jc w:val="center"/>
        <w:outlineLvl w:val="0"/>
        <w:rPr>
          <w:rFonts w:ascii="宋体" w:hAnsi="宋体"/>
          <w:bCs/>
          <w:color w:val="auto"/>
          <w:sz w:val="32"/>
          <w:szCs w:val="32"/>
          <w:highlight w:val="none"/>
        </w:rPr>
      </w:pPr>
      <w:r>
        <w:rPr>
          <w:rFonts w:hint="eastAsia" w:ascii="宋体" w:hAnsi="宋体"/>
          <w:bCs/>
          <w:color w:val="auto"/>
          <w:sz w:val="32"/>
          <w:szCs w:val="32"/>
          <w:highlight w:val="none"/>
        </w:rPr>
        <w:t>第一部分  协议书</w:t>
      </w:r>
    </w:p>
    <w:p w14:paraId="53EA2E1A">
      <w:pPr>
        <w:overflowPunct w:val="0"/>
        <w:autoSpaceDE w:val="0"/>
        <w:autoSpaceDN w:val="0"/>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委托人（全称）：</w:t>
      </w:r>
      <w:r>
        <w:rPr>
          <w:rFonts w:hint="eastAsia" w:ascii="宋体" w:hAnsi="宋体"/>
          <w:b/>
          <w:color w:val="auto"/>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bCs/>
          <w:color w:val="auto"/>
          <w:szCs w:val="21"/>
          <w:highlight w:val="none"/>
          <w:u w:val="single"/>
        </w:rPr>
        <w:t xml:space="preserve">  </w:t>
      </w:r>
    </w:p>
    <w:p w14:paraId="509A2791">
      <w:pPr>
        <w:overflowPunct w:val="0"/>
        <w:autoSpaceDE w:val="0"/>
        <w:autoSpaceDN w:val="0"/>
        <w:adjustRightInd w:val="0"/>
        <w:snapToGrid w:val="0"/>
        <w:spacing w:line="420" w:lineRule="exact"/>
        <w:ind w:firstLine="422" w:firstLineChars="200"/>
        <w:rPr>
          <w:rFonts w:ascii="宋体" w:hAnsi="宋体"/>
          <w:color w:val="auto"/>
          <w:szCs w:val="21"/>
          <w:highlight w:val="none"/>
        </w:rPr>
      </w:pPr>
      <w:r>
        <w:rPr>
          <w:rFonts w:hint="eastAsia" w:ascii="宋体" w:hAnsi="宋体"/>
          <w:b/>
          <w:color w:val="auto"/>
          <w:szCs w:val="21"/>
          <w:highlight w:val="none"/>
        </w:rPr>
        <w:t>监理人（全称）：</w:t>
      </w:r>
      <w:r>
        <w:rPr>
          <w:rFonts w:hint="eastAsia" w:ascii="宋体" w:hAnsi="宋体"/>
          <w:b/>
          <w:color w:val="auto"/>
          <w:szCs w:val="21"/>
          <w:highlight w:val="none"/>
          <w:u w:val="single"/>
        </w:rPr>
        <w:t xml:space="preserve">                        </w:t>
      </w:r>
      <w:r>
        <w:rPr>
          <w:rFonts w:hint="eastAsia" w:ascii="宋体" w:hAnsi="宋体"/>
          <w:color w:val="auto"/>
          <w:szCs w:val="21"/>
          <w:highlight w:val="none"/>
          <w:u w:val="single"/>
        </w:rPr>
        <w:t xml:space="preserve"> </w:t>
      </w:r>
    </w:p>
    <w:p w14:paraId="03B1DEA2">
      <w:pPr>
        <w:overflowPunct w:val="0"/>
        <w:autoSpaceDE w:val="0"/>
        <w:autoSpaceDN w:val="0"/>
        <w:adjustRightInd w:val="0"/>
        <w:snapToGrid w:val="0"/>
        <w:spacing w:line="42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根据《中华人民共和国民法典》、《中华人民共和国建筑法》及其他有关法律、法规，遵循平等、自愿、公平和诚信的原则，双方就下述工程委托监理与相关服务事项协商一致，订立本合同。</w:t>
      </w:r>
    </w:p>
    <w:p w14:paraId="50D65034">
      <w:pPr>
        <w:overflowPunct w:val="0"/>
        <w:autoSpaceDE w:val="0"/>
        <w:autoSpaceDN w:val="0"/>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一、工程概况</w:t>
      </w:r>
    </w:p>
    <w:p w14:paraId="5648DD7B">
      <w:pPr>
        <w:overflowPunct w:val="0"/>
        <w:autoSpaceDE w:val="0"/>
        <w:autoSpaceDN w:val="0"/>
        <w:adjustRightInd w:val="0"/>
        <w:snapToGrid w:val="0"/>
        <w:spacing w:line="420" w:lineRule="exact"/>
        <w:ind w:left="1890" w:leftChars="200" w:hanging="1470" w:hangingChars="700"/>
        <w:rPr>
          <w:rFonts w:hint="eastAsia" w:ascii="宋体" w:hAnsi="宋体" w:cs="宋体"/>
          <w:b/>
          <w:bCs/>
          <w:color w:val="auto"/>
          <w:kern w:val="0"/>
          <w:szCs w:val="21"/>
          <w:highlight w:val="none"/>
          <w:u w:val="single"/>
          <w:lang w:val="zh-TW"/>
        </w:rPr>
      </w:pPr>
      <w:r>
        <w:rPr>
          <w:rFonts w:hint="eastAsia" w:ascii="宋体" w:hAnsi="宋体"/>
          <w:color w:val="auto"/>
          <w:szCs w:val="21"/>
          <w:highlight w:val="none"/>
        </w:rPr>
        <w:t>1. 工程名称：</w:t>
      </w:r>
      <w:r>
        <w:rPr>
          <w:rFonts w:hint="eastAsia" w:ascii="宋体" w:hAnsi="宋体" w:cs="宋体"/>
          <w:b/>
          <w:bCs/>
          <w:color w:val="auto"/>
          <w:kern w:val="0"/>
          <w:szCs w:val="21"/>
          <w:highlight w:val="none"/>
          <w:u w:val="single"/>
        </w:rPr>
        <w:t xml:space="preserve">                              </w:t>
      </w:r>
    </w:p>
    <w:p w14:paraId="6315716C">
      <w:pPr>
        <w:overflowPunct w:val="0"/>
        <w:autoSpaceDE w:val="0"/>
        <w:autoSpaceDN w:val="0"/>
        <w:adjustRightInd w:val="0"/>
        <w:snapToGrid w:val="0"/>
        <w:spacing w:line="420" w:lineRule="exact"/>
        <w:ind w:firstLine="420" w:firstLineChars="200"/>
        <w:rPr>
          <w:rFonts w:hint="eastAsia" w:ascii="宋体" w:hAnsi="宋体" w:cs="宋体"/>
          <w:b/>
          <w:bCs/>
          <w:color w:val="auto"/>
          <w:kern w:val="0"/>
          <w:szCs w:val="21"/>
          <w:highlight w:val="none"/>
          <w:u w:val="single"/>
          <w:lang w:val="zh-TW"/>
        </w:rPr>
      </w:pPr>
      <w:r>
        <w:rPr>
          <w:rFonts w:hint="eastAsia" w:ascii="宋体" w:hAnsi="宋体"/>
          <w:color w:val="auto"/>
          <w:szCs w:val="21"/>
          <w:highlight w:val="none"/>
        </w:rPr>
        <w:t>2. 工程地点：</w:t>
      </w:r>
      <w:r>
        <w:rPr>
          <w:rFonts w:hint="eastAsia" w:ascii="宋体" w:hAnsi="宋体" w:cs="宋体"/>
          <w:b/>
          <w:bCs/>
          <w:color w:val="auto"/>
          <w:kern w:val="0"/>
          <w:szCs w:val="21"/>
          <w:highlight w:val="none"/>
          <w:u w:val="single"/>
          <w:lang w:val="zh-TW"/>
        </w:rPr>
        <w:t xml:space="preserve">                              </w:t>
      </w:r>
    </w:p>
    <w:p w14:paraId="07B9A35A">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3. 工程规模：</w:t>
      </w:r>
      <w:r>
        <w:rPr>
          <w:rFonts w:hint="eastAsia" w:ascii="宋体" w:hAnsi="宋体" w:cs="宋体"/>
          <w:b/>
          <w:bCs/>
          <w:color w:val="auto"/>
          <w:kern w:val="0"/>
          <w:szCs w:val="21"/>
          <w:highlight w:val="none"/>
          <w:u w:val="single"/>
          <w:lang w:val="zh-TW"/>
        </w:rPr>
        <w:t xml:space="preserve">                             </w:t>
      </w:r>
      <w:r>
        <w:rPr>
          <w:rFonts w:hint="eastAsia" w:ascii="宋体" w:hAnsi="宋体"/>
          <w:color w:val="auto"/>
          <w:szCs w:val="21"/>
          <w:highlight w:val="none"/>
        </w:rPr>
        <w:t>；</w:t>
      </w:r>
    </w:p>
    <w:p w14:paraId="487785C3">
      <w:pPr>
        <w:overflowPunct w:val="0"/>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4. 工程</w:t>
      </w:r>
      <w:r>
        <w:rPr>
          <w:rFonts w:hint="eastAsia" w:ascii="宋体" w:hAnsi="宋体"/>
          <w:color w:val="auto"/>
          <w:kern w:val="0"/>
          <w:szCs w:val="21"/>
          <w:highlight w:val="none"/>
        </w:rPr>
        <w:t>概算投资</w:t>
      </w:r>
      <w:r>
        <w:rPr>
          <w:rFonts w:hint="eastAsia" w:ascii="宋体" w:hAnsi="宋体" w:cs="宋体"/>
          <w:color w:val="auto"/>
          <w:kern w:val="0"/>
          <w:szCs w:val="21"/>
          <w:highlight w:val="none"/>
        </w:rPr>
        <w:t>额或建筑安装工程费</w:t>
      </w:r>
      <w:r>
        <w:rPr>
          <w:rFonts w:hint="eastAsia" w:ascii="宋体" w:hAnsi="宋体"/>
          <w:color w:val="auto"/>
          <w:szCs w:val="21"/>
          <w:highlight w:val="none"/>
        </w:rPr>
        <w:t>：</w:t>
      </w:r>
      <w:r>
        <w:rPr>
          <w:rFonts w:hint="eastAsia" w:ascii="宋体" w:hAnsi="宋体" w:cs="宋体"/>
          <w:b/>
          <w:bCs/>
          <w:color w:val="auto"/>
          <w:kern w:val="0"/>
          <w:szCs w:val="21"/>
          <w:highlight w:val="none"/>
          <w:u w:val="single"/>
          <w:lang w:val="zh-TW"/>
        </w:rPr>
        <w:t xml:space="preserve">       </w:t>
      </w:r>
      <w:r>
        <w:rPr>
          <w:rFonts w:hint="eastAsia" w:ascii="宋体" w:hAnsi="宋体" w:cs="宋体"/>
          <w:b/>
          <w:bCs/>
          <w:color w:val="auto"/>
          <w:kern w:val="0"/>
          <w:szCs w:val="21"/>
          <w:highlight w:val="none"/>
          <w:lang w:val="zh-TW"/>
        </w:rPr>
        <w:t>。</w:t>
      </w:r>
    </w:p>
    <w:p w14:paraId="66D4EC78">
      <w:pPr>
        <w:overflowPunct w:val="0"/>
        <w:autoSpaceDE w:val="0"/>
        <w:autoSpaceDN w:val="0"/>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二、词语限定</w:t>
      </w:r>
    </w:p>
    <w:p w14:paraId="2C8F43B6">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协议书中相关词语的含义与通用条件中的定义与解释相同。</w:t>
      </w:r>
    </w:p>
    <w:p w14:paraId="70388DEA">
      <w:pPr>
        <w:overflowPunct w:val="0"/>
        <w:autoSpaceDE w:val="0"/>
        <w:autoSpaceDN w:val="0"/>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三、组成本合同的文件</w:t>
      </w:r>
    </w:p>
    <w:p w14:paraId="3DB7449F">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 协议书；</w:t>
      </w:r>
    </w:p>
    <w:p w14:paraId="78199EDD">
      <w:pPr>
        <w:overflowPunct w:val="0"/>
        <w:autoSpaceDE w:val="0"/>
        <w:autoSpaceDN w:val="0"/>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招标文件或比选文件（包括但不限于本工程的招标或比选文件、图纸、其他技术资料及招标人发出的对招标或比选文件所作的澄清、修改、补遗等资料）（若有）；</w:t>
      </w:r>
    </w:p>
    <w:p w14:paraId="271D16B6">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3.中选通知书（适用于招标工程）或委托书（适用于非招标工程）；</w:t>
      </w:r>
    </w:p>
    <w:p w14:paraId="52B6F128">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4. 竞选文件（适用于招标工程）或监理与相关服务建议书（适用于非招标工程）；</w:t>
      </w:r>
    </w:p>
    <w:p w14:paraId="58C182ED">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5. 专用条件；</w:t>
      </w:r>
    </w:p>
    <w:p w14:paraId="2FF9FE06">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6. 通用条件；</w:t>
      </w:r>
    </w:p>
    <w:p w14:paraId="3BDB55BD">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7. 附录，即：</w:t>
      </w:r>
    </w:p>
    <w:p w14:paraId="4F8C1E22">
      <w:pPr>
        <w:overflowPunct w:val="0"/>
        <w:autoSpaceDE w:val="0"/>
        <w:autoSpaceDN w:val="0"/>
        <w:adjustRightInd w:val="0"/>
        <w:snapToGrid w:val="0"/>
        <w:spacing w:line="420" w:lineRule="exact"/>
        <w:ind w:firstLine="420" w:firstLineChars="200"/>
        <w:rPr>
          <w:rFonts w:hint="eastAsia" w:ascii="宋体" w:hAnsi="宋体"/>
          <w:color w:val="auto"/>
          <w:szCs w:val="21"/>
          <w:highlight w:val="none"/>
        </w:rPr>
      </w:pPr>
      <w:bookmarkStart w:id="692" w:name="_Hlk88038364"/>
      <w:r>
        <w:rPr>
          <w:rFonts w:hint="eastAsia" w:ascii="宋体" w:hAnsi="宋体"/>
          <w:color w:val="auto"/>
          <w:szCs w:val="21"/>
          <w:highlight w:val="none"/>
        </w:rPr>
        <w:t>附录1  相关服务的范围和内容；</w:t>
      </w:r>
    </w:p>
    <w:p w14:paraId="2048C1C7">
      <w:pPr>
        <w:overflowPunct w:val="0"/>
        <w:autoSpaceDE w:val="0"/>
        <w:autoSpaceDN w:val="0"/>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附录2  委托人派遣的人员和提供的</w:t>
      </w:r>
      <w:r>
        <w:rPr>
          <w:rFonts w:hint="eastAsia" w:ascii="宋体" w:hAnsi="宋体"/>
          <w:bCs/>
          <w:color w:val="auto"/>
          <w:szCs w:val="21"/>
          <w:highlight w:val="none"/>
        </w:rPr>
        <w:t>房屋、资料</w:t>
      </w:r>
      <w:r>
        <w:rPr>
          <w:rFonts w:hint="eastAsia" w:ascii="宋体" w:hAnsi="宋体"/>
          <w:color w:val="auto"/>
          <w:szCs w:val="21"/>
          <w:highlight w:val="none"/>
        </w:rPr>
        <w:t>、设备；</w:t>
      </w:r>
    </w:p>
    <w:p w14:paraId="61C27AD9">
      <w:pPr>
        <w:overflowPunct w:val="0"/>
        <w:autoSpaceDE w:val="0"/>
        <w:autoSpaceDN w:val="0"/>
        <w:adjustRightInd w:val="0"/>
        <w:snapToGrid w:val="0"/>
        <w:spacing w:line="42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 xml:space="preserve">附录3  </w:t>
      </w:r>
      <w:r>
        <w:rPr>
          <w:rFonts w:ascii="宋体" w:hAnsi="宋体"/>
          <w:color w:val="auto"/>
          <w:szCs w:val="21"/>
          <w:highlight w:val="none"/>
        </w:rPr>
        <w:t>工程建设项目监理管理要求</w:t>
      </w:r>
      <w:r>
        <w:rPr>
          <w:rFonts w:hint="eastAsia" w:ascii="宋体" w:hAnsi="宋体"/>
          <w:color w:val="auto"/>
          <w:szCs w:val="21"/>
          <w:highlight w:val="none"/>
        </w:rPr>
        <w:t>；</w:t>
      </w:r>
    </w:p>
    <w:p w14:paraId="2E9C7966">
      <w:pPr>
        <w:pStyle w:val="2"/>
        <w:ind w:firstLine="400" w:firstLineChars="200"/>
        <w:rPr>
          <w:rFonts w:hint="eastAsia" w:ascii="宋体" w:hAnsi="宋体"/>
          <w:caps w:val="0"/>
          <w:color w:val="auto"/>
          <w:sz w:val="21"/>
          <w:szCs w:val="21"/>
          <w:highlight w:val="none"/>
        </w:rPr>
      </w:pPr>
      <w:r>
        <w:rPr>
          <w:rFonts w:hint="eastAsia"/>
          <w:color w:val="auto"/>
          <w:highlight w:val="none"/>
        </w:rPr>
        <w:t xml:space="preserve">附录4  </w:t>
      </w:r>
      <w:r>
        <w:rPr>
          <w:rFonts w:hint="eastAsia" w:ascii="宋体" w:hAnsi="宋体"/>
          <w:caps w:val="0"/>
          <w:color w:val="auto"/>
          <w:sz w:val="21"/>
          <w:szCs w:val="21"/>
          <w:highlight w:val="none"/>
        </w:rPr>
        <w:t>现场负责人员名单；</w:t>
      </w:r>
    </w:p>
    <w:p w14:paraId="5B0BF6D5">
      <w:pPr>
        <w:overflowPunct w:val="0"/>
        <w:autoSpaceDE w:val="0"/>
        <w:autoSpaceDN w:val="0"/>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附录5  廉政责任书；</w:t>
      </w:r>
    </w:p>
    <w:p w14:paraId="01BF87FB">
      <w:pPr>
        <w:overflowPunct w:val="0"/>
        <w:autoSpaceDE w:val="0"/>
        <w:autoSpaceDN w:val="0"/>
        <w:adjustRightInd w:val="0"/>
        <w:snapToGrid w:val="0"/>
        <w:spacing w:line="42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附录6  </w:t>
      </w:r>
      <w:r>
        <w:rPr>
          <w:rFonts w:ascii="宋体" w:hAnsi="宋体"/>
          <w:color w:val="auto"/>
          <w:szCs w:val="21"/>
          <w:highlight w:val="none"/>
        </w:rPr>
        <w:t>建设项目安全生产管理办法</w:t>
      </w:r>
      <w:r>
        <w:rPr>
          <w:rFonts w:hint="eastAsia" w:ascii="宋体" w:hAnsi="宋体"/>
          <w:color w:val="auto"/>
          <w:szCs w:val="21"/>
          <w:highlight w:val="none"/>
        </w:rPr>
        <w:t>；</w:t>
      </w:r>
    </w:p>
    <w:p w14:paraId="750EB548">
      <w:pPr>
        <w:overflowPunct w:val="0"/>
        <w:autoSpaceDE w:val="0"/>
        <w:autoSpaceDN w:val="0"/>
        <w:adjustRightInd w:val="0"/>
        <w:snapToGrid w:val="0"/>
        <w:spacing w:line="42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附录7-1  公司安全生产违约处罚标准；</w:t>
      </w:r>
    </w:p>
    <w:p w14:paraId="5AC5F3AB">
      <w:pPr>
        <w:overflowPunct w:val="0"/>
        <w:autoSpaceDE w:val="0"/>
        <w:autoSpaceDN w:val="0"/>
        <w:adjustRightInd w:val="0"/>
        <w:snapToGrid w:val="0"/>
        <w:spacing w:line="420" w:lineRule="exact"/>
        <w:ind w:firstLine="420" w:firstLineChars="200"/>
        <w:rPr>
          <w:color w:val="auto"/>
          <w:highlight w:val="none"/>
        </w:rPr>
      </w:pPr>
      <w:r>
        <w:rPr>
          <w:rFonts w:hint="eastAsia" w:ascii="宋体" w:hAnsi="宋体" w:cs="宋体"/>
          <w:color w:val="auto"/>
          <w:highlight w:val="none"/>
        </w:rPr>
        <w:t xml:space="preserve">附录7-2  </w:t>
      </w:r>
      <w:r>
        <w:rPr>
          <w:rFonts w:hint="eastAsia" w:ascii="宋体" w:hAnsi="宋体" w:cs="宋体"/>
          <w:color w:val="auto"/>
          <w:szCs w:val="21"/>
          <w:highlight w:val="none"/>
        </w:rPr>
        <w:t>安全生产承诺书。</w:t>
      </w:r>
    </w:p>
    <w:bookmarkEnd w:id="692"/>
    <w:p w14:paraId="07455B44">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本合同签订后，双方依法签订的补充协议与修正文件也是本合同文件的组成部分。</w:t>
      </w:r>
    </w:p>
    <w:p w14:paraId="36321BD9">
      <w:pPr>
        <w:overflowPunct w:val="0"/>
        <w:autoSpaceDE w:val="0"/>
        <w:autoSpaceDN w:val="0"/>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四、总监理工程师</w:t>
      </w:r>
    </w:p>
    <w:p w14:paraId="73076D53">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总监理工程师姓名：</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，身份证号码：</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，注册号：</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，电话号码：</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。未经委托人同意，监理人不得擅自更换总监理工程师，否则视为其违约，委托人有权解除本合同，监理人按照本合同约定签约酬金的30%向委托人承担违约金。</w:t>
      </w:r>
    </w:p>
    <w:p w14:paraId="1EDAC3D4">
      <w:pPr>
        <w:overflowPunct w:val="0"/>
        <w:autoSpaceDE w:val="0"/>
        <w:autoSpaceDN w:val="0"/>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五、签约酬金</w:t>
      </w:r>
    </w:p>
    <w:p w14:paraId="6BFE582E">
      <w:pPr>
        <w:widowControl/>
        <w:spacing w:line="400" w:lineRule="exact"/>
        <w:ind w:firstLine="420" w:firstLineChars="200"/>
        <w:jc w:val="left"/>
        <w:rPr>
          <w:rFonts w:hint="eastAsia" w:ascii="宋体" w:hAnsi="宋体"/>
          <w:b/>
          <w:color w:val="auto"/>
          <w:kern w:val="0"/>
          <w:szCs w:val="21"/>
          <w:highlight w:val="none"/>
        </w:rPr>
      </w:pPr>
      <w:r>
        <w:rPr>
          <w:rFonts w:hint="eastAsia" w:ascii="宋体" w:hAnsi="宋体"/>
          <w:color w:val="auto"/>
          <w:szCs w:val="21"/>
          <w:highlight w:val="none"/>
        </w:rPr>
        <w:t>签约酬金（大写）：</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olor w:val="auto"/>
          <w:szCs w:val="21"/>
          <w:highlight w:val="none"/>
        </w:rPr>
        <w:t>元），中标费率/签约费率：</w:t>
      </w:r>
      <w:r>
        <w:rPr>
          <w:rFonts w:hint="eastAsia" w:ascii="宋体" w:hAnsi="宋体"/>
          <w:color w:val="auto"/>
          <w:szCs w:val="21"/>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税率      %</w:t>
      </w:r>
      <w:r>
        <w:rPr>
          <w:rFonts w:hint="eastAsia" w:ascii="宋体" w:hAnsi="宋体"/>
          <w:color w:val="auto"/>
          <w:szCs w:val="21"/>
          <w:highlight w:val="none"/>
        </w:rPr>
        <w:t>。</w:t>
      </w:r>
      <w:r>
        <w:rPr>
          <w:rFonts w:hint="eastAsia" w:ascii="宋体" w:hAnsi="宋体"/>
          <w:color w:val="auto"/>
          <w:kern w:val="0"/>
          <w:szCs w:val="21"/>
          <w:highlight w:val="none"/>
        </w:rPr>
        <w:t>以最终审定建筑安装工程费的金额乘以中标费率</w:t>
      </w:r>
      <w:r>
        <w:rPr>
          <w:rFonts w:hint="eastAsia" w:ascii="宋体" w:hAnsi="宋体"/>
          <w:color w:val="auto"/>
          <w:szCs w:val="21"/>
          <w:highlight w:val="none"/>
        </w:rPr>
        <w:t>/签约费率</w:t>
      </w:r>
      <w:r>
        <w:rPr>
          <w:rFonts w:hint="eastAsia" w:ascii="宋体" w:hAnsi="宋体"/>
          <w:color w:val="auto"/>
          <w:kern w:val="0"/>
          <w:szCs w:val="21"/>
          <w:highlight w:val="none"/>
        </w:rPr>
        <w:t>做最终结算值，</w:t>
      </w:r>
      <w:r>
        <w:rPr>
          <w:rFonts w:hint="eastAsia" w:ascii="宋体" w:hAnsi="宋体"/>
          <w:b/>
          <w:color w:val="auto"/>
          <w:kern w:val="0"/>
          <w:szCs w:val="21"/>
          <w:highlight w:val="none"/>
        </w:rPr>
        <w:t>且结算金额不超过签约金额。</w:t>
      </w:r>
    </w:p>
    <w:p w14:paraId="4864E2DE">
      <w:pPr>
        <w:overflowPunct w:val="0"/>
        <w:autoSpaceDE w:val="0"/>
        <w:autoSpaceDN w:val="0"/>
        <w:adjustRightInd w:val="0"/>
        <w:snapToGrid w:val="0"/>
        <w:spacing w:line="42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监理人在履行本合同时，因履行本合同相应人员产生的费用以及房屋等使用所产生的费用由监理人承担。委托人与本合同项目有关的承包人签订合同另有约定按照约定执行。</w:t>
      </w:r>
    </w:p>
    <w:p w14:paraId="0FA5EAC7">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本合同所约定的酬金已包括但不限于人员工资、税费、差旅费、保险费、社会保险费用、考察费、成本费、材料费等费用。</w:t>
      </w:r>
    </w:p>
    <w:p w14:paraId="36000138">
      <w:pPr>
        <w:overflowPunct w:val="0"/>
        <w:autoSpaceDE w:val="0"/>
        <w:autoSpaceDN w:val="0"/>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六、期限</w:t>
      </w:r>
    </w:p>
    <w:p w14:paraId="7F690E00">
      <w:pPr>
        <w:overflowPunct w:val="0"/>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kern w:val="0"/>
          <w:szCs w:val="21"/>
          <w:highlight w:val="none"/>
        </w:rPr>
        <w:t xml:space="preserve">1. </w:t>
      </w:r>
      <w:r>
        <w:rPr>
          <w:rFonts w:hint="eastAsia" w:ascii="宋体" w:hAnsi="宋体"/>
          <w:color w:val="auto"/>
          <w:szCs w:val="21"/>
          <w:highlight w:val="none"/>
        </w:rPr>
        <w:t>监理期限：</w:t>
      </w:r>
    </w:p>
    <w:p w14:paraId="7AD70EBA">
      <w:pPr>
        <w:overflowPunct w:val="0"/>
        <w:autoSpaceDE w:val="0"/>
        <w:autoSpaceDN w:val="0"/>
        <w:adjustRightInd w:val="0"/>
        <w:snapToGrid w:val="0"/>
        <w:spacing w:line="420" w:lineRule="exact"/>
        <w:ind w:firstLine="420" w:firstLineChars="200"/>
        <w:jc w:val="left"/>
        <w:rPr>
          <w:rFonts w:hint="eastAsia" w:ascii="宋体" w:hAnsi="宋体"/>
          <w:color w:val="auto"/>
          <w:szCs w:val="21"/>
          <w:highlight w:val="none"/>
        </w:rPr>
      </w:pPr>
      <w:r>
        <w:rPr>
          <w:rStyle w:val="47"/>
          <w:rFonts w:ascii="宋体" w:hAnsi="宋体"/>
          <w:color w:val="auto"/>
          <w:szCs w:val="21"/>
          <w:highlight w:val="none"/>
        </w:rPr>
        <w:t>自</w:t>
      </w:r>
      <w:r>
        <w:rPr>
          <w:rStyle w:val="47"/>
          <w:rFonts w:ascii="宋体" w:hAnsi="宋体"/>
          <w:color w:val="auto"/>
          <w:szCs w:val="21"/>
          <w:highlight w:val="none"/>
          <w:u w:val="single"/>
        </w:rPr>
        <w:t xml:space="preserve"> </w:t>
      </w:r>
      <w:r>
        <w:rPr>
          <w:rStyle w:val="47"/>
          <w:rFonts w:hint="eastAsia" w:ascii="宋体" w:hAnsi="宋体"/>
          <w:color w:val="auto"/>
          <w:szCs w:val="21"/>
          <w:highlight w:val="none"/>
          <w:u w:val="single"/>
        </w:rPr>
        <w:t xml:space="preserve"> 开工之日  </w:t>
      </w:r>
      <w:r>
        <w:rPr>
          <w:rStyle w:val="47"/>
          <w:rFonts w:ascii="宋体" w:hAnsi="宋体"/>
          <w:color w:val="auto"/>
          <w:szCs w:val="21"/>
          <w:highlight w:val="none"/>
        </w:rPr>
        <w:t>始，至</w:t>
      </w:r>
      <w:r>
        <w:rPr>
          <w:rStyle w:val="47"/>
          <w:rFonts w:hint="eastAsia" w:ascii="宋体" w:hAnsi="宋体"/>
          <w:color w:val="auto"/>
          <w:szCs w:val="21"/>
          <w:highlight w:val="none"/>
          <w:u w:val="single"/>
        </w:rPr>
        <w:t>竣工验收及缺陷责任期验收合格之日</w:t>
      </w:r>
      <w:r>
        <w:rPr>
          <w:rStyle w:val="47"/>
          <w:rFonts w:ascii="宋体" w:hAnsi="宋体"/>
          <w:color w:val="auto"/>
          <w:szCs w:val="21"/>
          <w:highlight w:val="none"/>
        </w:rPr>
        <w:t>止</w:t>
      </w:r>
      <w:r>
        <w:rPr>
          <w:rFonts w:hint="eastAsia" w:ascii="宋体" w:hAnsi="宋体"/>
          <w:color w:val="auto"/>
          <w:szCs w:val="21"/>
          <w:highlight w:val="none"/>
        </w:rPr>
        <w:t>。</w:t>
      </w:r>
    </w:p>
    <w:p w14:paraId="07D5D269">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kern w:val="0"/>
          <w:szCs w:val="21"/>
          <w:highlight w:val="none"/>
        </w:rPr>
        <w:t xml:space="preserve">2. </w:t>
      </w:r>
      <w:r>
        <w:rPr>
          <w:rFonts w:hint="eastAsia" w:ascii="宋体" w:hAnsi="宋体"/>
          <w:color w:val="auto"/>
          <w:szCs w:val="21"/>
          <w:highlight w:val="none"/>
        </w:rPr>
        <w:t>相关服务期限：</w:t>
      </w:r>
    </w:p>
    <w:p w14:paraId="668DE580">
      <w:pPr>
        <w:snapToGrid w:val="0"/>
        <w:spacing w:line="420" w:lineRule="atLeast"/>
        <w:ind w:firstLine="420" w:firstLineChars="200"/>
        <w:textAlignment w:val="baseline"/>
        <w:rPr>
          <w:rStyle w:val="47"/>
          <w:rFonts w:ascii="宋体" w:hAnsi="宋体"/>
          <w:color w:val="auto"/>
          <w:szCs w:val="21"/>
          <w:highlight w:val="none"/>
        </w:rPr>
      </w:pPr>
      <w:r>
        <w:rPr>
          <w:rStyle w:val="47"/>
          <w:rFonts w:ascii="宋体" w:hAnsi="宋体"/>
          <w:color w:val="auto"/>
          <w:kern w:val="0"/>
          <w:szCs w:val="21"/>
          <w:highlight w:val="none"/>
        </w:rPr>
        <w:t>（1）保修阶段</w:t>
      </w:r>
      <w:r>
        <w:rPr>
          <w:rStyle w:val="47"/>
          <w:rFonts w:ascii="宋体" w:hAnsi="宋体"/>
          <w:color w:val="auto"/>
          <w:szCs w:val="21"/>
          <w:highlight w:val="none"/>
        </w:rPr>
        <w:t>服务期限自</w:t>
      </w:r>
      <w:r>
        <w:rPr>
          <w:rStyle w:val="47"/>
          <w:rFonts w:ascii="宋体" w:hAnsi="宋体"/>
          <w:color w:val="auto"/>
          <w:szCs w:val="21"/>
          <w:highlight w:val="none"/>
          <w:u w:val="single"/>
        </w:rPr>
        <w:t xml:space="preserve"> </w:t>
      </w:r>
      <w:r>
        <w:rPr>
          <w:rStyle w:val="47"/>
          <w:rFonts w:hint="eastAsia" w:ascii="宋体" w:hAnsi="宋体"/>
          <w:color w:val="auto"/>
          <w:szCs w:val="21"/>
          <w:highlight w:val="none"/>
          <w:u w:val="single"/>
        </w:rPr>
        <w:t>竣工验收或者交付使用之日起</w:t>
      </w:r>
      <w:r>
        <w:rPr>
          <w:rStyle w:val="47"/>
          <w:rFonts w:ascii="宋体" w:hAnsi="宋体"/>
          <w:color w:val="auto"/>
          <w:szCs w:val="21"/>
          <w:highlight w:val="none"/>
          <w:u w:val="single"/>
        </w:rPr>
        <w:t xml:space="preserve"> </w:t>
      </w:r>
      <w:r>
        <w:rPr>
          <w:rStyle w:val="47"/>
          <w:rFonts w:ascii="宋体" w:hAnsi="宋体"/>
          <w:color w:val="auto"/>
          <w:szCs w:val="21"/>
          <w:highlight w:val="none"/>
        </w:rPr>
        <w:t>至</w:t>
      </w:r>
      <w:r>
        <w:rPr>
          <w:rStyle w:val="47"/>
          <w:rFonts w:hint="eastAsia" w:ascii="宋体" w:hAnsi="宋体"/>
          <w:color w:val="auto"/>
          <w:szCs w:val="21"/>
          <w:highlight w:val="none"/>
          <w:u w:val="single"/>
        </w:rPr>
        <w:t>缺陷责任期验收合格之日</w:t>
      </w:r>
      <w:r>
        <w:rPr>
          <w:rStyle w:val="47"/>
          <w:rFonts w:ascii="宋体" w:hAnsi="宋体"/>
          <w:color w:val="auto"/>
          <w:szCs w:val="21"/>
          <w:highlight w:val="none"/>
        </w:rPr>
        <w:t>止。</w:t>
      </w:r>
    </w:p>
    <w:p w14:paraId="32BAACE2">
      <w:pPr>
        <w:snapToGrid w:val="0"/>
        <w:spacing w:line="420" w:lineRule="atLeast"/>
        <w:ind w:firstLine="420" w:firstLineChars="200"/>
        <w:textAlignment w:val="baseline"/>
        <w:rPr>
          <w:rFonts w:ascii="宋体" w:hAnsi="宋体"/>
          <w:color w:val="auto"/>
          <w:szCs w:val="21"/>
          <w:highlight w:val="none"/>
        </w:rPr>
      </w:pPr>
      <w:r>
        <w:rPr>
          <w:rStyle w:val="47"/>
          <w:rFonts w:ascii="宋体" w:hAnsi="宋体"/>
          <w:color w:val="auto"/>
          <w:kern w:val="0"/>
          <w:szCs w:val="21"/>
          <w:highlight w:val="none"/>
        </w:rPr>
        <w:t>（2）</w:t>
      </w:r>
      <w:r>
        <w:rPr>
          <w:rStyle w:val="47"/>
          <w:rFonts w:ascii="宋体" w:hAnsi="宋体"/>
          <w:color w:val="auto"/>
          <w:szCs w:val="21"/>
          <w:highlight w:val="none"/>
        </w:rPr>
        <w:t>其他相关服务期限按第</w:t>
      </w:r>
      <w:r>
        <w:rPr>
          <w:rStyle w:val="47"/>
          <w:rFonts w:ascii="宋体" w:hAnsi="宋体"/>
          <w:color w:val="auto"/>
          <w:szCs w:val="21"/>
          <w:highlight w:val="none"/>
          <w:u w:val="single" w:color="000000"/>
        </w:rPr>
        <w:t xml:space="preserve"> </w:t>
      </w:r>
      <w:r>
        <w:rPr>
          <w:rStyle w:val="47"/>
          <w:rFonts w:hint="eastAsia" w:ascii="宋体" w:hAnsi="宋体"/>
          <w:color w:val="auto"/>
          <w:szCs w:val="21"/>
          <w:highlight w:val="none"/>
          <w:u w:val="single" w:color="000000"/>
        </w:rPr>
        <w:t xml:space="preserve">   </w:t>
      </w:r>
      <w:r>
        <w:rPr>
          <w:rStyle w:val="47"/>
          <w:rFonts w:ascii="宋体" w:hAnsi="宋体"/>
          <w:color w:val="auto"/>
          <w:szCs w:val="21"/>
          <w:highlight w:val="none"/>
          <w:u w:val="single" w:color="000000"/>
        </w:rPr>
        <w:t xml:space="preserve"> </w:t>
      </w:r>
      <w:r>
        <w:rPr>
          <w:rStyle w:val="47"/>
          <w:rFonts w:ascii="宋体" w:hAnsi="宋体"/>
          <w:color w:val="auto"/>
          <w:szCs w:val="21"/>
          <w:highlight w:val="none"/>
        </w:rPr>
        <w:t>条执行。1、待工程验收备案手续办完后；2、缺陷责任期满后</w:t>
      </w:r>
      <w:r>
        <w:rPr>
          <w:rStyle w:val="47"/>
          <w:rFonts w:ascii="宋体" w:hAnsi="宋体"/>
          <w:color w:val="auto"/>
          <w:kern w:val="0"/>
          <w:szCs w:val="21"/>
          <w:highlight w:val="none"/>
        </w:rPr>
        <w:t>。</w:t>
      </w:r>
    </w:p>
    <w:p w14:paraId="7FE1B445">
      <w:pPr>
        <w:overflowPunct w:val="0"/>
        <w:autoSpaceDE w:val="0"/>
        <w:autoSpaceDN w:val="0"/>
        <w:adjustRightInd w:val="0"/>
        <w:snapToGrid w:val="0"/>
        <w:spacing w:line="42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七、其他</w:t>
      </w:r>
    </w:p>
    <w:p w14:paraId="1C466653">
      <w:pPr>
        <w:overflowPunct w:val="0"/>
        <w:autoSpaceDE w:val="0"/>
        <w:autoSpaceDN w:val="0"/>
        <w:adjustRightInd w:val="0"/>
        <w:snapToGrid w:val="0"/>
        <w:spacing w:line="420" w:lineRule="exact"/>
        <w:ind w:firstLine="420" w:firstLineChars="200"/>
        <w:rPr>
          <w:rFonts w:hint="eastAsia" w:ascii="宋体" w:hAnsi="宋体"/>
          <w:b/>
          <w:color w:val="auto"/>
          <w:szCs w:val="21"/>
          <w:highlight w:val="none"/>
        </w:rPr>
      </w:pPr>
      <w:r>
        <w:rPr>
          <w:rStyle w:val="47"/>
          <w:rFonts w:ascii="宋体" w:hAnsi="宋体"/>
          <w:color w:val="auto"/>
          <w:highlight w:val="none"/>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p w14:paraId="36D9641F">
      <w:pPr>
        <w:overflowPunct w:val="0"/>
        <w:autoSpaceDE w:val="0"/>
        <w:autoSpaceDN w:val="0"/>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八、双方承诺</w:t>
      </w:r>
    </w:p>
    <w:p w14:paraId="4B317398">
      <w:pPr>
        <w:overflowPunct w:val="0"/>
        <w:autoSpaceDE w:val="0"/>
        <w:autoSpaceDN w:val="0"/>
        <w:adjustRightInd w:val="0"/>
        <w:snapToGrid w:val="0"/>
        <w:spacing w:line="420" w:lineRule="exact"/>
        <w:ind w:firstLine="420" w:firstLineChars="200"/>
        <w:rPr>
          <w:rFonts w:ascii="宋体" w:hAnsi="宋体"/>
          <w:b/>
          <w:color w:val="auto"/>
          <w:szCs w:val="21"/>
          <w:highlight w:val="none"/>
        </w:rPr>
      </w:pPr>
      <w:r>
        <w:rPr>
          <w:rFonts w:hint="eastAsia" w:ascii="宋体" w:hAnsi="宋体"/>
          <w:color w:val="auto"/>
          <w:szCs w:val="21"/>
          <w:highlight w:val="none"/>
        </w:rPr>
        <w:t>1. 监理人向委托人承诺，按照本合同约定</w:t>
      </w:r>
      <w:r>
        <w:rPr>
          <w:rFonts w:hint="eastAsia" w:ascii="宋体" w:hAnsi="宋体"/>
          <w:color w:val="auto"/>
          <w:kern w:val="0"/>
          <w:szCs w:val="21"/>
          <w:highlight w:val="none"/>
        </w:rPr>
        <w:t>提供</w:t>
      </w:r>
      <w:r>
        <w:rPr>
          <w:rFonts w:hint="eastAsia" w:ascii="宋体" w:hAnsi="宋体"/>
          <w:color w:val="auto"/>
          <w:szCs w:val="21"/>
          <w:highlight w:val="none"/>
        </w:rPr>
        <w:t>监理与相关服务。</w:t>
      </w:r>
    </w:p>
    <w:p w14:paraId="142A38C7">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 委托人向监理人承诺，按照本合同约定派遣相应的人员，并按本合同约定支付酬金。</w:t>
      </w:r>
    </w:p>
    <w:p w14:paraId="3E53F860">
      <w:pPr>
        <w:overflowPunct w:val="0"/>
        <w:autoSpaceDE w:val="0"/>
        <w:autoSpaceDN w:val="0"/>
        <w:adjustRightInd w:val="0"/>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九、合同订立</w:t>
      </w:r>
    </w:p>
    <w:p w14:paraId="53F8858E">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 订立时间：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B039F74">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 订立地点：</w:t>
      </w:r>
      <w:r>
        <w:rPr>
          <w:rFonts w:hint="eastAsia" w:ascii="宋体" w:hAnsi="宋体"/>
          <w:color w:val="auto"/>
          <w:szCs w:val="21"/>
          <w:highlight w:val="none"/>
          <w:u w:val="single"/>
        </w:rPr>
        <w:t xml:space="preserve">  重庆市南岸区          </w:t>
      </w:r>
      <w:r>
        <w:rPr>
          <w:rFonts w:hint="eastAsia" w:ascii="宋体" w:hAnsi="宋体"/>
          <w:color w:val="auto"/>
          <w:szCs w:val="21"/>
          <w:highlight w:val="none"/>
        </w:rPr>
        <w:t>。</w:t>
      </w:r>
    </w:p>
    <w:p w14:paraId="127E34E6">
      <w:pPr>
        <w:overflowPunct w:val="0"/>
        <w:autoSpaceDE w:val="0"/>
        <w:autoSpaceDN w:val="0"/>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本合同自双方盖章之日起生效。本合同一式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份，具有同等法律效力，</w:t>
      </w:r>
      <w:r>
        <w:rPr>
          <w:rFonts w:hint="eastAsia" w:ascii="宋体" w:hAnsi="宋体" w:cs="宋体"/>
          <w:color w:val="auto"/>
          <w:szCs w:val="21"/>
          <w:highlight w:val="none"/>
        </w:rPr>
        <w:t>委托人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份、监理人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r>
        <w:rPr>
          <w:rFonts w:hint="eastAsia" w:ascii="宋体" w:hAnsi="宋体"/>
          <w:color w:val="auto"/>
          <w:szCs w:val="21"/>
          <w:highlight w:val="none"/>
        </w:rPr>
        <w:t>。合同正文若出现手写内容，手写内容未经双方盖章确认，则无效。本合同载明的委托代理人或经办人未经书面授权，仅代表在本合同签名，其他单方承诺或认可行为无效</w:t>
      </w:r>
      <w:r>
        <w:rPr>
          <w:rFonts w:hint="eastAsia" w:ascii="宋体" w:hAnsi="宋体"/>
          <w:color w:val="auto"/>
          <w:szCs w:val="21"/>
          <w:highlight w:val="none"/>
        </w:rPr>
        <w:t>。</w:t>
      </w:r>
    </w:p>
    <w:p w14:paraId="51B31D1D">
      <w:pPr>
        <w:pStyle w:val="2"/>
        <w:rPr>
          <w:rFonts w:hint="eastAsia" w:ascii="宋体" w:hAnsi="宋体"/>
          <w:color w:val="auto"/>
          <w:szCs w:val="21"/>
          <w:highlight w:val="none"/>
        </w:rPr>
      </w:pPr>
    </w:p>
    <w:p w14:paraId="25F163E4">
      <w:pPr>
        <w:rPr>
          <w:rFonts w:hint="eastAsia" w:ascii="宋体" w:hAnsi="宋体"/>
          <w:color w:val="auto"/>
          <w:szCs w:val="21"/>
          <w:highlight w:val="none"/>
        </w:rPr>
      </w:pPr>
    </w:p>
    <w:p w14:paraId="5CB20B4A">
      <w:pPr>
        <w:pStyle w:val="2"/>
        <w:rPr>
          <w:rFonts w:hint="eastAsia"/>
          <w:color w:val="auto"/>
          <w:highlight w:val="none"/>
        </w:rPr>
      </w:pPr>
    </w:p>
    <w:p w14:paraId="0698B348">
      <w:pPr>
        <w:rPr>
          <w:color w:val="auto"/>
          <w:highlight w:val="none"/>
        </w:rPr>
      </w:pPr>
      <w:r>
        <w:rPr>
          <w:rFonts w:hint="eastAsia"/>
          <w:color w:val="auto"/>
          <w:highlight w:val="none"/>
        </w:rPr>
        <w:t>（以下为盖章页）</w:t>
      </w:r>
    </w:p>
    <w:p w14:paraId="051E15DD">
      <w:pPr>
        <w:rPr>
          <w:rFonts w:hint="eastAsia"/>
          <w:color w:val="auto"/>
          <w:highlight w:val="none"/>
        </w:rPr>
      </w:pPr>
    </w:p>
    <w:tbl>
      <w:tblPr>
        <w:tblStyle w:val="20"/>
        <w:tblpPr w:leftFromText="180" w:rightFromText="180" w:vertAnchor="text" w:horzAnchor="page" w:tblpX="1374" w:tblpY="-5"/>
        <w:tblOverlap w:val="never"/>
        <w:tblW w:w="9351" w:type="dxa"/>
        <w:tblInd w:w="0" w:type="dxa"/>
        <w:tblLayout w:type="fixed"/>
        <w:tblCellMar>
          <w:top w:w="0" w:type="dxa"/>
          <w:left w:w="108" w:type="dxa"/>
          <w:bottom w:w="0" w:type="dxa"/>
          <w:right w:w="108" w:type="dxa"/>
        </w:tblCellMar>
      </w:tblPr>
      <w:tblGrid>
        <w:gridCol w:w="4752"/>
        <w:gridCol w:w="4599"/>
      </w:tblGrid>
      <w:tr w14:paraId="7710AAAA">
        <w:tblPrEx>
          <w:tblCellMar>
            <w:top w:w="0" w:type="dxa"/>
            <w:left w:w="108" w:type="dxa"/>
            <w:bottom w:w="0" w:type="dxa"/>
            <w:right w:w="108" w:type="dxa"/>
          </w:tblCellMar>
        </w:tblPrEx>
        <w:trPr>
          <w:trHeight w:val="884" w:hRule="atLeast"/>
        </w:trPr>
        <w:tc>
          <w:tcPr>
            <w:tcW w:w="4752" w:type="dxa"/>
            <w:noWrap w:val="0"/>
            <w:vAlign w:val="top"/>
          </w:tcPr>
          <w:p w14:paraId="3D3FCEE5">
            <w:pPr>
              <w:spacing w:line="560" w:lineRule="exact"/>
              <w:ind w:left="884" w:hanging="884" w:hangingChars="421"/>
              <w:jc w:val="left"/>
              <w:rPr>
                <w:rFonts w:ascii="宋体" w:hAnsi="宋体"/>
                <w:color w:val="auto"/>
                <w:szCs w:val="21"/>
                <w:highlight w:val="none"/>
              </w:rPr>
            </w:pPr>
            <w:r>
              <w:rPr>
                <w:rFonts w:ascii="宋体" w:hAnsi="宋体"/>
                <w:color w:val="auto"/>
                <w:szCs w:val="21"/>
                <w:highlight w:val="none"/>
              </w:rPr>
              <w:t>甲   方：</w:t>
            </w:r>
            <w:r>
              <w:rPr>
                <w:rFonts w:hint="eastAsia" w:ascii="宋体" w:hAnsi="宋体"/>
                <w:color w:val="auto"/>
                <w:szCs w:val="21"/>
                <w:highlight w:val="none"/>
              </w:rPr>
              <w:t xml:space="preserve"> </w:t>
            </w:r>
          </w:p>
        </w:tc>
        <w:tc>
          <w:tcPr>
            <w:tcW w:w="4599" w:type="dxa"/>
            <w:noWrap w:val="0"/>
            <w:vAlign w:val="top"/>
          </w:tcPr>
          <w:p w14:paraId="02295F3B">
            <w:pPr>
              <w:spacing w:line="560" w:lineRule="exact"/>
              <w:ind w:left="1050" w:hanging="1050" w:hangingChars="500"/>
              <w:jc w:val="left"/>
              <w:rPr>
                <w:rFonts w:ascii="宋体" w:hAnsi="宋体"/>
                <w:color w:val="auto"/>
                <w:szCs w:val="21"/>
                <w:highlight w:val="none"/>
              </w:rPr>
            </w:pPr>
            <w:r>
              <w:rPr>
                <w:rFonts w:ascii="宋体" w:hAnsi="宋体"/>
                <w:color w:val="auto"/>
                <w:szCs w:val="21"/>
                <w:highlight w:val="none"/>
              </w:rPr>
              <w:t>乙   方：</w:t>
            </w:r>
            <w:r>
              <w:rPr>
                <w:rFonts w:hint="eastAsia" w:ascii="宋体" w:hAnsi="宋体"/>
                <w:color w:val="auto"/>
                <w:szCs w:val="21"/>
                <w:highlight w:val="none"/>
              </w:rPr>
              <w:t xml:space="preserve"> </w:t>
            </w:r>
          </w:p>
        </w:tc>
      </w:tr>
      <w:tr w14:paraId="5AE909E8">
        <w:tblPrEx>
          <w:tblCellMar>
            <w:top w:w="0" w:type="dxa"/>
            <w:left w:w="108" w:type="dxa"/>
            <w:bottom w:w="0" w:type="dxa"/>
            <w:right w:w="108" w:type="dxa"/>
          </w:tblCellMar>
        </w:tblPrEx>
        <w:tc>
          <w:tcPr>
            <w:tcW w:w="4752" w:type="dxa"/>
            <w:noWrap w:val="0"/>
            <w:vAlign w:val="top"/>
          </w:tcPr>
          <w:p w14:paraId="38BF4C8C">
            <w:pPr>
              <w:spacing w:line="560" w:lineRule="exact"/>
              <w:ind w:left="1050" w:hanging="1050" w:hangingChars="500"/>
              <w:jc w:val="left"/>
              <w:rPr>
                <w:rFonts w:ascii="宋体" w:hAnsi="宋体"/>
                <w:color w:val="auto"/>
                <w:szCs w:val="21"/>
                <w:highlight w:val="none"/>
              </w:rPr>
            </w:pPr>
            <w:r>
              <w:rPr>
                <w:rFonts w:ascii="宋体" w:hAnsi="宋体"/>
                <w:color w:val="auto"/>
                <w:szCs w:val="21"/>
                <w:highlight w:val="none"/>
              </w:rPr>
              <w:t>法定代表人：</w:t>
            </w:r>
          </w:p>
          <w:p w14:paraId="36827F05">
            <w:pPr>
              <w:pStyle w:val="8"/>
              <w:ind w:left="1050" w:hanging="1050"/>
              <w:rPr>
                <w:rFonts w:ascii="宋体" w:hAnsi="宋体"/>
                <w:color w:val="auto"/>
                <w:szCs w:val="21"/>
                <w:highlight w:val="none"/>
              </w:rPr>
            </w:pPr>
          </w:p>
          <w:p w14:paraId="506C4FB3">
            <w:pPr>
              <w:spacing w:line="560" w:lineRule="exact"/>
              <w:ind w:left="1050" w:hanging="1050" w:hangingChars="500"/>
              <w:jc w:val="left"/>
              <w:rPr>
                <w:rFonts w:ascii="宋体" w:hAnsi="宋体"/>
                <w:color w:val="auto"/>
                <w:szCs w:val="21"/>
                <w:highlight w:val="none"/>
              </w:rPr>
            </w:pPr>
            <w:r>
              <w:rPr>
                <w:rFonts w:hint="eastAsia" w:ascii="宋体" w:hAnsi="宋体"/>
                <w:color w:val="auto"/>
                <w:szCs w:val="21"/>
                <w:highlight w:val="none"/>
              </w:rPr>
              <w:t>或</w:t>
            </w:r>
          </w:p>
          <w:p w14:paraId="3F3105D1">
            <w:pPr>
              <w:spacing w:line="560" w:lineRule="exact"/>
              <w:ind w:left="1050" w:hanging="1050" w:hangingChars="500"/>
              <w:jc w:val="left"/>
              <w:rPr>
                <w:rFonts w:ascii="宋体" w:hAnsi="宋体"/>
                <w:color w:val="auto"/>
                <w:szCs w:val="21"/>
                <w:highlight w:val="none"/>
              </w:rPr>
            </w:pPr>
          </w:p>
          <w:p w14:paraId="45FBF937">
            <w:pPr>
              <w:spacing w:line="560" w:lineRule="exact"/>
              <w:ind w:left="1050" w:hanging="1050" w:hangingChars="500"/>
              <w:jc w:val="left"/>
              <w:rPr>
                <w:rFonts w:ascii="宋体" w:hAnsi="宋体"/>
                <w:color w:val="auto"/>
                <w:szCs w:val="21"/>
                <w:highlight w:val="none"/>
              </w:rPr>
            </w:pPr>
            <w:r>
              <w:rPr>
                <w:rFonts w:hint="eastAsia" w:ascii="宋体" w:hAnsi="宋体"/>
                <w:color w:val="auto"/>
                <w:szCs w:val="21"/>
                <w:highlight w:val="none"/>
              </w:rPr>
              <w:t>委托</w:t>
            </w:r>
            <w:r>
              <w:rPr>
                <w:rFonts w:ascii="宋体" w:hAnsi="宋体"/>
                <w:color w:val="auto"/>
                <w:szCs w:val="21"/>
                <w:highlight w:val="none"/>
              </w:rPr>
              <w:t>代理人：</w:t>
            </w:r>
          </w:p>
        </w:tc>
        <w:tc>
          <w:tcPr>
            <w:tcW w:w="4599" w:type="dxa"/>
            <w:noWrap w:val="0"/>
            <w:vAlign w:val="top"/>
          </w:tcPr>
          <w:p w14:paraId="37B60861">
            <w:pPr>
              <w:spacing w:after="156" w:afterLines="50" w:line="560" w:lineRule="exact"/>
              <w:ind w:left="1050" w:hanging="1050" w:hangingChars="500"/>
              <w:jc w:val="left"/>
              <w:rPr>
                <w:rFonts w:ascii="宋体" w:hAnsi="宋体"/>
                <w:color w:val="auto"/>
                <w:szCs w:val="21"/>
                <w:highlight w:val="none"/>
              </w:rPr>
            </w:pPr>
            <w:r>
              <w:rPr>
                <w:rFonts w:ascii="宋体" w:hAnsi="宋体"/>
                <w:color w:val="auto"/>
                <w:szCs w:val="21"/>
                <w:highlight w:val="none"/>
              </w:rPr>
              <w:t>法定代表人：</w:t>
            </w:r>
          </w:p>
          <w:p w14:paraId="3764E1BA">
            <w:pPr>
              <w:spacing w:before="312" w:beforeLines="100" w:after="156" w:afterLines="50" w:line="560" w:lineRule="exact"/>
              <w:ind w:left="1050" w:hanging="1050" w:hangingChars="500"/>
              <w:jc w:val="left"/>
              <w:rPr>
                <w:rFonts w:ascii="宋体" w:hAnsi="宋体"/>
                <w:color w:val="auto"/>
                <w:szCs w:val="21"/>
                <w:highlight w:val="none"/>
              </w:rPr>
            </w:pPr>
            <w:r>
              <w:rPr>
                <w:rFonts w:ascii="宋体" w:hAnsi="宋体"/>
                <w:color w:val="auto"/>
                <w:szCs w:val="21"/>
                <w:highlight w:val="none"/>
              </w:rPr>
              <w:t>身份证号码：</w:t>
            </w:r>
            <w:r>
              <w:rPr>
                <w:rFonts w:hint="eastAsia" w:ascii="宋体" w:hAnsi="宋体"/>
                <w:color w:val="auto"/>
                <w:szCs w:val="21"/>
                <w:highlight w:val="none"/>
              </w:rPr>
              <w:t xml:space="preserve"> </w:t>
            </w:r>
          </w:p>
          <w:p w14:paraId="76100E4C">
            <w:pPr>
              <w:spacing w:before="312" w:beforeLines="100" w:after="156" w:afterLines="50" w:line="560" w:lineRule="exact"/>
              <w:ind w:left="1050" w:hanging="1050" w:hangingChars="500"/>
              <w:jc w:val="left"/>
              <w:rPr>
                <w:rFonts w:ascii="宋体" w:hAnsi="宋体"/>
                <w:color w:val="auto"/>
                <w:szCs w:val="21"/>
                <w:highlight w:val="none"/>
              </w:rPr>
            </w:pPr>
            <w:r>
              <w:rPr>
                <w:rFonts w:ascii="宋体" w:hAnsi="宋体"/>
                <w:color w:val="auto"/>
                <w:szCs w:val="21"/>
                <w:highlight w:val="none"/>
              </w:rPr>
              <w:t xml:space="preserve">委托代理人： </w:t>
            </w:r>
          </w:p>
          <w:p w14:paraId="491ABD67">
            <w:pPr>
              <w:spacing w:before="312" w:beforeLines="100" w:after="156" w:afterLines="50" w:line="560" w:lineRule="exact"/>
              <w:ind w:left="1050" w:hanging="1050" w:hangingChars="500"/>
              <w:jc w:val="left"/>
              <w:rPr>
                <w:rFonts w:ascii="宋体" w:hAnsi="宋体"/>
                <w:color w:val="auto"/>
                <w:szCs w:val="21"/>
                <w:highlight w:val="none"/>
              </w:rPr>
            </w:pPr>
            <w:r>
              <w:rPr>
                <w:rFonts w:ascii="宋体" w:hAnsi="宋体"/>
                <w:color w:val="auto"/>
                <w:szCs w:val="21"/>
                <w:highlight w:val="none"/>
              </w:rPr>
              <w:t>身份证号码：</w:t>
            </w:r>
            <w:r>
              <w:rPr>
                <w:rFonts w:hint="eastAsia" w:ascii="宋体" w:hAnsi="宋体"/>
                <w:color w:val="auto"/>
                <w:szCs w:val="21"/>
                <w:highlight w:val="none"/>
              </w:rPr>
              <w:t xml:space="preserve"> </w:t>
            </w:r>
          </w:p>
        </w:tc>
      </w:tr>
      <w:tr w14:paraId="0D7E1046">
        <w:tblPrEx>
          <w:tblCellMar>
            <w:top w:w="0" w:type="dxa"/>
            <w:left w:w="108" w:type="dxa"/>
            <w:bottom w:w="0" w:type="dxa"/>
            <w:right w:w="108" w:type="dxa"/>
          </w:tblCellMar>
        </w:tblPrEx>
        <w:trPr>
          <w:trHeight w:val="1120" w:hRule="atLeast"/>
        </w:trPr>
        <w:tc>
          <w:tcPr>
            <w:tcW w:w="4752" w:type="dxa"/>
            <w:noWrap w:val="0"/>
            <w:vAlign w:val="top"/>
          </w:tcPr>
          <w:p w14:paraId="058F5C30">
            <w:pPr>
              <w:spacing w:line="560" w:lineRule="exact"/>
              <w:ind w:left="1050" w:hanging="1050" w:hangingChars="500"/>
              <w:jc w:val="left"/>
              <w:rPr>
                <w:rFonts w:ascii="宋体" w:hAnsi="宋体"/>
                <w:color w:val="auto"/>
                <w:szCs w:val="21"/>
                <w:highlight w:val="none"/>
              </w:rPr>
            </w:pPr>
            <w:r>
              <w:rPr>
                <w:rFonts w:ascii="宋体" w:hAnsi="宋体"/>
                <w:color w:val="auto"/>
                <w:szCs w:val="21"/>
                <w:highlight w:val="none"/>
              </w:rPr>
              <w:t>经 办 人：</w:t>
            </w:r>
          </w:p>
        </w:tc>
        <w:tc>
          <w:tcPr>
            <w:tcW w:w="4599" w:type="dxa"/>
            <w:noWrap w:val="0"/>
            <w:vAlign w:val="top"/>
          </w:tcPr>
          <w:p w14:paraId="20294FDC">
            <w:pPr>
              <w:spacing w:before="156" w:beforeLines="50" w:after="156" w:afterLines="50" w:line="560" w:lineRule="exact"/>
              <w:ind w:left="1050" w:hanging="1050" w:hangingChars="500"/>
              <w:jc w:val="left"/>
              <w:rPr>
                <w:rFonts w:ascii="宋体" w:hAnsi="宋体"/>
                <w:color w:val="auto"/>
                <w:szCs w:val="21"/>
                <w:highlight w:val="none"/>
              </w:rPr>
            </w:pPr>
            <w:r>
              <w:rPr>
                <w:rFonts w:ascii="宋体" w:hAnsi="宋体"/>
                <w:color w:val="auto"/>
                <w:szCs w:val="21"/>
                <w:highlight w:val="none"/>
              </w:rPr>
              <w:t>经 办 人：</w:t>
            </w:r>
            <w:r>
              <w:rPr>
                <w:rFonts w:hint="eastAsia" w:ascii="宋体" w:hAnsi="宋体"/>
                <w:color w:val="auto"/>
                <w:szCs w:val="21"/>
                <w:highlight w:val="none"/>
              </w:rPr>
              <w:t xml:space="preserve"> </w:t>
            </w:r>
          </w:p>
        </w:tc>
      </w:tr>
      <w:tr w14:paraId="78B52E72">
        <w:tblPrEx>
          <w:tblCellMar>
            <w:top w:w="0" w:type="dxa"/>
            <w:left w:w="108" w:type="dxa"/>
            <w:bottom w:w="0" w:type="dxa"/>
            <w:right w:w="108" w:type="dxa"/>
          </w:tblCellMar>
        </w:tblPrEx>
        <w:trPr>
          <w:trHeight w:val="1120" w:hRule="atLeast"/>
        </w:trPr>
        <w:tc>
          <w:tcPr>
            <w:tcW w:w="4752" w:type="dxa"/>
            <w:noWrap w:val="0"/>
            <w:vAlign w:val="top"/>
          </w:tcPr>
          <w:p w14:paraId="7B24482E">
            <w:pPr>
              <w:spacing w:before="156" w:beforeLines="50" w:after="156" w:afterLines="50" w:line="560" w:lineRule="exact"/>
              <w:ind w:left="1050" w:hanging="1050" w:hangingChars="500"/>
              <w:jc w:val="left"/>
              <w:rPr>
                <w:rFonts w:ascii="宋体" w:hAnsi="宋体"/>
                <w:color w:val="auto"/>
                <w:szCs w:val="21"/>
                <w:highlight w:val="none"/>
              </w:rPr>
            </w:pPr>
          </w:p>
        </w:tc>
        <w:tc>
          <w:tcPr>
            <w:tcW w:w="4599" w:type="dxa"/>
            <w:noWrap w:val="0"/>
            <w:vAlign w:val="top"/>
          </w:tcPr>
          <w:p w14:paraId="7B93A9A7">
            <w:pPr>
              <w:spacing w:before="156" w:beforeLines="50" w:line="560" w:lineRule="exact"/>
              <w:ind w:left="1050" w:hanging="1050" w:hangingChars="500"/>
              <w:jc w:val="left"/>
              <w:rPr>
                <w:rFonts w:ascii="宋体" w:hAnsi="宋体"/>
                <w:color w:val="auto"/>
                <w:szCs w:val="21"/>
                <w:highlight w:val="none"/>
              </w:rPr>
            </w:pPr>
            <w:r>
              <w:rPr>
                <w:rFonts w:ascii="宋体" w:hAnsi="宋体"/>
                <w:color w:val="auto"/>
                <w:szCs w:val="21"/>
                <w:highlight w:val="none"/>
              </w:rPr>
              <w:t>开 户 行：</w:t>
            </w:r>
            <w:r>
              <w:rPr>
                <w:rFonts w:hint="eastAsia" w:ascii="宋体" w:hAnsi="宋体"/>
                <w:color w:val="auto"/>
                <w:szCs w:val="21"/>
                <w:highlight w:val="none"/>
              </w:rPr>
              <w:t xml:space="preserve"> </w:t>
            </w:r>
          </w:p>
        </w:tc>
      </w:tr>
      <w:tr w14:paraId="23F03103">
        <w:tblPrEx>
          <w:tblCellMar>
            <w:top w:w="0" w:type="dxa"/>
            <w:left w:w="108" w:type="dxa"/>
            <w:bottom w:w="0" w:type="dxa"/>
            <w:right w:w="108" w:type="dxa"/>
          </w:tblCellMar>
        </w:tblPrEx>
        <w:trPr>
          <w:trHeight w:val="1120" w:hRule="atLeast"/>
        </w:trPr>
        <w:tc>
          <w:tcPr>
            <w:tcW w:w="4752" w:type="dxa"/>
            <w:noWrap w:val="0"/>
            <w:vAlign w:val="top"/>
          </w:tcPr>
          <w:p w14:paraId="0D418894">
            <w:pPr>
              <w:spacing w:line="560" w:lineRule="exact"/>
              <w:ind w:left="850" w:hanging="850" w:hangingChars="500"/>
              <w:jc w:val="left"/>
              <w:rPr>
                <w:rFonts w:ascii="宋体" w:hAnsi="宋体"/>
                <w:color w:val="auto"/>
                <w:szCs w:val="21"/>
                <w:highlight w:val="none"/>
              </w:rPr>
            </w:pPr>
            <w:r>
              <w:rPr>
                <w:rFonts w:ascii="宋体" w:hAnsi="宋体"/>
                <w:color w:val="auto"/>
                <w:spacing w:val="-20"/>
                <w:szCs w:val="21"/>
                <w:highlight w:val="none"/>
              </w:rPr>
              <w:t>统</w:t>
            </w:r>
            <w:r>
              <w:rPr>
                <w:rFonts w:ascii="宋体" w:hAnsi="宋体"/>
                <w:color w:val="auto"/>
                <w:spacing w:val="-18"/>
                <w:szCs w:val="21"/>
                <w:highlight w:val="none"/>
              </w:rPr>
              <w:t>一社会信用代码：</w:t>
            </w:r>
          </w:p>
        </w:tc>
        <w:tc>
          <w:tcPr>
            <w:tcW w:w="4599" w:type="dxa"/>
            <w:noWrap w:val="0"/>
            <w:vAlign w:val="top"/>
          </w:tcPr>
          <w:p w14:paraId="3D9BC156">
            <w:pPr>
              <w:spacing w:line="560" w:lineRule="exact"/>
              <w:ind w:left="1050" w:hanging="1050" w:hangingChars="500"/>
              <w:rPr>
                <w:rFonts w:ascii="宋体" w:hAnsi="宋体"/>
                <w:color w:val="auto"/>
                <w:szCs w:val="21"/>
                <w:highlight w:val="none"/>
              </w:rPr>
            </w:pPr>
            <w:r>
              <w:rPr>
                <w:rFonts w:ascii="宋体" w:hAnsi="宋体"/>
                <w:color w:val="auto"/>
                <w:szCs w:val="21"/>
                <w:highlight w:val="none"/>
              </w:rPr>
              <w:t>账    号：</w:t>
            </w:r>
            <w:r>
              <w:rPr>
                <w:rFonts w:hint="eastAsia" w:ascii="宋体" w:hAnsi="宋体"/>
                <w:color w:val="auto"/>
                <w:szCs w:val="21"/>
                <w:highlight w:val="none"/>
              </w:rPr>
              <w:t xml:space="preserve"> </w:t>
            </w:r>
          </w:p>
        </w:tc>
      </w:tr>
      <w:tr w14:paraId="4CFA7032">
        <w:tblPrEx>
          <w:tblCellMar>
            <w:top w:w="0" w:type="dxa"/>
            <w:left w:w="108" w:type="dxa"/>
            <w:bottom w:w="0" w:type="dxa"/>
            <w:right w:w="108" w:type="dxa"/>
          </w:tblCellMar>
        </w:tblPrEx>
        <w:trPr>
          <w:trHeight w:val="1120" w:hRule="atLeast"/>
        </w:trPr>
        <w:tc>
          <w:tcPr>
            <w:tcW w:w="4752" w:type="dxa"/>
            <w:noWrap w:val="0"/>
            <w:vAlign w:val="top"/>
          </w:tcPr>
          <w:p w14:paraId="7BAD0375">
            <w:pPr>
              <w:spacing w:line="560" w:lineRule="exact"/>
              <w:ind w:left="1050" w:hanging="1050" w:hangingChars="500"/>
              <w:rPr>
                <w:rFonts w:ascii="宋体" w:hAnsi="宋体"/>
                <w:color w:val="auto"/>
                <w:szCs w:val="21"/>
                <w:highlight w:val="none"/>
              </w:rPr>
            </w:pPr>
            <w:r>
              <w:rPr>
                <w:rFonts w:ascii="宋体" w:hAnsi="宋体"/>
                <w:color w:val="auto"/>
                <w:szCs w:val="21"/>
                <w:highlight w:val="none"/>
              </w:rPr>
              <w:t>联系电话:</w:t>
            </w:r>
          </w:p>
        </w:tc>
        <w:tc>
          <w:tcPr>
            <w:tcW w:w="4599" w:type="dxa"/>
            <w:noWrap w:val="0"/>
            <w:vAlign w:val="top"/>
          </w:tcPr>
          <w:p w14:paraId="40D32D25">
            <w:pPr>
              <w:spacing w:line="560" w:lineRule="exact"/>
              <w:ind w:left="1050" w:hanging="1050" w:hangingChars="500"/>
              <w:jc w:val="left"/>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 xml:space="preserve"> </w:t>
            </w:r>
          </w:p>
        </w:tc>
      </w:tr>
      <w:tr w14:paraId="10D142ED">
        <w:tblPrEx>
          <w:tblCellMar>
            <w:top w:w="0" w:type="dxa"/>
            <w:left w:w="108" w:type="dxa"/>
            <w:bottom w:w="0" w:type="dxa"/>
            <w:right w:w="108" w:type="dxa"/>
          </w:tblCellMar>
        </w:tblPrEx>
        <w:trPr>
          <w:trHeight w:val="1120" w:hRule="atLeast"/>
        </w:trPr>
        <w:tc>
          <w:tcPr>
            <w:tcW w:w="4752" w:type="dxa"/>
            <w:noWrap w:val="0"/>
            <w:vAlign w:val="top"/>
          </w:tcPr>
          <w:p w14:paraId="153A1333">
            <w:pPr>
              <w:spacing w:line="560" w:lineRule="exact"/>
              <w:ind w:left="1050" w:hanging="1050" w:hangingChars="500"/>
              <w:rPr>
                <w:rFonts w:ascii="宋体" w:hAnsi="宋体"/>
                <w:color w:val="auto"/>
                <w:szCs w:val="21"/>
                <w:highlight w:val="none"/>
              </w:rPr>
            </w:pPr>
            <w:r>
              <w:rPr>
                <w:rFonts w:ascii="宋体" w:hAnsi="宋体"/>
                <w:color w:val="auto"/>
                <w:szCs w:val="21"/>
                <w:highlight w:val="none"/>
              </w:rPr>
              <w:t xml:space="preserve">地    址： </w:t>
            </w:r>
          </w:p>
        </w:tc>
        <w:tc>
          <w:tcPr>
            <w:tcW w:w="4599" w:type="dxa"/>
            <w:noWrap w:val="0"/>
            <w:vAlign w:val="top"/>
          </w:tcPr>
          <w:p w14:paraId="068E278B">
            <w:pPr>
              <w:spacing w:line="560" w:lineRule="exact"/>
              <w:ind w:left="1035" w:hanging="1035" w:hangingChars="493"/>
              <w:jc w:val="left"/>
              <w:rPr>
                <w:rFonts w:ascii="宋体" w:hAnsi="宋体"/>
                <w:color w:val="auto"/>
                <w:szCs w:val="21"/>
                <w:highlight w:val="none"/>
              </w:rPr>
            </w:pPr>
            <w:r>
              <w:rPr>
                <w:rFonts w:ascii="宋体" w:hAnsi="宋体"/>
                <w:color w:val="auto"/>
                <w:szCs w:val="21"/>
                <w:highlight w:val="none"/>
              </w:rPr>
              <w:t>地    址：</w:t>
            </w:r>
            <w:r>
              <w:rPr>
                <w:rFonts w:hint="eastAsia" w:ascii="宋体" w:hAnsi="宋体"/>
                <w:color w:val="auto"/>
                <w:szCs w:val="21"/>
                <w:highlight w:val="none"/>
              </w:rPr>
              <w:t xml:space="preserve"> </w:t>
            </w:r>
          </w:p>
        </w:tc>
      </w:tr>
      <w:tr w14:paraId="25895B8C">
        <w:tblPrEx>
          <w:tblCellMar>
            <w:top w:w="0" w:type="dxa"/>
            <w:left w:w="108" w:type="dxa"/>
            <w:bottom w:w="0" w:type="dxa"/>
            <w:right w:w="108" w:type="dxa"/>
          </w:tblCellMar>
        </w:tblPrEx>
        <w:trPr>
          <w:trHeight w:val="1120" w:hRule="atLeast"/>
        </w:trPr>
        <w:tc>
          <w:tcPr>
            <w:tcW w:w="4752" w:type="dxa"/>
            <w:noWrap w:val="0"/>
            <w:vAlign w:val="top"/>
          </w:tcPr>
          <w:p w14:paraId="339B63CC">
            <w:pPr>
              <w:spacing w:line="560" w:lineRule="exact"/>
              <w:rPr>
                <w:rFonts w:ascii="宋体" w:hAnsi="宋体"/>
                <w:color w:val="auto"/>
                <w:szCs w:val="21"/>
                <w:highlight w:val="none"/>
              </w:rPr>
            </w:pPr>
            <w:r>
              <w:rPr>
                <w:rFonts w:ascii="宋体" w:hAnsi="宋体"/>
                <w:color w:val="auto"/>
                <w:szCs w:val="21"/>
                <w:highlight w:val="none"/>
              </w:rPr>
              <w:t>时    间：</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p>
        </w:tc>
        <w:tc>
          <w:tcPr>
            <w:tcW w:w="4599" w:type="dxa"/>
            <w:noWrap w:val="0"/>
            <w:vAlign w:val="top"/>
          </w:tcPr>
          <w:p w14:paraId="71A73F7C">
            <w:pPr>
              <w:spacing w:line="560" w:lineRule="exact"/>
              <w:rPr>
                <w:rFonts w:ascii="宋体" w:hAnsi="宋体"/>
                <w:color w:val="auto"/>
                <w:szCs w:val="21"/>
                <w:highlight w:val="none"/>
              </w:rPr>
            </w:pPr>
            <w:r>
              <w:rPr>
                <w:rFonts w:ascii="宋体" w:hAnsi="宋体"/>
                <w:color w:val="auto"/>
                <w:szCs w:val="21"/>
                <w:highlight w:val="none"/>
              </w:rPr>
              <w:t>时    间：</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p>
        </w:tc>
      </w:tr>
    </w:tbl>
    <w:p w14:paraId="33903D83">
      <w:pPr>
        <w:pStyle w:val="2"/>
        <w:rPr>
          <w:rFonts w:hint="eastAsia"/>
          <w:color w:val="auto"/>
          <w:highlight w:val="none"/>
        </w:rPr>
      </w:pPr>
    </w:p>
    <w:p w14:paraId="34A0726E">
      <w:pPr>
        <w:overflowPunct w:val="0"/>
        <w:autoSpaceDE w:val="0"/>
        <w:autoSpaceDN w:val="0"/>
        <w:adjustRightInd w:val="0"/>
        <w:snapToGrid w:val="0"/>
        <w:spacing w:line="480" w:lineRule="auto"/>
        <w:rPr>
          <w:rFonts w:ascii="宋体" w:hAnsi="宋体"/>
          <w:color w:val="auto"/>
          <w:sz w:val="32"/>
          <w:szCs w:val="32"/>
          <w:highlight w:val="none"/>
        </w:rPr>
      </w:pPr>
    </w:p>
    <w:p w14:paraId="7C953F2F">
      <w:pPr>
        <w:pStyle w:val="2"/>
        <w:rPr>
          <w:color w:val="auto"/>
          <w:highlight w:val="none"/>
        </w:rPr>
      </w:pPr>
    </w:p>
    <w:p w14:paraId="04DCD429">
      <w:pPr>
        <w:rPr>
          <w:color w:val="auto"/>
          <w:highlight w:val="none"/>
        </w:rPr>
      </w:pPr>
    </w:p>
    <w:p w14:paraId="01CD6302">
      <w:pPr>
        <w:pStyle w:val="2"/>
        <w:rPr>
          <w:color w:val="auto"/>
          <w:highlight w:val="none"/>
        </w:rPr>
      </w:pPr>
    </w:p>
    <w:p w14:paraId="4CC2A7B1">
      <w:pPr>
        <w:pStyle w:val="2"/>
        <w:rPr>
          <w:rFonts w:hint="eastAsia"/>
          <w:color w:val="auto"/>
          <w:highlight w:val="none"/>
        </w:rPr>
      </w:pPr>
    </w:p>
    <w:p w14:paraId="434443BC">
      <w:pPr>
        <w:overflowPunct w:val="0"/>
        <w:autoSpaceDE w:val="0"/>
        <w:autoSpaceDN w:val="0"/>
        <w:adjustRightInd w:val="0"/>
        <w:snapToGrid w:val="0"/>
        <w:spacing w:line="420" w:lineRule="exact"/>
        <w:ind w:firstLine="3200" w:firstLineChars="1000"/>
        <w:outlineLvl w:val="0"/>
        <w:rPr>
          <w:rFonts w:ascii="宋体" w:hAnsi="宋体"/>
          <w:color w:val="auto"/>
          <w:sz w:val="32"/>
          <w:szCs w:val="32"/>
          <w:highlight w:val="none"/>
        </w:rPr>
      </w:pPr>
      <w:r>
        <w:rPr>
          <w:rFonts w:hint="eastAsia" w:ascii="宋体" w:hAnsi="宋体"/>
          <w:color w:val="auto"/>
          <w:sz w:val="32"/>
          <w:szCs w:val="32"/>
          <w:highlight w:val="none"/>
        </w:rPr>
        <w:t>第二部分  通用条件</w:t>
      </w:r>
    </w:p>
    <w:p w14:paraId="7AE0DF10">
      <w:pPr>
        <w:overflowPunct w:val="0"/>
        <w:autoSpaceDE w:val="0"/>
        <w:autoSpaceDN w:val="0"/>
        <w:adjustRightInd w:val="0"/>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 定义与解释</w:t>
      </w:r>
    </w:p>
    <w:p w14:paraId="0636BC86">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1.1 </w:t>
      </w:r>
      <w:r>
        <w:rPr>
          <w:rFonts w:hint="eastAsia" w:ascii="宋体" w:hAnsi="宋体"/>
          <w:bCs/>
          <w:color w:val="auto"/>
          <w:szCs w:val="21"/>
          <w:highlight w:val="none"/>
        </w:rPr>
        <w:t>定义</w:t>
      </w:r>
    </w:p>
    <w:p w14:paraId="62644AF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除根据上下文另有其意义外，组成本合同的全部文件中的下列名词和用语应具有本款所赋予的含义：</w:t>
      </w:r>
    </w:p>
    <w:p w14:paraId="6D94EBC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 “工程”是指按照本合同约定实施监理与相关服务的建设工程。</w:t>
      </w:r>
    </w:p>
    <w:p w14:paraId="3D1B221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 “委托人”是指本合同中委托监理与相关服务的一方，及其合法的继承人或受让人。</w:t>
      </w:r>
    </w:p>
    <w:p w14:paraId="6AB1E10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 “监理人”是指本合同中提供监理与相关服务的一方，及其合法的继承人。</w:t>
      </w:r>
    </w:p>
    <w:p w14:paraId="47F4859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 “承包人”是指在工程范围内与委托人签订勘察、设计、施工等有关合同的当事人，及其合法的继承人。</w:t>
      </w:r>
    </w:p>
    <w:p w14:paraId="5FAD1B48">
      <w:pPr>
        <w:overflowPunct w:val="0"/>
        <w:autoSpaceDE w:val="0"/>
        <w:autoSpaceDN w:val="0"/>
        <w:adjustRightInd w:val="0"/>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086F3CB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1.1.6 “相关服务”是指监理人受委托人的委托 ，按照本合同约定，在勘察、设计、保修等阶段提供的服务活动。</w:t>
      </w:r>
    </w:p>
    <w:p w14:paraId="5EAC253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1.1.7 “正常工作”指本合同订立时通用条件和专用条件中约定的监理人的工作。</w:t>
      </w:r>
    </w:p>
    <w:p w14:paraId="6630349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1.1.8 “附加工作”是指本合同约定的正常工作以外监理人的工作。</w:t>
      </w:r>
    </w:p>
    <w:p w14:paraId="2C581EF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1.1.9 “项目监理机构”是指监理人派驻工程负责履行本合同的组织机构。</w:t>
      </w:r>
    </w:p>
    <w:p w14:paraId="71A83CC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1.1.10 “总监理工程师”是指由监理人的法定代表人书面授权，全面负责履行本合同、主持项目监理机构工作的注册监理工程师。</w:t>
      </w:r>
    </w:p>
    <w:p w14:paraId="688738F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1.1.11 “酬金”是指监理人履行本合同义务，委托人按照本合同约定给付监理人的金额。</w:t>
      </w:r>
    </w:p>
    <w:p w14:paraId="764624F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1.1.12 “正常工作</w:t>
      </w:r>
      <w:r>
        <w:rPr>
          <w:rFonts w:hint="eastAsia" w:ascii="宋体" w:hAnsi="宋体" w:cs="宋体"/>
          <w:color w:val="auto"/>
          <w:kern w:val="0"/>
          <w:szCs w:val="21"/>
          <w:highlight w:val="none"/>
        </w:rPr>
        <w:t>酬金”</w:t>
      </w:r>
      <w:r>
        <w:rPr>
          <w:rFonts w:hint="eastAsia" w:ascii="宋体" w:hAnsi="宋体"/>
          <w:color w:val="auto"/>
          <w:szCs w:val="21"/>
          <w:highlight w:val="none"/>
        </w:rPr>
        <w:t>是指监理人完成正常工作，委托人应给付监理人并在协议书中载明的签约</w:t>
      </w:r>
      <w:r>
        <w:rPr>
          <w:rFonts w:hint="eastAsia" w:ascii="宋体" w:hAnsi="宋体" w:cs="宋体"/>
          <w:color w:val="auto"/>
          <w:kern w:val="0"/>
          <w:szCs w:val="21"/>
          <w:highlight w:val="none"/>
        </w:rPr>
        <w:t>酬金额</w:t>
      </w:r>
      <w:r>
        <w:rPr>
          <w:rFonts w:hint="eastAsia" w:ascii="宋体" w:hAnsi="宋体"/>
          <w:color w:val="auto"/>
          <w:szCs w:val="21"/>
          <w:highlight w:val="none"/>
        </w:rPr>
        <w:t>。</w:t>
      </w:r>
    </w:p>
    <w:p w14:paraId="706B895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1.1.13 “附加工作酬金”是指监理人完成附加工作，委托人应给付监理人的金额。</w:t>
      </w:r>
    </w:p>
    <w:p w14:paraId="319611C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1.1.14 “一方”是指委托人或监理人；“双方”是指委托人和监理人；“第三方”是指除委托人和监理人以外的有关方。</w:t>
      </w:r>
    </w:p>
    <w:p w14:paraId="19982B1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1.1.15 “书面形式”是指合同书、信件和数据电文（包括电报、电传、传真、电子数据交换和电子邮件）等可以有形地表现所载内容的形式。</w:t>
      </w:r>
    </w:p>
    <w:p w14:paraId="27235C6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1.1.16 “天”是指第一天零时至第二天零时的时间。</w:t>
      </w:r>
    </w:p>
    <w:p w14:paraId="09A597A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1.1.17“月”是指按公历从一个月中任何一天开始的一个公历月时间。</w:t>
      </w:r>
    </w:p>
    <w:p w14:paraId="57A2053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44FF978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 xml:space="preserve">1.2 </w:t>
      </w:r>
      <w:r>
        <w:rPr>
          <w:rFonts w:hint="eastAsia" w:ascii="宋体" w:hAnsi="宋体"/>
          <w:color w:val="auto"/>
          <w:szCs w:val="21"/>
          <w:highlight w:val="none"/>
        </w:rPr>
        <w:t>解释</w:t>
      </w:r>
    </w:p>
    <w:p w14:paraId="79888025">
      <w:pPr>
        <w:tabs>
          <w:tab w:val="left" w:pos="6140"/>
        </w:tabs>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1.2.1本合同使用中文书写、解释和说明。如专用条件约定使用两种及以上语言文字时，应以中文为准。</w:t>
      </w:r>
    </w:p>
    <w:p w14:paraId="19698D94">
      <w:pPr>
        <w:tabs>
          <w:tab w:val="left" w:pos="6140"/>
        </w:tabs>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 组成本合同的下列文件彼此应能相互解释、互为说明。除专用条件另有约定外，本合同文件的解释顺序如下：</w:t>
      </w:r>
    </w:p>
    <w:p w14:paraId="7608F8A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（1）协议书；</w:t>
      </w:r>
    </w:p>
    <w:p w14:paraId="1E2471B8">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（2）招标文件或比选文件（包括但不限于本工程的招标或比选文件、图纸、其他技术资料及招标人发出的对招标或比选文件所作的澄清、修改、补遗等资料）（若有）；</w:t>
      </w:r>
    </w:p>
    <w:p w14:paraId="3DDD737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（3）中选通知书（适用于招标工程）或委托书（适用于非招标工程）；</w:t>
      </w:r>
    </w:p>
    <w:p w14:paraId="67E3249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（4）专用条件及附录；</w:t>
      </w:r>
    </w:p>
    <w:p w14:paraId="0815CAB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（5）通用条件；</w:t>
      </w:r>
    </w:p>
    <w:p w14:paraId="28DA433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（6）竞选文件（适用于招标工程）或监理与相关服务建议书（适用于非招标工程）。</w:t>
      </w:r>
    </w:p>
    <w:p w14:paraId="1B54B14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双方签订的补充协议与其他文件发生矛盾或歧义时，属于同一类内容的文件，应以最新签署的为准。</w:t>
      </w:r>
    </w:p>
    <w:p w14:paraId="57F98229">
      <w:pPr>
        <w:overflowPunct w:val="0"/>
        <w:autoSpaceDE w:val="0"/>
        <w:autoSpaceDN w:val="0"/>
        <w:adjustRightInd w:val="0"/>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 监理人的义务</w:t>
      </w:r>
    </w:p>
    <w:p w14:paraId="4B6BE9C8">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2.1 监理的范围和工作内容</w:t>
      </w:r>
    </w:p>
    <w:p w14:paraId="03A3614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2.1.1 监理范围在专用条件中约定。</w:t>
      </w:r>
    </w:p>
    <w:p w14:paraId="0484B91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2.1.2 除专用条件另有约定外，监理工作内容包括但不限于：</w:t>
      </w:r>
    </w:p>
    <w:p w14:paraId="7C8B93A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（1）收到工程设计文件后编制监理规划，并在第一次工地会议7天前报委托人。根据有关规定和监理工作需要，</w:t>
      </w:r>
      <w:r>
        <w:rPr>
          <w:rFonts w:hint="eastAsia" w:ascii="宋体" w:hAnsi="宋体"/>
          <w:color w:val="auto"/>
          <w:szCs w:val="21"/>
          <w:highlight w:val="none"/>
        </w:rPr>
        <w:t>编制监理实施细则；</w:t>
      </w:r>
    </w:p>
    <w:p w14:paraId="42C4983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（2）熟悉工程设计文件，并参加由委托人主持的图纸会审和设计交底会议；</w:t>
      </w:r>
    </w:p>
    <w:p w14:paraId="33B78C5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（3）参加由委托人主持的第一次工地会议；主持监理例会并根据工程需要主持或参加专题会议；</w:t>
      </w:r>
    </w:p>
    <w:p w14:paraId="2C215AD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（4）审查施工承包人提交的施工组织设计，重点审查其中的质量安全技术措施、专项施工方案与工程建设强制性标准的符合性；</w:t>
      </w:r>
    </w:p>
    <w:p w14:paraId="70B995E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（5）检查施工承包人工程质量、安全生产管理制度及组织机构和人员资格； </w:t>
      </w:r>
    </w:p>
    <w:p w14:paraId="430A67C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（6）检查施工承包人专职安全生产管理人员的配备情况；</w:t>
      </w:r>
    </w:p>
    <w:p w14:paraId="2E8383A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（7）审查施工承包人提交的施工进度计划，核查承包人对施工进度计划的调整；</w:t>
      </w:r>
    </w:p>
    <w:p w14:paraId="2FC6685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（8）检查施工承包人的试验室；</w:t>
      </w:r>
    </w:p>
    <w:p w14:paraId="0408071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（9）审核施工区域人资质条件；</w:t>
      </w:r>
    </w:p>
    <w:p w14:paraId="036D566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（10）查验施工承包人的施工测量放线成果；</w:t>
      </w:r>
    </w:p>
    <w:p w14:paraId="67117B9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（11）审查工程开工条件，对条件具备的签发开工令；</w:t>
      </w:r>
    </w:p>
    <w:p w14:paraId="647629E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（12）审查施工承包人报送的工程材料、构配件、设备质量证明文件的有效性和符合性，并按规定对用于工程的材料采取平行检验或见证取样方式进行抽检； </w:t>
      </w:r>
    </w:p>
    <w:p w14:paraId="59A6DB8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（13）审核施工承包人提交的工程款支付申请，签发或出具工程款支付证书，并报委托人审核、批准；</w:t>
      </w:r>
    </w:p>
    <w:p w14:paraId="5CA7808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（14）在巡视、旁站和检验过程中，发现工程质量、施工安全存在事故隐患的，要求施工承包人整改并报委托人；</w:t>
      </w:r>
    </w:p>
    <w:p w14:paraId="6AC4023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（15）经委托人同意，签发工程暂停令和复工令；</w:t>
      </w:r>
    </w:p>
    <w:p w14:paraId="65DB718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（16）审查施工承包人提交的采用新材料、新工艺、新技术、新设备的论证材料及相关验收标准；</w:t>
      </w:r>
    </w:p>
    <w:p w14:paraId="7DE1F05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（17）验收隐蔽工程、分部分项工程；</w:t>
      </w:r>
    </w:p>
    <w:p w14:paraId="6596872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（18）审查施工承包人提交的工程变更申请，协调处理施工进度调整、费用索赔、合同争议等事项；</w:t>
      </w:r>
    </w:p>
    <w:p w14:paraId="3ED0547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（19）审查施工承包人提交的竣工验收申请，编写工程质量评估报告；</w:t>
      </w:r>
    </w:p>
    <w:p w14:paraId="3D7A2A2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（20）参加工程竣工验收，签署竣工验收意见；</w:t>
      </w:r>
    </w:p>
    <w:p w14:paraId="3210042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（21）审查施工承包人提交的竣工结算申请并报委托人；</w:t>
      </w:r>
    </w:p>
    <w:p w14:paraId="3D08CF3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（22）编制、整理工程监理归档文件并报委托人。</w:t>
      </w:r>
    </w:p>
    <w:p w14:paraId="644927F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 相关服务的范围和内容在附录1中约定。</w:t>
      </w:r>
    </w:p>
    <w:p w14:paraId="38FABDA8">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2.2 </w:t>
      </w:r>
      <w:r>
        <w:rPr>
          <w:rFonts w:hint="eastAsia" w:ascii="宋体" w:hAnsi="宋体"/>
          <w:bCs/>
          <w:color w:val="auto"/>
          <w:szCs w:val="21"/>
          <w:highlight w:val="none"/>
        </w:rPr>
        <w:t>监理与相关服务依据</w:t>
      </w:r>
    </w:p>
    <w:p w14:paraId="78F5371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 监理依据包括：</w:t>
      </w:r>
    </w:p>
    <w:p w14:paraId="584B7AC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（1）适用的法律、行政法规及部门规章；</w:t>
      </w:r>
    </w:p>
    <w:p w14:paraId="183E879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（2）与工程有关的标准；</w:t>
      </w:r>
    </w:p>
    <w:p w14:paraId="2CE493A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（3）工程设计及有关文件；</w:t>
      </w:r>
    </w:p>
    <w:p w14:paraId="2AF60F4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（4）本合同及委托人与第三方签订的与实施工程有关的其他合同。</w:t>
      </w:r>
    </w:p>
    <w:p w14:paraId="7A95F300">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双方根据工程的行业和地域特点，在专用条件中具体约定监理依据。</w:t>
      </w:r>
    </w:p>
    <w:p w14:paraId="02471CB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 相关服务依据在专用条件中约定。</w:t>
      </w:r>
    </w:p>
    <w:p w14:paraId="63D6416D">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2.3 </w:t>
      </w:r>
      <w:r>
        <w:rPr>
          <w:rFonts w:hint="eastAsia" w:ascii="宋体" w:hAnsi="宋体" w:cs="宋体"/>
          <w:color w:val="auto"/>
          <w:kern w:val="0"/>
          <w:szCs w:val="21"/>
          <w:highlight w:val="none"/>
        </w:rPr>
        <w:t>项目监理机构和人员</w:t>
      </w:r>
    </w:p>
    <w:p w14:paraId="0FC16CCD">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2.3.1 监理人应组建满足工作需要的项目监理机构，配备必要的检测设备。项目监理机构的主要人员应具有相应的资格条件。</w:t>
      </w:r>
    </w:p>
    <w:p w14:paraId="1A8F6930">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2.3.2本合同履行过程中，总监理工程师及重要岗位监理人员应保持相对稳定，以保证监理工作正常进行。</w:t>
      </w:r>
    </w:p>
    <w:p w14:paraId="5EAC3AF7">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2.3.3监理人可根据工程进展和工作需要调整项目监理机构人员。监理人更换总监理工程师、项目监理、相关服务其他监理人员时，应当提前7天向委托人书面报告，经委托人同意后方可更换。未经委托人同意，擅自更换时，视为监理人违约。</w:t>
      </w:r>
    </w:p>
    <w:p w14:paraId="4DDB287C">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2.3.4 监理人应及时更换有下列情形之一的监理人员：</w:t>
      </w:r>
    </w:p>
    <w:p w14:paraId="623C9A9D">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（1）严重过失行为的；</w:t>
      </w:r>
    </w:p>
    <w:p w14:paraId="475C3451">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（2）有违法行为不能履行职责的；</w:t>
      </w:r>
    </w:p>
    <w:p w14:paraId="7903B978">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（3）涉嫌犯罪的；</w:t>
      </w:r>
    </w:p>
    <w:p w14:paraId="4FB5DDBF">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（4）不能胜任岗位职责的；</w:t>
      </w:r>
    </w:p>
    <w:p w14:paraId="116A5F11">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（5）严重违反职业道德的；</w:t>
      </w:r>
    </w:p>
    <w:p w14:paraId="63C4A3B7">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（6）专用条件约定的其他情形。</w:t>
      </w:r>
    </w:p>
    <w:p w14:paraId="79D944C2">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2.3.5 委托人可要求监理人更换不能胜任本职工作的项目监理机构人员。</w:t>
      </w:r>
    </w:p>
    <w:p w14:paraId="4251D339">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2.4 </w:t>
      </w:r>
      <w:r>
        <w:rPr>
          <w:rFonts w:hint="eastAsia" w:ascii="宋体" w:hAnsi="宋体" w:cs="宋体"/>
          <w:color w:val="auto"/>
          <w:kern w:val="0"/>
          <w:szCs w:val="21"/>
          <w:highlight w:val="none"/>
        </w:rPr>
        <w:t>履行职责</w:t>
      </w:r>
    </w:p>
    <w:p w14:paraId="71BCE5A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监理人应遵循职业道德准则和行为规范，严格按照法律法规、工程建设有关标准及本合同履行职责。</w:t>
      </w:r>
    </w:p>
    <w:p w14:paraId="7D3DF7CD">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2.4.1 在监理与相关服务范围内，委托人和承包人提出的意见和要求，监理人应及时提出处置意见。当委托人与承包人之间发生合同争议时，监理人应协助委托人、承包人协商解决。</w:t>
      </w:r>
    </w:p>
    <w:p w14:paraId="1A465C64">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2.4.2 当委托人与承包人之间的合同争议提交仲裁机构仲裁或人民法院审理时，监理人应提供必要的证明资料。未提供，视为监理人违约，承担给委托人造成的一切损失。</w:t>
      </w:r>
    </w:p>
    <w:p w14:paraId="0FB63088">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2.4.3 监理人应在专用条件约定的授权范围内，处理委托人与承包人所签订合同的变更事宜。如果变更超过授权范围，应以书面形式报委托人批准。</w:t>
      </w:r>
    </w:p>
    <w:p w14:paraId="79322276">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在紧急情况下，为了保护财产和人身安全，监理人所发出的指令未能事先报委托人批准时，应在发出指令后的24小时内以书面形式报委托人。</w:t>
      </w:r>
    </w:p>
    <w:p w14:paraId="6F216192">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2.4.4 除专用条件另有约定外，监理人发现承包人的人员不能胜任本职工作的，有权要求承包人予以调换，应书面告知委托人并附证明材料。</w:t>
      </w:r>
    </w:p>
    <w:p w14:paraId="73F76162">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2.4.5 监理人在实施监理过程中，发现存在安全事故隐患的，应当要求承包人整改；情况严重的，应当要求承包人暂时停止施工，并及时报告委托人。承包人拒不整改或者不停止施工的，监理人应当及时向有关主管部门报告。</w:t>
      </w:r>
    </w:p>
    <w:p w14:paraId="2E5DEF59">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2.4.6 监理人及其工作人员不得从与实施工程有关的第三方处获得任何经济利益。</w:t>
      </w:r>
    </w:p>
    <w:p w14:paraId="34E52413">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2.4.7监理人应当按法律、法规规定，为履行本合同内容的监理与相关服务机构人员办理相关保险,保证现场监理人员的安全。承担因履行本合同过程中工作人员的安全责任。</w:t>
      </w:r>
    </w:p>
    <w:p w14:paraId="36CED65E">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2.5 提交</w:t>
      </w:r>
      <w:r>
        <w:rPr>
          <w:rFonts w:hint="eastAsia" w:ascii="宋体" w:hAnsi="宋体" w:cs="宋体"/>
          <w:color w:val="auto"/>
          <w:kern w:val="0"/>
          <w:szCs w:val="21"/>
          <w:highlight w:val="none"/>
        </w:rPr>
        <w:t>报告</w:t>
      </w:r>
    </w:p>
    <w:p w14:paraId="5DA0202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监理人应按专用条件约定的种类、时间和份数向委托人提交监理与相关服务的报告。</w:t>
      </w:r>
    </w:p>
    <w:p w14:paraId="02BDF453">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2.6 文件资料</w:t>
      </w:r>
    </w:p>
    <w:p w14:paraId="0F83E72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在本合同履行期内，监理人应在现场保留工作所用的图纸、报告及记录监理工</w:t>
      </w:r>
      <w:r>
        <w:rPr>
          <w:rFonts w:hint="eastAsia" w:ascii="宋体" w:hAnsi="宋体"/>
          <w:color w:val="auto"/>
          <w:szCs w:val="21"/>
          <w:highlight w:val="none"/>
        </w:rPr>
        <w:t>作的相关文件。工程竣工后，应当按照档案管理规定将监理有关文件归档。</w:t>
      </w:r>
    </w:p>
    <w:p w14:paraId="7BFFF6C8">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2.7 </w:t>
      </w:r>
      <w:r>
        <w:rPr>
          <w:rFonts w:hint="eastAsia" w:ascii="宋体" w:hAnsi="宋体" w:cs="宋体"/>
          <w:color w:val="auto"/>
          <w:kern w:val="0"/>
          <w:szCs w:val="21"/>
          <w:highlight w:val="none"/>
        </w:rPr>
        <w:t>使用委托人的财产</w:t>
      </w:r>
    </w:p>
    <w:p w14:paraId="185E904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除专用条件另有约定外，委托人提供的房屋、设备属于委托人的财产，监理人应妥善使用和保管，在本合同终止时将这些房屋、设备的清单提交委托人，并按专用条件约定的时间和方式移交。</w:t>
      </w:r>
    </w:p>
    <w:p w14:paraId="64094158">
      <w:pPr>
        <w:overflowPunct w:val="0"/>
        <w:autoSpaceDE w:val="0"/>
        <w:autoSpaceDN w:val="0"/>
        <w:adjustRightInd w:val="0"/>
        <w:snapToGrid w:val="0"/>
        <w:spacing w:line="360" w:lineRule="auto"/>
        <w:ind w:firstLine="422" w:firstLineChars="200"/>
        <w:rPr>
          <w:rFonts w:ascii="宋体" w:hAnsi="宋体"/>
          <w:b/>
          <w:color w:val="auto"/>
          <w:kern w:val="0"/>
          <w:szCs w:val="21"/>
          <w:highlight w:val="none"/>
        </w:rPr>
      </w:pPr>
      <w:r>
        <w:rPr>
          <w:rFonts w:hint="eastAsia" w:ascii="宋体" w:hAnsi="宋体"/>
          <w:b/>
          <w:color w:val="auto"/>
          <w:kern w:val="0"/>
          <w:szCs w:val="21"/>
          <w:highlight w:val="none"/>
        </w:rPr>
        <w:t>3．委托人的义务</w:t>
      </w:r>
    </w:p>
    <w:p w14:paraId="56CDE66A">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3.1 </w:t>
      </w:r>
      <w:r>
        <w:rPr>
          <w:rFonts w:hint="eastAsia" w:ascii="宋体" w:hAnsi="宋体" w:cs="宋体"/>
          <w:color w:val="auto"/>
          <w:kern w:val="0"/>
          <w:szCs w:val="21"/>
          <w:highlight w:val="none"/>
        </w:rPr>
        <w:t>告知</w:t>
      </w:r>
    </w:p>
    <w:p w14:paraId="5C4E0D2D">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委托人应在委托人与承包人签订的合同中明确监理人、总监理工程师和授予项目监理机构的权限。如有变更，应及时通知承包人。</w:t>
      </w:r>
    </w:p>
    <w:p w14:paraId="2B03D95E">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3.2 </w:t>
      </w:r>
      <w:r>
        <w:rPr>
          <w:rFonts w:hint="eastAsia" w:ascii="宋体" w:hAnsi="宋体" w:cs="宋体"/>
          <w:color w:val="auto"/>
          <w:kern w:val="0"/>
          <w:szCs w:val="21"/>
          <w:highlight w:val="none"/>
        </w:rPr>
        <w:t>提供资料</w:t>
      </w:r>
    </w:p>
    <w:p w14:paraId="0A0597A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委托人应按照附录2约定，无偿向监理人提供工程有关的资料。</w:t>
      </w:r>
      <w:r>
        <w:rPr>
          <w:rFonts w:hint="eastAsia" w:ascii="宋体" w:hAnsi="宋体"/>
          <w:color w:val="auto"/>
          <w:szCs w:val="21"/>
          <w:highlight w:val="none"/>
        </w:rPr>
        <w:t>在本合同履行过程中，委托人应及时向监理人提供最新的与工程有关的资料。</w:t>
      </w:r>
    </w:p>
    <w:p w14:paraId="0C83B89F">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3.3 </w:t>
      </w:r>
      <w:r>
        <w:rPr>
          <w:rFonts w:hint="eastAsia" w:ascii="宋体" w:hAnsi="宋体" w:cs="宋体"/>
          <w:color w:val="auto"/>
          <w:kern w:val="0"/>
          <w:szCs w:val="21"/>
          <w:highlight w:val="none"/>
        </w:rPr>
        <w:t>提供工作条件</w:t>
      </w:r>
    </w:p>
    <w:p w14:paraId="04986A8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委托人应为监理人完成监理与相关服务提供必要的条件。</w:t>
      </w:r>
    </w:p>
    <w:p w14:paraId="1FD4EC0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 xml:space="preserve">3.3.1 </w:t>
      </w:r>
      <w:r>
        <w:rPr>
          <w:rFonts w:hint="eastAsia" w:ascii="宋体" w:hAnsi="宋体"/>
          <w:color w:val="auto"/>
          <w:szCs w:val="21"/>
          <w:highlight w:val="none"/>
        </w:rPr>
        <w:t>委托人应按照附录B约定，派遣相应的人员。</w:t>
      </w:r>
    </w:p>
    <w:p w14:paraId="29115BE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 xml:space="preserve">3.3.2 </w:t>
      </w:r>
      <w:r>
        <w:rPr>
          <w:rFonts w:hint="eastAsia" w:ascii="宋体" w:hAnsi="宋体"/>
          <w:color w:val="auto"/>
          <w:szCs w:val="21"/>
          <w:highlight w:val="none"/>
        </w:rPr>
        <w:t>委托人应负责协调工程建设中所有外部关系，为监理人履行本合同提供必要的外部条件。</w:t>
      </w:r>
    </w:p>
    <w:p w14:paraId="6F58C196">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3.4 </w:t>
      </w:r>
      <w:r>
        <w:rPr>
          <w:rFonts w:hint="eastAsia" w:ascii="宋体" w:hAnsi="宋体" w:cs="宋体"/>
          <w:color w:val="auto"/>
          <w:kern w:val="0"/>
          <w:szCs w:val="21"/>
          <w:highlight w:val="none"/>
        </w:rPr>
        <w:t>委托人代表</w:t>
      </w:r>
    </w:p>
    <w:p w14:paraId="2CA9BC7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委托人应授权一名熟悉工程情况的代表，负责与监理人联系。委托人应在双方签订本合同后</w:t>
      </w:r>
      <w:r>
        <w:rPr>
          <w:rFonts w:hint="eastAsia" w:ascii="宋体" w:hAnsi="宋体"/>
          <w:color w:val="auto"/>
          <w:szCs w:val="21"/>
          <w:highlight w:val="none"/>
          <w:u w:val="single"/>
        </w:rPr>
        <w:t>7</w:t>
      </w:r>
      <w:r>
        <w:rPr>
          <w:rFonts w:hint="eastAsia" w:ascii="宋体" w:hAnsi="宋体"/>
          <w:color w:val="auto"/>
          <w:szCs w:val="21"/>
          <w:highlight w:val="none"/>
        </w:rPr>
        <w:t>天内，将委托人代表的姓名和职责书面告知监理人。当委托人更换委托人代表时，应提前</w:t>
      </w:r>
      <w:r>
        <w:rPr>
          <w:rFonts w:hint="eastAsia" w:ascii="宋体" w:hAnsi="宋体"/>
          <w:color w:val="auto"/>
          <w:szCs w:val="21"/>
          <w:highlight w:val="none"/>
          <w:u w:val="single"/>
        </w:rPr>
        <w:t>7</w:t>
      </w:r>
      <w:r>
        <w:rPr>
          <w:rFonts w:hint="eastAsia" w:ascii="宋体" w:hAnsi="宋体"/>
          <w:color w:val="auto"/>
          <w:szCs w:val="21"/>
          <w:highlight w:val="none"/>
        </w:rPr>
        <w:t>天通知监理人。</w:t>
      </w:r>
    </w:p>
    <w:p w14:paraId="333226F3">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3.5 </w:t>
      </w:r>
      <w:r>
        <w:rPr>
          <w:rFonts w:hint="eastAsia" w:ascii="宋体" w:hAnsi="宋体" w:cs="宋体"/>
          <w:color w:val="auto"/>
          <w:kern w:val="0"/>
          <w:szCs w:val="21"/>
          <w:highlight w:val="none"/>
        </w:rPr>
        <w:t>委托人意见或要求</w:t>
      </w:r>
    </w:p>
    <w:p w14:paraId="68B81C6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在本合同约定的监理与相关服务工作范围内，委托人对承包人的任何意见或要求应通知监理人，由监理人向承包人发出相应指令。</w:t>
      </w:r>
    </w:p>
    <w:p w14:paraId="7D6398D6">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3.6 </w:t>
      </w:r>
      <w:r>
        <w:rPr>
          <w:rFonts w:hint="eastAsia" w:ascii="宋体" w:hAnsi="宋体" w:cs="宋体"/>
          <w:color w:val="auto"/>
          <w:kern w:val="0"/>
          <w:szCs w:val="21"/>
          <w:highlight w:val="none"/>
        </w:rPr>
        <w:t>答复</w:t>
      </w:r>
    </w:p>
    <w:p w14:paraId="43B98F3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委托人应在专用条件约定的时间内，对监理人以书面形式提交并要求作出决定的事宜，给予书面答复。逾期未答复的，视为委托人认可。</w:t>
      </w:r>
    </w:p>
    <w:p w14:paraId="7B330F62">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3.7 </w:t>
      </w:r>
      <w:r>
        <w:rPr>
          <w:rFonts w:hint="eastAsia" w:ascii="宋体" w:hAnsi="宋体" w:cs="宋体"/>
          <w:color w:val="auto"/>
          <w:kern w:val="0"/>
          <w:szCs w:val="21"/>
          <w:highlight w:val="none"/>
        </w:rPr>
        <w:t>支付</w:t>
      </w:r>
    </w:p>
    <w:p w14:paraId="15FCBEE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委托人应按本合同约定，向监理人支付酬金。</w:t>
      </w:r>
    </w:p>
    <w:p w14:paraId="16900051">
      <w:pPr>
        <w:overflowPunct w:val="0"/>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4. 违约责任</w:t>
      </w:r>
    </w:p>
    <w:p w14:paraId="4823A273">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4.1 </w:t>
      </w:r>
      <w:r>
        <w:rPr>
          <w:rFonts w:hint="eastAsia" w:ascii="宋体" w:hAnsi="宋体" w:cs="宋体"/>
          <w:color w:val="auto"/>
          <w:kern w:val="0"/>
          <w:szCs w:val="21"/>
          <w:highlight w:val="none"/>
        </w:rPr>
        <w:t>监理人的违约责任</w:t>
      </w:r>
    </w:p>
    <w:p w14:paraId="2B9CF9DF">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　监理人的违约情形</w:t>
      </w:r>
    </w:p>
    <w:p w14:paraId="4BF62A39">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4.1.1.1 监理人明确表示或者以行为表明不履行合同义务，或履行义务不符合约定；</w:t>
      </w:r>
    </w:p>
    <w:p w14:paraId="0C3CD36E">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4.1.1.2 监理人违反合同的约定，将监理与相关服务的任何部分转让或区域；</w:t>
      </w:r>
    </w:p>
    <w:p w14:paraId="05CB6BDD">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4.1.1.3 违反合同专用条款约定的其他情形。</w:t>
      </w:r>
    </w:p>
    <w:p w14:paraId="364B85E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4.1.2监理人未履行本合同义务的，应承担相应的责任。</w:t>
      </w:r>
    </w:p>
    <w:p w14:paraId="14148B87">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4.1.2.1监理人违反合同约定，在约定的时间内，未改正的，委托人有权解除合同；</w:t>
      </w:r>
    </w:p>
    <w:p w14:paraId="41F8352E">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4.1.2.2 因监理人</w:t>
      </w:r>
      <w:r>
        <w:rPr>
          <w:rFonts w:hint="eastAsia" w:ascii="宋体" w:hAnsi="宋体" w:cs="宋体"/>
          <w:color w:val="auto"/>
          <w:kern w:val="0"/>
          <w:szCs w:val="21"/>
          <w:highlight w:val="none"/>
        </w:rPr>
        <w:t>违反本合同约定</w:t>
      </w:r>
      <w:r>
        <w:rPr>
          <w:rFonts w:hint="eastAsia" w:ascii="宋体" w:hAnsi="宋体"/>
          <w:color w:val="auto"/>
          <w:szCs w:val="21"/>
          <w:highlight w:val="none"/>
        </w:rPr>
        <w:t>给委托人造成损失的，监理人应当赔偿委托人损失</w:t>
      </w:r>
      <w:r>
        <w:rPr>
          <w:rFonts w:hint="eastAsia" w:ascii="宋体" w:hAnsi="宋体"/>
          <w:color w:val="auto"/>
          <w:kern w:val="0"/>
          <w:szCs w:val="21"/>
          <w:highlight w:val="none"/>
        </w:rPr>
        <w:t>。赔偿金额的确定方法在专用条件中约定。监理人承担部分赔偿责任的，其承担赔偿金额由双方协商确定。</w:t>
      </w:r>
    </w:p>
    <w:p w14:paraId="7B4A5A71">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4.1.2.3监理人向委托人的索赔不成立时，监理人应赔偿委托人由此发生的费用。</w:t>
      </w:r>
    </w:p>
    <w:p w14:paraId="0209687E">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4.2 委</w:t>
      </w:r>
      <w:r>
        <w:rPr>
          <w:rFonts w:hint="eastAsia" w:ascii="宋体" w:hAnsi="宋体" w:cs="宋体"/>
          <w:color w:val="auto"/>
          <w:kern w:val="0"/>
          <w:szCs w:val="21"/>
          <w:highlight w:val="none"/>
        </w:rPr>
        <w:t>托人的违约责任</w:t>
      </w:r>
    </w:p>
    <w:p w14:paraId="50DE28E0">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委托人未履行本合同义务的，应承担相应的责任。</w:t>
      </w:r>
    </w:p>
    <w:p w14:paraId="456D6E53">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4.2.1 委托人违反本合同约定造成监理人损失的，委托人应予以赔偿。</w:t>
      </w:r>
    </w:p>
    <w:p w14:paraId="47E776C9">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4.2.2 委托人向监理人的索赔不成立时，应赔偿监理人由此引起的费用。</w:t>
      </w:r>
    </w:p>
    <w:p w14:paraId="017261F0">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 xml:space="preserve">4.2.3 </w:t>
      </w:r>
      <w:r>
        <w:rPr>
          <w:rFonts w:hint="eastAsia" w:ascii="宋体" w:hAnsi="宋体"/>
          <w:color w:val="auto"/>
          <w:kern w:val="0"/>
          <w:szCs w:val="21"/>
          <w:highlight w:val="none"/>
        </w:rPr>
        <w:t>委托人未能按期支付</w:t>
      </w:r>
      <w:r>
        <w:rPr>
          <w:rFonts w:hint="eastAsia" w:ascii="宋体" w:hAnsi="宋体"/>
          <w:color w:val="auto"/>
          <w:szCs w:val="21"/>
          <w:highlight w:val="none"/>
        </w:rPr>
        <w:t>酬金</w:t>
      </w:r>
      <w:r>
        <w:rPr>
          <w:rFonts w:hint="eastAsia" w:ascii="宋体" w:hAnsi="宋体"/>
          <w:color w:val="auto"/>
          <w:kern w:val="0"/>
          <w:szCs w:val="21"/>
          <w:highlight w:val="none"/>
        </w:rPr>
        <w:t>超过28天，</w:t>
      </w:r>
      <w:r>
        <w:rPr>
          <w:rFonts w:hint="eastAsia" w:ascii="宋体" w:hAnsi="宋体" w:cs="宋体"/>
          <w:color w:val="auto"/>
          <w:kern w:val="0"/>
          <w:szCs w:val="21"/>
          <w:highlight w:val="none"/>
        </w:rPr>
        <w:t>应按专用条件约定支付逾期付款利息</w:t>
      </w:r>
      <w:r>
        <w:rPr>
          <w:rFonts w:hint="eastAsia" w:ascii="宋体" w:hAnsi="宋体"/>
          <w:color w:val="auto"/>
          <w:kern w:val="0"/>
          <w:szCs w:val="21"/>
          <w:highlight w:val="none"/>
        </w:rPr>
        <w:t>。</w:t>
      </w:r>
    </w:p>
    <w:p w14:paraId="467819E2">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4.3 除外责任</w:t>
      </w:r>
    </w:p>
    <w:p w14:paraId="73905615">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因非监理人的原因，且监理人无过错，发生工程质量事故、安全事故、工期延误等造成的损失，监理人不承担赔偿责任。</w:t>
      </w:r>
    </w:p>
    <w:p w14:paraId="0C0B9EF6">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因不可抗力导致本合同全部或部分不能履行时，双方各自承担其因此而造成的损失、损害。</w:t>
      </w:r>
    </w:p>
    <w:p w14:paraId="50F1200F">
      <w:pPr>
        <w:overflowPunct w:val="0"/>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5. 支付</w:t>
      </w:r>
    </w:p>
    <w:p w14:paraId="54BF6B8B">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5.1 </w:t>
      </w:r>
      <w:r>
        <w:rPr>
          <w:rFonts w:hint="eastAsia" w:ascii="宋体" w:hAnsi="宋体"/>
          <w:bCs/>
          <w:color w:val="auto"/>
          <w:szCs w:val="21"/>
          <w:highlight w:val="none"/>
        </w:rPr>
        <w:t>支付货币</w:t>
      </w:r>
    </w:p>
    <w:p w14:paraId="08CF1E04">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除专用条件另有约定外，酬金均以人民币支付。涉及外币支付的，所采用的货币种类、比例和汇率在专用条件中约定。</w:t>
      </w:r>
    </w:p>
    <w:p w14:paraId="28985304">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5.2 支付申请</w:t>
      </w:r>
    </w:p>
    <w:p w14:paraId="1DB1560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除专用条件另有约定外，监理人应在本合同约定的每次应付款时间的14天前，向委托人提交支付申请书。支付申请书应当说明当期应付款总额，并列出当期应支付的款项及其金额。</w:t>
      </w:r>
    </w:p>
    <w:p w14:paraId="5C366A5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5.3 支付酬金</w:t>
      </w:r>
    </w:p>
    <w:p w14:paraId="067DEB4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支付的酬金包括正常工作酬金、附加工作酬金、合理化建议奖励金额及费用。</w:t>
      </w:r>
    </w:p>
    <w:p w14:paraId="365CF6E2">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 5.4 </w:t>
      </w:r>
      <w:r>
        <w:rPr>
          <w:rFonts w:hint="eastAsia" w:ascii="宋体" w:hAnsi="宋体"/>
          <w:bCs/>
          <w:color w:val="auto"/>
          <w:szCs w:val="21"/>
          <w:highlight w:val="none"/>
        </w:rPr>
        <w:t>有争议部分的付款</w:t>
      </w:r>
    </w:p>
    <w:p w14:paraId="722AC62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委托人对监理人提交的支付申请书有异议时，应当在收到监理人提交的支付申请书后14天内，以书面形式向监理人发出异议通知。无异议部分的款项应按期支付，有异议部分的款项按第7条约定办理。</w:t>
      </w:r>
    </w:p>
    <w:p w14:paraId="6D114875">
      <w:pPr>
        <w:overflowPunct w:val="0"/>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6. 合同生效、变更、暂停、解除与终止</w:t>
      </w:r>
    </w:p>
    <w:p w14:paraId="3D0306D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6.1生效</w:t>
      </w:r>
    </w:p>
    <w:p w14:paraId="51E0236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除法律另有规定或者专用条件另有约定外，委托人和监理人的法定代表人或其授权代理人在协议书上签名并盖单位章后本合同生效。</w:t>
      </w:r>
    </w:p>
    <w:p w14:paraId="197F0141">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6.2</w:t>
      </w:r>
      <w:r>
        <w:rPr>
          <w:rFonts w:hint="eastAsia" w:ascii="宋体" w:hAnsi="宋体"/>
          <w:bCs/>
          <w:color w:val="auto"/>
          <w:szCs w:val="21"/>
          <w:highlight w:val="none"/>
        </w:rPr>
        <w:t>变更</w:t>
      </w:r>
    </w:p>
    <w:p w14:paraId="59E486E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6.2.1 任何一方提出变更请求时，双方经协商一致后可进行变更。</w:t>
      </w:r>
    </w:p>
    <w:p w14:paraId="7ECE0D0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6.2.2除不可抗力外，因非监理人原因导致监理人履行合同期限延长、内容增加时，监理人应当将此情况与可能产生的影响及时通知委托人。</w:t>
      </w:r>
      <w:r>
        <w:rPr>
          <w:rFonts w:hint="eastAsia" w:ascii="宋体" w:hAnsi="宋体"/>
          <w:color w:val="auto"/>
          <w:szCs w:val="21"/>
          <w:highlight w:val="none"/>
        </w:rPr>
        <w:t>增加的监理工作时间、工作内容应视为附加工作。附加工作酬金的确定方法在专用条件中约定。</w:t>
      </w:r>
    </w:p>
    <w:p w14:paraId="3FA30CF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6.2.3合同生效后，如果实际情况发生变化使得监理人不能完成全部或部分工作时，监理人应立即通知委托人。除不可抗力外，</w:t>
      </w:r>
      <w:r>
        <w:rPr>
          <w:rFonts w:hint="eastAsia" w:ascii="宋体" w:hAnsi="宋体"/>
          <w:color w:val="auto"/>
          <w:szCs w:val="21"/>
          <w:highlight w:val="none"/>
        </w:rPr>
        <w:t>其善后工作以及恢复服务的准备工作应为附加工作，附加工作酬金的确定方法在专用条件中约定。监理人用于恢复服务的准备时间不应超过</w:t>
      </w:r>
      <w:r>
        <w:rPr>
          <w:rFonts w:hint="eastAsia" w:ascii="宋体" w:hAnsi="宋体"/>
          <w:color w:val="auto"/>
          <w:szCs w:val="21"/>
          <w:highlight w:val="none"/>
          <w:u w:val="single"/>
        </w:rPr>
        <w:t>28</w:t>
      </w:r>
      <w:r>
        <w:rPr>
          <w:rFonts w:hint="eastAsia" w:ascii="宋体" w:hAnsi="宋体"/>
          <w:color w:val="auto"/>
          <w:szCs w:val="21"/>
          <w:highlight w:val="none"/>
        </w:rPr>
        <w:t>天。</w:t>
      </w:r>
    </w:p>
    <w:p w14:paraId="3D2878A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6.2.4合同签订后，遇有与工程相关的法律法规、标准颁布或修订的，双方应遵照执行。由此引起监理与相关服务的范围、时间、酬金变化的，双方应通过协商进行相应调整。</w:t>
      </w:r>
    </w:p>
    <w:p w14:paraId="35E3D2F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6.2.5 因非监理人原因造成工程概算投资额或建筑安装工程费增加时，正常工作酬金应作相应调整。调整方法在专用条件中约定。</w:t>
      </w:r>
    </w:p>
    <w:p w14:paraId="0C14B89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6.2.6 因工程规模、监理范围的变化导致监理人的正常工作量减少时，正常工作酬金应作相应调整。调整方法在专用条件中约定。</w:t>
      </w:r>
    </w:p>
    <w:p w14:paraId="0CF6342A">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6.3 暂停与</w:t>
      </w:r>
      <w:r>
        <w:rPr>
          <w:rFonts w:hint="eastAsia" w:ascii="宋体" w:hAnsi="宋体"/>
          <w:bCs/>
          <w:color w:val="auto"/>
          <w:szCs w:val="21"/>
          <w:highlight w:val="none"/>
        </w:rPr>
        <w:t>解除</w:t>
      </w:r>
    </w:p>
    <w:p w14:paraId="27322ED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除双方协商一致可以解除本合同外，当一方无正当理由未履行本合同约定的义务时，另一方可以根据本合同约定暂停履行本合同直至解除本合同。</w:t>
      </w:r>
    </w:p>
    <w:p w14:paraId="607AE94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5BA97E9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因解除本合同或解除监理人的部分义务导致监理人遭受的损失，除依法可以免除责任的情况外，应由委托人予以补偿，补偿金额由双方协商确定。</w:t>
      </w:r>
    </w:p>
    <w:p w14:paraId="01DF902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解除本合同的协议必须采取书面形式，协议未达成之前，本合同仍然有效。</w:t>
      </w:r>
    </w:p>
    <w:p w14:paraId="28E30F1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6.3.2 在本合同有效期内，因非监理人的原因导致工程施工全部或部分暂停，委托人可通知监理人要求暂停全部或部分工作</w:t>
      </w:r>
      <w:r>
        <w:rPr>
          <w:rFonts w:hint="eastAsia" w:ascii="宋体" w:hAnsi="宋体"/>
          <w:color w:val="auto"/>
          <w:szCs w:val="21"/>
          <w:highlight w:val="none"/>
        </w:rPr>
        <w:t>。监理人应立即安排停止工作，并将开支减至最小。</w:t>
      </w:r>
      <w:r>
        <w:rPr>
          <w:rFonts w:hint="eastAsia" w:ascii="宋体" w:hAnsi="宋体"/>
          <w:color w:val="auto"/>
          <w:szCs w:val="21"/>
          <w:highlight w:val="none"/>
        </w:rPr>
        <w:t>除不可抗力外，由此导致监理人遭受的损失应由委托人予以补偿。</w:t>
      </w:r>
    </w:p>
    <w:p w14:paraId="05ACEA2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color w:val="auto"/>
          <w:kern w:val="0"/>
          <w:szCs w:val="21"/>
          <w:highlight w:val="none"/>
        </w:rPr>
        <w:t>的</w:t>
      </w:r>
      <w:r>
        <w:rPr>
          <w:rFonts w:hint="eastAsia" w:ascii="宋体" w:hAnsi="宋体"/>
          <w:color w:val="auto"/>
          <w:szCs w:val="21"/>
          <w:highlight w:val="none"/>
        </w:rPr>
        <w:t>酬金支付至本合同解除日，且应承担第4.2款约定的责任。</w:t>
      </w:r>
    </w:p>
    <w:p w14:paraId="05B17CF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color w:val="auto"/>
          <w:kern w:val="0"/>
          <w:szCs w:val="21"/>
          <w:highlight w:val="none"/>
        </w:rPr>
        <w:t>的</w:t>
      </w:r>
      <w:r>
        <w:rPr>
          <w:rFonts w:hint="eastAsia" w:ascii="宋体" w:hAnsi="宋体"/>
          <w:color w:val="auto"/>
          <w:szCs w:val="21"/>
          <w:highlight w:val="none"/>
        </w:rPr>
        <w:t>酬金支付至</w:t>
      </w:r>
      <w:r>
        <w:rPr>
          <w:rFonts w:hint="eastAsia" w:ascii="宋体" w:hAnsi="宋体"/>
          <w:color w:val="auto"/>
          <w:kern w:val="0"/>
          <w:szCs w:val="21"/>
          <w:highlight w:val="none"/>
        </w:rPr>
        <w:t>限期改正通知到达监理人之日</w:t>
      </w:r>
      <w:r>
        <w:rPr>
          <w:rFonts w:hint="eastAsia" w:ascii="宋体" w:hAnsi="宋体"/>
          <w:color w:val="auto"/>
          <w:szCs w:val="21"/>
          <w:highlight w:val="none"/>
        </w:rPr>
        <w:t>，但监理人应承担第4.1款约定的责任。</w:t>
      </w:r>
    </w:p>
    <w:p w14:paraId="06F0C0B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348A8E16">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6.3.5 因不可抗力致使本合同部分或全部不能履行时，一方应立即通知另一方，可暂停或解除本合同。</w:t>
      </w:r>
    </w:p>
    <w:p w14:paraId="12B8A45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6.3.6 本合同解除后，本合同约定的有关结算、清理、争议解决方式的条件仍然有效。</w:t>
      </w:r>
    </w:p>
    <w:p w14:paraId="3F28D621">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6.4 </w:t>
      </w:r>
      <w:r>
        <w:rPr>
          <w:rFonts w:hint="eastAsia" w:ascii="宋体" w:hAnsi="宋体"/>
          <w:bCs/>
          <w:color w:val="auto"/>
          <w:szCs w:val="21"/>
          <w:highlight w:val="none"/>
        </w:rPr>
        <w:t>终止</w:t>
      </w:r>
    </w:p>
    <w:p w14:paraId="3041EDB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6.4.1以下条件全部满足时，本合同即告终止：</w:t>
      </w:r>
    </w:p>
    <w:p w14:paraId="0B03DC6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（1）监理人完成本合同约定的全部工作；</w:t>
      </w:r>
    </w:p>
    <w:p w14:paraId="73428B5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（2）委托人与监理人结清并支付全部酬金。</w:t>
      </w:r>
    </w:p>
    <w:p w14:paraId="3FD9A49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6.4.2合同权利义务终止后，合同约定的有关结算、清理、争议解决方式的条款仍然有效。</w:t>
      </w:r>
    </w:p>
    <w:p w14:paraId="2A0A6012">
      <w:pPr>
        <w:overflowPunct w:val="0"/>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7. 争议解决</w:t>
      </w:r>
    </w:p>
    <w:p w14:paraId="4D451C54">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7.1</w:t>
      </w:r>
      <w:r>
        <w:rPr>
          <w:rFonts w:hint="eastAsia" w:ascii="宋体" w:hAnsi="宋体"/>
          <w:bCs/>
          <w:color w:val="auto"/>
          <w:szCs w:val="21"/>
          <w:highlight w:val="none"/>
        </w:rPr>
        <w:t>协商</w:t>
      </w:r>
    </w:p>
    <w:p w14:paraId="5056D804">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双方应本着诚信原则协商解决彼此间的争议。</w:t>
      </w:r>
    </w:p>
    <w:p w14:paraId="599FAAE6">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7.2</w:t>
      </w:r>
      <w:r>
        <w:rPr>
          <w:rFonts w:hint="eastAsia" w:ascii="宋体" w:hAnsi="宋体"/>
          <w:bCs/>
          <w:color w:val="auto"/>
          <w:szCs w:val="21"/>
          <w:highlight w:val="none"/>
        </w:rPr>
        <w:t>调解</w:t>
      </w:r>
    </w:p>
    <w:p w14:paraId="0533866F">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如果双方不能在14天内或双方商定的其他时间内解决本合同争议，可以将其提交给专用条件约定的或事后达成协议的调解人进行调解。</w:t>
      </w:r>
    </w:p>
    <w:p w14:paraId="6614A5A1">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7.3</w:t>
      </w:r>
      <w:r>
        <w:rPr>
          <w:rFonts w:hint="eastAsia" w:ascii="宋体" w:hAnsi="宋体"/>
          <w:bCs/>
          <w:color w:val="auto"/>
          <w:szCs w:val="21"/>
          <w:highlight w:val="none"/>
        </w:rPr>
        <w:t>仲裁或诉讼</w:t>
      </w:r>
    </w:p>
    <w:p w14:paraId="462D900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双方均有权不经调解直接向专用条件约定的仲裁机构申请仲裁或向项目工程所在地有管辖权的人民法院提起诉讼。</w:t>
      </w:r>
    </w:p>
    <w:p w14:paraId="150D1632">
      <w:pPr>
        <w:overflowPunct w:val="0"/>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8. 其他</w:t>
      </w:r>
    </w:p>
    <w:p w14:paraId="021A3AE2">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8.1 </w:t>
      </w:r>
      <w:r>
        <w:rPr>
          <w:rFonts w:hint="eastAsia" w:ascii="宋体" w:hAnsi="宋体"/>
          <w:bCs/>
          <w:color w:val="auto"/>
          <w:szCs w:val="21"/>
          <w:highlight w:val="none"/>
        </w:rPr>
        <w:t>外出考察费用</w:t>
      </w:r>
    </w:p>
    <w:p w14:paraId="150E87AA">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经委托人同意，监理人员外出考察发生的费用由委托人审核后支付。</w:t>
      </w:r>
    </w:p>
    <w:p w14:paraId="6C7BB494">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8.2 </w:t>
      </w:r>
      <w:r>
        <w:rPr>
          <w:rFonts w:hint="eastAsia" w:ascii="宋体" w:hAnsi="宋体"/>
          <w:bCs/>
          <w:color w:val="auto"/>
          <w:szCs w:val="21"/>
          <w:highlight w:val="none"/>
        </w:rPr>
        <w:t>检测费用</w:t>
      </w:r>
    </w:p>
    <w:p w14:paraId="0AF131BD">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委托人要求监理人进行的材料和设备检测所发生的费用，由委托人支付，支付时间在专用条件中约定。</w:t>
      </w:r>
    </w:p>
    <w:p w14:paraId="2DD89AEB">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8.3 </w:t>
      </w:r>
      <w:r>
        <w:rPr>
          <w:rFonts w:hint="eastAsia" w:ascii="宋体" w:hAnsi="宋体"/>
          <w:bCs/>
          <w:color w:val="auto"/>
          <w:szCs w:val="21"/>
          <w:highlight w:val="none"/>
        </w:rPr>
        <w:t>咨询费用</w:t>
      </w:r>
    </w:p>
    <w:p w14:paraId="289502C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经委托人同意，根据工程需要由监理人组织的相关咨询论证会以及聘请相关专家等发生的费用由委托人支付，支付时间在专用条件中约定。</w:t>
      </w:r>
    </w:p>
    <w:p w14:paraId="02E1482D">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8.4 </w:t>
      </w:r>
      <w:r>
        <w:rPr>
          <w:rFonts w:hint="eastAsia" w:ascii="宋体" w:hAnsi="宋体"/>
          <w:bCs/>
          <w:color w:val="auto"/>
          <w:szCs w:val="21"/>
          <w:highlight w:val="none"/>
        </w:rPr>
        <w:t>奖励</w:t>
      </w:r>
    </w:p>
    <w:p w14:paraId="260B325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5A316A60">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8.5 </w:t>
      </w:r>
      <w:r>
        <w:rPr>
          <w:rFonts w:hint="eastAsia" w:ascii="宋体" w:hAnsi="宋体"/>
          <w:bCs/>
          <w:color w:val="auto"/>
          <w:szCs w:val="21"/>
          <w:highlight w:val="none"/>
        </w:rPr>
        <w:t>守法诚信</w:t>
      </w:r>
    </w:p>
    <w:p w14:paraId="6AC2DACD">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监理人及其工作人员不得从与实施工程有关的第三方处获得任何经济利益。</w:t>
      </w:r>
    </w:p>
    <w:p w14:paraId="7D078A70">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8.6 </w:t>
      </w:r>
      <w:r>
        <w:rPr>
          <w:rFonts w:hint="eastAsia" w:ascii="宋体" w:hAnsi="宋体"/>
          <w:bCs/>
          <w:color w:val="auto"/>
          <w:szCs w:val="21"/>
          <w:highlight w:val="none"/>
        </w:rPr>
        <w:t>保密</w:t>
      </w:r>
    </w:p>
    <w:p w14:paraId="2792BFB6">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双方不得泄露对方申明的保密资料，亦不得泄露与实施工程有关的第三方所提供的保密资料，保密事项在专用条件中约定。</w:t>
      </w:r>
    </w:p>
    <w:p w14:paraId="38E3756B">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8.7 </w:t>
      </w:r>
      <w:r>
        <w:rPr>
          <w:rFonts w:hint="eastAsia" w:ascii="宋体" w:hAnsi="宋体"/>
          <w:bCs/>
          <w:color w:val="auto"/>
          <w:szCs w:val="21"/>
          <w:highlight w:val="none"/>
        </w:rPr>
        <w:t>通知</w:t>
      </w:r>
    </w:p>
    <w:p w14:paraId="7FC635A9">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本合同涉及的通知均应当采用书面形式，并在送达对方时生效，收件人应书面签收。专用条款另有约定，按照约定执行。</w:t>
      </w:r>
    </w:p>
    <w:p w14:paraId="1DB20FA9">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8.8 </w:t>
      </w:r>
      <w:r>
        <w:rPr>
          <w:rFonts w:hint="eastAsia" w:ascii="宋体" w:hAnsi="宋体"/>
          <w:bCs/>
          <w:color w:val="auto"/>
          <w:szCs w:val="21"/>
          <w:highlight w:val="none"/>
        </w:rPr>
        <w:t>著作权</w:t>
      </w:r>
    </w:p>
    <w:p w14:paraId="10266B5C">
      <w:pPr>
        <w:overflowPunct w:val="0"/>
        <w:autoSpaceDE w:val="0"/>
        <w:autoSpaceDN w:val="0"/>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因履行本合同形成的知识产权成果归委托人所有，未经委托人同意，监理人不得复制泄露或向第三人转让或用于本合同外的项目，如发生以上情况，监理人承担给委托人造成一切损失。因履行本合同产生的知识成果侵害第三方权益时，责任由监理人承担，同时视为监理人违约。</w:t>
      </w:r>
    </w:p>
    <w:p w14:paraId="15C54B64">
      <w:pPr>
        <w:overflowPunct w:val="0"/>
        <w:autoSpaceDE w:val="0"/>
        <w:autoSpaceDN w:val="0"/>
        <w:adjustRightInd w:val="0"/>
        <w:snapToGrid w:val="0"/>
        <w:spacing w:line="420" w:lineRule="exact"/>
        <w:ind w:firstLine="640" w:firstLineChars="200"/>
        <w:jc w:val="center"/>
        <w:rPr>
          <w:rFonts w:ascii="宋体" w:hAnsi="宋体"/>
          <w:color w:val="auto"/>
          <w:sz w:val="32"/>
          <w:szCs w:val="32"/>
          <w:highlight w:val="none"/>
        </w:rPr>
      </w:pPr>
    </w:p>
    <w:p w14:paraId="23F958AB">
      <w:pPr>
        <w:overflowPunct w:val="0"/>
        <w:autoSpaceDE w:val="0"/>
        <w:autoSpaceDN w:val="0"/>
        <w:adjustRightInd w:val="0"/>
        <w:snapToGrid w:val="0"/>
        <w:spacing w:line="420" w:lineRule="exact"/>
        <w:ind w:firstLine="640" w:firstLineChars="200"/>
        <w:jc w:val="center"/>
        <w:rPr>
          <w:rFonts w:ascii="宋体" w:hAnsi="宋体"/>
          <w:color w:val="auto"/>
          <w:sz w:val="32"/>
          <w:szCs w:val="32"/>
          <w:highlight w:val="none"/>
        </w:rPr>
      </w:pPr>
    </w:p>
    <w:p w14:paraId="5A56EE68">
      <w:pPr>
        <w:overflowPunct w:val="0"/>
        <w:autoSpaceDE w:val="0"/>
        <w:autoSpaceDN w:val="0"/>
        <w:adjustRightInd w:val="0"/>
        <w:snapToGrid w:val="0"/>
        <w:spacing w:line="420" w:lineRule="exact"/>
        <w:ind w:firstLine="640" w:firstLineChars="200"/>
        <w:jc w:val="center"/>
        <w:rPr>
          <w:rFonts w:ascii="宋体" w:hAnsi="宋体"/>
          <w:color w:val="auto"/>
          <w:sz w:val="32"/>
          <w:szCs w:val="32"/>
          <w:highlight w:val="none"/>
        </w:rPr>
      </w:pPr>
    </w:p>
    <w:p w14:paraId="077610E2">
      <w:pPr>
        <w:overflowPunct w:val="0"/>
        <w:autoSpaceDE w:val="0"/>
        <w:autoSpaceDN w:val="0"/>
        <w:adjustRightInd w:val="0"/>
        <w:snapToGrid w:val="0"/>
        <w:spacing w:line="420" w:lineRule="exact"/>
        <w:ind w:firstLine="640" w:firstLineChars="200"/>
        <w:jc w:val="center"/>
        <w:rPr>
          <w:rFonts w:ascii="宋体" w:hAnsi="宋体"/>
          <w:color w:val="auto"/>
          <w:sz w:val="32"/>
          <w:szCs w:val="32"/>
          <w:highlight w:val="none"/>
        </w:rPr>
      </w:pPr>
    </w:p>
    <w:p w14:paraId="72F25FD2">
      <w:pPr>
        <w:overflowPunct w:val="0"/>
        <w:autoSpaceDE w:val="0"/>
        <w:autoSpaceDN w:val="0"/>
        <w:adjustRightInd w:val="0"/>
        <w:snapToGrid w:val="0"/>
        <w:spacing w:line="420" w:lineRule="exact"/>
        <w:ind w:firstLine="640" w:firstLineChars="200"/>
        <w:jc w:val="center"/>
        <w:rPr>
          <w:rFonts w:ascii="宋体" w:hAnsi="宋体"/>
          <w:color w:val="auto"/>
          <w:sz w:val="32"/>
          <w:szCs w:val="32"/>
          <w:highlight w:val="none"/>
        </w:rPr>
      </w:pPr>
    </w:p>
    <w:p w14:paraId="3A7F675B">
      <w:pPr>
        <w:overflowPunct w:val="0"/>
        <w:autoSpaceDE w:val="0"/>
        <w:autoSpaceDN w:val="0"/>
        <w:adjustRightInd w:val="0"/>
        <w:snapToGrid w:val="0"/>
        <w:spacing w:line="420" w:lineRule="exact"/>
        <w:ind w:firstLine="640" w:firstLineChars="200"/>
        <w:jc w:val="center"/>
        <w:rPr>
          <w:rFonts w:ascii="宋体" w:hAnsi="宋体"/>
          <w:color w:val="auto"/>
          <w:sz w:val="32"/>
          <w:szCs w:val="32"/>
          <w:highlight w:val="none"/>
        </w:rPr>
      </w:pPr>
    </w:p>
    <w:p w14:paraId="7164A99E">
      <w:pPr>
        <w:overflowPunct w:val="0"/>
        <w:autoSpaceDE w:val="0"/>
        <w:autoSpaceDN w:val="0"/>
        <w:adjustRightInd w:val="0"/>
        <w:snapToGrid w:val="0"/>
        <w:spacing w:line="420" w:lineRule="exact"/>
        <w:ind w:firstLine="640" w:firstLineChars="200"/>
        <w:jc w:val="center"/>
        <w:rPr>
          <w:rFonts w:ascii="宋体" w:hAnsi="宋体"/>
          <w:color w:val="auto"/>
          <w:sz w:val="32"/>
          <w:szCs w:val="32"/>
          <w:highlight w:val="none"/>
        </w:rPr>
      </w:pPr>
    </w:p>
    <w:p w14:paraId="339BEFD3">
      <w:pPr>
        <w:overflowPunct w:val="0"/>
        <w:autoSpaceDE w:val="0"/>
        <w:autoSpaceDN w:val="0"/>
        <w:adjustRightInd w:val="0"/>
        <w:snapToGrid w:val="0"/>
        <w:spacing w:line="420" w:lineRule="exact"/>
        <w:ind w:firstLine="640" w:firstLineChars="200"/>
        <w:jc w:val="center"/>
        <w:rPr>
          <w:rFonts w:ascii="宋体" w:hAnsi="宋体"/>
          <w:color w:val="auto"/>
          <w:sz w:val="32"/>
          <w:szCs w:val="32"/>
          <w:highlight w:val="none"/>
        </w:rPr>
      </w:pPr>
    </w:p>
    <w:p w14:paraId="450803BE">
      <w:pPr>
        <w:overflowPunct w:val="0"/>
        <w:autoSpaceDE w:val="0"/>
        <w:autoSpaceDN w:val="0"/>
        <w:adjustRightInd w:val="0"/>
        <w:snapToGrid w:val="0"/>
        <w:spacing w:line="420" w:lineRule="exact"/>
        <w:ind w:firstLine="640" w:firstLineChars="200"/>
        <w:jc w:val="center"/>
        <w:rPr>
          <w:rFonts w:ascii="宋体" w:hAnsi="宋体"/>
          <w:color w:val="auto"/>
          <w:sz w:val="32"/>
          <w:szCs w:val="32"/>
          <w:highlight w:val="none"/>
        </w:rPr>
      </w:pPr>
    </w:p>
    <w:p w14:paraId="559113B7">
      <w:pPr>
        <w:overflowPunct w:val="0"/>
        <w:autoSpaceDE w:val="0"/>
        <w:autoSpaceDN w:val="0"/>
        <w:adjustRightInd w:val="0"/>
        <w:snapToGrid w:val="0"/>
        <w:spacing w:line="420" w:lineRule="exact"/>
        <w:ind w:firstLine="640" w:firstLineChars="200"/>
        <w:jc w:val="center"/>
        <w:rPr>
          <w:rFonts w:ascii="宋体" w:hAnsi="宋体"/>
          <w:color w:val="auto"/>
          <w:sz w:val="32"/>
          <w:szCs w:val="32"/>
          <w:highlight w:val="none"/>
        </w:rPr>
      </w:pPr>
    </w:p>
    <w:p w14:paraId="0B0C2374">
      <w:pPr>
        <w:overflowPunct w:val="0"/>
        <w:autoSpaceDE w:val="0"/>
        <w:autoSpaceDN w:val="0"/>
        <w:adjustRightInd w:val="0"/>
        <w:snapToGrid w:val="0"/>
        <w:spacing w:line="420" w:lineRule="exact"/>
        <w:ind w:firstLine="640" w:firstLineChars="200"/>
        <w:jc w:val="center"/>
        <w:rPr>
          <w:rFonts w:ascii="宋体" w:hAnsi="宋体"/>
          <w:color w:val="auto"/>
          <w:sz w:val="32"/>
          <w:szCs w:val="32"/>
          <w:highlight w:val="none"/>
        </w:rPr>
      </w:pPr>
    </w:p>
    <w:p w14:paraId="3251EBFA">
      <w:pPr>
        <w:overflowPunct w:val="0"/>
        <w:autoSpaceDE w:val="0"/>
        <w:autoSpaceDN w:val="0"/>
        <w:adjustRightInd w:val="0"/>
        <w:snapToGrid w:val="0"/>
        <w:spacing w:line="420" w:lineRule="exact"/>
        <w:ind w:firstLine="640" w:firstLineChars="200"/>
        <w:jc w:val="center"/>
        <w:rPr>
          <w:rFonts w:ascii="宋体" w:hAnsi="宋体"/>
          <w:color w:val="auto"/>
          <w:sz w:val="32"/>
          <w:szCs w:val="32"/>
          <w:highlight w:val="none"/>
        </w:rPr>
      </w:pPr>
    </w:p>
    <w:p w14:paraId="37CD2EF2">
      <w:pPr>
        <w:pStyle w:val="2"/>
        <w:rPr>
          <w:color w:val="auto"/>
          <w:highlight w:val="none"/>
        </w:rPr>
      </w:pPr>
    </w:p>
    <w:p w14:paraId="14EC8DCA">
      <w:pPr>
        <w:overflowPunct w:val="0"/>
        <w:autoSpaceDE w:val="0"/>
        <w:autoSpaceDN w:val="0"/>
        <w:adjustRightInd w:val="0"/>
        <w:snapToGrid w:val="0"/>
        <w:spacing w:line="420" w:lineRule="exact"/>
        <w:ind w:firstLine="640" w:firstLineChars="200"/>
        <w:jc w:val="center"/>
        <w:outlineLvl w:val="0"/>
        <w:rPr>
          <w:rFonts w:ascii="宋体" w:hAnsi="宋体"/>
          <w:color w:val="auto"/>
          <w:sz w:val="32"/>
          <w:szCs w:val="32"/>
          <w:highlight w:val="none"/>
        </w:rPr>
      </w:pPr>
      <w:r>
        <w:rPr>
          <w:rFonts w:hint="eastAsia" w:ascii="宋体" w:hAnsi="宋体"/>
          <w:color w:val="auto"/>
          <w:sz w:val="32"/>
          <w:szCs w:val="32"/>
          <w:highlight w:val="none"/>
        </w:rPr>
        <w:t>第三部分  专用条件</w:t>
      </w:r>
    </w:p>
    <w:p w14:paraId="3EA02F69">
      <w:pPr>
        <w:overflowPunct w:val="0"/>
        <w:autoSpaceDE w:val="0"/>
        <w:autoSpaceDN w:val="0"/>
        <w:adjustRightInd w:val="0"/>
        <w:snapToGrid w:val="0"/>
        <w:spacing w:line="420" w:lineRule="exact"/>
        <w:ind w:firstLine="482" w:firstLineChars="200"/>
        <w:jc w:val="center"/>
        <w:rPr>
          <w:rFonts w:ascii="宋体" w:hAnsi="宋体"/>
          <w:b/>
          <w:color w:val="auto"/>
          <w:sz w:val="24"/>
          <w:highlight w:val="none"/>
        </w:rPr>
      </w:pPr>
    </w:p>
    <w:p w14:paraId="3B45CBC9">
      <w:pPr>
        <w:overflowPunct w:val="0"/>
        <w:autoSpaceDE w:val="0"/>
        <w:autoSpaceDN w:val="0"/>
        <w:adjustRightInd w:val="0"/>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 定义与解释</w:t>
      </w:r>
    </w:p>
    <w:p w14:paraId="612AB5D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  定义</w:t>
      </w:r>
    </w:p>
    <w:p w14:paraId="61759D5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1.1.19“承包人”是指除监理人以外，委托人就工程建设有关事宜签订合同的当事人。</w:t>
      </w:r>
    </w:p>
    <w:p w14:paraId="2873440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  解释</w:t>
      </w:r>
    </w:p>
    <w:p w14:paraId="1620525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 本合同文件除使用中文外，还可用</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7DD548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 约定本合同文件的解释顺序为：</w:t>
      </w:r>
      <w:r>
        <w:rPr>
          <w:rFonts w:hint="eastAsia" w:ascii="宋体" w:hAnsi="宋体"/>
          <w:color w:val="auto"/>
          <w:szCs w:val="21"/>
          <w:highlight w:val="none"/>
          <w:u w:val="single"/>
        </w:rPr>
        <w:t xml:space="preserve">  按</w:t>
      </w:r>
      <w:r>
        <w:rPr>
          <w:rFonts w:ascii="宋体" w:hAnsi="宋体"/>
          <w:color w:val="auto"/>
          <w:szCs w:val="21"/>
          <w:highlight w:val="none"/>
          <w:u w:val="single"/>
        </w:rPr>
        <w:t>“</w:t>
      </w:r>
      <w:r>
        <w:rPr>
          <w:rFonts w:hint="eastAsia" w:ascii="宋体" w:hAnsi="宋体"/>
          <w:color w:val="auto"/>
          <w:szCs w:val="21"/>
          <w:highlight w:val="none"/>
          <w:u w:val="single"/>
        </w:rPr>
        <w:t>通用条件</w:t>
      </w:r>
      <w:r>
        <w:rPr>
          <w:rFonts w:ascii="宋体" w:hAnsi="宋体"/>
          <w:color w:val="auto"/>
          <w:szCs w:val="21"/>
          <w:highlight w:val="none"/>
          <w:u w:val="single"/>
        </w:rPr>
        <w:t>”</w:t>
      </w:r>
      <w:r>
        <w:rPr>
          <w:rFonts w:hint="eastAsia" w:ascii="宋体" w:hAnsi="宋体"/>
          <w:color w:val="auto"/>
          <w:szCs w:val="21"/>
          <w:highlight w:val="none"/>
          <w:u w:val="single"/>
        </w:rPr>
        <w:t xml:space="preserve">执行  </w:t>
      </w:r>
      <w:r>
        <w:rPr>
          <w:rFonts w:hint="eastAsia" w:ascii="宋体" w:hAnsi="宋体"/>
          <w:color w:val="auto"/>
          <w:szCs w:val="21"/>
          <w:highlight w:val="none"/>
        </w:rPr>
        <w:t>。</w:t>
      </w:r>
    </w:p>
    <w:p w14:paraId="088D3404">
      <w:pPr>
        <w:overflowPunct w:val="0"/>
        <w:autoSpaceDE w:val="0"/>
        <w:autoSpaceDN w:val="0"/>
        <w:adjustRightInd w:val="0"/>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 监理人义务</w:t>
      </w:r>
    </w:p>
    <w:p w14:paraId="5D0627A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 监理的范围和</w:t>
      </w:r>
      <w:r>
        <w:rPr>
          <w:rFonts w:hint="eastAsia" w:ascii="宋体" w:hAnsi="宋体"/>
          <w:bCs/>
          <w:color w:val="auto"/>
          <w:szCs w:val="21"/>
          <w:highlight w:val="none"/>
        </w:rPr>
        <w:t>内容</w:t>
      </w:r>
    </w:p>
    <w:p w14:paraId="0EEF234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2.1.1 监理范围包括：</w:t>
      </w:r>
      <w:r>
        <w:rPr>
          <w:rFonts w:hint="eastAsia" w:ascii="宋体" w:hAnsi="宋体"/>
          <w:snapToGrid w:val="0"/>
          <w:color w:val="auto"/>
          <w:kern w:val="0"/>
          <w:szCs w:val="21"/>
          <w:highlight w:val="none"/>
        </w:rPr>
        <w:t>按照现行监理规范的要求，完成本项目监理施工图示范围内全部工程的施工准备阶段、施工阶段、竣工验收阶段、竣工结算（含：配合审计工作）至缺陷责任期满的全过程施工监理服务。监理服务内容包括：对该项目的投资控制、进度控制、质量控制、建设安全监管及文明施工的有效管理、组织协调，并进行合同管理和信息管理等</w:t>
      </w:r>
      <w:r>
        <w:rPr>
          <w:rFonts w:hint="eastAsia" w:ascii="宋体" w:hAnsi="宋体"/>
          <w:color w:val="auto"/>
          <w:szCs w:val="21"/>
          <w:highlight w:val="none"/>
        </w:rPr>
        <w:t>。</w:t>
      </w:r>
    </w:p>
    <w:p w14:paraId="4592866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2.1.2 监理工作内容还包括但不限于：</w:t>
      </w:r>
    </w:p>
    <w:p w14:paraId="3D07FCD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 </w:t>
      </w:r>
      <w:r>
        <w:rPr>
          <w:rFonts w:ascii="宋体" w:hAnsi="宋体"/>
          <w:color w:val="auto"/>
          <w:szCs w:val="21"/>
          <w:highlight w:val="none"/>
        </w:rPr>
        <w:t>“</w:t>
      </w:r>
      <w:r>
        <w:rPr>
          <w:rFonts w:hint="eastAsia" w:ascii="宋体" w:hAnsi="宋体"/>
          <w:color w:val="auto"/>
          <w:szCs w:val="21"/>
          <w:highlight w:val="none"/>
        </w:rPr>
        <w:t>通用条件</w:t>
      </w:r>
      <w:r>
        <w:rPr>
          <w:rFonts w:ascii="宋体" w:hAnsi="宋体"/>
          <w:color w:val="auto"/>
          <w:szCs w:val="21"/>
          <w:highlight w:val="none"/>
        </w:rPr>
        <w:t>”</w:t>
      </w:r>
      <w:r>
        <w:rPr>
          <w:rFonts w:hint="eastAsia" w:ascii="宋体" w:hAnsi="宋体"/>
          <w:color w:val="auto"/>
          <w:szCs w:val="21"/>
          <w:highlight w:val="none"/>
        </w:rPr>
        <w:t>所包含的内容。</w:t>
      </w:r>
    </w:p>
    <w:p w14:paraId="1FD64F0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（2）综合管理</w:t>
      </w:r>
    </w:p>
    <w:p w14:paraId="6ED264A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 xml:space="preserve"> 受委托人委托全面监理承包合同履约，审查承包人拟订的区域方案和区域商资格。</w:t>
      </w:r>
    </w:p>
    <w:p w14:paraId="1912DF1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督促</w:t>
      </w:r>
      <w:r>
        <w:rPr>
          <w:rFonts w:hint="eastAsia" w:ascii="宋体" w:hAnsi="宋体"/>
          <w:color w:val="auto"/>
          <w:szCs w:val="21"/>
          <w:highlight w:val="none"/>
        </w:rPr>
        <w:t>委托人按承包合同的规定，落实必须提供的施工条件。检查承包人的开工准备工作，并在检查与审查合格后签发各单项工程的开工令。</w:t>
      </w:r>
    </w:p>
    <w:p w14:paraId="4E2CB3C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审批</w:t>
      </w:r>
      <w:r>
        <w:rPr>
          <w:rFonts w:hint="eastAsia" w:ascii="宋体" w:hAnsi="宋体"/>
          <w:color w:val="auto"/>
          <w:szCs w:val="21"/>
          <w:highlight w:val="none"/>
        </w:rPr>
        <w:t>承包人提交的采购计划、施工或安装工程组织设计、施工和设备安装工程进度计划、施工和设备安装工程技术措施计划、作业规程、试验成果、临建工程设计、主体工程施工详图、使用的原材料及试验成果等。</w:t>
      </w:r>
      <w:r>
        <w:rPr>
          <w:rFonts w:ascii="宋体" w:hAnsi="宋体"/>
          <w:color w:val="auto"/>
          <w:szCs w:val="21"/>
          <w:highlight w:val="none"/>
        </w:rPr>
        <w:t xml:space="preserve"> 签发补充的设计文件、技术规范等。</w:t>
      </w:r>
    </w:p>
    <w:p w14:paraId="3C3575E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核查施工和设备安装工程</w:t>
      </w:r>
      <w:r>
        <w:rPr>
          <w:rFonts w:hint="eastAsia" w:ascii="宋体" w:hAnsi="宋体"/>
          <w:color w:val="auto"/>
          <w:szCs w:val="21"/>
          <w:highlight w:val="none"/>
        </w:rPr>
        <w:t>承包人进场施工设备的数量、种类、规格型号、设备状况是否与合同文件一致，是否能满足机电安装需要；核查劳动力进场情况及物资材料进场情况；对施工和设备安装工程承包人的组织状况、派驻现场的主要管理人员的资质和管理能力等作出评价。对上述各项中不符合施工和设备安装合同要求、不能满足施工要求者，应及时与承包人协调，要求施工和设备安装承包人采取措施限期解决，并报告委托人。</w:t>
      </w:r>
    </w:p>
    <w:p w14:paraId="10C151A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（3）工程进度控制</w:t>
      </w:r>
    </w:p>
    <w:p w14:paraId="5838D15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进度控制主要应从设计、采购、施工和设备安装调试进度计划的编制、各控制性目标的确定、进度计划实施的检查监督与协调、进度的统计分析与进度计划的调整等几方面进行。</w:t>
      </w:r>
    </w:p>
    <w:p w14:paraId="4D14749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内容包括</w:t>
      </w:r>
      <w:r>
        <w:rPr>
          <w:rFonts w:ascii="宋体" w:hAnsi="宋体"/>
          <w:color w:val="auto"/>
          <w:szCs w:val="21"/>
          <w:highlight w:val="none"/>
        </w:rPr>
        <w:t>(但不限于)：协助</w:t>
      </w:r>
      <w:r>
        <w:rPr>
          <w:rFonts w:hint="eastAsia" w:ascii="宋体" w:hAnsi="宋体"/>
          <w:color w:val="auto"/>
          <w:szCs w:val="21"/>
          <w:highlight w:val="none"/>
        </w:rPr>
        <w:t>委托单位</w:t>
      </w:r>
      <w:r>
        <w:rPr>
          <w:rFonts w:ascii="宋体" w:hAnsi="宋体"/>
          <w:color w:val="auto"/>
          <w:szCs w:val="21"/>
          <w:highlight w:val="none"/>
        </w:rPr>
        <w:t>对承包人编制的设计、采购、施工和设备安装调试进度计划进行审查；编制本项目的设计、采购、施工和设备安装调试控制性进度计划；对比控制性进度计划，查找实际工作进度的偏差，并责成承包人及区域人提出纠偏措施。</w:t>
      </w:r>
    </w:p>
    <w:p w14:paraId="2E063F1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（4）工程质量控制</w:t>
      </w:r>
    </w:p>
    <w:p w14:paraId="375FB35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控制应依据合同文件、设计文件、技术规范与质量检验标准进行，以单元工程和工序过程为基础，通过巡视、检查、旁站、试验和验收等有效的措施和手段，对工程质量实行全面全过程质量监督和控制。内容包括</w:t>
      </w:r>
      <w:r>
        <w:rPr>
          <w:rFonts w:ascii="宋体" w:hAnsi="宋体"/>
          <w:color w:val="auto"/>
          <w:szCs w:val="21"/>
          <w:highlight w:val="none"/>
        </w:rPr>
        <w:t>(但不限于)：</w:t>
      </w:r>
    </w:p>
    <w:p w14:paraId="3A1F771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对监理</w:t>
      </w:r>
      <w:r>
        <w:rPr>
          <w:rFonts w:hint="eastAsia" w:ascii="宋体" w:hAnsi="宋体"/>
          <w:color w:val="auto"/>
          <w:szCs w:val="21"/>
          <w:highlight w:val="none"/>
        </w:rPr>
        <w:t>项目的构成进行划分</w:t>
      </w:r>
      <w:r>
        <w:rPr>
          <w:rFonts w:ascii="宋体" w:hAnsi="宋体"/>
          <w:color w:val="auto"/>
          <w:szCs w:val="21"/>
          <w:highlight w:val="none"/>
        </w:rPr>
        <w:t>(单元工程、</w:t>
      </w:r>
      <w:r>
        <w:rPr>
          <w:rFonts w:hint="eastAsia" w:ascii="宋体" w:hAnsi="宋体"/>
          <w:color w:val="auto"/>
          <w:szCs w:val="21"/>
          <w:highlight w:val="none"/>
        </w:rPr>
        <w:t>分部分项</w:t>
      </w:r>
      <w:r>
        <w:rPr>
          <w:rFonts w:ascii="宋体" w:hAnsi="宋体"/>
          <w:color w:val="auto"/>
          <w:szCs w:val="21"/>
          <w:highlight w:val="none"/>
        </w:rPr>
        <w:t>工程、单位工程等)，并按</w:t>
      </w:r>
      <w:r>
        <w:rPr>
          <w:rFonts w:hint="eastAsia" w:ascii="宋体" w:hAnsi="宋体"/>
          <w:color w:val="auto"/>
          <w:szCs w:val="21"/>
          <w:highlight w:val="none"/>
        </w:rPr>
        <w:t>项目建设程序明确质量控制工作流程，分析和确定质量控制重点及其应采取的监理措施，制订质量控制的各项实施细则、规定及其它管理制度。</w:t>
      </w:r>
    </w:p>
    <w:p w14:paraId="3B86D2A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核实并签发</w:t>
      </w:r>
      <w:r>
        <w:rPr>
          <w:rFonts w:hint="eastAsia" w:ascii="宋体" w:hAnsi="宋体"/>
          <w:color w:val="auto"/>
          <w:szCs w:val="21"/>
          <w:highlight w:val="none"/>
        </w:rPr>
        <w:t>采购、施工和设备安装调试必须遵循的设计要求、采用的技术标准、技术规程规范等质量文件；审核签发设备和工程施工图纸。</w:t>
      </w:r>
    </w:p>
    <w:p w14:paraId="62C3CBE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审查</w:t>
      </w:r>
      <w:r>
        <w:rPr>
          <w:rFonts w:hint="eastAsia" w:ascii="宋体" w:hAnsi="宋体"/>
          <w:color w:val="auto"/>
          <w:szCs w:val="21"/>
          <w:highlight w:val="none"/>
        </w:rPr>
        <w:t>承包人、供货商、施工和设备安装工程区域人的质量管理体系文件和质量措施，督促其质量管理体系的正常运作。</w:t>
      </w:r>
    </w:p>
    <w:p w14:paraId="7808365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w:t>
      </w:r>
      <w:r>
        <w:rPr>
          <w:rFonts w:ascii="宋体" w:hAnsi="宋体"/>
          <w:color w:val="auto"/>
          <w:szCs w:val="21"/>
          <w:highlight w:val="none"/>
        </w:rPr>
        <w:t>审查工程</w:t>
      </w:r>
      <w:r>
        <w:rPr>
          <w:rFonts w:hint="eastAsia" w:ascii="宋体" w:hAnsi="宋体"/>
          <w:color w:val="auto"/>
          <w:szCs w:val="21"/>
          <w:highlight w:val="none"/>
        </w:rPr>
        <w:t>承包人提交的测量实施报告，其内容应包括测量人员资质、测量仪器及其它设备配备、测量工作规程、合同项目施测方案、测点保护等；审查工程总承包人引伸的测量控制网点测量成果及关键部位施工测量放样放点成果，并进行必要的复测。</w:t>
      </w:r>
    </w:p>
    <w:p w14:paraId="5B09C7C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 xml:space="preserve"> </w:t>
      </w:r>
      <w:r>
        <w:rPr>
          <w:rFonts w:ascii="宋体" w:hAnsi="宋体"/>
          <w:color w:val="auto"/>
          <w:szCs w:val="21"/>
          <w:highlight w:val="none"/>
        </w:rPr>
        <w:t>审查进场</w:t>
      </w:r>
      <w:r>
        <w:rPr>
          <w:rFonts w:hint="eastAsia" w:ascii="宋体" w:hAnsi="宋体"/>
          <w:color w:val="auto"/>
          <w:szCs w:val="21"/>
          <w:highlight w:val="none"/>
        </w:rPr>
        <w:t>设备、材料的质量证明文件及相关分承包人按有关规定进行的试验检测结果。</w:t>
      </w:r>
      <w:r>
        <w:rPr>
          <w:rFonts w:ascii="宋体" w:hAnsi="宋体"/>
          <w:color w:val="auto"/>
          <w:szCs w:val="21"/>
          <w:highlight w:val="none"/>
        </w:rPr>
        <w:t>不符合合同要求及国家有关规定的</w:t>
      </w:r>
      <w:r>
        <w:rPr>
          <w:rFonts w:hint="eastAsia" w:ascii="宋体" w:hAnsi="宋体"/>
          <w:color w:val="auto"/>
          <w:szCs w:val="21"/>
          <w:highlight w:val="none"/>
        </w:rPr>
        <w:t>设备、材料及其半成品不得投入施工和安装，且应限期清理出场。</w:t>
      </w:r>
    </w:p>
    <w:p w14:paraId="31A6656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检查施工和设备安装前的其它各项准备工作是否完备(如图纸供应、水电供应、道路、场地、施工组织、施工设备以及其它环境影响因素)，尽力避免可能影响</w:t>
      </w:r>
      <w:r>
        <w:rPr>
          <w:rFonts w:hint="eastAsia" w:ascii="宋体" w:hAnsi="宋体"/>
          <w:color w:val="auto"/>
          <w:szCs w:val="21"/>
          <w:highlight w:val="none"/>
        </w:rPr>
        <w:t>工程质量的问题发生。</w:t>
      </w:r>
    </w:p>
    <w:p w14:paraId="0FDFEC2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对施工和安装质量进行全过程全面的监督管理，在加强现场管理工作的前提下对关键部位、关键施工工序、特殊工序、关键设备和隐蔽工程的施工必须实行旁站监理，对发现的可能影响</w:t>
      </w:r>
      <w:r>
        <w:rPr>
          <w:rFonts w:hint="eastAsia" w:ascii="宋体" w:hAnsi="宋体"/>
          <w:color w:val="auto"/>
          <w:szCs w:val="21"/>
          <w:highlight w:val="none"/>
        </w:rPr>
        <w:t>工程质量的问题及时指令承包人采取措施解决，必要时发出停工、返工的指令。</w:t>
      </w:r>
    </w:p>
    <w:p w14:paraId="7F41EDF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充分运用监理的质量检查签证的控制手段，对施工和设备安装项目及时进行逐层次的逐项的</w:t>
      </w:r>
      <w:r>
        <w:rPr>
          <w:rFonts w:hint="eastAsia" w:ascii="宋体" w:hAnsi="宋体"/>
          <w:color w:val="auto"/>
          <w:szCs w:val="21"/>
          <w:highlight w:val="none"/>
        </w:rPr>
        <w:t>施工、安装质量认证和质量评定工作。及时组织进行隐蔽工程、重要部位、重要工序的质量检查验收和签证工作以及部分工程的检查验收工作。</w:t>
      </w:r>
    </w:p>
    <w:p w14:paraId="7D1708D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9）监理人依据相关规范对施工承包人施工过程的材料、成品、半成品、工艺、工序等进行的抽样检查试验，且抽样频率不低于承包人自检频率的15%；监理人对承包人的抽检资料独立于承包人自检。</w:t>
      </w:r>
    </w:p>
    <w:p w14:paraId="55F18C9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做好监理日志，随时记录施工中有关质量方面的问题，并对发生质量问题的施工现场及时拍照或录相。</w:t>
      </w:r>
      <w:r>
        <w:rPr>
          <w:rFonts w:hint="eastAsia" w:ascii="宋体" w:hAnsi="宋体"/>
          <w:color w:val="auto"/>
          <w:szCs w:val="21"/>
          <w:highlight w:val="none"/>
        </w:rPr>
        <w:t>对</w:t>
      </w:r>
      <w:r>
        <w:rPr>
          <w:rFonts w:ascii="宋体" w:hAnsi="宋体"/>
          <w:color w:val="auto"/>
          <w:szCs w:val="21"/>
          <w:highlight w:val="none"/>
        </w:rPr>
        <w:t>关键部位、关键施工工序、特殊工序、关键设备和隐蔽工程</w:t>
      </w:r>
      <w:r>
        <w:rPr>
          <w:rFonts w:hint="eastAsia" w:ascii="宋体" w:hAnsi="宋体"/>
          <w:color w:val="auto"/>
          <w:szCs w:val="21"/>
          <w:highlight w:val="none"/>
        </w:rPr>
        <w:t>检查、验收时，应进行拍照和录像，其影像资料随监理日志按月报于委托单位。</w:t>
      </w:r>
    </w:p>
    <w:p w14:paraId="49CE250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组织并主持定期或不定期的质量检查和质量分析会，分析、通报施工和设备</w:t>
      </w:r>
      <w:r>
        <w:rPr>
          <w:rFonts w:hint="eastAsia" w:ascii="宋体" w:hAnsi="宋体"/>
          <w:color w:val="auto"/>
          <w:szCs w:val="21"/>
          <w:highlight w:val="none"/>
        </w:rPr>
        <w:t>制安质量情况，协调有关单位间的施工活动以消除影响质量的各种外部干扰因素。</w:t>
      </w:r>
    </w:p>
    <w:p w14:paraId="02FB9DB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代表或协助</w:t>
      </w:r>
      <w:r>
        <w:rPr>
          <w:rFonts w:hint="eastAsia" w:ascii="宋体" w:hAnsi="宋体"/>
          <w:color w:val="auto"/>
          <w:szCs w:val="21"/>
          <w:highlight w:val="none"/>
        </w:rPr>
        <w:t>委托人组织进行中间验收、分部分项工程验收，监理人应做好验收前的各项具体准备工作。</w:t>
      </w:r>
    </w:p>
    <w:p w14:paraId="4A69E40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w:t>
      </w:r>
      <w:r>
        <w:rPr>
          <w:rFonts w:ascii="宋体" w:hAnsi="宋体"/>
          <w:color w:val="auto"/>
          <w:szCs w:val="21"/>
          <w:highlight w:val="none"/>
        </w:rPr>
        <w:t>) 审查工程</w:t>
      </w:r>
      <w:r>
        <w:rPr>
          <w:rFonts w:hint="eastAsia" w:ascii="宋体" w:hAnsi="宋体"/>
          <w:color w:val="auto"/>
          <w:szCs w:val="21"/>
          <w:highlight w:val="none"/>
        </w:rPr>
        <w:t>承包人提交的质量事故报告；对质量事故进行调查、提出处理意见，并监督事故的处理。</w:t>
      </w:r>
    </w:p>
    <w:p w14:paraId="72874FF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对工程质量进行经常性的分析，并定期提出工程质量报告和按规定格式编制工程质量统计报表(年、季、月)报</w:t>
      </w:r>
      <w:r>
        <w:rPr>
          <w:rFonts w:hint="eastAsia" w:ascii="宋体" w:hAnsi="宋体"/>
          <w:color w:val="auto"/>
          <w:szCs w:val="21"/>
          <w:highlight w:val="none"/>
        </w:rPr>
        <w:t>业主。</w:t>
      </w:r>
    </w:p>
    <w:p w14:paraId="5D1D7AF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（5）工程造价控制</w:t>
      </w:r>
    </w:p>
    <w:p w14:paraId="75CC9E7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监理人应配备专职的造价控制监理工程师，</w:t>
      </w:r>
      <w:r>
        <w:rPr>
          <w:rFonts w:hint="eastAsia" w:ascii="宋体" w:hAnsi="宋体"/>
          <w:color w:val="auto"/>
          <w:szCs w:val="21"/>
          <w:highlight w:val="none"/>
        </w:rPr>
        <w:t>对承包合同费用、工程造价进行有效的控制。内容包括</w:t>
      </w:r>
      <w:r>
        <w:rPr>
          <w:rFonts w:ascii="宋体" w:hAnsi="宋体"/>
          <w:color w:val="auto"/>
          <w:szCs w:val="21"/>
          <w:highlight w:val="none"/>
        </w:rPr>
        <w:t>(但不限于)：</w:t>
      </w:r>
    </w:p>
    <w:p w14:paraId="0B6993C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协助</w:t>
      </w:r>
      <w:r>
        <w:rPr>
          <w:rFonts w:hint="eastAsia" w:ascii="宋体" w:hAnsi="宋体"/>
          <w:color w:val="auto"/>
          <w:szCs w:val="21"/>
          <w:highlight w:val="none"/>
        </w:rPr>
        <w:t>委托人监督、审核承包人编制的投资控制目标和分年度投资计划。编制监理工程项目以及各合同项目的投资控制目标，各年度、季度和月份的合理投资计划。审查承包人提交的资金流计划。</w:t>
      </w:r>
    </w:p>
    <w:p w14:paraId="013CDF5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对工程计量进行审核，实现对工程量总量的控制和阶段性的控制。</w:t>
      </w:r>
    </w:p>
    <w:p w14:paraId="4AB814D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协助承包人审核各分承包人上报的申请结算工程量及工程费用等，并提供审核意见在支付凭证上签名。</w:t>
      </w:r>
    </w:p>
    <w:p w14:paraId="3723B0E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w:t>
      </w:r>
      <w:r>
        <w:rPr>
          <w:rFonts w:ascii="宋体" w:hAnsi="宋体"/>
          <w:color w:val="auto"/>
          <w:szCs w:val="21"/>
          <w:highlight w:val="none"/>
        </w:rPr>
        <w:t>为控制和减少索赔事件的发生，监理人应对</w:t>
      </w:r>
      <w:r>
        <w:rPr>
          <w:rFonts w:hint="eastAsia" w:ascii="宋体" w:hAnsi="宋体"/>
          <w:color w:val="auto"/>
          <w:szCs w:val="21"/>
          <w:highlight w:val="none"/>
        </w:rPr>
        <w:t>合同的履行进行检查监督和经常性分析，及时发现和预测可能引起索赔的条件及事项，并采取措施尽力避免索赔事件的发生；对工程实施情况做好记录以备索赔要求提出后核查；索赔事件发生后应采取有效措施，尽力避免索赔事件的扩大和延伸；受理并公正处理索赔，提出处理意见，组织各方进行协商，做好调解协调工作。</w:t>
      </w:r>
    </w:p>
    <w:p w14:paraId="207C609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 xml:space="preserve"> </w:t>
      </w:r>
      <w:r>
        <w:rPr>
          <w:rFonts w:ascii="宋体" w:hAnsi="宋体"/>
          <w:color w:val="auto"/>
          <w:szCs w:val="21"/>
          <w:highlight w:val="none"/>
        </w:rPr>
        <w:t>依据</w:t>
      </w:r>
      <w:r>
        <w:rPr>
          <w:rFonts w:hint="eastAsia" w:ascii="宋体" w:hAnsi="宋体"/>
          <w:color w:val="auto"/>
          <w:szCs w:val="21"/>
          <w:highlight w:val="none"/>
        </w:rPr>
        <w:t>委托人授权审核各类工程变更</w:t>
      </w:r>
      <w:r>
        <w:rPr>
          <w:rFonts w:ascii="宋体" w:hAnsi="宋体"/>
          <w:color w:val="auto"/>
          <w:szCs w:val="21"/>
          <w:highlight w:val="none"/>
        </w:rPr>
        <w:t>(合同变更及设计修改、设计变更等)，并提出处理意见，报</w:t>
      </w:r>
      <w:r>
        <w:rPr>
          <w:rFonts w:hint="eastAsia" w:ascii="宋体" w:hAnsi="宋体"/>
          <w:color w:val="auto"/>
          <w:szCs w:val="21"/>
          <w:highlight w:val="none"/>
        </w:rPr>
        <w:t>委托人批准后下达变更指令。</w:t>
      </w:r>
    </w:p>
    <w:p w14:paraId="6214119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 xml:space="preserve"> </w:t>
      </w:r>
      <w:r>
        <w:rPr>
          <w:rFonts w:ascii="宋体" w:hAnsi="宋体"/>
          <w:color w:val="auto"/>
          <w:szCs w:val="21"/>
          <w:highlight w:val="none"/>
        </w:rPr>
        <w:t>对</w:t>
      </w:r>
      <w:r>
        <w:rPr>
          <w:rFonts w:hint="eastAsia" w:ascii="宋体" w:hAnsi="宋体"/>
          <w:color w:val="auto"/>
          <w:szCs w:val="21"/>
          <w:highlight w:val="none"/>
        </w:rPr>
        <w:t>采购、施工和设备安装合同费用支付与已完工程量、工程形象进行综合分析，编制每月、季、年的工程量和投资统计报表报业主。按工程进展情况和资金到位的可能情况，进行经常性的工程费用分析，必要时提出投资计划调整、修改和采取相应措施的处理意见上报委托人。</w:t>
      </w:r>
    </w:p>
    <w:p w14:paraId="08F5330F">
      <w:pPr>
        <w:overflowPunct w:val="0"/>
        <w:autoSpaceDE w:val="0"/>
        <w:autoSpaceDN w:val="0"/>
        <w:adjustRightInd w:val="0"/>
        <w:snapToGrid w:val="0"/>
        <w:spacing w:line="360" w:lineRule="auto"/>
        <w:ind w:left="210" w:leftChars="100" w:firstLine="210" w:firstLineChars="1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 xml:space="preserve"> 参与</w:t>
      </w:r>
      <w:r>
        <w:rPr>
          <w:rFonts w:ascii="宋体" w:hAnsi="宋体"/>
          <w:color w:val="auto"/>
          <w:szCs w:val="21"/>
          <w:highlight w:val="none"/>
        </w:rPr>
        <w:t>对</w:t>
      </w:r>
      <w:r>
        <w:rPr>
          <w:rFonts w:hint="eastAsia" w:ascii="宋体" w:hAnsi="宋体"/>
          <w:color w:val="auto"/>
          <w:szCs w:val="21"/>
          <w:highlight w:val="none"/>
        </w:rPr>
        <w:t>承包商申报的各种材料设备结算价格审核,审定材料设备质量与价格相符,并提供审查意见。</w:t>
      </w:r>
    </w:p>
    <w:p w14:paraId="3A1644A7">
      <w:pPr>
        <w:overflowPunct w:val="0"/>
        <w:autoSpaceDE w:val="0"/>
        <w:autoSpaceDN w:val="0"/>
        <w:adjustRightInd w:val="0"/>
        <w:snapToGrid w:val="0"/>
        <w:spacing w:line="360" w:lineRule="auto"/>
        <w:ind w:left="210" w:leftChars="100" w:firstLine="210" w:firstLineChars="100"/>
        <w:rPr>
          <w:rFonts w:ascii="宋体" w:hAnsi="宋体"/>
          <w:color w:val="auto"/>
          <w:szCs w:val="21"/>
          <w:highlight w:val="none"/>
        </w:rPr>
      </w:pPr>
      <w:r>
        <w:rPr>
          <w:rFonts w:hint="eastAsia" w:ascii="宋体" w:hAnsi="宋体"/>
          <w:color w:val="auto"/>
          <w:szCs w:val="21"/>
          <w:highlight w:val="none"/>
        </w:rPr>
        <w:t>（6） 工程安全监督</w:t>
      </w:r>
    </w:p>
    <w:p w14:paraId="357DFB8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监理人在安全监督管理工作中必须坚持“安全第一、预防为主”的原则，通过对勘测、采购、施工和设备安装调试中各种不安全因素的分析和预控制，避免安全事故的发生。内容包括</w:t>
      </w:r>
      <w:r>
        <w:rPr>
          <w:rFonts w:ascii="宋体" w:hAnsi="宋体"/>
          <w:color w:val="auto"/>
          <w:szCs w:val="21"/>
          <w:highlight w:val="none"/>
        </w:rPr>
        <w:t xml:space="preserve">(但不限于)： </w:t>
      </w:r>
    </w:p>
    <w:p w14:paraId="5E7D9E5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监理人必须配备专职有安全监督资质的监理工程师进行</w:t>
      </w:r>
      <w:r>
        <w:rPr>
          <w:rFonts w:hint="eastAsia" w:ascii="宋体" w:hAnsi="宋体"/>
          <w:color w:val="auto"/>
          <w:szCs w:val="21"/>
          <w:highlight w:val="none"/>
        </w:rPr>
        <w:t>工程安全监督工作。</w:t>
      </w:r>
    </w:p>
    <w:p w14:paraId="79AC65B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检查督促工程</w:t>
      </w:r>
      <w:r>
        <w:rPr>
          <w:rFonts w:hint="eastAsia" w:ascii="宋体" w:hAnsi="宋体"/>
          <w:color w:val="auto"/>
          <w:szCs w:val="21"/>
          <w:highlight w:val="none"/>
        </w:rPr>
        <w:t>承包人建立健全安全管理制度，督促工程承包人认真执行国家及有关部门颁发的安全生产法规、规定和总承包合同对安全生产的规定。</w:t>
      </w:r>
    </w:p>
    <w:p w14:paraId="30E3566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对施工生产及安全设施进行经常性的检查监督(定期与不定期)，对违反安全生产规定的施工及时指令整改。</w:t>
      </w:r>
    </w:p>
    <w:p w14:paraId="0E59B01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检查督促工程</w:t>
      </w:r>
      <w:r>
        <w:rPr>
          <w:rFonts w:hint="eastAsia" w:ascii="宋体" w:hAnsi="宋体"/>
          <w:color w:val="auto"/>
          <w:szCs w:val="21"/>
          <w:highlight w:val="none"/>
        </w:rPr>
        <w:t>承包人按照合同规定和国家标准规定做好劳动保护、环境保护及水土保持工作，并将情况定期向业主提交专题报告。</w:t>
      </w:r>
    </w:p>
    <w:p w14:paraId="151E469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定期组织安全生产检查活动和安全生产评比表彰活动。做好监理合同内施工和设备安装的安全生产协调工作，协助</w:t>
      </w:r>
      <w:r>
        <w:rPr>
          <w:rFonts w:hint="eastAsia" w:ascii="宋体" w:hAnsi="宋体"/>
          <w:color w:val="auto"/>
          <w:szCs w:val="21"/>
          <w:highlight w:val="none"/>
        </w:rPr>
        <w:t>委托人做好各施工和设备安装合同间的安全生产协调工作。</w:t>
      </w:r>
    </w:p>
    <w:p w14:paraId="33675BA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提供事故分析所需的一切资料，参加安全事故的调查分析，审查工程</w:t>
      </w:r>
      <w:r>
        <w:rPr>
          <w:rFonts w:hint="eastAsia" w:ascii="宋体" w:hAnsi="宋体"/>
          <w:color w:val="auto"/>
          <w:szCs w:val="21"/>
          <w:highlight w:val="none"/>
        </w:rPr>
        <w:t>承包人的安全事故报告及安全报表，监督工程承包人对安全事故的处理。</w:t>
      </w:r>
    </w:p>
    <w:p w14:paraId="16ADE5B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定期(每月)向</w:t>
      </w:r>
      <w:r>
        <w:rPr>
          <w:rFonts w:hint="eastAsia" w:ascii="宋体" w:hAnsi="宋体"/>
          <w:color w:val="auto"/>
          <w:szCs w:val="21"/>
          <w:highlight w:val="none"/>
        </w:rPr>
        <w:t>业主报告安全生产情况，并按规定编制监理工程项目的安全生产统计报表。对重大安全事故的处理必须及时向业主报告。</w:t>
      </w:r>
    </w:p>
    <w:p w14:paraId="4B4F801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 组织协调</w:t>
      </w:r>
    </w:p>
    <w:p w14:paraId="0979046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监理人应通过沟通、调解和与监理工程项目建设直接有关的各方关系，使工程项目建设各方及其建设活动协调一致，以实现承包合同预定的目标。内容包括</w:t>
      </w:r>
      <w:r>
        <w:rPr>
          <w:rFonts w:ascii="宋体" w:hAnsi="宋体"/>
          <w:color w:val="auto"/>
          <w:szCs w:val="21"/>
          <w:highlight w:val="none"/>
        </w:rPr>
        <w:t>(但不限于)：</w:t>
      </w:r>
    </w:p>
    <w:p w14:paraId="79AABF0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以实现总进度计划和承包合同工期为目标，做好各</w:t>
      </w:r>
      <w:r>
        <w:rPr>
          <w:rFonts w:hint="eastAsia" w:ascii="宋体" w:hAnsi="宋体"/>
          <w:color w:val="auto"/>
          <w:szCs w:val="21"/>
          <w:highlight w:val="none"/>
        </w:rPr>
        <w:t>设计、采购、施工和设备安装调试合同项目间的进度协调。</w:t>
      </w:r>
    </w:p>
    <w:p w14:paraId="1045227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以监理工程项目的施工总布置为依据，控制协调好各工程施工、安装合同项目的施工布置，控制协调好各施工和设备安装工程</w:t>
      </w:r>
      <w:r>
        <w:rPr>
          <w:rFonts w:hint="eastAsia" w:ascii="宋体" w:hAnsi="宋体"/>
          <w:color w:val="auto"/>
          <w:szCs w:val="21"/>
          <w:highlight w:val="none"/>
        </w:rPr>
        <w:t>分承包人对施工场地、施工道路的使用。</w:t>
      </w:r>
    </w:p>
    <w:p w14:paraId="6EEB266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组织与主持定期与不定期的工地协调会议，编写各有关问题的协调处理意见及各种协调会议的纪要。</w:t>
      </w:r>
    </w:p>
    <w:p w14:paraId="32F3F67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（8）其它</w:t>
      </w:r>
    </w:p>
    <w:p w14:paraId="30B1216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信息管理：做好施工现场监理记录与信息反馈。按本合同附件要求编制监理月、季、年报，对工程资料及档案按期进行整编和管理，并在工程竣工验收或监理服务期结束后移交业主。</w:t>
      </w:r>
      <w:r>
        <w:rPr>
          <w:rFonts w:ascii="宋体" w:hAnsi="宋体"/>
          <w:color w:val="auto"/>
          <w:szCs w:val="21"/>
          <w:highlight w:val="none"/>
        </w:rPr>
        <w:t xml:space="preserve"> </w:t>
      </w:r>
    </w:p>
    <w:p w14:paraId="7E30B3E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协助</w:t>
      </w:r>
      <w:r>
        <w:rPr>
          <w:rFonts w:hint="eastAsia" w:ascii="宋体" w:hAnsi="宋体"/>
          <w:color w:val="auto"/>
          <w:szCs w:val="21"/>
          <w:highlight w:val="none"/>
        </w:rPr>
        <w:t>委托人按有关规定进行工程各阶段验收、单位工程验收及竣工验收，提交相应的工程监理资料，审查总承包人编制的竣工图纸和资料。督促建设工程办理竣工验收及其备案手续。</w:t>
      </w:r>
    </w:p>
    <w:p w14:paraId="01B6407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监理人应配合参加国家有关部门对工程质量安全鉴定工作，并提供相关资料。</w:t>
      </w:r>
    </w:p>
    <w:p w14:paraId="71D5C4D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w:t>
      </w:r>
      <w:r>
        <w:rPr>
          <w:rFonts w:ascii="宋体" w:hAnsi="宋体"/>
          <w:color w:val="auto"/>
          <w:szCs w:val="21"/>
          <w:highlight w:val="none"/>
        </w:rPr>
        <w:t>配合</w:t>
      </w:r>
      <w:r>
        <w:rPr>
          <w:rFonts w:hint="eastAsia" w:ascii="宋体" w:hAnsi="宋体"/>
          <w:color w:val="auto"/>
          <w:szCs w:val="21"/>
          <w:highlight w:val="none"/>
        </w:rPr>
        <w:t>委托人聘请的咨询专家工作并提供有关资料与文件；</w:t>
      </w:r>
    </w:p>
    <w:p w14:paraId="71067E4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 xml:space="preserve"> </w:t>
      </w:r>
      <w:r>
        <w:rPr>
          <w:rFonts w:ascii="宋体" w:hAnsi="宋体"/>
          <w:color w:val="auto"/>
          <w:szCs w:val="21"/>
          <w:highlight w:val="none"/>
        </w:rPr>
        <w:t>对监理合同项目有关的咨询专家建议、意见进行分析研究，并作出相应的书面意见。</w:t>
      </w:r>
    </w:p>
    <w:p w14:paraId="7C8729E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 监理与相关服务依据</w:t>
      </w:r>
    </w:p>
    <w:p w14:paraId="781D5E2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 监理依据包括：</w:t>
      </w:r>
      <w:r>
        <w:rPr>
          <w:rFonts w:hint="eastAsia" w:ascii="宋体" w:hAnsi="宋体"/>
          <w:color w:val="auto"/>
          <w:szCs w:val="21"/>
          <w:highlight w:val="none"/>
          <w:u w:val="single"/>
        </w:rPr>
        <w:t>同</w:t>
      </w:r>
      <w:r>
        <w:rPr>
          <w:rFonts w:ascii="宋体" w:hAnsi="宋体"/>
          <w:color w:val="auto"/>
          <w:szCs w:val="21"/>
          <w:highlight w:val="none"/>
          <w:u w:val="single"/>
        </w:rPr>
        <w:t>“</w:t>
      </w:r>
      <w:r>
        <w:rPr>
          <w:rFonts w:hint="eastAsia" w:ascii="宋体" w:hAnsi="宋体"/>
          <w:color w:val="auto"/>
          <w:szCs w:val="21"/>
          <w:highlight w:val="none"/>
          <w:u w:val="single"/>
        </w:rPr>
        <w:t>通用条件</w:t>
      </w:r>
      <w:r>
        <w:rPr>
          <w:rFonts w:ascii="宋体" w:hAnsi="宋体"/>
          <w:color w:val="auto"/>
          <w:szCs w:val="21"/>
          <w:highlight w:val="none"/>
          <w:u w:val="single"/>
        </w:rPr>
        <w:t>”</w:t>
      </w:r>
      <w:r>
        <w:rPr>
          <w:rFonts w:hint="eastAsia" w:ascii="宋体" w:hAnsi="宋体"/>
          <w:color w:val="auto"/>
          <w:szCs w:val="21"/>
          <w:highlight w:val="none"/>
          <w:u w:val="single"/>
        </w:rPr>
        <w:t xml:space="preserve">2.2.1 </w:t>
      </w:r>
      <w:r>
        <w:rPr>
          <w:rFonts w:hint="eastAsia" w:ascii="宋体" w:hAnsi="宋体"/>
          <w:color w:val="auto"/>
          <w:szCs w:val="21"/>
          <w:highlight w:val="none"/>
        </w:rPr>
        <w:t>。</w:t>
      </w:r>
    </w:p>
    <w:p w14:paraId="4C41F89F">
      <w:pPr>
        <w:overflowPunct w:val="0"/>
        <w:autoSpaceDE w:val="0"/>
        <w:autoSpaceDN w:val="0"/>
        <w:adjustRightInd w:val="0"/>
        <w:snapToGrid w:val="0"/>
        <w:spacing w:line="360" w:lineRule="auto"/>
        <w:ind w:firstLine="420" w:firstLineChars="200"/>
        <w:rPr>
          <w:rFonts w:ascii="宋体" w:hAnsi="宋体"/>
          <w:dstrike/>
          <w:color w:val="auto"/>
          <w:szCs w:val="21"/>
          <w:highlight w:val="none"/>
        </w:rPr>
      </w:pPr>
      <w:r>
        <w:rPr>
          <w:rFonts w:hint="eastAsia" w:ascii="宋体" w:hAnsi="宋体"/>
          <w:color w:val="auto"/>
          <w:szCs w:val="21"/>
          <w:highlight w:val="none"/>
        </w:rPr>
        <w:t>2.2.2 相关服务依据包括：</w:t>
      </w:r>
      <w:r>
        <w:rPr>
          <w:rFonts w:hint="eastAsia" w:ascii="宋体" w:hAnsi="宋体"/>
          <w:color w:val="auto"/>
          <w:szCs w:val="21"/>
          <w:highlight w:val="none"/>
          <w:u w:val="single"/>
        </w:rPr>
        <w:t>同</w:t>
      </w:r>
      <w:r>
        <w:rPr>
          <w:rFonts w:ascii="宋体" w:hAnsi="宋体"/>
          <w:color w:val="auto"/>
          <w:szCs w:val="21"/>
          <w:highlight w:val="none"/>
          <w:u w:val="single"/>
        </w:rPr>
        <w:t>“</w:t>
      </w:r>
      <w:r>
        <w:rPr>
          <w:rFonts w:hint="eastAsia" w:ascii="宋体" w:hAnsi="宋体"/>
          <w:color w:val="auto"/>
          <w:szCs w:val="21"/>
          <w:highlight w:val="none"/>
          <w:u w:val="single"/>
        </w:rPr>
        <w:t>通用条件</w:t>
      </w:r>
      <w:r>
        <w:rPr>
          <w:rFonts w:ascii="宋体" w:hAnsi="宋体"/>
          <w:color w:val="auto"/>
          <w:szCs w:val="21"/>
          <w:highlight w:val="none"/>
          <w:u w:val="single"/>
        </w:rPr>
        <w:t>”</w:t>
      </w:r>
      <w:r>
        <w:rPr>
          <w:rFonts w:hint="eastAsia" w:ascii="宋体" w:hAnsi="宋体"/>
          <w:color w:val="auto"/>
          <w:szCs w:val="21"/>
          <w:highlight w:val="none"/>
          <w:u w:val="single"/>
        </w:rPr>
        <w:t xml:space="preserve">2.2.1 </w:t>
      </w:r>
      <w:r>
        <w:rPr>
          <w:rFonts w:hint="eastAsia" w:ascii="宋体" w:hAnsi="宋体"/>
          <w:color w:val="auto"/>
          <w:szCs w:val="21"/>
          <w:highlight w:val="none"/>
        </w:rPr>
        <w:t>。</w:t>
      </w:r>
    </w:p>
    <w:p w14:paraId="5908EC6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w:t>
      </w:r>
      <w:r>
        <w:rPr>
          <w:rFonts w:hint="eastAsia" w:ascii="宋体" w:hAnsi="宋体" w:cs="宋体"/>
          <w:color w:val="auto"/>
          <w:kern w:val="0"/>
          <w:szCs w:val="21"/>
          <w:highlight w:val="none"/>
        </w:rPr>
        <w:t>项目监理机构和人员</w:t>
      </w:r>
    </w:p>
    <w:p w14:paraId="14523068">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kern w:val="0"/>
          <w:szCs w:val="21"/>
          <w:highlight w:val="none"/>
        </w:rPr>
        <w:t>2.3.3监理人更换总监理工程师时，应提前</w:t>
      </w:r>
      <w:r>
        <w:rPr>
          <w:rFonts w:hint="eastAsia" w:ascii="宋体" w:hAnsi="宋体"/>
          <w:b/>
          <w:color w:val="auto"/>
          <w:kern w:val="0"/>
          <w:szCs w:val="21"/>
          <w:highlight w:val="none"/>
          <w:u w:val="single"/>
        </w:rPr>
        <w:t>7</w:t>
      </w:r>
      <w:r>
        <w:rPr>
          <w:rFonts w:hint="eastAsia" w:ascii="宋体" w:hAnsi="宋体"/>
          <w:color w:val="auto"/>
          <w:kern w:val="0"/>
          <w:szCs w:val="21"/>
          <w:highlight w:val="none"/>
        </w:rPr>
        <w:t>天向委托人书面报告，经委托人同意并按照</w:t>
      </w:r>
      <w:r>
        <w:rPr>
          <w:rFonts w:hint="eastAsia" w:ascii="宋体" w:hAnsi="宋体"/>
          <w:color w:val="auto"/>
          <w:kern w:val="0"/>
          <w:szCs w:val="21"/>
          <w:highlight w:val="none"/>
          <w:u w:val="single"/>
        </w:rPr>
        <w:t xml:space="preserve"> 附录3 </w:t>
      </w:r>
      <w:r>
        <w:rPr>
          <w:rFonts w:hint="eastAsia" w:ascii="宋体" w:hAnsi="宋体"/>
          <w:color w:val="auto"/>
          <w:kern w:val="0"/>
          <w:szCs w:val="21"/>
          <w:highlight w:val="none"/>
        </w:rPr>
        <w:t>承担违约金后方可更换。监理人更换项目监理机构其他监理人员，应以相当资格与能力的人员替换，并委托人同意。</w:t>
      </w:r>
    </w:p>
    <w:p w14:paraId="18F7CEF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2.3.4 </w:t>
      </w:r>
      <w:r>
        <w:rPr>
          <w:rFonts w:hint="eastAsia" w:ascii="宋体" w:hAnsi="宋体"/>
          <w:color w:val="auto"/>
          <w:kern w:val="0"/>
          <w:szCs w:val="21"/>
          <w:highlight w:val="none"/>
        </w:rPr>
        <w:t>更换监理人员的其他情形：</w:t>
      </w:r>
      <w:r>
        <w:rPr>
          <w:rFonts w:hint="eastAsia" w:ascii="宋体" w:hAnsi="宋体"/>
          <w:color w:val="auto"/>
          <w:kern w:val="0"/>
          <w:szCs w:val="21"/>
          <w:highlight w:val="none"/>
          <w:u w:val="single"/>
        </w:rPr>
        <w:t xml:space="preserve">离职、丧失职业能力（提供委托人认可的证明材料）  </w:t>
      </w:r>
      <w:r>
        <w:rPr>
          <w:rFonts w:hint="eastAsia" w:ascii="宋体" w:hAnsi="宋体"/>
          <w:color w:val="auto"/>
          <w:kern w:val="0"/>
          <w:szCs w:val="21"/>
          <w:highlight w:val="none"/>
        </w:rPr>
        <w:t>。</w:t>
      </w:r>
    </w:p>
    <w:p w14:paraId="718777B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2.4 </w:t>
      </w:r>
      <w:r>
        <w:rPr>
          <w:rFonts w:hint="eastAsia" w:ascii="宋体" w:hAnsi="宋体" w:cs="宋体"/>
          <w:color w:val="auto"/>
          <w:kern w:val="0"/>
          <w:szCs w:val="21"/>
          <w:highlight w:val="none"/>
        </w:rPr>
        <w:t>履行职责</w:t>
      </w:r>
    </w:p>
    <w:p w14:paraId="1B8430B1">
      <w:pPr>
        <w:overflowPunct w:val="0"/>
        <w:autoSpaceDE w:val="0"/>
        <w:autoSpaceDN w:val="0"/>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2.4.3 对监理人的授权范围：</w:t>
      </w:r>
      <w:r>
        <w:rPr>
          <w:rFonts w:hint="eastAsia" w:ascii="宋体" w:hAnsi="宋体"/>
          <w:color w:val="auto"/>
          <w:szCs w:val="21"/>
          <w:highlight w:val="none"/>
          <w:u w:val="single"/>
        </w:rPr>
        <w:t xml:space="preserve">  本工程施工阶段的全过程监理工作：质量、进度、投资控制；合同和信息管理；施工现场协调；履行建设工程安全生产管理法定职责。 </w:t>
      </w:r>
    </w:p>
    <w:p w14:paraId="4A174F2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2.4.4 监理人有权要求承包人调换其人员</w:t>
      </w:r>
      <w:r>
        <w:rPr>
          <w:rFonts w:hint="eastAsia" w:ascii="宋体" w:hAnsi="宋体"/>
          <w:color w:val="auto"/>
          <w:szCs w:val="21"/>
          <w:highlight w:val="none"/>
        </w:rPr>
        <w:t>的限制条件：</w:t>
      </w:r>
      <w:r>
        <w:rPr>
          <w:rFonts w:hint="eastAsia" w:ascii="宋体" w:hAnsi="宋体"/>
          <w:color w:val="auto"/>
          <w:szCs w:val="21"/>
          <w:highlight w:val="none"/>
          <w:u w:val="single"/>
        </w:rPr>
        <w:t xml:space="preserve"> 经委托人同意 </w:t>
      </w:r>
      <w:r>
        <w:rPr>
          <w:rFonts w:hint="eastAsia" w:ascii="宋体" w:hAnsi="宋体"/>
          <w:color w:val="auto"/>
          <w:szCs w:val="21"/>
          <w:highlight w:val="none"/>
        </w:rPr>
        <w:t xml:space="preserve">。  </w:t>
      </w:r>
    </w:p>
    <w:p w14:paraId="70505C6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 xml:space="preserve">2.5 </w:t>
      </w:r>
      <w:r>
        <w:rPr>
          <w:rFonts w:hint="eastAsia" w:ascii="宋体" w:hAnsi="宋体"/>
          <w:color w:val="auto"/>
          <w:szCs w:val="21"/>
          <w:highlight w:val="none"/>
        </w:rPr>
        <w:t>提交</w:t>
      </w:r>
      <w:r>
        <w:rPr>
          <w:rFonts w:hint="eastAsia" w:ascii="宋体" w:hAnsi="宋体" w:cs="宋体"/>
          <w:color w:val="auto"/>
          <w:kern w:val="0"/>
          <w:szCs w:val="21"/>
          <w:highlight w:val="none"/>
        </w:rPr>
        <w:t>报告</w:t>
      </w:r>
    </w:p>
    <w:p w14:paraId="026E080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2.5.1监理规划、监理实施细则、约定的专项报告：</w:t>
      </w:r>
      <w:r>
        <w:rPr>
          <w:rFonts w:hint="eastAsia" w:ascii="宋体" w:hAnsi="宋体"/>
          <w:color w:val="auto"/>
          <w:szCs w:val="21"/>
          <w:highlight w:val="none"/>
        </w:rPr>
        <w:t xml:space="preserve">收到工程设计文件后编制监理规划，并在第一次工地例会前7天报委托人5份；编制监理实施细则，并在施工单位开工前5天报委托人5份；约定的专题报告在约定后14天内报委托人5份。逾期提交上述文件资料，视为监理人违约，委托人有权解除本合同，同时，按照本合同约定的暂定酬金签约酬金的30%承担违约金； </w:t>
      </w:r>
    </w:p>
    <w:p w14:paraId="13379D06">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2.5.2定期信息文件</w:t>
      </w:r>
    </w:p>
    <w:p w14:paraId="2E4B311B">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根据监理工程项目、范围及内容，随工程施工进展向业主报送监理周报、月报、年报，其主要内容为：</w:t>
      </w:r>
    </w:p>
    <w:p w14:paraId="73921E76">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工程进展情况；</w:t>
      </w:r>
    </w:p>
    <w:p w14:paraId="6A2BAD92">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施工安装质量情况；</w:t>
      </w:r>
    </w:p>
    <w:p w14:paraId="55AF9366">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进场施工机械设备及劳动力动态；</w:t>
      </w:r>
    </w:p>
    <w:p w14:paraId="72405F8E">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施工安全与文明施工情况；</w:t>
      </w:r>
    </w:p>
    <w:p w14:paraId="56A47942">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工程变更和机电设备安装合同索赔情况；</w:t>
      </w:r>
    </w:p>
    <w:p w14:paraId="57CC9492">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工程支付情况；</w:t>
      </w:r>
    </w:p>
    <w:p w14:paraId="7B28A682">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安全监测信息(包括资料的整理、分析和信息报告)；</w:t>
      </w:r>
    </w:p>
    <w:p w14:paraId="0D15CDAB">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环境保护情况；</w:t>
      </w:r>
    </w:p>
    <w:p w14:paraId="2065BC13">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监理工作情况；</w:t>
      </w:r>
    </w:p>
    <w:p w14:paraId="75F8A858">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采购、施工和设备安装大事记；</w:t>
      </w:r>
    </w:p>
    <w:p w14:paraId="3A467BD3">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（11）监理日志</w:t>
      </w:r>
    </w:p>
    <w:p w14:paraId="6F64CA43">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其它。</w:t>
      </w:r>
    </w:p>
    <w:p w14:paraId="783DF6A6">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2.5.3根据监理工程进展情况的不定期报告</w:t>
      </w:r>
    </w:p>
    <w:p w14:paraId="1FBFA7C6">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关于工程优化设计或变更或施工进展的建议；</w:t>
      </w:r>
    </w:p>
    <w:p w14:paraId="161E2299">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资金、资源投入及合理配置的建议；</w:t>
      </w:r>
    </w:p>
    <w:p w14:paraId="1E07C801">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工程进展预测分析报告；</w:t>
      </w:r>
    </w:p>
    <w:p w14:paraId="5028552B">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业主要求提交的其他报告；</w:t>
      </w:r>
    </w:p>
    <w:p w14:paraId="74AEA5F5">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工程阶段验收，竣工验收监理工作报告。</w:t>
      </w:r>
    </w:p>
    <w:p w14:paraId="11E9D0C2">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2.5.4监理过程文件</w:t>
      </w:r>
    </w:p>
    <w:p w14:paraId="28CCD24F">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施工措施计划批复文件；</w:t>
      </w:r>
    </w:p>
    <w:p w14:paraId="19D4C59F">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施工进度调整批复文件；</w:t>
      </w:r>
    </w:p>
    <w:p w14:paraId="6D1343CB">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监理协调会议纪要文件；</w:t>
      </w:r>
    </w:p>
    <w:p w14:paraId="1A33A82B">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施工质量事故处理文件；</w:t>
      </w:r>
    </w:p>
    <w:p w14:paraId="6AF6754D">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施工安全事故处理文件；</w:t>
      </w:r>
    </w:p>
    <w:p w14:paraId="5B6708D8">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其它按合同文件规定应报送的文件。</w:t>
      </w:r>
    </w:p>
    <w:p w14:paraId="4F4D0EA7">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（7）监理人提交的监理文件份数及时间要求</w:t>
      </w:r>
    </w:p>
    <w:p w14:paraId="278E296C">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监理人向委托人提交的监理文件一式5份(并附电子文档1份)，其中监理周报、月报、年报一式5份。</w:t>
      </w:r>
    </w:p>
    <w:p w14:paraId="7A1EEA12">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时间要求：周报为每周一、月报为月末、年报为1月20日。</w:t>
      </w:r>
    </w:p>
    <w:p w14:paraId="26442F08">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违约责任：逾期提交上述文件资料，视为监理人违约，委托人有权解除本合同，同时，按照本合同约定的暂定酬金签约酬金的30%承担违约金。</w:t>
      </w:r>
    </w:p>
    <w:p w14:paraId="41CE8D3B">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 使用委托人的财产</w:t>
      </w:r>
    </w:p>
    <w:p w14:paraId="78D3C19F">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委托人不提供的房屋、设备。</w:t>
      </w:r>
    </w:p>
    <w:p w14:paraId="6A285D3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监理人应在本合同终止后</w:t>
      </w:r>
      <w:r>
        <w:rPr>
          <w:rFonts w:hint="eastAsia" w:ascii="宋体" w:hAnsi="宋体"/>
          <w:color w:val="auto"/>
          <w:szCs w:val="21"/>
          <w:highlight w:val="none"/>
          <w:u w:val="single"/>
        </w:rPr>
        <w:t xml:space="preserve"> /  </w:t>
      </w:r>
      <w:r>
        <w:rPr>
          <w:rFonts w:hint="eastAsia" w:ascii="宋体" w:hAnsi="宋体"/>
          <w:color w:val="auto"/>
          <w:szCs w:val="21"/>
          <w:highlight w:val="none"/>
        </w:rPr>
        <w:t>天内移交委托人提供的房屋、设备，移交的时间和方式为：</w:t>
      </w:r>
      <w:r>
        <w:rPr>
          <w:rFonts w:hint="eastAsia" w:ascii="宋体" w:hAnsi="宋体"/>
          <w:color w:val="auto"/>
          <w:szCs w:val="21"/>
          <w:highlight w:val="none"/>
          <w:u w:val="single"/>
        </w:rPr>
        <w:t xml:space="preserve">  /</w:t>
      </w:r>
      <w:r>
        <w:rPr>
          <w:rFonts w:hint="eastAsia" w:ascii="宋体" w:hAnsi="宋体"/>
          <w:color w:val="auto"/>
          <w:szCs w:val="21"/>
          <w:highlight w:val="none"/>
        </w:rPr>
        <w:t>。若监理人逾期移交（若有），委托人有权单方移交，若场地内留有监理人物品，视为遗弃物，委托人有权任意处置，产生的处置费或恢复场地的费用由监理人承担。</w:t>
      </w:r>
    </w:p>
    <w:p w14:paraId="44E2AC6A">
      <w:pPr>
        <w:overflowPunct w:val="0"/>
        <w:autoSpaceDE w:val="0"/>
        <w:autoSpaceDN w:val="0"/>
        <w:adjustRightInd w:val="0"/>
        <w:snapToGrid w:val="0"/>
        <w:spacing w:line="360" w:lineRule="auto"/>
        <w:ind w:firstLine="422" w:firstLineChars="200"/>
        <w:rPr>
          <w:rFonts w:ascii="宋体" w:hAnsi="宋体"/>
          <w:b/>
          <w:color w:val="auto"/>
          <w:szCs w:val="21"/>
          <w:highlight w:val="none"/>
        </w:rPr>
      </w:pPr>
      <w:r>
        <w:rPr>
          <w:rFonts w:hint="eastAsia" w:ascii="宋体" w:hAnsi="宋体"/>
          <w:b/>
          <w:color w:val="auto"/>
          <w:kern w:val="0"/>
          <w:szCs w:val="21"/>
          <w:highlight w:val="none"/>
        </w:rPr>
        <w:t xml:space="preserve">3. 委托人义务  </w:t>
      </w:r>
    </w:p>
    <w:p w14:paraId="3904F8C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3.3.1通用条件修改为：委托人无义务提供监理人员所需的现场办公用房，生产与生活设施、设备与物品、通讯、交通等均由监理单位自行解决，委托人与施工单位另有约定按照约定执行。</w:t>
      </w:r>
    </w:p>
    <w:p w14:paraId="356BD80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 xml:space="preserve">3.4 </w:t>
      </w:r>
      <w:r>
        <w:rPr>
          <w:rFonts w:hint="eastAsia" w:ascii="宋体" w:hAnsi="宋体" w:cs="宋体"/>
          <w:color w:val="auto"/>
          <w:kern w:val="0"/>
          <w:szCs w:val="21"/>
          <w:highlight w:val="none"/>
        </w:rPr>
        <w:t>委托人代表</w:t>
      </w:r>
    </w:p>
    <w:p w14:paraId="5AF9D120">
      <w:pPr>
        <w:overflowPunct w:val="0"/>
        <w:autoSpaceDE w:val="0"/>
        <w:autoSpaceDN w:val="0"/>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委托人代表为：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3338A82">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3.6 </w:t>
      </w:r>
      <w:r>
        <w:rPr>
          <w:rFonts w:hint="eastAsia" w:ascii="宋体" w:hAnsi="宋体" w:cs="宋体"/>
          <w:color w:val="auto"/>
          <w:kern w:val="0"/>
          <w:szCs w:val="21"/>
          <w:highlight w:val="none"/>
        </w:rPr>
        <w:t>答复</w:t>
      </w:r>
    </w:p>
    <w:p w14:paraId="1B389DE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委托人同意在</w:t>
      </w:r>
      <w:r>
        <w:rPr>
          <w:rFonts w:hint="eastAsia" w:ascii="宋体" w:hAnsi="宋体"/>
          <w:color w:val="auto"/>
          <w:szCs w:val="21"/>
          <w:highlight w:val="none"/>
          <w:u w:val="single"/>
        </w:rPr>
        <w:t xml:space="preserve">  7  </w:t>
      </w:r>
      <w:r>
        <w:rPr>
          <w:rFonts w:hint="eastAsia" w:ascii="宋体" w:hAnsi="宋体"/>
          <w:color w:val="auto"/>
          <w:szCs w:val="21"/>
          <w:highlight w:val="none"/>
        </w:rPr>
        <w:t>天内，对监理人书面提交并要求做出决定的事宜给予答复。</w:t>
      </w:r>
    </w:p>
    <w:p w14:paraId="16B838B0">
      <w:pPr>
        <w:overflowPunct w:val="0"/>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4. 违约责任</w:t>
      </w:r>
    </w:p>
    <w:p w14:paraId="62C3F606">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 xml:space="preserve">4.1 </w:t>
      </w:r>
      <w:r>
        <w:rPr>
          <w:rFonts w:hint="eastAsia" w:ascii="宋体" w:hAnsi="宋体" w:cs="宋体"/>
          <w:color w:val="auto"/>
          <w:kern w:val="0"/>
          <w:szCs w:val="21"/>
          <w:highlight w:val="none"/>
        </w:rPr>
        <w:t>监理人的违约责任</w:t>
      </w:r>
    </w:p>
    <w:p w14:paraId="2BEF3751">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 监理人违约的其他情形：</w:t>
      </w:r>
    </w:p>
    <w:p w14:paraId="40C3A7AB">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4.1.1.1监理人未按本合同约定的内容、时间、数量向委托人交付报告、成果、文件的。</w:t>
      </w:r>
    </w:p>
    <w:p w14:paraId="076A36D9">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4.1.1.2监理人拒绝对报告、成果、文件出现的遗漏或错误负责修改补充的。</w:t>
      </w:r>
    </w:p>
    <w:p w14:paraId="3DF3E914">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4.1.1.3监理人向第三人扩散、转让本合同中委托人提供的技术资料、文件的。</w:t>
      </w:r>
    </w:p>
    <w:p w14:paraId="11B4BFC4">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4.1.1.4未经委托人人同意，监理人将履行本合同形成的知识成果擅自复制泄露或向第三人转让或用于本合同外的项目。</w:t>
      </w:r>
    </w:p>
    <w:p w14:paraId="4C65E79A">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4.1.1.5拒为委托人提供口头、现场咨询或参加现场论证的。</w:t>
      </w:r>
    </w:p>
    <w:p w14:paraId="07BFED5D">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4.1.1.6拒绝承担监理人工作人员的现场安全责任及其工作人员给第三方或委托人造成的一切损失的。</w:t>
      </w:r>
    </w:p>
    <w:p w14:paraId="772C243D">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4.1.1.7未为其工作人员办理社会保险、签订劳动合同、按时支付工资的。</w:t>
      </w:r>
    </w:p>
    <w:p w14:paraId="26BBC794">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4.1.1.8拒绝更换委托人不满意的工作人员的。</w:t>
      </w:r>
    </w:p>
    <w:p w14:paraId="760E1126">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4.1.1.9本合同有关条款规定和补充协议中监理人违约情形。</w:t>
      </w:r>
    </w:p>
    <w:p w14:paraId="193D92C2">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4.1.1.10拒绝配合办理竣工结算的。</w:t>
      </w:r>
    </w:p>
    <w:p w14:paraId="3955635C">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4.1.1.11拒绝履行本合同2.1条约定的义务的。</w:t>
      </w:r>
    </w:p>
    <w:p w14:paraId="1443843A">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4.1.1.12因监理人拒绝承担本合同约定的安全责任，致使委托人承担责任的。</w:t>
      </w:r>
    </w:p>
    <w:p w14:paraId="7A8B33EB">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4.1.1.13因监理人行为给委托人造成不良影响。</w:t>
      </w:r>
    </w:p>
    <w:p w14:paraId="05A774A7">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4.1.1.14擅自将本合同约定服务进行转包或分包的。</w:t>
      </w:r>
    </w:p>
    <w:p w14:paraId="083A6B1F">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4.1.1.15本合同有关条款规定和补充协议中承包人应负的责任。</w:t>
      </w:r>
    </w:p>
    <w:p w14:paraId="0A31AD11">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4.1.2监理人赔偿金额按下列方法确定：</w:t>
      </w:r>
    </w:p>
    <w:p w14:paraId="53BB6CC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（1）因监理人原因而暂停或终止监理业务，其善后工作及恢复监理业务所发生的费用，由监理单位承担，赔偿金按下列方法确定：</w:t>
      </w:r>
      <w:r>
        <w:rPr>
          <w:rFonts w:hint="eastAsia" w:ascii="宋体" w:hAnsi="宋体"/>
          <w:color w:val="auto"/>
          <w:szCs w:val="21"/>
          <w:highlight w:val="none"/>
          <w:u w:val="single"/>
        </w:rPr>
        <w:t xml:space="preserve"> 扣除所有未支付费用以及履约保证金</w:t>
      </w:r>
      <w:r>
        <w:rPr>
          <w:rFonts w:hint="eastAsia" w:ascii="宋体" w:hAnsi="宋体"/>
          <w:color w:val="auto"/>
          <w:szCs w:val="21"/>
          <w:highlight w:val="none"/>
        </w:rPr>
        <w:t xml:space="preserve">。 </w:t>
      </w:r>
    </w:p>
    <w:p w14:paraId="0DB9D6ED">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szCs w:val="21"/>
          <w:highlight w:val="none"/>
        </w:rPr>
        <w:t>（2）除</w:t>
      </w:r>
      <w:r>
        <w:rPr>
          <w:rFonts w:hint="eastAsia" w:ascii="宋体" w:hAnsi="宋体"/>
          <w:color w:val="auto"/>
          <w:kern w:val="0"/>
          <w:szCs w:val="21"/>
          <w:highlight w:val="none"/>
        </w:rPr>
        <w:t>4.1.1（1）</w:t>
      </w:r>
      <w:r>
        <w:rPr>
          <w:rFonts w:hint="eastAsia" w:ascii="宋体" w:hAnsi="宋体"/>
          <w:color w:val="auto"/>
          <w:szCs w:val="21"/>
          <w:highlight w:val="none"/>
        </w:rPr>
        <w:t>因监理人违反本合同约定给委托人造成损失的，赔偿金按下列方法确定：赔偿金＝直接经济损失</w:t>
      </w:r>
      <w:r>
        <w:rPr>
          <w:rFonts w:hint="eastAsia" w:ascii="宋体" w:hAnsi="宋体" w:cs="宋体"/>
          <w:color w:val="auto"/>
          <w:kern w:val="0"/>
          <w:szCs w:val="21"/>
          <w:highlight w:val="none"/>
        </w:rPr>
        <w:t>。监理人承担部分赔偿责任的，其承担赔偿金额由双方协商确定。</w:t>
      </w:r>
    </w:p>
    <w:p w14:paraId="06A8BDD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4.1.3违约的处理</w:t>
      </w:r>
    </w:p>
    <w:p w14:paraId="2094F0D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4.1.3.1监理人违约时，委托人有权解除本合同。</w:t>
      </w:r>
    </w:p>
    <w:p w14:paraId="44FEB3C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4.1.3.2由于监理人原因延误工期或未按规定时间交付报告、成果、文件，每延误一天应承担以工程费万分之五计算的违约金，并承担给委托人造成的一切损失。若延误15天，监理人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7AFA822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4.1.3.2交付的报告、成果、文件达不到合同约定条件的部分，委托人可要求监理人返工，监理人按委托人要求的的时间返工，直到符合约定条件，因监理人原因达不到约定条件，由监理人承担返工费，返工后仍不能达到约定条件或监理人未履行返工义务，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612DF8F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4.1.3.3监理人拒绝提供咨询、参加论证，每发生一次，按合同签约酬金的</w:t>
      </w:r>
      <w:r>
        <w:rPr>
          <w:rFonts w:hint="eastAsia" w:ascii="宋体" w:hAnsi="宋体"/>
          <w:color w:val="auto"/>
          <w:szCs w:val="21"/>
          <w:highlight w:val="none"/>
        </w:rPr>
        <w:t>（</w:t>
      </w:r>
      <w:r>
        <w:rPr>
          <w:rFonts w:hint="eastAsia" w:ascii="宋体" w:hAnsi="宋体"/>
          <w:color w:val="auto"/>
          <w:szCs w:val="21"/>
          <w:highlight w:val="none"/>
          <w:u w:val="single"/>
        </w:rPr>
        <w:t>5%</w:t>
      </w:r>
      <w:r>
        <w:rPr>
          <w:rFonts w:hint="eastAsia" w:ascii="宋体" w:hAnsi="宋体"/>
          <w:color w:val="auto"/>
          <w:szCs w:val="21"/>
          <w:highlight w:val="none"/>
        </w:rPr>
        <w:t>）</w:t>
      </w:r>
      <w:r>
        <w:rPr>
          <w:rFonts w:hint="eastAsia" w:ascii="宋体" w:hAnsi="宋体"/>
          <w:color w:val="auto"/>
          <w:szCs w:val="21"/>
          <w:highlight w:val="none"/>
        </w:rPr>
        <w:t>向委托人承担违约金，累计发生3次以上（含本数），委托人有权解除本合同，监理人按合同签约酬金的30%向委托人承担违约金。</w:t>
      </w:r>
    </w:p>
    <w:p w14:paraId="0110BA5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4.1.3.4监理人擅自更换项目工作人员，每发生一次，按合同签约酬金的</w:t>
      </w:r>
      <w:r>
        <w:rPr>
          <w:rFonts w:hint="eastAsia" w:ascii="宋体" w:hAnsi="宋体"/>
          <w:color w:val="auto"/>
          <w:szCs w:val="21"/>
          <w:highlight w:val="none"/>
        </w:rPr>
        <w:t>（</w:t>
      </w:r>
      <w:r>
        <w:rPr>
          <w:rFonts w:hint="eastAsia" w:ascii="宋体" w:hAnsi="宋体"/>
          <w:color w:val="auto"/>
          <w:szCs w:val="21"/>
          <w:highlight w:val="none"/>
          <w:u w:val="single"/>
        </w:rPr>
        <w:t>5%</w:t>
      </w:r>
      <w:r>
        <w:rPr>
          <w:rFonts w:hint="eastAsia" w:ascii="宋体" w:hAnsi="宋体"/>
          <w:color w:val="auto"/>
          <w:szCs w:val="21"/>
          <w:highlight w:val="none"/>
        </w:rPr>
        <w:t>）</w:t>
      </w:r>
      <w:r>
        <w:rPr>
          <w:rFonts w:hint="eastAsia" w:ascii="宋体" w:hAnsi="宋体"/>
          <w:color w:val="auto"/>
          <w:szCs w:val="21"/>
          <w:highlight w:val="none"/>
        </w:rPr>
        <w:t>%向委托人承担违约金，累计发生2次以上（含本数），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7B02575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4.1.3.5监理人拒绝更换工作人员，每发生一次，按合同签约酬金的</w:t>
      </w:r>
      <w:r>
        <w:rPr>
          <w:rFonts w:hint="eastAsia" w:ascii="宋体" w:hAnsi="宋体"/>
          <w:color w:val="auto"/>
          <w:szCs w:val="21"/>
          <w:highlight w:val="none"/>
        </w:rPr>
        <w:t>（</w:t>
      </w:r>
      <w:r>
        <w:rPr>
          <w:rFonts w:hint="eastAsia" w:ascii="宋体" w:hAnsi="宋体"/>
          <w:color w:val="auto"/>
          <w:szCs w:val="21"/>
          <w:highlight w:val="none"/>
          <w:u w:val="single"/>
        </w:rPr>
        <w:t>5%</w:t>
      </w:r>
      <w:r>
        <w:rPr>
          <w:rFonts w:hint="eastAsia" w:ascii="宋体" w:hAnsi="宋体"/>
          <w:color w:val="auto"/>
          <w:szCs w:val="21"/>
          <w:highlight w:val="none"/>
        </w:rPr>
        <w:t>）</w:t>
      </w:r>
      <w:r>
        <w:rPr>
          <w:rFonts w:hint="eastAsia" w:ascii="宋体" w:hAnsi="宋体"/>
          <w:color w:val="auto"/>
          <w:szCs w:val="21"/>
          <w:highlight w:val="none"/>
        </w:rPr>
        <w:t>%向委托人承担违约金，累计发生2次以上（含本数），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370750E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4.1.3.6因监理人原因解除本合同时，委托人另行委托第三方提供监理服务时，费用由监理人承担。</w:t>
      </w:r>
    </w:p>
    <w:p w14:paraId="25E6348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4.1.3.7监理人需承诺：在项目实施期间，因工作需要，须在甲方电话通知后4小时内到达现场，一次未到支付违约金一万元，按次数累加（该违约金可在监理费中扣划）。累计超过5次（含本数），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5DEB1B6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4.1.3.8监理人拒绝对报告、成果、文件出现的遗漏或错误负责修改补充的，每延误一天应承担以工程费万分之五计算的违约金，并承担给委托人造成的一切损失。若延误15天，，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135A8A0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4.1.3.9监理人向第三人扩散、转让本合同中委托人提供的技术资料、文件的，承担给委托人造成的一切损失。</w:t>
      </w:r>
    </w:p>
    <w:p w14:paraId="52D06AE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4.1.3.10未经委托人人同意，监理人将履行本合同形成的知识成果擅自复制泄露或向第三人转让或用于本合同外的项目，承担给委托人造成的一切损失。</w:t>
      </w:r>
    </w:p>
    <w:p w14:paraId="4B529EF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4.1.3.11因监理人与其工作人员之间的纠纷或其工作人员给第三方造成损失，委托人代为承担责任时，监理人承担给委托人造成的一切损失。</w:t>
      </w:r>
    </w:p>
    <w:p w14:paraId="3E7FE38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4.1.3.12拒绝配合办理竣工结算，每延误一天应承担以工程费万分之五计算的违约金，并承担给委托人造成的一切损失。若延误15天，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2D595368">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4.1.3.13因监理人行为给委托人造成不良影响，监理人拒绝消除影响时或不良影响未消除时，委托人有权解除本合同，监理人承担给委托人造成的一切损失。因监理人未按时支付工资，出现信访、上访或到委托人处讨薪情形的，则视为监理人违约，委托人有权选择将监理人欠付的工资支付并有权从应支付给监理人的费用中扣除，同时监理人按照本合同签约酬金的30%向委托人承担违约金且承担给委托人造成的一切损失（该损失包括但不限于委托人另行委托第三方履行本合同义务产生的费用、委托人向第三方承担的违约责任或损失），且委托人有权解除本合同。</w:t>
      </w:r>
    </w:p>
    <w:p w14:paraId="76422AB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4.1.3.14监理人在承担上述一项或多项违约责任后，仍应继续履行合同规定的义务（委托人解除合同的除外）。委托人未能及时追究监理人的任何一项违约责任并不代表委托人放弃追究承包人该项或其他违约责任。</w:t>
      </w:r>
    </w:p>
    <w:p w14:paraId="635CB1FF">
      <w:pPr>
        <w:overflowPunct w:val="0"/>
        <w:autoSpaceDE w:val="0"/>
        <w:autoSpaceDN w:val="0"/>
        <w:adjustRightInd w:val="0"/>
        <w:snapToGrid w:val="0"/>
        <w:spacing w:line="360" w:lineRule="auto"/>
        <w:ind w:firstLine="420" w:firstLineChars="200"/>
        <w:rPr>
          <w:color w:val="auto"/>
          <w:highlight w:val="none"/>
        </w:rPr>
      </w:pPr>
      <w:r>
        <w:rPr>
          <w:rFonts w:hint="eastAsia" w:ascii="宋体" w:hAnsi="宋体"/>
          <w:color w:val="auto"/>
          <w:szCs w:val="21"/>
          <w:highlight w:val="none"/>
        </w:rPr>
        <w:t>4.1.3.15委托人为维护其合法权益产生的费用由监理人承担，该费用包括但不限于律师费、诉讼费、财产保全费、财产保全担保费、差旅费、评估费、审计费、鉴定费、公证费、公告费等费用。</w:t>
      </w:r>
    </w:p>
    <w:p w14:paraId="6EA443AC">
      <w:pPr>
        <w:overflowPunct w:val="0"/>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kern w:val="0"/>
          <w:szCs w:val="21"/>
          <w:highlight w:val="none"/>
        </w:rPr>
        <w:t>4.2 委</w:t>
      </w:r>
      <w:r>
        <w:rPr>
          <w:rFonts w:hint="eastAsia" w:ascii="宋体" w:hAnsi="宋体" w:cs="宋体"/>
          <w:color w:val="auto"/>
          <w:kern w:val="0"/>
          <w:szCs w:val="21"/>
          <w:highlight w:val="none"/>
        </w:rPr>
        <w:t>托人的违约责任</w:t>
      </w:r>
    </w:p>
    <w:p w14:paraId="7A6153F9">
      <w:pPr>
        <w:overflowPunct w:val="0"/>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4.2.3 委托人</w:t>
      </w:r>
      <w:r>
        <w:rPr>
          <w:rFonts w:hint="eastAsia" w:ascii="宋体" w:hAnsi="宋体"/>
          <w:color w:val="auto"/>
          <w:kern w:val="0"/>
          <w:szCs w:val="21"/>
          <w:highlight w:val="none"/>
        </w:rPr>
        <w:t>逾期付款利息按下列方法确定：</w:t>
      </w:r>
    </w:p>
    <w:p w14:paraId="2E90B22A">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逾期付款利息＝当期应付款总额×中国人民银行同期活期存款利息÷365天×拖延支付天数。</w:t>
      </w:r>
    </w:p>
    <w:p w14:paraId="3D751E2D">
      <w:pPr>
        <w:overflowPunct w:val="0"/>
        <w:autoSpaceDE w:val="0"/>
        <w:autoSpaceDN w:val="0"/>
        <w:adjustRightInd w:val="0"/>
        <w:snapToGrid w:val="0"/>
        <w:spacing w:line="360" w:lineRule="auto"/>
        <w:ind w:firstLine="422" w:firstLineChars="200"/>
        <w:rPr>
          <w:rFonts w:ascii="宋体" w:hAnsi="宋体"/>
          <w:b/>
          <w:color w:val="auto"/>
          <w:szCs w:val="21"/>
          <w:highlight w:val="none"/>
        </w:rPr>
      </w:pPr>
      <w:r>
        <w:rPr>
          <w:rFonts w:hint="eastAsia" w:ascii="宋体" w:hAnsi="宋体"/>
          <w:b/>
          <w:bCs/>
          <w:color w:val="auto"/>
          <w:szCs w:val="21"/>
          <w:highlight w:val="none"/>
        </w:rPr>
        <w:t>5. 支付</w:t>
      </w:r>
    </w:p>
    <w:p w14:paraId="4DA7F1E5">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 xml:space="preserve">5.1 </w:t>
      </w:r>
      <w:r>
        <w:rPr>
          <w:rFonts w:hint="eastAsia" w:ascii="宋体" w:hAnsi="宋体"/>
          <w:bCs/>
          <w:color w:val="auto"/>
          <w:szCs w:val="21"/>
          <w:highlight w:val="none"/>
        </w:rPr>
        <w:t>支付货币</w:t>
      </w:r>
    </w:p>
    <w:p w14:paraId="079B831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币种为：</w:t>
      </w:r>
      <w:r>
        <w:rPr>
          <w:rFonts w:hint="eastAsia" w:ascii="宋体" w:hAnsi="宋体"/>
          <w:color w:val="auto"/>
          <w:szCs w:val="21"/>
          <w:highlight w:val="none"/>
          <w:u w:val="single"/>
        </w:rPr>
        <w:t xml:space="preserve">  人民币 </w:t>
      </w:r>
      <w:r>
        <w:rPr>
          <w:rFonts w:hint="eastAsia" w:ascii="宋体" w:hAnsi="宋体"/>
          <w:color w:val="auto"/>
          <w:szCs w:val="21"/>
          <w:highlight w:val="none"/>
        </w:rPr>
        <w:t>，比例为：</w:t>
      </w:r>
      <w:r>
        <w:rPr>
          <w:rFonts w:hint="eastAsia" w:ascii="宋体" w:hAnsi="宋体"/>
          <w:color w:val="auto"/>
          <w:szCs w:val="21"/>
          <w:highlight w:val="none"/>
          <w:u w:val="single"/>
        </w:rPr>
        <w:t xml:space="preserve">    /  </w:t>
      </w:r>
      <w:r>
        <w:rPr>
          <w:rFonts w:hint="eastAsia" w:ascii="宋体" w:hAnsi="宋体"/>
          <w:color w:val="auto"/>
          <w:szCs w:val="21"/>
          <w:highlight w:val="none"/>
        </w:rPr>
        <w:t>，汇率为：</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14:paraId="256C04AF">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 支付酬金</w:t>
      </w:r>
    </w:p>
    <w:p w14:paraId="1CD01BB2">
      <w:pPr>
        <w:pStyle w:val="2"/>
        <w:ind w:firstLine="400" w:firstLineChars="200"/>
        <w:rPr>
          <w:color w:val="auto"/>
          <w:highlight w:val="none"/>
        </w:rPr>
      </w:pPr>
      <w:r>
        <w:rPr>
          <w:rFonts w:hint="eastAsia"/>
          <w:color w:val="auto"/>
          <w:highlight w:val="none"/>
        </w:rPr>
        <w:t>本合同计算酬金=经审定的实际结算建筑安装工程费×中标监理费费率；监理人中标固定费率为：</w:t>
      </w:r>
      <w:r>
        <w:rPr>
          <w:rFonts w:hint="eastAsia"/>
          <w:color w:val="auto"/>
          <w:highlight w:val="none"/>
          <w:u w:val="single"/>
        </w:rPr>
        <w:t xml:space="preserve">        </w:t>
      </w:r>
      <w:r>
        <w:rPr>
          <w:rFonts w:hint="eastAsia"/>
          <w:color w:val="auto"/>
          <w:highlight w:val="none"/>
        </w:rPr>
        <w:t>。</w:t>
      </w:r>
    </w:p>
    <w:p w14:paraId="60E2664E">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5.2.1</w:t>
      </w:r>
      <w:r>
        <w:rPr>
          <w:rFonts w:ascii="宋体" w:hAnsi="宋体"/>
          <w:color w:val="auto"/>
          <w:szCs w:val="21"/>
          <w:highlight w:val="none"/>
        </w:rPr>
        <w:t>本项目不采用预付款</w:t>
      </w:r>
    </w:p>
    <w:p w14:paraId="04BCF471">
      <w:pPr>
        <w:overflowPunct w:val="0"/>
        <w:autoSpaceDE w:val="0"/>
        <w:autoSpaceDN w:val="0"/>
        <w:adjustRightInd w:val="0"/>
        <w:snapToGrid w:val="0"/>
        <w:spacing w:line="360" w:lineRule="auto"/>
        <w:ind w:firstLine="420" w:firstLineChars="200"/>
        <w:jc w:val="left"/>
        <w:textAlignment w:val="baseline"/>
        <w:rPr>
          <w:rFonts w:hint="eastAsia" w:ascii="宋体" w:hAnsi="宋体"/>
          <w:color w:val="auto"/>
          <w:szCs w:val="21"/>
          <w:highlight w:val="none"/>
        </w:rPr>
      </w:pPr>
      <w:r>
        <w:rPr>
          <w:rFonts w:hint="eastAsia" w:ascii="宋体" w:hAnsi="宋体"/>
          <w:color w:val="auto"/>
          <w:szCs w:val="21"/>
          <w:highlight w:val="none"/>
        </w:rPr>
        <w:t>5.2.2监理</w:t>
      </w:r>
      <w:r>
        <w:rPr>
          <w:rFonts w:ascii="宋体" w:hAnsi="宋体"/>
          <w:color w:val="auto"/>
          <w:szCs w:val="21"/>
          <w:highlight w:val="none"/>
        </w:rPr>
        <w:t>酬金</w:t>
      </w:r>
    </w:p>
    <w:p w14:paraId="2A335BE5">
      <w:pPr>
        <w:overflowPunct w:val="0"/>
        <w:autoSpaceDE w:val="0"/>
        <w:autoSpaceDN w:val="0"/>
        <w:adjustRightInd w:val="0"/>
        <w:snapToGrid w:val="0"/>
        <w:spacing w:line="360" w:lineRule="auto"/>
        <w:ind w:firstLine="420" w:firstLineChars="200"/>
        <w:jc w:val="left"/>
        <w:textAlignment w:val="baseline"/>
        <w:rPr>
          <w:rFonts w:hint="eastAsia" w:ascii="宋体" w:hAnsi="宋体"/>
          <w:color w:val="auto"/>
          <w:szCs w:val="21"/>
          <w:highlight w:val="none"/>
        </w:rPr>
      </w:pPr>
      <w:r>
        <w:rPr>
          <w:rFonts w:hint="eastAsia" w:ascii="宋体" w:hAnsi="宋体"/>
          <w:color w:val="auto"/>
          <w:szCs w:val="21"/>
          <w:highlight w:val="none"/>
        </w:rPr>
        <w:t>本项目监理费用按施工进度付款：</w:t>
      </w:r>
    </w:p>
    <w:p w14:paraId="5AE9D73F">
      <w:pPr>
        <w:overflowPunct w:val="0"/>
        <w:autoSpaceDE w:val="0"/>
        <w:autoSpaceDN w:val="0"/>
        <w:adjustRightInd w:val="0"/>
        <w:snapToGrid w:val="0"/>
        <w:spacing w:line="360" w:lineRule="auto"/>
        <w:ind w:firstLine="420" w:firstLineChars="200"/>
        <w:jc w:val="left"/>
        <w:textAlignment w:val="baseline"/>
        <w:rPr>
          <w:rFonts w:hint="eastAsia" w:ascii="宋体" w:hAnsi="宋体"/>
          <w:color w:val="auto"/>
          <w:szCs w:val="21"/>
          <w:highlight w:val="none"/>
        </w:rPr>
      </w:pPr>
      <w:r>
        <w:rPr>
          <w:rFonts w:hint="eastAsia" w:ascii="宋体" w:hAnsi="宋体"/>
          <w:color w:val="auto"/>
          <w:szCs w:val="21"/>
          <w:highlight w:val="none"/>
        </w:rPr>
        <w:t>①委托人按每季度审核完成进度支付监理酬金，每期实际支付为：</w:t>
      </w:r>
      <w:r>
        <w:rPr>
          <w:rFonts w:hint="eastAsia" w:ascii="宋体" w:hAnsi="宋体"/>
          <w:color w:val="auto"/>
          <w:szCs w:val="21"/>
          <w:highlight w:val="none"/>
        </w:rPr>
        <w:t>委托人确认的</w:t>
      </w:r>
      <w:r>
        <w:rPr>
          <w:rFonts w:hint="eastAsia"/>
          <w:color w:val="auto"/>
          <w:highlight w:val="none"/>
        </w:rPr>
        <w:t>建筑安装工程费×中标监理费费率</w:t>
      </w:r>
      <w:r>
        <w:rPr>
          <w:rFonts w:hint="eastAsia" w:ascii="宋体" w:hAnsi="宋体"/>
          <w:color w:val="auto"/>
          <w:szCs w:val="21"/>
          <w:highlight w:val="none"/>
        </w:rPr>
        <w:t>×70%。</w:t>
      </w:r>
      <w:r>
        <w:rPr>
          <w:rFonts w:hint="eastAsia" w:ascii="宋体" w:hAnsi="宋体"/>
          <w:color w:val="auto"/>
          <w:szCs w:val="21"/>
          <w:highlight w:val="none"/>
        </w:rPr>
        <w:t>监理人于次月提出申请，委托人自收到监理人提出的申请经确认且收到等额的增值税专用发票后的28日内，支付上一个季度的监理酬金；</w:t>
      </w:r>
    </w:p>
    <w:p w14:paraId="008B1A27">
      <w:pPr>
        <w:overflowPunct w:val="0"/>
        <w:autoSpaceDE w:val="0"/>
        <w:autoSpaceDN w:val="0"/>
        <w:adjustRightInd w:val="0"/>
        <w:snapToGrid w:val="0"/>
        <w:spacing w:line="360" w:lineRule="auto"/>
        <w:ind w:firstLine="420" w:firstLineChars="200"/>
        <w:jc w:val="left"/>
        <w:textAlignment w:val="baseline"/>
        <w:rPr>
          <w:rFonts w:hint="eastAsia" w:ascii="宋体" w:hAnsi="宋体" w:cs="宋体"/>
          <w:color w:val="auto"/>
          <w:highlight w:val="none"/>
        </w:rPr>
      </w:pPr>
      <w:r>
        <w:rPr>
          <w:rFonts w:hint="eastAsia" w:ascii="宋体" w:hAnsi="宋体"/>
          <w:color w:val="auto"/>
          <w:szCs w:val="21"/>
          <w:highlight w:val="none"/>
        </w:rPr>
        <w:t>②项目竣工验收合格、监理人提出申请经确认且收到等额的增值税专用发票后的【60】日内后支付至</w:t>
      </w:r>
      <w:r>
        <w:rPr>
          <w:rFonts w:hint="eastAsia"/>
          <w:color w:val="auto"/>
          <w:highlight w:val="none"/>
        </w:rPr>
        <w:t>合同计算酬金</w:t>
      </w:r>
      <w:r>
        <w:rPr>
          <w:rFonts w:hint="eastAsia" w:ascii="宋体" w:hAnsi="宋体"/>
          <w:color w:val="auto"/>
          <w:szCs w:val="21"/>
          <w:highlight w:val="none"/>
        </w:rPr>
        <w:t>的70%；所有监理资料按规范整理完毕并移交、监理人提出申请经确认且收到等额的增值税专用发票后的【60】日内支付至</w:t>
      </w:r>
      <w:r>
        <w:rPr>
          <w:rFonts w:hint="eastAsia"/>
          <w:color w:val="auto"/>
          <w:highlight w:val="none"/>
        </w:rPr>
        <w:t>合同计算酬金</w:t>
      </w:r>
      <w:r>
        <w:rPr>
          <w:rFonts w:hint="eastAsia" w:ascii="宋体" w:hAnsi="宋体"/>
          <w:color w:val="auto"/>
          <w:szCs w:val="21"/>
          <w:highlight w:val="none"/>
        </w:rPr>
        <w:t>的</w:t>
      </w:r>
      <w:r>
        <w:rPr>
          <w:rFonts w:hint="eastAsia" w:ascii="宋体" w:hAnsi="宋体" w:cs="宋体"/>
          <w:color w:val="auto"/>
          <w:szCs w:val="21"/>
          <w:highlight w:val="none"/>
        </w:rPr>
        <w:t>80%；</w:t>
      </w:r>
      <w:r>
        <w:rPr>
          <w:rFonts w:hint="eastAsia" w:ascii="宋体" w:hAnsi="宋体" w:cs="宋体"/>
          <w:color w:val="auto"/>
          <w:szCs w:val="21"/>
          <w:highlight w:val="none"/>
        </w:rPr>
        <w:t>办理完结算审定最终监理酬金</w:t>
      </w:r>
      <w:r>
        <w:rPr>
          <w:rFonts w:hint="eastAsia" w:ascii="宋体" w:hAnsi="宋体"/>
          <w:color w:val="auto"/>
          <w:szCs w:val="21"/>
          <w:highlight w:val="none"/>
        </w:rPr>
        <w:t>、监理人提出申请经确认且收到等额的增值税专用发票后的【60】日内</w:t>
      </w:r>
      <w:r>
        <w:rPr>
          <w:rFonts w:hint="eastAsia" w:ascii="宋体" w:hAnsi="宋体" w:cs="宋体"/>
          <w:color w:val="auto"/>
          <w:szCs w:val="21"/>
          <w:highlight w:val="none"/>
        </w:rPr>
        <w:t>支付至结算金额的95</w:t>
      </w:r>
      <w:r>
        <w:rPr>
          <w:rFonts w:hint="eastAsia" w:ascii="宋体" w:hAnsi="宋体" w:cs="宋体"/>
          <w:color w:val="auto"/>
          <w:szCs w:val="21"/>
          <w:highlight w:val="none"/>
        </w:rPr>
        <w:t>%；</w:t>
      </w:r>
      <w:r>
        <w:rPr>
          <w:rFonts w:ascii="宋体" w:hAnsi="宋体" w:cs="宋体"/>
          <w:color w:val="auto"/>
          <w:highlight w:val="none"/>
        </w:rPr>
        <w:t xml:space="preserve"> </w:t>
      </w:r>
    </w:p>
    <w:p w14:paraId="64E8C325">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ascii="宋体" w:hAnsi="宋体"/>
          <w:color w:val="auto"/>
          <w:szCs w:val="21"/>
          <w:highlight w:val="none"/>
        </w:rPr>
        <w:t>保修阶段服务</w:t>
      </w:r>
      <w:r>
        <w:rPr>
          <w:rFonts w:hint="eastAsia" w:ascii="宋体" w:hAnsi="宋体"/>
          <w:color w:val="auto"/>
          <w:szCs w:val="21"/>
          <w:highlight w:val="none"/>
        </w:rPr>
        <w:t>（5%）</w:t>
      </w:r>
      <w:r>
        <w:rPr>
          <w:rFonts w:ascii="宋体" w:hAnsi="宋体"/>
          <w:color w:val="auto"/>
          <w:szCs w:val="21"/>
          <w:highlight w:val="none"/>
        </w:rPr>
        <w:t>：缺陷责任期满</w:t>
      </w:r>
      <w:r>
        <w:rPr>
          <w:rFonts w:hint="eastAsia" w:ascii="宋体" w:hAnsi="宋体"/>
          <w:color w:val="auto"/>
          <w:szCs w:val="21"/>
          <w:highlight w:val="none"/>
        </w:rPr>
        <w:t>，验收合格、监理人提出申请经确认且收到等额的增值税专用发票后的【60】日内</w:t>
      </w:r>
      <w:r>
        <w:rPr>
          <w:rFonts w:ascii="宋体" w:hAnsi="宋体"/>
          <w:color w:val="auto"/>
          <w:szCs w:val="21"/>
          <w:highlight w:val="none"/>
        </w:rPr>
        <w:t>内一次性支付</w:t>
      </w:r>
      <w:r>
        <w:rPr>
          <w:rFonts w:hint="eastAsia" w:ascii="宋体" w:hAnsi="宋体"/>
          <w:color w:val="auto"/>
          <w:szCs w:val="21"/>
          <w:highlight w:val="none"/>
        </w:rPr>
        <w:t>剩余5%</w:t>
      </w:r>
      <w:r>
        <w:rPr>
          <w:rFonts w:ascii="宋体" w:hAnsi="宋体"/>
          <w:color w:val="auto"/>
          <w:szCs w:val="21"/>
          <w:highlight w:val="none"/>
        </w:rPr>
        <w:t>（无息）；</w:t>
      </w:r>
    </w:p>
    <w:p w14:paraId="4CED2750">
      <w:pPr>
        <w:overflowPunct w:val="0"/>
        <w:autoSpaceDE w:val="0"/>
        <w:autoSpaceDN w:val="0"/>
        <w:adjustRightInd w:val="0"/>
        <w:snapToGrid w:val="0"/>
        <w:spacing w:line="360" w:lineRule="auto"/>
        <w:ind w:firstLine="420"/>
        <w:jc w:val="left"/>
        <w:textAlignment w:val="baseline"/>
        <w:rPr>
          <w:rFonts w:ascii="宋体" w:hAnsi="宋体" w:cs="宋体"/>
          <w:color w:val="auto"/>
          <w:kern w:val="1"/>
          <w:szCs w:val="21"/>
          <w:highlight w:val="none"/>
        </w:rPr>
      </w:pPr>
      <w:r>
        <w:rPr>
          <w:rFonts w:hint="eastAsia" w:ascii="宋体" w:hAnsi="宋体" w:cs="宋体"/>
          <w:color w:val="auto"/>
          <w:kern w:val="1"/>
          <w:szCs w:val="21"/>
          <w:highlight w:val="none"/>
        </w:rPr>
        <w:t>注：若存在下列情形时，下列情形作为付款条件之一，同时适用，若涉及进度款则不包括下列情形第4种：</w:t>
      </w:r>
    </w:p>
    <w:p w14:paraId="2947C3BC">
      <w:pPr>
        <w:overflowPunct w:val="0"/>
        <w:autoSpaceDE w:val="0"/>
        <w:autoSpaceDN w:val="0"/>
        <w:adjustRightInd w:val="0"/>
        <w:snapToGrid w:val="0"/>
        <w:spacing w:line="360" w:lineRule="auto"/>
        <w:ind w:firstLine="420"/>
        <w:jc w:val="left"/>
        <w:textAlignment w:val="baseline"/>
        <w:rPr>
          <w:rFonts w:hint="eastAsia" w:ascii="宋体" w:hAnsi="宋体"/>
          <w:color w:val="auto"/>
          <w:highlight w:val="none"/>
        </w:rPr>
      </w:pPr>
      <w:r>
        <w:rPr>
          <w:rFonts w:hint="eastAsia" w:ascii="宋体" w:hAnsi="宋体" w:cs="宋体"/>
          <w:color w:val="auto"/>
          <w:kern w:val="1"/>
          <w:szCs w:val="21"/>
          <w:highlight w:val="none"/>
        </w:rPr>
        <w:t>（1）每次付款前，监理单位须向委托人提供有效等额增值税专用发票。</w:t>
      </w:r>
      <w:r>
        <w:rPr>
          <w:rFonts w:hint="eastAsia" w:ascii="宋体" w:hAnsi="宋体"/>
          <w:color w:val="auto"/>
          <w:highlight w:val="none"/>
        </w:rPr>
        <w:t>在付款前监理人应当提供等额增值税发票，未足额提供的发票的，委托人有权拒绝付款；</w:t>
      </w:r>
    </w:p>
    <w:p w14:paraId="4C27E40B">
      <w:pPr>
        <w:overflowPunct w:val="0"/>
        <w:autoSpaceDE w:val="0"/>
        <w:autoSpaceDN w:val="0"/>
        <w:adjustRightInd w:val="0"/>
        <w:snapToGrid w:val="0"/>
        <w:spacing w:line="360" w:lineRule="auto"/>
        <w:ind w:firstLine="420"/>
        <w:jc w:val="left"/>
        <w:textAlignment w:val="baseline"/>
        <w:rPr>
          <w:rFonts w:hint="eastAsia" w:ascii="宋体" w:hAnsi="宋体"/>
          <w:color w:val="auto"/>
          <w:highlight w:val="none"/>
        </w:rPr>
      </w:pPr>
      <w:r>
        <w:rPr>
          <w:rFonts w:hint="eastAsia" w:ascii="宋体" w:hAnsi="宋体"/>
          <w:color w:val="auto"/>
          <w:highlight w:val="none"/>
        </w:rPr>
        <w:t>（2）若合同计算酬金在支付款项时尚无法确定，则以本合同载明工程暂定的建筑安装工程费为基数乘以中标费率做为酬金；</w:t>
      </w:r>
    </w:p>
    <w:p w14:paraId="18EDFFBA">
      <w:pPr>
        <w:overflowPunct w:val="0"/>
        <w:autoSpaceDE w:val="0"/>
        <w:autoSpaceDN w:val="0"/>
        <w:adjustRightInd w:val="0"/>
        <w:snapToGrid w:val="0"/>
        <w:spacing w:line="360" w:lineRule="auto"/>
        <w:ind w:firstLine="420"/>
        <w:jc w:val="left"/>
        <w:textAlignment w:val="baseline"/>
        <w:rPr>
          <w:rFonts w:hint="eastAsia" w:ascii="宋体" w:hAnsi="宋体"/>
          <w:color w:val="auto"/>
          <w:highlight w:val="none"/>
        </w:rPr>
      </w:pPr>
      <w:r>
        <w:rPr>
          <w:rFonts w:hint="eastAsia" w:ascii="宋体" w:hAnsi="宋体"/>
          <w:color w:val="auto"/>
          <w:highlight w:val="none"/>
        </w:rPr>
        <w:t>（3）若本合同涉及财政资金或专项资金支持，在委托人未收到财政资金或专项资金的情形下，委托人有权迟延付款且不承担违约责任，在符合其他付款条件且收到财政资金或专项资金后付款；</w:t>
      </w:r>
    </w:p>
    <w:p w14:paraId="73906E20">
      <w:pPr>
        <w:overflowPunct w:val="0"/>
        <w:autoSpaceDE w:val="0"/>
        <w:autoSpaceDN w:val="0"/>
        <w:adjustRightInd w:val="0"/>
        <w:snapToGrid w:val="0"/>
        <w:spacing w:line="360" w:lineRule="auto"/>
        <w:ind w:firstLine="420"/>
        <w:jc w:val="left"/>
        <w:textAlignment w:val="baseline"/>
        <w:rPr>
          <w:rFonts w:hint="eastAsia" w:ascii="宋体" w:hAnsi="宋体"/>
          <w:color w:val="auto"/>
          <w:highlight w:val="none"/>
        </w:rPr>
      </w:pPr>
      <w:r>
        <w:rPr>
          <w:rFonts w:hint="eastAsia" w:ascii="宋体" w:hAnsi="宋体"/>
          <w:color w:val="auto"/>
          <w:highlight w:val="none"/>
        </w:rPr>
        <w:t>（4）若需对工程进行审计或财评，则在审计或财评结果未出之前，委托人有权迟延付款且不承担违约责任。</w:t>
      </w:r>
    </w:p>
    <w:p w14:paraId="046D2AF1">
      <w:pPr>
        <w:overflowPunct w:val="0"/>
        <w:autoSpaceDE w:val="0"/>
        <w:autoSpaceDN w:val="0"/>
        <w:adjustRightInd w:val="0"/>
        <w:snapToGrid w:val="0"/>
        <w:spacing w:line="360" w:lineRule="auto"/>
        <w:ind w:firstLine="420"/>
        <w:textAlignment w:val="baseline"/>
        <w:rPr>
          <w:rFonts w:hint="eastAsia" w:ascii="宋体" w:hAnsi="宋体"/>
          <w:color w:val="auto"/>
          <w:highlight w:val="none"/>
        </w:rPr>
      </w:pPr>
      <w:r>
        <w:rPr>
          <w:rFonts w:hint="eastAsia" w:ascii="宋体" w:hAnsi="宋体"/>
          <w:color w:val="auto"/>
          <w:highlight w:val="none"/>
        </w:rPr>
        <w:t>本合同的审计包括委托人委托第三方审计、重庆市南岸区财政局审计或重庆市南岸区审计局审计，若需重庆市南岸区财政局审计或重庆市南岸区审计局审计，则以重庆市南岸区财政局审计或重庆市南岸区审计局审计结果为准。</w:t>
      </w:r>
    </w:p>
    <w:p w14:paraId="38820846">
      <w:pPr>
        <w:overflowPunct w:val="0"/>
        <w:autoSpaceDE w:val="0"/>
        <w:autoSpaceDN w:val="0"/>
        <w:adjustRightInd w:val="0"/>
        <w:snapToGrid w:val="0"/>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6</w:t>
      </w:r>
      <w:r>
        <w:rPr>
          <w:rFonts w:hint="eastAsia" w:ascii="宋体" w:hAnsi="宋体"/>
          <w:b/>
          <w:bCs/>
          <w:color w:val="auto"/>
          <w:szCs w:val="21"/>
          <w:highlight w:val="none"/>
        </w:rPr>
        <w:t>. 合同生效、变更、暂停、解除与终止</w:t>
      </w:r>
    </w:p>
    <w:p w14:paraId="4FDE356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 生效</w:t>
      </w:r>
    </w:p>
    <w:p w14:paraId="2221491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本合同生效条件：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同合同协议书</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D1AEF2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 变更</w:t>
      </w:r>
    </w:p>
    <w:p w14:paraId="010157F9">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6.2.2监理人报酬</w:t>
      </w:r>
    </w:p>
    <w:p w14:paraId="4FC07259">
      <w:pPr>
        <w:overflowPunct w:val="0"/>
        <w:autoSpaceDE w:val="0"/>
        <w:autoSpaceDN w:val="0"/>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w:t>
      </w:r>
    </w:p>
    <w:p w14:paraId="4A11E980">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p>
    <w:p w14:paraId="556E85E0">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6.2.6委托人除按</w:t>
      </w:r>
      <w:r>
        <w:rPr>
          <w:rFonts w:hint="eastAsia" w:ascii="宋体" w:hAnsi="宋体"/>
          <w:color w:val="auto"/>
          <w:szCs w:val="21"/>
          <w:highlight w:val="none"/>
        </w:rPr>
        <w:t>5.2</w:t>
      </w:r>
      <w:r>
        <w:rPr>
          <w:rFonts w:hint="eastAsia" w:ascii="宋体" w:hAnsi="宋体"/>
          <w:color w:val="auto"/>
          <w:szCs w:val="21"/>
          <w:highlight w:val="none"/>
        </w:rPr>
        <w:t>计算监理报酬外，不因工期延长、不因工作需要增加监理人员、以及其它任何因素另外增加监理费用。</w:t>
      </w:r>
    </w:p>
    <w:p w14:paraId="31656A73">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6.3本合同履行过程中，在监理人无违约的情形下，委托人有权单方随时解除本合同且不承担违约责任，但应根据工程进度按比例支付费用，费用不超过本合同约定签约总金额，支付费用前，监理人应先交付等额增值税专用发票。</w:t>
      </w:r>
    </w:p>
    <w:p w14:paraId="3CDA35F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6.4合同终止后2日内，监理人应退场，逾期退场，委托人有权强制监理人退场，若场地内留有监理人物品，视为遗弃物，委托人有权任意处置，处置费用由监理人承担，处置所得款项归委托人所有，场地内留有的监理人物品，委托人有权无偿使用；逾期退场，每逾期一日，监理人按照10000元/日向委托人承担损失。同时，合同终止后2日内，监理人负责将监理资料整理一套交付委托人，逾期交付的，每逾期一日，监理人按照10000元/日向委托人承担损失。</w:t>
      </w:r>
    </w:p>
    <w:p w14:paraId="6986E6B5">
      <w:pPr>
        <w:overflowPunct w:val="0"/>
        <w:autoSpaceDE w:val="0"/>
        <w:autoSpaceDN w:val="0"/>
        <w:adjustRightInd w:val="0"/>
        <w:snapToGrid w:val="0"/>
        <w:spacing w:line="360" w:lineRule="auto"/>
        <w:ind w:firstLine="422" w:firstLineChars="200"/>
        <w:rPr>
          <w:rFonts w:ascii="宋体" w:hAnsi="宋体"/>
          <w:b/>
          <w:color w:val="auto"/>
          <w:szCs w:val="21"/>
          <w:highlight w:val="none"/>
        </w:rPr>
      </w:pPr>
      <w:r>
        <w:rPr>
          <w:rFonts w:hint="eastAsia" w:ascii="宋体" w:hAnsi="宋体"/>
          <w:b/>
          <w:bCs/>
          <w:color w:val="auto"/>
          <w:szCs w:val="21"/>
          <w:highlight w:val="none"/>
        </w:rPr>
        <w:t>7. 争议解决</w:t>
      </w:r>
    </w:p>
    <w:p w14:paraId="5E6984C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7.2 </w:t>
      </w:r>
      <w:r>
        <w:rPr>
          <w:rFonts w:hint="eastAsia" w:ascii="宋体" w:hAnsi="宋体"/>
          <w:bCs/>
          <w:color w:val="auto"/>
          <w:szCs w:val="21"/>
          <w:highlight w:val="none"/>
        </w:rPr>
        <w:t>调解</w:t>
      </w:r>
    </w:p>
    <w:p w14:paraId="7F61650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本合同争议进行调解时，可提交</w:t>
      </w:r>
      <w:r>
        <w:rPr>
          <w:rFonts w:hint="eastAsia" w:ascii="宋体" w:hAnsi="宋体"/>
          <w:color w:val="auto"/>
          <w:szCs w:val="21"/>
          <w:highlight w:val="none"/>
          <w:u w:val="single"/>
        </w:rPr>
        <w:t xml:space="preserve">  双方协商 </w:t>
      </w:r>
      <w:r>
        <w:rPr>
          <w:rFonts w:hint="eastAsia" w:ascii="宋体" w:hAnsi="宋体"/>
          <w:color w:val="auto"/>
          <w:szCs w:val="21"/>
          <w:highlight w:val="none"/>
        </w:rPr>
        <w:t>进行调解。</w:t>
      </w:r>
    </w:p>
    <w:p w14:paraId="08C522E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7.3 </w:t>
      </w:r>
      <w:r>
        <w:rPr>
          <w:rFonts w:hint="eastAsia" w:ascii="宋体" w:hAnsi="宋体"/>
          <w:bCs/>
          <w:color w:val="auto"/>
          <w:szCs w:val="21"/>
          <w:highlight w:val="none"/>
        </w:rPr>
        <w:t>仲裁或诉讼</w:t>
      </w:r>
    </w:p>
    <w:p w14:paraId="0431021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合同争议的最终解决方式为下列第</w:t>
      </w:r>
      <w:r>
        <w:rPr>
          <w:rFonts w:hint="eastAsia" w:ascii="宋体" w:hAnsi="宋体"/>
          <w:color w:val="auto"/>
          <w:szCs w:val="21"/>
          <w:highlight w:val="none"/>
          <w:u w:val="single"/>
        </w:rPr>
        <w:t xml:space="preserve"> 2 </w:t>
      </w:r>
      <w:r>
        <w:rPr>
          <w:rFonts w:hint="eastAsia" w:ascii="宋体" w:hAnsi="宋体"/>
          <w:color w:val="auto"/>
          <w:szCs w:val="21"/>
          <w:highlight w:val="none"/>
        </w:rPr>
        <w:t>种方式：</w:t>
      </w:r>
    </w:p>
    <w:p w14:paraId="6618E28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（1）提请</w:t>
      </w:r>
      <w:r>
        <w:rPr>
          <w:rFonts w:hint="eastAsia" w:ascii="宋体" w:hAnsi="宋体"/>
          <w:color w:val="auto"/>
          <w:szCs w:val="21"/>
          <w:highlight w:val="none"/>
          <w:u w:val="single"/>
        </w:rPr>
        <w:t xml:space="preserve"> 重庆</w:t>
      </w:r>
      <w:r>
        <w:rPr>
          <w:rFonts w:hint="eastAsia" w:ascii="宋体" w:hAnsi="宋体"/>
          <w:color w:val="auto"/>
          <w:szCs w:val="21"/>
          <w:highlight w:val="none"/>
        </w:rPr>
        <w:t>仲裁委员会进行仲裁。</w:t>
      </w:r>
    </w:p>
    <w:p w14:paraId="5321865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工程所在地 </w:t>
      </w:r>
      <w:r>
        <w:rPr>
          <w:rFonts w:hint="eastAsia" w:ascii="宋体" w:hAnsi="宋体"/>
          <w:color w:val="auto"/>
          <w:szCs w:val="21"/>
          <w:highlight w:val="none"/>
        </w:rPr>
        <w:t>人民法院提起诉讼。</w:t>
      </w:r>
    </w:p>
    <w:p w14:paraId="7757BACA">
      <w:pPr>
        <w:overflowPunct w:val="0"/>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8. 其他</w:t>
      </w:r>
    </w:p>
    <w:p w14:paraId="7EFC37AD">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8.2 检测费用</w:t>
      </w:r>
    </w:p>
    <w:p w14:paraId="4C263BC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属于监理业务范围内的平行检测、抽检等正常服务，检测费用由监理人自理。属于委托人额外要求增加的监理人进行的材料和设备检测所发生的检测费用，若检测结果合格，其费用由委托人承担，若检测结果不合格检测费用由责任方承担。委托人应支付的检测费用在检测报告取得后15天内支付。</w:t>
      </w:r>
    </w:p>
    <w:p w14:paraId="4A3AABAF">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8.3 咨询费用</w:t>
      </w:r>
    </w:p>
    <w:p w14:paraId="10A662F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在监理业务范围内，如需聘用专家咨询或协助，其费用由监理人承担；由委托人聘用的，其费用由委托人承担。</w:t>
      </w:r>
    </w:p>
    <w:p w14:paraId="2475C47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8.4 奖励</w:t>
      </w:r>
    </w:p>
    <w:p w14:paraId="174F78B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合理化建议的奖励金额按下列方法确定为：</w:t>
      </w:r>
    </w:p>
    <w:p w14:paraId="2F5DE91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奖励金额＝工程投资节省额×奖励金额的比率；</w:t>
      </w:r>
    </w:p>
    <w:p w14:paraId="13DE080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奖励金额的比率为</w:t>
      </w:r>
      <w:r>
        <w:rPr>
          <w:rFonts w:hint="eastAsia" w:ascii="宋体" w:hAnsi="宋体"/>
          <w:color w:val="auto"/>
          <w:szCs w:val="21"/>
          <w:highlight w:val="none"/>
          <w:u w:val="single"/>
        </w:rPr>
        <w:t>5%-10</w:t>
      </w:r>
      <w:r>
        <w:rPr>
          <w:rFonts w:hint="eastAsia" w:ascii="宋体" w:hAnsi="宋体"/>
          <w:color w:val="auto"/>
          <w:szCs w:val="21"/>
          <w:highlight w:val="none"/>
        </w:rPr>
        <w:t>%。</w:t>
      </w:r>
    </w:p>
    <w:p w14:paraId="1E52C23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8.5 通知</w:t>
      </w:r>
    </w:p>
    <w:p w14:paraId="0819C5C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8.5.1双方确认如下方式为通知（包括诉讼文书）送达地址</w:t>
      </w:r>
    </w:p>
    <w:p w14:paraId="4BF0B32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8.5.1.1 委托人通讯地址：</w:t>
      </w:r>
      <w:r>
        <w:rPr>
          <w:rFonts w:hint="eastAsia" w:ascii="宋体" w:hAnsi="宋体"/>
          <w:color w:val="auto"/>
          <w:szCs w:val="21"/>
          <w:highlight w:val="none"/>
          <w:u w:val="single"/>
        </w:rPr>
        <w:t xml:space="preserve">        </w:t>
      </w:r>
      <w:r>
        <w:rPr>
          <w:rFonts w:hint="eastAsia" w:ascii="宋体" w:hAnsi="宋体"/>
          <w:color w:val="auto"/>
          <w:szCs w:val="21"/>
          <w:highlight w:val="none"/>
        </w:rPr>
        <w:t>；联系人（收件人）：</w:t>
      </w:r>
      <w:r>
        <w:rPr>
          <w:rFonts w:hint="eastAsia" w:ascii="宋体" w:hAnsi="宋体"/>
          <w:color w:val="auto"/>
          <w:szCs w:val="21"/>
          <w:highlight w:val="none"/>
          <w:u w:val="single"/>
        </w:rPr>
        <w:t xml:space="preserve">       </w:t>
      </w: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；电子邮箱：</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E9CC0A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8.5.1.2 监理人通讯地址：</w:t>
      </w:r>
      <w:r>
        <w:rPr>
          <w:rFonts w:hint="eastAsia" w:ascii="宋体" w:hAnsi="宋体"/>
          <w:color w:val="auto"/>
          <w:szCs w:val="21"/>
          <w:highlight w:val="none"/>
          <w:u w:val="single"/>
        </w:rPr>
        <w:t xml:space="preserve">        </w:t>
      </w:r>
      <w:r>
        <w:rPr>
          <w:rFonts w:hint="eastAsia" w:ascii="宋体" w:hAnsi="宋体"/>
          <w:color w:val="auto"/>
          <w:szCs w:val="21"/>
          <w:highlight w:val="none"/>
        </w:rPr>
        <w:t>；联系人（收件人）：</w:t>
      </w:r>
      <w:r>
        <w:rPr>
          <w:rFonts w:hint="eastAsia" w:ascii="宋体" w:hAnsi="宋体"/>
          <w:color w:val="auto"/>
          <w:szCs w:val="21"/>
          <w:highlight w:val="none"/>
          <w:u w:val="single"/>
        </w:rPr>
        <w:t xml:space="preserve">       </w:t>
      </w: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；电子邮箱：</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C787579">
      <w:pPr>
        <w:widowControl/>
        <w:spacing w:line="360" w:lineRule="auto"/>
        <w:ind w:right="-656" w:firstLine="424"/>
        <w:jc w:val="left"/>
        <w:rPr>
          <w:rFonts w:hint="eastAsia" w:ascii="宋体" w:hAnsi="宋体"/>
          <w:color w:val="auto"/>
          <w:szCs w:val="21"/>
          <w:highlight w:val="none"/>
        </w:rPr>
      </w:pPr>
      <w:r>
        <w:rPr>
          <w:rFonts w:hint="eastAsia" w:ascii="宋体" w:hAnsi="宋体"/>
          <w:color w:val="auto"/>
          <w:szCs w:val="21"/>
          <w:highlight w:val="none"/>
        </w:rPr>
        <w:t>8.5.2若一方送达地址、联系人、联系电话发生变更，应书面告知另一方。变更通知送达前，另一方按前述方式送达的文书均视为有效送达，并产生相应法律效力。若当面送达拒绝签收，一方选择邮寄时，自寄出三日起，则视为有效送达。在因本合同及本合同相关事宜发生诉讼/仲裁的情形下，上述约定的各方通信地址，同时作为各方的诉讼/仲裁文书送达地址，该通信地址用于接收诉讼/仲裁文书（包括但不限于传票、判决书、裁决书、权利义务告知书等法律文书）；法院/仲裁机构按该地址送达的法律文书（包括但不限于传票、判决书、裁决书、权利义务告知书等法律文书），即视为当事人签收，受送达人拒收或无法送达的，不影响送达的效力。</w:t>
      </w:r>
    </w:p>
    <w:p w14:paraId="0F930BA3">
      <w:pPr>
        <w:widowControl/>
        <w:spacing w:line="360" w:lineRule="auto"/>
        <w:ind w:right="-656" w:firstLine="424"/>
        <w:jc w:val="left"/>
        <w:rPr>
          <w:color w:val="auto"/>
          <w:highlight w:val="none"/>
        </w:rPr>
      </w:pPr>
      <w:r>
        <w:rPr>
          <w:rFonts w:hint="eastAsia" w:ascii="宋体" w:hAnsi="宋体"/>
          <w:color w:val="auto"/>
          <w:szCs w:val="21"/>
          <w:highlight w:val="none"/>
        </w:rPr>
        <w:t>8.5.3若通讯地址为空白，则以国家企业信用信息公示系统查询的住所作为通讯地址。</w:t>
      </w:r>
    </w:p>
    <w:p w14:paraId="55ADBC5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8.6 保密</w:t>
      </w:r>
    </w:p>
    <w:p w14:paraId="7DDEC981">
      <w:pPr>
        <w:overflowPunct w:val="0"/>
        <w:autoSpaceDE w:val="0"/>
        <w:autoSpaceDN w:val="0"/>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委托人申明的保密事项和期限：</w:t>
      </w:r>
      <w:r>
        <w:rPr>
          <w:rFonts w:hint="eastAsia" w:ascii="宋体" w:hAnsi="宋体"/>
          <w:color w:val="auto"/>
          <w:szCs w:val="21"/>
          <w:highlight w:val="none"/>
          <w:u w:val="single"/>
        </w:rPr>
        <w:t xml:space="preserve">     本项目的所有资料长期保密，未经委托人事先书面同意，监理人不得对外透露本项目的任何信息，否则监理人应赔偿委托人的一切损失   </w:t>
      </w:r>
      <w:r>
        <w:rPr>
          <w:rFonts w:hint="eastAsia" w:ascii="宋体" w:hAnsi="宋体"/>
          <w:color w:val="auto"/>
          <w:szCs w:val="21"/>
          <w:highlight w:val="none"/>
        </w:rPr>
        <w:t>。</w:t>
      </w:r>
    </w:p>
    <w:p w14:paraId="42AC137D">
      <w:pPr>
        <w:overflowPunct w:val="0"/>
        <w:autoSpaceDE w:val="0"/>
        <w:autoSpaceDN w:val="0"/>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监理人申明的保密事项和期限：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9D71080">
      <w:pPr>
        <w:overflowPunct w:val="0"/>
        <w:autoSpaceDE w:val="0"/>
        <w:autoSpaceDN w:val="0"/>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第三方申明的保密事项和期限：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26D017E">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8.8</w:t>
      </w:r>
      <w:r>
        <w:rPr>
          <w:rFonts w:hint="eastAsia" w:ascii="宋体" w:hAnsi="宋体"/>
          <w:bCs/>
          <w:color w:val="auto"/>
          <w:szCs w:val="21"/>
          <w:highlight w:val="none"/>
        </w:rPr>
        <w:t>著作权</w:t>
      </w:r>
    </w:p>
    <w:p w14:paraId="26AFD73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监理人在本合同履行期间及本合同终止后两年内出版涉及本工程的有关监理与相关服务的资料的限制条件：</w:t>
      </w:r>
      <w:r>
        <w:rPr>
          <w:rFonts w:hint="eastAsia" w:ascii="宋体" w:hAnsi="宋体"/>
          <w:color w:val="auto"/>
          <w:szCs w:val="21"/>
          <w:highlight w:val="none"/>
          <w:u w:val="single"/>
        </w:rPr>
        <w:t xml:space="preserve">  形成的知识成果归委托人所有，若监理人使用需经委托人同意 </w:t>
      </w:r>
      <w:r>
        <w:rPr>
          <w:rFonts w:hint="eastAsia" w:ascii="宋体" w:hAnsi="宋体"/>
          <w:color w:val="auto"/>
          <w:szCs w:val="21"/>
          <w:highlight w:val="none"/>
        </w:rPr>
        <w:t>。</w:t>
      </w:r>
    </w:p>
    <w:p w14:paraId="084753B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 补充条款</w:t>
      </w:r>
    </w:p>
    <w:p w14:paraId="1B2548F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9.1履约担保：</w:t>
      </w:r>
    </w:p>
    <w:p w14:paraId="5163CC03">
      <w:pPr>
        <w:snapToGrid w:val="0"/>
        <w:spacing w:after="48" w:line="400" w:lineRule="exact"/>
        <w:ind w:firstLine="420" w:firstLineChars="200"/>
        <w:rPr>
          <w:rStyle w:val="47"/>
          <w:rFonts w:ascii="宋体" w:hAnsi="宋体" w:cs="宋体"/>
          <w:color w:val="auto"/>
          <w:kern w:val="0"/>
          <w:szCs w:val="21"/>
          <w:highlight w:val="none"/>
        </w:rPr>
      </w:pPr>
      <w:r>
        <w:rPr>
          <w:rStyle w:val="47"/>
          <w:rFonts w:hint="eastAsia" w:ascii="宋体" w:hAnsi="宋体" w:cs="宋体"/>
          <w:color w:val="auto"/>
          <w:kern w:val="0"/>
          <w:szCs w:val="21"/>
          <w:highlight w:val="none"/>
        </w:rPr>
        <w:t>9.1.1担保形式：</w:t>
      </w:r>
      <w:r>
        <w:rPr>
          <w:rStyle w:val="47"/>
          <w:rFonts w:hint="eastAsia" w:ascii="宋体" w:hAnsi="宋体" w:cs="宋体"/>
          <w:color w:val="auto"/>
          <w:kern w:val="0"/>
          <w:szCs w:val="21"/>
          <w:highlight w:val="none"/>
          <w:u w:val="single"/>
        </w:rPr>
        <w:t>经委托人认可的商业担保、现金均可；</w:t>
      </w:r>
      <w:r>
        <w:rPr>
          <w:rStyle w:val="47"/>
          <w:rFonts w:hint="eastAsia" w:ascii="宋体" w:hAnsi="宋体" w:cs="宋体"/>
          <w:color w:val="auto"/>
          <w:kern w:val="0"/>
          <w:szCs w:val="21"/>
          <w:highlight w:val="none"/>
        </w:rPr>
        <w:t>；</w:t>
      </w:r>
    </w:p>
    <w:p w14:paraId="10F2716D">
      <w:pPr>
        <w:snapToGrid w:val="0"/>
        <w:spacing w:after="48" w:line="400" w:lineRule="exact"/>
        <w:ind w:firstLine="420" w:firstLineChars="200"/>
        <w:rPr>
          <w:rStyle w:val="47"/>
          <w:rFonts w:ascii="宋体" w:hAnsi="宋体" w:cs="宋体"/>
          <w:color w:val="auto"/>
          <w:kern w:val="0"/>
          <w:szCs w:val="21"/>
          <w:highlight w:val="none"/>
        </w:rPr>
      </w:pPr>
      <w:r>
        <w:rPr>
          <w:rStyle w:val="47"/>
          <w:rFonts w:hint="eastAsia" w:ascii="宋体" w:hAnsi="宋体" w:cs="宋体"/>
          <w:color w:val="auto"/>
          <w:kern w:val="0"/>
          <w:szCs w:val="21"/>
          <w:highlight w:val="none"/>
        </w:rPr>
        <w:t>9.1.2担保金额：</w:t>
      </w:r>
      <w:r>
        <w:rPr>
          <w:rStyle w:val="47"/>
          <w:rFonts w:hint="eastAsia" w:ascii="宋体" w:hAnsi="宋体" w:cs="宋体"/>
          <w:color w:val="auto"/>
          <w:kern w:val="0"/>
          <w:szCs w:val="21"/>
          <w:highlight w:val="none"/>
          <w:u w:val="single"/>
        </w:rPr>
        <w:t xml:space="preserve">  合同签约金额的10%  </w:t>
      </w:r>
      <w:r>
        <w:rPr>
          <w:rStyle w:val="47"/>
          <w:rFonts w:hint="eastAsia" w:ascii="宋体" w:hAnsi="宋体" w:cs="宋体"/>
          <w:color w:val="auto"/>
          <w:kern w:val="0"/>
          <w:szCs w:val="21"/>
          <w:highlight w:val="none"/>
          <w:u w:val="single"/>
        </w:rPr>
        <w:t>；</w:t>
      </w:r>
    </w:p>
    <w:p w14:paraId="70D2E315">
      <w:pPr>
        <w:snapToGrid w:val="0"/>
        <w:spacing w:after="48" w:line="400" w:lineRule="exact"/>
        <w:ind w:firstLine="420" w:firstLineChars="200"/>
        <w:rPr>
          <w:rStyle w:val="47"/>
          <w:rFonts w:ascii="宋体" w:hAnsi="宋体" w:cs="宋体"/>
          <w:color w:val="auto"/>
          <w:kern w:val="0"/>
          <w:szCs w:val="21"/>
          <w:highlight w:val="none"/>
        </w:rPr>
      </w:pPr>
      <w:r>
        <w:rPr>
          <w:rStyle w:val="47"/>
          <w:rFonts w:hint="eastAsia" w:ascii="宋体" w:hAnsi="宋体" w:cs="宋体"/>
          <w:color w:val="auto"/>
          <w:kern w:val="0"/>
          <w:szCs w:val="21"/>
          <w:highlight w:val="none"/>
        </w:rPr>
        <w:t>9.1.3提交时间：承包人领取中选通知书后，并作为签订合同的必备条件。其中：</w:t>
      </w:r>
    </w:p>
    <w:p w14:paraId="6A8F7D3A">
      <w:pPr>
        <w:snapToGrid w:val="0"/>
        <w:spacing w:after="48" w:line="400" w:lineRule="exact"/>
        <w:ind w:firstLine="420" w:firstLineChars="200"/>
        <w:rPr>
          <w:rStyle w:val="47"/>
          <w:rFonts w:hint="eastAsia" w:ascii="宋体" w:hAnsi="宋体" w:cs="宋体"/>
          <w:color w:val="auto"/>
          <w:kern w:val="0"/>
          <w:szCs w:val="21"/>
          <w:highlight w:val="none"/>
        </w:rPr>
      </w:pPr>
      <w:r>
        <w:rPr>
          <w:rStyle w:val="47"/>
          <w:rFonts w:hint="eastAsia" w:ascii="宋体" w:hAnsi="宋体" w:cs="宋体"/>
          <w:color w:val="auto"/>
          <w:kern w:val="0"/>
          <w:szCs w:val="21"/>
          <w:highlight w:val="none"/>
        </w:rPr>
        <w:t>①履约担保采用商业担保的，保函必须为发包人认可的担保公司或银行提供的不可撤销且见索即付，且应选择在渝依法设立总部或者设有分支机构的金融机构开具履约保函（包括纸质保函或电子保函）；</w:t>
      </w:r>
    </w:p>
    <w:p w14:paraId="5E796D6C">
      <w:pPr>
        <w:snapToGrid w:val="0"/>
        <w:spacing w:after="48" w:line="400" w:lineRule="exact"/>
        <w:ind w:firstLine="420" w:firstLineChars="200"/>
        <w:rPr>
          <w:rStyle w:val="47"/>
          <w:rFonts w:hint="eastAsia" w:ascii="宋体" w:hAnsi="宋体" w:cs="宋体"/>
          <w:color w:val="auto"/>
          <w:kern w:val="0"/>
          <w:szCs w:val="21"/>
          <w:highlight w:val="none"/>
        </w:rPr>
      </w:pPr>
      <w:r>
        <w:rPr>
          <w:rStyle w:val="47"/>
          <w:rFonts w:hint="eastAsia" w:ascii="宋体" w:hAnsi="宋体" w:cs="宋体"/>
          <w:color w:val="auto"/>
          <w:kern w:val="0"/>
          <w:szCs w:val="21"/>
          <w:highlight w:val="none"/>
        </w:rPr>
        <w:t>②履约担保为银行转账的，承包人须从其企业基本账户将相应的履约担保金额打入比选人下述指定账户。</w:t>
      </w:r>
    </w:p>
    <w:p w14:paraId="756C1254">
      <w:pPr>
        <w:snapToGrid w:val="0"/>
        <w:spacing w:after="48" w:line="400" w:lineRule="exact"/>
        <w:ind w:firstLine="420" w:firstLineChars="200"/>
        <w:rPr>
          <w:rStyle w:val="47"/>
          <w:rFonts w:ascii="宋体" w:hAnsi="宋体" w:cs="宋体"/>
          <w:color w:val="auto"/>
          <w:highlight w:val="none"/>
        </w:rPr>
      </w:pPr>
      <w:r>
        <w:rPr>
          <w:rStyle w:val="47"/>
          <w:rFonts w:hint="eastAsia" w:ascii="宋体" w:hAnsi="宋体" w:cs="宋体"/>
          <w:color w:val="auto"/>
          <w:highlight w:val="none"/>
        </w:rPr>
        <w:t>9.1.4退还时间：施工完成后通过审核并经发包人认可后退还（履约保证金不计算利息）。</w:t>
      </w:r>
    </w:p>
    <w:p w14:paraId="5CCDAD37">
      <w:pPr>
        <w:snapToGrid w:val="0"/>
        <w:spacing w:after="48" w:line="400" w:lineRule="exact"/>
        <w:ind w:firstLine="420" w:firstLineChars="200"/>
        <w:rPr>
          <w:rStyle w:val="47"/>
          <w:rFonts w:ascii="宋体" w:hAnsi="宋体" w:cs="宋体"/>
          <w:color w:val="auto"/>
          <w:kern w:val="0"/>
          <w:szCs w:val="21"/>
          <w:highlight w:val="none"/>
        </w:rPr>
      </w:pPr>
      <w:r>
        <w:rPr>
          <w:rStyle w:val="47"/>
          <w:rFonts w:hint="eastAsia" w:ascii="宋体" w:hAnsi="宋体" w:cs="宋体"/>
          <w:color w:val="auto"/>
          <w:kern w:val="0"/>
          <w:szCs w:val="21"/>
          <w:highlight w:val="none"/>
        </w:rPr>
        <w:t>9.1.5 贯彻落实上级文件精神，进一步减轻企业负担，主要推行以保函方式缴纳，由承包人根据自身情况自行选择缴纳方式。</w:t>
      </w:r>
    </w:p>
    <w:p w14:paraId="3022911F">
      <w:pPr>
        <w:overflowPunct w:val="0"/>
        <w:autoSpaceDE w:val="0"/>
        <w:autoSpaceDN w:val="0"/>
        <w:adjustRightInd w:val="0"/>
        <w:snapToGrid w:val="0"/>
        <w:spacing w:line="360" w:lineRule="auto"/>
        <w:ind w:firstLine="422" w:firstLineChars="200"/>
        <w:jc w:val="left"/>
        <w:rPr>
          <w:rFonts w:ascii="宋体" w:hAnsi="宋体"/>
          <w:snapToGrid w:val="0"/>
          <w:color w:val="auto"/>
          <w:kern w:val="0"/>
          <w:szCs w:val="21"/>
          <w:highlight w:val="none"/>
        </w:rPr>
      </w:pPr>
      <w:r>
        <w:rPr>
          <w:rStyle w:val="47"/>
          <w:rFonts w:ascii="宋体" w:hAnsi="宋体"/>
          <w:b/>
          <w:bCs/>
          <w:color w:val="auto"/>
          <w:kern w:val="0"/>
          <w:szCs w:val="21"/>
          <w:highlight w:val="none"/>
        </w:rPr>
        <w:t>注：</w:t>
      </w:r>
      <w:r>
        <w:rPr>
          <w:rStyle w:val="47"/>
          <w:rFonts w:hint="eastAsia" w:ascii="宋体" w:hAnsi="宋体"/>
          <w:b/>
          <w:bCs/>
          <w:color w:val="auto"/>
          <w:kern w:val="0"/>
          <w:szCs w:val="21"/>
          <w:highlight w:val="none"/>
        </w:rPr>
        <w:t>1</w:t>
      </w:r>
      <w:r>
        <w:rPr>
          <w:rStyle w:val="47"/>
          <w:rFonts w:ascii="宋体" w:hAnsi="宋体"/>
          <w:b/>
          <w:bCs/>
          <w:color w:val="auto"/>
          <w:kern w:val="0"/>
          <w:szCs w:val="21"/>
          <w:highlight w:val="none"/>
        </w:rPr>
        <w:t>.</w:t>
      </w:r>
      <w:r>
        <w:rPr>
          <w:rStyle w:val="47"/>
          <w:rFonts w:hint="eastAsia" w:ascii="宋体" w:hAnsi="宋体"/>
          <w:b/>
          <w:bCs/>
          <w:color w:val="auto"/>
          <w:kern w:val="0"/>
          <w:szCs w:val="21"/>
          <w:highlight w:val="none"/>
        </w:rPr>
        <w:t>承包人</w:t>
      </w:r>
      <w:r>
        <w:rPr>
          <w:rStyle w:val="47"/>
          <w:rFonts w:ascii="宋体" w:hAnsi="宋体"/>
          <w:b/>
          <w:bCs/>
          <w:color w:val="auto"/>
          <w:kern w:val="0"/>
          <w:szCs w:val="21"/>
          <w:highlight w:val="none"/>
        </w:rPr>
        <w:t>提供虚假银行保函的，</w:t>
      </w:r>
      <w:r>
        <w:rPr>
          <w:rStyle w:val="47"/>
          <w:rFonts w:hint="eastAsia" w:ascii="宋体" w:hAnsi="宋体"/>
          <w:b/>
          <w:bCs/>
          <w:color w:val="auto"/>
          <w:kern w:val="0"/>
          <w:szCs w:val="21"/>
          <w:highlight w:val="none"/>
        </w:rPr>
        <w:t>发包人</w:t>
      </w:r>
      <w:r>
        <w:rPr>
          <w:rStyle w:val="47"/>
          <w:rFonts w:ascii="宋体" w:hAnsi="宋体"/>
          <w:b/>
          <w:bCs/>
          <w:color w:val="auto"/>
          <w:kern w:val="0"/>
          <w:szCs w:val="21"/>
          <w:highlight w:val="none"/>
        </w:rPr>
        <w:t>取消其</w:t>
      </w:r>
      <w:r>
        <w:rPr>
          <w:rStyle w:val="47"/>
          <w:rFonts w:hint="eastAsia" w:ascii="宋体" w:hAnsi="宋体"/>
          <w:b/>
          <w:bCs/>
          <w:color w:val="auto"/>
          <w:kern w:val="0"/>
          <w:szCs w:val="21"/>
          <w:highlight w:val="none"/>
        </w:rPr>
        <w:t>中选</w:t>
      </w:r>
      <w:r>
        <w:rPr>
          <w:rStyle w:val="47"/>
          <w:rFonts w:ascii="宋体" w:hAnsi="宋体"/>
          <w:b/>
          <w:bCs/>
          <w:color w:val="auto"/>
          <w:kern w:val="0"/>
          <w:szCs w:val="21"/>
          <w:highlight w:val="none"/>
        </w:rPr>
        <w:t>资格，</w:t>
      </w:r>
      <w:r>
        <w:rPr>
          <w:rStyle w:val="47"/>
          <w:rFonts w:hint="eastAsia" w:ascii="宋体" w:hAnsi="宋体"/>
          <w:b/>
          <w:bCs/>
          <w:color w:val="auto"/>
          <w:kern w:val="0"/>
          <w:szCs w:val="21"/>
          <w:highlight w:val="none"/>
        </w:rPr>
        <w:t>比选保证金</w:t>
      </w:r>
      <w:r>
        <w:rPr>
          <w:rStyle w:val="47"/>
          <w:rFonts w:ascii="宋体" w:hAnsi="宋体"/>
          <w:b/>
          <w:bCs/>
          <w:color w:val="auto"/>
          <w:kern w:val="0"/>
          <w:szCs w:val="21"/>
          <w:highlight w:val="none"/>
        </w:rPr>
        <w:t>不予退还，同时</w:t>
      </w:r>
      <w:r>
        <w:rPr>
          <w:rStyle w:val="47"/>
          <w:rFonts w:hint="eastAsia" w:ascii="宋体" w:hAnsi="宋体"/>
          <w:b/>
          <w:bCs/>
          <w:color w:val="auto"/>
          <w:kern w:val="0"/>
          <w:szCs w:val="21"/>
          <w:highlight w:val="none"/>
        </w:rPr>
        <w:t>由比选人将其不良行为上报监督部门记分处理并</w:t>
      </w:r>
      <w:r>
        <w:rPr>
          <w:rStyle w:val="47"/>
          <w:rFonts w:ascii="宋体" w:hAnsi="宋体"/>
          <w:b/>
          <w:bCs/>
          <w:color w:val="auto"/>
          <w:kern w:val="0"/>
          <w:szCs w:val="21"/>
          <w:highlight w:val="none"/>
        </w:rPr>
        <w:t>纳入黑名单。</w:t>
      </w:r>
      <w:r>
        <w:rPr>
          <w:rStyle w:val="47"/>
          <w:rFonts w:hint="eastAsia" w:ascii="宋体" w:hAnsi="宋体"/>
          <w:b/>
          <w:bCs/>
          <w:color w:val="auto"/>
          <w:kern w:val="0"/>
          <w:szCs w:val="21"/>
          <w:highlight w:val="none"/>
        </w:rPr>
        <w:t>2</w:t>
      </w:r>
      <w:r>
        <w:rPr>
          <w:rStyle w:val="47"/>
          <w:rFonts w:ascii="宋体" w:hAnsi="宋体"/>
          <w:b/>
          <w:bCs/>
          <w:color w:val="auto"/>
          <w:kern w:val="0"/>
          <w:szCs w:val="21"/>
          <w:highlight w:val="none"/>
        </w:rPr>
        <w:t>.</w:t>
      </w:r>
      <w:r>
        <w:rPr>
          <w:rStyle w:val="47"/>
          <w:rFonts w:hint="eastAsia" w:ascii="宋体" w:hAnsi="宋体"/>
          <w:b/>
          <w:bCs/>
          <w:color w:val="auto"/>
          <w:kern w:val="0"/>
          <w:szCs w:val="21"/>
          <w:highlight w:val="none"/>
        </w:rPr>
        <w:t>中选</w:t>
      </w:r>
      <w:r>
        <w:rPr>
          <w:rStyle w:val="47"/>
          <w:rFonts w:ascii="宋体" w:hAnsi="宋体"/>
          <w:b/>
          <w:bCs/>
          <w:color w:val="auto"/>
          <w:kern w:val="0"/>
          <w:szCs w:val="21"/>
          <w:highlight w:val="none"/>
        </w:rPr>
        <w:t>通知书发出之日起30日内，比选人与</w:t>
      </w:r>
      <w:r>
        <w:rPr>
          <w:rStyle w:val="47"/>
          <w:rFonts w:hint="eastAsia" w:ascii="宋体" w:hAnsi="宋体"/>
          <w:b/>
          <w:bCs/>
          <w:color w:val="auto"/>
          <w:kern w:val="0"/>
          <w:szCs w:val="21"/>
          <w:highlight w:val="none"/>
        </w:rPr>
        <w:t>承包人</w:t>
      </w:r>
      <w:r>
        <w:rPr>
          <w:rStyle w:val="47"/>
          <w:rFonts w:ascii="宋体" w:hAnsi="宋体"/>
          <w:b/>
          <w:bCs/>
          <w:color w:val="auto"/>
          <w:kern w:val="0"/>
          <w:szCs w:val="21"/>
          <w:highlight w:val="none"/>
        </w:rPr>
        <w:t>须完成合同签订事宜。</w:t>
      </w:r>
    </w:p>
    <w:p w14:paraId="758D6026">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9.2缺陷责任期：</w:t>
      </w:r>
      <w:r>
        <w:rPr>
          <w:rFonts w:hint="eastAsia" w:ascii="宋体" w:hAnsi="宋体"/>
          <w:color w:val="auto"/>
          <w:szCs w:val="21"/>
          <w:highlight w:val="none"/>
          <w:u w:val="single"/>
        </w:rPr>
        <w:t xml:space="preserve"> 24 </w:t>
      </w:r>
      <w:r>
        <w:rPr>
          <w:rFonts w:hint="eastAsia" w:ascii="宋体" w:hAnsi="宋体"/>
          <w:color w:val="auto"/>
          <w:szCs w:val="21"/>
          <w:highlight w:val="none"/>
        </w:rPr>
        <w:t>个月。</w:t>
      </w:r>
    </w:p>
    <w:p w14:paraId="01F367A0">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9.3监理人从事项目监理一切工作必须服从委托人协调管理，对委托人负责。施工现场的变更签证等应得到委托人意后方可生效。监理人处理承包人文件时限为7天。</w:t>
      </w:r>
    </w:p>
    <w:p w14:paraId="43258643">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9.4对于工程所用的重要原材料、构配件、设备的规格、型号、性能、质量等发生疑问时</w:t>
      </w:r>
      <w:r>
        <w:rPr>
          <w:rFonts w:ascii="宋体" w:hAnsi="宋体"/>
          <w:color w:val="auto"/>
          <w:szCs w:val="21"/>
          <w:highlight w:val="none"/>
        </w:rPr>
        <w:t>，</w:t>
      </w:r>
      <w:r>
        <w:rPr>
          <w:rFonts w:hint="eastAsia" w:ascii="宋体" w:hAnsi="宋体"/>
          <w:color w:val="auto"/>
          <w:szCs w:val="21"/>
          <w:highlight w:val="none"/>
        </w:rPr>
        <w:t>监理人有权要求责任者在征得委托人同意后送指定的检测单位复试</w:t>
      </w:r>
      <w:r>
        <w:rPr>
          <w:rFonts w:ascii="宋体" w:hAnsi="宋体"/>
          <w:color w:val="auto"/>
          <w:szCs w:val="21"/>
          <w:highlight w:val="none"/>
        </w:rPr>
        <w:t>，</w:t>
      </w:r>
      <w:r>
        <w:rPr>
          <w:rFonts w:hint="eastAsia" w:ascii="宋体" w:hAnsi="宋体"/>
          <w:color w:val="auto"/>
          <w:szCs w:val="21"/>
          <w:highlight w:val="none"/>
        </w:rPr>
        <w:t>并通知承包人。若复试合格</w:t>
      </w:r>
      <w:r>
        <w:rPr>
          <w:rFonts w:ascii="宋体" w:hAnsi="宋体"/>
          <w:color w:val="auto"/>
          <w:szCs w:val="21"/>
          <w:highlight w:val="none"/>
        </w:rPr>
        <w:t>，</w:t>
      </w:r>
      <w:r>
        <w:rPr>
          <w:rFonts w:hint="eastAsia" w:ascii="宋体" w:hAnsi="宋体"/>
          <w:color w:val="auto"/>
          <w:szCs w:val="21"/>
          <w:highlight w:val="none"/>
        </w:rPr>
        <w:t>费用由委托人负责</w:t>
      </w:r>
      <w:r>
        <w:rPr>
          <w:rFonts w:ascii="宋体" w:hAnsi="宋体"/>
          <w:color w:val="auto"/>
          <w:szCs w:val="21"/>
          <w:highlight w:val="none"/>
        </w:rPr>
        <w:t>，</w:t>
      </w:r>
      <w:r>
        <w:rPr>
          <w:rFonts w:hint="eastAsia" w:ascii="宋体" w:hAnsi="宋体"/>
          <w:color w:val="auto"/>
          <w:szCs w:val="21"/>
          <w:highlight w:val="none"/>
        </w:rPr>
        <w:t>否则由承包人负责。但这种复试应得到业主认可并通知承包人。</w:t>
      </w:r>
    </w:p>
    <w:p w14:paraId="7D87AAE6">
      <w:pPr>
        <w:overflowPunct w:val="0"/>
        <w:autoSpaceDE w:val="0"/>
        <w:autoSpaceDN w:val="0"/>
        <w:adjustRightInd w:val="0"/>
        <w:snapToGrid w:val="0"/>
        <w:spacing w:line="360" w:lineRule="auto"/>
        <w:ind w:firstLine="420" w:firstLineChars="200"/>
        <w:jc w:val="left"/>
        <w:textAlignment w:val="baseline"/>
        <w:rPr>
          <w:rFonts w:hint="eastAsia" w:ascii="宋体" w:hAnsi="宋体"/>
          <w:color w:val="auto"/>
          <w:kern w:val="0"/>
          <w:szCs w:val="21"/>
          <w:highlight w:val="none"/>
        </w:rPr>
      </w:pPr>
      <w:r>
        <w:rPr>
          <w:rFonts w:hint="eastAsia" w:ascii="宋体" w:hAnsi="宋体"/>
          <w:color w:val="auto"/>
          <w:szCs w:val="21"/>
          <w:highlight w:val="none"/>
        </w:rPr>
        <w:t>9.5</w:t>
      </w:r>
      <w:r>
        <w:rPr>
          <w:rFonts w:hint="eastAsia" w:ascii="宋体" w:hAnsi="宋体"/>
          <w:color w:val="auto"/>
          <w:kern w:val="0"/>
          <w:szCs w:val="21"/>
          <w:highlight w:val="none"/>
        </w:rPr>
        <w:t>监理人员工资、加班费、福利费、工会经费、教育经费、养老保险、住房公积金、办公费、差旅费、通讯费、现场补贴、公司管理费、现场必备的检测设备和交通工具的购置及使用费用以及住宿费、电话费、水电费、交通费、安全措施费、保险费、办公场所费、智慧平台建设费等为完成本工程监理服务所需的全部费用均含在监理人正常工作酬金内。</w:t>
      </w:r>
    </w:p>
    <w:p w14:paraId="5A91F073">
      <w:pPr>
        <w:overflowPunct w:val="0"/>
        <w:autoSpaceDE w:val="0"/>
        <w:autoSpaceDN w:val="0"/>
        <w:adjustRightInd w:val="0"/>
        <w:snapToGrid w:val="0"/>
        <w:spacing w:line="360" w:lineRule="auto"/>
        <w:ind w:firstLine="420" w:firstLineChars="200"/>
        <w:jc w:val="left"/>
        <w:textAlignment w:val="baseline"/>
        <w:rPr>
          <w:rFonts w:hint="eastAsia" w:ascii="宋体" w:hAnsi="宋体"/>
          <w:color w:val="auto"/>
          <w:kern w:val="0"/>
          <w:szCs w:val="21"/>
          <w:highlight w:val="none"/>
        </w:rPr>
      </w:pPr>
      <w:r>
        <w:rPr>
          <w:rFonts w:hint="eastAsia" w:ascii="宋体" w:hAnsi="宋体"/>
          <w:color w:val="auto"/>
          <w:kern w:val="0"/>
          <w:szCs w:val="21"/>
          <w:highlight w:val="none"/>
          <w:lang w:val="en-US" w:eastAsia="zh-CN"/>
        </w:rPr>
        <w:t>如有时，</w:t>
      </w:r>
      <w:r>
        <w:rPr>
          <w:rFonts w:hint="eastAsia" w:ascii="宋体" w:hAnsi="宋体"/>
          <w:color w:val="auto"/>
          <w:kern w:val="0"/>
          <w:szCs w:val="21"/>
          <w:highlight w:val="none"/>
        </w:rPr>
        <w:t>智慧平台建设费：建设智慧平台管理第三方单位管理培训费：</w:t>
      </w:r>
      <w:r>
        <w:rPr>
          <w:rFonts w:hint="eastAsia" w:ascii="宋体" w:hAnsi="宋体"/>
          <w:color w:val="auto"/>
          <w:kern w:val="0"/>
          <w:szCs w:val="21"/>
          <w:highlight w:val="none"/>
        </w:rPr>
        <w:t>1000</w:t>
      </w:r>
      <w:r>
        <w:rPr>
          <w:rFonts w:hint="eastAsia" w:ascii="宋体" w:hAnsi="宋体"/>
          <w:color w:val="auto"/>
          <w:kern w:val="0"/>
          <w:szCs w:val="21"/>
          <w:highlight w:val="none"/>
        </w:rPr>
        <w:t>元（大写：</w:t>
      </w:r>
      <w:r>
        <w:rPr>
          <w:rFonts w:hint="eastAsia" w:ascii="宋体" w:hAnsi="宋体"/>
          <w:color w:val="auto"/>
          <w:kern w:val="0"/>
          <w:szCs w:val="21"/>
          <w:highlight w:val="none"/>
          <w:lang w:val="en-US" w:eastAsia="zh-CN"/>
        </w:rPr>
        <w:t>壹仟</w:t>
      </w:r>
      <w:r>
        <w:rPr>
          <w:rFonts w:hint="eastAsia" w:ascii="宋体" w:hAnsi="宋体"/>
          <w:color w:val="auto"/>
          <w:kern w:val="0"/>
          <w:szCs w:val="21"/>
          <w:highlight w:val="none"/>
        </w:rPr>
        <w:t>元整），承包人在合同签订后一次性支付给第三方单位管理培训机构。</w:t>
      </w:r>
    </w:p>
    <w:p w14:paraId="4CE213B6">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kern w:val="0"/>
          <w:szCs w:val="21"/>
          <w:highlight w:val="none"/>
        </w:rPr>
        <w:t>9.6</w:t>
      </w:r>
      <w:r>
        <w:rPr>
          <w:rFonts w:hint="eastAsia" w:ascii="宋体" w:hAnsi="宋体"/>
          <w:color w:val="auto"/>
          <w:szCs w:val="21"/>
          <w:highlight w:val="none"/>
        </w:rPr>
        <w:t>属于合同范围内的正常服务，差旅费由监理人自理。根据委托人特殊要求对某些关键、重要的原材料、构配件、设备生产厂家进行考察或对主要设备进行工厂验收，并征得委托人同意，所发生的差旅费（重庆市外）由委托人负责报销。</w:t>
      </w:r>
    </w:p>
    <w:p w14:paraId="7DB0846C">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9.7监理人应按国家规定办理必要的保险，费用自行解决。</w:t>
      </w:r>
    </w:p>
    <w:p w14:paraId="19A26797">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9.8监理人利用本项目监理中形成的技术成果（或无实质性修改后）进行商业性服务得到的利润与委托人分成。</w:t>
      </w:r>
    </w:p>
    <w:p w14:paraId="2FDFF797">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9.9本合同到期日，监理人应在合同完成日起一个月内向城建档案管理部门和委托人提交管理期内监理全部管理资料各一套，逾期交付时，每逾期一日，按照10000元/日的标准向委托人承担损失，若其他条款另有约定，同时适用。</w:t>
      </w:r>
    </w:p>
    <w:p w14:paraId="1F6E93A3">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9.10因政策调整等原因终止工程的，监理费用按实际工程量结算。</w:t>
      </w:r>
    </w:p>
    <w:p w14:paraId="140276B7">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9.11监理单位应当遵守并执行附件3《</w:t>
      </w:r>
      <w:r>
        <w:rPr>
          <w:rFonts w:ascii="宋体" w:hAnsi="宋体"/>
          <w:color w:val="auto"/>
          <w:szCs w:val="21"/>
          <w:highlight w:val="none"/>
        </w:rPr>
        <w:t>工程建设项目监理管理要求</w:t>
      </w:r>
      <w:r>
        <w:rPr>
          <w:rFonts w:hint="eastAsia" w:ascii="宋体" w:hAnsi="宋体"/>
          <w:color w:val="auto"/>
          <w:szCs w:val="21"/>
          <w:highlight w:val="none"/>
        </w:rPr>
        <w:t>》的规定，并承当相应违约责任，监理单位违反该规定所产生的违约金、罚款、赔偿金等，发包单位有权在应付监理单位的任何一笔款项中或履约保证金直接扣除。本合同约定与《</w:t>
      </w:r>
      <w:r>
        <w:rPr>
          <w:rFonts w:ascii="宋体" w:hAnsi="宋体"/>
          <w:color w:val="auto"/>
          <w:szCs w:val="21"/>
          <w:highlight w:val="none"/>
        </w:rPr>
        <w:t>工程建设项目监理管理要求</w:t>
      </w:r>
      <w:r>
        <w:rPr>
          <w:rFonts w:hint="eastAsia" w:ascii="宋体" w:hAnsi="宋体"/>
          <w:color w:val="auto"/>
          <w:szCs w:val="21"/>
          <w:highlight w:val="none"/>
        </w:rPr>
        <w:t>》规定内容不一致的，以本合同约定为准。</w:t>
      </w:r>
    </w:p>
    <w:p w14:paraId="1062FF95">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9.12按行业主管部门要求完成监理合同备案，因监理人原因未能在合同签订后30天内完成备案手续的，按500元/天计算监理人给委托人造成的损失。</w:t>
      </w:r>
    </w:p>
    <w:p w14:paraId="7DA705EE">
      <w:pPr>
        <w:overflowPunct w:val="0"/>
        <w:autoSpaceDE w:val="0"/>
        <w:autoSpaceDN w:val="0"/>
        <w:adjustRightInd w:val="0"/>
        <w:snapToGrid w:val="0"/>
        <w:spacing w:line="360" w:lineRule="auto"/>
        <w:ind w:firstLine="420" w:firstLineChars="200"/>
        <w:jc w:val="left"/>
        <w:textAlignment w:val="baseline"/>
        <w:rPr>
          <w:rFonts w:hint="eastAsia" w:ascii="宋体" w:hAnsi="宋体"/>
          <w:color w:val="auto"/>
          <w:szCs w:val="21"/>
          <w:highlight w:val="none"/>
        </w:rPr>
      </w:pPr>
      <w:r>
        <w:rPr>
          <w:rFonts w:hint="eastAsia" w:ascii="宋体" w:hAnsi="宋体"/>
          <w:color w:val="auto"/>
          <w:szCs w:val="21"/>
          <w:highlight w:val="none"/>
        </w:rPr>
        <w:t>9.13 监理人必须遵守发包人单位的管理规章制度。</w:t>
      </w:r>
    </w:p>
    <w:p w14:paraId="3B8E697A">
      <w:pPr>
        <w:pStyle w:val="2"/>
        <w:rPr>
          <w:rFonts w:hint="eastAsia" w:ascii="宋体" w:hAnsi="宋体"/>
          <w:bCs/>
          <w:color w:val="auto"/>
          <w:sz w:val="24"/>
          <w:highlight w:val="none"/>
        </w:rPr>
      </w:pPr>
      <w:r>
        <w:rPr>
          <w:rFonts w:hint="eastAsia" w:ascii="宋体" w:hAnsi="宋体"/>
          <w:color w:val="auto"/>
          <w:szCs w:val="21"/>
          <w:highlight w:val="none"/>
        </w:rPr>
        <w:t xml:space="preserve">   </w:t>
      </w:r>
      <w:r>
        <w:rPr>
          <w:rFonts w:hint="eastAsia" w:ascii="宋体" w:hAnsi="宋体"/>
          <w:caps w:val="0"/>
          <w:color w:val="auto"/>
          <w:sz w:val="21"/>
          <w:szCs w:val="21"/>
          <w:highlight w:val="none"/>
        </w:rPr>
        <w:t xml:space="preserve"> 9.14 符合重庆市住房和城乡建设委员会《关于实施房屋市政工程监理工作“十不准”规定》。</w:t>
      </w:r>
    </w:p>
    <w:p w14:paraId="10F6D1E2">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76470327">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695BEDC4">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7DD77EC4">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5A02A87B">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018AE87E">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7E7C210E">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1AE2398B">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39B6F6B4">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0EC5D644">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1009C180">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77C36124">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65055E12">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0138B200">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00221897">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731AAB5E">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282FC6E8">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19769517">
      <w:pPr>
        <w:overflowPunct w:val="0"/>
        <w:autoSpaceDE w:val="0"/>
        <w:autoSpaceDN w:val="0"/>
        <w:adjustRightInd w:val="0"/>
        <w:snapToGrid w:val="0"/>
        <w:spacing w:line="420" w:lineRule="exact"/>
        <w:outlineLvl w:val="2"/>
        <w:rPr>
          <w:rFonts w:ascii="宋体" w:hAnsi="宋体"/>
          <w:bCs/>
          <w:color w:val="auto"/>
          <w:sz w:val="24"/>
          <w:highlight w:val="none"/>
        </w:rPr>
      </w:pPr>
      <w:r>
        <w:rPr>
          <w:rFonts w:hint="eastAsia" w:ascii="宋体" w:hAnsi="宋体"/>
          <w:bCs/>
          <w:color w:val="auto"/>
          <w:sz w:val="24"/>
          <w:highlight w:val="none"/>
        </w:rPr>
        <w:t xml:space="preserve">附录1  </w:t>
      </w:r>
    </w:p>
    <w:p w14:paraId="4808B831">
      <w:pPr>
        <w:overflowPunct w:val="0"/>
        <w:autoSpaceDE w:val="0"/>
        <w:autoSpaceDN w:val="0"/>
        <w:adjustRightInd w:val="0"/>
        <w:snapToGrid w:val="0"/>
        <w:spacing w:line="420" w:lineRule="exact"/>
        <w:jc w:val="center"/>
        <w:rPr>
          <w:rFonts w:ascii="宋体" w:hAnsi="宋体"/>
          <w:bCs/>
          <w:color w:val="auto"/>
          <w:sz w:val="32"/>
          <w:szCs w:val="32"/>
          <w:highlight w:val="none"/>
        </w:rPr>
      </w:pPr>
      <w:r>
        <w:rPr>
          <w:rFonts w:hint="eastAsia" w:ascii="宋体" w:hAnsi="宋体"/>
          <w:bCs/>
          <w:color w:val="auto"/>
          <w:sz w:val="32"/>
          <w:szCs w:val="32"/>
          <w:highlight w:val="none"/>
        </w:rPr>
        <w:t>相关服务的范围和内容</w:t>
      </w:r>
    </w:p>
    <w:p w14:paraId="7DCBDCA1">
      <w:pPr>
        <w:numPr>
          <w:ilvl w:val="1"/>
          <w:numId w:val="4"/>
        </w:numPr>
        <w:overflowPunct w:val="0"/>
        <w:autoSpaceDE w:val="0"/>
        <w:autoSpaceDN w:val="0"/>
        <w:adjustRightInd w:val="0"/>
        <w:snapToGrid w:val="0"/>
        <w:spacing w:line="360" w:lineRule="auto"/>
        <w:jc w:val="left"/>
        <w:textAlignment w:val="baseline"/>
        <w:rPr>
          <w:rFonts w:hint="eastAsia" w:ascii="宋体" w:hAnsi="宋体"/>
          <w:color w:val="auto"/>
          <w:szCs w:val="21"/>
          <w:highlight w:val="none"/>
        </w:rPr>
      </w:pPr>
      <w:r>
        <w:rPr>
          <w:rFonts w:hint="eastAsia" w:ascii="宋体" w:hAnsi="宋体"/>
          <w:bCs/>
          <w:color w:val="auto"/>
          <w:sz w:val="24"/>
          <w:highlight w:val="none"/>
        </w:rPr>
        <w:t>保修阶段：</w:t>
      </w:r>
    </w:p>
    <w:p w14:paraId="55DFE74C">
      <w:pPr>
        <w:overflowPunct w:val="0"/>
        <w:autoSpaceDE w:val="0"/>
        <w:autoSpaceDN w:val="0"/>
        <w:adjustRightInd w:val="0"/>
        <w:snapToGrid w:val="0"/>
        <w:spacing w:line="360" w:lineRule="auto"/>
        <w:ind w:firstLine="630" w:firstLineChars="300"/>
        <w:jc w:val="left"/>
        <w:textAlignment w:val="baseline"/>
        <w:rPr>
          <w:rFonts w:ascii="宋体" w:hAnsi="宋体"/>
          <w:color w:val="auto"/>
          <w:szCs w:val="21"/>
          <w:highlight w:val="none"/>
        </w:rPr>
      </w:pPr>
      <w:r>
        <w:rPr>
          <w:rFonts w:hint="eastAsia" w:ascii="宋体" w:hAnsi="宋体"/>
          <w:color w:val="auto"/>
          <w:szCs w:val="21"/>
          <w:highlight w:val="none"/>
        </w:rPr>
        <w:t>监理单位须督促施工单位在保修期限及缺陷责任期内履行相关义务，其中绿化植物存要求活率应达到100%，在养护期内死亡的植物，应立刻更换（因季节性气温影响除外），更换后的植物养护期及保修期按照更换日期重新计算；督促施工单位按《城市绿化养护质量标准》（DBJ50/T-098-2019）中规定的养护质量一级等级要求进行养护管理。</w:t>
      </w:r>
    </w:p>
    <w:p w14:paraId="0002D3EE">
      <w:pPr>
        <w:overflowPunct w:val="0"/>
        <w:autoSpaceDE w:val="0"/>
        <w:autoSpaceDN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保修期限内，监理单位每周至少对项目现场巡视一次，巡视内容包括但不限工程质量缺陷、市容市貌（项目外观、绿化养护、杂草等所有影响市容市貌的问题），并将巡视情况形成整改台账报建设单位，督促施工单位整改到位。</w:t>
      </w:r>
    </w:p>
    <w:p w14:paraId="392BF0DC">
      <w:pPr>
        <w:overflowPunct w:val="0"/>
        <w:autoSpaceDE w:val="0"/>
        <w:autoSpaceDN w:val="0"/>
        <w:adjustRightInd w:val="0"/>
        <w:snapToGrid w:val="0"/>
        <w:spacing w:line="360" w:lineRule="auto"/>
        <w:ind w:firstLine="420" w:firstLineChars="200"/>
        <w:jc w:val="left"/>
        <w:textAlignment w:val="baseline"/>
        <w:rPr>
          <w:rFonts w:hint="eastAsia" w:ascii="宋体" w:hAnsi="宋体"/>
          <w:color w:val="auto"/>
          <w:szCs w:val="21"/>
          <w:highlight w:val="none"/>
        </w:rPr>
      </w:pPr>
      <w:r>
        <w:rPr>
          <w:rFonts w:hint="eastAsia" w:ascii="宋体" w:hAnsi="宋体"/>
          <w:color w:val="auto"/>
          <w:szCs w:val="21"/>
          <w:highlight w:val="none"/>
        </w:rPr>
        <w:t>监理人在缺陷责任期及保修期内，未履行相关义务或者履行义务不到位的，按照500元-1000元/次支付违约金。</w:t>
      </w:r>
    </w:p>
    <w:p w14:paraId="1823C952">
      <w:pPr>
        <w:overflowPunct w:val="0"/>
        <w:autoSpaceDE w:val="0"/>
        <w:autoSpaceDN w:val="0"/>
        <w:adjustRightInd w:val="0"/>
        <w:snapToGrid w:val="0"/>
        <w:spacing w:line="420" w:lineRule="exact"/>
        <w:ind w:firstLine="480" w:firstLineChars="200"/>
        <w:rPr>
          <w:rFonts w:ascii="宋体" w:hAnsi="宋体"/>
          <w:b/>
          <w:bCs/>
          <w:color w:val="auto"/>
          <w:sz w:val="24"/>
          <w:highlight w:val="none"/>
        </w:rPr>
      </w:pPr>
      <w:r>
        <w:rPr>
          <w:rFonts w:hint="eastAsia" w:ascii="宋体" w:hAnsi="宋体"/>
          <w:bCs/>
          <w:color w:val="auto"/>
          <w:sz w:val="24"/>
          <w:highlight w:val="none"/>
        </w:rPr>
        <w:t>1-2 其他（专业技术咨询、外部协调工作等）。</w:t>
      </w:r>
      <w:r>
        <w:rPr>
          <w:rFonts w:hint="eastAsia" w:ascii="宋体" w:hAnsi="宋体"/>
          <w:b/>
          <w:bCs/>
          <w:color w:val="auto"/>
          <w:sz w:val="24"/>
          <w:highlight w:val="none"/>
        </w:rPr>
        <w:t xml:space="preserve"> </w:t>
      </w:r>
    </w:p>
    <w:p w14:paraId="1BD59335">
      <w:pPr>
        <w:overflowPunct w:val="0"/>
        <w:autoSpaceDE w:val="0"/>
        <w:autoSpaceDN w:val="0"/>
        <w:adjustRightInd w:val="0"/>
        <w:snapToGrid w:val="0"/>
        <w:spacing w:line="420" w:lineRule="exact"/>
        <w:rPr>
          <w:rFonts w:hint="eastAsia" w:ascii="宋体" w:hAnsi="宋体"/>
          <w:bCs/>
          <w:color w:val="auto"/>
          <w:sz w:val="24"/>
          <w:highlight w:val="none"/>
        </w:rPr>
      </w:pPr>
    </w:p>
    <w:p w14:paraId="2E48F6F7">
      <w:pPr>
        <w:overflowPunct w:val="0"/>
        <w:autoSpaceDE w:val="0"/>
        <w:autoSpaceDN w:val="0"/>
        <w:adjustRightInd w:val="0"/>
        <w:snapToGrid w:val="0"/>
        <w:spacing w:line="420" w:lineRule="exact"/>
        <w:rPr>
          <w:rFonts w:hint="eastAsia" w:ascii="宋体" w:hAnsi="宋体"/>
          <w:bCs/>
          <w:color w:val="auto"/>
          <w:sz w:val="24"/>
          <w:highlight w:val="none"/>
        </w:rPr>
      </w:pPr>
    </w:p>
    <w:p w14:paraId="05729B64">
      <w:pPr>
        <w:pStyle w:val="2"/>
        <w:rPr>
          <w:rFonts w:hint="eastAsia" w:ascii="宋体" w:hAnsi="宋体"/>
          <w:bCs/>
          <w:color w:val="auto"/>
          <w:sz w:val="24"/>
          <w:highlight w:val="none"/>
        </w:rPr>
      </w:pPr>
    </w:p>
    <w:p w14:paraId="6C7548AD">
      <w:pPr>
        <w:rPr>
          <w:rFonts w:hint="eastAsia" w:ascii="宋体" w:hAnsi="宋体"/>
          <w:bCs/>
          <w:color w:val="auto"/>
          <w:sz w:val="24"/>
          <w:highlight w:val="none"/>
        </w:rPr>
      </w:pPr>
    </w:p>
    <w:p w14:paraId="39F0C6C5">
      <w:pPr>
        <w:pStyle w:val="2"/>
        <w:rPr>
          <w:rFonts w:hint="eastAsia" w:ascii="宋体" w:hAnsi="宋体"/>
          <w:bCs/>
          <w:color w:val="auto"/>
          <w:sz w:val="24"/>
          <w:highlight w:val="none"/>
        </w:rPr>
      </w:pPr>
    </w:p>
    <w:p w14:paraId="0CDCA82A">
      <w:pPr>
        <w:rPr>
          <w:rFonts w:hint="eastAsia" w:ascii="宋体" w:hAnsi="宋体"/>
          <w:bCs/>
          <w:color w:val="auto"/>
          <w:sz w:val="24"/>
          <w:highlight w:val="none"/>
        </w:rPr>
      </w:pPr>
    </w:p>
    <w:p w14:paraId="1AC17BF0">
      <w:pPr>
        <w:pStyle w:val="2"/>
        <w:rPr>
          <w:rFonts w:hint="eastAsia" w:ascii="宋体" w:hAnsi="宋体"/>
          <w:bCs/>
          <w:color w:val="auto"/>
          <w:sz w:val="24"/>
          <w:highlight w:val="none"/>
        </w:rPr>
      </w:pPr>
    </w:p>
    <w:p w14:paraId="3E8B87FA">
      <w:pPr>
        <w:rPr>
          <w:rFonts w:hint="eastAsia" w:ascii="宋体" w:hAnsi="宋体"/>
          <w:bCs/>
          <w:color w:val="auto"/>
          <w:sz w:val="24"/>
          <w:highlight w:val="none"/>
        </w:rPr>
      </w:pPr>
    </w:p>
    <w:p w14:paraId="49064125">
      <w:pPr>
        <w:pStyle w:val="2"/>
        <w:rPr>
          <w:rFonts w:hint="eastAsia" w:ascii="宋体" w:hAnsi="宋体"/>
          <w:bCs/>
          <w:color w:val="auto"/>
          <w:sz w:val="24"/>
          <w:highlight w:val="none"/>
        </w:rPr>
      </w:pPr>
    </w:p>
    <w:p w14:paraId="27EE6C3B">
      <w:pPr>
        <w:rPr>
          <w:rFonts w:hint="eastAsia" w:ascii="宋体" w:hAnsi="宋体"/>
          <w:bCs/>
          <w:color w:val="auto"/>
          <w:sz w:val="24"/>
          <w:highlight w:val="none"/>
        </w:rPr>
      </w:pPr>
    </w:p>
    <w:p w14:paraId="2DD89C53">
      <w:pPr>
        <w:pStyle w:val="2"/>
        <w:rPr>
          <w:rFonts w:hint="eastAsia" w:ascii="宋体" w:hAnsi="宋体"/>
          <w:bCs/>
          <w:color w:val="auto"/>
          <w:sz w:val="24"/>
          <w:highlight w:val="none"/>
        </w:rPr>
      </w:pPr>
    </w:p>
    <w:p w14:paraId="7E2F42FD">
      <w:pPr>
        <w:rPr>
          <w:rFonts w:hint="eastAsia" w:ascii="宋体" w:hAnsi="宋体"/>
          <w:bCs/>
          <w:color w:val="auto"/>
          <w:sz w:val="24"/>
          <w:highlight w:val="none"/>
        </w:rPr>
      </w:pPr>
    </w:p>
    <w:p w14:paraId="56BC9DB5">
      <w:pPr>
        <w:pStyle w:val="2"/>
        <w:rPr>
          <w:rFonts w:hint="eastAsia" w:ascii="宋体" w:hAnsi="宋体"/>
          <w:bCs/>
          <w:color w:val="auto"/>
          <w:sz w:val="24"/>
          <w:highlight w:val="none"/>
        </w:rPr>
      </w:pPr>
    </w:p>
    <w:p w14:paraId="7D4986B9">
      <w:pPr>
        <w:rPr>
          <w:rFonts w:hint="eastAsia" w:ascii="宋体" w:hAnsi="宋体"/>
          <w:bCs/>
          <w:color w:val="auto"/>
          <w:sz w:val="24"/>
          <w:highlight w:val="none"/>
        </w:rPr>
      </w:pPr>
    </w:p>
    <w:p w14:paraId="508E08D1">
      <w:pPr>
        <w:pStyle w:val="2"/>
        <w:rPr>
          <w:rFonts w:hint="eastAsia" w:ascii="宋体" w:hAnsi="宋体"/>
          <w:bCs/>
          <w:color w:val="auto"/>
          <w:sz w:val="24"/>
          <w:highlight w:val="none"/>
        </w:rPr>
      </w:pPr>
    </w:p>
    <w:p w14:paraId="7D5B8737">
      <w:pPr>
        <w:rPr>
          <w:rFonts w:hint="eastAsia" w:ascii="宋体" w:hAnsi="宋体"/>
          <w:bCs/>
          <w:color w:val="auto"/>
          <w:sz w:val="24"/>
          <w:highlight w:val="none"/>
        </w:rPr>
      </w:pPr>
    </w:p>
    <w:p w14:paraId="1912BDB4">
      <w:pPr>
        <w:pStyle w:val="2"/>
        <w:rPr>
          <w:rFonts w:hint="eastAsia" w:ascii="宋体" w:hAnsi="宋体"/>
          <w:bCs/>
          <w:color w:val="auto"/>
          <w:sz w:val="24"/>
          <w:highlight w:val="none"/>
        </w:rPr>
      </w:pPr>
    </w:p>
    <w:p w14:paraId="48B4050A">
      <w:pPr>
        <w:rPr>
          <w:rFonts w:hint="eastAsia" w:ascii="宋体" w:hAnsi="宋体"/>
          <w:bCs/>
          <w:color w:val="auto"/>
          <w:sz w:val="24"/>
          <w:highlight w:val="none"/>
        </w:rPr>
      </w:pPr>
    </w:p>
    <w:p w14:paraId="7FD5DC4D">
      <w:pPr>
        <w:pStyle w:val="2"/>
        <w:rPr>
          <w:rFonts w:hint="eastAsia" w:ascii="宋体" w:hAnsi="宋体"/>
          <w:bCs/>
          <w:color w:val="auto"/>
          <w:sz w:val="24"/>
          <w:highlight w:val="none"/>
        </w:rPr>
      </w:pPr>
    </w:p>
    <w:p w14:paraId="7A824CA5">
      <w:pPr>
        <w:rPr>
          <w:rFonts w:hint="eastAsia" w:ascii="宋体" w:hAnsi="宋体"/>
          <w:bCs/>
          <w:color w:val="auto"/>
          <w:sz w:val="24"/>
          <w:highlight w:val="none"/>
        </w:rPr>
      </w:pPr>
    </w:p>
    <w:p w14:paraId="16B3D74A">
      <w:pPr>
        <w:overflowPunct w:val="0"/>
        <w:autoSpaceDE w:val="0"/>
        <w:autoSpaceDN w:val="0"/>
        <w:adjustRightInd w:val="0"/>
        <w:snapToGrid w:val="0"/>
        <w:spacing w:line="420" w:lineRule="exact"/>
        <w:outlineLvl w:val="2"/>
        <w:rPr>
          <w:rFonts w:ascii="宋体" w:hAnsi="宋体"/>
          <w:bCs/>
          <w:color w:val="auto"/>
          <w:sz w:val="24"/>
          <w:highlight w:val="none"/>
        </w:rPr>
      </w:pPr>
      <w:r>
        <w:rPr>
          <w:rFonts w:hint="eastAsia" w:ascii="宋体" w:hAnsi="宋体"/>
          <w:bCs/>
          <w:color w:val="auto"/>
          <w:sz w:val="24"/>
          <w:highlight w:val="none"/>
        </w:rPr>
        <w:t xml:space="preserve">附录2  </w:t>
      </w:r>
    </w:p>
    <w:p w14:paraId="2FA38CC2">
      <w:pPr>
        <w:overflowPunct w:val="0"/>
        <w:autoSpaceDE w:val="0"/>
        <w:autoSpaceDN w:val="0"/>
        <w:adjustRightInd w:val="0"/>
        <w:snapToGrid w:val="0"/>
        <w:spacing w:line="420" w:lineRule="exact"/>
        <w:jc w:val="center"/>
        <w:rPr>
          <w:rFonts w:ascii="宋体" w:hAnsi="宋体"/>
          <w:bCs/>
          <w:color w:val="auto"/>
          <w:sz w:val="32"/>
          <w:szCs w:val="32"/>
          <w:highlight w:val="none"/>
        </w:rPr>
      </w:pPr>
      <w:r>
        <w:rPr>
          <w:rFonts w:hint="eastAsia" w:ascii="宋体" w:hAnsi="宋体"/>
          <w:bCs/>
          <w:color w:val="auto"/>
          <w:sz w:val="32"/>
          <w:szCs w:val="32"/>
          <w:highlight w:val="none"/>
        </w:rPr>
        <w:t>委托人派遣的人员和资料</w:t>
      </w:r>
    </w:p>
    <w:p w14:paraId="5B143A34">
      <w:pPr>
        <w:overflowPunct w:val="0"/>
        <w:autoSpaceDE w:val="0"/>
        <w:autoSpaceDN w:val="0"/>
        <w:adjustRightInd w:val="0"/>
        <w:snapToGrid w:val="0"/>
        <w:spacing w:line="420" w:lineRule="exact"/>
        <w:ind w:firstLine="482" w:firstLineChars="200"/>
        <w:rPr>
          <w:rFonts w:ascii="宋体" w:hAnsi="宋体"/>
          <w:b/>
          <w:color w:val="auto"/>
          <w:kern w:val="0"/>
          <w:sz w:val="24"/>
          <w:highlight w:val="none"/>
        </w:rPr>
      </w:pPr>
      <w:r>
        <w:rPr>
          <w:rFonts w:hint="eastAsia" w:ascii="宋体" w:hAnsi="宋体"/>
          <w:b/>
          <w:color w:val="auto"/>
          <w:kern w:val="0"/>
          <w:sz w:val="24"/>
          <w:highlight w:val="none"/>
        </w:rPr>
        <w:t>2-1  委托人派遣的人员</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6549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6B622166">
            <w:pPr>
              <w:overflowPunct w:val="0"/>
              <w:autoSpaceDE w:val="0"/>
              <w:autoSpaceDN w:val="0"/>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名称</w:t>
            </w:r>
          </w:p>
        </w:tc>
        <w:tc>
          <w:tcPr>
            <w:tcW w:w="1770" w:type="dxa"/>
            <w:noWrap w:val="0"/>
            <w:vAlign w:val="top"/>
          </w:tcPr>
          <w:p w14:paraId="71E8D6B2">
            <w:pPr>
              <w:overflowPunct w:val="0"/>
              <w:autoSpaceDE w:val="0"/>
              <w:autoSpaceDN w:val="0"/>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数量</w:t>
            </w:r>
          </w:p>
        </w:tc>
        <w:tc>
          <w:tcPr>
            <w:tcW w:w="2130" w:type="dxa"/>
            <w:noWrap w:val="0"/>
            <w:vAlign w:val="top"/>
          </w:tcPr>
          <w:p w14:paraId="011105A7">
            <w:pPr>
              <w:overflowPunct w:val="0"/>
              <w:autoSpaceDE w:val="0"/>
              <w:autoSpaceDN w:val="0"/>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工作要求</w:t>
            </w:r>
          </w:p>
        </w:tc>
        <w:tc>
          <w:tcPr>
            <w:tcW w:w="1860" w:type="dxa"/>
            <w:noWrap w:val="0"/>
            <w:vAlign w:val="top"/>
          </w:tcPr>
          <w:p w14:paraId="00A0F2A6">
            <w:pPr>
              <w:overflowPunct w:val="0"/>
              <w:autoSpaceDE w:val="0"/>
              <w:autoSpaceDN w:val="0"/>
              <w:adjustRightInd w:val="0"/>
              <w:snapToGrid w:val="0"/>
              <w:spacing w:line="360" w:lineRule="exact"/>
              <w:jc w:val="center"/>
              <w:rPr>
                <w:rFonts w:ascii="宋体" w:hAnsi="宋体"/>
                <w:color w:val="auto"/>
                <w:sz w:val="24"/>
                <w:highlight w:val="none"/>
              </w:rPr>
            </w:pPr>
            <w:r>
              <w:rPr>
                <w:rFonts w:hint="eastAsia" w:ascii="宋体" w:hAnsi="宋体"/>
                <w:color w:val="auto"/>
                <w:sz w:val="24"/>
                <w:highlight w:val="none"/>
              </w:rPr>
              <w:t>提供时间</w:t>
            </w:r>
          </w:p>
        </w:tc>
      </w:tr>
      <w:tr w14:paraId="2D93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421FD93F">
            <w:pPr>
              <w:overflowPunct w:val="0"/>
              <w:autoSpaceDE w:val="0"/>
              <w:autoSpaceDN w:val="0"/>
              <w:adjustRightInd w:val="0"/>
              <w:snapToGrid w:val="0"/>
              <w:spacing w:line="360" w:lineRule="exact"/>
              <w:rPr>
                <w:rFonts w:ascii="宋体" w:hAnsi="宋体"/>
                <w:color w:val="auto"/>
                <w:sz w:val="24"/>
                <w:highlight w:val="none"/>
              </w:rPr>
            </w:pPr>
            <w:r>
              <w:rPr>
                <w:rFonts w:hint="eastAsia" w:ascii="宋体" w:hAnsi="宋体"/>
                <w:color w:val="auto"/>
                <w:sz w:val="24"/>
                <w:highlight w:val="none"/>
              </w:rPr>
              <w:t xml:space="preserve">1. 工程技术人员 </w:t>
            </w:r>
          </w:p>
        </w:tc>
        <w:tc>
          <w:tcPr>
            <w:tcW w:w="1770" w:type="dxa"/>
            <w:noWrap w:val="0"/>
            <w:vAlign w:val="top"/>
          </w:tcPr>
          <w:p w14:paraId="6DD50B0C">
            <w:pPr>
              <w:overflowPunct w:val="0"/>
              <w:autoSpaceDE w:val="0"/>
              <w:autoSpaceDN w:val="0"/>
              <w:adjustRightInd w:val="0"/>
              <w:snapToGrid w:val="0"/>
              <w:spacing w:line="360" w:lineRule="exact"/>
              <w:rPr>
                <w:rFonts w:hint="eastAsia" w:ascii="宋体" w:hAnsi="宋体"/>
                <w:color w:val="auto"/>
                <w:sz w:val="24"/>
                <w:highlight w:val="none"/>
              </w:rPr>
            </w:pPr>
          </w:p>
        </w:tc>
        <w:tc>
          <w:tcPr>
            <w:tcW w:w="2130" w:type="dxa"/>
            <w:noWrap w:val="0"/>
            <w:vAlign w:val="top"/>
          </w:tcPr>
          <w:p w14:paraId="023270E7">
            <w:pPr>
              <w:overflowPunct w:val="0"/>
              <w:autoSpaceDE w:val="0"/>
              <w:autoSpaceDN w:val="0"/>
              <w:adjustRightInd w:val="0"/>
              <w:snapToGrid w:val="0"/>
              <w:spacing w:line="360" w:lineRule="exact"/>
              <w:rPr>
                <w:rFonts w:hint="eastAsia" w:ascii="宋体" w:hAnsi="宋体"/>
                <w:color w:val="auto"/>
                <w:sz w:val="24"/>
                <w:highlight w:val="none"/>
              </w:rPr>
            </w:pPr>
          </w:p>
        </w:tc>
        <w:tc>
          <w:tcPr>
            <w:tcW w:w="1860" w:type="dxa"/>
            <w:noWrap w:val="0"/>
            <w:vAlign w:val="top"/>
          </w:tcPr>
          <w:p w14:paraId="2B34D72A">
            <w:pPr>
              <w:overflowPunct w:val="0"/>
              <w:autoSpaceDE w:val="0"/>
              <w:autoSpaceDN w:val="0"/>
              <w:adjustRightInd w:val="0"/>
              <w:snapToGrid w:val="0"/>
              <w:spacing w:line="360" w:lineRule="exact"/>
              <w:rPr>
                <w:rFonts w:hint="eastAsia" w:ascii="宋体" w:hAnsi="宋体"/>
                <w:color w:val="auto"/>
                <w:sz w:val="24"/>
                <w:highlight w:val="none"/>
              </w:rPr>
            </w:pPr>
          </w:p>
        </w:tc>
      </w:tr>
      <w:tr w14:paraId="6D09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5C111E76">
            <w:pPr>
              <w:overflowPunct w:val="0"/>
              <w:autoSpaceDE w:val="0"/>
              <w:autoSpaceDN w:val="0"/>
              <w:adjustRightInd w:val="0"/>
              <w:snapToGrid w:val="0"/>
              <w:spacing w:line="360" w:lineRule="exact"/>
              <w:rPr>
                <w:rFonts w:ascii="宋体" w:hAnsi="宋体"/>
                <w:color w:val="auto"/>
                <w:sz w:val="24"/>
                <w:highlight w:val="none"/>
              </w:rPr>
            </w:pPr>
            <w:r>
              <w:rPr>
                <w:rFonts w:hint="eastAsia" w:ascii="宋体" w:hAnsi="宋体"/>
                <w:color w:val="auto"/>
                <w:sz w:val="24"/>
                <w:highlight w:val="none"/>
              </w:rPr>
              <w:t>2. 辅助工作人员</w:t>
            </w:r>
          </w:p>
        </w:tc>
        <w:tc>
          <w:tcPr>
            <w:tcW w:w="1770" w:type="dxa"/>
            <w:noWrap w:val="0"/>
            <w:vAlign w:val="top"/>
          </w:tcPr>
          <w:p w14:paraId="0E58DD92">
            <w:pPr>
              <w:overflowPunct w:val="0"/>
              <w:autoSpaceDE w:val="0"/>
              <w:autoSpaceDN w:val="0"/>
              <w:adjustRightInd w:val="0"/>
              <w:snapToGrid w:val="0"/>
              <w:spacing w:line="360" w:lineRule="exact"/>
              <w:rPr>
                <w:rFonts w:hint="eastAsia" w:ascii="宋体" w:hAnsi="宋体"/>
                <w:color w:val="auto"/>
                <w:sz w:val="24"/>
                <w:highlight w:val="none"/>
              </w:rPr>
            </w:pPr>
          </w:p>
        </w:tc>
        <w:tc>
          <w:tcPr>
            <w:tcW w:w="2130" w:type="dxa"/>
            <w:noWrap w:val="0"/>
            <w:vAlign w:val="top"/>
          </w:tcPr>
          <w:p w14:paraId="7BF19F0D">
            <w:pPr>
              <w:overflowPunct w:val="0"/>
              <w:autoSpaceDE w:val="0"/>
              <w:autoSpaceDN w:val="0"/>
              <w:adjustRightInd w:val="0"/>
              <w:snapToGrid w:val="0"/>
              <w:spacing w:line="360" w:lineRule="exact"/>
              <w:rPr>
                <w:rFonts w:hint="eastAsia" w:ascii="宋体" w:hAnsi="宋体"/>
                <w:color w:val="auto"/>
                <w:sz w:val="24"/>
                <w:highlight w:val="none"/>
              </w:rPr>
            </w:pPr>
          </w:p>
        </w:tc>
        <w:tc>
          <w:tcPr>
            <w:tcW w:w="1860" w:type="dxa"/>
            <w:noWrap w:val="0"/>
            <w:vAlign w:val="top"/>
          </w:tcPr>
          <w:p w14:paraId="40606444">
            <w:pPr>
              <w:overflowPunct w:val="0"/>
              <w:autoSpaceDE w:val="0"/>
              <w:autoSpaceDN w:val="0"/>
              <w:adjustRightInd w:val="0"/>
              <w:snapToGrid w:val="0"/>
              <w:spacing w:line="360" w:lineRule="exact"/>
              <w:rPr>
                <w:rFonts w:hint="eastAsia" w:ascii="宋体" w:hAnsi="宋体"/>
                <w:color w:val="auto"/>
                <w:sz w:val="24"/>
                <w:highlight w:val="none"/>
              </w:rPr>
            </w:pPr>
          </w:p>
        </w:tc>
      </w:tr>
      <w:tr w14:paraId="2605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top"/>
          </w:tcPr>
          <w:p w14:paraId="47E536F2">
            <w:pPr>
              <w:overflowPunct w:val="0"/>
              <w:autoSpaceDE w:val="0"/>
              <w:autoSpaceDN w:val="0"/>
              <w:adjustRightInd w:val="0"/>
              <w:snapToGrid w:val="0"/>
              <w:spacing w:line="360" w:lineRule="exact"/>
              <w:rPr>
                <w:rFonts w:ascii="宋体" w:hAnsi="宋体"/>
                <w:color w:val="auto"/>
                <w:sz w:val="24"/>
                <w:highlight w:val="none"/>
              </w:rPr>
            </w:pPr>
            <w:r>
              <w:rPr>
                <w:rFonts w:hint="eastAsia" w:ascii="宋体" w:hAnsi="宋体"/>
                <w:color w:val="auto"/>
                <w:sz w:val="24"/>
                <w:highlight w:val="none"/>
              </w:rPr>
              <w:t>3. 其他人员</w:t>
            </w:r>
          </w:p>
        </w:tc>
        <w:tc>
          <w:tcPr>
            <w:tcW w:w="1770" w:type="dxa"/>
            <w:noWrap w:val="0"/>
            <w:vAlign w:val="top"/>
          </w:tcPr>
          <w:p w14:paraId="42CFD7E8">
            <w:pPr>
              <w:overflowPunct w:val="0"/>
              <w:autoSpaceDE w:val="0"/>
              <w:autoSpaceDN w:val="0"/>
              <w:adjustRightInd w:val="0"/>
              <w:snapToGrid w:val="0"/>
              <w:spacing w:line="360" w:lineRule="exact"/>
              <w:rPr>
                <w:rFonts w:hint="eastAsia" w:ascii="宋体" w:hAnsi="宋体"/>
                <w:color w:val="auto"/>
                <w:sz w:val="24"/>
                <w:highlight w:val="none"/>
              </w:rPr>
            </w:pPr>
          </w:p>
        </w:tc>
        <w:tc>
          <w:tcPr>
            <w:tcW w:w="2130" w:type="dxa"/>
            <w:noWrap w:val="0"/>
            <w:vAlign w:val="top"/>
          </w:tcPr>
          <w:p w14:paraId="2A24941B">
            <w:pPr>
              <w:overflowPunct w:val="0"/>
              <w:autoSpaceDE w:val="0"/>
              <w:autoSpaceDN w:val="0"/>
              <w:adjustRightInd w:val="0"/>
              <w:snapToGrid w:val="0"/>
              <w:spacing w:line="360" w:lineRule="exact"/>
              <w:rPr>
                <w:rFonts w:hint="eastAsia" w:ascii="宋体" w:hAnsi="宋体"/>
                <w:color w:val="auto"/>
                <w:sz w:val="24"/>
                <w:highlight w:val="none"/>
              </w:rPr>
            </w:pPr>
          </w:p>
        </w:tc>
        <w:tc>
          <w:tcPr>
            <w:tcW w:w="1860" w:type="dxa"/>
            <w:noWrap w:val="0"/>
            <w:vAlign w:val="top"/>
          </w:tcPr>
          <w:p w14:paraId="332BAE2C">
            <w:pPr>
              <w:overflowPunct w:val="0"/>
              <w:autoSpaceDE w:val="0"/>
              <w:autoSpaceDN w:val="0"/>
              <w:adjustRightInd w:val="0"/>
              <w:snapToGrid w:val="0"/>
              <w:spacing w:line="360" w:lineRule="exact"/>
              <w:rPr>
                <w:rFonts w:hint="eastAsia" w:ascii="宋体" w:hAnsi="宋体"/>
                <w:color w:val="auto"/>
                <w:sz w:val="24"/>
                <w:highlight w:val="none"/>
              </w:rPr>
            </w:pPr>
          </w:p>
        </w:tc>
      </w:tr>
    </w:tbl>
    <w:p w14:paraId="3B8FDC95">
      <w:pPr>
        <w:overflowPunct w:val="0"/>
        <w:autoSpaceDE w:val="0"/>
        <w:autoSpaceDN w:val="0"/>
        <w:adjustRightInd w:val="0"/>
        <w:snapToGrid w:val="0"/>
        <w:spacing w:line="420" w:lineRule="exact"/>
        <w:ind w:firstLine="482" w:firstLineChars="200"/>
        <w:rPr>
          <w:rFonts w:ascii="宋体" w:hAnsi="宋体"/>
          <w:b/>
          <w:color w:val="auto"/>
          <w:kern w:val="0"/>
          <w:sz w:val="24"/>
          <w:highlight w:val="none"/>
        </w:rPr>
      </w:pPr>
      <w:r>
        <w:rPr>
          <w:rFonts w:hint="eastAsia" w:ascii="宋体" w:hAnsi="宋体"/>
          <w:b/>
          <w:color w:val="auto"/>
          <w:kern w:val="0"/>
          <w:sz w:val="24"/>
          <w:highlight w:val="none"/>
        </w:rPr>
        <w:t>2-2  委托人提供的资料</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8"/>
        <w:gridCol w:w="1426"/>
        <w:gridCol w:w="1620"/>
        <w:gridCol w:w="1080"/>
      </w:tblGrid>
      <w:tr w14:paraId="486D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noWrap w:val="0"/>
            <w:vAlign w:val="top"/>
          </w:tcPr>
          <w:p w14:paraId="30BC9A8A">
            <w:pPr>
              <w:overflowPunct w:val="0"/>
              <w:autoSpaceDE w:val="0"/>
              <w:autoSpaceDN w:val="0"/>
              <w:adjustRightInd w:val="0"/>
              <w:snapToGrid w:val="0"/>
              <w:spacing w:line="360" w:lineRule="exact"/>
              <w:jc w:val="center"/>
              <w:rPr>
                <w:rFonts w:ascii="宋体" w:hAnsi="宋体"/>
                <w:color w:val="auto"/>
                <w:kern w:val="0"/>
                <w:sz w:val="24"/>
                <w:highlight w:val="none"/>
              </w:rPr>
            </w:pPr>
            <w:r>
              <w:rPr>
                <w:rFonts w:hint="eastAsia" w:ascii="宋体" w:hAnsi="宋体"/>
                <w:color w:val="auto"/>
                <w:kern w:val="0"/>
                <w:sz w:val="24"/>
                <w:highlight w:val="none"/>
              </w:rPr>
              <w:t>名称</w:t>
            </w:r>
          </w:p>
        </w:tc>
        <w:tc>
          <w:tcPr>
            <w:tcW w:w="1426" w:type="dxa"/>
            <w:noWrap w:val="0"/>
            <w:vAlign w:val="top"/>
          </w:tcPr>
          <w:p w14:paraId="52D0F49D">
            <w:pPr>
              <w:overflowPunct w:val="0"/>
              <w:autoSpaceDE w:val="0"/>
              <w:autoSpaceDN w:val="0"/>
              <w:adjustRightInd w:val="0"/>
              <w:snapToGrid w:val="0"/>
              <w:spacing w:line="360" w:lineRule="exact"/>
              <w:jc w:val="center"/>
              <w:rPr>
                <w:rFonts w:ascii="宋体" w:hAnsi="宋体"/>
                <w:color w:val="auto"/>
                <w:kern w:val="0"/>
                <w:sz w:val="24"/>
                <w:highlight w:val="none"/>
              </w:rPr>
            </w:pPr>
            <w:r>
              <w:rPr>
                <w:rFonts w:hint="eastAsia" w:ascii="宋体" w:hAnsi="宋体"/>
                <w:color w:val="auto"/>
                <w:kern w:val="0"/>
                <w:sz w:val="24"/>
                <w:highlight w:val="none"/>
              </w:rPr>
              <w:t>份数</w:t>
            </w:r>
          </w:p>
        </w:tc>
        <w:tc>
          <w:tcPr>
            <w:tcW w:w="1620" w:type="dxa"/>
            <w:noWrap w:val="0"/>
            <w:vAlign w:val="top"/>
          </w:tcPr>
          <w:p w14:paraId="529903DD">
            <w:pPr>
              <w:overflowPunct w:val="0"/>
              <w:autoSpaceDE w:val="0"/>
              <w:autoSpaceDN w:val="0"/>
              <w:adjustRightInd w:val="0"/>
              <w:snapToGrid w:val="0"/>
              <w:spacing w:line="360" w:lineRule="exact"/>
              <w:jc w:val="center"/>
              <w:rPr>
                <w:rFonts w:ascii="宋体" w:hAnsi="宋体"/>
                <w:color w:val="auto"/>
                <w:kern w:val="0"/>
                <w:sz w:val="24"/>
                <w:highlight w:val="none"/>
              </w:rPr>
            </w:pPr>
            <w:r>
              <w:rPr>
                <w:rFonts w:hint="eastAsia" w:ascii="宋体" w:hAnsi="宋体"/>
                <w:color w:val="auto"/>
                <w:kern w:val="0"/>
                <w:sz w:val="24"/>
                <w:highlight w:val="none"/>
              </w:rPr>
              <w:t>提供时间</w:t>
            </w:r>
          </w:p>
        </w:tc>
        <w:tc>
          <w:tcPr>
            <w:tcW w:w="1080" w:type="dxa"/>
            <w:noWrap w:val="0"/>
            <w:vAlign w:val="top"/>
          </w:tcPr>
          <w:p w14:paraId="0C538403">
            <w:pPr>
              <w:overflowPunct w:val="0"/>
              <w:autoSpaceDE w:val="0"/>
              <w:autoSpaceDN w:val="0"/>
              <w:adjustRightInd w:val="0"/>
              <w:snapToGrid w:val="0"/>
              <w:spacing w:line="360" w:lineRule="exact"/>
              <w:jc w:val="center"/>
              <w:rPr>
                <w:rFonts w:ascii="宋体" w:hAnsi="宋体"/>
                <w:color w:val="auto"/>
                <w:kern w:val="0"/>
                <w:sz w:val="24"/>
                <w:highlight w:val="none"/>
              </w:rPr>
            </w:pPr>
            <w:r>
              <w:rPr>
                <w:rFonts w:hint="eastAsia" w:ascii="宋体" w:hAnsi="宋体"/>
                <w:color w:val="auto"/>
                <w:kern w:val="0"/>
                <w:sz w:val="24"/>
                <w:highlight w:val="none"/>
              </w:rPr>
              <w:t>备注</w:t>
            </w:r>
          </w:p>
        </w:tc>
      </w:tr>
      <w:tr w14:paraId="16EF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noWrap w:val="0"/>
            <w:vAlign w:val="top"/>
          </w:tcPr>
          <w:p w14:paraId="6DF6FDE1">
            <w:pPr>
              <w:overflowPunct w:val="0"/>
              <w:autoSpaceDE w:val="0"/>
              <w:autoSpaceDN w:val="0"/>
              <w:adjustRightInd w:val="0"/>
              <w:snapToGrid w:val="0"/>
              <w:spacing w:line="360" w:lineRule="exact"/>
              <w:rPr>
                <w:rFonts w:ascii="宋体" w:hAnsi="宋体"/>
                <w:color w:val="auto"/>
                <w:kern w:val="0"/>
                <w:sz w:val="24"/>
                <w:highlight w:val="none"/>
              </w:rPr>
            </w:pPr>
            <w:r>
              <w:rPr>
                <w:rFonts w:hint="eastAsia" w:ascii="宋体" w:hAnsi="宋体"/>
                <w:color w:val="auto"/>
                <w:kern w:val="0"/>
                <w:sz w:val="24"/>
                <w:highlight w:val="none"/>
              </w:rPr>
              <w:t>1. 工程立项文件</w:t>
            </w:r>
          </w:p>
        </w:tc>
        <w:tc>
          <w:tcPr>
            <w:tcW w:w="1426" w:type="dxa"/>
            <w:noWrap w:val="0"/>
            <w:vAlign w:val="top"/>
          </w:tcPr>
          <w:p w14:paraId="4606CB3C">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620" w:type="dxa"/>
            <w:noWrap w:val="0"/>
            <w:vAlign w:val="top"/>
          </w:tcPr>
          <w:p w14:paraId="6040FC90">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080" w:type="dxa"/>
            <w:noWrap w:val="0"/>
            <w:vAlign w:val="top"/>
          </w:tcPr>
          <w:p w14:paraId="5E66E808">
            <w:pPr>
              <w:overflowPunct w:val="0"/>
              <w:autoSpaceDE w:val="0"/>
              <w:autoSpaceDN w:val="0"/>
              <w:adjustRightInd w:val="0"/>
              <w:snapToGrid w:val="0"/>
              <w:spacing w:line="360" w:lineRule="exact"/>
              <w:rPr>
                <w:rFonts w:ascii="宋体" w:hAnsi="宋体"/>
                <w:color w:val="auto"/>
                <w:kern w:val="0"/>
                <w:sz w:val="24"/>
                <w:highlight w:val="none"/>
              </w:rPr>
            </w:pPr>
          </w:p>
        </w:tc>
      </w:tr>
      <w:tr w14:paraId="2FF1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noWrap w:val="0"/>
            <w:vAlign w:val="top"/>
          </w:tcPr>
          <w:p w14:paraId="04779A77">
            <w:pPr>
              <w:overflowPunct w:val="0"/>
              <w:autoSpaceDE w:val="0"/>
              <w:autoSpaceDN w:val="0"/>
              <w:adjustRightInd w:val="0"/>
              <w:snapToGrid w:val="0"/>
              <w:spacing w:line="360" w:lineRule="exact"/>
              <w:rPr>
                <w:rFonts w:ascii="宋体" w:hAnsi="宋体"/>
                <w:color w:val="auto"/>
                <w:kern w:val="0"/>
                <w:sz w:val="24"/>
                <w:highlight w:val="none"/>
              </w:rPr>
            </w:pPr>
            <w:r>
              <w:rPr>
                <w:rFonts w:hint="eastAsia" w:ascii="宋体" w:hAnsi="宋体"/>
                <w:color w:val="auto"/>
                <w:kern w:val="0"/>
                <w:sz w:val="24"/>
                <w:highlight w:val="none"/>
              </w:rPr>
              <w:t>2. 工程勘察文件</w:t>
            </w:r>
          </w:p>
        </w:tc>
        <w:tc>
          <w:tcPr>
            <w:tcW w:w="1426" w:type="dxa"/>
            <w:noWrap w:val="0"/>
            <w:vAlign w:val="top"/>
          </w:tcPr>
          <w:p w14:paraId="6AC640F1">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620" w:type="dxa"/>
            <w:noWrap w:val="0"/>
            <w:vAlign w:val="top"/>
          </w:tcPr>
          <w:p w14:paraId="64656E00">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080" w:type="dxa"/>
            <w:noWrap w:val="0"/>
            <w:vAlign w:val="top"/>
          </w:tcPr>
          <w:p w14:paraId="42846617">
            <w:pPr>
              <w:overflowPunct w:val="0"/>
              <w:autoSpaceDE w:val="0"/>
              <w:autoSpaceDN w:val="0"/>
              <w:adjustRightInd w:val="0"/>
              <w:snapToGrid w:val="0"/>
              <w:spacing w:line="360" w:lineRule="exact"/>
              <w:rPr>
                <w:rFonts w:ascii="宋体" w:hAnsi="宋体"/>
                <w:color w:val="auto"/>
                <w:kern w:val="0"/>
                <w:sz w:val="24"/>
                <w:highlight w:val="none"/>
              </w:rPr>
            </w:pPr>
          </w:p>
        </w:tc>
      </w:tr>
      <w:tr w14:paraId="09F1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noWrap w:val="0"/>
            <w:vAlign w:val="top"/>
          </w:tcPr>
          <w:p w14:paraId="622232DF">
            <w:pPr>
              <w:overflowPunct w:val="0"/>
              <w:autoSpaceDE w:val="0"/>
              <w:autoSpaceDN w:val="0"/>
              <w:adjustRightInd w:val="0"/>
              <w:snapToGrid w:val="0"/>
              <w:spacing w:line="360" w:lineRule="exact"/>
              <w:rPr>
                <w:rFonts w:ascii="宋体" w:hAnsi="宋体"/>
                <w:color w:val="auto"/>
                <w:kern w:val="0"/>
                <w:sz w:val="24"/>
                <w:highlight w:val="none"/>
              </w:rPr>
            </w:pPr>
            <w:r>
              <w:rPr>
                <w:rFonts w:hint="eastAsia" w:ascii="宋体" w:hAnsi="宋体"/>
                <w:color w:val="auto"/>
                <w:kern w:val="0"/>
                <w:sz w:val="24"/>
                <w:highlight w:val="none"/>
              </w:rPr>
              <w:t>3. 工程设计及施工图纸</w:t>
            </w:r>
          </w:p>
        </w:tc>
        <w:tc>
          <w:tcPr>
            <w:tcW w:w="1426" w:type="dxa"/>
            <w:noWrap w:val="0"/>
            <w:vAlign w:val="top"/>
          </w:tcPr>
          <w:p w14:paraId="10E11E7C">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620" w:type="dxa"/>
            <w:noWrap w:val="0"/>
            <w:vAlign w:val="top"/>
          </w:tcPr>
          <w:p w14:paraId="061291E0">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080" w:type="dxa"/>
            <w:noWrap w:val="0"/>
            <w:vAlign w:val="top"/>
          </w:tcPr>
          <w:p w14:paraId="7282F34D">
            <w:pPr>
              <w:overflowPunct w:val="0"/>
              <w:autoSpaceDE w:val="0"/>
              <w:autoSpaceDN w:val="0"/>
              <w:adjustRightInd w:val="0"/>
              <w:snapToGrid w:val="0"/>
              <w:spacing w:line="360" w:lineRule="exact"/>
              <w:rPr>
                <w:rFonts w:ascii="宋体" w:hAnsi="宋体"/>
                <w:color w:val="auto"/>
                <w:kern w:val="0"/>
                <w:sz w:val="24"/>
                <w:highlight w:val="none"/>
              </w:rPr>
            </w:pPr>
          </w:p>
        </w:tc>
      </w:tr>
      <w:tr w14:paraId="5A05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noWrap w:val="0"/>
            <w:vAlign w:val="top"/>
          </w:tcPr>
          <w:p w14:paraId="278BE999">
            <w:pPr>
              <w:overflowPunct w:val="0"/>
              <w:autoSpaceDE w:val="0"/>
              <w:autoSpaceDN w:val="0"/>
              <w:adjustRightInd w:val="0"/>
              <w:snapToGrid w:val="0"/>
              <w:spacing w:line="360" w:lineRule="exact"/>
              <w:rPr>
                <w:rFonts w:ascii="宋体" w:hAnsi="宋体"/>
                <w:color w:val="auto"/>
                <w:kern w:val="0"/>
                <w:sz w:val="24"/>
                <w:highlight w:val="none"/>
              </w:rPr>
            </w:pPr>
            <w:r>
              <w:rPr>
                <w:rFonts w:hint="eastAsia" w:ascii="宋体" w:hAnsi="宋体"/>
                <w:color w:val="auto"/>
                <w:kern w:val="0"/>
                <w:sz w:val="24"/>
                <w:highlight w:val="none"/>
              </w:rPr>
              <w:t>4. 工程承包合同及其他相关合同</w:t>
            </w:r>
          </w:p>
        </w:tc>
        <w:tc>
          <w:tcPr>
            <w:tcW w:w="1426" w:type="dxa"/>
            <w:noWrap w:val="0"/>
            <w:vAlign w:val="top"/>
          </w:tcPr>
          <w:p w14:paraId="1E35A561">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620" w:type="dxa"/>
            <w:noWrap w:val="0"/>
            <w:vAlign w:val="top"/>
          </w:tcPr>
          <w:p w14:paraId="226FB766">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080" w:type="dxa"/>
            <w:noWrap w:val="0"/>
            <w:vAlign w:val="top"/>
          </w:tcPr>
          <w:p w14:paraId="147ED77C">
            <w:pPr>
              <w:overflowPunct w:val="0"/>
              <w:autoSpaceDE w:val="0"/>
              <w:autoSpaceDN w:val="0"/>
              <w:adjustRightInd w:val="0"/>
              <w:snapToGrid w:val="0"/>
              <w:spacing w:line="360" w:lineRule="exact"/>
              <w:rPr>
                <w:rFonts w:ascii="宋体" w:hAnsi="宋体"/>
                <w:color w:val="auto"/>
                <w:kern w:val="0"/>
                <w:sz w:val="24"/>
                <w:highlight w:val="none"/>
              </w:rPr>
            </w:pPr>
          </w:p>
        </w:tc>
      </w:tr>
      <w:tr w14:paraId="0B88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noWrap w:val="0"/>
            <w:vAlign w:val="top"/>
          </w:tcPr>
          <w:p w14:paraId="51AF4C9F">
            <w:pPr>
              <w:overflowPunct w:val="0"/>
              <w:autoSpaceDE w:val="0"/>
              <w:autoSpaceDN w:val="0"/>
              <w:adjustRightInd w:val="0"/>
              <w:snapToGrid w:val="0"/>
              <w:spacing w:line="360" w:lineRule="exact"/>
              <w:rPr>
                <w:rFonts w:ascii="宋体" w:hAnsi="宋体"/>
                <w:color w:val="auto"/>
                <w:kern w:val="0"/>
                <w:sz w:val="24"/>
                <w:highlight w:val="none"/>
              </w:rPr>
            </w:pPr>
            <w:r>
              <w:rPr>
                <w:rFonts w:hint="eastAsia" w:ascii="宋体" w:hAnsi="宋体"/>
                <w:color w:val="auto"/>
                <w:kern w:val="0"/>
                <w:sz w:val="24"/>
                <w:highlight w:val="none"/>
              </w:rPr>
              <w:t>5. 施工许可文件</w:t>
            </w:r>
          </w:p>
        </w:tc>
        <w:tc>
          <w:tcPr>
            <w:tcW w:w="1426" w:type="dxa"/>
            <w:noWrap w:val="0"/>
            <w:vAlign w:val="top"/>
          </w:tcPr>
          <w:p w14:paraId="195AFE79">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620" w:type="dxa"/>
            <w:noWrap w:val="0"/>
            <w:vAlign w:val="top"/>
          </w:tcPr>
          <w:p w14:paraId="2842700F">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080" w:type="dxa"/>
            <w:noWrap w:val="0"/>
            <w:vAlign w:val="top"/>
          </w:tcPr>
          <w:p w14:paraId="51F73164">
            <w:pPr>
              <w:overflowPunct w:val="0"/>
              <w:autoSpaceDE w:val="0"/>
              <w:autoSpaceDN w:val="0"/>
              <w:adjustRightInd w:val="0"/>
              <w:snapToGrid w:val="0"/>
              <w:spacing w:line="360" w:lineRule="exact"/>
              <w:rPr>
                <w:rFonts w:ascii="宋体" w:hAnsi="宋体"/>
                <w:color w:val="auto"/>
                <w:kern w:val="0"/>
                <w:sz w:val="24"/>
                <w:highlight w:val="none"/>
              </w:rPr>
            </w:pPr>
          </w:p>
        </w:tc>
      </w:tr>
      <w:tr w14:paraId="652F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8" w:type="dxa"/>
            <w:noWrap w:val="0"/>
            <w:vAlign w:val="top"/>
          </w:tcPr>
          <w:p w14:paraId="14FF2C48">
            <w:pPr>
              <w:overflowPunct w:val="0"/>
              <w:autoSpaceDE w:val="0"/>
              <w:autoSpaceDN w:val="0"/>
              <w:adjustRightInd w:val="0"/>
              <w:snapToGrid w:val="0"/>
              <w:spacing w:line="360" w:lineRule="exact"/>
              <w:rPr>
                <w:rFonts w:ascii="宋体" w:hAnsi="宋体"/>
                <w:color w:val="auto"/>
                <w:kern w:val="0"/>
                <w:sz w:val="24"/>
                <w:highlight w:val="none"/>
              </w:rPr>
            </w:pPr>
            <w:r>
              <w:rPr>
                <w:rFonts w:hint="eastAsia" w:ascii="宋体" w:hAnsi="宋体"/>
                <w:color w:val="auto"/>
                <w:kern w:val="0"/>
                <w:sz w:val="24"/>
                <w:highlight w:val="none"/>
              </w:rPr>
              <w:t>6. 其他文件</w:t>
            </w:r>
          </w:p>
        </w:tc>
        <w:tc>
          <w:tcPr>
            <w:tcW w:w="1426" w:type="dxa"/>
            <w:noWrap w:val="0"/>
            <w:vAlign w:val="top"/>
          </w:tcPr>
          <w:p w14:paraId="6953F7C2">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620" w:type="dxa"/>
            <w:noWrap w:val="0"/>
            <w:vAlign w:val="top"/>
          </w:tcPr>
          <w:p w14:paraId="268029F0">
            <w:pPr>
              <w:overflowPunct w:val="0"/>
              <w:autoSpaceDE w:val="0"/>
              <w:autoSpaceDN w:val="0"/>
              <w:adjustRightInd w:val="0"/>
              <w:snapToGrid w:val="0"/>
              <w:spacing w:line="360" w:lineRule="exact"/>
              <w:rPr>
                <w:rFonts w:hint="eastAsia" w:ascii="宋体" w:hAnsi="宋体"/>
                <w:color w:val="auto"/>
                <w:kern w:val="0"/>
                <w:sz w:val="24"/>
                <w:highlight w:val="none"/>
              </w:rPr>
            </w:pPr>
          </w:p>
        </w:tc>
        <w:tc>
          <w:tcPr>
            <w:tcW w:w="1080" w:type="dxa"/>
            <w:noWrap w:val="0"/>
            <w:vAlign w:val="top"/>
          </w:tcPr>
          <w:p w14:paraId="43B6F1C7">
            <w:pPr>
              <w:overflowPunct w:val="0"/>
              <w:autoSpaceDE w:val="0"/>
              <w:autoSpaceDN w:val="0"/>
              <w:adjustRightInd w:val="0"/>
              <w:snapToGrid w:val="0"/>
              <w:spacing w:line="360" w:lineRule="exact"/>
              <w:rPr>
                <w:rFonts w:ascii="宋体" w:hAnsi="宋体"/>
                <w:color w:val="auto"/>
                <w:kern w:val="0"/>
                <w:sz w:val="24"/>
                <w:highlight w:val="none"/>
              </w:rPr>
            </w:pPr>
          </w:p>
        </w:tc>
      </w:tr>
    </w:tbl>
    <w:p w14:paraId="07CB10E1">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0CC955FA">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695ACE1F">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7740C2A7">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4DDB850B">
      <w:pPr>
        <w:overflowPunct w:val="0"/>
        <w:autoSpaceDE w:val="0"/>
        <w:autoSpaceDN w:val="0"/>
        <w:adjustRightInd w:val="0"/>
        <w:snapToGrid w:val="0"/>
        <w:spacing w:line="420" w:lineRule="exact"/>
        <w:outlineLvl w:val="2"/>
        <w:rPr>
          <w:rFonts w:hint="eastAsia" w:ascii="宋体" w:hAnsi="宋体"/>
          <w:bCs/>
          <w:color w:val="auto"/>
          <w:sz w:val="24"/>
          <w:highlight w:val="none"/>
        </w:rPr>
      </w:pPr>
    </w:p>
    <w:p w14:paraId="08EA8222">
      <w:pPr>
        <w:overflowPunct w:val="0"/>
        <w:autoSpaceDE w:val="0"/>
        <w:autoSpaceDN w:val="0"/>
        <w:adjustRightInd w:val="0"/>
        <w:snapToGrid w:val="0"/>
        <w:spacing w:line="420" w:lineRule="exact"/>
        <w:outlineLvl w:val="2"/>
        <w:rPr>
          <w:rFonts w:ascii="宋体" w:hAnsi="宋体"/>
          <w:color w:val="auto"/>
          <w:sz w:val="24"/>
          <w:highlight w:val="none"/>
        </w:rPr>
      </w:pPr>
      <w:r>
        <w:rPr>
          <w:rFonts w:hint="eastAsia" w:ascii="宋体" w:hAnsi="宋体"/>
          <w:bCs/>
          <w:color w:val="auto"/>
          <w:sz w:val="24"/>
          <w:highlight w:val="none"/>
        </w:rPr>
        <w:br w:type="page"/>
      </w:r>
      <w:r>
        <w:rPr>
          <w:rFonts w:hint="eastAsia" w:ascii="宋体" w:hAnsi="宋体"/>
          <w:bCs/>
          <w:color w:val="auto"/>
          <w:sz w:val="24"/>
          <w:highlight w:val="none"/>
        </w:rPr>
        <w:t>附录3</w:t>
      </w:r>
    </w:p>
    <w:p w14:paraId="4BC11751">
      <w:pPr>
        <w:overflowPunct w:val="0"/>
        <w:autoSpaceDE w:val="0"/>
        <w:autoSpaceDN w:val="0"/>
        <w:adjustRightInd w:val="0"/>
        <w:snapToGrid w:val="0"/>
        <w:spacing w:line="420" w:lineRule="exact"/>
        <w:ind w:firstLine="640" w:firstLineChars="200"/>
        <w:jc w:val="center"/>
        <w:rPr>
          <w:rFonts w:ascii="宋体" w:hAnsi="宋体"/>
          <w:color w:val="auto"/>
          <w:sz w:val="32"/>
          <w:szCs w:val="32"/>
          <w:highlight w:val="none"/>
        </w:rPr>
      </w:pPr>
      <w:r>
        <w:rPr>
          <w:rFonts w:ascii="宋体" w:hAnsi="宋体"/>
          <w:color w:val="auto"/>
          <w:sz w:val="32"/>
          <w:szCs w:val="32"/>
          <w:highlight w:val="none"/>
        </w:rPr>
        <w:t>工程建设项目监理管理要求</w:t>
      </w:r>
    </w:p>
    <w:p w14:paraId="68361C41">
      <w:pPr>
        <w:overflowPunct w:val="0"/>
        <w:autoSpaceDE w:val="0"/>
        <w:autoSpaceDN w:val="0"/>
        <w:adjustRightInd w:val="0"/>
        <w:snapToGrid w:val="0"/>
        <w:spacing w:line="420" w:lineRule="exact"/>
        <w:ind w:firstLine="480" w:firstLineChars="200"/>
        <w:rPr>
          <w:rFonts w:ascii="宋体" w:hAnsi="宋体"/>
          <w:color w:val="auto"/>
          <w:sz w:val="24"/>
          <w:highlight w:val="none"/>
        </w:rPr>
      </w:pPr>
    </w:p>
    <w:p w14:paraId="55B4E8D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为更好地发挥监理在工程建设中的监督、管理作用，确保工程的质量、安全、进度、造价可控，满足招标文件、施工合同、设计文件及相关法律法规的要求，根据工程建设需要特规定如下：</w:t>
      </w:r>
    </w:p>
    <w:p w14:paraId="0BAC9A14">
      <w:pPr>
        <w:overflowPunct w:val="0"/>
        <w:autoSpaceDE w:val="0"/>
        <w:autoSpaceDN w:val="0"/>
        <w:adjustRightInd w:val="0"/>
        <w:snapToGrid w:val="0"/>
        <w:spacing w:line="360" w:lineRule="auto"/>
        <w:ind w:left="480"/>
        <w:rPr>
          <w:rFonts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组织管理</w:t>
      </w:r>
    </w:p>
    <w:p w14:paraId="320B497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（一）项目监理人员配备要求</w:t>
      </w:r>
    </w:p>
    <w:p w14:paraId="794B5D7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（1）现场监理人员须与合同（</w:t>
      </w:r>
      <w:r>
        <w:rPr>
          <w:rFonts w:hint="eastAsia" w:ascii="宋体" w:hAnsi="宋体"/>
          <w:color w:val="auto"/>
          <w:szCs w:val="21"/>
          <w:highlight w:val="none"/>
        </w:rPr>
        <w:t>竞选文件</w:t>
      </w:r>
      <w:r>
        <w:rPr>
          <w:rFonts w:ascii="宋体" w:hAnsi="宋体"/>
          <w:color w:val="auto"/>
          <w:szCs w:val="21"/>
          <w:highlight w:val="none"/>
        </w:rPr>
        <w:t>）人员相符，从建设单位发出监理进场通知之日起，三日内组织监理人员进场，未按合同（</w:t>
      </w:r>
      <w:r>
        <w:rPr>
          <w:rFonts w:hint="eastAsia" w:ascii="宋体" w:hAnsi="宋体"/>
          <w:color w:val="auto"/>
          <w:szCs w:val="21"/>
          <w:highlight w:val="none"/>
        </w:rPr>
        <w:t>竞选文件</w:t>
      </w:r>
      <w:r>
        <w:rPr>
          <w:rFonts w:ascii="宋体" w:hAnsi="宋体"/>
          <w:color w:val="auto"/>
          <w:szCs w:val="21"/>
          <w:highlight w:val="none"/>
        </w:rPr>
        <w:t>）配备进场的，总监、副总监或总监代表按</w:t>
      </w:r>
      <w:r>
        <w:rPr>
          <w:rFonts w:hint="eastAsia" w:ascii="宋体" w:hAnsi="宋体"/>
          <w:color w:val="auto"/>
          <w:szCs w:val="21"/>
          <w:highlight w:val="none"/>
        </w:rPr>
        <w:t>15</w:t>
      </w:r>
      <w:r>
        <w:rPr>
          <w:rFonts w:ascii="宋体" w:hAnsi="宋体"/>
          <w:color w:val="auto"/>
          <w:szCs w:val="21"/>
          <w:highlight w:val="none"/>
        </w:rPr>
        <w:t>00元/天·人收取违约金，其他监理人员按</w:t>
      </w:r>
      <w:r>
        <w:rPr>
          <w:rFonts w:hint="eastAsia" w:ascii="宋体" w:hAnsi="宋体"/>
          <w:color w:val="auto"/>
          <w:szCs w:val="21"/>
          <w:highlight w:val="none"/>
        </w:rPr>
        <w:t>10</w:t>
      </w:r>
      <w:r>
        <w:rPr>
          <w:rFonts w:ascii="宋体" w:hAnsi="宋体"/>
          <w:color w:val="auto"/>
          <w:szCs w:val="21"/>
          <w:highlight w:val="none"/>
        </w:rPr>
        <w:t>00元/天·人收取违约金，超过</w:t>
      </w:r>
      <w:r>
        <w:rPr>
          <w:rFonts w:hint="eastAsia" w:ascii="宋体" w:hAnsi="宋体"/>
          <w:color w:val="auto"/>
          <w:szCs w:val="21"/>
          <w:highlight w:val="none"/>
        </w:rPr>
        <w:t>10天</w:t>
      </w:r>
      <w:r>
        <w:rPr>
          <w:rFonts w:ascii="宋体" w:hAnsi="宋体"/>
          <w:color w:val="auto"/>
          <w:szCs w:val="21"/>
          <w:highlight w:val="none"/>
        </w:rPr>
        <w:t>仍未按要求配置的，</w:t>
      </w:r>
      <w:r>
        <w:rPr>
          <w:rFonts w:hint="eastAsia" w:ascii="宋体" w:hAnsi="宋体"/>
          <w:color w:val="auto"/>
          <w:szCs w:val="21"/>
          <w:highlight w:val="none"/>
        </w:rPr>
        <w:t>监理人承担违约责任，按照本合同签约酬金的30%向委托人承担违约金且承担给委托人造成的一切损失（该损失包括但不限于委托人另行委托第三方履行本合同义务产生的费用、委托人向第三方承担的违约责任或损失），且委托人有权解除本合同。若其他条款另有约定，同时适用</w:t>
      </w:r>
      <w:r>
        <w:rPr>
          <w:rFonts w:ascii="宋体" w:hAnsi="宋体"/>
          <w:color w:val="auto"/>
          <w:szCs w:val="21"/>
          <w:highlight w:val="none"/>
        </w:rPr>
        <w:t xml:space="preserve">。 </w:t>
      </w:r>
    </w:p>
    <w:p w14:paraId="3822CC6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不得擅自更换现场监理人员，如有特殊原因不能履职的，需附书面证明材料提交建设单位，由工程配套部应会同合同预算部、监察审计部对监理人员变更申请材料进行审查，经分管领导、主要领导批准后方可同意人员变更，并视情况报相关行政主管部门审批；建设单位要求更换的监理人员15日内未到场视为监理未进场，按上述标准收取违约金。变更后监理人员资质和业绩不得低于原</w:t>
      </w:r>
      <w:r>
        <w:rPr>
          <w:rFonts w:hint="eastAsia" w:ascii="宋体" w:hAnsi="宋体"/>
          <w:color w:val="auto"/>
          <w:szCs w:val="21"/>
          <w:highlight w:val="none"/>
        </w:rPr>
        <w:t>竞选文件中提交的</w:t>
      </w:r>
      <w:r>
        <w:rPr>
          <w:rFonts w:ascii="宋体" w:hAnsi="宋体"/>
          <w:color w:val="auto"/>
          <w:szCs w:val="21"/>
          <w:highlight w:val="none"/>
        </w:rPr>
        <w:t>人员资质和业绩，且变更后监理人员未到场交接之前，原监理人员须正常履职。</w:t>
      </w:r>
    </w:p>
    <w:p w14:paraId="69A5E50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（3）擅自变更监理人员的（原监理人员</w:t>
      </w:r>
      <w:r>
        <w:rPr>
          <w:rFonts w:hint="eastAsia" w:ascii="宋体" w:hAnsi="宋体"/>
          <w:color w:val="auto"/>
          <w:szCs w:val="21"/>
          <w:highlight w:val="none"/>
        </w:rPr>
        <w:t>10天</w:t>
      </w:r>
      <w:r>
        <w:rPr>
          <w:rFonts w:ascii="宋体" w:hAnsi="宋体"/>
          <w:color w:val="auto"/>
          <w:szCs w:val="21"/>
          <w:highlight w:val="none"/>
        </w:rPr>
        <w:t>未按要求到现场履职的，视为擅自变更监理人员），变更项目总监、副总监或总监代表需交纳合同金额3%·人的违约金（最高不超20万且不低于1万）</w:t>
      </w:r>
      <w:r>
        <w:rPr>
          <w:rFonts w:hint="eastAsia" w:ascii="宋体" w:hAnsi="宋体"/>
          <w:color w:val="auto"/>
          <w:szCs w:val="21"/>
          <w:highlight w:val="none"/>
        </w:rPr>
        <w:t>，合同其他条款另有约定按照约定执行</w:t>
      </w:r>
      <w:r>
        <w:rPr>
          <w:rFonts w:ascii="宋体" w:hAnsi="宋体"/>
          <w:color w:val="auto"/>
          <w:szCs w:val="21"/>
          <w:highlight w:val="none"/>
        </w:rPr>
        <w:t>。</w:t>
      </w:r>
    </w:p>
    <w:p w14:paraId="68D2711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（二）项目监理人员考勤</w:t>
      </w:r>
    </w:p>
    <w:p w14:paraId="58F7CBB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常驻</w:t>
      </w:r>
      <w:r>
        <w:rPr>
          <w:rFonts w:ascii="宋体" w:hAnsi="宋体"/>
          <w:color w:val="auto"/>
          <w:szCs w:val="21"/>
          <w:highlight w:val="none"/>
        </w:rPr>
        <w:t>监理人员</w:t>
      </w:r>
      <w:r>
        <w:rPr>
          <w:rFonts w:hint="eastAsia" w:ascii="宋体" w:hAnsi="宋体"/>
          <w:color w:val="auto"/>
          <w:szCs w:val="21"/>
          <w:highlight w:val="none"/>
        </w:rPr>
        <w:t>平常每天上班时间早上8点半至下午6点半，若现场有工人施工现场就有监理人员旁站，如有事提前1天向业主现场负责人请假，经同意后监理单位派相对应的监理人员替换，不能连续请假3次，若现场检查未在现场一次，监理人向委托人承担违约金1000元，连续3次未到场（含本数），监理人承担违约责任，监理人按照合同签约酬金的30%向委托人承担违约金且承担给委托人造成的一切损失（该损失包括但不限于委托人另行委托第三方履行本合同义务产生的费用、委托人向第三方承担的违约责任或损失），委托人有权解除本合同。</w:t>
      </w:r>
      <w:r>
        <w:rPr>
          <w:rFonts w:ascii="宋体" w:hAnsi="宋体"/>
          <w:color w:val="auto"/>
          <w:szCs w:val="21"/>
          <w:highlight w:val="none"/>
        </w:rPr>
        <w:t>值班时间严格遵守合同以及本管理办法要求，建设单位代表进行不定期检查；</w:t>
      </w:r>
    </w:p>
    <w:p w14:paraId="750C679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如有特殊情况须向建设单位书面请假，所有监理人员每月原则上请假离开工地不超过5天（周一至周五总监、副总监或总监代表须常驻现场，周末可轮流请假），请假期间监理部须做好工作交接，不得影响监理工作；</w:t>
      </w:r>
    </w:p>
    <w:p w14:paraId="7D01A2C7">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（3）发现缺勤的总监、副总监或总监代表按</w:t>
      </w:r>
      <w:r>
        <w:rPr>
          <w:rFonts w:hint="eastAsia" w:ascii="宋体" w:hAnsi="宋体"/>
          <w:color w:val="auto"/>
          <w:szCs w:val="21"/>
          <w:highlight w:val="none"/>
        </w:rPr>
        <w:t>1500</w:t>
      </w:r>
      <w:r>
        <w:rPr>
          <w:rFonts w:ascii="宋体" w:hAnsi="宋体"/>
          <w:color w:val="auto"/>
          <w:szCs w:val="21"/>
          <w:highlight w:val="none"/>
        </w:rPr>
        <w:t>元/次·人收取违约金；无特殊原因，月累计缺勤</w:t>
      </w:r>
      <w:r>
        <w:rPr>
          <w:rFonts w:hint="eastAsia" w:ascii="宋体" w:hAnsi="宋体"/>
          <w:color w:val="auto"/>
          <w:szCs w:val="21"/>
          <w:highlight w:val="none"/>
        </w:rPr>
        <w:t>3</w:t>
      </w:r>
      <w:r>
        <w:rPr>
          <w:rFonts w:ascii="宋体" w:hAnsi="宋体"/>
          <w:color w:val="auto"/>
          <w:szCs w:val="21"/>
          <w:highlight w:val="none"/>
        </w:rPr>
        <w:t>天以上</w:t>
      </w:r>
      <w:r>
        <w:rPr>
          <w:rFonts w:hint="eastAsia" w:ascii="宋体" w:hAnsi="宋体"/>
          <w:color w:val="auto"/>
          <w:szCs w:val="21"/>
          <w:highlight w:val="none"/>
        </w:rPr>
        <w:t>（含本数），监理人承担违约责任，监理人按照合同签约酬金的30%向委托人承担违约金且承担给委托人造成的一切损失（该损失包括但不限于委托人另行委托第三方履行本合同义务产生的费用、委托人向第三方承担的违约责任或损失），委托人有权解除本合同</w:t>
      </w:r>
      <w:r>
        <w:rPr>
          <w:rFonts w:ascii="宋体" w:hAnsi="宋体"/>
          <w:color w:val="auto"/>
          <w:szCs w:val="21"/>
          <w:highlight w:val="none"/>
        </w:rPr>
        <w:t>。</w:t>
      </w:r>
    </w:p>
    <w:p w14:paraId="3ED92A0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）发现缺勤的其他</w:t>
      </w:r>
      <w:r>
        <w:rPr>
          <w:rFonts w:hint="eastAsia" w:ascii="宋体" w:hAnsi="宋体"/>
          <w:color w:val="auto"/>
          <w:szCs w:val="21"/>
          <w:highlight w:val="none"/>
        </w:rPr>
        <w:t>监理</w:t>
      </w:r>
      <w:r>
        <w:rPr>
          <w:rFonts w:ascii="宋体" w:hAnsi="宋体"/>
          <w:color w:val="auto"/>
          <w:szCs w:val="21"/>
          <w:highlight w:val="none"/>
        </w:rPr>
        <w:t>人员按</w:t>
      </w:r>
      <w:r>
        <w:rPr>
          <w:rFonts w:hint="eastAsia" w:ascii="宋体" w:hAnsi="宋体"/>
          <w:color w:val="auto"/>
          <w:szCs w:val="21"/>
          <w:highlight w:val="none"/>
        </w:rPr>
        <w:t>1000</w:t>
      </w:r>
      <w:r>
        <w:rPr>
          <w:rFonts w:ascii="宋体" w:hAnsi="宋体"/>
          <w:color w:val="auto"/>
          <w:szCs w:val="21"/>
          <w:highlight w:val="none"/>
        </w:rPr>
        <w:t>元/次·人收取违约金；无特殊原因，月累计缺勤</w:t>
      </w:r>
      <w:r>
        <w:rPr>
          <w:rFonts w:hint="eastAsia" w:ascii="宋体" w:hAnsi="宋体"/>
          <w:color w:val="auto"/>
          <w:szCs w:val="21"/>
          <w:highlight w:val="none"/>
        </w:rPr>
        <w:t>3</w:t>
      </w:r>
      <w:r>
        <w:rPr>
          <w:rFonts w:ascii="宋体" w:hAnsi="宋体"/>
          <w:color w:val="auto"/>
          <w:szCs w:val="21"/>
          <w:highlight w:val="none"/>
        </w:rPr>
        <w:t>天以上</w:t>
      </w:r>
      <w:r>
        <w:rPr>
          <w:rFonts w:hint="eastAsia" w:ascii="宋体" w:hAnsi="宋体"/>
          <w:color w:val="auto"/>
          <w:szCs w:val="21"/>
          <w:highlight w:val="none"/>
        </w:rPr>
        <w:t>（含本数），监理人承担违约责任，监理人按照合同签约酬金的30%向委托人承担违约金且承担给委托人造成的一切损失（该损失包括但不限于委托人另行委托第三方履行本合同义务产生的费用、委托人向第三方承担的违约责任或损失），委托人有权解除本合同</w:t>
      </w:r>
      <w:r>
        <w:rPr>
          <w:rFonts w:ascii="宋体" w:hAnsi="宋体"/>
          <w:color w:val="auto"/>
          <w:szCs w:val="21"/>
          <w:highlight w:val="none"/>
        </w:rPr>
        <w:t>。</w:t>
      </w:r>
    </w:p>
    <w:p w14:paraId="7DEB7FF3">
      <w:pPr>
        <w:overflowPunct w:val="0"/>
        <w:autoSpaceDE w:val="0"/>
        <w:autoSpaceDN w:val="0"/>
        <w:adjustRightInd w:val="0"/>
        <w:snapToGrid w:val="0"/>
        <w:spacing w:line="360" w:lineRule="auto"/>
        <w:ind w:firstLine="420" w:firstLineChars="200"/>
        <w:rPr>
          <w:color w:val="auto"/>
          <w:highlight w:val="none"/>
        </w:rPr>
      </w:pPr>
      <w:r>
        <w:rPr>
          <w:rFonts w:hint="eastAsia" w:ascii="宋体" w:hAnsi="宋体"/>
          <w:color w:val="auto"/>
          <w:szCs w:val="21"/>
          <w:highlight w:val="none"/>
        </w:rPr>
        <w:t>（5）事假要提前1天向委托人申请，填写请假条，一天以内委托人现场代表批准，两天以上委托人项目负责人批准。获准假后方可休息，同时、监理单位应另外相派对应的监理工程师接替其监理工作。</w:t>
      </w:r>
    </w:p>
    <w:p w14:paraId="6B0EBCE7">
      <w:pPr>
        <w:pStyle w:val="2"/>
        <w:spacing w:before="0" w:after="0" w:line="360" w:lineRule="auto"/>
        <w:ind w:firstLine="420" w:firstLineChars="200"/>
        <w:rPr>
          <w:rFonts w:hint="eastAsia" w:ascii="宋体" w:hAnsi="宋体"/>
          <w:caps w:val="0"/>
          <w:color w:val="auto"/>
          <w:sz w:val="21"/>
          <w:szCs w:val="21"/>
          <w:highlight w:val="none"/>
        </w:rPr>
      </w:pPr>
      <w:r>
        <w:rPr>
          <w:rFonts w:hint="eastAsia" w:ascii="宋体" w:hAnsi="宋体"/>
          <w:caps w:val="0"/>
          <w:color w:val="auto"/>
          <w:sz w:val="21"/>
          <w:szCs w:val="21"/>
          <w:highlight w:val="none"/>
        </w:rPr>
        <w:t>（6）现场收方：需收方施工单位提前6小时向监理单位申报，若因监理单位自身原因未及时通知业主、跟审单位或延迟收方时间超过半小时，每发生一次，按照10000元/次向委托人承担损失，累计发生3次以上（含本数），监理人承担违约责任，监理人按照合同签约酬金的30%向委托人承担违约金且承担给委托人造成的一切损失（该损失包括但不限于委托人另行委托第三方履行本合同义务产生的费用、委托人向第三方承担的违约责任或损失），委托人有权解除本合同。</w:t>
      </w:r>
    </w:p>
    <w:p w14:paraId="2FF48D2D">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现场施工作业：若现场有安全施工作业，监理人员必须全程旁站，直到安全操作结束，若经检查发现监理未在现场安全旁站，每发生一次按照10000元/次向委托人承担损失，累计发生3次以上（含本数），监理人承担违约责任，监理人按照合同签约酬金的30%向委托人承担违约金且承担给委托人造成的一切损失（该损失包括但不限于委托人另行委托第三方履行本合同义务产生的费用、委托人向第三方承担的违约责任或损失），委托人有权解除本合同。</w:t>
      </w:r>
    </w:p>
    <w:p w14:paraId="3D2A357E">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监理单位在审核施工单位提供的所有资料，审核通过上报业主，如审核的资料存在明显不符合常理，脱离市场规律，每发生一次按照10000元/次向委托人承担损失，累计发生3次以上（含本数），监理人承担违约责任，监理人按照合同签约酬金的30%向委托人承担违约金且承担给委托人造成的一切损失（该损失包括但不限于委托人另行委托第三方履行本合同义务产生的费用、委托人向第三方承担的违约责任或损失），委托人有权解除本合同。</w:t>
      </w:r>
    </w:p>
    <w:p w14:paraId="5778DF7F">
      <w:pPr>
        <w:overflowPunct w:val="0"/>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根据工程进度安排需要加班时，所有监理人员必须服从。</w:t>
      </w:r>
    </w:p>
    <w:p w14:paraId="52E2AF8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（三）项目监理人员廉政、职业操守</w:t>
      </w:r>
    </w:p>
    <w:p w14:paraId="40ED890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监理人员不得与施工单位勾结、弄虚作假、串通一气，故意隐瞒工程质量安全问题，虚报工程计量支付、变更等，对项目造成损失的，由监理单位承担赔偿责任，并视情况收取违约金，扣减监理费用，情节严重者追究法律责任；</w:t>
      </w:r>
    </w:p>
    <w:p w14:paraId="1F0220C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（2）不以任何形式收受建设项目施工关联单位、个人的礼物、有价证券、支付凭证、门票等。</w:t>
      </w:r>
    </w:p>
    <w:p w14:paraId="2EC1D12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（3）不以任何形式参与建设项目施工关联单位、个人的宴请、娱乐、旅游等。</w:t>
      </w:r>
    </w:p>
    <w:p w14:paraId="3274C77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（4）不以任何理由、任何方式（明示、暗示）推荐或介绍材料、机械设备供应商、租赁商；各类服务单位；工程承包、区域、劳务承包单位等。</w:t>
      </w:r>
    </w:p>
    <w:p w14:paraId="67683A1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（5）家人、亲属、同学等不得直接参与园区内建设项目施工关联工作，确有的，应主动报告，并申请回避。</w:t>
      </w:r>
    </w:p>
    <w:p w14:paraId="32AAD40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二、进度管理</w:t>
      </w:r>
    </w:p>
    <w:p w14:paraId="40C393E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（一）监理单位根据项目工期要求及总进度计划，审查各分部分项工程的年、季、月度计划可行性并提出可行性意见，督促施工单位严格执行。</w:t>
      </w:r>
    </w:p>
    <w:p w14:paraId="38990CE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（二）监理人员须经常深入工地，了解施工单位的工、料、机的投入情况，对进度滞后的工程提出分析意见，采取有效控制措施，督促施工单位按进度计划完成。</w:t>
      </w:r>
    </w:p>
    <w:p w14:paraId="5387F20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（三）项目合同工期分为准备期、建设期两个阶段，监理单位在各阶段须完成但不限于下列内容：</w:t>
      </w:r>
    </w:p>
    <w:p w14:paraId="5EA9162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1.准备期为项目总工期的15%：</w:t>
      </w:r>
    </w:p>
    <w:p w14:paraId="77466F6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（1）完成监理规划、细则等技术资料报审，做好现场各种检验、试验监理准备工作；</w:t>
      </w:r>
    </w:p>
    <w:p w14:paraId="16AA986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（2）完成监理单位驻地建设；</w:t>
      </w:r>
    </w:p>
    <w:p w14:paraId="20BCA2D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（3）督促施工单位完成各种临设搭建、方案报审及其各种检验、试验施工准备工作。</w:t>
      </w:r>
    </w:p>
    <w:p w14:paraId="0DD13E1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（4）完成对施工单位进场人员、机械设备、材料的检查与审核工作。</w:t>
      </w:r>
    </w:p>
    <w:p w14:paraId="19D638C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2.建设期为项目总工期的85%：</w:t>
      </w:r>
    </w:p>
    <w:p w14:paraId="5B3FE7D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（1）按合同、招标文件、设计文件及工程量清单要求督促施工单位完成工程建设，各项过程验收手续及相关资料齐全；</w:t>
      </w:r>
    </w:p>
    <w:p w14:paraId="403306E1">
      <w:pPr>
        <w:spacing w:after="120"/>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（2）组织完成项目涉及的规划、环保、消防、节能、景观绿化、人防、白蚁、防雷、档案、电梯等相应的专项验收；</w:t>
      </w:r>
    </w:p>
    <w:p w14:paraId="76C62F8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（3）组织完成预验收及移交投运等。 </w:t>
      </w:r>
    </w:p>
    <w:p w14:paraId="202D4C9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（四）合同工期结束，项目进入竣工备案等相关服务期，时间为为项目总工期的20%，监理单位在各阶段须完成但不限于下列内容：：</w:t>
      </w:r>
    </w:p>
    <w:p w14:paraId="4A995E8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1.根据项目具体情况，现场留守专业人员，制定相应的缺陷、维护工作方案，报建设单位审批，监理并督促施工单位完成投运初期的缺陷整改和维护工作。</w:t>
      </w:r>
    </w:p>
    <w:p w14:paraId="337AACE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2.完成监理单位竣工资料移交，督促施工单位完成竣工资料移交；</w:t>
      </w:r>
    </w:p>
    <w:p w14:paraId="0584565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3.积极配合建设单位并督促施工单位完成竣工验收及备案工作（若建设单位原因无法竣工备案的，须完成除备案手续之外的所有相关资料，达到竣工备案条件）；</w:t>
      </w:r>
    </w:p>
    <w:p w14:paraId="2EA7605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4.完成竣工备案之后（建设单位原因无法备案的须满足本条款3中约定），项目进入缺陷责任期。</w:t>
      </w:r>
    </w:p>
    <w:p w14:paraId="2CD710E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三、造价管理</w:t>
      </w:r>
    </w:p>
    <w:p w14:paraId="371762F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监理工作范围包括但不限于下列内容：</w:t>
      </w:r>
    </w:p>
    <w:p w14:paraId="55858ED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（一）设计文件方面</w:t>
      </w:r>
    </w:p>
    <w:p w14:paraId="78FA6E4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（1）严把图纸会审关，在保证工程质量及满足相关功能要求的同时，提出合理化建议减少投资；</w:t>
      </w:r>
    </w:p>
    <w:p w14:paraId="3F76CE9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（2）结合现场情况审核变更、洽商，审核工程造价，同时建立变更、洽商管理台账，及时清晰的掌握变更、洽商对整个项目的投资影响情况。</w:t>
      </w:r>
    </w:p>
    <w:p w14:paraId="0B32260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（二）过程控制方面</w:t>
      </w:r>
    </w:p>
    <w:p w14:paraId="2FF759C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（1）熟悉合同文件、设计文件、工程量清单及相关法律法规，严格现场签证、准确计量、准确审核相关资料；</w:t>
      </w:r>
    </w:p>
    <w:p w14:paraId="54178F9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（2）应配备相应的测量监理工程师、监理员及相关的仪器设备，对完成工程项目进行收方确认。</w:t>
      </w:r>
    </w:p>
    <w:p w14:paraId="67E9D5C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（3）严格工程款审批，如实审核已完工程数量及相关质量、试验资料等；</w:t>
      </w:r>
    </w:p>
    <w:p w14:paraId="0EF0314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（4）正确处理和防范施工索赔，并协助建设单位做好反索赔工作，做好相关记录。</w:t>
      </w:r>
    </w:p>
    <w:p w14:paraId="0DCEE7B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（5）若监理单位原因造成施工索赔，追究监理单位相关违约责任并视情况处以违约金；</w:t>
      </w:r>
    </w:p>
    <w:p w14:paraId="149BDB9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（三）竣工、结算、审计方面</w:t>
      </w:r>
    </w:p>
    <w:p w14:paraId="5F6BE0E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（1）监理单位应根据竣工图结合隐蔽工程资料、现场签证和变更等，审查施工单位是否按设计、规范及合同要求完成所有施工内容；</w:t>
      </w:r>
    </w:p>
    <w:p w14:paraId="54BC9F7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（2）监理费按费率计算的，若工程结算、审计出现工程费用调整情况，按相应调整比例调整监理费用。</w:t>
      </w:r>
    </w:p>
    <w:p w14:paraId="1C29460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四、计量支付</w:t>
      </w:r>
    </w:p>
    <w:p w14:paraId="5A895E1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（一）监理费支付（扣减各类处罚后），除按照合同约定外，须满足下列要求：</w:t>
      </w:r>
    </w:p>
    <w:p w14:paraId="55AE722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1.完成同期监理日报、周报、月报；</w:t>
      </w:r>
    </w:p>
    <w:p w14:paraId="2E88705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2.完成同期《监理日志》、《工地例会纪要》等相关资料；</w:t>
      </w:r>
    </w:p>
    <w:p w14:paraId="46B277F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3.完成同期《监理指令》及回复等相关资料；</w:t>
      </w:r>
    </w:p>
    <w:p w14:paraId="2BDA541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4.完成同期平行检验资料；</w:t>
      </w:r>
    </w:p>
    <w:p w14:paraId="734252A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5.完成同期监理工作相关资料。</w:t>
      </w:r>
    </w:p>
    <w:p w14:paraId="7F7E9AF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（二）监理单位未按照建设单位下发文件、会议纪要以及通知的具体要求进行落实或未落实到位的，多次处罚未整改到位的，暂缓或分次支付当期监理费，直至相关事项得到落实。</w:t>
      </w:r>
    </w:p>
    <w:p w14:paraId="528168E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五、质量管理</w:t>
      </w:r>
    </w:p>
    <w:p w14:paraId="07D48C6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监理工作范围包括但不限于下列内容：</w:t>
      </w:r>
    </w:p>
    <w:p w14:paraId="66AF7B0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（一）质量事前控制</w:t>
      </w:r>
    </w:p>
    <w:p w14:paraId="1B2E6C5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1.组织设计图纸会审会议，严把图纸会审关，减少施工过程中的设计变更、洽商；</w:t>
      </w:r>
    </w:p>
    <w:p w14:paraId="40B40B44">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2.严格审核各项施工方案，使之符合项目建设需求以及法律法规、强制性条文标准，采取有效措施督促施工单位按批准的方案实施；</w:t>
      </w:r>
    </w:p>
    <w:p w14:paraId="59ABB06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3.审查并复核测量控制网点以及所有测量成果；</w:t>
      </w:r>
    </w:p>
    <w:p w14:paraId="28BE905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bCs/>
          <w:color w:val="auto"/>
          <w:szCs w:val="21"/>
          <w:highlight w:val="none"/>
        </w:rPr>
        <w:t>4.审查单位工程、分部分项工程和检验批的划分并根据监理规划进行分析和调整，确定质量控制重点并在监理过程中监督实施、组织验收；</w:t>
      </w:r>
    </w:p>
    <w:p w14:paraId="0F7B69A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5.审核总包、区域、检测、试验等施工关联单位资质及人员资质；</w:t>
      </w:r>
    </w:p>
    <w:p w14:paraId="1538A477">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6.检查特种人员（如测量工、电工、焊工、检测、预应力张拉工、起重工、脚手架工、防水工、司机等）持证上岗情况，并监督实施；</w:t>
      </w:r>
    </w:p>
    <w:p w14:paraId="7D2FE68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bCs/>
          <w:color w:val="auto"/>
          <w:szCs w:val="21"/>
          <w:highlight w:val="none"/>
        </w:rPr>
        <w:t>7.督促落实施工现场试验室、养护室规范建立，查验其检验、试验设备以及各种工器具的有效合格证件；</w:t>
      </w:r>
    </w:p>
    <w:p w14:paraId="29371211">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color w:val="auto"/>
          <w:szCs w:val="21"/>
          <w:highlight w:val="none"/>
        </w:rPr>
        <w:t>8.</w:t>
      </w:r>
      <w:r>
        <w:rPr>
          <w:rFonts w:ascii="宋体" w:hAnsi="宋体"/>
          <w:bCs/>
          <w:color w:val="auto"/>
          <w:szCs w:val="21"/>
          <w:highlight w:val="none"/>
        </w:rPr>
        <w:t>原材料、机械设备进场验收手续齐全，质量证明资料与实物核验符合设计及规范要求，监理应采取有效措施防止使用未经批准的材料、机械设备；</w:t>
      </w:r>
    </w:p>
    <w:p w14:paraId="7166F64F">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9.见证取样：配备相应见证取样监理人员，对涉及结构安全的试块、试件及工程材料现场取样、封样、送检工作进行监督管理。</w:t>
      </w:r>
    </w:p>
    <w:p w14:paraId="7A071B58">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10.平行检验：</w:t>
      </w:r>
    </w:p>
    <w:p w14:paraId="2AFFF1A8">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（1）配备相应试验、测量监理工程师、监理员，设备及各种工器具，按监理规范和相关质量验收及评定标准、规范等，对施工单位的测量、试验、验收工作进行检查、测量、试验、验证。</w:t>
      </w:r>
      <w:r>
        <w:rPr>
          <w:rFonts w:ascii="宋体" w:hAnsi="宋体"/>
          <w:color w:val="auto"/>
          <w:szCs w:val="21"/>
          <w:highlight w:val="none"/>
        </w:rPr>
        <w:t>平行检验结果作为进入下道工序和工程验收的依据；</w:t>
      </w:r>
    </w:p>
    <w:p w14:paraId="5A33616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bCs/>
          <w:color w:val="auto"/>
          <w:szCs w:val="21"/>
          <w:highlight w:val="none"/>
        </w:rPr>
        <w:t>（2）监理应根据项目具体情况编制平行检验方案，包含工程概况及特点；检验依据；检验人员；检验项目及内容、频率；检验方法；数据处理、相关表格等，</w:t>
      </w:r>
      <w:r>
        <w:rPr>
          <w:rFonts w:ascii="宋体" w:hAnsi="宋体"/>
          <w:color w:val="auto"/>
          <w:szCs w:val="21"/>
          <w:highlight w:val="none"/>
        </w:rPr>
        <w:t>报建设单位审批后实施，简单项目或1000万以下工程项目可简化平行检验工作。</w:t>
      </w:r>
    </w:p>
    <w:p w14:paraId="48BC33BF">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（3）测量平行检验：导线测量平行检验、施工放线平行检验等。</w:t>
      </w:r>
    </w:p>
    <w:p w14:paraId="423A145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bCs/>
          <w:color w:val="auto"/>
          <w:szCs w:val="21"/>
          <w:highlight w:val="none"/>
        </w:rPr>
        <w:t>（4）试验平行检验：对工程，对施工单位所有试验项目（主要原材料、半成品、构配件的技术性能；施工过程中的主要施工工序、施工成果）进行平行检验，检验频率不得低于施工单位检验频率的15%（最少不少于一组），监理单位有试验资质的可自行检验；需外委托的，需提交试验单位资质报建设单</w:t>
      </w:r>
      <w:r>
        <w:rPr>
          <w:rFonts w:ascii="宋体" w:hAnsi="宋体"/>
          <w:color w:val="auto"/>
          <w:szCs w:val="21"/>
          <w:highlight w:val="none"/>
        </w:rPr>
        <w:t>位审批，对于专业检测、试验机构出具的检验、试验报告，监理机构应收集查看检测试验报告是否合格。</w:t>
      </w:r>
    </w:p>
    <w:p w14:paraId="4626B64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验收平行检验：监理人员应对全部分部、分项工程以及每个分部分项工程包括的全部检验批进行独立检查、测量、验收，分部分项工程外观验收频率100%的进行验收，全部检验项目100%的进行验收，实测实量检验项目，检验频率按不低于工程质量验收评定标准规定的施工单位质量自检频率的30%进行。</w:t>
      </w:r>
    </w:p>
    <w:p w14:paraId="4D02A55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（6）平行检验活动必须由监理机构组织，应按公正、独立、自主的原则进行，以确保平行检验所获得的数据和质量评估结论准确。</w:t>
      </w:r>
    </w:p>
    <w:p w14:paraId="6BE4FD0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（7）平行检验及相关费用纳入合同总价，建设单位不单独支付费用。</w:t>
      </w:r>
    </w:p>
    <w:p w14:paraId="52BEF8F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8）建设单位现场代表可对平行检验工作进行监督、抽检，若抽检结果合格，抽检费用由建设单位承担（按国家相关费用标准）；若抽检不合格，抽检费用由监理单位承担，建设单位有权视情况收取违约金，扣减监理费用。</w:t>
      </w:r>
    </w:p>
    <w:p w14:paraId="33AC043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（二）质量事中控制</w:t>
      </w:r>
    </w:p>
    <w:p w14:paraId="5CC042B1">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1.负责对</w:t>
      </w:r>
      <w:r>
        <w:rPr>
          <w:rFonts w:ascii="宋体" w:hAnsi="宋体"/>
          <w:color w:val="auto"/>
          <w:szCs w:val="21"/>
          <w:highlight w:val="none"/>
        </w:rPr>
        <w:t>施工</w:t>
      </w:r>
      <w:r>
        <w:rPr>
          <w:rFonts w:ascii="宋体" w:hAnsi="宋体"/>
          <w:bCs/>
          <w:color w:val="auto"/>
          <w:szCs w:val="21"/>
          <w:highlight w:val="none"/>
        </w:rPr>
        <w:t>质量进行全过程监理，使之满足合同文件、设计文件及相关技术规范要求</w:t>
      </w:r>
      <w:r>
        <w:rPr>
          <w:rFonts w:ascii="宋体" w:hAnsi="宋体"/>
          <w:color w:val="auto"/>
          <w:szCs w:val="21"/>
          <w:highlight w:val="none"/>
        </w:rPr>
        <w:t>；</w:t>
      </w:r>
    </w:p>
    <w:p w14:paraId="20C3A899">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color w:val="auto"/>
          <w:szCs w:val="21"/>
          <w:highlight w:val="none"/>
        </w:rPr>
        <w:t>2.严禁擅自修改设计内容施工，若出现变更，应及时完善相关手续，同时建立变更管理台账，</w:t>
      </w:r>
      <w:r>
        <w:rPr>
          <w:rFonts w:ascii="宋体" w:hAnsi="宋体"/>
          <w:bCs/>
          <w:color w:val="auto"/>
          <w:szCs w:val="21"/>
          <w:highlight w:val="none"/>
        </w:rPr>
        <w:t>并督促施工单位按批准的变更文件进行施工；</w:t>
      </w:r>
    </w:p>
    <w:p w14:paraId="1D817380">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3.负责对施工现场实行监理旁站：即只要施工现场在施工，监理人员就必须坚守现场，尤其是重要部位、重要工序及隐蔽工程的施工必须实行监理旁站；</w:t>
      </w:r>
    </w:p>
    <w:p w14:paraId="72958D68">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施工过程中，监理人员应加强过程检查、主动发现并敢于指出问题，对施工过程中明显违反施工规范、与图纸不符、有严重错误的问题，应及时指出并要求施工单位限期整改，必要时签发监理通知单，以减少工序验收时不必要的返工；</w:t>
      </w:r>
    </w:p>
    <w:p w14:paraId="6ADF7DC8">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5.若发现已经或可能形成质量事故的重大隐患，应立即告知建设单位，</w:t>
      </w:r>
      <w:r>
        <w:rPr>
          <w:rFonts w:ascii="宋体" w:hAnsi="宋体"/>
          <w:color w:val="auto"/>
          <w:szCs w:val="21"/>
          <w:highlight w:val="none"/>
        </w:rPr>
        <w:t>并且</w:t>
      </w:r>
      <w:r>
        <w:rPr>
          <w:rFonts w:ascii="宋体" w:hAnsi="宋体"/>
          <w:bCs/>
          <w:color w:val="auto"/>
          <w:szCs w:val="21"/>
          <w:highlight w:val="none"/>
        </w:rPr>
        <w:t>停工整改，整改完毕并通过验收后方可复工；</w:t>
      </w:r>
    </w:p>
    <w:p w14:paraId="152691DA">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6.工序检查：坚持上道工序不经检查验收不准进行下道工序的原则，必须经监理工程师</w:t>
      </w:r>
      <w:r>
        <w:rPr>
          <w:rFonts w:ascii="宋体" w:hAnsi="宋体"/>
          <w:color w:val="auto"/>
          <w:szCs w:val="21"/>
          <w:highlight w:val="none"/>
        </w:rPr>
        <w:t>亲手量测各项详细数据资料</w:t>
      </w:r>
      <w:r>
        <w:rPr>
          <w:rFonts w:ascii="宋体" w:hAnsi="宋体"/>
          <w:bCs/>
          <w:color w:val="auto"/>
          <w:szCs w:val="21"/>
          <w:highlight w:val="none"/>
        </w:rPr>
        <w:t>并验收合格后才能进入下一道工序；</w:t>
      </w:r>
    </w:p>
    <w:p w14:paraId="2B6A2F06">
      <w:pPr>
        <w:overflowPunct w:val="0"/>
        <w:autoSpaceDE w:val="0"/>
        <w:autoSpaceDN w:val="0"/>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7.定期</w:t>
      </w:r>
      <w:r>
        <w:rPr>
          <w:rFonts w:ascii="宋体" w:hAnsi="宋体"/>
          <w:color w:val="auto"/>
          <w:szCs w:val="21"/>
          <w:highlight w:val="none"/>
        </w:rPr>
        <w:t>召开</w:t>
      </w:r>
      <w:r>
        <w:rPr>
          <w:rFonts w:ascii="宋体" w:hAnsi="宋体"/>
          <w:bCs/>
          <w:color w:val="auto"/>
          <w:szCs w:val="21"/>
          <w:highlight w:val="none"/>
        </w:rPr>
        <w:t>质量分析会，通报质量状况，分析质量趋势，提出改进措施并监督实施；</w:t>
      </w:r>
    </w:p>
    <w:p w14:paraId="4D0F1282">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bCs/>
          <w:color w:val="auto"/>
          <w:szCs w:val="21"/>
          <w:highlight w:val="none"/>
        </w:rPr>
        <w:t>8.组织各分部分项工程、关键工序和隐蔽工程的质量验收，</w:t>
      </w:r>
      <w:r>
        <w:rPr>
          <w:rFonts w:ascii="宋体" w:hAnsi="宋体"/>
          <w:color w:val="auto"/>
          <w:szCs w:val="21"/>
          <w:highlight w:val="none"/>
        </w:rPr>
        <w:t>各项验收须满足合同文件、设计文件、工程量清单以及相应规范要求并一次验收合格。</w:t>
      </w:r>
    </w:p>
    <w:p w14:paraId="3C8435A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（三）质量事后控制</w:t>
      </w:r>
    </w:p>
    <w:p w14:paraId="431228E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1.参与工程分部试运行及项目试运行；</w:t>
      </w:r>
    </w:p>
    <w:p w14:paraId="5CF640B0">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2.负责对工程项目进行质量评定，如实提交质量评估报告；</w:t>
      </w:r>
    </w:p>
    <w:p w14:paraId="12BDF07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3.协助建设单位准备竣工验收资料与达标投产工作；</w:t>
      </w:r>
    </w:p>
    <w:p w14:paraId="79AE79D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4.审核施工单位的《质量保修证书》；</w:t>
      </w:r>
    </w:p>
    <w:p w14:paraId="59CF483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5.缺陷责任期满，组织各参建单位及使用单位进行验收，按验收意见督促施工单位进行整改，整改完毕后重新组织验收，直至验收通过方可终止缺陷责任期。</w:t>
      </w:r>
    </w:p>
    <w:p w14:paraId="1FCFA76E">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bCs/>
          <w:color w:val="auto"/>
          <w:szCs w:val="21"/>
          <w:highlight w:val="none"/>
        </w:rPr>
        <w:t>六、档案、资料管理</w:t>
      </w:r>
    </w:p>
    <w:p w14:paraId="290451D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（一）《监理日志》、《监理周报》和《监理月报》</w:t>
      </w:r>
    </w:p>
    <w:p w14:paraId="07FA92FA">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1.《监理日志》总监每周审查</w:t>
      </w:r>
      <w:r>
        <w:rPr>
          <w:rFonts w:hint="eastAsia" w:ascii="宋体" w:hAnsi="宋体"/>
          <w:color w:val="auto"/>
          <w:szCs w:val="21"/>
          <w:highlight w:val="none"/>
        </w:rPr>
        <w:t>签名</w:t>
      </w:r>
      <w:r>
        <w:rPr>
          <w:rFonts w:ascii="宋体" w:hAnsi="宋体"/>
          <w:color w:val="auto"/>
          <w:szCs w:val="21"/>
          <w:highlight w:val="none"/>
        </w:rPr>
        <w:t>，副总监或总监代表每天审查</w:t>
      </w:r>
      <w:r>
        <w:rPr>
          <w:rFonts w:hint="eastAsia" w:ascii="宋体" w:hAnsi="宋体"/>
          <w:color w:val="auto"/>
          <w:szCs w:val="21"/>
          <w:highlight w:val="none"/>
        </w:rPr>
        <w:t>签名</w:t>
      </w:r>
      <w:r>
        <w:rPr>
          <w:rFonts w:ascii="宋体" w:hAnsi="宋体"/>
          <w:color w:val="auto"/>
          <w:szCs w:val="21"/>
          <w:highlight w:val="none"/>
        </w:rPr>
        <w:t>，建设单位代表不定期检查，记录情况须准确、详细，且能真实反映现场施工情况；</w:t>
      </w:r>
    </w:p>
    <w:p w14:paraId="734585C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2.《监理周报》必须真实反应现场施工质量安全情况、本周进展及下周计划、实际进展与月进度计划匹配情况以及需要建设单位协调解决的问题；</w:t>
      </w:r>
    </w:p>
    <w:p w14:paraId="6D2A26E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3.《监理月报》必须真实反应现场施工质量安全情况、本月进展及下月计划、实际进展与总进度计划匹配情况、进度滞后的工期保证方案（根据项目需要）以及需要建设单位协调解决的问题等。</w:t>
      </w:r>
    </w:p>
    <w:p w14:paraId="055FD40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（二）会议纪要、工程资料</w:t>
      </w:r>
    </w:p>
    <w:p w14:paraId="00A8B17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1.现场会议后</w:t>
      </w:r>
      <w:r>
        <w:rPr>
          <w:rFonts w:hint="eastAsia" w:ascii="宋体" w:hAnsi="宋体"/>
          <w:color w:val="auto"/>
          <w:szCs w:val="21"/>
          <w:highlight w:val="none"/>
        </w:rPr>
        <w:t>24</w:t>
      </w:r>
      <w:r>
        <w:rPr>
          <w:rFonts w:ascii="宋体" w:hAnsi="宋体"/>
          <w:color w:val="auto"/>
          <w:szCs w:val="21"/>
          <w:highlight w:val="none"/>
        </w:rPr>
        <w:t>小时内下发会议纪要；</w:t>
      </w:r>
    </w:p>
    <w:p w14:paraId="6F09184C">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2.审查工程资料，督促施工单位及时递交，并及时、真实、准确签证，杜绝漏签、错签，严禁代签；</w:t>
      </w:r>
    </w:p>
    <w:p w14:paraId="09F126B9">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3.工程资料审查：自接到施工单位递交之日起，7天内完成审核及签认，不能按时完成时须向施工单位和建设单位说明原因。</w:t>
      </w:r>
    </w:p>
    <w:p w14:paraId="4DBF4B3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（三）按照监理规范及相关规定，除档案馆要求的资料外，监理工作相关的其他资料，如《监理日志》、《工作联系单》等文字、语音、影像资料等均需完整的提交一份给建设单位。</w:t>
      </w:r>
    </w:p>
    <w:p w14:paraId="318AB9BD">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七、安全文明管理</w:t>
      </w:r>
    </w:p>
    <w:p w14:paraId="6C8D43F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监理工作范围包括但不限于下列内容：</w:t>
      </w:r>
    </w:p>
    <w:p w14:paraId="46E6BCB5">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（一）配备专职安全监理工程师，做好日常安全文明监理工作以及作业前安全交底工作，自觉遵守并严格执行安全文明管理制度。</w:t>
      </w:r>
    </w:p>
    <w:p w14:paraId="75526387">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（二）</w:t>
      </w:r>
      <w:r>
        <w:rPr>
          <w:rFonts w:ascii="宋体" w:hAnsi="宋体"/>
          <w:bCs/>
          <w:color w:val="auto"/>
          <w:szCs w:val="21"/>
          <w:highlight w:val="none"/>
        </w:rPr>
        <w:t>审核施工安全专项方案，督促施工单位落实安全保证体系。</w:t>
      </w:r>
    </w:p>
    <w:p w14:paraId="33DAB946">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（三）督促施工单位建立健全安全生产责任制，人员到位、责任到人。</w:t>
      </w:r>
    </w:p>
    <w:p w14:paraId="0988D1DB">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（四）督促施工单位履行安全文明生产制度，项目监理部应定期组织现场安全文明生产的检查，对检查发现的问题应及时要求施工单位整改，并将整改结果上报建设单位。</w:t>
      </w:r>
    </w:p>
    <w:p w14:paraId="7176CB9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八、备注</w:t>
      </w:r>
    </w:p>
    <w:p w14:paraId="53FF97F1">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一）未按设计、相关规范、合同、本要求规定等进行监理的视为违约，建设单位有权视情况追究违约责任，并收取违约金，扣减监理费用，若监理单位对违约事项拒签的，按双倍收取违约金，建设单位可直接扣减监理费用，无需监理单位签认。</w:t>
      </w:r>
    </w:p>
    <w:p w14:paraId="2D209963">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（二）1000万以下工程项目监理，建设单位可根据工程项目具体情况简化管理。</w:t>
      </w:r>
    </w:p>
    <w:p w14:paraId="1A1D0479">
      <w:pPr>
        <w:pStyle w:val="48"/>
        <w:widowControl w:val="0"/>
        <w:overflowPunct w:val="0"/>
        <w:autoSpaceDE w:val="0"/>
        <w:autoSpaceDN w:val="0"/>
        <w:adjustRightInd w:val="0"/>
        <w:snapToGrid w:val="0"/>
        <w:spacing w:before="0" w:beforeAutospacing="0" w:after="0" w:afterAutospacing="0" w:line="360" w:lineRule="auto"/>
        <w:ind w:firstLine="420" w:firstLineChars="200"/>
        <w:rPr>
          <w:rFonts w:cs="Times New Roman"/>
          <w:color w:val="auto"/>
          <w:sz w:val="21"/>
          <w:szCs w:val="21"/>
          <w:highlight w:val="none"/>
        </w:rPr>
      </w:pPr>
      <w:r>
        <w:rPr>
          <w:rFonts w:cs="Times New Roman"/>
          <w:color w:val="auto"/>
          <w:sz w:val="21"/>
          <w:szCs w:val="21"/>
          <w:highlight w:val="none"/>
        </w:rPr>
        <w:t>（三）以上违约金在当期进度产值实际支付款项中予以扣除，纳入工程结算。</w:t>
      </w:r>
    </w:p>
    <w:p w14:paraId="54D4AFAE">
      <w:pPr>
        <w:pStyle w:val="48"/>
        <w:widowControl w:val="0"/>
        <w:overflowPunct w:val="0"/>
        <w:autoSpaceDE w:val="0"/>
        <w:autoSpaceDN w:val="0"/>
        <w:adjustRightInd w:val="0"/>
        <w:snapToGrid w:val="0"/>
        <w:spacing w:before="0" w:beforeAutospacing="0" w:after="0" w:afterAutospacing="0" w:line="360" w:lineRule="auto"/>
        <w:ind w:firstLine="420" w:firstLineChars="200"/>
        <w:rPr>
          <w:rFonts w:cs="Times New Roman"/>
          <w:color w:val="auto"/>
          <w:sz w:val="21"/>
          <w:szCs w:val="21"/>
          <w:highlight w:val="none"/>
        </w:rPr>
      </w:pPr>
      <w:r>
        <w:rPr>
          <w:rFonts w:cs="Times New Roman"/>
          <w:color w:val="auto"/>
          <w:sz w:val="21"/>
          <w:szCs w:val="21"/>
          <w:highlight w:val="none"/>
        </w:rPr>
        <w:t>（四）各级管理人员对监理单位不良行为处罚权限：工程配套部现场代表权限为单次处罚金1000元以内；工程配套部部长为单次处罚金5000元以内；分管领导为单次处罚金30000元以内；主要领导为单次处罚金50000元内；超过时应由园区相关会议决定。</w:t>
      </w:r>
    </w:p>
    <w:p w14:paraId="6673FFFF">
      <w:pPr>
        <w:overflowPunct w:val="0"/>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（五）本要求由建设单位负责解释，并有权根据项目建设情况进行修订，若有修订按修订后的执行。</w:t>
      </w:r>
    </w:p>
    <w:p w14:paraId="24DF8D3B">
      <w:pPr>
        <w:overflowPunct w:val="0"/>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ascii="宋体" w:hAnsi="宋体"/>
          <w:color w:val="auto"/>
          <w:szCs w:val="21"/>
          <w:highlight w:val="none"/>
        </w:rPr>
        <w:t>（六）其他要求：</w:t>
      </w:r>
    </w:p>
    <w:p w14:paraId="3589805E">
      <w:pPr>
        <w:overflowPunct w:val="0"/>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自工程开工之日起至竣工之日止，每天（下午5点至6点）向业主报当天施工日报(施工日报按业主要求的模板)，并附施工照片，照片要有日期、时间，如发现一次未按时向业主报施工日报，向监理单位罚款1000元/次，连续3次未报，请监理单位法人到业主单位谈话。</w:t>
      </w:r>
    </w:p>
    <w:p w14:paraId="2743EA3B">
      <w:pPr>
        <w:overflowPunct w:val="0"/>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2、每周例会由总监召集， 现场施工例会规定参加人员：监理单位驻工地代表；施工单位项目经理、技术及经济负责人、施工员；建设单位现场代表等；</w:t>
      </w:r>
    </w:p>
    <w:p w14:paraId="549CF019">
      <w:pPr>
        <w:overflowPunct w:val="0"/>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 现场施工工程例会内容：听取各施工单位关于本阶段工程项目的施工进度、施工质量等完成情况、下一步工作安排计划及施工存在问题的汇报；监理工程师总结评价，指出施工单位施工中的不足和问题，提出下一步工程项目的工作要点和要求；建设单位提出意见和要求，并对各单位提出的问题做答复；</w:t>
      </w:r>
    </w:p>
    <w:p w14:paraId="1E28A269">
      <w:pPr>
        <w:overflowPunct w:val="0"/>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4、 现场施工工程例会在完成后的24小时内，监理工程师必须编写会议纪要，会议纪要要有各施工单位负责人、总监理工程师、建设单位现场代表签字认可。</w:t>
      </w:r>
    </w:p>
    <w:p w14:paraId="528F22B7">
      <w:pPr>
        <w:spacing w:after="120"/>
        <w:rPr>
          <w:rFonts w:ascii="宋体" w:hAnsi="宋体"/>
          <w:color w:val="auto"/>
          <w:szCs w:val="21"/>
          <w:highlight w:val="none"/>
        </w:rPr>
      </w:pPr>
    </w:p>
    <w:p w14:paraId="3F03F3EE">
      <w:pPr>
        <w:rPr>
          <w:rFonts w:ascii="宋体" w:hAnsi="宋体"/>
          <w:color w:val="auto"/>
          <w:szCs w:val="21"/>
          <w:highlight w:val="none"/>
        </w:rPr>
      </w:pPr>
    </w:p>
    <w:p w14:paraId="538FF0CF">
      <w:pPr>
        <w:spacing w:after="120"/>
        <w:rPr>
          <w:rFonts w:ascii="宋体" w:hAnsi="宋体"/>
          <w:color w:val="auto"/>
          <w:szCs w:val="21"/>
          <w:highlight w:val="none"/>
        </w:rPr>
      </w:pPr>
    </w:p>
    <w:p w14:paraId="206EA40C">
      <w:pPr>
        <w:rPr>
          <w:rFonts w:ascii="宋体" w:hAnsi="宋体"/>
          <w:color w:val="auto"/>
          <w:szCs w:val="21"/>
          <w:highlight w:val="none"/>
        </w:rPr>
      </w:pPr>
    </w:p>
    <w:p w14:paraId="7C24B120">
      <w:pPr>
        <w:spacing w:after="120"/>
        <w:rPr>
          <w:rFonts w:ascii="宋体" w:hAnsi="宋体"/>
          <w:color w:val="auto"/>
          <w:szCs w:val="21"/>
          <w:highlight w:val="none"/>
        </w:rPr>
      </w:pPr>
    </w:p>
    <w:p w14:paraId="2175285A">
      <w:pPr>
        <w:overflowPunct w:val="0"/>
        <w:autoSpaceDE w:val="0"/>
        <w:autoSpaceDN w:val="0"/>
        <w:adjustRightInd w:val="0"/>
        <w:snapToGrid w:val="0"/>
        <w:spacing w:line="420" w:lineRule="exact"/>
        <w:outlineLvl w:val="2"/>
        <w:rPr>
          <w:rFonts w:ascii="宋体" w:hAnsi="宋体" w:cs="宋体"/>
          <w:bCs/>
          <w:snapToGrid w:val="0"/>
          <w:color w:val="auto"/>
          <w:spacing w:val="-2"/>
          <w:sz w:val="24"/>
          <w:highlight w:val="none"/>
        </w:rPr>
      </w:pPr>
      <w:r>
        <w:rPr>
          <w:rFonts w:hint="eastAsia" w:ascii="宋体" w:hAnsi="宋体"/>
          <w:bCs/>
          <w:color w:val="auto"/>
          <w:sz w:val="24"/>
          <w:highlight w:val="none"/>
        </w:rPr>
        <w:br w:type="page"/>
      </w:r>
      <w:r>
        <w:rPr>
          <w:rFonts w:hint="eastAsia" w:ascii="宋体" w:hAnsi="宋体"/>
          <w:bCs/>
          <w:color w:val="auto"/>
          <w:sz w:val="24"/>
          <w:highlight w:val="none"/>
        </w:rPr>
        <w:t>附录4</w:t>
      </w:r>
    </w:p>
    <w:p w14:paraId="02A72B4C">
      <w:pPr>
        <w:widowControl/>
        <w:snapToGrid w:val="0"/>
        <w:spacing w:line="594" w:lineRule="exact"/>
        <w:jc w:val="center"/>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监理人员配置表</w:t>
      </w:r>
    </w:p>
    <w:p w14:paraId="0D5DADB7">
      <w:pPr>
        <w:rPr>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1871"/>
        <w:gridCol w:w="1871"/>
        <w:gridCol w:w="1871"/>
        <w:gridCol w:w="1871"/>
      </w:tblGrid>
      <w:tr w14:paraId="0943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871" w:type="dxa"/>
            <w:noWrap w:val="0"/>
            <w:vAlign w:val="top"/>
          </w:tcPr>
          <w:p w14:paraId="4C14034F">
            <w:pPr>
              <w:widowControl/>
              <w:snapToGrid w:val="0"/>
              <w:spacing w:line="594" w:lineRule="exact"/>
              <w:ind w:firstLine="320" w:firstLineChars="1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姓 名</w:t>
            </w:r>
          </w:p>
        </w:tc>
        <w:tc>
          <w:tcPr>
            <w:tcW w:w="1871" w:type="dxa"/>
            <w:noWrap w:val="0"/>
            <w:vAlign w:val="top"/>
          </w:tcPr>
          <w:p w14:paraId="4BFE1D2F">
            <w:pPr>
              <w:widowControl/>
              <w:snapToGrid w:val="0"/>
              <w:spacing w:line="594" w:lineRule="exact"/>
              <w:jc w:val="center"/>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职务/职称</w:t>
            </w:r>
          </w:p>
        </w:tc>
        <w:tc>
          <w:tcPr>
            <w:tcW w:w="1871" w:type="dxa"/>
            <w:noWrap w:val="0"/>
            <w:vAlign w:val="top"/>
          </w:tcPr>
          <w:p w14:paraId="4EBE6AB3">
            <w:pPr>
              <w:widowControl/>
              <w:snapToGrid w:val="0"/>
              <w:spacing w:line="594" w:lineRule="exact"/>
              <w:jc w:val="center"/>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担任职责</w:t>
            </w:r>
          </w:p>
        </w:tc>
        <w:tc>
          <w:tcPr>
            <w:tcW w:w="1871" w:type="dxa"/>
            <w:noWrap w:val="0"/>
            <w:vAlign w:val="top"/>
          </w:tcPr>
          <w:p w14:paraId="45FB8C64">
            <w:pPr>
              <w:widowControl/>
              <w:snapToGrid w:val="0"/>
              <w:spacing w:line="594" w:lineRule="exact"/>
              <w:jc w:val="center"/>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联系方式</w:t>
            </w:r>
          </w:p>
        </w:tc>
        <w:tc>
          <w:tcPr>
            <w:tcW w:w="1871" w:type="dxa"/>
            <w:noWrap w:val="0"/>
            <w:vAlign w:val="top"/>
          </w:tcPr>
          <w:p w14:paraId="6AF46B11">
            <w:pPr>
              <w:widowControl/>
              <w:snapToGrid w:val="0"/>
              <w:spacing w:line="594" w:lineRule="exact"/>
              <w:ind w:firstLine="320" w:firstLineChars="100"/>
              <w:rPr>
                <w:rFonts w:ascii="方正仿宋_GBK" w:hAnsi="方正仿宋_GBK" w:eastAsia="方正仿宋_GBK" w:cs="方正仿宋_GBK"/>
                <w:color w:val="auto"/>
                <w:kern w:val="0"/>
                <w:sz w:val="32"/>
                <w:szCs w:val="32"/>
                <w:highlight w:val="none"/>
              </w:rPr>
            </w:pPr>
            <w:r>
              <w:rPr>
                <w:rFonts w:ascii="方正仿宋_GBK" w:hAnsi="方正仿宋_GBK" w:eastAsia="方正仿宋_GBK" w:cs="方正仿宋_GBK"/>
                <w:color w:val="auto"/>
                <w:kern w:val="0"/>
                <w:sz w:val="32"/>
                <w:szCs w:val="32"/>
                <w:highlight w:val="none"/>
              </w:rPr>
              <w:t>备注</w:t>
            </w:r>
          </w:p>
        </w:tc>
      </w:tr>
      <w:tr w14:paraId="3E06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871" w:type="dxa"/>
            <w:noWrap w:val="0"/>
            <w:vAlign w:val="center"/>
          </w:tcPr>
          <w:p w14:paraId="325BDE70">
            <w:pPr>
              <w:spacing w:line="594" w:lineRule="exact"/>
              <w:jc w:val="center"/>
              <w:rPr>
                <w:rFonts w:hint="eastAsia" w:ascii="宋体" w:hAnsi="宋体" w:cs="宋体"/>
                <w:bCs/>
                <w:color w:val="auto"/>
                <w:sz w:val="24"/>
                <w:highlight w:val="none"/>
              </w:rPr>
            </w:pPr>
          </w:p>
        </w:tc>
        <w:tc>
          <w:tcPr>
            <w:tcW w:w="1871" w:type="dxa"/>
            <w:noWrap w:val="0"/>
            <w:vAlign w:val="center"/>
          </w:tcPr>
          <w:p w14:paraId="38C392EA">
            <w:pPr>
              <w:spacing w:line="400" w:lineRule="exact"/>
              <w:jc w:val="center"/>
              <w:rPr>
                <w:rFonts w:hint="eastAsia" w:ascii="宋体" w:hAnsi="宋体" w:cs="宋体"/>
                <w:bCs/>
                <w:color w:val="auto"/>
                <w:sz w:val="24"/>
                <w:highlight w:val="none"/>
              </w:rPr>
            </w:pPr>
          </w:p>
        </w:tc>
        <w:tc>
          <w:tcPr>
            <w:tcW w:w="1871" w:type="dxa"/>
            <w:noWrap w:val="0"/>
            <w:vAlign w:val="center"/>
          </w:tcPr>
          <w:p w14:paraId="0A3D2175">
            <w:pPr>
              <w:spacing w:line="594" w:lineRule="exact"/>
              <w:jc w:val="center"/>
              <w:rPr>
                <w:rFonts w:ascii="方正仿宋_GBK" w:hAnsi="方正仿宋_GBK" w:eastAsia="方正仿宋_GBK" w:cs="方正仿宋_GBK"/>
                <w:bCs/>
                <w:color w:val="auto"/>
                <w:sz w:val="24"/>
                <w:highlight w:val="none"/>
              </w:rPr>
            </w:pPr>
          </w:p>
        </w:tc>
        <w:tc>
          <w:tcPr>
            <w:tcW w:w="1871" w:type="dxa"/>
            <w:noWrap w:val="0"/>
            <w:vAlign w:val="center"/>
          </w:tcPr>
          <w:p w14:paraId="4A87FA93">
            <w:pPr>
              <w:spacing w:line="594" w:lineRule="exact"/>
              <w:jc w:val="center"/>
              <w:rPr>
                <w:rFonts w:hint="eastAsia" w:ascii="宋体" w:hAnsi="宋体" w:cs="宋体"/>
                <w:bCs/>
                <w:color w:val="auto"/>
                <w:sz w:val="24"/>
                <w:highlight w:val="none"/>
              </w:rPr>
            </w:pPr>
          </w:p>
        </w:tc>
        <w:tc>
          <w:tcPr>
            <w:tcW w:w="1871" w:type="dxa"/>
            <w:noWrap w:val="0"/>
            <w:vAlign w:val="center"/>
          </w:tcPr>
          <w:p w14:paraId="03DF73AC">
            <w:pPr>
              <w:spacing w:line="594" w:lineRule="exact"/>
              <w:jc w:val="center"/>
              <w:rPr>
                <w:rFonts w:hint="eastAsia" w:ascii="宋体" w:hAnsi="宋体" w:cs="宋体"/>
                <w:bCs/>
                <w:color w:val="auto"/>
                <w:sz w:val="24"/>
                <w:highlight w:val="none"/>
              </w:rPr>
            </w:pPr>
          </w:p>
        </w:tc>
      </w:tr>
      <w:tr w14:paraId="240D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871" w:type="dxa"/>
            <w:noWrap w:val="0"/>
            <w:vAlign w:val="center"/>
          </w:tcPr>
          <w:p w14:paraId="16FAE516">
            <w:pPr>
              <w:spacing w:line="594" w:lineRule="exact"/>
              <w:jc w:val="center"/>
              <w:rPr>
                <w:rFonts w:hint="eastAsia" w:ascii="宋体" w:hAnsi="宋体" w:cs="宋体"/>
                <w:bCs/>
                <w:color w:val="auto"/>
                <w:sz w:val="24"/>
                <w:highlight w:val="none"/>
              </w:rPr>
            </w:pPr>
          </w:p>
        </w:tc>
        <w:tc>
          <w:tcPr>
            <w:tcW w:w="1871" w:type="dxa"/>
            <w:noWrap w:val="0"/>
            <w:vAlign w:val="center"/>
          </w:tcPr>
          <w:p w14:paraId="67602D39">
            <w:pPr>
              <w:spacing w:line="594" w:lineRule="exact"/>
              <w:jc w:val="center"/>
              <w:rPr>
                <w:rFonts w:hint="eastAsia" w:ascii="宋体" w:hAnsi="宋体" w:cs="宋体"/>
                <w:bCs/>
                <w:color w:val="auto"/>
                <w:sz w:val="24"/>
                <w:highlight w:val="none"/>
              </w:rPr>
            </w:pPr>
          </w:p>
        </w:tc>
        <w:tc>
          <w:tcPr>
            <w:tcW w:w="1871" w:type="dxa"/>
            <w:noWrap w:val="0"/>
            <w:vAlign w:val="center"/>
          </w:tcPr>
          <w:p w14:paraId="39AAC524">
            <w:pPr>
              <w:spacing w:line="594" w:lineRule="exact"/>
              <w:jc w:val="center"/>
              <w:rPr>
                <w:rFonts w:ascii="方正仿宋_GBK" w:hAnsi="方正仿宋_GBK" w:eastAsia="方正仿宋_GBK" w:cs="方正仿宋_GBK"/>
                <w:bCs/>
                <w:color w:val="auto"/>
                <w:sz w:val="24"/>
                <w:highlight w:val="none"/>
              </w:rPr>
            </w:pPr>
          </w:p>
        </w:tc>
        <w:tc>
          <w:tcPr>
            <w:tcW w:w="1871" w:type="dxa"/>
            <w:noWrap w:val="0"/>
            <w:vAlign w:val="center"/>
          </w:tcPr>
          <w:p w14:paraId="59DE330F">
            <w:pPr>
              <w:spacing w:line="594" w:lineRule="exact"/>
              <w:jc w:val="center"/>
              <w:rPr>
                <w:rFonts w:hint="eastAsia" w:ascii="宋体" w:hAnsi="宋体" w:cs="宋体"/>
                <w:bCs/>
                <w:color w:val="auto"/>
                <w:sz w:val="24"/>
                <w:highlight w:val="none"/>
              </w:rPr>
            </w:pPr>
          </w:p>
        </w:tc>
        <w:tc>
          <w:tcPr>
            <w:tcW w:w="1871" w:type="dxa"/>
            <w:noWrap w:val="0"/>
            <w:vAlign w:val="center"/>
          </w:tcPr>
          <w:p w14:paraId="56971AD2">
            <w:pPr>
              <w:spacing w:line="594" w:lineRule="exact"/>
              <w:jc w:val="center"/>
              <w:rPr>
                <w:rFonts w:hint="eastAsia" w:ascii="宋体" w:hAnsi="宋体" w:cs="宋体"/>
                <w:bCs/>
                <w:color w:val="auto"/>
                <w:sz w:val="24"/>
                <w:highlight w:val="none"/>
              </w:rPr>
            </w:pPr>
          </w:p>
        </w:tc>
      </w:tr>
      <w:tr w14:paraId="6CC0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871" w:type="dxa"/>
            <w:noWrap w:val="0"/>
            <w:vAlign w:val="center"/>
          </w:tcPr>
          <w:p w14:paraId="4EF836CC">
            <w:pPr>
              <w:spacing w:line="594" w:lineRule="exact"/>
              <w:jc w:val="center"/>
              <w:rPr>
                <w:rFonts w:hint="eastAsia" w:ascii="宋体" w:hAnsi="宋体" w:cs="宋体"/>
                <w:bCs/>
                <w:color w:val="auto"/>
                <w:sz w:val="24"/>
                <w:highlight w:val="none"/>
              </w:rPr>
            </w:pPr>
          </w:p>
        </w:tc>
        <w:tc>
          <w:tcPr>
            <w:tcW w:w="1871" w:type="dxa"/>
            <w:noWrap w:val="0"/>
            <w:vAlign w:val="center"/>
          </w:tcPr>
          <w:p w14:paraId="23BA9FE4">
            <w:pPr>
              <w:spacing w:line="594" w:lineRule="exact"/>
              <w:jc w:val="center"/>
              <w:rPr>
                <w:rFonts w:hint="eastAsia" w:ascii="宋体" w:hAnsi="宋体" w:cs="宋体"/>
                <w:bCs/>
                <w:color w:val="auto"/>
                <w:sz w:val="24"/>
                <w:highlight w:val="none"/>
              </w:rPr>
            </w:pPr>
          </w:p>
        </w:tc>
        <w:tc>
          <w:tcPr>
            <w:tcW w:w="1871" w:type="dxa"/>
            <w:noWrap w:val="0"/>
            <w:vAlign w:val="center"/>
          </w:tcPr>
          <w:p w14:paraId="7BCA0471">
            <w:pPr>
              <w:spacing w:line="594" w:lineRule="exact"/>
              <w:jc w:val="center"/>
              <w:rPr>
                <w:rFonts w:ascii="方正仿宋_GBK" w:hAnsi="方正仿宋_GBK" w:eastAsia="方正仿宋_GBK" w:cs="方正仿宋_GBK"/>
                <w:bCs/>
                <w:color w:val="auto"/>
                <w:sz w:val="24"/>
                <w:highlight w:val="none"/>
              </w:rPr>
            </w:pPr>
          </w:p>
        </w:tc>
        <w:tc>
          <w:tcPr>
            <w:tcW w:w="1871" w:type="dxa"/>
            <w:noWrap w:val="0"/>
            <w:vAlign w:val="center"/>
          </w:tcPr>
          <w:p w14:paraId="60E5D5EF">
            <w:pPr>
              <w:spacing w:line="594" w:lineRule="exact"/>
              <w:jc w:val="center"/>
              <w:rPr>
                <w:rFonts w:hint="eastAsia" w:ascii="宋体" w:hAnsi="宋体" w:cs="宋体"/>
                <w:bCs/>
                <w:color w:val="auto"/>
                <w:sz w:val="24"/>
                <w:highlight w:val="none"/>
              </w:rPr>
            </w:pPr>
          </w:p>
        </w:tc>
        <w:tc>
          <w:tcPr>
            <w:tcW w:w="1871" w:type="dxa"/>
            <w:noWrap w:val="0"/>
            <w:vAlign w:val="center"/>
          </w:tcPr>
          <w:p w14:paraId="728F6150">
            <w:pPr>
              <w:spacing w:line="594" w:lineRule="exact"/>
              <w:jc w:val="center"/>
              <w:rPr>
                <w:rFonts w:hint="eastAsia" w:ascii="宋体" w:hAnsi="宋体" w:cs="宋体"/>
                <w:bCs/>
                <w:color w:val="auto"/>
                <w:sz w:val="24"/>
                <w:highlight w:val="none"/>
              </w:rPr>
            </w:pPr>
          </w:p>
        </w:tc>
      </w:tr>
      <w:tr w14:paraId="0C92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71" w:type="dxa"/>
            <w:noWrap w:val="0"/>
            <w:vAlign w:val="center"/>
          </w:tcPr>
          <w:p w14:paraId="14DFF8B1">
            <w:pPr>
              <w:spacing w:line="594" w:lineRule="exact"/>
              <w:jc w:val="center"/>
              <w:rPr>
                <w:rFonts w:hint="eastAsia" w:ascii="宋体" w:hAnsi="宋体" w:cs="宋体"/>
                <w:bCs/>
                <w:color w:val="auto"/>
                <w:sz w:val="24"/>
                <w:highlight w:val="none"/>
              </w:rPr>
            </w:pPr>
          </w:p>
        </w:tc>
        <w:tc>
          <w:tcPr>
            <w:tcW w:w="1871" w:type="dxa"/>
            <w:noWrap w:val="0"/>
            <w:vAlign w:val="center"/>
          </w:tcPr>
          <w:p w14:paraId="354E50E8">
            <w:pPr>
              <w:spacing w:line="594" w:lineRule="exact"/>
              <w:jc w:val="center"/>
              <w:rPr>
                <w:rFonts w:hint="eastAsia" w:ascii="宋体" w:hAnsi="宋体" w:cs="宋体"/>
                <w:bCs/>
                <w:color w:val="auto"/>
                <w:sz w:val="24"/>
                <w:highlight w:val="none"/>
              </w:rPr>
            </w:pPr>
          </w:p>
        </w:tc>
        <w:tc>
          <w:tcPr>
            <w:tcW w:w="1871" w:type="dxa"/>
            <w:noWrap w:val="0"/>
            <w:vAlign w:val="center"/>
          </w:tcPr>
          <w:p w14:paraId="12DFF33A">
            <w:pPr>
              <w:spacing w:line="594" w:lineRule="exact"/>
              <w:jc w:val="center"/>
              <w:rPr>
                <w:rFonts w:ascii="方正仿宋_GBK" w:hAnsi="方正仿宋_GBK" w:eastAsia="方正仿宋_GBK" w:cs="方正仿宋_GBK"/>
                <w:bCs/>
                <w:color w:val="auto"/>
                <w:sz w:val="24"/>
                <w:highlight w:val="none"/>
              </w:rPr>
            </w:pPr>
          </w:p>
        </w:tc>
        <w:tc>
          <w:tcPr>
            <w:tcW w:w="1871" w:type="dxa"/>
            <w:noWrap w:val="0"/>
            <w:vAlign w:val="center"/>
          </w:tcPr>
          <w:p w14:paraId="7B5FCC1A">
            <w:pPr>
              <w:spacing w:line="594" w:lineRule="exact"/>
              <w:jc w:val="center"/>
              <w:rPr>
                <w:rFonts w:hint="eastAsia" w:ascii="宋体" w:hAnsi="宋体" w:cs="宋体"/>
                <w:bCs/>
                <w:color w:val="auto"/>
                <w:sz w:val="24"/>
                <w:highlight w:val="none"/>
              </w:rPr>
            </w:pPr>
          </w:p>
        </w:tc>
        <w:tc>
          <w:tcPr>
            <w:tcW w:w="1871" w:type="dxa"/>
            <w:noWrap w:val="0"/>
            <w:vAlign w:val="center"/>
          </w:tcPr>
          <w:p w14:paraId="01BD1687">
            <w:pPr>
              <w:spacing w:line="594" w:lineRule="exact"/>
              <w:jc w:val="center"/>
              <w:rPr>
                <w:rFonts w:hint="eastAsia" w:ascii="宋体" w:hAnsi="宋体" w:cs="宋体"/>
                <w:bCs/>
                <w:color w:val="auto"/>
                <w:sz w:val="24"/>
                <w:highlight w:val="none"/>
              </w:rPr>
            </w:pPr>
          </w:p>
        </w:tc>
      </w:tr>
      <w:tr w14:paraId="56FD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71" w:type="dxa"/>
            <w:noWrap w:val="0"/>
            <w:vAlign w:val="center"/>
          </w:tcPr>
          <w:p w14:paraId="7BB8303B">
            <w:pPr>
              <w:spacing w:line="594" w:lineRule="exact"/>
              <w:jc w:val="center"/>
              <w:rPr>
                <w:rFonts w:hint="eastAsia" w:ascii="宋体" w:hAnsi="宋体" w:cs="宋体"/>
                <w:bCs/>
                <w:color w:val="auto"/>
                <w:sz w:val="24"/>
                <w:highlight w:val="none"/>
              </w:rPr>
            </w:pPr>
          </w:p>
        </w:tc>
        <w:tc>
          <w:tcPr>
            <w:tcW w:w="1871" w:type="dxa"/>
            <w:noWrap w:val="0"/>
            <w:vAlign w:val="center"/>
          </w:tcPr>
          <w:p w14:paraId="2616727E">
            <w:pPr>
              <w:spacing w:line="594" w:lineRule="exact"/>
              <w:jc w:val="center"/>
              <w:rPr>
                <w:rFonts w:hint="eastAsia" w:ascii="宋体" w:hAnsi="宋体" w:cs="宋体"/>
                <w:bCs/>
                <w:color w:val="auto"/>
                <w:sz w:val="24"/>
                <w:highlight w:val="none"/>
              </w:rPr>
            </w:pPr>
          </w:p>
        </w:tc>
        <w:tc>
          <w:tcPr>
            <w:tcW w:w="1871" w:type="dxa"/>
            <w:noWrap w:val="0"/>
            <w:vAlign w:val="center"/>
          </w:tcPr>
          <w:p w14:paraId="2146737A">
            <w:pPr>
              <w:spacing w:line="594" w:lineRule="exact"/>
              <w:jc w:val="center"/>
              <w:rPr>
                <w:rFonts w:ascii="方正仿宋_GBK" w:hAnsi="方正仿宋_GBK" w:eastAsia="方正仿宋_GBK" w:cs="方正仿宋_GBK"/>
                <w:bCs/>
                <w:color w:val="auto"/>
                <w:sz w:val="24"/>
                <w:highlight w:val="none"/>
              </w:rPr>
            </w:pPr>
          </w:p>
        </w:tc>
        <w:tc>
          <w:tcPr>
            <w:tcW w:w="1871" w:type="dxa"/>
            <w:noWrap w:val="0"/>
            <w:vAlign w:val="center"/>
          </w:tcPr>
          <w:p w14:paraId="26D6A09F">
            <w:pPr>
              <w:spacing w:line="594" w:lineRule="exact"/>
              <w:jc w:val="center"/>
              <w:rPr>
                <w:rFonts w:hint="eastAsia" w:ascii="宋体" w:hAnsi="宋体" w:cs="宋体"/>
                <w:bCs/>
                <w:color w:val="auto"/>
                <w:sz w:val="24"/>
                <w:highlight w:val="none"/>
              </w:rPr>
            </w:pPr>
          </w:p>
        </w:tc>
        <w:tc>
          <w:tcPr>
            <w:tcW w:w="1871" w:type="dxa"/>
            <w:noWrap w:val="0"/>
            <w:vAlign w:val="center"/>
          </w:tcPr>
          <w:p w14:paraId="3D07D475">
            <w:pPr>
              <w:spacing w:line="594" w:lineRule="exact"/>
              <w:jc w:val="center"/>
              <w:rPr>
                <w:rFonts w:hint="eastAsia" w:ascii="宋体" w:hAnsi="宋体" w:cs="宋体"/>
                <w:bCs/>
                <w:color w:val="auto"/>
                <w:sz w:val="24"/>
                <w:highlight w:val="none"/>
              </w:rPr>
            </w:pPr>
          </w:p>
        </w:tc>
      </w:tr>
      <w:tr w14:paraId="65A3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71" w:type="dxa"/>
            <w:noWrap w:val="0"/>
            <w:vAlign w:val="center"/>
          </w:tcPr>
          <w:p w14:paraId="4372626B">
            <w:pPr>
              <w:spacing w:line="594" w:lineRule="exact"/>
              <w:jc w:val="center"/>
              <w:rPr>
                <w:rFonts w:hint="eastAsia" w:ascii="宋体" w:hAnsi="宋体" w:cs="宋体"/>
                <w:bCs/>
                <w:color w:val="auto"/>
                <w:sz w:val="24"/>
                <w:highlight w:val="none"/>
              </w:rPr>
            </w:pPr>
          </w:p>
        </w:tc>
        <w:tc>
          <w:tcPr>
            <w:tcW w:w="1871" w:type="dxa"/>
            <w:noWrap w:val="0"/>
            <w:vAlign w:val="center"/>
          </w:tcPr>
          <w:p w14:paraId="20016CF6">
            <w:pPr>
              <w:spacing w:line="594" w:lineRule="exact"/>
              <w:jc w:val="center"/>
              <w:rPr>
                <w:rFonts w:hint="eastAsia" w:ascii="宋体" w:hAnsi="宋体" w:cs="宋体"/>
                <w:bCs/>
                <w:color w:val="auto"/>
                <w:sz w:val="24"/>
                <w:highlight w:val="none"/>
              </w:rPr>
            </w:pPr>
          </w:p>
        </w:tc>
        <w:tc>
          <w:tcPr>
            <w:tcW w:w="1871" w:type="dxa"/>
            <w:noWrap w:val="0"/>
            <w:vAlign w:val="center"/>
          </w:tcPr>
          <w:p w14:paraId="51C30986">
            <w:pPr>
              <w:spacing w:line="594" w:lineRule="exact"/>
              <w:jc w:val="center"/>
              <w:rPr>
                <w:rFonts w:ascii="方正仿宋_GBK" w:hAnsi="方正仿宋_GBK" w:eastAsia="方正仿宋_GBK" w:cs="方正仿宋_GBK"/>
                <w:bCs/>
                <w:color w:val="auto"/>
                <w:sz w:val="24"/>
                <w:highlight w:val="none"/>
              </w:rPr>
            </w:pPr>
          </w:p>
        </w:tc>
        <w:tc>
          <w:tcPr>
            <w:tcW w:w="1871" w:type="dxa"/>
            <w:noWrap w:val="0"/>
            <w:vAlign w:val="center"/>
          </w:tcPr>
          <w:p w14:paraId="21E51BC8">
            <w:pPr>
              <w:spacing w:line="594" w:lineRule="exact"/>
              <w:jc w:val="center"/>
              <w:rPr>
                <w:rFonts w:hint="eastAsia" w:ascii="宋体" w:hAnsi="宋体" w:cs="宋体"/>
                <w:bCs/>
                <w:color w:val="auto"/>
                <w:sz w:val="24"/>
                <w:highlight w:val="none"/>
              </w:rPr>
            </w:pPr>
          </w:p>
        </w:tc>
        <w:tc>
          <w:tcPr>
            <w:tcW w:w="1871" w:type="dxa"/>
            <w:noWrap w:val="0"/>
            <w:vAlign w:val="center"/>
          </w:tcPr>
          <w:p w14:paraId="7FC122C4">
            <w:pPr>
              <w:spacing w:line="594" w:lineRule="exact"/>
              <w:jc w:val="center"/>
              <w:rPr>
                <w:rFonts w:hint="eastAsia" w:ascii="宋体" w:hAnsi="宋体" w:cs="宋体"/>
                <w:bCs/>
                <w:color w:val="auto"/>
                <w:sz w:val="24"/>
                <w:highlight w:val="none"/>
              </w:rPr>
            </w:pPr>
          </w:p>
        </w:tc>
      </w:tr>
    </w:tbl>
    <w:p w14:paraId="0953872E">
      <w:pPr>
        <w:overflowPunct w:val="0"/>
        <w:autoSpaceDE w:val="0"/>
        <w:autoSpaceDN w:val="0"/>
        <w:adjustRightInd w:val="0"/>
        <w:snapToGrid w:val="0"/>
        <w:spacing w:line="420" w:lineRule="exact"/>
        <w:ind w:firstLine="472" w:firstLineChars="200"/>
        <w:rPr>
          <w:rFonts w:hint="eastAsia" w:ascii="宋体" w:hAnsi="宋体" w:cs="宋体"/>
          <w:snapToGrid w:val="0"/>
          <w:color w:val="auto"/>
          <w:spacing w:val="-2"/>
          <w:sz w:val="24"/>
          <w:highlight w:val="none"/>
        </w:rPr>
      </w:pPr>
    </w:p>
    <w:p w14:paraId="701E1D88">
      <w:pPr>
        <w:overflowPunct w:val="0"/>
        <w:autoSpaceDE w:val="0"/>
        <w:autoSpaceDN w:val="0"/>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w:t>
      </w:r>
    </w:p>
    <w:p w14:paraId="33648A85">
      <w:pPr>
        <w:overflowPunct w:val="0"/>
        <w:autoSpaceDE w:val="0"/>
        <w:autoSpaceDN w:val="0"/>
        <w:adjustRightInd w:val="0"/>
        <w:snapToGrid w:val="0"/>
        <w:spacing w:line="420" w:lineRule="exact"/>
        <w:ind w:firstLine="420" w:firstLineChars="200"/>
        <w:rPr>
          <w:rFonts w:hint="eastAsia" w:ascii="宋体" w:hAnsi="宋体" w:cs="宋体"/>
          <w:snapToGrid w:val="0"/>
          <w:color w:val="auto"/>
          <w:spacing w:val="-2"/>
          <w:sz w:val="24"/>
          <w:highlight w:val="none"/>
        </w:rPr>
      </w:pPr>
      <w:r>
        <w:rPr>
          <w:rFonts w:hint="eastAsia" w:ascii="宋体" w:hAnsi="宋体" w:cs="宋体"/>
          <w:color w:val="auto"/>
          <w:szCs w:val="21"/>
          <w:highlight w:val="none"/>
        </w:rPr>
        <w:t>1、监理人须按照渝建发〔2014〕35号、渝建发〔2014〕101号、渝建〔2016〕373号文件要求配置监理人员；有要求时，确保中标备案完成。</w:t>
      </w:r>
    </w:p>
    <w:p w14:paraId="205E3D2A">
      <w:pPr>
        <w:overflowPunct w:val="0"/>
        <w:autoSpaceDE w:val="0"/>
        <w:autoSpaceDN w:val="0"/>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2、签订合同时提交以上人员任命书，并附身份证、职称证书、职业资格证及社保附件加盖公章（三套）。</w:t>
      </w:r>
    </w:p>
    <w:p w14:paraId="4832A7D2">
      <w:pPr>
        <w:overflowPunct w:val="0"/>
        <w:autoSpaceDE w:val="0"/>
        <w:autoSpaceDN w:val="0"/>
        <w:adjustRightInd w:val="0"/>
        <w:snapToGrid w:val="0"/>
        <w:spacing w:line="420" w:lineRule="exact"/>
        <w:rPr>
          <w:rFonts w:hint="eastAsia" w:ascii="宋体" w:hAnsi="宋体"/>
          <w:bCs/>
          <w:color w:val="auto"/>
          <w:sz w:val="24"/>
          <w:highlight w:val="none"/>
        </w:rPr>
      </w:pPr>
    </w:p>
    <w:p w14:paraId="4CFFE4D5">
      <w:pPr>
        <w:overflowPunct w:val="0"/>
        <w:autoSpaceDE w:val="0"/>
        <w:autoSpaceDN w:val="0"/>
        <w:adjustRightInd w:val="0"/>
        <w:snapToGrid w:val="0"/>
        <w:spacing w:line="420" w:lineRule="exact"/>
        <w:rPr>
          <w:rFonts w:hint="eastAsia" w:ascii="宋体" w:hAnsi="宋体"/>
          <w:bCs/>
          <w:color w:val="auto"/>
          <w:sz w:val="24"/>
          <w:highlight w:val="none"/>
        </w:rPr>
      </w:pPr>
    </w:p>
    <w:p w14:paraId="7CCD0C8F">
      <w:pPr>
        <w:overflowPunct w:val="0"/>
        <w:autoSpaceDE w:val="0"/>
        <w:autoSpaceDN w:val="0"/>
        <w:adjustRightInd w:val="0"/>
        <w:snapToGrid w:val="0"/>
        <w:spacing w:line="420" w:lineRule="exact"/>
        <w:rPr>
          <w:rFonts w:hint="eastAsia" w:ascii="宋体" w:hAnsi="宋体"/>
          <w:bCs/>
          <w:color w:val="auto"/>
          <w:sz w:val="24"/>
          <w:highlight w:val="none"/>
        </w:rPr>
      </w:pPr>
    </w:p>
    <w:p w14:paraId="0CF8A1CA">
      <w:pPr>
        <w:overflowPunct w:val="0"/>
        <w:autoSpaceDE w:val="0"/>
        <w:autoSpaceDN w:val="0"/>
        <w:adjustRightInd w:val="0"/>
        <w:snapToGrid w:val="0"/>
        <w:spacing w:line="420" w:lineRule="exact"/>
        <w:rPr>
          <w:rFonts w:hint="eastAsia" w:ascii="宋体" w:hAnsi="宋体"/>
          <w:bCs/>
          <w:color w:val="auto"/>
          <w:sz w:val="24"/>
          <w:highlight w:val="none"/>
        </w:rPr>
      </w:pPr>
    </w:p>
    <w:p w14:paraId="6F7F528F">
      <w:pPr>
        <w:rPr>
          <w:rFonts w:hint="eastAsia" w:ascii="宋体" w:hAnsi="宋体" w:cs="宋体"/>
          <w:bCs/>
          <w:snapToGrid w:val="0"/>
          <w:color w:val="auto"/>
          <w:spacing w:val="-2"/>
          <w:sz w:val="24"/>
          <w:highlight w:val="none"/>
        </w:rPr>
      </w:pPr>
      <w:r>
        <w:rPr>
          <w:color w:val="auto"/>
          <w:highlight w:val="none"/>
        </w:rPr>
        <w:br w:type="page"/>
      </w:r>
      <w:r>
        <w:rPr>
          <w:rFonts w:hint="eastAsia" w:ascii="宋体" w:hAnsi="宋体"/>
          <w:bCs/>
          <w:color w:val="auto"/>
          <w:sz w:val="24"/>
          <w:highlight w:val="none"/>
        </w:rPr>
        <w:t>附录5</w:t>
      </w:r>
    </w:p>
    <w:p w14:paraId="5A3046E1">
      <w:pPr>
        <w:overflowPunct w:val="0"/>
        <w:autoSpaceDE w:val="0"/>
        <w:autoSpaceDN w:val="0"/>
        <w:adjustRightInd w:val="0"/>
        <w:snapToGrid w:val="0"/>
        <w:spacing w:line="420" w:lineRule="exact"/>
        <w:ind w:firstLine="632" w:firstLineChars="200"/>
        <w:jc w:val="center"/>
        <w:rPr>
          <w:rFonts w:ascii="宋体" w:hAnsi="宋体"/>
          <w:snapToGrid w:val="0"/>
          <w:color w:val="auto"/>
          <w:spacing w:val="-2"/>
          <w:sz w:val="32"/>
          <w:szCs w:val="32"/>
          <w:highlight w:val="none"/>
        </w:rPr>
      </w:pPr>
      <w:r>
        <w:rPr>
          <w:rFonts w:hint="eastAsia" w:ascii="宋体" w:hAnsi="宋体"/>
          <w:snapToGrid w:val="0"/>
          <w:color w:val="auto"/>
          <w:spacing w:val="-2"/>
          <w:sz w:val="32"/>
          <w:szCs w:val="32"/>
          <w:highlight w:val="none"/>
        </w:rPr>
        <w:t>廉政责任书</w:t>
      </w:r>
    </w:p>
    <w:p w14:paraId="27204C35">
      <w:pPr>
        <w:overflowPunct w:val="0"/>
        <w:autoSpaceDE w:val="0"/>
        <w:autoSpaceDN w:val="0"/>
        <w:adjustRightInd w:val="0"/>
        <w:snapToGrid w:val="0"/>
        <w:spacing w:line="420" w:lineRule="exact"/>
        <w:ind w:firstLine="480" w:firstLineChars="200"/>
        <w:rPr>
          <w:rFonts w:ascii="宋体" w:hAnsi="宋体"/>
          <w:color w:val="auto"/>
          <w:sz w:val="24"/>
          <w:highlight w:val="none"/>
        </w:rPr>
      </w:pPr>
    </w:p>
    <w:p w14:paraId="4A2EC578">
      <w:pPr>
        <w:overflowPunct w:val="0"/>
        <w:autoSpaceDE w:val="0"/>
        <w:autoSpaceDN w:val="0"/>
        <w:adjustRightInd w:val="0"/>
        <w:snapToGrid w:val="0"/>
        <w:spacing w:line="420" w:lineRule="exact"/>
        <w:rPr>
          <w:rFonts w:ascii="宋体" w:hAnsi="宋体"/>
          <w:color w:val="auto"/>
          <w:sz w:val="24"/>
          <w:highlight w:val="none"/>
        </w:rPr>
      </w:pPr>
      <w:r>
        <w:rPr>
          <w:rFonts w:hint="eastAsia" w:ascii="宋体" w:hAnsi="宋体"/>
          <w:color w:val="auto"/>
          <w:sz w:val="24"/>
          <w:highlight w:val="none"/>
        </w:rPr>
        <w:t>委托人：</w:t>
      </w:r>
      <w:r>
        <w:rPr>
          <w:rFonts w:hint="eastAsia" w:ascii="宋体" w:hAnsi="宋体" w:cs="宋体"/>
          <w:color w:val="auto"/>
          <w:kern w:val="0"/>
          <w:szCs w:val="21"/>
          <w:highlight w:val="none"/>
          <w:u w:val="single"/>
        </w:rPr>
        <w:t xml:space="preserve">               </w:t>
      </w:r>
      <w:r>
        <w:rPr>
          <w:rFonts w:hint="eastAsia" w:ascii="宋体" w:hAnsi="宋体"/>
          <w:color w:val="auto"/>
          <w:sz w:val="24"/>
          <w:highlight w:val="none"/>
        </w:rPr>
        <w:t xml:space="preserve"> </w:t>
      </w:r>
    </w:p>
    <w:p w14:paraId="4A76BAB0">
      <w:pPr>
        <w:overflowPunct w:val="0"/>
        <w:autoSpaceDE w:val="0"/>
        <w:autoSpaceDN w:val="0"/>
        <w:adjustRightInd w:val="0"/>
        <w:snapToGrid w:val="0"/>
        <w:spacing w:line="420" w:lineRule="exact"/>
        <w:rPr>
          <w:rFonts w:ascii="宋体" w:hAnsi="宋体" w:cs="宋体"/>
          <w:color w:val="auto"/>
          <w:kern w:val="0"/>
          <w:szCs w:val="21"/>
          <w:highlight w:val="none"/>
          <w:u w:val="single"/>
        </w:rPr>
      </w:pPr>
      <w:r>
        <w:rPr>
          <w:rFonts w:hint="eastAsia" w:ascii="宋体" w:hAnsi="宋体"/>
          <w:color w:val="auto"/>
          <w:sz w:val="24"/>
          <w:highlight w:val="none"/>
        </w:rPr>
        <w:t>监理人：</w:t>
      </w:r>
      <w:r>
        <w:rPr>
          <w:rFonts w:hint="eastAsia" w:ascii="宋体" w:hAnsi="宋体"/>
          <w:color w:val="auto"/>
          <w:sz w:val="24"/>
          <w:highlight w:val="none"/>
          <w:u w:val="single"/>
        </w:rPr>
        <w:t xml:space="preserve">             </w:t>
      </w:r>
    </w:p>
    <w:p w14:paraId="56260F4E">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为加强建设工程廉政建设，规范建设工程各项活动中委托人监理人双方的行为，防止谋取不正当利益的违法违纪现象的发生，保护国家、集体和当事人的合法权益，根据国家有关工程建设的法律法规和廉政建设的有关规定，订立本廉政责任书。</w:t>
      </w:r>
    </w:p>
    <w:p w14:paraId="5246730B">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一、双方的责任</w:t>
      </w:r>
    </w:p>
    <w:p w14:paraId="726CF3F9">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1.1应严格遵守国家关于建设工程的有关法律、法规，相关政策，以及廉政建设的各项规定。</w:t>
      </w:r>
    </w:p>
    <w:p w14:paraId="567730D9">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1.2严格执行建设工程合同文件，自觉按合同办事。</w:t>
      </w:r>
    </w:p>
    <w:p w14:paraId="401FD811">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1.3各项活动必须坚持公开、公平、公正、诚信、透明的原则(除法律法规另有规定者外)，不得为获取不正当的利益，损害国家、集体和对方利益，不得违反建设工程管理的规章制度。</w:t>
      </w:r>
    </w:p>
    <w:p w14:paraId="39BFDD0F">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1.4发现对方在业务活动中有违规、违纪、违法行为的，应及时提醒对方，情节严重的，应向其上级主管部门或纪检监察、司法等有关机关举报。</w:t>
      </w:r>
    </w:p>
    <w:p w14:paraId="530D0440">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二、委托人责任</w:t>
      </w:r>
    </w:p>
    <w:p w14:paraId="2F29C3BA">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委托人的领导和从事该建设工程项目的工作人员，在工程建设的事前、事中、事后应遵守以下规定：</w:t>
      </w:r>
    </w:p>
    <w:p w14:paraId="30CD4176">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2.1不得向监理人和相关单位索要或接受回扣、礼金、有价证券、贵重物品和好处费、感谢费等。</w:t>
      </w:r>
    </w:p>
    <w:p w14:paraId="3C89E22D">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2.2不得在监理人和相关单位报销任何应由委托人或个人支付的费用。</w:t>
      </w:r>
    </w:p>
    <w:p w14:paraId="5E744A62">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2.3不得要求、暗示或接受监理人和相关单位为个人装修住房、婚丧嫁娶、配偶子女的工作安排以及出国(境)、旅游等提供方便。</w:t>
      </w:r>
    </w:p>
    <w:p w14:paraId="5F98C8EA">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2.4不得参加有可能影响公正执行公务的监理人和相关单位的宴请、健身、娱乐等活动。</w:t>
      </w:r>
    </w:p>
    <w:p w14:paraId="70403E16">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2.5不得向监理人和相关单位介绍或为配偶、子女、亲属参与同委托人工程建设管理合同有关的业务活动；不得以任何理由要求监理人和相关单位使用某种产品、材料和设备。</w:t>
      </w:r>
    </w:p>
    <w:p w14:paraId="5CC8ACD2">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三、监理人责任</w:t>
      </w:r>
    </w:p>
    <w:p w14:paraId="3DD50E6F">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应与委托人保持正常的业务交往，按照有关法律法规和程序开展业务工作，严格执行工程建设的有关方针、政策，执行工程建设强制性标准，并遵守以下规定：</w:t>
      </w:r>
    </w:p>
    <w:p w14:paraId="1B7A3732">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3.1不得以任何理由向委托人及其工作人员索要、接受或赠送礼金、有价证券、贵重物品及回扣、好处费、感谢费等。</w:t>
      </w:r>
    </w:p>
    <w:p w14:paraId="525B2EAC">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3.2不得以任何理由为委托人和相关单位报销应由对方或个人支付的费用。</w:t>
      </w:r>
    </w:p>
    <w:p w14:paraId="7D8EAF68">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3.3不得接受或暗示为委托人、相关单位或个人装修住房、婚丧嫁娶、配偶子女的工作安排以及出国(境)、旅游等提供方便。</w:t>
      </w:r>
    </w:p>
    <w:p w14:paraId="0182A191">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3.4不得以任何理由为委托人、相关单位或个人组织有可能影响公正执行公务的宴请、健身、娱乐等活动。</w:t>
      </w:r>
    </w:p>
    <w:p w14:paraId="370B0CF6">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四、违约责任</w:t>
      </w:r>
    </w:p>
    <w:p w14:paraId="0DF3293F">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4.1委托人工作人员有违反本责任书第一、二条责任行为的，依据有关法律、法规给予处理；涉嫌犯罪的，移交司法机关追究刑事责任；给监理人单位造成经济损失的，应予以赔偿。</w:t>
      </w:r>
    </w:p>
    <w:p w14:paraId="494F0574">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4.2监理人工作人员有违反本责任书第一、三条责任行为的，依据有关法律法规处理；涉嫌犯罪的，移交司法机关追究刑事责任；给委托人单位造成经济损失的，应予以赔偿。</w:t>
      </w:r>
    </w:p>
    <w:p w14:paraId="73CCCA2D">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4.3本责任书作为建设工程监理合同的组成部分，与建设工程监理合同具有同等法律效力。经双方签署后立即生效。</w:t>
      </w:r>
    </w:p>
    <w:p w14:paraId="2811DEBB">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五、责任书有效期</w:t>
      </w:r>
    </w:p>
    <w:p w14:paraId="77F266E7">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本责任书的有效期为双方签署之日起至该工程项目竣工验收合格时止。</w:t>
      </w:r>
    </w:p>
    <w:p w14:paraId="1487D59B">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六、责任书份数</w:t>
      </w:r>
    </w:p>
    <w:p w14:paraId="3FF3F7A1">
      <w:pPr>
        <w:overflowPunct w:val="0"/>
        <w:autoSpaceDE w:val="0"/>
        <w:autoSpaceDN w:val="0"/>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本责任书份数同合同协议书。</w:t>
      </w:r>
    </w:p>
    <w:p w14:paraId="34C65ABE">
      <w:pPr>
        <w:overflowPunct w:val="0"/>
        <w:autoSpaceDE w:val="0"/>
        <w:autoSpaceDN w:val="0"/>
        <w:adjustRightInd w:val="0"/>
        <w:snapToGrid w:val="0"/>
        <w:spacing w:line="420" w:lineRule="exact"/>
        <w:ind w:firstLine="480" w:firstLineChars="200"/>
        <w:rPr>
          <w:rFonts w:ascii="宋体" w:hAnsi="宋体"/>
          <w:color w:val="auto"/>
          <w:sz w:val="24"/>
          <w:highlight w:val="none"/>
        </w:rPr>
      </w:pPr>
    </w:p>
    <w:p w14:paraId="03C8F0A1">
      <w:pPr>
        <w:overflowPunct w:val="0"/>
        <w:autoSpaceDE w:val="0"/>
        <w:autoSpaceDN w:val="0"/>
        <w:adjustRightInd w:val="0"/>
        <w:snapToGrid w:val="0"/>
        <w:spacing w:line="560" w:lineRule="exact"/>
        <w:ind w:right="-227" w:rightChars="-108"/>
        <w:rPr>
          <w:rFonts w:ascii="宋体" w:hAnsi="宋体"/>
          <w:color w:val="auto"/>
          <w:sz w:val="24"/>
          <w:highlight w:val="none"/>
        </w:rPr>
      </w:pPr>
      <w:r>
        <w:rPr>
          <w:rFonts w:hint="eastAsia" w:ascii="宋体" w:hAnsi="宋体"/>
          <w:color w:val="auto"/>
          <w:sz w:val="24"/>
          <w:highlight w:val="none"/>
        </w:rPr>
        <w:t>委托人: (盖章)                           监理人： (盖章)</w:t>
      </w:r>
    </w:p>
    <w:p w14:paraId="078617FD">
      <w:pPr>
        <w:widowControl/>
        <w:spacing w:line="360" w:lineRule="auto"/>
        <w:ind w:right="-656" w:firstLine="1922" w:firstLineChars="801"/>
        <w:jc w:val="left"/>
        <w:rPr>
          <w:rFonts w:ascii="宋体" w:hAnsi="宋体"/>
          <w:color w:val="auto"/>
          <w:sz w:val="24"/>
          <w:highlight w:val="none"/>
        </w:rPr>
      </w:pPr>
      <w:r>
        <w:rPr>
          <w:rFonts w:hint="eastAsia" w:ascii="宋体" w:hAnsi="宋体"/>
          <w:color w:val="auto"/>
          <w:sz w:val="24"/>
          <w:highlight w:val="none"/>
        </w:rPr>
        <w:t xml:space="preserve">                 </w:t>
      </w:r>
    </w:p>
    <w:p w14:paraId="718BBB9F">
      <w:pPr>
        <w:overflowPunct w:val="0"/>
        <w:autoSpaceDE w:val="0"/>
        <w:autoSpaceDN w:val="0"/>
        <w:adjustRightInd w:val="0"/>
        <w:snapToGrid w:val="0"/>
        <w:spacing w:line="560" w:lineRule="exact"/>
        <w:rPr>
          <w:rFonts w:ascii="宋体" w:hAnsi="宋体"/>
          <w:color w:val="auto"/>
          <w:sz w:val="24"/>
          <w:highlight w:val="none"/>
        </w:rPr>
      </w:pPr>
      <w:r>
        <w:rPr>
          <w:rFonts w:hint="eastAsia" w:ascii="宋体" w:hAnsi="宋体"/>
          <w:color w:val="auto"/>
          <w:sz w:val="24"/>
          <w:highlight w:val="none"/>
        </w:rPr>
        <w:t>法定代表人或其委托代理人：               法定代表人或其委托代理人：</w:t>
      </w:r>
    </w:p>
    <w:p w14:paraId="1498A3CD">
      <w:pPr>
        <w:overflowPunct w:val="0"/>
        <w:autoSpaceDE w:val="0"/>
        <w:autoSpaceDN w:val="0"/>
        <w:adjustRightInd w:val="0"/>
        <w:snapToGrid w:val="0"/>
        <w:spacing w:line="560" w:lineRule="exact"/>
        <w:rPr>
          <w:rFonts w:ascii="宋体" w:hAnsi="宋体"/>
          <w:color w:val="auto"/>
          <w:sz w:val="24"/>
          <w:highlight w:val="none"/>
        </w:rPr>
      </w:pPr>
      <w:r>
        <w:rPr>
          <w:rFonts w:hint="eastAsia" w:ascii="宋体" w:hAnsi="宋体"/>
          <w:color w:val="auto"/>
          <w:sz w:val="24"/>
          <w:highlight w:val="none"/>
        </w:rPr>
        <w:t xml:space="preserve">电话：                                   电话：   </w:t>
      </w:r>
    </w:p>
    <w:p w14:paraId="7E38ABC4">
      <w:pPr>
        <w:overflowPunct w:val="0"/>
        <w:autoSpaceDE w:val="0"/>
        <w:autoSpaceDN w:val="0"/>
        <w:adjustRightInd w:val="0"/>
        <w:snapToGrid w:val="0"/>
        <w:spacing w:line="560" w:lineRule="exact"/>
        <w:rPr>
          <w:rFonts w:ascii="宋体" w:hAnsi="宋体"/>
          <w:color w:val="auto"/>
          <w:sz w:val="24"/>
          <w:highlight w:val="none"/>
        </w:rPr>
      </w:pPr>
      <w:r>
        <w:rPr>
          <w:rFonts w:hint="eastAsia" w:ascii="宋体" w:hAnsi="宋体"/>
          <w:color w:val="auto"/>
          <w:sz w:val="24"/>
          <w:highlight w:val="none"/>
        </w:rPr>
        <w:t>传真：                                   传真：</w:t>
      </w:r>
    </w:p>
    <w:p w14:paraId="6411456D">
      <w:pPr>
        <w:overflowPunct w:val="0"/>
        <w:autoSpaceDE w:val="0"/>
        <w:autoSpaceDN w:val="0"/>
        <w:adjustRightInd w:val="0"/>
        <w:snapToGrid w:val="0"/>
        <w:spacing w:line="560" w:lineRule="exact"/>
        <w:ind w:firstLine="480" w:firstLineChars="200"/>
        <w:rPr>
          <w:rFonts w:ascii="宋体" w:hAnsi="宋体"/>
          <w:color w:val="auto"/>
          <w:sz w:val="24"/>
          <w:highlight w:val="none"/>
        </w:rPr>
      </w:pPr>
    </w:p>
    <w:p w14:paraId="59953D27">
      <w:pPr>
        <w:overflowPunct w:val="0"/>
        <w:autoSpaceDE w:val="0"/>
        <w:autoSpaceDN w:val="0"/>
        <w:adjustRightInd w:val="0"/>
        <w:snapToGrid w:val="0"/>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14:paraId="769A4273">
      <w:pPr>
        <w:overflowPunct w:val="0"/>
        <w:autoSpaceDE w:val="0"/>
        <w:autoSpaceDN w:val="0"/>
        <w:adjustRightInd w:val="0"/>
        <w:snapToGrid w:val="0"/>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14:paraId="40F97090">
      <w:pPr>
        <w:pStyle w:val="2"/>
        <w:rPr>
          <w:rFonts w:hint="eastAsia" w:ascii="宋体" w:hAnsi="宋体"/>
          <w:color w:val="auto"/>
          <w:sz w:val="24"/>
          <w:highlight w:val="none"/>
        </w:rPr>
      </w:pPr>
    </w:p>
    <w:p w14:paraId="3CEAF7D4">
      <w:pPr>
        <w:rPr>
          <w:rFonts w:hint="eastAsia" w:ascii="宋体" w:hAnsi="宋体"/>
          <w:color w:val="auto"/>
          <w:sz w:val="24"/>
          <w:highlight w:val="none"/>
        </w:rPr>
      </w:pPr>
    </w:p>
    <w:p w14:paraId="6FF5BCC3">
      <w:pPr>
        <w:pStyle w:val="2"/>
        <w:rPr>
          <w:rFonts w:hint="eastAsia"/>
          <w:color w:val="auto"/>
          <w:highlight w:val="none"/>
        </w:rPr>
      </w:pPr>
    </w:p>
    <w:p w14:paraId="62944666">
      <w:pPr>
        <w:rPr>
          <w:color w:val="auto"/>
          <w:highlight w:val="none"/>
        </w:rPr>
      </w:pPr>
    </w:p>
    <w:p w14:paraId="64416F97">
      <w:pPr>
        <w:rPr>
          <w:rFonts w:ascii="宋体" w:hAnsi="宋体"/>
          <w:color w:val="auto"/>
          <w:sz w:val="24"/>
          <w:highlight w:val="none"/>
        </w:rPr>
      </w:pPr>
    </w:p>
    <w:p w14:paraId="65C414D1">
      <w:pPr>
        <w:pStyle w:val="2"/>
        <w:rPr>
          <w:rFonts w:ascii="宋体" w:hAnsi="宋体"/>
          <w:color w:val="auto"/>
          <w:sz w:val="24"/>
          <w:highlight w:val="none"/>
        </w:rPr>
      </w:pPr>
    </w:p>
    <w:p w14:paraId="7089A7B2">
      <w:pPr>
        <w:overflowPunct w:val="0"/>
        <w:autoSpaceDE w:val="0"/>
        <w:autoSpaceDN w:val="0"/>
        <w:adjustRightInd w:val="0"/>
        <w:snapToGrid w:val="0"/>
        <w:spacing w:line="420" w:lineRule="exact"/>
        <w:outlineLvl w:val="2"/>
        <w:rPr>
          <w:rFonts w:hint="eastAsia" w:ascii="宋体" w:hAnsi="宋体" w:cs="宋体"/>
          <w:bCs/>
          <w:snapToGrid w:val="0"/>
          <w:color w:val="auto"/>
          <w:spacing w:val="-2"/>
          <w:sz w:val="24"/>
          <w:highlight w:val="none"/>
        </w:rPr>
      </w:pPr>
      <w:r>
        <w:rPr>
          <w:rFonts w:hint="eastAsia" w:ascii="宋体" w:hAnsi="宋体"/>
          <w:bCs/>
          <w:color w:val="auto"/>
          <w:sz w:val="24"/>
          <w:highlight w:val="none"/>
        </w:rPr>
        <w:t>附录6</w:t>
      </w:r>
    </w:p>
    <w:p w14:paraId="34ACBD18">
      <w:pPr>
        <w:overflowPunct w:val="0"/>
        <w:autoSpaceDE w:val="0"/>
        <w:autoSpaceDN w:val="0"/>
        <w:adjustRightInd w:val="0"/>
        <w:snapToGrid w:val="0"/>
        <w:spacing w:line="420" w:lineRule="exact"/>
        <w:ind w:firstLine="602" w:firstLineChars="200"/>
        <w:jc w:val="center"/>
        <w:rPr>
          <w:rFonts w:ascii="宋体" w:hAnsi="宋体"/>
          <w:b/>
          <w:color w:val="auto"/>
          <w:sz w:val="30"/>
          <w:szCs w:val="30"/>
          <w:highlight w:val="none"/>
        </w:rPr>
      </w:pPr>
      <w:r>
        <w:rPr>
          <w:rFonts w:ascii="宋体" w:hAnsi="宋体"/>
          <w:b/>
          <w:color w:val="auto"/>
          <w:sz w:val="30"/>
          <w:szCs w:val="30"/>
          <w:highlight w:val="none"/>
        </w:rPr>
        <w:t>建设项目安全生产管理办法</w:t>
      </w:r>
    </w:p>
    <w:p w14:paraId="1B04669B">
      <w:pPr>
        <w:overflowPunct w:val="0"/>
        <w:autoSpaceDE w:val="0"/>
        <w:autoSpaceDN w:val="0"/>
        <w:adjustRightInd w:val="0"/>
        <w:snapToGrid w:val="0"/>
        <w:spacing w:line="420" w:lineRule="exact"/>
        <w:ind w:firstLine="480" w:firstLineChars="200"/>
        <w:jc w:val="center"/>
        <w:rPr>
          <w:rFonts w:ascii="宋体" w:hAnsi="宋体"/>
          <w:color w:val="auto"/>
          <w:sz w:val="24"/>
          <w:highlight w:val="none"/>
        </w:rPr>
      </w:pPr>
    </w:p>
    <w:p w14:paraId="1BF2FD5C">
      <w:pPr>
        <w:overflowPunct w:val="0"/>
        <w:autoSpaceDE w:val="0"/>
        <w:autoSpaceDN w:val="0"/>
        <w:adjustRightInd w:val="0"/>
        <w:snapToGrid w:val="0"/>
        <w:spacing w:line="420" w:lineRule="exact"/>
        <w:ind w:firstLine="482" w:firstLineChars="200"/>
        <w:jc w:val="center"/>
        <w:rPr>
          <w:rFonts w:ascii="宋体" w:hAnsi="宋体"/>
          <w:b/>
          <w:bCs/>
          <w:color w:val="auto"/>
          <w:sz w:val="24"/>
          <w:highlight w:val="none"/>
        </w:rPr>
      </w:pPr>
      <w:r>
        <w:rPr>
          <w:rFonts w:ascii="宋体" w:hAnsi="宋体"/>
          <w:b/>
          <w:bCs/>
          <w:color w:val="auto"/>
          <w:sz w:val="24"/>
          <w:highlight w:val="none"/>
        </w:rPr>
        <w:t>第一章</w:t>
      </w:r>
      <w:r>
        <w:rPr>
          <w:rFonts w:hint="eastAsia" w:ascii="宋体" w:hAnsi="宋体"/>
          <w:b/>
          <w:bCs/>
          <w:color w:val="auto"/>
          <w:sz w:val="24"/>
          <w:highlight w:val="none"/>
        </w:rPr>
        <w:t xml:space="preserve">  </w:t>
      </w:r>
      <w:r>
        <w:rPr>
          <w:rFonts w:ascii="宋体" w:hAnsi="宋体"/>
          <w:b/>
          <w:bCs/>
          <w:color w:val="auto"/>
          <w:sz w:val="24"/>
          <w:highlight w:val="none"/>
        </w:rPr>
        <w:t>总</w:t>
      </w:r>
      <w:r>
        <w:rPr>
          <w:rFonts w:hint="eastAsia" w:ascii="宋体" w:hAnsi="宋体"/>
          <w:b/>
          <w:bCs/>
          <w:color w:val="auto"/>
          <w:sz w:val="24"/>
          <w:highlight w:val="none"/>
        </w:rPr>
        <w:t xml:space="preserve">  </w:t>
      </w:r>
      <w:r>
        <w:rPr>
          <w:rFonts w:ascii="宋体" w:hAnsi="宋体"/>
          <w:b/>
          <w:bCs/>
          <w:color w:val="auto"/>
          <w:sz w:val="24"/>
          <w:highlight w:val="none"/>
        </w:rPr>
        <w:t>则</w:t>
      </w:r>
    </w:p>
    <w:p w14:paraId="2288ED59">
      <w:pPr>
        <w:overflowPunct w:val="0"/>
        <w:autoSpaceDE w:val="0"/>
        <w:autoSpaceDN w:val="0"/>
        <w:adjustRightInd w:val="0"/>
        <w:snapToGrid w:val="0"/>
        <w:spacing w:line="420" w:lineRule="exact"/>
        <w:rPr>
          <w:rFonts w:ascii="宋体" w:hAnsi="宋体"/>
          <w:color w:val="auto"/>
          <w:kern w:val="0"/>
          <w:szCs w:val="21"/>
          <w:highlight w:val="none"/>
        </w:rPr>
      </w:pPr>
      <w:r>
        <w:rPr>
          <w:rFonts w:hint="eastAsia" w:ascii="宋体" w:hAnsi="宋体"/>
          <w:color w:val="auto"/>
          <w:kern w:val="0"/>
          <w:szCs w:val="21"/>
          <w:highlight w:val="none"/>
        </w:rPr>
        <w:t xml:space="preserve">第一条  </w:t>
      </w:r>
      <w:r>
        <w:rPr>
          <w:rFonts w:ascii="宋体" w:hAnsi="宋体"/>
          <w:color w:val="auto"/>
          <w:kern w:val="0"/>
          <w:szCs w:val="21"/>
          <w:highlight w:val="none"/>
        </w:rPr>
        <w:t>为</w:t>
      </w:r>
      <w:r>
        <w:rPr>
          <w:rFonts w:hint="eastAsia" w:ascii="宋体" w:hAnsi="宋体"/>
          <w:color w:val="auto"/>
          <w:kern w:val="0"/>
          <w:szCs w:val="21"/>
          <w:highlight w:val="none"/>
        </w:rPr>
        <w:t>规范</w:t>
      </w:r>
      <w:r>
        <w:rPr>
          <w:rFonts w:hint="eastAsia" w:ascii="宋体" w:hAnsi="宋体"/>
          <w:color w:val="auto"/>
          <w:kern w:val="0"/>
          <w:szCs w:val="21"/>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kern w:val="0"/>
          <w:szCs w:val="21"/>
          <w:highlight w:val="none"/>
        </w:rPr>
        <w:t>（以下简称“</w:t>
      </w:r>
      <w:r>
        <w:rPr>
          <w:rFonts w:ascii="宋体" w:hAnsi="宋体"/>
          <w:color w:val="auto"/>
          <w:kern w:val="0"/>
          <w:szCs w:val="21"/>
          <w:highlight w:val="none"/>
        </w:rPr>
        <w:t>公司</w:t>
      </w:r>
      <w:r>
        <w:rPr>
          <w:rFonts w:hint="eastAsia" w:ascii="宋体" w:hAnsi="宋体"/>
          <w:color w:val="auto"/>
          <w:kern w:val="0"/>
          <w:szCs w:val="21"/>
          <w:highlight w:val="none"/>
        </w:rPr>
        <w:t>”）</w:t>
      </w:r>
      <w:r>
        <w:rPr>
          <w:rFonts w:ascii="宋体" w:hAnsi="宋体"/>
          <w:color w:val="auto"/>
          <w:kern w:val="0"/>
          <w:szCs w:val="21"/>
          <w:highlight w:val="none"/>
        </w:rPr>
        <w:t>的建设项目安全生产管理，根据国家《安全生产法》、《建筑工程安全生产管理条例》、《建筑施工安全检查标准》、《重庆市建设工程安全生产管理办法》等规定，制定本办法。</w:t>
      </w:r>
    </w:p>
    <w:p w14:paraId="07E8A048">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第二条  </w:t>
      </w:r>
      <w:r>
        <w:rPr>
          <w:rFonts w:ascii="宋体" w:hAnsi="宋体"/>
          <w:color w:val="auto"/>
          <w:kern w:val="0"/>
          <w:szCs w:val="21"/>
          <w:highlight w:val="none"/>
        </w:rPr>
        <w:t>公司所有建设项目须遵循</w:t>
      </w:r>
      <w:r>
        <w:rPr>
          <w:rFonts w:hint="eastAsia" w:ascii="宋体" w:hAnsi="宋体"/>
          <w:color w:val="auto"/>
          <w:kern w:val="0"/>
          <w:szCs w:val="21"/>
          <w:highlight w:val="none"/>
        </w:rPr>
        <w:t>“</w:t>
      </w:r>
      <w:r>
        <w:rPr>
          <w:rFonts w:ascii="宋体" w:hAnsi="宋体"/>
          <w:color w:val="auto"/>
          <w:kern w:val="0"/>
          <w:szCs w:val="21"/>
          <w:highlight w:val="none"/>
        </w:rPr>
        <w:t>安全生产，人人有责</w:t>
      </w:r>
      <w:r>
        <w:rPr>
          <w:rFonts w:hint="eastAsia" w:ascii="宋体" w:hAnsi="宋体"/>
          <w:color w:val="auto"/>
          <w:kern w:val="0"/>
          <w:szCs w:val="21"/>
          <w:highlight w:val="none"/>
        </w:rPr>
        <w:t>”、“</w:t>
      </w:r>
      <w:r>
        <w:rPr>
          <w:rFonts w:ascii="宋体" w:hAnsi="宋体"/>
          <w:color w:val="auto"/>
          <w:kern w:val="0"/>
          <w:szCs w:val="21"/>
          <w:highlight w:val="none"/>
        </w:rPr>
        <w:t>管项目必须管安全</w:t>
      </w:r>
      <w:r>
        <w:rPr>
          <w:rFonts w:hint="eastAsia" w:ascii="宋体" w:hAnsi="宋体"/>
          <w:color w:val="auto"/>
          <w:kern w:val="0"/>
          <w:szCs w:val="21"/>
          <w:highlight w:val="none"/>
        </w:rPr>
        <w:t>”</w:t>
      </w:r>
      <w:r>
        <w:rPr>
          <w:rFonts w:ascii="宋体" w:hAnsi="宋体"/>
          <w:color w:val="auto"/>
          <w:kern w:val="0"/>
          <w:szCs w:val="21"/>
          <w:highlight w:val="none"/>
        </w:rPr>
        <w:t>的原则，实行公司统一领导，专门机构具体组织、监督的管理体制。</w:t>
      </w:r>
    </w:p>
    <w:p w14:paraId="1A1F1A23">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第三条  </w:t>
      </w:r>
      <w:r>
        <w:rPr>
          <w:rFonts w:ascii="宋体" w:hAnsi="宋体"/>
          <w:color w:val="auto"/>
          <w:kern w:val="0"/>
          <w:szCs w:val="21"/>
          <w:highlight w:val="none"/>
        </w:rPr>
        <w:t>安全管理以责任死亡事故为零</w:t>
      </w:r>
      <w:r>
        <w:rPr>
          <w:rFonts w:hint="eastAsia" w:ascii="宋体" w:hAnsi="宋体"/>
          <w:color w:val="auto"/>
          <w:kern w:val="0"/>
          <w:szCs w:val="21"/>
          <w:highlight w:val="none"/>
        </w:rPr>
        <w:t>，</w:t>
      </w:r>
      <w:r>
        <w:rPr>
          <w:rFonts w:ascii="宋体" w:hAnsi="宋体"/>
          <w:color w:val="auto"/>
          <w:kern w:val="0"/>
          <w:szCs w:val="21"/>
          <w:highlight w:val="none"/>
        </w:rPr>
        <w:t>人身重伤责任事故为零</w:t>
      </w:r>
      <w:r>
        <w:rPr>
          <w:rFonts w:hint="eastAsia" w:ascii="宋体" w:hAnsi="宋体"/>
          <w:color w:val="auto"/>
          <w:kern w:val="0"/>
          <w:szCs w:val="21"/>
          <w:highlight w:val="none"/>
        </w:rPr>
        <w:t>，</w:t>
      </w:r>
      <w:r>
        <w:rPr>
          <w:rFonts w:ascii="宋体" w:hAnsi="宋体"/>
          <w:color w:val="auto"/>
          <w:kern w:val="0"/>
          <w:szCs w:val="21"/>
          <w:highlight w:val="none"/>
        </w:rPr>
        <w:t>重大机械设备责任事故为零</w:t>
      </w:r>
      <w:r>
        <w:rPr>
          <w:rFonts w:hint="eastAsia" w:ascii="宋体" w:hAnsi="宋体"/>
          <w:color w:val="auto"/>
          <w:kern w:val="0"/>
          <w:szCs w:val="21"/>
          <w:highlight w:val="none"/>
        </w:rPr>
        <w:t>，</w:t>
      </w:r>
      <w:r>
        <w:rPr>
          <w:rFonts w:ascii="宋体" w:hAnsi="宋体"/>
          <w:color w:val="auto"/>
          <w:kern w:val="0"/>
          <w:szCs w:val="21"/>
          <w:highlight w:val="none"/>
        </w:rPr>
        <w:t>重大火灾责任事故为零</w:t>
      </w:r>
      <w:r>
        <w:rPr>
          <w:rFonts w:hint="eastAsia" w:ascii="宋体" w:hAnsi="宋体"/>
          <w:color w:val="auto"/>
          <w:kern w:val="0"/>
          <w:szCs w:val="21"/>
          <w:highlight w:val="none"/>
        </w:rPr>
        <w:t>，</w:t>
      </w:r>
      <w:r>
        <w:rPr>
          <w:rFonts w:ascii="宋体" w:hAnsi="宋体"/>
          <w:color w:val="auto"/>
          <w:kern w:val="0"/>
          <w:szCs w:val="21"/>
          <w:highlight w:val="none"/>
        </w:rPr>
        <w:t>重大坍塌责任事故为零</w:t>
      </w:r>
      <w:r>
        <w:rPr>
          <w:rFonts w:hint="eastAsia" w:ascii="宋体" w:hAnsi="宋体"/>
          <w:color w:val="auto"/>
          <w:kern w:val="0"/>
          <w:szCs w:val="21"/>
          <w:highlight w:val="none"/>
        </w:rPr>
        <w:t>，</w:t>
      </w:r>
      <w:r>
        <w:rPr>
          <w:rFonts w:ascii="宋体" w:hAnsi="宋体"/>
          <w:color w:val="auto"/>
          <w:kern w:val="0"/>
          <w:szCs w:val="21"/>
          <w:highlight w:val="none"/>
        </w:rPr>
        <w:t>重大职业卫生伤害责任事故为零</w:t>
      </w:r>
      <w:r>
        <w:rPr>
          <w:rFonts w:hint="eastAsia" w:ascii="宋体" w:hAnsi="宋体"/>
          <w:color w:val="auto"/>
          <w:kern w:val="0"/>
          <w:szCs w:val="21"/>
          <w:highlight w:val="none"/>
        </w:rPr>
        <w:t>，</w:t>
      </w:r>
      <w:r>
        <w:rPr>
          <w:rFonts w:ascii="宋体" w:hAnsi="宋体"/>
          <w:color w:val="auto"/>
          <w:kern w:val="0"/>
          <w:szCs w:val="21"/>
          <w:highlight w:val="none"/>
        </w:rPr>
        <w:t>重大环境污染责任事故为零为目标。</w:t>
      </w:r>
    </w:p>
    <w:p w14:paraId="05B77BA3">
      <w:pPr>
        <w:overflowPunct w:val="0"/>
        <w:autoSpaceDE w:val="0"/>
        <w:autoSpaceDN w:val="0"/>
        <w:adjustRightInd w:val="0"/>
        <w:snapToGrid w:val="0"/>
        <w:spacing w:line="420" w:lineRule="exact"/>
        <w:ind w:firstLine="422" w:firstLineChars="200"/>
        <w:jc w:val="center"/>
        <w:rPr>
          <w:rFonts w:ascii="宋体" w:hAnsi="宋体"/>
          <w:b/>
          <w:bCs/>
          <w:color w:val="auto"/>
          <w:szCs w:val="21"/>
          <w:highlight w:val="none"/>
        </w:rPr>
      </w:pPr>
      <w:r>
        <w:rPr>
          <w:rFonts w:ascii="宋体" w:hAnsi="宋体"/>
          <w:b/>
          <w:bCs/>
          <w:color w:val="auto"/>
          <w:szCs w:val="21"/>
          <w:highlight w:val="none"/>
        </w:rPr>
        <w:t>第二章</w:t>
      </w:r>
      <w:r>
        <w:rPr>
          <w:rFonts w:hint="eastAsia" w:ascii="宋体" w:hAnsi="宋体"/>
          <w:b/>
          <w:bCs/>
          <w:color w:val="auto"/>
          <w:szCs w:val="21"/>
          <w:highlight w:val="none"/>
        </w:rPr>
        <w:t xml:space="preserve">  </w:t>
      </w:r>
      <w:r>
        <w:rPr>
          <w:rFonts w:ascii="宋体" w:hAnsi="宋体"/>
          <w:b/>
          <w:bCs/>
          <w:color w:val="auto"/>
          <w:szCs w:val="21"/>
          <w:highlight w:val="none"/>
        </w:rPr>
        <w:t>机构与人员配备</w:t>
      </w:r>
    </w:p>
    <w:p w14:paraId="7D6C462A">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第四条  </w:t>
      </w:r>
      <w:r>
        <w:rPr>
          <w:rFonts w:ascii="宋体" w:hAnsi="宋体"/>
          <w:color w:val="auto"/>
          <w:kern w:val="0"/>
          <w:szCs w:val="21"/>
          <w:highlight w:val="none"/>
        </w:rPr>
        <w:t>公司成立以总经理为组长、分管安全副总经理为常务副组长、其他领导班子成员为副组长，各内设机构负责人为成员的安全生产领导小组（以下简称</w:t>
      </w:r>
      <w:r>
        <w:rPr>
          <w:rFonts w:hint="eastAsia" w:ascii="宋体" w:hAnsi="宋体"/>
          <w:color w:val="auto"/>
          <w:kern w:val="0"/>
          <w:szCs w:val="21"/>
          <w:highlight w:val="none"/>
        </w:rPr>
        <w:t>“</w:t>
      </w:r>
      <w:r>
        <w:rPr>
          <w:rFonts w:ascii="宋体" w:hAnsi="宋体"/>
          <w:color w:val="auto"/>
          <w:kern w:val="0"/>
          <w:szCs w:val="21"/>
          <w:highlight w:val="none"/>
        </w:rPr>
        <w:t>安全领导小组</w:t>
      </w:r>
      <w:r>
        <w:rPr>
          <w:rFonts w:hint="eastAsia" w:ascii="宋体" w:hAnsi="宋体"/>
          <w:color w:val="auto"/>
          <w:kern w:val="0"/>
          <w:szCs w:val="21"/>
          <w:highlight w:val="none"/>
        </w:rPr>
        <w:t>”</w:t>
      </w:r>
      <w:r>
        <w:rPr>
          <w:rFonts w:ascii="宋体" w:hAnsi="宋体"/>
          <w:color w:val="auto"/>
          <w:kern w:val="0"/>
          <w:szCs w:val="21"/>
          <w:highlight w:val="none"/>
        </w:rPr>
        <w:t>），在公司负责安全的部门设立安全办，安全办在安全领导小组领导下，对施工生产安全进行综合管理。安全办配备专职安全员，专职安全员须经</w:t>
      </w:r>
      <w:r>
        <w:rPr>
          <w:rFonts w:hint="eastAsia" w:ascii="宋体" w:hAnsi="宋体"/>
          <w:color w:val="auto"/>
          <w:kern w:val="0"/>
          <w:szCs w:val="21"/>
          <w:highlight w:val="none"/>
        </w:rPr>
        <w:t>应急管理</w:t>
      </w:r>
      <w:r>
        <w:rPr>
          <w:rFonts w:ascii="宋体" w:hAnsi="宋体"/>
          <w:color w:val="auto"/>
          <w:kern w:val="0"/>
          <w:szCs w:val="21"/>
          <w:highlight w:val="none"/>
        </w:rPr>
        <w:t>部门培训合格后方可上岗。</w:t>
      </w:r>
    </w:p>
    <w:p w14:paraId="3D2D3855">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第五条  </w:t>
      </w:r>
      <w:r>
        <w:rPr>
          <w:rFonts w:ascii="宋体" w:hAnsi="宋体"/>
          <w:color w:val="auto"/>
          <w:kern w:val="0"/>
          <w:szCs w:val="21"/>
          <w:highlight w:val="none"/>
        </w:rPr>
        <w:t>公司负责安全工作的部门是安全生产监督机构。</w:t>
      </w:r>
    </w:p>
    <w:p w14:paraId="4F5264E2">
      <w:pPr>
        <w:overflowPunct w:val="0"/>
        <w:autoSpaceDE w:val="0"/>
        <w:autoSpaceDN w:val="0"/>
        <w:adjustRightInd w:val="0"/>
        <w:snapToGrid w:val="0"/>
        <w:spacing w:line="420" w:lineRule="exact"/>
        <w:ind w:firstLine="420" w:firstLineChars="200"/>
        <w:rPr>
          <w:rFonts w:ascii="宋体" w:hAnsi="宋体"/>
          <w:b/>
          <w:color w:val="auto"/>
          <w:szCs w:val="21"/>
          <w:highlight w:val="none"/>
        </w:rPr>
      </w:pPr>
      <w:r>
        <w:rPr>
          <w:rFonts w:hint="eastAsia" w:ascii="宋体" w:hAnsi="宋体"/>
          <w:color w:val="auto"/>
          <w:kern w:val="0"/>
          <w:szCs w:val="21"/>
          <w:highlight w:val="none"/>
        </w:rPr>
        <w:t xml:space="preserve">第六条  </w:t>
      </w:r>
      <w:r>
        <w:rPr>
          <w:rFonts w:ascii="宋体" w:hAnsi="宋体"/>
          <w:color w:val="auto"/>
          <w:kern w:val="0"/>
          <w:szCs w:val="21"/>
          <w:highlight w:val="none"/>
        </w:rPr>
        <w:t>安全领导小组应当督促公司各建设项目的相关作业单位成立安全生产领导机构，按规定设置安全生产管理部门，配备相对稳定的专职安全管理人员，并负责检查、督促各项施工安全措施的落实。</w:t>
      </w:r>
    </w:p>
    <w:p w14:paraId="54EB5559">
      <w:pPr>
        <w:overflowPunct w:val="0"/>
        <w:autoSpaceDE w:val="0"/>
        <w:autoSpaceDN w:val="0"/>
        <w:adjustRightInd w:val="0"/>
        <w:snapToGrid w:val="0"/>
        <w:spacing w:line="420" w:lineRule="exact"/>
        <w:ind w:firstLine="422" w:firstLineChars="200"/>
        <w:jc w:val="center"/>
        <w:rPr>
          <w:rFonts w:ascii="宋体" w:hAnsi="宋体"/>
          <w:b/>
          <w:bCs/>
          <w:color w:val="auto"/>
          <w:szCs w:val="21"/>
          <w:highlight w:val="none"/>
        </w:rPr>
      </w:pPr>
      <w:r>
        <w:rPr>
          <w:rFonts w:ascii="宋体" w:hAnsi="宋体"/>
          <w:b/>
          <w:bCs/>
          <w:color w:val="auto"/>
          <w:szCs w:val="21"/>
          <w:highlight w:val="none"/>
        </w:rPr>
        <w:t>第三章</w:t>
      </w:r>
      <w:r>
        <w:rPr>
          <w:rFonts w:hint="eastAsia" w:ascii="宋体" w:hAnsi="宋体"/>
          <w:b/>
          <w:bCs/>
          <w:color w:val="auto"/>
          <w:szCs w:val="21"/>
          <w:highlight w:val="none"/>
        </w:rPr>
        <w:t xml:space="preserve">  </w:t>
      </w:r>
      <w:r>
        <w:rPr>
          <w:rFonts w:ascii="宋体" w:hAnsi="宋体"/>
          <w:b/>
          <w:bCs/>
          <w:color w:val="auto"/>
          <w:szCs w:val="21"/>
          <w:highlight w:val="none"/>
        </w:rPr>
        <w:t>安全生产管理职责</w:t>
      </w:r>
    </w:p>
    <w:p w14:paraId="28F093A7">
      <w:pPr>
        <w:tabs>
          <w:tab w:val="left" w:pos="662"/>
        </w:tabs>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第七条  </w:t>
      </w:r>
      <w:r>
        <w:rPr>
          <w:rFonts w:ascii="宋体" w:hAnsi="宋体"/>
          <w:color w:val="auto"/>
          <w:kern w:val="0"/>
          <w:szCs w:val="21"/>
          <w:highlight w:val="none"/>
        </w:rPr>
        <w:t>安全领导小组的职责</w:t>
      </w:r>
      <w:r>
        <w:rPr>
          <w:rFonts w:hint="eastAsia" w:ascii="宋体" w:hAnsi="宋体"/>
          <w:color w:val="auto"/>
          <w:kern w:val="0"/>
          <w:szCs w:val="21"/>
          <w:highlight w:val="none"/>
        </w:rPr>
        <w:t>：</w:t>
      </w:r>
    </w:p>
    <w:p w14:paraId="16A28B30">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（一）负责公司安全生产工作的组织协调和管理</w:t>
      </w:r>
      <w:r>
        <w:rPr>
          <w:rFonts w:hint="eastAsia" w:ascii="宋体" w:hAnsi="宋体"/>
          <w:color w:val="auto"/>
          <w:kern w:val="0"/>
          <w:szCs w:val="21"/>
          <w:highlight w:val="none"/>
        </w:rPr>
        <w:t>，</w:t>
      </w:r>
      <w:r>
        <w:rPr>
          <w:rFonts w:ascii="宋体" w:hAnsi="宋体"/>
          <w:color w:val="auto"/>
          <w:kern w:val="0"/>
          <w:szCs w:val="21"/>
          <w:highlight w:val="none"/>
        </w:rPr>
        <w:t>负责监督安全生产相关法律法规的执行</w:t>
      </w:r>
      <w:r>
        <w:rPr>
          <w:rFonts w:hint="eastAsia" w:ascii="宋体" w:hAnsi="宋体"/>
          <w:color w:val="auto"/>
          <w:kern w:val="0"/>
          <w:szCs w:val="21"/>
          <w:highlight w:val="none"/>
        </w:rPr>
        <w:t>，</w:t>
      </w:r>
      <w:r>
        <w:rPr>
          <w:rFonts w:ascii="宋体" w:hAnsi="宋体"/>
          <w:color w:val="auto"/>
          <w:kern w:val="0"/>
          <w:szCs w:val="21"/>
          <w:highlight w:val="none"/>
        </w:rPr>
        <w:t>负责贯彻落实安全生产工作的相关政策和行业主管部门</w:t>
      </w:r>
      <w:r>
        <w:rPr>
          <w:rFonts w:hint="eastAsia" w:ascii="宋体" w:hAnsi="宋体"/>
          <w:color w:val="auto"/>
          <w:kern w:val="0"/>
          <w:szCs w:val="21"/>
          <w:highlight w:val="none"/>
        </w:rPr>
        <w:t>以及</w:t>
      </w:r>
      <w:r>
        <w:rPr>
          <w:rFonts w:ascii="宋体" w:hAnsi="宋体"/>
          <w:color w:val="auto"/>
          <w:kern w:val="0"/>
          <w:szCs w:val="21"/>
          <w:highlight w:val="none"/>
        </w:rPr>
        <w:t>公司领导的工作部署</w:t>
      </w:r>
      <w:r>
        <w:rPr>
          <w:rFonts w:hint="eastAsia" w:ascii="宋体" w:hAnsi="宋体"/>
          <w:color w:val="auto"/>
          <w:kern w:val="0"/>
          <w:szCs w:val="21"/>
          <w:highlight w:val="none"/>
        </w:rPr>
        <w:t>；</w:t>
      </w:r>
    </w:p>
    <w:p w14:paraId="1360C296">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（二）加强对安全生产工作的领导，将安全生产工作纳入公司发展规划，及时协调解决安全生产工作中的重大问题</w:t>
      </w:r>
      <w:r>
        <w:rPr>
          <w:rFonts w:hint="eastAsia" w:ascii="宋体" w:hAnsi="宋体"/>
          <w:color w:val="auto"/>
          <w:kern w:val="0"/>
          <w:szCs w:val="21"/>
          <w:highlight w:val="none"/>
        </w:rPr>
        <w:t>；</w:t>
      </w:r>
    </w:p>
    <w:p w14:paraId="4BECF0C5">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三</w:t>
      </w:r>
      <w:r>
        <w:rPr>
          <w:rFonts w:ascii="宋体" w:hAnsi="宋体"/>
          <w:color w:val="auto"/>
          <w:kern w:val="0"/>
          <w:szCs w:val="21"/>
          <w:highlight w:val="none"/>
        </w:rPr>
        <w:t>）配备与安全生产工作相适应的人员，并保障必要的办公设施和工作经费</w:t>
      </w:r>
      <w:r>
        <w:rPr>
          <w:rFonts w:hint="eastAsia" w:ascii="宋体" w:hAnsi="宋体"/>
          <w:color w:val="auto"/>
          <w:kern w:val="0"/>
          <w:szCs w:val="21"/>
          <w:highlight w:val="none"/>
        </w:rPr>
        <w:t>；</w:t>
      </w:r>
    </w:p>
    <w:p w14:paraId="75E7A856">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四</w:t>
      </w:r>
      <w:r>
        <w:rPr>
          <w:rFonts w:ascii="宋体" w:hAnsi="宋体"/>
          <w:color w:val="auto"/>
          <w:kern w:val="0"/>
          <w:szCs w:val="21"/>
          <w:highlight w:val="none"/>
        </w:rPr>
        <w:t>）负责发布公司的安全生产信息</w:t>
      </w:r>
      <w:r>
        <w:rPr>
          <w:rFonts w:hint="eastAsia" w:ascii="宋体" w:hAnsi="宋体"/>
          <w:color w:val="auto"/>
          <w:kern w:val="0"/>
          <w:szCs w:val="21"/>
          <w:highlight w:val="none"/>
        </w:rPr>
        <w:t>；</w:t>
      </w:r>
    </w:p>
    <w:p w14:paraId="6EF93CA8">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五</w:t>
      </w:r>
      <w:r>
        <w:rPr>
          <w:rFonts w:ascii="宋体" w:hAnsi="宋体"/>
          <w:color w:val="auto"/>
          <w:kern w:val="0"/>
          <w:szCs w:val="21"/>
          <w:highlight w:val="none"/>
        </w:rPr>
        <w:t>）制定或者审批公司各项安全生产管理制度、安全生产的考核目标和责任追究制度。</w:t>
      </w:r>
    </w:p>
    <w:p w14:paraId="2BE7912C">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第八条  </w:t>
      </w:r>
      <w:r>
        <w:rPr>
          <w:rFonts w:ascii="宋体" w:hAnsi="宋体"/>
          <w:color w:val="auto"/>
          <w:kern w:val="0"/>
          <w:szCs w:val="21"/>
          <w:highlight w:val="none"/>
        </w:rPr>
        <w:t>安全办职责</w:t>
      </w:r>
      <w:r>
        <w:rPr>
          <w:rFonts w:hint="eastAsia" w:ascii="宋体" w:hAnsi="宋体"/>
          <w:color w:val="auto"/>
          <w:kern w:val="0"/>
          <w:szCs w:val="21"/>
          <w:highlight w:val="none"/>
        </w:rPr>
        <w:t>：</w:t>
      </w:r>
    </w:p>
    <w:p w14:paraId="589301E2">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（一）拟订和实施公司各项安全生产管理制度，建立公司安全生产台账</w:t>
      </w:r>
      <w:r>
        <w:rPr>
          <w:rFonts w:hint="eastAsia" w:ascii="宋体" w:hAnsi="宋体"/>
          <w:color w:val="auto"/>
          <w:kern w:val="0"/>
          <w:szCs w:val="21"/>
          <w:highlight w:val="none"/>
        </w:rPr>
        <w:t>；</w:t>
      </w:r>
    </w:p>
    <w:p w14:paraId="3D1D83FB">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（二）对公司各建设项目进行安全生产巡查，督促监理、施工单位对安全隐患事项及时进行整改</w:t>
      </w:r>
      <w:r>
        <w:rPr>
          <w:rFonts w:hint="eastAsia" w:ascii="宋体" w:hAnsi="宋体"/>
          <w:color w:val="auto"/>
          <w:kern w:val="0"/>
          <w:szCs w:val="21"/>
          <w:highlight w:val="none"/>
        </w:rPr>
        <w:t>；</w:t>
      </w:r>
    </w:p>
    <w:p w14:paraId="104F91A8">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（三）对公司区域内的重大危险源登记建档，制定监控、消除危险源的方案并负责监督实施</w:t>
      </w:r>
      <w:r>
        <w:rPr>
          <w:rFonts w:hint="eastAsia" w:ascii="宋体" w:hAnsi="宋体"/>
          <w:color w:val="auto"/>
          <w:kern w:val="0"/>
          <w:szCs w:val="21"/>
          <w:highlight w:val="none"/>
        </w:rPr>
        <w:t>；</w:t>
      </w:r>
    </w:p>
    <w:p w14:paraId="377B4308">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（四）编制安全生产应急救援综合预案，定期组织演练</w:t>
      </w:r>
      <w:r>
        <w:rPr>
          <w:rFonts w:hint="eastAsia" w:ascii="宋体" w:hAnsi="宋体"/>
          <w:color w:val="auto"/>
          <w:kern w:val="0"/>
          <w:szCs w:val="21"/>
          <w:highlight w:val="none"/>
        </w:rPr>
        <w:t>；</w:t>
      </w:r>
    </w:p>
    <w:p w14:paraId="06965BAC">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（五）加强安全生产宣传教育，提高员工和参建单位的安全意识，营造良好的安全生产氛围</w:t>
      </w:r>
      <w:r>
        <w:rPr>
          <w:rFonts w:hint="eastAsia" w:ascii="宋体" w:hAnsi="宋体"/>
          <w:color w:val="auto"/>
          <w:kern w:val="0"/>
          <w:szCs w:val="21"/>
          <w:highlight w:val="none"/>
        </w:rPr>
        <w:t>；</w:t>
      </w:r>
    </w:p>
    <w:p w14:paraId="375755E8">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ascii="宋体" w:hAnsi="宋体"/>
          <w:color w:val="auto"/>
          <w:kern w:val="0"/>
          <w:szCs w:val="21"/>
          <w:highlight w:val="none"/>
        </w:rPr>
        <w:t>（六）按规定上报安全事故，有效开展救援，督促事故责任单位做好善后工作。积极配合上级部门开展事故调查，并协助将事故责任追究落实到位</w:t>
      </w:r>
      <w:r>
        <w:rPr>
          <w:rFonts w:hint="eastAsia" w:ascii="宋体" w:hAnsi="宋体"/>
          <w:color w:val="auto"/>
          <w:kern w:val="0"/>
          <w:szCs w:val="21"/>
          <w:highlight w:val="none"/>
        </w:rPr>
        <w:t>；</w:t>
      </w:r>
    </w:p>
    <w:p w14:paraId="419C943F">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七</w:t>
      </w:r>
      <w:r>
        <w:rPr>
          <w:rFonts w:ascii="宋体" w:hAnsi="宋体"/>
          <w:color w:val="auto"/>
          <w:kern w:val="0"/>
          <w:szCs w:val="21"/>
          <w:highlight w:val="none"/>
        </w:rPr>
        <w:t>）承办公司召开的安全生产工作会议及各类安全生产活动，并对主管部门作出的安全生产决定、事项进行贯彻落实</w:t>
      </w:r>
      <w:r>
        <w:rPr>
          <w:rFonts w:hint="eastAsia" w:ascii="宋体" w:hAnsi="宋体"/>
          <w:color w:val="auto"/>
          <w:kern w:val="0"/>
          <w:szCs w:val="21"/>
          <w:highlight w:val="none"/>
        </w:rPr>
        <w:t>；</w:t>
      </w:r>
    </w:p>
    <w:p w14:paraId="07D2F895">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八</w:t>
      </w:r>
      <w:r>
        <w:rPr>
          <w:rFonts w:ascii="宋体" w:hAnsi="宋体"/>
          <w:color w:val="auto"/>
          <w:kern w:val="0"/>
          <w:szCs w:val="21"/>
          <w:highlight w:val="none"/>
        </w:rPr>
        <w:t>）其它安全生产工作。</w:t>
      </w:r>
    </w:p>
    <w:p w14:paraId="0B0AD609">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第九条  </w:t>
      </w:r>
      <w:r>
        <w:rPr>
          <w:rFonts w:ascii="宋体" w:hAnsi="宋体"/>
          <w:color w:val="auto"/>
          <w:kern w:val="0"/>
          <w:szCs w:val="21"/>
          <w:highlight w:val="none"/>
        </w:rPr>
        <w:t>公司负责安全部门</w:t>
      </w:r>
      <w:r>
        <w:rPr>
          <w:rFonts w:hint="eastAsia" w:ascii="宋体" w:hAnsi="宋体"/>
          <w:color w:val="auto"/>
          <w:kern w:val="0"/>
          <w:szCs w:val="21"/>
          <w:highlight w:val="none"/>
        </w:rPr>
        <w:t>的</w:t>
      </w:r>
      <w:r>
        <w:rPr>
          <w:rFonts w:ascii="宋体" w:hAnsi="宋体"/>
          <w:color w:val="auto"/>
          <w:kern w:val="0"/>
          <w:szCs w:val="21"/>
          <w:highlight w:val="none"/>
        </w:rPr>
        <w:t>职责</w:t>
      </w:r>
      <w:r>
        <w:rPr>
          <w:rFonts w:hint="eastAsia" w:ascii="宋体" w:hAnsi="宋体"/>
          <w:color w:val="auto"/>
          <w:kern w:val="0"/>
          <w:szCs w:val="21"/>
          <w:highlight w:val="none"/>
        </w:rPr>
        <w:t>：</w:t>
      </w:r>
    </w:p>
    <w:p w14:paraId="5EFBCBC2">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ascii="宋体" w:hAnsi="宋体"/>
          <w:color w:val="auto"/>
          <w:kern w:val="0"/>
          <w:szCs w:val="21"/>
          <w:highlight w:val="none"/>
        </w:rPr>
        <w:t>（一）负责定期或不定期对各建设项目的安全生产工作进行督查，督促相关部门和人员依法履行安全生产和监督管理职责</w:t>
      </w:r>
      <w:r>
        <w:rPr>
          <w:rFonts w:hint="eastAsia" w:ascii="宋体" w:hAnsi="宋体"/>
          <w:color w:val="auto"/>
          <w:kern w:val="0"/>
          <w:szCs w:val="21"/>
          <w:highlight w:val="none"/>
        </w:rPr>
        <w:t>；</w:t>
      </w:r>
    </w:p>
    <w:p w14:paraId="3CE87BD4">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ascii="宋体" w:hAnsi="宋体"/>
          <w:color w:val="auto"/>
          <w:kern w:val="0"/>
          <w:szCs w:val="21"/>
          <w:highlight w:val="none"/>
        </w:rPr>
        <w:t>（二）对各个工程项目的整改落实情况进行监督和复查，对整改不到位或未及时整改的项目，督促公司规划建设部门对监理、施工等相关责任单位和责任人进行责任追究</w:t>
      </w:r>
      <w:r>
        <w:rPr>
          <w:rFonts w:hint="eastAsia" w:ascii="宋体" w:hAnsi="宋体"/>
          <w:color w:val="auto"/>
          <w:kern w:val="0"/>
          <w:szCs w:val="21"/>
          <w:highlight w:val="none"/>
        </w:rPr>
        <w:t>；</w:t>
      </w:r>
    </w:p>
    <w:p w14:paraId="69A31ECE">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ascii="宋体" w:hAnsi="宋体"/>
          <w:color w:val="auto"/>
          <w:kern w:val="0"/>
          <w:szCs w:val="21"/>
          <w:highlight w:val="none"/>
        </w:rPr>
        <w:t>（三）参与调查公司区域内发生的生产安全事故，查处事故涉及的以权谋私、权钱交易等违法违纪行为，构成犯罪的，依法移送司法机关处理</w:t>
      </w:r>
      <w:r>
        <w:rPr>
          <w:rFonts w:hint="eastAsia" w:ascii="宋体" w:hAnsi="宋体"/>
          <w:color w:val="auto"/>
          <w:kern w:val="0"/>
          <w:szCs w:val="21"/>
          <w:highlight w:val="none"/>
        </w:rPr>
        <w:t>；</w:t>
      </w:r>
    </w:p>
    <w:p w14:paraId="3CBB9BA3">
      <w:pPr>
        <w:overflowPunct w:val="0"/>
        <w:autoSpaceDE w:val="0"/>
        <w:autoSpaceDN w:val="0"/>
        <w:adjustRightInd w:val="0"/>
        <w:snapToGrid w:val="0"/>
        <w:spacing w:line="420" w:lineRule="exact"/>
        <w:ind w:firstLine="420" w:firstLineChars="200"/>
        <w:rPr>
          <w:rFonts w:ascii="宋体" w:hAnsi="宋体"/>
          <w:color w:val="auto"/>
          <w:kern w:val="0"/>
          <w:szCs w:val="21"/>
          <w:highlight w:val="none"/>
        </w:rPr>
      </w:pPr>
      <w:r>
        <w:rPr>
          <w:rFonts w:ascii="宋体" w:hAnsi="宋体"/>
          <w:color w:val="auto"/>
          <w:kern w:val="0"/>
          <w:szCs w:val="21"/>
          <w:highlight w:val="none"/>
        </w:rPr>
        <w:t>（四）督促落实对生产安全事故责任人员的责任追究</w:t>
      </w:r>
      <w:r>
        <w:rPr>
          <w:rFonts w:hint="eastAsia" w:ascii="宋体" w:hAnsi="宋体"/>
          <w:color w:val="auto"/>
          <w:kern w:val="0"/>
          <w:szCs w:val="21"/>
          <w:highlight w:val="none"/>
        </w:rPr>
        <w:t>；</w:t>
      </w:r>
    </w:p>
    <w:p w14:paraId="636EA208">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（五）其它安全生产职责。</w:t>
      </w:r>
    </w:p>
    <w:p w14:paraId="7EE1206F">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第十条  </w:t>
      </w:r>
      <w:r>
        <w:rPr>
          <w:rFonts w:ascii="宋体" w:hAnsi="宋体"/>
          <w:color w:val="auto"/>
          <w:kern w:val="0"/>
          <w:szCs w:val="21"/>
          <w:highlight w:val="none"/>
        </w:rPr>
        <w:t>公司现场代表职责</w:t>
      </w:r>
      <w:r>
        <w:rPr>
          <w:rFonts w:hint="eastAsia" w:ascii="宋体" w:hAnsi="宋体"/>
          <w:color w:val="auto"/>
          <w:kern w:val="0"/>
          <w:szCs w:val="21"/>
          <w:highlight w:val="none"/>
        </w:rPr>
        <w:t>：</w:t>
      </w:r>
    </w:p>
    <w:p w14:paraId="474030DB">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（一）严格履行</w:t>
      </w:r>
      <w:r>
        <w:rPr>
          <w:rFonts w:hint="eastAsia" w:ascii="宋体" w:hAnsi="宋体"/>
          <w:color w:val="auto"/>
          <w:kern w:val="0"/>
          <w:szCs w:val="21"/>
          <w:highlight w:val="none"/>
        </w:rPr>
        <w:t>“</w:t>
      </w:r>
      <w:r>
        <w:rPr>
          <w:rFonts w:ascii="宋体" w:hAnsi="宋体"/>
          <w:color w:val="auto"/>
          <w:kern w:val="0"/>
          <w:szCs w:val="21"/>
          <w:highlight w:val="none"/>
        </w:rPr>
        <w:t>管项目必须管安全</w:t>
      </w:r>
      <w:r>
        <w:rPr>
          <w:rFonts w:hint="eastAsia" w:ascii="宋体" w:hAnsi="宋体"/>
          <w:color w:val="auto"/>
          <w:kern w:val="0"/>
          <w:szCs w:val="21"/>
          <w:highlight w:val="none"/>
        </w:rPr>
        <w:t>”</w:t>
      </w:r>
      <w:r>
        <w:rPr>
          <w:rFonts w:ascii="宋体" w:hAnsi="宋体"/>
          <w:color w:val="auto"/>
          <w:kern w:val="0"/>
          <w:szCs w:val="21"/>
          <w:highlight w:val="none"/>
        </w:rPr>
        <w:t>的职责，坚持每天巡查，做好检查记录，督促监理、施工等工程建设单位对存在的安全隐患及时进行整改，确保隐患彻底整改</w:t>
      </w:r>
      <w:r>
        <w:rPr>
          <w:rFonts w:hint="eastAsia" w:ascii="宋体" w:hAnsi="宋体"/>
          <w:color w:val="auto"/>
          <w:kern w:val="0"/>
          <w:szCs w:val="21"/>
          <w:highlight w:val="none"/>
        </w:rPr>
        <w:t>；</w:t>
      </w:r>
    </w:p>
    <w:p w14:paraId="6F9A778C">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（二）其它安全生产职责。</w:t>
      </w:r>
    </w:p>
    <w:p w14:paraId="123142C1">
      <w:pPr>
        <w:tabs>
          <w:tab w:val="left" w:pos="7560"/>
        </w:tabs>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第十一条  </w:t>
      </w:r>
      <w:r>
        <w:rPr>
          <w:rFonts w:ascii="宋体" w:hAnsi="宋体"/>
          <w:color w:val="auto"/>
          <w:kern w:val="0"/>
          <w:szCs w:val="21"/>
          <w:highlight w:val="none"/>
        </w:rPr>
        <w:t>公司安全办安全员的职责</w:t>
      </w:r>
      <w:r>
        <w:rPr>
          <w:rFonts w:hint="eastAsia" w:ascii="宋体" w:hAnsi="宋体"/>
          <w:color w:val="auto"/>
          <w:kern w:val="0"/>
          <w:szCs w:val="21"/>
          <w:highlight w:val="none"/>
        </w:rPr>
        <w:t>：</w:t>
      </w:r>
    </w:p>
    <w:p w14:paraId="52A3C616">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（一）负责综合管理，监督、指导和协调各工程建设单位的安全生产工作</w:t>
      </w:r>
      <w:r>
        <w:rPr>
          <w:rFonts w:hint="eastAsia" w:ascii="宋体" w:hAnsi="宋体"/>
          <w:color w:val="auto"/>
          <w:kern w:val="0"/>
          <w:szCs w:val="21"/>
          <w:highlight w:val="none"/>
        </w:rPr>
        <w:t>；</w:t>
      </w:r>
    </w:p>
    <w:p w14:paraId="5FD3C208">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（二）拟订安全生产工作规划和计划，调查研究并提出安全生产的措施和建议</w:t>
      </w:r>
      <w:r>
        <w:rPr>
          <w:rFonts w:hint="eastAsia" w:ascii="宋体" w:hAnsi="宋体"/>
          <w:color w:val="auto"/>
          <w:kern w:val="0"/>
          <w:szCs w:val="21"/>
          <w:highlight w:val="none"/>
        </w:rPr>
        <w:t>；</w:t>
      </w:r>
    </w:p>
    <w:p w14:paraId="157D1AF6">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（三）编制安全生产应急救援综合预案</w:t>
      </w:r>
      <w:r>
        <w:rPr>
          <w:rFonts w:hint="eastAsia" w:ascii="宋体" w:hAnsi="宋体"/>
          <w:color w:val="auto"/>
          <w:kern w:val="0"/>
          <w:szCs w:val="21"/>
          <w:highlight w:val="none"/>
        </w:rPr>
        <w:t>；</w:t>
      </w:r>
    </w:p>
    <w:p w14:paraId="562E7932">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（四）对公司各建设项目进行安全生产巡查，做好检查记录，督促监理、施工等工程建设单位对存在的安全隐患及时进行整改，确保隐患彻底整改</w:t>
      </w:r>
      <w:r>
        <w:rPr>
          <w:rFonts w:hint="eastAsia" w:ascii="宋体" w:hAnsi="宋体"/>
          <w:color w:val="auto"/>
          <w:kern w:val="0"/>
          <w:szCs w:val="21"/>
          <w:highlight w:val="none"/>
        </w:rPr>
        <w:t>；</w:t>
      </w:r>
    </w:p>
    <w:p w14:paraId="517C88F1">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（五）督促工程参建单位落实专人，做好对重大危险源的监控管理工作</w:t>
      </w:r>
      <w:r>
        <w:rPr>
          <w:rFonts w:hint="eastAsia" w:ascii="宋体" w:hAnsi="宋体"/>
          <w:color w:val="auto"/>
          <w:kern w:val="0"/>
          <w:szCs w:val="21"/>
          <w:highlight w:val="none"/>
        </w:rPr>
        <w:t>；</w:t>
      </w:r>
    </w:p>
    <w:p w14:paraId="65924E3E">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（六）负责采写公司的安全生产信息</w:t>
      </w:r>
      <w:r>
        <w:rPr>
          <w:rFonts w:hint="eastAsia" w:ascii="宋体" w:hAnsi="宋体"/>
          <w:color w:val="auto"/>
          <w:kern w:val="0"/>
          <w:szCs w:val="21"/>
          <w:highlight w:val="none"/>
        </w:rPr>
        <w:t>；</w:t>
      </w:r>
    </w:p>
    <w:p w14:paraId="2512CE2D">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（七）协助领导开展安全事故应急救援和调查处理工作</w:t>
      </w:r>
      <w:r>
        <w:rPr>
          <w:rFonts w:hint="eastAsia" w:ascii="宋体" w:hAnsi="宋体"/>
          <w:color w:val="auto"/>
          <w:kern w:val="0"/>
          <w:szCs w:val="21"/>
          <w:highlight w:val="none"/>
        </w:rPr>
        <w:t>；</w:t>
      </w:r>
    </w:p>
    <w:p w14:paraId="74A59A8C">
      <w:pPr>
        <w:overflowPunct w:val="0"/>
        <w:autoSpaceDE w:val="0"/>
        <w:autoSpaceDN w:val="0"/>
        <w:adjustRightInd w:val="0"/>
        <w:snapToGrid w:val="0"/>
        <w:spacing w:line="42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（八）组织安全生产大检查和开展专项督查</w:t>
      </w:r>
      <w:r>
        <w:rPr>
          <w:rFonts w:hint="eastAsia" w:ascii="宋体" w:hAnsi="宋体"/>
          <w:color w:val="auto"/>
          <w:kern w:val="0"/>
          <w:szCs w:val="21"/>
          <w:highlight w:val="none"/>
        </w:rPr>
        <w:t>；</w:t>
      </w:r>
    </w:p>
    <w:p w14:paraId="12F83D6A">
      <w:pPr>
        <w:overflowPunct w:val="0"/>
        <w:autoSpaceDE w:val="0"/>
        <w:autoSpaceDN w:val="0"/>
        <w:adjustRightInd w:val="0"/>
        <w:snapToGrid w:val="0"/>
        <w:spacing w:line="420" w:lineRule="exact"/>
        <w:ind w:firstLine="420" w:firstLineChars="200"/>
        <w:jc w:val="left"/>
        <w:rPr>
          <w:rFonts w:ascii="宋体" w:hAnsi="宋体"/>
          <w:b/>
          <w:color w:val="auto"/>
          <w:szCs w:val="21"/>
          <w:highlight w:val="none"/>
        </w:rPr>
      </w:pPr>
      <w:r>
        <w:rPr>
          <w:rFonts w:ascii="宋体" w:hAnsi="宋体"/>
          <w:color w:val="auto"/>
          <w:kern w:val="0"/>
          <w:szCs w:val="21"/>
          <w:highlight w:val="none"/>
        </w:rPr>
        <w:t>（九）其它安全生产职责。</w:t>
      </w:r>
    </w:p>
    <w:p w14:paraId="1F0D7841">
      <w:pPr>
        <w:overflowPunct w:val="0"/>
        <w:autoSpaceDE w:val="0"/>
        <w:autoSpaceDN w:val="0"/>
        <w:adjustRightInd w:val="0"/>
        <w:snapToGrid w:val="0"/>
        <w:spacing w:line="420" w:lineRule="exact"/>
        <w:ind w:firstLine="422" w:firstLineChars="200"/>
        <w:jc w:val="center"/>
        <w:rPr>
          <w:rFonts w:ascii="宋体" w:hAnsi="宋体"/>
          <w:b/>
          <w:color w:val="auto"/>
          <w:szCs w:val="21"/>
          <w:highlight w:val="none"/>
        </w:rPr>
      </w:pPr>
      <w:r>
        <w:rPr>
          <w:rFonts w:ascii="宋体" w:hAnsi="宋体"/>
          <w:b/>
          <w:color w:val="auto"/>
          <w:szCs w:val="21"/>
          <w:highlight w:val="none"/>
        </w:rPr>
        <w:t>第四章</w:t>
      </w:r>
      <w:r>
        <w:rPr>
          <w:rFonts w:hint="eastAsia" w:ascii="宋体" w:hAnsi="宋体"/>
          <w:b/>
          <w:color w:val="auto"/>
          <w:szCs w:val="21"/>
          <w:highlight w:val="none"/>
        </w:rPr>
        <w:t xml:space="preserve">  </w:t>
      </w:r>
      <w:r>
        <w:rPr>
          <w:rFonts w:ascii="宋体" w:hAnsi="宋体"/>
          <w:b/>
          <w:color w:val="auto"/>
          <w:szCs w:val="21"/>
          <w:highlight w:val="none"/>
        </w:rPr>
        <w:t>安全生产检查监督机制</w:t>
      </w:r>
    </w:p>
    <w:p w14:paraId="7360E93D">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kern w:val="0"/>
          <w:szCs w:val="21"/>
          <w:highlight w:val="none"/>
        </w:rPr>
        <w:t>第十二条</w:t>
      </w:r>
      <w:r>
        <w:rPr>
          <w:rFonts w:hint="eastAsia" w:ascii="宋体" w:hAnsi="宋体"/>
          <w:color w:val="auto"/>
          <w:szCs w:val="21"/>
          <w:highlight w:val="none"/>
        </w:rPr>
        <w:t xml:space="preserve">  </w:t>
      </w:r>
      <w:r>
        <w:rPr>
          <w:rFonts w:ascii="宋体" w:hAnsi="宋体"/>
          <w:color w:val="auto"/>
          <w:szCs w:val="21"/>
          <w:highlight w:val="none"/>
        </w:rPr>
        <w:t>公司所有与建设项目有关的合同，如涉及安全生产责任的，应在合同中明确约定监理单位、施工单位按照本办法规定及本办法附件</w:t>
      </w:r>
      <w:r>
        <w:rPr>
          <w:rFonts w:hint="eastAsia" w:ascii="宋体" w:hAnsi="宋体"/>
          <w:color w:val="auto"/>
          <w:szCs w:val="21"/>
          <w:highlight w:val="none"/>
        </w:rPr>
        <w:t>7-1</w:t>
      </w:r>
      <w:r>
        <w:rPr>
          <w:rFonts w:ascii="宋体" w:hAnsi="宋体"/>
          <w:color w:val="auto"/>
          <w:szCs w:val="21"/>
          <w:highlight w:val="none"/>
        </w:rPr>
        <w:t>中的标准承担违约责任，并签署承诺书（附件</w:t>
      </w:r>
      <w:r>
        <w:rPr>
          <w:rFonts w:hint="eastAsia" w:ascii="宋体" w:hAnsi="宋体"/>
          <w:color w:val="auto"/>
          <w:szCs w:val="21"/>
          <w:highlight w:val="none"/>
        </w:rPr>
        <w:t>7-2</w:t>
      </w:r>
      <w:r>
        <w:rPr>
          <w:rFonts w:ascii="宋体" w:hAnsi="宋体"/>
          <w:color w:val="auto"/>
          <w:szCs w:val="21"/>
          <w:highlight w:val="none"/>
        </w:rPr>
        <w:t>）。</w:t>
      </w:r>
    </w:p>
    <w:p w14:paraId="5E40ECB5">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kern w:val="0"/>
          <w:szCs w:val="21"/>
          <w:highlight w:val="none"/>
        </w:rPr>
        <w:t xml:space="preserve">第十三条  </w:t>
      </w:r>
      <w:r>
        <w:rPr>
          <w:rFonts w:ascii="宋体" w:hAnsi="宋体"/>
          <w:color w:val="auto"/>
          <w:szCs w:val="21"/>
          <w:highlight w:val="none"/>
        </w:rPr>
        <w:t>安全生产管理必须横向到边、纵向到底，坚持时时、月月、年年管理。公司安全办和现场代表每天进行安全巡查；公司安全办每月组织一次拉网式检查；每季度由分管领导带队，进行一次安全大检查；</w:t>
      </w:r>
      <w:r>
        <w:rPr>
          <w:rFonts w:ascii="宋体" w:hAnsi="宋体"/>
          <w:color w:val="auto"/>
          <w:kern w:val="0"/>
          <w:szCs w:val="21"/>
          <w:highlight w:val="none"/>
        </w:rPr>
        <w:t>公司每季度召开一次安全生产工作会，年底召开安全生产工作总结大会。</w:t>
      </w:r>
    </w:p>
    <w:p w14:paraId="729FECDA">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kern w:val="0"/>
          <w:szCs w:val="21"/>
          <w:highlight w:val="none"/>
        </w:rPr>
        <w:t xml:space="preserve">第十四条  </w:t>
      </w:r>
      <w:r>
        <w:rPr>
          <w:rFonts w:ascii="宋体" w:hAnsi="宋体"/>
          <w:color w:val="auto"/>
          <w:kern w:val="0"/>
          <w:szCs w:val="21"/>
          <w:highlight w:val="none"/>
        </w:rPr>
        <w:t>公司安全办应加强与区安全生产、建设主管部门的沟通联系，不定期地开展安全联合大检查。</w:t>
      </w:r>
    </w:p>
    <w:p w14:paraId="7C4A861D">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kern w:val="0"/>
          <w:szCs w:val="21"/>
          <w:highlight w:val="none"/>
        </w:rPr>
        <w:t xml:space="preserve">第十五条  </w:t>
      </w:r>
      <w:r>
        <w:rPr>
          <w:rFonts w:ascii="宋体" w:hAnsi="宋体"/>
          <w:color w:val="auto"/>
          <w:kern w:val="0"/>
          <w:szCs w:val="21"/>
          <w:highlight w:val="none"/>
        </w:rPr>
        <w:t>公司负责安全</w:t>
      </w:r>
      <w:r>
        <w:rPr>
          <w:rFonts w:hint="eastAsia" w:ascii="宋体" w:hAnsi="宋体"/>
          <w:color w:val="auto"/>
          <w:kern w:val="0"/>
          <w:szCs w:val="21"/>
          <w:highlight w:val="none"/>
        </w:rPr>
        <w:t>工作的</w:t>
      </w:r>
      <w:r>
        <w:rPr>
          <w:rFonts w:ascii="宋体" w:hAnsi="宋体"/>
          <w:color w:val="auto"/>
          <w:kern w:val="0"/>
          <w:szCs w:val="21"/>
          <w:highlight w:val="none"/>
        </w:rPr>
        <w:t>部门</w:t>
      </w:r>
      <w:r>
        <w:rPr>
          <w:rFonts w:ascii="宋体" w:hAnsi="宋体"/>
          <w:color w:val="auto"/>
          <w:szCs w:val="21"/>
          <w:highlight w:val="none"/>
        </w:rPr>
        <w:t>应不定期地对各个工地进行明察暗访，及时了解各项目安全生产情况，并对存在的安全隐患和管理问题进行督促整改。</w:t>
      </w:r>
    </w:p>
    <w:p w14:paraId="63FDF1A5">
      <w:pPr>
        <w:overflowPunct w:val="0"/>
        <w:autoSpaceDE w:val="0"/>
        <w:autoSpaceDN w:val="0"/>
        <w:adjustRightInd w:val="0"/>
        <w:snapToGrid w:val="0"/>
        <w:spacing w:line="420" w:lineRule="exact"/>
        <w:ind w:firstLine="422" w:firstLineChars="200"/>
        <w:jc w:val="center"/>
        <w:rPr>
          <w:rFonts w:ascii="宋体" w:hAnsi="宋体"/>
          <w:b/>
          <w:color w:val="auto"/>
          <w:szCs w:val="21"/>
          <w:highlight w:val="none"/>
        </w:rPr>
      </w:pPr>
      <w:r>
        <w:rPr>
          <w:rFonts w:ascii="宋体" w:hAnsi="宋体"/>
          <w:b/>
          <w:color w:val="auto"/>
          <w:szCs w:val="21"/>
          <w:highlight w:val="none"/>
        </w:rPr>
        <w:t>第五章</w:t>
      </w:r>
      <w:r>
        <w:rPr>
          <w:rFonts w:hint="eastAsia" w:ascii="宋体" w:hAnsi="宋体"/>
          <w:b/>
          <w:color w:val="auto"/>
          <w:szCs w:val="21"/>
          <w:highlight w:val="none"/>
        </w:rPr>
        <w:t xml:space="preserve">  </w:t>
      </w:r>
      <w:r>
        <w:rPr>
          <w:rFonts w:ascii="宋体" w:hAnsi="宋体"/>
          <w:b/>
          <w:color w:val="auto"/>
          <w:szCs w:val="21"/>
          <w:highlight w:val="none"/>
        </w:rPr>
        <w:t>安全生产的责任追究</w:t>
      </w:r>
    </w:p>
    <w:p w14:paraId="7D464C8C">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kern w:val="0"/>
          <w:szCs w:val="21"/>
          <w:highlight w:val="none"/>
        </w:rPr>
        <w:t>第十六条</w:t>
      </w:r>
      <w:r>
        <w:rPr>
          <w:rFonts w:hint="eastAsia" w:ascii="宋体" w:hAnsi="宋体"/>
          <w:color w:val="auto"/>
          <w:szCs w:val="21"/>
          <w:highlight w:val="none"/>
        </w:rPr>
        <w:t xml:space="preserve">  </w:t>
      </w:r>
      <w:r>
        <w:rPr>
          <w:rFonts w:ascii="宋体" w:hAnsi="宋体"/>
          <w:color w:val="auto"/>
          <w:szCs w:val="21"/>
          <w:highlight w:val="none"/>
        </w:rPr>
        <w:t>若承包单位和监理单位未按照合同履行好安全生产职责，公司应按照本办法附件</w:t>
      </w:r>
      <w:r>
        <w:rPr>
          <w:rFonts w:hint="eastAsia" w:ascii="宋体" w:hAnsi="宋体"/>
          <w:color w:val="auto"/>
          <w:szCs w:val="21"/>
          <w:highlight w:val="none"/>
        </w:rPr>
        <w:t>7-1</w:t>
      </w:r>
      <w:r>
        <w:rPr>
          <w:rFonts w:ascii="宋体" w:hAnsi="宋体"/>
          <w:color w:val="auto"/>
          <w:szCs w:val="21"/>
          <w:highlight w:val="none"/>
        </w:rPr>
        <w:t>的规定和合同约定追究违约责任。其中，在主管部门或区级其他相关部门组织的大检查中被通报批评的项目，处以施工单位违约金20000元，监理单位违约金10000元；在区级大检查中被通报批评的项目，处以施工单位违约金10000元，监理单位违约金5000元；在公司拉网式大检查中被通报批评的项目，处以施工单位违约金5000元，监理单位违约金3000元。</w:t>
      </w:r>
    </w:p>
    <w:p w14:paraId="20CF34F8">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kern w:val="0"/>
          <w:szCs w:val="21"/>
          <w:highlight w:val="none"/>
        </w:rPr>
        <w:t>第十七条</w:t>
      </w:r>
      <w:r>
        <w:rPr>
          <w:rFonts w:hint="eastAsia" w:ascii="宋体" w:hAnsi="宋体"/>
          <w:color w:val="auto"/>
          <w:szCs w:val="21"/>
          <w:highlight w:val="none"/>
        </w:rPr>
        <w:t xml:space="preserve">  </w:t>
      </w:r>
      <w:r>
        <w:rPr>
          <w:rFonts w:ascii="宋体" w:hAnsi="宋体"/>
          <w:color w:val="auto"/>
          <w:szCs w:val="21"/>
          <w:highlight w:val="none"/>
        </w:rPr>
        <w:t>施工现场存在重大安全隐患，必须停工限期整改。对拒不整改的，上报建设行政主管部门予以处理。</w:t>
      </w:r>
    </w:p>
    <w:p w14:paraId="58C6E140">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kern w:val="0"/>
          <w:szCs w:val="21"/>
          <w:highlight w:val="none"/>
        </w:rPr>
        <w:t>第十八条</w:t>
      </w:r>
      <w:r>
        <w:rPr>
          <w:rFonts w:hint="eastAsia" w:ascii="宋体" w:hAnsi="宋体"/>
          <w:color w:val="auto"/>
          <w:szCs w:val="21"/>
          <w:highlight w:val="none"/>
        </w:rPr>
        <w:t xml:space="preserve">  </w:t>
      </w:r>
      <w:r>
        <w:rPr>
          <w:rFonts w:ascii="宋体" w:hAnsi="宋体"/>
          <w:color w:val="auto"/>
          <w:szCs w:val="21"/>
          <w:highlight w:val="none"/>
        </w:rPr>
        <w:t>承担违约责任的单位，在接到违约责任通知单后7日内将违约金缴至公司财务部门。如超过期限</w:t>
      </w:r>
      <w:r>
        <w:rPr>
          <w:rFonts w:hint="eastAsia" w:ascii="宋体" w:hAnsi="宋体"/>
          <w:color w:val="auto"/>
          <w:szCs w:val="21"/>
          <w:highlight w:val="none"/>
        </w:rPr>
        <w:t>未缴纳违约金</w:t>
      </w:r>
      <w:r>
        <w:rPr>
          <w:rFonts w:ascii="宋体" w:hAnsi="宋体"/>
          <w:color w:val="auto"/>
          <w:szCs w:val="21"/>
          <w:highlight w:val="none"/>
        </w:rPr>
        <w:t>，公司将从工程计量支付款或监理服务费中扣除，或暂缓支付进度款。</w:t>
      </w:r>
    </w:p>
    <w:p w14:paraId="1132AB83">
      <w:pPr>
        <w:overflowPunct w:val="0"/>
        <w:autoSpaceDE w:val="0"/>
        <w:autoSpaceDN w:val="0"/>
        <w:adjustRightInd w:val="0"/>
        <w:snapToGrid w:val="0"/>
        <w:spacing w:line="420" w:lineRule="exact"/>
        <w:ind w:firstLine="420" w:firstLineChars="200"/>
        <w:rPr>
          <w:rFonts w:ascii="宋体" w:hAnsi="宋体"/>
          <w:b/>
          <w:color w:val="auto"/>
          <w:szCs w:val="21"/>
          <w:highlight w:val="none"/>
        </w:rPr>
      </w:pPr>
      <w:r>
        <w:rPr>
          <w:rFonts w:hint="eastAsia" w:ascii="宋体" w:hAnsi="宋体"/>
          <w:color w:val="auto"/>
          <w:kern w:val="0"/>
          <w:szCs w:val="21"/>
          <w:highlight w:val="none"/>
        </w:rPr>
        <w:t>第十九条</w:t>
      </w:r>
      <w:r>
        <w:rPr>
          <w:rFonts w:hint="eastAsia" w:ascii="宋体" w:hAnsi="宋体"/>
          <w:color w:val="auto"/>
          <w:szCs w:val="21"/>
          <w:highlight w:val="none"/>
        </w:rPr>
        <w:t xml:space="preserve">  </w:t>
      </w:r>
      <w:r>
        <w:rPr>
          <w:rFonts w:ascii="宋体" w:hAnsi="宋体"/>
          <w:color w:val="auto"/>
          <w:szCs w:val="21"/>
          <w:highlight w:val="none"/>
        </w:rPr>
        <w:t>对公司安全办、安全管理人员、现场代表和其它相关部门、人员在安全生产监督管理工作中涉及的失职渎职、徇私舞弊等行为，</w:t>
      </w:r>
      <w:r>
        <w:rPr>
          <w:rFonts w:ascii="宋体" w:hAnsi="宋体"/>
          <w:color w:val="auto"/>
          <w:kern w:val="0"/>
          <w:szCs w:val="21"/>
          <w:highlight w:val="none"/>
        </w:rPr>
        <w:t>公司综合部门</w:t>
      </w:r>
      <w:r>
        <w:rPr>
          <w:rFonts w:ascii="宋体" w:hAnsi="宋体"/>
          <w:color w:val="auto"/>
          <w:szCs w:val="21"/>
          <w:highlight w:val="none"/>
        </w:rPr>
        <w:t>应严格进行责任追究，对责任人予以组织处理、经济处罚和纪律处分，涉嫌犯罪的，移交司法机关依法处理。</w:t>
      </w:r>
    </w:p>
    <w:p w14:paraId="5CC65A1D">
      <w:pPr>
        <w:overflowPunct w:val="0"/>
        <w:autoSpaceDE w:val="0"/>
        <w:autoSpaceDN w:val="0"/>
        <w:adjustRightInd w:val="0"/>
        <w:snapToGrid w:val="0"/>
        <w:spacing w:line="420" w:lineRule="exact"/>
        <w:ind w:firstLine="422" w:firstLineChars="200"/>
        <w:jc w:val="center"/>
        <w:rPr>
          <w:rFonts w:ascii="宋体" w:hAnsi="宋体"/>
          <w:b/>
          <w:color w:val="auto"/>
          <w:szCs w:val="21"/>
          <w:highlight w:val="none"/>
        </w:rPr>
      </w:pPr>
      <w:r>
        <w:rPr>
          <w:rFonts w:ascii="宋体" w:hAnsi="宋体"/>
          <w:b/>
          <w:color w:val="auto"/>
          <w:szCs w:val="21"/>
          <w:highlight w:val="none"/>
        </w:rPr>
        <w:t>第</w:t>
      </w:r>
      <w:r>
        <w:rPr>
          <w:rFonts w:hint="eastAsia" w:ascii="宋体" w:hAnsi="宋体"/>
          <w:b/>
          <w:color w:val="auto"/>
          <w:szCs w:val="21"/>
          <w:highlight w:val="none"/>
        </w:rPr>
        <w:t>六</w:t>
      </w:r>
      <w:r>
        <w:rPr>
          <w:rFonts w:ascii="宋体" w:hAnsi="宋体"/>
          <w:b/>
          <w:color w:val="auto"/>
          <w:szCs w:val="21"/>
          <w:highlight w:val="none"/>
        </w:rPr>
        <w:t>章</w:t>
      </w:r>
      <w:r>
        <w:rPr>
          <w:rFonts w:hint="eastAsia" w:ascii="宋体" w:hAnsi="宋体"/>
          <w:b/>
          <w:color w:val="auto"/>
          <w:szCs w:val="21"/>
          <w:highlight w:val="none"/>
        </w:rPr>
        <w:t xml:space="preserve">  </w:t>
      </w:r>
      <w:r>
        <w:rPr>
          <w:rFonts w:ascii="宋体" w:hAnsi="宋体"/>
          <w:b/>
          <w:color w:val="auto"/>
          <w:szCs w:val="21"/>
          <w:highlight w:val="none"/>
        </w:rPr>
        <w:t>附</w:t>
      </w:r>
      <w:r>
        <w:rPr>
          <w:rFonts w:hint="eastAsia" w:ascii="宋体" w:hAnsi="宋体"/>
          <w:b/>
          <w:color w:val="auto"/>
          <w:szCs w:val="21"/>
          <w:highlight w:val="none"/>
        </w:rPr>
        <w:t xml:space="preserve">  </w:t>
      </w:r>
      <w:r>
        <w:rPr>
          <w:rFonts w:ascii="宋体" w:hAnsi="宋体"/>
          <w:b/>
          <w:color w:val="auto"/>
          <w:szCs w:val="21"/>
          <w:highlight w:val="none"/>
        </w:rPr>
        <w:t>则</w:t>
      </w:r>
    </w:p>
    <w:p w14:paraId="56A51953">
      <w:pPr>
        <w:overflowPunct w:val="0"/>
        <w:autoSpaceDE w:val="0"/>
        <w:autoSpaceDN w:val="0"/>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kern w:val="0"/>
          <w:szCs w:val="21"/>
          <w:highlight w:val="none"/>
        </w:rPr>
        <w:t>第二十条</w:t>
      </w:r>
      <w:r>
        <w:rPr>
          <w:rFonts w:hint="eastAsia" w:ascii="宋体" w:hAnsi="宋体"/>
          <w:color w:val="auto"/>
          <w:szCs w:val="21"/>
          <w:highlight w:val="none"/>
        </w:rPr>
        <w:t xml:space="preserve">  </w:t>
      </w:r>
      <w:r>
        <w:rPr>
          <w:rFonts w:ascii="宋体" w:hAnsi="宋体"/>
          <w:color w:val="auto"/>
          <w:szCs w:val="21"/>
          <w:highlight w:val="none"/>
        </w:rPr>
        <w:t>本办法自发布之日起</w:t>
      </w:r>
      <w:r>
        <w:rPr>
          <w:rFonts w:hint="eastAsia" w:ascii="宋体" w:hAnsi="宋体"/>
          <w:color w:val="auto"/>
          <w:szCs w:val="21"/>
          <w:highlight w:val="none"/>
        </w:rPr>
        <w:t>实施</w:t>
      </w:r>
      <w:r>
        <w:rPr>
          <w:rFonts w:ascii="宋体" w:hAnsi="宋体"/>
          <w:color w:val="auto"/>
          <w:szCs w:val="21"/>
          <w:highlight w:val="none"/>
        </w:rPr>
        <w:t>。</w:t>
      </w:r>
    </w:p>
    <w:p w14:paraId="7D49E91E">
      <w:pPr>
        <w:overflowPunct w:val="0"/>
        <w:autoSpaceDE w:val="0"/>
        <w:autoSpaceDN w:val="0"/>
        <w:adjustRightInd w:val="0"/>
        <w:snapToGrid w:val="0"/>
        <w:spacing w:line="420" w:lineRule="exact"/>
        <w:ind w:firstLine="420" w:firstLineChars="200"/>
        <w:rPr>
          <w:rFonts w:ascii="宋体" w:hAnsi="宋体"/>
          <w:color w:val="auto"/>
          <w:szCs w:val="21"/>
          <w:highlight w:val="none"/>
        </w:rPr>
      </w:pPr>
    </w:p>
    <w:p w14:paraId="063E9EC5">
      <w:pPr>
        <w:spacing w:line="440" w:lineRule="exact"/>
        <w:outlineLvl w:val="2"/>
        <w:rPr>
          <w:rFonts w:hint="eastAsia" w:ascii="宋体" w:hAnsi="宋体"/>
          <w:color w:val="auto"/>
          <w:sz w:val="24"/>
          <w:highlight w:val="none"/>
        </w:rPr>
      </w:pPr>
      <w:bookmarkStart w:id="693" w:name="_Toc296346732"/>
      <w:bookmarkStart w:id="694" w:name="_Toc296503231"/>
      <w:bookmarkStart w:id="695" w:name="_Toc296347230"/>
      <w:bookmarkStart w:id="696" w:name="_Toc296891059"/>
      <w:bookmarkStart w:id="697" w:name="_Toc296944570"/>
      <w:bookmarkStart w:id="698" w:name="_Toc296891271"/>
    </w:p>
    <w:p w14:paraId="3A50D8CB">
      <w:pPr>
        <w:spacing w:line="440" w:lineRule="exact"/>
        <w:outlineLvl w:val="2"/>
        <w:rPr>
          <w:rFonts w:hint="eastAsia" w:ascii="宋体" w:hAnsi="宋体"/>
          <w:color w:val="auto"/>
          <w:sz w:val="24"/>
          <w:highlight w:val="none"/>
        </w:rPr>
      </w:pPr>
    </w:p>
    <w:p w14:paraId="2A9C5430">
      <w:pPr>
        <w:spacing w:line="440" w:lineRule="exact"/>
        <w:outlineLvl w:val="2"/>
        <w:rPr>
          <w:rFonts w:hint="eastAsia" w:ascii="宋体" w:hAnsi="宋体"/>
          <w:color w:val="auto"/>
          <w:sz w:val="24"/>
          <w:highlight w:val="none"/>
        </w:rPr>
      </w:pPr>
    </w:p>
    <w:p w14:paraId="116BDFED">
      <w:pPr>
        <w:spacing w:line="440" w:lineRule="exact"/>
        <w:outlineLvl w:val="2"/>
        <w:rPr>
          <w:rFonts w:hint="eastAsia" w:ascii="宋体" w:hAnsi="宋体"/>
          <w:color w:val="auto"/>
          <w:sz w:val="24"/>
          <w:highlight w:val="none"/>
        </w:rPr>
      </w:pPr>
    </w:p>
    <w:p w14:paraId="1C892A57">
      <w:pPr>
        <w:spacing w:line="440" w:lineRule="exact"/>
        <w:outlineLvl w:val="2"/>
        <w:rPr>
          <w:rFonts w:hint="eastAsia" w:ascii="宋体" w:hAnsi="宋体"/>
          <w:color w:val="auto"/>
          <w:sz w:val="24"/>
          <w:highlight w:val="none"/>
        </w:rPr>
      </w:pPr>
    </w:p>
    <w:p w14:paraId="45904029">
      <w:pPr>
        <w:spacing w:line="440" w:lineRule="exact"/>
        <w:outlineLvl w:val="2"/>
        <w:rPr>
          <w:rFonts w:hint="eastAsia" w:ascii="宋体" w:hAnsi="宋体"/>
          <w:color w:val="auto"/>
          <w:sz w:val="24"/>
          <w:highlight w:val="none"/>
        </w:rPr>
      </w:pPr>
    </w:p>
    <w:p w14:paraId="5C1DC233">
      <w:pPr>
        <w:spacing w:line="440" w:lineRule="exact"/>
        <w:outlineLvl w:val="2"/>
        <w:rPr>
          <w:rFonts w:hint="eastAsia" w:ascii="宋体" w:hAnsi="宋体"/>
          <w:color w:val="auto"/>
          <w:sz w:val="24"/>
          <w:highlight w:val="none"/>
        </w:rPr>
      </w:pPr>
    </w:p>
    <w:p w14:paraId="489C2C16">
      <w:pPr>
        <w:spacing w:line="440" w:lineRule="exact"/>
        <w:outlineLvl w:val="2"/>
        <w:rPr>
          <w:rFonts w:hint="eastAsia" w:ascii="宋体" w:hAnsi="宋体"/>
          <w:color w:val="auto"/>
          <w:sz w:val="24"/>
          <w:highlight w:val="none"/>
        </w:rPr>
      </w:pPr>
    </w:p>
    <w:p w14:paraId="28A864C4">
      <w:pPr>
        <w:spacing w:line="440" w:lineRule="exact"/>
        <w:outlineLvl w:val="2"/>
        <w:rPr>
          <w:rFonts w:hint="eastAsia" w:ascii="宋体" w:hAnsi="宋体"/>
          <w:color w:val="auto"/>
          <w:sz w:val="24"/>
          <w:highlight w:val="none"/>
        </w:rPr>
      </w:pPr>
    </w:p>
    <w:bookmarkEnd w:id="693"/>
    <w:bookmarkEnd w:id="694"/>
    <w:bookmarkEnd w:id="695"/>
    <w:bookmarkEnd w:id="696"/>
    <w:bookmarkEnd w:id="697"/>
    <w:bookmarkEnd w:id="698"/>
    <w:p w14:paraId="1900A006">
      <w:pPr>
        <w:overflowPunct w:val="0"/>
        <w:autoSpaceDE w:val="0"/>
        <w:autoSpaceDN w:val="0"/>
        <w:adjustRightInd w:val="0"/>
        <w:snapToGrid w:val="0"/>
        <w:spacing w:line="420" w:lineRule="exact"/>
        <w:outlineLvl w:val="3"/>
        <w:rPr>
          <w:rFonts w:ascii="宋体" w:hAnsi="宋体"/>
          <w:color w:val="auto"/>
          <w:szCs w:val="21"/>
          <w:highlight w:val="none"/>
        </w:rPr>
      </w:pPr>
      <w:r>
        <w:rPr>
          <w:rFonts w:hint="eastAsia" w:ascii="宋体" w:hAnsi="宋体"/>
          <w:bCs/>
          <w:color w:val="auto"/>
          <w:sz w:val="24"/>
          <w:highlight w:val="none"/>
        </w:rPr>
        <w:t>附录7-1   公司安全生产违约处罚标准</w:t>
      </w:r>
    </w:p>
    <w:p w14:paraId="6CF6181B">
      <w:pPr>
        <w:overflowPunct w:val="0"/>
        <w:autoSpaceDE w:val="0"/>
        <w:autoSpaceDN w:val="0"/>
        <w:adjustRightInd w:val="0"/>
        <w:snapToGrid w:val="0"/>
        <w:spacing w:line="320" w:lineRule="exact"/>
        <w:rPr>
          <w:rFonts w:ascii="宋体" w:hAnsi="宋体"/>
          <w:color w:val="auto"/>
          <w:szCs w:val="21"/>
          <w:highlight w:val="none"/>
        </w:rPr>
      </w:pPr>
    </w:p>
    <w:p w14:paraId="47DC9EDE">
      <w:pPr>
        <w:spacing w:line="360" w:lineRule="auto"/>
        <w:jc w:val="center"/>
        <w:rPr>
          <w:rFonts w:ascii="宋体" w:hAnsi="宋体"/>
          <w:b/>
          <w:color w:val="auto"/>
          <w:szCs w:val="21"/>
          <w:highlight w:val="none"/>
        </w:rPr>
      </w:pPr>
      <w:r>
        <w:rPr>
          <w:rFonts w:ascii="宋体" w:hAnsi="宋体"/>
          <w:b/>
          <w:color w:val="auto"/>
          <w:szCs w:val="21"/>
          <w:highlight w:val="none"/>
        </w:rPr>
        <w:t>监理人质量安全履责行为违约金处罚标准</w:t>
      </w:r>
    </w:p>
    <w:tbl>
      <w:tblPr>
        <w:tblStyle w:val="20"/>
        <w:tblW w:w="9679" w:type="dxa"/>
        <w:jc w:val="center"/>
        <w:tblLayout w:type="fixed"/>
        <w:tblCellMar>
          <w:top w:w="0" w:type="dxa"/>
          <w:left w:w="108" w:type="dxa"/>
          <w:bottom w:w="0" w:type="dxa"/>
          <w:right w:w="108" w:type="dxa"/>
        </w:tblCellMar>
      </w:tblPr>
      <w:tblGrid>
        <w:gridCol w:w="589"/>
        <w:gridCol w:w="1374"/>
        <w:gridCol w:w="4395"/>
        <w:gridCol w:w="2471"/>
        <w:gridCol w:w="850"/>
      </w:tblGrid>
      <w:tr w14:paraId="50617749">
        <w:tblPrEx>
          <w:tblCellMar>
            <w:top w:w="0" w:type="dxa"/>
            <w:left w:w="108" w:type="dxa"/>
            <w:bottom w:w="0" w:type="dxa"/>
            <w:right w:w="108" w:type="dxa"/>
          </w:tblCellMar>
        </w:tblPrEx>
        <w:trPr>
          <w:tblHeader/>
          <w:jc w:val="center"/>
        </w:trPr>
        <w:tc>
          <w:tcPr>
            <w:tcW w:w="1963" w:type="dxa"/>
            <w:gridSpan w:val="2"/>
            <w:tcBorders>
              <w:top w:val="single" w:color="auto" w:sz="4" w:space="0"/>
              <w:left w:val="single" w:color="auto" w:sz="4" w:space="0"/>
              <w:bottom w:val="single" w:color="auto" w:sz="4" w:space="0"/>
              <w:right w:val="single" w:color="000000" w:sz="4" w:space="0"/>
            </w:tcBorders>
            <w:noWrap w:val="0"/>
            <w:vAlign w:val="center"/>
          </w:tcPr>
          <w:p w14:paraId="680673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事项</w:t>
            </w:r>
          </w:p>
        </w:tc>
        <w:tc>
          <w:tcPr>
            <w:tcW w:w="4395" w:type="dxa"/>
            <w:tcBorders>
              <w:top w:val="single" w:color="auto" w:sz="4" w:space="0"/>
              <w:left w:val="nil"/>
              <w:bottom w:val="single" w:color="auto" w:sz="4" w:space="0"/>
              <w:right w:val="single" w:color="auto" w:sz="4" w:space="0"/>
            </w:tcBorders>
            <w:noWrap w:val="0"/>
            <w:vAlign w:val="center"/>
          </w:tcPr>
          <w:p w14:paraId="4DA44E0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违约情形</w:t>
            </w:r>
          </w:p>
        </w:tc>
        <w:tc>
          <w:tcPr>
            <w:tcW w:w="2471" w:type="dxa"/>
            <w:tcBorders>
              <w:top w:val="single" w:color="auto" w:sz="4" w:space="0"/>
              <w:left w:val="nil"/>
              <w:bottom w:val="single" w:color="auto" w:sz="4" w:space="0"/>
              <w:right w:val="single" w:color="auto" w:sz="4" w:space="0"/>
            </w:tcBorders>
            <w:noWrap w:val="0"/>
            <w:vAlign w:val="center"/>
          </w:tcPr>
          <w:p w14:paraId="28F23AA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每次违约处罚标准（以签约合同价为基数计算）</w:t>
            </w:r>
          </w:p>
        </w:tc>
        <w:tc>
          <w:tcPr>
            <w:tcW w:w="850" w:type="dxa"/>
            <w:tcBorders>
              <w:top w:val="single" w:color="auto" w:sz="4" w:space="0"/>
              <w:left w:val="nil"/>
              <w:bottom w:val="single" w:color="auto" w:sz="4" w:space="0"/>
              <w:right w:val="single" w:color="auto" w:sz="4" w:space="0"/>
            </w:tcBorders>
            <w:noWrap w:val="0"/>
            <w:vAlign w:val="center"/>
          </w:tcPr>
          <w:p w14:paraId="614870C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14:paraId="2F661A07">
        <w:tblPrEx>
          <w:tblCellMar>
            <w:top w:w="0" w:type="dxa"/>
            <w:left w:w="108" w:type="dxa"/>
            <w:bottom w:w="0" w:type="dxa"/>
            <w:right w:w="108" w:type="dxa"/>
          </w:tblCellMar>
        </w:tblPrEx>
        <w:trPr>
          <w:jc w:val="center"/>
        </w:trPr>
        <w:tc>
          <w:tcPr>
            <w:tcW w:w="589" w:type="dxa"/>
            <w:vMerge w:val="restart"/>
            <w:tcBorders>
              <w:top w:val="nil"/>
              <w:left w:val="single" w:color="auto" w:sz="4" w:space="0"/>
              <w:bottom w:val="single" w:color="000000" w:sz="4" w:space="0"/>
              <w:right w:val="single" w:color="auto" w:sz="4" w:space="0"/>
            </w:tcBorders>
            <w:noWrap w:val="0"/>
            <w:vAlign w:val="center"/>
          </w:tcPr>
          <w:p w14:paraId="6E781A9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质量控制履责</w:t>
            </w:r>
          </w:p>
        </w:tc>
        <w:tc>
          <w:tcPr>
            <w:tcW w:w="1374" w:type="dxa"/>
            <w:vMerge w:val="restart"/>
            <w:tcBorders>
              <w:top w:val="nil"/>
              <w:left w:val="single" w:color="auto" w:sz="4" w:space="0"/>
              <w:bottom w:val="single" w:color="000000" w:sz="4" w:space="0"/>
              <w:right w:val="single" w:color="auto" w:sz="4" w:space="0"/>
            </w:tcBorders>
            <w:noWrap w:val="0"/>
            <w:vAlign w:val="center"/>
          </w:tcPr>
          <w:p w14:paraId="54FC818C">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开工审批</w:t>
            </w:r>
          </w:p>
        </w:tc>
        <w:tc>
          <w:tcPr>
            <w:tcW w:w="4395" w:type="dxa"/>
            <w:tcBorders>
              <w:top w:val="nil"/>
              <w:left w:val="nil"/>
              <w:bottom w:val="single" w:color="auto" w:sz="4" w:space="0"/>
              <w:right w:val="single" w:color="auto" w:sz="4" w:space="0"/>
            </w:tcBorders>
            <w:noWrap w:val="0"/>
            <w:vAlign w:val="center"/>
          </w:tcPr>
          <w:p w14:paraId="1ACB6B3E">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未审查开工报审资料</w:t>
            </w:r>
          </w:p>
        </w:tc>
        <w:tc>
          <w:tcPr>
            <w:tcW w:w="2471" w:type="dxa"/>
            <w:tcBorders>
              <w:top w:val="nil"/>
              <w:left w:val="nil"/>
              <w:bottom w:val="single" w:color="auto" w:sz="4" w:space="0"/>
              <w:right w:val="single" w:color="auto" w:sz="4" w:space="0"/>
            </w:tcBorders>
            <w:noWrap w:val="0"/>
            <w:vAlign w:val="center"/>
          </w:tcPr>
          <w:p w14:paraId="58F090D9">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398D644E">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5417FBF3">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06AD4008">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noWrap w:val="0"/>
            <w:vAlign w:val="center"/>
          </w:tcPr>
          <w:p w14:paraId="05497CAA">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30F0F923">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未留存开工报审资料和无明确审查意见</w:t>
            </w:r>
          </w:p>
        </w:tc>
        <w:tc>
          <w:tcPr>
            <w:tcW w:w="2471" w:type="dxa"/>
            <w:tcBorders>
              <w:top w:val="nil"/>
              <w:left w:val="nil"/>
              <w:bottom w:val="single" w:color="auto" w:sz="4" w:space="0"/>
              <w:right w:val="single" w:color="auto" w:sz="4" w:space="0"/>
            </w:tcBorders>
            <w:noWrap w:val="0"/>
            <w:vAlign w:val="center"/>
          </w:tcPr>
          <w:p w14:paraId="0589A60B">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0.25‰-0.5‰</w:t>
            </w:r>
          </w:p>
        </w:tc>
        <w:tc>
          <w:tcPr>
            <w:tcW w:w="850" w:type="dxa"/>
            <w:tcBorders>
              <w:top w:val="nil"/>
              <w:left w:val="nil"/>
              <w:bottom w:val="single" w:color="auto" w:sz="4" w:space="0"/>
              <w:right w:val="single" w:color="auto" w:sz="4" w:space="0"/>
            </w:tcBorders>
            <w:noWrap w:val="0"/>
            <w:vAlign w:val="center"/>
          </w:tcPr>
          <w:p w14:paraId="05D22735">
            <w:pPr>
              <w:widowControl/>
              <w:spacing w:line="400" w:lineRule="exact"/>
              <w:jc w:val="center"/>
              <w:rPr>
                <w:rFonts w:ascii="宋体" w:hAnsi="宋体" w:cs="宋体"/>
                <w:color w:val="auto"/>
                <w:kern w:val="0"/>
                <w:szCs w:val="21"/>
                <w:highlight w:val="none"/>
              </w:rPr>
            </w:pPr>
          </w:p>
        </w:tc>
      </w:tr>
      <w:tr w14:paraId="366ACF42">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664CC0C9">
            <w:pPr>
              <w:widowControl/>
              <w:spacing w:line="400" w:lineRule="exact"/>
              <w:jc w:val="left"/>
              <w:rPr>
                <w:rFonts w:ascii="宋体" w:hAnsi="宋体" w:cs="宋体"/>
                <w:color w:val="auto"/>
                <w:kern w:val="0"/>
                <w:szCs w:val="21"/>
                <w:highlight w:val="none"/>
              </w:rPr>
            </w:pPr>
          </w:p>
        </w:tc>
        <w:tc>
          <w:tcPr>
            <w:tcW w:w="1374" w:type="dxa"/>
            <w:vMerge w:val="restart"/>
            <w:tcBorders>
              <w:top w:val="nil"/>
              <w:left w:val="single" w:color="auto" w:sz="4" w:space="0"/>
              <w:bottom w:val="nil"/>
              <w:right w:val="single" w:color="auto" w:sz="4" w:space="0"/>
            </w:tcBorders>
            <w:noWrap w:val="0"/>
            <w:vAlign w:val="center"/>
          </w:tcPr>
          <w:p w14:paraId="76CE3F90">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审查施工组织设计和施工方案</w:t>
            </w:r>
          </w:p>
        </w:tc>
        <w:tc>
          <w:tcPr>
            <w:tcW w:w="4395" w:type="dxa"/>
            <w:tcBorders>
              <w:top w:val="nil"/>
              <w:left w:val="nil"/>
              <w:bottom w:val="single" w:color="auto" w:sz="4" w:space="0"/>
              <w:right w:val="single" w:color="auto" w:sz="4" w:space="0"/>
            </w:tcBorders>
            <w:noWrap w:val="0"/>
            <w:vAlign w:val="center"/>
          </w:tcPr>
          <w:p w14:paraId="0F2BE492">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未审查施工组织设计及专项方案</w:t>
            </w:r>
          </w:p>
        </w:tc>
        <w:tc>
          <w:tcPr>
            <w:tcW w:w="2471" w:type="dxa"/>
            <w:tcBorders>
              <w:top w:val="nil"/>
              <w:left w:val="nil"/>
              <w:bottom w:val="single" w:color="auto" w:sz="4" w:space="0"/>
              <w:right w:val="single" w:color="auto" w:sz="4" w:space="0"/>
            </w:tcBorders>
            <w:noWrap w:val="0"/>
            <w:vAlign w:val="center"/>
          </w:tcPr>
          <w:p w14:paraId="6F2FB4B3">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058B0091">
            <w:pPr>
              <w:widowControl/>
              <w:spacing w:line="400" w:lineRule="exact"/>
              <w:jc w:val="center"/>
              <w:rPr>
                <w:rFonts w:ascii="宋体" w:hAnsi="宋体" w:cs="宋体"/>
                <w:color w:val="auto"/>
                <w:kern w:val="0"/>
                <w:szCs w:val="21"/>
                <w:highlight w:val="none"/>
              </w:rPr>
            </w:pPr>
          </w:p>
        </w:tc>
      </w:tr>
      <w:tr w14:paraId="0607152B">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22BB8F9A">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nil"/>
              <w:right w:val="single" w:color="auto" w:sz="4" w:space="0"/>
            </w:tcBorders>
            <w:noWrap w:val="0"/>
            <w:vAlign w:val="center"/>
          </w:tcPr>
          <w:p w14:paraId="32554417">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0E64DB00">
            <w:pPr>
              <w:spacing w:line="400" w:lineRule="exact"/>
              <w:rPr>
                <w:rFonts w:ascii="宋体" w:hAnsi="宋体" w:cs="宋体"/>
                <w:color w:val="auto"/>
                <w:szCs w:val="21"/>
                <w:highlight w:val="none"/>
              </w:rPr>
            </w:pPr>
            <w:r>
              <w:rPr>
                <w:rFonts w:hint="eastAsia" w:ascii="宋体" w:hAnsi="宋体"/>
                <w:color w:val="auto"/>
                <w:szCs w:val="21"/>
                <w:highlight w:val="none"/>
              </w:rPr>
              <w:t>未识别是否符合强制性标准</w:t>
            </w:r>
          </w:p>
        </w:tc>
        <w:tc>
          <w:tcPr>
            <w:tcW w:w="2471" w:type="dxa"/>
            <w:tcBorders>
              <w:top w:val="nil"/>
              <w:left w:val="nil"/>
              <w:bottom w:val="single" w:color="auto" w:sz="4" w:space="0"/>
              <w:right w:val="single" w:color="auto" w:sz="4" w:space="0"/>
            </w:tcBorders>
            <w:noWrap w:val="0"/>
            <w:vAlign w:val="center"/>
          </w:tcPr>
          <w:p w14:paraId="4C28CD1E">
            <w:pPr>
              <w:spacing w:line="400" w:lineRule="exact"/>
              <w:rPr>
                <w:rFonts w:ascii="宋体" w:hAnsi="宋体" w:cs="宋体"/>
                <w:color w:val="auto"/>
                <w:szCs w:val="21"/>
                <w:highlight w:val="none"/>
              </w:rPr>
            </w:pPr>
            <w:r>
              <w:rPr>
                <w:rFonts w:hint="eastAsia" w:ascii="宋体" w:hAnsi="宋体"/>
                <w:color w:val="auto"/>
                <w:szCs w:val="21"/>
                <w:highlight w:val="none"/>
              </w:rPr>
              <w:t>0.5‰-1‰</w:t>
            </w:r>
          </w:p>
        </w:tc>
        <w:tc>
          <w:tcPr>
            <w:tcW w:w="850" w:type="dxa"/>
            <w:tcBorders>
              <w:top w:val="nil"/>
              <w:left w:val="nil"/>
              <w:bottom w:val="single" w:color="auto" w:sz="4" w:space="0"/>
              <w:right w:val="single" w:color="auto" w:sz="4" w:space="0"/>
            </w:tcBorders>
            <w:noWrap w:val="0"/>
            <w:vAlign w:val="center"/>
          </w:tcPr>
          <w:p w14:paraId="1F9DCDC2">
            <w:pPr>
              <w:widowControl/>
              <w:spacing w:line="400" w:lineRule="exact"/>
              <w:jc w:val="center"/>
              <w:rPr>
                <w:rFonts w:ascii="宋体" w:hAnsi="宋体" w:cs="宋体"/>
                <w:color w:val="auto"/>
                <w:kern w:val="0"/>
                <w:szCs w:val="21"/>
                <w:highlight w:val="none"/>
              </w:rPr>
            </w:pPr>
          </w:p>
        </w:tc>
      </w:tr>
      <w:tr w14:paraId="3E59AFF9">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0DC773F7">
            <w:pPr>
              <w:widowControl/>
              <w:spacing w:line="400" w:lineRule="exact"/>
              <w:jc w:val="left"/>
              <w:rPr>
                <w:rFonts w:ascii="宋体" w:hAnsi="宋体" w:cs="宋体"/>
                <w:color w:val="auto"/>
                <w:kern w:val="0"/>
                <w:szCs w:val="21"/>
                <w:highlight w:val="none"/>
              </w:rPr>
            </w:pPr>
          </w:p>
        </w:tc>
        <w:tc>
          <w:tcPr>
            <w:tcW w:w="1374" w:type="dxa"/>
            <w:tcBorders>
              <w:top w:val="single" w:color="auto" w:sz="4" w:space="0"/>
              <w:left w:val="nil"/>
              <w:bottom w:val="single" w:color="auto" w:sz="4" w:space="0"/>
              <w:right w:val="single" w:color="auto" w:sz="4" w:space="0"/>
            </w:tcBorders>
            <w:noWrap w:val="0"/>
            <w:vAlign w:val="center"/>
          </w:tcPr>
          <w:p w14:paraId="54D030F1">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审核区域单位</w:t>
            </w:r>
          </w:p>
        </w:tc>
        <w:tc>
          <w:tcPr>
            <w:tcW w:w="4395" w:type="dxa"/>
            <w:tcBorders>
              <w:top w:val="nil"/>
              <w:left w:val="nil"/>
              <w:bottom w:val="single" w:color="auto" w:sz="4" w:space="0"/>
              <w:right w:val="single" w:color="auto" w:sz="4" w:space="0"/>
            </w:tcBorders>
            <w:noWrap w:val="0"/>
            <w:vAlign w:val="center"/>
          </w:tcPr>
          <w:p w14:paraId="4F85BFAF">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未审核施工单位报送的区域单位资格</w:t>
            </w:r>
          </w:p>
        </w:tc>
        <w:tc>
          <w:tcPr>
            <w:tcW w:w="2471" w:type="dxa"/>
            <w:tcBorders>
              <w:top w:val="nil"/>
              <w:left w:val="nil"/>
              <w:bottom w:val="single" w:color="auto" w:sz="4" w:space="0"/>
              <w:right w:val="single" w:color="auto" w:sz="4" w:space="0"/>
            </w:tcBorders>
            <w:noWrap w:val="0"/>
            <w:vAlign w:val="center"/>
          </w:tcPr>
          <w:p w14:paraId="32D22C55">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5EE0420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49E60509">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56F179DD">
            <w:pPr>
              <w:widowControl/>
              <w:spacing w:line="400" w:lineRule="exact"/>
              <w:jc w:val="left"/>
              <w:rPr>
                <w:rFonts w:ascii="宋体" w:hAnsi="宋体" w:cs="宋体"/>
                <w:color w:val="auto"/>
                <w:kern w:val="0"/>
                <w:szCs w:val="21"/>
                <w:highlight w:val="none"/>
              </w:rPr>
            </w:pPr>
          </w:p>
        </w:tc>
        <w:tc>
          <w:tcPr>
            <w:tcW w:w="1374" w:type="dxa"/>
            <w:vMerge w:val="restart"/>
            <w:tcBorders>
              <w:top w:val="nil"/>
              <w:left w:val="single" w:color="auto" w:sz="4" w:space="0"/>
              <w:bottom w:val="single" w:color="000000" w:sz="4" w:space="0"/>
              <w:right w:val="single" w:color="auto" w:sz="4" w:space="0"/>
            </w:tcBorders>
            <w:noWrap w:val="0"/>
            <w:vAlign w:val="center"/>
          </w:tcPr>
          <w:p w14:paraId="388869A1">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检查复核施工测量成果</w:t>
            </w:r>
          </w:p>
        </w:tc>
        <w:tc>
          <w:tcPr>
            <w:tcW w:w="4395" w:type="dxa"/>
            <w:tcBorders>
              <w:top w:val="nil"/>
              <w:left w:val="nil"/>
              <w:bottom w:val="single" w:color="auto" w:sz="4" w:space="0"/>
              <w:right w:val="single" w:color="auto" w:sz="4" w:space="0"/>
            </w:tcBorders>
            <w:noWrap w:val="0"/>
            <w:vAlign w:val="center"/>
          </w:tcPr>
          <w:p w14:paraId="411273F7">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未检查、复核施工单位报审的测量人员资格或测量设备检定证书</w:t>
            </w:r>
          </w:p>
        </w:tc>
        <w:tc>
          <w:tcPr>
            <w:tcW w:w="2471" w:type="dxa"/>
            <w:tcBorders>
              <w:top w:val="nil"/>
              <w:left w:val="nil"/>
              <w:bottom w:val="single" w:color="auto" w:sz="4" w:space="0"/>
              <w:right w:val="single" w:color="auto" w:sz="4" w:space="0"/>
            </w:tcBorders>
            <w:noWrap w:val="0"/>
            <w:vAlign w:val="center"/>
          </w:tcPr>
          <w:p w14:paraId="16161CED">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37051440">
            <w:pPr>
              <w:widowControl/>
              <w:spacing w:line="400" w:lineRule="exact"/>
              <w:jc w:val="center"/>
              <w:rPr>
                <w:rFonts w:ascii="宋体" w:hAnsi="宋体" w:cs="宋体"/>
                <w:color w:val="auto"/>
                <w:kern w:val="0"/>
                <w:szCs w:val="21"/>
                <w:highlight w:val="none"/>
              </w:rPr>
            </w:pPr>
          </w:p>
        </w:tc>
      </w:tr>
      <w:tr w14:paraId="0D79A845">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039E26B3">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noWrap w:val="0"/>
            <w:vAlign w:val="center"/>
          </w:tcPr>
          <w:p w14:paraId="3E20EBE9">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67AFBECE">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未检查、复核测量成果、交桩记录及控制桩保护措施</w:t>
            </w:r>
          </w:p>
        </w:tc>
        <w:tc>
          <w:tcPr>
            <w:tcW w:w="2471" w:type="dxa"/>
            <w:tcBorders>
              <w:top w:val="nil"/>
              <w:left w:val="nil"/>
              <w:bottom w:val="single" w:color="auto" w:sz="4" w:space="0"/>
              <w:right w:val="single" w:color="auto" w:sz="4" w:space="0"/>
            </w:tcBorders>
            <w:noWrap w:val="0"/>
            <w:vAlign w:val="center"/>
          </w:tcPr>
          <w:p w14:paraId="1641D62C">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1F9C8524">
            <w:pPr>
              <w:widowControl/>
              <w:spacing w:line="400" w:lineRule="exact"/>
              <w:jc w:val="center"/>
              <w:rPr>
                <w:rFonts w:ascii="宋体" w:hAnsi="宋体" w:cs="宋体"/>
                <w:color w:val="auto"/>
                <w:kern w:val="0"/>
                <w:szCs w:val="21"/>
                <w:highlight w:val="none"/>
              </w:rPr>
            </w:pPr>
          </w:p>
        </w:tc>
      </w:tr>
      <w:tr w14:paraId="45BD133F">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57D5E39C">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noWrap w:val="0"/>
            <w:vAlign w:val="center"/>
          </w:tcPr>
          <w:p w14:paraId="751BEC81">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21EF2146">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未对复核测量成果进行签认</w:t>
            </w:r>
          </w:p>
        </w:tc>
        <w:tc>
          <w:tcPr>
            <w:tcW w:w="2471" w:type="dxa"/>
            <w:tcBorders>
              <w:top w:val="nil"/>
              <w:left w:val="nil"/>
              <w:bottom w:val="single" w:color="auto" w:sz="4" w:space="0"/>
              <w:right w:val="single" w:color="auto" w:sz="4" w:space="0"/>
            </w:tcBorders>
            <w:noWrap w:val="0"/>
            <w:vAlign w:val="center"/>
          </w:tcPr>
          <w:p w14:paraId="24EAEBBE">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0.25‰-0.5‰</w:t>
            </w:r>
          </w:p>
        </w:tc>
        <w:tc>
          <w:tcPr>
            <w:tcW w:w="850" w:type="dxa"/>
            <w:tcBorders>
              <w:top w:val="nil"/>
              <w:left w:val="nil"/>
              <w:bottom w:val="single" w:color="auto" w:sz="4" w:space="0"/>
              <w:right w:val="single" w:color="auto" w:sz="4" w:space="0"/>
            </w:tcBorders>
            <w:noWrap w:val="0"/>
            <w:vAlign w:val="center"/>
          </w:tcPr>
          <w:p w14:paraId="2A4BA208">
            <w:pPr>
              <w:widowControl/>
              <w:spacing w:line="400" w:lineRule="exact"/>
              <w:jc w:val="center"/>
              <w:rPr>
                <w:rFonts w:ascii="宋体" w:hAnsi="宋体" w:cs="宋体"/>
                <w:color w:val="auto"/>
                <w:kern w:val="0"/>
                <w:szCs w:val="21"/>
                <w:highlight w:val="none"/>
              </w:rPr>
            </w:pPr>
          </w:p>
        </w:tc>
      </w:tr>
      <w:tr w14:paraId="616A1961">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13EBCBC3">
            <w:pPr>
              <w:widowControl/>
              <w:spacing w:line="400" w:lineRule="exact"/>
              <w:jc w:val="left"/>
              <w:rPr>
                <w:rFonts w:ascii="宋体" w:hAnsi="宋体" w:cs="宋体"/>
                <w:color w:val="auto"/>
                <w:kern w:val="0"/>
                <w:szCs w:val="21"/>
                <w:highlight w:val="none"/>
              </w:rPr>
            </w:pPr>
          </w:p>
        </w:tc>
        <w:tc>
          <w:tcPr>
            <w:tcW w:w="1374" w:type="dxa"/>
            <w:vMerge w:val="restart"/>
            <w:tcBorders>
              <w:top w:val="nil"/>
              <w:left w:val="single" w:color="auto" w:sz="4" w:space="0"/>
              <w:bottom w:val="nil"/>
              <w:right w:val="single" w:color="auto" w:sz="4" w:space="0"/>
            </w:tcBorders>
            <w:noWrap w:val="0"/>
            <w:vAlign w:val="center"/>
          </w:tcPr>
          <w:p w14:paraId="6B3CB1EB">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材料/构配件/设备审查</w:t>
            </w:r>
          </w:p>
        </w:tc>
        <w:tc>
          <w:tcPr>
            <w:tcW w:w="4395" w:type="dxa"/>
            <w:tcBorders>
              <w:top w:val="nil"/>
              <w:left w:val="nil"/>
              <w:bottom w:val="single" w:color="auto" w:sz="4" w:space="0"/>
              <w:right w:val="single" w:color="auto" w:sz="4" w:space="0"/>
            </w:tcBorders>
            <w:noWrap w:val="0"/>
            <w:vAlign w:val="center"/>
          </w:tcPr>
          <w:p w14:paraId="7164A950">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未审查质量证明文件，未对实物进行检查、验收，将不合格的签认为合格</w:t>
            </w:r>
          </w:p>
        </w:tc>
        <w:tc>
          <w:tcPr>
            <w:tcW w:w="2471" w:type="dxa"/>
            <w:tcBorders>
              <w:top w:val="nil"/>
              <w:left w:val="nil"/>
              <w:bottom w:val="single" w:color="auto" w:sz="4" w:space="0"/>
              <w:right w:val="single" w:color="auto" w:sz="4" w:space="0"/>
            </w:tcBorders>
            <w:noWrap w:val="0"/>
            <w:vAlign w:val="center"/>
          </w:tcPr>
          <w:p w14:paraId="62F7060C">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409DC2A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7ACCF4C7">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70AEE091">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nil"/>
              <w:right w:val="single" w:color="auto" w:sz="4" w:space="0"/>
            </w:tcBorders>
            <w:noWrap w:val="0"/>
            <w:vAlign w:val="center"/>
          </w:tcPr>
          <w:p w14:paraId="798CF883">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3458B844">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对进场不合格的材料、构配件、设备未要求施工单位将其撤出施工现场</w:t>
            </w:r>
          </w:p>
        </w:tc>
        <w:tc>
          <w:tcPr>
            <w:tcW w:w="2471" w:type="dxa"/>
            <w:tcBorders>
              <w:top w:val="nil"/>
              <w:left w:val="nil"/>
              <w:bottom w:val="single" w:color="auto" w:sz="4" w:space="0"/>
              <w:right w:val="single" w:color="auto" w:sz="4" w:space="0"/>
            </w:tcBorders>
            <w:noWrap w:val="0"/>
            <w:vAlign w:val="center"/>
          </w:tcPr>
          <w:p w14:paraId="417F789C">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3069418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05551D4C">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65F5373A">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nil"/>
              <w:right w:val="single" w:color="auto" w:sz="4" w:space="0"/>
            </w:tcBorders>
            <w:noWrap w:val="0"/>
            <w:vAlign w:val="center"/>
          </w:tcPr>
          <w:p w14:paraId="735C049E">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7ADABF80">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未对用于工程的材料按有关规定进行见证取样</w:t>
            </w:r>
          </w:p>
        </w:tc>
        <w:tc>
          <w:tcPr>
            <w:tcW w:w="2471" w:type="dxa"/>
            <w:tcBorders>
              <w:top w:val="nil"/>
              <w:left w:val="nil"/>
              <w:bottom w:val="single" w:color="auto" w:sz="4" w:space="0"/>
              <w:right w:val="single" w:color="auto" w:sz="4" w:space="0"/>
            </w:tcBorders>
            <w:noWrap w:val="0"/>
            <w:vAlign w:val="center"/>
          </w:tcPr>
          <w:p w14:paraId="45A9EF6A">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165092F2">
            <w:pPr>
              <w:widowControl/>
              <w:spacing w:line="400" w:lineRule="exact"/>
              <w:jc w:val="center"/>
              <w:rPr>
                <w:rFonts w:ascii="宋体" w:hAnsi="宋体" w:cs="宋体"/>
                <w:color w:val="auto"/>
                <w:kern w:val="0"/>
                <w:szCs w:val="21"/>
                <w:highlight w:val="none"/>
              </w:rPr>
            </w:pPr>
          </w:p>
        </w:tc>
      </w:tr>
      <w:tr w14:paraId="5312B7AD">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4E887F01">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nil"/>
              <w:right w:val="single" w:color="auto" w:sz="4" w:space="0"/>
            </w:tcBorders>
            <w:noWrap w:val="0"/>
            <w:vAlign w:val="center"/>
          </w:tcPr>
          <w:p w14:paraId="24DCE080">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577C10EF">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未按监理合同约定进行平行检验</w:t>
            </w:r>
          </w:p>
        </w:tc>
        <w:tc>
          <w:tcPr>
            <w:tcW w:w="2471" w:type="dxa"/>
            <w:tcBorders>
              <w:top w:val="nil"/>
              <w:left w:val="nil"/>
              <w:bottom w:val="single" w:color="auto" w:sz="4" w:space="0"/>
              <w:right w:val="single" w:color="auto" w:sz="4" w:space="0"/>
            </w:tcBorders>
            <w:noWrap w:val="0"/>
            <w:vAlign w:val="center"/>
          </w:tcPr>
          <w:p w14:paraId="23001A05">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52A7F76F">
            <w:pPr>
              <w:widowControl/>
              <w:spacing w:line="400" w:lineRule="exact"/>
              <w:jc w:val="center"/>
              <w:rPr>
                <w:rFonts w:ascii="宋体" w:hAnsi="宋体" w:cs="宋体"/>
                <w:color w:val="auto"/>
                <w:kern w:val="0"/>
                <w:szCs w:val="21"/>
                <w:highlight w:val="none"/>
              </w:rPr>
            </w:pPr>
          </w:p>
        </w:tc>
      </w:tr>
      <w:tr w14:paraId="5EF1B205">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7B6990AD">
            <w:pPr>
              <w:widowControl/>
              <w:spacing w:line="400" w:lineRule="exact"/>
              <w:jc w:val="left"/>
              <w:rPr>
                <w:rFonts w:ascii="宋体" w:hAnsi="宋体" w:cs="宋体"/>
                <w:color w:val="auto"/>
                <w:kern w:val="0"/>
                <w:szCs w:val="21"/>
                <w:highlight w:val="none"/>
              </w:rPr>
            </w:pPr>
          </w:p>
        </w:tc>
        <w:tc>
          <w:tcPr>
            <w:tcW w:w="1374" w:type="dxa"/>
            <w:tcBorders>
              <w:top w:val="single" w:color="auto" w:sz="4" w:space="0"/>
              <w:left w:val="nil"/>
              <w:bottom w:val="nil"/>
              <w:right w:val="single" w:color="auto" w:sz="4" w:space="0"/>
            </w:tcBorders>
            <w:noWrap w:val="0"/>
            <w:vAlign w:val="center"/>
          </w:tcPr>
          <w:p w14:paraId="00E614A2">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旁站</w:t>
            </w:r>
          </w:p>
        </w:tc>
        <w:tc>
          <w:tcPr>
            <w:tcW w:w="4395" w:type="dxa"/>
            <w:tcBorders>
              <w:top w:val="nil"/>
              <w:left w:val="nil"/>
              <w:bottom w:val="single" w:color="auto" w:sz="4" w:space="0"/>
              <w:right w:val="single" w:color="auto" w:sz="4" w:space="0"/>
            </w:tcBorders>
            <w:noWrap w:val="0"/>
            <w:vAlign w:val="center"/>
          </w:tcPr>
          <w:p w14:paraId="150EF96A">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未按旁站方案确定的关键部位、关键工序的施工质量进行旁站</w:t>
            </w:r>
          </w:p>
        </w:tc>
        <w:tc>
          <w:tcPr>
            <w:tcW w:w="2471" w:type="dxa"/>
            <w:tcBorders>
              <w:top w:val="nil"/>
              <w:left w:val="nil"/>
              <w:bottom w:val="single" w:color="auto" w:sz="4" w:space="0"/>
              <w:right w:val="single" w:color="auto" w:sz="4" w:space="0"/>
            </w:tcBorders>
            <w:noWrap w:val="0"/>
            <w:vAlign w:val="center"/>
          </w:tcPr>
          <w:p w14:paraId="3241CCAB">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4CCAD92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31061636">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75AA3672">
            <w:pPr>
              <w:widowControl/>
              <w:spacing w:line="400" w:lineRule="exact"/>
              <w:jc w:val="left"/>
              <w:rPr>
                <w:rFonts w:ascii="宋体" w:hAnsi="宋体" w:cs="宋体"/>
                <w:color w:val="auto"/>
                <w:kern w:val="0"/>
                <w:szCs w:val="21"/>
                <w:highlight w:val="none"/>
              </w:rPr>
            </w:pPr>
          </w:p>
        </w:tc>
        <w:tc>
          <w:tcPr>
            <w:tcW w:w="1374" w:type="dxa"/>
            <w:tcBorders>
              <w:top w:val="single" w:color="auto" w:sz="4" w:space="0"/>
              <w:left w:val="nil"/>
              <w:bottom w:val="nil"/>
              <w:right w:val="single" w:color="auto" w:sz="4" w:space="0"/>
            </w:tcBorders>
            <w:noWrap w:val="0"/>
            <w:vAlign w:val="center"/>
          </w:tcPr>
          <w:p w14:paraId="22F3C9CD">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工程质量巡视</w:t>
            </w:r>
          </w:p>
        </w:tc>
        <w:tc>
          <w:tcPr>
            <w:tcW w:w="4395" w:type="dxa"/>
            <w:tcBorders>
              <w:top w:val="nil"/>
              <w:left w:val="nil"/>
              <w:bottom w:val="single" w:color="auto" w:sz="4" w:space="0"/>
              <w:right w:val="single" w:color="auto" w:sz="4" w:space="0"/>
            </w:tcBorders>
            <w:noWrap w:val="0"/>
            <w:vAlign w:val="center"/>
          </w:tcPr>
          <w:p w14:paraId="30ACB0B2">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发现质量隐患未及时处理，对质量隐患无处理记录或整改结果</w:t>
            </w:r>
          </w:p>
        </w:tc>
        <w:tc>
          <w:tcPr>
            <w:tcW w:w="2471" w:type="dxa"/>
            <w:tcBorders>
              <w:top w:val="nil"/>
              <w:left w:val="nil"/>
              <w:bottom w:val="single" w:color="auto" w:sz="4" w:space="0"/>
              <w:right w:val="single" w:color="auto" w:sz="4" w:space="0"/>
            </w:tcBorders>
            <w:noWrap w:val="0"/>
            <w:vAlign w:val="center"/>
          </w:tcPr>
          <w:p w14:paraId="043CFCDA">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4793789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21DA34F3">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5557729E">
            <w:pPr>
              <w:widowControl/>
              <w:spacing w:line="400" w:lineRule="exact"/>
              <w:jc w:val="left"/>
              <w:rPr>
                <w:rFonts w:ascii="宋体" w:hAnsi="宋体" w:cs="宋体"/>
                <w:color w:val="auto"/>
                <w:kern w:val="0"/>
                <w:szCs w:val="21"/>
                <w:highlight w:val="none"/>
              </w:rPr>
            </w:pPr>
          </w:p>
        </w:tc>
        <w:tc>
          <w:tcPr>
            <w:tcW w:w="1374" w:type="dxa"/>
            <w:vMerge w:val="restart"/>
            <w:tcBorders>
              <w:top w:val="single" w:color="auto" w:sz="4" w:space="0"/>
              <w:left w:val="single" w:color="auto" w:sz="4" w:space="0"/>
              <w:bottom w:val="single" w:color="000000" w:sz="4" w:space="0"/>
              <w:right w:val="single" w:color="auto" w:sz="4" w:space="0"/>
            </w:tcBorders>
            <w:noWrap w:val="0"/>
            <w:vAlign w:val="center"/>
          </w:tcPr>
          <w:p w14:paraId="32D37CA5">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隐检、检验批、分项分部验收</w:t>
            </w:r>
          </w:p>
        </w:tc>
        <w:tc>
          <w:tcPr>
            <w:tcW w:w="4395" w:type="dxa"/>
            <w:tcBorders>
              <w:top w:val="nil"/>
              <w:left w:val="nil"/>
              <w:bottom w:val="single" w:color="auto" w:sz="4" w:space="0"/>
              <w:right w:val="single" w:color="auto" w:sz="4" w:space="0"/>
            </w:tcBorders>
            <w:noWrap w:val="0"/>
            <w:vAlign w:val="center"/>
          </w:tcPr>
          <w:p w14:paraId="0584F051">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未对实体进行检查、验收，将不合格的签认为合格</w:t>
            </w:r>
          </w:p>
        </w:tc>
        <w:tc>
          <w:tcPr>
            <w:tcW w:w="2471" w:type="dxa"/>
            <w:tcBorders>
              <w:top w:val="nil"/>
              <w:left w:val="nil"/>
              <w:bottom w:val="single" w:color="auto" w:sz="4" w:space="0"/>
              <w:right w:val="single" w:color="auto" w:sz="4" w:space="0"/>
            </w:tcBorders>
            <w:noWrap w:val="0"/>
            <w:vAlign w:val="center"/>
          </w:tcPr>
          <w:p w14:paraId="5CF6D8B2">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7F9125F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01DACEF7">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52BB4F6D">
            <w:pPr>
              <w:widowControl/>
              <w:spacing w:line="400" w:lineRule="exact"/>
              <w:jc w:val="left"/>
              <w:rPr>
                <w:rFonts w:ascii="宋体" w:hAnsi="宋体" w:cs="宋体"/>
                <w:color w:val="auto"/>
                <w:kern w:val="0"/>
                <w:szCs w:val="21"/>
                <w:highlight w:val="none"/>
              </w:rPr>
            </w:pPr>
          </w:p>
        </w:tc>
        <w:tc>
          <w:tcPr>
            <w:tcW w:w="1374" w:type="dxa"/>
            <w:vMerge w:val="continue"/>
            <w:tcBorders>
              <w:top w:val="single" w:color="auto" w:sz="4" w:space="0"/>
              <w:left w:val="single" w:color="auto" w:sz="4" w:space="0"/>
              <w:bottom w:val="single" w:color="000000" w:sz="4" w:space="0"/>
              <w:right w:val="single" w:color="auto" w:sz="4" w:space="0"/>
            </w:tcBorders>
            <w:noWrap w:val="0"/>
            <w:vAlign w:val="center"/>
          </w:tcPr>
          <w:p w14:paraId="59040A89">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4F20122E">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无分部、分项及检验批划分方案</w:t>
            </w:r>
          </w:p>
        </w:tc>
        <w:tc>
          <w:tcPr>
            <w:tcW w:w="2471" w:type="dxa"/>
            <w:tcBorders>
              <w:top w:val="nil"/>
              <w:left w:val="nil"/>
              <w:bottom w:val="single" w:color="auto" w:sz="4" w:space="0"/>
              <w:right w:val="single" w:color="auto" w:sz="4" w:space="0"/>
            </w:tcBorders>
            <w:noWrap w:val="0"/>
            <w:vAlign w:val="center"/>
          </w:tcPr>
          <w:p w14:paraId="1CB7A84F">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66B818E2">
            <w:pPr>
              <w:widowControl/>
              <w:spacing w:line="400" w:lineRule="exact"/>
              <w:jc w:val="center"/>
              <w:rPr>
                <w:rFonts w:ascii="宋体" w:hAnsi="宋体" w:cs="宋体"/>
                <w:color w:val="auto"/>
                <w:kern w:val="0"/>
                <w:szCs w:val="21"/>
                <w:highlight w:val="none"/>
              </w:rPr>
            </w:pPr>
          </w:p>
        </w:tc>
      </w:tr>
      <w:tr w14:paraId="5BE8004F">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6D85D29C">
            <w:pPr>
              <w:widowControl/>
              <w:spacing w:line="400" w:lineRule="exact"/>
              <w:jc w:val="left"/>
              <w:rPr>
                <w:rFonts w:ascii="宋体" w:hAnsi="宋体" w:cs="宋体"/>
                <w:color w:val="auto"/>
                <w:kern w:val="0"/>
                <w:szCs w:val="21"/>
                <w:highlight w:val="none"/>
              </w:rPr>
            </w:pPr>
          </w:p>
        </w:tc>
        <w:tc>
          <w:tcPr>
            <w:tcW w:w="1374" w:type="dxa"/>
            <w:vMerge w:val="continue"/>
            <w:tcBorders>
              <w:top w:val="single" w:color="auto" w:sz="4" w:space="0"/>
              <w:left w:val="single" w:color="auto" w:sz="4" w:space="0"/>
              <w:bottom w:val="single" w:color="000000" w:sz="4" w:space="0"/>
              <w:right w:val="single" w:color="auto" w:sz="4" w:space="0"/>
            </w:tcBorders>
            <w:noWrap w:val="0"/>
            <w:vAlign w:val="center"/>
          </w:tcPr>
          <w:p w14:paraId="13F18EB1">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4B45C0B2">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承包人报验后未及时进行验收</w:t>
            </w:r>
          </w:p>
        </w:tc>
        <w:tc>
          <w:tcPr>
            <w:tcW w:w="2471" w:type="dxa"/>
            <w:tcBorders>
              <w:top w:val="nil"/>
              <w:left w:val="nil"/>
              <w:bottom w:val="single" w:color="auto" w:sz="4" w:space="0"/>
              <w:right w:val="single" w:color="auto" w:sz="4" w:space="0"/>
            </w:tcBorders>
            <w:noWrap w:val="0"/>
            <w:vAlign w:val="center"/>
          </w:tcPr>
          <w:p w14:paraId="5995641A">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5A7EF31B">
            <w:pPr>
              <w:widowControl/>
              <w:spacing w:line="400" w:lineRule="exact"/>
              <w:jc w:val="center"/>
              <w:rPr>
                <w:rFonts w:ascii="宋体" w:hAnsi="宋体" w:cs="宋体"/>
                <w:color w:val="auto"/>
                <w:kern w:val="0"/>
                <w:szCs w:val="21"/>
                <w:highlight w:val="none"/>
              </w:rPr>
            </w:pPr>
          </w:p>
        </w:tc>
      </w:tr>
      <w:tr w14:paraId="0CEB52FE">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19433B62">
            <w:pPr>
              <w:widowControl/>
              <w:spacing w:line="400" w:lineRule="exact"/>
              <w:jc w:val="left"/>
              <w:rPr>
                <w:rFonts w:ascii="宋体" w:hAnsi="宋体" w:cs="宋体"/>
                <w:color w:val="auto"/>
                <w:kern w:val="0"/>
                <w:szCs w:val="21"/>
                <w:highlight w:val="none"/>
              </w:rPr>
            </w:pPr>
          </w:p>
        </w:tc>
        <w:tc>
          <w:tcPr>
            <w:tcW w:w="1374" w:type="dxa"/>
            <w:vMerge w:val="continue"/>
            <w:tcBorders>
              <w:top w:val="single" w:color="auto" w:sz="4" w:space="0"/>
              <w:left w:val="single" w:color="auto" w:sz="4" w:space="0"/>
              <w:bottom w:val="single" w:color="000000" w:sz="4" w:space="0"/>
              <w:right w:val="single" w:color="auto" w:sz="4" w:space="0"/>
            </w:tcBorders>
            <w:noWrap w:val="0"/>
            <w:vAlign w:val="center"/>
          </w:tcPr>
          <w:p w14:paraId="4B36BBC3">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1317AA3F">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验收资料不完整或签批不规范</w:t>
            </w:r>
          </w:p>
        </w:tc>
        <w:tc>
          <w:tcPr>
            <w:tcW w:w="2471" w:type="dxa"/>
            <w:tcBorders>
              <w:top w:val="nil"/>
              <w:left w:val="nil"/>
              <w:bottom w:val="single" w:color="auto" w:sz="4" w:space="0"/>
              <w:right w:val="single" w:color="auto" w:sz="4" w:space="0"/>
            </w:tcBorders>
            <w:noWrap w:val="0"/>
            <w:vAlign w:val="center"/>
          </w:tcPr>
          <w:p w14:paraId="080A5860">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0.25‰-0.5‰</w:t>
            </w:r>
          </w:p>
        </w:tc>
        <w:tc>
          <w:tcPr>
            <w:tcW w:w="850" w:type="dxa"/>
            <w:tcBorders>
              <w:top w:val="nil"/>
              <w:left w:val="nil"/>
              <w:bottom w:val="single" w:color="auto" w:sz="4" w:space="0"/>
              <w:right w:val="single" w:color="auto" w:sz="4" w:space="0"/>
            </w:tcBorders>
            <w:noWrap w:val="0"/>
            <w:vAlign w:val="center"/>
          </w:tcPr>
          <w:p w14:paraId="705577F2">
            <w:pPr>
              <w:widowControl/>
              <w:spacing w:line="400" w:lineRule="exact"/>
              <w:jc w:val="center"/>
              <w:rPr>
                <w:rFonts w:ascii="宋体" w:hAnsi="宋体" w:cs="宋体"/>
                <w:color w:val="auto"/>
                <w:kern w:val="0"/>
                <w:szCs w:val="21"/>
                <w:highlight w:val="none"/>
              </w:rPr>
            </w:pPr>
          </w:p>
        </w:tc>
      </w:tr>
      <w:tr w14:paraId="0D180EB9">
        <w:tblPrEx>
          <w:tblCellMar>
            <w:top w:w="0" w:type="dxa"/>
            <w:left w:w="108" w:type="dxa"/>
            <w:bottom w:w="0" w:type="dxa"/>
            <w:right w:w="108" w:type="dxa"/>
          </w:tblCellMar>
        </w:tblPrEx>
        <w:trPr>
          <w:jc w:val="center"/>
        </w:trPr>
        <w:tc>
          <w:tcPr>
            <w:tcW w:w="589" w:type="dxa"/>
            <w:vMerge w:val="restart"/>
            <w:tcBorders>
              <w:top w:val="nil"/>
              <w:left w:val="single" w:color="auto" w:sz="4" w:space="0"/>
              <w:bottom w:val="single" w:color="000000" w:sz="4" w:space="0"/>
              <w:right w:val="single" w:color="auto" w:sz="4" w:space="0"/>
            </w:tcBorders>
            <w:noWrap w:val="0"/>
            <w:vAlign w:val="center"/>
          </w:tcPr>
          <w:p w14:paraId="44A3345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安全生产管理履责</w:t>
            </w:r>
          </w:p>
        </w:tc>
        <w:tc>
          <w:tcPr>
            <w:tcW w:w="1374" w:type="dxa"/>
            <w:vMerge w:val="restart"/>
            <w:tcBorders>
              <w:top w:val="nil"/>
              <w:left w:val="single" w:color="auto" w:sz="4" w:space="0"/>
              <w:bottom w:val="single" w:color="000000" w:sz="4" w:space="0"/>
              <w:right w:val="single" w:color="auto" w:sz="4" w:space="0"/>
            </w:tcBorders>
            <w:noWrap w:val="0"/>
            <w:vAlign w:val="center"/>
          </w:tcPr>
          <w:p w14:paraId="2FD1AA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安全生产管理的监理工作</w:t>
            </w:r>
          </w:p>
        </w:tc>
        <w:tc>
          <w:tcPr>
            <w:tcW w:w="4395" w:type="dxa"/>
            <w:tcBorders>
              <w:top w:val="nil"/>
              <w:left w:val="nil"/>
              <w:bottom w:val="single" w:color="auto" w:sz="4" w:space="0"/>
              <w:right w:val="single" w:color="auto" w:sz="4" w:space="0"/>
            </w:tcBorders>
            <w:noWrap w:val="0"/>
            <w:vAlign w:val="center"/>
          </w:tcPr>
          <w:p w14:paraId="47822B0D">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未核查施工单位安全生产许可证、规章制度、安全生产管理体系等</w:t>
            </w:r>
          </w:p>
        </w:tc>
        <w:tc>
          <w:tcPr>
            <w:tcW w:w="2471" w:type="dxa"/>
            <w:tcBorders>
              <w:top w:val="nil"/>
              <w:left w:val="nil"/>
              <w:bottom w:val="single" w:color="auto" w:sz="4" w:space="0"/>
              <w:right w:val="single" w:color="auto" w:sz="4" w:space="0"/>
            </w:tcBorders>
            <w:noWrap w:val="0"/>
            <w:vAlign w:val="center"/>
          </w:tcPr>
          <w:p w14:paraId="78D73184">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68247F76">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37C4BBAD">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030C3F5A">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noWrap w:val="0"/>
            <w:vAlign w:val="center"/>
          </w:tcPr>
          <w:p w14:paraId="28F98493">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2B7C99E0">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对施工单位项目经理、专职安全管理人员和特殊作业人员资格不合格未作识别</w:t>
            </w:r>
          </w:p>
        </w:tc>
        <w:tc>
          <w:tcPr>
            <w:tcW w:w="2471" w:type="dxa"/>
            <w:tcBorders>
              <w:top w:val="nil"/>
              <w:left w:val="nil"/>
              <w:bottom w:val="single" w:color="auto" w:sz="4" w:space="0"/>
              <w:right w:val="single" w:color="auto" w:sz="4" w:space="0"/>
            </w:tcBorders>
            <w:noWrap w:val="0"/>
            <w:vAlign w:val="center"/>
          </w:tcPr>
          <w:p w14:paraId="1BC25D3D">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63669C0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26FAEB16">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28AA7AFA">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noWrap w:val="0"/>
            <w:vAlign w:val="center"/>
          </w:tcPr>
          <w:p w14:paraId="369ED79E">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3F8D1E0F">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未核查施工机械和设施（大型起重吊装机械、自升式设备等）的安全许可验收手续</w:t>
            </w:r>
          </w:p>
        </w:tc>
        <w:tc>
          <w:tcPr>
            <w:tcW w:w="2471" w:type="dxa"/>
            <w:tcBorders>
              <w:top w:val="nil"/>
              <w:left w:val="nil"/>
              <w:bottom w:val="single" w:color="auto" w:sz="4" w:space="0"/>
              <w:right w:val="single" w:color="auto" w:sz="4" w:space="0"/>
            </w:tcBorders>
            <w:noWrap w:val="0"/>
            <w:vAlign w:val="center"/>
          </w:tcPr>
          <w:p w14:paraId="44B5D1A4">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6501478E">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55C26FF1">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306144CA">
            <w:pPr>
              <w:widowControl/>
              <w:spacing w:line="400" w:lineRule="exact"/>
              <w:jc w:val="left"/>
              <w:rPr>
                <w:rFonts w:ascii="宋体" w:hAnsi="宋体" w:cs="宋体"/>
                <w:color w:val="auto"/>
                <w:kern w:val="0"/>
                <w:szCs w:val="21"/>
                <w:highlight w:val="none"/>
              </w:rPr>
            </w:pPr>
          </w:p>
        </w:tc>
        <w:tc>
          <w:tcPr>
            <w:tcW w:w="1374" w:type="dxa"/>
            <w:vMerge w:val="restart"/>
            <w:tcBorders>
              <w:top w:val="nil"/>
              <w:left w:val="single" w:color="auto" w:sz="4" w:space="0"/>
              <w:bottom w:val="single" w:color="000000" w:sz="4" w:space="0"/>
              <w:right w:val="single" w:color="auto" w:sz="4" w:space="0"/>
            </w:tcBorders>
            <w:noWrap w:val="0"/>
            <w:vAlign w:val="center"/>
          </w:tcPr>
          <w:p w14:paraId="72229FB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审查安全专项施工方案</w:t>
            </w:r>
          </w:p>
        </w:tc>
        <w:tc>
          <w:tcPr>
            <w:tcW w:w="4395" w:type="dxa"/>
            <w:tcBorders>
              <w:top w:val="nil"/>
              <w:left w:val="nil"/>
              <w:bottom w:val="single" w:color="auto" w:sz="4" w:space="0"/>
              <w:right w:val="single" w:color="auto" w:sz="4" w:space="0"/>
            </w:tcBorders>
            <w:noWrap w:val="0"/>
            <w:vAlign w:val="center"/>
          </w:tcPr>
          <w:p w14:paraId="09439F2C">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未审查</w:t>
            </w:r>
          </w:p>
        </w:tc>
        <w:tc>
          <w:tcPr>
            <w:tcW w:w="2471" w:type="dxa"/>
            <w:tcBorders>
              <w:top w:val="nil"/>
              <w:left w:val="nil"/>
              <w:bottom w:val="single" w:color="auto" w:sz="4" w:space="0"/>
              <w:right w:val="single" w:color="auto" w:sz="4" w:space="0"/>
            </w:tcBorders>
            <w:noWrap w:val="0"/>
            <w:vAlign w:val="center"/>
          </w:tcPr>
          <w:p w14:paraId="5C088591">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50" w:type="dxa"/>
            <w:tcBorders>
              <w:top w:val="nil"/>
              <w:left w:val="nil"/>
              <w:bottom w:val="single" w:color="auto" w:sz="4" w:space="0"/>
              <w:right w:val="single" w:color="auto" w:sz="4" w:space="0"/>
            </w:tcBorders>
            <w:noWrap w:val="0"/>
            <w:vAlign w:val="center"/>
          </w:tcPr>
          <w:p w14:paraId="562B998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12F0CF4A">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3659293B">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noWrap w:val="0"/>
            <w:vAlign w:val="center"/>
          </w:tcPr>
          <w:p w14:paraId="211EBED9">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51FFEF1A">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未识别是否符合强制性标准</w:t>
            </w:r>
          </w:p>
        </w:tc>
        <w:tc>
          <w:tcPr>
            <w:tcW w:w="2471" w:type="dxa"/>
            <w:tcBorders>
              <w:top w:val="nil"/>
              <w:left w:val="nil"/>
              <w:bottom w:val="single" w:color="auto" w:sz="4" w:space="0"/>
              <w:right w:val="single" w:color="auto" w:sz="4" w:space="0"/>
            </w:tcBorders>
            <w:noWrap w:val="0"/>
            <w:vAlign w:val="center"/>
          </w:tcPr>
          <w:p w14:paraId="71D48EC4">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16DC9C48">
            <w:pPr>
              <w:widowControl/>
              <w:spacing w:line="400" w:lineRule="exact"/>
              <w:jc w:val="center"/>
              <w:rPr>
                <w:rFonts w:ascii="宋体" w:hAnsi="宋体" w:cs="宋体"/>
                <w:color w:val="auto"/>
                <w:kern w:val="0"/>
                <w:szCs w:val="21"/>
                <w:highlight w:val="none"/>
              </w:rPr>
            </w:pPr>
          </w:p>
        </w:tc>
      </w:tr>
      <w:tr w14:paraId="1B6CC21B">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0D385DDA">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noWrap w:val="0"/>
            <w:vAlign w:val="center"/>
          </w:tcPr>
          <w:p w14:paraId="594524BE">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0A358614">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未检查施工单位对超过一定规模的危险性较大的分部分项工程的专项施工方案是否组织专家论证、审查</w:t>
            </w:r>
          </w:p>
        </w:tc>
        <w:tc>
          <w:tcPr>
            <w:tcW w:w="2471" w:type="dxa"/>
            <w:tcBorders>
              <w:top w:val="nil"/>
              <w:left w:val="nil"/>
              <w:bottom w:val="single" w:color="auto" w:sz="4" w:space="0"/>
              <w:right w:val="single" w:color="auto" w:sz="4" w:space="0"/>
            </w:tcBorders>
            <w:noWrap w:val="0"/>
            <w:vAlign w:val="center"/>
          </w:tcPr>
          <w:p w14:paraId="0C0C5F49">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51343B2B">
            <w:pPr>
              <w:widowControl/>
              <w:spacing w:line="400" w:lineRule="exact"/>
              <w:jc w:val="center"/>
              <w:rPr>
                <w:rFonts w:ascii="宋体" w:hAnsi="宋体" w:cs="宋体"/>
                <w:color w:val="auto"/>
                <w:kern w:val="0"/>
                <w:szCs w:val="21"/>
                <w:highlight w:val="none"/>
              </w:rPr>
            </w:pPr>
          </w:p>
        </w:tc>
      </w:tr>
      <w:tr w14:paraId="54CE9F8E">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2F591BB6">
            <w:pPr>
              <w:widowControl/>
              <w:spacing w:line="400" w:lineRule="exact"/>
              <w:jc w:val="left"/>
              <w:rPr>
                <w:rFonts w:ascii="宋体" w:hAnsi="宋体" w:cs="宋体"/>
                <w:color w:val="auto"/>
                <w:kern w:val="0"/>
                <w:szCs w:val="21"/>
                <w:highlight w:val="none"/>
              </w:rPr>
            </w:pPr>
          </w:p>
        </w:tc>
        <w:tc>
          <w:tcPr>
            <w:tcW w:w="1374" w:type="dxa"/>
            <w:tcBorders>
              <w:top w:val="nil"/>
              <w:left w:val="nil"/>
              <w:bottom w:val="single" w:color="auto" w:sz="4" w:space="0"/>
              <w:right w:val="single" w:color="auto" w:sz="4" w:space="0"/>
            </w:tcBorders>
            <w:noWrap w:val="0"/>
            <w:vAlign w:val="center"/>
          </w:tcPr>
          <w:p w14:paraId="5A275A2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安全费用</w:t>
            </w:r>
          </w:p>
        </w:tc>
        <w:tc>
          <w:tcPr>
            <w:tcW w:w="4395" w:type="dxa"/>
            <w:tcBorders>
              <w:top w:val="nil"/>
              <w:left w:val="nil"/>
              <w:bottom w:val="single" w:color="auto" w:sz="4" w:space="0"/>
              <w:right w:val="single" w:color="auto" w:sz="4" w:space="0"/>
            </w:tcBorders>
            <w:noWrap w:val="0"/>
            <w:vAlign w:val="center"/>
          </w:tcPr>
          <w:p w14:paraId="1CAF46CD">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未对施工单位安全费用使用情况、安全投入落实情况进行监督</w:t>
            </w:r>
          </w:p>
        </w:tc>
        <w:tc>
          <w:tcPr>
            <w:tcW w:w="2471" w:type="dxa"/>
            <w:tcBorders>
              <w:top w:val="nil"/>
              <w:left w:val="nil"/>
              <w:bottom w:val="single" w:color="auto" w:sz="4" w:space="0"/>
              <w:right w:val="single" w:color="auto" w:sz="4" w:space="0"/>
            </w:tcBorders>
            <w:noWrap w:val="0"/>
            <w:vAlign w:val="center"/>
          </w:tcPr>
          <w:p w14:paraId="47B77CCE">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6E7C4432">
            <w:pPr>
              <w:widowControl/>
              <w:spacing w:line="400" w:lineRule="exact"/>
              <w:jc w:val="center"/>
              <w:rPr>
                <w:rFonts w:ascii="宋体" w:hAnsi="宋体" w:cs="宋体"/>
                <w:color w:val="auto"/>
                <w:kern w:val="0"/>
                <w:szCs w:val="21"/>
                <w:highlight w:val="none"/>
              </w:rPr>
            </w:pPr>
          </w:p>
        </w:tc>
      </w:tr>
      <w:tr w14:paraId="66D14C68">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258E8325">
            <w:pPr>
              <w:widowControl/>
              <w:spacing w:line="400" w:lineRule="exact"/>
              <w:jc w:val="left"/>
              <w:rPr>
                <w:rFonts w:ascii="宋体" w:hAnsi="宋体" w:cs="宋体"/>
                <w:color w:val="auto"/>
                <w:kern w:val="0"/>
                <w:szCs w:val="21"/>
                <w:highlight w:val="none"/>
              </w:rPr>
            </w:pPr>
          </w:p>
        </w:tc>
        <w:tc>
          <w:tcPr>
            <w:tcW w:w="1374" w:type="dxa"/>
            <w:tcBorders>
              <w:top w:val="nil"/>
              <w:left w:val="nil"/>
              <w:bottom w:val="single" w:color="auto" w:sz="4" w:space="0"/>
              <w:right w:val="single" w:color="auto" w:sz="4" w:space="0"/>
            </w:tcBorders>
            <w:noWrap w:val="0"/>
            <w:vAlign w:val="center"/>
          </w:tcPr>
          <w:p w14:paraId="5B45241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应急管理</w:t>
            </w:r>
          </w:p>
        </w:tc>
        <w:tc>
          <w:tcPr>
            <w:tcW w:w="4395" w:type="dxa"/>
            <w:tcBorders>
              <w:top w:val="nil"/>
              <w:left w:val="nil"/>
              <w:bottom w:val="single" w:color="auto" w:sz="4" w:space="0"/>
              <w:right w:val="single" w:color="auto" w:sz="4" w:space="0"/>
            </w:tcBorders>
            <w:noWrap w:val="0"/>
            <w:vAlign w:val="center"/>
          </w:tcPr>
          <w:p w14:paraId="039D4C1A">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未对施工单位应急救援预案进行审查或未督促开展演练</w:t>
            </w:r>
          </w:p>
        </w:tc>
        <w:tc>
          <w:tcPr>
            <w:tcW w:w="2471" w:type="dxa"/>
            <w:tcBorders>
              <w:top w:val="nil"/>
              <w:left w:val="nil"/>
              <w:bottom w:val="single" w:color="auto" w:sz="4" w:space="0"/>
              <w:right w:val="single" w:color="auto" w:sz="4" w:space="0"/>
            </w:tcBorders>
            <w:noWrap w:val="0"/>
            <w:vAlign w:val="center"/>
          </w:tcPr>
          <w:p w14:paraId="614F1100">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63719A4A">
            <w:pPr>
              <w:widowControl/>
              <w:spacing w:line="400" w:lineRule="exact"/>
              <w:jc w:val="center"/>
              <w:rPr>
                <w:rFonts w:ascii="宋体" w:hAnsi="宋体" w:cs="宋体"/>
                <w:color w:val="auto"/>
                <w:kern w:val="0"/>
                <w:szCs w:val="21"/>
                <w:highlight w:val="none"/>
              </w:rPr>
            </w:pPr>
          </w:p>
        </w:tc>
      </w:tr>
      <w:tr w14:paraId="2F4FE012">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0AB300B9">
            <w:pPr>
              <w:widowControl/>
              <w:spacing w:line="400" w:lineRule="exact"/>
              <w:jc w:val="left"/>
              <w:rPr>
                <w:rFonts w:ascii="宋体" w:hAnsi="宋体" w:cs="宋体"/>
                <w:color w:val="auto"/>
                <w:kern w:val="0"/>
                <w:szCs w:val="21"/>
                <w:highlight w:val="none"/>
              </w:rPr>
            </w:pPr>
          </w:p>
        </w:tc>
        <w:tc>
          <w:tcPr>
            <w:tcW w:w="1374" w:type="dxa"/>
            <w:vMerge w:val="restart"/>
            <w:tcBorders>
              <w:top w:val="nil"/>
              <w:left w:val="single" w:color="auto" w:sz="4" w:space="0"/>
              <w:bottom w:val="single" w:color="000000" w:sz="4" w:space="0"/>
              <w:right w:val="single" w:color="auto" w:sz="4" w:space="0"/>
            </w:tcBorders>
            <w:noWrap w:val="0"/>
            <w:vAlign w:val="center"/>
          </w:tcPr>
          <w:p w14:paraId="32C74EB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工程安全巡视</w:t>
            </w:r>
          </w:p>
        </w:tc>
        <w:tc>
          <w:tcPr>
            <w:tcW w:w="4395" w:type="dxa"/>
            <w:tcBorders>
              <w:top w:val="nil"/>
              <w:left w:val="nil"/>
              <w:bottom w:val="single" w:color="auto" w:sz="4" w:space="0"/>
              <w:right w:val="single" w:color="auto" w:sz="4" w:space="0"/>
            </w:tcBorders>
            <w:noWrap w:val="0"/>
            <w:vAlign w:val="center"/>
          </w:tcPr>
          <w:p w14:paraId="46FEB624">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未按监理规划或实施细则进行巡查</w:t>
            </w:r>
          </w:p>
        </w:tc>
        <w:tc>
          <w:tcPr>
            <w:tcW w:w="2471" w:type="dxa"/>
            <w:tcBorders>
              <w:top w:val="nil"/>
              <w:left w:val="nil"/>
              <w:bottom w:val="single" w:color="auto" w:sz="4" w:space="0"/>
              <w:right w:val="single" w:color="auto" w:sz="4" w:space="0"/>
            </w:tcBorders>
            <w:noWrap w:val="0"/>
            <w:vAlign w:val="center"/>
          </w:tcPr>
          <w:p w14:paraId="12D4159B">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0AE13C38">
            <w:pPr>
              <w:widowControl/>
              <w:spacing w:line="400" w:lineRule="exact"/>
              <w:jc w:val="center"/>
              <w:rPr>
                <w:rFonts w:ascii="宋体" w:hAnsi="宋体" w:cs="宋体"/>
                <w:color w:val="auto"/>
                <w:kern w:val="0"/>
                <w:szCs w:val="21"/>
                <w:highlight w:val="none"/>
              </w:rPr>
            </w:pPr>
          </w:p>
        </w:tc>
      </w:tr>
      <w:tr w14:paraId="0AF57C4A">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33432A3D">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noWrap w:val="0"/>
            <w:vAlign w:val="center"/>
          </w:tcPr>
          <w:p w14:paraId="456356BA">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25FD3A9D">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发现安全隐患未及时处理</w:t>
            </w:r>
          </w:p>
        </w:tc>
        <w:tc>
          <w:tcPr>
            <w:tcW w:w="2471" w:type="dxa"/>
            <w:tcBorders>
              <w:top w:val="nil"/>
              <w:left w:val="nil"/>
              <w:bottom w:val="single" w:color="auto" w:sz="4" w:space="0"/>
              <w:right w:val="single" w:color="auto" w:sz="4" w:space="0"/>
            </w:tcBorders>
            <w:noWrap w:val="0"/>
            <w:vAlign w:val="center"/>
          </w:tcPr>
          <w:p w14:paraId="1B8F273D">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63051BD8">
            <w:pPr>
              <w:widowControl/>
              <w:spacing w:line="400" w:lineRule="exact"/>
              <w:jc w:val="center"/>
              <w:rPr>
                <w:rFonts w:ascii="宋体" w:hAnsi="宋体" w:cs="宋体"/>
                <w:color w:val="auto"/>
                <w:kern w:val="0"/>
                <w:szCs w:val="21"/>
                <w:highlight w:val="none"/>
              </w:rPr>
            </w:pPr>
          </w:p>
        </w:tc>
      </w:tr>
      <w:tr w14:paraId="16C82396">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3F42D942">
            <w:pPr>
              <w:widowControl/>
              <w:spacing w:line="400" w:lineRule="exact"/>
              <w:jc w:val="left"/>
              <w:rPr>
                <w:rFonts w:ascii="宋体" w:hAnsi="宋体" w:cs="宋体"/>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noWrap w:val="0"/>
            <w:vAlign w:val="center"/>
          </w:tcPr>
          <w:p w14:paraId="6E3B1777">
            <w:pPr>
              <w:widowControl/>
              <w:spacing w:line="400" w:lineRule="exact"/>
              <w:jc w:val="left"/>
              <w:rPr>
                <w:rFonts w:ascii="宋体" w:hAnsi="宋体" w:cs="宋体"/>
                <w:color w:val="auto"/>
                <w:kern w:val="0"/>
                <w:szCs w:val="21"/>
                <w:highlight w:val="none"/>
              </w:rPr>
            </w:pPr>
          </w:p>
        </w:tc>
        <w:tc>
          <w:tcPr>
            <w:tcW w:w="4395" w:type="dxa"/>
            <w:tcBorders>
              <w:top w:val="nil"/>
              <w:left w:val="nil"/>
              <w:bottom w:val="single" w:color="auto" w:sz="4" w:space="0"/>
              <w:right w:val="single" w:color="auto" w:sz="4" w:space="0"/>
            </w:tcBorders>
            <w:noWrap w:val="0"/>
            <w:vAlign w:val="center"/>
          </w:tcPr>
          <w:p w14:paraId="0F68F193">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对安全隐患处理意见或整改结果无记录</w:t>
            </w:r>
          </w:p>
        </w:tc>
        <w:tc>
          <w:tcPr>
            <w:tcW w:w="2471" w:type="dxa"/>
            <w:tcBorders>
              <w:top w:val="nil"/>
              <w:left w:val="nil"/>
              <w:bottom w:val="single" w:color="auto" w:sz="4" w:space="0"/>
              <w:right w:val="single" w:color="auto" w:sz="4" w:space="0"/>
            </w:tcBorders>
            <w:noWrap w:val="0"/>
            <w:vAlign w:val="center"/>
          </w:tcPr>
          <w:p w14:paraId="7288FAA5">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0.25‰-0.5‰</w:t>
            </w:r>
          </w:p>
        </w:tc>
        <w:tc>
          <w:tcPr>
            <w:tcW w:w="850" w:type="dxa"/>
            <w:tcBorders>
              <w:top w:val="nil"/>
              <w:left w:val="nil"/>
              <w:bottom w:val="single" w:color="auto" w:sz="4" w:space="0"/>
              <w:right w:val="single" w:color="auto" w:sz="4" w:space="0"/>
            </w:tcBorders>
            <w:noWrap w:val="0"/>
            <w:vAlign w:val="center"/>
          </w:tcPr>
          <w:p w14:paraId="53039542">
            <w:pPr>
              <w:widowControl/>
              <w:spacing w:line="400" w:lineRule="exact"/>
              <w:jc w:val="center"/>
              <w:rPr>
                <w:rFonts w:ascii="宋体" w:hAnsi="宋体" w:cs="宋体"/>
                <w:color w:val="auto"/>
                <w:kern w:val="0"/>
                <w:szCs w:val="21"/>
                <w:highlight w:val="none"/>
              </w:rPr>
            </w:pPr>
          </w:p>
        </w:tc>
      </w:tr>
      <w:tr w14:paraId="27C2C516">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noWrap w:val="0"/>
            <w:vAlign w:val="center"/>
          </w:tcPr>
          <w:p w14:paraId="6B3F3CCC">
            <w:pPr>
              <w:widowControl/>
              <w:spacing w:line="400" w:lineRule="exact"/>
              <w:jc w:val="left"/>
              <w:rPr>
                <w:rFonts w:ascii="宋体" w:hAnsi="宋体" w:cs="宋体"/>
                <w:color w:val="auto"/>
                <w:kern w:val="0"/>
                <w:szCs w:val="21"/>
                <w:highlight w:val="none"/>
              </w:rPr>
            </w:pPr>
          </w:p>
        </w:tc>
        <w:tc>
          <w:tcPr>
            <w:tcW w:w="1374" w:type="dxa"/>
            <w:tcBorders>
              <w:top w:val="nil"/>
              <w:left w:val="nil"/>
              <w:bottom w:val="single" w:color="auto" w:sz="4" w:space="0"/>
              <w:right w:val="single" w:color="auto" w:sz="4" w:space="0"/>
            </w:tcBorders>
            <w:noWrap w:val="0"/>
            <w:vAlign w:val="center"/>
          </w:tcPr>
          <w:p w14:paraId="1B4335A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报告制度</w:t>
            </w:r>
          </w:p>
        </w:tc>
        <w:tc>
          <w:tcPr>
            <w:tcW w:w="4395" w:type="dxa"/>
            <w:tcBorders>
              <w:top w:val="nil"/>
              <w:left w:val="nil"/>
              <w:bottom w:val="single" w:color="auto" w:sz="4" w:space="0"/>
              <w:right w:val="single" w:color="auto" w:sz="4" w:space="0"/>
            </w:tcBorders>
            <w:noWrap w:val="0"/>
            <w:vAlign w:val="center"/>
          </w:tcPr>
          <w:p w14:paraId="3CD61379">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对发现安全事故隐患已经发出监理通知但施工单位拒不整改或不停止施工，监理未及时向建设单位和行政管理部门报告</w:t>
            </w:r>
          </w:p>
        </w:tc>
        <w:tc>
          <w:tcPr>
            <w:tcW w:w="2471" w:type="dxa"/>
            <w:tcBorders>
              <w:top w:val="nil"/>
              <w:left w:val="nil"/>
              <w:bottom w:val="single" w:color="auto" w:sz="4" w:space="0"/>
              <w:right w:val="single" w:color="auto" w:sz="4" w:space="0"/>
            </w:tcBorders>
            <w:noWrap w:val="0"/>
            <w:vAlign w:val="center"/>
          </w:tcPr>
          <w:p w14:paraId="622B0273">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0.5‰-1‰</w:t>
            </w:r>
          </w:p>
        </w:tc>
        <w:tc>
          <w:tcPr>
            <w:tcW w:w="850" w:type="dxa"/>
            <w:tcBorders>
              <w:top w:val="nil"/>
              <w:left w:val="nil"/>
              <w:bottom w:val="single" w:color="auto" w:sz="4" w:space="0"/>
              <w:right w:val="single" w:color="auto" w:sz="4" w:space="0"/>
            </w:tcBorders>
            <w:noWrap w:val="0"/>
            <w:vAlign w:val="center"/>
          </w:tcPr>
          <w:p w14:paraId="13B751DC">
            <w:pPr>
              <w:widowControl/>
              <w:spacing w:line="400" w:lineRule="exact"/>
              <w:jc w:val="center"/>
              <w:rPr>
                <w:rFonts w:ascii="宋体" w:hAnsi="宋体" w:cs="宋体"/>
                <w:color w:val="auto"/>
                <w:kern w:val="0"/>
                <w:szCs w:val="21"/>
                <w:highlight w:val="none"/>
              </w:rPr>
            </w:pPr>
          </w:p>
        </w:tc>
      </w:tr>
      <w:tr w14:paraId="26394D8B">
        <w:tblPrEx>
          <w:tblCellMar>
            <w:top w:w="0" w:type="dxa"/>
            <w:left w:w="108" w:type="dxa"/>
            <w:bottom w:w="0" w:type="dxa"/>
            <w:right w:w="108" w:type="dxa"/>
          </w:tblCellMar>
        </w:tblPrEx>
        <w:trPr>
          <w:jc w:val="center"/>
        </w:trPr>
        <w:tc>
          <w:tcPr>
            <w:tcW w:w="9679" w:type="dxa"/>
            <w:gridSpan w:val="5"/>
            <w:tcBorders>
              <w:top w:val="single" w:color="auto" w:sz="4" w:space="0"/>
              <w:left w:val="single" w:color="auto" w:sz="4" w:space="0"/>
              <w:bottom w:val="single" w:color="auto" w:sz="4" w:space="0"/>
              <w:right w:val="single" w:color="000000" w:sz="4" w:space="0"/>
            </w:tcBorders>
            <w:noWrap w:val="0"/>
            <w:vAlign w:val="center"/>
          </w:tcPr>
          <w:p w14:paraId="227372E3">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注：1、上表所列违约事项具体处罚标准由委托人及监理人在签订合同时在上表规定范围内自行约定。</w:t>
            </w:r>
          </w:p>
          <w:p w14:paraId="07A80223">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2、监理人发生以上★号违约情况时，委托人有权直接根据上表签订合同时约定的标准进行处罚。</w:t>
            </w:r>
          </w:p>
          <w:p w14:paraId="56BD78EF">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3、监理人发生以上非★号违约情况时，委托人可向监理人发出整改通知，要求其在限定期限内纠正。监理人收到整改通知后在限定期限内仍未纠正的，委托人有权根据上表签订合同时约定的标准进行处罚。</w:t>
            </w:r>
          </w:p>
        </w:tc>
      </w:tr>
    </w:tbl>
    <w:p w14:paraId="04BDF6EF">
      <w:pPr>
        <w:widowControl/>
        <w:spacing w:line="360" w:lineRule="auto"/>
        <w:jc w:val="left"/>
        <w:rPr>
          <w:rFonts w:ascii="宋体" w:hAnsi="宋体"/>
          <w:color w:val="auto"/>
          <w:szCs w:val="21"/>
          <w:highlight w:val="none"/>
        </w:rPr>
      </w:pPr>
    </w:p>
    <w:p w14:paraId="7F89166C">
      <w:pPr>
        <w:overflowPunct w:val="0"/>
        <w:autoSpaceDE w:val="0"/>
        <w:autoSpaceDN w:val="0"/>
        <w:adjustRightInd w:val="0"/>
        <w:snapToGrid w:val="0"/>
        <w:spacing w:line="320" w:lineRule="exact"/>
        <w:jc w:val="center"/>
        <w:rPr>
          <w:rFonts w:ascii="宋体" w:hAnsi="宋体" w:cs="方正仿宋_GBK"/>
          <w:b/>
          <w:bCs/>
          <w:color w:val="auto"/>
          <w:sz w:val="30"/>
          <w:szCs w:val="30"/>
          <w:highlight w:val="none"/>
        </w:rPr>
      </w:pPr>
      <w:r>
        <w:rPr>
          <w:rFonts w:hint="eastAsia" w:ascii="宋体" w:hAnsi="宋体" w:cs="方正仿宋_GBK"/>
          <w:b/>
          <w:bCs/>
          <w:color w:val="auto"/>
          <w:sz w:val="30"/>
          <w:szCs w:val="30"/>
          <w:highlight w:val="none"/>
        </w:rPr>
        <w:t>公司安全生产违约处罚标准</w:t>
      </w:r>
    </w:p>
    <w:p w14:paraId="120DEFEF">
      <w:pPr>
        <w:overflowPunct w:val="0"/>
        <w:autoSpaceDE w:val="0"/>
        <w:autoSpaceDN w:val="0"/>
        <w:adjustRightInd w:val="0"/>
        <w:snapToGrid w:val="0"/>
        <w:spacing w:line="320" w:lineRule="exact"/>
        <w:jc w:val="center"/>
        <w:rPr>
          <w:rFonts w:ascii="宋体" w:hAnsi="宋体" w:cs="方正仿宋_GBK"/>
          <w:bCs/>
          <w:color w:val="auto"/>
          <w:szCs w:val="21"/>
          <w:highlight w:val="none"/>
        </w:rPr>
      </w:pPr>
    </w:p>
    <w:tbl>
      <w:tblPr>
        <w:tblStyle w:val="20"/>
        <w:tblW w:w="9356" w:type="dxa"/>
        <w:jc w:val="center"/>
        <w:tblLayout w:type="fixed"/>
        <w:tblCellMar>
          <w:top w:w="0" w:type="dxa"/>
          <w:left w:w="108" w:type="dxa"/>
          <w:bottom w:w="0" w:type="dxa"/>
          <w:right w:w="108" w:type="dxa"/>
        </w:tblCellMar>
      </w:tblPr>
      <w:tblGrid>
        <w:gridCol w:w="710"/>
        <w:gridCol w:w="708"/>
        <w:gridCol w:w="3686"/>
        <w:gridCol w:w="3402"/>
        <w:gridCol w:w="850"/>
      </w:tblGrid>
      <w:tr w14:paraId="6FB795B7">
        <w:tblPrEx>
          <w:tblCellMar>
            <w:top w:w="0" w:type="dxa"/>
            <w:left w:w="108" w:type="dxa"/>
            <w:bottom w:w="0" w:type="dxa"/>
            <w:right w:w="108" w:type="dxa"/>
          </w:tblCellMar>
        </w:tblPrEx>
        <w:trPr>
          <w:cantSplit/>
          <w:trHeight w:val="454"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EE3CC18">
            <w:pPr>
              <w:overflowPunct w:val="0"/>
              <w:autoSpaceDE w:val="0"/>
              <w:autoSpaceDN w:val="0"/>
              <w:adjustRightInd w:val="0"/>
              <w:snapToGrid w:val="0"/>
              <w:spacing w:line="3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分类</w:t>
            </w:r>
          </w:p>
        </w:tc>
        <w:tc>
          <w:tcPr>
            <w:tcW w:w="708" w:type="dxa"/>
            <w:tcBorders>
              <w:top w:val="single" w:color="auto" w:sz="4" w:space="0"/>
              <w:left w:val="nil"/>
              <w:bottom w:val="single" w:color="auto" w:sz="4" w:space="0"/>
              <w:right w:val="single" w:color="auto" w:sz="4" w:space="0"/>
            </w:tcBorders>
            <w:noWrap w:val="0"/>
            <w:vAlign w:val="center"/>
          </w:tcPr>
          <w:p w14:paraId="78824692">
            <w:pPr>
              <w:overflowPunct w:val="0"/>
              <w:autoSpaceDE w:val="0"/>
              <w:autoSpaceDN w:val="0"/>
              <w:adjustRightInd w:val="0"/>
              <w:snapToGrid w:val="0"/>
              <w:spacing w:line="3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编号</w:t>
            </w:r>
          </w:p>
        </w:tc>
        <w:tc>
          <w:tcPr>
            <w:tcW w:w="3686" w:type="dxa"/>
            <w:tcBorders>
              <w:top w:val="single" w:color="auto" w:sz="4" w:space="0"/>
              <w:left w:val="nil"/>
              <w:bottom w:val="single" w:color="auto" w:sz="4" w:space="0"/>
              <w:right w:val="single" w:color="auto" w:sz="4" w:space="0"/>
            </w:tcBorders>
            <w:noWrap w:val="0"/>
            <w:vAlign w:val="center"/>
          </w:tcPr>
          <w:p w14:paraId="790C3073">
            <w:pPr>
              <w:overflowPunct w:val="0"/>
              <w:autoSpaceDE w:val="0"/>
              <w:autoSpaceDN w:val="0"/>
              <w:adjustRightInd w:val="0"/>
              <w:snapToGrid w:val="0"/>
              <w:spacing w:line="3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处罚事由</w:t>
            </w:r>
          </w:p>
        </w:tc>
        <w:tc>
          <w:tcPr>
            <w:tcW w:w="3402" w:type="dxa"/>
            <w:tcBorders>
              <w:top w:val="single" w:color="auto" w:sz="4" w:space="0"/>
              <w:left w:val="nil"/>
              <w:bottom w:val="single" w:color="auto" w:sz="4" w:space="0"/>
              <w:right w:val="single" w:color="auto" w:sz="4" w:space="0"/>
            </w:tcBorders>
            <w:noWrap w:val="0"/>
            <w:vAlign w:val="center"/>
          </w:tcPr>
          <w:p w14:paraId="27A0D582">
            <w:pPr>
              <w:overflowPunct w:val="0"/>
              <w:autoSpaceDE w:val="0"/>
              <w:autoSpaceDN w:val="0"/>
              <w:adjustRightInd w:val="0"/>
              <w:snapToGrid w:val="0"/>
              <w:spacing w:line="3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处罚标准</w:t>
            </w:r>
          </w:p>
        </w:tc>
        <w:tc>
          <w:tcPr>
            <w:tcW w:w="850" w:type="dxa"/>
            <w:tcBorders>
              <w:top w:val="single" w:color="auto" w:sz="4" w:space="0"/>
              <w:left w:val="nil"/>
              <w:bottom w:val="single" w:color="auto" w:sz="4" w:space="0"/>
              <w:right w:val="single" w:color="auto" w:sz="4" w:space="0"/>
            </w:tcBorders>
            <w:noWrap w:val="0"/>
            <w:vAlign w:val="center"/>
          </w:tcPr>
          <w:p w14:paraId="36E4AF5E">
            <w:pPr>
              <w:overflowPunct w:val="0"/>
              <w:autoSpaceDE w:val="0"/>
              <w:autoSpaceDN w:val="0"/>
              <w:adjustRightInd w:val="0"/>
              <w:snapToGrid w:val="0"/>
              <w:spacing w:line="3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7A727879">
        <w:tblPrEx>
          <w:tblCellMar>
            <w:top w:w="0" w:type="dxa"/>
            <w:left w:w="108" w:type="dxa"/>
            <w:bottom w:w="0" w:type="dxa"/>
            <w:right w:w="108" w:type="dxa"/>
          </w:tblCellMar>
        </w:tblPrEx>
        <w:trPr>
          <w:cantSplit/>
          <w:trHeight w:val="737" w:hRule="exact"/>
          <w:jc w:val="center"/>
        </w:trPr>
        <w:tc>
          <w:tcPr>
            <w:tcW w:w="710" w:type="dxa"/>
            <w:vMerge w:val="restart"/>
            <w:tcBorders>
              <w:top w:val="nil"/>
              <w:left w:val="single" w:color="auto" w:sz="4" w:space="0"/>
              <w:right w:val="single" w:color="auto" w:sz="4" w:space="0"/>
            </w:tcBorders>
            <w:noWrap w:val="0"/>
            <w:vAlign w:val="center"/>
          </w:tcPr>
          <w:p w14:paraId="031D11C8">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事故处罚办法</w:t>
            </w:r>
          </w:p>
        </w:tc>
        <w:tc>
          <w:tcPr>
            <w:tcW w:w="708" w:type="dxa"/>
            <w:tcBorders>
              <w:top w:val="nil"/>
              <w:left w:val="nil"/>
              <w:bottom w:val="single" w:color="auto" w:sz="4" w:space="0"/>
              <w:right w:val="single" w:color="auto" w:sz="4" w:space="0"/>
            </w:tcBorders>
            <w:noWrap w:val="0"/>
            <w:vAlign w:val="center"/>
          </w:tcPr>
          <w:p w14:paraId="11785241">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86" w:type="dxa"/>
            <w:tcBorders>
              <w:top w:val="nil"/>
              <w:left w:val="nil"/>
              <w:bottom w:val="single" w:color="auto" w:sz="4" w:space="0"/>
              <w:right w:val="single" w:color="auto" w:sz="4" w:space="0"/>
            </w:tcBorders>
            <w:noWrap w:val="0"/>
            <w:vAlign w:val="center"/>
          </w:tcPr>
          <w:p w14:paraId="4DD2A82B">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凡发生安全生产责任事故，未实现本工程安全管理目标的单位。</w:t>
            </w:r>
          </w:p>
        </w:tc>
        <w:tc>
          <w:tcPr>
            <w:tcW w:w="3402" w:type="dxa"/>
            <w:tcBorders>
              <w:top w:val="nil"/>
              <w:left w:val="nil"/>
              <w:bottom w:val="single" w:color="auto" w:sz="4" w:space="0"/>
              <w:right w:val="single" w:color="auto" w:sz="4" w:space="0"/>
            </w:tcBorders>
            <w:noWrap w:val="0"/>
            <w:vAlign w:val="center"/>
          </w:tcPr>
          <w:p w14:paraId="1075DF4C">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取消年终“安全生产先进单位”、“安全生产先进工作者”参评资格。</w:t>
            </w:r>
          </w:p>
        </w:tc>
        <w:tc>
          <w:tcPr>
            <w:tcW w:w="850" w:type="dxa"/>
            <w:tcBorders>
              <w:top w:val="nil"/>
              <w:left w:val="nil"/>
              <w:bottom w:val="single" w:color="auto" w:sz="4" w:space="0"/>
              <w:right w:val="single" w:color="auto" w:sz="4" w:space="0"/>
            </w:tcBorders>
            <w:noWrap w:val="0"/>
            <w:vAlign w:val="center"/>
          </w:tcPr>
          <w:p w14:paraId="4233AE04">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7F94B9A1">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right w:val="single" w:color="auto" w:sz="4" w:space="0"/>
            </w:tcBorders>
            <w:noWrap w:val="0"/>
            <w:vAlign w:val="center"/>
          </w:tcPr>
          <w:p w14:paraId="12F7920E">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7719287B">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86" w:type="dxa"/>
            <w:tcBorders>
              <w:top w:val="nil"/>
              <w:left w:val="nil"/>
              <w:bottom w:val="single" w:color="auto" w:sz="4" w:space="0"/>
              <w:right w:val="single" w:color="auto" w:sz="4" w:space="0"/>
            </w:tcBorders>
            <w:noWrap w:val="0"/>
            <w:vAlign w:val="center"/>
          </w:tcPr>
          <w:p w14:paraId="55857780">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施工单位发生3人以上人身死亡责任事故。</w:t>
            </w:r>
          </w:p>
        </w:tc>
        <w:tc>
          <w:tcPr>
            <w:tcW w:w="3402" w:type="dxa"/>
            <w:tcBorders>
              <w:top w:val="nil"/>
              <w:left w:val="nil"/>
              <w:bottom w:val="single" w:color="auto" w:sz="4" w:space="0"/>
              <w:right w:val="single" w:color="auto" w:sz="4" w:space="0"/>
            </w:tcBorders>
            <w:noWrap w:val="0"/>
            <w:vAlign w:val="center"/>
          </w:tcPr>
          <w:p w14:paraId="0E230D81">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处以施工单位30万元以上违约金；处以监理单位10万元以上违约金。</w:t>
            </w:r>
          </w:p>
        </w:tc>
        <w:tc>
          <w:tcPr>
            <w:tcW w:w="850" w:type="dxa"/>
            <w:tcBorders>
              <w:top w:val="nil"/>
              <w:left w:val="nil"/>
              <w:bottom w:val="single" w:color="auto" w:sz="4" w:space="0"/>
              <w:right w:val="single" w:color="auto" w:sz="4" w:space="0"/>
            </w:tcBorders>
            <w:noWrap w:val="0"/>
            <w:vAlign w:val="center"/>
          </w:tcPr>
          <w:p w14:paraId="356E98F2">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56A08FA6">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right w:val="single" w:color="auto" w:sz="4" w:space="0"/>
            </w:tcBorders>
            <w:noWrap w:val="0"/>
            <w:vAlign w:val="center"/>
          </w:tcPr>
          <w:p w14:paraId="7BF5B381">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2D7728A7">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686" w:type="dxa"/>
            <w:tcBorders>
              <w:top w:val="nil"/>
              <w:left w:val="nil"/>
              <w:bottom w:val="single" w:color="auto" w:sz="4" w:space="0"/>
              <w:right w:val="single" w:color="auto" w:sz="4" w:space="0"/>
            </w:tcBorders>
            <w:noWrap w:val="0"/>
            <w:vAlign w:val="center"/>
          </w:tcPr>
          <w:p w14:paraId="1579CCAF">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施工单位发生1-3人人身死亡责任事故。</w:t>
            </w:r>
          </w:p>
        </w:tc>
        <w:tc>
          <w:tcPr>
            <w:tcW w:w="3402" w:type="dxa"/>
            <w:tcBorders>
              <w:top w:val="nil"/>
              <w:left w:val="nil"/>
              <w:bottom w:val="single" w:color="auto" w:sz="4" w:space="0"/>
              <w:right w:val="single" w:color="auto" w:sz="4" w:space="0"/>
            </w:tcBorders>
            <w:noWrap w:val="0"/>
            <w:vAlign w:val="center"/>
          </w:tcPr>
          <w:p w14:paraId="4B64E915">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处以施工单位10-30万元的违约金；处以监理单位5-10万元违约金。</w:t>
            </w:r>
          </w:p>
        </w:tc>
        <w:tc>
          <w:tcPr>
            <w:tcW w:w="850" w:type="dxa"/>
            <w:tcBorders>
              <w:top w:val="nil"/>
              <w:left w:val="nil"/>
              <w:bottom w:val="single" w:color="auto" w:sz="4" w:space="0"/>
              <w:right w:val="single" w:color="auto" w:sz="4" w:space="0"/>
            </w:tcBorders>
            <w:noWrap w:val="0"/>
            <w:vAlign w:val="center"/>
          </w:tcPr>
          <w:p w14:paraId="2A9280DF">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79CD22CF">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right w:val="single" w:color="auto" w:sz="4" w:space="0"/>
            </w:tcBorders>
            <w:noWrap w:val="0"/>
            <w:vAlign w:val="center"/>
          </w:tcPr>
          <w:p w14:paraId="2E6BD917">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4D9843B7">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686" w:type="dxa"/>
            <w:tcBorders>
              <w:top w:val="nil"/>
              <w:left w:val="nil"/>
              <w:bottom w:val="single" w:color="auto" w:sz="4" w:space="0"/>
              <w:right w:val="single" w:color="auto" w:sz="4" w:space="0"/>
            </w:tcBorders>
            <w:noWrap w:val="0"/>
            <w:vAlign w:val="center"/>
          </w:tcPr>
          <w:p w14:paraId="3CC0F366">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施工单位发生重伤事故或3人(含3人)以上群伤事故。</w:t>
            </w:r>
          </w:p>
        </w:tc>
        <w:tc>
          <w:tcPr>
            <w:tcW w:w="3402" w:type="dxa"/>
            <w:tcBorders>
              <w:top w:val="nil"/>
              <w:left w:val="nil"/>
              <w:bottom w:val="single" w:color="auto" w:sz="4" w:space="0"/>
              <w:right w:val="single" w:color="auto" w:sz="4" w:space="0"/>
            </w:tcBorders>
            <w:noWrap w:val="0"/>
            <w:vAlign w:val="center"/>
          </w:tcPr>
          <w:p w14:paraId="547C8446">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对施工单位处以5-10万元的违约金。</w:t>
            </w:r>
          </w:p>
        </w:tc>
        <w:tc>
          <w:tcPr>
            <w:tcW w:w="850" w:type="dxa"/>
            <w:tcBorders>
              <w:top w:val="nil"/>
              <w:left w:val="nil"/>
              <w:bottom w:val="single" w:color="auto" w:sz="4" w:space="0"/>
              <w:right w:val="single" w:color="auto" w:sz="4" w:space="0"/>
            </w:tcBorders>
            <w:noWrap w:val="0"/>
            <w:vAlign w:val="center"/>
          </w:tcPr>
          <w:p w14:paraId="1558F8EA">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3A0CBA6A">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right w:val="single" w:color="auto" w:sz="4" w:space="0"/>
            </w:tcBorders>
            <w:noWrap w:val="0"/>
            <w:vAlign w:val="center"/>
          </w:tcPr>
          <w:p w14:paraId="72D38C55">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32F3A52E">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3686" w:type="dxa"/>
            <w:tcBorders>
              <w:top w:val="nil"/>
              <w:left w:val="nil"/>
              <w:bottom w:val="single" w:color="auto" w:sz="4" w:space="0"/>
              <w:right w:val="single" w:color="auto" w:sz="4" w:space="0"/>
            </w:tcBorders>
            <w:noWrap w:val="0"/>
            <w:vAlign w:val="center"/>
          </w:tcPr>
          <w:p w14:paraId="67791EB2">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发生爆炸物品丢失或者被盗事件。</w:t>
            </w:r>
          </w:p>
        </w:tc>
        <w:tc>
          <w:tcPr>
            <w:tcW w:w="3402" w:type="dxa"/>
            <w:tcBorders>
              <w:top w:val="nil"/>
              <w:left w:val="nil"/>
              <w:bottom w:val="single" w:color="auto" w:sz="4" w:space="0"/>
              <w:right w:val="single" w:color="auto" w:sz="4" w:space="0"/>
            </w:tcBorders>
            <w:noWrap w:val="0"/>
            <w:vAlign w:val="center"/>
          </w:tcPr>
          <w:p w14:paraId="0F0B369F">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对施工单位处以5-10万元的违约金。</w:t>
            </w:r>
          </w:p>
        </w:tc>
        <w:tc>
          <w:tcPr>
            <w:tcW w:w="850" w:type="dxa"/>
            <w:tcBorders>
              <w:top w:val="nil"/>
              <w:left w:val="nil"/>
              <w:bottom w:val="single" w:color="auto" w:sz="4" w:space="0"/>
              <w:right w:val="single" w:color="auto" w:sz="4" w:space="0"/>
            </w:tcBorders>
            <w:noWrap w:val="0"/>
            <w:vAlign w:val="center"/>
          </w:tcPr>
          <w:p w14:paraId="4AD4EDA1">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358F941D">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right w:val="single" w:color="auto" w:sz="4" w:space="0"/>
            </w:tcBorders>
            <w:noWrap w:val="0"/>
            <w:vAlign w:val="center"/>
          </w:tcPr>
          <w:p w14:paraId="3322F049">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3ECE73F1">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3686" w:type="dxa"/>
            <w:tcBorders>
              <w:top w:val="nil"/>
              <w:left w:val="nil"/>
              <w:bottom w:val="single" w:color="auto" w:sz="4" w:space="0"/>
              <w:right w:val="single" w:color="auto" w:sz="4" w:space="0"/>
            </w:tcBorders>
            <w:noWrap w:val="0"/>
            <w:vAlign w:val="center"/>
          </w:tcPr>
          <w:p w14:paraId="1E76EFA9">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发生机械设备、火灾、环境污染、职业卫生伤害(含中毒)事故。</w:t>
            </w:r>
          </w:p>
        </w:tc>
        <w:tc>
          <w:tcPr>
            <w:tcW w:w="3402" w:type="dxa"/>
            <w:tcBorders>
              <w:top w:val="nil"/>
              <w:left w:val="nil"/>
              <w:bottom w:val="single" w:color="auto" w:sz="4" w:space="0"/>
              <w:right w:val="single" w:color="auto" w:sz="4" w:space="0"/>
            </w:tcBorders>
            <w:noWrap w:val="0"/>
            <w:vAlign w:val="center"/>
          </w:tcPr>
          <w:p w14:paraId="14BB3066">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对施工单位处以3-5万元的违约金。</w:t>
            </w:r>
          </w:p>
        </w:tc>
        <w:tc>
          <w:tcPr>
            <w:tcW w:w="850" w:type="dxa"/>
            <w:tcBorders>
              <w:top w:val="nil"/>
              <w:left w:val="nil"/>
              <w:bottom w:val="single" w:color="auto" w:sz="4" w:space="0"/>
              <w:right w:val="single" w:color="auto" w:sz="4" w:space="0"/>
            </w:tcBorders>
            <w:noWrap w:val="0"/>
            <w:vAlign w:val="center"/>
          </w:tcPr>
          <w:p w14:paraId="3C6A7FBE">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6E5C1788">
        <w:tblPrEx>
          <w:tblCellMar>
            <w:top w:w="0" w:type="dxa"/>
            <w:left w:w="108" w:type="dxa"/>
            <w:bottom w:w="0" w:type="dxa"/>
            <w:right w:w="108" w:type="dxa"/>
          </w:tblCellMar>
        </w:tblPrEx>
        <w:trPr>
          <w:cantSplit/>
          <w:trHeight w:val="454" w:hRule="exact"/>
          <w:jc w:val="center"/>
        </w:trPr>
        <w:tc>
          <w:tcPr>
            <w:tcW w:w="710" w:type="dxa"/>
            <w:vMerge w:val="continue"/>
            <w:tcBorders>
              <w:left w:val="single" w:color="auto" w:sz="4" w:space="0"/>
              <w:right w:val="single" w:color="auto" w:sz="4" w:space="0"/>
            </w:tcBorders>
            <w:noWrap w:val="0"/>
            <w:vAlign w:val="center"/>
          </w:tcPr>
          <w:p w14:paraId="5ED40D1D">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1295D958">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3686" w:type="dxa"/>
            <w:tcBorders>
              <w:top w:val="nil"/>
              <w:left w:val="nil"/>
              <w:bottom w:val="single" w:color="auto" w:sz="4" w:space="0"/>
              <w:right w:val="single" w:color="auto" w:sz="4" w:space="0"/>
            </w:tcBorders>
            <w:noWrap w:val="0"/>
            <w:vAlign w:val="center"/>
          </w:tcPr>
          <w:p w14:paraId="1C41C553">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施工现场发生高空坠物现象。</w:t>
            </w:r>
          </w:p>
        </w:tc>
        <w:tc>
          <w:tcPr>
            <w:tcW w:w="3402" w:type="dxa"/>
            <w:tcBorders>
              <w:top w:val="nil"/>
              <w:left w:val="nil"/>
              <w:bottom w:val="single" w:color="auto" w:sz="4" w:space="0"/>
              <w:right w:val="single" w:color="auto" w:sz="4" w:space="0"/>
            </w:tcBorders>
            <w:noWrap w:val="0"/>
            <w:vAlign w:val="center"/>
          </w:tcPr>
          <w:p w14:paraId="003D83D4">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对施工单位处以l-2万元的违约金。</w:t>
            </w:r>
          </w:p>
        </w:tc>
        <w:tc>
          <w:tcPr>
            <w:tcW w:w="850" w:type="dxa"/>
            <w:tcBorders>
              <w:top w:val="nil"/>
              <w:left w:val="nil"/>
              <w:bottom w:val="single" w:color="auto" w:sz="4" w:space="0"/>
              <w:right w:val="single" w:color="auto" w:sz="4" w:space="0"/>
            </w:tcBorders>
            <w:noWrap w:val="0"/>
            <w:vAlign w:val="center"/>
          </w:tcPr>
          <w:p w14:paraId="7DDBB6B0">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6700F17A">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right w:val="single" w:color="auto" w:sz="4" w:space="0"/>
            </w:tcBorders>
            <w:noWrap w:val="0"/>
            <w:vAlign w:val="center"/>
          </w:tcPr>
          <w:p w14:paraId="451F72E3">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08F61BDF">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3686" w:type="dxa"/>
            <w:tcBorders>
              <w:top w:val="nil"/>
              <w:left w:val="nil"/>
              <w:bottom w:val="single" w:color="auto" w:sz="4" w:space="0"/>
              <w:right w:val="single" w:color="auto" w:sz="4" w:space="0"/>
            </w:tcBorders>
            <w:noWrap w:val="0"/>
            <w:vAlign w:val="center"/>
          </w:tcPr>
          <w:p w14:paraId="0F078CC2">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施工单位因拖欠农民工工资引发影响恶劣的群体性事件。</w:t>
            </w:r>
          </w:p>
        </w:tc>
        <w:tc>
          <w:tcPr>
            <w:tcW w:w="3402" w:type="dxa"/>
            <w:tcBorders>
              <w:top w:val="nil"/>
              <w:left w:val="nil"/>
              <w:bottom w:val="single" w:color="auto" w:sz="4" w:space="0"/>
              <w:right w:val="single" w:color="auto" w:sz="4" w:space="0"/>
            </w:tcBorders>
            <w:noWrap w:val="0"/>
            <w:vAlign w:val="center"/>
          </w:tcPr>
          <w:p w14:paraId="40ACD581">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对施工单位处以3-5万元的违约金。</w:t>
            </w:r>
          </w:p>
        </w:tc>
        <w:tc>
          <w:tcPr>
            <w:tcW w:w="850" w:type="dxa"/>
            <w:tcBorders>
              <w:top w:val="nil"/>
              <w:left w:val="nil"/>
              <w:bottom w:val="single" w:color="auto" w:sz="4" w:space="0"/>
              <w:right w:val="single" w:color="auto" w:sz="4" w:space="0"/>
            </w:tcBorders>
            <w:noWrap w:val="0"/>
            <w:vAlign w:val="center"/>
          </w:tcPr>
          <w:p w14:paraId="165010EB">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3AD82C5A">
        <w:tblPrEx>
          <w:tblCellMar>
            <w:top w:w="0" w:type="dxa"/>
            <w:left w:w="108" w:type="dxa"/>
            <w:bottom w:w="0" w:type="dxa"/>
            <w:right w:w="108" w:type="dxa"/>
          </w:tblCellMar>
        </w:tblPrEx>
        <w:trPr>
          <w:cantSplit/>
          <w:trHeight w:val="737" w:hRule="exact"/>
          <w:jc w:val="center"/>
        </w:trPr>
        <w:tc>
          <w:tcPr>
            <w:tcW w:w="710" w:type="dxa"/>
            <w:vMerge w:val="continue"/>
            <w:tcBorders>
              <w:left w:val="single" w:color="auto" w:sz="4" w:space="0"/>
              <w:bottom w:val="single" w:color="auto" w:sz="4" w:space="0"/>
              <w:right w:val="single" w:color="auto" w:sz="4" w:space="0"/>
            </w:tcBorders>
            <w:noWrap w:val="0"/>
            <w:vAlign w:val="center"/>
          </w:tcPr>
          <w:p w14:paraId="2D7CD6CF">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6C4BCEEA">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3686" w:type="dxa"/>
            <w:tcBorders>
              <w:top w:val="nil"/>
              <w:left w:val="nil"/>
              <w:bottom w:val="single" w:color="auto" w:sz="4" w:space="0"/>
              <w:right w:val="single" w:color="auto" w:sz="4" w:space="0"/>
            </w:tcBorders>
            <w:noWrap w:val="0"/>
            <w:vAlign w:val="center"/>
          </w:tcPr>
          <w:p w14:paraId="5BFCC0E5">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发生事故后隐瞒不报、谎报或拖延不报的单位。</w:t>
            </w:r>
          </w:p>
        </w:tc>
        <w:tc>
          <w:tcPr>
            <w:tcW w:w="3402" w:type="dxa"/>
            <w:tcBorders>
              <w:top w:val="nil"/>
              <w:left w:val="nil"/>
              <w:bottom w:val="single" w:color="auto" w:sz="4" w:space="0"/>
              <w:right w:val="single" w:color="auto" w:sz="4" w:space="0"/>
            </w:tcBorders>
            <w:noWrap w:val="0"/>
            <w:vAlign w:val="center"/>
          </w:tcPr>
          <w:p w14:paraId="01301EDA">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处以该单位3-5万元的违约金。</w:t>
            </w:r>
          </w:p>
        </w:tc>
        <w:tc>
          <w:tcPr>
            <w:tcW w:w="850" w:type="dxa"/>
            <w:tcBorders>
              <w:top w:val="nil"/>
              <w:left w:val="nil"/>
              <w:bottom w:val="single" w:color="auto" w:sz="4" w:space="0"/>
              <w:right w:val="single" w:color="auto" w:sz="4" w:space="0"/>
            </w:tcBorders>
            <w:noWrap w:val="0"/>
            <w:vAlign w:val="center"/>
          </w:tcPr>
          <w:p w14:paraId="1872A254">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0BB606F1">
        <w:tblPrEx>
          <w:tblCellMar>
            <w:top w:w="0" w:type="dxa"/>
            <w:left w:w="108" w:type="dxa"/>
            <w:bottom w:w="0" w:type="dxa"/>
            <w:right w:w="108" w:type="dxa"/>
          </w:tblCellMar>
        </w:tblPrEx>
        <w:trPr>
          <w:cantSplit/>
          <w:trHeight w:val="1701" w:hRule="exac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14:paraId="4AE17620">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违规违章处罚办法</w:t>
            </w:r>
          </w:p>
        </w:tc>
        <w:tc>
          <w:tcPr>
            <w:tcW w:w="708" w:type="dxa"/>
            <w:tcBorders>
              <w:top w:val="single" w:color="auto" w:sz="4" w:space="0"/>
              <w:left w:val="nil"/>
              <w:bottom w:val="single" w:color="auto" w:sz="4" w:space="0"/>
              <w:right w:val="single" w:color="auto" w:sz="4" w:space="0"/>
            </w:tcBorders>
            <w:noWrap w:val="0"/>
            <w:vAlign w:val="center"/>
          </w:tcPr>
          <w:p w14:paraId="1E1957CD">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686" w:type="dxa"/>
            <w:tcBorders>
              <w:top w:val="single" w:color="auto" w:sz="4" w:space="0"/>
              <w:left w:val="nil"/>
              <w:bottom w:val="single" w:color="auto" w:sz="4" w:space="0"/>
              <w:right w:val="single" w:color="auto" w:sz="4" w:space="0"/>
            </w:tcBorders>
            <w:noWrap w:val="0"/>
            <w:vAlign w:val="center"/>
          </w:tcPr>
          <w:p w14:paraId="096DAE3E">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未建立健全安全生产责任制度(含消防)和安全生产教育培训制度，未制定安全生产规章制度和操作规程(含消防)或经检查发现制度、规程流于形式而未严格执行。</w:t>
            </w:r>
          </w:p>
        </w:tc>
        <w:tc>
          <w:tcPr>
            <w:tcW w:w="3402" w:type="dxa"/>
            <w:tcBorders>
              <w:top w:val="nil"/>
              <w:left w:val="nil"/>
              <w:bottom w:val="single" w:color="auto" w:sz="4" w:space="0"/>
              <w:right w:val="single" w:color="auto" w:sz="4" w:space="0"/>
            </w:tcBorders>
            <w:noWrap w:val="0"/>
            <w:vAlign w:val="center"/>
          </w:tcPr>
          <w:p w14:paraId="375D4F1B">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noWrap w:val="0"/>
            <w:vAlign w:val="center"/>
          </w:tcPr>
          <w:p w14:paraId="4E0DE8EE">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44C2A5CB">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6562A6DD">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83BA0CB">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3686" w:type="dxa"/>
            <w:tcBorders>
              <w:top w:val="single" w:color="auto" w:sz="4" w:space="0"/>
              <w:left w:val="nil"/>
              <w:bottom w:val="single" w:color="auto" w:sz="4" w:space="0"/>
              <w:right w:val="single" w:color="auto" w:sz="4" w:space="0"/>
            </w:tcBorders>
            <w:noWrap w:val="0"/>
            <w:vAlign w:val="center"/>
          </w:tcPr>
          <w:p w14:paraId="370FF9B1">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在施工组织设计中未编制安全技术措施和施工现场临时用电方案。</w:t>
            </w:r>
          </w:p>
        </w:tc>
        <w:tc>
          <w:tcPr>
            <w:tcW w:w="3402" w:type="dxa"/>
            <w:tcBorders>
              <w:top w:val="nil"/>
              <w:left w:val="nil"/>
              <w:bottom w:val="single" w:color="auto" w:sz="4" w:space="0"/>
              <w:right w:val="single" w:color="auto" w:sz="4" w:space="0"/>
            </w:tcBorders>
            <w:noWrap w:val="0"/>
            <w:vAlign w:val="center"/>
          </w:tcPr>
          <w:p w14:paraId="633D1F31">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noWrap w:val="0"/>
            <w:vAlign w:val="center"/>
          </w:tcPr>
          <w:p w14:paraId="14F02161">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74C0B46A">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5AFE6CFC">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6F6B4655">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3686" w:type="dxa"/>
            <w:tcBorders>
              <w:top w:val="single" w:color="auto" w:sz="4" w:space="0"/>
              <w:left w:val="nil"/>
              <w:bottom w:val="single" w:color="auto" w:sz="4" w:space="0"/>
              <w:right w:val="single" w:color="auto" w:sz="4" w:space="0"/>
            </w:tcBorders>
            <w:noWrap w:val="0"/>
            <w:vAlign w:val="center"/>
          </w:tcPr>
          <w:p w14:paraId="144369E3">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对所承担的工程项目未进行定期和专项安全检查，无安全检查记录或记录不全。</w:t>
            </w:r>
          </w:p>
        </w:tc>
        <w:tc>
          <w:tcPr>
            <w:tcW w:w="3402" w:type="dxa"/>
            <w:tcBorders>
              <w:top w:val="single" w:color="auto" w:sz="4" w:space="0"/>
              <w:left w:val="nil"/>
              <w:bottom w:val="single" w:color="auto" w:sz="4" w:space="0"/>
              <w:right w:val="single" w:color="auto" w:sz="4" w:space="0"/>
            </w:tcBorders>
            <w:noWrap w:val="0"/>
            <w:vAlign w:val="center"/>
          </w:tcPr>
          <w:p w14:paraId="59461904">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single" w:color="auto" w:sz="4" w:space="0"/>
              <w:left w:val="nil"/>
              <w:bottom w:val="single" w:color="auto" w:sz="4" w:space="0"/>
              <w:right w:val="single" w:color="auto" w:sz="4" w:space="0"/>
            </w:tcBorders>
            <w:noWrap w:val="0"/>
            <w:vAlign w:val="center"/>
          </w:tcPr>
          <w:p w14:paraId="1C5E386D">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27BBE061">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337281FD">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1E571611">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3686" w:type="dxa"/>
            <w:tcBorders>
              <w:top w:val="single" w:color="auto" w:sz="4" w:space="0"/>
              <w:left w:val="nil"/>
              <w:bottom w:val="single" w:color="auto" w:sz="4" w:space="0"/>
              <w:right w:val="single" w:color="auto" w:sz="4" w:space="0"/>
            </w:tcBorders>
            <w:noWrap w:val="0"/>
            <w:vAlign w:val="center"/>
          </w:tcPr>
          <w:p w14:paraId="76C0E950">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未按规定组织全体施工人员进行年度安全工作规程考试。</w:t>
            </w:r>
          </w:p>
        </w:tc>
        <w:tc>
          <w:tcPr>
            <w:tcW w:w="3402" w:type="dxa"/>
            <w:tcBorders>
              <w:top w:val="single" w:color="auto" w:sz="4" w:space="0"/>
              <w:left w:val="nil"/>
              <w:bottom w:val="single" w:color="auto" w:sz="4" w:space="0"/>
              <w:right w:val="single" w:color="auto" w:sz="4" w:space="0"/>
            </w:tcBorders>
            <w:noWrap w:val="0"/>
            <w:vAlign w:val="center"/>
          </w:tcPr>
          <w:p w14:paraId="344933B7">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single" w:color="auto" w:sz="4" w:space="0"/>
              <w:left w:val="nil"/>
              <w:bottom w:val="single" w:color="auto" w:sz="4" w:space="0"/>
              <w:right w:val="single" w:color="auto" w:sz="4" w:space="0"/>
            </w:tcBorders>
            <w:noWrap w:val="0"/>
            <w:vAlign w:val="center"/>
          </w:tcPr>
          <w:p w14:paraId="766260FA">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7C572975">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2FCD6FB8">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17218E0D">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3686" w:type="dxa"/>
            <w:tcBorders>
              <w:top w:val="single" w:color="auto" w:sz="4" w:space="0"/>
              <w:left w:val="nil"/>
              <w:bottom w:val="single" w:color="auto" w:sz="4" w:space="0"/>
              <w:right w:val="single" w:color="auto" w:sz="4" w:space="0"/>
            </w:tcBorders>
            <w:noWrap w:val="0"/>
            <w:vAlign w:val="center"/>
          </w:tcPr>
          <w:p w14:paraId="5773E17D">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未按有关规定设置安全监督机构并配备满足施工要求的安监人员。</w:t>
            </w:r>
          </w:p>
        </w:tc>
        <w:tc>
          <w:tcPr>
            <w:tcW w:w="3402" w:type="dxa"/>
            <w:tcBorders>
              <w:top w:val="single" w:color="auto" w:sz="4" w:space="0"/>
              <w:left w:val="nil"/>
              <w:bottom w:val="single" w:color="auto" w:sz="4" w:space="0"/>
              <w:right w:val="single" w:color="auto" w:sz="4" w:space="0"/>
            </w:tcBorders>
            <w:noWrap w:val="0"/>
            <w:vAlign w:val="center"/>
          </w:tcPr>
          <w:p w14:paraId="3526E357">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single" w:color="auto" w:sz="4" w:space="0"/>
              <w:left w:val="nil"/>
              <w:bottom w:val="single" w:color="auto" w:sz="4" w:space="0"/>
              <w:right w:val="single" w:color="auto" w:sz="4" w:space="0"/>
            </w:tcBorders>
            <w:noWrap w:val="0"/>
            <w:vAlign w:val="center"/>
          </w:tcPr>
          <w:p w14:paraId="12605C70">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784E4E6B">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right w:val="single" w:color="auto" w:sz="4" w:space="0"/>
            </w:tcBorders>
            <w:noWrap w:val="0"/>
            <w:vAlign w:val="center"/>
          </w:tcPr>
          <w:p w14:paraId="75C0C0CD">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037AD13">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3686" w:type="dxa"/>
            <w:tcBorders>
              <w:top w:val="single" w:color="auto" w:sz="4" w:space="0"/>
              <w:left w:val="nil"/>
              <w:bottom w:val="single" w:color="auto" w:sz="4" w:space="0"/>
              <w:right w:val="single" w:color="auto" w:sz="4" w:space="0"/>
            </w:tcBorders>
            <w:noWrap w:val="0"/>
            <w:vAlign w:val="center"/>
          </w:tcPr>
          <w:p w14:paraId="0D7BDE64">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对新招入的施工人员未按规定进行三级安全教育（含没有三级安全教育记录）而安排上岗作业。</w:t>
            </w:r>
          </w:p>
        </w:tc>
        <w:tc>
          <w:tcPr>
            <w:tcW w:w="3402" w:type="dxa"/>
            <w:tcBorders>
              <w:top w:val="single" w:color="auto" w:sz="4" w:space="0"/>
              <w:left w:val="nil"/>
              <w:bottom w:val="single" w:color="auto" w:sz="4" w:space="0"/>
              <w:right w:val="single" w:color="auto" w:sz="4" w:space="0"/>
            </w:tcBorders>
            <w:noWrap w:val="0"/>
            <w:vAlign w:val="center"/>
          </w:tcPr>
          <w:p w14:paraId="329BD34A">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single" w:color="auto" w:sz="4" w:space="0"/>
              <w:left w:val="nil"/>
              <w:bottom w:val="single" w:color="auto" w:sz="4" w:space="0"/>
              <w:right w:val="single" w:color="auto" w:sz="4" w:space="0"/>
            </w:tcBorders>
            <w:noWrap w:val="0"/>
            <w:vAlign w:val="center"/>
          </w:tcPr>
          <w:p w14:paraId="5C2FD300">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00C69A5E">
        <w:tblPrEx>
          <w:tblCellMar>
            <w:top w:w="0" w:type="dxa"/>
            <w:left w:w="108" w:type="dxa"/>
            <w:bottom w:w="0" w:type="dxa"/>
            <w:right w:w="108" w:type="dxa"/>
          </w:tblCellMar>
        </w:tblPrEx>
        <w:trPr>
          <w:cantSplit/>
          <w:trHeight w:val="2381" w:hRule="exact"/>
          <w:jc w:val="center"/>
        </w:trPr>
        <w:tc>
          <w:tcPr>
            <w:tcW w:w="710" w:type="dxa"/>
            <w:vMerge w:val="restart"/>
            <w:tcBorders>
              <w:left w:val="single" w:color="auto" w:sz="4" w:space="0"/>
              <w:right w:val="single" w:color="auto" w:sz="4" w:space="0"/>
            </w:tcBorders>
            <w:noWrap w:val="0"/>
            <w:vAlign w:val="center"/>
          </w:tcPr>
          <w:p w14:paraId="4E2EA2BB">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违规违章处罚办法</w:t>
            </w:r>
          </w:p>
        </w:tc>
        <w:tc>
          <w:tcPr>
            <w:tcW w:w="708" w:type="dxa"/>
            <w:tcBorders>
              <w:top w:val="single" w:color="auto" w:sz="4" w:space="0"/>
              <w:left w:val="nil"/>
              <w:bottom w:val="single" w:color="auto" w:sz="4" w:space="0"/>
              <w:right w:val="single" w:color="auto" w:sz="4" w:space="0"/>
            </w:tcBorders>
            <w:noWrap w:val="0"/>
            <w:vAlign w:val="center"/>
          </w:tcPr>
          <w:p w14:paraId="2D552B35">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3686" w:type="dxa"/>
            <w:tcBorders>
              <w:top w:val="single" w:color="auto" w:sz="4" w:space="0"/>
              <w:left w:val="nil"/>
              <w:bottom w:val="single" w:color="auto" w:sz="4" w:space="0"/>
              <w:right w:val="single" w:color="auto" w:sz="4" w:space="0"/>
            </w:tcBorders>
            <w:noWrap w:val="0"/>
            <w:vAlign w:val="center"/>
          </w:tcPr>
          <w:p w14:paraId="340DA9C9">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对基坑支护与降水工程、土方开挖工程、模板工程、起重吊装工程、桥梁架设及安装工程、隧道挖掘通风和支护工程、脚手架工程、拆除、爆破工程等九种任何一项未编制专项施工方案，并未经施工单位技术负责人、总监理工程师签名确认后施工。</w:t>
            </w:r>
          </w:p>
        </w:tc>
        <w:tc>
          <w:tcPr>
            <w:tcW w:w="3402" w:type="dxa"/>
            <w:tcBorders>
              <w:top w:val="single" w:color="auto" w:sz="4" w:space="0"/>
              <w:left w:val="nil"/>
              <w:bottom w:val="single" w:color="auto" w:sz="4" w:space="0"/>
              <w:right w:val="single" w:color="auto" w:sz="4" w:space="0"/>
            </w:tcBorders>
            <w:noWrap w:val="0"/>
            <w:vAlign w:val="center"/>
          </w:tcPr>
          <w:p w14:paraId="58C8A6E7">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single" w:color="auto" w:sz="4" w:space="0"/>
              <w:left w:val="nil"/>
              <w:bottom w:val="single" w:color="auto" w:sz="4" w:space="0"/>
              <w:right w:val="single" w:color="auto" w:sz="4" w:space="0"/>
            </w:tcBorders>
            <w:noWrap w:val="0"/>
            <w:vAlign w:val="center"/>
          </w:tcPr>
          <w:p w14:paraId="07BFBB6F">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45E24FE0">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4FA3C012">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1C383C9D">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3686" w:type="dxa"/>
            <w:tcBorders>
              <w:top w:val="single" w:color="auto" w:sz="4" w:space="0"/>
              <w:left w:val="nil"/>
              <w:bottom w:val="single" w:color="auto" w:sz="4" w:space="0"/>
              <w:right w:val="single" w:color="auto" w:sz="4" w:space="0"/>
            </w:tcBorders>
            <w:noWrap w:val="0"/>
            <w:vAlign w:val="center"/>
          </w:tcPr>
          <w:p w14:paraId="696C7BAB">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各项施工方案实施过程中未由专职安全生产管理人员现场进行监督。</w:t>
            </w:r>
          </w:p>
        </w:tc>
        <w:tc>
          <w:tcPr>
            <w:tcW w:w="3402" w:type="dxa"/>
            <w:tcBorders>
              <w:top w:val="single" w:color="auto" w:sz="4" w:space="0"/>
              <w:left w:val="nil"/>
              <w:bottom w:val="single" w:color="auto" w:sz="4" w:space="0"/>
              <w:right w:val="single" w:color="auto" w:sz="4" w:space="0"/>
            </w:tcBorders>
            <w:noWrap w:val="0"/>
            <w:vAlign w:val="center"/>
          </w:tcPr>
          <w:p w14:paraId="288EF2FB">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noWrap w:val="0"/>
            <w:vAlign w:val="center"/>
          </w:tcPr>
          <w:p w14:paraId="6BC13C3A">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342523F0">
        <w:tblPrEx>
          <w:tblCellMar>
            <w:top w:w="0" w:type="dxa"/>
            <w:left w:w="108" w:type="dxa"/>
            <w:bottom w:w="0" w:type="dxa"/>
            <w:right w:w="108" w:type="dxa"/>
          </w:tblCellMar>
        </w:tblPrEx>
        <w:trPr>
          <w:cantSplit/>
          <w:trHeight w:val="1701" w:hRule="exact"/>
          <w:jc w:val="center"/>
        </w:trPr>
        <w:tc>
          <w:tcPr>
            <w:tcW w:w="710" w:type="dxa"/>
            <w:vMerge w:val="continue"/>
            <w:tcBorders>
              <w:left w:val="single" w:color="auto" w:sz="4" w:space="0"/>
              <w:right w:val="single" w:color="auto" w:sz="4" w:space="0"/>
            </w:tcBorders>
            <w:noWrap w:val="0"/>
            <w:vAlign w:val="center"/>
          </w:tcPr>
          <w:p w14:paraId="306BBCBB">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690C227">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3686" w:type="dxa"/>
            <w:tcBorders>
              <w:top w:val="single" w:color="auto" w:sz="4" w:space="0"/>
              <w:left w:val="nil"/>
              <w:bottom w:val="single" w:color="auto" w:sz="4" w:space="0"/>
              <w:right w:val="single" w:color="auto" w:sz="4" w:space="0"/>
            </w:tcBorders>
            <w:noWrap w:val="0"/>
            <w:vAlign w:val="center"/>
          </w:tcPr>
          <w:p w14:paraId="19187B08">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开工前未进行安全技术交底（以接受交底的全体技术人员签名为准）而进行施工作业，未按规定为施工人员提供符合国家标准或者行业标准的劳动保护用品。</w:t>
            </w:r>
          </w:p>
        </w:tc>
        <w:tc>
          <w:tcPr>
            <w:tcW w:w="3402" w:type="dxa"/>
            <w:tcBorders>
              <w:top w:val="single" w:color="auto" w:sz="4" w:space="0"/>
              <w:left w:val="nil"/>
              <w:bottom w:val="single" w:color="auto" w:sz="4" w:space="0"/>
              <w:right w:val="single" w:color="auto" w:sz="4" w:space="0"/>
            </w:tcBorders>
            <w:noWrap w:val="0"/>
            <w:vAlign w:val="center"/>
          </w:tcPr>
          <w:p w14:paraId="508549F7">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noWrap w:val="0"/>
            <w:vAlign w:val="center"/>
          </w:tcPr>
          <w:p w14:paraId="59C891BE">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618DB726">
        <w:tblPrEx>
          <w:tblCellMar>
            <w:top w:w="0" w:type="dxa"/>
            <w:left w:w="108" w:type="dxa"/>
            <w:bottom w:w="0" w:type="dxa"/>
            <w:right w:w="108" w:type="dxa"/>
          </w:tblCellMar>
        </w:tblPrEx>
        <w:trPr>
          <w:cantSplit/>
          <w:trHeight w:val="1474" w:hRule="exact"/>
          <w:jc w:val="center"/>
        </w:trPr>
        <w:tc>
          <w:tcPr>
            <w:tcW w:w="710" w:type="dxa"/>
            <w:vMerge w:val="continue"/>
            <w:tcBorders>
              <w:left w:val="single" w:color="auto" w:sz="4" w:space="0"/>
              <w:right w:val="single" w:color="auto" w:sz="4" w:space="0"/>
            </w:tcBorders>
            <w:noWrap w:val="0"/>
            <w:vAlign w:val="center"/>
          </w:tcPr>
          <w:p w14:paraId="3C4B9051">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4C34564">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3686" w:type="dxa"/>
            <w:tcBorders>
              <w:top w:val="single" w:color="auto" w:sz="4" w:space="0"/>
              <w:left w:val="nil"/>
              <w:bottom w:val="single" w:color="auto" w:sz="4" w:space="0"/>
              <w:right w:val="single" w:color="auto" w:sz="4" w:space="0"/>
            </w:tcBorders>
            <w:noWrap w:val="0"/>
            <w:vAlign w:val="center"/>
          </w:tcPr>
          <w:p w14:paraId="7CDCCD58">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起重机械（汽车起重机、塔式起重机、门式起重机、架桥机）未经具有专业资质的检验检测机构检验检测合格，缺少安全使用证或者安全标志而投入使用。</w:t>
            </w:r>
          </w:p>
        </w:tc>
        <w:tc>
          <w:tcPr>
            <w:tcW w:w="3402" w:type="dxa"/>
            <w:tcBorders>
              <w:top w:val="single" w:color="auto" w:sz="4" w:space="0"/>
              <w:left w:val="nil"/>
              <w:bottom w:val="single" w:color="auto" w:sz="4" w:space="0"/>
              <w:right w:val="single" w:color="auto" w:sz="4" w:space="0"/>
            </w:tcBorders>
            <w:noWrap w:val="0"/>
            <w:vAlign w:val="center"/>
          </w:tcPr>
          <w:p w14:paraId="16EBEB0D">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noWrap w:val="0"/>
            <w:vAlign w:val="center"/>
          </w:tcPr>
          <w:p w14:paraId="3BB7C8D0">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0A36AD5A">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2E633BF7">
            <w:pPr>
              <w:overflowPunct w:val="0"/>
              <w:autoSpaceDE w:val="0"/>
              <w:autoSpaceDN w:val="0"/>
              <w:adjustRightInd w:val="0"/>
              <w:snapToGrid w:val="0"/>
              <w:spacing w:line="320" w:lineRule="exac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3A9BD4A9">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3686" w:type="dxa"/>
            <w:tcBorders>
              <w:top w:val="single" w:color="auto" w:sz="4" w:space="0"/>
              <w:left w:val="nil"/>
              <w:bottom w:val="single" w:color="auto" w:sz="4" w:space="0"/>
              <w:right w:val="single" w:color="auto" w:sz="4" w:space="0"/>
            </w:tcBorders>
            <w:noWrap w:val="0"/>
            <w:vAlign w:val="center"/>
          </w:tcPr>
          <w:p w14:paraId="6D79AFA8">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起重吊装、爆破作业不设指挥，无联系信号或信号不当，安全技术措施不落实。</w:t>
            </w:r>
          </w:p>
        </w:tc>
        <w:tc>
          <w:tcPr>
            <w:tcW w:w="3402" w:type="dxa"/>
            <w:tcBorders>
              <w:top w:val="single" w:color="auto" w:sz="4" w:space="0"/>
              <w:left w:val="nil"/>
              <w:bottom w:val="single" w:color="auto" w:sz="4" w:space="0"/>
              <w:right w:val="single" w:color="auto" w:sz="4" w:space="0"/>
            </w:tcBorders>
            <w:noWrap w:val="0"/>
            <w:vAlign w:val="center"/>
          </w:tcPr>
          <w:p w14:paraId="3B1FC728">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noWrap w:val="0"/>
            <w:vAlign w:val="center"/>
          </w:tcPr>
          <w:p w14:paraId="15BC9607">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52DE4AD8">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06DC0203">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62591E29">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3686" w:type="dxa"/>
            <w:tcBorders>
              <w:top w:val="nil"/>
              <w:left w:val="nil"/>
              <w:bottom w:val="single" w:color="auto" w:sz="4" w:space="0"/>
              <w:right w:val="single" w:color="auto" w:sz="4" w:space="0"/>
            </w:tcBorders>
            <w:noWrap w:val="0"/>
            <w:vAlign w:val="center"/>
          </w:tcPr>
          <w:p w14:paraId="7E94B7F9">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雷管和炸药放置在同一容器或者同一辆车内运送。</w:t>
            </w:r>
          </w:p>
        </w:tc>
        <w:tc>
          <w:tcPr>
            <w:tcW w:w="3402" w:type="dxa"/>
            <w:tcBorders>
              <w:top w:val="nil"/>
              <w:left w:val="nil"/>
              <w:bottom w:val="single" w:color="auto" w:sz="4" w:space="0"/>
              <w:right w:val="single" w:color="auto" w:sz="4" w:space="0"/>
            </w:tcBorders>
            <w:noWrap w:val="0"/>
            <w:vAlign w:val="center"/>
          </w:tcPr>
          <w:p w14:paraId="56F5D776">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nil"/>
              <w:left w:val="nil"/>
              <w:bottom w:val="single" w:color="auto" w:sz="4" w:space="0"/>
              <w:right w:val="single" w:color="auto" w:sz="4" w:space="0"/>
            </w:tcBorders>
            <w:noWrap w:val="0"/>
            <w:vAlign w:val="center"/>
          </w:tcPr>
          <w:p w14:paraId="14192049">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5A69A824">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58059434">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1D6DD490">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3686" w:type="dxa"/>
            <w:tcBorders>
              <w:top w:val="nil"/>
              <w:left w:val="nil"/>
              <w:bottom w:val="single" w:color="auto" w:sz="4" w:space="0"/>
              <w:right w:val="single" w:color="auto" w:sz="4" w:space="0"/>
            </w:tcBorders>
            <w:noWrap w:val="0"/>
            <w:vAlign w:val="center"/>
          </w:tcPr>
          <w:p w14:paraId="0FB70C9C">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用翻斗车、自卸汽车、拖车、拖拉机、机动三轮车、人力三轮车、自行车、摩托车和皮带运输机运送爆破器材。</w:t>
            </w:r>
          </w:p>
        </w:tc>
        <w:tc>
          <w:tcPr>
            <w:tcW w:w="3402" w:type="dxa"/>
            <w:tcBorders>
              <w:top w:val="nil"/>
              <w:left w:val="nil"/>
              <w:bottom w:val="single" w:color="auto" w:sz="4" w:space="0"/>
              <w:right w:val="single" w:color="auto" w:sz="4" w:space="0"/>
            </w:tcBorders>
            <w:noWrap w:val="0"/>
            <w:vAlign w:val="center"/>
          </w:tcPr>
          <w:p w14:paraId="3CA0E6F7">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nil"/>
              <w:left w:val="nil"/>
              <w:bottom w:val="single" w:color="auto" w:sz="4" w:space="0"/>
              <w:right w:val="single" w:color="auto" w:sz="4" w:space="0"/>
            </w:tcBorders>
            <w:noWrap w:val="0"/>
            <w:vAlign w:val="center"/>
          </w:tcPr>
          <w:p w14:paraId="4AB76DD7">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6EA3FA91">
        <w:trPr>
          <w:cantSplit/>
          <w:trHeight w:val="1021" w:hRule="exact"/>
          <w:jc w:val="center"/>
        </w:trPr>
        <w:tc>
          <w:tcPr>
            <w:tcW w:w="710" w:type="dxa"/>
            <w:vMerge w:val="continue"/>
            <w:tcBorders>
              <w:left w:val="single" w:color="auto" w:sz="4" w:space="0"/>
              <w:right w:val="single" w:color="auto" w:sz="4" w:space="0"/>
            </w:tcBorders>
            <w:noWrap w:val="0"/>
            <w:vAlign w:val="center"/>
          </w:tcPr>
          <w:p w14:paraId="0A392CEA">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67DE1322">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3686" w:type="dxa"/>
            <w:tcBorders>
              <w:top w:val="nil"/>
              <w:left w:val="nil"/>
              <w:bottom w:val="single" w:color="auto" w:sz="4" w:space="0"/>
              <w:right w:val="single" w:color="auto" w:sz="4" w:space="0"/>
            </w:tcBorders>
            <w:noWrap w:val="0"/>
            <w:vAlign w:val="center"/>
          </w:tcPr>
          <w:p w14:paraId="0A5BC60C">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爆炸物品出入库台账无记录或记录不全(含签名)、账实不符。</w:t>
            </w:r>
          </w:p>
        </w:tc>
        <w:tc>
          <w:tcPr>
            <w:tcW w:w="3402" w:type="dxa"/>
            <w:tcBorders>
              <w:top w:val="nil"/>
              <w:left w:val="nil"/>
              <w:bottom w:val="single" w:color="auto" w:sz="4" w:space="0"/>
              <w:right w:val="single" w:color="auto" w:sz="4" w:space="0"/>
            </w:tcBorders>
            <w:noWrap w:val="0"/>
            <w:vAlign w:val="center"/>
          </w:tcPr>
          <w:p w14:paraId="11DE622D">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nil"/>
              <w:left w:val="nil"/>
              <w:bottom w:val="single" w:color="auto" w:sz="4" w:space="0"/>
              <w:right w:val="single" w:color="auto" w:sz="4" w:space="0"/>
            </w:tcBorders>
            <w:noWrap w:val="0"/>
            <w:vAlign w:val="center"/>
          </w:tcPr>
          <w:p w14:paraId="7CE205E8">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3FEBF1A3">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5593B478">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1735DFAA">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3686" w:type="dxa"/>
            <w:tcBorders>
              <w:top w:val="nil"/>
              <w:left w:val="nil"/>
              <w:bottom w:val="single" w:color="auto" w:sz="4" w:space="0"/>
              <w:right w:val="single" w:color="auto" w:sz="4" w:space="0"/>
            </w:tcBorders>
            <w:noWrap w:val="0"/>
            <w:vAlign w:val="center"/>
          </w:tcPr>
          <w:p w14:paraId="6E4219F2">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通风机停止时，隧道洞内有人作业或逗留。</w:t>
            </w:r>
          </w:p>
        </w:tc>
        <w:tc>
          <w:tcPr>
            <w:tcW w:w="3402" w:type="dxa"/>
            <w:tcBorders>
              <w:top w:val="nil"/>
              <w:left w:val="nil"/>
              <w:bottom w:val="single" w:color="auto" w:sz="4" w:space="0"/>
              <w:right w:val="single" w:color="auto" w:sz="4" w:space="0"/>
            </w:tcBorders>
            <w:noWrap w:val="0"/>
            <w:vAlign w:val="center"/>
          </w:tcPr>
          <w:p w14:paraId="537D516A">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nil"/>
              <w:left w:val="nil"/>
              <w:bottom w:val="single" w:color="auto" w:sz="4" w:space="0"/>
              <w:right w:val="single" w:color="auto" w:sz="4" w:space="0"/>
            </w:tcBorders>
            <w:noWrap w:val="0"/>
            <w:vAlign w:val="center"/>
          </w:tcPr>
          <w:p w14:paraId="2C9B77AD">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451AF05E">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bottom w:val="single" w:color="auto" w:sz="4" w:space="0"/>
              <w:right w:val="single" w:color="auto" w:sz="4" w:space="0"/>
            </w:tcBorders>
            <w:noWrap w:val="0"/>
            <w:vAlign w:val="center"/>
          </w:tcPr>
          <w:p w14:paraId="70898BB6">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2DD14F9C">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3686" w:type="dxa"/>
            <w:tcBorders>
              <w:top w:val="nil"/>
              <w:left w:val="nil"/>
              <w:bottom w:val="single" w:color="auto" w:sz="4" w:space="0"/>
              <w:right w:val="single" w:color="auto" w:sz="4" w:space="0"/>
            </w:tcBorders>
            <w:noWrap w:val="0"/>
            <w:vAlign w:val="center"/>
          </w:tcPr>
          <w:p w14:paraId="4B41D821">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隧道洞内、油库区、炸药库区、氧气库、乙炔库、发(变)电房内明火作业或取暖或发现吸烟者</w:t>
            </w:r>
          </w:p>
        </w:tc>
        <w:tc>
          <w:tcPr>
            <w:tcW w:w="3402" w:type="dxa"/>
            <w:tcBorders>
              <w:top w:val="nil"/>
              <w:left w:val="nil"/>
              <w:bottom w:val="single" w:color="auto" w:sz="4" w:space="0"/>
              <w:right w:val="single" w:color="auto" w:sz="4" w:space="0"/>
            </w:tcBorders>
            <w:noWrap w:val="0"/>
            <w:vAlign w:val="center"/>
          </w:tcPr>
          <w:p w14:paraId="60F35469">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nil"/>
              <w:left w:val="nil"/>
              <w:bottom w:val="single" w:color="auto" w:sz="4" w:space="0"/>
              <w:right w:val="single" w:color="auto" w:sz="4" w:space="0"/>
            </w:tcBorders>
            <w:noWrap w:val="0"/>
            <w:vAlign w:val="center"/>
          </w:tcPr>
          <w:p w14:paraId="62FF0ABD">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43DCE2D2">
        <w:tblPrEx>
          <w:tblCellMar>
            <w:top w:w="0" w:type="dxa"/>
            <w:left w:w="108" w:type="dxa"/>
            <w:bottom w:w="0" w:type="dxa"/>
            <w:right w:w="108" w:type="dxa"/>
          </w:tblCellMar>
        </w:tblPrEx>
        <w:trPr>
          <w:cantSplit/>
          <w:trHeight w:val="1361" w:hRule="exac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14:paraId="6E3BDCE2">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b/>
                <w:bCs/>
                <w:color w:val="auto"/>
                <w:kern w:val="0"/>
                <w:szCs w:val="21"/>
                <w:highlight w:val="none"/>
              </w:rPr>
              <w:t>违规违章处罚办法</w:t>
            </w:r>
          </w:p>
        </w:tc>
        <w:tc>
          <w:tcPr>
            <w:tcW w:w="708" w:type="dxa"/>
            <w:tcBorders>
              <w:top w:val="single" w:color="auto" w:sz="4" w:space="0"/>
              <w:left w:val="nil"/>
              <w:bottom w:val="single" w:color="auto" w:sz="4" w:space="0"/>
              <w:right w:val="single" w:color="auto" w:sz="4" w:space="0"/>
            </w:tcBorders>
            <w:noWrap w:val="0"/>
            <w:vAlign w:val="center"/>
          </w:tcPr>
          <w:p w14:paraId="3ED2E00B">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3686" w:type="dxa"/>
            <w:tcBorders>
              <w:top w:val="single" w:color="auto" w:sz="4" w:space="0"/>
              <w:left w:val="nil"/>
              <w:bottom w:val="single" w:color="auto" w:sz="4" w:space="0"/>
              <w:right w:val="single" w:color="auto" w:sz="4" w:space="0"/>
            </w:tcBorders>
            <w:noWrap w:val="0"/>
            <w:vAlign w:val="center"/>
          </w:tcPr>
          <w:p w14:paraId="0AFE71E4">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随意排放废油、废水、废气、废物、泥浆，乱倒生活垃圾、建筑垃圾，对环境造成不良影响，不按指定位置取土、弃土。</w:t>
            </w:r>
          </w:p>
        </w:tc>
        <w:tc>
          <w:tcPr>
            <w:tcW w:w="3402" w:type="dxa"/>
            <w:tcBorders>
              <w:top w:val="single" w:color="auto" w:sz="4" w:space="0"/>
              <w:left w:val="nil"/>
              <w:bottom w:val="single" w:color="auto" w:sz="4" w:space="0"/>
              <w:right w:val="single" w:color="auto" w:sz="4" w:space="0"/>
            </w:tcBorders>
            <w:noWrap w:val="0"/>
            <w:vAlign w:val="center"/>
          </w:tcPr>
          <w:p w14:paraId="34B0941D">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noWrap w:val="0"/>
            <w:vAlign w:val="center"/>
          </w:tcPr>
          <w:p w14:paraId="29D7C230">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4E84F3E2">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2F8E2877">
            <w:pPr>
              <w:overflowPunct w:val="0"/>
              <w:autoSpaceDE w:val="0"/>
              <w:autoSpaceDN w:val="0"/>
              <w:adjustRightInd w:val="0"/>
              <w:snapToGrid w:val="0"/>
              <w:spacing w:line="320" w:lineRule="exac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16F78F78">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3686" w:type="dxa"/>
            <w:tcBorders>
              <w:top w:val="single" w:color="auto" w:sz="4" w:space="0"/>
              <w:left w:val="nil"/>
              <w:bottom w:val="single" w:color="auto" w:sz="4" w:space="0"/>
              <w:right w:val="single" w:color="auto" w:sz="4" w:space="0"/>
            </w:tcBorders>
            <w:noWrap w:val="0"/>
            <w:vAlign w:val="center"/>
          </w:tcPr>
          <w:p w14:paraId="4C9FFC64">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施工区域内，因管理不善发生较严重的打架斗殴或食品卫生安全事件。</w:t>
            </w:r>
          </w:p>
        </w:tc>
        <w:tc>
          <w:tcPr>
            <w:tcW w:w="3402" w:type="dxa"/>
            <w:tcBorders>
              <w:top w:val="single" w:color="auto" w:sz="4" w:space="0"/>
              <w:left w:val="nil"/>
              <w:bottom w:val="single" w:color="auto" w:sz="4" w:space="0"/>
              <w:right w:val="single" w:color="auto" w:sz="4" w:space="0"/>
            </w:tcBorders>
            <w:noWrap w:val="0"/>
            <w:vAlign w:val="center"/>
          </w:tcPr>
          <w:p w14:paraId="7CC9E573">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noWrap w:val="0"/>
            <w:vAlign w:val="center"/>
          </w:tcPr>
          <w:p w14:paraId="4C0EA32E">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0470B519">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7F741A13">
            <w:pPr>
              <w:overflowPunct w:val="0"/>
              <w:autoSpaceDE w:val="0"/>
              <w:autoSpaceDN w:val="0"/>
              <w:adjustRightInd w:val="0"/>
              <w:snapToGrid w:val="0"/>
              <w:spacing w:line="320" w:lineRule="exac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7B95FDE">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3686" w:type="dxa"/>
            <w:tcBorders>
              <w:top w:val="single" w:color="auto" w:sz="4" w:space="0"/>
              <w:left w:val="nil"/>
              <w:bottom w:val="single" w:color="auto" w:sz="4" w:space="0"/>
              <w:right w:val="single" w:color="auto" w:sz="4" w:space="0"/>
            </w:tcBorders>
            <w:noWrap w:val="0"/>
            <w:vAlign w:val="center"/>
          </w:tcPr>
          <w:p w14:paraId="6B02399C">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施工车辆通行道路(含路基)未采取防止扬尘措施。</w:t>
            </w:r>
          </w:p>
        </w:tc>
        <w:tc>
          <w:tcPr>
            <w:tcW w:w="3402" w:type="dxa"/>
            <w:tcBorders>
              <w:top w:val="single" w:color="auto" w:sz="4" w:space="0"/>
              <w:left w:val="nil"/>
              <w:bottom w:val="single" w:color="auto" w:sz="4" w:space="0"/>
              <w:right w:val="single" w:color="auto" w:sz="4" w:space="0"/>
            </w:tcBorders>
            <w:noWrap w:val="0"/>
            <w:vAlign w:val="center"/>
          </w:tcPr>
          <w:p w14:paraId="540902EE">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noWrap w:val="0"/>
            <w:vAlign w:val="center"/>
          </w:tcPr>
          <w:p w14:paraId="13F7FF2F">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32BE31A2">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6B4A8503">
            <w:pPr>
              <w:overflowPunct w:val="0"/>
              <w:autoSpaceDE w:val="0"/>
              <w:autoSpaceDN w:val="0"/>
              <w:adjustRightInd w:val="0"/>
              <w:snapToGrid w:val="0"/>
              <w:spacing w:line="320" w:lineRule="exac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4356C46C">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3686" w:type="dxa"/>
            <w:tcBorders>
              <w:top w:val="single" w:color="auto" w:sz="4" w:space="0"/>
              <w:left w:val="nil"/>
              <w:bottom w:val="single" w:color="auto" w:sz="4" w:space="0"/>
              <w:right w:val="single" w:color="auto" w:sz="4" w:space="0"/>
            </w:tcBorders>
            <w:noWrap w:val="0"/>
            <w:vAlign w:val="center"/>
          </w:tcPr>
          <w:p w14:paraId="3DFE337E">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发生因工程施工造成对当地村民生产生活产生不良影响的举报事件(含口头举报)，经警告不改的。</w:t>
            </w:r>
          </w:p>
        </w:tc>
        <w:tc>
          <w:tcPr>
            <w:tcW w:w="3402" w:type="dxa"/>
            <w:tcBorders>
              <w:top w:val="single" w:color="auto" w:sz="4" w:space="0"/>
              <w:left w:val="nil"/>
              <w:bottom w:val="single" w:color="auto" w:sz="4" w:space="0"/>
              <w:right w:val="single" w:color="auto" w:sz="4" w:space="0"/>
            </w:tcBorders>
            <w:noWrap w:val="0"/>
            <w:vAlign w:val="center"/>
          </w:tcPr>
          <w:p w14:paraId="3C05E1A5">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视情节对施工单位处以1000-5000元违约金；对监理单位监管不力的，处以1000-3000元违约金。</w:t>
            </w:r>
          </w:p>
        </w:tc>
        <w:tc>
          <w:tcPr>
            <w:tcW w:w="850" w:type="dxa"/>
            <w:tcBorders>
              <w:top w:val="single" w:color="auto" w:sz="4" w:space="0"/>
              <w:left w:val="nil"/>
              <w:bottom w:val="single" w:color="auto" w:sz="4" w:space="0"/>
              <w:right w:val="single" w:color="auto" w:sz="4" w:space="0"/>
            </w:tcBorders>
            <w:noWrap w:val="0"/>
            <w:vAlign w:val="center"/>
          </w:tcPr>
          <w:p w14:paraId="0DD3C26D">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0BDFFE17">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46D81252">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31CEBB1">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3686" w:type="dxa"/>
            <w:tcBorders>
              <w:top w:val="single" w:color="auto" w:sz="4" w:space="0"/>
              <w:left w:val="nil"/>
              <w:bottom w:val="single" w:color="auto" w:sz="4" w:space="0"/>
              <w:right w:val="single" w:color="auto" w:sz="4" w:space="0"/>
            </w:tcBorders>
            <w:noWrap w:val="0"/>
            <w:vAlign w:val="center"/>
          </w:tcPr>
          <w:p w14:paraId="5FDED7C6">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对公司和主管部门下发的“安全整改通知单”，不按要求限期整改、借故拖延或不服从管理。</w:t>
            </w:r>
          </w:p>
        </w:tc>
        <w:tc>
          <w:tcPr>
            <w:tcW w:w="3402" w:type="dxa"/>
            <w:tcBorders>
              <w:top w:val="single" w:color="auto" w:sz="4" w:space="0"/>
              <w:left w:val="nil"/>
              <w:bottom w:val="single" w:color="auto" w:sz="4" w:space="0"/>
              <w:right w:val="single" w:color="auto" w:sz="4" w:space="0"/>
            </w:tcBorders>
            <w:noWrap w:val="0"/>
            <w:vAlign w:val="center"/>
          </w:tcPr>
          <w:p w14:paraId="330ECE68">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noWrap w:val="0"/>
            <w:vAlign w:val="center"/>
          </w:tcPr>
          <w:p w14:paraId="22EF9C2F">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5E35D53F">
        <w:tblPrEx>
          <w:tblCellMar>
            <w:top w:w="0" w:type="dxa"/>
            <w:left w:w="108" w:type="dxa"/>
            <w:bottom w:w="0" w:type="dxa"/>
            <w:right w:w="108" w:type="dxa"/>
          </w:tblCellMar>
        </w:tblPrEx>
        <w:trPr>
          <w:cantSplit/>
          <w:trHeight w:val="136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60D0BBF3">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4B97B787">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3686" w:type="dxa"/>
            <w:tcBorders>
              <w:top w:val="single" w:color="auto" w:sz="4" w:space="0"/>
              <w:left w:val="nil"/>
              <w:bottom w:val="single" w:color="auto" w:sz="4" w:space="0"/>
              <w:right w:val="single" w:color="auto" w:sz="4" w:space="0"/>
            </w:tcBorders>
            <w:noWrap w:val="0"/>
            <w:vAlign w:val="center"/>
          </w:tcPr>
          <w:p w14:paraId="5CD27639">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人工挖孔桩无专项安全技术措施方案，孔内无通风装置、无低压照明、孔洞周边无有效防护措施、无作业人员上下通道。</w:t>
            </w:r>
          </w:p>
        </w:tc>
        <w:tc>
          <w:tcPr>
            <w:tcW w:w="3402" w:type="dxa"/>
            <w:tcBorders>
              <w:top w:val="single" w:color="auto" w:sz="4" w:space="0"/>
              <w:left w:val="nil"/>
              <w:bottom w:val="single" w:color="auto" w:sz="4" w:space="0"/>
              <w:right w:val="single" w:color="auto" w:sz="4" w:space="0"/>
            </w:tcBorders>
            <w:noWrap w:val="0"/>
            <w:vAlign w:val="center"/>
          </w:tcPr>
          <w:p w14:paraId="78FD8D40">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noWrap w:val="0"/>
            <w:vAlign w:val="center"/>
          </w:tcPr>
          <w:p w14:paraId="29B70CDE">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296D81C8">
        <w:tblPrEx>
          <w:tblCellMar>
            <w:top w:w="0" w:type="dxa"/>
            <w:left w:w="108" w:type="dxa"/>
            <w:bottom w:w="0" w:type="dxa"/>
            <w:right w:w="108" w:type="dxa"/>
          </w:tblCellMar>
        </w:tblPrEx>
        <w:trPr>
          <w:cantSplit/>
          <w:trHeight w:val="136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7EF5D158">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49F4E6B">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3686" w:type="dxa"/>
            <w:tcBorders>
              <w:top w:val="single" w:color="auto" w:sz="4" w:space="0"/>
              <w:left w:val="nil"/>
              <w:bottom w:val="single" w:color="auto" w:sz="4" w:space="0"/>
              <w:right w:val="single" w:color="auto" w:sz="4" w:space="0"/>
            </w:tcBorders>
            <w:noWrap w:val="0"/>
            <w:vAlign w:val="center"/>
          </w:tcPr>
          <w:p w14:paraId="5D8EC21A">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工地上较高的建(构)筑物(如水泥罐)、炸药库、油库、发(变)电房、塔式起重机、门式起重机未按规定装设有效避雷装置。</w:t>
            </w:r>
          </w:p>
        </w:tc>
        <w:tc>
          <w:tcPr>
            <w:tcW w:w="3402" w:type="dxa"/>
            <w:tcBorders>
              <w:top w:val="single" w:color="auto" w:sz="4" w:space="0"/>
              <w:left w:val="nil"/>
              <w:bottom w:val="single" w:color="auto" w:sz="4" w:space="0"/>
              <w:right w:val="single" w:color="auto" w:sz="4" w:space="0"/>
            </w:tcBorders>
            <w:noWrap w:val="0"/>
            <w:vAlign w:val="center"/>
          </w:tcPr>
          <w:p w14:paraId="3D5D9F02">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noWrap w:val="0"/>
            <w:vAlign w:val="center"/>
          </w:tcPr>
          <w:p w14:paraId="03D81686">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56122EBB">
        <w:tblPrEx>
          <w:tblCellMar>
            <w:top w:w="0" w:type="dxa"/>
            <w:left w:w="108" w:type="dxa"/>
            <w:bottom w:w="0" w:type="dxa"/>
            <w:right w:w="108" w:type="dxa"/>
          </w:tblCellMar>
        </w:tblPrEx>
        <w:trPr>
          <w:cantSplit/>
          <w:trHeight w:val="136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24F47364">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D9F11EB">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3686" w:type="dxa"/>
            <w:tcBorders>
              <w:top w:val="single" w:color="auto" w:sz="4" w:space="0"/>
              <w:left w:val="nil"/>
              <w:bottom w:val="single" w:color="auto" w:sz="4" w:space="0"/>
              <w:right w:val="single" w:color="auto" w:sz="4" w:space="0"/>
            </w:tcBorders>
            <w:noWrap w:val="0"/>
            <w:vAlign w:val="center"/>
          </w:tcPr>
          <w:p w14:paraId="76E9368E">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油库区、炸药库区、氧气库、乙炔库、发(变)电房、检修车间、仓库、生活区(职工宿舍)等未按规定配置有效消防器材。</w:t>
            </w:r>
          </w:p>
        </w:tc>
        <w:tc>
          <w:tcPr>
            <w:tcW w:w="3402" w:type="dxa"/>
            <w:tcBorders>
              <w:top w:val="single" w:color="auto" w:sz="4" w:space="0"/>
              <w:left w:val="nil"/>
              <w:bottom w:val="single" w:color="auto" w:sz="4" w:space="0"/>
              <w:right w:val="single" w:color="auto" w:sz="4" w:space="0"/>
            </w:tcBorders>
            <w:noWrap w:val="0"/>
            <w:vAlign w:val="center"/>
          </w:tcPr>
          <w:p w14:paraId="36C00C47">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noWrap w:val="0"/>
            <w:vAlign w:val="center"/>
          </w:tcPr>
          <w:p w14:paraId="16E855E1">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3BDC619C">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60074667">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ADFD671">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3686" w:type="dxa"/>
            <w:tcBorders>
              <w:top w:val="single" w:color="auto" w:sz="4" w:space="0"/>
              <w:left w:val="nil"/>
              <w:bottom w:val="single" w:color="auto" w:sz="4" w:space="0"/>
              <w:right w:val="single" w:color="auto" w:sz="4" w:space="0"/>
            </w:tcBorders>
            <w:noWrap w:val="0"/>
            <w:vAlign w:val="center"/>
          </w:tcPr>
          <w:p w14:paraId="4FE6FD75">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氧气和乙炔的运输、储存、使用或安全距离不符合规程要求。</w:t>
            </w:r>
          </w:p>
        </w:tc>
        <w:tc>
          <w:tcPr>
            <w:tcW w:w="3402" w:type="dxa"/>
            <w:tcBorders>
              <w:top w:val="single" w:color="auto" w:sz="4" w:space="0"/>
              <w:left w:val="nil"/>
              <w:bottom w:val="single" w:color="auto" w:sz="4" w:space="0"/>
              <w:right w:val="single" w:color="auto" w:sz="4" w:space="0"/>
            </w:tcBorders>
            <w:noWrap w:val="0"/>
            <w:vAlign w:val="center"/>
          </w:tcPr>
          <w:p w14:paraId="7E0B7CE3">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noWrap w:val="0"/>
            <w:vAlign w:val="center"/>
          </w:tcPr>
          <w:p w14:paraId="432B644F">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0E6ED9F6">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6FC187F4">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2C75D96">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3686" w:type="dxa"/>
            <w:tcBorders>
              <w:top w:val="single" w:color="auto" w:sz="4" w:space="0"/>
              <w:left w:val="nil"/>
              <w:bottom w:val="single" w:color="auto" w:sz="4" w:space="0"/>
              <w:right w:val="single" w:color="auto" w:sz="4" w:space="0"/>
            </w:tcBorders>
            <w:noWrap w:val="0"/>
            <w:vAlign w:val="center"/>
          </w:tcPr>
          <w:p w14:paraId="3ADDF527">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未按经审批的施工方案施工，脚手架未按规程要求搭设并经监理组织验收便投入使用。</w:t>
            </w:r>
          </w:p>
        </w:tc>
        <w:tc>
          <w:tcPr>
            <w:tcW w:w="3402" w:type="dxa"/>
            <w:tcBorders>
              <w:top w:val="single" w:color="auto" w:sz="4" w:space="0"/>
              <w:left w:val="nil"/>
              <w:bottom w:val="single" w:color="auto" w:sz="4" w:space="0"/>
              <w:right w:val="single" w:color="auto" w:sz="4" w:space="0"/>
            </w:tcBorders>
            <w:noWrap w:val="0"/>
            <w:vAlign w:val="center"/>
          </w:tcPr>
          <w:p w14:paraId="0EC50D58">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noWrap w:val="0"/>
            <w:vAlign w:val="center"/>
          </w:tcPr>
          <w:p w14:paraId="168CBAFD">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28EE88F6">
        <w:tblPrEx>
          <w:tblCellMar>
            <w:top w:w="0" w:type="dxa"/>
            <w:left w:w="108" w:type="dxa"/>
            <w:bottom w:w="0" w:type="dxa"/>
            <w:right w:w="108" w:type="dxa"/>
          </w:tblCellMar>
        </w:tblPrEx>
        <w:trPr>
          <w:cantSplit/>
          <w:trHeight w:val="238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43465C95">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645D04B4">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3686" w:type="dxa"/>
            <w:tcBorders>
              <w:top w:val="single" w:color="auto" w:sz="4" w:space="0"/>
              <w:left w:val="nil"/>
              <w:bottom w:val="single" w:color="auto" w:sz="4" w:space="0"/>
              <w:right w:val="single" w:color="auto" w:sz="4" w:space="0"/>
            </w:tcBorders>
            <w:noWrap w:val="0"/>
            <w:vAlign w:val="center"/>
          </w:tcPr>
          <w:p w14:paraId="70708C2A">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单位在施工现场入口处、施工起重机械、临时用电设施、脚手架、出入通道口、施工便道拐弯处、孔洞口、桥梁口、隧道口、基坑边沿、桩基础施工、爆破物及有害危险气体和液体存放处等危险部位未设置明显的安全警示标志或安全警示标志不符合国家标准。</w:t>
            </w:r>
          </w:p>
        </w:tc>
        <w:tc>
          <w:tcPr>
            <w:tcW w:w="3402" w:type="dxa"/>
            <w:tcBorders>
              <w:top w:val="single" w:color="auto" w:sz="4" w:space="0"/>
              <w:left w:val="nil"/>
              <w:bottom w:val="single" w:color="auto" w:sz="4" w:space="0"/>
              <w:right w:val="single" w:color="auto" w:sz="4" w:space="0"/>
            </w:tcBorders>
            <w:noWrap w:val="0"/>
            <w:vAlign w:val="center"/>
          </w:tcPr>
          <w:p w14:paraId="3EB9022D">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noWrap w:val="0"/>
            <w:vAlign w:val="center"/>
          </w:tcPr>
          <w:p w14:paraId="15EA0412">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42948CC9">
        <w:tblPrEx>
          <w:tblCellMar>
            <w:top w:w="0" w:type="dxa"/>
            <w:left w:w="108" w:type="dxa"/>
            <w:bottom w:w="0" w:type="dxa"/>
            <w:right w:w="108" w:type="dxa"/>
          </w:tblCellMar>
        </w:tblPrEx>
        <w:trPr>
          <w:cantSplit/>
          <w:trHeight w:val="1701" w:hRule="exact"/>
          <w:jc w:val="center"/>
        </w:trPr>
        <w:tc>
          <w:tcPr>
            <w:tcW w:w="710" w:type="dxa"/>
            <w:vMerge w:val="restart"/>
            <w:tcBorders>
              <w:top w:val="single" w:color="auto" w:sz="4" w:space="0"/>
              <w:left w:val="single" w:color="auto" w:sz="4" w:space="0"/>
              <w:right w:val="single" w:color="auto" w:sz="4" w:space="0"/>
            </w:tcBorders>
            <w:noWrap w:val="0"/>
            <w:vAlign w:val="center"/>
          </w:tcPr>
          <w:p w14:paraId="7D0188B8">
            <w:pPr>
              <w:overflowPunct w:val="0"/>
              <w:autoSpaceDE w:val="0"/>
              <w:autoSpaceDN w:val="0"/>
              <w:adjustRightInd w:val="0"/>
              <w:snapToGrid w:val="0"/>
              <w:spacing w:line="32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违规违章处罚办法</w:t>
            </w:r>
          </w:p>
        </w:tc>
        <w:tc>
          <w:tcPr>
            <w:tcW w:w="708" w:type="dxa"/>
            <w:tcBorders>
              <w:top w:val="single" w:color="auto" w:sz="4" w:space="0"/>
              <w:left w:val="nil"/>
              <w:bottom w:val="single" w:color="auto" w:sz="4" w:space="0"/>
              <w:right w:val="single" w:color="auto" w:sz="4" w:space="0"/>
            </w:tcBorders>
            <w:noWrap w:val="0"/>
            <w:vAlign w:val="center"/>
          </w:tcPr>
          <w:p w14:paraId="35E2E5B1">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3686" w:type="dxa"/>
            <w:tcBorders>
              <w:top w:val="single" w:color="auto" w:sz="4" w:space="0"/>
              <w:left w:val="nil"/>
              <w:bottom w:val="single" w:color="auto" w:sz="4" w:space="0"/>
              <w:right w:val="single" w:color="auto" w:sz="4" w:space="0"/>
            </w:tcBorders>
            <w:noWrap w:val="0"/>
            <w:vAlign w:val="center"/>
          </w:tcPr>
          <w:p w14:paraId="1C84F196">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特种作业人员（指从事电气、起重、驾驶、焊接、爆破、脚手架搭设、射线等作业人员）未经专门的安全作业培训并取得特种作业操作资格证书便安排上岗作业。</w:t>
            </w:r>
          </w:p>
        </w:tc>
        <w:tc>
          <w:tcPr>
            <w:tcW w:w="3402" w:type="dxa"/>
            <w:tcBorders>
              <w:top w:val="single" w:color="auto" w:sz="4" w:space="0"/>
              <w:left w:val="nil"/>
              <w:bottom w:val="single" w:color="auto" w:sz="4" w:space="0"/>
              <w:right w:val="single" w:color="auto" w:sz="4" w:space="0"/>
            </w:tcBorders>
            <w:noWrap w:val="0"/>
            <w:vAlign w:val="center"/>
          </w:tcPr>
          <w:p w14:paraId="5E0A4671">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凡出现的行为，对施工单位处以5000元以内违约金；对监理单位处以3000元以内违约金。</w:t>
            </w:r>
          </w:p>
        </w:tc>
        <w:tc>
          <w:tcPr>
            <w:tcW w:w="850" w:type="dxa"/>
            <w:tcBorders>
              <w:top w:val="single" w:color="auto" w:sz="4" w:space="0"/>
              <w:left w:val="nil"/>
              <w:bottom w:val="single" w:color="auto" w:sz="4" w:space="0"/>
              <w:right w:val="single" w:color="auto" w:sz="4" w:space="0"/>
            </w:tcBorders>
            <w:noWrap w:val="0"/>
            <w:vAlign w:val="center"/>
          </w:tcPr>
          <w:p w14:paraId="2712A0E1">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1CB90602">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1088DB14">
            <w:pPr>
              <w:overflowPunct w:val="0"/>
              <w:autoSpaceDE w:val="0"/>
              <w:autoSpaceDN w:val="0"/>
              <w:adjustRightInd w:val="0"/>
              <w:snapToGrid w:val="0"/>
              <w:spacing w:line="320" w:lineRule="exac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158EF5AD">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38</w:t>
            </w:r>
          </w:p>
        </w:tc>
        <w:tc>
          <w:tcPr>
            <w:tcW w:w="3686" w:type="dxa"/>
            <w:tcBorders>
              <w:top w:val="single" w:color="auto" w:sz="4" w:space="0"/>
              <w:left w:val="nil"/>
              <w:bottom w:val="single" w:color="auto" w:sz="4" w:space="0"/>
              <w:right w:val="single" w:color="auto" w:sz="4" w:space="0"/>
            </w:tcBorders>
            <w:noWrap w:val="0"/>
            <w:vAlign w:val="center"/>
          </w:tcPr>
          <w:p w14:paraId="408D2669">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未执行一机、一闸、一漏、一箱用电原则。</w:t>
            </w:r>
          </w:p>
        </w:tc>
        <w:tc>
          <w:tcPr>
            <w:tcW w:w="3402" w:type="dxa"/>
            <w:tcBorders>
              <w:top w:val="single" w:color="auto" w:sz="4" w:space="0"/>
              <w:left w:val="nil"/>
              <w:bottom w:val="single" w:color="auto" w:sz="4" w:space="0"/>
              <w:right w:val="single" w:color="auto" w:sz="4" w:space="0"/>
            </w:tcBorders>
            <w:noWrap w:val="0"/>
            <w:vAlign w:val="center"/>
          </w:tcPr>
          <w:p w14:paraId="65E79D2E">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single" w:color="auto" w:sz="4" w:space="0"/>
              <w:left w:val="nil"/>
              <w:bottom w:val="single" w:color="auto" w:sz="4" w:space="0"/>
              <w:right w:val="single" w:color="auto" w:sz="4" w:space="0"/>
            </w:tcBorders>
            <w:noWrap w:val="0"/>
            <w:vAlign w:val="center"/>
          </w:tcPr>
          <w:p w14:paraId="62D5174A">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26802FC8">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09458757">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0E76F331">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3686" w:type="dxa"/>
            <w:tcBorders>
              <w:top w:val="nil"/>
              <w:left w:val="nil"/>
              <w:bottom w:val="single" w:color="auto" w:sz="4" w:space="0"/>
              <w:right w:val="single" w:color="auto" w:sz="4" w:space="0"/>
            </w:tcBorders>
            <w:noWrap w:val="0"/>
            <w:vAlign w:val="center"/>
          </w:tcPr>
          <w:p w14:paraId="611EE965">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开关箱无盖、开关露天摆设、开关无盖或盖不全，电力线路乱拉乱接或席地铺设，保险丝、地线、零线违规使用。</w:t>
            </w:r>
          </w:p>
        </w:tc>
        <w:tc>
          <w:tcPr>
            <w:tcW w:w="3402" w:type="dxa"/>
            <w:tcBorders>
              <w:top w:val="nil"/>
              <w:left w:val="nil"/>
              <w:bottom w:val="single" w:color="auto" w:sz="4" w:space="0"/>
              <w:right w:val="single" w:color="auto" w:sz="4" w:space="0"/>
            </w:tcBorders>
            <w:noWrap w:val="0"/>
            <w:vAlign w:val="center"/>
          </w:tcPr>
          <w:p w14:paraId="12B5CD22">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noWrap w:val="0"/>
            <w:vAlign w:val="center"/>
          </w:tcPr>
          <w:p w14:paraId="367C412F">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182F47E7">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29F6F4D7">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02F0649B">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3686" w:type="dxa"/>
            <w:tcBorders>
              <w:top w:val="nil"/>
              <w:left w:val="nil"/>
              <w:bottom w:val="single" w:color="auto" w:sz="4" w:space="0"/>
              <w:right w:val="single" w:color="auto" w:sz="4" w:space="0"/>
            </w:tcBorders>
            <w:noWrap w:val="0"/>
            <w:vAlign w:val="center"/>
          </w:tcPr>
          <w:p w14:paraId="20442663">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施工现场每使用一辆“三无”车辆或证件不全车辆。</w:t>
            </w:r>
          </w:p>
        </w:tc>
        <w:tc>
          <w:tcPr>
            <w:tcW w:w="3402" w:type="dxa"/>
            <w:tcBorders>
              <w:top w:val="nil"/>
              <w:left w:val="nil"/>
              <w:bottom w:val="single" w:color="auto" w:sz="4" w:space="0"/>
              <w:right w:val="single" w:color="auto" w:sz="4" w:space="0"/>
            </w:tcBorders>
            <w:noWrap w:val="0"/>
            <w:vAlign w:val="center"/>
          </w:tcPr>
          <w:p w14:paraId="21B8C451">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noWrap w:val="0"/>
            <w:vAlign w:val="center"/>
          </w:tcPr>
          <w:p w14:paraId="7C95E7DE">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1CF3847E">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53EFBDD5">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4C17CBD8">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3686" w:type="dxa"/>
            <w:tcBorders>
              <w:top w:val="nil"/>
              <w:left w:val="nil"/>
              <w:bottom w:val="single" w:color="auto" w:sz="4" w:space="0"/>
              <w:right w:val="single" w:color="auto" w:sz="4" w:space="0"/>
            </w:tcBorders>
            <w:noWrap w:val="0"/>
            <w:vAlign w:val="center"/>
          </w:tcPr>
          <w:p w14:paraId="5FE6C560">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转动机械无防护罩，电焊机及电气设备无接地保护、无防雨措施。</w:t>
            </w:r>
          </w:p>
        </w:tc>
        <w:tc>
          <w:tcPr>
            <w:tcW w:w="3402" w:type="dxa"/>
            <w:tcBorders>
              <w:top w:val="nil"/>
              <w:left w:val="nil"/>
              <w:bottom w:val="single" w:color="auto" w:sz="4" w:space="0"/>
              <w:right w:val="single" w:color="auto" w:sz="4" w:space="0"/>
            </w:tcBorders>
            <w:noWrap w:val="0"/>
            <w:vAlign w:val="center"/>
          </w:tcPr>
          <w:p w14:paraId="32A3878B">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noWrap w:val="0"/>
            <w:vAlign w:val="center"/>
          </w:tcPr>
          <w:p w14:paraId="00317F3A">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61039046">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right w:val="single" w:color="auto" w:sz="4" w:space="0"/>
            </w:tcBorders>
            <w:noWrap w:val="0"/>
            <w:vAlign w:val="center"/>
          </w:tcPr>
          <w:p w14:paraId="48563DB2">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5FADCA08">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3686" w:type="dxa"/>
            <w:tcBorders>
              <w:top w:val="nil"/>
              <w:left w:val="nil"/>
              <w:bottom w:val="single" w:color="auto" w:sz="4" w:space="0"/>
              <w:right w:val="single" w:color="auto" w:sz="4" w:space="0"/>
            </w:tcBorders>
            <w:noWrap w:val="0"/>
            <w:vAlign w:val="center"/>
          </w:tcPr>
          <w:p w14:paraId="50555869">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高处作业未设置平台或平台未满铺脚手板，高处作业临边无栏杆，该铺设而未铺设安全网。</w:t>
            </w:r>
          </w:p>
        </w:tc>
        <w:tc>
          <w:tcPr>
            <w:tcW w:w="3402" w:type="dxa"/>
            <w:tcBorders>
              <w:top w:val="nil"/>
              <w:left w:val="nil"/>
              <w:bottom w:val="single" w:color="auto" w:sz="4" w:space="0"/>
              <w:right w:val="single" w:color="auto" w:sz="4" w:space="0"/>
            </w:tcBorders>
            <w:noWrap w:val="0"/>
            <w:vAlign w:val="center"/>
          </w:tcPr>
          <w:p w14:paraId="48DBE466">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noWrap w:val="0"/>
            <w:vAlign w:val="center"/>
          </w:tcPr>
          <w:p w14:paraId="274CBF1A">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17DA8CD1">
        <w:tblPrEx>
          <w:tblCellMar>
            <w:top w:w="0" w:type="dxa"/>
            <w:left w:w="108" w:type="dxa"/>
            <w:bottom w:w="0" w:type="dxa"/>
            <w:right w:w="108" w:type="dxa"/>
          </w:tblCellMar>
        </w:tblPrEx>
        <w:trPr>
          <w:cantSplit/>
          <w:trHeight w:val="1021" w:hRule="exact"/>
          <w:jc w:val="center"/>
        </w:trPr>
        <w:tc>
          <w:tcPr>
            <w:tcW w:w="710" w:type="dxa"/>
            <w:vMerge w:val="continue"/>
            <w:tcBorders>
              <w:left w:val="single" w:color="auto" w:sz="4" w:space="0"/>
              <w:bottom w:val="single" w:color="auto" w:sz="4" w:space="0"/>
              <w:right w:val="single" w:color="auto" w:sz="4" w:space="0"/>
            </w:tcBorders>
            <w:noWrap w:val="0"/>
            <w:vAlign w:val="center"/>
          </w:tcPr>
          <w:p w14:paraId="3FEFDBFB">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29611F16">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c>
          <w:tcPr>
            <w:tcW w:w="3686" w:type="dxa"/>
            <w:tcBorders>
              <w:top w:val="nil"/>
              <w:left w:val="nil"/>
              <w:bottom w:val="single" w:color="auto" w:sz="4" w:space="0"/>
              <w:right w:val="single" w:color="auto" w:sz="4" w:space="0"/>
            </w:tcBorders>
            <w:noWrap w:val="0"/>
            <w:vAlign w:val="center"/>
          </w:tcPr>
          <w:p w14:paraId="0625B86B">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高处作业向上或向下抛掷工具、材料或垃圾。</w:t>
            </w:r>
          </w:p>
        </w:tc>
        <w:tc>
          <w:tcPr>
            <w:tcW w:w="3402" w:type="dxa"/>
            <w:tcBorders>
              <w:top w:val="nil"/>
              <w:left w:val="nil"/>
              <w:bottom w:val="single" w:color="auto" w:sz="4" w:space="0"/>
              <w:right w:val="single" w:color="auto" w:sz="4" w:space="0"/>
            </w:tcBorders>
            <w:noWrap w:val="0"/>
            <w:vAlign w:val="center"/>
          </w:tcPr>
          <w:p w14:paraId="767FBB59">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视情节对施工单位处以1000-3000元违约金；对监理单位监管不力的，处以1000-2000元违约金。</w:t>
            </w:r>
          </w:p>
        </w:tc>
        <w:tc>
          <w:tcPr>
            <w:tcW w:w="850" w:type="dxa"/>
            <w:tcBorders>
              <w:top w:val="nil"/>
              <w:left w:val="nil"/>
              <w:bottom w:val="single" w:color="auto" w:sz="4" w:space="0"/>
              <w:right w:val="single" w:color="auto" w:sz="4" w:space="0"/>
            </w:tcBorders>
            <w:noWrap w:val="0"/>
            <w:vAlign w:val="center"/>
          </w:tcPr>
          <w:p w14:paraId="26777316">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3674CAE0">
        <w:tblPrEx>
          <w:tblCellMar>
            <w:top w:w="0" w:type="dxa"/>
            <w:left w:w="108" w:type="dxa"/>
            <w:bottom w:w="0" w:type="dxa"/>
            <w:right w:w="108" w:type="dxa"/>
          </w:tblCellMar>
        </w:tblPrEx>
        <w:trPr>
          <w:cantSplit/>
          <w:trHeight w:val="1021" w:hRule="exac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14:paraId="71882B32">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连带处罚办法</w:t>
            </w:r>
          </w:p>
        </w:tc>
        <w:tc>
          <w:tcPr>
            <w:tcW w:w="708" w:type="dxa"/>
            <w:tcBorders>
              <w:top w:val="single" w:color="auto" w:sz="4" w:space="0"/>
              <w:left w:val="nil"/>
              <w:bottom w:val="single" w:color="auto" w:sz="4" w:space="0"/>
              <w:right w:val="single" w:color="auto" w:sz="4" w:space="0"/>
            </w:tcBorders>
            <w:noWrap w:val="0"/>
            <w:vAlign w:val="center"/>
          </w:tcPr>
          <w:p w14:paraId="5B91B177">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3686" w:type="dxa"/>
            <w:tcBorders>
              <w:top w:val="single" w:color="auto" w:sz="4" w:space="0"/>
              <w:left w:val="nil"/>
              <w:bottom w:val="single" w:color="auto" w:sz="4" w:space="0"/>
              <w:right w:val="single" w:color="auto" w:sz="4" w:space="0"/>
            </w:tcBorders>
            <w:noWrap w:val="0"/>
            <w:vAlign w:val="center"/>
          </w:tcPr>
          <w:p w14:paraId="2066C2CC">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进入施工现场不戴安全帽或不扣好帽带，安全帽质量不符合国家标准或行业标准要求。</w:t>
            </w:r>
          </w:p>
        </w:tc>
        <w:tc>
          <w:tcPr>
            <w:tcW w:w="3402" w:type="dxa"/>
            <w:tcBorders>
              <w:top w:val="single" w:color="auto" w:sz="4" w:space="0"/>
              <w:left w:val="nil"/>
              <w:bottom w:val="single" w:color="auto" w:sz="4" w:space="0"/>
              <w:right w:val="single" w:color="auto" w:sz="4" w:space="0"/>
            </w:tcBorders>
            <w:noWrap w:val="0"/>
            <w:vAlign w:val="center"/>
          </w:tcPr>
          <w:p w14:paraId="63FE5D42">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视情节对施工单位处以200-1000元违约金；对监理单位监管不力的，处以200-500元违约金。</w:t>
            </w:r>
          </w:p>
        </w:tc>
        <w:tc>
          <w:tcPr>
            <w:tcW w:w="850" w:type="dxa"/>
            <w:tcBorders>
              <w:top w:val="single" w:color="auto" w:sz="4" w:space="0"/>
              <w:left w:val="nil"/>
              <w:bottom w:val="single" w:color="auto" w:sz="4" w:space="0"/>
              <w:right w:val="single" w:color="auto" w:sz="4" w:space="0"/>
            </w:tcBorders>
            <w:noWrap w:val="0"/>
            <w:vAlign w:val="center"/>
          </w:tcPr>
          <w:p w14:paraId="51AED3D3">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065A52B6">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03261CAE">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2B75DEBB">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3686" w:type="dxa"/>
            <w:tcBorders>
              <w:top w:val="single" w:color="auto" w:sz="4" w:space="0"/>
              <w:left w:val="nil"/>
              <w:bottom w:val="single" w:color="auto" w:sz="4" w:space="0"/>
              <w:right w:val="single" w:color="auto" w:sz="4" w:space="0"/>
            </w:tcBorders>
            <w:noWrap w:val="0"/>
            <w:vAlign w:val="center"/>
          </w:tcPr>
          <w:p w14:paraId="10BBB16D">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高空作业不系安全带，安全带未挂在牢固物体上或低挂高用。</w:t>
            </w:r>
          </w:p>
        </w:tc>
        <w:tc>
          <w:tcPr>
            <w:tcW w:w="3402" w:type="dxa"/>
            <w:tcBorders>
              <w:top w:val="single" w:color="auto" w:sz="4" w:space="0"/>
              <w:left w:val="nil"/>
              <w:bottom w:val="single" w:color="auto" w:sz="4" w:space="0"/>
              <w:right w:val="single" w:color="auto" w:sz="4" w:space="0"/>
            </w:tcBorders>
            <w:noWrap w:val="0"/>
            <w:vAlign w:val="center"/>
          </w:tcPr>
          <w:p w14:paraId="6B4E5621">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视情节对施工单位处以200-1000元违约金；对监理单位监管不力的，处以200-500元违约金。</w:t>
            </w:r>
          </w:p>
        </w:tc>
        <w:tc>
          <w:tcPr>
            <w:tcW w:w="850" w:type="dxa"/>
            <w:tcBorders>
              <w:top w:val="single" w:color="auto" w:sz="4" w:space="0"/>
              <w:left w:val="nil"/>
              <w:bottom w:val="single" w:color="auto" w:sz="4" w:space="0"/>
              <w:right w:val="single" w:color="auto" w:sz="4" w:space="0"/>
            </w:tcBorders>
            <w:noWrap w:val="0"/>
            <w:vAlign w:val="center"/>
          </w:tcPr>
          <w:p w14:paraId="191CE17D">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133D2520">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29CA99E2">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4D0269DE">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3686" w:type="dxa"/>
            <w:tcBorders>
              <w:top w:val="single" w:color="auto" w:sz="4" w:space="0"/>
              <w:left w:val="nil"/>
              <w:bottom w:val="single" w:color="auto" w:sz="4" w:space="0"/>
              <w:right w:val="single" w:color="auto" w:sz="4" w:space="0"/>
            </w:tcBorders>
            <w:noWrap w:val="0"/>
            <w:vAlign w:val="center"/>
          </w:tcPr>
          <w:p w14:paraId="61508629">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施工作业过程中光膀子或者衣服不扣纽扣。</w:t>
            </w:r>
          </w:p>
        </w:tc>
        <w:tc>
          <w:tcPr>
            <w:tcW w:w="3402" w:type="dxa"/>
            <w:tcBorders>
              <w:top w:val="single" w:color="auto" w:sz="4" w:space="0"/>
              <w:left w:val="nil"/>
              <w:bottom w:val="single" w:color="auto" w:sz="4" w:space="0"/>
              <w:right w:val="single" w:color="auto" w:sz="4" w:space="0"/>
            </w:tcBorders>
            <w:noWrap w:val="0"/>
            <w:vAlign w:val="center"/>
          </w:tcPr>
          <w:p w14:paraId="7BAE907A">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视情节对施工单位处以200-1000元违约金；对监理单位监管不力的，处以200-500元违约金。</w:t>
            </w:r>
          </w:p>
        </w:tc>
        <w:tc>
          <w:tcPr>
            <w:tcW w:w="850" w:type="dxa"/>
            <w:tcBorders>
              <w:top w:val="single" w:color="auto" w:sz="4" w:space="0"/>
              <w:left w:val="nil"/>
              <w:bottom w:val="single" w:color="auto" w:sz="4" w:space="0"/>
              <w:right w:val="single" w:color="auto" w:sz="4" w:space="0"/>
            </w:tcBorders>
            <w:noWrap w:val="0"/>
            <w:vAlign w:val="center"/>
          </w:tcPr>
          <w:p w14:paraId="05E69BFD">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64ABE2EF">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4AE63787">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2FFB0198">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47</w:t>
            </w:r>
          </w:p>
        </w:tc>
        <w:tc>
          <w:tcPr>
            <w:tcW w:w="3686" w:type="dxa"/>
            <w:tcBorders>
              <w:top w:val="single" w:color="auto" w:sz="4" w:space="0"/>
              <w:left w:val="nil"/>
              <w:bottom w:val="single" w:color="auto" w:sz="4" w:space="0"/>
              <w:right w:val="single" w:color="auto" w:sz="4" w:space="0"/>
            </w:tcBorders>
            <w:noWrap w:val="0"/>
            <w:vAlign w:val="center"/>
          </w:tcPr>
          <w:p w14:paraId="112A5535">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穿短裤、穿拖鞋或光脚进入施工现场。</w:t>
            </w:r>
          </w:p>
        </w:tc>
        <w:tc>
          <w:tcPr>
            <w:tcW w:w="3402" w:type="dxa"/>
            <w:tcBorders>
              <w:top w:val="single" w:color="auto" w:sz="4" w:space="0"/>
              <w:left w:val="nil"/>
              <w:bottom w:val="single" w:color="auto" w:sz="4" w:space="0"/>
              <w:right w:val="single" w:color="auto" w:sz="4" w:space="0"/>
            </w:tcBorders>
            <w:noWrap w:val="0"/>
            <w:vAlign w:val="center"/>
          </w:tcPr>
          <w:p w14:paraId="0C615A4C">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视情节对施工单位处以200-1000元违约金；对监理单位监管不力的，处以200-500元违约金。</w:t>
            </w:r>
          </w:p>
        </w:tc>
        <w:tc>
          <w:tcPr>
            <w:tcW w:w="850" w:type="dxa"/>
            <w:tcBorders>
              <w:top w:val="single" w:color="auto" w:sz="4" w:space="0"/>
              <w:left w:val="nil"/>
              <w:bottom w:val="single" w:color="auto" w:sz="4" w:space="0"/>
              <w:right w:val="single" w:color="auto" w:sz="4" w:space="0"/>
            </w:tcBorders>
            <w:noWrap w:val="0"/>
            <w:vAlign w:val="center"/>
          </w:tcPr>
          <w:p w14:paraId="4240EDE6">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59FF6EAD">
        <w:tblPrEx>
          <w:tblCellMar>
            <w:top w:w="0" w:type="dxa"/>
            <w:left w:w="108" w:type="dxa"/>
            <w:bottom w:w="0" w:type="dxa"/>
            <w:right w:w="108" w:type="dxa"/>
          </w:tblCellMar>
        </w:tblPrEx>
        <w:trPr>
          <w:cantSplit/>
          <w:trHeight w:val="1021" w:hRule="exact"/>
          <w:jc w:val="center"/>
        </w:trPr>
        <w:tc>
          <w:tcPr>
            <w:tcW w:w="710" w:type="dxa"/>
            <w:vMerge w:val="continue"/>
            <w:tcBorders>
              <w:top w:val="nil"/>
              <w:left w:val="single" w:color="auto" w:sz="4" w:space="0"/>
              <w:bottom w:val="single" w:color="auto" w:sz="4" w:space="0"/>
              <w:right w:val="single" w:color="auto" w:sz="4" w:space="0"/>
            </w:tcBorders>
            <w:noWrap w:val="0"/>
            <w:vAlign w:val="center"/>
          </w:tcPr>
          <w:p w14:paraId="528DAD66">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06D748D4">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48</w:t>
            </w:r>
          </w:p>
        </w:tc>
        <w:tc>
          <w:tcPr>
            <w:tcW w:w="3686" w:type="dxa"/>
            <w:tcBorders>
              <w:top w:val="nil"/>
              <w:left w:val="nil"/>
              <w:bottom w:val="single" w:color="auto" w:sz="4" w:space="0"/>
              <w:right w:val="single" w:color="auto" w:sz="4" w:space="0"/>
            </w:tcBorders>
            <w:noWrap w:val="0"/>
            <w:vAlign w:val="center"/>
          </w:tcPr>
          <w:p w14:paraId="612B4BF7">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穿高跟鞋、裙子进入施工现场。</w:t>
            </w:r>
          </w:p>
        </w:tc>
        <w:tc>
          <w:tcPr>
            <w:tcW w:w="3402" w:type="dxa"/>
            <w:tcBorders>
              <w:top w:val="nil"/>
              <w:left w:val="nil"/>
              <w:bottom w:val="single" w:color="auto" w:sz="4" w:space="0"/>
              <w:right w:val="single" w:color="auto" w:sz="4" w:space="0"/>
            </w:tcBorders>
            <w:noWrap w:val="0"/>
            <w:vAlign w:val="center"/>
          </w:tcPr>
          <w:p w14:paraId="22B51F32">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视情节对施工单位处以200-1000元违约金；对监理单位监管不力的，处以200-500元违约金。</w:t>
            </w:r>
          </w:p>
        </w:tc>
        <w:tc>
          <w:tcPr>
            <w:tcW w:w="850" w:type="dxa"/>
            <w:tcBorders>
              <w:top w:val="nil"/>
              <w:left w:val="nil"/>
              <w:bottom w:val="single" w:color="auto" w:sz="4" w:space="0"/>
              <w:right w:val="single" w:color="auto" w:sz="4" w:space="0"/>
            </w:tcBorders>
            <w:noWrap w:val="0"/>
            <w:vAlign w:val="center"/>
          </w:tcPr>
          <w:p w14:paraId="320D3597">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119C5422">
        <w:tblPrEx>
          <w:tblCellMar>
            <w:top w:w="0" w:type="dxa"/>
            <w:left w:w="108" w:type="dxa"/>
            <w:bottom w:w="0" w:type="dxa"/>
            <w:right w:w="108" w:type="dxa"/>
          </w:tblCellMar>
        </w:tblPrEx>
        <w:trPr>
          <w:cantSplit/>
          <w:trHeight w:val="1021" w:hRule="exact"/>
          <w:jc w:val="center"/>
        </w:trPr>
        <w:tc>
          <w:tcPr>
            <w:tcW w:w="710" w:type="dxa"/>
            <w:vMerge w:val="continue"/>
            <w:tcBorders>
              <w:top w:val="nil"/>
              <w:left w:val="single" w:color="auto" w:sz="4" w:space="0"/>
              <w:bottom w:val="single" w:color="auto" w:sz="4" w:space="0"/>
              <w:right w:val="single" w:color="auto" w:sz="4" w:space="0"/>
            </w:tcBorders>
            <w:noWrap w:val="0"/>
            <w:vAlign w:val="center"/>
          </w:tcPr>
          <w:p w14:paraId="6599F2C4">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nil"/>
              <w:left w:val="nil"/>
              <w:bottom w:val="single" w:color="auto" w:sz="4" w:space="0"/>
              <w:right w:val="single" w:color="auto" w:sz="4" w:space="0"/>
            </w:tcBorders>
            <w:noWrap w:val="0"/>
            <w:vAlign w:val="center"/>
          </w:tcPr>
          <w:p w14:paraId="7CB29F26">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49</w:t>
            </w:r>
          </w:p>
        </w:tc>
        <w:tc>
          <w:tcPr>
            <w:tcW w:w="3686" w:type="dxa"/>
            <w:tcBorders>
              <w:top w:val="nil"/>
              <w:left w:val="nil"/>
              <w:bottom w:val="single" w:color="auto" w:sz="4" w:space="0"/>
              <w:right w:val="single" w:color="auto" w:sz="4" w:space="0"/>
            </w:tcBorders>
            <w:noWrap w:val="0"/>
            <w:vAlign w:val="center"/>
          </w:tcPr>
          <w:p w14:paraId="7C50D31A">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酒后上岗作业，违章驾驶或无证驾驶。</w:t>
            </w:r>
          </w:p>
        </w:tc>
        <w:tc>
          <w:tcPr>
            <w:tcW w:w="3402" w:type="dxa"/>
            <w:tcBorders>
              <w:top w:val="nil"/>
              <w:left w:val="nil"/>
              <w:bottom w:val="single" w:color="auto" w:sz="4" w:space="0"/>
              <w:right w:val="single" w:color="auto" w:sz="4" w:space="0"/>
            </w:tcBorders>
            <w:noWrap w:val="0"/>
            <w:vAlign w:val="center"/>
          </w:tcPr>
          <w:p w14:paraId="633BF43E">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视情节对施工单位处以200-1000元违约金；对监理单位监管不力的，处以200-500元违约金。</w:t>
            </w:r>
          </w:p>
        </w:tc>
        <w:tc>
          <w:tcPr>
            <w:tcW w:w="850" w:type="dxa"/>
            <w:tcBorders>
              <w:top w:val="nil"/>
              <w:left w:val="nil"/>
              <w:bottom w:val="single" w:color="auto" w:sz="4" w:space="0"/>
              <w:right w:val="single" w:color="auto" w:sz="4" w:space="0"/>
            </w:tcBorders>
            <w:noWrap w:val="0"/>
            <w:vAlign w:val="center"/>
          </w:tcPr>
          <w:p w14:paraId="0453A838">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1EF020AB">
        <w:tblPrEx>
          <w:tblCellMar>
            <w:top w:w="0" w:type="dxa"/>
            <w:left w:w="108" w:type="dxa"/>
            <w:bottom w:w="0" w:type="dxa"/>
            <w:right w:w="108" w:type="dxa"/>
          </w:tblCellMar>
        </w:tblPrEx>
        <w:trPr>
          <w:cantSplit/>
          <w:trHeight w:val="737" w:hRule="exac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14:paraId="344A9093">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其它</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63BD846">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4D40EB9">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对公司人员、监理单位和施工单位进入施工现场不戴安全帽或不扣好帽带者。</w:t>
            </w:r>
          </w:p>
        </w:tc>
        <w:tc>
          <w:tcPr>
            <w:tcW w:w="3402" w:type="dxa"/>
            <w:tcBorders>
              <w:top w:val="nil"/>
              <w:left w:val="single" w:color="auto" w:sz="4" w:space="0"/>
              <w:bottom w:val="single" w:color="auto" w:sz="4" w:space="0"/>
              <w:right w:val="single" w:color="auto" w:sz="4" w:space="0"/>
            </w:tcBorders>
            <w:noWrap w:val="0"/>
            <w:vAlign w:val="center"/>
          </w:tcPr>
          <w:p w14:paraId="0A619CB5">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每发现一人次，对监理单位、施工单位处以200元违约金。</w:t>
            </w:r>
          </w:p>
        </w:tc>
        <w:tc>
          <w:tcPr>
            <w:tcW w:w="850" w:type="dxa"/>
            <w:tcBorders>
              <w:top w:val="nil"/>
              <w:left w:val="nil"/>
              <w:bottom w:val="single" w:color="auto" w:sz="4" w:space="0"/>
              <w:right w:val="single" w:color="auto" w:sz="4" w:space="0"/>
            </w:tcBorders>
            <w:noWrap w:val="0"/>
            <w:vAlign w:val="center"/>
          </w:tcPr>
          <w:p w14:paraId="166EA788">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6CDB06E5">
        <w:tblPrEx>
          <w:tblCellMar>
            <w:top w:w="0" w:type="dxa"/>
            <w:left w:w="108" w:type="dxa"/>
            <w:bottom w:w="0" w:type="dxa"/>
            <w:right w:w="108" w:type="dxa"/>
          </w:tblCellMar>
        </w:tblPrEx>
        <w:trPr>
          <w:cantSplit/>
          <w:trHeight w:val="1021"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18F340B6">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A804D66">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51</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B53B2D3">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公司在工作检查中，发现现场监理人员对违规违章行为视而不见，未加以制止的。</w:t>
            </w:r>
          </w:p>
        </w:tc>
        <w:tc>
          <w:tcPr>
            <w:tcW w:w="3402" w:type="dxa"/>
            <w:tcBorders>
              <w:top w:val="nil"/>
              <w:left w:val="single" w:color="auto" w:sz="4" w:space="0"/>
              <w:bottom w:val="single" w:color="auto" w:sz="4" w:space="0"/>
              <w:right w:val="single" w:color="auto" w:sz="4" w:space="0"/>
            </w:tcBorders>
            <w:noWrap w:val="0"/>
            <w:vAlign w:val="center"/>
          </w:tcPr>
          <w:p w14:paraId="4FE7D95A">
            <w:pPr>
              <w:overflowPunct w:val="0"/>
              <w:autoSpaceDE w:val="0"/>
              <w:autoSpaceDN w:val="0"/>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对监理单位处以2000元违约金。</w:t>
            </w:r>
          </w:p>
        </w:tc>
        <w:tc>
          <w:tcPr>
            <w:tcW w:w="850" w:type="dxa"/>
            <w:tcBorders>
              <w:top w:val="nil"/>
              <w:left w:val="nil"/>
              <w:bottom w:val="single" w:color="auto" w:sz="4" w:space="0"/>
              <w:right w:val="single" w:color="auto" w:sz="4" w:space="0"/>
            </w:tcBorders>
            <w:noWrap w:val="0"/>
            <w:vAlign w:val="center"/>
          </w:tcPr>
          <w:p w14:paraId="6777BA6E">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r w14:paraId="0ACCCDA6">
        <w:tblPrEx>
          <w:tblCellMar>
            <w:top w:w="0" w:type="dxa"/>
            <w:left w:w="108" w:type="dxa"/>
            <w:bottom w:w="0" w:type="dxa"/>
            <w:right w:w="108" w:type="dxa"/>
          </w:tblCellMar>
        </w:tblPrEx>
        <w:trPr>
          <w:cantSplit/>
          <w:trHeight w:val="737" w:hRule="exac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2C29CCC6">
            <w:pPr>
              <w:overflowPunct w:val="0"/>
              <w:autoSpaceDE w:val="0"/>
              <w:autoSpaceDN w:val="0"/>
              <w:adjustRightInd w:val="0"/>
              <w:snapToGrid w:val="0"/>
              <w:spacing w:line="320" w:lineRule="exact"/>
              <w:jc w:val="left"/>
              <w:rPr>
                <w:rFonts w:ascii="宋体" w:hAnsi="宋体" w:cs="宋体"/>
                <w:b/>
                <w:bCs/>
                <w:color w:val="auto"/>
                <w:kern w:val="0"/>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B9719DA">
            <w:pPr>
              <w:overflowPunct w:val="0"/>
              <w:autoSpaceDE w:val="0"/>
              <w:autoSpaceDN w:val="0"/>
              <w:adjustRightInd w:val="0"/>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2E8D3E3">
            <w:pPr>
              <w:overflowPunct w:val="0"/>
              <w:autoSpaceDE w:val="0"/>
              <w:autoSpaceDN w:val="0"/>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其它未尽事宜，根据法律法规和公司相关规定执行。</w:t>
            </w:r>
          </w:p>
        </w:tc>
        <w:tc>
          <w:tcPr>
            <w:tcW w:w="3402" w:type="dxa"/>
            <w:tcBorders>
              <w:top w:val="nil"/>
              <w:left w:val="single" w:color="auto" w:sz="4" w:space="0"/>
              <w:bottom w:val="single" w:color="auto" w:sz="4" w:space="0"/>
              <w:right w:val="single" w:color="auto" w:sz="4" w:space="0"/>
            </w:tcBorders>
            <w:noWrap w:val="0"/>
            <w:vAlign w:val="center"/>
          </w:tcPr>
          <w:p w14:paraId="7053902A">
            <w:pPr>
              <w:overflowPunct w:val="0"/>
              <w:autoSpaceDE w:val="0"/>
              <w:autoSpaceDN w:val="0"/>
              <w:adjustRightInd w:val="0"/>
              <w:snapToGrid w:val="0"/>
              <w:spacing w:line="320" w:lineRule="exact"/>
              <w:rPr>
                <w:rFonts w:ascii="宋体" w:hAnsi="宋体" w:cs="宋体"/>
                <w:color w:val="auto"/>
                <w:kern w:val="0"/>
                <w:szCs w:val="21"/>
                <w:highlight w:val="none"/>
              </w:rPr>
            </w:pPr>
          </w:p>
        </w:tc>
        <w:tc>
          <w:tcPr>
            <w:tcW w:w="850" w:type="dxa"/>
            <w:tcBorders>
              <w:top w:val="nil"/>
              <w:left w:val="nil"/>
              <w:bottom w:val="single" w:color="auto" w:sz="4" w:space="0"/>
              <w:right w:val="single" w:color="auto" w:sz="4" w:space="0"/>
            </w:tcBorders>
            <w:noWrap w:val="0"/>
            <w:vAlign w:val="center"/>
          </w:tcPr>
          <w:p w14:paraId="22FA7AFF">
            <w:pPr>
              <w:overflowPunct w:val="0"/>
              <w:autoSpaceDE w:val="0"/>
              <w:autoSpaceDN w:val="0"/>
              <w:adjustRightInd w:val="0"/>
              <w:snapToGrid w:val="0"/>
              <w:spacing w:line="320" w:lineRule="exact"/>
              <w:jc w:val="left"/>
              <w:rPr>
                <w:rFonts w:ascii="宋体" w:hAnsi="宋体" w:cs="宋体"/>
                <w:color w:val="auto"/>
                <w:kern w:val="0"/>
                <w:szCs w:val="21"/>
                <w:highlight w:val="none"/>
              </w:rPr>
            </w:pPr>
          </w:p>
        </w:tc>
      </w:tr>
    </w:tbl>
    <w:p w14:paraId="16D9F7B5">
      <w:pPr>
        <w:adjustRightInd w:val="0"/>
        <w:snapToGrid w:val="0"/>
        <w:spacing w:line="420" w:lineRule="exact"/>
        <w:outlineLvl w:val="3"/>
        <w:rPr>
          <w:rFonts w:hint="eastAsia" w:ascii="宋体" w:hAnsi="宋体"/>
          <w:color w:val="auto"/>
          <w:sz w:val="24"/>
          <w:highlight w:val="none"/>
        </w:rPr>
      </w:pPr>
    </w:p>
    <w:p w14:paraId="4FDF5E2C">
      <w:pPr>
        <w:adjustRightInd w:val="0"/>
        <w:snapToGrid w:val="0"/>
        <w:spacing w:line="420" w:lineRule="exact"/>
        <w:outlineLvl w:val="3"/>
        <w:rPr>
          <w:rFonts w:hint="eastAsia" w:ascii="宋体" w:hAnsi="宋体" w:cs="方正仿宋_GBK"/>
          <w:color w:val="auto"/>
          <w:sz w:val="24"/>
          <w:highlight w:val="none"/>
        </w:rPr>
      </w:pPr>
      <w:r>
        <w:rPr>
          <w:rFonts w:hint="eastAsia" w:ascii="宋体" w:hAnsi="宋体"/>
          <w:color w:val="auto"/>
          <w:sz w:val="24"/>
          <w:highlight w:val="none"/>
        </w:rPr>
        <w:t>附录7-2   安全生产承诺书</w:t>
      </w:r>
    </w:p>
    <w:p w14:paraId="4DFF19F7">
      <w:pPr>
        <w:adjustRightInd w:val="0"/>
        <w:snapToGrid w:val="0"/>
        <w:spacing w:line="420" w:lineRule="exact"/>
        <w:ind w:firstLine="602" w:firstLineChars="200"/>
        <w:jc w:val="center"/>
        <w:rPr>
          <w:rFonts w:ascii="宋体" w:hAnsi="宋体" w:cs="方正仿宋_GBK"/>
          <w:b/>
          <w:color w:val="auto"/>
          <w:sz w:val="30"/>
          <w:szCs w:val="30"/>
          <w:highlight w:val="none"/>
        </w:rPr>
      </w:pPr>
      <w:r>
        <w:rPr>
          <w:rFonts w:hint="eastAsia" w:ascii="宋体" w:hAnsi="宋体" w:cs="方正仿宋_GBK"/>
          <w:b/>
          <w:color w:val="auto"/>
          <w:sz w:val="30"/>
          <w:szCs w:val="30"/>
          <w:highlight w:val="none"/>
        </w:rPr>
        <w:t>安全生产承诺书</w:t>
      </w:r>
    </w:p>
    <w:p w14:paraId="7B20B19A">
      <w:pPr>
        <w:adjustRightInd w:val="0"/>
        <w:snapToGrid w:val="0"/>
        <w:spacing w:line="420" w:lineRule="exact"/>
        <w:ind w:firstLine="480" w:firstLineChars="200"/>
        <w:rPr>
          <w:rFonts w:ascii="宋体" w:hAnsi="宋体" w:cs="方正仿宋_GBK"/>
          <w:color w:val="auto"/>
          <w:sz w:val="24"/>
          <w:highlight w:val="none"/>
        </w:rPr>
      </w:pPr>
    </w:p>
    <w:p w14:paraId="33207E31">
      <w:pPr>
        <w:adjustRightInd w:val="0"/>
        <w:snapToGrid w:val="0"/>
        <w:spacing w:line="420" w:lineRule="exact"/>
        <w:rPr>
          <w:rFonts w:ascii="宋体" w:hAnsi="宋体" w:cs="方正仿宋_GBK"/>
          <w:color w:val="auto"/>
          <w:sz w:val="24"/>
          <w:highlight w:val="none"/>
        </w:rPr>
      </w:pPr>
      <w:r>
        <w:rPr>
          <w:rFonts w:hint="eastAsia" w:ascii="宋体" w:hAnsi="宋体" w:cs="方正仿宋_GBK"/>
          <w:color w:val="auto"/>
          <w:sz w:val="24"/>
          <w:highlight w:val="none"/>
        </w:rPr>
        <w:t xml:space="preserve">委托人: </w:t>
      </w:r>
    </w:p>
    <w:p w14:paraId="05963165">
      <w:pPr>
        <w:adjustRightInd w:val="0"/>
        <w:snapToGrid w:val="0"/>
        <w:spacing w:line="420" w:lineRule="exact"/>
        <w:ind w:firstLine="480" w:firstLineChars="200"/>
        <w:rPr>
          <w:rFonts w:ascii="宋体" w:hAnsi="宋体" w:cs="方正仿宋_GBK"/>
          <w:color w:val="auto"/>
          <w:sz w:val="24"/>
          <w:highlight w:val="none"/>
        </w:rPr>
      </w:pPr>
      <w:r>
        <w:rPr>
          <w:rFonts w:hint="eastAsia" w:ascii="宋体" w:hAnsi="宋体" w:cs="方正仿宋_GBK"/>
          <w:color w:val="auto"/>
          <w:sz w:val="24"/>
          <w:highlight w:val="none"/>
        </w:rPr>
        <w:t>我单位已认真阅读《建设项目安全生产管理办法》，并承诺严格遵守《建设项目安全生产管理办法》中规定和合同约定的内容，若发生安全生产违约行为，自愿承担《建设项目安全生产管理办法》中规定和合同约定的违约责任。</w:t>
      </w:r>
    </w:p>
    <w:p w14:paraId="4A296D95">
      <w:pPr>
        <w:adjustRightInd w:val="0"/>
        <w:snapToGrid w:val="0"/>
        <w:spacing w:line="420" w:lineRule="exact"/>
        <w:ind w:firstLine="480" w:firstLineChars="200"/>
        <w:rPr>
          <w:rFonts w:ascii="宋体" w:hAnsi="宋体" w:cs="方正仿宋_GBK"/>
          <w:color w:val="auto"/>
          <w:sz w:val="24"/>
          <w:highlight w:val="none"/>
        </w:rPr>
      </w:pPr>
    </w:p>
    <w:p w14:paraId="27961D2D">
      <w:pPr>
        <w:adjustRightInd w:val="0"/>
        <w:snapToGrid w:val="0"/>
        <w:spacing w:line="420" w:lineRule="exact"/>
        <w:ind w:firstLine="480" w:firstLineChars="200"/>
        <w:rPr>
          <w:rFonts w:ascii="宋体" w:hAnsi="宋体" w:cs="方正仿宋_GBK"/>
          <w:color w:val="auto"/>
          <w:sz w:val="24"/>
          <w:highlight w:val="none"/>
        </w:rPr>
      </w:pPr>
    </w:p>
    <w:p w14:paraId="71CA912A">
      <w:pPr>
        <w:adjustRightInd w:val="0"/>
        <w:snapToGrid w:val="0"/>
        <w:spacing w:line="420" w:lineRule="exact"/>
        <w:ind w:firstLine="480" w:firstLineChars="200"/>
        <w:jc w:val="right"/>
        <w:rPr>
          <w:rFonts w:ascii="宋体" w:hAnsi="宋体" w:cs="方正仿宋_GBK"/>
          <w:color w:val="auto"/>
          <w:sz w:val="24"/>
          <w:highlight w:val="none"/>
        </w:rPr>
      </w:pPr>
    </w:p>
    <w:p w14:paraId="29F2A651">
      <w:pPr>
        <w:wordWrap w:val="0"/>
        <w:adjustRightInd w:val="0"/>
        <w:snapToGrid w:val="0"/>
        <w:spacing w:line="420" w:lineRule="exact"/>
        <w:ind w:firstLine="5280" w:firstLineChars="2200"/>
        <w:rPr>
          <w:rFonts w:ascii="宋体" w:hAnsi="宋体" w:cs="方正仿宋_GBK"/>
          <w:color w:val="auto"/>
          <w:sz w:val="24"/>
          <w:highlight w:val="none"/>
        </w:rPr>
      </w:pPr>
      <w:r>
        <w:rPr>
          <w:rFonts w:hint="eastAsia" w:ascii="宋体" w:hAnsi="宋体" w:cs="方正仿宋_GBK"/>
          <w:color w:val="auto"/>
          <w:sz w:val="24"/>
          <w:highlight w:val="none"/>
        </w:rPr>
        <w:t xml:space="preserve"> 承诺单位: （法人公章） </w:t>
      </w:r>
    </w:p>
    <w:p w14:paraId="5E8973C7">
      <w:pPr>
        <w:adjustRightInd w:val="0"/>
        <w:snapToGrid w:val="0"/>
        <w:spacing w:line="420" w:lineRule="exact"/>
        <w:ind w:firstLine="480" w:firstLineChars="200"/>
        <w:jc w:val="right"/>
        <w:rPr>
          <w:rFonts w:ascii="宋体" w:hAnsi="宋体" w:cs="方正仿宋_GBK"/>
          <w:color w:val="auto"/>
          <w:sz w:val="24"/>
          <w:highlight w:val="none"/>
        </w:rPr>
      </w:pPr>
    </w:p>
    <w:p w14:paraId="170FBF3C">
      <w:pPr>
        <w:wordWrap w:val="0"/>
        <w:adjustRightInd w:val="0"/>
        <w:snapToGrid w:val="0"/>
        <w:spacing w:line="420" w:lineRule="exact"/>
        <w:ind w:firstLine="480" w:firstLineChars="200"/>
        <w:jc w:val="center"/>
        <w:rPr>
          <w:rFonts w:ascii="宋体" w:hAnsi="宋体" w:cs="方正仿宋_GBK"/>
          <w:color w:val="auto"/>
          <w:sz w:val="24"/>
          <w:highlight w:val="none"/>
        </w:rPr>
      </w:pPr>
      <w:r>
        <w:rPr>
          <w:rFonts w:hint="eastAsia" w:ascii="宋体" w:hAnsi="宋体" w:cs="方正仿宋_GBK"/>
          <w:color w:val="auto"/>
          <w:sz w:val="24"/>
          <w:highlight w:val="none"/>
        </w:rPr>
        <w:t xml:space="preserve">                项目负责人： </w:t>
      </w:r>
    </w:p>
    <w:p w14:paraId="19452C5E">
      <w:pPr>
        <w:adjustRightInd w:val="0"/>
        <w:snapToGrid w:val="0"/>
        <w:spacing w:line="420" w:lineRule="exact"/>
        <w:ind w:firstLine="480" w:firstLineChars="200"/>
        <w:rPr>
          <w:rFonts w:ascii="宋体" w:hAnsi="宋体" w:cs="方正仿宋_GBK"/>
          <w:color w:val="auto"/>
          <w:sz w:val="24"/>
          <w:highlight w:val="none"/>
        </w:rPr>
      </w:pPr>
    </w:p>
    <w:p w14:paraId="5A3F655B">
      <w:pPr>
        <w:adjustRightInd w:val="0"/>
        <w:snapToGrid w:val="0"/>
        <w:spacing w:line="420" w:lineRule="exact"/>
        <w:ind w:firstLine="480" w:firstLineChars="200"/>
        <w:jc w:val="right"/>
        <w:rPr>
          <w:rFonts w:ascii="宋体" w:hAnsi="宋体" w:cs="方正仿宋_GBK"/>
          <w:color w:val="auto"/>
          <w:sz w:val="24"/>
          <w:highlight w:val="none"/>
        </w:rPr>
      </w:pPr>
      <w:r>
        <w:rPr>
          <w:rFonts w:hint="eastAsia" w:ascii="宋体" w:hAnsi="宋体" w:cs="方正仿宋_GBK"/>
          <w:color w:val="auto"/>
          <w:sz w:val="24"/>
          <w:highlight w:val="none"/>
        </w:rPr>
        <w:t xml:space="preserve">                               年   月   日  </w:t>
      </w:r>
    </w:p>
    <w:p w14:paraId="76AD0DC5">
      <w:pPr>
        <w:spacing w:line="440" w:lineRule="exact"/>
        <w:rPr>
          <w:rFonts w:ascii="宋体" w:hAnsi="宋体"/>
          <w:color w:val="auto"/>
          <w:sz w:val="24"/>
          <w:highlight w:val="none"/>
        </w:rPr>
      </w:pPr>
    </w:p>
    <w:p w14:paraId="42964E42">
      <w:pPr>
        <w:rPr>
          <w:color w:val="auto"/>
          <w:highlight w:val="none"/>
        </w:rPr>
      </w:pPr>
    </w:p>
    <w:p w14:paraId="505816F9">
      <w:pPr>
        <w:rPr>
          <w:color w:val="auto"/>
          <w:highlight w:val="none"/>
        </w:rPr>
      </w:pPr>
    </w:p>
    <w:p w14:paraId="65098208">
      <w:pPr>
        <w:rPr>
          <w:color w:val="auto"/>
          <w:highlight w:val="none"/>
        </w:rPr>
      </w:pPr>
    </w:p>
    <w:p w14:paraId="35E92730">
      <w:pPr>
        <w:rPr>
          <w:color w:val="auto"/>
          <w:highlight w:val="none"/>
        </w:rPr>
      </w:pPr>
    </w:p>
    <w:p w14:paraId="4D670C2F">
      <w:pPr>
        <w:rPr>
          <w:color w:val="auto"/>
          <w:highlight w:val="none"/>
        </w:rPr>
      </w:pPr>
      <w:r>
        <w:rPr>
          <w:color w:val="auto"/>
          <w:highlight w:val="none"/>
        </w:rPr>
        <w:br w:type="page"/>
      </w:r>
    </w:p>
    <w:bookmarkEnd w:id="689"/>
    <w:bookmarkEnd w:id="690"/>
    <w:bookmarkEnd w:id="691"/>
    <w:p w14:paraId="78922DF4">
      <w:pPr>
        <w:pStyle w:val="3"/>
        <w:spacing w:line="360" w:lineRule="auto"/>
        <w:jc w:val="center"/>
        <w:rPr>
          <w:rFonts w:ascii="宋体" w:hAnsi="宋体" w:cs="宋体"/>
          <w:color w:val="auto"/>
          <w:highlight w:val="none"/>
        </w:rPr>
      </w:pPr>
      <w:bookmarkStart w:id="699" w:name="_Toc413659131"/>
      <w:bookmarkEnd w:id="699"/>
      <w:bookmarkStart w:id="700" w:name="_Toc427308797"/>
      <w:bookmarkEnd w:id="700"/>
      <w:bookmarkStart w:id="701" w:name="_Toc413659129"/>
      <w:bookmarkEnd w:id="701"/>
      <w:bookmarkStart w:id="702" w:name="_Toc427308803"/>
      <w:bookmarkEnd w:id="702"/>
      <w:bookmarkStart w:id="703" w:name="_bookmark158"/>
      <w:bookmarkEnd w:id="703"/>
      <w:bookmarkStart w:id="704" w:name="_Toc413659127"/>
      <w:bookmarkEnd w:id="704"/>
      <w:bookmarkStart w:id="705" w:name="_Toc413659123"/>
      <w:bookmarkEnd w:id="705"/>
      <w:bookmarkStart w:id="706" w:name="招标文件06章图纸"/>
      <w:bookmarkEnd w:id="706"/>
      <w:bookmarkStart w:id="707" w:name="_Toc413659120"/>
      <w:bookmarkEnd w:id="707"/>
      <w:bookmarkStart w:id="708" w:name="_Toc426028162"/>
      <w:bookmarkEnd w:id="708"/>
      <w:bookmarkStart w:id="709" w:name="招标文件07章技术标准和要求"/>
      <w:bookmarkEnd w:id="709"/>
      <w:bookmarkStart w:id="710" w:name="_bookmark159"/>
      <w:bookmarkEnd w:id="710"/>
      <w:bookmarkStart w:id="711" w:name="_Toc427308798"/>
      <w:bookmarkEnd w:id="711"/>
      <w:bookmarkStart w:id="712" w:name="_Toc427308796"/>
      <w:bookmarkEnd w:id="712"/>
      <w:bookmarkStart w:id="713" w:name="_Toc413659119"/>
      <w:bookmarkEnd w:id="713"/>
      <w:bookmarkStart w:id="714" w:name="_Toc427308800"/>
      <w:bookmarkEnd w:id="714"/>
      <w:bookmarkStart w:id="715" w:name="_Toc413659132"/>
      <w:bookmarkEnd w:id="715"/>
      <w:bookmarkStart w:id="716" w:name="_Toc413659121"/>
      <w:bookmarkEnd w:id="716"/>
      <w:bookmarkStart w:id="717" w:name="_bookmark94"/>
      <w:bookmarkEnd w:id="717"/>
      <w:bookmarkStart w:id="718" w:name="_Toc426028161"/>
      <w:bookmarkEnd w:id="718"/>
      <w:bookmarkStart w:id="719" w:name="_Toc427308802"/>
      <w:bookmarkEnd w:id="719"/>
      <w:bookmarkStart w:id="720" w:name="招标文件08章投标文件格式"/>
      <w:bookmarkEnd w:id="720"/>
      <w:bookmarkStart w:id="721" w:name="_Toc413659130"/>
      <w:bookmarkEnd w:id="721"/>
      <w:bookmarkStart w:id="722" w:name="_Toc427308805"/>
      <w:bookmarkEnd w:id="722"/>
      <w:bookmarkStart w:id="723" w:name="_bookmark157"/>
      <w:bookmarkEnd w:id="723"/>
      <w:bookmarkStart w:id="724" w:name="_Toc426028157"/>
      <w:bookmarkEnd w:id="724"/>
      <w:bookmarkStart w:id="725" w:name="_Toc427308804"/>
      <w:bookmarkEnd w:id="725"/>
      <w:bookmarkStart w:id="726" w:name="_Toc426028159"/>
      <w:bookmarkEnd w:id="726"/>
      <w:bookmarkStart w:id="727" w:name="_Toc426028152"/>
      <w:bookmarkEnd w:id="727"/>
      <w:bookmarkStart w:id="728" w:name="_Toc426028155"/>
      <w:bookmarkEnd w:id="728"/>
      <w:bookmarkStart w:id="729" w:name="_Toc427308806"/>
      <w:bookmarkEnd w:id="729"/>
      <w:bookmarkStart w:id="730" w:name="招标文件06章图纸01"/>
      <w:bookmarkEnd w:id="730"/>
      <w:bookmarkStart w:id="731" w:name="_Toc426028153"/>
      <w:bookmarkEnd w:id="731"/>
      <w:bookmarkStart w:id="732" w:name="_Toc426028160"/>
      <w:bookmarkEnd w:id="732"/>
      <w:bookmarkStart w:id="733" w:name="_Toc426028151"/>
      <w:bookmarkEnd w:id="733"/>
      <w:bookmarkStart w:id="734" w:name="_Toc509218852"/>
      <w:bookmarkStart w:id="735" w:name="_Toc534185829"/>
      <w:bookmarkStart w:id="736" w:name="_Toc5129"/>
      <w:bookmarkStart w:id="737" w:name="_Toc430530528"/>
      <w:bookmarkStart w:id="738" w:name="_Toc287620812"/>
      <w:bookmarkStart w:id="739" w:name="_Toc287607865"/>
      <w:bookmarkStart w:id="740" w:name="_Toc14772"/>
      <w:bookmarkStart w:id="741" w:name="_Toc296890982"/>
      <w:bookmarkStart w:id="742" w:name="_Toc351203480"/>
      <w:bookmarkStart w:id="743" w:name="_Toc296503025"/>
      <w:r>
        <w:rPr>
          <w:rFonts w:hint="eastAsia" w:ascii="宋体" w:hAnsi="宋体" w:cs="宋体"/>
          <w:color w:val="auto"/>
          <w:highlight w:val="none"/>
        </w:rPr>
        <w:t>第五章  竞选文件格式</w:t>
      </w:r>
      <w:bookmarkEnd w:id="734"/>
      <w:bookmarkEnd w:id="735"/>
      <w:bookmarkEnd w:id="736"/>
      <w:bookmarkEnd w:id="737"/>
      <w:bookmarkEnd w:id="738"/>
      <w:bookmarkEnd w:id="739"/>
      <w:bookmarkEnd w:id="740"/>
    </w:p>
    <w:p w14:paraId="771EC13B">
      <w:pPr>
        <w:rPr>
          <w:color w:val="auto"/>
          <w:highlight w:val="none"/>
        </w:rPr>
      </w:pPr>
    </w:p>
    <w:p w14:paraId="4353B067">
      <w:pPr>
        <w:pStyle w:val="2"/>
        <w:rPr>
          <w:color w:val="auto"/>
          <w:highlight w:val="none"/>
        </w:rPr>
      </w:pPr>
    </w:p>
    <w:p w14:paraId="49599276">
      <w:pPr>
        <w:rPr>
          <w:color w:val="auto"/>
          <w:highlight w:val="none"/>
        </w:rPr>
      </w:pPr>
    </w:p>
    <w:p w14:paraId="64DA2B1D">
      <w:pPr>
        <w:pStyle w:val="2"/>
        <w:rPr>
          <w:color w:val="auto"/>
          <w:highlight w:val="none"/>
        </w:rPr>
      </w:pPr>
    </w:p>
    <w:p w14:paraId="7F001FDE">
      <w:pPr>
        <w:rPr>
          <w:color w:val="auto"/>
          <w:highlight w:val="none"/>
        </w:rPr>
      </w:pPr>
    </w:p>
    <w:p w14:paraId="7984985C">
      <w:pPr>
        <w:pStyle w:val="2"/>
        <w:rPr>
          <w:color w:val="auto"/>
          <w:highlight w:val="none"/>
        </w:rPr>
      </w:pPr>
    </w:p>
    <w:p w14:paraId="4573224A">
      <w:pPr>
        <w:rPr>
          <w:color w:val="auto"/>
          <w:highlight w:val="none"/>
        </w:rPr>
      </w:pPr>
    </w:p>
    <w:p w14:paraId="3DA088E0">
      <w:pPr>
        <w:pStyle w:val="2"/>
        <w:rPr>
          <w:color w:val="auto"/>
          <w:highlight w:val="none"/>
        </w:rPr>
      </w:pPr>
    </w:p>
    <w:p w14:paraId="4EFA521B">
      <w:pPr>
        <w:rPr>
          <w:color w:val="auto"/>
          <w:highlight w:val="none"/>
        </w:rPr>
      </w:pPr>
    </w:p>
    <w:p w14:paraId="0FAE5C64">
      <w:pPr>
        <w:pStyle w:val="2"/>
        <w:rPr>
          <w:color w:val="auto"/>
          <w:highlight w:val="none"/>
        </w:rPr>
      </w:pPr>
    </w:p>
    <w:p w14:paraId="42EBC03C">
      <w:pPr>
        <w:rPr>
          <w:color w:val="auto"/>
          <w:highlight w:val="none"/>
        </w:rPr>
      </w:pPr>
    </w:p>
    <w:p w14:paraId="6A9C7DD7">
      <w:pPr>
        <w:pStyle w:val="2"/>
        <w:rPr>
          <w:color w:val="auto"/>
          <w:highlight w:val="none"/>
        </w:rPr>
      </w:pPr>
    </w:p>
    <w:p w14:paraId="0135B2E3">
      <w:pPr>
        <w:rPr>
          <w:color w:val="auto"/>
          <w:highlight w:val="none"/>
        </w:rPr>
      </w:pPr>
    </w:p>
    <w:p w14:paraId="48464D5B">
      <w:pPr>
        <w:pStyle w:val="2"/>
        <w:rPr>
          <w:color w:val="auto"/>
          <w:highlight w:val="none"/>
        </w:rPr>
      </w:pPr>
    </w:p>
    <w:p w14:paraId="5FBD006E">
      <w:pPr>
        <w:rPr>
          <w:color w:val="auto"/>
          <w:highlight w:val="none"/>
        </w:rPr>
      </w:pPr>
    </w:p>
    <w:p w14:paraId="1DD8624A">
      <w:pPr>
        <w:pStyle w:val="2"/>
        <w:rPr>
          <w:color w:val="auto"/>
          <w:highlight w:val="none"/>
        </w:rPr>
      </w:pPr>
    </w:p>
    <w:p w14:paraId="62BAA29A">
      <w:pPr>
        <w:rPr>
          <w:color w:val="auto"/>
          <w:highlight w:val="none"/>
        </w:rPr>
      </w:pPr>
    </w:p>
    <w:p w14:paraId="529800AD">
      <w:pPr>
        <w:pStyle w:val="2"/>
        <w:rPr>
          <w:color w:val="auto"/>
          <w:highlight w:val="none"/>
        </w:rPr>
      </w:pPr>
    </w:p>
    <w:p w14:paraId="38CC012A">
      <w:pPr>
        <w:rPr>
          <w:color w:val="auto"/>
          <w:highlight w:val="none"/>
        </w:rPr>
      </w:pPr>
    </w:p>
    <w:p w14:paraId="0908A280">
      <w:pPr>
        <w:pStyle w:val="2"/>
        <w:rPr>
          <w:color w:val="auto"/>
          <w:highlight w:val="none"/>
        </w:rPr>
      </w:pPr>
    </w:p>
    <w:p w14:paraId="5637C905">
      <w:pPr>
        <w:rPr>
          <w:color w:val="auto"/>
          <w:highlight w:val="none"/>
        </w:rPr>
      </w:pPr>
    </w:p>
    <w:p w14:paraId="658C7FAA">
      <w:pPr>
        <w:pStyle w:val="2"/>
        <w:rPr>
          <w:color w:val="auto"/>
          <w:highlight w:val="none"/>
        </w:rPr>
      </w:pPr>
    </w:p>
    <w:p w14:paraId="37839D02">
      <w:pPr>
        <w:rPr>
          <w:color w:val="auto"/>
          <w:highlight w:val="none"/>
        </w:rPr>
      </w:pPr>
    </w:p>
    <w:p w14:paraId="2F6EBAA4">
      <w:pPr>
        <w:pStyle w:val="2"/>
        <w:rPr>
          <w:color w:val="auto"/>
          <w:highlight w:val="none"/>
        </w:rPr>
      </w:pPr>
    </w:p>
    <w:p w14:paraId="4FA64822">
      <w:pPr>
        <w:rPr>
          <w:color w:val="auto"/>
          <w:highlight w:val="none"/>
        </w:rPr>
      </w:pPr>
    </w:p>
    <w:p w14:paraId="370BC238">
      <w:pPr>
        <w:pStyle w:val="2"/>
        <w:rPr>
          <w:color w:val="auto"/>
          <w:highlight w:val="none"/>
        </w:rPr>
      </w:pPr>
    </w:p>
    <w:p w14:paraId="4C00D5A7">
      <w:pPr>
        <w:rPr>
          <w:color w:val="auto"/>
          <w:highlight w:val="none"/>
        </w:rPr>
      </w:pPr>
    </w:p>
    <w:p w14:paraId="70C7FF78">
      <w:pPr>
        <w:pStyle w:val="2"/>
        <w:rPr>
          <w:color w:val="auto"/>
          <w:highlight w:val="none"/>
        </w:rPr>
      </w:pPr>
    </w:p>
    <w:p w14:paraId="0D6D9B33">
      <w:pPr>
        <w:rPr>
          <w:color w:val="auto"/>
          <w:highlight w:val="none"/>
        </w:rPr>
      </w:pPr>
    </w:p>
    <w:p w14:paraId="67164BA9">
      <w:pPr>
        <w:pStyle w:val="2"/>
        <w:rPr>
          <w:color w:val="auto"/>
          <w:highlight w:val="none"/>
        </w:rPr>
      </w:pPr>
    </w:p>
    <w:p w14:paraId="3F64E7D2">
      <w:pPr>
        <w:spacing w:line="360" w:lineRule="auto"/>
        <w:jc w:val="center"/>
        <w:rPr>
          <w:rFonts w:ascii="宋体" w:hAnsi="宋体" w:cs="宋体"/>
          <w:color w:val="auto"/>
          <w:sz w:val="36"/>
          <w:szCs w:val="36"/>
          <w:highlight w:val="none"/>
        </w:rPr>
      </w:pPr>
      <w:r>
        <w:rPr>
          <w:rFonts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0" b="7620"/>
                <wp:wrapNone/>
                <wp:docPr id="118" name="矩形 118"/>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36A1BA8D"/>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Xqn2gAAAA0BAAAPAAAAAAAAAAEAIAAAACIAAABkcnMvZG93bnJldi54bWxQSwECFAAUAAAACACH&#10;TuJApKgTkiICAABCBAAADgAAAAAAAAABACAAAAApAQAAZHJzL2Uyb0RvYy54bWxQSwUGAAAAAAYA&#10;BgBZAQAAvQUAAAAA&#10;">
                <v:fill on="t" focussize="0,0"/>
                <v:stroke on="f"/>
                <v:imagedata o:title=""/>
                <o:lock v:ext="edit" aspectratio="f"/>
                <v:textbox>
                  <w:txbxContent>
                    <w:p w14:paraId="36A1BA8D"/>
                  </w:txbxContent>
                </v:textbox>
              </v:rect>
            </w:pict>
          </mc:Fallback>
        </mc:AlternateContent>
      </w:r>
      <w:bookmarkStart w:id="744" w:name="_Toc224103493"/>
      <w:r>
        <w:rPr>
          <w:rFonts w:hint="eastAsia" w:ascii="宋体" w:hAnsi="宋体" w:cs="宋体"/>
          <w:color w:val="auto"/>
          <w:sz w:val="36"/>
          <w:szCs w:val="36"/>
          <w:highlight w:val="none"/>
        </w:rPr>
        <w:t>目  录</w:t>
      </w:r>
      <w:bookmarkEnd w:id="744"/>
    </w:p>
    <w:p w14:paraId="18648397">
      <w:pPr>
        <w:spacing w:line="360" w:lineRule="auto"/>
        <w:rPr>
          <w:rFonts w:ascii="宋体" w:hAnsi="宋体" w:cs="宋体"/>
          <w:b/>
          <w:color w:val="auto"/>
          <w:highlight w:val="none"/>
        </w:rPr>
      </w:pPr>
      <w:r>
        <w:rPr>
          <w:rFonts w:hint="eastAsia" w:ascii="宋体" w:hAnsi="宋体"/>
          <w:b/>
          <w:color w:val="auto"/>
          <w:highlight w:val="none"/>
        </w:rPr>
        <w:t>一、竞选</w:t>
      </w:r>
      <w:r>
        <w:rPr>
          <w:rFonts w:hint="eastAsia" w:ascii="宋体" w:hAnsi="宋体" w:cs="宋体"/>
          <w:b/>
          <w:color w:val="auto"/>
          <w:highlight w:val="none"/>
        </w:rPr>
        <w:t>函部分</w:t>
      </w:r>
    </w:p>
    <w:p w14:paraId="381B975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（一）竞选函</w:t>
      </w:r>
    </w:p>
    <w:p w14:paraId="0D6E443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（二）竞选函附录</w:t>
      </w:r>
    </w:p>
    <w:p w14:paraId="467EB2F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（三）</w:t>
      </w:r>
      <w:r>
        <w:rPr>
          <w:rFonts w:hint="eastAsia" w:ascii="宋体" w:hAnsi="宋体"/>
          <w:color w:val="auto"/>
          <w:szCs w:val="21"/>
          <w:highlight w:val="none"/>
        </w:rPr>
        <w:t>法定代表人身份证明或附有法定代表人身份证明的授权委托书</w:t>
      </w:r>
    </w:p>
    <w:p w14:paraId="3D7E5823">
      <w:pPr>
        <w:spacing w:line="360" w:lineRule="auto"/>
        <w:ind w:firstLine="420" w:firstLineChars="200"/>
        <w:rPr>
          <w:rFonts w:ascii="宋体" w:hAnsi="宋体" w:cs="宋体"/>
          <w:color w:val="auto"/>
          <w:highlight w:val="none"/>
        </w:rPr>
      </w:pPr>
      <w:r>
        <w:rPr>
          <w:rFonts w:ascii="宋体" w:hAnsi="宋体" w:cs="宋体"/>
          <w:color w:val="auto"/>
          <w:highlight w:val="none"/>
        </w:rPr>
        <w:t>（四）</w:t>
      </w:r>
      <w:r>
        <w:rPr>
          <w:rFonts w:hint="eastAsia" w:ascii="宋体" w:hAnsi="宋体"/>
          <w:color w:val="auto"/>
          <w:highlight w:val="none"/>
        </w:rPr>
        <w:t>低价风险担保提交承诺书（如有）</w:t>
      </w:r>
    </w:p>
    <w:p w14:paraId="11C183FF">
      <w:pPr>
        <w:spacing w:line="360" w:lineRule="auto"/>
        <w:rPr>
          <w:rFonts w:ascii="宋体" w:hAnsi="宋体" w:cs="宋体"/>
          <w:b/>
          <w:color w:val="auto"/>
          <w:highlight w:val="none"/>
        </w:rPr>
      </w:pPr>
      <w:r>
        <w:rPr>
          <w:rFonts w:hint="eastAsia" w:ascii="宋体" w:hAnsi="宋体" w:cs="宋体"/>
          <w:b/>
          <w:color w:val="auto"/>
          <w:highlight w:val="none"/>
        </w:rPr>
        <w:t>二、技术部分</w:t>
      </w:r>
    </w:p>
    <w:p w14:paraId="70261AE9">
      <w:pPr>
        <w:spacing w:line="360" w:lineRule="auto"/>
        <w:rPr>
          <w:rFonts w:ascii="宋体" w:hAnsi="宋体" w:cs="宋体"/>
          <w:b/>
          <w:color w:val="auto"/>
          <w:highlight w:val="none"/>
        </w:rPr>
      </w:pPr>
      <w:r>
        <w:rPr>
          <w:rFonts w:hint="eastAsia" w:ascii="宋体" w:hAnsi="宋体" w:cs="宋体"/>
          <w:b/>
          <w:bCs/>
          <w:color w:val="auto"/>
          <w:highlight w:val="none"/>
        </w:rPr>
        <w:t>三</w:t>
      </w:r>
      <w:r>
        <w:rPr>
          <w:rFonts w:hint="eastAsia" w:ascii="宋体" w:hAnsi="宋体" w:cs="宋体"/>
          <w:b/>
          <w:color w:val="auto"/>
          <w:highlight w:val="none"/>
        </w:rPr>
        <w:t>、资格审查部分</w:t>
      </w:r>
    </w:p>
    <w:p w14:paraId="5C815AA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（一）</w:t>
      </w:r>
      <w:r>
        <w:rPr>
          <w:rFonts w:hint="eastAsia" w:ascii="宋体" w:hAnsi="宋体"/>
          <w:color w:val="auto"/>
          <w:szCs w:val="21"/>
          <w:highlight w:val="none"/>
        </w:rPr>
        <w:t>法定代表人身份证明或附有法定代表人身份证明的授权委托书</w:t>
      </w:r>
    </w:p>
    <w:p w14:paraId="549163E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（二）竞选人基本情况表</w:t>
      </w:r>
    </w:p>
    <w:p w14:paraId="55185732">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（三）</w:t>
      </w:r>
      <w:r>
        <w:rPr>
          <w:rFonts w:hint="eastAsia" w:ascii="宋体" w:hAnsi="宋体"/>
          <w:color w:val="auto"/>
          <w:szCs w:val="21"/>
          <w:highlight w:val="none"/>
        </w:rPr>
        <w:t>近年财务状况表</w:t>
      </w:r>
    </w:p>
    <w:p w14:paraId="1EEF018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（四）</w:t>
      </w:r>
      <w:r>
        <w:rPr>
          <w:rFonts w:hint="eastAsia" w:ascii="宋体" w:hAnsi="宋体"/>
          <w:color w:val="auto"/>
          <w:szCs w:val="21"/>
          <w:highlight w:val="none"/>
        </w:rPr>
        <w:t>近年完成的类似项目情况表</w:t>
      </w:r>
    </w:p>
    <w:p w14:paraId="3C4BE0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（五）承诺</w:t>
      </w:r>
    </w:p>
    <w:p w14:paraId="272B4F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（六）主要人员简历表</w:t>
      </w:r>
    </w:p>
    <w:p w14:paraId="6F8C3CBD">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（七）其他资料</w:t>
      </w:r>
    </w:p>
    <w:p w14:paraId="49BEF23A">
      <w:pPr>
        <w:spacing w:line="360" w:lineRule="auto"/>
        <w:ind w:firstLine="420" w:firstLineChars="200"/>
        <w:rPr>
          <w:rFonts w:ascii="宋体" w:hAnsi="宋体" w:cs="宋体"/>
          <w:color w:val="auto"/>
          <w:highlight w:val="none"/>
        </w:rPr>
      </w:pPr>
    </w:p>
    <w:p w14:paraId="3CBB37F0">
      <w:pPr>
        <w:pStyle w:val="4"/>
        <w:spacing w:line="360" w:lineRule="auto"/>
        <w:jc w:val="center"/>
        <w:rPr>
          <w:rFonts w:ascii="宋体" w:hAnsi="宋体" w:cs="宋体"/>
          <w:color w:val="auto"/>
          <w:kern w:val="0"/>
          <w:sz w:val="24"/>
          <w:highlight w:val="none"/>
        </w:rPr>
      </w:pPr>
      <w:bookmarkStart w:id="745" w:name="_Toc509218853"/>
      <w:bookmarkStart w:id="746" w:name="_Toc6306"/>
      <w:bookmarkStart w:id="747" w:name="_Toc534185830"/>
      <w:bookmarkStart w:id="748" w:name="_Toc15801"/>
      <w:bookmarkStart w:id="749" w:name="_Toc27983320"/>
    </w:p>
    <w:p w14:paraId="0FB16E7A">
      <w:pPr>
        <w:spacing w:line="360" w:lineRule="auto"/>
        <w:jc w:val="center"/>
        <w:rPr>
          <w:rFonts w:ascii="宋体" w:hAnsi="宋体"/>
          <w:color w:val="auto"/>
          <w:sz w:val="44"/>
          <w:szCs w:val="44"/>
          <w:highlight w:val="none"/>
        </w:rPr>
      </w:pPr>
    </w:p>
    <w:p w14:paraId="6D7BEA06">
      <w:pPr>
        <w:spacing w:line="360" w:lineRule="auto"/>
        <w:jc w:val="center"/>
        <w:rPr>
          <w:rFonts w:ascii="宋体" w:hAnsi="宋体"/>
          <w:color w:val="auto"/>
          <w:sz w:val="44"/>
          <w:szCs w:val="44"/>
          <w:highlight w:val="none"/>
        </w:rPr>
      </w:pPr>
    </w:p>
    <w:p w14:paraId="0351F452">
      <w:pPr>
        <w:pStyle w:val="2"/>
        <w:rPr>
          <w:color w:val="auto"/>
          <w:highlight w:val="none"/>
        </w:rPr>
      </w:pPr>
    </w:p>
    <w:p w14:paraId="2C67C0C0">
      <w:pPr>
        <w:rPr>
          <w:color w:val="auto"/>
          <w:highlight w:val="none"/>
        </w:rPr>
      </w:pPr>
    </w:p>
    <w:p w14:paraId="7352E09F">
      <w:pPr>
        <w:pStyle w:val="2"/>
        <w:rPr>
          <w:color w:val="auto"/>
          <w:highlight w:val="none"/>
        </w:rPr>
      </w:pPr>
    </w:p>
    <w:p w14:paraId="3D81E445">
      <w:pPr>
        <w:rPr>
          <w:color w:val="auto"/>
          <w:highlight w:val="none"/>
        </w:rPr>
      </w:pPr>
    </w:p>
    <w:p w14:paraId="50604EF4">
      <w:pPr>
        <w:pStyle w:val="2"/>
        <w:rPr>
          <w:color w:val="auto"/>
          <w:highlight w:val="none"/>
        </w:rPr>
      </w:pPr>
    </w:p>
    <w:p w14:paraId="16D998CD">
      <w:pPr>
        <w:rPr>
          <w:color w:val="auto"/>
          <w:highlight w:val="none"/>
        </w:rPr>
      </w:pPr>
    </w:p>
    <w:p w14:paraId="70DB4BB8">
      <w:pPr>
        <w:spacing w:line="360" w:lineRule="auto"/>
        <w:jc w:val="center"/>
        <w:rPr>
          <w:rFonts w:ascii="宋体" w:hAnsi="宋体"/>
          <w:color w:val="auto"/>
          <w:sz w:val="44"/>
          <w:szCs w:val="44"/>
          <w:highlight w:val="none"/>
        </w:rPr>
      </w:pPr>
    </w:p>
    <w:p w14:paraId="0FD4DF5F">
      <w:pPr>
        <w:spacing w:line="360" w:lineRule="auto"/>
        <w:jc w:val="center"/>
        <w:rPr>
          <w:rFonts w:ascii="宋体" w:hAnsi="宋体"/>
          <w:color w:val="auto"/>
          <w:sz w:val="44"/>
          <w:szCs w:val="44"/>
          <w:highlight w:val="none"/>
        </w:rPr>
      </w:pPr>
    </w:p>
    <w:p w14:paraId="7EB81A60">
      <w:pPr>
        <w:pStyle w:val="2"/>
        <w:rPr>
          <w:color w:val="auto"/>
          <w:highlight w:val="none"/>
        </w:rPr>
      </w:pPr>
    </w:p>
    <w:bookmarkEnd w:id="745"/>
    <w:bookmarkEnd w:id="746"/>
    <w:bookmarkEnd w:id="747"/>
    <w:bookmarkEnd w:id="748"/>
    <w:bookmarkEnd w:id="749"/>
    <w:p w14:paraId="47396DFA">
      <w:pPr>
        <w:pStyle w:val="4"/>
        <w:spacing w:line="360" w:lineRule="auto"/>
        <w:jc w:val="center"/>
        <w:rPr>
          <w:rFonts w:ascii="宋体" w:hAnsi="宋体" w:cs="宋体"/>
          <w:b w:val="0"/>
          <w:bCs w:val="0"/>
          <w:color w:val="auto"/>
          <w:sz w:val="44"/>
          <w:szCs w:val="44"/>
          <w:highlight w:val="none"/>
        </w:rPr>
      </w:pPr>
      <w:bookmarkStart w:id="750" w:name="_Toc15678"/>
      <w:bookmarkStart w:id="751" w:name="_Toc28457"/>
      <w:bookmarkStart w:id="752" w:name="_Toc3391"/>
      <w:bookmarkStart w:id="753" w:name="_Toc430530536"/>
      <w:bookmarkStart w:id="754" w:name="_Toc224103502"/>
      <w:bookmarkStart w:id="755" w:name="_Toc287620821"/>
      <w:bookmarkStart w:id="756" w:name="_Toc287607874"/>
      <w:r>
        <w:rPr>
          <w:rFonts w:hint="eastAsia" w:ascii="宋体" w:hAnsi="宋体"/>
          <w:b w:val="0"/>
          <w:bCs w:val="0"/>
          <w:color w:val="auto"/>
          <w:sz w:val="44"/>
          <w:szCs w:val="44"/>
          <w:highlight w:val="none"/>
        </w:rPr>
        <w:t>一、</w:t>
      </w:r>
      <w:bookmarkStart w:id="757" w:name="_Toc277082642"/>
      <w:bookmarkStart w:id="758" w:name="_Toc430530529"/>
      <w:bookmarkStart w:id="759" w:name="_Toc287620813"/>
      <w:bookmarkStart w:id="760" w:name="_Toc2213"/>
      <w:bookmarkStart w:id="761" w:name="_Toc224103494"/>
      <w:bookmarkStart w:id="762" w:name="_Toc26929"/>
      <w:bookmarkStart w:id="763" w:name="_Toc287607866"/>
      <w:bookmarkStart w:id="764" w:name="_Toc8975"/>
      <w:r>
        <w:rPr>
          <w:rFonts w:hint="eastAsia" w:ascii="宋体" w:hAnsi="宋体" w:cs="宋体"/>
          <w:b w:val="0"/>
          <w:bCs w:val="0"/>
          <w:color w:val="auto"/>
          <w:sz w:val="44"/>
          <w:szCs w:val="44"/>
          <w:highlight w:val="none"/>
        </w:rPr>
        <w:t>竞选函部分</w:t>
      </w:r>
      <w:bookmarkEnd w:id="757"/>
      <w:bookmarkEnd w:id="758"/>
      <w:bookmarkEnd w:id="759"/>
      <w:bookmarkEnd w:id="760"/>
      <w:bookmarkEnd w:id="761"/>
      <w:bookmarkEnd w:id="762"/>
      <w:bookmarkEnd w:id="763"/>
      <w:bookmarkEnd w:id="764"/>
    </w:p>
    <w:p w14:paraId="0659C239">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286E2971">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5C5F1826">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570FD71D">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04AB4942">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2827AD03">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724EDD73">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23AE23A2">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5670D6A4">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3532CB85">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17B51CA2">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7CC1357B">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7AF045E8">
      <w:pPr>
        <w:pStyle w:val="8"/>
        <w:rPr>
          <w:color w:val="auto"/>
          <w:highlight w:val="none"/>
        </w:rPr>
      </w:pPr>
    </w:p>
    <w:p w14:paraId="7BEF0FBB">
      <w:pPr>
        <w:spacing w:line="360" w:lineRule="auto"/>
        <w:jc w:val="center"/>
        <w:rPr>
          <w:rFonts w:ascii="宋体" w:hAnsi="宋体" w:cs="宋体"/>
          <w:color w:val="auto"/>
          <w:kern w:val="0"/>
          <w:sz w:val="32"/>
          <w:szCs w:val="32"/>
          <w:highlight w:val="none"/>
          <w:u w:val="single"/>
        </w:rPr>
      </w:pPr>
    </w:p>
    <w:p w14:paraId="6B5E3C84">
      <w:pPr>
        <w:spacing w:line="360" w:lineRule="auto"/>
        <w:jc w:val="center"/>
        <w:rPr>
          <w:rFonts w:ascii="宋体" w:hAnsi="宋体" w:cs="宋体"/>
          <w:color w:val="auto"/>
          <w:kern w:val="0"/>
          <w:sz w:val="32"/>
          <w:szCs w:val="32"/>
          <w:highlight w:val="none"/>
          <w:u w:val="single"/>
        </w:rPr>
      </w:pPr>
    </w:p>
    <w:p w14:paraId="7C9E913A">
      <w:pPr>
        <w:spacing w:line="360" w:lineRule="auto"/>
        <w:jc w:val="center"/>
        <w:rPr>
          <w:rFonts w:ascii="宋体" w:hAnsi="宋体" w:cs="宋体"/>
          <w:color w:val="auto"/>
          <w:kern w:val="0"/>
          <w:sz w:val="32"/>
          <w:szCs w:val="32"/>
          <w:highlight w:val="none"/>
          <w:u w:val="single"/>
        </w:rPr>
      </w:pPr>
    </w:p>
    <w:p w14:paraId="3A010CE7">
      <w:pPr>
        <w:spacing w:line="360" w:lineRule="auto"/>
        <w:jc w:val="center"/>
        <w:rPr>
          <w:rFonts w:ascii="宋体" w:hAnsi="宋体" w:cs="宋体"/>
          <w:color w:val="auto"/>
          <w:kern w:val="0"/>
          <w:sz w:val="32"/>
          <w:szCs w:val="32"/>
          <w:highlight w:val="none"/>
          <w:u w:val="single"/>
        </w:rPr>
      </w:pPr>
    </w:p>
    <w:p w14:paraId="63502C7F">
      <w:pPr>
        <w:pStyle w:val="2"/>
        <w:rPr>
          <w:color w:val="auto"/>
          <w:highlight w:val="none"/>
        </w:rPr>
      </w:pPr>
    </w:p>
    <w:p w14:paraId="703398CB">
      <w:pPr>
        <w:rPr>
          <w:color w:val="auto"/>
          <w:highlight w:val="none"/>
        </w:rPr>
      </w:pPr>
    </w:p>
    <w:p w14:paraId="52EA19F2">
      <w:pPr>
        <w:pStyle w:val="2"/>
        <w:rPr>
          <w:color w:val="auto"/>
          <w:highlight w:val="none"/>
        </w:rPr>
      </w:pPr>
    </w:p>
    <w:p w14:paraId="59BA1806">
      <w:pPr>
        <w:rPr>
          <w:color w:val="auto"/>
          <w:highlight w:val="none"/>
        </w:rPr>
      </w:pPr>
    </w:p>
    <w:p w14:paraId="3F497904">
      <w:pPr>
        <w:pStyle w:val="2"/>
        <w:rPr>
          <w:color w:val="auto"/>
          <w:highlight w:val="none"/>
        </w:rPr>
      </w:pPr>
    </w:p>
    <w:p w14:paraId="70062DAF">
      <w:pPr>
        <w:spacing w:line="360" w:lineRule="auto"/>
        <w:jc w:val="center"/>
        <w:rPr>
          <w:rFonts w:ascii="宋体" w:hAnsi="宋体" w:cs="宋体"/>
          <w:color w:val="auto"/>
          <w:kern w:val="0"/>
          <w:sz w:val="32"/>
          <w:szCs w:val="32"/>
          <w:highlight w:val="none"/>
          <w:u w:val="single"/>
        </w:rPr>
      </w:pPr>
    </w:p>
    <w:p w14:paraId="6314FFC1">
      <w:pPr>
        <w:spacing w:line="360" w:lineRule="auto"/>
        <w:jc w:val="center"/>
        <w:rPr>
          <w:rFonts w:ascii="宋体" w:hAnsi="宋体" w:cs="宋体"/>
          <w:color w:val="auto"/>
          <w:kern w:val="0"/>
          <w:sz w:val="32"/>
          <w:szCs w:val="32"/>
          <w:highlight w:val="none"/>
          <w:u w:val="single"/>
        </w:rPr>
      </w:pPr>
    </w:p>
    <w:p w14:paraId="74F22566">
      <w:pPr>
        <w:spacing w:line="360" w:lineRule="auto"/>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u w:val="single"/>
        </w:rPr>
        <w:t xml:space="preserve">                          </w:t>
      </w:r>
      <w:r>
        <w:rPr>
          <w:rFonts w:hint="eastAsia" w:ascii="宋体" w:hAnsi="宋体" w:cs="宋体"/>
          <w:color w:val="auto"/>
          <w:kern w:val="0"/>
          <w:sz w:val="32"/>
          <w:szCs w:val="32"/>
          <w:highlight w:val="none"/>
        </w:rPr>
        <w:t>（项目名称）</w:t>
      </w:r>
    </w:p>
    <w:p w14:paraId="5E5F45B0">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00D4B930">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063E4A02">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249B38DB">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02740F38">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3A5DD331">
      <w:pPr>
        <w:tabs>
          <w:tab w:val="left" w:pos="3600"/>
          <w:tab w:val="left" w:pos="4480"/>
          <w:tab w:val="left" w:pos="5360"/>
        </w:tabs>
        <w:autoSpaceDE w:val="0"/>
        <w:autoSpaceDN w:val="0"/>
        <w:adjustRightInd w:val="0"/>
        <w:snapToGrid w:val="0"/>
        <w:spacing w:line="360" w:lineRule="auto"/>
        <w:jc w:val="center"/>
        <w:rPr>
          <w:rFonts w:ascii="宋体" w:hAnsi="宋体" w:cs="宋体"/>
          <w:color w:val="auto"/>
          <w:kern w:val="0"/>
          <w:sz w:val="72"/>
          <w:szCs w:val="72"/>
          <w:highlight w:val="none"/>
        </w:rPr>
      </w:pPr>
      <w:r>
        <w:rPr>
          <w:rFonts w:hint="eastAsia" w:ascii="宋体" w:hAnsi="宋体" w:cs="宋体"/>
          <w:color w:val="auto"/>
          <w:kern w:val="0"/>
          <w:sz w:val="72"/>
          <w:szCs w:val="72"/>
          <w:highlight w:val="none"/>
        </w:rPr>
        <w:t>竞 选 文 件</w:t>
      </w:r>
    </w:p>
    <w:p w14:paraId="69AC9B25">
      <w:pPr>
        <w:autoSpaceDE w:val="0"/>
        <w:autoSpaceDN w:val="0"/>
        <w:adjustRightInd w:val="0"/>
        <w:snapToGrid w:val="0"/>
        <w:spacing w:line="360" w:lineRule="auto"/>
        <w:jc w:val="left"/>
        <w:rPr>
          <w:rFonts w:ascii="宋体" w:hAnsi="宋体" w:cs="宋体"/>
          <w:color w:val="auto"/>
          <w:kern w:val="0"/>
          <w:sz w:val="16"/>
          <w:szCs w:val="16"/>
          <w:highlight w:val="none"/>
        </w:rPr>
      </w:pPr>
    </w:p>
    <w:p w14:paraId="20B35162">
      <w:pPr>
        <w:autoSpaceDE w:val="0"/>
        <w:autoSpaceDN w:val="0"/>
        <w:adjustRightInd w:val="0"/>
        <w:snapToGrid w:val="0"/>
        <w:spacing w:line="360" w:lineRule="auto"/>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竞选函部分</w:t>
      </w:r>
    </w:p>
    <w:p w14:paraId="365E406E">
      <w:pPr>
        <w:autoSpaceDE w:val="0"/>
        <w:autoSpaceDN w:val="0"/>
        <w:adjustRightInd w:val="0"/>
        <w:snapToGrid w:val="0"/>
        <w:spacing w:line="360" w:lineRule="auto"/>
        <w:jc w:val="left"/>
        <w:rPr>
          <w:rFonts w:ascii="宋体" w:hAnsi="宋体" w:cs="宋体"/>
          <w:b/>
          <w:color w:val="auto"/>
          <w:kern w:val="0"/>
          <w:sz w:val="20"/>
          <w:szCs w:val="20"/>
          <w:highlight w:val="none"/>
        </w:rPr>
      </w:pPr>
    </w:p>
    <w:p w14:paraId="18A1EF46">
      <w:pPr>
        <w:autoSpaceDE w:val="0"/>
        <w:autoSpaceDN w:val="0"/>
        <w:adjustRightInd w:val="0"/>
        <w:snapToGrid w:val="0"/>
        <w:spacing w:line="360" w:lineRule="auto"/>
        <w:jc w:val="left"/>
        <w:rPr>
          <w:rFonts w:ascii="宋体" w:hAnsi="宋体" w:cs="宋体"/>
          <w:b/>
          <w:color w:val="auto"/>
          <w:kern w:val="0"/>
          <w:sz w:val="20"/>
          <w:szCs w:val="20"/>
          <w:highlight w:val="none"/>
        </w:rPr>
      </w:pPr>
    </w:p>
    <w:p w14:paraId="39D63E3B">
      <w:pPr>
        <w:autoSpaceDE w:val="0"/>
        <w:autoSpaceDN w:val="0"/>
        <w:adjustRightInd w:val="0"/>
        <w:snapToGrid w:val="0"/>
        <w:spacing w:line="360" w:lineRule="auto"/>
        <w:jc w:val="left"/>
        <w:rPr>
          <w:rFonts w:ascii="宋体" w:hAnsi="宋体" w:cs="宋体"/>
          <w:b/>
          <w:color w:val="auto"/>
          <w:kern w:val="0"/>
          <w:sz w:val="20"/>
          <w:szCs w:val="20"/>
          <w:highlight w:val="none"/>
        </w:rPr>
      </w:pPr>
    </w:p>
    <w:p w14:paraId="3ED68E2D">
      <w:pPr>
        <w:autoSpaceDE w:val="0"/>
        <w:autoSpaceDN w:val="0"/>
        <w:adjustRightInd w:val="0"/>
        <w:snapToGrid w:val="0"/>
        <w:spacing w:line="360" w:lineRule="auto"/>
        <w:jc w:val="left"/>
        <w:rPr>
          <w:rFonts w:ascii="宋体" w:hAnsi="宋体" w:cs="宋体"/>
          <w:b/>
          <w:color w:val="auto"/>
          <w:kern w:val="0"/>
          <w:sz w:val="20"/>
          <w:szCs w:val="20"/>
          <w:highlight w:val="none"/>
        </w:rPr>
      </w:pPr>
    </w:p>
    <w:p w14:paraId="4BCB830D">
      <w:pPr>
        <w:autoSpaceDE w:val="0"/>
        <w:autoSpaceDN w:val="0"/>
        <w:adjustRightInd w:val="0"/>
        <w:snapToGrid w:val="0"/>
        <w:spacing w:line="360" w:lineRule="auto"/>
        <w:jc w:val="left"/>
        <w:rPr>
          <w:rFonts w:ascii="宋体" w:hAnsi="宋体" w:cs="宋体"/>
          <w:b/>
          <w:color w:val="auto"/>
          <w:kern w:val="0"/>
          <w:sz w:val="20"/>
          <w:szCs w:val="20"/>
          <w:highlight w:val="none"/>
        </w:rPr>
      </w:pPr>
    </w:p>
    <w:p w14:paraId="7590E2E1">
      <w:pPr>
        <w:autoSpaceDE w:val="0"/>
        <w:autoSpaceDN w:val="0"/>
        <w:adjustRightInd w:val="0"/>
        <w:snapToGrid w:val="0"/>
        <w:spacing w:line="360" w:lineRule="auto"/>
        <w:jc w:val="left"/>
        <w:rPr>
          <w:rFonts w:ascii="宋体" w:hAnsi="宋体" w:cs="宋体"/>
          <w:b/>
          <w:color w:val="auto"/>
          <w:kern w:val="0"/>
          <w:sz w:val="20"/>
          <w:szCs w:val="20"/>
          <w:highlight w:val="none"/>
        </w:rPr>
      </w:pPr>
    </w:p>
    <w:p w14:paraId="140456EE">
      <w:pPr>
        <w:autoSpaceDE w:val="0"/>
        <w:autoSpaceDN w:val="0"/>
        <w:adjustRightInd w:val="0"/>
        <w:snapToGrid w:val="0"/>
        <w:spacing w:line="360" w:lineRule="auto"/>
        <w:jc w:val="left"/>
        <w:rPr>
          <w:rFonts w:ascii="宋体" w:hAnsi="宋体" w:cs="宋体"/>
          <w:b/>
          <w:color w:val="auto"/>
          <w:kern w:val="0"/>
          <w:sz w:val="20"/>
          <w:szCs w:val="20"/>
          <w:highlight w:val="none"/>
        </w:rPr>
      </w:pPr>
    </w:p>
    <w:p w14:paraId="2E14F01C">
      <w:pPr>
        <w:autoSpaceDE w:val="0"/>
        <w:autoSpaceDN w:val="0"/>
        <w:adjustRightInd w:val="0"/>
        <w:snapToGrid w:val="0"/>
        <w:spacing w:line="360" w:lineRule="auto"/>
        <w:jc w:val="left"/>
        <w:rPr>
          <w:rFonts w:ascii="宋体" w:hAnsi="宋体" w:cs="宋体"/>
          <w:b/>
          <w:color w:val="auto"/>
          <w:kern w:val="0"/>
          <w:sz w:val="20"/>
          <w:szCs w:val="20"/>
          <w:highlight w:val="none"/>
        </w:rPr>
      </w:pPr>
    </w:p>
    <w:p w14:paraId="367CB9D4">
      <w:pPr>
        <w:autoSpaceDE w:val="0"/>
        <w:autoSpaceDN w:val="0"/>
        <w:adjustRightInd w:val="0"/>
        <w:snapToGrid w:val="0"/>
        <w:spacing w:line="360" w:lineRule="auto"/>
        <w:jc w:val="left"/>
        <w:rPr>
          <w:rFonts w:ascii="宋体" w:hAnsi="宋体" w:cs="宋体"/>
          <w:b/>
          <w:color w:val="auto"/>
          <w:kern w:val="0"/>
          <w:sz w:val="20"/>
          <w:szCs w:val="20"/>
          <w:highlight w:val="none"/>
        </w:rPr>
      </w:pPr>
    </w:p>
    <w:p w14:paraId="3414F2A3">
      <w:pPr>
        <w:autoSpaceDE w:val="0"/>
        <w:autoSpaceDN w:val="0"/>
        <w:adjustRightInd w:val="0"/>
        <w:snapToGrid w:val="0"/>
        <w:spacing w:line="360" w:lineRule="auto"/>
        <w:jc w:val="left"/>
        <w:rPr>
          <w:rFonts w:ascii="宋体" w:hAnsi="宋体" w:cs="宋体"/>
          <w:b/>
          <w:color w:val="auto"/>
          <w:kern w:val="0"/>
          <w:sz w:val="20"/>
          <w:szCs w:val="20"/>
          <w:highlight w:val="none"/>
        </w:rPr>
      </w:pPr>
    </w:p>
    <w:p w14:paraId="08CAA8D2">
      <w:pPr>
        <w:autoSpaceDE w:val="0"/>
        <w:autoSpaceDN w:val="0"/>
        <w:adjustRightInd w:val="0"/>
        <w:snapToGrid w:val="0"/>
        <w:spacing w:line="360" w:lineRule="auto"/>
        <w:jc w:val="left"/>
        <w:rPr>
          <w:rFonts w:ascii="宋体" w:hAnsi="宋体" w:cs="宋体"/>
          <w:b/>
          <w:color w:val="auto"/>
          <w:kern w:val="0"/>
          <w:sz w:val="20"/>
          <w:szCs w:val="20"/>
          <w:highlight w:val="none"/>
        </w:rPr>
      </w:pPr>
    </w:p>
    <w:p w14:paraId="50CAEEA5">
      <w:pPr>
        <w:tabs>
          <w:tab w:val="left" w:pos="6080"/>
          <w:tab w:val="left" w:pos="6640"/>
        </w:tabs>
        <w:autoSpaceDE w:val="0"/>
        <w:autoSpaceDN w:val="0"/>
        <w:adjustRightInd w:val="0"/>
        <w:snapToGrid w:val="0"/>
        <w:spacing w:after="156" w:afterLines="50" w:line="360" w:lineRule="auto"/>
        <w:jc w:val="center"/>
        <w:rPr>
          <w:rFonts w:ascii="宋体" w:hAnsi="宋体" w:cs="宋体"/>
          <w:color w:val="auto"/>
          <w:w w:val="99"/>
          <w:kern w:val="0"/>
          <w:sz w:val="28"/>
          <w:szCs w:val="28"/>
          <w:highlight w:val="none"/>
        </w:rPr>
      </w:pPr>
      <w:r>
        <w:rPr>
          <w:rFonts w:hint="eastAsia" w:ascii="宋体" w:hAnsi="宋体" w:cs="宋体"/>
          <w:color w:val="auto"/>
          <w:w w:val="99"/>
          <w:kern w:val="0"/>
          <w:sz w:val="28"/>
          <w:szCs w:val="28"/>
          <w:highlight w:val="none"/>
        </w:rPr>
        <w:t>竞选人</w:t>
      </w:r>
      <w:r>
        <w:rPr>
          <w:rFonts w:hint="eastAsia" w:ascii="宋体" w:hAnsi="宋体" w:cs="宋体"/>
          <w:color w:val="auto"/>
          <w:spacing w:val="1"/>
          <w:w w:val="99"/>
          <w:kern w:val="0"/>
          <w:sz w:val="28"/>
          <w:szCs w:val="28"/>
          <w:highlight w:val="none"/>
        </w:rPr>
        <w:t>：</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（盖单位公章）</w:t>
      </w:r>
    </w:p>
    <w:p w14:paraId="78B0051F">
      <w:pPr>
        <w:tabs>
          <w:tab w:val="left" w:pos="6080"/>
          <w:tab w:val="left" w:pos="6640"/>
        </w:tabs>
        <w:autoSpaceDE w:val="0"/>
        <w:autoSpaceDN w:val="0"/>
        <w:adjustRightInd w:val="0"/>
        <w:snapToGrid w:val="0"/>
        <w:spacing w:after="156" w:afterLines="50" w:line="360" w:lineRule="auto"/>
        <w:jc w:val="center"/>
        <w:rPr>
          <w:rFonts w:ascii="宋体" w:hAnsi="宋体" w:cs="宋体"/>
          <w:color w:val="auto"/>
          <w:kern w:val="0"/>
          <w:sz w:val="28"/>
          <w:szCs w:val="28"/>
          <w:highlight w:val="none"/>
        </w:rPr>
      </w:pPr>
      <w:r>
        <w:rPr>
          <w:rFonts w:hint="eastAsia" w:ascii="宋体" w:hAnsi="宋体" w:cs="宋体"/>
          <w:color w:val="auto"/>
          <w:w w:val="99"/>
          <w:kern w:val="0"/>
          <w:sz w:val="28"/>
          <w:szCs w:val="28"/>
          <w:highlight w:val="none"/>
        </w:rPr>
        <w:t>法定代表人或其委托代理人：</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（签字或盖章）</w:t>
      </w:r>
    </w:p>
    <w:p w14:paraId="79FF193B">
      <w:pPr>
        <w:autoSpaceDE w:val="0"/>
        <w:autoSpaceDN w:val="0"/>
        <w:adjustRightInd w:val="0"/>
        <w:snapToGrid w:val="0"/>
        <w:spacing w:line="360" w:lineRule="auto"/>
        <w:ind w:firstLine="554"/>
        <w:jc w:val="center"/>
        <w:rPr>
          <w:rFonts w:ascii="宋体" w:hAnsi="宋体" w:cs="宋体"/>
          <w:color w:val="auto"/>
          <w:w w:val="99"/>
          <w:kern w:val="0"/>
          <w:sz w:val="28"/>
          <w:szCs w:val="28"/>
          <w:highlight w:val="none"/>
        </w:rPr>
      </w:pPr>
      <w:r>
        <w:rPr>
          <w:rFonts w:hint="eastAsia" w:ascii="宋体" w:hAnsi="宋体" w:cs="宋体"/>
          <w:color w:val="auto"/>
          <w:w w:val="99"/>
          <w:kern w:val="0"/>
          <w:sz w:val="28"/>
          <w:szCs w:val="28"/>
          <w:highlight w:val="none"/>
          <w:u w:val="single"/>
        </w:rPr>
        <w:t xml:space="preserve">       </w:t>
      </w:r>
      <w:r>
        <w:rPr>
          <w:rFonts w:hint="eastAsia" w:ascii="宋体" w:hAnsi="宋体" w:cs="宋体"/>
          <w:color w:val="auto"/>
          <w:w w:val="99"/>
          <w:kern w:val="0"/>
          <w:sz w:val="28"/>
          <w:szCs w:val="28"/>
          <w:highlight w:val="none"/>
        </w:rPr>
        <w:t>年</w:t>
      </w:r>
      <w:r>
        <w:rPr>
          <w:rFonts w:hint="eastAsia" w:ascii="宋体" w:hAnsi="宋体" w:cs="宋体"/>
          <w:color w:val="auto"/>
          <w:w w:val="99"/>
          <w:kern w:val="0"/>
          <w:sz w:val="28"/>
          <w:szCs w:val="28"/>
          <w:highlight w:val="none"/>
          <w:u w:val="single"/>
        </w:rPr>
        <w:t xml:space="preserve">    </w:t>
      </w:r>
      <w:r>
        <w:rPr>
          <w:rFonts w:hint="eastAsia" w:ascii="宋体" w:hAnsi="宋体" w:cs="宋体"/>
          <w:color w:val="auto"/>
          <w:w w:val="99"/>
          <w:kern w:val="0"/>
          <w:sz w:val="28"/>
          <w:szCs w:val="28"/>
          <w:highlight w:val="none"/>
        </w:rPr>
        <w:t>月</w:t>
      </w:r>
      <w:r>
        <w:rPr>
          <w:rFonts w:hint="eastAsia" w:ascii="宋体" w:hAnsi="宋体" w:cs="宋体"/>
          <w:color w:val="auto"/>
          <w:w w:val="99"/>
          <w:kern w:val="0"/>
          <w:sz w:val="28"/>
          <w:szCs w:val="28"/>
          <w:highlight w:val="none"/>
          <w:u w:val="single"/>
        </w:rPr>
        <w:t xml:space="preserve">    </w:t>
      </w:r>
      <w:r>
        <w:rPr>
          <w:rFonts w:hint="eastAsia" w:ascii="宋体" w:hAnsi="宋体" w:cs="宋体"/>
          <w:color w:val="auto"/>
          <w:w w:val="99"/>
          <w:kern w:val="0"/>
          <w:sz w:val="28"/>
          <w:szCs w:val="28"/>
          <w:highlight w:val="none"/>
        </w:rPr>
        <w:t>日</w:t>
      </w:r>
    </w:p>
    <w:p w14:paraId="7307F2F2">
      <w:pPr>
        <w:autoSpaceDE w:val="0"/>
        <w:autoSpaceDN w:val="0"/>
        <w:adjustRightInd w:val="0"/>
        <w:snapToGrid w:val="0"/>
        <w:spacing w:line="360" w:lineRule="auto"/>
        <w:jc w:val="center"/>
        <w:rPr>
          <w:rFonts w:ascii="宋体" w:hAnsi="宋体" w:cs="宋体"/>
          <w:color w:val="auto"/>
          <w:kern w:val="0"/>
          <w:sz w:val="36"/>
          <w:szCs w:val="36"/>
          <w:highlight w:val="none"/>
        </w:rPr>
      </w:pPr>
    </w:p>
    <w:p w14:paraId="07B578C0">
      <w:pPr>
        <w:autoSpaceDE w:val="0"/>
        <w:autoSpaceDN w:val="0"/>
        <w:adjustRightInd w:val="0"/>
        <w:snapToGrid w:val="0"/>
        <w:spacing w:line="360" w:lineRule="auto"/>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目  录</w:t>
      </w:r>
    </w:p>
    <w:p w14:paraId="6BB444B9">
      <w:pPr>
        <w:autoSpaceDE w:val="0"/>
        <w:autoSpaceDN w:val="0"/>
        <w:adjustRightInd w:val="0"/>
        <w:snapToGrid w:val="0"/>
        <w:spacing w:line="360" w:lineRule="auto"/>
        <w:jc w:val="left"/>
        <w:rPr>
          <w:rFonts w:ascii="宋体" w:hAnsi="宋体" w:cs="宋体"/>
          <w:color w:val="auto"/>
          <w:kern w:val="0"/>
          <w:sz w:val="24"/>
          <w:szCs w:val="21"/>
          <w:highlight w:val="none"/>
        </w:rPr>
      </w:pPr>
    </w:p>
    <w:p w14:paraId="57A75AA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（一）竞选函</w:t>
      </w:r>
    </w:p>
    <w:p w14:paraId="5732A64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（二）竞选函附录</w:t>
      </w:r>
    </w:p>
    <w:p w14:paraId="2924B63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（三）</w:t>
      </w:r>
      <w:r>
        <w:rPr>
          <w:rFonts w:hint="eastAsia" w:ascii="宋体" w:hAnsi="宋体"/>
          <w:color w:val="auto"/>
          <w:szCs w:val="21"/>
          <w:highlight w:val="none"/>
        </w:rPr>
        <w:t>法定代表人身份证明或附有法定代表人身份证明的授权委托书</w:t>
      </w:r>
    </w:p>
    <w:p w14:paraId="6F7D35E1">
      <w:pPr>
        <w:spacing w:line="360" w:lineRule="auto"/>
        <w:ind w:firstLine="420" w:firstLineChars="200"/>
        <w:rPr>
          <w:rFonts w:ascii="宋体" w:hAnsi="宋体" w:cs="宋体"/>
          <w:color w:val="auto"/>
          <w:highlight w:val="none"/>
        </w:rPr>
      </w:pPr>
      <w:r>
        <w:rPr>
          <w:rFonts w:ascii="宋体" w:hAnsi="宋体" w:cs="宋体"/>
          <w:color w:val="auto"/>
          <w:highlight w:val="none"/>
        </w:rPr>
        <w:t>（四）</w:t>
      </w:r>
      <w:r>
        <w:rPr>
          <w:rFonts w:hint="eastAsia" w:ascii="宋体" w:hAnsi="宋体"/>
          <w:color w:val="auto"/>
          <w:highlight w:val="none"/>
        </w:rPr>
        <w:t>低价风险担保提交承诺书（如有）</w:t>
      </w:r>
    </w:p>
    <w:p w14:paraId="40EF3E41">
      <w:pPr>
        <w:autoSpaceDE w:val="0"/>
        <w:autoSpaceDN w:val="0"/>
        <w:adjustRightInd w:val="0"/>
        <w:snapToGrid w:val="0"/>
        <w:spacing w:line="360" w:lineRule="auto"/>
        <w:jc w:val="left"/>
        <w:rPr>
          <w:rFonts w:ascii="宋体" w:hAnsi="宋体" w:cs="宋体"/>
          <w:color w:val="auto"/>
          <w:kern w:val="0"/>
          <w:szCs w:val="21"/>
          <w:highlight w:val="none"/>
        </w:rPr>
      </w:pPr>
    </w:p>
    <w:p w14:paraId="519526DA">
      <w:pPr>
        <w:autoSpaceDE w:val="0"/>
        <w:autoSpaceDN w:val="0"/>
        <w:adjustRightInd w:val="0"/>
        <w:snapToGrid w:val="0"/>
        <w:spacing w:line="360" w:lineRule="auto"/>
        <w:jc w:val="left"/>
        <w:rPr>
          <w:rFonts w:ascii="宋体" w:hAnsi="宋体" w:cs="宋体"/>
          <w:color w:val="auto"/>
          <w:kern w:val="0"/>
          <w:szCs w:val="21"/>
          <w:highlight w:val="none"/>
        </w:rPr>
      </w:pPr>
    </w:p>
    <w:p w14:paraId="5F8060CE">
      <w:pPr>
        <w:autoSpaceDE w:val="0"/>
        <w:autoSpaceDN w:val="0"/>
        <w:adjustRightInd w:val="0"/>
        <w:snapToGrid w:val="0"/>
        <w:spacing w:line="360" w:lineRule="auto"/>
        <w:jc w:val="left"/>
        <w:rPr>
          <w:rFonts w:ascii="宋体" w:hAnsi="宋体" w:cs="宋体"/>
          <w:color w:val="auto"/>
          <w:kern w:val="0"/>
          <w:szCs w:val="21"/>
          <w:highlight w:val="none"/>
        </w:rPr>
      </w:pPr>
    </w:p>
    <w:p w14:paraId="78DA784B">
      <w:pPr>
        <w:autoSpaceDE w:val="0"/>
        <w:autoSpaceDN w:val="0"/>
        <w:adjustRightInd w:val="0"/>
        <w:snapToGrid w:val="0"/>
        <w:spacing w:line="360" w:lineRule="auto"/>
        <w:jc w:val="left"/>
        <w:rPr>
          <w:rFonts w:ascii="宋体" w:hAnsi="宋体" w:cs="宋体"/>
          <w:color w:val="auto"/>
          <w:kern w:val="0"/>
          <w:highlight w:val="none"/>
        </w:rPr>
      </w:pPr>
    </w:p>
    <w:p w14:paraId="4552FBA1">
      <w:pPr>
        <w:autoSpaceDE w:val="0"/>
        <w:autoSpaceDN w:val="0"/>
        <w:adjustRightInd w:val="0"/>
        <w:snapToGrid w:val="0"/>
        <w:spacing w:line="360" w:lineRule="auto"/>
        <w:jc w:val="left"/>
        <w:rPr>
          <w:rFonts w:ascii="宋体" w:hAnsi="宋体" w:cs="宋体"/>
          <w:color w:val="auto"/>
          <w:kern w:val="0"/>
          <w:highlight w:val="none"/>
        </w:rPr>
      </w:pPr>
    </w:p>
    <w:p w14:paraId="2F0BE9CF">
      <w:pPr>
        <w:autoSpaceDE w:val="0"/>
        <w:autoSpaceDN w:val="0"/>
        <w:adjustRightInd w:val="0"/>
        <w:snapToGrid w:val="0"/>
        <w:spacing w:line="360" w:lineRule="auto"/>
        <w:jc w:val="left"/>
        <w:rPr>
          <w:rFonts w:ascii="宋体" w:hAnsi="宋体" w:cs="宋体"/>
          <w:color w:val="auto"/>
          <w:kern w:val="0"/>
          <w:highlight w:val="none"/>
        </w:rPr>
      </w:pPr>
    </w:p>
    <w:p w14:paraId="733BA1BD">
      <w:pPr>
        <w:autoSpaceDE w:val="0"/>
        <w:autoSpaceDN w:val="0"/>
        <w:adjustRightInd w:val="0"/>
        <w:snapToGrid w:val="0"/>
        <w:spacing w:line="360" w:lineRule="auto"/>
        <w:jc w:val="left"/>
        <w:rPr>
          <w:rFonts w:ascii="宋体" w:hAnsi="宋体" w:cs="宋体"/>
          <w:color w:val="auto"/>
          <w:kern w:val="0"/>
          <w:highlight w:val="none"/>
        </w:rPr>
      </w:pPr>
    </w:p>
    <w:p w14:paraId="7A5EC067">
      <w:pPr>
        <w:pStyle w:val="2"/>
        <w:rPr>
          <w:rFonts w:ascii="宋体" w:hAnsi="宋体" w:cs="宋体"/>
          <w:color w:val="auto"/>
          <w:kern w:val="0"/>
          <w:highlight w:val="none"/>
        </w:rPr>
      </w:pPr>
    </w:p>
    <w:p w14:paraId="5353DBF2">
      <w:pPr>
        <w:rPr>
          <w:rFonts w:ascii="宋体" w:hAnsi="宋体" w:cs="宋体"/>
          <w:color w:val="auto"/>
          <w:kern w:val="0"/>
          <w:highlight w:val="none"/>
        </w:rPr>
      </w:pPr>
    </w:p>
    <w:p w14:paraId="127E72B3">
      <w:pPr>
        <w:pStyle w:val="2"/>
        <w:rPr>
          <w:color w:val="auto"/>
          <w:highlight w:val="none"/>
        </w:rPr>
      </w:pPr>
    </w:p>
    <w:p w14:paraId="66E5EDF2">
      <w:pPr>
        <w:autoSpaceDE w:val="0"/>
        <w:autoSpaceDN w:val="0"/>
        <w:adjustRightInd w:val="0"/>
        <w:snapToGrid w:val="0"/>
        <w:spacing w:line="360" w:lineRule="auto"/>
        <w:jc w:val="left"/>
        <w:rPr>
          <w:rFonts w:ascii="宋体" w:hAnsi="宋体" w:cs="宋体"/>
          <w:color w:val="auto"/>
          <w:kern w:val="0"/>
          <w:highlight w:val="none"/>
        </w:rPr>
      </w:pPr>
    </w:p>
    <w:p w14:paraId="20F37B0B">
      <w:pPr>
        <w:autoSpaceDE w:val="0"/>
        <w:autoSpaceDN w:val="0"/>
        <w:adjustRightInd w:val="0"/>
        <w:snapToGrid w:val="0"/>
        <w:spacing w:line="360" w:lineRule="auto"/>
        <w:jc w:val="left"/>
        <w:rPr>
          <w:rFonts w:ascii="宋体" w:hAnsi="宋体" w:cs="宋体"/>
          <w:color w:val="auto"/>
          <w:kern w:val="0"/>
          <w:highlight w:val="none"/>
        </w:rPr>
      </w:pPr>
    </w:p>
    <w:p w14:paraId="7F5A3D59">
      <w:pPr>
        <w:autoSpaceDE w:val="0"/>
        <w:autoSpaceDN w:val="0"/>
        <w:adjustRightInd w:val="0"/>
        <w:snapToGrid w:val="0"/>
        <w:spacing w:line="360" w:lineRule="auto"/>
        <w:jc w:val="left"/>
        <w:rPr>
          <w:rFonts w:ascii="宋体" w:hAnsi="宋体" w:cs="宋体"/>
          <w:color w:val="auto"/>
          <w:kern w:val="0"/>
          <w:highlight w:val="none"/>
        </w:rPr>
      </w:pPr>
    </w:p>
    <w:p w14:paraId="0FC6465B">
      <w:pPr>
        <w:autoSpaceDE w:val="0"/>
        <w:autoSpaceDN w:val="0"/>
        <w:adjustRightInd w:val="0"/>
        <w:snapToGrid w:val="0"/>
        <w:spacing w:line="360" w:lineRule="auto"/>
        <w:jc w:val="left"/>
        <w:rPr>
          <w:rFonts w:ascii="宋体" w:hAnsi="宋体" w:cs="宋体"/>
          <w:color w:val="auto"/>
          <w:kern w:val="0"/>
          <w:highlight w:val="none"/>
        </w:rPr>
      </w:pPr>
    </w:p>
    <w:p w14:paraId="0E821719">
      <w:pPr>
        <w:autoSpaceDE w:val="0"/>
        <w:autoSpaceDN w:val="0"/>
        <w:adjustRightInd w:val="0"/>
        <w:snapToGrid w:val="0"/>
        <w:spacing w:line="360" w:lineRule="auto"/>
        <w:jc w:val="left"/>
        <w:rPr>
          <w:rFonts w:ascii="宋体" w:hAnsi="宋体" w:cs="宋体"/>
          <w:color w:val="auto"/>
          <w:w w:val="99"/>
          <w:kern w:val="0"/>
          <w:sz w:val="28"/>
          <w:szCs w:val="28"/>
          <w:highlight w:val="none"/>
        </w:rPr>
      </w:pPr>
    </w:p>
    <w:p w14:paraId="4BBAE221">
      <w:pPr>
        <w:autoSpaceDE w:val="0"/>
        <w:autoSpaceDN w:val="0"/>
        <w:adjustRightInd w:val="0"/>
        <w:snapToGrid w:val="0"/>
        <w:spacing w:line="360" w:lineRule="auto"/>
        <w:jc w:val="left"/>
        <w:rPr>
          <w:rFonts w:ascii="宋体" w:hAnsi="宋体" w:cs="宋体"/>
          <w:color w:val="auto"/>
          <w:w w:val="99"/>
          <w:kern w:val="0"/>
          <w:sz w:val="28"/>
          <w:szCs w:val="28"/>
          <w:highlight w:val="none"/>
        </w:rPr>
      </w:pPr>
    </w:p>
    <w:p w14:paraId="57701C3E">
      <w:pPr>
        <w:autoSpaceDE w:val="0"/>
        <w:autoSpaceDN w:val="0"/>
        <w:adjustRightInd w:val="0"/>
        <w:snapToGrid w:val="0"/>
        <w:spacing w:line="360" w:lineRule="auto"/>
        <w:jc w:val="left"/>
        <w:rPr>
          <w:rFonts w:ascii="宋体" w:hAnsi="宋体" w:cs="宋体"/>
          <w:color w:val="auto"/>
          <w:w w:val="99"/>
          <w:kern w:val="0"/>
          <w:sz w:val="28"/>
          <w:szCs w:val="28"/>
          <w:highlight w:val="none"/>
        </w:rPr>
      </w:pPr>
    </w:p>
    <w:p w14:paraId="250679E4">
      <w:pPr>
        <w:pStyle w:val="8"/>
        <w:rPr>
          <w:rFonts w:ascii="宋体" w:hAnsi="宋体" w:cs="宋体"/>
          <w:color w:val="auto"/>
          <w:w w:val="99"/>
          <w:kern w:val="0"/>
          <w:sz w:val="28"/>
          <w:szCs w:val="28"/>
          <w:highlight w:val="none"/>
        </w:rPr>
      </w:pPr>
    </w:p>
    <w:p w14:paraId="49F96BD4">
      <w:pPr>
        <w:rPr>
          <w:rFonts w:ascii="宋体" w:hAnsi="宋体" w:cs="宋体"/>
          <w:color w:val="auto"/>
          <w:w w:val="99"/>
          <w:kern w:val="0"/>
          <w:sz w:val="28"/>
          <w:szCs w:val="28"/>
          <w:highlight w:val="none"/>
        </w:rPr>
      </w:pPr>
    </w:p>
    <w:p w14:paraId="07435F03">
      <w:pPr>
        <w:pStyle w:val="8"/>
        <w:rPr>
          <w:rFonts w:ascii="宋体" w:hAnsi="宋体" w:cs="宋体"/>
          <w:color w:val="auto"/>
          <w:w w:val="99"/>
          <w:kern w:val="0"/>
          <w:sz w:val="28"/>
          <w:szCs w:val="28"/>
          <w:highlight w:val="none"/>
        </w:rPr>
      </w:pPr>
    </w:p>
    <w:p w14:paraId="14482AD7">
      <w:pPr>
        <w:rPr>
          <w:rFonts w:ascii="宋体" w:hAnsi="宋体" w:cs="宋体"/>
          <w:color w:val="auto"/>
          <w:w w:val="99"/>
          <w:kern w:val="0"/>
          <w:sz w:val="28"/>
          <w:szCs w:val="28"/>
          <w:highlight w:val="none"/>
        </w:rPr>
      </w:pPr>
    </w:p>
    <w:p w14:paraId="635C17EC">
      <w:pPr>
        <w:pStyle w:val="2"/>
        <w:rPr>
          <w:color w:val="auto"/>
          <w:highlight w:val="none"/>
        </w:rPr>
      </w:pPr>
    </w:p>
    <w:p w14:paraId="76BBD988">
      <w:pPr>
        <w:spacing w:after="260" w:line="360" w:lineRule="auto"/>
        <w:ind w:firstLine="3840" w:firstLineChars="1200"/>
        <w:outlineLvl w:val="2"/>
        <w:rPr>
          <w:rFonts w:ascii="宋体" w:hAnsi="宋体" w:cs="宋体"/>
          <w:snapToGrid w:val="0"/>
          <w:color w:val="auto"/>
          <w:kern w:val="0"/>
          <w:sz w:val="32"/>
          <w:szCs w:val="32"/>
          <w:highlight w:val="none"/>
        </w:rPr>
      </w:pPr>
      <w:bookmarkStart w:id="765" w:name="_Toc423595219"/>
      <w:bookmarkStart w:id="766" w:name="_Toc445480130"/>
      <w:bookmarkStart w:id="767" w:name="_Toc423713178"/>
      <w:bookmarkStart w:id="768" w:name="_Toc423714449"/>
      <w:bookmarkStart w:id="769" w:name="_Toc26985"/>
      <w:bookmarkStart w:id="770" w:name="_Toc25344"/>
      <w:bookmarkStart w:id="771" w:name="_Toc14970"/>
      <w:bookmarkStart w:id="772" w:name="_Toc2365"/>
      <w:bookmarkStart w:id="773" w:name="_Toc40569214"/>
      <w:r>
        <w:rPr>
          <w:rFonts w:hint="eastAsia" w:ascii="宋体" w:hAnsi="宋体" w:cs="宋体"/>
          <w:snapToGrid w:val="0"/>
          <w:color w:val="auto"/>
          <w:kern w:val="0"/>
          <w:sz w:val="32"/>
          <w:szCs w:val="32"/>
          <w:highlight w:val="none"/>
        </w:rPr>
        <w:t xml:space="preserve">（一） </w:t>
      </w:r>
      <w:bookmarkEnd w:id="765"/>
      <w:bookmarkEnd w:id="766"/>
      <w:bookmarkEnd w:id="767"/>
      <w:bookmarkEnd w:id="768"/>
      <w:bookmarkEnd w:id="769"/>
      <w:bookmarkEnd w:id="770"/>
      <w:bookmarkEnd w:id="771"/>
      <w:bookmarkEnd w:id="772"/>
      <w:bookmarkEnd w:id="773"/>
      <w:r>
        <w:rPr>
          <w:rFonts w:hint="eastAsia" w:ascii="宋体" w:hAnsi="宋体" w:cs="宋体"/>
          <w:snapToGrid w:val="0"/>
          <w:color w:val="auto"/>
          <w:kern w:val="0"/>
          <w:sz w:val="32"/>
          <w:szCs w:val="32"/>
          <w:highlight w:val="none"/>
        </w:rPr>
        <w:t>竞选函</w:t>
      </w:r>
    </w:p>
    <w:p w14:paraId="21806C0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（比选人名称）：</w:t>
      </w:r>
    </w:p>
    <w:p w14:paraId="0A4BE800">
      <w:pPr>
        <w:spacing w:line="360" w:lineRule="auto"/>
        <w:ind w:firstLine="420" w:firstLineChars="200"/>
        <w:rPr>
          <w:rFonts w:asciiTheme="minorEastAsia" w:hAnsiTheme="minorEastAsia" w:eastAsiaTheme="minorEastAsia"/>
          <w:color w:val="auto"/>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w:t>
      </w:r>
      <w:r>
        <w:rPr>
          <w:rFonts w:hint="eastAsia" w:ascii="宋体" w:hAnsi="宋体"/>
          <w:snapToGrid w:val="0"/>
          <w:color w:val="auto"/>
          <w:kern w:val="0"/>
          <w:szCs w:val="21"/>
          <w:highlight w:val="none"/>
        </w:rPr>
        <w:t>监理比选文件（含答疑补遗及比选人提供所有资料文件）的全部内容</w:t>
      </w:r>
      <w:r>
        <w:rPr>
          <w:rFonts w:asciiTheme="minorEastAsia" w:hAnsiTheme="minorEastAsia" w:eastAsiaTheme="minorEastAsia"/>
          <w:color w:val="auto"/>
          <w:szCs w:val="21"/>
          <w:highlight w:val="none"/>
        </w:rPr>
        <w:t>，愿意以</w:t>
      </w:r>
      <w:r>
        <w:rPr>
          <w:rFonts w:hint="eastAsia" w:asciiTheme="minorEastAsia" w:hAnsiTheme="minorEastAsia" w:eastAsiaTheme="minorEastAsia"/>
          <w:color w:val="auto"/>
          <w:szCs w:val="21"/>
          <w:highlight w:val="none"/>
        </w:rPr>
        <w:t>下列方式对监理费进行报价：</w:t>
      </w:r>
    </w:p>
    <w:p w14:paraId="2A3481C2">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费率为    %</w:t>
      </w:r>
      <w:r>
        <w:rPr>
          <w:rFonts w:hint="eastAsia" w:asciiTheme="minorEastAsia" w:hAnsiTheme="minorEastAsia" w:eastAsiaTheme="minorEastAsia"/>
          <w:color w:val="auto"/>
          <w:szCs w:val="21"/>
          <w:highlight w:val="none"/>
        </w:rPr>
        <w:t>，计费基数</w:t>
      </w:r>
      <w:r>
        <w:rPr>
          <w:rFonts w:hint="eastAsia" w:asciiTheme="minorEastAsia" w:hAnsiTheme="minorEastAsia" w:eastAsiaTheme="minorEastAsia"/>
          <w:color w:val="auto"/>
          <w:szCs w:val="21"/>
          <w:highlight w:val="none"/>
          <w:u w:val="single"/>
        </w:rPr>
        <w:t xml:space="preserve">    元</w:t>
      </w:r>
      <w:r>
        <w:rPr>
          <w:rFonts w:hint="eastAsia" w:asciiTheme="minorEastAsia" w:hAnsiTheme="minorEastAsia" w:eastAsiaTheme="minorEastAsia"/>
          <w:color w:val="auto"/>
          <w:szCs w:val="21"/>
          <w:highlight w:val="none"/>
        </w:rPr>
        <w:t>，暂定</w:t>
      </w:r>
      <w:r>
        <w:rPr>
          <w:rFonts w:asciiTheme="minorEastAsia" w:hAnsiTheme="minorEastAsia" w:eastAsiaTheme="minorEastAsia"/>
          <w:color w:val="auto"/>
          <w:szCs w:val="21"/>
          <w:highlight w:val="none"/>
        </w:rPr>
        <w:t>投标总报价</w:t>
      </w:r>
      <w:r>
        <w:rPr>
          <w:rFonts w:asciiTheme="minorEastAsia" w:hAnsiTheme="minorEastAsia" w:eastAsiaTheme="minorEastAsia"/>
          <w:color w:val="auto"/>
          <w:szCs w:val="21"/>
          <w:highlight w:val="none"/>
          <w:u w:val="single"/>
        </w:rPr>
        <w:t>人民币（大写）</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p>
    <w:p w14:paraId="0872D7C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增值税税率为</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，该项目总监理工程师为</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，委托代理人为：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监理服务期</w:t>
      </w:r>
      <w:r>
        <w:rPr>
          <w:rFonts w:hint="eastAsia" w:asciiTheme="minorEastAsia" w:hAnsiTheme="minorEastAsia" w:eastAsiaTheme="minorEastAsia"/>
          <w:color w:val="auto"/>
          <w:szCs w:val="21"/>
          <w:highlight w:val="none"/>
        </w:rPr>
        <w:t>限</w:t>
      </w:r>
      <w:r>
        <w:rPr>
          <w:rFonts w:hint="eastAsia" w:ascii="宋体" w:hAnsi="宋体"/>
          <w:snapToGrid w:val="0"/>
          <w:color w:val="auto"/>
          <w:kern w:val="0"/>
          <w:szCs w:val="21"/>
          <w:highlight w:val="none"/>
          <w:u w:val="single"/>
        </w:rPr>
        <w:t>达到招标文件的要求</w:t>
      </w:r>
      <w:r>
        <w:rPr>
          <w:rFonts w:hint="eastAsia" w:asciiTheme="minorEastAsia" w:hAnsiTheme="minorEastAsia" w:eastAsiaTheme="minorEastAsia"/>
          <w:color w:val="auto"/>
          <w:szCs w:val="21"/>
          <w:highlight w:val="none"/>
        </w:rPr>
        <w:t>，监理服务质量</w:t>
      </w:r>
      <w:r>
        <w:rPr>
          <w:rFonts w:hint="eastAsia" w:asciiTheme="minorEastAsia" w:hAnsiTheme="minorEastAsia" w:eastAsiaTheme="minorEastAsia"/>
          <w:color w:val="auto"/>
          <w:szCs w:val="21"/>
          <w:highlight w:val="none"/>
          <w:u w:val="single"/>
        </w:rPr>
        <w:t>达到招标文件的要求</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按合同约定完成</w:t>
      </w:r>
      <w:r>
        <w:rPr>
          <w:rFonts w:hint="eastAsia" w:asciiTheme="minorEastAsia" w:hAnsiTheme="minorEastAsia" w:eastAsiaTheme="minorEastAsia"/>
          <w:color w:val="auto"/>
          <w:szCs w:val="21"/>
          <w:highlight w:val="none"/>
        </w:rPr>
        <w:t>全部</w:t>
      </w:r>
      <w:r>
        <w:rPr>
          <w:rFonts w:asciiTheme="minorEastAsia" w:hAnsiTheme="minorEastAsia" w:eastAsiaTheme="minorEastAsia"/>
          <w:color w:val="auto"/>
          <w:szCs w:val="21"/>
          <w:highlight w:val="none"/>
        </w:rPr>
        <w:t>监理工作</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w:t>
      </w:r>
    </w:p>
    <w:p w14:paraId="2DF24F6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．我方承诺</w:t>
      </w:r>
      <w:r>
        <w:rPr>
          <w:rFonts w:hint="eastAsia" w:ascii="宋体" w:hAnsi="宋体"/>
          <w:snapToGrid w:val="0"/>
          <w:color w:val="auto"/>
          <w:kern w:val="0"/>
          <w:szCs w:val="21"/>
          <w:highlight w:val="none"/>
        </w:rPr>
        <w:t>响应招标文件规定的投标有效期，</w:t>
      </w:r>
      <w:r>
        <w:rPr>
          <w:rFonts w:asciiTheme="minorEastAsia" w:hAnsiTheme="minorEastAsia" w:eastAsiaTheme="minorEastAsia"/>
          <w:color w:val="auto"/>
          <w:szCs w:val="21"/>
          <w:highlight w:val="none"/>
        </w:rPr>
        <w:t>在投标有效期内不</w:t>
      </w:r>
      <w:r>
        <w:rPr>
          <w:rFonts w:hint="eastAsia" w:asciiTheme="minorEastAsia" w:hAnsiTheme="minorEastAsia" w:eastAsiaTheme="minorEastAsia"/>
          <w:color w:val="auto"/>
          <w:szCs w:val="21"/>
          <w:highlight w:val="none"/>
        </w:rPr>
        <w:t>修改、</w:t>
      </w:r>
      <w:r>
        <w:rPr>
          <w:rFonts w:asciiTheme="minorEastAsia" w:hAnsiTheme="minorEastAsia" w:eastAsiaTheme="minorEastAsia"/>
          <w:color w:val="auto"/>
          <w:szCs w:val="21"/>
          <w:highlight w:val="none"/>
        </w:rPr>
        <w:t>撤销投标文件。</w:t>
      </w:r>
    </w:p>
    <w:p w14:paraId="024F6ABE">
      <w:pPr>
        <w:spacing w:line="360" w:lineRule="auto"/>
        <w:ind w:firstLine="420" w:firstLineChars="200"/>
        <w:rPr>
          <w:rFonts w:asciiTheme="minorEastAsia" w:hAnsiTheme="minorEastAsia" w:eastAsiaTheme="minorEastAsia"/>
          <w:color w:val="auto"/>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随同本投标函提交投标保证金一份，金额为人民币（大写）</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14:paraId="5B77058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．如我方中标，我方承诺：</w:t>
      </w:r>
    </w:p>
    <w:p w14:paraId="4D37A417">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（1）在收到中标通知书后，在中标通知书规定的期限内与你方签订合同；</w:t>
      </w:r>
    </w:p>
    <w:p w14:paraId="34BD653F">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（2）在签订合同时不向你方提出附加条件；</w:t>
      </w:r>
    </w:p>
    <w:p w14:paraId="6DE32011">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（3）按照招标文件要求提交履约保证金；</w:t>
      </w:r>
      <w:bookmarkStart w:id="774" w:name="_Toc352691658"/>
      <w:bookmarkStart w:id="775" w:name="_Toc1187"/>
      <w:bookmarkStart w:id="776" w:name="_Toc369531694"/>
    </w:p>
    <w:p w14:paraId="22ED14B7">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（4）在合</w:t>
      </w:r>
      <w:bookmarkEnd w:id="774"/>
      <w:bookmarkEnd w:id="775"/>
      <w:bookmarkEnd w:id="776"/>
      <w:r>
        <w:rPr>
          <w:rFonts w:asciiTheme="minorEastAsia" w:hAnsiTheme="minorEastAsia" w:eastAsiaTheme="minorEastAsia"/>
          <w:color w:val="auto"/>
          <w:szCs w:val="21"/>
          <w:highlight w:val="none"/>
        </w:rPr>
        <w:t>同约定的期限内完成合同规定的全部义务。</w:t>
      </w:r>
    </w:p>
    <w:p w14:paraId="04683A5B">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5．我方在此声明，所递交的投标文件及有关资料内容完整、真实和准确，且不存在第二章“投标人须知”第1.4.3项规定的任何一种情形。</w:t>
      </w:r>
      <w:r>
        <w:rPr>
          <w:rFonts w:hint="eastAsia" w:asciiTheme="minorEastAsia" w:hAnsiTheme="minorEastAsia" w:eastAsiaTheme="minorEastAsia"/>
          <w:color w:val="auto"/>
          <w:szCs w:val="21"/>
          <w:highlight w:val="none"/>
        </w:rPr>
        <w:t>同时我方承诺接受招标文件及附件、澄清及修改通知中所有的内容。</w:t>
      </w:r>
    </w:p>
    <w:p w14:paraId="13D39762">
      <w:pPr>
        <w:spacing w:line="400" w:lineRule="exact"/>
        <w:ind w:firstLine="420" w:firstLineChars="200"/>
        <w:rPr>
          <w:rFonts w:ascii="宋体" w:hAnsi="宋体" w:cs="宋体"/>
          <w:color w:val="auto"/>
          <w:szCs w:val="21"/>
          <w:highlight w:val="none"/>
        </w:rPr>
      </w:pPr>
      <w:r>
        <w:rPr>
          <w:rFonts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ab/>
      </w:r>
      <w:r>
        <w:rPr>
          <w:rFonts w:asciiTheme="minorEastAsia" w:hAnsiTheme="minorEastAsia" w:eastAsiaTheme="minorEastAsia"/>
          <w:color w:val="auto"/>
          <w:szCs w:val="21"/>
          <w:highlight w:val="none"/>
          <w:u w:val="single"/>
        </w:rPr>
        <w:t>（其他补充说明）</w:t>
      </w:r>
      <w:r>
        <w:rPr>
          <w:rFonts w:asciiTheme="minorEastAsia" w:hAnsiTheme="minorEastAsia" w:eastAsiaTheme="minorEastAsia"/>
          <w:color w:val="auto"/>
          <w:szCs w:val="21"/>
          <w:highlight w:val="none"/>
        </w:rPr>
        <w:t>。</w:t>
      </w:r>
    </w:p>
    <w:p w14:paraId="18448231">
      <w:pPr>
        <w:spacing w:line="400" w:lineRule="exact"/>
        <w:ind w:firstLine="3675" w:firstLineChars="1750"/>
        <w:rPr>
          <w:rFonts w:ascii="宋体" w:hAnsi="宋体" w:cs="宋体"/>
          <w:color w:val="auto"/>
          <w:szCs w:val="21"/>
          <w:highlight w:val="none"/>
        </w:rPr>
      </w:pPr>
    </w:p>
    <w:p w14:paraId="22B6E419">
      <w:pPr>
        <w:pStyle w:val="8"/>
        <w:rPr>
          <w:color w:val="auto"/>
          <w:highlight w:val="none"/>
        </w:rPr>
      </w:pPr>
    </w:p>
    <w:p w14:paraId="558CF02F">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竞  选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7F0C69A4">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14:paraId="5A81001C">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0C73615C">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14:paraId="4D0C8474">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23EC5A23">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50C65D11">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762B975">
      <w:pPr>
        <w:pStyle w:val="8"/>
        <w:rPr>
          <w:color w:val="auto"/>
          <w:highlight w:val="none"/>
        </w:rPr>
      </w:pPr>
    </w:p>
    <w:p w14:paraId="159981F0">
      <w:pPr>
        <w:spacing w:after="260" w:line="360" w:lineRule="auto"/>
        <w:ind w:firstLine="2560" w:firstLineChars="800"/>
        <w:outlineLvl w:val="2"/>
        <w:rPr>
          <w:rFonts w:ascii="宋体" w:hAnsi="宋体" w:cs="宋体"/>
          <w:snapToGrid w:val="0"/>
          <w:color w:val="auto"/>
          <w:kern w:val="0"/>
          <w:szCs w:val="21"/>
          <w:highlight w:val="none"/>
        </w:rPr>
      </w:pPr>
      <w:bookmarkStart w:id="777" w:name="_Toc430530531"/>
      <w:bookmarkStart w:id="778" w:name="_Toc534185832"/>
      <w:bookmarkStart w:id="779" w:name="_Toc509218855"/>
      <w:bookmarkStart w:id="780" w:name="_Toc287607868"/>
      <w:bookmarkStart w:id="781" w:name="_Toc224103496"/>
      <w:bookmarkStart w:id="782" w:name="_Toc287620815"/>
      <w:bookmarkStart w:id="783" w:name="_Toc277082644"/>
      <w:r>
        <w:rPr>
          <w:rFonts w:hint="eastAsia" w:ascii="宋体" w:hAnsi="宋体" w:cs="宋体"/>
          <w:snapToGrid w:val="0"/>
          <w:color w:val="auto"/>
          <w:kern w:val="0"/>
          <w:sz w:val="32"/>
          <w:szCs w:val="32"/>
          <w:highlight w:val="none"/>
        </w:rPr>
        <w:t>（二）竞选函附录</w:t>
      </w:r>
      <w:bookmarkEnd w:id="777"/>
      <w:bookmarkEnd w:id="778"/>
      <w:bookmarkEnd w:id="779"/>
      <w:bookmarkEnd w:id="780"/>
      <w:bookmarkEnd w:id="781"/>
      <w:bookmarkEnd w:id="782"/>
      <w:bookmarkEnd w:id="783"/>
    </w:p>
    <w:tbl>
      <w:tblPr>
        <w:tblStyle w:val="20"/>
        <w:tblW w:w="8331"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3723"/>
        <w:gridCol w:w="1306"/>
      </w:tblGrid>
      <w:tr w14:paraId="29CEC6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C17EDBF">
            <w:pPr>
              <w:autoSpaceDE w:val="0"/>
              <w:autoSpaceDN w:val="0"/>
              <w:adjustRightIn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序号</w:t>
            </w:r>
          </w:p>
        </w:tc>
        <w:tc>
          <w:tcPr>
            <w:tcW w:w="2582" w:type="dxa"/>
            <w:vAlign w:val="center"/>
          </w:tcPr>
          <w:p w14:paraId="2687FB37">
            <w:pPr>
              <w:autoSpaceDE w:val="0"/>
              <w:autoSpaceDN w:val="0"/>
              <w:adjustRightIn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条款名称</w:t>
            </w:r>
          </w:p>
        </w:tc>
        <w:tc>
          <w:tcPr>
            <w:tcW w:w="3723" w:type="dxa"/>
            <w:vAlign w:val="center"/>
          </w:tcPr>
          <w:p w14:paraId="6CE6D8A1">
            <w:pPr>
              <w:autoSpaceDE w:val="0"/>
              <w:autoSpaceDN w:val="0"/>
              <w:adjustRightIn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约定内容</w:t>
            </w:r>
          </w:p>
        </w:tc>
        <w:tc>
          <w:tcPr>
            <w:tcW w:w="1306" w:type="dxa"/>
            <w:vAlign w:val="center"/>
          </w:tcPr>
          <w:p w14:paraId="2D5CFB85">
            <w:pPr>
              <w:autoSpaceDE w:val="0"/>
              <w:autoSpaceDN w:val="0"/>
              <w:adjustRightIn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r>
      <w:tr w14:paraId="49AF6E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795" w:hRule="exact"/>
        </w:trPr>
        <w:tc>
          <w:tcPr>
            <w:tcW w:w="720" w:type="dxa"/>
            <w:vAlign w:val="center"/>
          </w:tcPr>
          <w:p w14:paraId="56F3D98B">
            <w:pPr>
              <w:autoSpaceDE w:val="0"/>
              <w:autoSpaceDN w:val="0"/>
              <w:adjustRightIn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p>
        </w:tc>
        <w:tc>
          <w:tcPr>
            <w:tcW w:w="2582" w:type="dxa"/>
            <w:vAlign w:val="center"/>
          </w:tcPr>
          <w:p w14:paraId="716F6B3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总监理工程师</w:t>
            </w:r>
          </w:p>
        </w:tc>
        <w:tc>
          <w:tcPr>
            <w:tcW w:w="3723" w:type="dxa"/>
            <w:vAlign w:val="center"/>
          </w:tcPr>
          <w:p w14:paraId="1D61C095">
            <w:pPr>
              <w:spacing w:line="360" w:lineRule="auto"/>
              <w:rPr>
                <w:color w:val="auto"/>
                <w:highlight w:val="none"/>
              </w:rPr>
            </w:pPr>
            <w:r>
              <w:rPr>
                <w:rFonts w:hint="eastAsia"/>
                <w:color w:val="auto"/>
                <w:highlight w:val="none"/>
              </w:rPr>
              <w:t>姓名：</w:t>
            </w:r>
            <w:r>
              <w:rPr>
                <w:rFonts w:hint="eastAsia"/>
                <w:color w:val="auto"/>
                <w:highlight w:val="none"/>
                <w:u w:val="single"/>
              </w:rPr>
              <w:t xml:space="preserve">               </w:t>
            </w:r>
            <w:r>
              <w:rPr>
                <w:rFonts w:hint="eastAsia"/>
                <w:color w:val="auto"/>
                <w:highlight w:val="none"/>
              </w:rPr>
              <w:t xml:space="preserve">            </w:t>
            </w:r>
          </w:p>
          <w:p w14:paraId="3E2DB669">
            <w:pPr>
              <w:pStyle w:val="2"/>
              <w:rPr>
                <w:color w:val="auto"/>
                <w:highlight w:val="none"/>
              </w:rPr>
            </w:pPr>
            <w:r>
              <w:rPr>
                <w:rFonts w:hint="eastAsia"/>
                <w:caps w:val="0"/>
                <w:color w:val="auto"/>
                <w:sz w:val="21"/>
                <w:szCs w:val="24"/>
                <w:highlight w:val="none"/>
              </w:rPr>
              <w:t>身份证号码：</w:t>
            </w:r>
            <w:r>
              <w:rPr>
                <w:rFonts w:hint="eastAsia" w:ascii="宋体" w:hAnsi="宋体" w:cs="宋体"/>
                <w:color w:val="auto"/>
                <w:szCs w:val="21"/>
                <w:highlight w:val="none"/>
                <w:u w:val="single"/>
              </w:rPr>
              <w:t xml:space="preserve">         </w:t>
            </w:r>
          </w:p>
        </w:tc>
        <w:tc>
          <w:tcPr>
            <w:tcW w:w="1306" w:type="dxa"/>
            <w:vAlign w:val="center"/>
          </w:tcPr>
          <w:p w14:paraId="6B8FF75D">
            <w:pPr>
              <w:autoSpaceDE w:val="0"/>
              <w:autoSpaceDN w:val="0"/>
              <w:adjustRightInd w:val="0"/>
              <w:spacing w:line="360" w:lineRule="auto"/>
              <w:jc w:val="center"/>
              <w:rPr>
                <w:rFonts w:ascii="宋体" w:hAnsi="宋体" w:cs="宋体"/>
                <w:snapToGrid w:val="0"/>
                <w:color w:val="auto"/>
                <w:kern w:val="0"/>
                <w:szCs w:val="21"/>
                <w:highlight w:val="none"/>
              </w:rPr>
            </w:pPr>
          </w:p>
        </w:tc>
      </w:tr>
      <w:tr w14:paraId="2622B6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397" w:hRule="exact"/>
        </w:trPr>
        <w:tc>
          <w:tcPr>
            <w:tcW w:w="720" w:type="dxa"/>
            <w:vAlign w:val="center"/>
          </w:tcPr>
          <w:p w14:paraId="4112156B">
            <w:pPr>
              <w:autoSpaceDE w:val="0"/>
              <w:autoSpaceDN w:val="0"/>
              <w:adjustRightIn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p>
        </w:tc>
        <w:tc>
          <w:tcPr>
            <w:tcW w:w="2582" w:type="dxa"/>
            <w:vAlign w:val="center"/>
          </w:tcPr>
          <w:p w14:paraId="59861EBF">
            <w:pPr>
              <w:autoSpaceDE w:val="0"/>
              <w:autoSpaceDN w:val="0"/>
              <w:adjustRightIn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缺项责任期</w:t>
            </w:r>
          </w:p>
        </w:tc>
        <w:tc>
          <w:tcPr>
            <w:tcW w:w="3723" w:type="dxa"/>
            <w:vAlign w:val="center"/>
          </w:tcPr>
          <w:p w14:paraId="12965FC5">
            <w:pPr>
              <w:tabs>
                <w:tab w:val="left" w:pos="1560"/>
              </w:tabs>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24个月 </w:t>
            </w:r>
          </w:p>
        </w:tc>
        <w:tc>
          <w:tcPr>
            <w:tcW w:w="1306" w:type="dxa"/>
            <w:vAlign w:val="center"/>
          </w:tcPr>
          <w:p w14:paraId="6DF2BD7C">
            <w:pPr>
              <w:autoSpaceDE w:val="0"/>
              <w:autoSpaceDN w:val="0"/>
              <w:adjustRightInd w:val="0"/>
              <w:spacing w:line="360" w:lineRule="auto"/>
              <w:jc w:val="center"/>
              <w:rPr>
                <w:rFonts w:ascii="宋体" w:hAnsi="宋体" w:cs="宋体"/>
                <w:snapToGrid w:val="0"/>
                <w:color w:val="auto"/>
                <w:kern w:val="0"/>
                <w:szCs w:val="21"/>
                <w:highlight w:val="none"/>
              </w:rPr>
            </w:pPr>
          </w:p>
        </w:tc>
      </w:tr>
    </w:tbl>
    <w:p w14:paraId="1BED945B">
      <w:pPr>
        <w:spacing w:line="360" w:lineRule="auto"/>
        <w:rPr>
          <w:rFonts w:ascii="宋体" w:hAnsi="宋体" w:cs="宋体"/>
          <w:snapToGrid w:val="0"/>
          <w:color w:val="auto"/>
          <w:w w:val="99"/>
          <w:highlight w:val="none"/>
        </w:rPr>
      </w:pPr>
    </w:p>
    <w:p w14:paraId="09C42477">
      <w:pPr>
        <w:spacing w:line="360" w:lineRule="auto"/>
        <w:rPr>
          <w:rFonts w:ascii="宋体" w:hAnsi="宋体" w:cs="宋体"/>
          <w:snapToGrid w:val="0"/>
          <w:color w:val="auto"/>
          <w:highlight w:val="none"/>
        </w:rPr>
      </w:pPr>
    </w:p>
    <w:p w14:paraId="0E88036B">
      <w:pPr>
        <w:spacing w:line="360" w:lineRule="auto"/>
        <w:rPr>
          <w:rFonts w:ascii="宋体" w:hAnsi="宋体" w:cs="宋体"/>
          <w:snapToGrid w:val="0"/>
          <w:color w:val="auto"/>
          <w:highlight w:val="none"/>
        </w:rPr>
      </w:pPr>
    </w:p>
    <w:p w14:paraId="3940AD71">
      <w:pPr>
        <w:tabs>
          <w:tab w:val="left" w:pos="7140"/>
          <w:tab w:val="left" w:pos="7560"/>
          <w:tab w:val="left" w:pos="8300"/>
        </w:tabs>
        <w:autoSpaceDE w:val="0"/>
        <w:autoSpaceDN w:val="0"/>
        <w:adjustRightInd w:val="0"/>
        <w:spacing w:line="360" w:lineRule="auto"/>
        <w:ind w:right="210" w:firstLine="2396" w:firstLineChars="114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    选  人：</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（盖单位公章） </w:t>
      </w:r>
    </w:p>
    <w:p w14:paraId="7A82CA29">
      <w:pPr>
        <w:tabs>
          <w:tab w:val="left" w:pos="7140"/>
          <w:tab w:val="left" w:pos="7560"/>
          <w:tab w:val="left" w:pos="8300"/>
        </w:tabs>
        <w:autoSpaceDE w:val="0"/>
        <w:autoSpaceDN w:val="0"/>
        <w:adjustRightInd w:val="0"/>
        <w:spacing w:line="360" w:lineRule="auto"/>
        <w:ind w:right="210" w:firstLine="1984" w:firstLineChars="94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w:t>
      </w:r>
    </w:p>
    <w:p w14:paraId="4B47D6A7">
      <w:pPr>
        <w:tabs>
          <w:tab w:val="left" w:pos="7140"/>
          <w:tab w:val="left" w:pos="7560"/>
          <w:tab w:val="left" w:pos="8300"/>
        </w:tabs>
        <w:autoSpaceDE w:val="0"/>
        <w:autoSpaceDN w:val="0"/>
        <w:adjustRightInd w:val="0"/>
        <w:spacing w:line="360" w:lineRule="auto"/>
        <w:ind w:right="210" w:firstLine="2415" w:firstLineChars="11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法定代表人或其委托代理人：</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（签字或盖章） </w:t>
      </w:r>
    </w:p>
    <w:p w14:paraId="633AB147">
      <w:pPr>
        <w:tabs>
          <w:tab w:val="left" w:pos="7140"/>
          <w:tab w:val="left" w:pos="7560"/>
          <w:tab w:val="left" w:pos="8300"/>
        </w:tabs>
        <w:autoSpaceDE w:val="0"/>
        <w:autoSpaceDN w:val="0"/>
        <w:adjustRightInd w:val="0"/>
        <w:spacing w:line="360" w:lineRule="auto"/>
        <w:ind w:right="210" w:firstLine="1995" w:firstLineChars="950"/>
        <w:rPr>
          <w:rFonts w:ascii="宋体" w:hAnsi="宋体" w:cs="宋体"/>
          <w:snapToGrid w:val="0"/>
          <w:color w:val="auto"/>
          <w:kern w:val="0"/>
          <w:szCs w:val="21"/>
          <w:highlight w:val="none"/>
        </w:rPr>
      </w:pPr>
    </w:p>
    <w:p w14:paraId="09038A35">
      <w:pPr>
        <w:spacing w:line="360" w:lineRule="auto"/>
        <w:ind w:firstLine="4725" w:firstLineChars="2250"/>
        <w:rPr>
          <w:rFonts w:ascii="宋体" w:hAnsi="宋体" w:cs="宋体"/>
          <w:b/>
          <w:color w:val="auto"/>
          <w:sz w:val="24"/>
          <w:highlight w:val="none"/>
          <w:u w:val="single"/>
        </w:rPr>
      </w:pPr>
      <w:bookmarkStart w:id="784" w:name="_Toc287620816"/>
      <w:bookmarkStart w:id="785" w:name="_Toc430530532"/>
      <w:bookmarkStart w:id="786" w:name="_Toc277082645"/>
      <w:bookmarkStart w:id="787" w:name="_Toc224103497"/>
      <w:bookmarkStart w:id="788" w:name="_Toc287607869"/>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CCED097">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5C20611D">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1CCBD1A1">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4EF2EFB7">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2F791D62">
      <w:pPr>
        <w:pStyle w:val="2"/>
        <w:rPr>
          <w:color w:val="auto"/>
          <w:highlight w:val="none"/>
        </w:rPr>
      </w:pPr>
    </w:p>
    <w:bookmarkEnd w:id="784"/>
    <w:bookmarkEnd w:id="785"/>
    <w:bookmarkEnd w:id="786"/>
    <w:bookmarkEnd w:id="787"/>
    <w:bookmarkEnd w:id="788"/>
    <w:p w14:paraId="2402259D">
      <w:pPr>
        <w:spacing w:line="360" w:lineRule="auto"/>
        <w:jc w:val="center"/>
        <w:rPr>
          <w:rFonts w:ascii="宋体" w:hAnsi="宋体" w:cs="宋体"/>
          <w:color w:val="auto"/>
          <w:sz w:val="44"/>
          <w:szCs w:val="44"/>
          <w:highlight w:val="none"/>
        </w:rPr>
      </w:pPr>
    </w:p>
    <w:p w14:paraId="35DB49DF">
      <w:pPr>
        <w:spacing w:line="360" w:lineRule="auto"/>
        <w:jc w:val="center"/>
        <w:rPr>
          <w:rFonts w:ascii="宋体" w:hAnsi="宋体" w:cs="宋体"/>
          <w:color w:val="auto"/>
          <w:sz w:val="44"/>
          <w:szCs w:val="44"/>
          <w:highlight w:val="none"/>
        </w:rPr>
      </w:pPr>
    </w:p>
    <w:p w14:paraId="5EBC873E">
      <w:pPr>
        <w:spacing w:line="360" w:lineRule="auto"/>
        <w:jc w:val="center"/>
        <w:rPr>
          <w:rFonts w:ascii="宋体" w:hAnsi="宋体" w:cs="宋体"/>
          <w:color w:val="auto"/>
          <w:sz w:val="44"/>
          <w:szCs w:val="44"/>
          <w:highlight w:val="none"/>
        </w:rPr>
      </w:pPr>
    </w:p>
    <w:p w14:paraId="54566376">
      <w:pPr>
        <w:spacing w:line="360" w:lineRule="auto"/>
        <w:jc w:val="center"/>
        <w:rPr>
          <w:rFonts w:ascii="宋体" w:hAnsi="宋体" w:cs="宋体"/>
          <w:color w:val="auto"/>
          <w:sz w:val="44"/>
          <w:szCs w:val="44"/>
          <w:highlight w:val="none"/>
        </w:rPr>
      </w:pPr>
    </w:p>
    <w:p w14:paraId="1DEE5E61">
      <w:pPr>
        <w:tabs>
          <w:tab w:val="left" w:pos="8300"/>
        </w:tabs>
        <w:autoSpaceDE w:val="0"/>
        <w:autoSpaceDN w:val="0"/>
        <w:adjustRightInd w:val="0"/>
        <w:spacing w:line="400" w:lineRule="exact"/>
        <w:rPr>
          <w:rFonts w:ascii="宋体" w:hAnsi="宋体"/>
          <w:snapToGrid w:val="0"/>
          <w:color w:val="auto"/>
          <w:kern w:val="0"/>
          <w:sz w:val="30"/>
          <w:szCs w:val="30"/>
          <w:highlight w:val="none"/>
        </w:rPr>
      </w:pPr>
      <w:r>
        <w:rPr>
          <w:color w:val="auto"/>
          <w:sz w:val="30"/>
          <w:szCs w:val="30"/>
          <w:highlight w:val="none"/>
        </w:rPr>
        <w:t>（</w:t>
      </w:r>
      <w:r>
        <w:rPr>
          <w:rFonts w:hint="eastAsia"/>
          <w:color w:val="auto"/>
          <w:sz w:val="30"/>
          <w:szCs w:val="30"/>
          <w:highlight w:val="none"/>
        </w:rPr>
        <w:t>三</w:t>
      </w:r>
      <w:r>
        <w:rPr>
          <w:color w:val="auto"/>
          <w:sz w:val="30"/>
          <w:szCs w:val="30"/>
          <w:highlight w:val="none"/>
        </w:rPr>
        <w:t>）</w:t>
      </w:r>
      <w:r>
        <w:rPr>
          <w:rFonts w:hint="eastAsia"/>
          <w:color w:val="auto"/>
          <w:sz w:val="30"/>
          <w:szCs w:val="30"/>
          <w:highlight w:val="none"/>
        </w:rPr>
        <w:t>法定代表人身份证明或附有法定代表人身份证明的授权委托书</w:t>
      </w:r>
    </w:p>
    <w:p w14:paraId="1CB5A2A7">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1B98315B">
      <w:pPr>
        <w:spacing w:line="480" w:lineRule="auto"/>
        <w:jc w:val="center"/>
        <w:rPr>
          <w:rFonts w:ascii="宋体" w:hAnsi="宋体"/>
          <w:color w:val="auto"/>
          <w:highlight w:val="none"/>
        </w:rPr>
      </w:pPr>
    </w:p>
    <w:p w14:paraId="13445FD5">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E534E17">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72ED1E7">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87DCFB4">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415B347">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8AFD6C8">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3CC360A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竞标人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4E014C4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0B851E8F">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0B324DA1">
      <w:pPr>
        <w:pStyle w:val="8"/>
        <w:spacing w:after="0" w:line="360" w:lineRule="auto"/>
        <w:rPr>
          <w:rFonts w:ascii="宋体" w:hAnsi="宋体"/>
          <w:color w:val="auto"/>
          <w:szCs w:val="21"/>
          <w:highlight w:val="none"/>
        </w:rPr>
      </w:pPr>
    </w:p>
    <w:p w14:paraId="1849BD08">
      <w:pPr>
        <w:pStyle w:val="8"/>
        <w:spacing w:after="0" w:line="360" w:lineRule="auto"/>
        <w:rPr>
          <w:rFonts w:ascii="宋体" w:hAnsi="宋体"/>
          <w:color w:val="auto"/>
          <w:szCs w:val="21"/>
          <w:highlight w:val="none"/>
        </w:rPr>
      </w:pPr>
    </w:p>
    <w:p w14:paraId="607E9BAE">
      <w:pPr>
        <w:pStyle w:val="8"/>
        <w:spacing w:after="0" w:line="360" w:lineRule="auto"/>
        <w:rPr>
          <w:rFonts w:ascii="宋体" w:hAnsi="宋体"/>
          <w:color w:val="auto"/>
          <w:szCs w:val="21"/>
          <w:highlight w:val="none"/>
        </w:rPr>
      </w:pPr>
    </w:p>
    <w:p w14:paraId="34D15A9E">
      <w:pPr>
        <w:pStyle w:val="8"/>
        <w:spacing w:after="0" w:line="360" w:lineRule="auto"/>
        <w:rPr>
          <w:rFonts w:ascii="宋体" w:hAnsi="宋体"/>
          <w:color w:val="auto"/>
          <w:szCs w:val="21"/>
          <w:highlight w:val="none"/>
        </w:rPr>
      </w:pPr>
    </w:p>
    <w:p w14:paraId="1DC8E94C">
      <w:pPr>
        <w:pStyle w:val="8"/>
        <w:spacing w:after="0" w:line="360" w:lineRule="auto"/>
        <w:rPr>
          <w:rFonts w:ascii="宋体" w:hAnsi="宋体"/>
          <w:color w:val="auto"/>
          <w:szCs w:val="21"/>
          <w:highlight w:val="none"/>
        </w:rPr>
      </w:pPr>
    </w:p>
    <w:p w14:paraId="78F96B14">
      <w:pPr>
        <w:pStyle w:val="8"/>
        <w:spacing w:after="0" w:line="360" w:lineRule="auto"/>
        <w:rPr>
          <w:rFonts w:ascii="宋体" w:hAnsi="宋体"/>
          <w:color w:val="auto"/>
          <w:szCs w:val="21"/>
          <w:highlight w:val="none"/>
        </w:rPr>
      </w:pPr>
    </w:p>
    <w:p w14:paraId="1CCAD796">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15ADA74A">
      <w:pPr>
        <w:autoSpaceDE w:val="0"/>
        <w:autoSpaceDN w:val="0"/>
        <w:adjustRightInd w:val="0"/>
        <w:snapToGrid w:val="0"/>
        <w:spacing w:line="480" w:lineRule="auto"/>
        <w:jc w:val="left"/>
        <w:rPr>
          <w:rFonts w:ascii="宋体" w:hAnsi="宋体"/>
          <w:color w:val="auto"/>
          <w:kern w:val="0"/>
          <w:sz w:val="20"/>
          <w:szCs w:val="20"/>
          <w:highlight w:val="none"/>
        </w:rPr>
      </w:pPr>
    </w:p>
    <w:p w14:paraId="3B7F5F8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389EC287">
      <w:pPr>
        <w:autoSpaceDE w:val="0"/>
        <w:autoSpaceDN w:val="0"/>
        <w:adjustRightInd w:val="0"/>
        <w:snapToGrid w:val="0"/>
        <w:spacing w:line="360" w:lineRule="auto"/>
        <w:jc w:val="left"/>
        <w:rPr>
          <w:rFonts w:ascii="宋体" w:hAnsi="宋体"/>
          <w:color w:val="auto"/>
          <w:kern w:val="0"/>
          <w:highlight w:val="none"/>
        </w:rPr>
      </w:pPr>
    </w:p>
    <w:p w14:paraId="35355BD4">
      <w:pPr>
        <w:autoSpaceDE w:val="0"/>
        <w:autoSpaceDN w:val="0"/>
        <w:adjustRightInd w:val="0"/>
        <w:snapToGrid w:val="0"/>
        <w:spacing w:line="360" w:lineRule="auto"/>
        <w:jc w:val="left"/>
        <w:rPr>
          <w:rFonts w:ascii="宋体" w:hAnsi="宋体"/>
          <w:color w:val="auto"/>
          <w:kern w:val="0"/>
          <w:highlight w:val="none"/>
        </w:rPr>
      </w:pPr>
    </w:p>
    <w:p w14:paraId="62333BDE">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65EA9377">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5B70F956">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竞标人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竞标文件</w:t>
      </w:r>
      <w:r>
        <w:rPr>
          <w:rFonts w:ascii="宋体" w:hAnsi="宋体"/>
          <w:color w:val="auto"/>
          <w:kern w:val="0"/>
          <w:szCs w:val="21"/>
          <w:highlight w:val="none"/>
        </w:rPr>
        <w:t>、签订合同和处理有关事宜， 其法律后果由我方承担。</w:t>
      </w:r>
    </w:p>
    <w:p w14:paraId="57F425E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46B0B9D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3453629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0B09D59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76FD540">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EC6D21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49BF18B7">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10C33960">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3B4E3D6">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21DA2EC1">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0AD9E4F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5BE27AF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6E1F07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16A29F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FFF56D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0D0AE6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3F6C1A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5D0771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F26244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200541A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0855F6BB">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rPr>
        <w:t>竞标</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rPr>
        <w:t>竞标</w:t>
      </w:r>
      <w:r>
        <w:rPr>
          <w:rFonts w:ascii="宋体" w:hAnsi="宋体"/>
          <w:color w:val="auto"/>
          <w:kern w:val="0"/>
          <w:szCs w:val="21"/>
          <w:highlight w:val="none"/>
        </w:rPr>
        <w:t>活动及签署文件的除提供法定代表人身份证明外还须提供授权委托书。</w:t>
      </w:r>
    </w:p>
    <w:p w14:paraId="79E087EF">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竞标文件</w:t>
      </w:r>
      <w:r>
        <w:rPr>
          <w:rFonts w:ascii="宋体" w:hAnsi="宋体"/>
          <w:color w:val="auto"/>
          <w:kern w:val="0"/>
          <w:szCs w:val="21"/>
          <w:highlight w:val="none"/>
        </w:rPr>
        <w:t>一并递交。另外须准备一份授权委托书原件在开标现场出具。</w:t>
      </w:r>
    </w:p>
    <w:p w14:paraId="69FA45F0">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40AE418B">
      <w:pPr>
        <w:spacing w:line="360" w:lineRule="auto"/>
        <w:ind w:firstLine="420" w:firstLineChars="200"/>
        <w:rPr>
          <w:rFonts w:ascii="宋体" w:hAnsi="宋体"/>
          <w:color w:val="auto"/>
          <w:highlight w:val="none"/>
        </w:rPr>
      </w:pPr>
      <w:r>
        <w:rPr>
          <w:rFonts w:ascii="宋体" w:hAnsi="宋体"/>
          <w:color w:val="auto"/>
          <w:highlight w:val="none"/>
        </w:rPr>
        <w:br w:type="page"/>
      </w:r>
    </w:p>
    <w:p w14:paraId="54A30DD8">
      <w:pPr>
        <w:pStyle w:val="5"/>
        <w:spacing w:before="0" w:after="0" w:line="240" w:lineRule="auto"/>
        <w:jc w:val="center"/>
        <w:rPr>
          <w:rFonts w:ascii="宋体" w:hAnsi="宋体"/>
          <w:b w:val="0"/>
          <w:bCs w:val="0"/>
          <w:color w:val="auto"/>
          <w:highlight w:val="none"/>
        </w:rPr>
      </w:pPr>
      <w:bookmarkStart w:id="789" w:name="_Toc287620817"/>
      <w:bookmarkStart w:id="790" w:name="_Toc224103498"/>
      <w:bookmarkStart w:id="791" w:name="_Toc277082646"/>
      <w:bookmarkStart w:id="792" w:name="_Toc287607870"/>
      <w:bookmarkStart w:id="793" w:name="_Toc57820651"/>
      <w:bookmarkStart w:id="794" w:name="_Toc430530533"/>
      <w:r>
        <w:rPr>
          <w:rFonts w:ascii="宋体" w:hAnsi="宋体"/>
          <w:b w:val="0"/>
          <w:bCs w:val="0"/>
          <w:color w:val="auto"/>
          <w:highlight w:val="none"/>
        </w:rPr>
        <w:t>（四）</w:t>
      </w:r>
      <w:bookmarkEnd w:id="789"/>
      <w:bookmarkEnd w:id="790"/>
      <w:bookmarkEnd w:id="791"/>
      <w:bookmarkEnd w:id="792"/>
      <w:bookmarkStart w:id="795" w:name="_Toc287607871"/>
      <w:bookmarkStart w:id="796" w:name="_Toc224103499"/>
      <w:bookmarkStart w:id="797" w:name="_Toc277082647"/>
      <w:bookmarkStart w:id="798" w:name="_Toc287620818"/>
      <w:r>
        <w:rPr>
          <w:rFonts w:hint="eastAsia" w:ascii="宋体" w:hAnsi="宋体"/>
          <w:b w:val="0"/>
          <w:bCs w:val="0"/>
          <w:color w:val="auto"/>
          <w:highlight w:val="none"/>
        </w:rPr>
        <w:t>低价风险担保提交承诺书</w:t>
      </w:r>
      <w:bookmarkEnd w:id="793"/>
    </w:p>
    <w:p w14:paraId="174712E7">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6C28E539">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794EFAF4">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60842B05">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14:paraId="09FBCB1A">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0CD14F97">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61A15F08">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4E1C23E3">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7ACC0310">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23401059">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4979732">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7C77A43F">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2D2CF474">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w:t>
      </w:r>
      <w:r>
        <w:rPr>
          <w:rFonts w:ascii="宋体" w:hAnsi="宋体"/>
          <w:color w:val="auto"/>
          <w:kern w:val="0"/>
          <w:szCs w:val="21"/>
          <w:highlight w:val="none"/>
        </w:rPr>
        <w:t xml:space="preserve">  </w:t>
      </w:r>
      <w:r>
        <w:rPr>
          <w:rFonts w:hint="eastAsia" w:ascii="宋体" w:hAnsi="宋体"/>
          <w:color w:val="auto"/>
          <w:kern w:val="0"/>
          <w:szCs w:val="21"/>
          <w:highlight w:val="none"/>
        </w:rPr>
        <w:t>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2DE6DFA9">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57B413A">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77C390C7">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58AEDDC6">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736B76C1">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5D80B6D9">
      <w:pPr>
        <w:pStyle w:val="8"/>
        <w:rPr>
          <w:rFonts w:ascii="宋体" w:hAnsi="宋体"/>
          <w:snapToGrid w:val="0"/>
          <w:color w:val="auto"/>
          <w:kern w:val="0"/>
          <w:sz w:val="32"/>
          <w:szCs w:val="32"/>
          <w:highlight w:val="none"/>
        </w:rPr>
      </w:pPr>
      <w:r>
        <w:rPr>
          <w:rFonts w:ascii="宋体" w:hAnsi="宋体"/>
          <w:snapToGrid w:val="0"/>
          <w:color w:val="auto"/>
          <w:kern w:val="0"/>
          <w:sz w:val="32"/>
          <w:szCs w:val="32"/>
          <w:highlight w:val="none"/>
        </w:rPr>
        <w:br w:type="page"/>
      </w:r>
    </w:p>
    <w:bookmarkEnd w:id="794"/>
    <w:bookmarkEnd w:id="795"/>
    <w:bookmarkEnd w:id="796"/>
    <w:bookmarkEnd w:id="797"/>
    <w:bookmarkEnd w:id="798"/>
    <w:p w14:paraId="663A44DE">
      <w:pPr>
        <w:pStyle w:val="4"/>
        <w:spacing w:line="360" w:lineRule="auto"/>
        <w:jc w:val="center"/>
        <w:rPr>
          <w:rFonts w:ascii="宋体" w:hAnsi="宋体" w:cs="宋体"/>
          <w:b w:val="0"/>
          <w:bCs w:val="0"/>
          <w:color w:val="auto"/>
          <w:sz w:val="44"/>
          <w:szCs w:val="44"/>
          <w:highlight w:val="none"/>
        </w:rPr>
      </w:pPr>
      <w:r>
        <w:rPr>
          <w:rFonts w:hint="eastAsia" w:ascii="宋体" w:hAnsi="宋体" w:cs="宋体"/>
          <w:b w:val="0"/>
          <w:bCs w:val="0"/>
          <w:color w:val="auto"/>
          <w:sz w:val="44"/>
          <w:szCs w:val="44"/>
          <w:highlight w:val="none"/>
        </w:rPr>
        <w:t>二、</w:t>
      </w:r>
      <w:bookmarkEnd w:id="750"/>
      <w:bookmarkEnd w:id="751"/>
      <w:bookmarkEnd w:id="752"/>
      <w:bookmarkEnd w:id="753"/>
      <w:bookmarkEnd w:id="754"/>
      <w:r>
        <w:rPr>
          <w:rFonts w:hint="eastAsia" w:ascii="宋体" w:hAnsi="宋体" w:cs="宋体"/>
          <w:b w:val="0"/>
          <w:bCs w:val="0"/>
          <w:color w:val="auto"/>
          <w:sz w:val="44"/>
          <w:szCs w:val="44"/>
          <w:highlight w:val="none"/>
        </w:rPr>
        <w:t>技术部分</w:t>
      </w:r>
    </w:p>
    <w:bookmarkEnd w:id="755"/>
    <w:bookmarkEnd w:id="756"/>
    <w:p w14:paraId="112A0D10">
      <w:pPr>
        <w:autoSpaceDE w:val="0"/>
        <w:autoSpaceDN w:val="0"/>
        <w:adjustRightInd w:val="0"/>
        <w:snapToGrid w:val="0"/>
        <w:spacing w:line="360" w:lineRule="auto"/>
        <w:jc w:val="left"/>
        <w:rPr>
          <w:color w:val="auto"/>
          <w:highlight w:val="none"/>
        </w:rPr>
      </w:pPr>
    </w:p>
    <w:p w14:paraId="4542968F">
      <w:pPr>
        <w:spacing w:line="360" w:lineRule="auto"/>
        <w:jc w:val="center"/>
        <w:rPr>
          <w:rFonts w:ascii="宋体" w:hAnsi="宋体" w:cs="宋体"/>
          <w:color w:val="auto"/>
          <w:kern w:val="0"/>
          <w:sz w:val="32"/>
          <w:szCs w:val="32"/>
          <w:highlight w:val="none"/>
          <w:u w:val="single"/>
        </w:rPr>
      </w:pPr>
    </w:p>
    <w:p w14:paraId="39F644C6">
      <w:pPr>
        <w:spacing w:line="360" w:lineRule="auto"/>
        <w:jc w:val="center"/>
        <w:rPr>
          <w:rFonts w:ascii="宋体" w:hAnsi="宋体" w:cs="宋体"/>
          <w:color w:val="auto"/>
          <w:kern w:val="0"/>
          <w:sz w:val="32"/>
          <w:szCs w:val="32"/>
          <w:highlight w:val="none"/>
          <w:u w:val="single"/>
        </w:rPr>
      </w:pPr>
    </w:p>
    <w:p w14:paraId="46C95EDD">
      <w:pPr>
        <w:spacing w:line="360" w:lineRule="auto"/>
        <w:jc w:val="center"/>
        <w:rPr>
          <w:rFonts w:ascii="宋体" w:hAnsi="宋体" w:cs="宋体"/>
          <w:color w:val="auto"/>
          <w:kern w:val="0"/>
          <w:sz w:val="32"/>
          <w:szCs w:val="32"/>
          <w:highlight w:val="none"/>
          <w:u w:val="single"/>
        </w:rPr>
      </w:pPr>
    </w:p>
    <w:p w14:paraId="09398FCA">
      <w:pPr>
        <w:spacing w:line="360" w:lineRule="auto"/>
        <w:jc w:val="center"/>
        <w:rPr>
          <w:rFonts w:ascii="宋体" w:hAnsi="宋体" w:cs="宋体"/>
          <w:color w:val="auto"/>
          <w:kern w:val="0"/>
          <w:sz w:val="32"/>
          <w:szCs w:val="32"/>
          <w:highlight w:val="none"/>
          <w:u w:val="single"/>
        </w:rPr>
      </w:pPr>
    </w:p>
    <w:p w14:paraId="40A64918">
      <w:pPr>
        <w:spacing w:line="360" w:lineRule="auto"/>
        <w:jc w:val="center"/>
        <w:rPr>
          <w:rFonts w:ascii="宋体" w:hAnsi="宋体" w:cs="宋体"/>
          <w:color w:val="auto"/>
          <w:kern w:val="0"/>
          <w:sz w:val="32"/>
          <w:szCs w:val="32"/>
          <w:highlight w:val="none"/>
          <w:u w:val="single"/>
        </w:rPr>
      </w:pPr>
    </w:p>
    <w:p w14:paraId="1E301834">
      <w:pPr>
        <w:spacing w:line="360" w:lineRule="auto"/>
        <w:jc w:val="center"/>
        <w:rPr>
          <w:rFonts w:ascii="宋体" w:hAnsi="宋体" w:cs="宋体"/>
          <w:color w:val="auto"/>
          <w:kern w:val="0"/>
          <w:sz w:val="32"/>
          <w:szCs w:val="32"/>
          <w:highlight w:val="none"/>
          <w:u w:val="single"/>
        </w:rPr>
      </w:pPr>
    </w:p>
    <w:p w14:paraId="307F30C0">
      <w:pPr>
        <w:spacing w:line="360" w:lineRule="auto"/>
        <w:jc w:val="center"/>
        <w:rPr>
          <w:rFonts w:ascii="宋体" w:hAnsi="宋体" w:cs="宋体"/>
          <w:color w:val="auto"/>
          <w:kern w:val="0"/>
          <w:sz w:val="32"/>
          <w:szCs w:val="32"/>
          <w:highlight w:val="none"/>
          <w:u w:val="single"/>
        </w:rPr>
      </w:pPr>
    </w:p>
    <w:p w14:paraId="1397731F">
      <w:pPr>
        <w:spacing w:line="360" w:lineRule="auto"/>
        <w:jc w:val="center"/>
        <w:rPr>
          <w:rFonts w:ascii="宋体" w:hAnsi="宋体" w:cs="宋体"/>
          <w:color w:val="auto"/>
          <w:kern w:val="0"/>
          <w:sz w:val="32"/>
          <w:szCs w:val="32"/>
          <w:highlight w:val="none"/>
          <w:u w:val="single"/>
        </w:rPr>
      </w:pPr>
    </w:p>
    <w:p w14:paraId="1FE52AEB">
      <w:pPr>
        <w:spacing w:line="360" w:lineRule="auto"/>
        <w:jc w:val="center"/>
        <w:rPr>
          <w:rFonts w:ascii="宋体" w:hAnsi="宋体" w:cs="宋体"/>
          <w:color w:val="auto"/>
          <w:kern w:val="0"/>
          <w:sz w:val="32"/>
          <w:szCs w:val="32"/>
          <w:highlight w:val="none"/>
          <w:u w:val="single"/>
        </w:rPr>
      </w:pPr>
    </w:p>
    <w:p w14:paraId="754A7791">
      <w:pPr>
        <w:spacing w:line="360" w:lineRule="auto"/>
        <w:jc w:val="center"/>
        <w:rPr>
          <w:rFonts w:ascii="宋体" w:hAnsi="宋体" w:cs="宋体"/>
          <w:color w:val="auto"/>
          <w:kern w:val="0"/>
          <w:sz w:val="32"/>
          <w:szCs w:val="32"/>
          <w:highlight w:val="none"/>
          <w:u w:val="single"/>
        </w:rPr>
      </w:pPr>
    </w:p>
    <w:p w14:paraId="38A57FF5">
      <w:pPr>
        <w:spacing w:line="360" w:lineRule="auto"/>
        <w:jc w:val="center"/>
        <w:rPr>
          <w:rFonts w:ascii="宋体" w:hAnsi="宋体" w:cs="宋体"/>
          <w:color w:val="auto"/>
          <w:kern w:val="0"/>
          <w:sz w:val="32"/>
          <w:szCs w:val="32"/>
          <w:highlight w:val="none"/>
          <w:u w:val="single"/>
        </w:rPr>
      </w:pPr>
    </w:p>
    <w:p w14:paraId="3FAFE422">
      <w:pPr>
        <w:spacing w:line="360" w:lineRule="auto"/>
        <w:jc w:val="center"/>
        <w:rPr>
          <w:rFonts w:ascii="宋体" w:hAnsi="宋体" w:cs="宋体"/>
          <w:color w:val="auto"/>
          <w:kern w:val="0"/>
          <w:sz w:val="32"/>
          <w:szCs w:val="32"/>
          <w:highlight w:val="none"/>
          <w:u w:val="single"/>
        </w:rPr>
      </w:pPr>
    </w:p>
    <w:p w14:paraId="2EF990D0">
      <w:pPr>
        <w:spacing w:line="360" w:lineRule="auto"/>
        <w:jc w:val="center"/>
        <w:rPr>
          <w:rFonts w:ascii="宋体" w:hAnsi="宋体" w:cs="宋体"/>
          <w:color w:val="auto"/>
          <w:kern w:val="0"/>
          <w:sz w:val="32"/>
          <w:szCs w:val="32"/>
          <w:highlight w:val="none"/>
          <w:u w:val="single"/>
        </w:rPr>
      </w:pPr>
    </w:p>
    <w:p w14:paraId="2C9CFBC4">
      <w:pPr>
        <w:spacing w:line="360" w:lineRule="auto"/>
        <w:jc w:val="center"/>
        <w:rPr>
          <w:rFonts w:ascii="宋体" w:hAnsi="宋体" w:cs="宋体"/>
          <w:color w:val="auto"/>
          <w:kern w:val="0"/>
          <w:sz w:val="32"/>
          <w:szCs w:val="32"/>
          <w:highlight w:val="none"/>
          <w:u w:val="single"/>
        </w:rPr>
      </w:pPr>
    </w:p>
    <w:p w14:paraId="654BEC1F">
      <w:pPr>
        <w:spacing w:line="360" w:lineRule="auto"/>
        <w:jc w:val="center"/>
        <w:rPr>
          <w:rFonts w:ascii="宋体" w:hAnsi="宋体" w:cs="宋体"/>
          <w:color w:val="auto"/>
          <w:kern w:val="0"/>
          <w:sz w:val="32"/>
          <w:szCs w:val="32"/>
          <w:highlight w:val="none"/>
          <w:u w:val="single"/>
        </w:rPr>
      </w:pPr>
    </w:p>
    <w:p w14:paraId="4AC94DFF">
      <w:pPr>
        <w:spacing w:line="360" w:lineRule="auto"/>
        <w:jc w:val="center"/>
        <w:rPr>
          <w:rFonts w:ascii="宋体" w:hAnsi="宋体" w:cs="宋体"/>
          <w:color w:val="auto"/>
          <w:kern w:val="0"/>
          <w:sz w:val="32"/>
          <w:szCs w:val="32"/>
          <w:highlight w:val="none"/>
          <w:u w:val="single"/>
        </w:rPr>
      </w:pPr>
    </w:p>
    <w:p w14:paraId="70CFF24A">
      <w:pPr>
        <w:spacing w:line="360" w:lineRule="auto"/>
        <w:jc w:val="center"/>
        <w:rPr>
          <w:rFonts w:ascii="宋体" w:hAnsi="宋体" w:cs="宋体"/>
          <w:color w:val="auto"/>
          <w:kern w:val="0"/>
          <w:sz w:val="32"/>
          <w:szCs w:val="32"/>
          <w:highlight w:val="none"/>
          <w:u w:val="single"/>
        </w:rPr>
      </w:pPr>
    </w:p>
    <w:p w14:paraId="60B1CF57">
      <w:pPr>
        <w:spacing w:line="360" w:lineRule="auto"/>
        <w:jc w:val="center"/>
        <w:rPr>
          <w:rFonts w:ascii="宋体" w:hAnsi="宋体" w:cs="宋体"/>
          <w:color w:val="auto"/>
          <w:kern w:val="0"/>
          <w:sz w:val="32"/>
          <w:szCs w:val="32"/>
          <w:highlight w:val="none"/>
          <w:u w:val="single"/>
        </w:rPr>
      </w:pPr>
    </w:p>
    <w:p w14:paraId="1CACD999">
      <w:pPr>
        <w:spacing w:line="360" w:lineRule="auto"/>
        <w:jc w:val="center"/>
        <w:rPr>
          <w:rFonts w:ascii="宋体" w:hAnsi="宋体" w:cs="宋体"/>
          <w:color w:val="auto"/>
          <w:kern w:val="0"/>
          <w:sz w:val="32"/>
          <w:szCs w:val="32"/>
          <w:highlight w:val="none"/>
          <w:u w:val="single"/>
        </w:rPr>
      </w:pPr>
    </w:p>
    <w:p w14:paraId="3A3DB633">
      <w:pPr>
        <w:spacing w:line="360" w:lineRule="auto"/>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 xml:space="preserve">    </w:t>
      </w:r>
    </w:p>
    <w:p w14:paraId="7FB5D31C">
      <w:pPr>
        <w:spacing w:line="360" w:lineRule="auto"/>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u w:val="single"/>
        </w:rPr>
        <w:t xml:space="preserve">                      </w:t>
      </w:r>
      <w:r>
        <w:rPr>
          <w:rFonts w:hint="eastAsia" w:ascii="宋体" w:hAnsi="宋体" w:cs="宋体"/>
          <w:color w:val="auto"/>
          <w:kern w:val="0"/>
          <w:sz w:val="32"/>
          <w:szCs w:val="32"/>
          <w:highlight w:val="none"/>
        </w:rPr>
        <w:t>（项目名称）</w:t>
      </w:r>
    </w:p>
    <w:p w14:paraId="37E626D2">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26941DFF">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3F6A7B9F">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129DAB52">
      <w:pPr>
        <w:tabs>
          <w:tab w:val="left" w:pos="3600"/>
          <w:tab w:val="left" w:pos="4480"/>
          <w:tab w:val="left" w:pos="5360"/>
        </w:tabs>
        <w:autoSpaceDE w:val="0"/>
        <w:autoSpaceDN w:val="0"/>
        <w:adjustRightInd w:val="0"/>
        <w:snapToGrid w:val="0"/>
        <w:spacing w:line="360" w:lineRule="auto"/>
        <w:jc w:val="center"/>
        <w:rPr>
          <w:rFonts w:ascii="宋体" w:hAnsi="宋体" w:cs="宋体"/>
          <w:color w:val="auto"/>
          <w:kern w:val="0"/>
          <w:sz w:val="72"/>
          <w:szCs w:val="72"/>
          <w:highlight w:val="none"/>
        </w:rPr>
      </w:pPr>
      <w:r>
        <w:rPr>
          <w:rFonts w:hint="eastAsia" w:ascii="宋体" w:hAnsi="宋体" w:cs="宋体"/>
          <w:color w:val="auto"/>
          <w:kern w:val="0"/>
          <w:sz w:val="72"/>
          <w:szCs w:val="72"/>
          <w:highlight w:val="none"/>
        </w:rPr>
        <w:t>竞  选 文 件</w:t>
      </w:r>
    </w:p>
    <w:p w14:paraId="48B57CBE">
      <w:pPr>
        <w:autoSpaceDE w:val="0"/>
        <w:autoSpaceDN w:val="0"/>
        <w:adjustRightInd w:val="0"/>
        <w:snapToGrid w:val="0"/>
        <w:spacing w:line="360" w:lineRule="auto"/>
        <w:jc w:val="left"/>
        <w:rPr>
          <w:rFonts w:ascii="宋体" w:hAnsi="宋体" w:cs="宋体"/>
          <w:color w:val="auto"/>
          <w:kern w:val="0"/>
          <w:sz w:val="16"/>
          <w:szCs w:val="16"/>
          <w:highlight w:val="none"/>
        </w:rPr>
      </w:pPr>
    </w:p>
    <w:p w14:paraId="14486E4D">
      <w:pPr>
        <w:autoSpaceDE w:val="0"/>
        <w:autoSpaceDN w:val="0"/>
        <w:adjustRightInd w:val="0"/>
        <w:snapToGrid w:val="0"/>
        <w:spacing w:line="360" w:lineRule="auto"/>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技术部分</w:t>
      </w:r>
    </w:p>
    <w:p w14:paraId="04A78091">
      <w:pPr>
        <w:autoSpaceDE w:val="0"/>
        <w:autoSpaceDN w:val="0"/>
        <w:adjustRightInd w:val="0"/>
        <w:snapToGrid w:val="0"/>
        <w:spacing w:line="360" w:lineRule="auto"/>
        <w:jc w:val="left"/>
        <w:rPr>
          <w:rFonts w:ascii="宋体" w:hAnsi="宋体" w:cs="宋体"/>
          <w:color w:val="auto"/>
          <w:kern w:val="0"/>
          <w:sz w:val="20"/>
          <w:szCs w:val="20"/>
          <w:highlight w:val="none"/>
        </w:rPr>
      </w:pPr>
    </w:p>
    <w:p w14:paraId="2BECE8DE">
      <w:pPr>
        <w:adjustRightInd w:val="0"/>
        <w:snapToGrid w:val="0"/>
        <w:spacing w:line="360" w:lineRule="auto"/>
        <w:rPr>
          <w:rFonts w:ascii="宋体" w:hAnsi="宋体" w:cs="宋体"/>
          <w:color w:val="auto"/>
          <w:szCs w:val="21"/>
          <w:highlight w:val="none"/>
        </w:rPr>
      </w:pPr>
    </w:p>
    <w:p w14:paraId="02D2E319">
      <w:pPr>
        <w:autoSpaceDE w:val="0"/>
        <w:autoSpaceDN w:val="0"/>
        <w:adjustRightInd w:val="0"/>
        <w:snapToGrid w:val="0"/>
        <w:spacing w:line="360" w:lineRule="auto"/>
        <w:jc w:val="left"/>
        <w:rPr>
          <w:rFonts w:ascii="宋体" w:hAnsi="宋体" w:cs="宋体"/>
          <w:color w:val="auto"/>
          <w:kern w:val="0"/>
          <w:sz w:val="20"/>
          <w:szCs w:val="20"/>
          <w:highlight w:val="none"/>
        </w:rPr>
      </w:pPr>
    </w:p>
    <w:p w14:paraId="1C3B4419">
      <w:pPr>
        <w:autoSpaceDE w:val="0"/>
        <w:autoSpaceDN w:val="0"/>
        <w:adjustRightInd w:val="0"/>
        <w:snapToGrid w:val="0"/>
        <w:spacing w:line="360" w:lineRule="auto"/>
        <w:jc w:val="left"/>
        <w:rPr>
          <w:rFonts w:ascii="宋体" w:hAnsi="宋体" w:cs="宋体"/>
          <w:color w:val="auto"/>
          <w:kern w:val="0"/>
          <w:sz w:val="20"/>
          <w:szCs w:val="20"/>
          <w:highlight w:val="none"/>
        </w:rPr>
      </w:pPr>
    </w:p>
    <w:p w14:paraId="249E93EE">
      <w:pPr>
        <w:autoSpaceDE w:val="0"/>
        <w:autoSpaceDN w:val="0"/>
        <w:adjustRightInd w:val="0"/>
        <w:snapToGrid w:val="0"/>
        <w:spacing w:line="360" w:lineRule="auto"/>
        <w:jc w:val="left"/>
        <w:rPr>
          <w:rFonts w:ascii="宋体" w:hAnsi="宋体" w:cs="宋体"/>
          <w:color w:val="auto"/>
          <w:kern w:val="0"/>
          <w:sz w:val="20"/>
          <w:szCs w:val="20"/>
          <w:highlight w:val="none"/>
        </w:rPr>
      </w:pPr>
    </w:p>
    <w:p w14:paraId="3371B6DC">
      <w:pPr>
        <w:autoSpaceDE w:val="0"/>
        <w:autoSpaceDN w:val="0"/>
        <w:adjustRightInd w:val="0"/>
        <w:snapToGrid w:val="0"/>
        <w:spacing w:line="360" w:lineRule="auto"/>
        <w:jc w:val="left"/>
        <w:rPr>
          <w:rFonts w:ascii="宋体" w:hAnsi="宋体" w:cs="宋体"/>
          <w:color w:val="auto"/>
          <w:kern w:val="0"/>
          <w:sz w:val="20"/>
          <w:szCs w:val="20"/>
          <w:highlight w:val="none"/>
        </w:rPr>
      </w:pPr>
    </w:p>
    <w:p w14:paraId="5AC02976">
      <w:pPr>
        <w:autoSpaceDE w:val="0"/>
        <w:autoSpaceDN w:val="0"/>
        <w:adjustRightInd w:val="0"/>
        <w:snapToGrid w:val="0"/>
        <w:spacing w:line="360" w:lineRule="auto"/>
        <w:jc w:val="left"/>
        <w:rPr>
          <w:rFonts w:ascii="宋体" w:hAnsi="宋体" w:cs="宋体"/>
          <w:color w:val="auto"/>
          <w:kern w:val="0"/>
          <w:sz w:val="20"/>
          <w:szCs w:val="20"/>
          <w:highlight w:val="none"/>
        </w:rPr>
      </w:pPr>
    </w:p>
    <w:p w14:paraId="6F8C7A9E">
      <w:pPr>
        <w:autoSpaceDE w:val="0"/>
        <w:autoSpaceDN w:val="0"/>
        <w:adjustRightInd w:val="0"/>
        <w:snapToGrid w:val="0"/>
        <w:spacing w:line="360" w:lineRule="auto"/>
        <w:jc w:val="left"/>
        <w:rPr>
          <w:rFonts w:ascii="宋体" w:hAnsi="宋体" w:cs="宋体"/>
          <w:color w:val="auto"/>
          <w:kern w:val="0"/>
          <w:sz w:val="20"/>
          <w:szCs w:val="20"/>
          <w:highlight w:val="none"/>
        </w:rPr>
      </w:pPr>
    </w:p>
    <w:p w14:paraId="257EF16D">
      <w:pPr>
        <w:autoSpaceDE w:val="0"/>
        <w:autoSpaceDN w:val="0"/>
        <w:adjustRightInd w:val="0"/>
        <w:snapToGrid w:val="0"/>
        <w:spacing w:line="360" w:lineRule="auto"/>
        <w:jc w:val="left"/>
        <w:rPr>
          <w:rFonts w:ascii="宋体" w:hAnsi="宋体" w:cs="宋体"/>
          <w:color w:val="auto"/>
          <w:kern w:val="0"/>
          <w:sz w:val="20"/>
          <w:szCs w:val="20"/>
          <w:highlight w:val="none"/>
        </w:rPr>
      </w:pPr>
    </w:p>
    <w:p w14:paraId="0684CEBC">
      <w:pPr>
        <w:autoSpaceDE w:val="0"/>
        <w:autoSpaceDN w:val="0"/>
        <w:adjustRightInd w:val="0"/>
        <w:snapToGrid w:val="0"/>
        <w:spacing w:line="360" w:lineRule="auto"/>
        <w:jc w:val="left"/>
        <w:rPr>
          <w:rFonts w:ascii="宋体" w:hAnsi="宋体" w:cs="宋体"/>
          <w:color w:val="auto"/>
          <w:kern w:val="0"/>
          <w:sz w:val="20"/>
          <w:szCs w:val="20"/>
          <w:highlight w:val="none"/>
        </w:rPr>
      </w:pPr>
    </w:p>
    <w:p w14:paraId="5F905269">
      <w:pPr>
        <w:autoSpaceDE w:val="0"/>
        <w:autoSpaceDN w:val="0"/>
        <w:adjustRightInd w:val="0"/>
        <w:snapToGrid w:val="0"/>
        <w:spacing w:line="360" w:lineRule="auto"/>
        <w:jc w:val="left"/>
        <w:rPr>
          <w:rFonts w:ascii="宋体" w:hAnsi="宋体" w:cs="宋体"/>
          <w:color w:val="auto"/>
          <w:kern w:val="0"/>
          <w:sz w:val="20"/>
          <w:szCs w:val="20"/>
          <w:highlight w:val="none"/>
        </w:rPr>
      </w:pPr>
    </w:p>
    <w:p w14:paraId="7FB06D5A">
      <w:pPr>
        <w:autoSpaceDE w:val="0"/>
        <w:autoSpaceDN w:val="0"/>
        <w:adjustRightInd w:val="0"/>
        <w:snapToGrid w:val="0"/>
        <w:spacing w:line="360" w:lineRule="auto"/>
        <w:jc w:val="left"/>
        <w:rPr>
          <w:rFonts w:ascii="宋体" w:hAnsi="宋体" w:cs="宋体"/>
          <w:color w:val="auto"/>
          <w:kern w:val="0"/>
          <w:sz w:val="20"/>
          <w:szCs w:val="20"/>
          <w:highlight w:val="none"/>
        </w:rPr>
      </w:pPr>
    </w:p>
    <w:p w14:paraId="30481F5F">
      <w:pPr>
        <w:autoSpaceDE w:val="0"/>
        <w:autoSpaceDN w:val="0"/>
        <w:adjustRightInd w:val="0"/>
        <w:snapToGrid w:val="0"/>
        <w:spacing w:line="360" w:lineRule="auto"/>
        <w:jc w:val="left"/>
        <w:rPr>
          <w:rFonts w:ascii="宋体" w:hAnsi="宋体" w:cs="宋体"/>
          <w:color w:val="auto"/>
          <w:kern w:val="0"/>
          <w:sz w:val="20"/>
          <w:szCs w:val="20"/>
          <w:highlight w:val="none"/>
        </w:rPr>
      </w:pPr>
    </w:p>
    <w:p w14:paraId="2502A206">
      <w:pPr>
        <w:tabs>
          <w:tab w:val="left" w:pos="6080"/>
          <w:tab w:val="left" w:pos="6640"/>
        </w:tabs>
        <w:autoSpaceDE w:val="0"/>
        <w:autoSpaceDN w:val="0"/>
        <w:adjustRightInd w:val="0"/>
        <w:snapToGrid w:val="0"/>
        <w:spacing w:line="360" w:lineRule="auto"/>
        <w:jc w:val="center"/>
        <w:rPr>
          <w:rFonts w:ascii="宋体" w:hAnsi="宋体" w:cs="宋体"/>
          <w:color w:val="auto"/>
          <w:w w:val="99"/>
          <w:kern w:val="0"/>
          <w:sz w:val="28"/>
          <w:szCs w:val="28"/>
          <w:highlight w:val="none"/>
        </w:rPr>
      </w:pPr>
      <w:r>
        <w:rPr>
          <w:rFonts w:hint="eastAsia" w:ascii="宋体" w:hAnsi="宋体" w:cs="宋体"/>
          <w:color w:val="auto"/>
          <w:w w:val="99"/>
          <w:kern w:val="0"/>
          <w:sz w:val="28"/>
          <w:szCs w:val="28"/>
          <w:highlight w:val="none"/>
        </w:rPr>
        <w:t>竞选人</w:t>
      </w:r>
      <w:r>
        <w:rPr>
          <w:rFonts w:hint="eastAsia" w:ascii="宋体" w:hAnsi="宋体" w:cs="宋体"/>
          <w:color w:val="auto"/>
          <w:spacing w:val="1"/>
          <w:w w:val="99"/>
          <w:kern w:val="0"/>
          <w:sz w:val="28"/>
          <w:szCs w:val="28"/>
          <w:highlight w:val="none"/>
        </w:rPr>
        <w:t>：</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（盖单位公章）</w:t>
      </w:r>
    </w:p>
    <w:p w14:paraId="502E1A8B">
      <w:pPr>
        <w:tabs>
          <w:tab w:val="left" w:pos="6080"/>
          <w:tab w:val="left" w:pos="6640"/>
        </w:tabs>
        <w:autoSpaceDE w:val="0"/>
        <w:autoSpaceDN w:val="0"/>
        <w:adjustRightInd w:val="0"/>
        <w:snapToGrid w:val="0"/>
        <w:spacing w:line="360" w:lineRule="auto"/>
        <w:jc w:val="center"/>
        <w:rPr>
          <w:rFonts w:ascii="宋体" w:hAnsi="宋体" w:cs="宋体"/>
          <w:color w:val="auto"/>
          <w:kern w:val="0"/>
          <w:sz w:val="28"/>
          <w:szCs w:val="28"/>
          <w:highlight w:val="none"/>
        </w:rPr>
      </w:pPr>
      <w:r>
        <w:rPr>
          <w:rFonts w:hint="eastAsia" w:ascii="宋体" w:hAnsi="宋体" w:cs="宋体"/>
          <w:color w:val="auto"/>
          <w:w w:val="99"/>
          <w:kern w:val="0"/>
          <w:sz w:val="28"/>
          <w:szCs w:val="28"/>
          <w:highlight w:val="none"/>
        </w:rPr>
        <w:t>法定代表人或其委托代理人：</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（签字或盖章）</w:t>
      </w:r>
    </w:p>
    <w:p w14:paraId="343D6D9B">
      <w:pPr>
        <w:tabs>
          <w:tab w:val="left" w:pos="3280"/>
          <w:tab w:val="left" w:pos="4680"/>
          <w:tab w:val="left" w:pos="6080"/>
        </w:tabs>
        <w:autoSpaceDE w:val="0"/>
        <w:autoSpaceDN w:val="0"/>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年</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月</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日</w:t>
      </w:r>
    </w:p>
    <w:p w14:paraId="01CAD1AE">
      <w:pPr>
        <w:autoSpaceDE w:val="0"/>
        <w:autoSpaceDN w:val="0"/>
        <w:adjustRightInd w:val="0"/>
        <w:snapToGrid w:val="0"/>
        <w:spacing w:line="360" w:lineRule="auto"/>
        <w:jc w:val="left"/>
        <w:rPr>
          <w:rFonts w:ascii="宋体" w:hAnsi="宋体"/>
          <w:color w:val="auto"/>
          <w:kern w:val="0"/>
          <w:sz w:val="24"/>
          <w:szCs w:val="21"/>
          <w:highlight w:val="none"/>
        </w:rPr>
      </w:pPr>
    </w:p>
    <w:p w14:paraId="259AA2A3">
      <w:pPr>
        <w:rPr>
          <w:rFonts w:ascii="宋体" w:hAnsi="宋体"/>
          <w:color w:val="auto"/>
          <w:kern w:val="0"/>
          <w:sz w:val="36"/>
          <w:szCs w:val="36"/>
          <w:highlight w:val="none"/>
        </w:rPr>
      </w:pPr>
    </w:p>
    <w:p w14:paraId="0AD07129">
      <w:pPr>
        <w:autoSpaceDE w:val="0"/>
        <w:autoSpaceDN w:val="0"/>
        <w:adjustRightInd w:val="0"/>
        <w:snapToGrid w:val="0"/>
        <w:spacing w:line="360" w:lineRule="auto"/>
        <w:jc w:val="center"/>
        <w:rPr>
          <w:rFonts w:ascii="宋体" w:hAnsi="宋体"/>
          <w:color w:val="auto"/>
          <w:kern w:val="0"/>
          <w:sz w:val="36"/>
          <w:szCs w:val="36"/>
          <w:highlight w:val="none"/>
        </w:rPr>
      </w:pPr>
    </w:p>
    <w:p w14:paraId="57190157">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14:paraId="0DF068DE">
      <w:pPr>
        <w:autoSpaceDE w:val="0"/>
        <w:autoSpaceDN w:val="0"/>
        <w:adjustRightInd w:val="0"/>
        <w:snapToGrid w:val="0"/>
        <w:spacing w:line="360" w:lineRule="auto"/>
        <w:jc w:val="left"/>
        <w:rPr>
          <w:rFonts w:ascii="宋体" w:hAnsi="宋体"/>
          <w:color w:val="auto"/>
          <w:kern w:val="0"/>
          <w:sz w:val="32"/>
          <w:szCs w:val="32"/>
          <w:highlight w:val="none"/>
        </w:rPr>
      </w:pPr>
    </w:p>
    <w:p w14:paraId="58FCA765">
      <w:pPr>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[目录由</w:t>
      </w:r>
      <w:r>
        <w:rPr>
          <w:rFonts w:hint="eastAsia" w:ascii="宋体" w:hAnsi="宋体"/>
          <w:color w:val="auto"/>
          <w:kern w:val="0"/>
          <w:szCs w:val="21"/>
          <w:highlight w:val="none"/>
        </w:rPr>
        <w:t>竞选人</w:t>
      </w:r>
      <w:r>
        <w:rPr>
          <w:rFonts w:ascii="宋体" w:hAnsi="宋体"/>
          <w:color w:val="auto"/>
          <w:kern w:val="0"/>
          <w:szCs w:val="21"/>
          <w:highlight w:val="none"/>
        </w:rPr>
        <w:t>自行编制]</w:t>
      </w:r>
    </w:p>
    <w:p w14:paraId="28A6229B">
      <w:pPr>
        <w:autoSpaceDE w:val="0"/>
        <w:autoSpaceDN w:val="0"/>
        <w:adjustRightInd w:val="0"/>
        <w:snapToGrid w:val="0"/>
        <w:spacing w:line="360" w:lineRule="auto"/>
        <w:jc w:val="left"/>
        <w:rPr>
          <w:rFonts w:ascii="宋体" w:hAnsi="宋体"/>
          <w:color w:val="auto"/>
          <w:kern w:val="0"/>
          <w:szCs w:val="21"/>
          <w:highlight w:val="none"/>
        </w:rPr>
      </w:pPr>
    </w:p>
    <w:p w14:paraId="08D605B7">
      <w:pPr>
        <w:autoSpaceDE w:val="0"/>
        <w:autoSpaceDN w:val="0"/>
        <w:adjustRightInd w:val="0"/>
        <w:snapToGrid w:val="0"/>
        <w:spacing w:line="360" w:lineRule="auto"/>
        <w:jc w:val="left"/>
        <w:rPr>
          <w:rFonts w:ascii="宋体" w:hAnsi="宋体"/>
          <w:color w:val="auto"/>
          <w:kern w:val="0"/>
          <w:highlight w:val="none"/>
        </w:rPr>
      </w:pPr>
    </w:p>
    <w:p w14:paraId="76B81301">
      <w:pPr>
        <w:autoSpaceDE w:val="0"/>
        <w:autoSpaceDN w:val="0"/>
        <w:adjustRightInd w:val="0"/>
        <w:snapToGrid w:val="0"/>
        <w:spacing w:line="360" w:lineRule="auto"/>
        <w:jc w:val="left"/>
        <w:rPr>
          <w:rFonts w:ascii="宋体" w:hAnsi="宋体"/>
          <w:color w:val="auto"/>
          <w:kern w:val="0"/>
          <w:highlight w:val="none"/>
        </w:rPr>
      </w:pPr>
    </w:p>
    <w:p w14:paraId="09A91501">
      <w:pPr>
        <w:autoSpaceDE w:val="0"/>
        <w:autoSpaceDN w:val="0"/>
        <w:adjustRightInd w:val="0"/>
        <w:snapToGrid w:val="0"/>
        <w:spacing w:line="360" w:lineRule="auto"/>
        <w:jc w:val="left"/>
        <w:rPr>
          <w:rFonts w:ascii="宋体" w:hAnsi="宋体"/>
          <w:color w:val="auto"/>
          <w:kern w:val="0"/>
          <w:highlight w:val="none"/>
        </w:rPr>
      </w:pPr>
    </w:p>
    <w:p w14:paraId="36DE9A78">
      <w:pPr>
        <w:autoSpaceDE w:val="0"/>
        <w:autoSpaceDN w:val="0"/>
        <w:adjustRightInd w:val="0"/>
        <w:snapToGrid w:val="0"/>
        <w:spacing w:line="360" w:lineRule="auto"/>
        <w:jc w:val="left"/>
        <w:rPr>
          <w:rFonts w:ascii="宋体" w:hAnsi="宋体"/>
          <w:color w:val="auto"/>
          <w:kern w:val="0"/>
          <w:highlight w:val="none"/>
        </w:rPr>
      </w:pPr>
    </w:p>
    <w:p w14:paraId="375D2F42">
      <w:pPr>
        <w:autoSpaceDE w:val="0"/>
        <w:autoSpaceDN w:val="0"/>
        <w:adjustRightInd w:val="0"/>
        <w:snapToGrid w:val="0"/>
        <w:spacing w:line="360" w:lineRule="auto"/>
        <w:jc w:val="left"/>
        <w:rPr>
          <w:rFonts w:ascii="宋体" w:hAnsi="宋体"/>
          <w:color w:val="auto"/>
          <w:kern w:val="0"/>
          <w:highlight w:val="none"/>
        </w:rPr>
      </w:pPr>
    </w:p>
    <w:p w14:paraId="282CBA1D">
      <w:pPr>
        <w:autoSpaceDE w:val="0"/>
        <w:autoSpaceDN w:val="0"/>
        <w:adjustRightInd w:val="0"/>
        <w:snapToGrid w:val="0"/>
        <w:spacing w:line="360" w:lineRule="auto"/>
        <w:jc w:val="left"/>
        <w:rPr>
          <w:rFonts w:ascii="宋体" w:hAnsi="宋体"/>
          <w:color w:val="auto"/>
          <w:kern w:val="0"/>
          <w:highlight w:val="none"/>
        </w:rPr>
      </w:pPr>
    </w:p>
    <w:p w14:paraId="43A79D9D">
      <w:pPr>
        <w:autoSpaceDE w:val="0"/>
        <w:autoSpaceDN w:val="0"/>
        <w:adjustRightInd w:val="0"/>
        <w:snapToGrid w:val="0"/>
        <w:spacing w:line="360" w:lineRule="auto"/>
        <w:jc w:val="left"/>
        <w:rPr>
          <w:rFonts w:ascii="宋体" w:hAnsi="宋体"/>
          <w:color w:val="auto"/>
          <w:kern w:val="0"/>
          <w:highlight w:val="none"/>
        </w:rPr>
      </w:pPr>
    </w:p>
    <w:p w14:paraId="0AA0F556">
      <w:pPr>
        <w:autoSpaceDE w:val="0"/>
        <w:autoSpaceDN w:val="0"/>
        <w:adjustRightInd w:val="0"/>
        <w:snapToGrid w:val="0"/>
        <w:spacing w:line="360" w:lineRule="auto"/>
        <w:jc w:val="left"/>
        <w:rPr>
          <w:rFonts w:ascii="宋体" w:hAnsi="宋体"/>
          <w:color w:val="auto"/>
          <w:kern w:val="0"/>
          <w:highlight w:val="none"/>
        </w:rPr>
      </w:pPr>
    </w:p>
    <w:p w14:paraId="2B34F166">
      <w:pPr>
        <w:rPr>
          <w:rFonts w:ascii="宋体" w:hAnsi="宋体"/>
          <w:color w:val="auto"/>
          <w:w w:val="99"/>
          <w:kern w:val="0"/>
          <w:sz w:val="28"/>
          <w:szCs w:val="28"/>
          <w:highlight w:val="none"/>
        </w:rPr>
      </w:pPr>
    </w:p>
    <w:p w14:paraId="6660E30D">
      <w:pPr>
        <w:spacing w:line="360" w:lineRule="auto"/>
        <w:jc w:val="center"/>
        <w:rPr>
          <w:rFonts w:ascii="宋体" w:hAnsi="宋体" w:cs="宋体"/>
          <w:color w:val="auto"/>
          <w:sz w:val="44"/>
          <w:szCs w:val="44"/>
          <w:highlight w:val="none"/>
        </w:rPr>
      </w:pPr>
      <w:bookmarkStart w:id="799" w:name="_Toc287620829"/>
      <w:bookmarkStart w:id="800" w:name="_Toc224103510"/>
      <w:bookmarkStart w:id="801" w:name="_Toc277082656"/>
      <w:bookmarkStart w:id="802" w:name="_Toc287607882"/>
      <w:bookmarkStart w:id="803" w:name="_Toc430530545"/>
      <w:bookmarkStart w:id="804" w:name="_Toc30322"/>
      <w:bookmarkStart w:id="805" w:name="_Toc15368"/>
      <w:bookmarkStart w:id="806" w:name="_Toc777"/>
    </w:p>
    <w:p w14:paraId="424E8601">
      <w:pPr>
        <w:spacing w:line="360" w:lineRule="auto"/>
        <w:jc w:val="center"/>
        <w:rPr>
          <w:rFonts w:ascii="宋体" w:hAnsi="宋体" w:cs="宋体"/>
          <w:color w:val="auto"/>
          <w:sz w:val="44"/>
          <w:szCs w:val="44"/>
          <w:highlight w:val="none"/>
        </w:rPr>
      </w:pPr>
    </w:p>
    <w:p w14:paraId="6E32562A">
      <w:pPr>
        <w:spacing w:line="360" w:lineRule="auto"/>
        <w:jc w:val="center"/>
        <w:rPr>
          <w:rFonts w:ascii="宋体" w:hAnsi="宋体" w:cs="宋体"/>
          <w:color w:val="auto"/>
          <w:sz w:val="44"/>
          <w:szCs w:val="44"/>
          <w:highlight w:val="none"/>
        </w:rPr>
      </w:pPr>
    </w:p>
    <w:p w14:paraId="09F90664">
      <w:pPr>
        <w:spacing w:line="360" w:lineRule="auto"/>
        <w:jc w:val="center"/>
        <w:rPr>
          <w:rFonts w:ascii="宋体" w:hAnsi="宋体" w:cs="宋体"/>
          <w:color w:val="auto"/>
          <w:sz w:val="44"/>
          <w:szCs w:val="44"/>
          <w:highlight w:val="none"/>
        </w:rPr>
      </w:pPr>
    </w:p>
    <w:p w14:paraId="150FB255">
      <w:pPr>
        <w:spacing w:line="360" w:lineRule="auto"/>
        <w:jc w:val="center"/>
        <w:rPr>
          <w:rFonts w:ascii="宋体" w:hAnsi="宋体" w:cs="宋体"/>
          <w:color w:val="auto"/>
          <w:sz w:val="44"/>
          <w:szCs w:val="44"/>
          <w:highlight w:val="none"/>
        </w:rPr>
      </w:pPr>
    </w:p>
    <w:p w14:paraId="4E0BA050">
      <w:pPr>
        <w:pStyle w:val="2"/>
        <w:rPr>
          <w:rFonts w:ascii="宋体" w:hAnsi="宋体" w:cs="宋体"/>
          <w:color w:val="auto"/>
          <w:sz w:val="44"/>
          <w:szCs w:val="44"/>
          <w:highlight w:val="none"/>
        </w:rPr>
      </w:pPr>
    </w:p>
    <w:p w14:paraId="03B4ECE4">
      <w:pPr>
        <w:rPr>
          <w:rFonts w:ascii="宋体" w:hAnsi="宋体" w:cs="宋体"/>
          <w:color w:val="auto"/>
          <w:sz w:val="44"/>
          <w:szCs w:val="44"/>
          <w:highlight w:val="none"/>
        </w:rPr>
      </w:pPr>
    </w:p>
    <w:p w14:paraId="4F4639B7">
      <w:pPr>
        <w:pStyle w:val="2"/>
        <w:rPr>
          <w:rFonts w:ascii="宋体" w:hAnsi="宋体" w:cs="宋体"/>
          <w:color w:val="auto"/>
          <w:sz w:val="44"/>
          <w:szCs w:val="44"/>
          <w:highlight w:val="none"/>
        </w:rPr>
      </w:pPr>
    </w:p>
    <w:p w14:paraId="4BEEFDB9">
      <w:pPr>
        <w:rPr>
          <w:rFonts w:ascii="宋体" w:hAnsi="宋体" w:cs="宋体"/>
          <w:color w:val="auto"/>
          <w:sz w:val="44"/>
          <w:szCs w:val="44"/>
          <w:highlight w:val="none"/>
        </w:rPr>
      </w:pPr>
    </w:p>
    <w:p w14:paraId="6AEC32CF">
      <w:pPr>
        <w:pStyle w:val="2"/>
        <w:rPr>
          <w:rFonts w:ascii="宋体" w:hAnsi="宋体" w:cs="宋体"/>
          <w:color w:val="auto"/>
          <w:sz w:val="44"/>
          <w:szCs w:val="44"/>
          <w:highlight w:val="none"/>
        </w:rPr>
      </w:pPr>
    </w:p>
    <w:p w14:paraId="72BA5CF6">
      <w:pPr>
        <w:pStyle w:val="4"/>
        <w:spacing w:line="360" w:lineRule="auto"/>
        <w:jc w:val="center"/>
        <w:rPr>
          <w:rFonts w:ascii="宋体" w:hAnsi="宋体" w:cs="宋体"/>
          <w:b w:val="0"/>
          <w:bCs w:val="0"/>
          <w:color w:val="auto"/>
          <w:sz w:val="44"/>
          <w:szCs w:val="44"/>
          <w:highlight w:val="none"/>
        </w:rPr>
      </w:pPr>
      <w:r>
        <w:rPr>
          <w:rFonts w:hint="eastAsia" w:ascii="宋体" w:hAnsi="宋体" w:cs="宋体"/>
          <w:b w:val="0"/>
          <w:bCs w:val="0"/>
          <w:color w:val="auto"/>
          <w:sz w:val="44"/>
          <w:szCs w:val="44"/>
          <w:highlight w:val="none"/>
        </w:rPr>
        <w:t>三、</w:t>
      </w:r>
      <w:bookmarkEnd w:id="799"/>
      <w:bookmarkEnd w:id="800"/>
      <w:bookmarkEnd w:id="801"/>
      <w:bookmarkEnd w:id="802"/>
      <w:bookmarkEnd w:id="803"/>
      <w:r>
        <w:rPr>
          <w:rFonts w:hint="eastAsia" w:ascii="宋体" w:hAnsi="宋体" w:cs="宋体"/>
          <w:b w:val="0"/>
          <w:bCs w:val="0"/>
          <w:color w:val="auto"/>
          <w:sz w:val="44"/>
          <w:szCs w:val="44"/>
          <w:highlight w:val="none"/>
        </w:rPr>
        <w:t>资格审查部分</w:t>
      </w:r>
      <w:bookmarkEnd w:id="804"/>
      <w:bookmarkEnd w:id="805"/>
      <w:bookmarkEnd w:id="806"/>
    </w:p>
    <w:p w14:paraId="530DF14A">
      <w:pPr>
        <w:adjustRightInd w:val="0"/>
        <w:snapToGrid w:val="0"/>
        <w:spacing w:line="360" w:lineRule="auto"/>
        <w:rPr>
          <w:rFonts w:ascii="宋体" w:hAnsi="宋体" w:cs="宋体"/>
          <w:color w:val="auto"/>
          <w:sz w:val="32"/>
          <w:szCs w:val="32"/>
          <w:highlight w:val="none"/>
        </w:rPr>
      </w:pPr>
    </w:p>
    <w:p w14:paraId="2442C101">
      <w:pPr>
        <w:adjustRightInd w:val="0"/>
        <w:snapToGrid w:val="0"/>
        <w:spacing w:line="360" w:lineRule="auto"/>
        <w:rPr>
          <w:rFonts w:ascii="宋体" w:hAnsi="宋体" w:cs="宋体"/>
          <w:color w:val="auto"/>
          <w:sz w:val="32"/>
          <w:szCs w:val="32"/>
          <w:highlight w:val="none"/>
        </w:rPr>
      </w:pPr>
    </w:p>
    <w:p w14:paraId="51CEF55C">
      <w:pPr>
        <w:spacing w:line="360" w:lineRule="auto"/>
        <w:rPr>
          <w:rFonts w:ascii="宋体" w:hAnsi="宋体" w:cs="宋体"/>
          <w:color w:val="auto"/>
          <w:sz w:val="32"/>
          <w:szCs w:val="32"/>
          <w:highlight w:val="none"/>
        </w:rPr>
      </w:pPr>
    </w:p>
    <w:p w14:paraId="4DE2F01D">
      <w:pPr>
        <w:spacing w:line="360" w:lineRule="auto"/>
        <w:rPr>
          <w:rFonts w:ascii="宋体" w:hAnsi="宋体" w:cs="宋体"/>
          <w:color w:val="auto"/>
          <w:sz w:val="32"/>
          <w:szCs w:val="32"/>
          <w:highlight w:val="none"/>
        </w:rPr>
      </w:pPr>
    </w:p>
    <w:p w14:paraId="30EBCB8E">
      <w:pPr>
        <w:spacing w:line="360" w:lineRule="auto"/>
        <w:rPr>
          <w:rFonts w:ascii="宋体" w:hAnsi="宋体" w:cs="宋体"/>
          <w:color w:val="auto"/>
          <w:sz w:val="32"/>
          <w:szCs w:val="32"/>
          <w:highlight w:val="none"/>
        </w:rPr>
      </w:pPr>
    </w:p>
    <w:p w14:paraId="40F577B3">
      <w:pPr>
        <w:spacing w:line="360" w:lineRule="auto"/>
        <w:rPr>
          <w:rFonts w:ascii="宋体" w:hAnsi="宋体" w:cs="宋体"/>
          <w:color w:val="auto"/>
          <w:sz w:val="32"/>
          <w:szCs w:val="32"/>
          <w:highlight w:val="none"/>
        </w:rPr>
      </w:pPr>
    </w:p>
    <w:p w14:paraId="5B731FF6">
      <w:pPr>
        <w:spacing w:line="360" w:lineRule="auto"/>
        <w:rPr>
          <w:rFonts w:ascii="宋体" w:hAnsi="宋体" w:cs="宋体"/>
          <w:color w:val="auto"/>
          <w:sz w:val="32"/>
          <w:szCs w:val="32"/>
          <w:highlight w:val="none"/>
        </w:rPr>
      </w:pPr>
    </w:p>
    <w:p w14:paraId="66E80DC7">
      <w:pPr>
        <w:spacing w:line="360" w:lineRule="auto"/>
        <w:rPr>
          <w:rFonts w:ascii="宋体" w:hAnsi="宋体" w:cs="宋体"/>
          <w:color w:val="auto"/>
          <w:sz w:val="32"/>
          <w:szCs w:val="32"/>
          <w:highlight w:val="none"/>
        </w:rPr>
      </w:pPr>
    </w:p>
    <w:p w14:paraId="4793AB76">
      <w:pPr>
        <w:spacing w:line="360" w:lineRule="auto"/>
        <w:rPr>
          <w:rFonts w:ascii="宋体" w:hAnsi="宋体" w:cs="宋体"/>
          <w:color w:val="auto"/>
          <w:sz w:val="32"/>
          <w:szCs w:val="32"/>
          <w:highlight w:val="none"/>
        </w:rPr>
      </w:pPr>
    </w:p>
    <w:p w14:paraId="0ED4A091">
      <w:pPr>
        <w:spacing w:line="360" w:lineRule="auto"/>
        <w:rPr>
          <w:rFonts w:ascii="宋体" w:hAnsi="宋体" w:cs="宋体"/>
          <w:color w:val="auto"/>
          <w:sz w:val="32"/>
          <w:szCs w:val="32"/>
          <w:highlight w:val="none"/>
        </w:rPr>
      </w:pPr>
    </w:p>
    <w:p w14:paraId="3A878B94">
      <w:pPr>
        <w:spacing w:line="360" w:lineRule="auto"/>
        <w:rPr>
          <w:rFonts w:ascii="宋体" w:hAnsi="宋体" w:cs="宋体"/>
          <w:color w:val="auto"/>
          <w:sz w:val="32"/>
          <w:szCs w:val="32"/>
          <w:highlight w:val="none"/>
        </w:rPr>
      </w:pPr>
    </w:p>
    <w:p w14:paraId="5CF735D8">
      <w:pPr>
        <w:spacing w:line="360" w:lineRule="auto"/>
        <w:rPr>
          <w:rFonts w:ascii="宋体" w:hAnsi="宋体" w:cs="宋体"/>
          <w:color w:val="auto"/>
          <w:sz w:val="32"/>
          <w:szCs w:val="32"/>
          <w:highlight w:val="none"/>
        </w:rPr>
      </w:pPr>
    </w:p>
    <w:p w14:paraId="63C6E677">
      <w:pPr>
        <w:spacing w:line="360" w:lineRule="auto"/>
        <w:jc w:val="center"/>
        <w:rPr>
          <w:rFonts w:ascii="宋体" w:hAnsi="宋体" w:cs="宋体"/>
          <w:color w:val="auto"/>
          <w:kern w:val="0"/>
          <w:sz w:val="32"/>
          <w:szCs w:val="32"/>
          <w:highlight w:val="none"/>
          <w:u w:val="single"/>
        </w:rPr>
      </w:pPr>
    </w:p>
    <w:p w14:paraId="31486A4F">
      <w:pPr>
        <w:spacing w:line="360" w:lineRule="auto"/>
        <w:jc w:val="center"/>
        <w:rPr>
          <w:rFonts w:ascii="宋体" w:hAnsi="宋体" w:cs="宋体"/>
          <w:color w:val="auto"/>
          <w:kern w:val="0"/>
          <w:sz w:val="32"/>
          <w:szCs w:val="32"/>
          <w:highlight w:val="none"/>
          <w:u w:val="single"/>
        </w:rPr>
      </w:pPr>
    </w:p>
    <w:p w14:paraId="6A068B20">
      <w:pPr>
        <w:spacing w:line="360" w:lineRule="auto"/>
        <w:jc w:val="center"/>
        <w:rPr>
          <w:rFonts w:ascii="宋体" w:hAnsi="宋体" w:cs="宋体"/>
          <w:color w:val="auto"/>
          <w:kern w:val="0"/>
          <w:sz w:val="32"/>
          <w:szCs w:val="32"/>
          <w:highlight w:val="none"/>
          <w:u w:val="single"/>
        </w:rPr>
      </w:pPr>
    </w:p>
    <w:p w14:paraId="4326DFE8">
      <w:pPr>
        <w:spacing w:line="360" w:lineRule="auto"/>
        <w:jc w:val="center"/>
        <w:rPr>
          <w:rFonts w:ascii="宋体" w:hAnsi="宋体" w:cs="宋体"/>
          <w:color w:val="auto"/>
          <w:kern w:val="0"/>
          <w:sz w:val="32"/>
          <w:szCs w:val="32"/>
          <w:highlight w:val="none"/>
          <w:u w:val="single"/>
        </w:rPr>
      </w:pPr>
    </w:p>
    <w:p w14:paraId="592406D4">
      <w:pPr>
        <w:spacing w:line="360" w:lineRule="auto"/>
        <w:jc w:val="center"/>
        <w:rPr>
          <w:rFonts w:ascii="宋体" w:hAnsi="宋体" w:cs="宋体"/>
          <w:color w:val="auto"/>
          <w:kern w:val="0"/>
          <w:sz w:val="32"/>
          <w:szCs w:val="32"/>
          <w:highlight w:val="none"/>
          <w:u w:val="single"/>
        </w:rPr>
      </w:pPr>
    </w:p>
    <w:p w14:paraId="14B565AF">
      <w:pPr>
        <w:spacing w:line="360" w:lineRule="auto"/>
        <w:jc w:val="center"/>
        <w:rPr>
          <w:rFonts w:ascii="宋体" w:hAnsi="宋体" w:cs="宋体"/>
          <w:color w:val="auto"/>
          <w:kern w:val="0"/>
          <w:sz w:val="32"/>
          <w:szCs w:val="32"/>
          <w:highlight w:val="none"/>
          <w:u w:val="single"/>
        </w:rPr>
      </w:pPr>
    </w:p>
    <w:p w14:paraId="35EC74DC">
      <w:pPr>
        <w:spacing w:line="360" w:lineRule="auto"/>
        <w:jc w:val="center"/>
        <w:rPr>
          <w:rFonts w:ascii="宋体" w:hAnsi="宋体" w:cs="宋体"/>
          <w:color w:val="auto"/>
          <w:kern w:val="0"/>
          <w:sz w:val="32"/>
          <w:szCs w:val="32"/>
          <w:highlight w:val="none"/>
          <w:u w:val="single"/>
        </w:rPr>
      </w:pPr>
    </w:p>
    <w:p w14:paraId="76916FAD">
      <w:pPr>
        <w:pStyle w:val="2"/>
        <w:rPr>
          <w:rFonts w:ascii="宋体" w:hAnsi="宋体" w:cs="宋体"/>
          <w:color w:val="auto"/>
          <w:kern w:val="0"/>
          <w:sz w:val="32"/>
          <w:szCs w:val="32"/>
          <w:highlight w:val="none"/>
          <w:u w:val="single"/>
        </w:rPr>
      </w:pPr>
    </w:p>
    <w:p w14:paraId="41DC96A6">
      <w:pPr>
        <w:rPr>
          <w:rFonts w:ascii="宋体" w:hAnsi="宋体" w:cs="宋体"/>
          <w:color w:val="auto"/>
          <w:kern w:val="0"/>
          <w:sz w:val="32"/>
          <w:szCs w:val="32"/>
          <w:highlight w:val="none"/>
          <w:u w:val="single"/>
        </w:rPr>
      </w:pPr>
    </w:p>
    <w:p w14:paraId="76F1B500">
      <w:pPr>
        <w:pStyle w:val="2"/>
        <w:rPr>
          <w:color w:val="auto"/>
          <w:highlight w:val="none"/>
        </w:rPr>
      </w:pPr>
    </w:p>
    <w:p w14:paraId="432C6746">
      <w:pPr>
        <w:spacing w:line="360" w:lineRule="auto"/>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u w:val="single"/>
        </w:rPr>
        <w:t xml:space="preserve">                        </w:t>
      </w:r>
      <w:r>
        <w:rPr>
          <w:rFonts w:hint="eastAsia" w:ascii="宋体" w:hAnsi="宋体" w:cs="宋体"/>
          <w:color w:val="auto"/>
          <w:kern w:val="0"/>
          <w:sz w:val="32"/>
          <w:szCs w:val="32"/>
          <w:highlight w:val="none"/>
        </w:rPr>
        <w:t>（项目名称）</w:t>
      </w:r>
    </w:p>
    <w:p w14:paraId="616ADF3D">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3EDDF030">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4D30A872">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18AFF2BF">
      <w:pPr>
        <w:tabs>
          <w:tab w:val="left" w:pos="3600"/>
          <w:tab w:val="left" w:pos="4480"/>
          <w:tab w:val="left" w:pos="5360"/>
        </w:tabs>
        <w:autoSpaceDE w:val="0"/>
        <w:autoSpaceDN w:val="0"/>
        <w:adjustRightInd w:val="0"/>
        <w:snapToGrid w:val="0"/>
        <w:spacing w:line="360" w:lineRule="auto"/>
        <w:jc w:val="center"/>
        <w:rPr>
          <w:rFonts w:ascii="宋体" w:hAnsi="宋体" w:cs="宋体"/>
          <w:color w:val="auto"/>
          <w:kern w:val="0"/>
          <w:sz w:val="72"/>
          <w:szCs w:val="72"/>
          <w:highlight w:val="none"/>
        </w:rPr>
      </w:pPr>
    </w:p>
    <w:p w14:paraId="5457334B">
      <w:pPr>
        <w:tabs>
          <w:tab w:val="left" w:pos="3600"/>
          <w:tab w:val="left" w:pos="4480"/>
          <w:tab w:val="left" w:pos="5360"/>
        </w:tabs>
        <w:autoSpaceDE w:val="0"/>
        <w:autoSpaceDN w:val="0"/>
        <w:adjustRightInd w:val="0"/>
        <w:snapToGrid w:val="0"/>
        <w:spacing w:line="360" w:lineRule="auto"/>
        <w:jc w:val="center"/>
        <w:rPr>
          <w:rFonts w:ascii="宋体" w:hAnsi="宋体" w:cs="宋体"/>
          <w:color w:val="auto"/>
          <w:kern w:val="0"/>
          <w:sz w:val="72"/>
          <w:szCs w:val="72"/>
          <w:highlight w:val="none"/>
        </w:rPr>
      </w:pPr>
      <w:r>
        <w:rPr>
          <w:rFonts w:hint="eastAsia" w:ascii="宋体" w:hAnsi="宋体" w:cs="宋体"/>
          <w:color w:val="auto"/>
          <w:kern w:val="0"/>
          <w:sz w:val="72"/>
          <w:szCs w:val="72"/>
          <w:highlight w:val="none"/>
        </w:rPr>
        <w:t>竞 选 文 件</w:t>
      </w:r>
    </w:p>
    <w:p w14:paraId="49A083E1">
      <w:pPr>
        <w:autoSpaceDE w:val="0"/>
        <w:autoSpaceDN w:val="0"/>
        <w:adjustRightInd w:val="0"/>
        <w:snapToGrid w:val="0"/>
        <w:spacing w:line="360" w:lineRule="auto"/>
        <w:jc w:val="left"/>
        <w:rPr>
          <w:rFonts w:ascii="宋体" w:hAnsi="宋体" w:cs="宋体"/>
          <w:color w:val="auto"/>
          <w:kern w:val="0"/>
          <w:sz w:val="16"/>
          <w:szCs w:val="16"/>
          <w:highlight w:val="none"/>
        </w:rPr>
      </w:pPr>
    </w:p>
    <w:p w14:paraId="4199270E">
      <w:pPr>
        <w:autoSpaceDE w:val="0"/>
        <w:autoSpaceDN w:val="0"/>
        <w:adjustRightInd w:val="0"/>
        <w:snapToGrid w:val="0"/>
        <w:spacing w:line="360" w:lineRule="auto"/>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资格审查部分</w:t>
      </w:r>
    </w:p>
    <w:p w14:paraId="1884F737">
      <w:pPr>
        <w:autoSpaceDE w:val="0"/>
        <w:autoSpaceDN w:val="0"/>
        <w:adjustRightInd w:val="0"/>
        <w:snapToGrid w:val="0"/>
        <w:spacing w:line="360" w:lineRule="auto"/>
        <w:jc w:val="left"/>
        <w:rPr>
          <w:rFonts w:ascii="宋体" w:hAnsi="宋体" w:cs="宋体"/>
          <w:color w:val="auto"/>
          <w:kern w:val="0"/>
          <w:sz w:val="20"/>
          <w:szCs w:val="20"/>
          <w:highlight w:val="none"/>
        </w:rPr>
      </w:pPr>
    </w:p>
    <w:p w14:paraId="7D2E2F7C">
      <w:pPr>
        <w:adjustRightInd w:val="0"/>
        <w:snapToGrid w:val="0"/>
        <w:spacing w:line="360" w:lineRule="auto"/>
        <w:rPr>
          <w:rFonts w:ascii="宋体" w:hAnsi="宋体" w:cs="宋体"/>
          <w:color w:val="auto"/>
          <w:szCs w:val="21"/>
          <w:highlight w:val="none"/>
        </w:rPr>
      </w:pPr>
    </w:p>
    <w:p w14:paraId="55A8707F">
      <w:pPr>
        <w:autoSpaceDE w:val="0"/>
        <w:autoSpaceDN w:val="0"/>
        <w:adjustRightInd w:val="0"/>
        <w:snapToGrid w:val="0"/>
        <w:spacing w:line="360" w:lineRule="auto"/>
        <w:jc w:val="left"/>
        <w:rPr>
          <w:rFonts w:ascii="宋体" w:hAnsi="宋体" w:cs="宋体"/>
          <w:color w:val="auto"/>
          <w:kern w:val="0"/>
          <w:sz w:val="20"/>
          <w:szCs w:val="20"/>
          <w:highlight w:val="none"/>
        </w:rPr>
      </w:pPr>
    </w:p>
    <w:p w14:paraId="2F33E7E7">
      <w:pPr>
        <w:autoSpaceDE w:val="0"/>
        <w:autoSpaceDN w:val="0"/>
        <w:adjustRightInd w:val="0"/>
        <w:snapToGrid w:val="0"/>
        <w:spacing w:line="360" w:lineRule="auto"/>
        <w:jc w:val="left"/>
        <w:rPr>
          <w:rFonts w:ascii="宋体" w:hAnsi="宋体" w:cs="宋体"/>
          <w:color w:val="auto"/>
          <w:kern w:val="0"/>
          <w:sz w:val="20"/>
          <w:szCs w:val="20"/>
          <w:highlight w:val="none"/>
        </w:rPr>
      </w:pPr>
    </w:p>
    <w:p w14:paraId="71E5EBE5">
      <w:pPr>
        <w:autoSpaceDE w:val="0"/>
        <w:autoSpaceDN w:val="0"/>
        <w:adjustRightInd w:val="0"/>
        <w:snapToGrid w:val="0"/>
        <w:spacing w:line="360" w:lineRule="auto"/>
        <w:jc w:val="left"/>
        <w:rPr>
          <w:rFonts w:ascii="宋体" w:hAnsi="宋体" w:cs="宋体"/>
          <w:color w:val="auto"/>
          <w:kern w:val="0"/>
          <w:sz w:val="20"/>
          <w:szCs w:val="20"/>
          <w:highlight w:val="none"/>
        </w:rPr>
      </w:pPr>
    </w:p>
    <w:p w14:paraId="35284834">
      <w:pPr>
        <w:autoSpaceDE w:val="0"/>
        <w:autoSpaceDN w:val="0"/>
        <w:adjustRightInd w:val="0"/>
        <w:snapToGrid w:val="0"/>
        <w:spacing w:line="360" w:lineRule="auto"/>
        <w:jc w:val="left"/>
        <w:rPr>
          <w:rFonts w:ascii="宋体" w:hAnsi="宋体" w:cs="宋体"/>
          <w:color w:val="auto"/>
          <w:kern w:val="0"/>
          <w:sz w:val="20"/>
          <w:szCs w:val="20"/>
          <w:highlight w:val="none"/>
        </w:rPr>
      </w:pPr>
    </w:p>
    <w:p w14:paraId="12CFD322">
      <w:pPr>
        <w:autoSpaceDE w:val="0"/>
        <w:autoSpaceDN w:val="0"/>
        <w:adjustRightInd w:val="0"/>
        <w:snapToGrid w:val="0"/>
        <w:spacing w:line="360" w:lineRule="auto"/>
        <w:jc w:val="left"/>
        <w:rPr>
          <w:rFonts w:ascii="宋体" w:hAnsi="宋体" w:cs="宋体"/>
          <w:color w:val="auto"/>
          <w:kern w:val="0"/>
          <w:sz w:val="20"/>
          <w:szCs w:val="20"/>
          <w:highlight w:val="none"/>
        </w:rPr>
      </w:pPr>
    </w:p>
    <w:p w14:paraId="1BBD1390">
      <w:pPr>
        <w:autoSpaceDE w:val="0"/>
        <w:autoSpaceDN w:val="0"/>
        <w:adjustRightInd w:val="0"/>
        <w:snapToGrid w:val="0"/>
        <w:spacing w:line="360" w:lineRule="auto"/>
        <w:jc w:val="left"/>
        <w:rPr>
          <w:rFonts w:ascii="宋体" w:hAnsi="宋体" w:cs="宋体"/>
          <w:color w:val="auto"/>
          <w:kern w:val="0"/>
          <w:sz w:val="20"/>
          <w:szCs w:val="20"/>
          <w:highlight w:val="none"/>
        </w:rPr>
      </w:pPr>
    </w:p>
    <w:p w14:paraId="66F2B288">
      <w:pPr>
        <w:autoSpaceDE w:val="0"/>
        <w:autoSpaceDN w:val="0"/>
        <w:adjustRightInd w:val="0"/>
        <w:snapToGrid w:val="0"/>
        <w:spacing w:line="360" w:lineRule="auto"/>
        <w:jc w:val="left"/>
        <w:rPr>
          <w:rFonts w:ascii="宋体" w:hAnsi="宋体" w:cs="宋体"/>
          <w:color w:val="auto"/>
          <w:kern w:val="0"/>
          <w:sz w:val="20"/>
          <w:szCs w:val="20"/>
          <w:highlight w:val="none"/>
        </w:rPr>
      </w:pPr>
    </w:p>
    <w:p w14:paraId="3EDE6000">
      <w:pPr>
        <w:autoSpaceDE w:val="0"/>
        <w:autoSpaceDN w:val="0"/>
        <w:adjustRightInd w:val="0"/>
        <w:snapToGrid w:val="0"/>
        <w:spacing w:line="360" w:lineRule="auto"/>
        <w:jc w:val="left"/>
        <w:rPr>
          <w:rFonts w:ascii="宋体" w:hAnsi="宋体" w:cs="宋体"/>
          <w:color w:val="auto"/>
          <w:kern w:val="0"/>
          <w:sz w:val="20"/>
          <w:szCs w:val="20"/>
          <w:highlight w:val="none"/>
        </w:rPr>
      </w:pPr>
    </w:p>
    <w:p w14:paraId="12CFFE44">
      <w:pPr>
        <w:autoSpaceDE w:val="0"/>
        <w:autoSpaceDN w:val="0"/>
        <w:adjustRightInd w:val="0"/>
        <w:snapToGrid w:val="0"/>
        <w:spacing w:line="360" w:lineRule="auto"/>
        <w:jc w:val="left"/>
        <w:rPr>
          <w:rFonts w:ascii="宋体" w:hAnsi="宋体" w:cs="宋体"/>
          <w:color w:val="auto"/>
          <w:kern w:val="0"/>
          <w:sz w:val="20"/>
          <w:szCs w:val="20"/>
          <w:highlight w:val="none"/>
        </w:rPr>
      </w:pPr>
    </w:p>
    <w:p w14:paraId="087A3FF1">
      <w:pPr>
        <w:autoSpaceDE w:val="0"/>
        <w:autoSpaceDN w:val="0"/>
        <w:adjustRightInd w:val="0"/>
        <w:snapToGrid w:val="0"/>
        <w:spacing w:line="360" w:lineRule="auto"/>
        <w:jc w:val="left"/>
        <w:rPr>
          <w:rFonts w:ascii="宋体" w:hAnsi="宋体" w:cs="宋体"/>
          <w:color w:val="auto"/>
          <w:kern w:val="0"/>
          <w:sz w:val="20"/>
          <w:szCs w:val="20"/>
          <w:highlight w:val="none"/>
        </w:rPr>
      </w:pPr>
    </w:p>
    <w:p w14:paraId="10165A68">
      <w:pPr>
        <w:autoSpaceDE w:val="0"/>
        <w:autoSpaceDN w:val="0"/>
        <w:adjustRightInd w:val="0"/>
        <w:snapToGrid w:val="0"/>
        <w:spacing w:line="360" w:lineRule="auto"/>
        <w:jc w:val="left"/>
        <w:rPr>
          <w:rFonts w:ascii="宋体" w:hAnsi="宋体" w:cs="宋体"/>
          <w:color w:val="auto"/>
          <w:kern w:val="0"/>
          <w:sz w:val="20"/>
          <w:szCs w:val="20"/>
          <w:highlight w:val="none"/>
        </w:rPr>
      </w:pPr>
    </w:p>
    <w:p w14:paraId="3754451E">
      <w:pPr>
        <w:tabs>
          <w:tab w:val="left" w:pos="6080"/>
          <w:tab w:val="left" w:pos="6640"/>
        </w:tabs>
        <w:autoSpaceDE w:val="0"/>
        <w:autoSpaceDN w:val="0"/>
        <w:adjustRightInd w:val="0"/>
        <w:snapToGrid w:val="0"/>
        <w:spacing w:line="360" w:lineRule="auto"/>
        <w:jc w:val="center"/>
        <w:rPr>
          <w:rFonts w:ascii="宋体" w:hAnsi="宋体" w:cs="宋体"/>
          <w:color w:val="auto"/>
          <w:w w:val="99"/>
          <w:kern w:val="0"/>
          <w:sz w:val="28"/>
          <w:szCs w:val="28"/>
          <w:highlight w:val="none"/>
        </w:rPr>
      </w:pPr>
      <w:r>
        <w:rPr>
          <w:rFonts w:hint="eastAsia" w:ascii="宋体" w:hAnsi="宋体" w:cs="宋体"/>
          <w:color w:val="auto"/>
          <w:w w:val="99"/>
          <w:kern w:val="0"/>
          <w:sz w:val="28"/>
          <w:szCs w:val="28"/>
          <w:highlight w:val="none"/>
        </w:rPr>
        <w:t>竞选人</w:t>
      </w:r>
      <w:r>
        <w:rPr>
          <w:rFonts w:hint="eastAsia" w:ascii="宋体" w:hAnsi="宋体" w:cs="宋体"/>
          <w:color w:val="auto"/>
          <w:spacing w:val="1"/>
          <w:w w:val="99"/>
          <w:kern w:val="0"/>
          <w:sz w:val="28"/>
          <w:szCs w:val="28"/>
          <w:highlight w:val="none"/>
        </w:rPr>
        <w:t>：</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（盖单位公章）</w:t>
      </w:r>
    </w:p>
    <w:p w14:paraId="0D69B6A4">
      <w:pPr>
        <w:tabs>
          <w:tab w:val="left" w:pos="6080"/>
          <w:tab w:val="left" w:pos="6640"/>
        </w:tabs>
        <w:autoSpaceDE w:val="0"/>
        <w:autoSpaceDN w:val="0"/>
        <w:adjustRightInd w:val="0"/>
        <w:snapToGrid w:val="0"/>
        <w:spacing w:line="360" w:lineRule="auto"/>
        <w:jc w:val="center"/>
        <w:rPr>
          <w:rFonts w:ascii="宋体" w:hAnsi="宋体" w:cs="宋体"/>
          <w:color w:val="auto"/>
          <w:kern w:val="0"/>
          <w:sz w:val="28"/>
          <w:szCs w:val="28"/>
          <w:highlight w:val="none"/>
        </w:rPr>
      </w:pPr>
      <w:r>
        <w:rPr>
          <w:rFonts w:hint="eastAsia" w:ascii="宋体" w:hAnsi="宋体" w:cs="宋体"/>
          <w:color w:val="auto"/>
          <w:w w:val="99"/>
          <w:kern w:val="0"/>
          <w:sz w:val="28"/>
          <w:szCs w:val="28"/>
          <w:highlight w:val="none"/>
        </w:rPr>
        <w:t>法定代表人或其委托代理人：</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（签字或盖章）</w:t>
      </w:r>
    </w:p>
    <w:p w14:paraId="616B1B17">
      <w:pPr>
        <w:tabs>
          <w:tab w:val="left" w:pos="3280"/>
          <w:tab w:val="left" w:pos="4680"/>
          <w:tab w:val="left" w:pos="6080"/>
        </w:tabs>
        <w:autoSpaceDE w:val="0"/>
        <w:autoSpaceDN w:val="0"/>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年</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月</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日</w:t>
      </w:r>
    </w:p>
    <w:p w14:paraId="2518C65B">
      <w:pPr>
        <w:autoSpaceDE w:val="0"/>
        <w:autoSpaceDN w:val="0"/>
        <w:adjustRightInd w:val="0"/>
        <w:snapToGrid w:val="0"/>
        <w:spacing w:line="360" w:lineRule="auto"/>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目  录</w:t>
      </w:r>
    </w:p>
    <w:p w14:paraId="5CAB8F30">
      <w:pPr>
        <w:spacing w:line="360" w:lineRule="auto"/>
        <w:jc w:val="center"/>
        <w:rPr>
          <w:rFonts w:ascii="宋体" w:hAnsi="宋体" w:cs="宋体"/>
          <w:b/>
          <w:color w:val="auto"/>
          <w:kern w:val="0"/>
          <w:sz w:val="32"/>
          <w:szCs w:val="32"/>
          <w:highlight w:val="none"/>
        </w:rPr>
      </w:pPr>
    </w:p>
    <w:p w14:paraId="7F744657">
      <w:pPr>
        <w:spacing w:line="360" w:lineRule="auto"/>
        <w:ind w:firstLine="420" w:firstLineChars="200"/>
        <w:rPr>
          <w:rFonts w:ascii="宋体" w:hAnsi="宋体" w:cs="宋体"/>
          <w:color w:val="auto"/>
          <w:szCs w:val="21"/>
          <w:highlight w:val="none"/>
        </w:rPr>
      </w:pPr>
    </w:p>
    <w:p w14:paraId="1218E02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（一）</w:t>
      </w:r>
      <w:r>
        <w:rPr>
          <w:rFonts w:hint="eastAsia" w:ascii="宋体" w:hAnsi="宋体"/>
          <w:color w:val="auto"/>
          <w:szCs w:val="21"/>
          <w:highlight w:val="none"/>
        </w:rPr>
        <w:t>法定代表人身份证明或附有法定代表人身份证明的授权委托书</w:t>
      </w:r>
    </w:p>
    <w:p w14:paraId="030B8D3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（二）竞选人基本情况表</w:t>
      </w:r>
    </w:p>
    <w:p w14:paraId="741C99AF">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（三）</w:t>
      </w:r>
      <w:r>
        <w:rPr>
          <w:rFonts w:hint="eastAsia" w:ascii="宋体" w:hAnsi="宋体"/>
          <w:color w:val="auto"/>
          <w:szCs w:val="21"/>
          <w:highlight w:val="none"/>
        </w:rPr>
        <w:t>近年财务状况表</w:t>
      </w:r>
    </w:p>
    <w:p w14:paraId="68E9C41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（四）</w:t>
      </w:r>
      <w:r>
        <w:rPr>
          <w:rFonts w:hint="eastAsia" w:ascii="宋体" w:hAnsi="宋体"/>
          <w:color w:val="auto"/>
          <w:szCs w:val="21"/>
          <w:highlight w:val="none"/>
        </w:rPr>
        <w:t>近年完成的类似项目情况表</w:t>
      </w:r>
    </w:p>
    <w:p w14:paraId="3ACB30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（五）承诺</w:t>
      </w:r>
    </w:p>
    <w:p w14:paraId="2D1A9FE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（六）主要人员简历表</w:t>
      </w:r>
    </w:p>
    <w:p w14:paraId="27EF4EF1">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（七）其他资料</w:t>
      </w:r>
    </w:p>
    <w:p w14:paraId="596EB2BF">
      <w:pPr>
        <w:spacing w:line="360" w:lineRule="auto"/>
        <w:jc w:val="center"/>
        <w:rPr>
          <w:rFonts w:ascii="宋体" w:hAnsi="宋体" w:cs="宋体"/>
          <w:b/>
          <w:color w:val="auto"/>
          <w:kern w:val="0"/>
          <w:sz w:val="32"/>
          <w:szCs w:val="32"/>
          <w:highlight w:val="none"/>
        </w:rPr>
      </w:pPr>
    </w:p>
    <w:p w14:paraId="4A0B940E">
      <w:pPr>
        <w:spacing w:line="360" w:lineRule="auto"/>
        <w:jc w:val="center"/>
        <w:rPr>
          <w:rFonts w:ascii="宋体" w:hAnsi="宋体" w:cs="宋体"/>
          <w:b/>
          <w:color w:val="auto"/>
          <w:kern w:val="0"/>
          <w:sz w:val="32"/>
          <w:szCs w:val="32"/>
          <w:highlight w:val="none"/>
        </w:rPr>
      </w:pPr>
    </w:p>
    <w:p w14:paraId="3C7A423D">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130ADED4">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504A5ED0">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5A6CDA0D">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7E04F8F7">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7A644F3D">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5E3BD25A">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7798C4AB">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603F45DD">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3664F103">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266B43FC">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5A83D862">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26164BF9">
      <w:pPr>
        <w:rPr>
          <w:color w:val="auto"/>
          <w:sz w:val="30"/>
          <w:szCs w:val="30"/>
          <w:highlight w:val="none"/>
        </w:rPr>
      </w:pPr>
      <w:r>
        <w:rPr>
          <w:color w:val="auto"/>
          <w:sz w:val="30"/>
          <w:szCs w:val="30"/>
          <w:highlight w:val="none"/>
        </w:rPr>
        <w:br w:type="page"/>
      </w:r>
    </w:p>
    <w:p w14:paraId="6A025B12">
      <w:pPr>
        <w:tabs>
          <w:tab w:val="left" w:pos="8300"/>
        </w:tabs>
        <w:autoSpaceDE w:val="0"/>
        <w:autoSpaceDN w:val="0"/>
        <w:adjustRightInd w:val="0"/>
        <w:spacing w:line="400" w:lineRule="exact"/>
        <w:rPr>
          <w:rFonts w:ascii="宋体" w:hAnsi="宋体"/>
          <w:snapToGrid w:val="0"/>
          <w:color w:val="auto"/>
          <w:kern w:val="0"/>
          <w:sz w:val="30"/>
          <w:szCs w:val="30"/>
          <w:highlight w:val="none"/>
        </w:rPr>
      </w:pPr>
      <w:r>
        <w:rPr>
          <w:color w:val="auto"/>
          <w:sz w:val="30"/>
          <w:szCs w:val="30"/>
          <w:highlight w:val="none"/>
        </w:rPr>
        <w:t>（</w:t>
      </w:r>
      <w:r>
        <w:rPr>
          <w:rFonts w:hint="eastAsia"/>
          <w:color w:val="auto"/>
          <w:sz w:val="30"/>
          <w:szCs w:val="30"/>
          <w:highlight w:val="none"/>
        </w:rPr>
        <w:t>一</w:t>
      </w:r>
      <w:r>
        <w:rPr>
          <w:color w:val="auto"/>
          <w:sz w:val="30"/>
          <w:szCs w:val="30"/>
          <w:highlight w:val="none"/>
        </w:rPr>
        <w:t>）</w:t>
      </w:r>
      <w:r>
        <w:rPr>
          <w:rFonts w:hint="eastAsia"/>
          <w:color w:val="auto"/>
          <w:sz w:val="30"/>
          <w:szCs w:val="30"/>
          <w:highlight w:val="none"/>
        </w:rPr>
        <w:t>法定代表人身份证明或附有法定代表人身份证明的授权委托书</w:t>
      </w:r>
    </w:p>
    <w:p w14:paraId="4AF736C5">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03B9B0C1">
      <w:pPr>
        <w:spacing w:line="480" w:lineRule="auto"/>
        <w:jc w:val="center"/>
        <w:rPr>
          <w:rFonts w:ascii="宋体" w:hAnsi="宋体"/>
          <w:color w:val="auto"/>
          <w:highlight w:val="none"/>
        </w:rPr>
      </w:pPr>
    </w:p>
    <w:p w14:paraId="156250DE">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07F100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A95B058">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02D7401">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3BA255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C696314">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3C1BDBE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竞标人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442D9794">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004FB8AB">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6464AF0E">
      <w:pPr>
        <w:pStyle w:val="8"/>
        <w:spacing w:after="0" w:line="360" w:lineRule="auto"/>
        <w:rPr>
          <w:rFonts w:ascii="宋体" w:hAnsi="宋体"/>
          <w:color w:val="auto"/>
          <w:szCs w:val="21"/>
          <w:highlight w:val="none"/>
        </w:rPr>
      </w:pPr>
    </w:p>
    <w:p w14:paraId="0FF9DADE">
      <w:pPr>
        <w:pStyle w:val="8"/>
        <w:spacing w:after="0" w:line="360" w:lineRule="auto"/>
        <w:rPr>
          <w:rFonts w:ascii="宋体" w:hAnsi="宋体"/>
          <w:color w:val="auto"/>
          <w:szCs w:val="21"/>
          <w:highlight w:val="none"/>
        </w:rPr>
      </w:pPr>
    </w:p>
    <w:p w14:paraId="4C39B968">
      <w:pPr>
        <w:pStyle w:val="8"/>
        <w:spacing w:after="0" w:line="360" w:lineRule="auto"/>
        <w:rPr>
          <w:rFonts w:ascii="宋体" w:hAnsi="宋体"/>
          <w:color w:val="auto"/>
          <w:szCs w:val="21"/>
          <w:highlight w:val="none"/>
        </w:rPr>
      </w:pPr>
    </w:p>
    <w:p w14:paraId="3654F561">
      <w:pPr>
        <w:pStyle w:val="8"/>
        <w:spacing w:after="0" w:line="360" w:lineRule="auto"/>
        <w:rPr>
          <w:rFonts w:ascii="宋体" w:hAnsi="宋体"/>
          <w:color w:val="auto"/>
          <w:szCs w:val="21"/>
          <w:highlight w:val="none"/>
        </w:rPr>
      </w:pPr>
    </w:p>
    <w:p w14:paraId="5185208F">
      <w:pPr>
        <w:pStyle w:val="8"/>
        <w:spacing w:after="0" w:line="360" w:lineRule="auto"/>
        <w:rPr>
          <w:rFonts w:ascii="宋体" w:hAnsi="宋体"/>
          <w:color w:val="auto"/>
          <w:szCs w:val="21"/>
          <w:highlight w:val="none"/>
        </w:rPr>
      </w:pPr>
    </w:p>
    <w:p w14:paraId="5D7349CD">
      <w:pPr>
        <w:pStyle w:val="8"/>
        <w:spacing w:after="0" w:line="360" w:lineRule="auto"/>
        <w:rPr>
          <w:rFonts w:ascii="宋体" w:hAnsi="宋体"/>
          <w:color w:val="auto"/>
          <w:szCs w:val="21"/>
          <w:highlight w:val="none"/>
        </w:rPr>
      </w:pPr>
    </w:p>
    <w:p w14:paraId="0E90031E">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27D77467">
      <w:pPr>
        <w:autoSpaceDE w:val="0"/>
        <w:autoSpaceDN w:val="0"/>
        <w:adjustRightInd w:val="0"/>
        <w:snapToGrid w:val="0"/>
        <w:spacing w:line="480" w:lineRule="auto"/>
        <w:jc w:val="left"/>
        <w:rPr>
          <w:rFonts w:ascii="宋体" w:hAnsi="宋体"/>
          <w:color w:val="auto"/>
          <w:kern w:val="0"/>
          <w:sz w:val="20"/>
          <w:szCs w:val="20"/>
          <w:highlight w:val="none"/>
        </w:rPr>
      </w:pPr>
    </w:p>
    <w:p w14:paraId="623AADB4">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4C3CFFB">
      <w:pPr>
        <w:autoSpaceDE w:val="0"/>
        <w:autoSpaceDN w:val="0"/>
        <w:adjustRightInd w:val="0"/>
        <w:snapToGrid w:val="0"/>
        <w:spacing w:line="360" w:lineRule="auto"/>
        <w:jc w:val="left"/>
        <w:rPr>
          <w:rFonts w:ascii="宋体" w:hAnsi="宋体"/>
          <w:color w:val="auto"/>
          <w:kern w:val="0"/>
          <w:highlight w:val="none"/>
        </w:rPr>
      </w:pPr>
    </w:p>
    <w:p w14:paraId="6BC5C956">
      <w:pPr>
        <w:autoSpaceDE w:val="0"/>
        <w:autoSpaceDN w:val="0"/>
        <w:adjustRightInd w:val="0"/>
        <w:snapToGrid w:val="0"/>
        <w:spacing w:line="360" w:lineRule="auto"/>
        <w:jc w:val="left"/>
        <w:rPr>
          <w:rFonts w:ascii="宋体" w:hAnsi="宋体"/>
          <w:color w:val="auto"/>
          <w:kern w:val="0"/>
          <w:highlight w:val="none"/>
        </w:rPr>
      </w:pPr>
    </w:p>
    <w:p w14:paraId="4303E5C0">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4BB19317">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7B62D67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竞标人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竞标文件</w:t>
      </w:r>
      <w:r>
        <w:rPr>
          <w:rFonts w:ascii="宋体" w:hAnsi="宋体"/>
          <w:color w:val="auto"/>
          <w:kern w:val="0"/>
          <w:szCs w:val="21"/>
          <w:highlight w:val="none"/>
        </w:rPr>
        <w:t>、签订合同和处理有关事宜， 其法律后果由我方承担。</w:t>
      </w:r>
    </w:p>
    <w:p w14:paraId="5697CBF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676F7C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709F2A9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7E40846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rPr>
        <w:t>竞标人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3FD2879">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4E19D5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5F1858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028C9568">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6B7E2C2D">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319C8730">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496157AE">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7768868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EA1AF1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34F9CA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B5A7BF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7CD1AC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C7EFF2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076FA6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BB1D58E">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37EA26B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610BFFC1">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rPr>
        <w:t>竞标</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rPr>
        <w:t>竞标</w:t>
      </w:r>
      <w:r>
        <w:rPr>
          <w:rFonts w:ascii="宋体" w:hAnsi="宋体"/>
          <w:color w:val="auto"/>
          <w:kern w:val="0"/>
          <w:szCs w:val="21"/>
          <w:highlight w:val="none"/>
        </w:rPr>
        <w:t>活动及签署文件的除提供法定代表人身份证明外还须提供授权委托书。</w:t>
      </w:r>
    </w:p>
    <w:p w14:paraId="450CD7FC">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竞标文件</w:t>
      </w:r>
      <w:r>
        <w:rPr>
          <w:rFonts w:ascii="宋体" w:hAnsi="宋体"/>
          <w:color w:val="auto"/>
          <w:kern w:val="0"/>
          <w:szCs w:val="21"/>
          <w:highlight w:val="none"/>
        </w:rPr>
        <w:t>一并递交。另外须准备一份授权委托书原件在开标现场出具。</w:t>
      </w:r>
    </w:p>
    <w:p w14:paraId="273FF64B">
      <w:pPr>
        <w:spacing w:line="360" w:lineRule="auto"/>
        <w:ind w:firstLine="420" w:firstLineChars="200"/>
        <w:rPr>
          <w:rFonts w:ascii="宋体" w:hAnsi="宋体" w:cs="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11EABA5E">
      <w:pPr>
        <w:autoSpaceDE w:val="0"/>
        <w:autoSpaceDN w:val="0"/>
        <w:adjustRightInd w:val="0"/>
        <w:snapToGrid w:val="0"/>
        <w:spacing w:line="360" w:lineRule="auto"/>
        <w:jc w:val="center"/>
        <w:outlineLvl w:val="2"/>
        <w:rPr>
          <w:rFonts w:ascii="宋体" w:hAnsi="宋体" w:cs="宋体"/>
          <w:snapToGrid w:val="0"/>
          <w:color w:val="auto"/>
          <w:kern w:val="0"/>
          <w:sz w:val="32"/>
          <w:szCs w:val="32"/>
          <w:highlight w:val="none"/>
        </w:rPr>
      </w:pPr>
      <w:bookmarkStart w:id="807" w:name="_Toc287607887"/>
      <w:bookmarkStart w:id="808" w:name="_Toc277082659"/>
      <w:r>
        <w:rPr>
          <w:rFonts w:hint="eastAsia" w:ascii="宋体" w:hAnsi="宋体" w:cs="宋体"/>
          <w:snapToGrid w:val="0"/>
          <w:color w:val="auto"/>
          <w:kern w:val="0"/>
          <w:sz w:val="32"/>
          <w:szCs w:val="32"/>
          <w:highlight w:val="none"/>
        </w:rPr>
        <w:t>（二）竞选人基本情况表</w:t>
      </w:r>
    </w:p>
    <w:tbl>
      <w:tblPr>
        <w:tblStyle w:val="20"/>
        <w:tblW w:w="946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35F433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F27912">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竞选人名称</w:t>
            </w:r>
          </w:p>
        </w:tc>
        <w:tc>
          <w:tcPr>
            <w:tcW w:w="7607" w:type="dxa"/>
            <w:gridSpan w:val="9"/>
            <w:vAlign w:val="center"/>
          </w:tcPr>
          <w:p w14:paraId="5E102D31">
            <w:pPr>
              <w:autoSpaceDE w:val="0"/>
              <w:autoSpaceDN w:val="0"/>
              <w:adjustRightInd w:val="0"/>
              <w:snapToGrid w:val="0"/>
              <w:spacing w:line="360" w:lineRule="auto"/>
              <w:jc w:val="center"/>
              <w:rPr>
                <w:rFonts w:ascii="宋体" w:hAnsi="宋体" w:cs="宋体"/>
                <w:color w:val="auto"/>
                <w:kern w:val="0"/>
                <w:szCs w:val="21"/>
                <w:highlight w:val="none"/>
              </w:rPr>
            </w:pPr>
          </w:p>
        </w:tc>
      </w:tr>
      <w:tr w14:paraId="36855B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9E4CE7E">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注册地址</w:t>
            </w:r>
          </w:p>
        </w:tc>
        <w:tc>
          <w:tcPr>
            <w:tcW w:w="3450" w:type="dxa"/>
            <w:gridSpan w:val="5"/>
            <w:vAlign w:val="center"/>
          </w:tcPr>
          <w:p w14:paraId="10412BAE">
            <w:pPr>
              <w:autoSpaceDE w:val="0"/>
              <w:autoSpaceDN w:val="0"/>
              <w:adjustRightInd w:val="0"/>
              <w:snapToGrid w:val="0"/>
              <w:spacing w:line="360" w:lineRule="auto"/>
              <w:jc w:val="center"/>
              <w:rPr>
                <w:rFonts w:ascii="宋体" w:hAnsi="宋体" w:cs="宋体"/>
                <w:color w:val="auto"/>
                <w:kern w:val="0"/>
                <w:szCs w:val="21"/>
                <w:highlight w:val="none"/>
              </w:rPr>
            </w:pPr>
          </w:p>
        </w:tc>
        <w:tc>
          <w:tcPr>
            <w:tcW w:w="1392" w:type="dxa"/>
            <w:vAlign w:val="center"/>
          </w:tcPr>
          <w:p w14:paraId="72E6BA84">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2765" w:type="dxa"/>
            <w:gridSpan w:val="3"/>
            <w:vAlign w:val="center"/>
          </w:tcPr>
          <w:p w14:paraId="4C6CCFCF">
            <w:pPr>
              <w:autoSpaceDE w:val="0"/>
              <w:autoSpaceDN w:val="0"/>
              <w:adjustRightInd w:val="0"/>
              <w:snapToGrid w:val="0"/>
              <w:spacing w:line="360" w:lineRule="auto"/>
              <w:jc w:val="center"/>
              <w:rPr>
                <w:rFonts w:ascii="宋体" w:hAnsi="宋体" w:cs="宋体"/>
                <w:color w:val="auto"/>
                <w:kern w:val="0"/>
                <w:szCs w:val="21"/>
                <w:highlight w:val="none"/>
              </w:rPr>
            </w:pPr>
          </w:p>
        </w:tc>
      </w:tr>
      <w:tr w14:paraId="583C0C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0DA5C524">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967" w:type="dxa"/>
            <w:vAlign w:val="center"/>
          </w:tcPr>
          <w:p w14:paraId="65C6A3E9">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2483" w:type="dxa"/>
            <w:gridSpan w:val="4"/>
            <w:vAlign w:val="center"/>
          </w:tcPr>
          <w:p w14:paraId="683CBCA2">
            <w:pPr>
              <w:autoSpaceDE w:val="0"/>
              <w:autoSpaceDN w:val="0"/>
              <w:adjustRightInd w:val="0"/>
              <w:snapToGrid w:val="0"/>
              <w:spacing w:line="360" w:lineRule="auto"/>
              <w:jc w:val="center"/>
              <w:rPr>
                <w:rFonts w:ascii="宋体" w:hAnsi="宋体" w:cs="宋体"/>
                <w:color w:val="auto"/>
                <w:kern w:val="0"/>
                <w:szCs w:val="21"/>
                <w:highlight w:val="none"/>
              </w:rPr>
            </w:pPr>
          </w:p>
        </w:tc>
        <w:tc>
          <w:tcPr>
            <w:tcW w:w="1392" w:type="dxa"/>
            <w:vAlign w:val="center"/>
          </w:tcPr>
          <w:p w14:paraId="79779DE8">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2765" w:type="dxa"/>
            <w:gridSpan w:val="3"/>
            <w:vAlign w:val="center"/>
          </w:tcPr>
          <w:p w14:paraId="1078760E">
            <w:pPr>
              <w:autoSpaceDE w:val="0"/>
              <w:autoSpaceDN w:val="0"/>
              <w:adjustRightInd w:val="0"/>
              <w:snapToGrid w:val="0"/>
              <w:spacing w:line="360" w:lineRule="auto"/>
              <w:jc w:val="center"/>
              <w:rPr>
                <w:rFonts w:ascii="宋体" w:hAnsi="宋体" w:cs="宋体"/>
                <w:color w:val="auto"/>
                <w:kern w:val="0"/>
                <w:szCs w:val="21"/>
                <w:highlight w:val="none"/>
              </w:rPr>
            </w:pPr>
          </w:p>
        </w:tc>
      </w:tr>
      <w:tr w14:paraId="27A655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16272547">
            <w:pPr>
              <w:autoSpaceDE w:val="0"/>
              <w:autoSpaceDN w:val="0"/>
              <w:adjustRightInd w:val="0"/>
              <w:snapToGrid w:val="0"/>
              <w:spacing w:line="360" w:lineRule="auto"/>
              <w:jc w:val="center"/>
              <w:rPr>
                <w:rFonts w:ascii="宋体" w:hAnsi="宋体" w:cs="宋体"/>
                <w:color w:val="auto"/>
                <w:kern w:val="0"/>
                <w:szCs w:val="21"/>
                <w:highlight w:val="none"/>
              </w:rPr>
            </w:pPr>
          </w:p>
        </w:tc>
        <w:tc>
          <w:tcPr>
            <w:tcW w:w="967" w:type="dxa"/>
            <w:vAlign w:val="center"/>
          </w:tcPr>
          <w:p w14:paraId="7244BF33">
            <w:pPr>
              <w:tabs>
                <w:tab w:val="left" w:pos="540"/>
              </w:tabs>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传  真</w:t>
            </w:r>
          </w:p>
        </w:tc>
        <w:tc>
          <w:tcPr>
            <w:tcW w:w="2483" w:type="dxa"/>
            <w:gridSpan w:val="4"/>
            <w:vAlign w:val="center"/>
          </w:tcPr>
          <w:p w14:paraId="2A52CE8F">
            <w:pPr>
              <w:autoSpaceDE w:val="0"/>
              <w:autoSpaceDN w:val="0"/>
              <w:adjustRightInd w:val="0"/>
              <w:snapToGrid w:val="0"/>
              <w:spacing w:line="360" w:lineRule="auto"/>
              <w:jc w:val="center"/>
              <w:rPr>
                <w:rFonts w:ascii="宋体" w:hAnsi="宋体" w:cs="宋体"/>
                <w:color w:val="auto"/>
                <w:kern w:val="0"/>
                <w:szCs w:val="21"/>
                <w:highlight w:val="none"/>
              </w:rPr>
            </w:pPr>
          </w:p>
        </w:tc>
        <w:tc>
          <w:tcPr>
            <w:tcW w:w="1392" w:type="dxa"/>
            <w:vAlign w:val="center"/>
          </w:tcPr>
          <w:p w14:paraId="11788FC6">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网址</w:t>
            </w:r>
          </w:p>
        </w:tc>
        <w:tc>
          <w:tcPr>
            <w:tcW w:w="2765" w:type="dxa"/>
            <w:gridSpan w:val="3"/>
            <w:vAlign w:val="center"/>
          </w:tcPr>
          <w:p w14:paraId="62D29321">
            <w:pPr>
              <w:autoSpaceDE w:val="0"/>
              <w:autoSpaceDN w:val="0"/>
              <w:adjustRightInd w:val="0"/>
              <w:snapToGrid w:val="0"/>
              <w:spacing w:line="360" w:lineRule="auto"/>
              <w:jc w:val="center"/>
              <w:rPr>
                <w:rFonts w:ascii="宋体" w:hAnsi="宋体" w:cs="宋体"/>
                <w:color w:val="auto"/>
                <w:kern w:val="0"/>
                <w:szCs w:val="21"/>
                <w:highlight w:val="none"/>
              </w:rPr>
            </w:pPr>
          </w:p>
        </w:tc>
      </w:tr>
      <w:tr w14:paraId="749870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947D2F4">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组织结构</w:t>
            </w:r>
          </w:p>
        </w:tc>
        <w:tc>
          <w:tcPr>
            <w:tcW w:w="7607" w:type="dxa"/>
            <w:gridSpan w:val="9"/>
            <w:vAlign w:val="center"/>
          </w:tcPr>
          <w:p w14:paraId="5F531716">
            <w:pPr>
              <w:autoSpaceDE w:val="0"/>
              <w:autoSpaceDN w:val="0"/>
              <w:adjustRightInd w:val="0"/>
              <w:snapToGrid w:val="0"/>
              <w:spacing w:line="360" w:lineRule="auto"/>
              <w:jc w:val="center"/>
              <w:rPr>
                <w:rFonts w:ascii="宋体" w:hAnsi="宋体" w:cs="宋体"/>
                <w:color w:val="auto"/>
                <w:kern w:val="0"/>
                <w:szCs w:val="21"/>
                <w:highlight w:val="none"/>
              </w:rPr>
            </w:pPr>
          </w:p>
        </w:tc>
      </w:tr>
      <w:tr w14:paraId="73AAE3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F30C233">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967" w:type="dxa"/>
            <w:vAlign w:val="center"/>
          </w:tcPr>
          <w:p w14:paraId="72EBA3CF">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姓  名</w:t>
            </w:r>
          </w:p>
        </w:tc>
        <w:tc>
          <w:tcPr>
            <w:tcW w:w="1024" w:type="dxa"/>
            <w:vAlign w:val="center"/>
          </w:tcPr>
          <w:p w14:paraId="074DA7D9">
            <w:pPr>
              <w:autoSpaceDE w:val="0"/>
              <w:autoSpaceDN w:val="0"/>
              <w:adjustRightInd w:val="0"/>
              <w:snapToGrid w:val="0"/>
              <w:spacing w:line="360" w:lineRule="auto"/>
              <w:jc w:val="center"/>
              <w:rPr>
                <w:rFonts w:ascii="宋体" w:hAnsi="宋体" w:cs="宋体"/>
                <w:color w:val="auto"/>
                <w:kern w:val="0"/>
                <w:szCs w:val="21"/>
                <w:highlight w:val="none"/>
              </w:rPr>
            </w:pPr>
          </w:p>
        </w:tc>
        <w:tc>
          <w:tcPr>
            <w:tcW w:w="1356" w:type="dxa"/>
            <w:gridSpan w:val="2"/>
            <w:vAlign w:val="center"/>
          </w:tcPr>
          <w:p w14:paraId="4C99FD96">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2024" w:type="dxa"/>
            <w:gridSpan w:val="3"/>
            <w:vAlign w:val="center"/>
          </w:tcPr>
          <w:p w14:paraId="441BAEF4">
            <w:pPr>
              <w:autoSpaceDE w:val="0"/>
              <w:autoSpaceDN w:val="0"/>
              <w:adjustRightInd w:val="0"/>
              <w:snapToGrid w:val="0"/>
              <w:spacing w:line="360" w:lineRule="auto"/>
              <w:jc w:val="center"/>
              <w:rPr>
                <w:rFonts w:ascii="宋体" w:hAnsi="宋体" w:cs="宋体"/>
                <w:color w:val="auto"/>
                <w:kern w:val="0"/>
                <w:szCs w:val="21"/>
                <w:highlight w:val="none"/>
              </w:rPr>
            </w:pPr>
          </w:p>
        </w:tc>
        <w:tc>
          <w:tcPr>
            <w:tcW w:w="925" w:type="dxa"/>
            <w:vAlign w:val="center"/>
          </w:tcPr>
          <w:p w14:paraId="7EFB2702">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电  话</w:t>
            </w:r>
          </w:p>
        </w:tc>
        <w:tc>
          <w:tcPr>
            <w:tcW w:w="1311" w:type="dxa"/>
            <w:vAlign w:val="center"/>
          </w:tcPr>
          <w:p w14:paraId="10DC7E0F">
            <w:pPr>
              <w:autoSpaceDE w:val="0"/>
              <w:autoSpaceDN w:val="0"/>
              <w:adjustRightInd w:val="0"/>
              <w:snapToGrid w:val="0"/>
              <w:spacing w:line="360" w:lineRule="auto"/>
              <w:jc w:val="center"/>
              <w:rPr>
                <w:rFonts w:ascii="宋体" w:hAnsi="宋体" w:cs="宋体"/>
                <w:color w:val="auto"/>
                <w:kern w:val="0"/>
                <w:szCs w:val="21"/>
                <w:highlight w:val="none"/>
              </w:rPr>
            </w:pPr>
          </w:p>
        </w:tc>
      </w:tr>
      <w:tr w14:paraId="7A7486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D3AA95D">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967" w:type="dxa"/>
            <w:vAlign w:val="center"/>
          </w:tcPr>
          <w:p w14:paraId="76722EF7">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姓  名</w:t>
            </w:r>
          </w:p>
        </w:tc>
        <w:tc>
          <w:tcPr>
            <w:tcW w:w="1024" w:type="dxa"/>
            <w:vAlign w:val="center"/>
          </w:tcPr>
          <w:p w14:paraId="2B5D2494">
            <w:pPr>
              <w:autoSpaceDE w:val="0"/>
              <w:autoSpaceDN w:val="0"/>
              <w:adjustRightInd w:val="0"/>
              <w:snapToGrid w:val="0"/>
              <w:spacing w:line="360" w:lineRule="auto"/>
              <w:jc w:val="center"/>
              <w:rPr>
                <w:rFonts w:ascii="宋体" w:hAnsi="宋体" w:cs="宋体"/>
                <w:color w:val="auto"/>
                <w:kern w:val="0"/>
                <w:szCs w:val="21"/>
                <w:highlight w:val="none"/>
              </w:rPr>
            </w:pPr>
          </w:p>
        </w:tc>
        <w:tc>
          <w:tcPr>
            <w:tcW w:w="1356" w:type="dxa"/>
            <w:gridSpan w:val="2"/>
            <w:vAlign w:val="center"/>
          </w:tcPr>
          <w:p w14:paraId="73955A31">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2024" w:type="dxa"/>
            <w:gridSpan w:val="3"/>
            <w:vAlign w:val="center"/>
          </w:tcPr>
          <w:p w14:paraId="0AD9F5D8">
            <w:pPr>
              <w:autoSpaceDE w:val="0"/>
              <w:autoSpaceDN w:val="0"/>
              <w:adjustRightInd w:val="0"/>
              <w:snapToGrid w:val="0"/>
              <w:spacing w:line="360" w:lineRule="auto"/>
              <w:jc w:val="center"/>
              <w:rPr>
                <w:rFonts w:ascii="宋体" w:hAnsi="宋体" w:cs="宋体"/>
                <w:color w:val="auto"/>
                <w:kern w:val="0"/>
                <w:szCs w:val="21"/>
                <w:highlight w:val="none"/>
              </w:rPr>
            </w:pPr>
          </w:p>
        </w:tc>
        <w:tc>
          <w:tcPr>
            <w:tcW w:w="925" w:type="dxa"/>
            <w:vAlign w:val="center"/>
          </w:tcPr>
          <w:p w14:paraId="66D3A6C4">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电  话</w:t>
            </w:r>
          </w:p>
        </w:tc>
        <w:tc>
          <w:tcPr>
            <w:tcW w:w="1311" w:type="dxa"/>
            <w:vAlign w:val="center"/>
          </w:tcPr>
          <w:p w14:paraId="59D109FE">
            <w:pPr>
              <w:autoSpaceDE w:val="0"/>
              <w:autoSpaceDN w:val="0"/>
              <w:adjustRightInd w:val="0"/>
              <w:snapToGrid w:val="0"/>
              <w:spacing w:line="360" w:lineRule="auto"/>
              <w:jc w:val="center"/>
              <w:rPr>
                <w:rFonts w:ascii="宋体" w:hAnsi="宋体" w:cs="宋体"/>
                <w:color w:val="auto"/>
                <w:kern w:val="0"/>
                <w:szCs w:val="21"/>
                <w:highlight w:val="none"/>
              </w:rPr>
            </w:pPr>
          </w:p>
        </w:tc>
      </w:tr>
      <w:tr w14:paraId="0D53CB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A153AD9">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1991" w:type="dxa"/>
            <w:gridSpan w:val="2"/>
            <w:vAlign w:val="center"/>
          </w:tcPr>
          <w:p w14:paraId="563D91CB">
            <w:pPr>
              <w:autoSpaceDE w:val="0"/>
              <w:autoSpaceDN w:val="0"/>
              <w:adjustRightInd w:val="0"/>
              <w:snapToGrid w:val="0"/>
              <w:spacing w:line="360" w:lineRule="auto"/>
              <w:jc w:val="center"/>
              <w:rPr>
                <w:rFonts w:ascii="宋体" w:hAnsi="宋体" w:cs="宋体"/>
                <w:color w:val="auto"/>
                <w:kern w:val="0"/>
                <w:szCs w:val="21"/>
                <w:highlight w:val="none"/>
              </w:rPr>
            </w:pPr>
          </w:p>
        </w:tc>
        <w:tc>
          <w:tcPr>
            <w:tcW w:w="5616" w:type="dxa"/>
            <w:gridSpan w:val="7"/>
            <w:vAlign w:val="center"/>
          </w:tcPr>
          <w:p w14:paraId="226B0EAB">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员工总人数：</w:t>
            </w:r>
          </w:p>
        </w:tc>
      </w:tr>
      <w:tr w14:paraId="213875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325C7B2">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企业资质等级</w:t>
            </w:r>
          </w:p>
        </w:tc>
        <w:tc>
          <w:tcPr>
            <w:tcW w:w="1991" w:type="dxa"/>
            <w:gridSpan w:val="2"/>
            <w:vAlign w:val="center"/>
          </w:tcPr>
          <w:p w14:paraId="143A1196">
            <w:pPr>
              <w:autoSpaceDE w:val="0"/>
              <w:autoSpaceDN w:val="0"/>
              <w:adjustRightInd w:val="0"/>
              <w:snapToGrid w:val="0"/>
              <w:spacing w:line="360" w:lineRule="auto"/>
              <w:jc w:val="center"/>
              <w:rPr>
                <w:rFonts w:ascii="宋体" w:hAnsi="宋体" w:cs="宋体"/>
                <w:color w:val="auto"/>
                <w:kern w:val="0"/>
                <w:szCs w:val="21"/>
                <w:highlight w:val="none"/>
              </w:rPr>
            </w:pPr>
          </w:p>
        </w:tc>
        <w:tc>
          <w:tcPr>
            <w:tcW w:w="904" w:type="dxa"/>
            <w:vMerge w:val="restart"/>
            <w:vAlign w:val="center"/>
          </w:tcPr>
          <w:p w14:paraId="2919C51F">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其中</w:t>
            </w:r>
          </w:p>
        </w:tc>
        <w:tc>
          <w:tcPr>
            <w:tcW w:w="2476" w:type="dxa"/>
            <w:gridSpan w:val="4"/>
            <w:vAlign w:val="center"/>
          </w:tcPr>
          <w:p w14:paraId="0F3F7060">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项目总监理工程</w:t>
            </w:r>
          </w:p>
        </w:tc>
        <w:tc>
          <w:tcPr>
            <w:tcW w:w="2236" w:type="dxa"/>
            <w:gridSpan w:val="2"/>
            <w:vAlign w:val="center"/>
          </w:tcPr>
          <w:p w14:paraId="3BC4ED56">
            <w:pPr>
              <w:autoSpaceDE w:val="0"/>
              <w:autoSpaceDN w:val="0"/>
              <w:adjustRightInd w:val="0"/>
              <w:snapToGrid w:val="0"/>
              <w:spacing w:line="360" w:lineRule="auto"/>
              <w:jc w:val="center"/>
              <w:rPr>
                <w:rFonts w:ascii="宋体" w:hAnsi="宋体" w:cs="宋体"/>
                <w:color w:val="auto"/>
                <w:kern w:val="0"/>
                <w:szCs w:val="21"/>
                <w:highlight w:val="none"/>
              </w:rPr>
            </w:pPr>
          </w:p>
        </w:tc>
      </w:tr>
      <w:tr w14:paraId="508090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12F312C">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营业执照号</w:t>
            </w:r>
          </w:p>
        </w:tc>
        <w:tc>
          <w:tcPr>
            <w:tcW w:w="1991" w:type="dxa"/>
            <w:gridSpan w:val="2"/>
            <w:vAlign w:val="center"/>
          </w:tcPr>
          <w:p w14:paraId="5BB49F35">
            <w:pPr>
              <w:autoSpaceDE w:val="0"/>
              <w:autoSpaceDN w:val="0"/>
              <w:adjustRightInd w:val="0"/>
              <w:snapToGrid w:val="0"/>
              <w:spacing w:line="360" w:lineRule="auto"/>
              <w:jc w:val="center"/>
              <w:rPr>
                <w:rFonts w:ascii="宋体" w:hAnsi="宋体" w:cs="宋体"/>
                <w:color w:val="auto"/>
                <w:kern w:val="0"/>
                <w:szCs w:val="21"/>
                <w:highlight w:val="none"/>
              </w:rPr>
            </w:pPr>
          </w:p>
        </w:tc>
        <w:tc>
          <w:tcPr>
            <w:tcW w:w="904" w:type="dxa"/>
            <w:vMerge w:val="continue"/>
            <w:vAlign w:val="center"/>
          </w:tcPr>
          <w:p w14:paraId="4A07055F">
            <w:pPr>
              <w:autoSpaceDE w:val="0"/>
              <w:autoSpaceDN w:val="0"/>
              <w:adjustRightInd w:val="0"/>
              <w:snapToGrid w:val="0"/>
              <w:spacing w:line="360" w:lineRule="auto"/>
              <w:jc w:val="center"/>
              <w:rPr>
                <w:rFonts w:ascii="宋体" w:hAnsi="宋体" w:cs="宋体"/>
                <w:color w:val="auto"/>
                <w:kern w:val="0"/>
                <w:szCs w:val="21"/>
                <w:highlight w:val="none"/>
              </w:rPr>
            </w:pPr>
          </w:p>
        </w:tc>
        <w:tc>
          <w:tcPr>
            <w:tcW w:w="2476" w:type="dxa"/>
            <w:gridSpan w:val="4"/>
            <w:vAlign w:val="center"/>
          </w:tcPr>
          <w:p w14:paraId="3E99E0B6">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高级职称人员</w:t>
            </w:r>
          </w:p>
        </w:tc>
        <w:tc>
          <w:tcPr>
            <w:tcW w:w="2236" w:type="dxa"/>
            <w:gridSpan w:val="2"/>
            <w:vAlign w:val="center"/>
          </w:tcPr>
          <w:p w14:paraId="366A2E52">
            <w:pPr>
              <w:autoSpaceDE w:val="0"/>
              <w:autoSpaceDN w:val="0"/>
              <w:adjustRightInd w:val="0"/>
              <w:snapToGrid w:val="0"/>
              <w:spacing w:line="360" w:lineRule="auto"/>
              <w:jc w:val="center"/>
              <w:rPr>
                <w:rFonts w:ascii="宋体" w:hAnsi="宋体" w:cs="宋体"/>
                <w:color w:val="auto"/>
                <w:kern w:val="0"/>
                <w:szCs w:val="21"/>
                <w:highlight w:val="none"/>
              </w:rPr>
            </w:pPr>
          </w:p>
        </w:tc>
      </w:tr>
      <w:tr w14:paraId="5A91DB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FA1699D">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注册资金</w:t>
            </w:r>
          </w:p>
        </w:tc>
        <w:tc>
          <w:tcPr>
            <w:tcW w:w="1991" w:type="dxa"/>
            <w:gridSpan w:val="2"/>
            <w:vAlign w:val="center"/>
          </w:tcPr>
          <w:p w14:paraId="3E0EFD36">
            <w:pPr>
              <w:autoSpaceDE w:val="0"/>
              <w:autoSpaceDN w:val="0"/>
              <w:adjustRightInd w:val="0"/>
              <w:snapToGrid w:val="0"/>
              <w:spacing w:line="360" w:lineRule="auto"/>
              <w:jc w:val="center"/>
              <w:rPr>
                <w:rFonts w:ascii="宋体" w:hAnsi="宋体" w:cs="宋体"/>
                <w:color w:val="auto"/>
                <w:kern w:val="0"/>
                <w:szCs w:val="21"/>
                <w:highlight w:val="none"/>
              </w:rPr>
            </w:pPr>
          </w:p>
        </w:tc>
        <w:tc>
          <w:tcPr>
            <w:tcW w:w="904" w:type="dxa"/>
            <w:vMerge w:val="continue"/>
            <w:vAlign w:val="center"/>
          </w:tcPr>
          <w:p w14:paraId="60C896AB">
            <w:pPr>
              <w:autoSpaceDE w:val="0"/>
              <w:autoSpaceDN w:val="0"/>
              <w:adjustRightInd w:val="0"/>
              <w:snapToGrid w:val="0"/>
              <w:spacing w:line="360" w:lineRule="auto"/>
              <w:jc w:val="center"/>
              <w:rPr>
                <w:rFonts w:ascii="宋体" w:hAnsi="宋体" w:cs="宋体"/>
                <w:color w:val="auto"/>
                <w:kern w:val="0"/>
                <w:szCs w:val="21"/>
                <w:highlight w:val="none"/>
              </w:rPr>
            </w:pPr>
          </w:p>
        </w:tc>
        <w:tc>
          <w:tcPr>
            <w:tcW w:w="2476" w:type="dxa"/>
            <w:gridSpan w:val="4"/>
            <w:vAlign w:val="center"/>
          </w:tcPr>
          <w:p w14:paraId="7E7E2664">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中级职称人员</w:t>
            </w:r>
          </w:p>
        </w:tc>
        <w:tc>
          <w:tcPr>
            <w:tcW w:w="2236" w:type="dxa"/>
            <w:gridSpan w:val="2"/>
            <w:vAlign w:val="center"/>
          </w:tcPr>
          <w:p w14:paraId="6DFE8B51">
            <w:pPr>
              <w:autoSpaceDE w:val="0"/>
              <w:autoSpaceDN w:val="0"/>
              <w:adjustRightInd w:val="0"/>
              <w:snapToGrid w:val="0"/>
              <w:spacing w:line="360" w:lineRule="auto"/>
              <w:jc w:val="center"/>
              <w:rPr>
                <w:rFonts w:ascii="宋体" w:hAnsi="宋体" w:cs="宋体"/>
                <w:color w:val="auto"/>
                <w:kern w:val="0"/>
                <w:szCs w:val="21"/>
                <w:highlight w:val="none"/>
              </w:rPr>
            </w:pPr>
          </w:p>
        </w:tc>
      </w:tr>
      <w:tr w14:paraId="2DE503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6B85C90">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1991" w:type="dxa"/>
            <w:gridSpan w:val="2"/>
            <w:vAlign w:val="center"/>
          </w:tcPr>
          <w:p w14:paraId="739F64B5">
            <w:pPr>
              <w:autoSpaceDE w:val="0"/>
              <w:autoSpaceDN w:val="0"/>
              <w:adjustRightInd w:val="0"/>
              <w:snapToGrid w:val="0"/>
              <w:spacing w:line="360" w:lineRule="auto"/>
              <w:jc w:val="center"/>
              <w:rPr>
                <w:rFonts w:ascii="宋体" w:hAnsi="宋体" w:cs="宋体"/>
                <w:color w:val="auto"/>
                <w:kern w:val="0"/>
                <w:szCs w:val="21"/>
                <w:highlight w:val="none"/>
              </w:rPr>
            </w:pPr>
          </w:p>
        </w:tc>
        <w:tc>
          <w:tcPr>
            <w:tcW w:w="904" w:type="dxa"/>
            <w:vMerge w:val="continue"/>
            <w:vAlign w:val="center"/>
          </w:tcPr>
          <w:p w14:paraId="6BAC5151">
            <w:pPr>
              <w:autoSpaceDE w:val="0"/>
              <w:autoSpaceDN w:val="0"/>
              <w:adjustRightInd w:val="0"/>
              <w:snapToGrid w:val="0"/>
              <w:spacing w:line="360" w:lineRule="auto"/>
              <w:jc w:val="center"/>
              <w:rPr>
                <w:rFonts w:ascii="宋体" w:hAnsi="宋体" w:cs="宋体"/>
                <w:color w:val="auto"/>
                <w:kern w:val="0"/>
                <w:szCs w:val="21"/>
                <w:highlight w:val="none"/>
              </w:rPr>
            </w:pPr>
          </w:p>
        </w:tc>
        <w:tc>
          <w:tcPr>
            <w:tcW w:w="2476" w:type="dxa"/>
            <w:gridSpan w:val="4"/>
            <w:vAlign w:val="center"/>
          </w:tcPr>
          <w:p w14:paraId="3BCD5A1A">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初级职称人员</w:t>
            </w:r>
          </w:p>
        </w:tc>
        <w:tc>
          <w:tcPr>
            <w:tcW w:w="2236" w:type="dxa"/>
            <w:gridSpan w:val="2"/>
            <w:vAlign w:val="center"/>
          </w:tcPr>
          <w:p w14:paraId="1A3202D2">
            <w:pPr>
              <w:autoSpaceDE w:val="0"/>
              <w:autoSpaceDN w:val="0"/>
              <w:adjustRightInd w:val="0"/>
              <w:snapToGrid w:val="0"/>
              <w:spacing w:line="360" w:lineRule="auto"/>
              <w:jc w:val="center"/>
              <w:rPr>
                <w:rFonts w:ascii="宋体" w:hAnsi="宋体" w:cs="宋体"/>
                <w:color w:val="auto"/>
                <w:kern w:val="0"/>
                <w:szCs w:val="21"/>
                <w:highlight w:val="none"/>
              </w:rPr>
            </w:pPr>
          </w:p>
        </w:tc>
      </w:tr>
      <w:tr w14:paraId="056E16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CEB2141">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账号</w:t>
            </w:r>
          </w:p>
        </w:tc>
        <w:tc>
          <w:tcPr>
            <w:tcW w:w="1991" w:type="dxa"/>
            <w:gridSpan w:val="2"/>
            <w:vAlign w:val="center"/>
          </w:tcPr>
          <w:p w14:paraId="297C102F">
            <w:pPr>
              <w:autoSpaceDE w:val="0"/>
              <w:autoSpaceDN w:val="0"/>
              <w:adjustRightInd w:val="0"/>
              <w:snapToGrid w:val="0"/>
              <w:spacing w:line="360" w:lineRule="auto"/>
              <w:jc w:val="center"/>
              <w:rPr>
                <w:rFonts w:ascii="宋体" w:hAnsi="宋体" w:cs="宋体"/>
                <w:color w:val="auto"/>
                <w:kern w:val="0"/>
                <w:szCs w:val="21"/>
                <w:highlight w:val="none"/>
              </w:rPr>
            </w:pPr>
          </w:p>
        </w:tc>
        <w:tc>
          <w:tcPr>
            <w:tcW w:w="904" w:type="dxa"/>
            <w:vMerge w:val="continue"/>
            <w:vAlign w:val="center"/>
          </w:tcPr>
          <w:p w14:paraId="13565848">
            <w:pPr>
              <w:autoSpaceDE w:val="0"/>
              <w:autoSpaceDN w:val="0"/>
              <w:adjustRightInd w:val="0"/>
              <w:snapToGrid w:val="0"/>
              <w:spacing w:line="360" w:lineRule="auto"/>
              <w:jc w:val="center"/>
              <w:rPr>
                <w:rFonts w:ascii="宋体" w:hAnsi="宋体" w:cs="宋体"/>
                <w:color w:val="auto"/>
                <w:kern w:val="0"/>
                <w:szCs w:val="21"/>
                <w:highlight w:val="none"/>
              </w:rPr>
            </w:pPr>
          </w:p>
        </w:tc>
        <w:tc>
          <w:tcPr>
            <w:tcW w:w="2476" w:type="dxa"/>
            <w:gridSpan w:val="4"/>
            <w:vAlign w:val="center"/>
          </w:tcPr>
          <w:p w14:paraId="010899C1">
            <w:pPr>
              <w:tabs>
                <w:tab w:val="left" w:pos="1240"/>
              </w:tabs>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工</w:t>
            </w:r>
          </w:p>
        </w:tc>
        <w:tc>
          <w:tcPr>
            <w:tcW w:w="2236" w:type="dxa"/>
            <w:gridSpan w:val="2"/>
            <w:vAlign w:val="center"/>
          </w:tcPr>
          <w:p w14:paraId="5F61235F">
            <w:pPr>
              <w:autoSpaceDE w:val="0"/>
              <w:autoSpaceDN w:val="0"/>
              <w:adjustRightInd w:val="0"/>
              <w:snapToGrid w:val="0"/>
              <w:spacing w:line="360" w:lineRule="auto"/>
              <w:jc w:val="center"/>
              <w:rPr>
                <w:rFonts w:ascii="宋体" w:hAnsi="宋体" w:cs="宋体"/>
                <w:color w:val="auto"/>
                <w:kern w:val="0"/>
                <w:szCs w:val="21"/>
                <w:highlight w:val="none"/>
              </w:rPr>
            </w:pPr>
          </w:p>
        </w:tc>
      </w:tr>
      <w:tr w14:paraId="498836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AB67EF0">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7607" w:type="dxa"/>
            <w:gridSpan w:val="9"/>
            <w:vAlign w:val="center"/>
          </w:tcPr>
          <w:p w14:paraId="6E05DCEF">
            <w:pPr>
              <w:autoSpaceDE w:val="0"/>
              <w:autoSpaceDN w:val="0"/>
              <w:adjustRightInd w:val="0"/>
              <w:snapToGrid w:val="0"/>
              <w:spacing w:line="360" w:lineRule="auto"/>
              <w:jc w:val="center"/>
              <w:rPr>
                <w:rFonts w:ascii="宋体" w:hAnsi="宋体" w:cs="宋体"/>
                <w:color w:val="auto"/>
                <w:kern w:val="0"/>
                <w:szCs w:val="21"/>
                <w:highlight w:val="none"/>
              </w:rPr>
            </w:pPr>
          </w:p>
        </w:tc>
      </w:tr>
      <w:tr w14:paraId="0815F4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04D5A8">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c>
          <w:tcPr>
            <w:tcW w:w="7607" w:type="dxa"/>
            <w:gridSpan w:val="9"/>
            <w:vAlign w:val="center"/>
          </w:tcPr>
          <w:p w14:paraId="4BC1DCD9">
            <w:pPr>
              <w:autoSpaceDE w:val="0"/>
              <w:autoSpaceDN w:val="0"/>
              <w:adjustRightInd w:val="0"/>
              <w:snapToGrid w:val="0"/>
              <w:spacing w:line="360" w:lineRule="auto"/>
              <w:jc w:val="center"/>
              <w:rPr>
                <w:rFonts w:ascii="宋体" w:hAnsi="宋体" w:cs="宋体"/>
                <w:color w:val="auto"/>
                <w:kern w:val="0"/>
                <w:szCs w:val="21"/>
                <w:highlight w:val="none"/>
              </w:rPr>
            </w:pPr>
          </w:p>
        </w:tc>
      </w:tr>
    </w:tbl>
    <w:p w14:paraId="28F6C098">
      <w:pPr>
        <w:spacing w:line="440" w:lineRule="exact"/>
        <w:rPr>
          <w:rFonts w:asciiTheme="minorEastAsia" w:hAnsiTheme="minorEastAsia" w:eastAsiaTheme="minorEastAsia"/>
          <w:color w:val="auto"/>
          <w:highlight w:val="none"/>
          <w:u w:val="single"/>
        </w:rPr>
      </w:pPr>
    </w:p>
    <w:p w14:paraId="7A946670">
      <w:pPr>
        <w:pStyle w:val="4"/>
        <w:spacing w:before="0" w:after="0" w:line="360" w:lineRule="auto"/>
        <w:jc w:val="center"/>
        <w:rPr>
          <w:rFonts w:asciiTheme="minorEastAsia" w:hAnsiTheme="minorEastAsia" w:eastAsiaTheme="minorEastAsia"/>
          <w:bCs w:val="0"/>
          <w:color w:val="auto"/>
          <w:sz w:val="28"/>
          <w:highlight w:val="none"/>
        </w:rPr>
      </w:pPr>
      <w:bookmarkStart w:id="809" w:name="_Toc492300730"/>
      <w:bookmarkStart w:id="810" w:name="_Toc106973631"/>
      <w:r>
        <w:rPr>
          <w:rFonts w:hint="eastAsia" w:asciiTheme="minorEastAsia" w:hAnsiTheme="minorEastAsia" w:eastAsiaTheme="minorEastAsia"/>
          <w:bCs w:val="0"/>
          <w:color w:val="auto"/>
          <w:sz w:val="28"/>
          <w:highlight w:val="none"/>
        </w:rPr>
        <w:t>（三）近年财务状况表</w:t>
      </w:r>
      <w:bookmarkEnd w:id="809"/>
      <w:bookmarkEnd w:id="810"/>
    </w:p>
    <w:p w14:paraId="3F695A17">
      <w:pPr>
        <w:topLinePunct/>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注：</w:t>
      </w:r>
      <w:r>
        <w:rPr>
          <w:rFonts w:hint="eastAsia" w:asciiTheme="minorEastAsia" w:hAnsiTheme="minorEastAsia" w:eastAsiaTheme="minorEastAsia"/>
          <w:color w:val="auto"/>
          <w:highlight w:val="none"/>
        </w:rPr>
        <w:t>竞选</w:t>
      </w:r>
      <w:r>
        <w:rPr>
          <w:rFonts w:asciiTheme="minorEastAsia" w:hAnsiTheme="minorEastAsia" w:eastAsiaTheme="minorEastAsia"/>
          <w:color w:val="auto"/>
          <w:highlight w:val="none"/>
        </w:rPr>
        <w:t>人应根据</w:t>
      </w:r>
      <w:r>
        <w:rPr>
          <w:rFonts w:hint="eastAsia" w:asciiTheme="minorEastAsia" w:hAnsiTheme="minorEastAsia" w:eastAsiaTheme="minorEastAsia"/>
          <w:color w:val="auto"/>
          <w:highlight w:val="none"/>
        </w:rPr>
        <w:t>竞选</w:t>
      </w:r>
      <w:r>
        <w:rPr>
          <w:rFonts w:asciiTheme="minorEastAsia" w:hAnsiTheme="minorEastAsia" w:eastAsiaTheme="minorEastAsia"/>
          <w:color w:val="auto"/>
          <w:highlight w:val="none"/>
        </w:rPr>
        <w:t>人须知前附表第</w:t>
      </w:r>
      <w:r>
        <w:rPr>
          <w:rFonts w:hint="eastAsia" w:asciiTheme="minorEastAsia" w:hAnsiTheme="minorEastAsia" w:eastAsiaTheme="minorEastAsia"/>
          <w:color w:val="auto"/>
          <w:highlight w:val="none"/>
        </w:rPr>
        <w:t>1.4.1项“财务要求”</w:t>
      </w:r>
      <w:r>
        <w:rPr>
          <w:rFonts w:asciiTheme="minorEastAsia" w:hAnsiTheme="minorEastAsia" w:eastAsiaTheme="minorEastAsia"/>
          <w:color w:val="auto"/>
          <w:highlight w:val="none"/>
        </w:rPr>
        <w:t>附相关证明材料。</w:t>
      </w:r>
    </w:p>
    <w:p w14:paraId="70733404">
      <w:pPr>
        <w:pStyle w:val="2"/>
        <w:rPr>
          <w:color w:val="auto"/>
          <w:highlight w:val="none"/>
        </w:rPr>
      </w:pPr>
    </w:p>
    <w:p w14:paraId="4F687FEE">
      <w:pPr>
        <w:rPr>
          <w:color w:val="auto"/>
          <w:highlight w:val="none"/>
        </w:rPr>
      </w:pPr>
    </w:p>
    <w:p w14:paraId="1962659B">
      <w:pPr>
        <w:pStyle w:val="2"/>
        <w:rPr>
          <w:color w:val="auto"/>
          <w:highlight w:val="none"/>
        </w:rPr>
      </w:pPr>
    </w:p>
    <w:p w14:paraId="1F9FCEFC">
      <w:pPr>
        <w:rPr>
          <w:color w:val="auto"/>
          <w:highlight w:val="none"/>
        </w:rPr>
      </w:pPr>
    </w:p>
    <w:p w14:paraId="44609150">
      <w:pPr>
        <w:pStyle w:val="2"/>
        <w:rPr>
          <w:color w:val="auto"/>
          <w:highlight w:val="none"/>
        </w:rPr>
      </w:pPr>
    </w:p>
    <w:p w14:paraId="71832B03">
      <w:pPr>
        <w:rPr>
          <w:color w:val="auto"/>
          <w:highlight w:val="none"/>
        </w:rPr>
      </w:pPr>
    </w:p>
    <w:p w14:paraId="268516F5">
      <w:pPr>
        <w:pStyle w:val="2"/>
        <w:rPr>
          <w:color w:val="auto"/>
          <w:highlight w:val="none"/>
        </w:rPr>
      </w:pPr>
    </w:p>
    <w:p w14:paraId="67927E8D">
      <w:pPr>
        <w:rPr>
          <w:color w:val="auto"/>
          <w:highlight w:val="none"/>
        </w:rPr>
      </w:pPr>
    </w:p>
    <w:p w14:paraId="038F724A">
      <w:pPr>
        <w:pStyle w:val="2"/>
        <w:rPr>
          <w:color w:val="auto"/>
          <w:highlight w:val="none"/>
        </w:rPr>
      </w:pPr>
    </w:p>
    <w:p w14:paraId="3EFC15D2">
      <w:pPr>
        <w:rPr>
          <w:color w:val="auto"/>
          <w:highlight w:val="none"/>
        </w:rPr>
      </w:pPr>
    </w:p>
    <w:p w14:paraId="6C5F6836">
      <w:pPr>
        <w:pStyle w:val="2"/>
        <w:rPr>
          <w:color w:val="auto"/>
          <w:highlight w:val="none"/>
        </w:rPr>
      </w:pPr>
    </w:p>
    <w:p w14:paraId="4806D1F8">
      <w:pPr>
        <w:rPr>
          <w:color w:val="auto"/>
          <w:highlight w:val="none"/>
        </w:rPr>
      </w:pPr>
    </w:p>
    <w:p w14:paraId="659E13EE">
      <w:pPr>
        <w:pStyle w:val="2"/>
        <w:rPr>
          <w:color w:val="auto"/>
          <w:highlight w:val="none"/>
        </w:rPr>
      </w:pPr>
    </w:p>
    <w:p w14:paraId="387FC1D9">
      <w:pPr>
        <w:rPr>
          <w:color w:val="auto"/>
          <w:highlight w:val="none"/>
        </w:rPr>
      </w:pPr>
    </w:p>
    <w:p w14:paraId="19B67BE5">
      <w:pPr>
        <w:pStyle w:val="2"/>
        <w:rPr>
          <w:color w:val="auto"/>
          <w:highlight w:val="none"/>
        </w:rPr>
      </w:pPr>
    </w:p>
    <w:p w14:paraId="2E697142">
      <w:pPr>
        <w:rPr>
          <w:color w:val="auto"/>
          <w:highlight w:val="none"/>
        </w:rPr>
      </w:pPr>
    </w:p>
    <w:p w14:paraId="3DD6F3CB">
      <w:pPr>
        <w:pStyle w:val="2"/>
        <w:rPr>
          <w:color w:val="auto"/>
          <w:highlight w:val="none"/>
        </w:rPr>
      </w:pPr>
    </w:p>
    <w:p w14:paraId="56E8D0F0">
      <w:pPr>
        <w:rPr>
          <w:color w:val="auto"/>
          <w:highlight w:val="none"/>
        </w:rPr>
      </w:pPr>
    </w:p>
    <w:p w14:paraId="00F23BDE">
      <w:pPr>
        <w:pStyle w:val="2"/>
        <w:rPr>
          <w:color w:val="auto"/>
          <w:highlight w:val="none"/>
        </w:rPr>
      </w:pPr>
    </w:p>
    <w:p w14:paraId="21A2418A">
      <w:pPr>
        <w:rPr>
          <w:color w:val="auto"/>
          <w:highlight w:val="none"/>
        </w:rPr>
      </w:pPr>
    </w:p>
    <w:p w14:paraId="52CDB731">
      <w:pPr>
        <w:pStyle w:val="2"/>
        <w:rPr>
          <w:color w:val="auto"/>
          <w:highlight w:val="none"/>
        </w:rPr>
      </w:pPr>
    </w:p>
    <w:p w14:paraId="13641988">
      <w:pPr>
        <w:rPr>
          <w:color w:val="auto"/>
          <w:highlight w:val="none"/>
        </w:rPr>
      </w:pPr>
    </w:p>
    <w:p w14:paraId="02526EAE">
      <w:pPr>
        <w:pStyle w:val="2"/>
        <w:rPr>
          <w:color w:val="auto"/>
          <w:highlight w:val="none"/>
        </w:rPr>
      </w:pPr>
    </w:p>
    <w:p w14:paraId="2C884634">
      <w:pPr>
        <w:rPr>
          <w:color w:val="auto"/>
          <w:highlight w:val="none"/>
        </w:rPr>
      </w:pPr>
    </w:p>
    <w:p w14:paraId="5C258FEC">
      <w:pPr>
        <w:pStyle w:val="2"/>
        <w:rPr>
          <w:color w:val="auto"/>
          <w:highlight w:val="none"/>
        </w:rPr>
      </w:pPr>
    </w:p>
    <w:p w14:paraId="1FD1FB02">
      <w:pPr>
        <w:rPr>
          <w:color w:val="auto"/>
          <w:highlight w:val="none"/>
        </w:rPr>
      </w:pPr>
    </w:p>
    <w:p w14:paraId="65549D57">
      <w:pPr>
        <w:pStyle w:val="2"/>
        <w:rPr>
          <w:color w:val="auto"/>
          <w:highlight w:val="none"/>
        </w:rPr>
      </w:pPr>
    </w:p>
    <w:p w14:paraId="596B13F4">
      <w:pPr>
        <w:spacing w:line="360" w:lineRule="auto"/>
        <w:jc w:val="center"/>
        <w:rPr>
          <w:rFonts w:ascii="宋体" w:hAnsi="宋体" w:cs="宋体"/>
          <w:color w:val="auto"/>
          <w:szCs w:val="21"/>
          <w:highlight w:val="none"/>
        </w:rPr>
      </w:pPr>
    </w:p>
    <w:p w14:paraId="40CE9E9C">
      <w:pPr>
        <w:pStyle w:val="4"/>
        <w:spacing w:before="0" w:after="0" w:line="360" w:lineRule="auto"/>
        <w:jc w:val="center"/>
        <w:rPr>
          <w:rFonts w:asciiTheme="minorEastAsia" w:hAnsiTheme="minorEastAsia" w:eastAsiaTheme="minorEastAsia"/>
          <w:bCs w:val="0"/>
          <w:color w:val="auto"/>
          <w:sz w:val="28"/>
          <w:highlight w:val="none"/>
        </w:rPr>
      </w:pPr>
      <w:bookmarkStart w:id="811" w:name="_Toc9141"/>
      <w:bookmarkStart w:id="812" w:name="_Toc492300731"/>
      <w:bookmarkStart w:id="813" w:name="_Toc10647"/>
      <w:bookmarkStart w:id="814" w:name="_Toc27626"/>
      <w:bookmarkStart w:id="815" w:name="_Toc509218863"/>
      <w:bookmarkStart w:id="816" w:name="_Toc534185840"/>
      <w:bookmarkStart w:id="817" w:name="_Toc9448"/>
      <w:bookmarkStart w:id="818" w:name="_Toc40569217"/>
      <w:r>
        <w:rPr>
          <w:rFonts w:hint="eastAsia" w:asciiTheme="minorEastAsia" w:hAnsiTheme="minorEastAsia" w:eastAsiaTheme="minorEastAsia"/>
          <w:bCs w:val="0"/>
          <w:color w:val="auto"/>
          <w:sz w:val="28"/>
          <w:highlight w:val="none"/>
        </w:rPr>
        <w:t>（四）近年完成的类似项目情况表</w:t>
      </w:r>
      <w:bookmarkEnd w:id="811"/>
      <w:bookmarkEnd w:id="812"/>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0F4E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51EF1BEC">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项目名称</w:t>
            </w:r>
          </w:p>
        </w:tc>
        <w:tc>
          <w:tcPr>
            <w:tcW w:w="6253" w:type="dxa"/>
            <w:tcBorders>
              <w:top w:val="single" w:color="auto" w:sz="4" w:space="0"/>
              <w:left w:val="single" w:color="auto" w:sz="4" w:space="0"/>
              <w:bottom w:val="single" w:color="auto" w:sz="4" w:space="0"/>
              <w:right w:val="single" w:color="auto" w:sz="4" w:space="0"/>
            </w:tcBorders>
          </w:tcPr>
          <w:p w14:paraId="5998A032">
            <w:pPr>
              <w:topLinePunct/>
              <w:spacing w:line="400" w:lineRule="exact"/>
              <w:rPr>
                <w:rFonts w:asciiTheme="minorEastAsia" w:hAnsiTheme="minorEastAsia" w:eastAsiaTheme="minorEastAsia"/>
                <w:color w:val="auto"/>
                <w:highlight w:val="none"/>
              </w:rPr>
            </w:pPr>
          </w:p>
        </w:tc>
      </w:tr>
      <w:tr w14:paraId="2681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1F33423B">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项目所在地</w:t>
            </w:r>
          </w:p>
        </w:tc>
        <w:tc>
          <w:tcPr>
            <w:tcW w:w="6253" w:type="dxa"/>
            <w:tcBorders>
              <w:top w:val="single" w:color="auto" w:sz="4" w:space="0"/>
              <w:left w:val="single" w:color="auto" w:sz="4" w:space="0"/>
              <w:bottom w:val="single" w:color="auto" w:sz="4" w:space="0"/>
              <w:right w:val="single" w:color="auto" w:sz="4" w:space="0"/>
            </w:tcBorders>
          </w:tcPr>
          <w:p w14:paraId="3CF0E1DC">
            <w:pPr>
              <w:topLinePunct/>
              <w:spacing w:line="400" w:lineRule="exact"/>
              <w:rPr>
                <w:rFonts w:asciiTheme="minorEastAsia" w:hAnsiTheme="minorEastAsia" w:eastAsiaTheme="minorEastAsia"/>
                <w:color w:val="auto"/>
                <w:highlight w:val="none"/>
              </w:rPr>
            </w:pPr>
          </w:p>
        </w:tc>
      </w:tr>
      <w:tr w14:paraId="09CB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6913E92C">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委托人名称</w:t>
            </w:r>
          </w:p>
        </w:tc>
        <w:tc>
          <w:tcPr>
            <w:tcW w:w="6253" w:type="dxa"/>
            <w:tcBorders>
              <w:top w:val="single" w:color="auto" w:sz="4" w:space="0"/>
              <w:left w:val="single" w:color="auto" w:sz="4" w:space="0"/>
              <w:bottom w:val="single" w:color="auto" w:sz="4" w:space="0"/>
              <w:right w:val="single" w:color="auto" w:sz="4" w:space="0"/>
            </w:tcBorders>
          </w:tcPr>
          <w:p w14:paraId="5D284664">
            <w:pPr>
              <w:topLinePunct/>
              <w:spacing w:line="400" w:lineRule="exact"/>
              <w:rPr>
                <w:rFonts w:asciiTheme="minorEastAsia" w:hAnsiTheme="minorEastAsia" w:eastAsiaTheme="minorEastAsia"/>
                <w:color w:val="auto"/>
                <w:highlight w:val="none"/>
              </w:rPr>
            </w:pPr>
          </w:p>
        </w:tc>
      </w:tr>
      <w:tr w14:paraId="3EBD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75AB5F02">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委托人地址</w:t>
            </w:r>
          </w:p>
        </w:tc>
        <w:tc>
          <w:tcPr>
            <w:tcW w:w="6253" w:type="dxa"/>
            <w:tcBorders>
              <w:top w:val="single" w:color="auto" w:sz="4" w:space="0"/>
              <w:left w:val="single" w:color="auto" w:sz="4" w:space="0"/>
              <w:bottom w:val="single" w:color="auto" w:sz="4" w:space="0"/>
              <w:right w:val="single" w:color="auto" w:sz="4" w:space="0"/>
            </w:tcBorders>
          </w:tcPr>
          <w:p w14:paraId="1CCAB721">
            <w:pPr>
              <w:topLinePunct/>
              <w:spacing w:line="400" w:lineRule="exact"/>
              <w:rPr>
                <w:rFonts w:asciiTheme="minorEastAsia" w:hAnsiTheme="minorEastAsia" w:eastAsiaTheme="minorEastAsia"/>
                <w:color w:val="auto"/>
                <w:highlight w:val="none"/>
              </w:rPr>
            </w:pPr>
          </w:p>
        </w:tc>
      </w:tr>
      <w:tr w14:paraId="57B5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11EF8188">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委托人电话</w:t>
            </w:r>
          </w:p>
        </w:tc>
        <w:tc>
          <w:tcPr>
            <w:tcW w:w="6253" w:type="dxa"/>
            <w:tcBorders>
              <w:top w:val="single" w:color="auto" w:sz="4" w:space="0"/>
              <w:left w:val="single" w:color="auto" w:sz="4" w:space="0"/>
              <w:bottom w:val="single" w:color="auto" w:sz="4" w:space="0"/>
              <w:right w:val="single" w:color="auto" w:sz="4" w:space="0"/>
            </w:tcBorders>
          </w:tcPr>
          <w:p w14:paraId="0BFFC655">
            <w:pPr>
              <w:topLinePunct/>
              <w:spacing w:line="400" w:lineRule="exact"/>
              <w:rPr>
                <w:rFonts w:asciiTheme="minorEastAsia" w:hAnsiTheme="minorEastAsia" w:eastAsiaTheme="minorEastAsia"/>
                <w:color w:val="auto"/>
                <w:highlight w:val="none"/>
              </w:rPr>
            </w:pPr>
          </w:p>
        </w:tc>
      </w:tr>
      <w:tr w14:paraId="54C1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26C8DDD9">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合同价格</w:t>
            </w:r>
          </w:p>
        </w:tc>
        <w:tc>
          <w:tcPr>
            <w:tcW w:w="6253" w:type="dxa"/>
            <w:tcBorders>
              <w:top w:val="single" w:color="auto" w:sz="4" w:space="0"/>
              <w:left w:val="single" w:color="auto" w:sz="4" w:space="0"/>
              <w:bottom w:val="single" w:color="auto" w:sz="4" w:space="0"/>
              <w:right w:val="single" w:color="auto" w:sz="4" w:space="0"/>
            </w:tcBorders>
          </w:tcPr>
          <w:p w14:paraId="6C10FBFC">
            <w:pPr>
              <w:topLinePunct/>
              <w:spacing w:line="400" w:lineRule="exact"/>
              <w:rPr>
                <w:rFonts w:asciiTheme="minorEastAsia" w:hAnsiTheme="minorEastAsia" w:eastAsiaTheme="minorEastAsia"/>
                <w:color w:val="auto"/>
                <w:highlight w:val="none"/>
              </w:rPr>
            </w:pPr>
          </w:p>
        </w:tc>
      </w:tr>
      <w:tr w14:paraId="0E69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55067CD4">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监理服务期限</w:t>
            </w:r>
          </w:p>
        </w:tc>
        <w:tc>
          <w:tcPr>
            <w:tcW w:w="6253" w:type="dxa"/>
            <w:tcBorders>
              <w:top w:val="single" w:color="auto" w:sz="4" w:space="0"/>
              <w:left w:val="single" w:color="auto" w:sz="4" w:space="0"/>
              <w:bottom w:val="single" w:color="auto" w:sz="4" w:space="0"/>
              <w:right w:val="single" w:color="auto" w:sz="4" w:space="0"/>
            </w:tcBorders>
          </w:tcPr>
          <w:p w14:paraId="3220ED15">
            <w:pPr>
              <w:topLinePunct/>
              <w:spacing w:line="400" w:lineRule="exact"/>
              <w:rPr>
                <w:rFonts w:asciiTheme="minorEastAsia" w:hAnsiTheme="minorEastAsia" w:eastAsiaTheme="minorEastAsia"/>
                <w:color w:val="auto"/>
                <w:highlight w:val="none"/>
              </w:rPr>
            </w:pPr>
          </w:p>
        </w:tc>
      </w:tr>
      <w:tr w14:paraId="528D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3AB692F3">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监理内容</w:t>
            </w:r>
          </w:p>
        </w:tc>
        <w:tc>
          <w:tcPr>
            <w:tcW w:w="6253" w:type="dxa"/>
            <w:tcBorders>
              <w:top w:val="single" w:color="auto" w:sz="4" w:space="0"/>
              <w:left w:val="single" w:color="auto" w:sz="4" w:space="0"/>
              <w:bottom w:val="single" w:color="auto" w:sz="4" w:space="0"/>
              <w:right w:val="single" w:color="auto" w:sz="4" w:space="0"/>
            </w:tcBorders>
          </w:tcPr>
          <w:p w14:paraId="636D228C">
            <w:pPr>
              <w:topLinePunct/>
              <w:spacing w:line="400" w:lineRule="exact"/>
              <w:rPr>
                <w:rFonts w:asciiTheme="minorEastAsia" w:hAnsiTheme="minorEastAsia" w:eastAsiaTheme="minorEastAsia"/>
                <w:color w:val="auto"/>
                <w:highlight w:val="none"/>
              </w:rPr>
            </w:pPr>
          </w:p>
        </w:tc>
      </w:tr>
      <w:tr w14:paraId="072B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75A5DB96">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总监理工程师</w:t>
            </w:r>
          </w:p>
        </w:tc>
        <w:tc>
          <w:tcPr>
            <w:tcW w:w="6253" w:type="dxa"/>
            <w:tcBorders>
              <w:top w:val="single" w:color="auto" w:sz="4" w:space="0"/>
              <w:left w:val="single" w:color="auto" w:sz="4" w:space="0"/>
              <w:bottom w:val="single" w:color="auto" w:sz="4" w:space="0"/>
              <w:right w:val="single" w:color="auto" w:sz="4" w:space="0"/>
            </w:tcBorders>
          </w:tcPr>
          <w:p w14:paraId="56F08DDA">
            <w:pPr>
              <w:topLinePunct/>
              <w:spacing w:line="400" w:lineRule="exact"/>
              <w:rPr>
                <w:rFonts w:asciiTheme="minorEastAsia" w:hAnsiTheme="minorEastAsia" w:eastAsiaTheme="minorEastAsia"/>
                <w:color w:val="auto"/>
                <w:highlight w:val="none"/>
              </w:rPr>
            </w:pPr>
          </w:p>
        </w:tc>
      </w:tr>
      <w:tr w14:paraId="5CB3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2B28B71F">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项目描述</w:t>
            </w:r>
          </w:p>
        </w:tc>
        <w:tc>
          <w:tcPr>
            <w:tcW w:w="6253" w:type="dxa"/>
            <w:tcBorders>
              <w:top w:val="single" w:color="auto" w:sz="4" w:space="0"/>
              <w:left w:val="single" w:color="auto" w:sz="4" w:space="0"/>
              <w:bottom w:val="single" w:color="auto" w:sz="4" w:space="0"/>
              <w:right w:val="single" w:color="auto" w:sz="4" w:space="0"/>
            </w:tcBorders>
          </w:tcPr>
          <w:p w14:paraId="70313502">
            <w:pPr>
              <w:topLinePunct/>
              <w:spacing w:line="400" w:lineRule="exact"/>
              <w:rPr>
                <w:rFonts w:asciiTheme="minorEastAsia" w:hAnsiTheme="minorEastAsia" w:eastAsiaTheme="minorEastAsia"/>
                <w:color w:val="auto"/>
                <w:highlight w:val="none"/>
              </w:rPr>
            </w:pPr>
          </w:p>
          <w:p w14:paraId="1C62FF39">
            <w:pPr>
              <w:topLinePunct/>
              <w:spacing w:line="400" w:lineRule="exact"/>
              <w:rPr>
                <w:rFonts w:asciiTheme="minorEastAsia" w:hAnsiTheme="minorEastAsia" w:eastAsiaTheme="minorEastAsia"/>
                <w:color w:val="auto"/>
                <w:highlight w:val="none"/>
              </w:rPr>
            </w:pPr>
          </w:p>
          <w:p w14:paraId="7A7A7EF1">
            <w:pPr>
              <w:topLinePunct/>
              <w:spacing w:line="400" w:lineRule="exact"/>
              <w:rPr>
                <w:rFonts w:asciiTheme="minorEastAsia" w:hAnsiTheme="minorEastAsia" w:eastAsiaTheme="minorEastAsia"/>
                <w:color w:val="auto"/>
                <w:highlight w:val="none"/>
              </w:rPr>
            </w:pPr>
          </w:p>
          <w:p w14:paraId="181A0ACD">
            <w:pPr>
              <w:topLinePunct/>
              <w:spacing w:line="400" w:lineRule="exact"/>
              <w:rPr>
                <w:rFonts w:asciiTheme="minorEastAsia" w:hAnsiTheme="minorEastAsia" w:eastAsiaTheme="minorEastAsia"/>
                <w:color w:val="auto"/>
                <w:highlight w:val="none"/>
              </w:rPr>
            </w:pPr>
          </w:p>
          <w:p w14:paraId="10D9AABB">
            <w:pPr>
              <w:topLinePunct/>
              <w:spacing w:line="400" w:lineRule="exact"/>
              <w:rPr>
                <w:rFonts w:asciiTheme="minorEastAsia" w:hAnsiTheme="minorEastAsia" w:eastAsiaTheme="minorEastAsia"/>
                <w:color w:val="auto"/>
                <w:highlight w:val="none"/>
              </w:rPr>
            </w:pPr>
          </w:p>
          <w:p w14:paraId="6ABD97F4">
            <w:pPr>
              <w:topLinePunct/>
              <w:spacing w:line="400" w:lineRule="exact"/>
              <w:rPr>
                <w:rFonts w:asciiTheme="minorEastAsia" w:hAnsiTheme="minorEastAsia" w:eastAsiaTheme="minorEastAsia"/>
                <w:color w:val="auto"/>
                <w:highlight w:val="none"/>
              </w:rPr>
            </w:pPr>
          </w:p>
          <w:p w14:paraId="3E6D6E19">
            <w:pPr>
              <w:topLinePunct/>
              <w:spacing w:line="400" w:lineRule="exact"/>
              <w:rPr>
                <w:rFonts w:asciiTheme="minorEastAsia" w:hAnsiTheme="minorEastAsia" w:eastAsiaTheme="minorEastAsia"/>
                <w:color w:val="auto"/>
                <w:highlight w:val="none"/>
              </w:rPr>
            </w:pPr>
          </w:p>
        </w:tc>
      </w:tr>
      <w:tr w14:paraId="2DF8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701F3DA0">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备注</w:t>
            </w:r>
          </w:p>
        </w:tc>
        <w:tc>
          <w:tcPr>
            <w:tcW w:w="6253" w:type="dxa"/>
            <w:tcBorders>
              <w:top w:val="single" w:color="auto" w:sz="4" w:space="0"/>
              <w:left w:val="single" w:color="auto" w:sz="4" w:space="0"/>
              <w:bottom w:val="single" w:color="auto" w:sz="4" w:space="0"/>
              <w:right w:val="single" w:color="auto" w:sz="4" w:space="0"/>
            </w:tcBorders>
          </w:tcPr>
          <w:p w14:paraId="2CAB54A5">
            <w:pPr>
              <w:topLinePunct/>
              <w:spacing w:line="400" w:lineRule="exact"/>
              <w:rPr>
                <w:rFonts w:asciiTheme="minorEastAsia" w:hAnsiTheme="minorEastAsia" w:eastAsiaTheme="minorEastAsia"/>
                <w:color w:val="auto"/>
                <w:highlight w:val="none"/>
              </w:rPr>
            </w:pPr>
          </w:p>
        </w:tc>
      </w:tr>
    </w:tbl>
    <w:p w14:paraId="1E310D29">
      <w:pPr>
        <w:spacing w:line="360" w:lineRule="auto"/>
        <w:ind w:firstLine="420" w:firstLineChars="200"/>
        <w:rPr>
          <w:rFonts w:asciiTheme="minorEastAsia" w:hAnsiTheme="minorEastAsia" w:eastAsiaTheme="minorEastAsia"/>
          <w:color w:val="auto"/>
          <w:highlight w:val="none"/>
        </w:rPr>
      </w:pPr>
    </w:p>
    <w:p w14:paraId="3A0F4D18">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注：投标人应根据投标人须知前附表第</w:t>
      </w:r>
      <w:r>
        <w:rPr>
          <w:rFonts w:hint="eastAsia" w:asciiTheme="minorEastAsia" w:hAnsiTheme="minorEastAsia" w:eastAsiaTheme="minorEastAsia"/>
          <w:color w:val="auto"/>
          <w:highlight w:val="none"/>
        </w:rPr>
        <w:t>1.4.1项“业绩要求”</w:t>
      </w:r>
      <w:r>
        <w:rPr>
          <w:rFonts w:asciiTheme="minorEastAsia" w:hAnsiTheme="minorEastAsia" w:eastAsiaTheme="minorEastAsia"/>
          <w:color w:val="auto"/>
          <w:highlight w:val="none"/>
        </w:rPr>
        <w:t>在本表后附相关证明材料。</w:t>
      </w:r>
    </w:p>
    <w:p w14:paraId="4D9A4BB1">
      <w:pPr>
        <w:pStyle w:val="5"/>
        <w:spacing w:before="0" w:line="360" w:lineRule="auto"/>
        <w:jc w:val="center"/>
        <w:rPr>
          <w:rFonts w:ascii="宋体" w:hAnsi="宋体" w:cs="宋体"/>
          <w:b w:val="0"/>
          <w:bCs w:val="0"/>
          <w:color w:val="auto"/>
          <w:sz w:val="21"/>
          <w:szCs w:val="21"/>
          <w:highlight w:val="none"/>
        </w:rPr>
      </w:pPr>
    </w:p>
    <w:p w14:paraId="109BD950">
      <w:pPr>
        <w:rPr>
          <w:rFonts w:ascii="宋体" w:hAnsi="宋体" w:cs="宋体"/>
          <w:color w:val="auto"/>
          <w:szCs w:val="21"/>
          <w:highlight w:val="none"/>
        </w:rPr>
      </w:pPr>
    </w:p>
    <w:p w14:paraId="01E0AE44">
      <w:pPr>
        <w:pStyle w:val="8"/>
        <w:rPr>
          <w:rFonts w:ascii="宋体" w:hAnsi="宋体" w:cs="宋体"/>
          <w:color w:val="auto"/>
          <w:szCs w:val="21"/>
          <w:highlight w:val="none"/>
        </w:rPr>
      </w:pPr>
    </w:p>
    <w:p w14:paraId="42153C27">
      <w:pPr>
        <w:pStyle w:val="5"/>
        <w:spacing w:before="0" w:line="360" w:lineRule="auto"/>
        <w:jc w:val="center"/>
        <w:rPr>
          <w:rFonts w:ascii="宋体" w:hAnsi="宋体" w:cs="宋体"/>
          <w:b w:val="0"/>
          <w:bCs w:val="0"/>
          <w:color w:val="auto"/>
          <w:sz w:val="21"/>
          <w:szCs w:val="21"/>
          <w:highlight w:val="none"/>
        </w:rPr>
      </w:pPr>
    </w:p>
    <w:p w14:paraId="0A2F0565">
      <w:pPr>
        <w:pStyle w:val="5"/>
        <w:spacing w:before="0" w:line="360" w:lineRule="auto"/>
        <w:jc w:val="center"/>
        <w:rPr>
          <w:rFonts w:ascii="宋体" w:hAnsi="宋体" w:cs="宋体"/>
          <w:b w:val="0"/>
          <w:bCs w:val="0"/>
          <w:color w:val="auto"/>
          <w:sz w:val="21"/>
          <w:szCs w:val="21"/>
          <w:highlight w:val="none"/>
        </w:rPr>
      </w:pPr>
    </w:p>
    <w:p w14:paraId="095F0A5D">
      <w:pPr>
        <w:rPr>
          <w:rFonts w:ascii="宋体" w:hAnsi="宋体" w:cs="宋体"/>
          <w:color w:val="auto"/>
          <w:szCs w:val="21"/>
          <w:highlight w:val="none"/>
        </w:rPr>
      </w:pPr>
    </w:p>
    <w:p w14:paraId="29115545">
      <w:pPr>
        <w:pStyle w:val="8"/>
        <w:rPr>
          <w:rFonts w:ascii="宋体" w:hAnsi="宋体" w:cs="宋体"/>
          <w:color w:val="auto"/>
          <w:szCs w:val="21"/>
          <w:highlight w:val="none"/>
        </w:rPr>
      </w:pPr>
    </w:p>
    <w:p w14:paraId="1E8EF49F">
      <w:pPr>
        <w:rPr>
          <w:color w:val="auto"/>
          <w:highlight w:val="none"/>
        </w:rPr>
      </w:pPr>
    </w:p>
    <w:p w14:paraId="565D97F0">
      <w:pPr>
        <w:pStyle w:val="8"/>
        <w:rPr>
          <w:color w:val="auto"/>
          <w:highlight w:val="none"/>
        </w:rPr>
      </w:pPr>
    </w:p>
    <w:p w14:paraId="08A2A7E3">
      <w:pPr>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br w:type="page"/>
      </w:r>
    </w:p>
    <w:p w14:paraId="33ADE37B">
      <w:pPr>
        <w:pStyle w:val="4"/>
        <w:spacing w:before="0" w:after="0" w:line="360" w:lineRule="auto"/>
        <w:jc w:val="center"/>
        <w:rPr>
          <w:rFonts w:asciiTheme="minorEastAsia" w:hAnsiTheme="minorEastAsia" w:eastAsiaTheme="minorEastAsia"/>
          <w:bCs w:val="0"/>
          <w:color w:val="auto"/>
          <w:sz w:val="28"/>
          <w:highlight w:val="none"/>
        </w:rPr>
      </w:pPr>
      <w:r>
        <w:rPr>
          <w:rFonts w:hint="eastAsia" w:asciiTheme="minorEastAsia" w:hAnsiTheme="minorEastAsia" w:eastAsiaTheme="minorEastAsia"/>
          <w:bCs w:val="0"/>
          <w:color w:val="auto"/>
          <w:sz w:val="28"/>
          <w:highlight w:val="none"/>
        </w:rPr>
        <w:t>（五）</w:t>
      </w:r>
      <w:bookmarkEnd w:id="807"/>
      <w:bookmarkEnd w:id="808"/>
      <w:bookmarkEnd w:id="813"/>
      <w:bookmarkEnd w:id="814"/>
      <w:bookmarkEnd w:id="815"/>
      <w:bookmarkEnd w:id="816"/>
      <w:bookmarkEnd w:id="817"/>
      <w:bookmarkEnd w:id="818"/>
      <w:r>
        <w:rPr>
          <w:rFonts w:hint="eastAsia" w:asciiTheme="minorEastAsia" w:hAnsiTheme="minorEastAsia" w:eastAsiaTheme="minorEastAsia"/>
          <w:bCs w:val="0"/>
          <w:color w:val="auto"/>
          <w:sz w:val="28"/>
          <w:highlight w:val="none"/>
        </w:rPr>
        <w:t xml:space="preserve">承诺 </w:t>
      </w:r>
    </w:p>
    <w:p w14:paraId="336CB03C">
      <w:pPr>
        <w:spacing w:line="360" w:lineRule="auto"/>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highlight w:val="none"/>
          <w:u w:val="single"/>
        </w:rPr>
        <w:t xml:space="preserve">   （比选人名称）     </w:t>
      </w:r>
    </w:p>
    <w:p w14:paraId="6908F75E">
      <w:pPr>
        <w:spacing w:line="360" w:lineRule="auto"/>
        <w:rPr>
          <w:rFonts w:ascii="宋体" w:hAnsi="宋体" w:cs="宋体"/>
          <w:color w:val="auto"/>
          <w:highlight w:val="none"/>
        </w:rPr>
      </w:pPr>
      <w:r>
        <w:rPr>
          <w:rFonts w:hint="eastAsia" w:ascii="宋体" w:hAnsi="宋体" w:cs="宋体"/>
          <w:color w:val="auto"/>
          <w:highlight w:val="none"/>
        </w:rPr>
        <w:t xml:space="preserve">      我单位就</w:t>
      </w:r>
      <w:r>
        <w:rPr>
          <w:rFonts w:hint="eastAsia" w:ascii="宋体" w:hAnsi="宋体" w:cs="宋体"/>
          <w:color w:val="auto"/>
          <w:highlight w:val="none"/>
          <w:u w:val="single"/>
        </w:rPr>
        <w:t xml:space="preserve">                   （项目名称）</w:t>
      </w:r>
      <w:r>
        <w:rPr>
          <w:rFonts w:hint="eastAsia" w:ascii="宋体" w:hAnsi="宋体" w:cs="宋体"/>
          <w:color w:val="auto"/>
          <w:highlight w:val="none"/>
        </w:rPr>
        <w:t>做出如下承诺：</w:t>
      </w:r>
    </w:p>
    <w:p w14:paraId="5210B0E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1.投标截止日投标资格情况不存在下列情形之一：</w:t>
      </w:r>
    </w:p>
    <w:p w14:paraId="42319B7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1.1被人民法院列入失信被执行人名单且在被执行期内；</w:t>
      </w:r>
    </w:p>
    <w:p w14:paraId="0BB868D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1.2被列入《重庆市工程建设领域招标投标信用管理暂行办法》规定的重点关注名单且记分达到12分且在记分有效期内；</w:t>
      </w:r>
    </w:p>
    <w:p w14:paraId="2A42690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1.3被列入《重庆市工程建设领域招标投标信用管理暂行办法》规定的重庆市工程建设领域招标投标失信惩戒对象名单（以下称黑名单）且在记分有效期内；</w:t>
      </w:r>
    </w:p>
    <w:p w14:paraId="27D9C5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1.4被国家、重庆市（含市或任意区县）有关行政部门处以暂停投标资格行政处罚，且在处罚期限内；</w:t>
      </w:r>
    </w:p>
    <w:p w14:paraId="49DEC5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1.5被重庆市市级有关行业主管部门暂停在渝承揽新业务且在暂停期内。</w:t>
      </w:r>
    </w:p>
    <w:p w14:paraId="70FA1D63">
      <w:pPr>
        <w:tabs>
          <w:tab w:val="left" w:pos="5760"/>
        </w:tabs>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2.我单位拟派驻的总监理工程师、专业监理工程师和监理员在本项目比选前未有其他在监项目，如经查证承诺不实，自愿被取消中选资格，给比选人造成损失的，依法承担违约赔偿责任；</w:t>
      </w:r>
    </w:p>
    <w:p w14:paraId="21D1408C">
      <w:pPr>
        <w:tabs>
          <w:tab w:val="left" w:pos="5760"/>
        </w:tabs>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我单位若中选，不会无故放弃中选项目，不会无正当理由不与比选人签订合同，不会在签订合同时向比选人提出附加条件或者更改合同实质性内容，不会拒不提交低价风险担保或者履约担保，否则自愿被取消其中选资格，比选保证金不予退还，给比选人造成的损失超过比选保证金数额的，应对超过部分予以赔偿。</w:t>
      </w:r>
    </w:p>
    <w:p w14:paraId="1792B086">
      <w:pPr>
        <w:tabs>
          <w:tab w:val="left" w:pos="5760"/>
        </w:tabs>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highlight w:val="none"/>
        </w:rPr>
        <w:t>4.比选人在合同签订前均有权对我单位提供的竞选文件进行核实，若发现资料存在弄虚作假，自愿接受法律法规处理，比选保证金不予退还，并承担因此造成的相关责任及赔偿相应损失</w:t>
      </w:r>
      <w:r>
        <w:rPr>
          <w:rFonts w:hint="eastAsia" w:ascii="宋体" w:hAnsi="宋体" w:cs="宋体"/>
          <w:color w:val="auto"/>
          <w:kern w:val="0"/>
          <w:szCs w:val="21"/>
          <w:highlight w:val="none"/>
        </w:rPr>
        <w:t>。</w:t>
      </w:r>
    </w:p>
    <w:p w14:paraId="06258BED">
      <w:pPr>
        <w:spacing w:line="360" w:lineRule="auto"/>
        <w:rPr>
          <w:rFonts w:ascii="宋体" w:hAnsi="宋体" w:cs="宋体"/>
          <w:color w:val="auto"/>
          <w:highlight w:val="none"/>
        </w:rPr>
      </w:pPr>
    </w:p>
    <w:p w14:paraId="4E6D1450">
      <w:pPr>
        <w:spacing w:line="360" w:lineRule="auto"/>
        <w:rPr>
          <w:rFonts w:ascii="宋体" w:hAnsi="宋体" w:cs="宋体"/>
          <w:color w:val="auto"/>
          <w:highlight w:val="none"/>
        </w:rPr>
      </w:pPr>
    </w:p>
    <w:p w14:paraId="0C04F036">
      <w:pPr>
        <w:spacing w:line="360" w:lineRule="auto"/>
        <w:rPr>
          <w:rFonts w:ascii="宋体" w:hAnsi="宋体" w:cs="宋体"/>
          <w:color w:val="auto"/>
          <w:highlight w:val="none"/>
        </w:rPr>
      </w:pPr>
    </w:p>
    <w:p w14:paraId="71A3C998">
      <w:pPr>
        <w:tabs>
          <w:tab w:val="left" w:pos="5460"/>
        </w:tabs>
        <w:autoSpaceDE w:val="0"/>
        <w:autoSpaceDN w:val="0"/>
        <w:adjustRightInd w:val="0"/>
        <w:snapToGrid w:val="0"/>
        <w:spacing w:line="360" w:lineRule="auto"/>
        <w:ind w:firstLine="2100"/>
        <w:jc w:val="right"/>
        <w:rPr>
          <w:rFonts w:ascii="宋体" w:hAnsi="宋体" w:cs="宋体"/>
          <w:color w:val="auto"/>
          <w:kern w:val="0"/>
          <w:szCs w:val="21"/>
          <w:highlight w:val="none"/>
        </w:rPr>
      </w:pPr>
      <w:r>
        <w:rPr>
          <w:rFonts w:hint="eastAsia" w:ascii="宋体" w:hAnsi="宋体" w:cs="宋体"/>
          <w:color w:val="auto"/>
          <w:kern w:val="0"/>
          <w:szCs w:val="21"/>
          <w:highlight w:val="none"/>
        </w:rPr>
        <w:t>竞选人：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盖单位公章）</w:t>
      </w:r>
    </w:p>
    <w:p w14:paraId="17FFE665">
      <w:pPr>
        <w:autoSpaceDE w:val="0"/>
        <w:autoSpaceDN w:val="0"/>
        <w:adjustRightInd w:val="0"/>
        <w:snapToGrid w:val="0"/>
        <w:spacing w:line="360" w:lineRule="auto"/>
        <w:jc w:val="left"/>
        <w:rPr>
          <w:rFonts w:ascii="宋体" w:hAnsi="宋体" w:cs="宋体"/>
          <w:color w:val="auto"/>
          <w:kern w:val="0"/>
          <w:sz w:val="20"/>
          <w:szCs w:val="20"/>
          <w:highlight w:val="none"/>
        </w:rPr>
      </w:pPr>
    </w:p>
    <w:p w14:paraId="75ADC2FA">
      <w:pPr>
        <w:spacing w:line="360" w:lineRule="auto"/>
        <w:ind w:firstLine="5460" w:firstLineChars="1300"/>
        <w:rPr>
          <w:rFonts w:ascii="宋体" w:hAnsi="宋体" w:cs="宋体"/>
          <w:color w:val="auto"/>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日 </w:t>
      </w:r>
    </w:p>
    <w:p w14:paraId="30FB1855">
      <w:pPr>
        <w:spacing w:line="360" w:lineRule="auto"/>
        <w:rPr>
          <w:rFonts w:ascii="宋体" w:hAnsi="宋体" w:cs="宋体"/>
          <w:color w:val="auto"/>
          <w:highlight w:val="none"/>
        </w:rPr>
      </w:pPr>
    </w:p>
    <w:p w14:paraId="4A563D55">
      <w:pPr>
        <w:spacing w:line="360" w:lineRule="auto"/>
        <w:rPr>
          <w:rFonts w:ascii="宋体" w:hAnsi="宋体" w:cs="宋体"/>
          <w:color w:val="auto"/>
          <w:highlight w:val="none"/>
        </w:rPr>
      </w:pPr>
    </w:p>
    <w:p w14:paraId="17DDE9BE">
      <w:pPr>
        <w:rPr>
          <w:rFonts w:asciiTheme="minorEastAsia" w:hAnsiTheme="minorEastAsia" w:eastAsiaTheme="minorEastAsia"/>
          <w:color w:val="auto"/>
          <w:sz w:val="28"/>
          <w:highlight w:val="none"/>
        </w:rPr>
      </w:pPr>
      <w:bookmarkStart w:id="819" w:name="_Toc370676440"/>
      <w:bookmarkStart w:id="820" w:name="_Toc300835232"/>
      <w:bookmarkStart w:id="821" w:name="_Toc385943079"/>
      <w:bookmarkStart w:id="822" w:name="_Toc482188668"/>
      <w:bookmarkStart w:id="823" w:name="_Toc391394125"/>
      <w:bookmarkStart w:id="824" w:name="_Toc492300735"/>
      <w:bookmarkStart w:id="825" w:name="_Toc359594249"/>
      <w:bookmarkStart w:id="826" w:name="_Toc384308390"/>
      <w:bookmarkStart w:id="827" w:name="_Toc12669"/>
      <w:r>
        <w:rPr>
          <w:rFonts w:hint="eastAsia" w:asciiTheme="minorEastAsia" w:hAnsiTheme="minorEastAsia" w:eastAsiaTheme="minorEastAsia"/>
          <w:color w:val="auto"/>
          <w:sz w:val="28"/>
          <w:highlight w:val="none"/>
        </w:rPr>
        <w:br w:type="page"/>
      </w:r>
    </w:p>
    <w:p w14:paraId="08A62EFF">
      <w:pPr>
        <w:pStyle w:val="4"/>
        <w:spacing w:before="0" w:after="0" w:line="360" w:lineRule="auto"/>
        <w:jc w:val="center"/>
        <w:rPr>
          <w:rFonts w:asciiTheme="minorEastAsia" w:hAnsiTheme="minorEastAsia" w:eastAsiaTheme="minorEastAsia"/>
          <w:bCs w:val="0"/>
          <w:color w:val="auto"/>
          <w:sz w:val="28"/>
          <w:highlight w:val="none"/>
        </w:rPr>
      </w:pPr>
      <w:r>
        <w:rPr>
          <w:rFonts w:hint="eastAsia" w:asciiTheme="minorEastAsia" w:hAnsiTheme="minorEastAsia" w:eastAsiaTheme="minorEastAsia"/>
          <w:bCs w:val="0"/>
          <w:color w:val="auto"/>
          <w:sz w:val="28"/>
          <w:highlight w:val="none"/>
        </w:rPr>
        <w:t>（六）主要人员简历表</w:t>
      </w:r>
      <w:bookmarkEnd w:id="819"/>
      <w:bookmarkEnd w:id="820"/>
      <w:bookmarkEnd w:id="821"/>
      <w:bookmarkEnd w:id="822"/>
      <w:bookmarkEnd w:id="823"/>
      <w:bookmarkEnd w:id="824"/>
      <w:bookmarkEnd w:id="825"/>
      <w:bookmarkEnd w:id="826"/>
      <w:bookmarkEnd w:id="827"/>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189F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0BCD039A">
            <w:pPr>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姓  名</w:t>
            </w:r>
          </w:p>
        </w:tc>
        <w:tc>
          <w:tcPr>
            <w:tcW w:w="1048" w:type="dxa"/>
            <w:gridSpan w:val="2"/>
            <w:vAlign w:val="center"/>
          </w:tcPr>
          <w:p w14:paraId="1B53C786">
            <w:pPr>
              <w:spacing w:line="400" w:lineRule="exact"/>
              <w:jc w:val="center"/>
              <w:rPr>
                <w:rFonts w:asciiTheme="minorEastAsia" w:hAnsiTheme="minorEastAsia" w:eastAsiaTheme="minorEastAsia"/>
                <w:color w:val="auto"/>
                <w:highlight w:val="none"/>
              </w:rPr>
            </w:pPr>
          </w:p>
        </w:tc>
        <w:tc>
          <w:tcPr>
            <w:tcW w:w="958" w:type="dxa"/>
            <w:vAlign w:val="center"/>
          </w:tcPr>
          <w:p w14:paraId="5100EA72">
            <w:pPr>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年龄</w:t>
            </w:r>
          </w:p>
        </w:tc>
        <w:tc>
          <w:tcPr>
            <w:tcW w:w="1065" w:type="dxa"/>
            <w:vAlign w:val="center"/>
          </w:tcPr>
          <w:p w14:paraId="50ABED3B">
            <w:pPr>
              <w:spacing w:line="400" w:lineRule="exact"/>
              <w:jc w:val="center"/>
              <w:rPr>
                <w:rFonts w:asciiTheme="minorEastAsia" w:hAnsiTheme="minorEastAsia" w:eastAsiaTheme="minorEastAsia"/>
                <w:color w:val="auto"/>
                <w:highlight w:val="none"/>
              </w:rPr>
            </w:pPr>
          </w:p>
        </w:tc>
        <w:tc>
          <w:tcPr>
            <w:tcW w:w="2368" w:type="dxa"/>
            <w:gridSpan w:val="3"/>
            <w:vAlign w:val="center"/>
          </w:tcPr>
          <w:p w14:paraId="7BE17F12">
            <w:pPr>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执业资格证书（或上岗证书）名称</w:t>
            </w:r>
          </w:p>
        </w:tc>
        <w:tc>
          <w:tcPr>
            <w:tcW w:w="1896" w:type="dxa"/>
            <w:vAlign w:val="center"/>
          </w:tcPr>
          <w:p w14:paraId="1DAF6A0A">
            <w:pPr>
              <w:spacing w:line="400" w:lineRule="exact"/>
              <w:jc w:val="center"/>
              <w:rPr>
                <w:rFonts w:asciiTheme="minorEastAsia" w:hAnsiTheme="minorEastAsia" w:eastAsiaTheme="minorEastAsia"/>
                <w:color w:val="auto"/>
                <w:highlight w:val="none"/>
              </w:rPr>
            </w:pPr>
          </w:p>
        </w:tc>
      </w:tr>
      <w:tr w14:paraId="6F31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7E594710">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技术职称            </w:t>
            </w:r>
          </w:p>
        </w:tc>
        <w:tc>
          <w:tcPr>
            <w:tcW w:w="1048" w:type="dxa"/>
            <w:gridSpan w:val="2"/>
            <w:vAlign w:val="center"/>
          </w:tcPr>
          <w:p w14:paraId="1496DF0D">
            <w:pPr>
              <w:spacing w:line="400" w:lineRule="exact"/>
              <w:jc w:val="center"/>
              <w:rPr>
                <w:rFonts w:asciiTheme="minorEastAsia" w:hAnsiTheme="minorEastAsia" w:eastAsiaTheme="minorEastAsia"/>
                <w:color w:val="auto"/>
                <w:highlight w:val="none"/>
              </w:rPr>
            </w:pPr>
          </w:p>
        </w:tc>
        <w:tc>
          <w:tcPr>
            <w:tcW w:w="958" w:type="dxa"/>
            <w:vAlign w:val="center"/>
          </w:tcPr>
          <w:p w14:paraId="5C4084C0">
            <w:pPr>
              <w:spacing w:before="100" w:beforeAutospacing="1" w:after="100" w:afterAutospacing="1"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学历</w:t>
            </w:r>
          </w:p>
        </w:tc>
        <w:tc>
          <w:tcPr>
            <w:tcW w:w="1065" w:type="dxa"/>
            <w:vAlign w:val="center"/>
          </w:tcPr>
          <w:p w14:paraId="7F3B146B">
            <w:pPr>
              <w:spacing w:line="400" w:lineRule="exact"/>
              <w:jc w:val="center"/>
              <w:rPr>
                <w:rFonts w:asciiTheme="minorEastAsia" w:hAnsiTheme="minorEastAsia" w:eastAsiaTheme="minorEastAsia"/>
                <w:color w:val="auto"/>
                <w:highlight w:val="none"/>
              </w:rPr>
            </w:pPr>
          </w:p>
        </w:tc>
        <w:tc>
          <w:tcPr>
            <w:tcW w:w="2368" w:type="dxa"/>
            <w:gridSpan w:val="3"/>
            <w:vAlign w:val="center"/>
          </w:tcPr>
          <w:p w14:paraId="6C514106">
            <w:pPr>
              <w:spacing w:before="100" w:beforeAutospacing="1" w:after="100" w:afterAutospacing="1"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拟在本项目任职</w:t>
            </w:r>
          </w:p>
        </w:tc>
        <w:tc>
          <w:tcPr>
            <w:tcW w:w="1896" w:type="dxa"/>
            <w:vAlign w:val="center"/>
          </w:tcPr>
          <w:p w14:paraId="497EBCB1">
            <w:pPr>
              <w:spacing w:line="400" w:lineRule="exact"/>
              <w:jc w:val="center"/>
              <w:rPr>
                <w:rFonts w:asciiTheme="minorEastAsia" w:hAnsiTheme="minorEastAsia" w:eastAsiaTheme="minorEastAsia"/>
                <w:color w:val="auto"/>
                <w:highlight w:val="none"/>
              </w:rPr>
            </w:pPr>
          </w:p>
        </w:tc>
      </w:tr>
      <w:tr w14:paraId="6D67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70889A39">
            <w:pPr>
              <w:spacing w:before="100" w:beforeAutospacing="1" w:after="100" w:afterAutospacing="1"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工作年限</w:t>
            </w:r>
          </w:p>
        </w:tc>
        <w:tc>
          <w:tcPr>
            <w:tcW w:w="3071" w:type="dxa"/>
            <w:gridSpan w:val="4"/>
            <w:vAlign w:val="center"/>
          </w:tcPr>
          <w:p w14:paraId="6DAE1F93">
            <w:pPr>
              <w:spacing w:line="400" w:lineRule="exact"/>
              <w:jc w:val="center"/>
              <w:rPr>
                <w:rFonts w:asciiTheme="minorEastAsia" w:hAnsiTheme="minorEastAsia" w:eastAsiaTheme="minorEastAsia"/>
                <w:color w:val="auto"/>
                <w:highlight w:val="none"/>
              </w:rPr>
            </w:pPr>
          </w:p>
        </w:tc>
        <w:tc>
          <w:tcPr>
            <w:tcW w:w="2368" w:type="dxa"/>
            <w:gridSpan w:val="3"/>
            <w:vAlign w:val="center"/>
          </w:tcPr>
          <w:p w14:paraId="570B6587">
            <w:pPr>
              <w:spacing w:before="100" w:beforeAutospacing="1" w:after="100" w:afterAutospacing="1"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从事监理工作年限</w:t>
            </w:r>
          </w:p>
        </w:tc>
        <w:tc>
          <w:tcPr>
            <w:tcW w:w="1896" w:type="dxa"/>
            <w:vAlign w:val="center"/>
          </w:tcPr>
          <w:p w14:paraId="3F1C41DD">
            <w:pPr>
              <w:spacing w:line="400" w:lineRule="exact"/>
              <w:jc w:val="center"/>
              <w:rPr>
                <w:rFonts w:asciiTheme="minorEastAsia" w:hAnsiTheme="minorEastAsia" w:eastAsiaTheme="minorEastAsia"/>
                <w:color w:val="auto"/>
                <w:highlight w:val="none"/>
              </w:rPr>
            </w:pPr>
          </w:p>
        </w:tc>
      </w:tr>
      <w:tr w14:paraId="3D36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2A543C82">
            <w:pPr>
              <w:spacing w:before="100" w:beforeAutospacing="1" w:after="100" w:afterAutospacing="1"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毕业学校</w:t>
            </w:r>
          </w:p>
        </w:tc>
        <w:tc>
          <w:tcPr>
            <w:tcW w:w="7335" w:type="dxa"/>
            <w:gridSpan w:val="8"/>
            <w:vAlign w:val="center"/>
          </w:tcPr>
          <w:p w14:paraId="5B3DD2EA">
            <w:pPr>
              <w:spacing w:before="100" w:beforeAutospacing="1" w:after="100" w:afterAutospacing="1" w:line="400" w:lineRule="exact"/>
              <w:ind w:firstLine="1155" w:firstLineChars="550"/>
              <w:rPr>
                <w:rFonts w:asciiTheme="minorEastAsia" w:hAnsiTheme="minorEastAsia" w:eastAsiaTheme="minorEastAsia"/>
                <w:color w:val="auto"/>
                <w:highlight w:val="none"/>
              </w:rPr>
            </w:pPr>
            <w:r>
              <w:rPr>
                <w:rFonts w:asciiTheme="minorEastAsia" w:hAnsiTheme="minorEastAsia" w:eastAsiaTheme="minorEastAsia"/>
                <w:color w:val="auto"/>
                <w:highlight w:val="none"/>
              </w:rPr>
              <w:t>年毕业于            学校        专业</w:t>
            </w:r>
          </w:p>
        </w:tc>
      </w:tr>
      <w:tr w14:paraId="3B09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14:paraId="36194059">
            <w:pPr>
              <w:spacing w:before="100" w:beforeAutospacing="1" w:after="100" w:afterAutospacing="1" w:line="400" w:lineRule="exact"/>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主要工作经历</w:t>
            </w:r>
          </w:p>
        </w:tc>
      </w:tr>
      <w:tr w14:paraId="130E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14:paraId="6F906BE5">
            <w:pPr>
              <w:spacing w:before="100" w:beforeAutospacing="1" w:after="100" w:afterAutospacing="1"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时  间</w:t>
            </w:r>
          </w:p>
        </w:tc>
        <w:tc>
          <w:tcPr>
            <w:tcW w:w="3420" w:type="dxa"/>
            <w:gridSpan w:val="4"/>
            <w:vAlign w:val="center"/>
          </w:tcPr>
          <w:p w14:paraId="64C8F90B">
            <w:pPr>
              <w:spacing w:before="100" w:beforeAutospacing="1" w:after="100" w:afterAutospacing="1"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参加过的类似项目</w:t>
            </w:r>
          </w:p>
        </w:tc>
        <w:tc>
          <w:tcPr>
            <w:tcW w:w="1261" w:type="dxa"/>
            <w:vAlign w:val="center"/>
          </w:tcPr>
          <w:p w14:paraId="0A0158D3">
            <w:pPr>
              <w:spacing w:before="100" w:beforeAutospacing="1" w:after="100" w:afterAutospacing="1"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担任职务</w:t>
            </w:r>
          </w:p>
        </w:tc>
        <w:tc>
          <w:tcPr>
            <w:tcW w:w="2297" w:type="dxa"/>
            <w:gridSpan w:val="2"/>
            <w:vAlign w:val="center"/>
          </w:tcPr>
          <w:p w14:paraId="76495335">
            <w:pPr>
              <w:spacing w:before="100" w:beforeAutospacing="1" w:after="100" w:afterAutospacing="1"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委托人及联系电话</w:t>
            </w:r>
          </w:p>
        </w:tc>
      </w:tr>
      <w:tr w14:paraId="1AEC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14:paraId="09E756C0">
            <w:pPr>
              <w:spacing w:line="400" w:lineRule="exact"/>
              <w:rPr>
                <w:rFonts w:asciiTheme="minorEastAsia" w:hAnsiTheme="minorEastAsia" w:eastAsiaTheme="minorEastAsia"/>
                <w:color w:val="auto"/>
                <w:highlight w:val="none"/>
              </w:rPr>
            </w:pPr>
          </w:p>
        </w:tc>
        <w:tc>
          <w:tcPr>
            <w:tcW w:w="3420" w:type="dxa"/>
            <w:gridSpan w:val="4"/>
          </w:tcPr>
          <w:p w14:paraId="4D4C9798">
            <w:pPr>
              <w:spacing w:line="400" w:lineRule="exact"/>
              <w:rPr>
                <w:rFonts w:asciiTheme="minorEastAsia" w:hAnsiTheme="minorEastAsia" w:eastAsiaTheme="minorEastAsia"/>
                <w:color w:val="auto"/>
                <w:highlight w:val="none"/>
              </w:rPr>
            </w:pPr>
          </w:p>
        </w:tc>
        <w:tc>
          <w:tcPr>
            <w:tcW w:w="1261" w:type="dxa"/>
          </w:tcPr>
          <w:p w14:paraId="78DC044C">
            <w:pPr>
              <w:spacing w:line="400" w:lineRule="exact"/>
              <w:rPr>
                <w:rFonts w:asciiTheme="minorEastAsia" w:hAnsiTheme="minorEastAsia" w:eastAsiaTheme="minorEastAsia"/>
                <w:color w:val="auto"/>
                <w:highlight w:val="none"/>
              </w:rPr>
            </w:pPr>
          </w:p>
        </w:tc>
        <w:tc>
          <w:tcPr>
            <w:tcW w:w="2297" w:type="dxa"/>
            <w:gridSpan w:val="2"/>
          </w:tcPr>
          <w:p w14:paraId="06CCC39E">
            <w:pPr>
              <w:spacing w:line="400" w:lineRule="exact"/>
              <w:rPr>
                <w:rFonts w:asciiTheme="minorEastAsia" w:hAnsiTheme="minorEastAsia" w:eastAsiaTheme="minorEastAsia"/>
                <w:color w:val="auto"/>
                <w:highlight w:val="none"/>
              </w:rPr>
            </w:pPr>
          </w:p>
        </w:tc>
      </w:tr>
      <w:tr w14:paraId="3505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14:paraId="6AE04CBD">
            <w:pPr>
              <w:spacing w:line="400" w:lineRule="exact"/>
              <w:rPr>
                <w:rFonts w:asciiTheme="minorEastAsia" w:hAnsiTheme="minorEastAsia" w:eastAsiaTheme="minorEastAsia"/>
                <w:color w:val="auto"/>
                <w:highlight w:val="none"/>
              </w:rPr>
            </w:pPr>
          </w:p>
        </w:tc>
        <w:tc>
          <w:tcPr>
            <w:tcW w:w="3420" w:type="dxa"/>
            <w:gridSpan w:val="4"/>
          </w:tcPr>
          <w:p w14:paraId="60FB6C0F">
            <w:pPr>
              <w:spacing w:line="400" w:lineRule="exact"/>
              <w:rPr>
                <w:rFonts w:asciiTheme="minorEastAsia" w:hAnsiTheme="minorEastAsia" w:eastAsiaTheme="minorEastAsia"/>
                <w:color w:val="auto"/>
                <w:highlight w:val="none"/>
              </w:rPr>
            </w:pPr>
          </w:p>
        </w:tc>
        <w:tc>
          <w:tcPr>
            <w:tcW w:w="1261" w:type="dxa"/>
          </w:tcPr>
          <w:p w14:paraId="1FD124F8">
            <w:pPr>
              <w:spacing w:line="400" w:lineRule="exact"/>
              <w:rPr>
                <w:rFonts w:asciiTheme="minorEastAsia" w:hAnsiTheme="minorEastAsia" w:eastAsiaTheme="minorEastAsia"/>
                <w:color w:val="auto"/>
                <w:highlight w:val="none"/>
              </w:rPr>
            </w:pPr>
          </w:p>
        </w:tc>
        <w:tc>
          <w:tcPr>
            <w:tcW w:w="2297" w:type="dxa"/>
            <w:gridSpan w:val="2"/>
          </w:tcPr>
          <w:p w14:paraId="37600B34">
            <w:pPr>
              <w:spacing w:line="400" w:lineRule="exact"/>
              <w:rPr>
                <w:rFonts w:asciiTheme="minorEastAsia" w:hAnsiTheme="minorEastAsia" w:eastAsiaTheme="minorEastAsia"/>
                <w:color w:val="auto"/>
                <w:highlight w:val="none"/>
              </w:rPr>
            </w:pPr>
          </w:p>
        </w:tc>
      </w:tr>
      <w:tr w14:paraId="3B0E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14:paraId="7BFFF6A8">
            <w:pPr>
              <w:spacing w:line="400" w:lineRule="exact"/>
              <w:rPr>
                <w:rFonts w:asciiTheme="minorEastAsia" w:hAnsiTheme="minorEastAsia" w:eastAsiaTheme="minorEastAsia"/>
                <w:color w:val="auto"/>
                <w:highlight w:val="none"/>
              </w:rPr>
            </w:pPr>
          </w:p>
        </w:tc>
        <w:tc>
          <w:tcPr>
            <w:tcW w:w="3420" w:type="dxa"/>
            <w:gridSpan w:val="4"/>
          </w:tcPr>
          <w:p w14:paraId="4D5FBEDD">
            <w:pPr>
              <w:spacing w:line="400" w:lineRule="exact"/>
              <w:rPr>
                <w:rFonts w:asciiTheme="minorEastAsia" w:hAnsiTheme="minorEastAsia" w:eastAsiaTheme="minorEastAsia"/>
                <w:color w:val="auto"/>
                <w:highlight w:val="none"/>
              </w:rPr>
            </w:pPr>
          </w:p>
        </w:tc>
        <w:tc>
          <w:tcPr>
            <w:tcW w:w="1261" w:type="dxa"/>
          </w:tcPr>
          <w:p w14:paraId="23F26109">
            <w:pPr>
              <w:spacing w:line="400" w:lineRule="exact"/>
              <w:rPr>
                <w:rFonts w:asciiTheme="minorEastAsia" w:hAnsiTheme="minorEastAsia" w:eastAsiaTheme="minorEastAsia"/>
                <w:color w:val="auto"/>
                <w:highlight w:val="none"/>
              </w:rPr>
            </w:pPr>
          </w:p>
        </w:tc>
        <w:tc>
          <w:tcPr>
            <w:tcW w:w="2297" w:type="dxa"/>
            <w:gridSpan w:val="2"/>
          </w:tcPr>
          <w:p w14:paraId="4F19DACE">
            <w:pPr>
              <w:spacing w:line="400" w:lineRule="exact"/>
              <w:rPr>
                <w:rFonts w:asciiTheme="minorEastAsia" w:hAnsiTheme="minorEastAsia" w:eastAsiaTheme="minorEastAsia"/>
                <w:color w:val="auto"/>
                <w:highlight w:val="none"/>
              </w:rPr>
            </w:pPr>
          </w:p>
        </w:tc>
      </w:tr>
      <w:tr w14:paraId="60BD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14:paraId="6D041BA1">
            <w:pPr>
              <w:spacing w:line="400" w:lineRule="exact"/>
              <w:rPr>
                <w:rFonts w:asciiTheme="minorEastAsia" w:hAnsiTheme="minorEastAsia" w:eastAsiaTheme="minorEastAsia"/>
                <w:color w:val="auto"/>
                <w:highlight w:val="none"/>
              </w:rPr>
            </w:pPr>
          </w:p>
        </w:tc>
        <w:tc>
          <w:tcPr>
            <w:tcW w:w="3420" w:type="dxa"/>
            <w:gridSpan w:val="4"/>
            <w:vAlign w:val="center"/>
          </w:tcPr>
          <w:p w14:paraId="5939CE05">
            <w:pPr>
              <w:spacing w:line="400" w:lineRule="exact"/>
              <w:rPr>
                <w:rFonts w:asciiTheme="minorEastAsia" w:hAnsiTheme="minorEastAsia" w:eastAsiaTheme="minorEastAsia"/>
                <w:color w:val="auto"/>
                <w:highlight w:val="none"/>
              </w:rPr>
            </w:pPr>
          </w:p>
        </w:tc>
        <w:tc>
          <w:tcPr>
            <w:tcW w:w="1261" w:type="dxa"/>
            <w:vAlign w:val="center"/>
          </w:tcPr>
          <w:p w14:paraId="4CFDB036">
            <w:pPr>
              <w:spacing w:line="400" w:lineRule="exact"/>
              <w:rPr>
                <w:rFonts w:asciiTheme="minorEastAsia" w:hAnsiTheme="minorEastAsia" w:eastAsiaTheme="minorEastAsia"/>
                <w:color w:val="auto"/>
                <w:highlight w:val="none"/>
              </w:rPr>
            </w:pPr>
          </w:p>
        </w:tc>
        <w:tc>
          <w:tcPr>
            <w:tcW w:w="2297" w:type="dxa"/>
            <w:gridSpan w:val="2"/>
            <w:vAlign w:val="center"/>
          </w:tcPr>
          <w:p w14:paraId="1C68514C">
            <w:pPr>
              <w:spacing w:line="400" w:lineRule="exact"/>
              <w:rPr>
                <w:rFonts w:asciiTheme="minorEastAsia" w:hAnsiTheme="minorEastAsia" w:eastAsiaTheme="minorEastAsia"/>
                <w:color w:val="auto"/>
                <w:highlight w:val="none"/>
              </w:rPr>
            </w:pPr>
          </w:p>
        </w:tc>
      </w:tr>
      <w:tr w14:paraId="4764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14:paraId="05F59C00">
            <w:pPr>
              <w:spacing w:line="400" w:lineRule="exact"/>
              <w:rPr>
                <w:rFonts w:asciiTheme="minorEastAsia" w:hAnsiTheme="minorEastAsia" w:eastAsiaTheme="minorEastAsia"/>
                <w:color w:val="auto"/>
                <w:highlight w:val="none"/>
              </w:rPr>
            </w:pPr>
          </w:p>
        </w:tc>
        <w:tc>
          <w:tcPr>
            <w:tcW w:w="3420" w:type="dxa"/>
            <w:gridSpan w:val="4"/>
            <w:vAlign w:val="center"/>
          </w:tcPr>
          <w:p w14:paraId="5D1C94E8">
            <w:pPr>
              <w:spacing w:line="400" w:lineRule="exact"/>
              <w:rPr>
                <w:rFonts w:asciiTheme="minorEastAsia" w:hAnsiTheme="minorEastAsia" w:eastAsiaTheme="minorEastAsia"/>
                <w:color w:val="auto"/>
                <w:highlight w:val="none"/>
              </w:rPr>
            </w:pPr>
          </w:p>
        </w:tc>
        <w:tc>
          <w:tcPr>
            <w:tcW w:w="1261" w:type="dxa"/>
            <w:vAlign w:val="center"/>
          </w:tcPr>
          <w:p w14:paraId="51CF011D">
            <w:pPr>
              <w:spacing w:line="400" w:lineRule="exact"/>
              <w:rPr>
                <w:rFonts w:asciiTheme="minorEastAsia" w:hAnsiTheme="minorEastAsia" w:eastAsiaTheme="minorEastAsia"/>
                <w:color w:val="auto"/>
                <w:highlight w:val="none"/>
              </w:rPr>
            </w:pPr>
          </w:p>
        </w:tc>
        <w:tc>
          <w:tcPr>
            <w:tcW w:w="2297" w:type="dxa"/>
            <w:gridSpan w:val="2"/>
            <w:vAlign w:val="center"/>
          </w:tcPr>
          <w:p w14:paraId="642CB838">
            <w:pPr>
              <w:spacing w:line="400" w:lineRule="exact"/>
              <w:rPr>
                <w:rFonts w:asciiTheme="minorEastAsia" w:hAnsiTheme="minorEastAsia" w:eastAsiaTheme="minorEastAsia"/>
                <w:color w:val="auto"/>
                <w:highlight w:val="none"/>
              </w:rPr>
            </w:pPr>
          </w:p>
        </w:tc>
      </w:tr>
      <w:tr w14:paraId="19DE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14:paraId="7F6DCC4E">
            <w:pPr>
              <w:spacing w:line="400" w:lineRule="exact"/>
              <w:rPr>
                <w:rFonts w:asciiTheme="minorEastAsia" w:hAnsiTheme="minorEastAsia" w:eastAsiaTheme="minorEastAsia"/>
                <w:color w:val="auto"/>
                <w:highlight w:val="none"/>
              </w:rPr>
            </w:pPr>
          </w:p>
        </w:tc>
        <w:tc>
          <w:tcPr>
            <w:tcW w:w="3420" w:type="dxa"/>
            <w:gridSpan w:val="4"/>
            <w:vAlign w:val="center"/>
          </w:tcPr>
          <w:p w14:paraId="348F3DE0">
            <w:pPr>
              <w:spacing w:line="400" w:lineRule="exact"/>
              <w:rPr>
                <w:rFonts w:asciiTheme="minorEastAsia" w:hAnsiTheme="minorEastAsia" w:eastAsiaTheme="minorEastAsia"/>
                <w:color w:val="auto"/>
                <w:highlight w:val="none"/>
              </w:rPr>
            </w:pPr>
          </w:p>
        </w:tc>
        <w:tc>
          <w:tcPr>
            <w:tcW w:w="1261" w:type="dxa"/>
            <w:vAlign w:val="center"/>
          </w:tcPr>
          <w:p w14:paraId="3E1873AA">
            <w:pPr>
              <w:spacing w:line="400" w:lineRule="exact"/>
              <w:rPr>
                <w:rFonts w:asciiTheme="minorEastAsia" w:hAnsiTheme="minorEastAsia" w:eastAsiaTheme="minorEastAsia"/>
                <w:color w:val="auto"/>
                <w:highlight w:val="none"/>
              </w:rPr>
            </w:pPr>
          </w:p>
        </w:tc>
        <w:tc>
          <w:tcPr>
            <w:tcW w:w="2297" w:type="dxa"/>
            <w:gridSpan w:val="2"/>
            <w:vAlign w:val="center"/>
          </w:tcPr>
          <w:p w14:paraId="32B081EC">
            <w:pPr>
              <w:spacing w:line="400" w:lineRule="exact"/>
              <w:rPr>
                <w:rFonts w:asciiTheme="minorEastAsia" w:hAnsiTheme="minorEastAsia" w:eastAsiaTheme="minorEastAsia"/>
                <w:color w:val="auto"/>
                <w:highlight w:val="none"/>
              </w:rPr>
            </w:pPr>
          </w:p>
        </w:tc>
      </w:tr>
      <w:tr w14:paraId="3159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14:paraId="696196D2">
            <w:pPr>
              <w:spacing w:line="400" w:lineRule="exact"/>
              <w:rPr>
                <w:rFonts w:asciiTheme="minorEastAsia" w:hAnsiTheme="minorEastAsia" w:eastAsiaTheme="minorEastAsia"/>
                <w:color w:val="auto"/>
                <w:highlight w:val="none"/>
              </w:rPr>
            </w:pPr>
          </w:p>
        </w:tc>
        <w:tc>
          <w:tcPr>
            <w:tcW w:w="3420" w:type="dxa"/>
            <w:gridSpan w:val="4"/>
            <w:vAlign w:val="center"/>
          </w:tcPr>
          <w:p w14:paraId="40CE035C">
            <w:pPr>
              <w:spacing w:line="400" w:lineRule="exact"/>
              <w:rPr>
                <w:rFonts w:asciiTheme="minorEastAsia" w:hAnsiTheme="minorEastAsia" w:eastAsiaTheme="minorEastAsia"/>
                <w:color w:val="auto"/>
                <w:highlight w:val="none"/>
              </w:rPr>
            </w:pPr>
          </w:p>
        </w:tc>
        <w:tc>
          <w:tcPr>
            <w:tcW w:w="1261" w:type="dxa"/>
            <w:vAlign w:val="center"/>
          </w:tcPr>
          <w:p w14:paraId="4F5FBA08">
            <w:pPr>
              <w:spacing w:line="400" w:lineRule="exact"/>
              <w:rPr>
                <w:rFonts w:asciiTheme="minorEastAsia" w:hAnsiTheme="minorEastAsia" w:eastAsiaTheme="minorEastAsia"/>
                <w:color w:val="auto"/>
                <w:highlight w:val="none"/>
              </w:rPr>
            </w:pPr>
          </w:p>
        </w:tc>
        <w:tc>
          <w:tcPr>
            <w:tcW w:w="2297" w:type="dxa"/>
            <w:gridSpan w:val="2"/>
            <w:vAlign w:val="center"/>
          </w:tcPr>
          <w:p w14:paraId="08314723">
            <w:pPr>
              <w:spacing w:line="400" w:lineRule="exact"/>
              <w:rPr>
                <w:rFonts w:asciiTheme="minorEastAsia" w:hAnsiTheme="minorEastAsia" w:eastAsiaTheme="minorEastAsia"/>
                <w:color w:val="auto"/>
                <w:highlight w:val="none"/>
              </w:rPr>
            </w:pPr>
          </w:p>
        </w:tc>
      </w:tr>
    </w:tbl>
    <w:p w14:paraId="7189C221">
      <w:pPr>
        <w:spacing w:line="360" w:lineRule="auto"/>
        <w:ind w:firstLine="420" w:firstLineChars="200"/>
        <w:rPr>
          <w:rFonts w:asciiTheme="minorEastAsia" w:hAnsiTheme="minorEastAsia" w:eastAsiaTheme="minorEastAsia"/>
          <w:color w:val="auto"/>
          <w:highlight w:val="none"/>
        </w:rPr>
      </w:pPr>
    </w:p>
    <w:p w14:paraId="21A1FB2A">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注：投标人应根据投标人须知前附表第</w:t>
      </w:r>
      <w:r>
        <w:rPr>
          <w:rFonts w:hint="eastAsia" w:asciiTheme="minorEastAsia" w:hAnsiTheme="minorEastAsia" w:eastAsiaTheme="minorEastAsia"/>
          <w:color w:val="auto"/>
          <w:highlight w:val="none"/>
        </w:rPr>
        <w:t>1.4.1项“拟派监理人员”</w:t>
      </w:r>
      <w:r>
        <w:rPr>
          <w:rFonts w:asciiTheme="minorEastAsia" w:hAnsiTheme="minorEastAsia" w:eastAsiaTheme="minorEastAsia"/>
          <w:color w:val="auto"/>
          <w:highlight w:val="none"/>
        </w:rPr>
        <w:t>在本表后附相关证明材料。</w:t>
      </w:r>
    </w:p>
    <w:p w14:paraId="3E3F794C">
      <w:pPr>
        <w:spacing w:line="360" w:lineRule="auto"/>
        <w:rPr>
          <w:rFonts w:ascii="宋体" w:hAnsi="宋体" w:cs="宋体"/>
          <w:color w:val="auto"/>
          <w:highlight w:val="none"/>
        </w:rPr>
      </w:pPr>
    </w:p>
    <w:p w14:paraId="1428EED9">
      <w:pPr>
        <w:pStyle w:val="8"/>
        <w:rPr>
          <w:rFonts w:ascii="宋体" w:hAnsi="宋体" w:cs="宋体"/>
          <w:color w:val="auto"/>
          <w:highlight w:val="none"/>
        </w:rPr>
      </w:pPr>
    </w:p>
    <w:p w14:paraId="1438FE21">
      <w:pPr>
        <w:rPr>
          <w:rFonts w:ascii="宋体" w:hAnsi="宋体" w:cs="宋体"/>
          <w:color w:val="auto"/>
          <w:highlight w:val="none"/>
        </w:rPr>
      </w:pPr>
    </w:p>
    <w:p w14:paraId="7A16E426">
      <w:pPr>
        <w:pStyle w:val="8"/>
        <w:rPr>
          <w:rFonts w:ascii="宋体" w:hAnsi="宋体" w:cs="宋体"/>
          <w:color w:val="auto"/>
          <w:highlight w:val="none"/>
        </w:rPr>
      </w:pPr>
    </w:p>
    <w:p w14:paraId="3342EDE0">
      <w:pPr>
        <w:rPr>
          <w:rFonts w:ascii="宋体" w:hAnsi="宋体" w:cs="宋体"/>
          <w:color w:val="auto"/>
          <w:highlight w:val="none"/>
        </w:rPr>
      </w:pPr>
    </w:p>
    <w:p w14:paraId="15BD73BE">
      <w:pPr>
        <w:pStyle w:val="8"/>
        <w:rPr>
          <w:rFonts w:ascii="宋体" w:hAnsi="宋体" w:cs="宋体"/>
          <w:color w:val="auto"/>
          <w:highlight w:val="none"/>
        </w:rPr>
      </w:pPr>
    </w:p>
    <w:p w14:paraId="1BE7BDE1">
      <w:pPr>
        <w:rPr>
          <w:rFonts w:ascii="宋体" w:hAnsi="宋体" w:cs="宋体"/>
          <w:color w:val="auto"/>
          <w:highlight w:val="none"/>
        </w:rPr>
      </w:pPr>
    </w:p>
    <w:p w14:paraId="40C1A1BA">
      <w:pPr>
        <w:pStyle w:val="8"/>
        <w:rPr>
          <w:rFonts w:ascii="宋体" w:hAnsi="宋体" w:cs="宋体"/>
          <w:color w:val="auto"/>
          <w:highlight w:val="none"/>
        </w:rPr>
      </w:pPr>
    </w:p>
    <w:p w14:paraId="6C64BA7B">
      <w:pPr>
        <w:rPr>
          <w:rFonts w:ascii="宋体" w:hAnsi="宋体" w:cs="宋体"/>
          <w:color w:val="auto"/>
          <w:highlight w:val="none"/>
        </w:rPr>
      </w:pPr>
    </w:p>
    <w:p w14:paraId="5E72C240">
      <w:pPr>
        <w:pStyle w:val="8"/>
        <w:rPr>
          <w:rFonts w:ascii="宋体" w:hAnsi="宋体" w:cs="宋体"/>
          <w:color w:val="auto"/>
          <w:highlight w:val="none"/>
        </w:rPr>
      </w:pPr>
    </w:p>
    <w:p w14:paraId="4BC43905">
      <w:pPr>
        <w:rPr>
          <w:rFonts w:ascii="宋体" w:hAnsi="宋体" w:cs="宋体"/>
          <w:color w:val="auto"/>
          <w:highlight w:val="none"/>
        </w:rPr>
      </w:pPr>
    </w:p>
    <w:p w14:paraId="1ED33870">
      <w:pPr>
        <w:pStyle w:val="8"/>
        <w:rPr>
          <w:rFonts w:ascii="宋体" w:hAnsi="宋体" w:cs="宋体"/>
          <w:color w:val="auto"/>
          <w:highlight w:val="none"/>
        </w:rPr>
      </w:pPr>
    </w:p>
    <w:p w14:paraId="61560991">
      <w:pPr>
        <w:rPr>
          <w:rFonts w:ascii="宋体" w:hAnsi="宋体" w:cs="宋体"/>
          <w:color w:val="auto"/>
          <w:highlight w:val="none"/>
        </w:rPr>
      </w:pPr>
    </w:p>
    <w:p w14:paraId="60A6E1BD">
      <w:pPr>
        <w:pStyle w:val="8"/>
        <w:rPr>
          <w:color w:val="auto"/>
          <w:highlight w:val="none"/>
        </w:rPr>
      </w:pPr>
    </w:p>
    <w:p w14:paraId="3778A3B9">
      <w:pPr>
        <w:pStyle w:val="8"/>
        <w:rPr>
          <w:color w:val="auto"/>
          <w:highlight w:val="none"/>
        </w:rPr>
      </w:pPr>
    </w:p>
    <w:p w14:paraId="7BAB5493">
      <w:pPr>
        <w:pStyle w:val="5"/>
        <w:spacing w:before="0" w:line="360" w:lineRule="auto"/>
        <w:jc w:val="center"/>
        <w:rPr>
          <w:rFonts w:ascii="宋体" w:hAnsi="宋体" w:cs="宋体"/>
          <w:color w:val="auto"/>
          <w:highlight w:val="none"/>
        </w:rPr>
      </w:pPr>
      <w:bookmarkStart w:id="828" w:name="_Toc509218867"/>
      <w:bookmarkStart w:id="829" w:name="_Toc14121"/>
      <w:bookmarkStart w:id="830" w:name="_Toc13989"/>
      <w:bookmarkStart w:id="831" w:name="_Toc17051"/>
      <w:bookmarkStart w:id="832" w:name="_Toc40569221"/>
      <w:r>
        <w:rPr>
          <w:rFonts w:hint="eastAsia" w:ascii="宋体" w:hAnsi="宋体" w:cs="宋体"/>
          <w:b w:val="0"/>
          <w:color w:val="auto"/>
          <w:highlight w:val="none"/>
        </w:rPr>
        <w:t>（七）</w:t>
      </w:r>
      <w:bookmarkEnd w:id="828"/>
      <w:r>
        <w:rPr>
          <w:rFonts w:hint="eastAsia" w:ascii="宋体" w:hAnsi="宋体" w:cs="宋体"/>
          <w:b w:val="0"/>
          <w:color w:val="auto"/>
          <w:highlight w:val="none"/>
        </w:rPr>
        <w:t>其他资料</w:t>
      </w:r>
      <w:bookmarkEnd w:id="829"/>
      <w:bookmarkEnd w:id="830"/>
      <w:bookmarkEnd w:id="831"/>
      <w:bookmarkEnd w:id="832"/>
    </w:p>
    <w:bookmarkEnd w:id="741"/>
    <w:bookmarkEnd w:id="742"/>
    <w:bookmarkEnd w:id="743"/>
    <w:p w14:paraId="42FE34E4">
      <w:pPr>
        <w:pStyle w:val="2"/>
        <w:numPr>
          <w:ilvl w:val="0"/>
          <w:numId w:val="5"/>
        </w:numPr>
        <w:tabs>
          <w:tab w:val="left" w:pos="786"/>
        </w:tabs>
        <w:rPr>
          <w:color w:val="auto"/>
          <w:highlight w:val="none"/>
        </w:rPr>
      </w:pPr>
      <w:r>
        <w:rPr>
          <w:rFonts w:hint="eastAsia"/>
          <w:color w:val="auto"/>
          <w:highlight w:val="none"/>
        </w:rPr>
        <w:t>......</w:t>
      </w:r>
      <w:r>
        <w:rPr>
          <w:color w:val="auto"/>
          <w:highlight w:val="none"/>
        </w:rPr>
        <w:tab/>
      </w:r>
    </w:p>
    <w:p w14:paraId="20E43DC2">
      <w:pPr>
        <w:rPr>
          <w:color w:val="auto"/>
          <w:highlight w:val="none"/>
        </w:rPr>
      </w:pPr>
    </w:p>
    <w:p w14:paraId="035AB6E0">
      <w:pPr>
        <w:pStyle w:val="2"/>
        <w:rPr>
          <w:color w:val="auto"/>
          <w:highlight w:val="none"/>
        </w:rPr>
      </w:pPr>
    </w:p>
    <w:p w14:paraId="79F60F85">
      <w:pPr>
        <w:rPr>
          <w:color w:val="auto"/>
          <w:highlight w:val="none"/>
        </w:rPr>
      </w:pPr>
    </w:p>
    <w:p w14:paraId="543C1FB0">
      <w:pPr>
        <w:pStyle w:val="2"/>
        <w:rPr>
          <w:color w:val="auto"/>
          <w:highlight w:val="none"/>
        </w:rPr>
      </w:pPr>
    </w:p>
    <w:p w14:paraId="608E14DE">
      <w:pPr>
        <w:rPr>
          <w:color w:val="auto"/>
          <w:highlight w:val="none"/>
        </w:rPr>
      </w:pPr>
    </w:p>
    <w:p w14:paraId="589F5B0F">
      <w:pPr>
        <w:pStyle w:val="2"/>
        <w:rPr>
          <w:color w:val="auto"/>
          <w:highlight w:val="none"/>
        </w:rPr>
      </w:pPr>
    </w:p>
    <w:p w14:paraId="29F8C927">
      <w:pPr>
        <w:rPr>
          <w:color w:val="auto"/>
          <w:highlight w:val="none"/>
        </w:rPr>
      </w:pPr>
    </w:p>
    <w:p w14:paraId="2E29533E">
      <w:pPr>
        <w:pStyle w:val="2"/>
        <w:rPr>
          <w:color w:val="auto"/>
          <w:highlight w:val="none"/>
        </w:rPr>
      </w:pPr>
    </w:p>
    <w:p w14:paraId="3EEFF168">
      <w:pPr>
        <w:rPr>
          <w:color w:val="auto"/>
          <w:highlight w:val="none"/>
        </w:rPr>
      </w:pPr>
    </w:p>
    <w:p w14:paraId="140F1A7E">
      <w:pPr>
        <w:rPr>
          <w:color w:val="auto"/>
          <w:highlight w:val="none"/>
        </w:rPr>
      </w:pPr>
    </w:p>
    <w:p w14:paraId="7581EFB4">
      <w:pPr>
        <w:pStyle w:val="2"/>
        <w:jc w:val="center"/>
        <w:rPr>
          <w:color w:val="auto"/>
          <w:highlight w:val="none"/>
        </w:rPr>
      </w:pPr>
      <w:r>
        <w:rPr>
          <w:rFonts w:hint="eastAsia"/>
          <w:color w:val="auto"/>
          <w:highlight w:val="none"/>
        </w:rPr>
        <w:t>（结束）</w:t>
      </w:r>
    </w:p>
    <w:sectPr>
      <w:headerReference r:id="rId3" w:type="default"/>
      <w:footerReference r:id="rId4" w:type="default"/>
      <w:footerReference r:id="rId5" w:type="even"/>
      <w:pgSz w:w="11906" w:h="16838"/>
      <w:pgMar w:top="1304" w:right="1134" w:bottom="1304" w:left="1304" w:header="567"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031DE">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53266">
                          <w:pPr>
                            <w:pStyle w:val="13"/>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muik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JmuiktAgAAWQQAAA4AAAAAAAAAAQAgAAAAHwEAAGRycy9lMm9Eb2MueG1sUEsFBgAAAAAG&#10;AAYAWQEAAL4FAAAAAA==&#10;">
              <v:fill on="f" focussize="0,0"/>
              <v:stroke on="f" weight="0.5pt"/>
              <v:imagedata o:title=""/>
              <o:lock v:ext="edit" aspectratio="f"/>
              <v:textbox inset="0mm,0mm,0mm,0mm" style="mso-fit-shape-to-text:t;">
                <w:txbxContent>
                  <w:p w14:paraId="47C53266">
                    <w:pPr>
                      <w:pStyle w:val="13"/>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FC635">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264</w:t>
    </w:r>
    <w:r>
      <w:fldChar w:fldCharType="end"/>
    </w:r>
  </w:p>
  <w:p w14:paraId="0423E70E">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309FB">
    <w:pPr>
      <w:pStyle w:val="14"/>
      <w:pBdr>
        <w:bottom w:val="none" w:color="auto" w:sz="0" w:space="1"/>
      </w:pBdr>
      <w:ind w:firstLine="540" w:firstLineChars="300"/>
      <w:jc w:val="both"/>
    </w:pPr>
    <w:r>
      <w:rPr>
        <w:rFonts w:hint="eastAsia"/>
      </w:rPr>
      <w:t xml:space="preserve">                                 </w:t>
    </w:r>
  </w:p>
  <w:p w14:paraId="4A7DF4F5">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462EF"/>
    <w:multiLevelType w:val="singleLevel"/>
    <w:tmpl w:val="846462EF"/>
    <w:lvl w:ilvl="0" w:tentative="0">
      <w:start w:val="3"/>
      <w:numFmt w:val="decimal"/>
      <w:suff w:val="nothing"/>
      <w:lvlText w:val="（%1）"/>
      <w:lvlJc w:val="left"/>
    </w:lvl>
  </w:abstractNum>
  <w:abstractNum w:abstractNumId="1">
    <w:nsid w:val="886BAA23"/>
    <w:multiLevelType w:val="singleLevel"/>
    <w:tmpl w:val="886BAA23"/>
    <w:lvl w:ilvl="0" w:tentative="0">
      <w:start w:val="1"/>
      <w:numFmt w:val="decimal"/>
      <w:suff w:val="nothing"/>
      <w:lvlText w:val="%1、"/>
      <w:lvlJc w:val="left"/>
    </w:lvl>
  </w:abstractNum>
  <w:abstractNum w:abstractNumId="2">
    <w:nsid w:val="C7E8F8E5"/>
    <w:multiLevelType w:val="singleLevel"/>
    <w:tmpl w:val="C7E8F8E5"/>
    <w:lvl w:ilvl="0" w:tentative="0">
      <w:start w:val="2"/>
      <w:numFmt w:val="decimal"/>
      <w:suff w:val="space"/>
      <w:lvlText w:val="%1."/>
      <w:lvlJc w:val="left"/>
    </w:lvl>
  </w:abstractNum>
  <w:abstractNum w:abstractNumId="3">
    <w:nsid w:val="076391B8"/>
    <w:multiLevelType w:val="singleLevel"/>
    <w:tmpl w:val="076391B8"/>
    <w:lvl w:ilvl="0" w:tentative="0">
      <w:start w:val="2"/>
      <w:numFmt w:val="chineseCounting"/>
      <w:suff w:val="nothing"/>
      <w:lvlText w:val="%1、"/>
      <w:lvlJc w:val="left"/>
      <w:rPr>
        <w:rFonts w:hint="eastAsia"/>
      </w:rPr>
    </w:lvl>
  </w:abstractNum>
  <w:abstractNum w:abstractNumId="4">
    <w:nsid w:val="49EA6324"/>
    <w:multiLevelType w:val="multilevel"/>
    <w:tmpl w:val="49EA6324"/>
    <w:lvl w:ilvl="0" w:tentative="0">
      <w:start w:val="1"/>
      <w:numFmt w:val="decimal"/>
      <w:lvlText w:val="%1"/>
      <w:lvlJc w:val="left"/>
      <w:pPr>
        <w:ind w:left="480" w:hanging="480"/>
      </w:pPr>
      <w:rPr>
        <w:rFonts w:hint="default"/>
        <w:sz w:val="24"/>
      </w:rPr>
    </w:lvl>
    <w:lvl w:ilvl="1" w:tentative="0">
      <w:start w:val="1"/>
      <w:numFmt w:val="decimal"/>
      <w:lvlText w:val="%1-%2"/>
      <w:lvlJc w:val="left"/>
      <w:pPr>
        <w:ind w:left="960" w:hanging="480"/>
      </w:pPr>
      <w:rPr>
        <w:rFonts w:hint="default"/>
        <w:sz w:val="24"/>
      </w:rPr>
    </w:lvl>
    <w:lvl w:ilvl="2" w:tentative="0">
      <w:start w:val="1"/>
      <w:numFmt w:val="decimal"/>
      <w:lvlText w:val="%1-%2.%3"/>
      <w:lvlJc w:val="left"/>
      <w:pPr>
        <w:ind w:left="1680" w:hanging="720"/>
      </w:pPr>
      <w:rPr>
        <w:rFonts w:hint="default"/>
        <w:sz w:val="24"/>
      </w:rPr>
    </w:lvl>
    <w:lvl w:ilvl="3" w:tentative="0">
      <w:start w:val="1"/>
      <w:numFmt w:val="decimal"/>
      <w:lvlText w:val="%1-%2.%3.%4"/>
      <w:lvlJc w:val="left"/>
      <w:pPr>
        <w:ind w:left="2520" w:hanging="1080"/>
      </w:pPr>
      <w:rPr>
        <w:rFonts w:hint="default"/>
        <w:sz w:val="24"/>
      </w:rPr>
    </w:lvl>
    <w:lvl w:ilvl="4" w:tentative="0">
      <w:start w:val="1"/>
      <w:numFmt w:val="decimal"/>
      <w:lvlText w:val="%1-%2.%3.%4.%5"/>
      <w:lvlJc w:val="left"/>
      <w:pPr>
        <w:ind w:left="3000" w:hanging="1080"/>
      </w:pPr>
      <w:rPr>
        <w:rFonts w:hint="default"/>
        <w:sz w:val="24"/>
      </w:rPr>
    </w:lvl>
    <w:lvl w:ilvl="5" w:tentative="0">
      <w:start w:val="1"/>
      <w:numFmt w:val="decimal"/>
      <w:lvlText w:val="%1-%2.%3.%4.%5.%6"/>
      <w:lvlJc w:val="left"/>
      <w:pPr>
        <w:ind w:left="3840" w:hanging="1440"/>
      </w:pPr>
      <w:rPr>
        <w:rFonts w:hint="default"/>
        <w:sz w:val="24"/>
      </w:rPr>
    </w:lvl>
    <w:lvl w:ilvl="6" w:tentative="0">
      <w:start w:val="1"/>
      <w:numFmt w:val="decimal"/>
      <w:lvlText w:val="%1-%2.%3.%4.%5.%6.%7"/>
      <w:lvlJc w:val="left"/>
      <w:pPr>
        <w:ind w:left="4320" w:hanging="1440"/>
      </w:pPr>
      <w:rPr>
        <w:rFonts w:hint="default"/>
        <w:sz w:val="24"/>
      </w:rPr>
    </w:lvl>
    <w:lvl w:ilvl="7" w:tentative="0">
      <w:start w:val="1"/>
      <w:numFmt w:val="decimal"/>
      <w:lvlText w:val="%1-%2.%3.%4.%5.%6.%7.%8"/>
      <w:lvlJc w:val="left"/>
      <w:pPr>
        <w:ind w:left="5160" w:hanging="1800"/>
      </w:pPr>
      <w:rPr>
        <w:rFonts w:hint="default"/>
        <w:sz w:val="24"/>
      </w:rPr>
    </w:lvl>
    <w:lvl w:ilvl="8" w:tentative="0">
      <w:start w:val="1"/>
      <w:numFmt w:val="decimal"/>
      <w:lvlText w:val="%1-%2.%3.%4.%5.%6.%7.%8.%9"/>
      <w:lvlJc w:val="left"/>
      <w:pPr>
        <w:ind w:left="5640" w:hanging="1800"/>
      </w:pPr>
      <w:rPr>
        <w:rFonts w:hint="default"/>
        <w:sz w:val="24"/>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OTk2YmZjZjk1ODc5MjY5ZjA2ZTRkM2U4ZGMwMmQifQ=="/>
  </w:docVars>
  <w:rsids>
    <w:rsidRoot w:val="2FFE23A7"/>
    <w:rsid w:val="00000C8E"/>
    <w:rsid w:val="00002B37"/>
    <w:rsid w:val="000033E5"/>
    <w:rsid w:val="0002722D"/>
    <w:rsid w:val="00055FDF"/>
    <w:rsid w:val="00064D13"/>
    <w:rsid w:val="00073E24"/>
    <w:rsid w:val="000A5C0C"/>
    <w:rsid w:val="000A5C3D"/>
    <w:rsid w:val="000C7527"/>
    <w:rsid w:val="000D726C"/>
    <w:rsid w:val="000E44F5"/>
    <w:rsid w:val="000F53C0"/>
    <w:rsid w:val="000F5632"/>
    <w:rsid w:val="00117163"/>
    <w:rsid w:val="00143374"/>
    <w:rsid w:val="00144007"/>
    <w:rsid w:val="00153DA9"/>
    <w:rsid w:val="001B481A"/>
    <w:rsid w:val="001B768B"/>
    <w:rsid w:val="001C2067"/>
    <w:rsid w:val="001C5BDC"/>
    <w:rsid w:val="001E6323"/>
    <w:rsid w:val="00234C90"/>
    <w:rsid w:val="002566D5"/>
    <w:rsid w:val="002629B8"/>
    <w:rsid w:val="00267283"/>
    <w:rsid w:val="002765D4"/>
    <w:rsid w:val="00294F67"/>
    <w:rsid w:val="0029634C"/>
    <w:rsid w:val="002B7C23"/>
    <w:rsid w:val="00312024"/>
    <w:rsid w:val="00313C18"/>
    <w:rsid w:val="0032001C"/>
    <w:rsid w:val="0032066B"/>
    <w:rsid w:val="0032226A"/>
    <w:rsid w:val="00322BB3"/>
    <w:rsid w:val="00342349"/>
    <w:rsid w:val="00353965"/>
    <w:rsid w:val="00354867"/>
    <w:rsid w:val="00375856"/>
    <w:rsid w:val="00387B80"/>
    <w:rsid w:val="003C2355"/>
    <w:rsid w:val="003C740C"/>
    <w:rsid w:val="004010C5"/>
    <w:rsid w:val="0040385C"/>
    <w:rsid w:val="00430E7F"/>
    <w:rsid w:val="00467B2C"/>
    <w:rsid w:val="004A7B15"/>
    <w:rsid w:val="004C05E5"/>
    <w:rsid w:val="004C4CAE"/>
    <w:rsid w:val="004C69CC"/>
    <w:rsid w:val="004E2A3C"/>
    <w:rsid w:val="004F65F7"/>
    <w:rsid w:val="005370DE"/>
    <w:rsid w:val="00542DF8"/>
    <w:rsid w:val="00556464"/>
    <w:rsid w:val="005604C1"/>
    <w:rsid w:val="0057391E"/>
    <w:rsid w:val="005763A9"/>
    <w:rsid w:val="005776C6"/>
    <w:rsid w:val="00583DD2"/>
    <w:rsid w:val="005A3387"/>
    <w:rsid w:val="00613AB1"/>
    <w:rsid w:val="00637EEC"/>
    <w:rsid w:val="00651304"/>
    <w:rsid w:val="00663D2E"/>
    <w:rsid w:val="00682E4A"/>
    <w:rsid w:val="00694480"/>
    <w:rsid w:val="006B4869"/>
    <w:rsid w:val="006F242D"/>
    <w:rsid w:val="00724A8C"/>
    <w:rsid w:val="007257AD"/>
    <w:rsid w:val="00727D64"/>
    <w:rsid w:val="007358D2"/>
    <w:rsid w:val="00742199"/>
    <w:rsid w:val="00782E30"/>
    <w:rsid w:val="007A3440"/>
    <w:rsid w:val="007B781D"/>
    <w:rsid w:val="007C065A"/>
    <w:rsid w:val="007C3D1C"/>
    <w:rsid w:val="007E0EA6"/>
    <w:rsid w:val="007E2BAD"/>
    <w:rsid w:val="00804464"/>
    <w:rsid w:val="00805E18"/>
    <w:rsid w:val="00813FC0"/>
    <w:rsid w:val="0082335B"/>
    <w:rsid w:val="00823CFA"/>
    <w:rsid w:val="00831EDC"/>
    <w:rsid w:val="00844310"/>
    <w:rsid w:val="0084511E"/>
    <w:rsid w:val="0084759E"/>
    <w:rsid w:val="00847BE4"/>
    <w:rsid w:val="008550AD"/>
    <w:rsid w:val="00865809"/>
    <w:rsid w:val="00885C3B"/>
    <w:rsid w:val="0089167A"/>
    <w:rsid w:val="008921BD"/>
    <w:rsid w:val="008C7427"/>
    <w:rsid w:val="009054EA"/>
    <w:rsid w:val="00934868"/>
    <w:rsid w:val="00942580"/>
    <w:rsid w:val="009710EC"/>
    <w:rsid w:val="00971741"/>
    <w:rsid w:val="00971F07"/>
    <w:rsid w:val="00973B42"/>
    <w:rsid w:val="0099102C"/>
    <w:rsid w:val="009A36C0"/>
    <w:rsid w:val="009A6B27"/>
    <w:rsid w:val="009B6E03"/>
    <w:rsid w:val="009D1E1D"/>
    <w:rsid w:val="009D3690"/>
    <w:rsid w:val="00A21778"/>
    <w:rsid w:val="00A42E85"/>
    <w:rsid w:val="00A82919"/>
    <w:rsid w:val="00AA21E7"/>
    <w:rsid w:val="00AB1CD5"/>
    <w:rsid w:val="00AC2F56"/>
    <w:rsid w:val="00AC52CF"/>
    <w:rsid w:val="00AD5691"/>
    <w:rsid w:val="00AE702E"/>
    <w:rsid w:val="00AF5A6D"/>
    <w:rsid w:val="00B0343C"/>
    <w:rsid w:val="00B263E7"/>
    <w:rsid w:val="00B47711"/>
    <w:rsid w:val="00B727C6"/>
    <w:rsid w:val="00B83B3F"/>
    <w:rsid w:val="00B861DD"/>
    <w:rsid w:val="00BA273E"/>
    <w:rsid w:val="00BC6456"/>
    <w:rsid w:val="00BD0A58"/>
    <w:rsid w:val="00BD1D2F"/>
    <w:rsid w:val="00BE4520"/>
    <w:rsid w:val="00C17192"/>
    <w:rsid w:val="00C203EA"/>
    <w:rsid w:val="00C46144"/>
    <w:rsid w:val="00CC054F"/>
    <w:rsid w:val="00CC5D02"/>
    <w:rsid w:val="00CD4C57"/>
    <w:rsid w:val="00CD6064"/>
    <w:rsid w:val="00CF7EB4"/>
    <w:rsid w:val="00D11AD0"/>
    <w:rsid w:val="00D21BA6"/>
    <w:rsid w:val="00D41C61"/>
    <w:rsid w:val="00D861DD"/>
    <w:rsid w:val="00D9771E"/>
    <w:rsid w:val="00DB0D93"/>
    <w:rsid w:val="00DD2D76"/>
    <w:rsid w:val="00DD46EB"/>
    <w:rsid w:val="00DF1354"/>
    <w:rsid w:val="00DF2F7F"/>
    <w:rsid w:val="00E1048D"/>
    <w:rsid w:val="00E16280"/>
    <w:rsid w:val="00E303D2"/>
    <w:rsid w:val="00E47489"/>
    <w:rsid w:val="00E52C41"/>
    <w:rsid w:val="00E62407"/>
    <w:rsid w:val="00E64A3E"/>
    <w:rsid w:val="00E74EBA"/>
    <w:rsid w:val="00EA14CA"/>
    <w:rsid w:val="00EC2B24"/>
    <w:rsid w:val="00EC411B"/>
    <w:rsid w:val="00ED18D0"/>
    <w:rsid w:val="00ED563F"/>
    <w:rsid w:val="00EE086B"/>
    <w:rsid w:val="00EE0E6A"/>
    <w:rsid w:val="00EE14E7"/>
    <w:rsid w:val="00EE1B33"/>
    <w:rsid w:val="00F008E3"/>
    <w:rsid w:val="00F12567"/>
    <w:rsid w:val="00F4239F"/>
    <w:rsid w:val="00F50A5C"/>
    <w:rsid w:val="00F85312"/>
    <w:rsid w:val="00FB2307"/>
    <w:rsid w:val="00FB666A"/>
    <w:rsid w:val="00FC4AFE"/>
    <w:rsid w:val="00FC4DE1"/>
    <w:rsid w:val="0101295B"/>
    <w:rsid w:val="011A58BF"/>
    <w:rsid w:val="01203623"/>
    <w:rsid w:val="014C08E4"/>
    <w:rsid w:val="0156352C"/>
    <w:rsid w:val="01606066"/>
    <w:rsid w:val="018938E5"/>
    <w:rsid w:val="019D6E0D"/>
    <w:rsid w:val="01CD415B"/>
    <w:rsid w:val="01D3669D"/>
    <w:rsid w:val="01DA7BBE"/>
    <w:rsid w:val="01EC2AB6"/>
    <w:rsid w:val="02044401"/>
    <w:rsid w:val="02054EE3"/>
    <w:rsid w:val="021D21E9"/>
    <w:rsid w:val="02266A44"/>
    <w:rsid w:val="022877CA"/>
    <w:rsid w:val="023B2665"/>
    <w:rsid w:val="02693AEB"/>
    <w:rsid w:val="02745AB3"/>
    <w:rsid w:val="027658FA"/>
    <w:rsid w:val="0293255D"/>
    <w:rsid w:val="02C414C0"/>
    <w:rsid w:val="02CB1EC8"/>
    <w:rsid w:val="02D4401F"/>
    <w:rsid w:val="02DD40E6"/>
    <w:rsid w:val="03062D2F"/>
    <w:rsid w:val="03083E17"/>
    <w:rsid w:val="030D278A"/>
    <w:rsid w:val="032145A1"/>
    <w:rsid w:val="033A0C2B"/>
    <w:rsid w:val="03526D1B"/>
    <w:rsid w:val="03546813"/>
    <w:rsid w:val="035624C1"/>
    <w:rsid w:val="035B1CDD"/>
    <w:rsid w:val="03B17681"/>
    <w:rsid w:val="03D8510C"/>
    <w:rsid w:val="03E0702B"/>
    <w:rsid w:val="03F813BD"/>
    <w:rsid w:val="040F50BD"/>
    <w:rsid w:val="0410603C"/>
    <w:rsid w:val="04116A0A"/>
    <w:rsid w:val="042C2334"/>
    <w:rsid w:val="04493B13"/>
    <w:rsid w:val="04713BE2"/>
    <w:rsid w:val="04881106"/>
    <w:rsid w:val="048F5F6A"/>
    <w:rsid w:val="04974B34"/>
    <w:rsid w:val="04A00C18"/>
    <w:rsid w:val="04DC6ABB"/>
    <w:rsid w:val="04E40345"/>
    <w:rsid w:val="050829F7"/>
    <w:rsid w:val="051C4A8C"/>
    <w:rsid w:val="052E1B4C"/>
    <w:rsid w:val="05524952"/>
    <w:rsid w:val="0562046B"/>
    <w:rsid w:val="058E3945"/>
    <w:rsid w:val="05C4339F"/>
    <w:rsid w:val="05CD514E"/>
    <w:rsid w:val="05E608E0"/>
    <w:rsid w:val="05ED7633"/>
    <w:rsid w:val="05F03069"/>
    <w:rsid w:val="05FB176F"/>
    <w:rsid w:val="05FE5F77"/>
    <w:rsid w:val="060D02D3"/>
    <w:rsid w:val="06254CBA"/>
    <w:rsid w:val="06262D05"/>
    <w:rsid w:val="06401908"/>
    <w:rsid w:val="0640415C"/>
    <w:rsid w:val="06477725"/>
    <w:rsid w:val="068B2114"/>
    <w:rsid w:val="06AF2A09"/>
    <w:rsid w:val="06B65E46"/>
    <w:rsid w:val="06BD19F7"/>
    <w:rsid w:val="06C4362D"/>
    <w:rsid w:val="06E87DA0"/>
    <w:rsid w:val="06FE70E5"/>
    <w:rsid w:val="0706182A"/>
    <w:rsid w:val="07263260"/>
    <w:rsid w:val="073B7D2E"/>
    <w:rsid w:val="07736497"/>
    <w:rsid w:val="07891945"/>
    <w:rsid w:val="079E0602"/>
    <w:rsid w:val="07A721BC"/>
    <w:rsid w:val="07B70B97"/>
    <w:rsid w:val="07E13187"/>
    <w:rsid w:val="07E86661"/>
    <w:rsid w:val="07F0210F"/>
    <w:rsid w:val="07F77615"/>
    <w:rsid w:val="08063A96"/>
    <w:rsid w:val="081863CD"/>
    <w:rsid w:val="08193505"/>
    <w:rsid w:val="081B2A9D"/>
    <w:rsid w:val="083A65ED"/>
    <w:rsid w:val="08417246"/>
    <w:rsid w:val="084726CB"/>
    <w:rsid w:val="085207C5"/>
    <w:rsid w:val="08523812"/>
    <w:rsid w:val="08606B5E"/>
    <w:rsid w:val="087B7B7B"/>
    <w:rsid w:val="08955281"/>
    <w:rsid w:val="08B40BC8"/>
    <w:rsid w:val="08BB45BC"/>
    <w:rsid w:val="08D63513"/>
    <w:rsid w:val="08F5557E"/>
    <w:rsid w:val="092A4825"/>
    <w:rsid w:val="09362DF6"/>
    <w:rsid w:val="093D3223"/>
    <w:rsid w:val="0983157E"/>
    <w:rsid w:val="09AA3A1D"/>
    <w:rsid w:val="09B918AE"/>
    <w:rsid w:val="09BC0874"/>
    <w:rsid w:val="09C73BE8"/>
    <w:rsid w:val="09E244F6"/>
    <w:rsid w:val="09E3331E"/>
    <w:rsid w:val="09E73EFC"/>
    <w:rsid w:val="09F2261F"/>
    <w:rsid w:val="09F86B2A"/>
    <w:rsid w:val="0A100804"/>
    <w:rsid w:val="0A194254"/>
    <w:rsid w:val="0A3347BC"/>
    <w:rsid w:val="0A4355DA"/>
    <w:rsid w:val="0A44068A"/>
    <w:rsid w:val="0A4D02BF"/>
    <w:rsid w:val="0A67133D"/>
    <w:rsid w:val="0A6A57A5"/>
    <w:rsid w:val="0ADE5E64"/>
    <w:rsid w:val="0AF22B35"/>
    <w:rsid w:val="0B1A5CD3"/>
    <w:rsid w:val="0B4D7E8E"/>
    <w:rsid w:val="0B6308E9"/>
    <w:rsid w:val="0B765350"/>
    <w:rsid w:val="0B89066D"/>
    <w:rsid w:val="0B893308"/>
    <w:rsid w:val="0B9424C2"/>
    <w:rsid w:val="0BE30AB2"/>
    <w:rsid w:val="0BE46766"/>
    <w:rsid w:val="0BE9219E"/>
    <w:rsid w:val="0BF41BB0"/>
    <w:rsid w:val="0BFE16AF"/>
    <w:rsid w:val="0C3A7C0E"/>
    <w:rsid w:val="0C4652FF"/>
    <w:rsid w:val="0C483FFD"/>
    <w:rsid w:val="0C6C1608"/>
    <w:rsid w:val="0C7C0616"/>
    <w:rsid w:val="0C880DDD"/>
    <w:rsid w:val="0C954478"/>
    <w:rsid w:val="0CA361B6"/>
    <w:rsid w:val="0CB52C05"/>
    <w:rsid w:val="0CB64DE3"/>
    <w:rsid w:val="0CC110D6"/>
    <w:rsid w:val="0CEB6AB4"/>
    <w:rsid w:val="0CFF4934"/>
    <w:rsid w:val="0D215CDD"/>
    <w:rsid w:val="0D2A00A8"/>
    <w:rsid w:val="0D57447A"/>
    <w:rsid w:val="0D5877C5"/>
    <w:rsid w:val="0D8608DB"/>
    <w:rsid w:val="0DA97B2E"/>
    <w:rsid w:val="0DC4745D"/>
    <w:rsid w:val="0DCB16CB"/>
    <w:rsid w:val="0DCF5CF9"/>
    <w:rsid w:val="0DEC1F6C"/>
    <w:rsid w:val="0E0235FA"/>
    <w:rsid w:val="0E040685"/>
    <w:rsid w:val="0E3B6343"/>
    <w:rsid w:val="0E403B88"/>
    <w:rsid w:val="0E444E5D"/>
    <w:rsid w:val="0E4608B9"/>
    <w:rsid w:val="0E78488F"/>
    <w:rsid w:val="0EB27D45"/>
    <w:rsid w:val="0EC24252"/>
    <w:rsid w:val="0EC82AF5"/>
    <w:rsid w:val="0EF60B8A"/>
    <w:rsid w:val="0EF67285"/>
    <w:rsid w:val="0F455F0B"/>
    <w:rsid w:val="0F821F29"/>
    <w:rsid w:val="0F852E27"/>
    <w:rsid w:val="0F951311"/>
    <w:rsid w:val="0F986B8D"/>
    <w:rsid w:val="0F9A17AC"/>
    <w:rsid w:val="0F9C7197"/>
    <w:rsid w:val="0FAB3072"/>
    <w:rsid w:val="0FBF2F33"/>
    <w:rsid w:val="0FC02886"/>
    <w:rsid w:val="0FCC70AF"/>
    <w:rsid w:val="0FDC535A"/>
    <w:rsid w:val="0FE070FA"/>
    <w:rsid w:val="0FE25C4D"/>
    <w:rsid w:val="0FE721C0"/>
    <w:rsid w:val="0FEA7759"/>
    <w:rsid w:val="0FED6DF6"/>
    <w:rsid w:val="0FF37FCF"/>
    <w:rsid w:val="10035202"/>
    <w:rsid w:val="100449C4"/>
    <w:rsid w:val="10166261"/>
    <w:rsid w:val="101964F1"/>
    <w:rsid w:val="1020362D"/>
    <w:rsid w:val="102A5B16"/>
    <w:rsid w:val="102C3B1F"/>
    <w:rsid w:val="10604498"/>
    <w:rsid w:val="106A794E"/>
    <w:rsid w:val="106D12E6"/>
    <w:rsid w:val="10B1077E"/>
    <w:rsid w:val="10B24586"/>
    <w:rsid w:val="10F40931"/>
    <w:rsid w:val="10F96D68"/>
    <w:rsid w:val="10FB17CA"/>
    <w:rsid w:val="10FD46D7"/>
    <w:rsid w:val="11006C13"/>
    <w:rsid w:val="11072F7B"/>
    <w:rsid w:val="11081443"/>
    <w:rsid w:val="110B4BB3"/>
    <w:rsid w:val="11424701"/>
    <w:rsid w:val="114A26A0"/>
    <w:rsid w:val="117F3285"/>
    <w:rsid w:val="1183400E"/>
    <w:rsid w:val="11B03549"/>
    <w:rsid w:val="11BD7AD1"/>
    <w:rsid w:val="11C16DD7"/>
    <w:rsid w:val="11D73AFA"/>
    <w:rsid w:val="120C2E7A"/>
    <w:rsid w:val="12196881"/>
    <w:rsid w:val="1227056E"/>
    <w:rsid w:val="12284B16"/>
    <w:rsid w:val="12492F13"/>
    <w:rsid w:val="125C0251"/>
    <w:rsid w:val="125D2F7F"/>
    <w:rsid w:val="126B6F2D"/>
    <w:rsid w:val="126F0FE9"/>
    <w:rsid w:val="129F2B53"/>
    <w:rsid w:val="12A845A8"/>
    <w:rsid w:val="12B40AA7"/>
    <w:rsid w:val="13045EFF"/>
    <w:rsid w:val="13161850"/>
    <w:rsid w:val="135E26A6"/>
    <w:rsid w:val="136E75D7"/>
    <w:rsid w:val="13704D68"/>
    <w:rsid w:val="1390697B"/>
    <w:rsid w:val="13CC2943"/>
    <w:rsid w:val="144F242A"/>
    <w:rsid w:val="145D5680"/>
    <w:rsid w:val="147A7952"/>
    <w:rsid w:val="14A20FD8"/>
    <w:rsid w:val="14C21B6F"/>
    <w:rsid w:val="14D9462E"/>
    <w:rsid w:val="14E05160"/>
    <w:rsid w:val="14F44840"/>
    <w:rsid w:val="15171E45"/>
    <w:rsid w:val="151C5F20"/>
    <w:rsid w:val="151E65FF"/>
    <w:rsid w:val="15325BF5"/>
    <w:rsid w:val="15360D63"/>
    <w:rsid w:val="1558382C"/>
    <w:rsid w:val="15701865"/>
    <w:rsid w:val="15790A9D"/>
    <w:rsid w:val="15A80ED6"/>
    <w:rsid w:val="15D41132"/>
    <w:rsid w:val="15D564C4"/>
    <w:rsid w:val="15DE44D2"/>
    <w:rsid w:val="15E77AEE"/>
    <w:rsid w:val="15EB6829"/>
    <w:rsid w:val="15EE7D7F"/>
    <w:rsid w:val="15F2470E"/>
    <w:rsid w:val="15F7061B"/>
    <w:rsid w:val="16105F47"/>
    <w:rsid w:val="16184816"/>
    <w:rsid w:val="162923AE"/>
    <w:rsid w:val="16706830"/>
    <w:rsid w:val="167909DF"/>
    <w:rsid w:val="167D7C9E"/>
    <w:rsid w:val="16981EF7"/>
    <w:rsid w:val="169E2CE6"/>
    <w:rsid w:val="16A55C77"/>
    <w:rsid w:val="16B45F24"/>
    <w:rsid w:val="16C032D5"/>
    <w:rsid w:val="16F56DA3"/>
    <w:rsid w:val="170A20BB"/>
    <w:rsid w:val="171B2680"/>
    <w:rsid w:val="172D48D7"/>
    <w:rsid w:val="173F71BF"/>
    <w:rsid w:val="17446A3D"/>
    <w:rsid w:val="17555615"/>
    <w:rsid w:val="1779404E"/>
    <w:rsid w:val="17955DED"/>
    <w:rsid w:val="179A111C"/>
    <w:rsid w:val="179A5FEC"/>
    <w:rsid w:val="17B40B54"/>
    <w:rsid w:val="17BF5E77"/>
    <w:rsid w:val="17C80364"/>
    <w:rsid w:val="17DA4A5F"/>
    <w:rsid w:val="184D5B81"/>
    <w:rsid w:val="18682902"/>
    <w:rsid w:val="188576FD"/>
    <w:rsid w:val="188C6DAC"/>
    <w:rsid w:val="18DD4E57"/>
    <w:rsid w:val="18EB68A6"/>
    <w:rsid w:val="18FD277E"/>
    <w:rsid w:val="192A24B1"/>
    <w:rsid w:val="194817FC"/>
    <w:rsid w:val="194A2E13"/>
    <w:rsid w:val="194B0481"/>
    <w:rsid w:val="194F38AF"/>
    <w:rsid w:val="19735F7B"/>
    <w:rsid w:val="198124BA"/>
    <w:rsid w:val="19892807"/>
    <w:rsid w:val="19B678E2"/>
    <w:rsid w:val="19DE010A"/>
    <w:rsid w:val="1A0A6E6B"/>
    <w:rsid w:val="1A1E49AB"/>
    <w:rsid w:val="1A270452"/>
    <w:rsid w:val="1A2D15F7"/>
    <w:rsid w:val="1A3E2420"/>
    <w:rsid w:val="1A3E537D"/>
    <w:rsid w:val="1A4B30EF"/>
    <w:rsid w:val="1A582C70"/>
    <w:rsid w:val="1A6557F2"/>
    <w:rsid w:val="1A6F47E7"/>
    <w:rsid w:val="1A75281D"/>
    <w:rsid w:val="1A796EDA"/>
    <w:rsid w:val="1AC3373C"/>
    <w:rsid w:val="1AC35115"/>
    <w:rsid w:val="1AC5074E"/>
    <w:rsid w:val="1ACC23CB"/>
    <w:rsid w:val="1AEE43A6"/>
    <w:rsid w:val="1AF720E7"/>
    <w:rsid w:val="1B083050"/>
    <w:rsid w:val="1B375AAA"/>
    <w:rsid w:val="1B4D5E7C"/>
    <w:rsid w:val="1B711F43"/>
    <w:rsid w:val="1B7D59C4"/>
    <w:rsid w:val="1B9851D1"/>
    <w:rsid w:val="1BA42D2D"/>
    <w:rsid w:val="1BAE39CB"/>
    <w:rsid w:val="1BCD35DA"/>
    <w:rsid w:val="1C1351EB"/>
    <w:rsid w:val="1C1C57EF"/>
    <w:rsid w:val="1C2D6A5C"/>
    <w:rsid w:val="1C3C21A2"/>
    <w:rsid w:val="1C435741"/>
    <w:rsid w:val="1C5921A5"/>
    <w:rsid w:val="1C765B70"/>
    <w:rsid w:val="1C921F6C"/>
    <w:rsid w:val="1C950DC8"/>
    <w:rsid w:val="1C9C1682"/>
    <w:rsid w:val="1CB30543"/>
    <w:rsid w:val="1CB82636"/>
    <w:rsid w:val="1CC91557"/>
    <w:rsid w:val="1CE83BE7"/>
    <w:rsid w:val="1CF345C3"/>
    <w:rsid w:val="1D0E319D"/>
    <w:rsid w:val="1D126A49"/>
    <w:rsid w:val="1D147D3C"/>
    <w:rsid w:val="1D26133C"/>
    <w:rsid w:val="1D3811FA"/>
    <w:rsid w:val="1D466FB9"/>
    <w:rsid w:val="1D617193"/>
    <w:rsid w:val="1D694302"/>
    <w:rsid w:val="1D867D1A"/>
    <w:rsid w:val="1DB96644"/>
    <w:rsid w:val="1DDE4001"/>
    <w:rsid w:val="1DDF4D1C"/>
    <w:rsid w:val="1E0F6B52"/>
    <w:rsid w:val="1E18679A"/>
    <w:rsid w:val="1E567BD3"/>
    <w:rsid w:val="1E6731D5"/>
    <w:rsid w:val="1E7320C1"/>
    <w:rsid w:val="1E8A0CAA"/>
    <w:rsid w:val="1E8C5541"/>
    <w:rsid w:val="1EAC7E0A"/>
    <w:rsid w:val="1EC42614"/>
    <w:rsid w:val="1ED80344"/>
    <w:rsid w:val="1EEA1677"/>
    <w:rsid w:val="1EED3E3E"/>
    <w:rsid w:val="1EF30FC6"/>
    <w:rsid w:val="1EF83F76"/>
    <w:rsid w:val="1F0079D8"/>
    <w:rsid w:val="1F046D4E"/>
    <w:rsid w:val="1F176F97"/>
    <w:rsid w:val="1F213EE7"/>
    <w:rsid w:val="1F2B6469"/>
    <w:rsid w:val="1F396135"/>
    <w:rsid w:val="1F3E7C39"/>
    <w:rsid w:val="1F675F89"/>
    <w:rsid w:val="1F9512A8"/>
    <w:rsid w:val="1FA56903"/>
    <w:rsid w:val="1FC74AFD"/>
    <w:rsid w:val="1FD15EE1"/>
    <w:rsid w:val="1FEB3CBD"/>
    <w:rsid w:val="1FF115A0"/>
    <w:rsid w:val="1FF75D21"/>
    <w:rsid w:val="1FFC6307"/>
    <w:rsid w:val="20237641"/>
    <w:rsid w:val="20490C69"/>
    <w:rsid w:val="204A7561"/>
    <w:rsid w:val="20523E82"/>
    <w:rsid w:val="205F4DDA"/>
    <w:rsid w:val="20644807"/>
    <w:rsid w:val="206A303B"/>
    <w:rsid w:val="206F2EC4"/>
    <w:rsid w:val="207A752A"/>
    <w:rsid w:val="20810B23"/>
    <w:rsid w:val="2082196C"/>
    <w:rsid w:val="20850437"/>
    <w:rsid w:val="208C6B12"/>
    <w:rsid w:val="209C2DA4"/>
    <w:rsid w:val="20AD0837"/>
    <w:rsid w:val="20DA783F"/>
    <w:rsid w:val="210A0830"/>
    <w:rsid w:val="213F2A78"/>
    <w:rsid w:val="21414E27"/>
    <w:rsid w:val="21640601"/>
    <w:rsid w:val="218868EF"/>
    <w:rsid w:val="218B7BAB"/>
    <w:rsid w:val="218F5E02"/>
    <w:rsid w:val="219B50F6"/>
    <w:rsid w:val="21AE6EC6"/>
    <w:rsid w:val="21B30E0B"/>
    <w:rsid w:val="21C00CE5"/>
    <w:rsid w:val="21C2344F"/>
    <w:rsid w:val="21C268AC"/>
    <w:rsid w:val="21CC4F72"/>
    <w:rsid w:val="21CE0281"/>
    <w:rsid w:val="21D50E6D"/>
    <w:rsid w:val="22123F32"/>
    <w:rsid w:val="2227225B"/>
    <w:rsid w:val="22325497"/>
    <w:rsid w:val="223814FD"/>
    <w:rsid w:val="2260404C"/>
    <w:rsid w:val="22696FFE"/>
    <w:rsid w:val="227C6D79"/>
    <w:rsid w:val="22E14EBC"/>
    <w:rsid w:val="233B0B10"/>
    <w:rsid w:val="239C57B8"/>
    <w:rsid w:val="23FC376D"/>
    <w:rsid w:val="23FC7916"/>
    <w:rsid w:val="240024A9"/>
    <w:rsid w:val="24022841"/>
    <w:rsid w:val="2432352D"/>
    <w:rsid w:val="244120BC"/>
    <w:rsid w:val="24BE72A6"/>
    <w:rsid w:val="24C42F59"/>
    <w:rsid w:val="24C956C5"/>
    <w:rsid w:val="24F77E58"/>
    <w:rsid w:val="2501318E"/>
    <w:rsid w:val="250A44A9"/>
    <w:rsid w:val="251B4AC5"/>
    <w:rsid w:val="252A49EA"/>
    <w:rsid w:val="252F17E9"/>
    <w:rsid w:val="257865D0"/>
    <w:rsid w:val="25F2787D"/>
    <w:rsid w:val="263E46AC"/>
    <w:rsid w:val="264634B9"/>
    <w:rsid w:val="2649453F"/>
    <w:rsid w:val="26517EC8"/>
    <w:rsid w:val="26600EFE"/>
    <w:rsid w:val="268F7F2A"/>
    <w:rsid w:val="26960004"/>
    <w:rsid w:val="269C2FFA"/>
    <w:rsid w:val="26DA7746"/>
    <w:rsid w:val="26E66825"/>
    <w:rsid w:val="26F60996"/>
    <w:rsid w:val="27146081"/>
    <w:rsid w:val="271D5136"/>
    <w:rsid w:val="271F76D1"/>
    <w:rsid w:val="273B46F3"/>
    <w:rsid w:val="273C196F"/>
    <w:rsid w:val="273F73E6"/>
    <w:rsid w:val="274367FF"/>
    <w:rsid w:val="276726E4"/>
    <w:rsid w:val="278B50BA"/>
    <w:rsid w:val="27CA1F96"/>
    <w:rsid w:val="27D007EA"/>
    <w:rsid w:val="27E17DF0"/>
    <w:rsid w:val="27F01B2B"/>
    <w:rsid w:val="27F31454"/>
    <w:rsid w:val="28291C50"/>
    <w:rsid w:val="283C177F"/>
    <w:rsid w:val="28431326"/>
    <w:rsid w:val="285068BB"/>
    <w:rsid w:val="2872406D"/>
    <w:rsid w:val="289D2BD1"/>
    <w:rsid w:val="28B0237D"/>
    <w:rsid w:val="28C82245"/>
    <w:rsid w:val="28CE63C5"/>
    <w:rsid w:val="28D361A5"/>
    <w:rsid w:val="2907582C"/>
    <w:rsid w:val="29237B49"/>
    <w:rsid w:val="293C1946"/>
    <w:rsid w:val="295764E8"/>
    <w:rsid w:val="296364ED"/>
    <w:rsid w:val="297019AD"/>
    <w:rsid w:val="297517B3"/>
    <w:rsid w:val="297F2DF4"/>
    <w:rsid w:val="2980555E"/>
    <w:rsid w:val="29A515DC"/>
    <w:rsid w:val="29A82470"/>
    <w:rsid w:val="29D05B2A"/>
    <w:rsid w:val="29F46BF1"/>
    <w:rsid w:val="29F540A1"/>
    <w:rsid w:val="2A183BA6"/>
    <w:rsid w:val="2A227FF4"/>
    <w:rsid w:val="2A491E31"/>
    <w:rsid w:val="2A5213EC"/>
    <w:rsid w:val="2A5C2BE0"/>
    <w:rsid w:val="2A5D69F0"/>
    <w:rsid w:val="2A794084"/>
    <w:rsid w:val="2A7F2862"/>
    <w:rsid w:val="2A8E3487"/>
    <w:rsid w:val="2A8F1710"/>
    <w:rsid w:val="2A98582B"/>
    <w:rsid w:val="2AA57354"/>
    <w:rsid w:val="2AA70110"/>
    <w:rsid w:val="2AB2624A"/>
    <w:rsid w:val="2ABE000A"/>
    <w:rsid w:val="2AD119E6"/>
    <w:rsid w:val="2AD4237F"/>
    <w:rsid w:val="2AF73315"/>
    <w:rsid w:val="2B0A6FB1"/>
    <w:rsid w:val="2B382E7E"/>
    <w:rsid w:val="2B3E4634"/>
    <w:rsid w:val="2B58149E"/>
    <w:rsid w:val="2B5F76F3"/>
    <w:rsid w:val="2B831A77"/>
    <w:rsid w:val="2BAD443E"/>
    <w:rsid w:val="2BC77C2C"/>
    <w:rsid w:val="2BFD3CA8"/>
    <w:rsid w:val="2C071F1F"/>
    <w:rsid w:val="2C161CE8"/>
    <w:rsid w:val="2C2600D1"/>
    <w:rsid w:val="2C35096C"/>
    <w:rsid w:val="2C3E049C"/>
    <w:rsid w:val="2C504D9D"/>
    <w:rsid w:val="2C623180"/>
    <w:rsid w:val="2C680433"/>
    <w:rsid w:val="2C822310"/>
    <w:rsid w:val="2C8A53D8"/>
    <w:rsid w:val="2C94425A"/>
    <w:rsid w:val="2C99595D"/>
    <w:rsid w:val="2CBA7F57"/>
    <w:rsid w:val="2CCA13EA"/>
    <w:rsid w:val="2CF95944"/>
    <w:rsid w:val="2D1A4251"/>
    <w:rsid w:val="2D1B339B"/>
    <w:rsid w:val="2D236ADB"/>
    <w:rsid w:val="2D2C20B9"/>
    <w:rsid w:val="2D5409B8"/>
    <w:rsid w:val="2D662B4F"/>
    <w:rsid w:val="2D732009"/>
    <w:rsid w:val="2D806F7B"/>
    <w:rsid w:val="2D905B14"/>
    <w:rsid w:val="2DA43325"/>
    <w:rsid w:val="2DEF2C3A"/>
    <w:rsid w:val="2DFB6960"/>
    <w:rsid w:val="2DFF1BF8"/>
    <w:rsid w:val="2E4B57EF"/>
    <w:rsid w:val="2E5E339D"/>
    <w:rsid w:val="2E730976"/>
    <w:rsid w:val="2E7902E6"/>
    <w:rsid w:val="2EBE07BC"/>
    <w:rsid w:val="2EC44E9E"/>
    <w:rsid w:val="2ED95C08"/>
    <w:rsid w:val="2EDB4C10"/>
    <w:rsid w:val="2EED7876"/>
    <w:rsid w:val="2EF77DE6"/>
    <w:rsid w:val="2F154697"/>
    <w:rsid w:val="2F230380"/>
    <w:rsid w:val="2F5351D7"/>
    <w:rsid w:val="2F7228AC"/>
    <w:rsid w:val="2FC71547"/>
    <w:rsid w:val="2FE45510"/>
    <w:rsid w:val="2FFE23A7"/>
    <w:rsid w:val="2FFE4C0B"/>
    <w:rsid w:val="3007281E"/>
    <w:rsid w:val="300F503A"/>
    <w:rsid w:val="303B1BE3"/>
    <w:rsid w:val="305B3E0B"/>
    <w:rsid w:val="3062166C"/>
    <w:rsid w:val="306554F5"/>
    <w:rsid w:val="30A60B13"/>
    <w:rsid w:val="30B56118"/>
    <w:rsid w:val="30F37C1F"/>
    <w:rsid w:val="30FD7AC4"/>
    <w:rsid w:val="31092C45"/>
    <w:rsid w:val="31135CDD"/>
    <w:rsid w:val="31160A0E"/>
    <w:rsid w:val="31210BB1"/>
    <w:rsid w:val="312C03B6"/>
    <w:rsid w:val="312D446C"/>
    <w:rsid w:val="312D7D00"/>
    <w:rsid w:val="313905F0"/>
    <w:rsid w:val="31523EA5"/>
    <w:rsid w:val="3172064C"/>
    <w:rsid w:val="31733A87"/>
    <w:rsid w:val="31853743"/>
    <w:rsid w:val="318C18AE"/>
    <w:rsid w:val="31973569"/>
    <w:rsid w:val="31AD34D0"/>
    <w:rsid w:val="31D245CA"/>
    <w:rsid w:val="31D73588"/>
    <w:rsid w:val="31E347F1"/>
    <w:rsid w:val="31F913D8"/>
    <w:rsid w:val="31FB7654"/>
    <w:rsid w:val="32051C37"/>
    <w:rsid w:val="321E4180"/>
    <w:rsid w:val="324033AF"/>
    <w:rsid w:val="32413089"/>
    <w:rsid w:val="325F7797"/>
    <w:rsid w:val="32796485"/>
    <w:rsid w:val="32951D54"/>
    <w:rsid w:val="32A33BC6"/>
    <w:rsid w:val="32A673F0"/>
    <w:rsid w:val="32B01BFA"/>
    <w:rsid w:val="32B82CD9"/>
    <w:rsid w:val="32BD7DDA"/>
    <w:rsid w:val="32D64B33"/>
    <w:rsid w:val="32DD5EDB"/>
    <w:rsid w:val="32F12805"/>
    <w:rsid w:val="32F316B8"/>
    <w:rsid w:val="33141EBF"/>
    <w:rsid w:val="33383360"/>
    <w:rsid w:val="33461575"/>
    <w:rsid w:val="33704C36"/>
    <w:rsid w:val="337926BF"/>
    <w:rsid w:val="33934AB7"/>
    <w:rsid w:val="33EA23A5"/>
    <w:rsid w:val="33EE0FFB"/>
    <w:rsid w:val="344D358E"/>
    <w:rsid w:val="344D77BF"/>
    <w:rsid w:val="346C2BB5"/>
    <w:rsid w:val="347064FF"/>
    <w:rsid w:val="347D0BB7"/>
    <w:rsid w:val="34BC3B37"/>
    <w:rsid w:val="34D90BF1"/>
    <w:rsid w:val="34D94A8F"/>
    <w:rsid w:val="34F729B7"/>
    <w:rsid w:val="3543266A"/>
    <w:rsid w:val="35533A49"/>
    <w:rsid w:val="355508F0"/>
    <w:rsid w:val="355E220A"/>
    <w:rsid w:val="35697EC5"/>
    <w:rsid w:val="356B7CCB"/>
    <w:rsid w:val="35922017"/>
    <w:rsid w:val="35BA15D4"/>
    <w:rsid w:val="35BB0BF3"/>
    <w:rsid w:val="35C40BA0"/>
    <w:rsid w:val="35FF4EB1"/>
    <w:rsid w:val="363E02D5"/>
    <w:rsid w:val="36406B37"/>
    <w:rsid w:val="36620457"/>
    <w:rsid w:val="3668140B"/>
    <w:rsid w:val="36812EA6"/>
    <w:rsid w:val="36A77707"/>
    <w:rsid w:val="36AB65D4"/>
    <w:rsid w:val="36B746BC"/>
    <w:rsid w:val="36CB11EA"/>
    <w:rsid w:val="36E73CCE"/>
    <w:rsid w:val="36EA62C4"/>
    <w:rsid w:val="36FB5D01"/>
    <w:rsid w:val="36FE3234"/>
    <w:rsid w:val="371D336E"/>
    <w:rsid w:val="37286F85"/>
    <w:rsid w:val="37341177"/>
    <w:rsid w:val="373824B6"/>
    <w:rsid w:val="37401C1F"/>
    <w:rsid w:val="37424E5A"/>
    <w:rsid w:val="3742546F"/>
    <w:rsid w:val="37524396"/>
    <w:rsid w:val="375C6793"/>
    <w:rsid w:val="37F9735D"/>
    <w:rsid w:val="38135D06"/>
    <w:rsid w:val="38147EDC"/>
    <w:rsid w:val="382633EF"/>
    <w:rsid w:val="38275D11"/>
    <w:rsid w:val="38373E4C"/>
    <w:rsid w:val="384B11A5"/>
    <w:rsid w:val="38584C11"/>
    <w:rsid w:val="386677F1"/>
    <w:rsid w:val="386C3B4A"/>
    <w:rsid w:val="3894435E"/>
    <w:rsid w:val="38A60DF1"/>
    <w:rsid w:val="38C728D0"/>
    <w:rsid w:val="38C9721B"/>
    <w:rsid w:val="38D34E86"/>
    <w:rsid w:val="38F372D7"/>
    <w:rsid w:val="38F5268D"/>
    <w:rsid w:val="390220DA"/>
    <w:rsid w:val="39116746"/>
    <w:rsid w:val="392022AF"/>
    <w:rsid w:val="394311D0"/>
    <w:rsid w:val="394D1BA4"/>
    <w:rsid w:val="39525EAF"/>
    <w:rsid w:val="39536350"/>
    <w:rsid w:val="3986069A"/>
    <w:rsid w:val="39B00ABA"/>
    <w:rsid w:val="39B86DAD"/>
    <w:rsid w:val="39BE36C4"/>
    <w:rsid w:val="3A0D1286"/>
    <w:rsid w:val="3A141CF2"/>
    <w:rsid w:val="3A1F13E7"/>
    <w:rsid w:val="3A22777B"/>
    <w:rsid w:val="3A2B6551"/>
    <w:rsid w:val="3A387794"/>
    <w:rsid w:val="3A4B3C15"/>
    <w:rsid w:val="3A630F43"/>
    <w:rsid w:val="3A8F5030"/>
    <w:rsid w:val="3A9333FD"/>
    <w:rsid w:val="3ABF079D"/>
    <w:rsid w:val="3AD1769C"/>
    <w:rsid w:val="3B0D5ACF"/>
    <w:rsid w:val="3B2A2D58"/>
    <w:rsid w:val="3B3946C2"/>
    <w:rsid w:val="3B40146E"/>
    <w:rsid w:val="3B454465"/>
    <w:rsid w:val="3B771184"/>
    <w:rsid w:val="3B80094B"/>
    <w:rsid w:val="3B8B3675"/>
    <w:rsid w:val="3B91088E"/>
    <w:rsid w:val="3B91218D"/>
    <w:rsid w:val="3B984D63"/>
    <w:rsid w:val="3BA75ABD"/>
    <w:rsid w:val="3BB87D86"/>
    <w:rsid w:val="3BE421C3"/>
    <w:rsid w:val="3BED33D4"/>
    <w:rsid w:val="3BF12958"/>
    <w:rsid w:val="3BF70E8C"/>
    <w:rsid w:val="3C1E4416"/>
    <w:rsid w:val="3C2C689E"/>
    <w:rsid w:val="3C4D4213"/>
    <w:rsid w:val="3C523F7C"/>
    <w:rsid w:val="3C7A67EC"/>
    <w:rsid w:val="3CAE403E"/>
    <w:rsid w:val="3CB73432"/>
    <w:rsid w:val="3CBE6E54"/>
    <w:rsid w:val="3CC13A13"/>
    <w:rsid w:val="3CDC6557"/>
    <w:rsid w:val="3CF81D1D"/>
    <w:rsid w:val="3D016EA4"/>
    <w:rsid w:val="3D157F9D"/>
    <w:rsid w:val="3D1D5906"/>
    <w:rsid w:val="3D296F62"/>
    <w:rsid w:val="3D31229A"/>
    <w:rsid w:val="3D387FE4"/>
    <w:rsid w:val="3D3B408D"/>
    <w:rsid w:val="3D4139CE"/>
    <w:rsid w:val="3D5200E0"/>
    <w:rsid w:val="3D622FB8"/>
    <w:rsid w:val="3D6D2331"/>
    <w:rsid w:val="3D7B288E"/>
    <w:rsid w:val="3D8A134C"/>
    <w:rsid w:val="3D910C81"/>
    <w:rsid w:val="3D94164A"/>
    <w:rsid w:val="3DC010BA"/>
    <w:rsid w:val="3DC4442C"/>
    <w:rsid w:val="3DC90571"/>
    <w:rsid w:val="3DD07BE6"/>
    <w:rsid w:val="3DE657EF"/>
    <w:rsid w:val="3E136892"/>
    <w:rsid w:val="3E23185B"/>
    <w:rsid w:val="3E53053A"/>
    <w:rsid w:val="3E5952CD"/>
    <w:rsid w:val="3E667632"/>
    <w:rsid w:val="3E815E3A"/>
    <w:rsid w:val="3E9211FC"/>
    <w:rsid w:val="3EB672E8"/>
    <w:rsid w:val="3EBB0BD4"/>
    <w:rsid w:val="3ED25CB2"/>
    <w:rsid w:val="3EDC2891"/>
    <w:rsid w:val="3EE5066E"/>
    <w:rsid w:val="3EF93396"/>
    <w:rsid w:val="3F132099"/>
    <w:rsid w:val="3F1E2829"/>
    <w:rsid w:val="3F317E5A"/>
    <w:rsid w:val="3F3B18E0"/>
    <w:rsid w:val="3FB11C9A"/>
    <w:rsid w:val="3FCC3208"/>
    <w:rsid w:val="401A20DF"/>
    <w:rsid w:val="40291DDF"/>
    <w:rsid w:val="403F3D64"/>
    <w:rsid w:val="404E15E0"/>
    <w:rsid w:val="409649A1"/>
    <w:rsid w:val="409F3A5B"/>
    <w:rsid w:val="40B96025"/>
    <w:rsid w:val="40C12CBE"/>
    <w:rsid w:val="40C40EA7"/>
    <w:rsid w:val="40FF7229"/>
    <w:rsid w:val="410178D6"/>
    <w:rsid w:val="41163884"/>
    <w:rsid w:val="412870BA"/>
    <w:rsid w:val="412D7D00"/>
    <w:rsid w:val="414310DB"/>
    <w:rsid w:val="41527A82"/>
    <w:rsid w:val="4170091B"/>
    <w:rsid w:val="417C41FF"/>
    <w:rsid w:val="418B2F47"/>
    <w:rsid w:val="4198163A"/>
    <w:rsid w:val="41B415CD"/>
    <w:rsid w:val="41BE71A9"/>
    <w:rsid w:val="41C3319D"/>
    <w:rsid w:val="41CA7043"/>
    <w:rsid w:val="41CC1514"/>
    <w:rsid w:val="41F6270F"/>
    <w:rsid w:val="421856C2"/>
    <w:rsid w:val="42410916"/>
    <w:rsid w:val="424A1FDF"/>
    <w:rsid w:val="42576B28"/>
    <w:rsid w:val="42911696"/>
    <w:rsid w:val="4294615F"/>
    <w:rsid w:val="42C60127"/>
    <w:rsid w:val="42CF7A53"/>
    <w:rsid w:val="42D05017"/>
    <w:rsid w:val="42D57A4D"/>
    <w:rsid w:val="43084EF8"/>
    <w:rsid w:val="432269C3"/>
    <w:rsid w:val="43291B47"/>
    <w:rsid w:val="4335001A"/>
    <w:rsid w:val="43384333"/>
    <w:rsid w:val="434D2D32"/>
    <w:rsid w:val="43616662"/>
    <w:rsid w:val="4372208D"/>
    <w:rsid w:val="43A75235"/>
    <w:rsid w:val="43A871C2"/>
    <w:rsid w:val="43BE1911"/>
    <w:rsid w:val="43D45DE8"/>
    <w:rsid w:val="43DE2931"/>
    <w:rsid w:val="43FE2FD4"/>
    <w:rsid w:val="442D3EBD"/>
    <w:rsid w:val="44307C27"/>
    <w:rsid w:val="44433E7C"/>
    <w:rsid w:val="444924DF"/>
    <w:rsid w:val="444B685F"/>
    <w:rsid w:val="44616DE6"/>
    <w:rsid w:val="447115C6"/>
    <w:rsid w:val="44827C1E"/>
    <w:rsid w:val="44897EF7"/>
    <w:rsid w:val="448B66CE"/>
    <w:rsid w:val="44A70245"/>
    <w:rsid w:val="44A90864"/>
    <w:rsid w:val="44D06BB2"/>
    <w:rsid w:val="44D95BAD"/>
    <w:rsid w:val="44E330C9"/>
    <w:rsid w:val="450150F5"/>
    <w:rsid w:val="45123BB5"/>
    <w:rsid w:val="452B293F"/>
    <w:rsid w:val="453F772D"/>
    <w:rsid w:val="454027D1"/>
    <w:rsid w:val="456E5A7F"/>
    <w:rsid w:val="458D460F"/>
    <w:rsid w:val="459745C2"/>
    <w:rsid w:val="4597723C"/>
    <w:rsid w:val="45AC2850"/>
    <w:rsid w:val="45B5598A"/>
    <w:rsid w:val="45D24718"/>
    <w:rsid w:val="45DC1C58"/>
    <w:rsid w:val="45E00D00"/>
    <w:rsid w:val="45EA00DF"/>
    <w:rsid w:val="460B6100"/>
    <w:rsid w:val="462B4361"/>
    <w:rsid w:val="463058F6"/>
    <w:rsid w:val="464B72BF"/>
    <w:rsid w:val="46614399"/>
    <w:rsid w:val="467056B2"/>
    <w:rsid w:val="469059DD"/>
    <w:rsid w:val="46932C51"/>
    <w:rsid w:val="469A7845"/>
    <w:rsid w:val="46A47BAC"/>
    <w:rsid w:val="46B01973"/>
    <w:rsid w:val="46B45E6A"/>
    <w:rsid w:val="46B75DE7"/>
    <w:rsid w:val="46D7508C"/>
    <w:rsid w:val="46E55C26"/>
    <w:rsid w:val="46E55F3E"/>
    <w:rsid w:val="46FF161A"/>
    <w:rsid w:val="470D6DD1"/>
    <w:rsid w:val="47155318"/>
    <w:rsid w:val="47311519"/>
    <w:rsid w:val="475353E4"/>
    <w:rsid w:val="475A6A85"/>
    <w:rsid w:val="475F2657"/>
    <w:rsid w:val="47B33A2C"/>
    <w:rsid w:val="47E61433"/>
    <w:rsid w:val="47FF56C8"/>
    <w:rsid w:val="480134F8"/>
    <w:rsid w:val="48116BD7"/>
    <w:rsid w:val="482543E5"/>
    <w:rsid w:val="482D5F52"/>
    <w:rsid w:val="486F5DC3"/>
    <w:rsid w:val="48954BF8"/>
    <w:rsid w:val="48A70ADD"/>
    <w:rsid w:val="48C51A56"/>
    <w:rsid w:val="49215AD9"/>
    <w:rsid w:val="492301FF"/>
    <w:rsid w:val="492573E6"/>
    <w:rsid w:val="492F5A35"/>
    <w:rsid w:val="49363A71"/>
    <w:rsid w:val="493F1FD4"/>
    <w:rsid w:val="49495097"/>
    <w:rsid w:val="499A6C45"/>
    <w:rsid w:val="499D328D"/>
    <w:rsid w:val="49A726F5"/>
    <w:rsid w:val="49A8358F"/>
    <w:rsid w:val="49B80EBD"/>
    <w:rsid w:val="49BD0CC2"/>
    <w:rsid w:val="49C54151"/>
    <w:rsid w:val="49D77185"/>
    <w:rsid w:val="49F1320C"/>
    <w:rsid w:val="4A067C7E"/>
    <w:rsid w:val="4A2B06B7"/>
    <w:rsid w:val="4A2C5620"/>
    <w:rsid w:val="4A365D96"/>
    <w:rsid w:val="4A554FB6"/>
    <w:rsid w:val="4A562946"/>
    <w:rsid w:val="4A767D68"/>
    <w:rsid w:val="4A7B22B5"/>
    <w:rsid w:val="4AA21B83"/>
    <w:rsid w:val="4AA5459A"/>
    <w:rsid w:val="4AC064FF"/>
    <w:rsid w:val="4AE555A1"/>
    <w:rsid w:val="4AEC7980"/>
    <w:rsid w:val="4AF24644"/>
    <w:rsid w:val="4AFC6F42"/>
    <w:rsid w:val="4B023934"/>
    <w:rsid w:val="4B187641"/>
    <w:rsid w:val="4B1B6FBD"/>
    <w:rsid w:val="4B6A6A72"/>
    <w:rsid w:val="4B714A4C"/>
    <w:rsid w:val="4BA3567B"/>
    <w:rsid w:val="4BA5567E"/>
    <w:rsid w:val="4BC71D5F"/>
    <w:rsid w:val="4BC93952"/>
    <w:rsid w:val="4BC95900"/>
    <w:rsid w:val="4BD502C1"/>
    <w:rsid w:val="4BE44D3D"/>
    <w:rsid w:val="4BF337A4"/>
    <w:rsid w:val="4C256776"/>
    <w:rsid w:val="4C2745BE"/>
    <w:rsid w:val="4C3A0D60"/>
    <w:rsid w:val="4C6E1633"/>
    <w:rsid w:val="4C792A51"/>
    <w:rsid w:val="4C811EF1"/>
    <w:rsid w:val="4CC743C2"/>
    <w:rsid w:val="4CD46968"/>
    <w:rsid w:val="4CFD2D0A"/>
    <w:rsid w:val="4CFF24DE"/>
    <w:rsid w:val="4D0B530A"/>
    <w:rsid w:val="4D0E6B03"/>
    <w:rsid w:val="4D2517BB"/>
    <w:rsid w:val="4D4E0C74"/>
    <w:rsid w:val="4D526945"/>
    <w:rsid w:val="4D956577"/>
    <w:rsid w:val="4DAE7D3B"/>
    <w:rsid w:val="4DE3193D"/>
    <w:rsid w:val="4DE5696E"/>
    <w:rsid w:val="4DFF382E"/>
    <w:rsid w:val="4E165694"/>
    <w:rsid w:val="4E3A0E53"/>
    <w:rsid w:val="4E5840C4"/>
    <w:rsid w:val="4E703BAC"/>
    <w:rsid w:val="4E752EF3"/>
    <w:rsid w:val="4EAA7FE0"/>
    <w:rsid w:val="4EFA1D40"/>
    <w:rsid w:val="4F001AD2"/>
    <w:rsid w:val="4F0E14E5"/>
    <w:rsid w:val="4F1269F4"/>
    <w:rsid w:val="4F2F4C06"/>
    <w:rsid w:val="4F3F1986"/>
    <w:rsid w:val="4F5D5865"/>
    <w:rsid w:val="4F645A57"/>
    <w:rsid w:val="4F845801"/>
    <w:rsid w:val="4F9076EA"/>
    <w:rsid w:val="4F952A4C"/>
    <w:rsid w:val="4FBB5C1A"/>
    <w:rsid w:val="4FC60F8B"/>
    <w:rsid w:val="4FC6467C"/>
    <w:rsid w:val="4FD426E5"/>
    <w:rsid w:val="4FE03678"/>
    <w:rsid w:val="50154308"/>
    <w:rsid w:val="502838B2"/>
    <w:rsid w:val="503B1DA7"/>
    <w:rsid w:val="50643E54"/>
    <w:rsid w:val="50750AED"/>
    <w:rsid w:val="50762712"/>
    <w:rsid w:val="50796737"/>
    <w:rsid w:val="5079722C"/>
    <w:rsid w:val="507F724A"/>
    <w:rsid w:val="5080644A"/>
    <w:rsid w:val="50974594"/>
    <w:rsid w:val="50AB1563"/>
    <w:rsid w:val="50CE050E"/>
    <w:rsid w:val="50DD58C1"/>
    <w:rsid w:val="511278B0"/>
    <w:rsid w:val="5134684C"/>
    <w:rsid w:val="515348AE"/>
    <w:rsid w:val="51621462"/>
    <w:rsid w:val="5162632D"/>
    <w:rsid w:val="51652001"/>
    <w:rsid w:val="516A768B"/>
    <w:rsid w:val="516F7FCA"/>
    <w:rsid w:val="517E442B"/>
    <w:rsid w:val="51B478EA"/>
    <w:rsid w:val="51C06B27"/>
    <w:rsid w:val="51C55131"/>
    <w:rsid w:val="51C5706A"/>
    <w:rsid w:val="51CC6A9E"/>
    <w:rsid w:val="51CE0489"/>
    <w:rsid w:val="51F76393"/>
    <w:rsid w:val="52047456"/>
    <w:rsid w:val="521B28B9"/>
    <w:rsid w:val="52290B8A"/>
    <w:rsid w:val="522E04F4"/>
    <w:rsid w:val="523D7334"/>
    <w:rsid w:val="525639E4"/>
    <w:rsid w:val="5261208C"/>
    <w:rsid w:val="52691F60"/>
    <w:rsid w:val="52BC3484"/>
    <w:rsid w:val="52C22C4B"/>
    <w:rsid w:val="52CB68A8"/>
    <w:rsid w:val="52E15F9A"/>
    <w:rsid w:val="52E866AE"/>
    <w:rsid w:val="530750B7"/>
    <w:rsid w:val="53200C5D"/>
    <w:rsid w:val="534832EF"/>
    <w:rsid w:val="535E0F14"/>
    <w:rsid w:val="536561EB"/>
    <w:rsid w:val="53706227"/>
    <w:rsid w:val="5377055A"/>
    <w:rsid w:val="539D5DA7"/>
    <w:rsid w:val="53A94D0A"/>
    <w:rsid w:val="53FF2AB9"/>
    <w:rsid w:val="54203D75"/>
    <w:rsid w:val="5435218F"/>
    <w:rsid w:val="543C4711"/>
    <w:rsid w:val="543D5B96"/>
    <w:rsid w:val="54487D26"/>
    <w:rsid w:val="54497F22"/>
    <w:rsid w:val="545A1596"/>
    <w:rsid w:val="548A7D0C"/>
    <w:rsid w:val="549652A5"/>
    <w:rsid w:val="5499691E"/>
    <w:rsid w:val="54BC082D"/>
    <w:rsid w:val="54BE6593"/>
    <w:rsid w:val="54C857C3"/>
    <w:rsid w:val="54FA7F82"/>
    <w:rsid w:val="55307A0C"/>
    <w:rsid w:val="553A7B7B"/>
    <w:rsid w:val="556665E0"/>
    <w:rsid w:val="558E68EA"/>
    <w:rsid w:val="5590733F"/>
    <w:rsid w:val="55910A92"/>
    <w:rsid w:val="559757D0"/>
    <w:rsid w:val="55975BA7"/>
    <w:rsid w:val="55A506DF"/>
    <w:rsid w:val="55AE4F5C"/>
    <w:rsid w:val="55BB5576"/>
    <w:rsid w:val="56002A66"/>
    <w:rsid w:val="560B1D82"/>
    <w:rsid w:val="561048D4"/>
    <w:rsid w:val="5645325F"/>
    <w:rsid w:val="564E6B95"/>
    <w:rsid w:val="56562848"/>
    <w:rsid w:val="566F311B"/>
    <w:rsid w:val="56781FA5"/>
    <w:rsid w:val="56835888"/>
    <w:rsid w:val="56995180"/>
    <w:rsid w:val="56AD5CE8"/>
    <w:rsid w:val="56BD031C"/>
    <w:rsid w:val="56E73D89"/>
    <w:rsid w:val="57031F7F"/>
    <w:rsid w:val="572570B3"/>
    <w:rsid w:val="573B07A2"/>
    <w:rsid w:val="573E6B31"/>
    <w:rsid w:val="575603AD"/>
    <w:rsid w:val="57B51F24"/>
    <w:rsid w:val="57C73676"/>
    <w:rsid w:val="57C87CAB"/>
    <w:rsid w:val="57C91C4F"/>
    <w:rsid w:val="58033991"/>
    <w:rsid w:val="581214E9"/>
    <w:rsid w:val="58374890"/>
    <w:rsid w:val="583921D7"/>
    <w:rsid w:val="584B538A"/>
    <w:rsid w:val="584E7AA5"/>
    <w:rsid w:val="5853780C"/>
    <w:rsid w:val="5866181E"/>
    <w:rsid w:val="58727DC0"/>
    <w:rsid w:val="587A0A23"/>
    <w:rsid w:val="58C93AFA"/>
    <w:rsid w:val="58CD28A0"/>
    <w:rsid w:val="58D82D25"/>
    <w:rsid w:val="58E050FF"/>
    <w:rsid w:val="58FA1B64"/>
    <w:rsid w:val="592B3B37"/>
    <w:rsid w:val="593E3679"/>
    <w:rsid w:val="594A0F21"/>
    <w:rsid w:val="595600CF"/>
    <w:rsid w:val="59570C09"/>
    <w:rsid w:val="595A535A"/>
    <w:rsid w:val="596C5157"/>
    <w:rsid w:val="59820CB9"/>
    <w:rsid w:val="599C6916"/>
    <w:rsid w:val="59A24A11"/>
    <w:rsid w:val="59D031DC"/>
    <w:rsid w:val="5A0713C2"/>
    <w:rsid w:val="5A1D78F0"/>
    <w:rsid w:val="5A281CC3"/>
    <w:rsid w:val="5A4B633F"/>
    <w:rsid w:val="5A4C4E87"/>
    <w:rsid w:val="5A4F42A8"/>
    <w:rsid w:val="5A537BD2"/>
    <w:rsid w:val="5A59522E"/>
    <w:rsid w:val="5A5D1EF9"/>
    <w:rsid w:val="5A727EB5"/>
    <w:rsid w:val="5A8008B1"/>
    <w:rsid w:val="5A952562"/>
    <w:rsid w:val="5AA11689"/>
    <w:rsid w:val="5AB537DF"/>
    <w:rsid w:val="5ADA2219"/>
    <w:rsid w:val="5AF63478"/>
    <w:rsid w:val="5AF9525B"/>
    <w:rsid w:val="5B0B6223"/>
    <w:rsid w:val="5B0C46E4"/>
    <w:rsid w:val="5B1909C7"/>
    <w:rsid w:val="5B1D54D7"/>
    <w:rsid w:val="5B3220B7"/>
    <w:rsid w:val="5B32315F"/>
    <w:rsid w:val="5B5C08B4"/>
    <w:rsid w:val="5B602550"/>
    <w:rsid w:val="5B684D9D"/>
    <w:rsid w:val="5BB35FA0"/>
    <w:rsid w:val="5BB55A1D"/>
    <w:rsid w:val="5BC87214"/>
    <w:rsid w:val="5BD6036B"/>
    <w:rsid w:val="5BF147BE"/>
    <w:rsid w:val="5C263FFC"/>
    <w:rsid w:val="5C3F632C"/>
    <w:rsid w:val="5C4369D4"/>
    <w:rsid w:val="5C4E7F25"/>
    <w:rsid w:val="5C6E212C"/>
    <w:rsid w:val="5C73096B"/>
    <w:rsid w:val="5C7376E4"/>
    <w:rsid w:val="5CA03123"/>
    <w:rsid w:val="5CDA3F46"/>
    <w:rsid w:val="5CF85EE2"/>
    <w:rsid w:val="5D4A3E3F"/>
    <w:rsid w:val="5D4F0E61"/>
    <w:rsid w:val="5D6121B1"/>
    <w:rsid w:val="5D673093"/>
    <w:rsid w:val="5D675B54"/>
    <w:rsid w:val="5D977AC6"/>
    <w:rsid w:val="5D9B52A7"/>
    <w:rsid w:val="5D9F5DAC"/>
    <w:rsid w:val="5DAC2119"/>
    <w:rsid w:val="5E296747"/>
    <w:rsid w:val="5E344177"/>
    <w:rsid w:val="5E441BE6"/>
    <w:rsid w:val="5E4529B2"/>
    <w:rsid w:val="5E6376C3"/>
    <w:rsid w:val="5E920F46"/>
    <w:rsid w:val="5EA207F7"/>
    <w:rsid w:val="5EBB525E"/>
    <w:rsid w:val="5ED51E4C"/>
    <w:rsid w:val="5ED95177"/>
    <w:rsid w:val="5F2F13E9"/>
    <w:rsid w:val="5F631733"/>
    <w:rsid w:val="5F645F89"/>
    <w:rsid w:val="5F663605"/>
    <w:rsid w:val="5F7F23CC"/>
    <w:rsid w:val="5F941C25"/>
    <w:rsid w:val="5FA04873"/>
    <w:rsid w:val="5FE2350C"/>
    <w:rsid w:val="5FE666BB"/>
    <w:rsid w:val="600D6E2B"/>
    <w:rsid w:val="60133D7D"/>
    <w:rsid w:val="601B52DF"/>
    <w:rsid w:val="604604FA"/>
    <w:rsid w:val="60624BBE"/>
    <w:rsid w:val="60667166"/>
    <w:rsid w:val="60724006"/>
    <w:rsid w:val="6086012E"/>
    <w:rsid w:val="60870181"/>
    <w:rsid w:val="608C65AA"/>
    <w:rsid w:val="60955D90"/>
    <w:rsid w:val="60AB7F2C"/>
    <w:rsid w:val="60DD620E"/>
    <w:rsid w:val="610B7C4A"/>
    <w:rsid w:val="611C7B9D"/>
    <w:rsid w:val="61207C77"/>
    <w:rsid w:val="6148335E"/>
    <w:rsid w:val="614C4F26"/>
    <w:rsid w:val="615C4C67"/>
    <w:rsid w:val="616C4315"/>
    <w:rsid w:val="6171252A"/>
    <w:rsid w:val="61882668"/>
    <w:rsid w:val="61A06C8C"/>
    <w:rsid w:val="61A35C11"/>
    <w:rsid w:val="61B25B61"/>
    <w:rsid w:val="61E73D9A"/>
    <w:rsid w:val="61EC1462"/>
    <w:rsid w:val="61EC3930"/>
    <w:rsid w:val="61F30221"/>
    <w:rsid w:val="61FB5718"/>
    <w:rsid w:val="62245D7B"/>
    <w:rsid w:val="623A0F5D"/>
    <w:rsid w:val="624F560A"/>
    <w:rsid w:val="625E3A3B"/>
    <w:rsid w:val="6263077A"/>
    <w:rsid w:val="62654963"/>
    <w:rsid w:val="627666FF"/>
    <w:rsid w:val="627C000F"/>
    <w:rsid w:val="629E4B7F"/>
    <w:rsid w:val="62BC7E8A"/>
    <w:rsid w:val="62CF2113"/>
    <w:rsid w:val="6307021B"/>
    <w:rsid w:val="630D6682"/>
    <w:rsid w:val="632272EB"/>
    <w:rsid w:val="63227AAA"/>
    <w:rsid w:val="63455E77"/>
    <w:rsid w:val="63473FE4"/>
    <w:rsid w:val="63503AD3"/>
    <w:rsid w:val="63543CFC"/>
    <w:rsid w:val="63640410"/>
    <w:rsid w:val="637137DA"/>
    <w:rsid w:val="638734D6"/>
    <w:rsid w:val="63877E58"/>
    <w:rsid w:val="63A23C32"/>
    <w:rsid w:val="63AB6153"/>
    <w:rsid w:val="640C709A"/>
    <w:rsid w:val="641461CF"/>
    <w:rsid w:val="642F1EE3"/>
    <w:rsid w:val="646157CA"/>
    <w:rsid w:val="64680B03"/>
    <w:rsid w:val="64984C1A"/>
    <w:rsid w:val="64D70FAB"/>
    <w:rsid w:val="64E13C6F"/>
    <w:rsid w:val="64FD5934"/>
    <w:rsid w:val="65051B7F"/>
    <w:rsid w:val="65384669"/>
    <w:rsid w:val="6557447D"/>
    <w:rsid w:val="655D5589"/>
    <w:rsid w:val="656071F2"/>
    <w:rsid w:val="65643203"/>
    <w:rsid w:val="65887501"/>
    <w:rsid w:val="658E1B4A"/>
    <w:rsid w:val="65A624DE"/>
    <w:rsid w:val="65B57A70"/>
    <w:rsid w:val="65B712FD"/>
    <w:rsid w:val="65E90A28"/>
    <w:rsid w:val="65EA0E19"/>
    <w:rsid w:val="65F07BD0"/>
    <w:rsid w:val="65F67535"/>
    <w:rsid w:val="66065EA4"/>
    <w:rsid w:val="662F4A03"/>
    <w:rsid w:val="66367FEE"/>
    <w:rsid w:val="66560E76"/>
    <w:rsid w:val="665673D6"/>
    <w:rsid w:val="66595E88"/>
    <w:rsid w:val="665B0427"/>
    <w:rsid w:val="665D4598"/>
    <w:rsid w:val="667A7554"/>
    <w:rsid w:val="667E6DAD"/>
    <w:rsid w:val="668F0F17"/>
    <w:rsid w:val="66A11D0C"/>
    <w:rsid w:val="66E101FB"/>
    <w:rsid w:val="66E31E33"/>
    <w:rsid w:val="66EA21B4"/>
    <w:rsid w:val="66F70B6B"/>
    <w:rsid w:val="66FA47DB"/>
    <w:rsid w:val="67002A3B"/>
    <w:rsid w:val="67034C37"/>
    <w:rsid w:val="670472EA"/>
    <w:rsid w:val="671206F3"/>
    <w:rsid w:val="671B5C58"/>
    <w:rsid w:val="67564FCE"/>
    <w:rsid w:val="675A0AF8"/>
    <w:rsid w:val="675D2836"/>
    <w:rsid w:val="67817F89"/>
    <w:rsid w:val="678D0238"/>
    <w:rsid w:val="679D5CE0"/>
    <w:rsid w:val="67A47656"/>
    <w:rsid w:val="67A9493B"/>
    <w:rsid w:val="67AD1E8E"/>
    <w:rsid w:val="67B72D23"/>
    <w:rsid w:val="67E05320"/>
    <w:rsid w:val="67ED3287"/>
    <w:rsid w:val="68036B62"/>
    <w:rsid w:val="68121DDF"/>
    <w:rsid w:val="681326E0"/>
    <w:rsid w:val="68161596"/>
    <w:rsid w:val="68171A2C"/>
    <w:rsid w:val="681901F9"/>
    <w:rsid w:val="681925B3"/>
    <w:rsid w:val="684F30E0"/>
    <w:rsid w:val="68503869"/>
    <w:rsid w:val="685630A9"/>
    <w:rsid w:val="6862498A"/>
    <w:rsid w:val="686654A7"/>
    <w:rsid w:val="68680195"/>
    <w:rsid w:val="68770F9B"/>
    <w:rsid w:val="68837ABC"/>
    <w:rsid w:val="68910AC7"/>
    <w:rsid w:val="689774A9"/>
    <w:rsid w:val="689F039F"/>
    <w:rsid w:val="689F0CF7"/>
    <w:rsid w:val="68AE7B72"/>
    <w:rsid w:val="68D87B11"/>
    <w:rsid w:val="68DA5BAB"/>
    <w:rsid w:val="68DD019B"/>
    <w:rsid w:val="68E65F5E"/>
    <w:rsid w:val="695F745B"/>
    <w:rsid w:val="69610AF4"/>
    <w:rsid w:val="69670B4F"/>
    <w:rsid w:val="69711181"/>
    <w:rsid w:val="69724F1B"/>
    <w:rsid w:val="6980390A"/>
    <w:rsid w:val="69937B96"/>
    <w:rsid w:val="69A377E4"/>
    <w:rsid w:val="69A60D09"/>
    <w:rsid w:val="69C451FB"/>
    <w:rsid w:val="69D00BC4"/>
    <w:rsid w:val="69DF6640"/>
    <w:rsid w:val="6A1B5632"/>
    <w:rsid w:val="6A311E94"/>
    <w:rsid w:val="6A4D56EB"/>
    <w:rsid w:val="6A61482D"/>
    <w:rsid w:val="6A6D21CA"/>
    <w:rsid w:val="6A7A48B2"/>
    <w:rsid w:val="6A874F1A"/>
    <w:rsid w:val="6AAD746F"/>
    <w:rsid w:val="6AB932A1"/>
    <w:rsid w:val="6AC335A7"/>
    <w:rsid w:val="6AC72F22"/>
    <w:rsid w:val="6AE05F6E"/>
    <w:rsid w:val="6AF35A12"/>
    <w:rsid w:val="6AF71035"/>
    <w:rsid w:val="6B1C2C96"/>
    <w:rsid w:val="6B1F5178"/>
    <w:rsid w:val="6B24186C"/>
    <w:rsid w:val="6B2A1CA4"/>
    <w:rsid w:val="6B3170C4"/>
    <w:rsid w:val="6B497FCC"/>
    <w:rsid w:val="6B515737"/>
    <w:rsid w:val="6B5E2C34"/>
    <w:rsid w:val="6B7F06BE"/>
    <w:rsid w:val="6BD1620D"/>
    <w:rsid w:val="6BD37761"/>
    <w:rsid w:val="6BEA7064"/>
    <w:rsid w:val="6BEC4E13"/>
    <w:rsid w:val="6C090F80"/>
    <w:rsid w:val="6C13316C"/>
    <w:rsid w:val="6C17524A"/>
    <w:rsid w:val="6C207EB4"/>
    <w:rsid w:val="6C4474DE"/>
    <w:rsid w:val="6C5543FB"/>
    <w:rsid w:val="6C786C1F"/>
    <w:rsid w:val="6C8A4985"/>
    <w:rsid w:val="6CB8729B"/>
    <w:rsid w:val="6CF277BB"/>
    <w:rsid w:val="6CF67414"/>
    <w:rsid w:val="6D1949E6"/>
    <w:rsid w:val="6D1E586E"/>
    <w:rsid w:val="6D40341E"/>
    <w:rsid w:val="6D5D1C24"/>
    <w:rsid w:val="6D6560DE"/>
    <w:rsid w:val="6D743309"/>
    <w:rsid w:val="6D7F5645"/>
    <w:rsid w:val="6D9C513E"/>
    <w:rsid w:val="6DC97375"/>
    <w:rsid w:val="6DD05E3A"/>
    <w:rsid w:val="6E042F36"/>
    <w:rsid w:val="6E083B88"/>
    <w:rsid w:val="6E2115F3"/>
    <w:rsid w:val="6E302D35"/>
    <w:rsid w:val="6E3939C2"/>
    <w:rsid w:val="6E437238"/>
    <w:rsid w:val="6E48779E"/>
    <w:rsid w:val="6E4E73D0"/>
    <w:rsid w:val="6E5830D8"/>
    <w:rsid w:val="6E723EE7"/>
    <w:rsid w:val="6E9C7DB8"/>
    <w:rsid w:val="6E9E63AA"/>
    <w:rsid w:val="6EFA027F"/>
    <w:rsid w:val="6F0D0A9A"/>
    <w:rsid w:val="6F3026C9"/>
    <w:rsid w:val="6F331FED"/>
    <w:rsid w:val="6F4A65BA"/>
    <w:rsid w:val="6F510FBE"/>
    <w:rsid w:val="6F536D49"/>
    <w:rsid w:val="6F5873A6"/>
    <w:rsid w:val="6F65194E"/>
    <w:rsid w:val="6F741033"/>
    <w:rsid w:val="6F7747AC"/>
    <w:rsid w:val="6F932566"/>
    <w:rsid w:val="6F955A8A"/>
    <w:rsid w:val="6FAA11CB"/>
    <w:rsid w:val="6FB07B14"/>
    <w:rsid w:val="6FB3090E"/>
    <w:rsid w:val="6FBB4619"/>
    <w:rsid w:val="6FC239A6"/>
    <w:rsid w:val="6FF37001"/>
    <w:rsid w:val="70097E37"/>
    <w:rsid w:val="7012732D"/>
    <w:rsid w:val="702D3080"/>
    <w:rsid w:val="702F3D23"/>
    <w:rsid w:val="7073057A"/>
    <w:rsid w:val="708B2763"/>
    <w:rsid w:val="708C0DAF"/>
    <w:rsid w:val="70BB7893"/>
    <w:rsid w:val="70BE04C1"/>
    <w:rsid w:val="70D25E29"/>
    <w:rsid w:val="70D96C86"/>
    <w:rsid w:val="70DC1223"/>
    <w:rsid w:val="70DF24FE"/>
    <w:rsid w:val="70E7213F"/>
    <w:rsid w:val="70E86455"/>
    <w:rsid w:val="70F37652"/>
    <w:rsid w:val="70F44F02"/>
    <w:rsid w:val="70F900BF"/>
    <w:rsid w:val="71002BCF"/>
    <w:rsid w:val="71030281"/>
    <w:rsid w:val="710A3200"/>
    <w:rsid w:val="7155354F"/>
    <w:rsid w:val="71771A99"/>
    <w:rsid w:val="717E036C"/>
    <w:rsid w:val="71951759"/>
    <w:rsid w:val="71B908B5"/>
    <w:rsid w:val="71E33685"/>
    <w:rsid w:val="71E34501"/>
    <w:rsid w:val="71E76413"/>
    <w:rsid w:val="71F62E1A"/>
    <w:rsid w:val="71FD0987"/>
    <w:rsid w:val="72312491"/>
    <w:rsid w:val="72430D8D"/>
    <w:rsid w:val="724931F0"/>
    <w:rsid w:val="7254179F"/>
    <w:rsid w:val="726E11B5"/>
    <w:rsid w:val="72825C56"/>
    <w:rsid w:val="72AD502B"/>
    <w:rsid w:val="72C40519"/>
    <w:rsid w:val="72C7696D"/>
    <w:rsid w:val="72CF64E2"/>
    <w:rsid w:val="72F30E15"/>
    <w:rsid w:val="72F36F5F"/>
    <w:rsid w:val="72FA77B8"/>
    <w:rsid w:val="7310630F"/>
    <w:rsid w:val="73191FE8"/>
    <w:rsid w:val="73226650"/>
    <w:rsid w:val="73584877"/>
    <w:rsid w:val="738F631E"/>
    <w:rsid w:val="73A50B2B"/>
    <w:rsid w:val="73A63EEC"/>
    <w:rsid w:val="73A86535"/>
    <w:rsid w:val="73AE5B9E"/>
    <w:rsid w:val="73D204C0"/>
    <w:rsid w:val="73D73A44"/>
    <w:rsid w:val="73E406E9"/>
    <w:rsid w:val="73F74A5C"/>
    <w:rsid w:val="73F87EF2"/>
    <w:rsid w:val="74006337"/>
    <w:rsid w:val="741E2941"/>
    <w:rsid w:val="7422631D"/>
    <w:rsid w:val="74512C62"/>
    <w:rsid w:val="74614968"/>
    <w:rsid w:val="74623E8C"/>
    <w:rsid w:val="747F1ECC"/>
    <w:rsid w:val="748F4F10"/>
    <w:rsid w:val="749F50D2"/>
    <w:rsid w:val="74AF051B"/>
    <w:rsid w:val="74B07D3F"/>
    <w:rsid w:val="74C76EB4"/>
    <w:rsid w:val="74D24DF2"/>
    <w:rsid w:val="751B30C5"/>
    <w:rsid w:val="75265F5C"/>
    <w:rsid w:val="752E4063"/>
    <w:rsid w:val="755C638C"/>
    <w:rsid w:val="75680129"/>
    <w:rsid w:val="757D0E15"/>
    <w:rsid w:val="75935F7B"/>
    <w:rsid w:val="759D5513"/>
    <w:rsid w:val="75A16D19"/>
    <w:rsid w:val="75CD6E7F"/>
    <w:rsid w:val="75F12173"/>
    <w:rsid w:val="76124201"/>
    <w:rsid w:val="762A1F2B"/>
    <w:rsid w:val="76494A96"/>
    <w:rsid w:val="764B59A7"/>
    <w:rsid w:val="765E708E"/>
    <w:rsid w:val="76642751"/>
    <w:rsid w:val="767331A5"/>
    <w:rsid w:val="76A07890"/>
    <w:rsid w:val="76B828EB"/>
    <w:rsid w:val="76DD0A99"/>
    <w:rsid w:val="77083097"/>
    <w:rsid w:val="773F3230"/>
    <w:rsid w:val="77464236"/>
    <w:rsid w:val="77573C6D"/>
    <w:rsid w:val="778D61D3"/>
    <w:rsid w:val="779E14D7"/>
    <w:rsid w:val="77A429D3"/>
    <w:rsid w:val="77C64193"/>
    <w:rsid w:val="77DC4C9B"/>
    <w:rsid w:val="77F37A9D"/>
    <w:rsid w:val="77F75603"/>
    <w:rsid w:val="77FE3986"/>
    <w:rsid w:val="782F15F5"/>
    <w:rsid w:val="783235DF"/>
    <w:rsid w:val="78502C58"/>
    <w:rsid w:val="785E7022"/>
    <w:rsid w:val="78624E36"/>
    <w:rsid w:val="78721837"/>
    <w:rsid w:val="78741675"/>
    <w:rsid w:val="787533C7"/>
    <w:rsid w:val="787C19AC"/>
    <w:rsid w:val="787C6C9B"/>
    <w:rsid w:val="787F36C1"/>
    <w:rsid w:val="788B6BF2"/>
    <w:rsid w:val="7899333C"/>
    <w:rsid w:val="78AA321F"/>
    <w:rsid w:val="78B87EE4"/>
    <w:rsid w:val="78C07C12"/>
    <w:rsid w:val="78D56B03"/>
    <w:rsid w:val="78E421BD"/>
    <w:rsid w:val="78E74EF6"/>
    <w:rsid w:val="78F95F95"/>
    <w:rsid w:val="79051649"/>
    <w:rsid w:val="792F20B5"/>
    <w:rsid w:val="795E1E90"/>
    <w:rsid w:val="79667547"/>
    <w:rsid w:val="79713B81"/>
    <w:rsid w:val="798139A7"/>
    <w:rsid w:val="79A0658C"/>
    <w:rsid w:val="79A344F3"/>
    <w:rsid w:val="79DF5C9D"/>
    <w:rsid w:val="79E162E5"/>
    <w:rsid w:val="79ED77A5"/>
    <w:rsid w:val="7A0E6035"/>
    <w:rsid w:val="7A2D1210"/>
    <w:rsid w:val="7A2E7518"/>
    <w:rsid w:val="7A3C1E68"/>
    <w:rsid w:val="7A4D7721"/>
    <w:rsid w:val="7A5044E1"/>
    <w:rsid w:val="7A533875"/>
    <w:rsid w:val="7A5563BA"/>
    <w:rsid w:val="7A6037F8"/>
    <w:rsid w:val="7A6B3EF6"/>
    <w:rsid w:val="7A831369"/>
    <w:rsid w:val="7AF57606"/>
    <w:rsid w:val="7AF64932"/>
    <w:rsid w:val="7B053598"/>
    <w:rsid w:val="7B062F2A"/>
    <w:rsid w:val="7B1144A3"/>
    <w:rsid w:val="7B122873"/>
    <w:rsid w:val="7B23117F"/>
    <w:rsid w:val="7B284D4A"/>
    <w:rsid w:val="7B362A78"/>
    <w:rsid w:val="7B422F58"/>
    <w:rsid w:val="7B4A5FEA"/>
    <w:rsid w:val="7B581BEB"/>
    <w:rsid w:val="7B605E96"/>
    <w:rsid w:val="7B7754AE"/>
    <w:rsid w:val="7BA536D8"/>
    <w:rsid w:val="7BF250C7"/>
    <w:rsid w:val="7C00517E"/>
    <w:rsid w:val="7C202F6B"/>
    <w:rsid w:val="7C490589"/>
    <w:rsid w:val="7C4D5B3E"/>
    <w:rsid w:val="7C5133FE"/>
    <w:rsid w:val="7C6D3C66"/>
    <w:rsid w:val="7D09700D"/>
    <w:rsid w:val="7D155538"/>
    <w:rsid w:val="7D1E00B2"/>
    <w:rsid w:val="7D2C430F"/>
    <w:rsid w:val="7D3F4ACE"/>
    <w:rsid w:val="7D495042"/>
    <w:rsid w:val="7D4C0AA9"/>
    <w:rsid w:val="7D666225"/>
    <w:rsid w:val="7D7201EC"/>
    <w:rsid w:val="7D847DD0"/>
    <w:rsid w:val="7D8B28B5"/>
    <w:rsid w:val="7DA26420"/>
    <w:rsid w:val="7DD26009"/>
    <w:rsid w:val="7DD46E00"/>
    <w:rsid w:val="7E035413"/>
    <w:rsid w:val="7E1650E1"/>
    <w:rsid w:val="7E176585"/>
    <w:rsid w:val="7E1F3157"/>
    <w:rsid w:val="7E201B39"/>
    <w:rsid w:val="7E2240DE"/>
    <w:rsid w:val="7E2429CB"/>
    <w:rsid w:val="7E4576F9"/>
    <w:rsid w:val="7E527204"/>
    <w:rsid w:val="7E5833BE"/>
    <w:rsid w:val="7E7B79DC"/>
    <w:rsid w:val="7E8C4797"/>
    <w:rsid w:val="7EBB26D4"/>
    <w:rsid w:val="7EC04543"/>
    <w:rsid w:val="7EC753C4"/>
    <w:rsid w:val="7ECF3A2A"/>
    <w:rsid w:val="7ED75BEB"/>
    <w:rsid w:val="7F0E3B62"/>
    <w:rsid w:val="7F33236A"/>
    <w:rsid w:val="7F4B19C8"/>
    <w:rsid w:val="7F5325AB"/>
    <w:rsid w:val="7F7D72DD"/>
    <w:rsid w:val="7F896096"/>
    <w:rsid w:val="7F8B0331"/>
    <w:rsid w:val="7FAC4173"/>
    <w:rsid w:val="7FAF09CA"/>
    <w:rsid w:val="7FB02C0D"/>
    <w:rsid w:val="7FB33332"/>
    <w:rsid w:val="7FF01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6"/>
    <w:qFormat/>
    <w:uiPriority w:val="0"/>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caps/>
      <w:sz w:val="20"/>
      <w:szCs w:val="20"/>
    </w:rPr>
  </w:style>
  <w:style w:type="paragraph" w:styleId="7">
    <w:name w:val="annotation text"/>
    <w:basedOn w:val="1"/>
    <w:link w:val="54"/>
    <w:qFormat/>
    <w:uiPriority w:val="0"/>
    <w:pPr>
      <w:jc w:val="left"/>
    </w:pPr>
  </w:style>
  <w:style w:type="paragraph" w:styleId="8">
    <w:name w:val="Body Text"/>
    <w:basedOn w:val="1"/>
    <w:next w:val="1"/>
    <w:link w:val="43"/>
    <w:qFormat/>
    <w:uiPriority w:val="0"/>
    <w:pPr>
      <w:spacing w:after="120"/>
    </w:pPr>
  </w:style>
  <w:style w:type="paragraph" w:styleId="9">
    <w:name w:val="Body Text Indent"/>
    <w:basedOn w:val="1"/>
    <w:qFormat/>
    <w:uiPriority w:val="0"/>
    <w:pPr>
      <w:ind w:firstLine="407" w:firstLineChars="200"/>
    </w:p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1">
    <w:name w:val="Plain Text"/>
    <w:basedOn w:val="1"/>
    <w:unhideWhenUsed/>
    <w:qFormat/>
    <w:uiPriority w:val="99"/>
    <w:rPr>
      <w:rFonts w:ascii="宋体" w:hAnsi="Courier New" w:cs="Courier New"/>
      <w:szCs w:val="21"/>
    </w:rPr>
  </w:style>
  <w:style w:type="paragraph" w:styleId="12">
    <w:name w:val="Balloon Text"/>
    <w:basedOn w:val="1"/>
    <w:link w:val="49"/>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qFormat/>
    <w:uiPriority w:val="0"/>
    <w:pPr>
      <w:widowControl/>
      <w:jc w:val="center"/>
    </w:pPr>
    <w:rPr>
      <w:kern w:val="0"/>
      <w:sz w:val="20"/>
      <w:u w:val="single"/>
      <w:lang w:eastAsia="en-US"/>
    </w:rPr>
  </w:style>
  <w:style w:type="paragraph" w:styleId="16">
    <w:name w:val="toc 2"/>
    <w:basedOn w:val="1"/>
    <w:next w:val="1"/>
    <w:qFormat/>
    <w:uiPriority w:val="39"/>
    <w:pPr>
      <w:ind w:left="210"/>
      <w:jc w:val="left"/>
    </w:pPr>
    <w:rPr>
      <w:smallCaps/>
      <w:sz w:val="20"/>
      <w:szCs w:val="20"/>
    </w:r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7"/>
    <w:next w:val="7"/>
    <w:link w:val="55"/>
    <w:qFormat/>
    <w:uiPriority w:val="0"/>
    <w:rPr>
      <w:b/>
      <w:bCs/>
    </w:rPr>
  </w:style>
  <w:style w:type="paragraph" w:styleId="19">
    <w:name w:val="Body Text First Indent"/>
    <w:basedOn w:val="8"/>
    <w:next w:val="1"/>
    <w:qFormat/>
    <w:uiPriority w:val="0"/>
    <w:pPr>
      <w:spacing w:line="275" w:lineRule="atLeast"/>
      <w:ind w:firstLine="420"/>
    </w:pPr>
    <w:rPr>
      <w:rFonts w:eastAsia="楷体"/>
      <w:kern w:val="1"/>
      <w:sz w:val="26"/>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FollowedHyperlink"/>
    <w:basedOn w:val="22"/>
    <w:qFormat/>
    <w:uiPriority w:val="0"/>
    <w:rPr>
      <w:color w:val="800080"/>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ascii="monospace" w:hAnsi="monospace" w:eastAsia="monospace" w:cs="monospace"/>
      <w:sz w:val="20"/>
    </w:rPr>
  </w:style>
  <w:style w:type="character" w:styleId="32">
    <w:name w:val="annotation reference"/>
    <w:qFormat/>
    <w:uiPriority w:val="0"/>
    <w:rPr>
      <w:sz w:val="21"/>
      <w:szCs w:val="21"/>
    </w:rPr>
  </w:style>
  <w:style w:type="character" w:styleId="33">
    <w:name w:val="HTML Cite"/>
    <w:basedOn w:val="22"/>
    <w:qFormat/>
    <w:uiPriority w:val="0"/>
  </w:style>
  <w:style w:type="character" w:styleId="34">
    <w:name w:val="HTML Keyboard"/>
    <w:basedOn w:val="22"/>
    <w:qFormat/>
    <w:uiPriority w:val="0"/>
    <w:rPr>
      <w:rFonts w:hint="default" w:ascii="monospace" w:hAnsi="monospace" w:eastAsia="monospace" w:cs="monospace"/>
      <w:sz w:val="20"/>
    </w:rPr>
  </w:style>
  <w:style w:type="character" w:styleId="35">
    <w:name w:val="HTML Sample"/>
    <w:basedOn w:val="22"/>
    <w:qFormat/>
    <w:uiPriority w:val="0"/>
    <w:rPr>
      <w:rFonts w:hint="default" w:ascii="monospace" w:hAnsi="monospace" w:eastAsia="monospace" w:cs="monospace"/>
    </w:rPr>
  </w:style>
  <w:style w:type="paragraph" w:customStyle="1" w:styleId="36">
    <w:name w:val="目录 53"/>
    <w:next w:val="1"/>
    <w:qFormat/>
    <w:uiPriority w:val="0"/>
    <w:pPr>
      <w:wordWrap w:val="0"/>
      <w:ind w:left="1275"/>
      <w:jc w:val="both"/>
    </w:pPr>
    <w:rPr>
      <w:rFonts w:ascii="Calibri" w:hAnsi="Calibri" w:eastAsia="等线" w:cs="Times New Roman"/>
      <w:sz w:val="21"/>
      <w:szCs w:val="22"/>
      <w:lang w:val="en-US" w:eastAsia="zh-CN" w:bidi="ar-SA"/>
    </w:rPr>
  </w:style>
  <w:style w:type="paragraph" w:customStyle="1" w:styleId="37">
    <w:name w:val="BodyText"/>
    <w:basedOn w:val="1"/>
    <w:next w:val="1"/>
    <w:qFormat/>
    <w:uiPriority w:val="0"/>
    <w:pPr>
      <w:spacing w:after="120"/>
    </w:pPr>
  </w:style>
  <w:style w:type="paragraph" w:customStyle="1" w:styleId="3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9">
    <w:name w:val="Table Paragraph"/>
    <w:basedOn w:val="1"/>
    <w:qFormat/>
    <w:uiPriority w:val="1"/>
  </w:style>
  <w:style w:type="character" w:customStyle="1" w:styleId="40">
    <w:name w:val="正文文本 (2)_"/>
    <w:link w:val="41"/>
    <w:qFormat/>
    <w:uiPriority w:val="0"/>
    <w:rPr>
      <w:rFonts w:ascii="宋体" w:hAnsi="宋体"/>
      <w:kern w:val="0"/>
      <w:sz w:val="20"/>
      <w:szCs w:val="20"/>
    </w:rPr>
  </w:style>
  <w:style w:type="paragraph" w:customStyle="1" w:styleId="41">
    <w:name w:val="正文文本 (2)1"/>
    <w:basedOn w:val="1"/>
    <w:link w:val="40"/>
    <w:qFormat/>
    <w:uiPriority w:val="0"/>
    <w:pPr>
      <w:shd w:val="clear" w:color="auto" w:fill="FFFFFF"/>
      <w:spacing w:before="120" w:line="379" w:lineRule="exact"/>
      <w:ind w:hanging="420"/>
      <w:jc w:val="left"/>
    </w:pPr>
    <w:rPr>
      <w:rFonts w:ascii="宋体" w:hAnsi="宋体"/>
      <w:kern w:val="0"/>
      <w:sz w:val="20"/>
      <w:szCs w:val="20"/>
    </w:rPr>
  </w:style>
  <w:style w:type="paragraph" w:customStyle="1" w:styleId="42">
    <w:name w:val="无间隔2"/>
    <w:basedOn w:val="1"/>
    <w:qFormat/>
    <w:uiPriority w:val="0"/>
    <w:pPr>
      <w:spacing w:line="400" w:lineRule="exact"/>
    </w:pPr>
    <w:rPr>
      <w:sz w:val="24"/>
    </w:rPr>
  </w:style>
  <w:style w:type="character" w:customStyle="1" w:styleId="43">
    <w:name w:val="正文文本 Char"/>
    <w:basedOn w:val="22"/>
    <w:link w:val="8"/>
    <w:qFormat/>
    <w:uiPriority w:val="0"/>
    <w:rPr>
      <w:kern w:val="2"/>
      <w:sz w:val="21"/>
      <w:szCs w:val="24"/>
    </w:rPr>
  </w:style>
  <w:style w:type="paragraph" w:customStyle="1" w:styleId="44">
    <w:name w:val="无间隔1"/>
    <w:basedOn w:val="1"/>
    <w:qFormat/>
    <w:uiPriority w:val="0"/>
    <w:pPr>
      <w:spacing w:line="400" w:lineRule="exact"/>
    </w:pPr>
    <w:rPr>
      <w:sz w:val="24"/>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UserStyle_186"/>
    <w:basedOn w:val="1"/>
    <w:qFormat/>
    <w:uiPriority w:val="0"/>
    <w:rPr>
      <w:rFonts w:ascii="宋体" w:hAnsi="宋体"/>
      <w:lang w:val="zh-CN" w:bidi="zh-CN"/>
    </w:rPr>
  </w:style>
  <w:style w:type="character" w:customStyle="1" w:styleId="47">
    <w:name w:val="NormalCharacter"/>
    <w:semiHidden/>
    <w:qFormat/>
    <w:uiPriority w:val="0"/>
  </w:style>
  <w:style w:type="paragraph" w:customStyle="1" w:styleId="48">
    <w:name w:val="reader-word-layer reader-word-s4-3"/>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49">
    <w:name w:val="批注框文本 Char"/>
    <w:basedOn w:val="22"/>
    <w:link w:val="12"/>
    <w:qFormat/>
    <w:uiPriority w:val="0"/>
    <w:rPr>
      <w:kern w:val="2"/>
      <w:sz w:val="18"/>
      <w:szCs w:val="18"/>
    </w:rPr>
  </w:style>
  <w:style w:type="paragraph" w:styleId="50">
    <w:name w:val="List Paragraph"/>
    <w:basedOn w:val="1"/>
    <w:unhideWhenUsed/>
    <w:qFormat/>
    <w:uiPriority w:val="99"/>
    <w:pPr>
      <w:ind w:firstLine="420" w:firstLineChars="200"/>
    </w:pPr>
  </w:style>
  <w:style w:type="character" w:customStyle="1" w:styleId="51">
    <w:name w:val="正文文本 Char1"/>
    <w:basedOn w:val="22"/>
    <w:qFormat/>
    <w:uiPriority w:val="0"/>
    <w:rPr>
      <w:rFonts w:eastAsia="宋体"/>
      <w:kern w:val="2"/>
      <w:sz w:val="21"/>
    </w:rPr>
  </w:style>
  <w:style w:type="character" w:customStyle="1" w:styleId="52">
    <w:name w:val="fontstyle01"/>
    <w:basedOn w:val="22"/>
    <w:qFormat/>
    <w:uiPriority w:val="0"/>
    <w:rPr>
      <w:rFonts w:hint="eastAsia" w:ascii="宋体" w:hAnsi="宋体" w:eastAsia="宋体"/>
      <w:color w:val="000000"/>
      <w:sz w:val="22"/>
      <w:szCs w:val="22"/>
    </w:rPr>
  </w:style>
  <w:style w:type="character" w:customStyle="1" w:styleId="53">
    <w:name w:val="批注文字 Char"/>
    <w:qFormat/>
    <w:uiPriority w:val="0"/>
    <w:rPr>
      <w:kern w:val="2"/>
      <w:sz w:val="21"/>
      <w:szCs w:val="24"/>
    </w:rPr>
  </w:style>
  <w:style w:type="character" w:customStyle="1" w:styleId="54">
    <w:name w:val="批注文字 Char1"/>
    <w:basedOn w:val="22"/>
    <w:link w:val="7"/>
    <w:qFormat/>
    <w:uiPriority w:val="0"/>
    <w:rPr>
      <w:kern w:val="2"/>
      <w:sz w:val="21"/>
      <w:szCs w:val="24"/>
    </w:rPr>
  </w:style>
  <w:style w:type="character" w:customStyle="1" w:styleId="55">
    <w:name w:val="批注主题 Char"/>
    <w:basedOn w:val="54"/>
    <w:link w:val="18"/>
    <w:qFormat/>
    <w:uiPriority w:val="0"/>
    <w:rPr>
      <w:b/>
      <w:bCs/>
      <w:kern w:val="2"/>
      <w:sz w:val="21"/>
      <w:szCs w:val="24"/>
    </w:rPr>
  </w:style>
  <w:style w:type="character" w:customStyle="1" w:styleId="56">
    <w:name w:val="标题 3 Char"/>
    <w:link w:val="5"/>
    <w:autoRedefine/>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110</Pages>
  <Words>5822</Words>
  <Characters>6163</Characters>
  <Lines>536</Lines>
  <Paragraphs>151</Paragraphs>
  <TotalTime>2</TotalTime>
  <ScaleCrop>false</ScaleCrop>
  <LinksUpToDate>false</LinksUpToDate>
  <CharactersWithSpaces>6348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2022-12-12T08:40:00Z</dcterms:created>
  <dc:creator>xiaomi</dc:creator>
  <cp:lastModifiedBy>123</cp:lastModifiedBy>
  <cp:lastPrinted>2021-04-28T08:22:00Z</cp:lastPrinted>
  <dcterms:modified xsi:type="dcterms:W3CDTF">2025-08-15T09:48:48Z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B191B602804B44CD9947A447CA7C608D_13</vt:lpwstr>
  </property>
  <property fmtid="{D5CDD505-2E9C-101B-9397-08002B2CF9AE}" pid="4" name="KSOTemplateDocerSaveRecord">
    <vt:lpwstr>eyJoZGlkIjoiMzdlOTk2YmZjZjk1ODc5MjY5ZjA2ZTRkM2U4ZGMwMmQiLCJ1c2VySWQiOiIyOTIwNjkxNDIifQ==</vt:lpwstr>
  </property>
</Properties>
</file>