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FFF3C82">
      <w:pPr>
        <w:spacing w:line="560" w:lineRule="exact"/>
        <w:rPr>
          <w:rFonts w:hint="eastAsia" w:ascii="宋体" w:hAnsi="宋体" w:cs="宋体"/>
          <w:bCs/>
          <w:color w:val="auto"/>
          <w:szCs w:val="18"/>
          <w:highlight w:val="none"/>
        </w:rPr>
      </w:pPr>
      <w:r>
        <w:rPr>
          <w:highlight w:val="none"/>
        </w:rPr>
        <w:drawing>
          <wp:anchor distT="0" distB="0" distL="0" distR="0" simplePos="0" relativeHeight="251661312" behindDoc="0" locked="0" layoutInCell="1" allowOverlap="1">
            <wp:simplePos x="0" y="0"/>
            <wp:positionH relativeFrom="column">
              <wp:posOffset>292100</wp:posOffset>
            </wp:positionH>
            <wp:positionV relativeFrom="page">
              <wp:posOffset>1141730</wp:posOffset>
            </wp:positionV>
            <wp:extent cx="1078865" cy="713105"/>
            <wp:effectExtent l="0" t="0" r="6985" b="10795"/>
            <wp:wrapTopAndBottom/>
            <wp:docPr id="1026" name="图片 2"/>
            <wp:cNvGraphicFramePr/>
            <a:graphic xmlns:a="http://schemas.openxmlformats.org/drawingml/2006/main">
              <a:graphicData uri="http://schemas.openxmlformats.org/drawingml/2006/picture">
                <pic:pic xmlns:pic="http://schemas.openxmlformats.org/drawingml/2006/picture">
                  <pic:nvPicPr>
                    <pic:cNvPr id="1026" name="图片 2"/>
                    <pic:cNvPicPr/>
                  </pic:nvPicPr>
                  <pic:blipFill>
                    <a:blip r:embed="rId11" cstate="print"/>
                    <a:srcRect/>
                    <a:stretch>
                      <a:fillRect/>
                    </a:stretch>
                  </pic:blipFill>
                  <pic:spPr>
                    <a:xfrm>
                      <a:off x="0" y="0"/>
                      <a:ext cx="1078865" cy="713105"/>
                    </a:xfrm>
                    <a:prstGeom prst="rect">
                      <a:avLst/>
                    </a:prstGeom>
                    <a:ln>
                      <a:noFill/>
                    </a:ln>
                  </pic:spPr>
                </pic:pic>
              </a:graphicData>
            </a:graphic>
          </wp:anchor>
        </w:drawing>
      </w:r>
    </w:p>
    <w:p w14:paraId="0E4D21C4">
      <w:pPr>
        <w:spacing w:line="1600" w:lineRule="exact"/>
        <w:jc w:val="center"/>
        <w:outlineLvl w:val="0"/>
        <w:rPr>
          <w:rFonts w:hint="eastAsia" w:ascii="宋体" w:hAnsi="宋体" w:cs="宋体"/>
          <w:b/>
          <w:color w:val="auto"/>
          <w:sz w:val="100"/>
          <w:highlight w:val="none"/>
        </w:rPr>
      </w:pPr>
    </w:p>
    <w:p w14:paraId="65536A6D">
      <w:pPr>
        <w:spacing w:line="1600" w:lineRule="exact"/>
        <w:jc w:val="center"/>
        <w:outlineLvl w:val="0"/>
        <w:rPr>
          <w:rFonts w:hint="default" w:ascii="宋体" w:hAnsi="宋体" w:cs="宋体"/>
          <w:b/>
          <w:color w:val="auto"/>
          <w:sz w:val="120"/>
          <w:szCs w:val="120"/>
          <w:highlight w:val="none"/>
          <w:lang w:val="en-US"/>
        </w:rPr>
      </w:pPr>
      <w:r>
        <w:rPr>
          <w:rFonts w:hint="eastAsia" w:ascii="宋体" w:hAnsi="宋体" w:cs="宋体"/>
          <w:b/>
          <w:color w:val="auto"/>
          <w:sz w:val="120"/>
          <w:szCs w:val="120"/>
          <w:highlight w:val="none"/>
          <w:lang w:val="en-US" w:eastAsia="zh-CN"/>
        </w:rPr>
        <w:t>竞争性比选文件</w:t>
      </w:r>
      <w:r>
        <w:rPr>
          <w:rFonts w:hint="eastAsia" w:ascii="宋体" w:hAnsi="宋体" w:cs="宋体"/>
          <w:b/>
          <w:color w:val="auto"/>
          <w:sz w:val="120"/>
          <w:szCs w:val="120"/>
          <w:highlight w:val="none"/>
          <w:lang w:val="en-US" w:eastAsia="zh-CN"/>
        </w:rPr>
        <w:tab/>
      </w:r>
    </w:p>
    <w:p w14:paraId="68AB8950">
      <w:pPr>
        <w:pStyle w:val="23"/>
        <w:spacing w:line="500" w:lineRule="exact"/>
        <w:ind w:left="0"/>
        <w:jc w:val="center"/>
        <w:rPr>
          <w:rFonts w:hint="eastAsia" w:ascii="宋体" w:hAnsi="宋体" w:cs="宋体"/>
          <w:b/>
          <w:color w:val="auto"/>
          <w:sz w:val="32"/>
          <w:highlight w:val="none"/>
        </w:rPr>
      </w:pPr>
    </w:p>
    <w:p w14:paraId="66318884">
      <w:pPr>
        <w:spacing w:line="360" w:lineRule="auto"/>
        <w:ind w:left="0" w:leftChars="0" w:firstLine="0" w:firstLineChars="0"/>
        <w:jc w:val="center"/>
        <w:outlineLvl w:val="0"/>
        <w:rPr>
          <w:rFonts w:hint="eastAsia" w:ascii="黑体" w:hAnsi="黑体" w:eastAsia="黑体" w:cs="黑体"/>
          <w:color w:val="auto"/>
          <w:spacing w:val="80"/>
          <w:sz w:val="44"/>
          <w:szCs w:val="44"/>
          <w:highlight w:val="none"/>
        </w:rPr>
      </w:pPr>
      <w:r>
        <w:rPr>
          <w:rFonts w:hint="eastAsia" w:ascii="黑体" w:hAnsi="黑体" w:eastAsia="黑体" w:cs="黑体"/>
          <w:color w:val="auto"/>
          <w:spacing w:val="80"/>
          <w:sz w:val="44"/>
          <w:szCs w:val="44"/>
          <w:highlight w:val="none"/>
        </w:rPr>
        <w:t>（综合评分法）</w:t>
      </w:r>
    </w:p>
    <w:p w14:paraId="6407A368">
      <w:pPr>
        <w:pStyle w:val="23"/>
        <w:spacing w:line="500" w:lineRule="exact"/>
        <w:ind w:left="0"/>
        <w:jc w:val="center"/>
        <w:rPr>
          <w:rFonts w:hint="eastAsia" w:ascii="宋体" w:hAnsi="宋体" w:cs="宋体"/>
          <w:b/>
          <w:color w:val="auto"/>
          <w:sz w:val="32"/>
          <w:highlight w:val="none"/>
        </w:rPr>
      </w:pPr>
    </w:p>
    <w:p w14:paraId="2FA29F52">
      <w:pPr>
        <w:pStyle w:val="23"/>
        <w:spacing w:line="500" w:lineRule="exact"/>
        <w:ind w:left="0"/>
        <w:jc w:val="center"/>
        <w:rPr>
          <w:rFonts w:hint="eastAsia" w:ascii="宋体" w:hAnsi="宋体" w:cs="宋体"/>
          <w:b/>
          <w:color w:val="auto"/>
          <w:sz w:val="32"/>
          <w:highlight w:val="none"/>
        </w:rPr>
      </w:pPr>
    </w:p>
    <w:p w14:paraId="461FCC2A">
      <w:pPr>
        <w:pStyle w:val="23"/>
        <w:spacing w:line="500" w:lineRule="exact"/>
        <w:ind w:left="0"/>
        <w:jc w:val="center"/>
        <w:rPr>
          <w:rFonts w:hint="eastAsia" w:ascii="宋体" w:hAnsi="宋体" w:cs="宋体"/>
          <w:b/>
          <w:color w:val="auto"/>
          <w:sz w:val="36"/>
          <w:szCs w:val="21"/>
          <w:highlight w:val="none"/>
        </w:rPr>
      </w:pPr>
    </w:p>
    <w:p w14:paraId="42DF3189">
      <w:pPr>
        <w:pStyle w:val="23"/>
        <w:keepNext w:val="0"/>
        <w:keepLines w:val="0"/>
        <w:pageBreakBefore w:val="0"/>
        <w:widowControl w:val="0"/>
        <w:kinsoku/>
        <w:wordWrap/>
        <w:overflowPunct/>
        <w:topLinePunct w:val="0"/>
        <w:bidi w:val="0"/>
        <w:spacing w:line="500" w:lineRule="exact"/>
        <w:ind w:left="0" w:leftChars="0" w:firstLine="1084" w:firstLineChars="300"/>
        <w:jc w:val="left"/>
        <w:textAlignment w:val="auto"/>
        <w:outlineLvl w:val="0"/>
        <w:rPr>
          <w:rFonts w:hint="default" w:ascii="宋体" w:hAnsi="宋体" w:eastAsia="宋体" w:cs="宋体"/>
          <w:b/>
          <w:color w:val="auto"/>
          <w:sz w:val="36"/>
          <w:szCs w:val="21"/>
          <w:highlight w:val="none"/>
          <w:lang w:val="en-US" w:eastAsia="zh-CN"/>
        </w:rPr>
      </w:pPr>
      <w:r>
        <w:rPr>
          <w:rFonts w:hint="eastAsia" w:ascii="宋体" w:hAnsi="宋体" w:cs="宋体"/>
          <w:b/>
          <w:color w:val="auto"/>
          <w:sz w:val="36"/>
          <w:szCs w:val="21"/>
          <w:highlight w:val="none"/>
        </w:rPr>
        <w:t>项目号：</w:t>
      </w:r>
      <w:r>
        <w:rPr>
          <w:rFonts w:hint="eastAsia" w:ascii="宋体" w:hAnsi="宋体" w:cs="宋体"/>
          <w:b/>
          <w:color w:val="auto"/>
          <w:sz w:val="36"/>
          <w:szCs w:val="21"/>
          <w:highlight w:val="none"/>
          <w:lang w:val="en-US" w:eastAsia="zh-CN"/>
        </w:rPr>
        <w:t>HYD-ZYY-068</w:t>
      </w:r>
    </w:p>
    <w:p w14:paraId="54B5E41E">
      <w:pPr>
        <w:keepNext w:val="0"/>
        <w:keepLines w:val="0"/>
        <w:pageBreakBefore w:val="0"/>
        <w:widowControl w:val="0"/>
        <w:kinsoku/>
        <w:wordWrap/>
        <w:overflowPunct/>
        <w:topLinePunct w:val="0"/>
        <w:autoSpaceDE w:val="0"/>
        <w:autoSpaceDN w:val="0"/>
        <w:bidi w:val="0"/>
        <w:adjustRightInd w:val="0"/>
        <w:spacing w:line="500" w:lineRule="exact"/>
        <w:ind w:firstLine="1084" w:firstLineChars="300"/>
        <w:jc w:val="both"/>
        <w:textAlignment w:val="auto"/>
        <w:rPr>
          <w:rFonts w:hint="eastAsia" w:ascii="宋体" w:hAnsi="宋体" w:cs="宋体"/>
          <w:b/>
          <w:color w:val="auto"/>
          <w:sz w:val="36"/>
          <w:szCs w:val="21"/>
          <w:highlight w:val="none"/>
        </w:rPr>
      </w:pPr>
      <w:r>
        <w:rPr>
          <w:rFonts w:hint="eastAsia" w:ascii="宋体" w:hAnsi="宋体" w:cs="宋体"/>
          <w:b/>
          <w:color w:val="auto"/>
          <w:sz w:val="36"/>
          <w:szCs w:val="21"/>
          <w:highlight w:val="none"/>
          <w:lang w:val="en-US" w:eastAsia="zh-CN"/>
        </w:rPr>
        <w:t>项目执行编号：HYD-（招）-咨字-2025-A068</w:t>
      </w:r>
    </w:p>
    <w:p w14:paraId="5BD7440B">
      <w:pPr>
        <w:keepNext w:val="0"/>
        <w:keepLines w:val="0"/>
        <w:pageBreakBefore w:val="0"/>
        <w:widowControl w:val="0"/>
        <w:kinsoku/>
        <w:wordWrap/>
        <w:overflowPunct/>
        <w:topLinePunct w:val="0"/>
        <w:autoSpaceDE w:val="0"/>
        <w:autoSpaceDN w:val="0"/>
        <w:bidi w:val="0"/>
        <w:adjustRightInd w:val="0"/>
        <w:spacing w:line="500" w:lineRule="exact"/>
        <w:ind w:firstLine="1084" w:firstLineChars="300"/>
        <w:jc w:val="both"/>
        <w:textAlignment w:val="auto"/>
        <w:rPr>
          <w:rFonts w:hint="eastAsia"/>
          <w:b/>
          <w:sz w:val="40"/>
          <w:szCs w:val="40"/>
          <w:highlight w:val="none"/>
          <w:u w:val="single"/>
        </w:rPr>
      </w:pPr>
      <w:r>
        <w:rPr>
          <w:rFonts w:hint="eastAsia" w:ascii="宋体" w:hAnsi="宋体" w:cs="宋体"/>
          <w:b/>
          <w:color w:val="auto"/>
          <w:sz w:val="36"/>
          <w:szCs w:val="21"/>
          <w:highlight w:val="none"/>
        </w:rPr>
        <w:t>项目名称：</w:t>
      </w:r>
      <w:r>
        <w:rPr>
          <w:rFonts w:hint="eastAsia" w:ascii="宋体" w:hAnsi="宋体" w:cs="宋体"/>
          <w:b/>
          <w:color w:val="auto"/>
          <w:sz w:val="36"/>
          <w:szCs w:val="21"/>
          <w:highlight w:val="none"/>
          <w:lang w:val="en-US" w:eastAsia="zh-CN"/>
        </w:rPr>
        <w:t>重庆中医药学院南区学生食堂改造采购</w:t>
      </w:r>
    </w:p>
    <w:p w14:paraId="76F2E0A1">
      <w:pPr>
        <w:pStyle w:val="23"/>
        <w:keepNext w:val="0"/>
        <w:keepLines w:val="0"/>
        <w:pageBreakBefore w:val="0"/>
        <w:widowControl w:val="0"/>
        <w:kinsoku/>
        <w:wordWrap/>
        <w:overflowPunct/>
        <w:topLinePunct w:val="0"/>
        <w:bidi w:val="0"/>
        <w:spacing w:line="500" w:lineRule="exact"/>
        <w:ind w:left="0"/>
        <w:jc w:val="center"/>
        <w:textAlignment w:val="auto"/>
        <w:rPr>
          <w:rFonts w:hint="eastAsia" w:ascii="宋体" w:hAnsi="宋体" w:cs="宋体"/>
          <w:b/>
          <w:color w:val="auto"/>
          <w:sz w:val="32"/>
          <w:highlight w:val="none"/>
        </w:rPr>
      </w:pPr>
    </w:p>
    <w:p w14:paraId="32A87DE2">
      <w:pPr>
        <w:pStyle w:val="23"/>
        <w:keepNext w:val="0"/>
        <w:keepLines w:val="0"/>
        <w:pageBreakBefore w:val="0"/>
        <w:widowControl w:val="0"/>
        <w:kinsoku/>
        <w:wordWrap/>
        <w:overflowPunct/>
        <w:topLinePunct w:val="0"/>
        <w:bidi w:val="0"/>
        <w:spacing w:line="500" w:lineRule="exact"/>
        <w:ind w:left="0"/>
        <w:jc w:val="center"/>
        <w:textAlignment w:val="auto"/>
        <w:rPr>
          <w:rFonts w:hint="eastAsia" w:ascii="宋体" w:hAnsi="宋体" w:cs="宋体"/>
          <w:b/>
          <w:color w:val="auto"/>
          <w:sz w:val="32"/>
          <w:highlight w:val="none"/>
        </w:rPr>
      </w:pPr>
    </w:p>
    <w:p w14:paraId="584A323C">
      <w:pPr>
        <w:keepNext w:val="0"/>
        <w:keepLines w:val="0"/>
        <w:pageBreakBefore w:val="0"/>
        <w:widowControl w:val="0"/>
        <w:kinsoku/>
        <w:wordWrap/>
        <w:overflowPunct/>
        <w:topLinePunct w:val="0"/>
        <w:bidi w:val="0"/>
        <w:spacing w:line="500" w:lineRule="exact"/>
        <w:jc w:val="center"/>
        <w:textAlignment w:val="auto"/>
        <w:rPr>
          <w:rFonts w:hint="eastAsia" w:ascii="宋体" w:hAnsi="宋体" w:cs="宋体"/>
          <w:b/>
          <w:color w:val="auto"/>
          <w:sz w:val="32"/>
          <w:highlight w:val="none"/>
        </w:rPr>
      </w:pPr>
    </w:p>
    <w:p w14:paraId="5355710C">
      <w:pPr>
        <w:keepNext w:val="0"/>
        <w:keepLines w:val="0"/>
        <w:pageBreakBefore w:val="0"/>
        <w:widowControl w:val="0"/>
        <w:kinsoku/>
        <w:wordWrap/>
        <w:overflowPunct/>
        <w:topLinePunct w:val="0"/>
        <w:autoSpaceDE w:val="0"/>
        <w:autoSpaceDN w:val="0"/>
        <w:bidi w:val="0"/>
        <w:adjustRightInd w:val="0"/>
        <w:spacing w:line="500" w:lineRule="exact"/>
        <w:ind w:firstLine="1084" w:firstLineChars="300"/>
        <w:jc w:val="both"/>
        <w:textAlignment w:val="auto"/>
        <w:rPr>
          <w:rFonts w:hint="eastAsia" w:ascii="宋体" w:hAnsi="宋体" w:eastAsia="宋体" w:cs="宋体"/>
          <w:b/>
          <w:color w:val="auto"/>
          <w:sz w:val="36"/>
          <w:szCs w:val="21"/>
          <w:highlight w:val="none"/>
          <w:lang w:val="en-US" w:eastAsia="zh-CN"/>
        </w:rPr>
      </w:pPr>
      <w:r>
        <w:rPr>
          <w:rFonts w:hint="eastAsia" w:ascii="宋体" w:hAnsi="宋体" w:eastAsia="宋体" w:cs="宋体"/>
          <w:b/>
          <w:color w:val="auto"/>
          <w:sz w:val="36"/>
          <w:szCs w:val="21"/>
          <w:highlight w:val="none"/>
          <w:lang w:val="en-US" w:eastAsia="zh-CN"/>
        </w:rPr>
        <w:t xml:space="preserve">比   选   人：重庆中医药学院 </w:t>
      </w:r>
    </w:p>
    <w:p w14:paraId="4CE75C67">
      <w:pPr>
        <w:keepNext w:val="0"/>
        <w:keepLines w:val="0"/>
        <w:pageBreakBefore w:val="0"/>
        <w:widowControl w:val="0"/>
        <w:kinsoku/>
        <w:wordWrap/>
        <w:overflowPunct/>
        <w:topLinePunct w:val="0"/>
        <w:autoSpaceDE w:val="0"/>
        <w:autoSpaceDN w:val="0"/>
        <w:bidi w:val="0"/>
        <w:adjustRightInd w:val="0"/>
        <w:spacing w:line="500" w:lineRule="exact"/>
        <w:ind w:firstLine="1084" w:firstLineChars="300"/>
        <w:jc w:val="both"/>
        <w:textAlignment w:val="auto"/>
        <w:rPr>
          <w:rFonts w:hint="default" w:ascii="宋体" w:hAnsi="宋体" w:eastAsia="宋体" w:cs="宋体"/>
          <w:b/>
          <w:color w:val="auto"/>
          <w:kern w:val="2"/>
          <w:sz w:val="32"/>
          <w:highlight w:val="none"/>
          <w:lang w:val="en-US" w:eastAsia="zh-CN" w:bidi="ar-SA"/>
        </w:rPr>
      </w:pPr>
      <w:r>
        <w:rPr>
          <w:rFonts w:hint="eastAsia" w:ascii="宋体" w:hAnsi="宋体" w:eastAsia="宋体" w:cs="宋体"/>
          <w:b/>
          <w:color w:val="auto"/>
          <w:sz w:val="36"/>
          <w:szCs w:val="21"/>
          <w:highlight w:val="none"/>
          <w:lang w:val="en-US" w:eastAsia="zh-CN"/>
        </w:rPr>
        <w:t xml:space="preserve">比选代理机构：重庆合越达工程管理有限公司   </w:t>
      </w:r>
      <w:r>
        <w:rPr>
          <w:rFonts w:hint="eastAsia" w:ascii="宋体" w:hAnsi="宋体" w:cs="宋体"/>
          <w:b/>
          <w:color w:val="auto"/>
          <w:kern w:val="2"/>
          <w:sz w:val="32"/>
          <w:highlight w:val="none"/>
          <w:lang w:val="en-US" w:eastAsia="zh-CN" w:bidi="ar-SA"/>
        </w:rPr>
        <w:t xml:space="preserve">                                                                                                                                                                          </w:t>
      </w:r>
    </w:p>
    <w:p w14:paraId="432973BF">
      <w:pPr>
        <w:keepNext w:val="0"/>
        <w:keepLines w:val="0"/>
        <w:pageBreakBefore w:val="0"/>
        <w:widowControl w:val="0"/>
        <w:kinsoku/>
        <w:wordWrap/>
        <w:overflowPunct/>
        <w:topLinePunct w:val="0"/>
        <w:bidi w:val="0"/>
        <w:snapToGrid w:val="0"/>
        <w:spacing w:line="500" w:lineRule="exact"/>
        <w:jc w:val="center"/>
        <w:textAlignment w:val="auto"/>
        <w:rPr>
          <w:rFonts w:hint="eastAsia" w:ascii="宋体" w:hAnsi="宋体" w:cs="宋体"/>
          <w:b/>
          <w:color w:val="auto"/>
          <w:sz w:val="36"/>
          <w:highlight w:val="none"/>
        </w:rPr>
      </w:pPr>
    </w:p>
    <w:p w14:paraId="6A14C8FC">
      <w:pPr>
        <w:keepNext w:val="0"/>
        <w:keepLines w:val="0"/>
        <w:pageBreakBefore w:val="0"/>
        <w:widowControl w:val="0"/>
        <w:kinsoku/>
        <w:wordWrap/>
        <w:overflowPunct/>
        <w:topLinePunct w:val="0"/>
        <w:bidi w:val="0"/>
        <w:snapToGrid w:val="0"/>
        <w:spacing w:line="500" w:lineRule="exact"/>
        <w:jc w:val="center"/>
        <w:textAlignment w:val="auto"/>
        <w:rPr>
          <w:rFonts w:hint="eastAsia" w:ascii="宋体" w:hAnsi="宋体" w:cs="宋体"/>
          <w:b/>
          <w:color w:val="auto"/>
          <w:sz w:val="32"/>
          <w:szCs w:val="32"/>
          <w:highlight w:val="none"/>
        </w:rPr>
      </w:pPr>
    </w:p>
    <w:p w14:paraId="29828446">
      <w:pPr>
        <w:keepNext w:val="0"/>
        <w:keepLines w:val="0"/>
        <w:pageBreakBefore w:val="0"/>
        <w:widowControl w:val="0"/>
        <w:kinsoku/>
        <w:wordWrap/>
        <w:overflowPunct/>
        <w:topLinePunct w:val="0"/>
        <w:autoSpaceDE w:val="0"/>
        <w:autoSpaceDN w:val="0"/>
        <w:bidi w:val="0"/>
        <w:adjustRightInd w:val="0"/>
        <w:spacing w:line="500" w:lineRule="exact"/>
        <w:jc w:val="center"/>
        <w:textAlignment w:val="auto"/>
        <w:rPr>
          <w:rFonts w:hint="eastAsia" w:ascii="宋体" w:hAnsi="宋体" w:eastAsia="宋体" w:cs="宋体"/>
          <w:b/>
          <w:color w:val="auto"/>
          <w:sz w:val="36"/>
          <w:szCs w:val="21"/>
          <w:highlight w:val="none"/>
          <w:lang w:val="en-US" w:eastAsia="zh-CN"/>
        </w:rPr>
      </w:pPr>
      <w:r>
        <w:rPr>
          <w:rFonts w:hint="eastAsia" w:ascii="宋体" w:hAnsi="宋体" w:eastAsia="宋体" w:cs="宋体"/>
          <w:b/>
          <w:color w:val="auto"/>
          <w:sz w:val="36"/>
          <w:szCs w:val="21"/>
          <w:highlight w:val="none"/>
          <w:lang w:val="en-US" w:eastAsia="zh-CN"/>
        </w:rPr>
        <w:t>二○二五年十一月</w:t>
      </w:r>
    </w:p>
    <w:p w14:paraId="20CE553E">
      <w:pPr>
        <w:snapToGrid w:val="0"/>
        <w:spacing w:line="500" w:lineRule="exact"/>
        <w:rPr>
          <w:rFonts w:hint="eastAsia" w:ascii="宋体" w:hAnsi="宋体" w:cs="宋体"/>
          <w:color w:val="auto"/>
          <w:sz w:val="44"/>
          <w:highlight w:val="none"/>
        </w:rPr>
      </w:pPr>
    </w:p>
    <w:p w14:paraId="232C244F">
      <w:pPr>
        <w:snapToGrid w:val="0"/>
        <w:spacing w:line="500" w:lineRule="exact"/>
        <w:rPr>
          <w:rFonts w:hint="eastAsia" w:ascii="宋体" w:hAnsi="宋体" w:cs="宋体"/>
          <w:color w:val="auto"/>
          <w:sz w:val="44"/>
          <w:highlight w:val="none"/>
        </w:rPr>
        <w:sectPr>
          <w:headerReference r:id="rId3" w:type="first"/>
          <w:footerReference r:id="rId5" w:type="first"/>
          <w:footerReference r:id="rId4" w:type="even"/>
          <w:pgSz w:w="11907" w:h="16840"/>
          <w:pgMar w:top="1134" w:right="1191" w:bottom="1134" w:left="1304" w:header="964" w:footer="992" w:gutter="0"/>
          <w:pgNumType w:start="1"/>
          <w:cols w:space="720" w:num="1"/>
          <w:docGrid w:linePitch="312" w:charSpace="0"/>
        </w:sectPr>
      </w:pPr>
    </w:p>
    <w:p w14:paraId="14E7E30B">
      <w:pPr>
        <w:snapToGrid w:val="0"/>
        <w:spacing w:line="500" w:lineRule="exact"/>
        <w:jc w:val="center"/>
        <w:rPr>
          <w:rFonts w:hint="eastAsia" w:ascii="宋体" w:hAnsi="宋体" w:cs="宋体"/>
          <w:color w:val="auto"/>
          <w:sz w:val="44"/>
          <w:highlight w:val="none"/>
        </w:rPr>
      </w:pPr>
      <w:r>
        <w:rPr>
          <w:rFonts w:hint="eastAsia" w:ascii="宋体" w:hAnsi="宋体" w:cs="宋体"/>
          <w:color w:val="auto"/>
          <w:sz w:val="44"/>
          <w:highlight w:val="none"/>
        </w:rPr>
        <w:t>目  录</w:t>
      </w:r>
    </w:p>
    <w:p w14:paraId="607E5E2A">
      <w:pPr>
        <w:pStyle w:val="38"/>
        <w:keepNext w:val="0"/>
        <w:keepLines w:val="0"/>
        <w:pageBreakBefore w:val="0"/>
        <w:widowControl w:val="0"/>
        <w:tabs>
          <w:tab w:val="right" w:leader="dot" w:pos="9412"/>
          <w:tab w:val="clear" w:pos="1260"/>
          <w:tab w:val="clear" w:pos="1685"/>
          <w:tab w:val="clear" w:pos="8400"/>
        </w:tabs>
        <w:kinsoku/>
        <w:wordWrap/>
        <w:overflowPunct/>
        <w:topLinePunct w:val="0"/>
        <w:autoSpaceDE/>
        <w:autoSpaceDN/>
        <w:bidi w:val="0"/>
        <w:adjustRightInd/>
        <w:snapToGrid/>
        <w:spacing w:line="700" w:lineRule="exact"/>
        <w:textAlignment w:val="auto"/>
        <w:rPr>
          <w:rFonts w:hint="eastAsia" w:ascii="宋体" w:hAnsi="宋体" w:cs="宋体"/>
          <w:b w:val="0"/>
          <w:bCs w:val="0"/>
          <w:color w:val="auto"/>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TOC \o "1-2" \h \z </w:instrText>
      </w:r>
      <w:r>
        <w:rPr>
          <w:rFonts w:hint="eastAsia" w:ascii="宋体" w:hAnsi="宋体" w:cs="宋体"/>
          <w:color w:val="auto"/>
          <w:sz w:val="24"/>
          <w:szCs w:val="24"/>
          <w:highlight w:val="none"/>
        </w:rPr>
        <w:fldChar w:fldCharType="separate"/>
      </w:r>
      <w:r>
        <w:rPr>
          <w:rFonts w:hint="eastAsia" w:ascii="宋体" w:hAnsi="宋体" w:cs="宋体"/>
          <w:b w:val="0"/>
          <w:bCs w:val="0"/>
          <w:color w:val="auto"/>
          <w:szCs w:val="24"/>
          <w:highlight w:val="none"/>
        </w:rPr>
        <w:fldChar w:fldCharType="begin"/>
      </w:r>
      <w:r>
        <w:rPr>
          <w:rFonts w:hint="eastAsia" w:ascii="宋体" w:hAnsi="宋体" w:cs="宋体"/>
          <w:b w:val="0"/>
          <w:bCs w:val="0"/>
          <w:szCs w:val="24"/>
          <w:highlight w:val="none"/>
        </w:rPr>
        <w:instrText xml:space="preserve"> HYPERLINK \l _Toc4229 </w:instrText>
      </w:r>
      <w:r>
        <w:rPr>
          <w:rFonts w:hint="eastAsia" w:ascii="宋体" w:hAnsi="宋体" w:cs="宋体"/>
          <w:b w:val="0"/>
          <w:bCs w:val="0"/>
          <w:szCs w:val="24"/>
          <w:highlight w:val="none"/>
        </w:rPr>
        <w:fldChar w:fldCharType="separate"/>
      </w:r>
      <w:r>
        <w:rPr>
          <w:rFonts w:hint="eastAsia" w:ascii="宋体" w:hAnsi="宋体" w:eastAsia="宋体" w:cs="宋体"/>
          <w:b w:val="0"/>
          <w:bCs w:val="0"/>
          <w:highlight w:val="none"/>
        </w:rPr>
        <w:t xml:space="preserve">第一篇 </w:t>
      </w:r>
      <w:r>
        <w:rPr>
          <w:rFonts w:hint="eastAsia" w:ascii="宋体" w:hAnsi="宋体" w:eastAsia="宋体" w:cs="宋体"/>
          <w:b w:val="0"/>
          <w:bCs w:val="0"/>
          <w:highlight w:val="none"/>
          <w:lang w:eastAsia="zh-CN"/>
        </w:rPr>
        <w:t>比选</w:t>
      </w:r>
      <w:r>
        <w:rPr>
          <w:rFonts w:hint="eastAsia" w:ascii="宋体" w:hAnsi="宋体" w:eastAsia="宋体" w:cs="宋体"/>
          <w:b w:val="0"/>
          <w:bCs w:val="0"/>
          <w:highlight w:val="none"/>
        </w:rPr>
        <w:t>邀请书</w:t>
      </w:r>
      <w:r>
        <w:rPr>
          <w:b w:val="0"/>
          <w:bCs w:val="0"/>
          <w:highlight w:val="none"/>
        </w:rPr>
        <w:tab/>
      </w:r>
      <w:r>
        <w:rPr>
          <w:b w:val="0"/>
          <w:bCs w:val="0"/>
          <w:highlight w:val="none"/>
        </w:rPr>
        <w:fldChar w:fldCharType="begin"/>
      </w:r>
      <w:r>
        <w:rPr>
          <w:b w:val="0"/>
          <w:bCs w:val="0"/>
          <w:highlight w:val="none"/>
        </w:rPr>
        <w:instrText xml:space="preserve"> PAGEREF _Toc4229 \h </w:instrText>
      </w:r>
      <w:r>
        <w:rPr>
          <w:b w:val="0"/>
          <w:bCs w:val="0"/>
          <w:highlight w:val="none"/>
        </w:rPr>
        <w:fldChar w:fldCharType="separate"/>
      </w:r>
      <w:r>
        <w:rPr>
          <w:b w:val="0"/>
          <w:bCs w:val="0"/>
          <w:highlight w:val="none"/>
        </w:rPr>
        <w:t>1</w:t>
      </w:r>
      <w:r>
        <w:rPr>
          <w:b w:val="0"/>
          <w:bCs w:val="0"/>
          <w:highlight w:val="none"/>
        </w:rPr>
        <w:fldChar w:fldCharType="end"/>
      </w:r>
      <w:r>
        <w:rPr>
          <w:rFonts w:hint="eastAsia" w:ascii="宋体" w:hAnsi="宋体" w:cs="宋体"/>
          <w:b w:val="0"/>
          <w:bCs w:val="0"/>
          <w:color w:val="auto"/>
          <w:szCs w:val="24"/>
          <w:highlight w:val="none"/>
        </w:rPr>
        <w:fldChar w:fldCharType="end"/>
      </w:r>
    </w:p>
    <w:p w14:paraId="0191F7BA">
      <w:pPr>
        <w:pStyle w:val="38"/>
        <w:keepNext w:val="0"/>
        <w:keepLines w:val="0"/>
        <w:pageBreakBefore w:val="0"/>
        <w:widowControl w:val="0"/>
        <w:tabs>
          <w:tab w:val="right" w:leader="dot" w:pos="9412"/>
          <w:tab w:val="clear" w:pos="1260"/>
          <w:tab w:val="clear" w:pos="1685"/>
          <w:tab w:val="clear" w:pos="8400"/>
        </w:tabs>
        <w:kinsoku/>
        <w:wordWrap/>
        <w:overflowPunct/>
        <w:topLinePunct w:val="0"/>
        <w:autoSpaceDE/>
        <w:autoSpaceDN/>
        <w:bidi w:val="0"/>
        <w:adjustRightInd/>
        <w:snapToGrid/>
        <w:spacing w:line="700" w:lineRule="exact"/>
        <w:ind w:left="0" w:leftChars="0" w:firstLine="280" w:firstLineChars="100"/>
        <w:textAlignment w:val="auto"/>
        <w:rPr>
          <w:b w:val="0"/>
          <w:bCs w:val="0"/>
          <w:highlight w:val="none"/>
        </w:rPr>
      </w:pPr>
      <w:r>
        <w:rPr>
          <w:rFonts w:hint="eastAsia" w:ascii="宋体" w:hAnsi="宋体" w:cs="宋体"/>
          <w:b w:val="0"/>
          <w:bCs w:val="0"/>
          <w:color w:val="auto"/>
          <w:szCs w:val="24"/>
          <w:highlight w:val="none"/>
        </w:rPr>
        <w:fldChar w:fldCharType="begin"/>
      </w:r>
      <w:r>
        <w:rPr>
          <w:rFonts w:hint="eastAsia" w:ascii="宋体" w:hAnsi="宋体" w:cs="宋体"/>
          <w:b w:val="0"/>
          <w:bCs w:val="0"/>
          <w:szCs w:val="24"/>
          <w:highlight w:val="none"/>
        </w:rPr>
        <w:instrText xml:space="preserve"> HYPERLINK \l _Toc8963 </w:instrText>
      </w:r>
      <w:r>
        <w:rPr>
          <w:rFonts w:hint="eastAsia" w:ascii="宋体" w:hAnsi="宋体" w:cs="宋体"/>
          <w:b w:val="0"/>
          <w:bCs w:val="0"/>
          <w:szCs w:val="24"/>
          <w:highlight w:val="none"/>
        </w:rPr>
        <w:fldChar w:fldCharType="separate"/>
      </w:r>
      <w:r>
        <w:rPr>
          <w:rFonts w:hint="eastAsia" w:ascii="宋体" w:hAnsi="宋体" w:eastAsia="宋体" w:cs="宋体"/>
          <w:b w:val="0"/>
          <w:bCs w:val="0"/>
          <w:highlight w:val="none"/>
          <w:lang w:val="en-US" w:eastAsia="zh-CN"/>
        </w:rPr>
        <w:t xml:space="preserve">第二篇  </w:t>
      </w:r>
      <w:r>
        <w:rPr>
          <w:rFonts w:hint="eastAsia" w:ascii="宋体" w:hAnsi="宋体" w:eastAsia="宋体" w:cs="宋体"/>
          <w:b w:val="0"/>
          <w:bCs w:val="0"/>
          <w:highlight w:val="none"/>
        </w:rPr>
        <w:t>项目技术要求</w:t>
      </w:r>
      <w:r>
        <w:rPr>
          <w:b w:val="0"/>
          <w:bCs w:val="0"/>
          <w:highlight w:val="none"/>
        </w:rPr>
        <w:tab/>
      </w:r>
      <w:r>
        <w:rPr>
          <w:b w:val="0"/>
          <w:bCs w:val="0"/>
          <w:highlight w:val="none"/>
        </w:rPr>
        <w:fldChar w:fldCharType="begin"/>
      </w:r>
      <w:r>
        <w:rPr>
          <w:b w:val="0"/>
          <w:bCs w:val="0"/>
          <w:highlight w:val="none"/>
        </w:rPr>
        <w:instrText xml:space="preserve"> PAGEREF _Toc8963 \h </w:instrText>
      </w:r>
      <w:r>
        <w:rPr>
          <w:b w:val="0"/>
          <w:bCs w:val="0"/>
          <w:highlight w:val="none"/>
        </w:rPr>
        <w:fldChar w:fldCharType="separate"/>
      </w:r>
      <w:r>
        <w:rPr>
          <w:b w:val="0"/>
          <w:bCs w:val="0"/>
          <w:highlight w:val="none"/>
        </w:rPr>
        <w:t>4</w:t>
      </w:r>
      <w:r>
        <w:rPr>
          <w:b w:val="0"/>
          <w:bCs w:val="0"/>
          <w:highlight w:val="none"/>
        </w:rPr>
        <w:fldChar w:fldCharType="end"/>
      </w:r>
      <w:r>
        <w:rPr>
          <w:rFonts w:hint="eastAsia" w:ascii="宋体" w:hAnsi="宋体" w:cs="宋体"/>
          <w:b w:val="0"/>
          <w:bCs w:val="0"/>
          <w:color w:val="auto"/>
          <w:szCs w:val="24"/>
          <w:highlight w:val="none"/>
        </w:rPr>
        <w:fldChar w:fldCharType="end"/>
      </w:r>
    </w:p>
    <w:p w14:paraId="18B5F132">
      <w:pPr>
        <w:pStyle w:val="38"/>
        <w:keepNext w:val="0"/>
        <w:keepLines w:val="0"/>
        <w:pageBreakBefore w:val="0"/>
        <w:widowControl w:val="0"/>
        <w:tabs>
          <w:tab w:val="right" w:leader="dot" w:pos="9412"/>
          <w:tab w:val="clear" w:pos="1260"/>
          <w:tab w:val="clear" w:pos="1685"/>
          <w:tab w:val="clear" w:pos="8400"/>
        </w:tabs>
        <w:kinsoku/>
        <w:wordWrap/>
        <w:overflowPunct/>
        <w:topLinePunct w:val="0"/>
        <w:autoSpaceDE/>
        <w:autoSpaceDN/>
        <w:bidi w:val="0"/>
        <w:adjustRightInd/>
        <w:snapToGrid/>
        <w:spacing w:line="700" w:lineRule="exact"/>
        <w:textAlignment w:val="auto"/>
        <w:rPr>
          <w:b w:val="0"/>
          <w:bCs w:val="0"/>
          <w:highlight w:val="none"/>
        </w:rPr>
      </w:pPr>
      <w:r>
        <w:rPr>
          <w:rFonts w:hint="eastAsia" w:ascii="宋体" w:hAnsi="宋体" w:cs="宋体"/>
          <w:b w:val="0"/>
          <w:bCs w:val="0"/>
          <w:color w:val="auto"/>
          <w:szCs w:val="24"/>
          <w:highlight w:val="none"/>
        </w:rPr>
        <w:fldChar w:fldCharType="begin"/>
      </w:r>
      <w:r>
        <w:rPr>
          <w:rFonts w:hint="eastAsia" w:ascii="宋体" w:hAnsi="宋体" w:cs="宋体"/>
          <w:b w:val="0"/>
          <w:bCs w:val="0"/>
          <w:szCs w:val="24"/>
          <w:highlight w:val="none"/>
        </w:rPr>
        <w:instrText xml:space="preserve"> HYPERLINK \l _Toc13621 </w:instrText>
      </w:r>
      <w:r>
        <w:rPr>
          <w:rFonts w:hint="eastAsia" w:ascii="宋体" w:hAnsi="宋体" w:cs="宋体"/>
          <w:b w:val="0"/>
          <w:bCs w:val="0"/>
          <w:szCs w:val="24"/>
          <w:highlight w:val="none"/>
        </w:rPr>
        <w:fldChar w:fldCharType="separate"/>
      </w:r>
      <w:r>
        <w:rPr>
          <w:rFonts w:hint="eastAsia" w:ascii="宋体" w:hAnsi="宋体" w:eastAsia="宋体" w:cs="宋体"/>
          <w:b w:val="0"/>
          <w:bCs w:val="0"/>
          <w:highlight w:val="none"/>
        </w:rPr>
        <w:t>第三篇  项目商务要求</w:t>
      </w:r>
      <w:r>
        <w:rPr>
          <w:b w:val="0"/>
          <w:bCs w:val="0"/>
          <w:highlight w:val="none"/>
        </w:rPr>
        <w:tab/>
      </w:r>
      <w:r>
        <w:rPr>
          <w:b w:val="0"/>
          <w:bCs w:val="0"/>
          <w:highlight w:val="none"/>
        </w:rPr>
        <w:fldChar w:fldCharType="begin"/>
      </w:r>
      <w:r>
        <w:rPr>
          <w:b w:val="0"/>
          <w:bCs w:val="0"/>
          <w:highlight w:val="none"/>
        </w:rPr>
        <w:instrText xml:space="preserve"> PAGEREF _Toc13621 \h </w:instrText>
      </w:r>
      <w:r>
        <w:rPr>
          <w:b w:val="0"/>
          <w:bCs w:val="0"/>
          <w:highlight w:val="none"/>
        </w:rPr>
        <w:fldChar w:fldCharType="separate"/>
      </w:r>
      <w:r>
        <w:rPr>
          <w:b w:val="0"/>
          <w:bCs w:val="0"/>
          <w:highlight w:val="none"/>
        </w:rPr>
        <w:t>6</w:t>
      </w:r>
      <w:r>
        <w:rPr>
          <w:b w:val="0"/>
          <w:bCs w:val="0"/>
          <w:highlight w:val="none"/>
        </w:rPr>
        <w:fldChar w:fldCharType="end"/>
      </w:r>
      <w:r>
        <w:rPr>
          <w:rFonts w:hint="eastAsia" w:ascii="宋体" w:hAnsi="宋体" w:cs="宋体"/>
          <w:b w:val="0"/>
          <w:bCs w:val="0"/>
          <w:color w:val="auto"/>
          <w:szCs w:val="24"/>
          <w:highlight w:val="none"/>
        </w:rPr>
        <w:fldChar w:fldCharType="end"/>
      </w:r>
    </w:p>
    <w:p w14:paraId="7B00D9C2">
      <w:pPr>
        <w:pStyle w:val="38"/>
        <w:keepNext w:val="0"/>
        <w:keepLines w:val="0"/>
        <w:pageBreakBefore w:val="0"/>
        <w:widowControl w:val="0"/>
        <w:tabs>
          <w:tab w:val="right" w:leader="dot" w:pos="9412"/>
          <w:tab w:val="clear" w:pos="1260"/>
          <w:tab w:val="clear" w:pos="1685"/>
          <w:tab w:val="clear" w:pos="8400"/>
        </w:tabs>
        <w:kinsoku/>
        <w:wordWrap/>
        <w:overflowPunct/>
        <w:topLinePunct w:val="0"/>
        <w:autoSpaceDE/>
        <w:autoSpaceDN/>
        <w:bidi w:val="0"/>
        <w:adjustRightInd/>
        <w:snapToGrid/>
        <w:spacing w:line="700" w:lineRule="exact"/>
        <w:textAlignment w:val="auto"/>
        <w:rPr>
          <w:b w:val="0"/>
          <w:bCs w:val="0"/>
          <w:highlight w:val="none"/>
        </w:rPr>
      </w:pPr>
      <w:r>
        <w:rPr>
          <w:rFonts w:hint="eastAsia" w:ascii="宋体" w:hAnsi="宋体" w:cs="宋体"/>
          <w:b w:val="0"/>
          <w:bCs w:val="0"/>
          <w:color w:val="auto"/>
          <w:szCs w:val="24"/>
          <w:highlight w:val="none"/>
        </w:rPr>
        <w:fldChar w:fldCharType="begin"/>
      </w:r>
      <w:r>
        <w:rPr>
          <w:rFonts w:hint="eastAsia" w:ascii="宋体" w:hAnsi="宋体" w:cs="宋体"/>
          <w:b w:val="0"/>
          <w:bCs w:val="0"/>
          <w:szCs w:val="24"/>
          <w:highlight w:val="none"/>
        </w:rPr>
        <w:instrText xml:space="preserve"> HYPERLINK \l _Toc20102 </w:instrText>
      </w:r>
      <w:r>
        <w:rPr>
          <w:rFonts w:hint="eastAsia" w:ascii="宋体" w:hAnsi="宋体" w:cs="宋体"/>
          <w:b w:val="0"/>
          <w:bCs w:val="0"/>
          <w:szCs w:val="24"/>
          <w:highlight w:val="none"/>
        </w:rPr>
        <w:fldChar w:fldCharType="separate"/>
      </w:r>
      <w:r>
        <w:rPr>
          <w:rFonts w:hint="eastAsia" w:ascii="宋体" w:hAnsi="宋体" w:eastAsia="宋体" w:cs="宋体"/>
          <w:b w:val="0"/>
          <w:bCs w:val="0"/>
          <w:highlight w:val="none"/>
        </w:rPr>
        <w:t>第四篇  资格审查及</w:t>
      </w:r>
      <w:r>
        <w:rPr>
          <w:rFonts w:hint="eastAsia" w:ascii="宋体" w:hAnsi="宋体" w:eastAsia="宋体" w:cs="宋体"/>
          <w:b w:val="0"/>
          <w:bCs w:val="0"/>
          <w:highlight w:val="none"/>
          <w:lang w:val="en-US" w:eastAsia="zh-CN"/>
        </w:rPr>
        <w:t>评审</w:t>
      </w:r>
      <w:r>
        <w:rPr>
          <w:rFonts w:hint="eastAsia" w:ascii="宋体" w:hAnsi="宋体" w:eastAsia="宋体" w:cs="宋体"/>
          <w:b w:val="0"/>
          <w:bCs w:val="0"/>
          <w:highlight w:val="none"/>
        </w:rPr>
        <w:t>办法</w:t>
      </w:r>
      <w:r>
        <w:rPr>
          <w:b w:val="0"/>
          <w:bCs w:val="0"/>
          <w:highlight w:val="none"/>
        </w:rPr>
        <w:tab/>
      </w:r>
      <w:r>
        <w:rPr>
          <w:b w:val="0"/>
          <w:bCs w:val="0"/>
          <w:highlight w:val="none"/>
        </w:rPr>
        <w:fldChar w:fldCharType="begin"/>
      </w:r>
      <w:r>
        <w:rPr>
          <w:b w:val="0"/>
          <w:bCs w:val="0"/>
          <w:highlight w:val="none"/>
        </w:rPr>
        <w:instrText xml:space="preserve"> PAGEREF _Toc20102 \h </w:instrText>
      </w:r>
      <w:r>
        <w:rPr>
          <w:b w:val="0"/>
          <w:bCs w:val="0"/>
          <w:highlight w:val="none"/>
        </w:rPr>
        <w:fldChar w:fldCharType="separate"/>
      </w:r>
      <w:r>
        <w:rPr>
          <w:b w:val="0"/>
          <w:bCs w:val="0"/>
          <w:highlight w:val="none"/>
        </w:rPr>
        <w:t>9</w:t>
      </w:r>
      <w:r>
        <w:rPr>
          <w:b w:val="0"/>
          <w:bCs w:val="0"/>
          <w:highlight w:val="none"/>
        </w:rPr>
        <w:fldChar w:fldCharType="end"/>
      </w:r>
      <w:r>
        <w:rPr>
          <w:rFonts w:hint="eastAsia" w:ascii="宋体" w:hAnsi="宋体" w:cs="宋体"/>
          <w:b w:val="0"/>
          <w:bCs w:val="0"/>
          <w:color w:val="auto"/>
          <w:szCs w:val="24"/>
          <w:highlight w:val="none"/>
        </w:rPr>
        <w:fldChar w:fldCharType="end"/>
      </w:r>
    </w:p>
    <w:p w14:paraId="7D7D6AB9">
      <w:pPr>
        <w:pStyle w:val="38"/>
        <w:keepNext w:val="0"/>
        <w:keepLines w:val="0"/>
        <w:pageBreakBefore w:val="0"/>
        <w:widowControl w:val="0"/>
        <w:tabs>
          <w:tab w:val="right" w:leader="dot" w:pos="9412"/>
          <w:tab w:val="clear" w:pos="1260"/>
          <w:tab w:val="clear" w:pos="1685"/>
          <w:tab w:val="clear" w:pos="8400"/>
        </w:tabs>
        <w:kinsoku/>
        <w:wordWrap/>
        <w:overflowPunct/>
        <w:topLinePunct w:val="0"/>
        <w:autoSpaceDE/>
        <w:autoSpaceDN/>
        <w:bidi w:val="0"/>
        <w:adjustRightInd/>
        <w:snapToGrid/>
        <w:spacing w:line="700" w:lineRule="exact"/>
        <w:textAlignment w:val="auto"/>
        <w:rPr>
          <w:b w:val="0"/>
          <w:bCs w:val="0"/>
          <w:highlight w:val="none"/>
        </w:rPr>
      </w:pPr>
      <w:r>
        <w:rPr>
          <w:rFonts w:hint="eastAsia" w:ascii="宋体" w:hAnsi="宋体" w:cs="宋体"/>
          <w:b w:val="0"/>
          <w:bCs w:val="0"/>
          <w:color w:val="auto"/>
          <w:szCs w:val="24"/>
          <w:highlight w:val="none"/>
        </w:rPr>
        <w:fldChar w:fldCharType="begin"/>
      </w:r>
      <w:r>
        <w:rPr>
          <w:rFonts w:hint="eastAsia" w:ascii="宋体" w:hAnsi="宋体" w:cs="宋体"/>
          <w:b w:val="0"/>
          <w:bCs w:val="0"/>
          <w:szCs w:val="24"/>
          <w:highlight w:val="none"/>
        </w:rPr>
        <w:instrText xml:space="preserve"> HYPERLINK \l _Toc8084 </w:instrText>
      </w:r>
      <w:r>
        <w:rPr>
          <w:rFonts w:hint="eastAsia" w:ascii="宋体" w:hAnsi="宋体" w:cs="宋体"/>
          <w:b w:val="0"/>
          <w:bCs w:val="0"/>
          <w:szCs w:val="24"/>
          <w:highlight w:val="none"/>
        </w:rPr>
        <w:fldChar w:fldCharType="separate"/>
      </w:r>
      <w:r>
        <w:rPr>
          <w:rFonts w:hint="eastAsia" w:ascii="宋体" w:hAnsi="宋体" w:eastAsia="宋体" w:cs="宋体"/>
          <w:b w:val="0"/>
          <w:bCs w:val="0"/>
          <w:highlight w:val="none"/>
        </w:rPr>
        <w:t xml:space="preserve">第五篇  </w:t>
      </w:r>
      <w:r>
        <w:rPr>
          <w:rFonts w:hint="eastAsia" w:ascii="宋体" w:hAnsi="宋体" w:eastAsia="宋体" w:cs="宋体"/>
          <w:b w:val="0"/>
          <w:bCs w:val="0"/>
          <w:highlight w:val="none"/>
          <w:lang w:eastAsia="zh-CN"/>
        </w:rPr>
        <w:t>竞选人</w:t>
      </w:r>
      <w:r>
        <w:rPr>
          <w:rFonts w:hint="eastAsia" w:ascii="宋体" w:hAnsi="宋体" w:eastAsia="宋体" w:cs="宋体"/>
          <w:b w:val="0"/>
          <w:bCs w:val="0"/>
          <w:highlight w:val="none"/>
        </w:rPr>
        <w:t>须知</w:t>
      </w:r>
      <w:r>
        <w:rPr>
          <w:b w:val="0"/>
          <w:bCs w:val="0"/>
          <w:highlight w:val="none"/>
        </w:rPr>
        <w:tab/>
      </w:r>
      <w:r>
        <w:rPr>
          <w:b w:val="0"/>
          <w:bCs w:val="0"/>
          <w:highlight w:val="none"/>
        </w:rPr>
        <w:fldChar w:fldCharType="begin"/>
      </w:r>
      <w:r>
        <w:rPr>
          <w:b w:val="0"/>
          <w:bCs w:val="0"/>
          <w:highlight w:val="none"/>
        </w:rPr>
        <w:instrText xml:space="preserve"> PAGEREF _Toc8084 \h </w:instrText>
      </w:r>
      <w:r>
        <w:rPr>
          <w:b w:val="0"/>
          <w:bCs w:val="0"/>
          <w:highlight w:val="none"/>
        </w:rPr>
        <w:fldChar w:fldCharType="separate"/>
      </w:r>
      <w:r>
        <w:rPr>
          <w:b w:val="0"/>
          <w:bCs w:val="0"/>
          <w:highlight w:val="none"/>
        </w:rPr>
        <w:t>13</w:t>
      </w:r>
      <w:r>
        <w:rPr>
          <w:b w:val="0"/>
          <w:bCs w:val="0"/>
          <w:highlight w:val="none"/>
        </w:rPr>
        <w:fldChar w:fldCharType="end"/>
      </w:r>
      <w:r>
        <w:rPr>
          <w:rFonts w:hint="eastAsia" w:ascii="宋体" w:hAnsi="宋体" w:cs="宋体"/>
          <w:b w:val="0"/>
          <w:bCs w:val="0"/>
          <w:color w:val="auto"/>
          <w:szCs w:val="24"/>
          <w:highlight w:val="none"/>
        </w:rPr>
        <w:fldChar w:fldCharType="end"/>
      </w:r>
    </w:p>
    <w:p w14:paraId="32D48D64">
      <w:pPr>
        <w:pStyle w:val="46"/>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700" w:lineRule="exact"/>
        <w:textAlignment w:val="auto"/>
        <w:rPr>
          <w:rFonts w:hint="eastAsia" w:ascii="宋体" w:hAnsi="宋体" w:eastAsia="宋体" w:cs="宋体"/>
          <w:b w:val="0"/>
          <w:bCs w:val="0"/>
          <w:kern w:val="2"/>
          <w:sz w:val="28"/>
          <w:highlight w:val="none"/>
          <w:lang w:val="en-US" w:eastAsia="zh-CN" w:bidi="ar-SA"/>
        </w:rPr>
      </w:pPr>
      <w:r>
        <w:rPr>
          <w:rFonts w:hint="eastAsia" w:ascii="宋体" w:hAnsi="宋体" w:eastAsia="宋体" w:cs="宋体"/>
          <w:b w:val="0"/>
          <w:bCs w:val="0"/>
          <w:kern w:val="2"/>
          <w:sz w:val="28"/>
          <w:highlight w:val="none"/>
          <w:lang w:val="en-US" w:eastAsia="zh-CN" w:bidi="ar-SA"/>
        </w:rPr>
        <w:fldChar w:fldCharType="begin"/>
      </w:r>
      <w:r>
        <w:rPr>
          <w:rFonts w:hint="eastAsia" w:ascii="宋体" w:hAnsi="宋体" w:eastAsia="宋体" w:cs="宋体"/>
          <w:b w:val="0"/>
          <w:bCs w:val="0"/>
          <w:kern w:val="2"/>
          <w:sz w:val="28"/>
          <w:highlight w:val="none"/>
          <w:lang w:val="en-US" w:eastAsia="zh-CN" w:bidi="ar-SA"/>
        </w:rPr>
        <w:instrText xml:space="preserve"> HYPERLINK \l _Toc27150 </w:instrText>
      </w:r>
      <w:r>
        <w:rPr>
          <w:rFonts w:hint="eastAsia" w:ascii="宋体" w:hAnsi="宋体" w:eastAsia="宋体" w:cs="宋体"/>
          <w:b w:val="0"/>
          <w:bCs w:val="0"/>
          <w:kern w:val="2"/>
          <w:sz w:val="28"/>
          <w:highlight w:val="none"/>
          <w:lang w:val="en-US" w:eastAsia="zh-CN" w:bidi="ar-SA"/>
        </w:rPr>
        <w:fldChar w:fldCharType="separate"/>
      </w:r>
      <w:r>
        <w:rPr>
          <w:rFonts w:hint="eastAsia" w:ascii="宋体" w:hAnsi="宋体" w:eastAsia="宋体" w:cs="宋体"/>
          <w:b w:val="0"/>
          <w:bCs w:val="0"/>
          <w:kern w:val="2"/>
          <w:sz w:val="28"/>
          <w:highlight w:val="none"/>
          <w:lang w:val="en-US" w:eastAsia="zh-CN" w:bidi="ar-SA"/>
        </w:rPr>
        <w:t>第六篇  项目合同（模板）</w:t>
      </w:r>
      <w:r>
        <w:rPr>
          <w:rFonts w:hint="eastAsia" w:ascii="宋体" w:hAnsi="宋体" w:eastAsia="宋体" w:cs="宋体"/>
          <w:b w:val="0"/>
          <w:bCs w:val="0"/>
          <w:kern w:val="2"/>
          <w:sz w:val="28"/>
          <w:highlight w:val="none"/>
          <w:lang w:val="en-US" w:eastAsia="zh-CN" w:bidi="ar-SA"/>
        </w:rPr>
        <w:tab/>
      </w:r>
      <w:r>
        <w:rPr>
          <w:rFonts w:hint="default" w:ascii="Times New Roman" w:hAnsi="Times New Roman" w:eastAsia="宋体" w:cs="Times New Roman"/>
          <w:b w:val="0"/>
          <w:bCs w:val="0"/>
          <w:kern w:val="2"/>
          <w:sz w:val="28"/>
          <w:highlight w:val="none"/>
          <w:lang w:val="en-US" w:eastAsia="zh-CN" w:bidi="ar-SA"/>
        </w:rPr>
        <w:fldChar w:fldCharType="begin"/>
      </w:r>
      <w:r>
        <w:rPr>
          <w:rFonts w:hint="default" w:ascii="Times New Roman" w:hAnsi="Times New Roman" w:eastAsia="宋体" w:cs="Times New Roman"/>
          <w:b w:val="0"/>
          <w:bCs w:val="0"/>
          <w:kern w:val="2"/>
          <w:sz w:val="28"/>
          <w:highlight w:val="none"/>
          <w:lang w:val="en-US" w:eastAsia="zh-CN" w:bidi="ar-SA"/>
        </w:rPr>
        <w:instrText xml:space="preserve"> PAGEREF _Toc27150 \h </w:instrText>
      </w:r>
      <w:r>
        <w:rPr>
          <w:rFonts w:hint="default" w:ascii="Times New Roman" w:hAnsi="Times New Roman" w:eastAsia="宋体" w:cs="Times New Roman"/>
          <w:b w:val="0"/>
          <w:bCs w:val="0"/>
          <w:kern w:val="2"/>
          <w:sz w:val="28"/>
          <w:highlight w:val="none"/>
          <w:lang w:val="en-US" w:eastAsia="zh-CN" w:bidi="ar-SA"/>
        </w:rPr>
        <w:fldChar w:fldCharType="separate"/>
      </w:r>
      <w:r>
        <w:rPr>
          <w:rFonts w:hint="default" w:ascii="Times New Roman" w:hAnsi="Times New Roman" w:eastAsia="宋体" w:cs="Times New Roman"/>
          <w:b w:val="0"/>
          <w:bCs w:val="0"/>
          <w:kern w:val="2"/>
          <w:sz w:val="28"/>
          <w:highlight w:val="none"/>
          <w:lang w:val="en-US" w:eastAsia="zh-CN" w:bidi="ar-SA"/>
        </w:rPr>
        <w:t>17</w:t>
      </w:r>
      <w:r>
        <w:rPr>
          <w:rFonts w:hint="default" w:ascii="Times New Roman" w:hAnsi="Times New Roman" w:eastAsia="宋体" w:cs="Times New Roman"/>
          <w:b w:val="0"/>
          <w:bCs w:val="0"/>
          <w:kern w:val="2"/>
          <w:sz w:val="28"/>
          <w:highlight w:val="none"/>
          <w:lang w:val="en-US" w:eastAsia="zh-CN" w:bidi="ar-SA"/>
        </w:rPr>
        <w:fldChar w:fldCharType="end"/>
      </w:r>
      <w:r>
        <w:rPr>
          <w:rFonts w:hint="eastAsia" w:ascii="宋体" w:hAnsi="宋体" w:eastAsia="宋体" w:cs="宋体"/>
          <w:b w:val="0"/>
          <w:bCs w:val="0"/>
          <w:kern w:val="2"/>
          <w:sz w:val="28"/>
          <w:highlight w:val="none"/>
          <w:lang w:val="en-US" w:eastAsia="zh-CN" w:bidi="ar-SA"/>
        </w:rPr>
        <w:fldChar w:fldCharType="end"/>
      </w:r>
    </w:p>
    <w:p w14:paraId="67D202A4">
      <w:pPr>
        <w:pStyle w:val="38"/>
        <w:keepNext w:val="0"/>
        <w:keepLines w:val="0"/>
        <w:pageBreakBefore w:val="0"/>
        <w:widowControl w:val="0"/>
        <w:tabs>
          <w:tab w:val="right" w:leader="dot" w:pos="9412"/>
          <w:tab w:val="clear" w:pos="1260"/>
          <w:tab w:val="clear" w:pos="1685"/>
          <w:tab w:val="clear" w:pos="8400"/>
        </w:tabs>
        <w:kinsoku/>
        <w:wordWrap/>
        <w:overflowPunct/>
        <w:topLinePunct w:val="0"/>
        <w:autoSpaceDE/>
        <w:autoSpaceDN/>
        <w:bidi w:val="0"/>
        <w:adjustRightInd/>
        <w:snapToGrid/>
        <w:spacing w:line="700" w:lineRule="exact"/>
        <w:textAlignment w:val="auto"/>
        <w:rPr>
          <w:b w:val="0"/>
          <w:bCs w:val="0"/>
          <w:highlight w:val="none"/>
        </w:rPr>
      </w:pPr>
      <w:r>
        <w:rPr>
          <w:rFonts w:hint="eastAsia" w:ascii="宋体" w:hAnsi="宋体" w:eastAsia="宋体" w:cs="宋体"/>
          <w:b w:val="0"/>
          <w:bCs w:val="0"/>
          <w:kern w:val="2"/>
          <w:sz w:val="28"/>
          <w:highlight w:val="none"/>
          <w:lang w:val="en-US" w:eastAsia="zh-CN" w:bidi="ar-SA"/>
        </w:rPr>
        <w:fldChar w:fldCharType="begin"/>
      </w:r>
      <w:r>
        <w:rPr>
          <w:rFonts w:hint="eastAsia" w:ascii="宋体" w:hAnsi="宋体" w:eastAsia="宋体" w:cs="宋体"/>
          <w:b w:val="0"/>
          <w:bCs w:val="0"/>
          <w:kern w:val="2"/>
          <w:sz w:val="28"/>
          <w:highlight w:val="none"/>
          <w:lang w:val="en-US" w:eastAsia="zh-CN" w:bidi="ar-SA"/>
        </w:rPr>
        <w:instrText xml:space="preserve"> HYPERLINK \l _Toc90 </w:instrText>
      </w:r>
      <w:r>
        <w:rPr>
          <w:rFonts w:hint="eastAsia" w:ascii="宋体" w:hAnsi="宋体" w:eastAsia="宋体" w:cs="宋体"/>
          <w:b w:val="0"/>
          <w:bCs w:val="0"/>
          <w:kern w:val="2"/>
          <w:sz w:val="28"/>
          <w:highlight w:val="none"/>
          <w:lang w:val="en-US" w:eastAsia="zh-CN" w:bidi="ar-SA"/>
        </w:rPr>
        <w:fldChar w:fldCharType="separate"/>
      </w:r>
      <w:r>
        <w:rPr>
          <w:rFonts w:hint="eastAsia" w:ascii="宋体" w:hAnsi="宋体" w:eastAsia="宋体" w:cs="宋体"/>
          <w:b w:val="0"/>
          <w:bCs w:val="0"/>
          <w:kern w:val="2"/>
          <w:sz w:val="28"/>
          <w:highlight w:val="none"/>
          <w:lang w:val="en-US" w:eastAsia="zh-CN" w:bidi="ar-SA"/>
        </w:rPr>
        <w:t>第七篇  竞选文件格式</w:t>
      </w:r>
      <w:r>
        <w:rPr>
          <w:rFonts w:hint="eastAsia" w:ascii="宋体" w:hAnsi="宋体" w:eastAsia="宋体" w:cs="宋体"/>
          <w:b w:val="0"/>
          <w:bCs w:val="0"/>
          <w:kern w:val="2"/>
          <w:sz w:val="28"/>
          <w:highlight w:val="none"/>
          <w:lang w:val="en-US" w:eastAsia="zh-CN" w:bidi="ar-SA"/>
        </w:rPr>
        <w:tab/>
      </w:r>
      <w:r>
        <w:rPr>
          <w:rFonts w:hint="default" w:ascii="Times New Roman" w:hAnsi="Times New Roman" w:eastAsia="宋体" w:cs="Times New Roman"/>
          <w:b w:val="0"/>
          <w:bCs w:val="0"/>
          <w:kern w:val="2"/>
          <w:sz w:val="28"/>
          <w:highlight w:val="none"/>
          <w:lang w:val="en-US" w:eastAsia="zh-CN" w:bidi="ar-SA"/>
        </w:rPr>
        <w:fldChar w:fldCharType="begin"/>
      </w:r>
      <w:r>
        <w:rPr>
          <w:rFonts w:hint="default" w:ascii="Times New Roman" w:hAnsi="Times New Roman" w:eastAsia="宋体" w:cs="Times New Roman"/>
          <w:b w:val="0"/>
          <w:bCs w:val="0"/>
          <w:kern w:val="2"/>
          <w:sz w:val="28"/>
          <w:highlight w:val="none"/>
          <w:lang w:val="en-US" w:eastAsia="zh-CN" w:bidi="ar-SA"/>
        </w:rPr>
        <w:instrText xml:space="preserve"> PAGEREF _Toc90 \h </w:instrText>
      </w:r>
      <w:r>
        <w:rPr>
          <w:rFonts w:hint="default" w:ascii="Times New Roman" w:hAnsi="Times New Roman" w:eastAsia="宋体" w:cs="Times New Roman"/>
          <w:b w:val="0"/>
          <w:bCs w:val="0"/>
          <w:kern w:val="2"/>
          <w:sz w:val="28"/>
          <w:highlight w:val="none"/>
          <w:lang w:val="en-US" w:eastAsia="zh-CN" w:bidi="ar-SA"/>
        </w:rPr>
        <w:fldChar w:fldCharType="separate"/>
      </w:r>
      <w:r>
        <w:rPr>
          <w:rFonts w:hint="default" w:ascii="Times New Roman" w:hAnsi="Times New Roman" w:eastAsia="宋体" w:cs="Times New Roman"/>
          <w:b w:val="0"/>
          <w:bCs w:val="0"/>
          <w:kern w:val="2"/>
          <w:sz w:val="28"/>
          <w:highlight w:val="none"/>
          <w:lang w:val="en-US" w:eastAsia="zh-CN" w:bidi="ar-SA"/>
        </w:rPr>
        <w:t>37</w:t>
      </w:r>
      <w:r>
        <w:rPr>
          <w:rFonts w:hint="default" w:ascii="Times New Roman" w:hAnsi="Times New Roman" w:eastAsia="宋体" w:cs="Times New Roman"/>
          <w:b w:val="0"/>
          <w:bCs w:val="0"/>
          <w:kern w:val="2"/>
          <w:sz w:val="28"/>
          <w:highlight w:val="none"/>
          <w:lang w:val="en-US" w:eastAsia="zh-CN" w:bidi="ar-SA"/>
        </w:rPr>
        <w:fldChar w:fldCharType="end"/>
      </w:r>
      <w:r>
        <w:rPr>
          <w:rFonts w:hint="eastAsia" w:ascii="宋体" w:hAnsi="宋体" w:eastAsia="宋体" w:cs="宋体"/>
          <w:b w:val="0"/>
          <w:bCs w:val="0"/>
          <w:kern w:val="2"/>
          <w:sz w:val="28"/>
          <w:highlight w:val="none"/>
          <w:lang w:val="en-US" w:eastAsia="zh-CN" w:bidi="ar-SA"/>
        </w:rPr>
        <w:fldChar w:fldCharType="end"/>
      </w:r>
    </w:p>
    <w:p w14:paraId="6C53C965">
      <w:pPr>
        <w:pStyle w:val="46"/>
        <w:tabs>
          <w:tab w:val="right" w:leader="dot" w:pos="9412"/>
          <w:tab w:val="clear" w:pos="8400"/>
        </w:tabs>
        <w:rPr>
          <w:highlight w:val="none"/>
        </w:rPr>
      </w:pPr>
    </w:p>
    <w:p w14:paraId="1084FBC0">
      <w:pPr>
        <w:pStyle w:val="38"/>
        <w:ind w:firstLine="0" w:firstLineChars="0"/>
        <w:rPr>
          <w:rFonts w:hint="eastAsia" w:ascii="宋体" w:hAnsi="宋体" w:cs="宋体"/>
          <w:color w:val="auto"/>
          <w:sz w:val="32"/>
          <w:highlight w:val="none"/>
        </w:rPr>
        <w:sectPr>
          <w:footerReference r:id="rId7" w:type="first"/>
          <w:footerReference r:id="rId6" w:type="default"/>
          <w:pgSz w:w="11907" w:h="16840"/>
          <w:pgMar w:top="1134" w:right="1191" w:bottom="1134" w:left="1304" w:header="964" w:footer="992" w:gutter="0"/>
          <w:pgNumType w:fmt="numberInDash" w:start="1"/>
          <w:cols w:space="720" w:num="1"/>
          <w:titlePg/>
          <w:docGrid w:linePitch="312" w:charSpace="0"/>
        </w:sectPr>
      </w:pPr>
      <w:r>
        <w:rPr>
          <w:rFonts w:hint="eastAsia" w:ascii="宋体" w:hAnsi="宋体" w:cs="宋体"/>
          <w:color w:val="auto"/>
          <w:szCs w:val="24"/>
          <w:highlight w:val="none"/>
        </w:rPr>
        <w:fldChar w:fldCharType="end"/>
      </w:r>
      <w:bookmarkStart w:id="0" w:name="_Toc4229"/>
    </w:p>
    <w:p w14:paraId="65F3C9E6">
      <w:pPr>
        <w:pStyle w:val="38"/>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 xml:space="preserve">第一篇 </w:t>
      </w:r>
      <w:r>
        <w:rPr>
          <w:rFonts w:hint="eastAsia" w:ascii="宋体" w:hAnsi="宋体" w:eastAsia="宋体" w:cs="宋体"/>
          <w:b/>
          <w:color w:val="auto"/>
          <w:highlight w:val="none"/>
          <w:lang w:eastAsia="zh-CN"/>
        </w:rPr>
        <w:t>比选</w:t>
      </w:r>
      <w:r>
        <w:rPr>
          <w:rFonts w:hint="eastAsia" w:ascii="宋体" w:hAnsi="宋体" w:eastAsia="宋体" w:cs="宋体"/>
          <w:b/>
          <w:color w:val="auto"/>
          <w:highlight w:val="none"/>
        </w:rPr>
        <w:t>邀请书</w:t>
      </w:r>
      <w:bookmarkEnd w:id="0"/>
    </w:p>
    <w:p w14:paraId="27925580">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sz w:val="24"/>
          <w:szCs w:val="24"/>
          <w:highlight w:val="none"/>
          <w:u w:val="single"/>
          <w:lang w:eastAsia="zh-CN"/>
        </w:rPr>
        <w:t>重庆合越达工程管理有限公司</w:t>
      </w:r>
      <w:r>
        <w:rPr>
          <w:rFonts w:hint="eastAsia" w:ascii="宋体" w:hAnsi="宋体" w:eastAsia="宋体" w:cs="宋体"/>
          <w:sz w:val="24"/>
          <w:szCs w:val="24"/>
          <w:highlight w:val="none"/>
        </w:rPr>
        <w:t>（以下简称：</w:t>
      </w:r>
      <w:r>
        <w:rPr>
          <w:rFonts w:hint="eastAsia" w:ascii="宋体" w:hAnsi="宋体" w:cs="宋体"/>
          <w:sz w:val="24"/>
          <w:szCs w:val="24"/>
          <w:highlight w:val="none"/>
          <w:lang w:eastAsia="zh-CN"/>
        </w:rPr>
        <w:t>比选</w:t>
      </w:r>
      <w:r>
        <w:rPr>
          <w:rFonts w:hint="eastAsia" w:ascii="宋体" w:hAnsi="宋体" w:eastAsia="宋体" w:cs="宋体"/>
          <w:sz w:val="24"/>
          <w:szCs w:val="24"/>
          <w:highlight w:val="none"/>
        </w:rPr>
        <w:t>代理机构）</w:t>
      </w:r>
      <w:r>
        <w:rPr>
          <w:rFonts w:hint="eastAsia" w:ascii="宋体" w:hAnsi="宋体" w:cs="宋体"/>
          <w:sz w:val="24"/>
          <w:szCs w:val="24"/>
          <w:highlight w:val="none"/>
          <w:lang w:eastAsia="zh-CN"/>
        </w:rPr>
        <w:t>接</w:t>
      </w:r>
      <w:r>
        <w:rPr>
          <w:rFonts w:hint="eastAsia" w:ascii="宋体" w:hAnsi="宋体" w:eastAsia="宋体" w:cs="宋体"/>
          <w:color w:val="auto"/>
          <w:sz w:val="24"/>
          <w:szCs w:val="24"/>
          <w:highlight w:val="none"/>
        </w:rPr>
        <w:t>受</w:t>
      </w:r>
      <w:r>
        <w:rPr>
          <w:rFonts w:hint="eastAsia" w:ascii="宋体" w:hAnsi="宋体" w:eastAsia="宋体" w:cs="宋体"/>
          <w:color w:val="auto"/>
          <w:sz w:val="24"/>
          <w:szCs w:val="24"/>
          <w:highlight w:val="none"/>
          <w:u w:val="single"/>
          <w:lang w:val="en-US" w:eastAsia="zh-CN"/>
        </w:rPr>
        <w:t>重庆中医药学院</w:t>
      </w:r>
      <w:r>
        <w:rPr>
          <w:rFonts w:hint="eastAsia" w:ascii="宋体" w:hAnsi="宋体" w:eastAsia="宋体" w:cs="宋体"/>
          <w:color w:val="auto"/>
          <w:sz w:val="24"/>
          <w:szCs w:val="24"/>
          <w:highlight w:val="none"/>
        </w:rPr>
        <w:t>（以下简称</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人）的委托</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u w:val="single"/>
          <w:lang w:val="en-US" w:eastAsia="zh-CN"/>
        </w:rPr>
        <w:t>重庆中医药学院南区学生食堂改造采购</w:t>
      </w:r>
      <w:r>
        <w:rPr>
          <w:rFonts w:hint="eastAsia" w:ascii="宋体" w:hAnsi="宋体" w:cs="宋体"/>
          <w:color w:val="auto"/>
          <w:sz w:val="24"/>
          <w:szCs w:val="24"/>
          <w:highlight w:val="none"/>
        </w:rPr>
        <w:t>进行</w:t>
      </w:r>
      <w:r>
        <w:rPr>
          <w:rFonts w:hint="eastAsia" w:ascii="宋体" w:hAnsi="宋体" w:cs="宋体"/>
          <w:color w:val="auto"/>
          <w:sz w:val="24"/>
          <w:szCs w:val="24"/>
          <w:highlight w:val="none"/>
          <w:lang w:val="en-US" w:eastAsia="zh-CN"/>
        </w:rPr>
        <w:t>竞争性比选</w:t>
      </w:r>
      <w:r>
        <w:rPr>
          <w:rFonts w:hint="eastAsia" w:ascii="宋体" w:hAnsi="宋体" w:cs="宋体"/>
          <w:color w:val="auto"/>
          <w:sz w:val="24"/>
          <w:szCs w:val="24"/>
          <w:highlight w:val="none"/>
        </w:rPr>
        <w:t>，欢迎有</w:t>
      </w:r>
      <w:r>
        <w:rPr>
          <w:rFonts w:hint="eastAsia" w:ascii="宋体" w:hAnsi="宋体" w:cs="宋体"/>
          <w:color w:val="auto"/>
          <w:sz w:val="24"/>
          <w:szCs w:val="24"/>
          <w:highlight w:val="none"/>
          <w:lang w:eastAsia="zh-CN"/>
        </w:rPr>
        <w:t>资格</w:t>
      </w:r>
      <w:r>
        <w:rPr>
          <w:rFonts w:hint="eastAsia" w:ascii="宋体" w:hAnsi="宋体" w:cs="宋体"/>
          <w:color w:val="auto"/>
          <w:sz w:val="24"/>
          <w:szCs w:val="24"/>
          <w:highlight w:val="none"/>
        </w:rPr>
        <w:t>的</w:t>
      </w:r>
      <w:r>
        <w:rPr>
          <w:rFonts w:hint="eastAsia" w:ascii="宋体" w:hAnsi="宋体" w:cs="宋体"/>
          <w:color w:val="auto"/>
          <w:sz w:val="24"/>
          <w:szCs w:val="28"/>
          <w:highlight w:val="none"/>
          <w:lang w:val="en-US" w:eastAsia="zh-CN"/>
        </w:rPr>
        <w:t>竞选</w:t>
      </w:r>
      <w:r>
        <w:rPr>
          <w:rFonts w:hint="eastAsia" w:ascii="宋体" w:hAnsi="宋体" w:cs="宋体"/>
          <w:color w:val="auto"/>
          <w:sz w:val="24"/>
          <w:szCs w:val="24"/>
          <w:highlight w:val="none"/>
          <w:lang w:eastAsia="zh-CN"/>
        </w:rPr>
        <w:t>人前来</w:t>
      </w:r>
      <w:r>
        <w:rPr>
          <w:rFonts w:hint="eastAsia" w:ascii="宋体" w:hAnsi="宋体" w:cs="宋体"/>
          <w:color w:val="auto"/>
          <w:sz w:val="24"/>
          <w:szCs w:val="24"/>
          <w:highlight w:val="none"/>
        </w:rPr>
        <w:t>参加</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w:t>
      </w:r>
    </w:p>
    <w:p w14:paraId="52CCEE0A">
      <w:pPr>
        <w:pStyle w:val="4"/>
        <w:pageBreakBefore w:val="0"/>
        <w:widowControl w:val="0"/>
        <w:kinsoku/>
        <w:wordWrap/>
        <w:overflowPunct/>
        <w:topLinePunct w:val="0"/>
        <w:autoSpaceDE/>
        <w:autoSpaceDN/>
        <w:bidi w:val="0"/>
        <w:spacing w:line="400" w:lineRule="exact"/>
        <w:ind w:firstLine="482" w:firstLineChars="200"/>
        <w:textAlignment w:val="auto"/>
        <w:rPr>
          <w:rFonts w:hint="eastAsia" w:cs="宋体"/>
          <w:b/>
          <w:color w:val="auto"/>
          <w:sz w:val="24"/>
          <w:highlight w:val="none"/>
        </w:rPr>
      </w:pPr>
      <w:bookmarkStart w:id="1" w:name="_Toc26772"/>
      <w:bookmarkStart w:id="2" w:name="_Toc31996"/>
      <w:r>
        <w:rPr>
          <w:rFonts w:hint="eastAsia" w:cs="宋体"/>
          <w:b/>
          <w:color w:val="auto"/>
          <w:sz w:val="24"/>
          <w:highlight w:val="none"/>
        </w:rPr>
        <w:t>一、</w:t>
      </w:r>
      <w:r>
        <w:rPr>
          <w:rFonts w:hint="eastAsia" w:cs="宋体"/>
          <w:b/>
          <w:color w:val="auto"/>
          <w:sz w:val="24"/>
          <w:highlight w:val="none"/>
          <w:lang w:eastAsia="zh-CN"/>
        </w:rPr>
        <w:t>比选</w:t>
      </w:r>
      <w:r>
        <w:rPr>
          <w:rFonts w:hint="eastAsia" w:cs="宋体"/>
          <w:b/>
          <w:color w:val="auto"/>
          <w:sz w:val="24"/>
          <w:highlight w:val="none"/>
        </w:rPr>
        <w:t>项目内容</w:t>
      </w:r>
      <w:bookmarkEnd w:id="1"/>
      <w:bookmarkEnd w:id="2"/>
    </w:p>
    <w:tbl>
      <w:tblPr>
        <w:tblStyle w:val="58"/>
        <w:tblW w:w="10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0"/>
        <w:gridCol w:w="1886"/>
        <w:gridCol w:w="1687"/>
        <w:gridCol w:w="1538"/>
        <w:gridCol w:w="2087"/>
        <w:gridCol w:w="863"/>
      </w:tblGrid>
      <w:tr w14:paraId="1EEA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390" w:type="dxa"/>
            <w:noWrap w:val="0"/>
            <w:vAlign w:val="center"/>
          </w:tcPr>
          <w:p w14:paraId="7EB265BB">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886" w:type="dxa"/>
            <w:noWrap w:val="0"/>
            <w:vAlign w:val="center"/>
          </w:tcPr>
          <w:p w14:paraId="7C71EF04">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取费比率</w:t>
            </w:r>
            <w:r>
              <w:rPr>
                <w:rFonts w:hint="eastAsia" w:ascii="宋体" w:hAnsi="宋体" w:cs="宋体"/>
                <w:b/>
                <w:bCs/>
                <w:color w:val="auto"/>
                <w:sz w:val="24"/>
                <w:szCs w:val="24"/>
                <w:highlight w:val="none"/>
                <w:lang w:eastAsia="zh-CN"/>
              </w:rPr>
              <w:t>最高</w:t>
            </w:r>
            <w:r>
              <w:rPr>
                <w:rFonts w:hint="eastAsia" w:ascii="宋体" w:hAnsi="宋体" w:eastAsia="宋体" w:cs="宋体"/>
                <w:b/>
                <w:bCs/>
                <w:color w:val="auto"/>
                <w:sz w:val="24"/>
                <w:szCs w:val="24"/>
                <w:highlight w:val="none"/>
                <w:lang w:eastAsia="zh-CN"/>
              </w:rPr>
              <w:t>限价</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w:t>
            </w:r>
          </w:p>
        </w:tc>
        <w:tc>
          <w:tcPr>
            <w:tcW w:w="1687" w:type="dxa"/>
            <w:noWrap w:val="0"/>
            <w:vAlign w:val="center"/>
          </w:tcPr>
          <w:p w14:paraId="603B54D9">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投标保证金</w:t>
            </w:r>
          </w:p>
          <w:p w14:paraId="6AA2B08B">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（万元）</w:t>
            </w:r>
          </w:p>
        </w:tc>
        <w:tc>
          <w:tcPr>
            <w:tcW w:w="1538" w:type="dxa"/>
            <w:noWrap w:val="0"/>
            <w:vAlign w:val="center"/>
          </w:tcPr>
          <w:p w14:paraId="068832B6">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预算金额</w:t>
            </w:r>
          </w:p>
          <w:p w14:paraId="42864816">
            <w:pPr>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（万元）</w:t>
            </w:r>
          </w:p>
        </w:tc>
        <w:tc>
          <w:tcPr>
            <w:tcW w:w="2087" w:type="dxa"/>
            <w:noWrap w:val="0"/>
            <w:vAlign w:val="center"/>
          </w:tcPr>
          <w:p w14:paraId="368299C5">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资金来源</w:t>
            </w:r>
          </w:p>
        </w:tc>
        <w:tc>
          <w:tcPr>
            <w:tcW w:w="863" w:type="dxa"/>
            <w:noWrap w:val="0"/>
            <w:vAlign w:val="center"/>
          </w:tcPr>
          <w:p w14:paraId="35B731CE">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备注</w:t>
            </w:r>
          </w:p>
        </w:tc>
      </w:tr>
      <w:tr w14:paraId="6BBD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390" w:type="dxa"/>
            <w:noWrap w:val="0"/>
            <w:vAlign w:val="center"/>
          </w:tcPr>
          <w:p w14:paraId="674E8B27">
            <w:pPr>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重庆中医药学院南区学生食堂改造采购</w:t>
            </w:r>
          </w:p>
        </w:tc>
        <w:tc>
          <w:tcPr>
            <w:tcW w:w="1886" w:type="dxa"/>
            <w:noWrap w:val="0"/>
            <w:vAlign w:val="center"/>
          </w:tcPr>
          <w:p w14:paraId="31588D28">
            <w:pPr>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100</w:t>
            </w:r>
          </w:p>
        </w:tc>
        <w:tc>
          <w:tcPr>
            <w:tcW w:w="1687" w:type="dxa"/>
            <w:noWrap w:val="0"/>
            <w:vAlign w:val="center"/>
          </w:tcPr>
          <w:p w14:paraId="5CCACA7C">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w:t>
            </w:r>
          </w:p>
        </w:tc>
        <w:tc>
          <w:tcPr>
            <w:tcW w:w="1538" w:type="dxa"/>
            <w:noWrap w:val="0"/>
            <w:vAlign w:val="center"/>
          </w:tcPr>
          <w:p w14:paraId="5A5D04A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45</w:t>
            </w:r>
          </w:p>
        </w:tc>
        <w:tc>
          <w:tcPr>
            <w:tcW w:w="2087" w:type="dxa"/>
            <w:noWrap w:val="0"/>
            <w:vAlign w:val="center"/>
          </w:tcPr>
          <w:p w14:paraId="62F53ED6">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自有</w:t>
            </w:r>
            <w:r>
              <w:rPr>
                <w:rFonts w:hint="eastAsia" w:ascii="宋体" w:hAnsi="宋体" w:eastAsia="宋体" w:cs="宋体"/>
                <w:color w:val="auto"/>
                <w:sz w:val="24"/>
                <w:szCs w:val="24"/>
                <w:highlight w:val="none"/>
                <w:lang w:eastAsia="zh-CN"/>
              </w:rPr>
              <w:t>资金</w:t>
            </w:r>
          </w:p>
        </w:tc>
        <w:tc>
          <w:tcPr>
            <w:tcW w:w="863" w:type="dxa"/>
            <w:noWrap w:val="0"/>
            <w:vAlign w:val="center"/>
          </w:tcPr>
          <w:p w14:paraId="2B1DF7A6">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lang w:eastAsia="zh-CN"/>
              </w:rPr>
            </w:pPr>
          </w:p>
        </w:tc>
      </w:tr>
    </w:tbl>
    <w:p w14:paraId="344F8D1A">
      <w:pPr>
        <w:pStyle w:val="4"/>
        <w:pageBreakBefore w:val="0"/>
        <w:widowControl w:val="0"/>
        <w:kinsoku/>
        <w:wordWrap/>
        <w:overflowPunct/>
        <w:topLinePunct w:val="0"/>
        <w:autoSpaceDE/>
        <w:autoSpaceDN/>
        <w:bidi w:val="0"/>
        <w:spacing w:line="400" w:lineRule="exact"/>
        <w:ind w:firstLine="482" w:firstLineChars="200"/>
        <w:textAlignment w:val="auto"/>
        <w:rPr>
          <w:rFonts w:hint="eastAsia" w:cs="宋体"/>
          <w:b/>
          <w:color w:val="auto"/>
          <w:sz w:val="24"/>
          <w:highlight w:val="none"/>
        </w:rPr>
      </w:pPr>
      <w:bookmarkStart w:id="3" w:name="_Toc19188"/>
      <w:bookmarkStart w:id="4" w:name="_Toc6850"/>
      <w:r>
        <w:rPr>
          <w:rFonts w:hint="eastAsia" w:cs="宋体"/>
          <w:b/>
          <w:color w:val="auto"/>
          <w:sz w:val="24"/>
          <w:highlight w:val="none"/>
          <w:lang w:val="en-US" w:eastAsia="zh-CN"/>
        </w:rPr>
        <w:t>二</w:t>
      </w:r>
      <w:r>
        <w:rPr>
          <w:rFonts w:hint="eastAsia" w:cs="宋体"/>
          <w:b/>
          <w:color w:val="auto"/>
          <w:sz w:val="24"/>
          <w:highlight w:val="none"/>
        </w:rPr>
        <w:t>、</w:t>
      </w:r>
      <w:r>
        <w:rPr>
          <w:rFonts w:hint="eastAsia" w:cs="宋体"/>
          <w:b/>
          <w:color w:val="auto"/>
          <w:sz w:val="24"/>
          <w:highlight w:val="none"/>
          <w:lang w:val="en-US" w:eastAsia="zh-CN"/>
        </w:rPr>
        <w:t>竞选</w:t>
      </w:r>
      <w:r>
        <w:rPr>
          <w:rFonts w:hint="eastAsia" w:cs="宋体"/>
          <w:b/>
          <w:color w:val="auto"/>
          <w:sz w:val="24"/>
          <w:highlight w:val="none"/>
          <w:lang w:eastAsia="zh-CN"/>
        </w:rPr>
        <w:t>人资格条件</w:t>
      </w:r>
      <w:bookmarkEnd w:id="3"/>
      <w:bookmarkEnd w:id="4"/>
    </w:p>
    <w:p w14:paraId="7C937A2F">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val="en-US" w:eastAsia="zh-CN"/>
        </w:rPr>
        <w:t>基本资格条件</w:t>
      </w:r>
    </w:p>
    <w:p w14:paraId="44FB225F">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具有独立承担民事责任的能力</w:t>
      </w:r>
      <w:r>
        <w:rPr>
          <w:rFonts w:hint="eastAsia" w:ascii="宋体" w:hAnsi="宋体" w:cs="宋体"/>
          <w:color w:val="auto"/>
          <w:sz w:val="24"/>
          <w:szCs w:val="24"/>
          <w:highlight w:val="none"/>
          <w:lang w:eastAsia="zh-CN"/>
        </w:rPr>
        <w:t>；</w:t>
      </w:r>
    </w:p>
    <w:p w14:paraId="56F286A5">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具有良好的商业信誉和健全的财务会计制度</w:t>
      </w:r>
      <w:r>
        <w:rPr>
          <w:rFonts w:hint="eastAsia" w:ascii="宋体" w:hAnsi="宋体" w:cs="宋体"/>
          <w:color w:val="auto"/>
          <w:sz w:val="24"/>
          <w:szCs w:val="24"/>
          <w:highlight w:val="none"/>
          <w:lang w:eastAsia="zh-CN"/>
        </w:rPr>
        <w:t>；</w:t>
      </w:r>
    </w:p>
    <w:p w14:paraId="10158EFD">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具有履行合同所必需的设备和专业技术能力</w:t>
      </w:r>
      <w:r>
        <w:rPr>
          <w:rFonts w:hint="eastAsia" w:ascii="宋体" w:hAnsi="宋体" w:cs="宋体"/>
          <w:color w:val="auto"/>
          <w:sz w:val="24"/>
          <w:szCs w:val="24"/>
          <w:highlight w:val="none"/>
          <w:lang w:eastAsia="zh-CN"/>
        </w:rPr>
        <w:t>；</w:t>
      </w:r>
    </w:p>
    <w:p w14:paraId="7940817C">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有依法缴纳税收和社会保障资金的良好记录</w:t>
      </w:r>
      <w:r>
        <w:rPr>
          <w:rFonts w:hint="eastAsia" w:ascii="宋体" w:hAnsi="宋体" w:cs="宋体"/>
          <w:color w:val="auto"/>
          <w:sz w:val="24"/>
          <w:szCs w:val="24"/>
          <w:highlight w:val="none"/>
          <w:lang w:eastAsia="zh-CN"/>
        </w:rPr>
        <w:t>。</w:t>
      </w:r>
    </w:p>
    <w:p w14:paraId="5556ADA5">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参加</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活动前三年内，在经营活动中没有重大违法记录</w:t>
      </w:r>
      <w:r>
        <w:rPr>
          <w:rFonts w:hint="eastAsia" w:ascii="宋体" w:hAnsi="宋体" w:cs="宋体"/>
          <w:color w:val="auto"/>
          <w:sz w:val="24"/>
          <w:szCs w:val="24"/>
          <w:highlight w:val="none"/>
          <w:lang w:val="en-US" w:eastAsia="zh-CN"/>
        </w:rPr>
        <w:t>。</w:t>
      </w:r>
    </w:p>
    <w:p w14:paraId="3F11F1C4">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3ED2CE2D">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特定资格条件</w:t>
      </w:r>
    </w:p>
    <w:p w14:paraId="328AC214">
      <w:pPr>
        <w:pStyle w:val="4"/>
        <w:pageBreakBefore w:val="0"/>
        <w:widowControl w:val="0"/>
        <w:kinsoku/>
        <w:wordWrap/>
        <w:overflowPunct/>
        <w:topLinePunct w:val="0"/>
        <w:autoSpaceDE/>
        <w:autoSpaceDN/>
        <w:bidi w:val="0"/>
        <w:spacing w:line="400" w:lineRule="exact"/>
        <w:ind w:firstLine="480" w:firstLineChars="200"/>
        <w:textAlignment w:val="auto"/>
        <w:rPr>
          <w:rFonts w:hint="eastAsia" w:cs="宋体"/>
          <w:b w:val="0"/>
          <w:bCs w:val="0"/>
          <w:color w:val="auto"/>
          <w:sz w:val="24"/>
          <w:highlight w:val="none"/>
          <w:lang w:val="en-US" w:eastAsia="zh-CN"/>
        </w:rPr>
      </w:pPr>
      <w:bookmarkStart w:id="5" w:name="_Toc15900"/>
      <w:bookmarkStart w:id="6" w:name="_Toc898"/>
      <w:r>
        <w:rPr>
          <w:rFonts w:hint="eastAsia" w:cs="宋体"/>
          <w:b w:val="0"/>
          <w:bCs w:val="0"/>
          <w:color w:val="auto"/>
          <w:sz w:val="24"/>
          <w:highlight w:val="none"/>
          <w:lang w:val="en-US" w:eastAsia="zh-CN"/>
        </w:rPr>
        <w:t>1.竞选人应具备建设行政主管部门颁发的建筑工程施工总承包叁级及以上资质；</w:t>
      </w:r>
      <w:bookmarkEnd w:id="5"/>
    </w:p>
    <w:p w14:paraId="79D5A322">
      <w:pPr>
        <w:pStyle w:val="4"/>
        <w:pageBreakBefore w:val="0"/>
        <w:widowControl w:val="0"/>
        <w:kinsoku/>
        <w:wordWrap/>
        <w:overflowPunct/>
        <w:topLinePunct w:val="0"/>
        <w:autoSpaceDE/>
        <w:autoSpaceDN/>
        <w:bidi w:val="0"/>
        <w:spacing w:line="400" w:lineRule="exact"/>
        <w:ind w:firstLine="480" w:firstLineChars="200"/>
        <w:textAlignment w:val="auto"/>
        <w:rPr>
          <w:rFonts w:hint="eastAsia" w:cs="宋体"/>
          <w:b w:val="0"/>
          <w:bCs w:val="0"/>
          <w:color w:val="auto"/>
          <w:sz w:val="24"/>
          <w:highlight w:val="none"/>
          <w:lang w:val="en-US" w:eastAsia="zh-CN"/>
        </w:rPr>
      </w:pPr>
      <w:bookmarkStart w:id="7" w:name="_Toc18430"/>
      <w:r>
        <w:rPr>
          <w:rFonts w:hint="eastAsia" w:cs="宋体"/>
          <w:b w:val="0"/>
          <w:bCs w:val="0"/>
          <w:color w:val="auto"/>
          <w:sz w:val="24"/>
          <w:highlight w:val="none"/>
          <w:lang w:val="en-US" w:eastAsia="zh-CN"/>
        </w:rPr>
        <w:t>2.竞选人应具备建设行政主管部门颁发的有效的安全生产许可证。</w:t>
      </w:r>
      <w:bookmarkEnd w:id="7"/>
    </w:p>
    <w:p w14:paraId="1F9EF7A1">
      <w:pPr>
        <w:pStyle w:val="4"/>
        <w:pageBreakBefore w:val="0"/>
        <w:widowControl w:val="0"/>
        <w:kinsoku/>
        <w:wordWrap/>
        <w:overflowPunct/>
        <w:topLinePunct w:val="0"/>
        <w:autoSpaceDE/>
        <w:autoSpaceDN/>
        <w:bidi w:val="0"/>
        <w:spacing w:line="400" w:lineRule="exact"/>
        <w:ind w:firstLine="482" w:firstLineChars="200"/>
        <w:textAlignment w:val="auto"/>
        <w:rPr>
          <w:rFonts w:hint="eastAsia" w:cs="宋体"/>
          <w:b/>
          <w:color w:val="auto"/>
          <w:sz w:val="24"/>
          <w:highlight w:val="none"/>
          <w:lang w:val="en-US" w:eastAsia="zh-CN"/>
        </w:rPr>
      </w:pPr>
      <w:bookmarkStart w:id="8" w:name="_Toc10677"/>
      <w:r>
        <w:rPr>
          <w:rFonts w:hint="eastAsia" w:cs="宋体"/>
          <w:b/>
          <w:color w:val="auto"/>
          <w:sz w:val="24"/>
          <w:highlight w:val="none"/>
          <w:lang w:val="en-US" w:eastAsia="zh-CN"/>
        </w:rPr>
        <w:t>注：竞选人须提供上述有效的证书复印件并加盖竞选人公章。</w:t>
      </w:r>
      <w:bookmarkEnd w:id="8"/>
    </w:p>
    <w:p w14:paraId="343D77D7">
      <w:pPr>
        <w:pStyle w:val="4"/>
        <w:pageBreakBefore w:val="0"/>
        <w:widowControl w:val="0"/>
        <w:kinsoku/>
        <w:wordWrap/>
        <w:overflowPunct/>
        <w:topLinePunct w:val="0"/>
        <w:autoSpaceDE/>
        <w:autoSpaceDN/>
        <w:bidi w:val="0"/>
        <w:spacing w:line="400" w:lineRule="exact"/>
        <w:ind w:firstLine="482" w:firstLineChars="200"/>
        <w:textAlignment w:val="auto"/>
        <w:rPr>
          <w:rFonts w:hint="eastAsia" w:cs="宋体"/>
          <w:b/>
          <w:color w:val="auto"/>
          <w:sz w:val="24"/>
          <w:highlight w:val="none"/>
        </w:rPr>
      </w:pPr>
      <w:bookmarkStart w:id="9" w:name="_Toc18984"/>
      <w:r>
        <w:rPr>
          <w:rFonts w:hint="eastAsia" w:cs="宋体"/>
          <w:b/>
          <w:color w:val="auto"/>
          <w:sz w:val="24"/>
          <w:highlight w:val="none"/>
          <w:lang w:val="en-US" w:eastAsia="zh-CN"/>
        </w:rPr>
        <w:t>三</w:t>
      </w:r>
      <w:r>
        <w:rPr>
          <w:rFonts w:hint="eastAsia" w:cs="宋体"/>
          <w:b/>
          <w:color w:val="auto"/>
          <w:sz w:val="24"/>
          <w:highlight w:val="none"/>
        </w:rPr>
        <w:t>、</w:t>
      </w:r>
      <w:r>
        <w:rPr>
          <w:rFonts w:hint="eastAsia" w:cs="宋体"/>
          <w:b/>
          <w:color w:val="auto"/>
          <w:sz w:val="24"/>
          <w:highlight w:val="none"/>
          <w:lang w:val="en-US" w:eastAsia="zh-CN"/>
        </w:rPr>
        <w:t>竞选</w:t>
      </w:r>
      <w:r>
        <w:rPr>
          <w:rFonts w:hint="eastAsia" w:cs="宋体"/>
          <w:b/>
          <w:color w:val="auto"/>
          <w:sz w:val="24"/>
          <w:highlight w:val="none"/>
        </w:rPr>
        <w:t>、开标有关说明</w:t>
      </w:r>
      <w:bookmarkEnd w:id="6"/>
      <w:bookmarkEnd w:id="9"/>
    </w:p>
    <w:p w14:paraId="603A9DD7">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凡有意参加的</w:t>
      </w:r>
      <w:r>
        <w:rPr>
          <w:rFonts w:hint="eastAsia" w:ascii="宋体" w:hAnsi="宋体" w:cs="宋体"/>
          <w:color w:val="auto"/>
          <w:sz w:val="24"/>
          <w:szCs w:val="28"/>
          <w:highlight w:val="none"/>
          <w:lang w:val="en-US" w:eastAsia="zh-CN"/>
        </w:rPr>
        <w:t>竞选</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，请在行采家平台（https://www.gec123.com）上下载本项目</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文件及图纸、补遗等开标前公布的所有项目资料，无论</w:t>
      </w:r>
      <w:r>
        <w:rPr>
          <w:rFonts w:hint="eastAsia" w:ascii="宋体" w:hAnsi="宋体" w:cs="宋体"/>
          <w:color w:val="auto"/>
          <w:sz w:val="24"/>
          <w:szCs w:val="28"/>
          <w:highlight w:val="none"/>
          <w:lang w:val="en-US" w:eastAsia="zh-CN"/>
        </w:rPr>
        <w:t>竞选</w:t>
      </w:r>
      <w:r>
        <w:rPr>
          <w:rFonts w:hint="eastAsia" w:ascii="宋体" w:hAnsi="宋体" w:cs="宋体"/>
          <w:color w:val="auto"/>
          <w:sz w:val="24"/>
          <w:szCs w:val="24"/>
          <w:highlight w:val="none"/>
          <w:lang w:eastAsia="zh-CN"/>
        </w:rPr>
        <w:t>人</w:t>
      </w:r>
      <w:r>
        <w:rPr>
          <w:rFonts w:hint="eastAsia" w:ascii="宋体" w:hAnsi="宋体" w:eastAsia="宋体" w:cs="宋体"/>
          <w:color w:val="auto"/>
          <w:sz w:val="24"/>
          <w:szCs w:val="24"/>
          <w:highlight w:val="none"/>
        </w:rPr>
        <w:t>下载与否，均视为已知晓所有内容。</w:t>
      </w:r>
      <w:r>
        <w:rPr>
          <w:rFonts w:hint="eastAsia" w:ascii="宋体" w:hAnsi="宋体" w:eastAsia="宋体" w:cs="宋体"/>
          <w:color w:val="auto"/>
          <w:sz w:val="24"/>
          <w:szCs w:val="24"/>
          <w:highlight w:val="none"/>
          <w:lang w:val="en-US" w:eastAsia="zh-CN"/>
        </w:rPr>
        <w:t>竞选</w:t>
      </w:r>
      <w:r>
        <w:rPr>
          <w:rFonts w:hint="eastAsia" w:ascii="宋体" w:hAnsi="宋体" w:cs="宋体"/>
          <w:color w:val="auto"/>
          <w:sz w:val="24"/>
          <w:szCs w:val="24"/>
          <w:highlight w:val="none"/>
          <w:lang w:eastAsia="zh-CN"/>
        </w:rPr>
        <w:t>人</w:t>
      </w:r>
      <w:r>
        <w:rPr>
          <w:rFonts w:hint="eastAsia" w:ascii="宋体" w:hAnsi="宋体" w:eastAsia="宋体" w:cs="宋体"/>
          <w:color w:val="auto"/>
          <w:sz w:val="24"/>
          <w:szCs w:val="24"/>
          <w:highlight w:val="none"/>
        </w:rPr>
        <w:t>应通过“行采家”平台（https://www.gec123.com）进行注册，成为行采家平台</w:t>
      </w:r>
      <w:r>
        <w:rPr>
          <w:rFonts w:hint="eastAsia" w:ascii="宋体" w:hAnsi="宋体" w:cs="宋体"/>
          <w:color w:val="auto"/>
          <w:sz w:val="24"/>
          <w:szCs w:val="24"/>
          <w:highlight w:val="none"/>
          <w:lang w:val="en-US" w:eastAsia="zh-CN"/>
        </w:rPr>
        <w:t>竞选人</w:t>
      </w:r>
      <w:r>
        <w:rPr>
          <w:rFonts w:hint="eastAsia" w:ascii="宋体" w:hAnsi="宋体" w:eastAsia="宋体" w:cs="宋体"/>
          <w:color w:val="auto"/>
          <w:sz w:val="24"/>
          <w:szCs w:val="24"/>
          <w:highlight w:val="none"/>
        </w:rPr>
        <w:t>。</w:t>
      </w:r>
    </w:p>
    <w:p w14:paraId="4DC0BA23">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（二）比选</w:t>
      </w:r>
      <w:r>
        <w:rPr>
          <w:rFonts w:hint="eastAsia" w:ascii="宋体" w:hAnsi="宋体" w:eastAsia="宋体" w:cs="宋体"/>
          <w:color w:val="auto"/>
          <w:sz w:val="24"/>
          <w:szCs w:val="24"/>
          <w:highlight w:val="none"/>
        </w:rPr>
        <w:t>文件发售期</w:t>
      </w:r>
      <w:r>
        <w:rPr>
          <w:rFonts w:hint="eastAsia" w:ascii="宋体" w:hAnsi="宋体" w:eastAsia="宋体" w:cs="宋体"/>
          <w:color w:val="auto"/>
          <w:sz w:val="24"/>
          <w:szCs w:val="24"/>
          <w:highlight w:val="none"/>
          <w:lang w:eastAsia="zh-CN"/>
        </w:rPr>
        <w:t>限</w:t>
      </w:r>
      <w:r>
        <w:rPr>
          <w:rFonts w:hint="eastAsia" w:ascii="宋体" w:hAnsi="宋体" w:eastAsia="宋体" w:cs="宋体"/>
          <w:color w:val="auto"/>
          <w:sz w:val="24"/>
          <w:szCs w:val="24"/>
          <w:highlight w:val="none"/>
        </w:rPr>
        <w:t>：</w:t>
      </w:r>
    </w:p>
    <w:p w14:paraId="4834C59F">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竞争性比选文件售价：</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val="en-US" w:eastAsia="zh-CN"/>
        </w:rPr>
        <w:t>300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份（</w:t>
      </w:r>
      <w:r>
        <w:rPr>
          <w:rFonts w:hint="eastAsia" w:ascii="宋体" w:hAnsi="宋体" w:eastAsia="宋体" w:cs="宋体"/>
          <w:color w:val="auto"/>
          <w:sz w:val="24"/>
          <w:szCs w:val="24"/>
          <w:highlight w:val="none"/>
          <w:lang w:val="en-US" w:eastAsia="zh-CN"/>
        </w:rPr>
        <w:t>售后不退，</w:t>
      </w:r>
      <w:r>
        <w:rPr>
          <w:rFonts w:hint="eastAsia" w:ascii="宋体" w:hAnsi="宋体" w:cs="宋体"/>
          <w:color w:val="auto"/>
          <w:sz w:val="24"/>
          <w:szCs w:val="24"/>
          <w:highlight w:val="none"/>
          <w:lang w:val="en-US" w:eastAsia="zh-CN"/>
        </w:rPr>
        <w:t>比选开始</w:t>
      </w:r>
      <w:r>
        <w:rPr>
          <w:rFonts w:hint="eastAsia" w:ascii="宋体" w:hAnsi="宋体" w:eastAsia="宋体" w:cs="宋体"/>
          <w:color w:val="auto"/>
          <w:sz w:val="24"/>
          <w:szCs w:val="24"/>
          <w:highlight w:val="none"/>
          <w:lang w:val="en-US" w:eastAsia="zh-CN"/>
        </w:rPr>
        <w:t>前随</w:t>
      </w:r>
      <w:r>
        <w:rPr>
          <w:rFonts w:hint="eastAsia" w:ascii="宋体" w:hAnsi="宋体" w:cs="宋体"/>
          <w:color w:val="auto"/>
          <w:sz w:val="24"/>
          <w:szCs w:val="24"/>
          <w:highlight w:val="none"/>
          <w:lang w:val="en-US" w:eastAsia="zh-CN"/>
        </w:rPr>
        <w:t>竞选文件</w:t>
      </w:r>
      <w:r>
        <w:rPr>
          <w:rFonts w:hint="eastAsia" w:ascii="宋体" w:hAnsi="宋体" w:eastAsia="宋体" w:cs="宋体"/>
          <w:color w:val="auto"/>
          <w:sz w:val="24"/>
          <w:szCs w:val="24"/>
          <w:highlight w:val="none"/>
          <w:lang w:val="en-US" w:eastAsia="zh-CN"/>
        </w:rPr>
        <w:t>在</w:t>
      </w:r>
      <w:r>
        <w:rPr>
          <w:rFonts w:hint="eastAsia" w:ascii="宋体" w:hAnsi="宋体" w:cs="宋体"/>
          <w:color w:val="auto"/>
          <w:sz w:val="24"/>
          <w:szCs w:val="24"/>
          <w:highlight w:val="none"/>
          <w:lang w:val="en-US" w:eastAsia="zh-CN"/>
        </w:rPr>
        <w:t>开标</w:t>
      </w:r>
      <w:r>
        <w:rPr>
          <w:rFonts w:hint="eastAsia" w:ascii="宋体" w:hAnsi="宋体" w:eastAsia="宋体" w:cs="宋体"/>
          <w:color w:val="auto"/>
          <w:sz w:val="24"/>
          <w:szCs w:val="24"/>
          <w:highlight w:val="none"/>
          <w:lang w:val="en-US" w:eastAsia="zh-CN"/>
        </w:rPr>
        <w:t>现场缴纳，未缴纳文件费或超过比选开始</w:t>
      </w:r>
      <w:r>
        <w:rPr>
          <w:rFonts w:hint="eastAsia" w:ascii="宋体" w:hAnsi="宋体" w:cs="宋体"/>
          <w:color w:val="auto"/>
          <w:sz w:val="24"/>
          <w:szCs w:val="24"/>
          <w:highlight w:val="none"/>
          <w:lang w:val="en-US" w:eastAsia="zh-CN"/>
        </w:rPr>
        <w:t>时间</w:t>
      </w:r>
      <w:r>
        <w:rPr>
          <w:rFonts w:hint="eastAsia" w:ascii="宋体" w:hAnsi="宋体" w:eastAsia="宋体" w:cs="宋体"/>
          <w:color w:val="auto"/>
          <w:sz w:val="24"/>
          <w:szCs w:val="24"/>
          <w:highlight w:val="none"/>
          <w:lang w:val="en-US" w:eastAsia="zh-CN"/>
        </w:rPr>
        <w:t>递交的</w:t>
      </w:r>
      <w:r>
        <w:rPr>
          <w:rFonts w:hint="eastAsia" w:ascii="宋体" w:hAnsi="宋体" w:cs="宋体"/>
          <w:color w:val="auto"/>
          <w:sz w:val="24"/>
          <w:szCs w:val="24"/>
          <w:highlight w:val="none"/>
          <w:lang w:val="en-US" w:eastAsia="zh-CN"/>
        </w:rPr>
        <w:t>竞选文件</w:t>
      </w:r>
      <w:r>
        <w:rPr>
          <w:rFonts w:hint="eastAsia" w:ascii="宋体" w:hAnsi="宋体" w:eastAsia="宋体" w:cs="宋体"/>
          <w:color w:val="auto"/>
          <w:sz w:val="24"/>
          <w:szCs w:val="24"/>
          <w:highlight w:val="none"/>
          <w:lang w:val="en-US" w:eastAsia="zh-CN"/>
        </w:rPr>
        <w:t>，恕不接收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F7A92F6">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bookmarkStart w:id="10" w:name="_Toc20523"/>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）递交</w:t>
      </w:r>
      <w:r>
        <w:rPr>
          <w:rFonts w:hint="eastAsia" w:ascii="宋体" w:hAnsi="宋体" w:cs="宋体"/>
          <w:b w:val="0"/>
          <w:bCs w:val="0"/>
          <w:color w:val="auto"/>
          <w:sz w:val="24"/>
          <w:szCs w:val="24"/>
          <w:highlight w:val="none"/>
          <w:lang w:val="en-US" w:eastAsia="zh-CN"/>
        </w:rPr>
        <w:t>竞选</w:t>
      </w:r>
      <w:r>
        <w:rPr>
          <w:rFonts w:hint="eastAsia" w:ascii="宋体" w:hAnsi="宋体" w:eastAsia="宋体" w:cs="宋体"/>
          <w:color w:val="auto"/>
          <w:sz w:val="24"/>
          <w:szCs w:val="24"/>
          <w:highlight w:val="none"/>
        </w:rPr>
        <w:t>文件地点：</w:t>
      </w:r>
      <w:r>
        <w:rPr>
          <w:rFonts w:hint="eastAsia" w:ascii="宋体" w:hAnsi="宋体" w:cs="宋体"/>
          <w:color w:val="auto"/>
          <w:sz w:val="24"/>
          <w:szCs w:val="24"/>
          <w:highlight w:val="none"/>
          <w:lang w:eastAsia="zh-CN"/>
        </w:rPr>
        <w:t>重庆合越达工程管理有限公司</w:t>
      </w:r>
      <w:r>
        <w:rPr>
          <w:rFonts w:hint="eastAsia" w:ascii="宋体" w:hAnsi="宋体" w:eastAsia="宋体" w:cs="宋体"/>
          <w:color w:val="auto"/>
          <w:sz w:val="24"/>
          <w:szCs w:val="24"/>
          <w:highlight w:val="none"/>
        </w:rPr>
        <w:t>（地址：重庆市</w:t>
      </w:r>
      <w:r>
        <w:rPr>
          <w:rFonts w:hint="eastAsia" w:ascii="宋体" w:hAnsi="宋体" w:cs="宋体"/>
          <w:color w:val="auto"/>
          <w:sz w:val="24"/>
          <w:szCs w:val="24"/>
          <w:highlight w:val="none"/>
          <w:lang w:val="en-US" w:eastAsia="zh-CN"/>
        </w:rPr>
        <w:t>渝北区财富大厦A座1</w:t>
      </w:r>
      <w:r>
        <w:rPr>
          <w:rFonts w:hint="eastAsia" w:ascii="宋体" w:hAnsi="宋体" w:cs="宋体"/>
          <w:b w:val="0"/>
          <w:bCs w:val="0"/>
          <w:color w:val="auto"/>
          <w:sz w:val="24"/>
          <w:szCs w:val="24"/>
          <w:highlight w:val="none"/>
          <w:lang w:val="en-US" w:eastAsia="zh-CN"/>
        </w:rPr>
        <w:t>905室）</w:t>
      </w:r>
      <w:r>
        <w:rPr>
          <w:rFonts w:hint="eastAsia" w:ascii="宋体" w:hAnsi="宋体" w:eastAsia="宋体" w:cs="宋体"/>
          <w:b w:val="0"/>
          <w:bCs w:val="0"/>
          <w:color w:val="auto"/>
          <w:sz w:val="24"/>
          <w:szCs w:val="24"/>
          <w:highlight w:val="none"/>
        </w:rPr>
        <w:t>。</w:t>
      </w:r>
    </w:p>
    <w:p w14:paraId="062CD320">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四</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竞选</w:t>
      </w:r>
      <w:r>
        <w:rPr>
          <w:rFonts w:hint="eastAsia" w:ascii="宋体" w:hAnsi="宋体" w:eastAsia="宋体" w:cs="宋体"/>
          <w:b w:val="0"/>
          <w:bCs w:val="0"/>
          <w:color w:val="auto"/>
          <w:sz w:val="24"/>
          <w:szCs w:val="24"/>
          <w:highlight w:val="none"/>
        </w:rPr>
        <w:t>文件递交开始时间：</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default"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rPr>
        <w:t>日</w:t>
      </w:r>
      <w:r>
        <w:rPr>
          <w:rFonts w:hint="eastAsia" w:ascii="宋体" w:hAnsi="宋体" w:eastAsia="宋体" w:cs="宋体"/>
          <w:b w:val="0"/>
          <w:bCs w:val="0"/>
          <w:color w:val="auto"/>
          <w:sz w:val="24"/>
          <w:szCs w:val="24"/>
          <w:highlight w:val="none"/>
        </w:rPr>
        <w:t>北京时间</w:t>
      </w:r>
      <w:r>
        <w:rPr>
          <w:rFonts w:hint="default" w:ascii="宋体" w:hAnsi="宋体" w:cs="宋体"/>
          <w:b w:val="0"/>
          <w:bCs w:val="0"/>
          <w:color w:val="auto"/>
          <w:sz w:val="24"/>
          <w:szCs w:val="24"/>
          <w:highlight w:val="none"/>
          <w:lang w:val="en-US"/>
        </w:rPr>
        <w:t>0</w:t>
      </w:r>
      <w:r>
        <w:rPr>
          <w:rFonts w:hint="default"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0；</w:t>
      </w:r>
      <w:r>
        <w:rPr>
          <w:rFonts w:hint="eastAsia" w:ascii="宋体" w:hAnsi="宋体" w:cs="宋体"/>
          <w:b w:val="0"/>
          <w:bCs w:val="0"/>
          <w:color w:val="auto"/>
          <w:sz w:val="24"/>
          <w:szCs w:val="24"/>
          <w:highlight w:val="none"/>
          <w:lang w:val="en-US" w:eastAsia="zh-CN"/>
        </w:rPr>
        <w:t>竞选</w:t>
      </w:r>
      <w:r>
        <w:rPr>
          <w:rFonts w:hint="eastAsia" w:ascii="宋体" w:hAnsi="宋体" w:eastAsia="宋体" w:cs="宋体"/>
          <w:b w:val="0"/>
          <w:bCs w:val="0"/>
          <w:color w:val="auto"/>
          <w:sz w:val="24"/>
          <w:szCs w:val="24"/>
          <w:highlight w:val="none"/>
        </w:rPr>
        <w:t>文件递交截止时间：</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default"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rPr>
        <w:t>日</w:t>
      </w:r>
      <w:r>
        <w:rPr>
          <w:rFonts w:hint="eastAsia" w:ascii="宋体" w:hAnsi="宋体" w:eastAsia="宋体" w:cs="宋体"/>
          <w:b w:val="0"/>
          <w:bCs w:val="0"/>
          <w:color w:val="auto"/>
          <w:sz w:val="24"/>
          <w:szCs w:val="24"/>
          <w:highlight w:val="none"/>
        </w:rPr>
        <w:t>北京时间</w:t>
      </w:r>
      <w:r>
        <w:rPr>
          <w:rFonts w:hint="default" w:ascii="宋体" w:hAnsi="宋体" w:cs="宋体"/>
          <w:b w:val="0"/>
          <w:bCs w:val="0"/>
          <w:color w:val="auto"/>
          <w:sz w:val="24"/>
          <w:szCs w:val="24"/>
          <w:highlight w:val="none"/>
          <w:lang w:val="en-US"/>
        </w:rPr>
        <w:t>10</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0。</w:t>
      </w:r>
    </w:p>
    <w:p w14:paraId="3A328467">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（五）比选</w:t>
      </w:r>
      <w:r>
        <w:rPr>
          <w:rFonts w:hint="eastAsia" w:ascii="宋体" w:hAnsi="宋体" w:eastAsia="宋体" w:cs="宋体"/>
          <w:b w:val="0"/>
          <w:bCs w:val="0"/>
          <w:color w:val="auto"/>
          <w:sz w:val="24"/>
          <w:szCs w:val="24"/>
          <w:highlight w:val="none"/>
        </w:rPr>
        <w:t>开始时间：</w:t>
      </w:r>
      <w:r>
        <w:rPr>
          <w:rFonts w:hint="eastAsia" w:ascii="宋体" w:hAnsi="宋体" w:eastAsia="宋体" w:cs="宋体"/>
          <w:b/>
          <w:bCs/>
          <w:color w:val="auto"/>
          <w:sz w:val="24"/>
          <w:szCs w:val="24"/>
          <w:highlight w:val="none"/>
        </w:rPr>
        <w:t>2025年</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月</w:t>
      </w:r>
      <w:r>
        <w:rPr>
          <w:rFonts w:hint="default" w:ascii="宋体" w:hAnsi="宋体" w:cs="宋体"/>
          <w:b/>
          <w:bCs/>
          <w:color w:val="auto"/>
          <w:sz w:val="24"/>
          <w:szCs w:val="24"/>
          <w:highlight w:val="none"/>
          <w:lang w:val="en-US" w:eastAsia="zh-CN"/>
        </w:rPr>
        <w:t>24</w:t>
      </w:r>
      <w:r>
        <w:rPr>
          <w:rFonts w:hint="eastAsia" w:ascii="宋体" w:hAnsi="宋体" w:eastAsia="宋体" w:cs="宋体"/>
          <w:b/>
          <w:bCs/>
          <w:color w:val="auto"/>
          <w:sz w:val="24"/>
          <w:szCs w:val="24"/>
          <w:highlight w:val="none"/>
        </w:rPr>
        <w:t>日北京时间</w:t>
      </w:r>
      <w:r>
        <w:rPr>
          <w:rFonts w:hint="default" w:ascii="宋体" w:hAnsi="宋体" w:cs="宋体"/>
          <w:b/>
          <w:bCs/>
          <w:color w:val="auto"/>
          <w:sz w:val="24"/>
          <w:szCs w:val="24"/>
          <w:highlight w:val="none"/>
          <w:lang w:val="en-US" w:eastAsia="zh-CN"/>
        </w:rPr>
        <w:t>10</w:t>
      </w:r>
      <w:bookmarkStart w:id="289" w:name="_GoBack"/>
      <w:bookmarkEnd w:id="289"/>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eastAsia="zh-CN"/>
        </w:rPr>
        <w:t>。</w:t>
      </w:r>
    </w:p>
    <w:p w14:paraId="2720568C">
      <w:pPr>
        <w:pStyle w:val="4"/>
        <w:pageBreakBefore w:val="0"/>
        <w:widowControl w:val="0"/>
        <w:kinsoku/>
        <w:wordWrap/>
        <w:overflowPunct/>
        <w:topLinePunct w:val="0"/>
        <w:autoSpaceDE/>
        <w:autoSpaceDN/>
        <w:bidi w:val="0"/>
        <w:spacing w:line="400" w:lineRule="exact"/>
        <w:ind w:firstLine="482" w:firstLineChars="200"/>
        <w:textAlignment w:val="auto"/>
        <w:rPr>
          <w:rFonts w:hint="eastAsia" w:cs="宋体"/>
          <w:b/>
          <w:color w:val="auto"/>
          <w:sz w:val="24"/>
          <w:highlight w:val="none"/>
          <w:lang w:val="en-US" w:eastAsia="zh-CN"/>
        </w:rPr>
      </w:pPr>
      <w:bookmarkStart w:id="11" w:name="_Toc3318"/>
      <w:bookmarkStart w:id="12" w:name="_Toc17855"/>
      <w:r>
        <w:rPr>
          <w:rFonts w:hint="eastAsia" w:cs="宋体"/>
          <w:b/>
          <w:color w:val="auto"/>
          <w:sz w:val="24"/>
          <w:highlight w:val="none"/>
          <w:lang w:val="en-US" w:eastAsia="zh-CN"/>
        </w:rPr>
        <w:t>四、</w:t>
      </w:r>
      <w:bookmarkStart w:id="13" w:name="_Toc524"/>
      <w:bookmarkStart w:id="14" w:name="_Toc9290"/>
      <w:bookmarkStart w:id="15" w:name="_Toc30895"/>
      <w:bookmarkStart w:id="16" w:name="_Toc22111"/>
      <w:bookmarkStart w:id="17" w:name="_Toc106030376"/>
      <w:bookmarkStart w:id="18" w:name="_Toc18100"/>
      <w:bookmarkStart w:id="19" w:name="_Toc12663"/>
      <w:bookmarkStart w:id="20" w:name="_Toc12090"/>
      <w:bookmarkStart w:id="21" w:name="_Toc75793500"/>
      <w:bookmarkStart w:id="22" w:name="_Toc11844"/>
      <w:bookmarkStart w:id="23" w:name="_Toc23960"/>
      <w:bookmarkStart w:id="24" w:name="_Toc15717"/>
      <w:bookmarkStart w:id="25" w:name="_Toc25854"/>
      <w:bookmarkStart w:id="26" w:name="_Toc7836"/>
      <w:bookmarkStart w:id="27" w:name="_Toc31530"/>
      <w:bookmarkStart w:id="28" w:name="_Toc1588"/>
      <w:bookmarkStart w:id="29" w:name="_Toc3476"/>
      <w:bookmarkStart w:id="30" w:name="_Toc24604"/>
      <w:r>
        <w:rPr>
          <w:rFonts w:hint="eastAsia" w:cs="宋体"/>
          <w:b/>
          <w:color w:val="auto"/>
          <w:sz w:val="24"/>
          <w:highlight w:val="none"/>
          <w:lang w:val="en-US" w:eastAsia="zh-CN"/>
        </w:rPr>
        <w:t>投标保证金</w:t>
      </w:r>
      <w:bookmarkEnd w:id="11"/>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0BE618AD">
      <w:pPr>
        <w:pStyle w:val="4"/>
        <w:pageBreakBefore w:val="0"/>
        <w:widowControl w:val="0"/>
        <w:kinsoku/>
        <w:wordWrap/>
        <w:overflowPunct/>
        <w:topLinePunct w:val="0"/>
        <w:autoSpaceDE/>
        <w:autoSpaceDN/>
        <w:bidi w:val="0"/>
        <w:spacing w:line="400" w:lineRule="exact"/>
        <w:ind w:firstLine="480" w:firstLineChars="200"/>
        <w:textAlignment w:val="auto"/>
        <w:rPr>
          <w:rFonts w:hint="eastAsia" w:cs="宋体"/>
          <w:b w:val="0"/>
          <w:bCs/>
          <w:color w:val="auto"/>
          <w:sz w:val="24"/>
          <w:highlight w:val="none"/>
          <w:lang w:val="en-US" w:eastAsia="zh-CN"/>
        </w:rPr>
      </w:pPr>
      <w:bookmarkStart w:id="31" w:name="_Toc14665"/>
      <w:r>
        <w:rPr>
          <w:rFonts w:hint="eastAsia" w:cs="宋体"/>
          <w:b w:val="0"/>
          <w:bCs/>
          <w:color w:val="auto"/>
          <w:sz w:val="24"/>
          <w:highlight w:val="none"/>
          <w:lang w:val="en-US" w:eastAsia="zh-CN"/>
        </w:rPr>
        <w:t>（一）投标保证金递交</w:t>
      </w:r>
      <w:bookmarkEnd w:id="31"/>
    </w:p>
    <w:p w14:paraId="2B4C9CDD">
      <w:pPr>
        <w:pStyle w:val="4"/>
        <w:pageBreakBefore w:val="0"/>
        <w:widowControl w:val="0"/>
        <w:kinsoku/>
        <w:wordWrap/>
        <w:overflowPunct/>
        <w:topLinePunct w:val="0"/>
        <w:autoSpaceDE/>
        <w:autoSpaceDN/>
        <w:bidi w:val="0"/>
        <w:spacing w:line="400" w:lineRule="exact"/>
        <w:ind w:firstLine="480" w:firstLineChars="200"/>
        <w:textAlignment w:val="auto"/>
        <w:rPr>
          <w:rFonts w:hint="eastAsia" w:cs="宋体"/>
          <w:b w:val="0"/>
          <w:bCs/>
          <w:color w:val="auto"/>
          <w:sz w:val="24"/>
          <w:highlight w:val="none"/>
          <w:lang w:val="en-US" w:eastAsia="zh-CN"/>
        </w:rPr>
      </w:pPr>
      <w:bookmarkStart w:id="32" w:name="_Toc29324"/>
      <w:r>
        <w:rPr>
          <w:rFonts w:hint="eastAsia" w:cs="宋体"/>
          <w:b w:val="0"/>
          <w:bCs/>
          <w:color w:val="auto"/>
          <w:sz w:val="24"/>
          <w:highlight w:val="none"/>
          <w:lang w:val="en-US" w:eastAsia="zh-CN"/>
        </w:rPr>
        <w:t>1.转账方式</w:t>
      </w:r>
      <w:bookmarkEnd w:id="32"/>
    </w:p>
    <w:p w14:paraId="7045DFD3">
      <w:pPr>
        <w:pStyle w:val="4"/>
        <w:pageBreakBefore w:val="0"/>
        <w:widowControl w:val="0"/>
        <w:kinsoku/>
        <w:wordWrap/>
        <w:overflowPunct/>
        <w:topLinePunct w:val="0"/>
        <w:autoSpaceDE/>
        <w:autoSpaceDN/>
        <w:bidi w:val="0"/>
        <w:spacing w:line="400" w:lineRule="exact"/>
        <w:ind w:firstLine="480" w:firstLineChars="200"/>
        <w:textAlignment w:val="auto"/>
        <w:rPr>
          <w:rFonts w:hint="eastAsia" w:cs="宋体"/>
          <w:b w:val="0"/>
          <w:bCs/>
          <w:color w:val="auto"/>
          <w:sz w:val="24"/>
          <w:highlight w:val="none"/>
          <w:lang w:val="en-US" w:eastAsia="zh-CN"/>
        </w:rPr>
      </w:pPr>
      <w:bookmarkStart w:id="33" w:name="_Toc30402"/>
      <w:r>
        <w:rPr>
          <w:rFonts w:hint="eastAsia" w:cs="宋体"/>
          <w:b w:val="0"/>
          <w:bCs/>
          <w:color w:val="auto"/>
          <w:sz w:val="24"/>
          <w:highlight w:val="none"/>
          <w:lang w:val="en-US" w:eastAsia="zh-CN"/>
        </w:rPr>
        <w:t>1.1竞选人应足额交纳投标保证金（保证金金额详见本篇，一、比选项目内容），并汇至以下账户，投标保证金的到账截止时间为比选开始时间的前一天17:00。</w:t>
      </w:r>
      <w:bookmarkEnd w:id="33"/>
    </w:p>
    <w:p w14:paraId="560839A5">
      <w:pPr>
        <w:pStyle w:val="4"/>
        <w:pageBreakBefore w:val="0"/>
        <w:widowControl w:val="0"/>
        <w:kinsoku/>
        <w:wordWrap/>
        <w:overflowPunct/>
        <w:topLinePunct w:val="0"/>
        <w:autoSpaceDE/>
        <w:autoSpaceDN/>
        <w:bidi w:val="0"/>
        <w:spacing w:line="400" w:lineRule="exact"/>
        <w:ind w:firstLine="480" w:firstLineChars="200"/>
        <w:textAlignment w:val="auto"/>
        <w:rPr>
          <w:rFonts w:hint="eastAsia" w:cs="宋体"/>
          <w:b w:val="0"/>
          <w:bCs/>
          <w:color w:val="auto"/>
          <w:sz w:val="24"/>
          <w:highlight w:val="none"/>
          <w:lang w:val="en-US" w:eastAsia="zh-CN"/>
        </w:rPr>
      </w:pPr>
      <w:bookmarkStart w:id="34" w:name="_Toc23058"/>
      <w:r>
        <w:rPr>
          <w:rFonts w:hint="eastAsia" w:cs="宋体"/>
          <w:b w:val="0"/>
          <w:bCs/>
          <w:color w:val="auto"/>
          <w:sz w:val="24"/>
          <w:highlight w:val="none"/>
          <w:lang w:val="en-US" w:eastAsia="zh-CN"/>
        </w:rPr>
        <w:t>投标保证金账户：</w:t>
      </w:r>
      <w:bookmarkEnd w:id="34"/>
    </w:p>
    <w:p w14:paraId="573E6A0A">
      <w:pPr>
        <w:pStyle w:val="4"/>
        <w:pageBreakBefore w:val="0"/>
        <w:widowControl w:val="0"/>
        <w:kinsoku/>
        <w:wordWrap/>
        <w:overflowPunct/>
        <w:topLinePunct w:val="0"/>
        <w:autoSpaceDE/>
        <w:autoSpaceDN/>
        <w:bidi w:val="0"/>
        <w:spacing w:line="400" w:lineRule="exact"/>
        <w:ind w:firstLine="482" w:firstLineChars="200"/>
        <w:textAlignment w:val="auto"/>
        <w:rPr>
          <w:rFonts w:hint="eastAsia" w:cs="宋体"/>
          <w:b/>
          <w:bCs w:val="0"/>
          <w:color w:val="auto"/>
          <w:sz w:val="24"/>
          <w:highlight w:val="none"/>
          <w:lang w:val="en-US" w:eastAsia="zh-CN"/>
        </w:rPr>
      </w:pPr>
      <w:bookmarkStart w:id="35" w:name="_Toc8313"/>
      <w:r>
        <w:rPr>
          <w:rFonts w:hint="eastAsia" w:cs="宋体"/>
          <w:b/>
          <w:bCs w:val="0"/>
          <w:color w:val="auto"/>
          <w:sz w:val="24"/>
          <w:highlight w:val="none"/>
          <w:lang w:val="en-US" w:eastAsia="zh-CN"/>
        </w:rPr>
        <w:t>户名：重庆合越达工程管理有限公司</w:t>
      </w:r>
      <w:bookmarkEnd w:id="35"/>
    </w:p>
    <w:p w14:paraId="75D49DB5">
      <w:pPr>
        <w:pStyle w:val="4"/>
        <w:pageBreakBefore w:val="0"/>
        <w:widowControl w:val="0"/>
        <w:kinsoku/>
        <w:wordWrap/>
        <w:overflowPunct/>
        <w:topLinePunct w:val="0"/>
        <w:autoSpaceDE/>
        <w:autoSpaceDN/>
        <w:bidi w:val="0"/>
        <w:spacing w:line="400" w:lineRule="exact"/>
        <w:ind w:firstLine="482" w:firstLineChars="200"/>
        <w:textAlignment w:val="auto"/>
        <w:rPr>
          <w:rFonts w:hint="eastAsia" w:cs="宋体"/>
          <w:b/>
          <w:bCs w:val="0"/>
          <w:color w:val="auto"/>
          <w:sz w:val="24"/>
          <w:highlight w:val="none"/>
          <w:lang w:val="en-US" w:eastAsia="zh-CN"/>
        </w:rPr>
      </w:pPr>
      <w:bookmarkStart w:id="36" w:name="_Toc31657"/>
      <w:r>
        <w:rPr>
          <w:rFonts w:hint="eastAsia" w:cs="宋体"/>
          <w:b/>
          <w:bCs w:val="0"/>
          <w:color w:val="auto"/>
          <w:sz w:val="24"/>
          <w:highlight w:val="none"/>
          <w:lang w:val="en-US" w:eastAsia="zh-CN"/>
        </w:rPr>
        <w:t>账号：50050106360000006192</w:t>
      </w:r>
      <w:bookmarkEnd w:id="36"/>
    </w:p>
    <w:p w14:paraId="0F563A44">
      <w:pPr>
        <w:pStyle w:val="4"/>
        <w:pageBreakBefore w:val="0"/>
        <w:widowControl w:val="0"/>
        <w:kinsoku/>
        <w:wordWrap/>
        <w:overflowPunct/>
        <w:topLinePunct w:val="0"/>
        <w:autoSpaceDE/>
        <w:autoSpaceDN/>
        <w:bidi w:val="0"/>
        <w:spacing w:line="400" w:lineRule="exact"/>
        <w:ind w:firstLine="482" w:firstLineChars="200"/>
        <w:textAlignment w:val="auto"/>
        <w:rPr>
          <w:rFonts w:hint="eastAsia" w:cs="宋体"/>
          <w:b/>
          <w:bCs w:val="0"/>
          <w:color w:val="auto"/>
          <w:sz w:val="24"/>
          <w:highlight w:val="none"/>
          <w:lang w:val="en-US" w:eastAsia="zh-CN"/>
        </w:rPr>
      </w:pPr>
      <w:bookmarkStart w:id="37" w:name="_Toc8349"/>
      <w:r>
        <w:rPr>
          <w:rFonts w:hint="eastAsia" w:cs="宋体"/>
          <w:b/>
          <w:bCs w:val="0"/>
          <w:color w:val="auto"/>
          <w:sz w:val="24"/>
          <w:highlight w:val="none"/>
          <w:lang w:val="en-US" w:eastAsia="zh-CN"/>
        </w:rPr>
        <w:t>开户行：中国建设银行股份有限公司重庆观音桥支行</w:t>
      </w:r>
      <w:bookmarkEnd w:id="37"/>
    </w:p>
    <w:p w14:paraId="018ED836">
      <w:pPr>
        <w:pStyle w:val="4"/>
        <w:pageBreakBefore w:val="0"/>
        <w:widowControl w:val="0"/>
        <w:kinsoku/>
        <w:wordWrap/>
        <w:overflowPunct/>
        <w:topLinePunct w:val="0"/>
        <w:autoSpaceDE/>
        <w:autoSpaceDN/>
        <w:bidi w:val="0"/>
        <w:spacing w:line="400" w:lineRule="exact"/>
        <w:ind w:firstLine="482" w:firstLineChars="200"/>
        <w:textAlignment w:val="auto"/>
        <w:rPr>
          <w:rFonts w:hint="eastAsia" w:cs="宋体"/>
          <w:b/>
          <w:bCs w:val="0"/>
          <w:color w:val="auto"/>
          <w:sz w:val="24"/>
          <w:highlight w:val="none"/>
          <w:lang w:val="en-US" w:eastAsia="zh-CN"/>
        </w:rPr>
      </w:pPr>
      <w:bookmarkStart w:id="38" w:name="_Toc2347"/>
      <w:r>
        <w:rPr>
          <w:rFonts w:hint="eastAsia" w:cs="宋体"/>
          <w:b/>
          <w:bCs w:val="0"/>
          <w:color w:val="auto"/>
          <w:sz w:val="24"/>
          <w:highlight w:val="none"/>
          <w:lang w:val="en-US" w:eastAsia="zh-CN"/>
        </w:rPr>
        <w:t>转账时须备注：单位简称+项目号</w:t>
      </w:r>
      <w:bookmarkEnd w:id="38"/>
    </w:p>
    <w:p w14:paraId="5D213773">
      <w:pPr>
        <w:pStyle w:val="4"/>
        <w:pageBreakBefore w:val="0"/>
        <w:widowControl w:val="0"/>
        <w:kinsoku/>
        <w:wordWrap/>
        <w:overflowPunct/>
        <w:topLinePunct w:val="0"/>
        <w:autoSpaceDE/>
        <w:autoSpaceDN/>
        <w:bidi w:val="0"/>
        <w:spacing w:line="400" w:lineRule="exact"/>
        <w:ind w:firstLine="480" w:firstLineChars="200"/>
        <w:textAlignment w:val="auto"/>
        <w:rPr>
          <w:rFonts w:hint="eastAsia" w:cs="宋体"/>
          <w:b w:val="0"/>
          <w:bCs/>
          <w:color w:val="auto"/>
          <w:sz w:val="24"/>
          <w:highlight w:val="none"/>
          <w:lang w:val="en-US" w:eastAsia="zh-CN"/>
        </w:rPr>
      </w:pPr>
      <w:bookmarkStart w:id="39" w:name="_Toc6258"/>
      <w:r>
        <w:rPr>
          <w:rFonts w:hint="eastAsia" w:cs="宋体"/>
          <w:b w:val="0"/>
          <w:bCs/>
          <w:color w:val="auto"/>
          <w:sz w:val="24"/>
          <w:highlight w:val="none"/>
          <w:lang w:val="en-US" w:eastAsia="zh-CN"/>
        </w:rPr>
        <w:t>1.2各竞选人在银行转账（电汇）时，须充分考虑银行转账（电汇）的时间差风险，如同城转账、异地转账或汇款、跨行转账或电汇的时间要求。</w:t>
      </w:r>
      <w:bookmarkEnd w:id="39"/>
    </w:p>
    <w:p w14:paraId="74C3D680">
      <w:pPr>
        <w:pStyle w:val="4"/>
        <w:pageBreakBefore w:val="0"/>
        <w:widowControl w:val="0"/>
        <w:kinsoku/>
        <w:wordWrap/>
        <w:overflowPunct/>
        <w:topLinePunct w:val="0"/>
        <w:autoSpaceDE/>
        <w:autoSpaceDN/>
        <w:bidi w:val="0"/>
        <w:spacing w:line="400" w:lineRule="exact"/>
        <w:ind w:firstLine="480" w:firstLineChars="200"/>
        <w:textAlignment w:val="auto"/>
        <w:rPr>
          <w:rFonts w:hint="eastAsia" w:cs="宋体"/>
          <w:b w:val="0"/>
          <w:bCs/>
          <w:color w:val="auto"/>
          <w:sz w:val="24"/>
          <w:highlight w:val="none"/>
          <w:lang w:val="en-US" w:eastAsia="zh-CN"/>
        </w:rPr>
      </w:pPr>
      <w:bookmarkStart w:id="40" w:name="_Toc25145"/>
      <w:r>
        <w:rPr>
          <w:rFonts w:hint="eastAsia" w:cs="宋体"/>
          <w:b w:val="0"/>
          <w:bCs/>
          <w:color w:val="auto"/>
          <w:sz w:val="24"/>
          <w:highlight w:val="none"/>
          <w:lang w:val="en-US" w:eastAsia="zh-CN"/>
        </w:rPr>
        <w:t>（二）保证金退还方式</w:t>
      </w:r>
      <w:bookmarkEnd w:id="40"/>
    </w:p>
    <w:p w14:paraId="58404E15">
      <w:pPr>
        <w:pStyle w:val="4"/>
        <w:pageBreakBefore w:val="0"/>
        <w:widowControl w:val="0"/>
        <w:kinsoku/>
        <w:wordWrap/>
        <w:overflowPunct/>
        <w:topLinePunct w:val="0"/>
        <w:autoSpaceDE/>
        <w:autoSpaceDN/>
        <w:bidi w:val="0"/>
        <w:spacing w:line="400" w:lineRule="exact"/>
        <w:ind w:firstLine="480" w:firstLineChars="200"/>
        <w:textAlignment w:val="auto"/>
        <w:rPr>
          <w:rFonts w:hint="eastAsia" w:cs="宋体"/>
          <w:b w:val="0"/>
          <w:bCs/>
          <w:color w:val="auto"/>
          <w:sz w:val="24"/>
          <w:highlight w:val="none"/>
          <w:lang w:val="en-US" w:eastAsia="zh-CN"/>
        </w:rPr>
      </w:pPr>
      <w:bookmarkStart w:id="41" w:name="_Toc26308"/>
      <w:r>
        <w:rPr>
          <w:rFonts w:hint="eastAsia" w:cs="宋体"/>
          <w:b w:val="0"/>
          <w:bCs/>
          <w:color w:val="auto"/>
          <w:sz w:val="24"/>
          <w:highlight w:val="none"/>
          <w:lang w:val="en-US" w:eastAsia="zh-CN"/>
        </w:rPr>
        <w:t>1.未中标竞选人的保证金，在中标通知书发放后，比选代理机构在五个工作日内按来款渠道直接退还。</w:t>
      </w:r>
      <w:bookmarkEnd w:id="41"/>
    </w:p>
    <w:p w14:paraId="0E94D033">
      <w:pPr>
        <w:pStyle w:val="4"/>
        <w:pageBreakBefore w:val="0"/>
        <w:widowControl w:val="0"/>
        <w:kinsoku/>
        <w:wordWrap/>
        <w:overflowPunct/>
        <w:topLinePunct w:val="0"/>
        <w:autoSpaceDE/>
        <w:autoSpaceDN/>
        <w:bidi w:val="0"/>
        <w:spacing w:line="400" w:lineRule="exact"/>
        <w:ind w:firstLine="480" w:firstLineChars="200"/>
        <w:textAlignment w:val="auto"/>
        <w:rPr>
          <w:rFonts w:hint="eastAsia" w:cs="宋体"/>
          <w:b w:val="0"/>
          <w:bCs/>
          <w:color w:val="auto"/>
          <w:sz w:val="24"/>
          <w:highlight w:val="none"/>
          <w:lang w:val="en-US" w:eastAsia="zh-CN"/>
        </w:rPr>
      </w:pPr>
      <w:bookmarkStart w:id="42" w:name="_Toc6512"/>
      <w:r>
        <w:rPr>
          <w:rFonts w:hint="eastAsia" w:cs="宋体"/>
          <w:b w:val="0"/>
          <w:bCs/>
          <w:color w:val="auto"/>
          <w:sz w:val="24"/>
          <w:highlight w:val="none"/>
          <w:lang w:val="en-US" w:eastAsia="zh-CN"/>
        </w:rPr>
        <w:t>2.中标人的投标保证金，在中标人与比选人签订合同后，比选代理机构在五个工作日内按资金来款渠道直接退还。</w:t>
      </w:r>
      <w:bookmarkEnd w:id="42"/>
    </w:p>
    <w:p w14:paraId="5FF03C6B">
      <w:pPr>
        <w:pStyle w:val="4"/>
        <w:pageBreakBefore w:val="0"/>
        <w:widowControl w:val="0"/>
        <w:kinsoku/>
        <w:wordWrap/>
        <w:overflowPunct/>
        <w:topLinePunct w:val="0"/>
        <w:autoSpaceDE/>
        <w:autoSpaceDN/>
        <w:bidi w:val="0"/>
        <w:spacing w:line="400" w:lineRule="exact"/>
        <w:ind w:firstLine="480" w:firstLineChars="200"/>
        <w:textAlignment w:val="auto"/>
        <w:rPr>
          <w:rFonts w:hint="eastAsia" w:cs="宋体"/>
          <w:b w:val="0"/>
          <w:bCs/>
          <w:color w:val="auto"/>
          <w:sz w:val="24"/>
          <w:highlight w:val="none"/>
          <w:lang w:val="en-US" w:eastAsia="zh-CN"/>
        </w:rPr>
      </w:pPr>
      <w:bookmarkStart w:id="43" w:name="_Toc20147"/>
      <w:r>
        <w:rPr>
          <w:rFonts w:hint="eastAsia" w:cs="宋体"/>
          <w:b w:val="0"/>
          <w:bCs/>
          <w:color w:val="auto"/>
          <w:sz w:val="24"/>
          <w:highlight w:val="none"/>
          <w:lang w:val="en-US" w:eastAsia="zh-CN"/>
        </w:rPr>
        <w:t>（三）竞选人有下列情形之一的，比选人或者比选代理机构可以不退还投标保证金：</w:t>
      </w:r>
      <w:bookmarkEnd w:id="43"/>
    </w:p>
    <w:p w14:paraId="15329B8A">
      <w:pPr>
        <w:pStyle w:val="4"/>
        <w:pageBreakBefore w:val="0"/>
        <w:widowControl w:val="0"/>
        <w:kinsoku/>
        <w:wordWrap/>
        <w:overflowPunct/>
        <w:topLinePunct w:val="0"/>
        <w:autoSpaceDE/>
        <w:autoSpaceDN/>
        <w:bidi w:val="0"/>
        <w:spacing w:line="400" w:lineRule="exact"/>
        <w:ind w:firstLine="480" w:firstLineChars="200"/>
        <w:textAlignment w:val="auto"/>
        <w:rPr>
          <w:rFonts w:hint="eastAsia" w:cs="宋体"/>
          <w:b w:val="0"/>
          <w:bCs/>
          <w:color w:val="auto"/>
          <w:sz w:val="24"/>
          <w:highlight w:val="none"/>
          <w:lang w:val="en-US" w:eastAsia="zh-CN"/>
        </w:rPr>
      </w:pPr>
      <w:bookmarkStart w:id="44" w:name="_Toc23687"/>
      <w:r>
        <w:rPr>
          <w:rFonts w:hint="eastAsia" w:cs="宋体"/>
          <w:b w:val="0"/>
          <w:bCs/>
          <w:color w:val="auto"/>
          <w:sz w:val="24"/>
          <w:highlight w:val="none"/>
          <w:lang w:val="en-US" w:eastAsia="zh-CN"/>
        </w:rPr>
        <w:t>1.竞选人在投标有效期撤回竞选文件的；</w:t>
      </w:r>
      <w:bookmarkEnd w:id="44"/>
    </w:p>
    <w:p w14:paraId="0C31EBF4">
      <w:pPr>
        <w:pStyle w:val="4"/>
        <w:pageBreakBefore w:val="0"/>
        <w:widowControl w:val="0"/>
        <w:kinsoku/>
        <w:wordWrap/>
        <w:overflowPunct/>
        <w:topLinePunct w:val="0"/>
        <w:autoSpaceDE/>
        <w:autoSpaceDN/>
        <w:bidi w:val="0"/>
        <w:spacing w:line="400" w:lineRule="exact"/>
        <w:ind w:firstLine="480" w:firstLineChars="200"/>
        <w:textAlignment w:val="auto"/>
        <w:rPr>
          <w:rFonts w:hint="eastAsia" w:cs="宋体"/>
          <w:b w:val="0"/>
          <w:bCs/>
          <w:color w:val="auto"/>
          <w:sz w:val="24"/>
          <w:highlight w:val="none"/>
          <w:lang w:val="en-US" w:eastAsia="zh-CN"/>
        </w:rPr>
      </w:pPr>
      <w:bookmarkStart w:id="45" w:name="_Toc10725"/>
      <w:r>
        <w:rPr>
          <w:rFonts w:hint="eastAsia" w:cs="宋体"/>
          <w:b w:val="0"/>
          <w:bCs/>
          <w:color w:val="auto"/>
          <w:sz w:val="24"/>
          <w:highlight w:val="none"/>
          <w:lang w:val="en-US" w:eastAsia="zh-CN"/>
        </w:rPr>
        <w:t>2.竞选人未按规定提交履约保证金的；</w:t>
      </w:r>
      <w:bookmarkEnd w:id="45"/>
    </w:p>
    <w:p w14:paraId="486AA78E">
      <w:pPr>
        <w:pStyle w:val="4"/>
        <w:pageBreakBefore w:val="0"/>
        <w:widowControl w:val="0"/>
        <w:kinsoku/>
        <w:wordWrap/>
        <w:overflowPunct/>
        <w:topLinePunct w:val="0"/>
        <w:autoSpaceDE/>
        <w:autoSpaceDN/>
        <w:bidi w:val="0"/>
        <w:spacing w:line="400" w:lineRule="exact"/>
        <w:ind w:firstLine="480" w:firstLineChars="200"/>
        <w:textAlignment w:val="auto"/>
        <w:rPr>
          <w:rFonts w:hint="eastAsia" w:cs="宋体"/>
          <w:b w:val="0"/>
          <w:bCs/>
          <w:color w:val="auto"/>
          <w:sz w:val="24"/>
          <w:highlight w:val="none"/>
          <w:lang w:val="en-US" w:eastAsia="zh-CN"/>
        </w:rPr>
      </w:pPr>
      <w:bookmarkStart w:id="46" w:name="_Toc7722"/>
      <w:r>
        <w:rPr>
          <w:rFonts w:hint="eastAsia" w:cs="宋体"/>
          <w:b w:val="0"/>
          <w:bCs/>
          <w:color w:val="auto"/>
          <w:sz w:val="24"/>
          <w:highlight w:val="none"/>
          <w:lang w:val="en-US" w:eastAsia="zh-CN"/>
        </w:rPr>
        <w:t>3.竞选人在投标过程中弄虚作假，提供虚假材料的；</w:t>
      </w:r>
      <w:bookmarkEnd w:id="46"/>
    </w:p>
    <w:p w14:paraId="4760C9FC">
      <w:pPr>
        <w:pStyle w:val="4"/>
        <w:pageBreakBefore w:val="0"/>
        <w:widowControl w:val="0"/>
        <w:kinsoku/>
        <w:wordWrap/>
        <w:overflowPunct/>
        <w:topLinePunct w:val="0"/>
        <w:autoSpaceDE/>
        <w:autoSpaceDN/>
        <w:bidi w:val="0"/>
        <w:spacing w:line="400" w:lineRule="exact"/>
        <w:ind w:firstLine="480" w:firstLineChars="200"/>
        <w:textAlignment w:val="auto"/>
        <w:rPr>
          <w:rFonts w:hint="eastAsia" w:cs="宋体"/>
          <w:b w:val="0"/>
          <w:bCs/>
          <w:color w:val="auto"/>
          <w:sz w:val="24"/>
          <w:highlight w:val="none"/>
          <w:lang w:val="en-US" w:eastAsia="zh-CN"/>
        </w:rPr>
      </w:pPr>
      <w:bookmarkStart w:id="47" w:name="_Toc10610"/>
      <w:r>
        <w:rPr>
          <w:rFonts w:hint="eastAsia" w:cs="宋体"/>
          <w:b w:val="0"/>
          <w:bCs/>
          <w:color w:val="auto"/>
          <w:sz w:val="24"/>
          <w:highlight w:val="none"/>
          <w:lang w:val="en-US" w:eastAsia="zh-CN"/>
        </w:rPr>
        <w:t>4.竞选人无正当理由不在约定时间内与比选人签订合同的；</w:t>
      </w:r>
      <w:bookmarkEnd w:id="47"/>
    </w:p>
    <w:p w14:paraId="783F6CD6">
      <w:pPr>
        <w:pStyle w:val="4"/>
        <w:pageBreakBefore w:val="0"/>
        <w:widowControl w:val="0"/>
        <w:kinsoku/>
        <w:wordWrap/>
        <w:overflowPunct/>
        <w:topLinePunct w:val="0"/>
        <w:autoSpaceDE/>
        <w:autoSpaceDN/>
        <w:bidi w:val="0"/>
        <w:spacing w:line="400" w:lineRule="exact"/>
        <w:ind w:firstLine="480" w:firstLineChars="200"/>
        <w:textAlignment w:val="auto"/>
        <w:rPr>
          <w:rFonts w:hint="eastAsia" w:cs="宋体"/>
          <w:b w:val="0"/>
          <w:bCs/>
          <w:color w:val="auto"/>
          <w:sz w:val="24"/>
          <w:highlight w:val="none"/>
          <w:lang w:val="en-US" w:eastAsia="zh-CN"/>
        </w:rPr>
      </w:pPr>
      <w:bookmarkStart w:id="48" w:name="_Toc6083"/>
      <w:r>
        <w:rPr>
          <w:rFonts w:hint="eastAsia" w:cs="宋体"/>
          <w:b w:val="0"/>
          <w:bCs/>
          <w:color w:val="auto"/>
          <w:sz w:val="24"/>
          <w:highlight w:val="none"/>
          <w:lang w:val="en-US" w:eastAsia="zh-CN"/>
        </w:rPr>
        <w:t>5.竞选人将中标项目转让给他人或者在磋商文件中未说明且未经比选人同意，将中标项目分包给他人的；</w:t>
      </w:r>
      <w:bookmarkEnd w:id="48"/>
    </w:p>
    <w:p w14:paraId="2F2E3999">
      <w:pPr>
        <w:pStyle w:val="4"/>
        <w:pageBreakBefore w:val="0"/>
        <w:widowControl w:val="0"/>
        <w:kinsoku/>
        <w:wordWrap/>
        <w:overflowPunct/>
        <w:topLinePunct w:val="0"/>
        <w:autoSpaceDE/>
        <w:autoSpaceDN/>
        <w:bidi w:val="0"/>
        <w:spacing w:line="400" w:lineRule="exact"/>
        <w:ind w:firstLine="480" w:firstLineChars="200"/>
        <w:textAlignment w:val="auto"/>
        <w:rPr>
          <w:rFonts w:hint="default" w:ascii="宋体" w:hAnsi="宋体" w:eastAsia="宋体" w:cs="宋体"/>
          <w:b/>
          <w:color w:val="auto"/>
          <w:sz w:val="24"/>
          <w:highlight w:val="none"/>
          <w:lang w:val="en-US" w:eastAsia="zh-CN"/>
        </w:rPr>
      </w:pPr>
      <w:bookmarkStart w:id="49" w:name="_Toc770"/>
      <w:r>
        <w:rPr>
          <w:rFonts w:hint="eastAsia" w:cs="宋体"/>
          <w:b w:val="0"/>
          <w:bCs/>
          <w:color w:val="auto"/>
          <w:sz w:val="24"/>
          <w:highlight w:val="none"/>
          <w:lang w:val="en-US" w:eastAsia="zh-CN"/>
        </w:rPr>
        <w:t>6. 其他严重扰乱招投标程序的。</w:t>
      </w:r>
      <w:bookmarkEnd w:id="49"/>
    </w:p>
    <w:p w14:paraId="206B361A">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lang w:val="en-US" w:eastAsia="zh-CN"/>
        </w:rPr>
      </w:pPr>
      <w:bookmarkStart w:id="50" w:name="_Toc10910"/>
      <w:r>
        <w:rPr>
          <w:rFonts w:hint="eastAsia" w:cs="宋体"/>
          <w:b/>
          <w:color w:val="auto"/>
          <w:sz w:val="24"/>
          <w:highlight w:val="none"/>
          <w:lang w:val="en-US" w:eastAsia="zh-CN"/>
        </w:rPr>
        <w:t>五</w:t>
      </w:r>
      <w:r>
        <w:rPr>
          <w:rFonts w:hint="eastAsia" w:ascii="宋体" w:hAnsi="宋体" w:eastAsia="宋体" w:cs="宋体"/>
          <w:b/>
          <w:color w:val="auto"/>
          <w:sz w:val="24"/>
          <w:highlight w:val="none"/>
          <w:lang w:val="en-US" w:eastAsia="zh-CN"/>
        </w:rPr>
        <w:t>、竞选有关规定</w:t>
      </w:r>
      <w:bookmarkEnd w:id="10"/>
      <w:bookmarkEnd w:id="12"/>
      <w:bookmarkEnd w:id="50"/>
    </w:p>
    <w:p w14:paraId="2B262F79">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（一）本项目若有补遗文件一律在</w:t>
      </w:r>
      <w:r>
        <w:rPr>
          <w:rFonts w:hint="eastAsia" w:ascii="宋体" w:hAnsi="宋体" w:eastAsia="宋体" w:cs="宋体"/>
          <w:color w:val="auto"/>
          <w:sz w:val="24"/>
          <w:szCs w:val="24"/>
          <w:highlight w:val="none"/>
          <w:lang w:eastAsia="zh-CN"/>
        </w:rPr>
        <w:t>行采家（https://www.gec123.com/）</w:t>
      </w:r>
      <w:r>
        <w:rPr>
          <w:rFonts w:hint="eastAsia" w:ascii="宋体" w:hAnsi="宋体" w:eastAsia="宋体" w:cs="宋体"/>
          <w:color w:val="auto"/>
          <w:sz w:val="24"/>
          <w:szCs w:val="24"/>
          <w:highlight w:val="none"/>
        </w:rPr>
        <w:t>上发布，请各</w:t>
      </w:r>
      <w:r>
        <w:rPr>
          <w:rFonts w:hint="eastAsia" w:ascii="宋体" w:hAnsi="宋体" w:cs="宋体"/>
          <w:color w:val="auto"/>
          <w:sz w:val="24"/>
          <w:szCs w:val="24"/>
          <w:highlight w:val="none"/>
          <w:lang w:eastAsia="zh-CN"/>
        </w:rPr>
        <w:t>竞选人</w:t>
      </w:r>
      <w:r>
        <w:rPr>
          <w:rFonts w:hint="eastAsia" w:ascii="宋体" w:hAnsi="宋体" w:eastAsia="宋体" w:cs="宋体"/>
          <w:color w:val="auto"/>
          <w:sz w:val="24"/>
          <w:szCs w:val="24"/>
          <w:highlight w:val="none"/>
        </w:rPr>
        <w:t>注意下载；无论</w:t>
      </w:r>
      <w:r>
        <w:rPr>
          <w:rFonts w:hint="eastAsia" w:ascii="宋体" w:hAnsi="宋体" w:cs="宋体"/>
          <w:color w:val="auto"/>
          <w:sz w:val="24"/>
          <w:szCs w:val="24"/>
          <w:highlight w:val="none"/>
          <w:lang w:eastAsia="zh-CN"/>
        </w:rPr>
        <w:t>竞选人</w:t>
      </w:r>
      <w:r>
        <w:rPr>
          <w:rFonts w:hint="eastAsia" w:ascii="宋体" w:hAnsi="宋体" w:eastAsia="宋体" w:cs="宋体"/>
          <w:color w:val="auto"/>
          <w:sz w:val="24"/>
          <w:szCs w:val="24"/>
          <w:highlight w:val="none"/>
        </w:rPr>
        <w:t>下载与否，均视同</w:t>
      </w:r>
      <w:r>
        <w:rPr>
          <w:rFonts w:hint="eastAsia" w:ascii="宋体" w:hAnsi="宋体" w:cs="宋体"/>
          <w:color w:val="auto"/>
          <w:sz w:val="24"/>
          <w:szCs w:val="24"/>
          <w:highlight w:val="none"/>
          <w:lang w:eastAsia="zh-CN"/>
        </w:rPr>
        <w:t>竞选人</w:t>
      </w:r>
      <w:r>
        <w:rPr>
          <w:rFonts w:hint="eastAsia" w:ascii="宋体" w:hAnsi="宋体" w:eastAsia="宋体" w:cs="宋体"/>
          <w:color w:val="auto"/>
          <w:sz w:val="24"/>
          <w:szCs w:val="24"/>
          <w:highlight w:val="none"/>
        </w:rPr>
        <w:t>已知晓本项目补遗文件的内容。</w:t>
      </w:r>
    </w:p>
    <w:p w14:paraId="22794E99">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）超过</w:t>
      </w:r>
      <w:r>
        <w:rPr>
          <w:rFonts w:hint="eastAsia" w:ascii="宋体" w:hAnsi="宋体" w:cs="宋体"/>
          <w:color w:val="auto"/>
          <w:sz w:val="24"/>
          <w:szCs w:val="28"/>
          <w:highlight w:val="none"/>
          <w:lang w:val="en-US" w:eastAsia="zh-CN"/>
        </w:rPr>
        <w:t>竞选</w:t>
      </w:r>
      <w:r>
        <w:rPr>
          <w:rFonts w:hint="eastAsia" w:ascii="宋体" w:hAnsi="宋体" w:eastAsia="宋体" w:cs="宋体"/>
          <w:color w:val="auto"/>
          <w:sz w:val="24"/>
          <w:szCs w:val="24"/>
          <w:highlight w:val="none"/>
        </w:rPr>
        <w:t>截止时间递交的</w:t>
      </w:r>
      <w:r>
        <w:rPr>
          <w:rFonts w:hint="eastAsia" w:ascii="宋体" w:hAnsi="宋体" w:cs="宋体"/>
          <w:color w:val="auto"/>
          <w:sz w:val="24"/>
          <w:szCs w:val="28"/>
          <w:highlight w:val="none"/>
          <w:lang w:val="en-US" w:eastAsia="zh-CN"/>
        </w:rPr>
        <w:t>竞选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或未按照</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要求密封和标记的</w:t>
      </w:r>
      <w:r>
        <w:rPr>
          <w:rFonts w:hint="eastAsia" w:ascii="宋体" w:hAnsi="宋体" w:cs="宋体"/>
          <w:color w:val="auto"/>
          <w:sz w:val="24"/>
          <w:szCs w:val="28"/>
          <w:highlight w:val="none"/>
          <w:lang w:val="en-US" w:eastAsia="zh-CN"/>
        </w:rPr>
        <w:t>竞选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，恕不接收。</w:t>
      </w:r>
    </w:p>
    <w:p w14:paraId="4E96B8E1">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w:t>
      </w:r>
      <w:r>
        <w:rPr>
          <w:rFonts w:hint="eastAsia" w:ascii="宋体" w:hAnsi="宋体" w:cs="宋体"/>
          <w:color w:val="auto"/>
          <w:sz w:val="24"/>
          <w:szCs w:val="28"/>
          <w:highlight w:val="none"/>
          <w:lang w:val="en-US" w:eastAsia="zh-CN"/>
        </w:rPr>
        <w:t>竞选</w:t>
      </w:r>
      <w:r>
        <w:rPr>
          <w:rFonts w:hint="eastAsia" w:ascii="宋体" w:hAnsi="宋体" w:eastAsia="宋体" w:cs="宋体"/>
          <w:color w:val="auto"/>
          <w:sz w:val="24"/>
          <w:szCs w:val="24"/>
          <w:highlight w:val="none"/>
        </w:rPr>
        <w:t>费用：无论</w:t>
      </w:r>
      <w:r>
        <w:rPr>
          <w:rFonts w:hint="eastAsia" w:ascii="宋体" w:hAnsi="宋体" w:cs="宋体"/>
          <w:color w:val="auto"/>
          <w:sz w:val="24"/>
          <w:szCs w:val="28"/>
          <w:highlight w:val="none"/>
          <w:lang w:val="en-US" w:eastAsia="zh-CN"/>
        </w:rPr>
        <w:t>竞选</w:t>
      </w:r>
      <w:r>
        <w:rPr>
          <w:rFonts w:hint="eastAsia" w:ascii="宋体" w:hAnsi="宋体" w:eastAsia="宋体" w:cs="宋体"/>
          <w:color w:val="auto"/>
          <w:sz w:val="24"/>
          <w:szCs w:val="24"/>
          <w:highlight w:val="none"/>
        </w:rPr>
        <w:t>结果如何，</w:t>
      </w:r>
      <w:r>
        <w:rPr>
          <w:rFonts w:hint="eastAsia" w:ascii="宋体" w:hAnsi="宋体" w:cs="宋体"/>
          <w:color w:val="auto"/>
          <w:sz w:val="24"/>
          <w:szCs w:val="24"/>
          <w:highlight w:val="none"/>
          <w:lang w:eastAsia="zh-CN"/>
        </w:rPr>
        <w:t>竞选人</w:t>
      </w:r>
      <w:r>
        <w:rPr>
          <w:rFonts w:hint="eastAsia" w:ascii="宋体" w:hAnsi="宋体" w:eastAsia="宋体" w:cs="宋体"/>
          <w:color w:val="auto"/>
          <w:sz w:val="24"/>
          <w:szCs w:val="24"/>
          <w:highlight w:val="none"/>
        </w:rPr>
        <w:t>参与本项目</w:t>
      </w:r>
      <w:r>
        <w:rPr>
          <w:rFonts w:hint="eastAsia" w:ascii="宋体" w:hAnsi="宋体" w:cs="宋体"/>
          <w:color w:val="auto"/>
          <w:sz w:val="24"/>
          <w:szCs w:val="28"/>
          <w:highlight w:val="none"/>
          <w:lang w:val="en-US" w:eastAsia="zh-CN"/>
        </w:rPr>
        <w:t>竞选</w:t>
      </w:r>
      <w:r>
        <w:rPr>
          <w:rFonts w:hint="eastAsia" w:ascii="宋体" w:hAnsi="宋体" w:eastAsia="宋体" w:cs="宋体"/>
          <w:color w:val="auto"/>
          <w:sz w:val="24"/>
          <w:szCs w:val="24"/>
          <w:highlight w:val="none"/>
        </w:rPr>
        <w:t>的所有费用均应由</w:t>
      </w:r>
      <w:r>
        <w:rPr>
          <w:rFonts w:hint="eastAsia" w:ascii="宋体" w:hAnsi="宋体" w:cs="宋体"/>
          <w:color w:val="auto"/>
          <w:sz w:val="24"/>
          <w:szCs w:val="24"/>
          <w:highlight w:val="none"/>
          <w:lang w:eastAsia="zh-CN"/>
        </w:rPr>
        <w:t>竞选人</w:t>
      </w:r>
      <w:r>
        <w:rPr>
          <w:rFonts w:hint="eastAsia" w:ascii="宋体" w:hAnsi="宋体" w:eastAsia="宋体" w:cs="宋体"/>
          <w:color w:val="auto"/>
          <w:sz w:val="24"/>
          <w:szCs w:val="24"/>
          <w:highlight w:val="none"/>
        </w:rPr>
        <w:t>自行承担。</w:t>
      </w:r>
    </w:p>
    <w:p w14:paraId="04468989">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cs="宋体"/>
          <w:color w:val="auto"/>
          <w:sz w:val="24"/>
          <w:szCs w:val="24"/>
          <w:highlight w:val="none"/>
          <w:lang w:eastAsia="zh-CN"/>
        </w:rPr>
        <w:t>竞选人</w:t>
      </w:r>
      <w:r>
        <w:rPr>
          <w:rFonts w:hint="eastAsia" w:ascii="宋体" w:hAnsi="宋体" w:eastAsia="宋体" w:cs="宋体"/>
          <w:color w:val="auto"/>
          <w:sz w:val="24"/>
          <w:szCs w:val="24"/>
          <w:highlight w:val="none"/>
        </w:rPr>
        <w:t>，不得参加同一合同项下的</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活动，否则均为无效响应。</w:t>
      </w:r>
    </w:p>
    <w:p w14:paraId="28DBF4F6">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竞选人</w:t>
      </w:r>
      <w:r>
        <w:rPr>
          <w:rFonts w:hint="eastAsia" w:ascii="宋体" w:hAnsi="宋体" w:eastAsia="宋体" w:cs="宋体"/>
          <w:color w:val="auto"/>
          <w:sz w:val="24"/>
          <w:szCs w:val="24"/>
          <w:highlight w:val="none"/>
        </w:rPr>
        <w:t>有下列情况之一的，将拒绝其参与</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活动：在本项目</w:t>
      </w:r>
      <w:r>
        <w:rPr>
          <w:rFonts w:hint="eastAsia" w:ascii="宋体" w:hAnsi="宋体" w:cs="宋体"/>
          <w:color w:val="auto"/>
          <w:sz w:val="24"/>
          <w:szCs w:val="28"/>
          <w:highlight w:val="none"/>
          <w:lang w:val="en-US" w:eastAsia="zh-CN"/>
        </w:rPr>
        <w:t>竞选</w:t>
      </w:r>
      <w:r>
        <w:rPr>
          <w:rFonts w:hint="eastAsia" w:ascii="宋体" w:hAnsi="宋体" w:eastAsia="宋体" w:cs="宋体"/>
          <w:color w:val="auto"/>
          <w:sz w:val="24"/>
          <w:szCs w:val="24"/>
          <w:highlight w:val="none"/>
        </w:rPr>
        <w:t>截止日前三年内被列入失信被执行人、重大税收违法案件当事人名单的；被</w:t>
      </w:r>
      <w:r>
        <w:rPr>
          <w:rFonts w:hint="eastAsia" w:ascii="宋体" w:hAnsi="宋体" w:cs="宋体"/>
          <w:color w:val="auto"/>
          <w:sz w:val="24"/>
          <w:szCs w:val="24"/>
          <w:highlight w:val="none"/>
          <w:lang w:eastAsia="zh-CN"/>
        </w:rPr>
        <w:t>列入</w:t>
      </w:r>
      <w:r>
        <w:rPr>
          <w:rFonts w:hint="eastAsia" w:ascii="宋体" w:hAnsi="宋体" w:eastAsia="宋体" w:cs="宋体"/>
          <w:color w:val="auto"/>
          <w:sz w:val="24"/>
          <w:szCs w:val="24"/>
          <w:highlight w:val="none"/>
        </w:rPr>
        <w:t>严重违法失信名单且在处罚期内的。</w:t>
      </w:r>
    </w:p>
    <w:p w14:paraId="7256D8F2">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）本项目不接受联合体</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不接受</w:t>
      </w:r>
      <w:r>
        <w:rPr>
          <w:rFonts w:hint="eastAsia" w:ascii="宋体" w:hAnsi="宋体" w:cs="宋体"/>
          <w:color w:val="auto"/>
          <w:sz w:val="24"/>
          <w:szCs w:val="24"/>
          <w:highlight w:val="none"/>
          <w:lang w:eastAsia="zh-CN"/>
        </w:rPr>
        <w:t>分包，</w:t>
      </w:r>
      <w:r>
        <w:rPr>
          <w:rFonts w:hint="eastAsia" w:ascii="宋体" w:hAnsi="宋体" w:cs="宋体"/>
          <w:color w:val="auto"/>
          <w:sz w:val="24"/>
          <w:szCs w:val="24"/>
          <w:highlight w:val="none"/>
          <w:lang w:val="en-US" w:eastAsia="zh-CN"/>
        </w:rPr>
        <w:t>否则作否决竞选处理</w:t>
      </w:r>
      <w:r>
        <w:rPr>
          <w:rFonts w:hint="eastAsia" w:ascii="宋体" w:hAnsi="宋体" w:eastAsia="宋体" w:cs="宋体"/>
          <w:color w:val="auto"/>
          <w:sz w:val="24"/>
          <w:szCs w:val="24"/>
          <w:highlight w:val="none"/>
        </w:rPr>
        <w:t>。</w:t>
      </w:r>
    </w:p>
    <w:p w14:paraId="1E502876">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lang w:val="en-US" w:eastAsia="zh-CN"/>
        </w:rPr>
      </w:pPr>
      <w:bookmarkStart w:id="51" w:name="_Toc384"/>
      <w:bookmarkStart w:id="52" w:name="_Toc5102"/>
      <w:r>
        <w:rPr>
          <w:rFonts w:hint="eastAsia" w:cs="宋体"/>
          <w:b/>
          <w:color w:val="auto"/>
          <w:sz w:val="24"/>
          <w:highlight w:val="none"/>
          <w:lang w:val="en-US" w:eastAsia="zh-CN"/>
        </w:rPr>
        <w:t>六</w:t>
      </w:r>
      <w:r>
        <w:rPr>
          <w:rFonts w:hint="eastAsia" w:ascii="宋体" w:hAnsi="宋体" w:eastAsia="宋体" w:cs="宋体"/>
          <w:b/>
          <w:color w:val="auto"/>
          <w:sz w:val="24"/>
          <w:highlight w:val="none"/>
          <w:lang w:val="en-US" w:eastAsia="zh-CN"/>
        </w:rPr>
        <w:t>、联系方式</w:t>
      </w:r>
      <w:bookmarkEnd w:id="51"/>
      <w:bookmarkEnd w:id="52"/>
    </w:p>
    <w:p w14:paraId="58D42EE4">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比选人：</w:t>
      </w:r>
      <w:r>
        <w:rPr>
          <w:rFonts w:hint="eastAsia" w:ascii="宋体" w:hAnsi="宋体" w:eastAsia="宋体" w:cs="宋体"/>
          <w:color w:val="auto"/>
          <w:sz w:val="24"/>
          <w:szCs w:val="24"/>
          <w:highlight w:val="none"/>
          <w:lang w:val="en-US" w:eastAsia="zh-CN"/>
        </w:rPr>
        <w:t>重庆中医药学院</w:t>
      </w:r>
    </w:p>
    <w:p w14:paraId="3D1447F2">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 xml:space="preserve">李老师   </w:t>
      </w:r>
      <w:r>
        <w:rPr>
          <w:rFonts w:hint="eastAsia" w:ascii="宋体" w:hAnsi="宋体" w:eastAsia="宋体" w:cs="宋体"/>
          <w:color w:val="auto"/>
          <w:sz w:val="24"/>
          <w:szCs w:val="24"/>
          <w:highlight w:val="none"/>
        </w:rPr>
        <w:t xml:space="preserve"> </w:t>
      </w:r>
    </w:p>
    <w:p w14:paraId="64A0F97C">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023-65880095</w:t>
      </w:r>
    </w:p>
    <w:p w14:paraId="766F4F4A">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址：重庆市璧山区璧城街道国学路61号</w:t>
      </w:r>
    </w:p>
    <w:p w14:paraId="257ABC54">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p>
    <w:p w14:paraId="0962FE60">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比选代理机构：</w:t>
      </w:r>
      <w:r>
        <w:rPr>
          <w:rFonts w:hint="eastAsia" w:ascii="宋体" w:hAnsi="宋体" w:cs="宋体"/>
          <w:color w:val="auto"/>
          <w:sz w:val="24"/>
          <w:szCs w:val="24"/>
          <w:highlight w:val="none"/>
          <w:lang w:eastAsia="zh-CN"/>
        </w:rPr>
        <w:t>重庆合越达工程管理有限公司</w:t>
      </w:r>
      <w:r>
        <w:rPr>
          <w:rFonts w:hint="eastAsia" w:ascii="宋体" w:hAnsi="宋体" w:eastAsia="宋体" w:cs="宋体"/>
          <w:color w:val="auto"/>
          <w:sz w:val="24"/>
          <w:szCs w:val="24"/>
          <w:highlight w:val="none"/>
          <w:lang w:val="en-US" w:eastAsia="zh-CN"/>
        </w:rPr>
        <w:t xml:space="preserve"> </w:t>
      </w:r>
    </w:p>
    <w:p w14:paraId="6A2F6F4F">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冉老师</w:t>
      </w:r>
    </w:p>
    <w:p w14:paraId="18A84547">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18080686626</w:t>
      </w:r>
    </w:p>
    <w:p w14:paraId="46529E1B">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址：重庆市渝北区财富大厦A座1905室</w:t>
      </w:r>
    </w:p>
    <w:p w14:paraId="40E1CAE8">
      <w:pPr>
        <w:pStyle w:val="3"/>
        <w:numPr>
          <w:ilvl w:val="0"/>
          <w:numId w:val="0"/>
        </w:numPr>
        <w:spacing w:before="0" w:beforeLines="0" w:after="0" w:afterLines="0" w:line="240" w:lineRule="auto"/>
        <w:rPr>
          <w:rFonts w:hint="eastAsia" w:ascii="宋体" w:hAnsi="宋体" w:eastAsia="宋体" w:cs="宋体"/>
          <w:b/>
          <w:color w:val="auto"/>
          <w:highlight w:val="none"/>
        </w:rPr>
      </w:pPr>
      <w:r>
        <w:rPr>
          <w:rFonts w:hint="eastAsia" w:ascii="宋体" w:hAnsi="宋体" w:eastAsia="宋体" w:cs="宋体"/>
          <w:color w:val="auto"/>
          <w:highlight w:val="none"/>
        </w:rPr>
        <w:br w:type="page"/>
      </w:r>
      <w:bookmarkStart w:id="53" w:name="_Toc8963"/>
      <w:r>
        <w:rPr>
          <w:rFonts w:hint="eastAsia" w:ascii="宋体" w:hAnsi="宋体" w:eastAsia="宋体" w:cs="宋体"/>
          <w:b/>
          <w:color w:val="auto"/>
          <w:highlight w:val="none"/>
          <w:lang w:val="en-US" w:eastAsia="zh-CN"/>
        </w:rPr>
        <w:t xml:space="preserve">第二篇  </w:t>
      </w:r>
      <w:r>
        <w:rPr>
          <w:rFonts w:hint="eastAsia" w:ascii="宋体" w:hAnsi="宋体" w:eastAsia="宋体" w:cs="宋体"/>
          <w:b/>
          <w:color w:val="auto"/>
          <w:highlight w:val="none"/>
        </w:rPr>
        <w:t>项目技术要求</w:t>
      </w:r>
      <w:bookmarkEnd w:id="53"/>
    </w:p>
    <w:p w14:paraId="3236AB60">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lang w:val="en-US" w:eastAsia="zh-CN"/>
        </w:rPr>
      </w:pPr>
      <w:bookmarkStart w:id="54" w:name="_Toc4714"/>
      <w:bookmarkStart w:id="55" w:name="_Toc2969"/>
      <w:r>
        <w:rPr>
          <w:rFonts w:hint="eastAsia" w:ascii="宋体" w:hAnsi="宋体" w:eastAsia="宋体" w:cs="宋体"/>
          <w:b/>
          <w:color w:val="auto"/>
          <w:sz w:val="24"/>
          <w:highlight w:val="none"/>
          <w:lang w:val="en-US" w:eastAsia="zh-CN"/>
        </w:rPr>
        <w:t>本篇项目技术要求为符合性</w:t>
      </w:r>
      <w:r>
        <w:rPr>
          <w:rFonts w:hint="eastAsia" w:cs="宋体"/>
          <w:b/>
          <w:color w:val="auto"/>
          <w:sz w:val="24"/>
          <w:highlight w:val="none"/>
          <w:lang w:val="en-US" w:eastAsia="zh-CN"/>
        </w:rPr>
        <w:t>检查</w:t>
      </w:r>
      <w:r>
        <w:rPr>
          <w:rFonts w:hint="eastAsia" w:ascii="宋体" w:hAnsi="宋体" w:eastAsia="宋体" w:cs="宋体"/>
          <w:b/>
          <w:color w:val="auto"/>
          <w:sz w:val="24"/>
          <w:highlight w:val="none"/>
          <w:lang w:val="en-US" w:eastAsia="zh-CN"/>
        </w:rPr>
        <w:t>中的实质性要求，</w:t>
      </w:r>
      <w:r>
        <w:rPr>
          <w:rFonts w:hint="eastAsia" w:cs="宋体"/>
          <w:b/>
          <w:color w:val="auto"/>
          <w:sz w:val="24"/>
          <w:highlight w:val="none"/>
          <w:lang w:val="en-US" w:eastAsia="zh-CN"/>
        </w:rPr>
        <w:t>竞选文件</w:t>
      </w:r>
      <w:r>
        <w:rPr>
          <w:rFonts w:hint="eastAsia" w:ascii="宋体" w:hAnsi="宋体" w:eastAsia="宋体" w:cs="宋体"/>
          <w:b/>
          <w:color w:val="auto"/>
          <w:sz w:val="24"/>
          <w:highlight w:val="none"/>
          <w:lang w:val="en-US" w:eastAsia="zh-CN"/>
        </w:rPr>
        <w:t>若不满足按无效处理。</w:t>
      </w:r>
      <w:bookmarkEnd w:id="54"/>
    </w:p>
    <w:bookmarkEnd w:id="55"/>
    <w:p w14:paraId="193AE30A">
      <w:pPr>
        <w:pStyle w:val="2"/>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kern w:val="2"/>
          <w:sz w:val="24"/>
          <w:szCs w:val="24"/>
          <w:highlight w:val="none"/>
          <w:lang w:val="en-US" w:eastAsia="zh-CN" w:bidi="ar-SA"/>
        </w:rPr>
      </w:pPr>
      <w:bookmarkStart w:id="56" w:name="_Toc25636"/>
      <w:r>
        <w:rPr>
          <w:rFonts w:hint="eastAsia" w:ascii="宋体" w:hAnsi="宋体" w:eastAsia="宋体" w:cs="宋体"/>
          <w:b/>
          <w:bCs/>
          <w:color w:val="auto"/>
          <w:kern w:val="2"/>
          <w:sz w:val="24"/>
          <w:szCs w:val="24"/>
          <w:highlight w:val="none"/>
          <w:lang w:val="en-US" w:eastAsia="zh-CN" w:bidi="ar-SA"/>
        </w:rPr>
        <w:t>一、项目概况</w:t>
      </w:r>
      <w:bookmarkEnd w:id="56"/>
    </w:p>
    <w:p w14:paraId="5A297E18">
      <w:pPr>
        <w:pStyle w:val="2"/>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为优化我校食堂资源配置，满足学生就餐需求，需对我校南区学生食堂部分区域进行改造，主要内容包括但不限于拆除工程、土建工程、安装工程、装饰工程、给排水工程、设备采购等内容。</w:t>
      </w:r>
    </w:p>
    <w:p w14:paraId="78013422">
      <w:pPr>
        <w:pStyle w:val="2"/>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kern w:val="2"/>
          <w:sz w:val="24"/>
          <w:szCs w:val="24"/>
          <w:highlight w:val="none"/>
          <w:lang w:val="en-US" w:eastAsia="zh-CN" w:bidi="ar-SA"/>
        </w:rPr>
      </w:pPr>
      <w:bookmarkStart w:id="57" w:name="_Toc20921"/>
      <w:bookmarkStart w:id="58" w:name="_Toc9722"/>
      <w:bookmarkStart w:id="59" w:name="_Toc14259"/>
      <w:r>
        <w:rPr>
          <w:rFonts w:hint="eastAsia" w:ascii="宋体" w:hAnsi="宋体" w:eastAsia="宋体" w:cs="宋体"/>
          <w:b/>
          <w:bCs/>
          <w:color w:val="auto"/>
          <w:kern w:val="2"/>
          <w:sz w:val="24"/>
          <w:szCs w:val="24"/>
          <w:highlight w:val="none"/>
          <w:lang w:val="en-US" w:eastAsia="zh-CN" w:bidi="ar-SA"/>
        </w:rPr>
        <w:t>二、采购项目技术</w:t>
      </w:r>
      <w:bookmarkEnd w:id="57"/>
      <w:bookmarkEnd w:id="58"/>
      <w:bookmarkEnd w:id="59"/>
      <w:r>
        <w:rPr>
          <w:rFonts w:hint="eastAsia" w:ascii="宋体" w:hAnsi="宋体" w:eastAsia="宋体" w:cs="宋体"/>
          <w:b/>
          <w:bCs/>
          <w:color w:val="auto"/>
          <w:kern w:val="2"/>
          <w:sz w:val="24"/>
          <w:szCs w:val="24"/>
          <w:highlight w:val="none"/>
          <w:lang w:val="en-US" w:eastAsia="zh-CN" w:bidi="ar-SA"/>
        </w:rPr>
        <w:t>要求</w:t>
      </w:r>
    </w:p>
    <w:p w14:paraId="1242CB2E">
      <w:pPr>
        <w:pStyle w:val="2"/>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（一）施工范围：本项目主要内容包括但不限于拆除工程、土建工程、安装工程、装饰工程、给排水工程、设备采购等内容。</w:t>
      </w:r>
    </w:p>
    <w:p w14:paraId="79153B55">
      <w:pPr>
        <w:pStyle w:val="2"/>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（二）服务要求：</w:t>
      </w:r>
    </w:p>
    <w:p w14:paraId="58CC908B">
      <w:pPr>
        <w:pStyle w:val="2"/>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竞选人根据该工程项目做出施工组织设计方案，施工组织设计方案包含但不限于施工方案与技术措施、质量管理体系与措施、安全管理体系与措施、环境保护管理体系措施、工程进度计划与措施、资源配备计划等。</w:t>
      </w:r>
    </w:p>
    <w:p w14:paraId="67EA0EDC">
      <w:pPr>
        <w:pStyle w:val="2"/>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2、进行施工作业时必须保证文明施工、安全施工要求，做好防坠保护工作等，承担施工区域内自身设备和人员的安全责任，若发生安全事故，一切经济损失及法律责任由竞选人自负。</w:t>
      </w:r>
    </w:p>
    <w:p w14:paraId="605A5994">
      <w:pPr>
        <w:pStyle w:val="2"/>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3、在项目完成过程中，保护环境清洁卫生，及时清理垃圾。</w:t>
      </w:r>
    </w:p>
    <w:p w14:paraId="2FCA25D3">
      <w:pPr>
        <w:pStyle w:val="2"/>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5、严格按要求施工，在实施过程中发现设计错误或漏项导致局部实施内容需要调整，须先征得比选人书面同意后方可实施。</w:t>
      </w:r>
    </w:p>
    <w:p w14:paraId="66A855AD">
      <w:pPr>
        <w:pStyle w:val="2"/>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6、本项目为交钥匙工程。</w:t>
      </w:r>
    </w:p>
    <w:p w14:paraId="05654179">
      <w:pPr>
        <w:pStyle w:val="2"/>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（三）质量标准：工程质量符合强制性质量标准，符合国家和重庆市现行有关施工质量验收规范要求，并达到合格标准。</w:t>
      </w:r>
    </w:p>
    <w:p w14:paraId="04AD9021">
      <w:pPr>
        <w:pStyle w:val="2"/>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kern w:val="2"/>
          <w:sz w:val="24"/>
          <w:szCs w:val="24"/>
          <w:highlight w:val="none"/>
          <w:lang w:val="en-US" w:eastAsia="zh-CN" w:bidi="ar-SA"/>
        </w:rPr>
      </w:pPr>
      <w:bookmarkStart w:id="60" w:name="_Toc95"/>
      <w:bookmarkStart w:id="61" w:name="_Toc3103"/>
      <w:bookmarkStart w:id="62" w:name="_Toc199938519"/>
      <w:r>
        <w:rPr>
          <w:rFonts w:hint="eastAsia" w:ascii="宋体" w:hAnsi="宋体" w:eastAsia="宋体" w:cs="宋体"/>
          <w:b/>
          <w:bCs/>
          <w:color w:val="auto"/>
          <w:kern w:val="2"/>
          <w:sz w:val="24"/>
          <w:szCs w:val="24"/>
          <w:highlight w:val="none"/>
          <w:lang w:val="en-US" w:eastAsia="zh-CN" w:bidi="ar-SA"/>
        </w:rPr>
        <w:t>三、现场踏勘</w:t>
      </w:r>
      <w:bookmarkEnd w:id="60"/>
      <w:bookmarkEnd w:id="61"/>
    </w:p>
    <w:p w14:paraId="1B6BF80C">
      <w:pPr>
        <w:pStyle w:val="2"/>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（一）不组织现场踏勘，竞选人自行踏勘。</w:t>
      </w:r>
    </w:p>
    <w:p w14:paraId="674A7DD7">
      <w:pPr>
        <w:pStyle w:val="2"/>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（二）竞选人踏勘现场发生的费用自理。</w:t>
      </w:r>
    </w:p>
    <w:p w14:paraId="6B63EC04">
      <w:pPr>
        <w:pStyle w:val="2"/>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（三）除比选人的原因外，竞选人自行负责在踏勘现场中所发生的人员伤亡和财产损失。</w:t>
      </w:r>
    </w:p>
    <w:p w14:paraId="08A79690">
      <w:pPr>
        <w:pStyle w:val="2"/>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（四）比选人在踏勘现场中介绍的工程场地和相关的周边环境情况，仅供竞选人在编制竞选文件时参考，比选人不对竞选人据此做出的判断和决策负责。</w:t>
      </w:r>
    </w:p>
    <w:bookmarkEnd w:id="62"/>
    <w:p w14:paraId="4A19C4D3">
      <w:pPr>
        <w:pStyle w:val="2"/>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kern w:val="2"/>
          <w:sz w:val="24"/>
          <w:szCs w:val="24"/>
          <w:highlight w:val="none"/>
          <w:lang w:val="en-US" w:eastAsia="zh-CN" w:bidi="ar-SA"/>
        </w:rPr>
      </w:pPr>
      <w:bookmarkStart w:id="63" w:name="_Toc17888"/>
      <w:bookmarkStart w:id="64" w:name="_Toc29864"/>
      <w:r>
        <w:rPr>
          <w:rFonts w:hint="eastAsia" w:ascii="宋体" w:hAnsi="宋体" w:eastAsia="宋体" w:cs="宋体"/>
          <w:b/>
          <w:bCs/>
          <w:color w:val="auto"/>
          <w:kern w:val="2"/>
          <w:sz w:val="24"/>
          <w:szCs w:val="24"/>
          <w:highlight w:val="none"/>
          <w:lang w:val="en-US" w:eastAsia="zh-CN" w:bidi="ar-SA"/>
        </w:rPr>
        <w:t>四、</w:t>
      </w:r>
      <w:bookmarkStart w:id="65" w:name="_Toc7533"/>
      <w:r>
        <w:rPr>
          <w:rFonts w:hint="eastAsia" w:ascii="宋体" w:hAnsi="宋体" w:eastAsia="宋体" w:cs="宋体"/>
          <w:b/>
          <w:bCs/>
          <w:color w:val="auto"/>
          <w:kern w:val="2"/>
          <w:sz w:val="24"/>
          <w:szCs w:val="24"/>
          <w:highlight w:val="none"/>
          <w:lang w:val="en-US" w:eastAsia="zh-CN" w:bidi="ar-SA"/>
        </w:rPr>
        <w:t>项目人员要求</w:t>
      </w:r>
      <w:bookmarkEnd w:id="63"/>
      <w:bookmarkEnd w:id="64"/>
      <w:bookmarkEnd w:id="65"/>
    </w:p>
    <w:p w14:paraId="3D1D0CB4">
      <w:pPr>
        <w:pStyle w:val="2"/>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（一）企业主要负责人、拟担任该项目项目经理具备相应的由建设行政主管部门颁发的有效的安全生产考核合格证书。</w:t>
      </w:r>
    </w:p>
    <w:p w14:paraId="30C906FD">
      <w:pPr>
        <w:pStyle w:val="2"/>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注：提供有效的安全生产许可证及安全生产考核合格证书复印件，并加盖竞选人单位公章。</w:t>
      </w:r>
    </w:p>
    <w:p w14:paraId="7810941E">
      <w:pPr>
        <w:pStyle w:val="2"/>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bookmarkStart w:id="66" w:name="_Toc199938520"/>
      <w:r>
        <w:rPr>
          <w:rFonts w:hint="eastAsia" w:ascii="宋体" w:hAnsi="宋体" w:eastAsia="宋体" w:cs="宋体"/>
          <w:color w:val="auto"/>
          <w:kern w:val="2"/>
          <w:sz w:val="24"/>
          <w:szCs w:val="24"/>
          <w:highlight w:val="none"/>
          <w:lang w:val="en-US" w:eastAsia="zh-CN" w:bidi="ar-SA"/>
        </w:rPr>
        <w:t>（二）项目经理：拟派项目经理须已在竞选人单位注册并应具有</w:t>
      </w:r>
      <w:r>
        <w:rPr>
          <w:rFonts w:hint="eastAsia" w:ascii="宋体" w:hAnsi="宋体" w:eastAsia="宋体" w:cs="宋体"/>
          <w:b/>
          <w:bCs/>
          <w:color w:val="auto"/>
          <w:kern w:val="2"/>
          <w:sz w:val="24"/>
          <w:szCs w:val="24"/>
          <w:highlight w:val="none"/>
          <w:u w:val="single"/>
          <w:lang w:val="en-US" w:eastAsia="zh-CN" w:bidi="ar-SA"/>
        </w:rPr>
        <w:t>建筑工程专业贰级及以上</w:t>
      </w:r>
      <w:r>
        <w:rPr>
          <w:rFonts w:hint="eastAsia" w:ascii="宋体" w:hAnsi="宋体" w:eastAsia="宋体" w:cs="宋体"/>
          <w:color w:val="auto"/>
          <w:kern w:val="2"/>
          <w:sz w:val="24"/>
          <w:szCs w:val="24"/>
          <w:highlight w:val="none"/>
          <w:lang w:val="en-US" w:eastAsia="zh-CN" w:bidi="ar-SA"/>
        </w:rPr>
        <w:t>注册建造师执业资格，并且不能在在建工程担任项目经理。</w:t>
      </w:r>
    </w:p>
    <w:p w14:paraId="009BA687">
      <w:pPr>
        <w:pStyle w:val="2"/>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须提供项目经理建造师执业资格注册证书复印件、社保部门出具的养老保险缴纳证明材料复印件（时间为开标时间当月或前一个月），并加盖竞选人公章。成交后项目经理不得更换，竞选人自行承诺拟派项目经理无在建工程，格式自拟，并加盖竞选人单位公章。</w:t>
      </w:r>
    </w:p>
    <w:bookmarkEnd w:id="66"/>
    <w:p w14:paraId="703436C3">
      <w:pPr>
        <w:pStyle w:val="2"/>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（三）技术负责人：拟派技术负责人须为竞选人单位人员且须具备</w:t>
      </w:r>
      <w:r>
        <w:rPr>
          <w:rFonts w:hint="eastAsia" w:ascii="宋体" w:hAnsi="宋体" w:eastAsia="宋体" w:cs="宋体"/>
          <w:b/>
          <w:bCs/>
          <w:color w:val="auto"/>
          <w:kern w:val="2"/>
          <w:sz w:val="24"/>
          <w:szCs w:val="24"/>
          <w:highlight w:val="none"/>
          <w:u w:val="single"/>
          <w:lang w:val="en-US" w:eastAsia="zh-CN" w:bidi="ar-SA"/>
        </w:rPr>
        <w:t>工程类中级及以上</w:t>
      </w:r>
      <w:r>
        <w:rPr>
          <w:rFonts w:hint="eastAsia" w:ascii="宋体" w:hAnsi="宋体" w:eastAsia="宋体" w:cs="宋体"/>
          <w:color w:val="auto"/>
          <w:kern w:val="2"/>
          <w:sz w:val="24"/>
          <w:szCs w:val="24"/>
          <w:highlight w:val="none"/>
          <w:lang w:val="en-US" w:eastAsia="zh-CN" w:bidi="ar-SA"/>
        </w:rPr>
        <w:t>职称，且为本单位人员。</w:t>
      </w:r>
    </w:p>
    <w:p w14:paraId="42F9156E">
      <w:pPr>
        <w:pStyle w:val="2"/>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注：（1）须提供技术负责人职称证复印件、社保部门出具的养老保险缴纳证明材料复印件（时间为开标当月或前一个月），并加盖竞选人单位公章。</w:t>
      </w:r>
    </w:p>
    <w:p w14:paraId="6E8AEA0E">
      <w:pPr>
        <w:pStyle w:val="2"/>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（2）拟派项目经理与项目技术负责人不得为同一人。</w:t>
      </w:r>
    </w:p>
    <w:p w14:paraId="1A8CDD00">
      <w:pPr>
        <w:pStyle w:val="2"/>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kern w:val="2"/>
          <w:sz w:val="24"/>
          <w:szCs w:val="24"/>
          <w:highlight w:val="none"/>
          <w:lang w:val="en-US" w:eastAsia="zh-CN" w:bidi="ar-SA"/>
        </w:rPr>
      </w:pPr>
      <w:bookmarkStart w:id="67" w:name="_Toc9163"/>
      <w:bookmarkStart w:id="68" w:name="_Toc19004"/>
      <w:bookmarkStart w:id="69" w:name="_Toc18309"/>
      <w:r>
        <w:rPr>
          <w:rFonts w:hint="eastAsia" w:ascii="宋体" w:hAnsi="宋体" w:eastAsia="宋体" w:cs="宋体"/>
          <w:b/>
          <w:bCs/>
          <w:color w:val="auto"/>
          <w:kern w:val="2"/>
          <w:sz w:val="24"/>
          <w:szCs w:val="24"/>
          <w:highlight w:val="none"/>
          <w:lang w:val="en-US" w:eastAsia="zh-CN" w:bidi="ar-SA"/>
        </w:rPr>
        <w:t>五、安全生产</w:t>
      </w:r>
      <w:bookmarkEnd w:id="67"/>
      <w:bookmarkEnd w:id="68"/>
      <w:bookmarkEnd w:id="69"/>
    </w:p>
    <w:p w14:paraId="72213070">
      <w:pPr>
        <w:pStyle w:val="2"/>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（一）承包人应负责施工安全（包含但不仅限于施工现场及施工周边的施工人身安全、行人安全等），若发生一切安全事故和经济损失，责任由承包人全部承担，比选人不承担任何责任。</w:t>
      </w:r>
    </w:p>
    <w:p w14:paraId="07F7C15C">
      <w:pPr>
        <w:pStyle w:val="2"/>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在施工过程中，承包人须做到安全施工、文明施工，并做好相应的施工安全公告及警戒标识，施工过程中发生的一切安全事故由承包人自行负责处理。承包人应当与其施工人员建立劳动关系，承担全部用人用工主体责任。</w:t>
      </w:r>
    </w:p>
    <w:p w14:paraId="21ACB748">
      <w:pPr>
        <w:pStyle w:val="2"/>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bookmarkStart w:id="70" w:name="_Toc26277"/>
      <w:bookmarkStart w:id="71" w:name="_Toc153793331"/>
      <w:bookmarkStart w:id="72" w:name="_Toc3162"/>
      <w:bookmarkStart w:id="73" w:name="_Toc25663"/>
      <w:r>
        <w:rPr>
          <w:rFonts w:hint="eastAsia" w:ascii="宋体" w:hAnsi="宋体" w:eastAsia="宋体" w:cs="宋体"/>
          <w:color w:val="auto"/>
          <w:kern w:val="2"/>
          <w:sz w:val="24"/>
          <w:szCs w:val="24"/>
          <w:highlight w:val="none"/>
          <w:lang w:val="en-US" w:eastAsia="zh-CN" w:bidi="ar-SA"/>
        </w:rPr>
        <w:t>六、安全措施</w:t>
      </w:r>
      <w:bookmarkEnd w:id="70"/>
      <w:bookmarkEnd w:id="71"/>
      <w:bookmarkEnd w:id="72"/>
      <w:bookmarkEnd w:id="73"/>
    </w:p>
    <w:p w14:paraId="7126C365">
      <w:pPr>
        <w:pStyle w:val="2"/>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（一）本项目施工需符合国家、地方、行业各项规范，且承包人需制定专门安全措施方案。</w:t>
      </w:r>
    </w:p>
    <w:p w14:paraId="2D4DA9B8">
      <w:pPr>
        <w:pStyle w:val="2"/>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（二）建立定期的安全活动制度，班组每天进行班前、班后的安全检查及时清除安全隐患，根据施工实际情况，提出安全生产措施，及时解决安全生产上存在的各种问题，协助解决安全生产中的疑难问题。</w:t>
      </w:r>
    </w:p>
    <w:p w14:paraId="13893740">
      <w:pPr>
        <w:pStyle w:val="2"/>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bookmarkStart w:id="74" w:name="_Toc153793332"/>
      <w:bookmarkStart w:id="75" w:name="_Toc13514"/>
      <w:bookmarkStart w:id="76" w:name="_Toc25337"/>
      <w:bookmarkStart w:id="77" w:name="_Toc11557"/>
      <w:r>
        <w:rPr>
          <w:rFonts w:hint="eastAsia" w:ascii="宋体" w:hAnsi="宋体" w:eastAsia="宋体" w:cs="宋体"/>
          <w:color w:val="auto"/>
          <w:kern w:val="2"/>
          <w:sz w:val="24"/>
          <w:szCs w:val="24"/>
          <w:highlight w:val="none"/>
          <w:lang w:val="en-US" w:eastAsia="zh-CN" w:bidi="ar-SA"/>
        </w:rPr>
        <w:t>七、</w:t>
      </w:r>
      <w:bookmarkEnd w:id="74"/>
      <w:bookmarkStart w:id="78" w:name="_Toc153793333"/>
      <w:r>
        <w:rPr>
          <w:rFonts w:hint="eastAsia" w:ascii="宋体" w:hAnsi="宋体" w:eastAsia="宋体" w:cs="宋体"/>
          <w:color w:val="auto"/>
          <w:kern w:val="2"/>
          <w:sz w:val="24"/>
          <w:szCs w:val="24"/>
          <w:highlight w:val="none"/>
          <w:lang w:val="en-US" w:eastAsia="zh-CN" w:bidi="ar-SA"/>
        </w:rPr>
        <w:t>技术标准和要求</w:t>
      </w:r>
      <w:bookmarkEnd w:id="75"/>
      <w:bookmarkEnd w:id="76"/>
      <w:bookmarkEnd w:id="77"/>
      <w:bookmarkEnd w:id="78"/>
    </w:p>
    <w:p w14:paraId="10DBF7D3">
      <w:pPr>
        <w:pStyle w:val="2"/>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（一）技术标准和要求以本工程设计施工为准。</w:t>
      </w:r>
    </w:p>
    <w:p w14:paraId="5F27C2FB">
      <w:pPr>
        <w:pStyle w:val="2"/>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（二）按国家及重庆市相关设计、施工验收规范及标准执行。</w:t>
      </w:r>
    </w:p>
    <w:p w14:paraId="1839601C">
      <w:pPr>
        <w:pStyle w:val="2"/>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（三）本项目所采用技术、工艺和产品等必须执行重庆市住房和城乡建设委员会关于发布重庆市建设领域禁止、限制使用落后技术系列通告的规定。</w:t>
      </w:r>
    </w:p>
    <w:p w14:paraId="3B17A8FD">
      <w:pPr>
        <w:pStyle w:val="3"/>
        <w:spacing w:before="0" w:beforeLines="0" w:after="0" w:afterLines="0" w:line="360" w:lineRule="auto"/>
        <w:rPr>
          <w:rFonts w:hint="eastAsia" w:ascii="宋体" w:hAnsi="宋体" w:eastAsia="宋体" w:cs="宋体"/>
          <w:b/>
          <w:color w:val="auto"/>
          <w:highlight w:val="none"/>
        </w:rPr>
      </w:pPr>
      <w:r>
        <w:rPr>
          <w:rFonts w:hint="eastAsia" w:ascii="宋体" w:hAnsi="宋体" w:eastAsia="宋体" w:cs="宋体"/>
          <w:color w:val="auto"/>
          <w:sz w:val="24"/>
          <w:szCs w:val="24"/>
          <w:highlight w:val="none"/>
        </w:rPr>
        <w:br w:type="page"/>
      </w:r>
      <w:bookmarkStart w:id="79" w:name="_Toc13621"/>
      <w:r>
        <w:rPr>
          <w:rFonts w:hint="eastAsia" w:ascii="宋体" w:hAnsi="宋体" w:eastAsia="宋体" w:cs="宋体"/>
          <w:b/>
          <w:color w:val="auto"/>
          <w:highlight w:val="none"/>
        </w:rPr>
        <w:t>第三篇  项目商务要求</w:t>
      </w:r>
      <w:bookmarkEnd w:id="79"/>
    </w:p>
    <w:p w14:paraId="2EF8C78C">
      <w:pPr>
        <w:pStyle w:val="4"/>
        <w:spacing w:line="400" w:lineRule="exact"/>
        <w:ind w:firstLine="482" w:firstLineChars="200"/>
        <w:rPr>
          <w:rFonts w:hint="eastAsia" w:eastAsia="宋体" w:cs="宋体"/>
          <w:b/>
          <w:color w:val="auto"/>
          <w:sz w:val="24"/>
          <w:highlight w:val="none"/>
          <w:lang w:eastAsia="zh-CN"/>
        </w:rPr>
      </w:pPr>
      <w:bookmarkStart w:id="80" w:name="_Toc22944"/>
      <w:bookmarkStart w:id="81" w:name="_Toc13728"/>
      <w:bookmarkStart w:id="82" w:name="_Toc12768"/>
      <w:bookmarkStart w:id="83" w:name="_Toc75793509"/>
      <w:bookmarkStart w:id="84" w:name="_Toc21429"/>
      <w:bookmarkStart w:id="85" w:name="_Toc30118"/>
      <w:bookmarkStart w:id="86" w:name="_Toc4278"/>
      <w:bookmarkStart w:id="87" w:name="_Toc28521"/>
      <w:bookmarkStart w:id="88" w:name="_Toc8752"/>
      <w:bookmarkStart w:id="89" w:name="_Toc10039"/>
      <w:bookmarkStart w:id="90" w:name="_Toc9676"/>
      <w:bookmarkStart w:id="91" w:name="_Toc13389"/>
      <w:bookmarkStart w:id="92" w:name="_Toc6595"/>
      <w:bookmarkStart w:id="93" w:name="_Toc14029"/>
      <w:bookmarkStart w:id="94" w:name="_Toc11380"/>
      <w:bookmarkStart w:id="95" w:name="_Toc23501"/>
      <w:bookmarkStart w:id="96" w:name="_Toc25857"/>
      <w:bookmarkStart w:id="97" w:name="_Toc27423"/>
      <w:r>
        <w:rPr>
          <w:rFonts w:hint="eastAsia" w:cs="宋体"/>
          <w:b/>
          <w:color w:val="auto"/>
          <w:sz w:val="24"/>
          <w:highlight w:val="none"/>
        </w:rPr>
        <w:t>一、</w:t>
      </w:r>
      <w:r>
        <w:rPr>
          <w:rFonts w:hint="eastAsia" w:cs="宋体"/>
          <w:b/>
          <w:color w:val="auto"/>
          <w:sz w:val="24"/>
          <w:highlight w:val="none"/>
          <w:lang w:eastAsia="zh-CN"/>
        </w:rPr>
        <w:t>实施</w:t>
      </w:r>
      <w:r>
        <w:rPr>
          <w:rFonts w:hint="eastAsia" w:cs="宋体"/>
          <w:b/>
          <w:color w:val="auto"/>
          <w:sz w:val="24"/>
          <w:highlight w:val="none"/>
        </w:rPr>
        <w:t>期限</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hint="eastAsia" w:cs="宋体"/>
          <w:b/>
          <w:color w:val="auto"/>
          <w:sz w:val="24"/>
          <w:highlight w:val="none"/>
          <w:lang w:eastAsia="zh-CN"/>
        </w:rPr>
        <w:t>、地点及验收方式</w:t>
      </w:r>
      <w:bookmarkEnd w:id="96"/>
      <w:bookmarkEnd w:id="97"/>
    </w:p>
    <w:p w14:paraId="6B36EEFC">
      <w:pPr>
        <w:snapToGrid w:val="0"/>
        <w:spacing w:line="400" w:lineRule="exact"/>
        <w:ind w:firstLine="480" w:firstLineChars="200"/>
        <w:rPr>
          <w:rFonts w:hint="eastAsia" w:ascii="宋体" w:hAnsi="宋体" w:eastAsia="宋体" w:cs="宋体"/>
          <w:color w:val="auto"/>
          <w:sz w:val="24"/>
          <w:szCs w:val="24"/>
          <w:highlight w:val="none"/>
          <w:lang w:eastAsia="zh-CN"/>
        </w:rPr>
      </w:pPr>
      <w:bookmarkStart w:id="98" w:name="_Toc8592"/>
      <w:bookmarkStart w:id="99" w:name="_Toc29436"/>
      <w:bookmarkStart w:id="100" w:name="_Toc4036"/>
      <w:bookmarkStart w:id="101" w:name="_Toc7746"/>
      <w:bookmarkStart w:id="102" w:name="_Toc28679"/>
      <w:bookmarkStart w:id="103" w:name="_Toc21022"/>
      <w:bookmarkStart w:id="104" w:name="_Toc22158"/>
      <w:bookmarkStart w:id="105" w:name="_Toc18399"/>
      <w:bookmarkStart w:id="106" w:name="_Toc29144"/>
      <w:bookmarkStart w:id="107" w:name="_Toc30781"/>
      <w:bookmarkStart w:id="108" w:name="_Toc75793510"/>
      <w:bookmarkStart w:id="109" w:name="_Toc22142"/>
      <w:bookmarkStart w:id="110" w:name="_Toc18152"/>
      <w:bookmarkStart w:id="111" w:name="_Toc20367"/>
      <w:bookmarkStart w:id="112" w:name="_Toc13418"/>
      <w:bookmarkStart w:id="113" w:name="_Toc1484"/>
      <w:bookmarkStart w:id="114" w:name="_Toc267320050"/>
      <w:r>
        <w:rPr>
          <w:rFonts w:hint="eastAsia" w:ascii="宋体" w:hAnsi="宋体" w:eastAsia="宋体" w:cs="宋体"/>
          <w:color w:val="auto"/>
          <w:sz w:val="24"/>
          <w:szCs w:val="24"/>
          <w:highlight w:val="none"/>
          <w:lang w:eastAsia="zh-CN"/>
        </w:rPr>
        <w:t>（一）</w:t>
      </w:r>
      <w:r>
        <w:rPr>
          <w:rFonts w:hint="eastAsia" w:ascii="宋体" w:hAnsi="宋体" w:eastAsia="宋体" w:cs="宋体"/>
          <w:b w:val="0"/>
          <w:bCs w:val="0"/>
          <w:color w:val="auto"/>
          <w:sz w:val="24"/>
          <w:szCs w:val="24"/>
          <w:highlight w:val="none"/>
          <w:lang w:eastAsia="zh-CN"/>
        </w:rPr>
        <w:t>实施期限</w:t>
      </w:r>
    </w:p>
    <w:p w14:paraId="31329579">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中标人自合同签订之日起15日历天内。缺陷责任期：24个月。</w:t>
      </w:r>
    </w:p>
    <w:p w14:paraId="60EAD027">
      <w:pPr>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实施地点</w:t>
      </w:r>
    </w:p>
    <w:p w14:paraId="333C2FFB">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重庆中医药学院（重庆市璧山区黛山大道以东）。</w:t>
      </w:r>
    </w:p>
    <w:p w14:paraId="5EBE972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验收方式：</w:t>
      </w:r>
    </w:p>
    <w:p w14:paraId="72AD4BB0">
      <w:pPr>
        <w:snapToGrid w:val="0"/>
        <w:spacing w:line="400" w:lineRule="exact"/>
        <w:ind w:firstLine="480" w:firstLineChars="200"/>
        <w:rPr>
          <w:rFonts w:hint="eastAsia" w:ascii="宋体" w:hAnsi="宋体" w:eastAsia="宋体" w:cs="宋体"/>
          <w:color w:val="auto"/>
          <w:sz w:val="24"/>
          <w:szCs w:val="24"/>
          <w:highlight w:val="none"/>
          <w:lang w:eastAsia="zh-CN"/>
        </w:rPr>
      </w:pPr>
      <w:bookmarkStart w:id="115" w:name="_Toc276026162"/>
      <w:bookmarkStart w:id="116" w:name="_Toc277166691"/>
      <w:bookmarkStart w:id="117" w:name="_Toc525802986"/>
      <w:bookmarkStart w:id="118" w:name="_Toc524528504"/>
      <w:r>
        <w:rPr>
          <w:rFonts w:hint="eastAsia" w:ascii="宋体" w:hAnsi="宋体" w:eastAsia="宋体" w:cs="宋体"/>
          <w:color w:val="auto"/>
          <w:sz w:val="24"/>
          <w:szCs w:val="24"/>
          <w:highlight w:val="none"/>
          <w:lang w:eastAsia="zh-CN"/>
        </w:rPr>
        <w:t>1.验收单位：</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lang w:eastAsia="zh-CN"/>
        </w:rPr>
        <w:t>组织监理及相关部门等按国家相关标准验收程序和规程进行验收。在项目竣工验收时，</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lang w:eastAsia="zh-CN"/>
        </w:rPr>
        <w:t>应提供验收报告，验收的相关费用由</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lang w:eastAsia="zh-CN"/>
        </w:rPr>
        <w:t>负责。如验收不合格，</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lang w:eastAsia="zh-CN"/>
        </w:rPr>
        <w:t>应承担修复、重做、赔偿损失等责任，</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lang w:eastAsia="zh-CN"/>
        </w:rPr>
        <w:t>不再另行付费；</w:t>
      </w:r>
    </w:p>
    <w:p w14:paraId="100E5B12">
      <w:pPr>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2.验收标准：达到国家现行有关施工质量验收规范要求，并达到合格标准。施工过程应遵照现行国家有关规范进行，按照实际完成工程量清单、图纸及有关要求进行检查验收。</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lang w:eastAsia="zh-CN"/>
        </w:rPr>
        <w:t>应保证工程质量，工程所用建筑材料须符合国家及行业标准，项目工程达到国家现行有关施工质量验收规范要求，并达到合格标准。</w:t>
      </w:r>
    </w:p>
    <w:p w14:paraId="148B81C0">
      <w:pPr>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cs="宋体"/>
          <w:color w:val="auto"/>
          <w:sz w:val="24"/>
          <w:szCs w:val="24"/>
          <w:highlight w:val="none"/>
          <w:lang w:eastAsia="zh-CN"/>
        </w:rPr>
        <w:t>竞选人</w:t>
      </w:r>
      <w:r>
        <w:rPr>
          <w:rFonts w:hint="eastAsia" w:ascii="宋体" w:hAnsi="宋体" w:eastAsia="宋体" w:cs="宋体"/>
          <w:color w:val="auto"/>
          <w:sz w:val="24"/>
          <w:szCs w:val="24"/>
          <w:highlight w:val="none"/>
          <w:lang w:eastAsia="zh-CN"/>
        </w:rPr>
        <w:t>和</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lang w:eastAsia="zh-CN"/>
        </w:rPr>
        <w:t>等相关参建方一起做好施工全过程中相关工程资料的留存并报送建设方及监理方等存档，须有施工现场的施工前后及期间相应节点的对比影像资料（特别是隐蔽工程及暂列金额工程）用于后期结算。因缺少影像资料造成无法办理相关工程内容结算的损失由</w:t>
      </w:r>
      <w:r>
        <w:rPr>
          <w:rFonts w:hint="eastAsia" w:ascii="宋体" w:hAnsi="宋体" w:cs="宋体"/>
          <w:color w:val="auto"/>
          <w:sz w:val="24"/>
          <w:szCs w:val="24"/>
          <w:highlight w:val="none"/>
          <w:lang w:eastAsia="zh-CN"/>
        </w:rPr>
        <w:t>竞选人</w:t>
      </w:r>
      <w:r>
        <w:rPr>
          <w:rFonts w:hint="eastAsia" w:ascii="宋体" w:hAnsi="宋体" w:eastAsia="宋体" w:cs="宋体"/>
          <w:color w:val="auto"/>
          <w:sz w:val="24"/>
          <w:szCs w:val="24"/>
          <w:highlight w:val="none"/>
          <w:lang w:eastAsia="zh-CN"/>
        </w:rPr>
        <w:t>自行承担。</w:t>
      </w:r>
      <w:bookmarkEnd w:id="115"/>
      <w:bookmarkEnd w:id="116"/>
      <w:bookmarkEnd w:id="117"/>
      <w:bookmarkEnd w:id="118"/>
      <w:bookmarkStart w:id="119" w:name="_Toc28807"/>
    </w:p>
    <w:p w14:paraId="1C116FAE">
      <w:pPr>
        <w:snapToGrid w:val="0"/>
        <w:spacing w:line="400" w:lineRule="exact"/>
        <w:ind w:firstLine="482" w:firstLineChars="200"/>
        <w:rPr>
          <w:rFonts w:hint="eastAsia" w:cs="宋体"/>
          <w:b/>
          <w:color w:val="auto"/>
          <w:sz w:val="24"/>
          <w:highlight w:val="none"/>
        </w:rPr>
      </w:pPr>
      <w:r>
        <w:rPr>
          <w:rFonts w:hint="eastAsia" w:cs="宋体"/>
          <w:b/>
          <w:color w:val="auto"/>
          <w:sz w:val="24"/>
          <w:highlight w:val="none"/>
        </w:rPr>
        <w:t>二、报价要求</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9"/>
      <w:bookmarkStart w:id="120" w:name="_Toc4252"/>
      <w:bookmarkStart w:id="121" w:name="_Toc2745"/>
      <w:bookmarkStart w:id="122" w:name="_Toc2244"/>
      <w:bookmarkStart w:id="123" w:name="_Toc32313"/>
      <w:bookmarkStart w:id="124" w:name="_Toc20887"/>
      <w:bookmarkStart w:id="125" w:name="_Toc75793511"/>
      <w:bookmarkStart w:id="126" w:name="_Toc2821"/>
      <w:bookmarkStart w:id="127" w:name="_Toc23903"/>
      <w:bookmarkStart w:id="128" w:name="_Toc1450"/>
      <w:bookmarkStart w:id="129" w:name="_Toc4774"/>
      <w:bookmarkStart w:id="130" w:name="_Toc3465"/>
      <w:bookmarkStart w:id="131" w:name="_Toc27382"/>
      <w:bookmarkStart w:id="132" w:name="_Toc15096"/>
      <w:bookmarkStart w:id="133" w:name="_Toc15677"/>
      <w:bookmarkStart w:id="134" w:name="_Toc16693"/>
      <w:bookmarkStart w:id="135" w:name="_Toc14177"/>
      <w:bookmarkStart w:id="136" w:name="_Toc23650"/>
    </w:p>
    <w:p w14:paraId="71E1B29D">
      <w:pPr>
        <w:snapToGrid w:val="0"/>
        <w:spacing w:line="400" w:lineRule="exact"/>
        <w:ind w:firstLine="480" w:firstLineChars="200"/>
        <w:rPr>
          <w:rFonts w:hint="eastAsia" w:cs="宋体"/>
          <w:b w:val="0"/>
          <w:bCs/>
          <w:color w:val="auto"/>
          <w:sz w:val="24"/>
          <w:szCs w:val="24"/>
          <w:highlight w:val="none"/>
          <w:lang w:eastAsia="zh-CN"/>
        </w:rPr>
      </w:pPr>
      <w:r>
        <w:rPr>
          <w:rFonts w:hint="eastAsia" w:cs="宋体"/>
          <w:b w:val="0"/>
          <w:bCs/>
          <w:color w:val="auto"/>
          <w:sz w:val="24"/>
          <w:szCs w:val="24"/>
          <w:highlight w:val="none"/>
        </w:rPr>
        <w:t>本项目报价采用</w:t>
      </w:r>
      <w:r>
        <w:rPr>
          <w:rFonts w:hint="eastAsia" w:cs="宋体"/>
          <w:b w:val="0"/>
          <w:bCs/>
          <w:color w:val="auto"/>
          <w:sz w:val="24"/>
          <w:szCs w:val="24"/>
          <w:highlight w:val="none"/>
          <w:u w:val="single"/>
        </w:rPr>
        <w:t xml:space="preserve"> </w:t>
      </w:r>
      <w:r>
        <w:rPr>
          <w:rFonts w:hint="eastAsia" w:cs="宋体"/>
          <w:b w:val="0"/>
          <w:bCs/>
          <w:color w:val="auto"/>
          <w:sz w:val="24"/>
          <w:szCs w:val="24"/>
          <w:highlight w:val="none"/>
          <w:u w:val="single"/>
          <w:lang w:val="en-US" w:eastAsia="zh-CN"/>
        </w:rPr>
        <w:t>取费比率报价</w:t>
      </w:r>
      <w:r>
        <w:rPr>
          <w:rFonts w:hint="eastAsia" w:cs="宋体"/>
          <w:b w:val="0"/>
          <w:bCs/>
          <w:color w:val="auto"/>
          <w:sz w:val="24"/>
          <w:szCs w:val="24"/>
          <w:highlight w:val="none"/>
          <w:u w:val="single"/>
        </w:rPr>
        <w:t xml:space="preserve"> </w:t>
      </w:r>
      <w:r>
        <w:rPr>
          <w:rFonts w:hint="eastAsia" w:cs="宋体"/>
          <w:b w:val="0"/>
          <w:bCs/>
          <w:color w:val="auto"/>
          <w:sz w:val="24"/>
          <w:szCs w:val="24"/>
          <w:highlight w:val="none"/>
        </w:rPr>
        <w:t>的方式（</w:t>
      </w:r>
      <w:r>
        <w:rPr>
          <w:rFonts w:hint="eastAsia" w:cs="宋体"/>
          <w:b w:val="0"/>
          <w:bCs/>
          <w:color w:val="auto"/>
          <w:sz w:val="24"/>
          <w:szCs w:val="24"/>
          <w:highlight w:val="none"/>
          <w:lang w:val="en-US" w:eastAsia="zh-CN"/>
        </w:rPr>
        <w:t>投标取费比率报价</w:t>
      </w:r>
      <w:r>
        <w:rPr>
          <w:rFonts w:hint="eastAsia" w:cs="宋体"/>
          <w:b w:val="0"/>
          <w:bCs/>
          <w:color w:val="auto"/>
          <w:sz w:val="24"/>
          <w:szCs w:val="24"/>
          <w:highlight w:val="none"/>
        </w:rPr>
        <w:t>≤100%），</w:t>
      </w:r>
      <w:r>
        <w:rPr>
          <w:rFonts w:hint="eastAsia" w:cs="宋体"/>
          <w:b w:val="0"/>
          <w:bCs/>
          <w:color w:val="auto"/>
          <w:sz w:val="24"/>
          <w:szCs w:val="24"/>
          <w:highlight w:val="none"/>
          <w:lang w:val="en-US" w:eastAsia="zh-CN"/>
        </w:rPr>
        <w:t>取费比率</w:t>
      </w:r>
      <w:r>
        <w:rPr>
          <w:rFonts w:hint="eastAsia" w:cs="宋体"/>
          <w:b w:val="0"/>
          <w:bCs/>
          <w:color w:val="auto"/>
          <w:sz w:val="24"/>
          <w:szCs w:val="24"/>
          <w:highlight w:val="none"/>
        </w:rPr>
        <w:t>的计算基数按“项目商务</w:t>
      </w:r>
      <w:r>
        <w:rPr>
          <w:rFonts w:hint="eastAsia" w:cs="宋体"/>
          <w:b w:val="0"/>
          <w:bCs/>
          <w:color w:val="auto"/>
          <w:sz w:val="24"/>
          <w:szCs w:val="24"/>
          <w:highlight w:val="none"/>
          <w:lang w:val="en-US" w:eastAsia="zh-CN"/>
        </w:rPr>
        <w:t>要</w:t>
      </w:r>
      <w:r>
        <w:rPr>
          <w:rFonts w:hint="eastAsia" w:cs="宋体"/>
          <w:b w:val="0"/>
          <w:bCs/>
          <w:color w:val="auto"/>
          <w:sz w:val="24"/>
          <w:szCs w:val="24"/>
          <w:highlight w:val="none"/>
        </w:rPr>
        <w:t>”第三条</w:t>
      </w:r>
      <w:r>
        <w:rPr>
          <w:rFonts w:hint="eastAsia" w:cs="宋体"/>
          <w:b w:val="0"/>
          <w:bCs/>
          <w:color w:val="auto"/>
          <w:sz w:val="24"/>
          <w:szCs w:val="24"/>
          <w:highlight w:val="none"/>
          <w:lang w:val="en-US" w:eastAsia="zh-CN"/>
        </w:rPr>
        <w:t>中</w:t>
      </w:r>
      <w:r>
        <w:rPr>
          <w:rFonts w:hint="eastAsia" w:cs="宋体"/>
          <w:b w:val="0"/>
          <w:bCs/>
          <w:color w:val="auto"/>
          <w:sz w:val="24"/>
          <w:szCs w:val="24"/>
          <w:highlight w:val="none"/>
        </w:rPr>
        <w:t>1~8款所约定的计价原则执行；包括完成采购范围内服务项目的人工费、材料费、机械费、企业管理费、利润、风险费用、措施费、规费、安全文明施工费、税金、等政策性文件规定的一切费用，</w:t>
      </w:r>
      <w:r>
        <w:rPr>
          <w:rFonts w:hint="eastAsia" w:cs="宋体"/>
          <w:b w:val="0"/>
          <w:bCs/>
          <w:color w:val="auto"/>
          <w:sz w:val="24"/>
          <w:szCs w:val="24"/>
          <w:highlight w:val="none"/>
          <w:lang w:eastAsia="zh-CN"/>
        </w:rPr>
        <w:t>比选人</w:t>
      </w:r>
      <w:r>
        <w:rPr>
          <w:rFonts w:hint="eastAsia" w:cs="宋体"/>
          <w:b w:val="0"/>
          <w:bCs/>
          <w:color w:val="auto"/>
          <w:sz w:val="24"/>
          <w:szCs w:val="24"/>
          <w:highlight w:val="none"/>
        </w:rPr>
        <w:t>不另支付其他任何费用</w:t>
      </w:r>
      <w:bookmarkStart w:id="137" w:name="_Toc6740"/>
      <w:r>
        <w:rPr>
          <w:rFonts w:hint="eastAsia" w:cs="宋体"/>
          <w:b w:val="0"/>
          <w:bCs/>
          <w:color w:val="auto"/>
          <w:sz w:val="24"/>
          <w:szCs w:val="24"/>
          <w:highlight w:val="none"/>
          <w:lang w:eastAsia="zh-CN"/>
        </w:rPr>
        <w:t>。</w:t>
      </w:r>
    </w:p>
    <w:p w14:paraId="51CAE04D">
      <w:pPr>
        <w:numPr>
          <w:ilvl w:val="0"/>
          <w:numId w:val="0"/>
        </w:numPr>
        <w:snapToGrid w:val="0"/>
        <w:spacing w:line="400" w:lineRule="exact"/>
        <w:ind w:firstLine="482" w:firstLineChars="200"/>
        <w:rPr>
          <w:rFonts w:hint="eastAsia" w:cs="宋体"/>
          <w:b/>
          <w:color w:val="auto"/>
          <w:sz w:val="24"/>
          <w:szCs w:val="24"/>
          <w:highlight w:val="none"/>
          <w:lang w:val="en-US" w:eastAsia="zh-CN"/>
        </w:rPr>
      </w:pPr>
      <w:r>
        <w:rPr>
          <w:rFonts w:hint="eastAsia" w:ascii="Times New Roman" w:hAnsi="Times New Roman" w:eastAsia="宋体" w:cs="宋体"/>
          <w:b/>
          <w:color w:val="auto"/>
          <w:kern w:val="2"/>
          <w:sz w:val="24"/>
          <w:szCs w:val="24"/>
          <w:highlight w:val="none"/>
          <w:lang w:val="en-US" w:eastAsia="zh-CN" w:bidi="ar-SA"/>
        </w:rPr>
        <w:t>三、</w:t>
      </w:r>
      <w:r>
        <w:rPr>
          <w:rFonts w:hint="eastAsia" w:cs="宋体"/>
          <w:b/>
          <w:color w:val="auto"/>
          <w:sz w:val="24"/>
          <w:szCs w:val="24"/>
          <w:highlight w:val="none"/>
          <w:lang w:val="en-US" w:eastAsia="zh-CN"/>
        </w:rPr>
        <w:t>结算方式</w:t>
      </w:r>
      <w:bookmarkEnd w:id="137"/>
    </w:p>
    <w:p w14:paraId="003ABE3E">
      <w:pPr>
        <w:numPr>
          <w:ilvl w:val="0"/>
          <w:numId w:val="0"/>
        </w:numPr>
        <w:snapToGrid w:val="0"/>
        <w:spacing w:line="400" w:lineRule="exact"/>
        <w:ind w:firstLine="480" w:firstLineChars="200"/>
        <w:rPr>
          <w:rFonts w:hint="eastAsia" w:cs="宋体"/>
          <w:b w:val="0"/>
          <w:bCs/>
          <w:color w:val="auto"/>
          <w:sz w:val="24"/>
          <w:szCs w:val="24"/>
          <w:highlight w:val="none"/>
          <w:lang w:val="en-US" w:eastAsia="zh-CN"/>
        </w:rPr>
      </w:pPr>
      <w:r>
        <w:rPr>
          <w:rFonts w:hint="eastAsia" w:cs="宋体"/>
          <w:b w:val="0"/>
          <w:bCs/>
          <w:color w:val="auto"/>
          <w:sz w:val="24"/>
          <w:szCs w:val="24"/>
          <w:highlight w:val="none"/>
          <w:lang w:val="en-US" w:eastAsia="zh-CN"/>
        </w:rPr>
        <w:t>1.计量原则：按《房屋建筑与装饰工程工程量计算规范》(GB50854-2013)、《重庆市建设工程工程量计算规则》（CQJLGZ-2013）约定的计量规则计算的实际完成且经验收合格的工程量。</w:t>
      </w:r>
    </w:p>
    <w:p w14:paraId="5B620BC7">
      <w:pPr>
        <w:numPr>
          <w:ilvl w:val="0"/>
          <w:numId w:val="0"/>
        </w:numPr>
        <w:snapToGrid w:val="0"/>
        <w:spacing w:line="400" w:lineRule="exact"/>
        <w:ind w:firstLine="480" w:firstLineChars="200"/>
        <w:rPr>
          <w:rFonts w:hint="eastAsia" w:cs="宋体"/>
          <w:b w:val="0"/>
          <w:bCs/>
          <w:color w:val="auto"/>
          <w:sz w:val="24"/>
          <w:szCs w:val="24"/>
          <w:highlight w:val="none"/>
          <w:lang w:val="en-US" w:eastAsia="zh-CN"/>
        </w:rPr>
      </w:pPr>
      <w:r>
        <w:rPr>
          <w:rFonts w:hint="eastAsia" w:cs="宋体"/>
          <w:b w:val="0"/>
          <w:bCs/>
          <w:color w:val="auto"/>
          <w:sz w:val="24"/>
          <w:szCs w:val="24"/>
          <w:highlight w:val="none"/>
          <w:lang w:val="en-US" w:eastAsia="zh-CN"/>
        </w:rPr>
        <w:t>2.计价原则：中华人民共和国国家标准《建设工程工程量清单计价规范》（GB50500-2013）、《重庆市建设工程工程量计算规则》（CQJLGZ-2013）、《重庆市市政工程计价定额》（CQSZDE-2018）、《重庆市房屋建筑与装饰工程计价》(CQJZZSDE-2018)、《重庆市绿色建筑工程计价定额》(CQLSJZDE-2018)、《重庆市园林绿化工程计价定额》（CQYLLHDE-2018）、《重庆市通用安装工程计价定额》(CQAZDE-2018)、《重庆市建设工程费用定额》(CQFYDE-2018）、《重庆市通用安装工程计价定额》(CQAZDE-2018)、《重庆市房屋修缮工程计价定额》(CQXSDE-2018）以及国家及重庆市的相关规范、标准。</w:t>
      </w:r>
    </w:p>
    <w:p w14:paraId="77F0672D">
      <w:pPr>
        <w:numPr>
          <w:ilvl w:val="0"/>
          <w:numId w:val="0"/>
        </w:numPr>
        <w:snapToGrid w:val="0"/>
        <w:spacing w:line="400" w:lineRule="exact"/>
        <w:ind w:firstLine="480" w:firstLineChars="200"/>
        <w:rPr>
          <w:rFonts w:hint="eastAsia" w:cs="宋体"/>
          <w:b w:val="0"/>
          <w:bCs/>
          <w:color w:val="auto"/>
          <w:sz w:val="24"/>
          <w:szCs w:val="24"/>
          <w:highlight w:val="none"/>
          <w:lang w:val="en-US" w:eastAsia="zh-CN"/>
        </w:rPr>
      </w:pPr>
      <w:r>
        <w:rPr>
          <w:rFonts w:hint="eastAsia" w:cs="宋体"/>
          <w:b w:val="0"/>
          <w:bCs/>
          <w:color w:val="auto"/>
          <w:sz w:val="24"/>
          <w:szCs w:val="24"/>
          <w:highlight w:val="none"/>
          <w:lang w:val="en-US" w:eastAsia="zh-CN"/>
        </w:rPr>
        <w:t>3.材料价格按施工期间《重庆市建设工程造价信息》执行，造价信息中没有的材料价格按市场行情据实核价；</w:t>
      </w:r>
    </w:p>
    <w:p w14:paraId="21FCC245">
      <w:pPr>
        <w:pStyle w:val="4"/>
        <w:spacing w:line="400" w:lineRule="exact"/>
        <w:ind w:firstLine="480" w:firstLineChars="200"/>
        <w:rPr>
          <w:rFonts w:hint="eastAsia" w:cs="宋体"/>
          <w:b w:val="0"/>
          <w:bCs/>
          <w:color w:val="auto"/>
          <w:sz w:val="24"/>
          <w:szCs w:val="24"/>
          <w:highlight w:val="none"/>
          <w:lang w:val="en-US" w:eastAsia="zh-CN"/>
        </w:rPr>
      </w:pPr>
      <w:bookmarkStart w:id="138" w:name="_Toc2951"/>
      <w:r>
        <w:rPr>
          <w:rFonts w:hint="eastAsia" w:cs="宋体"/>
          <w:b w:val="0"/>
          <w:bCs/>
          <w:color w:val="auto"/>
          <w:sz w:val="24"/>
          <w:szCs w:val="24"/>
          <w:highlight w:val="none"/>
          <w:lang w:val="en-US" w:eastAsia="zh-CN"/>
        </w:rPr>
        <w:t>4.人工价格按投标当期《重庆市建设工程造价信息》执行；</w:t>
      </w:r>
      <w:bookmarkEnd w:id="138"/>
    </w:p>
    <w:p w14:paraId="539A0658">
      <w:pPr>
        <w:pStyle w:val="4"/>
        <w:spacing w:line="400" w:lineRule="exact"/>
        <w:ind w:firstLine="480" w:firstLineChars="200"/>
        <w:rPr>
          <w:rFonts w:hint="eastAsia" w:cs="宋体"/>
          <w:b w:val="0"/>
          <w:bCs/>
          <w:color w:val="auto"/>
          <w:sz w:val="24"/>
          <w:szCs w:val="24"/>
          <w:highlight w:val="none"/>
          <w:lang w:val="en-US" w:eastAsia="zh-CN"/>
        </w:rPr>
      </w:pPr>
      <w:bookmarkStart w:id="139" w:name="_Toc15080"/>
      <w:r>
        <w:rPr>
          <w:rFonts w:hint="eastAsia" w:cs="宋体"/>
          <w:b w:val="0"/>
          <w:bCs/>
          <w:color w:val="auto"/>
          <w:sz w:val="24"/>
          <w:szCs w:val="24"/>
          <w:highlight w:val="none"/>
          <w:lang w:val="en-US" w:eastAsia="zh-CN"/>
        </w:rPr>
        <w:t>5.安全文明施工费按《重庆市建设工程费用定额》(CQFYDE-2018）及现行的《重庆市建设工程安全文明施工费计取及使用管理规定》的规定计取；</w:t>
      </w:r>
      <w:bookmarkEnd w:id="139"/>
    </w:p>
    <w:p w14:paraId="3848B062">
      <w:pPr>
        <w:pStyle w:val="4"/>
        <w:spacing w:line="400" w:lineRule="exact"/>
        <w:ind w:firstLine="480" w:firstLineChars="200"/>
        <w:rPr>
          <w:rFonts w:hint="eastAsia" w:cs="宋体"/>
          <w:b w:val="0"/>
          <w:bCs/>
          <w:color w:val="auto"/>
          <w:sz w:val="24"/>
          <w:szCs w:val="24"/>
          <w:highlight w:val="none"/>
          <w:lang w:val="en-US" w:eastAsia="zh-CN"/>
        </w:rPr>
      </w:pPr>
      <w:bookmarkStart w:id="140" w:name="_Toc13786"/>
      <w:r>
        <w:rPr>
          <w:rFonts w:hint="eastAsia" w:cs="宋体"/>
          <w:b w:val="0"/>
          <w:bCs/>
          <w:color w:val="auto"/>
          <w:sz w:val="24"/>
          <w:szCs w:val="24"/>
          <w:highlight w:val="none"/>
          <w:lang w:val="en-US" w:eastAsia="zh-CN"/>
        </w:rPr>
        <w:t>6.规费：按照《重庆市建设工程费用定额》（CQFYDE-2018）规定费率进行计算；</w:t>
      </w:r>
      <w:bookmarkEnd w:id="140"/>
    </w:p>
    <w:p w14:paraId="6DE863FA">
      <w:pPr>
        <w:pStyle w:val="4"/>
        <w:spacing w:line="400" w:lineRule="exact"/>
        <w:ind w:firstLine="480" w:firstLineChars="200"/>
        <w:rPr>
          <w:rFonts w:hint="eastAsia" w:cs="宋体"/>
          <w:b w:val="0"/>
          <w:bCs/>
          <w:color w:val="auto"/>
          <w:sz w:val="24"/>
          <w:szCs w:val="24"/>
          <w:highlight w:val="none"/>
          <w:lang w:val="en-US" w:eastAsia="zh-CN"/>
        </w:rPr>
      </w:pPr>
      <w:bookmarkStart w:id="141" w:name="_Toc5108"/>
      <w:r>
        <w:rPr>
          <w:rFonts w:hint="eastAsia" w:cs="宋体"/>
          <w:b w:val="0"/>
          <w:bCs/>
          <w:color w:val="auto"/>
          <w:sz w:val="24"/>
          <w:szCs w:val="24"/>
          <w:highlight w:val="none"/>
          <w:lang w:val="en-US" w:eastAsia="zh-CN"/>
        </w:rPr>
        <w:t>7.税金按《重庆市建设工程费用定额》(CQFYDE-2018)增值税一般计税方法计取。</w:t>
      </w:r>
      <w:bookmarkEnd w:id="141"/>
    </w:p>
    <w:p w14:paraId="2CCC7E11">
      <w:pPr>
        <w:pStyle w:val="4"/>
        <w:spacing w:line="400" w:lineRule="exact"/>
        <w:ind w:firstLine="480" w:firstLineChars="200"/>
        <w:rPr>
          <w:rFonts w:hint="eastAsia" w:cs="宋体"/>
          <w:b w:val="0"/>
          <w:bCs/>
          <w:color w:val="auto"/>
          <w:sz w:val="24"/>
          <w:szCs w:val="24"/>
          <w:highlight w:val="none"/>
          <w:lang w:val="en-US" w:eastAsia="zh-CN"/>
        </w:rPr>
      </w:pPr>
      <w:bookmarkStart w:id="142" w:name="_Toc3649"/>
      <w:r>
        <w:rPr>
          <w:rFonts w:hint="eastAsia" w:cs="宋体"/>
          <w:b w:val="0"/>
          <w:bCs/>
          <w:color w:val="auto"/>
          <w:sz w:val="24"/>
          <w:szCs w:val="24"/>
          <w:highlight w:val="none"/>
          <w:lang w:val="en-US" w:eastAsia="zh-CN"/>
        </w:rPr>
        <w:t>8.若采用上述清单定额计价原则不适用，则由竞选人向比选人报送综合单价，经核定后执行。</w:t>
      </w:r>
      <w:bookmarkEnd w:id="142"/>
    </w:p>
    <w:p w14:paraId="3D33D790">
      <w:pPr>
        <w:pStyle w:val="4"/>
        <w:spacing w:line="400" w:lineRule="exact"/>
        <w:ind w:firstLine="480" w:firstLineChars="200"/>
        <w:rPr>
          <w:rFonts w:hint="eastAsia" w:cs="宋体"/>
          <w:b w:val="0"/>
          <w:bCs/>
          <w:color w:val="auto"/>
          <w:sz w:val="24"/>
          <w:szCs w:val="24"/>
          <w:highlight w:val="none"/>
          <w:lang w:val="en-US" w:eastAsia="zh-CN"/>
        </w:rPr>
      </w:pPr>
      <w:bookmarkStart w:id="143" w:name="_Toc932"/>
      <w:r>
        <w:rPr>
          <w:rFonts w:hint="eastAsia" w:cs="宋体"/>
          <w:b w:val="0"/>
          <w:bCs/>
          <w:color w:val="auto"/>
          <w:sz w:val="24"/>
          <w:szCs w:val="24"/>
          <w:highlight w:val="none"/>
          <w:lang w:val="en-US" w:eastAsia="zh-CN"/>
        </w:rPr>
        <w:t>9.项目最终结算金额=工程竣工结算审核造价(按上述1~8款中所约定的计价原则执行）×乙方成交取费比率</w:t>
      </w:r>
      <w:r>
        <w:rPr>
          <w:rFonts w:hint="eastAsia" w:cs="宋体"/>
          <w:b w:val="0"/>
          <w:bCs/>
          <w:color w:val="auto"/>
          <w:sz w:val="24"/>
          <w:szCs w:val="24"/>
          <w:highlight w:val="none"/>
          <w:u w:val="single"/>
          <w:lang w:val="en-US" w:eastAsia="zh-CN"/>
        </w:rPr>
        <w:t>+</w:t>
      </w:r>
      <w:r>
        <w:rPr>
          <w:rFonts w:hint="eastAsia" w:cs="宋体"/>
          <w:b w:val="0"/>
          <w:bCs/>
          <w:color w:val="auto"/>
          <w:sz w:val="24"/>
          <w:szCs w:val="24"/>
          <w:highlight w:val="none"/>
          <w:u w:val="none"/>
          <w:lang w:val="en-US" w:eastAsia="zh-CN"/>
        </w:rPr>
        <w:t>其他费用</w:t>
      </w:r>
      <w:r>
        <w:rPr>
          <w:rFonts w:hint="eastAsia" w:cs="宋体"/>
          <w:b w:val="0"/>
          <w:bCs/>
          <w:color w:val="auto"/>
          <w:sz w:val="24"/>
          <w:szCs w:val="24"/>
          <w:highlight w:val="none"/>
          <w:lang w:val="en-US" w:eastAsia="zh-CN"/>
        </w:rPr>
        <w:t>。</w:t>
      </w:r>
    </w:p>
    <w:p w14:paraId="1DDA67A8">
      <w:pPr>
        <w:pStyle w:val="4"/>
        <w:spacing w:line="400" w:lineRule="exact"/>
        <w:ind w:firstLine="480" w:firstLineChars="200"/>
        <w:rPr>
          <w:rFonts w:hint="default" w:cs="宋体"/>
          <w:b w:val="0"/>
          <w:bCs/>
          <w:color w:val="auto"/>
          <w:sz w:val="24"/>
          <w:szCs w:val="24"/>
          <w:highlight w:val="none"/>
          <w:lang w:val="en-US" w:eastAsia="zh-CN"/>
        </w:rPr>
      </w:pPr>
      <w:r>
        <w:rPr>
          <w:rFonts w:hint="eastAsia" w:cs="宋体"/>
          <w:b w:val="0"/>
          <w:bCs/>
          <w:color w:val="auto"/>
          <w:sz w:val="24"/>
          <w:szCs w:val="24"/>
          <w:highlight w:val="none"/>
          <w:lang w:val="en-US" w:eastAsia="zh-CN"/>
        </w:rPr>
        <w:t>10.其他费用：合同约定的增加、扣减金额（含按实签证的计日工）</w:t>
      </w:r>
    </w:p>
    <w:p w14:paraId="47384B62">
      <w:pPr>
        <w:pStyle w:val="4"/>
        <w:spacing w:line="400" w:lineRule="exact"/>
        <w:ind w:firstLine="482" w:firstLineChars="200"/>
        <w:rPr>
          <w:rFonts w:hint="eastAsia" w:cs="宋体"/>
          <w:b/>
          <w:color w:val="auto"/>
          <w:sz w:val="24"/>
          <w:highlight w:val="none"/>
        </w:rPr>
      </w:pPr>
      <w:r>
        <w:rPr>
          <w:rFonts w:hint="eastAsia" w:cs="宋体"/>
          <w:b/>
          <w:color w:val="auto"/>
          <w:sz w:val="24"/>
          <w:szCs w:val="24"/>
          <w:highlight w:val="none"/>
          <w:lang w:val="en-US" w:eastAsia="zh-CN"/>
        </w:rPr>
        <w:t>四</w:t>
      </w:r>
      <w:r>
        <w:rPr>
          <w:rFonts w:hint="eastAsia" w:cs="宋体"/>
          <w:b/>
          <w:color w:val="auto"/>
          <w:sz w:val="24"/>
          <w:szCs w:val="24"/>
          <w:highlight w:val="none"/>
        </w:rPr>
        <w:t>、</w:t>
      </w:r>
      <w:bookmarkEnd w:id="114"/>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Start w:id="144" w:name="_Toc25552"/>
      <w:bookmarkStart w:id="145" w:name="_Toc21888"/>
      <w:bookmarkStart w:id="146" w:name="_Toc22695"/>
      <w:bookmarkStart w:id="147" w:name="_Toc25745"/>
      <w:bookmarkStart w:id="148" w:name="_Toc8955"/>
      <w:bookmarkStart w:id="149" w:name="_Toc18007"/>
      <w:bookmarkStart w:id="150" w:name="_Toc1008"/>
      <w:bookmarkStart w:id="151" w:name="_Toc19350"/>
      <w:bookmarkStart w:id="152" w:name="_Toc29286"/>
      <w:bookmarkStart w:id="153" w:name="_Toc12285"/>
      <w:bookmarkStart w:id="154" w:name="_Toc75793512"/>
      <w:bookmarkStart w:id="155" w:name="_Toc5174"/>
      <w:bookmarkStart w:id="156" w:name="_Toc20811"/>
      <w:bookmarkStart w:id="157" w:name="_Toc30442"/>
      <w:bookmarkStart w:id="158" w:name="_Toc25932"/>
      <w:bookmarkStart w:id="159" w:name="_Toc267320051"/>
      <w:bookmarkStart w:id="160" w:name="_Toc32722"/>
      <w:r>
        <w:rPr>
          <w:rFonts w:hint="eastAsia" w:cs="宋体"/>
          <w:b/>
          <w:color w:val="auto"/>
          <w:sz w:val="24"/>
          <w:highlight w:val="none"/>
        </w:rPr>
        <w:t>付款方式</w:t>
      </w:r>
      <w:bookmarkEnd w:id="136"/>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2849B48D">
      <w:pPr>
        <w:pStyle w:val="4"/>
        <w:spacing w:line="400" w:lineRule="exact"/>
        <w:ind w:firstLine="480" w:firstLineChars="200"/>
        <w:rPr>
          <w:rFonts w:hint="eastAsia" w:cs="宋体"/>
          <w:b w:val="0"/>
          <w:bCs/>
          <w:color w:val="auto"/>
          <w:sz w:val="24"/>
          <w:highlight w:val="none"/>
          <w:lang w:val="en-US" w:eastAsia="zh-CN"/>
        </w:rPr>
      </w:pPr>
      <w:bookmarkStart w:id="161" w:name="_Toc12184"/>
      <w:bookmarkStart w:id="162" w:name="_Toc75793513"/>
      <w:bookmarkStart w:id="163" w:name="_Toc9213"/>
      <w:bookmarkStart w:id="164" w:name="_Toc11060"/>
      <w:bookmarkStart w:id="165" w:name="_Toc31818"/>
      <w:bookmarkStart w:id="166" w:name="_Toc25410"/>
      <w:bookmarkStart w:id="167" w:name="_Toc27144"/>
      <w:bookmarkStart w:id="168" w:name="_Toc3311"/>
      <w:bookmarkStart w:id="169" w:name="_Toc267320052"/>
      <w:bookmarkStart w:id="170" w:name="_Toc28056"/>
      <w:bookmarkStart w:id="171" w:name="_Toc4897"/>
      <w:bookmarkStart w:id="172" w:name="_Toc22431"/>
      <w:bookmarkStart w:id="173" w:name="_Toc3111"/>
      <w:bookmarkStart w:id="174" w:name="_Toc20369"/>
      <w:bookmarkStart w:id="175" w:name="OLE_LINK6"/>
      <w:bookmarkStart w:id="176" w:name="_Toc4339"/>
      <w:bookmarkStart w:id="177" w:name="_Toc18959"/>
      <w:bookmarkStart w:id="178" w:name="_Toc11399"/>
      <w:bookmarkStart w:id="179" w:name="_Toc10105"/>
      <w:bookmarkStart w:id="180" w:name="_Toc3565"/>
      <w:r>
        <w:rPr>
          <w:rFonts w:hint="eastAsia" w:cs="宋体"/>
          <w:b w:val="0"/>
          <w:bCs/>
          <w:color w:val="auto"/>
          <w:sz w:val="24"/>
          <w:highlight w:val="none"/>
          <w:lang w:val="en-US" w:eastAsia="zh-CN"/>
        </w:rPr>
        <w:t>比选人在竣工验收合格后并经结算审核后支付至审核金额的97%，剩余3%缺陷责任期满作为质保金，缺陷责任期满支付至审核金额的100%。</w:t>
      </w:r>
      <w:bookmarkEnd w:id="161"/>
    </w:p>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14:paraId="63DBA6D0">
      <w:pPr>
        <w:pStyle w:val="4"/>
        <w:spacing w:line="400" w:lineRule="exact"/>
        <w:ind w:firstLine="482" w:firstLineChars="200"/>
        <w:rPr>
          <w:rFonts w:hint="eastAsia" w:ascii="宋体" w:hAnsi="宋体" w:eastAsia="宋体" w:cs="宋体"/>
          <w:b/>
          <w:color w:val="auto"/>
          <w:sz w:val="24"/>
          <w:highlight w:val="none"/>
          <w:lang w:val="en-US" w:eastAsia="zh-CN"/>
        </w:rPr>
      </w:pPr>
      <w:bookmarkStart w:id="181" w:name="_Toc660"/>
      <w:bookmarkStart w:id="182" w:name="_Toc2895"/>
      <w:r>
        <w:rPr>
          <w:rFonts w:hint="eastAsia" w:ascii="宋体" w:hAnsi="宋体" w:eastAsia="宋体" w:cs="宋体"/>
          <w:b/>
          <w:color w:val="auto"/>
          <w:sz w:val="24"/>
          <w:highlight w:val="none"/>
          <w:lang w:val="en-US" w:eastAsia="zh-CN"/>
        </w:rPr>
        <w:t>五、履约担保</w:t>
      </w:r>
      <w:bookmarkEnd w:id="181"/>
      <w:bookmarkEnd w:id="182"/>
    </w:p>
    <w:p w14:paraId="3029E2B3">
      <w:pPr>
        <w:spacing w:line="440" w:lineRule="exact"/>
        <w:ind w:firstLine="480" w:firstLineChars="200"/>
        <w:jc w:val="left"/>
        <w:rPr>
          <w:rFonts w:hint="eastAsia" w:ascii="宋体" w:hAnsi="宋体" w:eastAsia="宋体" w:cs="宋体"/>
          <w:b w:val="0"/>
          <w:bCs/>
          <w:color w:val="auto"/>
          <w:kern w:val="2"/>
          <w:sz w:val="24"/>
          <w:highlight w:val="none"/>
          <w:lang w:val="en-US" w:eastAsia="zh-CN" w:bidi="ar-SA"/>
        </w:rPr>
      </w:pPr>
      <w:r>
        <w:rPr>
          <w:rFonts w:hint="eastAsia" w:ascii="宋体" w:hAnsi="宋体" w:eastAsia="宋体" w:cs="宋体"/>
          <w:b w:val="0"/>
          <w:bCs/>
          <w:color w:val="auto"/>
          <w:kern w:val="2"/>
          <w:sz w:val="24"/>
          <w:highlight w:val="none"/>
          <w:lang w:val="en-US" w:eastAsia="zh-CN" w:bidi="ar-SA"/>
        </w:rPr>
        <w:t>1. 履约担保的形式：履约保证金。</w:t>
      </w:r>
    </w:p>
    <w:p w14:paraId="32002685">
      <w:pPr>
        <w:spacing w:line="440" w:lineRule="exact"/>
        <w:ind w:firstLine="480" w:firstLineChars="200"/>
        <w:jc w:val="left"/>
        <w:rPr>
          <w:rFonts w:hint="eastAsia" w:ascii="宋体" w:hAnsi="宋体" w:eastAsia="宋体" w:cs="宋体"/>
          <w:b w:val="0"/>
          <w:bCs/>
          <w:color w:val="auto"/>
          <w:kern w:val="2"/>
          <w:sz w:val="24"/>
          <w:highlight w:val="none"/>
          <w:lang w:val="en-US" w:eastAsia="zh-CN" w:bidi="ar-SA"/>
        </w:rPr>
      </w:pPr>
      <w:r>
        <w:rPr>
          <w:rFonts w:hint="eastAsia" w:ascii="宋体" w:hAnsi="宋体" w:eastAsia="宋体" w:cs="宋体"/>
          <w:b w:val="0"/>
          <w:bCs/>
          <w:color w:val="auto"/>
          <w:kern w:val="2"/>
          <w:sz w:val="24"/>
          <w:highlight w:val="none"/>
          <w:lang w:val="en-US" w:eastAsia="zh-CN" w:bidi="ar-SA"/>
        </w:rPr>
        <w:t>2. 履约保证金金额：暂定合同金额（45万元×成交取费比率）的10%。</w:t>
      </w:r>
    </w:p>
    <w:p w14:paraId="2D77A61F">
      <w:pPr>
        <w:spacing w:line="440" w:lineRule="exact"/>
        <w:ind w:firstLine="480" w:firstLineChars="200"/>
        <w:jc w:val="left"/>
        <w:rPr>
          <w:rFonts w:hint="eastAsia" w:ascii="宋体" w:hAnsi="宋体" w:eastAsia="宋体" w:cs="宋体"/>
          <w:b w:val="0"/>
          <w:bCs/>
          <w:color w:val="auto"/>
          <w:kern w:val="2"/>
          <w:sz w:val="24"/>
          <w:highlight w:val="none"/>
          <w:lang w:val="en-US" w:eastAsia="zh-CN" w:bidi="ar-SA"/>
        </w:rPr>
      </w:pPr>
      <w:r>
        <w:rPr>
          <w:rFonts w:hint="eastAsia" w:ascii="宋体" w:hAnsi="宋体" w:eastAsia="宋体" w:cs="宋体"/>
          <w:b w:val="0"/>
          <w:bCs/>
          <w:color w:val="auto"/>
          <w:kern w:val="2"/>
          <w:sz w:val="24"/>
          <w:highlight w:val="none"/>
          <w:lang w:val="en-US" w:eastAsia="zh-CN" w:bidi="ar-SA"/>
        </w:rPr>
        <w:t>3. 履约保证金的缴纳方式：转账（从中标人银行账户以转账或电汇方式提交）或非现金形式（以支票、汇票、本票或者金融机构、担保机构出具的保函）担保。</w:t>
      </w:r>
    </w:p>
    <w:p w14:paraId="025A96B4">
      <w:pPr>
        <w:spacing w:line="440" w:lineRule="exact"/>
        <w:ind w:firstLine="480" w:firstLineChars="200"/>
        <w:jc w:val="left"/>
        <w:rPr>
          <w:rFonts w:hint="eastAsia" w:ascii="宋体" w:hAnsi="宋体" w:eastAsia="宋体" w:cs="宋体"/>
          <w:b w:val="0"/>
          <w:bCs/>
          <w:color w:val="auto"/>
          <w:kern w:val="2"/>
          <w:sz w:val="24"/>
          <w:highlight w:val="none"/>
          <w:lang w:val="en-US" w:eastAsia="zh-CN" w:bidi="ar-SA"/>
        </w:rPr>
      </w:pPr>
      <w:r>
        <w:rPr>
          <w:rFonts w:hint="eastAsia" w:ascii="宋体" w:hAnsi="宋体" w:eastAsia="宋体" w:cs="宋体"/>
          <w:b w:val="0"/>
          <w:bCs/>
          <w:color w:val="auto"/>
          <w:kern w:val="2"/>
          <w:sz w:val="24"/>
          <w:highlight w:val="none"/>
          <w:lang w:val="en-US" w:eastAsia="zh-CN" w:bidi="ar-SA"/>
        </w:rPr>
        <w:t>4. 履约保证金的递交时间：合同签订前转账或电汇至比选人指定账户。</w:t>
      </w:r>
    </w:p>
    <w:p w14:paraId="14390A15">
      <w:pPr>
        <w:spacing w:line="440" w:lineRule="exact"/>
        <w:ind w:firstLine="480" w:firstLineChars="200"/>
        <w:jc w:val="left"/>
        <w:rPr>
          <w:rFonts w:hint="eastAsia" w:ascii="宋体" w:hAnsi="宋体" w:eastAsia="宋体" w:cs="宋体"/>
          <w:b w:val="0"/>
          <w:bCs/>
          <w:color w:val="auto"/>
          <w:kern w:val="2"/>
          <w:sz w:val="24"/>
          <w:highlight w:val="none"/>
          <w:lang w:val="en-US" w:eastAsia="zh-CN" w:bidi="ar-SA"/>
        </w:rPr>
      </w:pPr>
      <w:r>
        <w:rPr>
          <w:rFonts w:hint="eastAsia" w:ascii="宋体" w:hAnsi="宋体" w:eastAsia="宋体" w:cs="宋体"/>
          <w:b w:val="0"/>
          <w:bCs/>
          <w:color w:val="auto"/>
          <w:kern w:val="2"/>
          <w:sz w:val="24"/>
          <w:highlight w:val="none"/>
          <w:lang w:val="en-US" w:eastAsia="zh-CN" w:bidi="ar-SA"/>
        </w:rPr>
        <w:t>5. 履约保证金返还：工程竣工验收合格后一次性无息退还。</w:t>
      </w:r>
    </w:p>
    <w:p w14:paraId="796E675A">
      <w:pPr>
        <w:pStyle w:val="4"/>
        <w:spacing w:line="400" w:lineRule="exact"/>
        <w:ind w:firstLine="482" w:firstLineChars="200"/>
        <w:rPr>
          <w:rFonts w:hint="eastAsia" w:ascii="宋体" w:hAnsi="宋体" w:eastAsia="宋体" w:cs="宋体"/>
          <w:b/>
          <w:color w:val="auto"/>
          <w:sz w:val="24"/>
          <w:highlight w:val="none"/>
          <w:lang w:val="en-US" w:eastAsia="zh-CN"/>
        </w:rPr>
      </w:pPr>
      <w:bookmarkStart w:id="183" w:name="_Toc26564"/>
      <w:bookmarkStart w:id="184" w:name="_Toc5039"/>
      <w:r>
        <w:rPr>
          <w:rFonts w:hint="eastAsia" w:ascii="宋体" w:hAnsi="宋体" w:eastAsia="宋体" w:cs="宋体"/>
          <w:b/>
          <w:color w:val="auto"/>
          <w:sz w:val="24"/>
          <w:highlight w:val="none"/>
          <w:lang w:val="en-US" w:eastAsia="zh-CN"/>
        </w:rPr>
        <w:t>六、质量保证</w:t>
      </w:r>
      <w:bookmarkEnd w:id="183"/>
      <w:bookmarkEnd w:id="184"/>
    </w:p>
    <w:p w14:paraId="6C10C529">
      <w:pPr>
        <w:spacing w:line="440" w:lineRule="exact"/>
        <w:ind w:firstLine="480" w:firstLineChars="200"/>
        <w:jc w:val="left"/>
        <w:rPr>
          <w:rFonts w:hint="eastAsia" w:ascii="宋体" w:hAnsi="宋体" w:eastAsia="宋体" w:cs="宋体"/>
          <w:b w:val="0"/>
          <w:bCs/>
          <w:color w:val="auto"/>
          <w:kern w:val="2"/>
          <w:sz w:val="24"/>
          <w:highlight w:val="none"/>
          <w:lang w:val="en-US" w:eastAsia="zh-CN" w:bidi="ar-SA"/>
        </w:rPr>
      </w:pPr>
      <w:r>
        <w:rPr>
          <w:rFonts w:hint="eastAsia" w:ascii="宋体" w:hAnsi="宋体" w:eastAsia="宋体" w:cs="宋体"/>
          <w:b w:val="0"/>
          <w:bCs/>
          <w:color w:val="auto"/>
          <w:kern w:val="2"/>
          <w:sz w:val="24"/>
          <w:highlight w:val="none"/>
          <w:lang w:val="en-US" w:eastAsia="zh-CN" w:bidi="ar-SA"/>
        </w:rPr>
        <w:t>1.质保期按照建设工程质量管理条例相关规定执行。</w:t>
      </w:r>
    </w:p>
    <w:p w14:paraId="6161F53B">
      <w:pPr>
        <w:spacing w:line="440" w:lineRule="exact"/>
        <w:ind w:firstLine="480" w:firstLineChars="200"/>
        <w:jc w:val="left"/>
        <w:rPr>
          <w:rFonts w:hint="eastAsia" w:ascii="宋体" w:hAnsi="宋体" w:eastAsia="宋体" w:cs="宋体"/>
          <w:b w:val="0"/>
          <w:bCs/>
          <w:color w:val="auto"/>
          <w:kern w:val="2"/>
          <w:sz w:val="24"/>
          <w:highlight w:val="none"/>
          <w:lang w:val="en-US" w:eastAsia="zh-CN" w:bidi="ar-SA"/>
        </w:rPr>
      </w:pPr>
      <w:r>
        <w:rPr>
          <w:rFonts w:hint="eastAsia" w:ascii="宋体" w:hAnsi="宋体" w:eastAsia="宋体" w:cs="宋体"/>
          <w:b w:val="0"/>
          <w:bCs/>
          <w:color w:val="auto"/>
          <w:kern w:val="2"/>
          <w:sz w:val="24"/>
          <w:highlight w:val="none"/>
          <w:lang w:val="en-US" w:eastAsia="zh-CN" w:bidi="ar-SA"/>
        </w:rPr>
        <w:t>（1）基础设施工程、房屋建筑的</w:t>
      </w:r>
      <w:r>
        <w:rPr>
          <w:rFonts w:hint="eastAsia" w:ascii="宋体" w:hAnsi="宋体" w:eastAsia="宋体" w:cs="宋体"/>
          <w:b w:val="0"/>
          <w:bCs/>
          <w:color w:val="auto"/>
          <w:kern w:val="2"/>
          <w:sz w:val="24"/>
          <w:highlight w:val="none"/>
          <w:lang w:val="en-US" w:eastAsia="zh-CN" w:bidi="ar-SA"/>
        </w:rPr>
        <w:fldChar w:fldCharType="begin"/>
      </w:r>
      <w:r>
        <w:rPr>
          <w:rFonts w:hint="eastAsia" w:ascii="宋体" w:hAnsi="宋体" w:eastAsia="宋体" w:cs="宋体"/>
          <w:b w:val="0"/>
          <w:bCs/>
          <w:color w:val="auto"/>
          <w:kern w:val="2"/>
          <w:sz w:val="24"/>
          <w:highlight w:val="none"/>
          <w:lang w:val="en-US" w:eastAsia="zh-CN" w:bidi="ar-SA"/>
        </w:rPr>
        <w:instrText xml:space="preserve"> HYPERLINK "https://baike.so.com/doc/5421948-5660139.html" \t "_blank" </w:instrText>
      </w:r>
      <w:r>
        <w:rPr>
          <w:rFonts w:hint="eastAsia" w:ascii="宋体" w:hAnsi="宋体" w:eastAsia="宋体" w:cs="宋体"/>
          <w:b w:val="0"/>
          <w:bCs/>
          <w:color w:val="auto"/>
          <w:kern w:val="2"/>
          <w:sz w:val="24"/>
          <w:highlight w:val="none"/>
          <w:lang w:val="en-US" w:eastAsia="zh-CN" w:bidi="ar-SA"/>
        </w:rPr>
        <w:fldChar w:fldCharType="separate"/>
      </w:r>
      <w:r>
        <w:rPr>
          <w:rFonts w:hint="eastAsia" w:ascii="宋体" w:hAnsi="宋体" w:eastAsia="宋体" w:cs="宋体"/>
          <w:b w:val="0"/>
          <w:bCs/>
          <w:color w:val="auto"/>
          <w:kern w:val="2"/>
          <w:sz w:val="24"/>
          <w:highlight w:val="none"/>
          <w:lang w:val="en-US" w:eastAsia="zh-CN" w:bidi="ar-SA"/>
        </w:rPr>
        <w:t>地基基础工程</w:t>
      </w:r>
      <w:r>
        <w:rPr>
          <w:rFonts w:hint="eastAsia" w:ascii="宋体" w:hAnsi="宋体" w:eastAsia="宋体" w:cs="宋体"/>
          <w:b w:val="0"/>
          <w:bCs/>
          <w:color w:val="auto"/>
          <w:kern w:val="2"/>
          <w:sz w:val="24"/>
          <w:highlight w:val="none"/>
          <w:lang w:val="en-US" w:eastAsia="zh-CN" w:bidi="ar-SA"/>
        </w:rPr>
        <w:fldChar w:fldCharType="end"/>
      </w:r>
      <w:r>
        <w:rPr>
          <w:rFonts w:hint="eastAsia" w:ascii="宋体" w:hAnsi="宋体" w:eastAsia="宋体" w:cs="宋体"/>
          <w:b w:val="0"/>
          <w:bCs/>
          <w:color w:val="auto"/>
          <w:kern w:val="2"/>
          <w:sz w:val="24"/>
          <w:highlight w:val="none"/>
          <w:lang w:val="en-US" w:eastAsia="zh-CN" w:bidi="ar-SA"/>
        </w:rPr>
        <w:t>和主体结构工程，为设计文件规定的该工程的合理使用年限；</w:t>
      </w:r>
    </w:p>
    <w:p w14:paraId="06DBE23E">
      <w:pPr>
        <w:spacing w:line="440" w:lineRule="exact"/>
        <w:ind w:firstLine="480" w:firstLineChars="200"/>
        <w:jc w:val="left"/>
        <w:rPr>
          <w:rFonts w:hint="eastAsia" w:ascii="宋体" w:hAnsi="宋体" w:eastAsia="宋体" w:cs="宋体"/>
          <w:b w:val="0"/>
          <w:bCs/>
          <w:color w:val="auto"/>
          <w:kern w:val="2"/>
          <w:sz w:val="24"/>
          <w:highlight w:val="none"/>
          <w:lang w:val="en-US" w:eastAsia="zh-CN" w:bidi="ar-SA"/>
        </w:rPr>
      </w:pPr>
      <w:r>
        <w:rPr>
          <w:rFonts w:hint="eastAsia" w:ascii="宋体" w:hAnsi="宋体" w:eastAsia="宋体" w:cs="宋体"/>
          <w:b w:val="0"/>
          <w:bCs/>
          <w:color w:val="auto"/>
          <w:kern w:val="2"/>
          <w:sz w:val="24"/>
          <w:highlight w:val="none"/>
          <w:lang w:val="en-US" w:eastAsia="zh-CN" w:bidi="ar-SA"/>
        </w:rPr>
        <w:t>（2）屋面防水工程、有防水要求的卫生间、房间和外墙面的防渗漏，为5年；</w:t>
      </w:r>
    </w:p>
    <w:p w14:paraId="2E5FB18D">
      <w:pPr>
        <w:spacing w:line="440" w:lineRule="exact"/>
        <w:ind w:firstLine="480" w:firstLineChars="200"/>
        <w:jc w:val="left"/>
        <w:rPr>
          <w:rFonts w:hint="eastAsia" w:ascii="宋体" w:hAnsi="宋体" w:eastAsia="宋体" w:cs="宋体"/>
          <w:b w:val="0"/>
          <w:bCs/>
          <w:color w:val="auto"/>
          <w:kern w:val="2"/>
          <w:sz w:val="24"/>
          <w:highlight w:val="none"/>
          <w:lang w:val="en-US" w:eastAsia="zh-CN" w:bidi="ar-SA"/>
        </w:rPr>
      </w:pPr>
      <w:r>
        <w:rPr>
          <w:rFonts w:hint="eastAsia" w:ascii="宋体" w:hAnsi="宋体" w:eastAsia="宋体" w:cs="宋体"/>
          <w:b w:val="0"/>
          <w:bCs/>
          <w:color w:val="auto"/>
          <w:kern w:val="2"/>
          <w:sz w:val="24"/>
          <w:highlight w:val="none"/>
          <w:lang w:val="en-US" w:eastAsia="zh-CN" w:bidi="ar-SA"/>
        </w:rPr>
        <w:t>（3）供热与供冷系统，为2个采暖期、供冷期；</w:t>
      </w:r>
    </w:p>
    <w:p w14:paraId="3A3D2426">
      <w:pPr>
        <w:spacing w:line="440" w:lineRule="exact"/>
        <w:ind w:firstLine="480" w:firstLineChars="200"/>
        <w:jc w:val="left"/>
        <w:rPr>
          <w:rFonts w:hint="eastAsia" w:ascii="宋体" w:hAnsi="宋体" w:eastAsia="宋体" w:cs="宋体"/>
          <w:b w:val="0"/>
          <w:bCs/>
          <w:color w:val="auto"/>
          <w:kern w:val="2"/>
          <w:sz w:val="24"/>
          <w:highlight w:val="none"/>
          <w:lang w:val="en-US" w:eastAsia="zh-CN" w:bidi="ar-SA"/>
        </w:rPr>
      </w:pPr>
      <w:r>
        <w:rPr>
          <w:rFonts w:hint="eastAsia" w:ascii="宋体" w:hAnsi="宋体" w:eastAsia="宋体" w:cs="宋体"/>
          <w:b w:val="0"/>
          <w:bCs/>
          <w:color w:val="auto"/>
          <w:kern w:val="2"/>
          <w:sz w:val="24"/>
          <w:highlight w:val="none"/>
          <w:lang w:val="en-US" w:eastAsia="zh-CN" w:bidi="ar-SA"/>
        </w:rPr>
        <w:t>（4）电气管线、给排水管道、设备安装和装修工程，为2年。</w:t>
      </w:r>
    </w:p>
    <w:p w14:paraId="1B1B03BF">
      <w:pPr>
        <w:spacing w:line="440" w:lineRule="exact"/>
        <w:ind w:firstLine="480" w:firstLineChars="200"/>
        <w:jc w:val="left"/>
        <w:rPr>
          <w:rFonts w:hint="eastAsia" w:ascii="宋体" w:hAnsi="宋体" w:eastAsia="宋体" w:cs="宋体"/>
          <w:b w:val="0"/>
          <w:bCs/>
          <w:color w:val="auto"/>
          <w:kern w:val="2"/>
          <w:sz w:val="24"/>
          <w:highlight w:val="none"/>
          <w:lang w:val="en-US" w:eastAsia="zh-CN" w:bidi="ar-SA"/>
        </w:rPr>
      </w:pPr>
      <w:r>
        <w:rPr>
          <w:rFonts w:hint="eastAsia" w:ascii="宋体" w:hAnsi="宋体" w:eastAsia="宋体" w:cs="宋体"/>
          <w:b w:val="0"/>
          <w:bCs/>
          <w:color w:val="auto"/>
          <w:kern w:val="2"/>
          <w:sz w:val="24"/>
          <w:highlight w:val="none"/>
          <w:lang w:val="en-US" w:eastAsia="zh-CN" w:bidi="ar-SA"/>
        </w:rPr>
        <w:t>2.中标人应按法律、法规和行业要求以对在质保期内的工程承担免费保修责任。</w:t>
      </w:r>
    </w:p>
    <w:p w14:paraId="49A1C4B4">
      <w:pPr>
        <w:spacing w:line="440" w:lineRule="exact"/>
        <w:ind w:firstLine="480" w:firstLineChars="200"/>
        <w:jc w:val="left"/>
        <w:rPr>
          <w:rFonts w:hint="eastAsia" w:ascii="宋体" w:hAnsi="宋体" w:eastAsia="宋体" w:cs="宋体"/>
          <w:b w:val="0"/>
          <w:bCs/>
          <w:color w:val="auto"/>
          <w:kern w:val="2"/>
          <w:sz w:val="24"/>
          <w:highlight w:val="none"/>
          <w:lang w:val="en-US" w:eastAsia="zh-CN" w:bidi="ar-SA"/>
        </w:rPr>
      </w:pPr>
      <w:r>
        <w:rPr>
          <w:rFonts w:hint="eastAsia" w:ascii="宋体" w:hAnsi="宋体" w:eastAsia="宋体" w:cs="宋体"/>
          <w:b w:val="0"/>
          <w:bCs/>
          <w:color w:val="auto"/>
          <w:kern w:val="2"/>
          <w:sz w:val="24"/>
          <w:highlight w:val="none"/>
          <w:lang w:val="en-US" w:eastAsia="zh-CN" w:bidi="ar-SA"/>
        </w:rPr>
        <w:t>3.中标人应按规定的货物性能、技术要求、质量标准向比选人提供未经使用的全新产品。</w:t>
      </w:r>
    </w:p>
    <w:p w14:paraId="1F8026A0">
      <w:pPr>
        <w:spacing w:line="440" w:lineRule="exact"/>
        <w:ind w:firstLine="480" w:firstLineChars="200"/>
        <w:jc w:val="left"/>
        <w:rPr>
          <w:rFonts w:hint="eastAsia" w:ascii="宋体" w:hAnsi="宋体" w:eastAsia="宋体" w:cs="宋体"/>
          <w:b w:val="0"/>
          <w:bCs/>
          <w:color w:val="auto"/>
          <w:kern w:val="2"/>
          <w:sz w:val="24"/>
          <w:highlight w:val="none"/>
          <w:lang w:val="en-US" w:eastAsia="zh-CN" w:bidi="ar-SA"/>
        </w:rPr>
      </w:pPr>
      <w:r>
        <w:rPr>
          <w:rFonts w:hint="eastAsia" w:ascii="宋体" w:hAnsi="宋体" w:eastAsia="宋体" w:cs="宋体"/>
          <w:b w:val="0"/>
          <w:bCs/>
          <w:color w:val="auto"/>
          <w:kern w:val="2"/>
          <w:sz w:val="24"/>
          <w:highlight w:val="none"/>
          <w:lang w:val="en-US" w:eastAsia="zh-CN" w:bidi="ar-SA"/>
        </w:rPr>
        <w:t>4.中标人承诺延长质保期的，按实际质保期限执行。</w:t>
      </w:r>
    </w:p>
    <w:p w14:paraId="3830302A">
      <w:pPr>
        <w:spacing w:line="440" w:lineRule="exact"/>
        <w:ind w:firstLine="480" w:firstLineChars="200"/>
        <w:jc w:val="left"/>
        <w:rPr>
          <w:rFonts w:hint="eastAsia" w:ascii="宋体" w:hAnsi="宋体" w:eastAsia="宋体" w:cs="宋体"/>
          <w:b w:val="0"/>
          <w:bCs/>
          <w:color w:val="auto"/>
          <w:kern w:val="2"/>
          <w:sz w:val="24"/>
          <w:highlight w:val="none"/>
          <w:lang w:val="en-US" w:eastAsia="zh-CN" w:bidi="ar-SA"/>
        </w:rPr>
      </w:pPr>
      <w:r>
        <w:rPr>
          <w:rFonts w:hint="eastAsia" w:ascii="宋体" w:hAnsi="宋体" w:eastAsia="宋体" w:cs="宋体"/>
          <w:b w:val="0"/>
          <w:bCs/>
          <w:color w:val="auto"/>
          <w:kern w:val="2"/>
          <w:sz w:val="24"/>
          <w:highlight w:val="none"/>
          <w:lang w:val="en-US" w:eastAsia="zh-CN" w:bidi="ar-SA"/>
        </w:rPr>
        <w:t>5.质保期自单项工程验收合格之日起计算。</w:t>
      </w:r>
    </w:p>
    <w:p w14:paraId="67FD97BB">
      <w:pPr>
        <w:pStyle w:val="4"/>
        <w:spacing w:line="400" w:lineRule="exact"/>
        <w:ind w:firstLine="482" w:firstLineChars="200"/>
        <w:rPr>
          <w:rFonts w:hint="eastAsia" w:ascii="宋体" w:hAnsi="宋体" w:eastAsia="宋体" w:cs="宋体"/>
          <w:b/>
          <w:color w:val="auto"/>
          <w:sz w:val="24"/>
          <w:highlight w:val="none"/>
          <w:lang w:val="en-US" w:eastAsia="zh-CN"/>
        </w:rPr>
      </w:pPr>
      <w:bookmarkStart w:id="185" w:name="_Toc13749"/>
      <w:bookmarkStart w:id="186" w:name="_Toc7639"/>
      <w:r>
        <w:rPr>
          <w:rFonts w:hint="eastAsia" w:ascii="宋体" w:hAnsi="宋体" w:eastAsia="宋体" w:cs="宋体"/>
          <w:b/>
          <w:color w:val="auto"/>
          <w:sz w:val="24"/>
          <w:highlight w:val="none"/>
          <w:lang w:val="en-US" w:eastAsia="zh-CN"/>
        </w:rPr>
        <w:t>七、违约责任</w:t>
      </w:r>
      <w:bookmarkEnd w:id="185"/>
      <w:bookmarkEnd w:id="186"/>
    </w:p>
    <w:p w14:paraId="64DD354D">
      <w:pPr>
        <w:spacing w:line="440" w:lineRule="exact"/>
        <w:ind w:firstLine="480" w:firstLineChars="200"/>
        <w:jc w:val="left"/>
        <w:rPr>
          <w:rFonts w:hint="eastAsia" w:ascii="宋体" w:hAnsi="宋体" w:eastAsia="宋体" w:cs="宋体"/>
          <w:b w:val="0"/>
          <w:bCs/>
          <w:color w:val="auto"/>
          <w:kern w:val="2"/>
          <w:sz w:val="24"/>
          <w:highlight w:val="none"/>
          <w:lang w:val="en-US" w:eastAsia="zh-CN" w:bidi="ar-SA"/>
        </w:rPr>
      </w:pPr>
      <w:r>
        <w:rPr>
          <w:rFonts w:hint="eastAsia" w:ascii="宋体" w:hAnsi="宋体" w:eastAsia="宋体" w:cs="宋体"/>
          <w:b w:val="0"/>
          <w:bCs/>
          <w:color w:val="auto"/>
          <w:kern w:val="2"/>
          <w:sz w:val="24"/>
          <w:highlight w:val="none"/>
          <w:lang w:val="en-US" w:eastAsia="zh-CN" w:bidi="ar-SA"/>
        </w:rPr>
        <w:t>按照本项目合同约定执行。</w:t>
      </w:r>
      <w:bookmarkStart w:id="187" w:name="_Toc163814124"/>
    </w:p>
    <w:p w14:paraId="2800FD07">
      <w:pPr>
        <w:pStyle w:val="4"/>
        <w:spacing w:line="400" w:lineRule="exact"/>
        <w:ind w:firstLine="482" w:firstLineChars="200"/>
        <w:rPr>
          <w:rFonts w:hint="eastAsia" w:ascii="宋体" w:hAnsi="宋体" w:eastAsia="宋体" w:cs="宋体"/>
          <w:b/>
          <w:color w:val="auto"/>
          <w:sz w:val="24"/>
          <w:highlight w:val="none"/>
          <w:lang w:val="en-US" w:eastAsia="zh-CN"/>
        </w:rPr>
      </w:pPr>
      <w:bookmarkStart w:id="188" w:name="_Toc19346"/>
      <w:bookmarkStart w:id="189" w:name="_Toc21750"/>
      <w:r>
        <w:rPr>
          <w:rFonts w:hint="eastAsia" w:ascii="宋体" w:hAnsi="宋体" w:eastAsia="宋体" w:cs="宋体"/>
          <w:b/>
          <w:color w:val="auto"/>
          <w:sz w:val="24"/>
          <w:highlight w:val="none"/>
          <w:lang w:val="en-US" w:eastAsia="zh-CN"/>
        </w:rPr>
        <w:t>八、知识产权</w:t>
      </w:r>
      <w:bookmarkEnd w:id="187"/>
      <w:bookmarkEnd w:id="188"/>
      <w:bookmarkEnd w:id="189"/>
    </w:p>
    <w:p w14:paraId="3B15BE7D">
      <w:pPr>
        <w:spacing w:line="440" w:lineRule="exact"/>
        <w:ind w:firstLine="480" w:firstLineChars="200"/>
        <w:jc w:val="left"/>
        <w:rPr>
          <w:rFonts w:hint="eastAsia" w:ascii="宋体" w:hAnsi="宋体" w:eastAsia="宋体" w:cs="宋体"/>
          <w:b w:val="0"/>
          <w:bCs/>
          <w:color w:val="auto"/>
          <w:kern w:val="2"/>
          <w:sz w:val="24"/>
          <w:highlight w:val="none"/>
          <w:lang w:val="en-US" w:eastAsia="zh-CN" w:bidi="ar-SA"/>
        </w:rPr>
      </w:pPr>
      <w:r>
        <w:rPr>
          <w:rFonts w:hint="eastAsia" w:ascii="宋体" w:hAnsi="宋体" w:eastAsia="宋体" w:cs="宋体"/>
          <w:b w:val="0"/>
          <w:bCs/>
          <w:color w:val="auto"/>
          <w:kern w:val="2"/>
          <w:sz w:val="24"/>
          <w:highlight w:val="none"/>
          <w:lang w:val="en-US" w:eastAsia="zh-CN" w:bidi="ar-SA"/>
        </w:rPr>
        <w:t>比选人在中华人民共和国境内使用竞选人提供的货物及服务时免受第三方提出的侵犯其专利权或其它知识产权的起诉。如果第三方提出侵权指控，中标人应承担由此而引起的一切法律责任和费用。</w:t>
      </w:r>
    </w:p>
    <w:p w14:paraId="042701BF">
      <w:pPr>
        <w:pStyle w:val="4"/>
        <w:spacing w:line="400" w:lineRule="exact"/>
        <w:ind w:firstLine="482" w:firstLineChars="200"/>
        <w:rPr>
          <w:rFonts w:hint="eastAsia" w:ascii="宋体" w:hAnsi="宋体" w:eastAsia="宋体" w:cs="宋体"/>
          <w:b/>
          <w:color w:val="auto"/>
          <w:sz w:val="24"/>
          <w:highlight w:val="none"/>
          <w:lang w:val="en-US" w:eastAsia="zh-CN"/>
        </w:rPr>
      </w:pPr>
      <w:bookmarkStart w:id="190" w:name="_Toc25181"/>
      <w:bookmarkStart w:id="191" w:name="_Toc12426"/>
      <w:r>
        <w:rPr>
          <w:rFonts w:hint="eastAsia" w:ascii="宋体" w:hAnsi="宋体" w:eastAsia="宋体" w:cs="宋体"/>
          <w:b/>
          <w:color w:val="auto"/>
          <w:sz w:val="24"/>
          <w:highlight w:val="none"/>
          <w:lang w:val="en-US" w:eastAsia="zh-CN"/>
        </w:rPr>
        <w:t>九、其他</w:t>
      </w:r>
      <w:bookmarkEnd w:id="190"/>
      <w:bookmarkEnd w:id="191"/>
    </w:p>
    <w:p w14:paraId="4F63A568">
      <w:pPr>
        <w:spacing w:line="440" w:lineRule="exact"/>
        <w:ind w:firstLine="480" w:firstLineChars="200"/>
        <w:jc w:val="left"/>
        <w:rPr>
          <w:rFonts w:hint="eastAsia" w:ascii="宋体" w:hAnsi="宋体" w:eastAsia="宋体" w:cs="宋体"/>
          <w:b w:val="0"/>
          <w:bCs/>
          <w:color w:val="auto"/>
          <w:kern w:val="2"/>
          <w:sz w:val="24"/>
          <w:highlight w:val="none"/>
          <w:lang w:val="en-US" w:eastAsia="zh-CN" w:bidi="ar-SA"/>
        </w:rPr>
      </w:pPr>
      <w:r>
        <w:rPr>
          <w:rFonts w:hint="eastAsia" w:ascii="宋体" w:hAnsi="宋体" w:eastAsia="宋体" w:cs="宋体"/>
          <w:b w:val="0"/>
          <w:bCs/>
          <w:color w:val="auto"/>
          <w:kern w:val="2"/>
          <w:sz w:val="24"/>
          <w:highlight w:val="none"/>
          <w:lang w:val="en-US" w:eastAsia="zh-CN" w:bidi="ar-SA"/>
        </w:rPr>
        <w:t>1.竞选人必须对以上条款和服务承诺明确列出，承诺内容必须达到要求。</w:t>
      </w:r>
    </w:p>
    <w:p w14:paraId="4612E51D">
      <w:pPr>
        <w:spacing w:line="440" w:lineRule="exact"/>
        <w:ind w:firstLine="480" w:firstLineChars="200"/>
        <w:jc w:val="left"/>
        <w:rPr>
          <w:rFonts w:hint="eastAsia" w:ascii="宋体" w:hAnsi="宋体" w:eastAsia="宋体" w:cs="宋体"/>
          <w:b w:val="0"/>
          <w:bCs/>
          <w:color w:val="auto"/>
          <w:kern w:val="2"/>
          <w:sz w:val="24"/>
          <w:highlight w:val="none"/>
          <w:lang w:val="en-US" w:eastAsia="zh-CN" w:bidi="ar-SA"/>
        </w:rPr>
      </w:pPr>
      <w:r>
        <w:rPr>
          <w:rFonts w:hint="eastAsia" w:ascii="宋体" w:hAnsi="宋体" w:eastAsia="宋体" w:cs="宋体"/>
          <w:b w:val="0"/>
          <w:bCs/>
          <w:color w:val="auto"/>
          <w:kern w:val="2"/>
          <w:sz w:val="24"/>
          <w:highlight w:val="none"/>
          <w:lang w:val="en-US" w:eastAsia="zh-CN" w:bidi="ar-SA"/>
        </w:rPr>
        <w:t xml:space="preserve">2.其他未尽事宜由供需双方在采购合同中详细约定。 </w:t>
      </w:r>
    </w:p>
    <w:p w14:paraId="5A653196">
      <w:pPr>
        <w:pStyle w:val="3"/>
        <w:spacing w:before="0" w:beforeLines="0" w:after="0" w:afterLines="0" w:line="360" w:lineRule="auto"/>
        <w:rPr>
          <w:rFonts w:hint="eastAsia" w:ascii="宋体" w:hAnsi="宋体" w:eastAsia="宋体" w:cs="宋体"/>
          <w:b/>
          <w:color w:val="auto"/>
          <w:highlight w:val="none"/>
        </w:rPr>
      </w:pPr>
      <w:r>
        <w:rPr>
          <w:rFonts w:hint="eastAsia" w:ascii="宋体" w:hAnsi="宋体" w:eastAsia="宋体" w:cs="宋体"/>
          <w:color w:val="auto"/>
          <w:sz w:val="28"/>
          <w:highlight w:val="none"/>
        </w:rPr>
        <w:br w:type="page"/>
      </w:r>
      <w:bookmarkStart w:id="192" w:name="_Toc20102"/>
      <w:r>
        <w:rPr>
          <w:rFonts w:hint="eastAsia" w:ascii="宋体" w:hAnsi="宋体" w:eastAsia="宋体" w:cs="宋体"/>
          <w:b/>
          <w:color w:val="auto"/>
          <w:highlight w:val="none"/>
        </w:rPr>
        <w:t>第四篇  资格审查及</w:t>
      </w:r>
      <w:r>
        <w:rPr>
          <w:rFonts w:hint="eastAsia" w:ascii="宋体" w:hAnsi="宋体" w:eastAsia="宋体" w:cs="宋体"/>
          <w:b/>
          <w:color w:val="auto"/>
          <w:highlight w:val="none"/>
          <w:lang w:val="en-US" w:eastAsia="zh-CN"/>
        </w:rPr>
        <w:t>评审</w:t>
      </w:r>
      <w:r>
        <w:rPr>
          <w:rFonts w:hint="eastAsia" w:ascii="宋体" w:hAnsi="宋体" w:eastAsia="宋体" w:cs="宋体"/>
          <w:b/>
          <w:color w:val="auto"/>
          <w:highlight w:val="none"/>
        </w:rPr>
        <w:t>办法</w:t>
      </w:r>
      <w:bookmarkEnd w:id="192"/>
    </w:p>
    <w:p w14:paraId="508DC42D">
      <w:pPr>
        <w:pStyle w:val="4"/>
        <w:spacing w:line="400" w:lineRule="exact"/>
        <w:ind w:firstLine="482" w:firstLineChars="200"/>
        <w:rPr>
          <w:rFonts w:hint="eastAsia" w:cs="宋体"/>
          <w:b/>
          <w:color w:val="auto"/>
          <w:sz w:val="24"/>
          <w:szCs w:val="24"/>
          <w:highlight w:val="none"/>
        </w:rPr>
      </w:pPr>
      <w:bookmarkStart w:id="193" w:name="_Toc2914"/>
      <w:bookmarkStart w:id="194" w:name="_Toc12759"/>
      <w:bookmarkStart w:id="195" w:name="_Toc13332"/>
      <w:bookmarkStart w:id="196" w:name="_Toc5292"/>
      <w:r>
        <w:rPr>
          <w:rFonts w:hint="eastAsia" w:cs="宋体"/>
          <w:b/>
          <w:color w:val="auto"/>
          <w:sz w:val="24"/>
          <w:szCs w:val="24"/>
          <w:highlight w:val="none"/>
        </w:rPr>
        <w:t>一、</w:t>
      </w:r>
      <w:r>
        <w:rPr>
          <w:rFonts w:hint="eastAsia" w:cs="宋体"/>
          <w:b/>
          <w:color w:val="auto"/>
          <w:sz w:val="24"/>
          <w:szCs w:val="24"/>
          <w:highlight w:val="none"/>
          <w:lang w:val="en-US" w:eastAsia="zh-CN"/>
        </w:rPr>
        <w:t>评审</w:t>
      </w:r>
      <w:r>
        <w:rPr>
          <w:rFonts w:hint="eastAsia" w:cs="宋体"/>
          <w:b/>
          <w:color w:val="auto"/>
          <w:sz w:val="24"/>
          <w:szCs w:val="24"/>
          <w:highlight w:val="none"/>
        </w:rPr>
        <w:t>方法</w:t>
      </w:r>
      <w:bookmarkEnd w:id="193"/>
      <w:bookmarkEnd w:id="194"/>
      <w:bookmarkEnd w:id="195"/>
      <w:bookmarkEnd w:id="196"/>
    </w:p>
    <w:p w14:paraId="5AE245C1">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w:t>
      </w:r>
      <w:r>
        <w:rPr>
          <w:rFonts w:hint="eastAsia" w:ascii="宋体" w:hAnsi="宋体" w:cs="宋体"/>
          <w:color w:val="auto"/>
          <w:kern w:val="0"/>
          <w:sz w:val="24"/>
          <w:szCs w:val="24"/>
          <w:highlight w:val="none"/>
          <w:lang w:val="en-US" w:eastAsia="zh-CN"/>
        </w:rPr>
        <w:t>评审</w:t>
      </w:r>
      <w:r>
        <w:rPr>
          <w:rFonts w:hint="eastAsia" w:ascii="宋体" w:hAnsi="宋体" w:cs="宋体"/>
          <w:color w:val="auto"/>
          <w:kern w:val="0"/>
          <w:sz w:val="24"/>
          <w:szCs w:val="24"/>
          <w:highlight w:val="none"/>
        </w:rPr>
        <w:t>方法定义</w:t>
      </w:r>
    </w:p>
    <w:p w14:paraId="79888046">
      <w:pPr>
        <w:snapToGrid w:val="0"/>
        <w:spacing w:line="400" w:lineRule="exact"/>
        <w:ind w:firstLine="482" w:firstLineChars="200"/>
        <w:rPr>
          <w:rFonts w:hint="eastAsia" w:ascii="宋体" w:hAnsi="宋体" w:cs="宋体"/>
          <w:color w:val="auto"/>
          <w:kern w:val="0"/>
          <w:sz w:val="24"/>
          <w:szCs w:val="24"/>
          <w:highlight w:val="none"/>
        </w:rPr>
      </w:pPr>
      <w:r>
        <w:rPr>
          <w:rFonts w:hint="eastAsia" w:ascii="宋体" w:hAnsi="宋体" w:cs="宋体"/>
          <w:b/>
          <w:color w:val="auto"/>
          <w:kern w:val="0"/>
          <w:sz w:val="24"/>
          <w:szCs w:val="24"/>
          <w:highlight w:val="none"/>
        </w:rPr>
        <w:t>综合评分法：</w:t>
      </w:r>
      <w:r>
        <w:rPr>
          <w:rFonts w:hint="eastAsia" w:ascii="宋体" w:hAnsi="宋体" w:cs="宋体"/>
          <w:color w:val="auto"/>
          <w:kern w:val="0"/>
          <w:sz w:val="24"/>
          <w:szCs w:val="24"/>
          <w:highlight w:val="none"/>
        </w:rPr>
        <w:t>本项目采用综合评分法进行</w:t>
      </w:r>
      <w:r>
        <w:rPr>
          <w:rFonts w:hint="eastAsia" w:ascii="宋体" w:hAnsi="宋体" w:cs="宋体"/>
          <w:color w:val="auto"/>
          <w:kern w:val="0"/>
          <w:sz w:val="24"/>
          <w:szCs w:val="24"/>
          <w:highlight w:val="none"/>
          <w:lang w:eastAsia="zh-CN"/>
        </w:rPr>
        <w:t>评审</w:t>
      </w:r>
      <w:r>
        <w:rPr>
          <w:rFonts w:hint="eastAsia" w:ascii="宋体" w:hAnsi="宋体" w:cs="宋体"/>
          <w:color w:val="auto"/>
          <w:kern w:val="0"/>
          <w:sz w:val="24"/>
          <w:szCs w:val="24"/>
          <w:highlight w:val="none"/>
        </w:rPr>
        <w:t>。综合评分法，是指</w:t>
      </w:r>
      <w:r>
        <w:rPr>
          <w:rFonts w:hint="eastAsia" w:ascii="宋体" w:hAnsi="宋体" w:cs="宋体"/>
          <w:color w:val="auto"/>
          <w:kern w:val="0"/>
          <w:sz w:val="24"/>
          <w:szCs w:val="24"/>
          <w:highlight w:val="none"/>
          <w:lang w:eastAsia="zh-CN"/>
        </w:rPr>
        <w:t>竞选文件</w:t>
      </w:r>
      <w:r>
        <w:rPr>
          <w:rFonts w:hint="eastAsia" w:ascii="宋体" w:hAnsi="宋体" w:cs="宋体"/>
          <w:color w:val="auto"/>
          <w:kern w:val="0"/>
          <w:sz w:val="24"/>
          <w:szCs w:val="24"/>
          <w:highlight w:val="none"/>
        </w:rPr>
        <w:t>满足</w:t>
      </w:r>
      <w:r>
        <w:rPr>
          <w:rFonts w:hint="eastAsia" w:ascii="宋体" w:hAnsi="宋体" w:cs="宋体"/>
          <w:color w:val="auto"/>
          <w:kern w:val="0"/>
          <w:sz w:val="24"/>
          <w:szCs w:val="24"/>
          <w:highlight w:val="none"/>
          <w:lang w:eastAsia="zh-CN"/>
        </w:rPr>
        <w:t>竞争性比选文件</w:t>
      </w:r>
      <w:r>
        <w:rPr>
          <w:rFonts w:hint="eastAsia" w:ascii="宋体" w:hAnsi="宋体" w:cs="宋体"/>
          <w:color w:val="auto"/>
          <w:kern w:val="0"/>
          <w:sz w:val="24"/>
          <w:szCs w:val="24"/>
          <w:highlight w:val="none"/>
        </w:rPr>
        <w:t>全部实质性要求且按照评审因素的量化指标评审得分最高的</w:t>
      </w:r>
      <w:r>
        <w:rPr>
          <w:rFonts w:hint="eastAsia" w:ascii="宋体" w:hAnsi="宋体" w:cs="宋体"/>
          <w:color w:val="auto"/>
          <w:kern w:val="0"/>
          <w:sz w:val="24"/>
          <w:szCs w:val="24"/>
          <w:highlight w:val="none"/>
          <w:lang w:val="en-US" w:eastAsia="zh-CN"/>
        </w:rPr>
        <w:t>三</w:t>
      </w:r>
      <w:r>
        <w:rPr>
          <w:rFonts w:hint="eastAsia" w:ascii="宋体" w:hAnsi="宋体" w:cs="宋体"/>
          <w:color w:val="auto"/>
          <w:kern w:val="0"/>
          <w:sz w:val="24"/>
          <w:szCs w:val="24"/>
          <w:highlight w:val="none"/>
        </w:rPr>
        <w:t>名</w:t>
      </w:r>
      <w:r>
        <w:rPr>
          <w:rFonts w:hint="eastAsia" w:ascii="宋体" w:hAnsi="宋体" w:cs="宋体"/>
          <w:color w:val="auto"/>
          <w:kern w:val="0"/>
          <w:sz w:val="24"/>
          <w:szCs w:val="24"/>
          <w:highlight w:val="none"/>
          <w:lang w:eastAsia="zh-CN"/>
        </w:rPr>
        <w:t>竞选人</w:t>
      </w:r>
      <w:r>
        <w:rPr>
          <w:rFonts w:hint="eastAsia" w:ascii="宋体" w:hAnsi="宋体" w:cs="宋体"/>
          <w:color w:val="auto"/>
          <w:kern w:val="0"/>
          <w:sz w:val="24"/>
          <w:szCs w:val="24"/>
          <w:highlight w:val="none"/>
        </w:rPr>
        <w:t>为</w:t>
      </w:r>
      <w:r>
        <w:rPr>
          <w:rFonts w:hint="eastAsia" w:ascii="宋体" w:hAnsi="宋体" w:cs="宋体"/>
          <w:color w:val="auto"/>
          <w:kern w:val="0"/>
          <w:sz w:val="24"/>
          <w:szCs w:val="24"/>
          <w:highlight w:val="none"/>
          <w:lang w:eastAsia="zh-CN"/>
        </w:rPr>
        <w:t>中标候选人</w:t>
      </w:r>
      <w:r>
        <w:rPr>
          <w:rFonts w:hint="eastAsia" w:ascii="宋体" w:hAnsi="宋体" w:cs="宋体"/>
          <w:color w:val="auto"/>
          <w:kern w:val="0"/>
          <w:sz w:val="24"/>
          <w:szCs w:val="24"/>
          <w:highlight w:val="none"/>
        </w:rPr>
        <w:t>的</w:t>
      </w:r>
      <w:r>
        <w:rPr>
          <w:rFonts w:hint="eastAsia" w:ascii="宋体" w:hAnsi="宋体" w:cs="宋体"/>
          <w:color w:val="auto"/>
          <w:kern w:val="0"/>
          <w:sz w:val="24"/>
          <w:szCs w:val="24"/>
          <w:highlight w:val="none"/>
          <w:lang w:eastAsia="zh-CN"/>
        </w:rPr>
        <w:t>评审</w:t>
      </w:r>
      <w:r>
        <w:rPr>
          <w:rFonts w:hint="eastAsia" w:ascii="宋体" w:hAnsi="宋体" w:cs="宋体"/>
          <w:color w:val="auto"/>
          <w:kern w:val="0"/>
          <w:sz w:val="24"/>
          <w:szCs w:val="24"/>
          <w:highlight w:val="none"/>
        </w:rPr>
        <w:t>方法。</w:t>
      </w:r>
      <w:r>
        <w:rPr>
          <w:rFonts w:hint="eastAsia" w:ascii="宋体" w:hAnsi="宋体" w:cs="宋体"/>
          <w:color w:val="auto"/>
          <w:kern w:val="0"/>
          <w:sz w:val="24"/>
          <w:szCs w:val="24"/>
          <w:highlight w:val="none"/>
          <w:lang w:eastAsia="zh-CN"/>
        </w:rPr>
        <w:t>竞选人</w:t>
      </w:r>
      <w:r>
        <w:rPr>
          <w:rFonts w:hint="eastAsia" w:ascii="宋体" w:hAnsi="宋体" w:cs="宋体"/>
          <w:color w:val="auto"/>
          <w:kern w:val="0"/>
          <w:sz w:val="24"/>
          <w:szCs w:val="24"/>
          <w:highlight w:val="none"/>
        </w:rPr>
        <w:t>总得分为价格、商务、技术等评定因素分别按照相应权重值计算分项得分后相加，满分为100分。</w:t>
      </w:r>
    </w:p>
    <w:p w14:paraId="13A97F1B">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（二）</w:t>
      </w:r>
      <w:r>
        <w:rPr>
          <w:rFonts w:hint="eastAsia" w:ascii="宋体" w:hAnsi="宋体" w:cs="宋体"/>
          <w:color w:val="auto"/>
          <w:kern w:val="0"/>
          <w:sz w:val="24"/>
          <w:szCs w:val="24"/>
          <w:highlight w:val="none"/>
          <w:lang w:eastAsia="zh-CN"/>
        </w:rPr>
        <w:t>评审</w:t>
      </w:r>
      <w:r>
        <w:rPr>
          <w:rFonts w:hint="eastAsia" w:ascii="宋体" w:hAnsi="宋体" w:cs="宋体"/>
          <w:color w:val="auto"/>
          <w:kern w:val="0"/>
          <w:sz w:val="24"/>
          <w:szCs w:val="24"/>
          <w:highlight w:val="none"/>
        </w:rPr>
        <w:t>程序</w:t>
      </w:r>
    </w:p>
    <w:p w14:paraId="4062EFBE">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评审</w:t>
      </w:r>
      <w:r>
        <w:rPr>
          <w:rFonts w:hint="eastAsia" w:ascii="宋体" w:hAnsi="宋体" w:cs="宋体"/>
          <w:color w:val="auto"/>
          <w:kern w:val="0"/>
          <w:sz w:val="24"/>
          <w:szCs w:val="24"/>
          <w:highlight w:val="none"/>
        </w:rPr>
        <w:t>工作由</w:t>
      </w:r>
      <w:r>
        <w:rPr>
          <w:rFonts w:hint="eastAsia" w:ascii="宋体" w:hAnsi="宋体" w:cs="宋体"/>
          <w:color w:val="auto"/>
          <w:kern w:val="0"/>
          <w:sz w:val="24"/>
          <w:szCs w:val="24"/>
          <w:highlight w:val="none"/>
          <w:lang w:eastAsia="zh-CN"/>
        </w:rPr>
        <w:t>比选代理机构</w:t>
      </w:r>
      <w:r>
        <w:rPr>
          <w:rFonts w:hint="eastAsia" w:ascii="宋体" w:hAnsi="宋体" w:cs="宋体"/>
          <w:color w:val="auto"/>
          <w:kern w:val="0"/>
          <w:sz w:val="24"/>
          <w:szCs w:val="24"/>
          <w:highlight w:val="none"/>
        </w:rPr>
        <w:t>负责组织，具体</w:t>
      </w:r>
      <w:r>
        <w:rPr>
          <w:rFonts w:hint="eastAsia" w:ascii="宋体" w:hAnsi="宋体" w:cs="宋体"/>
          <w:color w:val="auto"/>
          <w:kern w:val="0"/>
          <w:sz w:val="24"/>
          <w:szCs w:val="24"/>
          <w:highlight w:val="none"/>
          <w:lang w:eastAsia="zh-CN"/>
        </w:rPr>
        <w:t>评审</w:t>
      </w:r>
      <w:r>
        <w:rPr>
          <w:rFonts w:hint="eastAsia" w:ascii="宋体" w:hAnsi="宋体" w:cs="宋体"/>
          <w:color w:val="auto"/>
          <w:kern w:val="0"/>
          <w:sz w:val="24"/>
          <w:szCs w:val="24"/>
          <w:highlight w:val="none"/>
        </w:rPr>
        <w:t>事务由</w:t>
      </w:r>
      <w:r>
        <w:rPr>
          <w:rFonts w:hint="eastAsia" w:ascii="宋体" w:hAnsi="宋体" w:cs="宋体"/>
          <w:color w:val="auto"/>
          <w:kern w:val="0"/>
          <w:sz w:val="24"/>
          <w:szCs w:val="24"/>
          <w:highlight w:val="none"/>
          <w:lang w:eastAsia="zh-CN"/>
        </w:rPr>
        <w:t>比选代理机构</w:t>
      </w:r>
      <w:r>
        <w:rPr>
          <w:rFonts w:hint="eastAsia" w:ascii="宋体" w:hAnsi="宋体" w:cs="宋体"/>
          <w:color w:val="auto"/>
          <w:kern w:val="0"/>
          <w:sz w:val="24"/>
          <w:szCs w:val="24"/>
          <w:highlight w:val="none"/>
        </w:rPr>
        <w:t>依法组建的</w:t>
      </w:r>
      <w:r>
        <w:rPr>
          <w:rFonts w:hint="eastAsia" w:ascii="宋体" w:hAnsi="宋体" w:cs="宋体"/>
          <w:color w:val="auto"/>
          <w:kern w:val="0"/>
          <w:sz w:val="24"/>
          <w:szCs w:val="24"/>
          <w:highlight w:val="none"/>
          <w:lang w:eastAsia="zh-CN"/>
        </w:rPr>
        <w:t>评审</w:t>
      </w:r>
      <w:r>
        <w:rPr>
          <w:rFonts w:hint="eastAsia" w:ascii="宋体" w:hAnsi="宋体" w:cs="宋体"/>
          <w:color w:val="auto"/>
          <w:kern w:val="0"/>
          <w:sz w:val="24"/>
          <w:szCs w:val="24"/>
          <w:highlight w:val="none"/>
        </w:rPr>
        <w:t>委员会负责。</w:t>
      </w:r>
    </w:p>
    <w:p w14:paraId="442A5158">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评审</w:t>
      </w:r>
      <w:r>
        <w:rPr>
          <w:rFonts w:hint="eastAsia" w:ascii="宋体" w:hAnsi="宋体" w:cs="宋体"/>
          <w:color w:val="auto"/>
          <w:kern w:val="0"/>
          <w:sz w:val="24"/>
          <w:szCs w:val="24"/>
          <w:highlight w:val="none"/>
        </w:rPr>
        <w:t>委员会成员到位后，推举其中一位评审专家担任评审组长，并由评审组长牵头组织该项目评审工作。</w:t>
      </w:r>
      <w:r>
        <w:rPr>
          <w:rFonts w:hint="eastAsia" w:ascii="宋体" w:hAnsi="宋体" w:cs="宋体"/>
          <w:color w:val="auto"/>
          <w:kern w:val="0"/>
          <w:sz w:val="24"/>
          <w:szCs w:val="24"/>
          <w:highlight w:val="none"/>
          <w:lang w:eastAsia="zh-CN"/>
        </w:rPr>
        <w:t>评审</w:t>
      </w:r>
      <w:r>
        <w:rPr>
          <w:rFonts w:hint="eastAsia" w:ascii="宋体" w:hAnsi="宋体" w:cs="宋体"/>
          <w:color w:val="auto"/>
          <w:kern w:val="0"/>
          <w:sz w:val="24"/>
          <w:szCs w:val="24"/>
          <w:highlight w:val="none"/>
        </w:rPr>
        <w:t>委员会按以下程序独立履行评审职责：</w:t>
      </w:r>
    </w:p>
    <w:p w14:paraId="71873E84">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1.资格性检查。依据法律法规和</w:t>
      </w:r>
      <w:r>
        <w:rPr>
          <w:rFonts w:hint="eastAsia" w:ascii="宋体" w:hAnsi="宋体" w:cs="宋体"/>
          <w:color w:val="auto"/>
          <w:kern w:val="0"/>
          <w:sz w:val="24"/>
          <w:szCs w:val="24"/>
          <w:highlight w:val="none"/>
          <w:lang w:eastAsia="zh-CN"/>
        </w:rPr>
        <w:t>竞争性比选文件</w:t>
      </w:r>
      <w:r>
        <w:rPr>
          <w:rFonts w:hint="eastAsia" w:ascii="宋体" w:hAnsi="宋体" w:cs="宋体"/>
          <w:color w:val="auto"/>
          <w:kern w:val="0"/>
          <w:sz w:val="24"/>
          <w:szCs w:val="24"/>
          <w:highlight w:val="none"/>
        </w:rPr>
        <w:t>的规定，对</w:t>
      </w:r>
      <w:r>
        <w:rPr>
          <w:rFonts w:hint="eastAsia" w:ascii="宋体" w:hAnsi="宋体" w:cs="宋体"/>
          <w:color w:val="auto"/>
          <w:kern w:val="0"/>
          <w:sz w:val="24"/>
          <w:szCs w:val="24"/>
          <w:highlight w:val="none"/>
          <w:lang w:eastAsia="zh-CN"/>
        </w:rPr>
        <w:t>竞选文件</w:t>
      </w:r>
      <w:r>
        <w:rPr>
          <w:rFonts w:hint="eastAsia" w:ascii="宋体" w:hAnsi="宋体" w:cs="宋体"/>
          <w:color w:val="auto"/>
          <w:kern w:val="0"/>
          <w:sz w:val="24"/>
          <w:szCs w:val="24"/>
          <w:highlight w:val="none"/>
        </w:rPr>
        <w:t>中的资格证明进行审查，以确定</w:t>
      </w:r>
      <w:r>
        <w:rPr>
          <w:rFonts w:hint="eastAsia" w:ascii="宋体" w:hAnsi="宋体" w:cs="宋体"/>
          <w:color w:val="auto"/>
          <w:kern w:val="0"/>
          <w:sz w:val="24"/>
          <w:szCs w:val="24"/>
          <w:highlight w:val="none"/>
          <w:lang w:eastAsia="zh-CN"/>
        </w:rPr>
        <w:t>竞选人</w:t>
      </w:r>
      <w:r>
        <w:rPr>
          <w:rFonts w:hint="eastAsia" w:ascii="宋体" w:hAnsi="宋体" w:cs="宋体"/>
          <w:color w:val="auto"/>
          <w:kern w:val="0"/>
          <w:sz w:val="24"/>
          <w:szCs w:val="24"/>
          <w:highlight w:val="none"/>
        </w:rPr>
        <w:t>是否具备</w:t>
      </w:r>
      <w:r>
        <w:rPr>
          <w:rFonts w:hint="eastAsia" w:ascii="宋体" w:hAnsi="宋体" w:cs="宋体"/>
          <w:color w:val="auto"/>
          <w:kern w:val="0"/>
          <w:sz w:val="24"/>
          <w:szCs w:val="24"/>
          <w:highlight w:val="none"/>
          <w:lang w:eastAsia="zh-CN"/>
        </w:rPr>
        <w:t>竞选</w:t>
      </w:r>
      <w:r>
        <w:rPr>
          <w:rFonts w:hint="eastAsia" w:ascii="宋体" w:hAnsi="宋体" w:cs="宋体"/>
          <w:color w:val="auto"/>
          <w:kern w:val="0"/>
          <w:sz w:val="24"/>
          <w:szCs w:val="24"/>
          <w:highlight w:val="none"/>
        </w:rPr>
        <w:t>资格。资格性检查资料表如下：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393"/>
        <w:gridCol w:w="3850"/>
      </w:tblGrid>
      <w:tr w14:paraId="07BFA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76" w:type="dxa"/>
            <w:noWrap w:val="0"/>
            <w:vAlign w:val="center"/>
          </w:tcPr>
          <w:p w14:paraId="2CE6ACA0">
            <w:pPr>
              <w:spacing w:line="240" w:lineRule="exact"/>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5102" w:type="dxa"/>
            <w:gridSpan w:val="2"/>
            <w:noWrap w:val="0"/>
            <w:vAlign w:val="center"/>
          </w:tcPr>
          <w:p w14:paraId="7286FDAF">
            <w:pPr>
              <w:spacing w:line="240" w:lineRule="exact"/>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检查因素</w:t>
            </w:r>
          </w:p>
        </w:tc>
        <w:tc>
          <w:tcPr>
            <w:tcW w:w="3850" w:type="dxa"/>
            <w:noWrap w:val="0"/>
            <w:vAlign w:val="center"/>
          </w:tcPr>
          <w:p w14:paraId="28F8A37C">
            <w:pPr>
              <w:spacing w:line="240" w:lineRule="exact"/>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检查内容</w:t>
            </w:r>
          </w:p>
        </w:tc>
      </w:tr>
      <w:tr w14:paraId="09A3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676" w:type="dxa"/>
            <w:vMerge w:val="restart"/>
            <w:noWrap w:val="0"/>
            <w:vAlign w:val="center"/>
          </w:tcPr>
          <w:p w14:paraId="3295FFD2">
            <w:pPr>
              <w:spacing w:line="24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709" w:type="dxa"/>
            <w:vMerge w:val="restart"/>
            <w:noWrap w:val="0"/>
            <w:vAlign w:val="center"/>
          </w:tcPr>
          <w:p w14:paraId="62CF0559">
            <w:pPr>
              <w:spacing w:line="240" w:lineRule="exact"/>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lang w:val="en-US" w:eastAsia="zh-CN"/>
              </w:rPr>
              <w:t>基本资格条件</w:t>
            </w:r>
          </w:p>
        </w:tc>
        <w:tc>
          <w:tcPr>
            <w:tcW w:w="4393" w:type="dxa"/>
            <w:noWrap w:val="0"/>
            <w:vAlign w:val="center"/>
          </w:tcPr>
          <w:p w14:paraId="24938B22">
            <w:pPr>
              <w:spacing w:line="24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（1）具有独立承担民事责任的能力</w:t>
            </w:r>
          </w:p>
        </w:tc>
        <w:tc>
          <w:tcPr>
            <w:tcW w:w="3850" w:type="dxa"/>
            <w:noWrap w:val="0"/>
            <w:vAlign w:val="center"/>
          </w:tcPr>
          <w:p w14:paraId="547C9DD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竞选人</w:t>
            </w:r>
            <w:r>
              <w:rPr>
                <w:rFonts w:hint="eastAsia" w:ascii="宋体" w:hAnsi="宋体" w:eastAsia="宋体" w:cs="宋体"/>
                <w:color w:val="auto"/>
                <w:sz w:val="21"/>
                <w:szCs w:val="21"/>
                <w:highlight w:val="none"/>
              </w:rPr>
              <w:t xml:space="preserve">法人营业执照（副本）或事业单位法人证书（副本）或个体工商户营业执照或有效的自然人身份证明或社会团体法人登记证书（提供复印件）。 </w:t>
            </w:r>
          </w:p>
          <w:p w14:paraId="4DC784F1">
            <w:pPr>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竞选人</w:t>
            </w:r>
            <w:r>
              <w:rPr>
                <w:rFonts w:hint="eastAsia" w:ascii="宋体" w:hAnsi="宋体" w:eastAsia="宋体" w:cs="宋体"/>
                <w:color w:val="auto"/>
                <w:sz w:val="21"/>
                <w:szCs w:val="21"/>
                <w:highlight w:val="none"/>
              </w:rPr>
              <w:t>法定代表人身份证明</w:t>
            </w:r>
            <w:r>
              <w:rPr>
                <w:rFonts w:hint="eastAsia" w:ascii="宋体" w:hAnsi="宋体" w:cs="宋体"/>
                <w:color w:val="auto"/>
                <w:sz w:val="21"/>
                <w:szCs w:val="21"/>
                <w:highlight w:val="none"/>
                <w:lang w:val="en-US" w:eastAsia="zh-CN"/>
              </w:rPr>
              <w:t>或其</w:t>
            </w:r>
            <w:r>
              <w:rPr>
                <w:rFonts w:hint="eastAsia" w:ascii="宋体" w:hAnsi="宋体" w:eastAsia="宋体" w:cs="宋体"/>
                <w:color w:val="auto"/>
                <w:sz w:val="21"/>
                <w:szCs w:val="21"/>
                <w:highlight w:val="none"/>
              </w:rPr>
              <w:t>法定代表人授权代表委托书。</w:t>
            </w:r>
          </w:p>
        </w:tc>
      </w:tr>
      <w:tr w14:paraId="58B5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76" w:type="dxa"/>
            <w:vMerge w:val="continue"/>
            <w:noWrap w:val="0"/>
            <w:vAlign w:val="center"/>
          </w:tcPr>
          <w:p w14:paraId="1162E23F">
            <w:pPr>
              <w:spacing w:line="240" w:lineRule="exact"/>
              <w:jc w:val="center"/>
              <w:rPr>
                <w:rFonts w:hint="eastAsia" w:ascii="宋体" w:hAnsi="宋体" w:cs="宋体"/>
                <w:color w:val="auto"/>
                <w:sz w:val="21"/>
                <w:szCs w:val="21"/>
                <w:highlight w:val="none"/>
              </w:rPr>
            </w:pPr>
          </w:p>
        </w:tc>
        <w:tc>
          <w:tcPr>
            <w:tcW w:w="709" w:type="dxa"/>
            <w:vMerge w:val="continue"/>
            <w:noWrap w:val="0"/>
            <w:vAlign w:val="center"/>
          </w:tcPr>
          <w:p w14:paraId="1220AF6A">
            <w:pPr>
              <w:spacing w:line="240" w:lineRule="exact"/>
              <w:rPr>
                <w:rFonts w:hint="eastAsia" w:ascii="宋体" w:hAnsi="宋体" w:cs="宋体"/>
                <w:color w:val="auto"/>
                <w:sz w:val="21"/>
                <w:szCs w:val="21"/>
                <w:highlight w:val="none"/>
                <w:lang w:val="zh-CN"/>
              </w:rPr>
            </w:pPr>
          </w:p>
        </w:tc>
        <w:tc>
          <w:tcPr>
            <w:tcW w:w="4393" w:type="dxa"/>
            <w:noWrap w:val="0"/>
            <w:vAlign w:val="center"/>
          </w:tcPr>
          <w:p w14:paraId="282BD424">
            <w:pPr>
              <w:spacing w:line="240" w:lineRule="exact"/>
              <w:rPr>
                <w:rFonts w:hint="eastAsia" w:ascii="宋体" w:hAnsi="宋体" w:cs="宋体"/>
                <w:color w:val="auto"/>
                <w:sz w:val="21"/>
                <w:szCs w:val="21"/>
                <w:highlight w:val="none"/>
              </w:rPr>
            </w:pPr>
            <w:r>
              <w:rPr>
                <w:rFonts w:hint="eastAsia" w:ascii="宋体" w:hAnsi="宋体" w:cs="宋体"/>
                <w:color w:val="auto"/>
                <w:sz w:val="21"/>
                <w:szCs w:val="21"/>
                <w:highlight w:val="none"/>
                <w:lang w:val="zh-CN"/>
              </w:rPr>
              <w:t>（2）</w:t>
            </w:r>
            <w:r>
              <w:rPr>
                <w:rFonts w:hint="eastAsia" w:ascii="宋体" w:hAnsi="宋体" w:cs="宋体"/>
                <w:color w:val="auto"/>
                <w:sz w:val="21"/>
                <w:szCs w:val="21"/>
                <w:highlight w:val="none"/>
              </w:rPr>
              <w:t>具有良好的商业信誉和健全的财务会计制度</w:t>
            </w:r>
          </w:p>
        </w:tc>
        <w:tc>
          <w:tcPr>
            <w:tcW w:w="3850" w:type="dxa"/>
            <w:vMerge w:val="restart"/>
            <w:noWrap w:val="0"/>
            <w:vAlign w:val="center"/>
          </w:tcPr>
          <w:p w14:paraId="79B6D58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提供“基本资格条件承诺函”（格式详见</w:t>
            </w:r>
            <w:r>
              <w:rPr>
                <w:rFonts w:hint="eastAsia" w:ascii="宋体" w:hAnsi="宋体" w:cs="宋体"/>
                <w:color w:val="auto"/>
                <w:sz w:val="21"/>
                <w:szCs w:val="21"/>
                <w:highlight w:val="none"/>
                <w:lang w:eastAsia="zh-CN"/>
              </w:rPr>
              <w:t>第六篇</w:t>
            </w:r>
            <w:r>
              <w:rPr>
                <w:rFonts w:hint="eastAsia" w:ascii="宋体" w:hAnsi="宋体" w:eastAsia="宋体" w:cs="宋体"/>
                <w:color w:val="auto"/>
                <w:sz w:val="21"/>
                <w:szCs w:val="21"/>
                <w:highlight w:val="none"/>
              </w:rPr>
              <w:t>）</w:t>
            </w:r>
          </w:p>
          <w:p w14:paraId="51E40363">
            <w:pPr>
              <w:rPr>
                <w:rFonts w:hint="eastAsia" w:ascii="宋体" w:hAnsi="宋体" w:cs="宋体"/>
                <w:color w:val="auto"/>
                <w:sz w:val="21"/>
                <w:szCs w:val="21"/>
                <w:highlight w:val="none"/>
              </w:rPr>
            </w:pPr>
          </w:p>
        </w:tc>
      </w:tr>
      <w:tr w14:paraId="0BC2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76" w:type="dxa"/>
            <w:vMerge w:val="continue"/>
            <w:noWrap w:val="0"/>
            <w:vAlign w:val="center"/>
          </w:tcPr>
          <w:p w14:paraId="5F2ACDCB">
            <w:pPr>
              <w:spacing w:line="240" w:lineRule="exact"/>
              <w:jc w:val="center"/>
              <w:rPr>
                <w:rFonts w:hint="eastAsia" w:ascii="宋体" w:hAnsi="宋体" w:cs="宋体"/>
                <w:color w:val="auto"/>
                <w:sz w:val="21"/>
                <w:szCs w:val="21"/>
                <w:highlight w:val="none"/>
              </w:rPr>
            </w:pPr>
          </w:p>
        </w:tc>
        <w:tc>
          <w:tcPr>
            <w:tcW w:w="709" w:type="dxa"/>
            <w:vMerge w:val="continue"/>
            <w:noWrap w:val="0"/>
            <w:vAlign w:val="center"/>
          </w:tcPr>
          <w:p w14:paraId="50EEEBFA">
            <w:pPr>
              <w:spacing w:line="240" w:lineRule="exact"/>
              <w:rPr>
                <w:rFonts w:hint="eastAsia" w:ascii="宋体" w:hAnsi="宋体" w:cs="宋体"/>
                <w:color w:val="auto"/>
                <w:sz w:val="21"/>
                <w:szCs w:val="21"/>
                <w:highlight w:val="none"/>
                <w:lang w:val="zh-CN"/>
              </w:rPr>
            </w:pPr>
          </w:p>
        </w:tc>
        <w:tc>
          <w:tcPr>
            <w:tcW w:w="4393" w:type="dxa"/>
            <w:noWrap w:val="0"/>
            <w:vAlign w:val="center"/>
          </w:tcPr>
          <w:p w14:paraId="3DD6465E">
            <w:pPr>
              <w:spacing w:line="240" w:lineRule="exact"/>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（3）</w:t>
            </w:r>
            <w:r>
              <w:rPr>
                <w:rFonts w:hint="eastAsia" w:ascii="宋体" w:hAnsi="宋体" w:cs="宋体"/>
                <w:color w:val="auto"/>
                <w:sz w:val="21"/>
                <w:szCs w:val="21"/>
                <w:highlight w:val="none"/>
              </w:rPr>
              <w:t>具有履行合同所必需的设备和专业技术能力</w:t>
            </w:r>
          </w:p>
        </w:tc>
        <w:tc>
          <w:tcPr>
            <w:tcW w:w="3850" w:type="dxa"/>
            <w:vMerge w:val="continue"/>
            <w:noWrap w:val="0"/>
            <w:vAlign w:val="center"/>
          </w:tcPr>
          <w:p w14:paraId="6B5331BC">
            <w:pPr>
              <w:spacing w:line="240" w:lineRule="exact"/>
              <w:rPr>
                <w:rFonts w:hint="eastAsia" w:ascii="宋体" w:hAnsi="宋体" w:cs="宋体"/>
                <w:color w:val="auto"/>
                <w:sz w:val="21"/>
                <w:szCs w:val="21"/>
                <w:highlight w:val="none"/>
              </w:rPr>
            </w:pPr>
          </w:p>
        </w:tc>
      </w:tr>
      <w:tr w14:paraId="40484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76" w:type="dxa"/>
            <w:vMerge w:val="continue"/>
            <w:noWrap w:val="0"/>
            <w:vAlign w:val="center"/>
          </w:tcPr>
          <w:p w14:paraId="01423D96">
            <w:pPr>
              <w:spacing w:line="240" w:lineRule="exact"/>
              <w:jc w:val="center"/>
              <w:rPr>
                <w:rFonts w:hint="eastAsia" w:ascii="宋体" w:hAnsi="宋体" w:cs="宋体"/>
                <w:color w:val="auto"/>
                <w:sz w:val="21"/>
                <w:szCs w:val="21"/>
                <w:highlight w:val="none"/>
              </w:rPr>
            </w:pPr>
          </w:p>
        </w:tc>
        <w:tc>
          <w:tcPr>
            <w:tcW w:w="709" w:type="dxa"/>
            <w:vMerge w:val="continue"/>
            <w:noWrap w:val="0"/>
            <w:vAlign w:val="center"/>
          </w:tcPr>
          <w:p w14:paraId="50189A9E">
            <w:pPr>
              <w:spacing w:line="240" w:lineRule="exact"/>
              <w:rPr>
                <w:rFonts w:hint="eastAsia" w:ascii="宋体" w:hAnsi="宋体" w:cs="宋体"/>
                <w:color w:val="auto"/>
                <w:sz w:val="21"/>
                <w:szCs w:val="21"/>
                <w:highlight w:val="none"/>
                <w:lang w:val="zh-CN"/>
              </w:rPr>
            </w:pPr>
          </w:p>
        </w:tc>
        <w:tc>
          <w:tcPr>
            <w:tcW w:w="4393" w:type="dxa"/>
            <w:noWrap w:val="0"/>
            <w:vAlign w:val="center"/>
          </w:tcPr>
          <w:p w14:paraId="11E562A1">
            <w:pPr>
              <w:spacing w:line="24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w:t>
            </w:r>
            <w:r>
              <w:rPr>
                <w:rFonts w:hint="eastAsia" w:ascii="宋体" w:hAnsi="宋体" w:cs="宋体"/>
                <w:color w:val="auto"/>
                <w:sz w:val="21"/>
                <w:szCs w:val="21"/>
                <w:highlight w:val="none"/>
              </w:rPr>
              <w:t>有依法缴纳税收和社会保障资金的良好记录</w:t>
            </w:r>
          </w:p>
        </w:tc>
        <w:tc>
          <w:tcPr>
            <w:tcW w:w="3850" w:type="dxa"/>
            <w:vMerge w:val="continue"/>
            <w:noWrap w:val="0"/>
            <w:vAlign w:val="center"/>
          </w:tcPr>
          <w:p w14:paraId="7D368217">
            <w:pPr>
              <w:spacing w:line="240" w:lineRule="exact"/>
              <w:rPr>
                <w:rFonts w:hint="eastAsia" w:ascii="宋体" w:hAnsi="宋体" w:cs="宋体"/>
                <w:color w:val="auto"/>
                <w:sz w:val="21"/>
                <w:szCs w:val="21"/>
                <w:highlight w:val="none"/>
              </w:rPr>
            </w:pPr>
          </w:p>
        </w:tc>
      </w:tr>
      <w:tr w14:paraId="01FD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76" w:type="dxa"/>
            <w:vMerge w:val="continue"/>
            <w:noWrap w:val="0"/>
            <w:vAlign w:val="center"/>
          </w:tcPr>
          <w:p w14:paraId="1092AA0F">
            <w:pPr>
              <w:spacing w:line="240" w:lineRule="exact"/>
              <w:jc w:val="center"/>
              <w:rPr>
                <w:rFonts w:hint="eastAsia" w:ascii="宋体" w:hAnsi="宋体" w:cs="宋体"/>
                <w:color w:val="auto"/>
                <w:sz w:val="21"/>
                <w:szCs w:val="21"/>
                <w:highlight w:val="none"/>
              </w:rPr>
            </w:pPr>
          </w:p>
        </w:tc>
        <w:tc>
          <w:tcPr>
            <w:tcW w:w="709" w:type="dxa"/>
            <w:vMerge w:val="continue"/>
            <w:noWrap w:val="0"/>
            <w:vAlign w:val="center"/>
          </w:tcPr>
          <w:p w14:paraId="1C30DC8F">
            <w:pPr>
              <w:spacing w:line="240" w:lineRule="exact"/>
              <w:rPr>
                <w:rFonts w:hint="eastAsia" w:ascii="宋体" w:hAnsi="宋体" w:cs="宋体"/>
                <w:color w:val="auto"/>
                <w:sz w:val="21"/>
                <w:szCs w:val="21"/>
                <w:highlight w:val="none"/>
                <w:lang w:val="zh-CN"/>
              </w:rPr>
            </w:pPr>
          </w:p>
        </w:tc>
        <w:tc>
          <w:tcPr>
            <w:tcW w:w="4393" w:type="dxa"/>
            <w:noWrap w:val="0"/>
            <w:vAlign w:val="center"/>
          </w:tcPr>
          <w:p w14:paraId="6205774B">
            <w:pPr>
              <w:spacing w:line="24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rPr>
              <w:t>参加</w:t>
            </w:r>
            <w:r>
              <w:rPr>
                <w:rFonts w:hint="eastAsia" w:ascii="宋体" w:hAnsi="宋体" w:cs="宋体"/>
                <w:color w:val="auto"/>
                <w:sz w:val="21"/>
                <w:szCs w:val="21"/>
                <w:highlight w:val="none"/>
                <w:lang w:eastAsia="zh-CN"/>
              </w:rPr>
              <w:t>比选</w:t>
            </w:r>
            <w:r>
              <w:rPr>
                <w:rFonts w:hint="eastAsia" w:ascii="宋体" w:hAnsi="宋体" w:cs="宋体"/>
                <w:color w:val="auto"/>
                <w:sz w:val="21"/>
                <w:szCs w:val="21"/>
                <w:highlight w:val="none"/>
              </w:rPr>
              <w:t>活动前三年内，在经营活动中没有重大违法记录</w:t>
            </w:r>
          </w:p>
        </w:tc>
        <w:tc>
          <w:tcPr>
            <w:tcW w:w="3850" w:type="dxa"/>
            <w:vMerge w:val="continue"/>
            <w:noWrap w:val="0"/>
            <w:vAlign w:val="center"/>
          </w:tcPr>
          <w:p w14:paraId="76D55D3D">
            <w:pPr>
              <w:spacing w:line="240" w:lineRule="exact"/>
              <w:rPr>
                <w:rFonts w:hint="eastAsia" w:ascii="宋体" w:hAnsi="宋体" w:cs="宋体"/>
                <w:b/>
                <w:color w:val="auto"/>
                <w:sz w:val="21"/>
                <w:szCs w:val="21"/>
                <w:highlight w:val="none"/>
              </w:rPr>
            </w:pPr>
          </w:p>
        </w:tc>
      </w:tr>
      <w:tr w14:paraId="14D2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676" w:type="dxa"/>
            <w:noWrap w:val="0"/>
            <w:vAlign w:val="center"/>
          </w:tcPr>
          <w:p w14:paraId="451ECC28">
            <w:pPr>
              <w:spacing w:line="24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5102" w:type="dxa"/>
            <w:gridSpan w:val="2"/>
            <w:noWrap w:val="0"/>
            <w:vAlign w:val="center"/>
          </w:tcPr>
          <w:p w14:paraId="2ACC2F41">
            <w:pPr>
              <w:spacing w:line="240" w:lineRule="exac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特定资格条件</w:t>
            </w:r>
          </w:p>
        </w:tc>
        <w:tc>
          <w:tcPr>
            <w:tcW w:w="3850" w:type="dxa"/>
            <w:noWrap w:val="0"/>
            <w:vAlign w:val="center"/>
          </w:tcPr>
          <w:p w14:paraId="4C8304DC">
            <w:pPr>
              <w:spacing w:line="24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按第一篇“</w:t>
            </w:r>
            <w:r>
              <w:rPr>
                <w:rFonts w:hint="eastAsia" w:ascii="宋体" w:hAnsi="宋体" w:cs="宋体"/>
                <w:color w:val="auto"/>
                <w:sz w:val="21"/>
                <w:szCs w:val="21"/>
                <w:highlight w:val="none"/>
                <w:lang w:val="en-US" w:eastAsia="zh-CN"/>
              </w:rPr>
              <w:t>二</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竞选人资格条件</w:t>
            </w:r>
            <w:r>
              <w:rPr>
                <w:rFonts w:hint="eastAsia" w:ascii="宋体" w:hAnsi="宋体" w:cs="宋体"/>
                <w:color w:val="auto"/>
                <w:sz w:val="21"/>
                <w:szCs w:val="21"/>
                <w:highlight w:val="none"/>
                <w:lang w:val="en-US" w:eastAsia="zh-CN"/>
              </w:rPr>
              <w:t xml:space="preserve"> （二）特定资格条件</w:t>
            </w:r>
            <w:r>
              <w:rPr>
                <w:rFonts w:hint="eastAsia" w:ascii="宋体" w:hAnsi="宋体" w:cs="宋体"/>
                <w:color w:val="auto"/>
                <w:sz w:val="21"/>
                <w:szCs w:val="21"/>
                <w:highlight w:val="none"/>
              </w:rPr>
              <w:t>”的要求提交</w:t>
            </w:r>
          </w:p>
        </w:tc>
      </w:tr>
    </w:tbl>
    <w:p w14:paraId="267AF4F9">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2.符合性检查。依据</w:t>
      </w:r>
      <w:r>
        <w:rPr>
          <w:rFonts w:hint="eastAsia" w:ascii="宋体" w:hAnsi="宋体" w:cs="宋体"/>
          <w:color w:val="auto"/>
          <w:kern w:val="0"/>
          <w:sz w:val="24"/>
          <w:szCs w:val="24"/>
          <w:highlight w:val="none"/>
          <w:lang w:eastAsia="zh-CN"/>
        </w:rPr>
        <w:t>竞争性比选文件</w:t>
      </w:r>
      <w:r>
        <w:rPr>
          <w:rFonts w:hint="eastAsia" w:ascii="宋体" w:hAnsi="宋体" w:cs="宋体"/>
          <w:color w:val="auto"/>
          <w:kern w:val="0"/>
          <w:sz w:val="24"/>
          <w:szCs w:val="24"/>
          <w:highlight w:val="none"/>
        </w:rPr>
        <w:t>的规定，从</w:t>
      </w:r>
      <w:r>
        <w:rPr>
          <w:rFonts w:hint="eastAsia" w:ascii="宋体" w:hAnsi="宋体" w:cs="宋体"/>
          <w:color w:val="auto"/>
          <w:kern w:val="0"/>
          <w:sz w:val="24"/>
          <w:szCs w:val="24"/>
          <w:highlight w:val="none"/>
          <w:lang w:eastAsia="zh-CN"/>
        </w:rPr>
        <w:t>竞选文件</w:t>
      </w:r>
      <w:r>
        <w:rPr>
          <w:rFonts w:hint="eastAsia" w:ascii="宋体" w:hAnsi="宋体" w:cs="宋体"/>
          <w:color w:val="auto"/>
          <w:kern w:val="0"/>
          <w:sz w:val="24"/>
          <w:szCs w:val="24"/>
          <w:highlight w:val="none"/>
        </w:rPr>
        <w:t>的有效性、完整性和对</w:t>
      </w:r>
      <w:r>
        <w:rPr>
          <w:rFonts w:hint="eastAsia" w:ascii="宋体" w:hAnsi="宋体" w:cs="宋体"/>
          <w:color w:val="auto"/>
          <w:kern w:val="0"/>
          <w:sz w:val="24"/>
          <w:szCs w:val="24"/>
          <w:highlight w:val="none"/>
          <w:lang w:eastAsia="zh-CN"/>
        </w:rPr>
        <w:t>竞争性比选文件</w:t>
      </w:r>
      <w:r>
        <w:rPr>
          <w:rFonts w:hint="eastAsia" w:ascii="宋体" w:hAnsi="宋体" w:cs="宋体"/>
          <w:color w:val="auto"/>
          <w:kern w:val="0"/>
          <w:sz w:val="24"/>
          <w:szCs w:val="24"/>
          <w:highlight w:val="none"/>
        </w:rPr>
        <w:t>的响应程度进行审查，以确定是否对</w:t>
      </w:r>
      <w:r>
        <w:rPr>
          <w:rFonts w:hint="eastAsia" w:ascii="宋体" w:hAnsi="宋体" w:cs="宋体"/>
          <w:color w:val="auto"/>
          <w:kern w:val="0"/>
          <w:sz w:val="24"/>
          <w:szCs w:val="24"/>
          <w:highlight w:val="none"/>
          <w:lang w:eastAsia="zh-CN"/>
        </w:rPr>
        <w:t>竞争性比选文件</w:t>
      </w:r>
      <w:r>
        <w:rPr>
          <w:rFonts w:hint="eastAsia" w:ascii="宋体" w:hAnsi="宋体" w:cs="宋体"/>
          <w:color w:val="auto"/>
          <w:kern w:val="0"/>
          <w:sz w:val="24"/>
          <w:szCs w:val="24"/>
          <w:highlight w:val="none"/>
        </w:rPr>
        <w:t>的实质性要求作出响应。符合性检查资料表如下：</w:t>
      </w:r>
    </w:p>
    <w:tbl>
      <w:tblPr>
        <w:tblStyle w:val="5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557"/>
        <w:gridCol w:w="1986"/>
        <w:gridCol w:w="5405"/>
      </w:tblGrid>
      <w:tr w14:paraId="1EF3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50" w:type="pct"/>
            <w:noWrap w:val="0"/>
            <w:vAlign w:val="center"/>
          </w:tcPr>
          <w:p w14:paraId="69DDF0AA">
            <w:pPr>
              <w:spacing w:line="24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1841" w:type="pct"/>
            <w:gridSpan w:val="2"/>
            <w:noWrap w:val="0"/>
            <w:vAlign w:val="center"/>
          </w:tcPr>
          <w:p w14:paraId="3B0824AE">
            <w:pPr>
              <w:spacing w:line="24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评审因素</w:t>
            </w:r>
          </w:p>
        </w:tc>
        <w:tc>
          <w:tcPr>
            <w:tcW w:w="2808" w:type="pct"/>
            <w:noWrap w:val="0"/>
            <w:vAlign w:val="center"/>
          </w:tcPr>
          <w:p w14:paraId="64F10F1F">
            <w:pPr>
              <w:spacing w:line="24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评审标准</w:t>
            </w:r>
          </w:p>
        </w:tc>
      </w:tr>
      <w:tr w14:paraId="52E6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50" w:type="pct"/>
            <w:vMerge w:val="restart"/>
            <w:noWrap w:val="0"/>
            <w:vAlign w:val="center"/>
          </w:tcPr>
          <w:p w14:paraId="622F1040">
            <w:pPr>
              <w:spacing w:line="24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809" w:type="pct"/>
            <w:vMerge w:val="restart"/>
            <w:noWrap w:val="0"/>
            <w:vAlign w:val="center"/>
          </w:tcPr>
          <w:p w14:paraId="57A3B458">
            <w:pPr>
              <w:spacing w:line="24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有效性审查</w:t>
            </w:r>
          </w:p>
        </w:tc>
        <w:tc>
          <w:tcPr>
            <w:tcW w:w="1031" w:type="pct"/>
            <w:noWrap w:val="0"/>
            <w:vAlign w:val="center"/>
          </w:tcPr>
          <w:p w14:paraId="28707B1C">
            <w:pPr>
              <w:spacing w:line="240" w:lineRule="exac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竞选文件</w:t>
            </w:r>
            <w:r>
              <w:rPr>
                <w:rFonts w:hint="eastAsia" w:ascii="宋体" w:hAnsi="宋体" w:cs="宋体"/>
                <w:color w:val="auto"/>
                <w:sz w:val="21"/>
                <w:szCs w:val="21"/>
                <w:highlight w:val="none"/>
              </w:rPr>
              <w:t>签署或盖章</w:t>
            </w:r>
          </w:p>
        </w:tc>
        <w:tc>
          <w:tcPr>
            <w:tcW w:w="2808" w:type="pct"/>
            <w:noWrap w:val="0"/>
            <w:vAlign w:val="center"/>
          </w:tcPr>
          <w:p w14:paraId="0858F230">
            <w:pPr>
              <w:spacing w:line="240" w:lineRule="exac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竞选文件</w:t>
            </w:r>
            <w:r>
              <w:rPr>
                <w:rFonts w:hint="eastAsia" w:ascii="宋体" w:hAnsi="宋体" w:cs="宋体"/>
                <w:color w:val="auto"/>
                <w:sz w:val="21"/>
                <w:szCs w:val="21"/>
                <w:highlight w:val="none"/>
              </w:rPr>
              <w:t>上法定代表人或其授权代表的签署或盖章齐全。</w:t>
            </w:r>
          </w:p>
        </w:tc>
      </w:tr>
      <w:tr w14:paraId="60E5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50" w:type="pct"/>
            <w:vMerge w:val="continue"/>
            <w:noWrap w:val="0"/>
            <w:vAlign w:val="center"/>
          </w:tcPr>
          <w:p w14:paraId="4A8F2733">
            <w:pPr>
              <w:spacing w:line="240" w:lineRule="exact"/>
              <w:jc w:val="center"/>
              <w:rPr>
                <w:rFonts w:hint="eastAsia" w:ascii="宋体" w:hAnsi="宋体" w:cs="宋体"/>
                <w:color w:val="auto"/>
                <w:sz w:val="21"/>
                <w:szCs w:val="21"/>
                <w:highlight w:val="none"/>
              </w:rPr>
            </w:pPr>
          </w:p>
        </w:tc>
        <w:tc>
          <w:tcPr>
            <w:tcW w:w="809" w:type="pct"/>
            <w:vMerge w:val="continue"/>
            <w:noWrap w:val="0"/>
            <w:vAlign w:val="center"/>
          </w:tcPr>
          <w:p w14:paraId="19177054">
            <w:pPr>
              <w:spacing w:line="240" w:lineRule="exact"/>
              <w:rPr>
                <w:rFonts w:hint="eastAsia" w:ascii="宋体" w:hAnsi="宋体" w:cs="宋体"/>
                <w:color w:val="auto"/>
                <w:sz w:val="21"/>
                <w:szCs w:val="21"/>
                <w:highlight w:val="none"/>
              </w:rPr>
            </w:pPr>
          </w:p>
        </w:tc>
        <w:tc>
          <w:tcPr>
            <w:tcW w:w="1031" w:type="pct"/>
            <w:noWrap w:val="0"/>
            <w:vAlign w:val="center"/>
          </w:tcPr>
          <w:p w14:paraId="0DAA6445">
            <w:pPr>
              <w:spacing w:line="240" w:lineRule="exact"/>
              <w:rPr>
                <w:rFonts w:hint="eastAsia" w:ascii="宋体" w:hAnsi="宋体" w:cs="宋体"/>
                <w:color w:val="auto"/>
                <w:sz w:val="21"/>
                <w:szCs w:val="21"/>
                <w:highlight w:val="none"/>
              </w:rPr>
            </w:pPr>
            <w:r>
              <w:rPr>
                <w:rFonts w:hint="eastAsia" w:ascii="宋体" w:hAnsi="宋体" w:cs="宋体"/>
                <w:color w:val="auto"/>
                <w:sz w:val="21"/>
                <w:szCs w:val="21"/>
                <w:highlight w:val="none"/>
                <w:lang w:val="zh-CN"/>
              </w:rPr>
              <w:t>竞选方案</w:t>
            </w:r>
          </w:p>
        </w:tc>
        <w:tc>
          <w:tcPr>
            <w:tcW w:w="2808" w:type="pct"/>
            <w:noWrap w:val="0"/>
            <w:vAlign w:val="center"/>
          </w:tcPr>
          <w:p w14:paraId="749E6B13">
            <w:pPr>
              <w:spacing w:line="240" w:lineRule="exact"/>
              <w:rPr>
                <w:rFonts w:hint="eastAsia" w:ascii="宋体" w:hAnsi="宋体" w:cs="宋体"/>
                <w:color w:val="auto"/>
                <w:sz w:val="21"/>
                <w:szCs w:val="21"/>
                <w:highlight w:val="none"/>
              </w:rPr>
            </w:pPr>
            <w:r>
              <w:rPr>
                <w:rFonts w:hint="eastAsia" w:ascii="宋体" w:hAnsi="宋体" w:cs="宋体"/>
                <w:color w:val="auto"/>
                <w:sz w:val="21"/>
                <w:szCs w:val="21"/>
                <w:highlight w:val="none"/>
                <w:lang w:val="zh-CN"/>
              </w:rPr>
              <w:t>只能有一个方案竞选。</w:t>
            </w:r>
          </w:p>
        </w:tc>
      </w:tr>
      <w:tr w14:paraId="0E2B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350" w:type="pct"/>
            <w:vMerge w:val="continue"/>
            <w:noWrap w:val="0"/>
            <w:vAlign w:val="center"/>
          </w:tcPr>
          <w:p w14:paraId="3CD9829A">
            <w:pPr>
              <w:spacing w:line="240" w:lineRule="exact"/>
              <w:jc w:val="center"/>
              <w:rPr>
                <w:rFonts w:hint="eastAsia" w:ascii="宋体" w:hAnsi="宋体" w:cs="宋体"/>
                <w:color w:val="auto"/>
                <w:sz w:val="21"/>
                <w:szCs w:val="21"/>
                <w:highlight w:val="none"/>
              </w:rPr>
            </w:pPr>
          </w:p>
        </w:tc>
        <w:tc>
          <w:tcPr>
            <w:tcW w:w="809" w:type="pct"/>
            <w:vMerge w:val="continue"/>
            <w:noWrap w:val="0"/>
            <w:vAlign w:val="center"/>
          </w:tcPr>
          <w:p w14:paraId="4173DA02">
            <w:pPr>
              <w:spacing w:line="240" w:lineRule="exact"/>
              <w:rPr>
                <w:rFonts w:hint="eastAsia" w:ascii="宋体" w:hAnsi="宋体" w:cs="宋体"/>
                <w:color w:val="auto"/>
                <w:sz w:val="21"/>
                <w:szCs w:val="21"/>
                <w:highlight w:val="none"/>
              </w:rPr>
            </w:pPr>
          </w:p>
        </w:tc>
        <w:tc>
          <w:tcPr>
            <w:tcW w:w="1031" w:type="pct"/>
            <w:noWrap w:val="0"/>
            <w:vAlign w:val="center"/>
          </w:tcPr>
          <w:p w14:paraId="14741B78">
            <w:pPr>
              <w:spacing w:line="240" w:lineRule="exact"/>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报价唯一</w:t>
            </w:r>
          </w:p>
        </w:tc>
        <w:tc>
          <w:tcPr>
            <w:tcW w:w="2808" w:type="pct"/>
            <w:noWrap w:val="0"/>
            <w:vAlign w:val="center"/>
          </w:tcPr>
          <w:p w14:paraId="0E2874EC">
            <w:pPr>
              <w:spacing w:line="24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只能在预算金额和最高限价内报价，只能有一个有效报价，不得提交选择性报价。</w:t>
            </w:r>
          </w:p>
        </w:tc>
      </w:tr>
      <w:tr w14:paraId="6C63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350" w:type="pct"/>
            <w:noWrap w:val="0"/>
            <w:vAlign w:val="center"/>
          </w:tcPr>
          <w:p w14:paraId="08A68D3B">
            <w:pPr>
              <w:spacing w:line="24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809" w:type="pct"/>
            <w:noWrap w:val="0"/>
            <w:vAlign w:val="center"/>
          </w:tcPr>
          <w:p w14:paraId="78DCBA1B">
            <w:pPr>
              <w:spacing w:line="24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完整性审查</w:t>
            </w:r>
          </w:p>
        </w:tc>
        <w:tc>
          <w:tcPr>
            <w:tcW w:w="1031" w:type="pct"/>
            <w:noWrap w:val="0"/>
            <w:vAlign w:val="center"/>
          </w:tcPr>
          <w:p w14:paraId="103F4834">
            <w:pPr>
              <w:spacing w:line="240" w:lineRule="exact"/>
              <w:rPr>
                <w:rFonts w:hint="eastAsia" w:ascii="宋体" w:hAnsi="宋体" w:cs="宋体"/>
                <w:color w:val="auto"/>
                <w:sz w:val="21"/>
                <w:szCs w:val="21"/>
                <w:highlight w:val="none"/>
              </w:rPr>
            </w:pPr>
            <w:r>
              <w:rPr>
                <w:rFonts w:hint="eastAsia" w:ascii="宋体" w:hAnsi="宋体" w:cs="宋体"/>
                <w:color w:val="auto"/>
                <w:sz w:val="21"/>
                <w:szCs w:val="21"/>
                <w:highlight w:val="none"/>
                <w:lang w:val="zh-CN"/>
              </w:rPr>
              <w:t>竞选文件份数</w:t>
            </w:r>
          </w:p>
        </w:tc>
        <w:tc>
          <w:tcPr>
            <w:tcW w:w="2808" w:type="pct"/>
            <w:noWrap w:val="0"/>
            <w:vAlign w:val="center"/>
          </w:tcPr>
          <w:p w14:paraId="7BC35927">
            <w:pPr>
              <w:spacing w:line="240" w:lineRule="exact"/>
              <w:rPr>
                <w:rFonts w:hint="eastAsia" w:ascii="宋体" w:hAnsi="宋体" w:cs="宋体"/>
                <w:color w:val="auto"/>
                <w:sz w:val="21"/>
                <w:szCs w:val="21"/>
                <w:highlight w:val="none"/>
              </w:rPr>
            </w:pPr>
            <w:r>
              <w:rPr>
                <w:rFonts w:hint="eastAsia" w:ascii="宋体" w:hAnsi="宋体" w:cs="宋体"/>
                <w:color w:val="auto"/>
                <w:sz w:val="21"/>
                <w:szCs w:val="21"/>
                <w:highlight w:val="none"/>
                <w:lang w:val="zh-CN"/>
              </w:rPr>
              <w:t>竞选文件</w:t>
            </w:r>
            <w:r>
              <w:rPr>
                <w:rFonts w:hint="eastAsia" w:ascii="宋体" w:hAnsi="宋体" w:cs="宋体"/>
                <w:color w:val="auto"/>
                <w:sz w:val="21"/>
                <w:szCs w:val="21"/>
                <w:highlight w:val="none"/>
              </w:rPr>
              <w:t>应答完整，</w:t>
            </w:r>
            <w:r>
              <w:rPr>
                <w:rFonts w:hint="eastAsia" w:ascii="宋体" w:hAnsi="宋体" w:cs="宋体"/>
                <w:color w:val="auto"/>
                <w:sz w:val="21"/>
                <w:szCs w:val="21"/>
                <w:highlight w:val="none"/>
                <w:lang w:val="zh-CN"/>
              </w:rPr>
              <w:t>正、副本数量（含电子文档）符合竞争性比选文件要求。</w:t>
            </w:r>
          </w:p>
        </w:tc>
      </w:tr>
      <w:tr w14:paraId="20FE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50" w:type="pct"/>
            <w:vMerge w:val="restart"/>
            <w:noWrap w:val="0"/>
            <w:vAlign w:val="center"/>
          </w:tcPr>
          <w:p w14:paraId="5DA9832E">
            <w:pPr>
              <w:spacing w:line="24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809" w:type="pct"/>
            <w:vMerge w:val="restart"/>
            <w:noWrap w:val="0"/>
            <w:vAlign w:val="center"/>
          </w:tcPr>
          <w:p w14:paraId="769F4460">
            <w:pPr>
              <w:spacing w:line="24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响应性审查</w:t>
            </w:r>
          </w:p>
        </w:tc>
        <w:tc>
          <w:tcPr>
            <w:tcW w:w="1031" w:type="pct"/>
            <w:noWrap w:val="0"/>
            <w:vAlign w:val="center"/>
          </w:tcPr>
          <w:p w14:paraId="7A08B372">
            <w:pPr>
              <w:spacing w:line="240" w:lineRule="exac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竞选文件</w:t>
            </w:r>
            <w:r>
              <w:rPr>
                <w:rFonts w:hint="eastAsia" w:ascii="宋体" w:hAnsi="宋体" w:cs="宋体"/>
                <w:color w:val="auto"/>
                <w:sz w:val="21"/>
                <w:szCs w:val="21"/>
                <w:highlight w:val="none"/>
              </w:rPr>
              <w:t>内容</w:t>
            </w:r>
          </w:p>
        </w:tc>
        <w:tc>
          <w:tcPr>
            <w:tcW w:w="2808" w:type="pct"/>
            <w:noWrap w:val="0"/>
            <w:vAlign w:val="center"/>
          </w:tcPr>
          <w:p w14:paraId="346DEAEA">
            <w:pPr>
              <w:spacing w:line="24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满足</w:t>
            </w:r>
            <w:r>
              <w:rPr>
                <w:rFonts w:hint="eastAsia" w:ascii="宋体" w:hAnsi="宋体" w:cs="宋体"/>
                <w:color w:val="auto"/>
                <w:sz w:val="21"/>
                <w:szCs w:val="21"/>
                <w:highlight w:val="none"/>
                <w:lang w:eastAsia="zh-CN"/>
              </w:rPr>
              <w:t>竞争性比选文件</w:t>
            </w:r>
            <w:r>
              <w:rPr>
                <w:rFonts w:hint="eastAsia" w:ascii="宋体" w:hAnsi="宋体" w:cs="宋体"/>
                <w:color w:val="auto"/>
                <w:sz w:val="21"/>
                <w:szCs w:val="21"/>
                <w:highlight w:val="none"/>
                <w:lang w:val="en-US" w:eastAsia="zh-CN"/>
              </w:rPr>
              <w:t>第二篇、</w:t>
            </w:r>
            <w:r>
              <w:rPr>
                <w:rFonts w:hint="eastAsia" w:ascii="宋体" w:hAnsi="宋体" w:cs="宋体"/>
                <w:color w:val="auto"/>
                <w:sz w:val="21"/>
                <w:szCs w:val="21"/>
                <w:highlight w:val="none"/>
              </w:rPr>
              <w:t>第三篇中</w:t>
            </w:r>
            <w:r>
              <w:rPr>
                <w:rFonts w:hint="eastAsia" w:ascii="宋体" w:hAnsi="宋体" w:cs="宋体"/>
                <w:color w:val="auto"/>
                <w:sz w:val="21"/>
                <w:szCs w:val="21"/>
                <w:highlight w:val="none"/>
                <w:lang w:eastAsia="zh-CN"/>
              </w:rPr>
              <w:t>内容</w:t>
            </w:r>
          </w:p>
        </w:tc>
      </w:tr>
      <w:tr w14:paraId="6FD86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50" w:type="pct"/>
            <w:vMerge w:val="continue"/>
            <w:noWrap w:val="0"/>
            <w:vAlign w:val="center"/>
          </w:tcPr>
          <w:p w14:paraId="359A1485">
            <w:pPr>
              <w:spacing w:line="240" w:lineRule="exact"/>
              <w:jc w:val="center"/>
              <w:rPr>
                <w:rFonts w:hint="eastAsia" w:ascii="宋体" w:hAnsi="宋体" w:cs="宋体"/>
                <w:color w:val="auto"/>
                <w:sz w:val="21"/>
                <w:szCs w:val="21"/>
                <w:highlight w:val="none"/>
              </w:rPr>
            </w:pPr>
          </w:p>
        </w:tc>
        <w:tc>
          <w:tcPr>
            <w:tcW w:w="809" w:type="pct"/>
            <w:vMerge w:val="continue"/>
            <w:noWrap w:val="0"/>
            <w:vAlign w:val="center"/>
          </w:tcPr>
          <w:p w14:paraId="184F423E">
            <w:pPr>
              <w:spacing w:line="240" w:lineRule="exact"/>
              <w:rPr>
                <w:rFonts w:hint="eastAsia" w:ascii="宋体" w:hAnsi="宋体" w:cs="宋体"/>
                <w:color w:val="auto"/>
                <w:sz w:val="21"/>
                <w:szCs w:val="21"/>
                <w:highlight w:val="none"/>
              </w:rPr>
            </w:pPr>
          </w:p>
        </w:tc>
        <w:tc>
          <w:tcPr>
            <w:tcW w:w="1031" w:type="pct"/>
            <w:noWrap w:val="0"/>
            <w:vAlign w:val="center"/>
          </w:tcPr>
          <w:p w14:paraId="36113046">
            <w:pPr>
              <w:spacing w:line="240" w:lineRule="exac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竞选</w:t>
            </w:r>
            <w:r>
              <w:rPr>
                <w:rFonts w:hint="eastAsia" w:ascii="宋体" w:hAnsi="宋体" w:cs="宋体"/>
                <w:color w:val="auto"/>
                <w:sz w:val="21"/>
                <w:szCs w:val="21"/>
                <w:highlight w:val="none"/>
              </w:rPr>
              <w:t>有效期</w:t>
            </w:r>
          </w:p>
        </w:tc>
        <w:tc>
          <w:tcPr>
            <w:tcW w:w="2808" w:type="pct"/>
            <w:noWrap w:val="0"/>
            <w:vAlign w:val="center"/>
          </w:tcPr>
          <w:p w14:paraId="1A5702C9">
            <w:pPr>
              <w:spacing w:line="240" w:lineRule="exac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竞选</w:t>
            </w:r>
            <w:r>
              <w:rPr>
                <w:rFonts w:hint="eastAsia" w:ascii="宋体" w:hAnsi="宋体" w:cs="宋体"/>
                <w:color w:val="auto"/>
                <w:sz w:val="21"/>
                <w:szCs w:val="21"/>
                <w:highlight w:val="none"/>
              </w:rPr>
              <w:t>有效期为</w:t>
            </w:r>
            <w:r>
              <w:rPr>
                <w:rFonts w:hint="eastAsia" w:ascii="宋体" w:hAnsi="宋体" w:cs="宋体"/>
                <w:color w:val="auto"/>
                <w:sz w:val="21"/>
                <w:szCs w:val="21"/>
                <w:highlight w:val="none"/>
                <w:lang w:eastAsia="zh-CN"/>
              </w:rPr>
              <w:t>竞选</w:t>
            </w:r>
            <w:r>
              <w:rPr>
                <w:rFonts w:hint="eastAsia" w:ascii="宋体" w:hAnsi="宋体" w:cs="宋体"/>
                <w:color w:val="auto"/>
                <w:sz w:val="21"/>
                <w:szCs w:val="21"/>
                <w:highlight w:val="none"/>
              </w:rPr>
              <w:t>截止日期后九十天内</w:t>
            </w:r>
          </w:p>
        </w:tc>
      </w:tr>
    </w:tbl>
    <w:p w14:paraId="33BDA8CE">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3.澄清有关问题。对</w:t>
      </w:r>
      <w:r>
        <w:rPr>
          <w:rFonts w:hint="eastAsia" w:ascii="宋体" w:hAnsi="宋体" w:cs="宋体"/>
          <w:color w:val="auto"/>
          <w:sz w:val="24"/>
          <w:szCs w:val="24"/>
          <w:highlight w:val="none"/>
          <w:lang w:eastAsia="zh-CN"/>
        </w:rPr>
        <w:t>竞选文件</w:t>
      </w:r>
      <w:r>
        <w:rPr>
          <w:rFonts w:hint="eastAsia" w:ascii="宋体" w:hAnsi="宋体" w:cs="宋体"/>
          <w:color w:val="auto"/>
          <w:sz w:val="24"/>
          <w:szCs w:val="24"/>
          <w:highlight w:val="none"/>
        </w:rPr>
        <w:t>中含义不明确、同类问题表述不一致或者有明显文字和计算错误的内容，</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委员会可以书面形式（应当由</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委员会成员签字）要求</w:t>
      </w:r>
      <w:r>
        <w:rPr>
          <w:rFonts w:hint="eastAsia" w:ascii="宋体" w:hAnsi="宋体" w:cs="宋体"/>
          <w:color w:val="auto"/>
          <w:sz w:val="24"/>
          <w:szCs w:val="24"/>
          <w:highlight w:val="none"/>
          <w:lang w:eastAsia="zh-CN"/>
        </w:rPr>
        <w:t>竞选人</w:t>
      </w:r>
      <w:r>
        <w:rPr>
          <w:rFonts w:hint="eastAsia" w:ascii="宋体" w:hAnsi="宋体" w:cs="宋体"/>
          <w:color w:val="auto"/>
          <w:sz w:val="24"/>
          <w:szCs w:val="24"/>
          <w:highlight w:val="none"/>
        </w:rPr>
        <w:t>作出必要澄清、说明或者纠正。</w:t>
      </w:r>
      <w:r>
        <w:rPr>
          <w:rFonts w:hint="eastAsia" w:ascii="宋体" w:hAnsi="宋体" w:cs="宋体"/>
          <w:color w:val="auto"/>
          <w:sz w:val="24"/>
          <w:szCs w:val="24"/>
          <w:highlight w:val="none"/>
          <w:lang w:eastAsia="zh-CN"/>
        </w:rPr>
        <w:t>竞选人</w:t>
      </w:r>
      <w:r>
        <w:rPr>
          <w:rFonts w:hint="eastAsia" w:ascii="宋体" w:hAnsi="宋体" w:cs="宋体"/>
          <w:color w:val="auto"/>
          <w:sz w:val="24"/>
          <w:szCs w:val="24"/>
          <w:highlight w:val="none"/>
        </w:rPr>
        <w:t>的澄清、说明或者补正应当采用书面形式，由其法定代表人授权代表签字，其澄清的内容不得超出</w:t>
      </w:r>
      <w:r>
        <w:rPr>
          <w:rFonts w:hint="eastAsia" w:ascii="宋体" w:hAnsi="宋体" w:cs="宋体"/>
          <w:color w:val="auto"/>
          <w:sz w:val="24"/>
          <w:szCs w:val="24"/>
          <w:highlight w:val="none"/>
          <w:lang w:eastAsia="zh-CN"/>
        </w:rPr>
        <w:t>竞选文件</w:t>
      </w:r>
      <w:r>
        <w:rPr>
          <w:rFonts w:hint="eastAsia" w:ascii="宋体" w:hAnsi="宋体" w:cs="宋体"/>
          <w:color w:val="auto"/>
          <w:sz w:val="24"/>
          <w:szCs w:val="24"/>
          <w:highlight w:val="none"/>
        </w:rPr>
        <w:t>的范围或者改变</w:t>
      </w:r>
      <w:r>
        <w:rPr>
          <w:rFonts w:hint="eastAsia" w:ascii="宋体" w:hAnsi="宋体" w:cs="宋体"/>
          <w:color w:val="auto"/>
          <w:sz w:val="24"/>
          <w:szCs w:val="24"/>
          <w:highlight w:val="none"/>
          <w:lang w:eastAsia="zh-CN"/>
        </w:rPr>
        <w:t>竞选文件</w:t>
      </w:r>
      <w:r>
        <w:rPr>
          <w:rFonts w:hint="eastAsia" w:ascii="宋体" w:hAnsi="宋体" w:cs="宋体"/>
          <w:color w:val="auto"/>
          <w:sz w:val="24"/>
          <w:szCs w:val="24"/>
          <w:highlight w:val="none"/>
        </w:rPr>
        <w:t>的实质性内容。</w:t>
      </w:r>
    </w:p>
    <w:p w14:paraId="1D6EB015">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4.比较与评价。按</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中规定的</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方法和标准，对资格性检查和符合性检查合格的</w:t>
      </w:r>
      <w:r>
        <w:rPr>
          <w:rFonts w:hint="eastAsia" w:ascii="宋体" w:hAnsi="宋体" w:cs="宋体"/>
          <w:color w:val="auto"/>
          <w:sz w:val="24"/>
          <w:szCs w:val="24"/>
          <w:highlight w:val="none"/>
          <w:lang w:eastAsia="zh-CN"/>
        </w:rPr>
        <w:t>竞选文件</w:t>
      </w:r>
      <w:r>
        <w:rPr>
          <w:rFonts w:hint="eastAsia" w:ascii="宋体" w:hAnsi="宋体" w:cs="宋体"/>
          <w:color w:val="auto"/>
          <w:sz w:val="24"/>
          <w:szCs w:val="24"/>
          <w:highlight w:val="none"/>
        </w:rPr>
        <w:t>进行价格、商务和技术评估。</w:t>
      </w:r>
    </w:p>
    <w:p w14:paraId="534F2741">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委员会各成员独立对每个有效</w:t>
      </w:r>
      <w:r>
        <w:rPr>
          <w:rFonts w:hint="eastAsia" w:ascii="宋体" w:hAnsi="宋体" w:cs="宋体"/>
          <w:color w:val="auto"/>
          <w:sz w:val="24"/>
          <w:szCs w:val="24"/>
          <w:highlight w:val="none"/>
          <w:lang w:eastAsia="zh-CN"/>
        </w:rPr>
        <w:t>竞选人</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竞选文件</w:t>
      </w:r>
      <w:r>
        <w:rPr>
          <w:rFonts w:hint="eastAsia" w:ascii="宋体" w:hAnsi="宋体" w:cs="宋体"/>
          <w:color w:val="auto"/>
          <w:sz w:val="24"/>
          <w:szCs w:val="24"/>
          <w:highlight w:val="none"/>
        </w:rPr>
        <w:t>进行评价、打分，然后由评审组长组织</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委员会对各成员打分情况进行核查及复核，个别成员对同一</w:t>
      </w:r>
      <w:r>
        <w:rPr>
          <w:rFonts w:hint="eastAsia" w:ascii="宋体" w:hAnsi="宋体" w:cs="宋体"/>
          <w:color w:val="auto"/>
          <w:sz w:val="24"/>
          <w:szCs w:val="24"/>
          <w:highlight w:val="none"/>
          <w:lang w:eastAsia="zh-CN"/>
        </w:rPr>
        <w:t>竞选人</w:t>
      </w:r>
      <w:r>
        <w:rPr>
          <w:rFonts w:hint="eastAsia" w:ascii="宋体" w:hAnsi="宋体" w:cs="宋体"/>
          <w:color w:val="auto"/>
          <w:sz w:val="24"/>
          <w:szCs w:val="24"/>
          <w:highlight w:val="none"/>
        </w:rPr>
        <w:t>同一评分项的打分偏离较大的，应对</w:t>
      </w:r>
      <w:r>
        <w:rPr>
          <w:rFonts w:hint="eastAsia" w:ascii="宋体" w:hAnsi="宋体" w:cs="宋体"/>
          <w:color w:val="auto"/>
          <w:sz w:val="24"/>
          <w:szCs w:val="24"/>
          <w:highlight w:val="none"/>
          <w:lang w:eastAsia="zh-CN"/>
        </w:rPr>
        <w:t>竞选人</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竞选文件</w:t>
      </w:r>
      <w:r>
        <w:rPr>
          <w:rFonts w:hint="eastAsia" w:ascii="宋体" w:hAnsi="宋体" w:cs="宋体"/>
          <w:color w:val="auto"/>
          <w:sz w:val="24"/>
          <w:szCs w:val="24"/>
          <w:highlight w:val="none"/>
        </w:rPr>
        <w:t>进行再次核对，确属打分有误的，应及时进行修正。复核后，</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委员会汇总每个</w:t>
      </w:r>
      <w:r>
        <w:rPr>
          <w:rFonts w:hint="eastAsia" w:ascii="宋体" w:hAnsi="宋体" w:cs="宋体"/>
          <w:color w:val="auto"/>
          <w:sz w:val="24"/>
          <w:szCs w:val="24"/>
          <w:highlight w:val="none"/>
          <w:lang w:eastAsia="zh-CN"/>
        </w:rPr>
        <w:t>竞选人</w:t>
      </w:r>
      <w:r>
        <w:rPr>
          <w:rFonts w:hint="eastAsia" w:ascii="宋体" w:hAnsi="宋体" w:cs="宋体"/>
          <w:color w:val="auto"/>
          <w:sz w:val="24"/>
          <w:szCs w:val="24"/>
          <w:highlight w:val="none"/>
        </w:rPr>
        <w:t>每项评分因素的得分。</w:t>
      </w:r>
    </w:p>
    <w:p w14:paraId="665F97B9">
      <w:pPr>
        <w:snapToGrid w:val="0"/>
        <w:spacing w:line="400" w:lineRule="exact"/>
        <w:ind w:firstLine="480" w:firstLineChars="200"/>
        <w:rPr>
          <w:rFonts w:hint="eastAsia" w:ascii="宋体" w:hAnsi="宋体" w:eastAsia="宋体" w:cs="宋体"/>
          <w:color w:val="auto"/>
          <w:sz w:val="24"/>
          <w:szCs w:val="24"/>
          <w:highlight w:val="none"/>
          <w:lang w:eastAsia="zh-CN"/>
        </w:rPr>
      </w:pPr>
      <w:bookmarkStart w:id="197" w:name="_Toc9487"/>
      <w:bookmarkStart w:id="198" w:name="_Toc26976"/>
      <w:bookmarkStart w:id="199" w:name="_Toc492721018"/>
      <w:r>
        <w:rPr>
          <w:rFonts w:hint="eastAsia" w:ascii="宋体" w:hAnsi="宋体" w:eastAsia="宋体" w:cs="宋体"/>
          <w:color w:val="auto"/>
          <w:sz w:val="24"/>
          <w:szCs w:val="24"/>
          <w:highlight w:val="none"/>
          <w:lang w:eastAsia="zh-CN"/>
        </w:rPr>
        <w:t>5.推荐</w:t>
      </w:r>
      <w:r>
        <w:rPr>
          <w:rFonts w:hint="eastAsia" w:ascii="宋体" w:hAnsi="宋体" w:cs="宋体"/>
          <w:color w:val="auto"/>
          <w:sz w:val="24"/>
          <w:szCs w:val="24"/>
          <w:highlight w:val="none"/>
          <w:lang w:eastAsia="zh-CN"/>
        </w:rPr>
        <w:t>中标</w:t>
      </w:r>
      <w:r>
        <w:rPr>
          <w:rFonts w:hint="eastAsia" w:ascii="宋体" w:hAnsi="宋体" w:eastAsia="宋体" w:cs="宋体"/>
          <w:color w:val="auto"/>
          <w:sz w:val="24"/>
          <w:szCs w:val="24"/>
          <w:highlight w:val="none"/>
          <w:lang w:eastAsia="zh-CN"/>
        </w:rPr>
        <w:t>候选人名单。</w:t>
      </w:r>
      <w:r>
        <w:rPr>
          <w:rFonts w:hint="eastAsia" w:ascii="宋体" w:hAnsi="宋体" w:cs="宋体"/>
          <w:color w:val="auto"/>
          <w:sz w:val="24"/>
          <w:szCs w:val="24"/>
          <w:highlight w:val="none"/>
          <w:lang w:eastAsia="zh-CN"/>
        </w:rPr>
        <w:t>根据综合评分情况按照</w:t>
      </w:r>
      <w:r>
        <w:rPr>
          <w:rFonts w:hint="eastAsia" w:ascii="宋体" w:hAnsi="宋体" w:eastAsia="宋体" w:cs="宋体"/>
          <w:color w:val="auto"/>
          <w:sz w:val="24"/>
          <w:szCs w:val="24"/>
          <w:highlight w:val="none"/>
          <w:lang w:eastAsia="zh-CN"/>
        </w:rPr>
        <w:t>评审得分由高到低的排列顺序推荐3名以上</w:t>
      </w:r>
      <w:r>
        <w:rPr>
          <w:rFonts w:hint="eastAsia" w:ascii="宋体" w:hAnsi="宋体" w:cs="宋体"/>
          <w:color w:val="auto"/>
          <w:sz w:val="24"/>
          <w:szCs w:val="24"/>
          <w:highlight w:val="none"/>
          <w:lang w:eastAsia="zh-CN"/>
        </w:rPr>
        <w:t>中标</w:t>
      </w:r>
      <w:r>
        <w:rPr>
          <w:rFonts w:hint="eastAsia" w:ascii="宋体" w:hAnsi="宋体" w:eastAsia="宋体" w:cs="宋体"/>
          <w:color w:val="auto"/>
          <w:sz w:val="24"/>
          <w:szCs w:val="24"/>
          <w:highlight w:val="none"/>
          <w:lang w:eastAsia="zh-CN"/>
        </w:rPr>
        <w:t>候选</w:t>
      </w:r>
      <w:r>
        <w:rPr>
          <w:rFonts w:hint="eastAsia" w:ascii="宋体" w:hAnsi="宋体" w:cs="宋体"/>
          <w:color w:val="auto"/>
          <w:sz w:val="24"/>
          <w:szCs w:val="24"/>
          <w:highlight w:val="none"/>
          <w:lang w:eastAsia="zh-CN"/>
        </w:rPr>
        <w:t>人</w:t>
      </w:r>
      <w:r>
        <w:rPr>
          <w:rFonts w:hint="eastAsia" w:ascii="宋体" w:hAnsi="宋体" w:eastAsia="宋体" w:cs="宋体"/>
          <w:color w:val="auto"/>
          <w:sz w:val="24"/>
          <w:szCs w:val="24"/>
          <w:highlight w:val="none"/>
          <w:lang w:eastAsia="zh-CN"/>
        </w:rPr>
        <w:t>，得分最高的为第一</w:t>
      </w:r>
      <w:r>
        <w:rPr>
          <w:rFonts w:hint="eastAsia" w:ascii="宋体" w:hAnsi="宋体" w:cs="宋体"/>
          <w:color w:val="auto"/>
          <w:sz w:val="24"/>
          <w:szCs w:val="24"/>
          <w:highlight w:val="none"/>
          <w:lang w:eastAsia="zh-CN"/>
        </w:rPr>
        <w:t>中标</w:t>
      </w:r>
      <w:r>
        <w:rPr>
          <w:rFonts w:hint="eastAsia" w:ascii="宋体" w:hAnsi="宋体" w:eastAsia="宋体" w:cs="宋体"/>
          <w:color w:val="auto"/>
          <w:sz w:val="24"/>
          <w:szCs w:val="24"/>
          <w:highlight w:val="none"/>
          <w:lang w:eastAsia="zh-CN"/>
        </w:rPr>
        <w:t>候选</w:t>
      </w:r>
      <w:r>
        <w:rPr>
          <w:rFonts w:hint="eastAsia" w:ascii="宋体" w:hAnsi="宋体" w:cs="宋体"/>
          <w:color w:val="auto"/>
          <w:sz w:val="24"/>
          <w:szCs w:val="24"/>
          <w:highlight w:val="none"/>
          <w:lang w:eastAsia="zh-CN"/>
        </w:rPr>
        <w:t>人</w:t>
      </w:r>
      <w:r>
        <w:rPr>
          <w:rFonts w:hint="eastAsia" w:ascii="宋体" w:hAnsi="宋体" w:eastAsia="宋体" w:cs="宋体"/>
          <w:color w:val="auto"/>
          <w:sz w:val="24"/>
          <w:szCs w:val="24"/>
          <w:highlight w:val="none"/>
          <w:lang w:eastAsia="zh-CN"/>
        </w:rPr>
        <w:t>，并编写评审报告。若</w:t>
      </w:r>
      <w:r>
        <w:rPr>
          <w:rFonts w:hint="eastAsia" w:ascii="宋体" w:hAnsi="宋体" w:cs="宋体"/>
          <w:color w:val="auto"/>
          <w:sz w:val="24"/>
          <w:szCs w:val="24"/>
          <w:highlight w:val="none"/>
          <w:lang w:eastAsia="zh-CN"/>
        </w:rPr>
        <w:t>竞选人</w:t>
      </w:r>
      <w:r>
        <w:rPr>
          <w:rFonts w:hint="eastAsia" w:ascii="宋体" w:hAnsi="宋体" w:eastAsia="宋体" w:cs="宋体"/>
          <w:color w:val="auto"/>
          <w:sz w:val="24"/>
          <w:szCs w:val="24"/>
          <w:highlight w:val="none"/>
          <w:lang w:eastAsia="zh-CN"/>
        </w:rPr>
        <w:t>的评审得分相同的，按照</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由低到高的顺序排列推荐。评审得分且报价相同的，按照服务指标优劣顺序排列推荐。若所推荐的</w:t>
      </w:r>
      <w:r>
        <w:rPr>
          <w:rFonts w:hint="eastAsia" w:ascii="宋体" w:hAnsi="宋体" w:cs="宋体"/>
          <w:color w:val="auto"/>
          <w:sz w:val="24"/>
          <w:szCs w:val="24"/>
          <w:highlight w:val="none"/>
          <w:lang w:eastAsia="zh-CN"/>
        </w:rPr>
        <w:t>中标</w:t>
      </w:r>
      <w:r>
        <w:rPr>
          <w:rFonts w:hint="eastAsia" w:ascii="宋体" w:hAnsi="宋体" w:eastAsia="宋体" w:cs="宋体"/>
          <w:color w:val="auto"/>
          <w:sz w:val="24"/>
          <w:szCs w:val="24"/>
          <w:highlight w:val="none"/>
          <w:lang w:eastAsia="zh-CN"/>
        </w:rPr>
        <w:t>候选</w:t>
      </w:r>
      <w:r>
        <w:rPr>
          <w:rFonts w:hint="eastAsia" w:ascii="宋体" w:hAnsi="宋体" w:cs="宋体"/>
          <w:color w:val="auto"/>
          <w:sz w:val="24"/>
          <w:szCs w:val="24"/>
          <w:highlight w:val="none"/>
          <w:lang w:eastAsia="zh-CN"/>
        </w:rPr>
        <w:t>人</w:t>
      </w:r>
      <w:r>
        <w:rPr>
          <w:rFonts w:hint="eastAsia" w:ascii="宋体" w:hAnsi="宋体" w:eastAsia="宋体" w:cs="宋体"/>
          <w:color w:val="auto"/>
          <w:sz w:val="24"/>
          <w:szCs w:val="24"/>
          <w:highlight w:val="none"/>
          <w:lang w:eastAsia="zh-CN"/>
        </w:rPr>
        <w:t>的技术部分为0分，将失去成为</w:t>
      </w:r>
      <w:r>
        <w:rPr>
          <w:rFonts w:hint="eastAsia" w:ascii="宋体" w:hAnsi="宋体" w:cs="宋体"/>
          <w:color w:val="auto"/>
          <w:sz w:val="24"/>
          <w:szCs w:val="24"/>
          <w:highlight w:val="none"/>
          <w:lang w:eastAsia="zh-CN"/>
        </w:rPr>
        <w:t>中标</w:t>
      </w:r>
      <w:r>
        <w:rPr>
          <w:rFonts w:hint="eastAsia" w:ascii="宋体" w:hAnsi="宋体" w:eastAsia="宋体" w:cs="宋体"/>
          <w:color w:val="auto"/>
          <w:sz w:val="24"/>
          <w:szCs w:val="24"/>
          <w:highlight w:val="none"/>
          <w:lang w:eastAsia="zh-CN"/>
        </w:rPr>
        <w:t>候选</w:t>
      </w:r>
      <w:r>
        <w:rPr>
          <w:rFonts w:hint="eastAsia" w:ascii="宋体" w:hAnsi="宋体" w:cs="宋体"/>
          <w:color w:val="auto"/>
          <w:sz w:val="24"/>
          <w:szCs w:val="24"/>
          <w:highlight w:val="none"/>
          <w:lang w:eastAsia="zh-CN"/>
        </w:rPr>
        <w:t>人</w:t>
      </w:r>
      <w:r>
        <w:rPr>
          <w:rFonts w:hint="eastAsia" w:ascii="宋体" w:hAnsi="宋体" w:eastAsia="宋体" w:cs="宋体"/>
          <w:color w:val="auto"/>
          <w:sz w:val="24"/>
          <w:szCs w:val="24"/>
          <w:highlight w:val="none"/>
          <w:lang w:eastAsia="zh-CN"/>
        </w:rPr>
        <w:t>的资格</w:t>
      </w:r>
      <w:r>
        <w:rPr>
          <w:rFonts w:hint="eastAsia" w:ascii="宋体" w:hAnsi="宋体" w:cs="宋体"/>
          <w:color w:val="auto"/>
          <w:sz w:val="24"/>
          <w:szCs w:val="24"/>
          <w:highlight w:val="none"/>
          <w:lang w:eastAsia="zh-CN"/>
        </w:rPr>
        <w:t>。</w:t>
      </w:r>
    </w:p>
    <w:p w14:paraId="27059281">
      <w:pPr>
        <w:pStyle w:val="4"/>
        <w:spacing w:line="400" w:lineRule="exact"/>
        <w:ind w:firstLine="482" w:firstLineChars="200"/>
        <w:rPr>
          <w:rFonts w:hint="eastAsia" w:ascii="宋体" w:hAnsi="宋体" w:cs="宋体"/>
          <w:color w:val="auto"/>
          <w:sz w:val="24"/>
          <w:szCs w:val="24"/>
          <w:highlight w:val="none"/>
        </w:rPr>
      </w:pPr>
      <w:bookmarkStart w:id="200" w:name="_Toc22519"/>
      <w:r>
        <w:rPr>
          <w:rFonts w:hint="eastAsia" w:cs="宋体"/>
          <w:b/>
          <w:color w:val="auto"/>
          <w:sz w:val="24"/>
          <w:szCs w:val="24"/>
          <w:highlight w:val="none"/>
        </w:rPr>
        <w:t>二、</w:t>
      </w:r>
      <w:r>
        <w:rPr>
          <w:rFonts w:hint="eastAsia" w:cs="宋体"/>
          <w:b/>
          <w:color w:val="auto"/>
          <w:sz w:val="24"/>
          <w:szCs w:val="24"/>
          <w:highlight w:val="none"/>
          <w:lang w:eastAsia="zh-CN"/>
        </w:rPr>
        <w:t>评审</w:t>
      </w:r>
      <w:r>
        <w:rPr>
          <w:rFonts w:hint="eastAsia" w:cs="宋体"/>
          <w:b/>
          <w:color w:val="auto"/>
          <w:sz w:val="24"/>
          <w:szCs w:val="24"/>
          <w:highlight w:val="none"/>
        </w:rPr>
        <w:t>标准</w:t>
      </w:r>
      <w:bookmarkEnd w:id="197"/>
      <w:bookmarkEnd w:id="200"/>
    </w:p>
    <w:p w14:paraId="5E9CB470">
      <w:pPr>
        <w:snapToGrid w:val="0"/>
        <w:spacing w:line="400" w:lineRule="exact"/>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rPr>
        <w:t>（一）评审因素</w:t>
      </w:r>
    </w:p>
    <w:tbl>
      <w:tblPr>
        <w:tblStyle w:val="58"/>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164"/>
        <w:gridCol w:w="784"/>
        <w:gridCol w:w="5300"/>
        <w:gridCol w:w="1906"/>
      </w:tblGrid>
      <w:tr w14:paraId="3C98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617" w:type="dxa"/>
            <w:noWrap w:val="0"/>
            <w:vAlign w:val="center"/>
          </w:tcPr>
          <w:p w14:paraId="48069398">
            <w:pPr>
              <w:ind w:firstLine="28"/>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1164" w:type="dxa"/>
            <w:noWrap w:val="0"/>
            <w:vAlign w:val="center"/>
          </w:tcPr>
          <w:p w14:paraId="43E8EF4D">
            <w:pPr>
              <w:ind w:firstLine="28"/>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评分因素</w:t>
            </w:r>
          </w:p>
          <w:p w14:paraId="040C6417">
            <w:pPr>
              <w:ind w:firstLine="28"/>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及权重</w:t>
            </w:r>
          </w:p>
        </w:tc>
        <w:tc>
          <w:tcPr>
            <w:tcW w:w="784" w:type="dxa"/>
            <w:noWrap w:val="0"/>
            <w:vAlign w:val="center"/>
          </w:tcPr>
          <w:p w14:paraId="7F67DA06">
            <w:pPr>
              <w:ind w:firstLine="28"/>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分值</w:t>
            </w:r>
          </w:p>
        </w:tc>
        <w:tc>
          <w:tcPr>
            <w:tcW w:w="5300" w:type="dxa"/>
            <w:noWrap w:val="0"/>
            <w:vAlign w:val="center"/>
          </w:tcPr>
          <w:p w14:paraId="2E382382">
            <w:pPr>
              <w:ind w:firstLine="28"/>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评分标准</w:t>
            </w:r>
          </w:p>
        </w:tc>
        <w:tc>
          <w:tcPr>
            <w:tcW w:w="1906" w:type="dxa"/>
            <w:noWrap w:val="0"/>
            <w:vAlign w:val="center"/>
          </w:tcPr>
          <w:p w14:paraId="64955EAA">
            <w:pPr>
              <w:pStyle w:val="212"/>
              <w:spacing w:before="0" w:after="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68032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7" w:type="dxa"/>
            <w:noWrap w:val="0"/>
            <w:vAlign w:val="center"/>
          </w:tcPr>
          <w:p w14:paraId="70B4E5F1">
            <w:pPr>
              <w:ind w:firstLine="28"/>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164" w:type="dxa"/>
            <w:noWrap w:val="0"/>
            <w:vAlign w:val="center"/>
          </w:tcPr>
          <w:p w14:paraId="1E4FDB41">
            <w:pPr>
              <w:ind w:firstLine="28"/>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报价</w:t>
            </w:r>
          </w:p>
          <w:p w14:paraId="06846646">
            <w:pPr>
              <w:ind w:firstLine="28"/>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50</w:t>
            </w:r>
            <w:r>
              <w:rPr>
                <w:rFonts w:hint="eastAsia" w:ascii="宋体" w:hAnsi="宋体" w:cs="宋体"/>
                <w:color w:val="auto"/>
                <w:sz w:val="21"/>
                <w:szCs w:val="21"/>
                <w:highlight w:val="none"/>
              </w:rPr>
              <w:t>%）</w:t>
            </w:r>
          </w:p>
        </w:tc>
        <w:tc>
          <w:tcPr>
            <w:tcW w:w="784" w:type="dxa"/>
            <w:noWrap w:val="0"/>
            <w:vAlign w:val="center"/>
          </w:tcPr>
          <w:p w14:paraId="23DB3C05">
            <w:pPr>
              <w:ind w:firstLine="28"/>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0分</w:t>
            </w:r>
          </w:p>
        </w:tc>
        <w:tc>
          <w:tcPr>
            <w:tcW w:w="5300" w:type="dxa"/>
            <w:noWrap w:val="0"/>
            <w:vAlign w:val="center"/>
          </w:tcPr>
          <w:p w14:paraId="5CD8ECD4">
            <w:pPr>
              <w:ind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所有通过资格和符合性检查合格的竞选人得满分50分。在此基础上，投标报价与评标基准价相比，每增加1%扣1分，每减少1%扣0.5分，扣完为止。</w:t>
            </w:r>
          </w:p>
          <w:p w14:paraId="36924059">
            <w:pPr>
              <w:ind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按插入法计算得分。</w:t>
            </w:r>
          </w:p>
          <w:p w14:paraId="598E6877">
            <w:pPr>
              <w:ind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未参与评标基准价计算的投标报价，仍应参加计算相应分值。</w:t>
            </w:r>
          </w:p>
          <w:p w14:paraId="4CF9F7EC">
            <w:pPr>
              <w:ind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投标报价得分最终结果取小数点后两位，第三位四舍五入。</w:t>
            </w:r>
          </w:p>
          <w:p w14:paraId="0073067B">
            <w:pPr>
              <w:ind w:firstLine="420" w:firstLineChars="200"/>
              <w:jc w:val="lef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评标基准价计算方法：</w:t>
            </w:r>
            <w:r>
              <w:rPr>
                <w:rFonts w:hint="default" w:ascii="宋体" w:hAnsi="宋体" w:cs="宋体"/>
                <w:color w:val="auto"/>
                <w:sz w:val="21"/>
                <w:szCs w:val="21"/>
                <w:highlight w:val="none"/>
                <w:lang w:val="en-US" w:eastAsia="zh-CN"/>
              </w:rPr>
              <w:t>所有通过</w:t>
            </w:r>
            <w:r>
              <w:rPr>
                <w:rFonts w:hint="eastAsia" w:ascii="宋体" w:hAnsi="宋体" w:cs="宋体"/>
                <w:color w:val="auto"/>
                <w:sz w:val="21"/>
                <w:szCs w:val="21"/>
                <w:highlight w:val="none"/>
                <w:lang w:val="en-US" w:eastAsia="zh-CN"/>
              </w:rPr>
              <w:t>资格和符合性检查</w:t>
            </w:r>
            <w:r>
              <w:rPr>
                <w:rFonts w:hint="default" w:ascii="宋体" w:hAnsi="宋体" w:cs="宋体"/>
                <w:color w:val="auto"/>
                <w:sz w:val="21"/>
                <w:szCs w:val="21"/>
                <w:highlight w:val="none"/>
                <w:lang w:val="en-US" w:eastAsia="zh-CN"/>
              </w:rPr>
              <w:t>合格的</w:t>
            </w:r>
            <w:r>
              <w:rPr>
                <w:rFonts w:hint="eastAsia" w:ascii="宋体" w:hAnsi="宋体" w:cs="宋体"/>
                <w:color w:val="auto"/>
                <w:sz w:val="21"/>
                <w:szCs w:val="21"/>
                <w:highlight w:val="none"/>
                <w:lang w:val="en-US" w:eastAsia="zh-CN"/>
              </w:rPr>
              <w:t>竞选</w:t>
            </w:r>
            <w:r>
              <w:rPr>
                <w:rFonts w:hint="default" w:ascii="宋体" w:hAnsi="宋体" w:cs="宋体"/>
                <w:color w:val="auto"/>
                <w:sz w:val="21"/>
                <w:szCs w:val="21"/>
                <w:highlight w:val="none"/>
                <w:lang w:val="en-US" w:eastAsia="zh-CN"/>
              </w:rPr>
              <w:t>人的投标报价中去掉六分之一（不能整除的按小数点前整数取整，不足六家报价则不去掉）的最低价和相同家数的最高价后的算术平均值，即为本项目的投标报价的评标基准价。</w:t>
            </w:r>
          </w:p>
          <w:p w14:paraId="122BB714">
            <w:pPr>
              <w:ind w:firstLine="420" w:firstLineChars="200"/>
              <w:jc w:val="left"/>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评标基准价计算的最终结果取小数点后两位，第三位四舍五入。</w:t>
            </w:r>
          </w:p>
          <w:p w14:paraId="7DB0CB4A">
            <w:pPr>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cs="宋体"/>
                <w:color w:val="auto"/>
                <w:sz w:val="21"/>
                <w:szCs w:val="21"/>
                <w:highlight w:val="none"/>
                <w:lang w:val="en-US" w:eastAsia="zh-CN"/>
              </w:rPr>
              <w:t>在评标基准价计算完成后（除计算错误外），在后续的评审中不得再对其做出调整。</w:t>
            </w:r>
            <w:r>
              <w:rPr>
                <w:rFonts w:hint="default" w:ascii="宋体" w:hAnsi="宋体" w:cs="宋体"/>
                <w:color w:val="auto"/>
                <w:sz w:val="21"/>
                <w:szCs w:val="21"/>
                <w:highlight w:val="none"/>
                <w:lang w:val="en-US" w:eastAsia="zh-CN"/>
              </w:rPr>
              <w:br w:type="textWrapping"/>
            </w:r>
            <w:r>
              <w:rPr>
                <w:rFonts w:hint="eastAsia" w:ascii="宋体" w:hAnsi="宋体" w:cs="宋体"/>
                <w:color w:val="auto"/>
                <w:sz w:val="21"/>
                <w:szCs w:val="21"/>
                <w:highlight w:val="none"/>
                <w:lang w:val="en-US" w:eastAsia="zh-CN"/>
              </w:rPr>
              <w:t xml:space="preserve">    本项目</w:t>
            </w:r>
            <w:r>
              <w:rPr>
                <w:rFonts w:hint="default" w:ascii="宋体" w:hAnsi="宋体" w:cs="宋体"/>
                <w:color w:val="auto"/>
                <w:sz w:val="21"/>
                <w:szCs w:val="21"/>
                <w:highlight w:val="none"/>
                <w:lang w:val="en-US" w:eastAsia="zh-CN"/>
              </w:rPr>
              <w:t>不设偏差范围。</w:t>
            </w:r>
          </w:p>
        </w:tc>
        <w:tc>
          <w:tcPr>
            <w:tcW w:w="1906" w:type="dxa"/>
            <w:noWrap w:val="0"/>
            <w:vAlign w:val="center"/>
          </w:tcPr>
          <w:p w14:paraId="67A3DFA4">
            <w:pPr>
              <w:ind w:firstLine="28"/>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高于最高限价的报价为无效报价</w:t>
            </w:r>
          </w:p>
        </w:tc>
      </w:tr>
      <w:tr w14:paraId="268F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4" w:hRule="atLeast"/>
        </w:trPr>
        <w:tc>
          <w:tcPr>
            <w:tcW w:w="617" w:type="dxa"/>
            <w:vMerge w:val="restart"/>
            <w:noWrap w:val="0"/>
            <w:vAlign w:val="center"/>
          </w:tcPr>
          <w:p w14:paraId="5060904C">
            <w:pPr>
              <w:ind w:firstLine="28"/>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164" w:type="dxa"/>
            <w:vMerge w:val="restart"/>
            <w:noWrap w:val="0"/>
            <w:vAlign w:val="center"/>
          </w:tcPr>
          <w:p w14:paraId="5E87AED1">
            <w:pPr>
              <w:ind w:firstLine="28"/>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技术部分</w:t>
            </w:r>
          </w:p>
          <w:p w14:paraId="111A05AE">
            <w:pPr>
              <w:ind w:firstLine="28"/>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rPr>
              <w:t>%）</w:t>
            </w:r>
          </w:p>
        </w:tc>
        <w:tc>
          <w:tcPr>
            <w:tcW w:w="784" w:type="dxa"/>
            <w:noWrap w:val="0"/>
            <w:vAlign w:val="center"/>
          </w:tcPr>
          <w:p w14:paraId="7936CB68">
            <w:pPr>
              <w:ind w:firstLine="28"/>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10分</w:t>
            </w:r>
          </w:p>
        </w:tc>
        <w:tc>
          <w:tcPr>
            <w:tcW w:w="5300" w:type="dxa"/>
            <w:noWrap w:val="0"/>
            <w:vAlign w:val="center"/>
          </w:tcPr>
          <w:p w14:paraId="6164E0D8">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改造</w:t>
            </w:r>
            <w:r>
              <w:rPr>
                <w:rFonts w:hint="eastAsia" w:ascii="宋体" w:hAnsi="宋体" w:eastAsia="宋体" w:cs="宋体"/>
                <w:color w:val="auto"/>
                <w:sz w:val="21"/>
                <w:szCs w:val="21"/>
                <w:highlight w:val="none"/>
                <w:lang w:val="en-US" w:eastAsia="zh-CN"/>
              </w:rPr>
              <w:t>方案、平面布置</w:t>
            </w:r>
            <w:r>
              <w:rPr>
                <w:rFonts w:hint="eastAsia" w:ascii="宋体" w:hAnsi="宋体" w:cs="宋体"/>
                <w:color w:val="auto"/>
                <w:sz w:val="21"/>
                <w:szCs w:val="21"/>
                <w:highlight w:val="none"/>
                <w:lang w:val="en-US" w:eastAsia="zh-CN"/>
              </w:rPr>
              <w:t>规划</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分）</w:t>
            </w:r>
          </w:p>
          <w:p w14:paraId="6A1C7D69">
            <w:pPr>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结合</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lang w:val="en-US" w:eastAsia="zh-CN"/>
              </w:rPr>
              <w:t>人提供的原始平面图，有针对性的编制</w:t>
            </w:r>
            <w:r>
              <w:rPr>
                <w:rFonts w:hint="eastAsia" w:ascii="宋体" w:hAnsi="宋体" w:cs="宋体"/>
                <w:color w:val="auto"/>
                <w:sz w:val="21"/>
                <w:szCs w:val="21"/>
                <w:highlight w:val="none"/>
                <w:lang w:val="en-US" w:eastAsia="zh-CN"/>
              </w:rPr>
              <w:t>改造</w:t>
            </w:r>
            <w:r>
              <w:rPr>
                <w:rFonts w:hint="eastAsia" w:ascii="宋体" w:hAnsi="宋体" w:eastAsia="宋体" w:cs="宋体"/>
                <w:color w:val="auto"/>
                <w:sz w:val="21"/>
                <w:szCs w:val="21"/>
                <w:highlight w:val="none"/>
                <w:lang w:val="en-US" w:eastAsia="zh-CN"/>
              </w:rPr>
              <w:t>方案，所提供平平面布置</w:t>
            </w:r>
            <w:r>
              <w:rPr>
                <w:rFonts w:hint="eastAsia" w:ascii="宋体" w:hAnsi="宋体" w:cs="宋体"/>
                <w:color w:val="auto"/>
                <w:sz w:val="21"/>
                <w:szCs w:val="21"/>
                <w:highlight w:val="none"/>
                <w:lang w:val="en-US" w:eastAsia="zh-CN"/>
              </w:rPr>
              <w:t>规划</w:t>
            </w:r>
            <w:r>
              <w:rPr>
                <w:rFonts w:hint="eastAsia" w:ascii="宋体" w:hAnsi="宋体" w:eastAsia="宋体" w:cs="宋体"/>
                <w:color w:val="auto"/>
                <w:sz w:val="21"/>
                <w:szCs w:val="21"/>
                <w:highlight w:val="none"/>
                <w:lang w:val="en-US" w:eastAsia="zh-CN"/>
              </w:rPr>
              <w:t>满足</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lang w:val="en-US" w:eastAsia="zh-CN"/>
              </w:rPr>
              <w:t>人需求（</w:t>
            </w:r>
            <w:r>
              <w:rPr>
                <w:rFonts w:hint="eastAsia" w:ascii="宋体" w:hAnsi="宋体" w:cs="宋体"/>
                <w:color w:val="auto"/>
                <w:sz w:val="21"/>
                <w:szCs w:val="21"/>
                <w:highlight w:val="none"/>
                <w:lang w:val="en-US" w:eastAsia="zh-CN"/>
              </w:rPr>
              <w:t>要求</w:t>
            </w:r>
            <w:r>
              <w:rPr>
                <w:rFonts w:hint="eastAsia" w:ascii="宋体" w:hAnsi="宋体" w:eastAsia="宋体" w:cs="宋体"/>
                <w:color w:val="auto"/>
                <w:sz w:val="21"/>
                <w:szCs w:val="21"/>
                <w:highlight w:val="none"/>
                <w:lang w:val="en-US" w:eastAsia="zh-CN"/>
              </w:rPr>
              <w:t>有档口、厨房、操作间、库房、包间、白案间、卫生间）。</w:t>
            </w:r>
          </w:p>
          <w:p w14:paraId="3125F5C5">
            <w:pPr>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以上方案描述清晰，完整可行，不存在瑕疵得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p w14:paraId="416FCA3C">
            <w:pPr>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存在1处瑕疵的得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p w14:paraId="5861E52A">
            <w:pPr>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存在2处瑕疵的得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126F545F">
            <w:pPr>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存在3处瑕疵的得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759200AF">
            <w:pPr>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存在4处瑕疵及以上瑕疵或未提供的，得0分。</w:t>
            </w:r>
          </w:p>
        </w:tc>
        <w:tc>
          <w:tcPr>
            <w:tcW w:w="1906" w:type="dxa"/>
            <w:vMerge w:val="restart"/>
            <w:noWrap w:val="0"/>
            <w:vAlign w:val="center"/>
          </w:tcPr>
          <w:p w14:paraId="07B339E9">
            <w:pPr>
              <w:ind w:firstLine="28"/>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竞选人</w:t>
            </w:r>
            <w:r>
              <w:rPr>
                <w:rFonts w:hint="eastAsia" w:ascii="宋体" w:hAnsi="宋体" w:eastAsia="宋体" w:cs="宋体"/>
                <w:color w:val="auto"/>
                <w:sz w:val="21"/>
                <w:szCs w:val="21"/>
                <w:highlight w:val="none"/>
                <w:lang w:val="en-US" w:eastAsia="zh-CN"/>
              </w:rPr>
              <w:t>须提供书面方案，格式自拟。</w:t>
            </w:r>
          </w:p>
          <w:p w14:paraId="41CF04AC">
            <w:pPr>
              <w:ind w:firstLine="28"/>
              <w:jc w:val="center"/>
              <w:rPr>
                <w:rFonts w:hint="eastAsia" w:ascii="宋体" w:hAnsi="宋体" w:eastAsia="宋体" w:cs="宋体"/>
                <w:color w:val="auto"/>
                <w:sz w:val="21"/>
                <w:szCs w:val="21"/>
                <w:highlight w:val="none"/>
                <w:lang w:val="en-US" w:eastAsia="zh-CN"/>
              </w:rPr>
            </w:pPr>
          </w:p>
          <w:p w14:paraId="659762D0">
            <w:pPr>
              <w:ind w:firstLine="28"/>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2、评审小组会根据比选文件服务要求为标准，对各</w:t>
            </w:r>
            <w:r>
              <w:rPr>
                <w:rFonts w:hint="eastAsia" w:ascii="宋体" w:hAnsi="宋体" w:cs="宋体"/>
                <w:color w:val="auto"/>
                <w:sz w:val="21"/>
                <w:szCs w:val="21"/>
                <w:highlight w:val="none"/>
                <w:lang w:val="en-US" w:eastAsia="zh-CN"/>
              </w:rPr>
              <w:t>竞选人</w:t>
            </w:r>
            <w:r>
              <w:rPr>
                <w:rFonts w:hint="eastAsia" w:ascii="宋体" w:hAnsi="宋体" w:eastAsia="宋体" w:cs="宋体"/>
                <w:color w:val="auto"/>
                <w:sz w:val="21"/>
                <w:szCs w:val="21"/>
                <w:highlight w:val="none"/>
                <w:lang w:val="en-US" w:eastAsia="zh-CN"/>
              </w:rPr>
              <w:t>提供的书面方案进行独立评分。</w:t>
            </w:r>
          </w:p>
          <w:p w14:paraId="03B088B7">
            <w:pPr>
              <w:ind w:firstLine="28"/>
              <w:jc w:val="center"/>
              <w:rPr>
                <w:rFonts w:hint="eastAsia" w:ascii="宋体" w:hAnsi="宋体" w:eastAsia="宋体" w:cs="宋体"/>
                <w:color w:val="auto"/>
                <w:sz w:val="21"/>
                <w:szCs w:val="21"/>
                <w:highlight w:val="none"/>
                <w:lang w:val="en-US" w:eastAsia="zh-CN"/>
              </w:rPr>
            </w:pPr>
          </w:p>
          <w:p w14:paraId="2CDAE257">
            <w:pPr>
              <w:numPr>
                <w:ilvl w:val="0"/>
                <w:numId w:val="16"/>
              </w:numPr>
              <w:ind w:firstLine="28"/>
              <w:jc w:val="left"/>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取评审小组的算术平均值作为技术部分该部分得分。</w:t>
            </w:r>
            <w:r>
              <w:rPr>
                <w:rFonts w:hint="eastAsia" w:ascii="宋体" w:hAnsi="宋体" w:eastAsia="宋体" w:cs="宋体"/>
                <w:color w:val="auto"/>
                <w:sz w:val="21"/>
                <w:szCs w:val="21"/>
                <w:highlight w:val="none"/>
                <w:lang w:val="en-US" w:eastAsia="zh-CN"/>
              </w:rPr>
              <w:br w:type="textWrapping"/>
            </w:r>
            <w:r>
              <w:rPr>
                <w:rFonts w:hint="eastAsia" w:ascii="宋体" w:hAnsi="宋体" w:cs="宋体"/>
                <w:color w:val="auto"/>
                <w:sz w:val="21"/>
                <w:szCs w:val="21"/>
                <w:highlight w:val="none"/>
                <w:lang w:val="en-US" w:eastAsia="zh-CN"/>
              </w:rPr>
              <w:t xml:space="preserve"> </w:t>
            </w:r>
          </w:p>
          <w:p w14:paraId="5AF00690">
            <w:pPr>
              <w:numPr>
                <w:ilvl w:val="0"/>
                <w:numId w:val="0"/>
              </w:numPr>
              <w:ind w:firstLine="210" w:firstLineChars="100"/>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注：本项内容中所称的“瑕疵”指：（1）方案内容缺项、内容表述不完整或缺少关键分析点；</w:t>
            </w:r>
          </w:p>
          <w:p w14:paraId="234B5751">
            <w:pPr>
              <w:ind w:firstLine="28"/>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（2）方案内容表述前后矛盾、无连贯性；</w:t>
            </w:r>
          </w:p>
          <w:p w14:paraId="4835FCE7">
            <w:pPr>
              <w:ind w:firstLine="28"/>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（3）内容存在逻辑漏洞、常识错误；</w:t>
            </w:r>
          </w:p>
          <w:p w14:paraId="1993BBC2">
            <w:pPr>
              <w:ind w:firstLine="28"/>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（4）方案内容不具有先进思路或时效性低下或安全性低或缺乏稳定可靠的相关保障措施、流程或进度或不合理、不具有可行性或具体措施不适用本项目特性或非专门针对本项目制定；</w:t>
            </w:r>
          </w:p>
          <w:p w14:paraId="6935542A">
            <w:pPr>
              <w:ind w:firstLine="28"/>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（5）方案中提出的措施举措不利于本项目目标的实现；</w:t>
            </w:r>
          </w:p>
          <w:p w14:paraId="05337228">
            <w:pPr>
              <w:ind w:firstLine="28"/>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（6）现有技术条件下不可能出现的情形。</w:t>
            </w:r>
          </w:p>
        </w:tc>
      </w:tr>
      <w:tr w14:paraId="5CD0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7" w:hRule="atLeast"/>
        </w:trPr>
        <w:tc>
          <w:tcPr>
            <w:tcW w:w="617" w:type="dxa"/>
            <w:vMerge w:val="continue"/>
            <w:noWrap w:val="0"/>
            <w:vAlign w:val="center"/>
          </w:tcPr>
          <w:p w14:paraId="13EBBC91">
            <w:pPr>
              <w:ind w:firstLine="28"/>
              <w:jc w:val="center"/>
              <w:rPr>
                <w:rFonts w:hint="eastAsia" w:ascii="宋体" w:hAnsi="宋体" w:cs="宋体"/>
                <w:color w:val="auto"/>
                <w:sz w:val="21"/>
                <w:szCs w:val="21"/>
                <w:highlight w:val="none"/>
              </w:rPr>
            </w:pPr>
          </w:p>
        </w:tc>
        <w:tc>
          <w:tcPr>
            <w:tcW w:w="1164" w:type="dxa"/>
            <w:vMerge w:val="continue"/>
            <w:noWrap w:val="0"/>
            <w:vAlign w:val="center"/>
          </w:tcPr>
          <w:p w14:paraId="48314DA7">
            <w:pPr>
              <w:ind w:firstLine="28"/>
              <w:jc w:val="center"/>
              <w:rPr>
                <w:rFonts w:hint="eastAsia" w:ascii="宋体" w:hAnsi="宋体" w:cs="宋体"/>
                <w:color w:val="auto"/>
                <w:sz w:val="21"/>
                <w:szCs w:val="21"/>
                <w:highlight w:val="none"/>
              </w:rPr>
            </w:pPr>
          </w:p>
        </w:tc>
        <w:tc>
          <w:tcPr>
            <w:tcW w:w="784" w:type="dxa"/>
            <w:noWrap w:val="0"/>
            <w:vAlign w:val="center"/>
          </w:tcPr>
          <w:p w14:paraId="04C10ADC">
            <w:pPr>
              <w:ind w:firstLine="28"/>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10分</w:t>
            </w:r>
          </w:p>
        </w:tc>
        <w:tc>
          <w:tcPr>
            <w:tcW w:w="5300" w:type="dxa"/>
            <w:noWrap w:val="0"/>
            <w:vAlign w:val="center"/>
          </w:tcPr>
          <w:p w14:paraId="67E8A74D">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2.施工方案与技术措施（1</w:t>
            </w:r>
            <w:r>
              <w:rPr>
                <w:rFonts w:hint="eastAsia" w:ascii="宋体" w:hAnsi="宋体" w:cs="宋体"/>
                <w:color w:val="auto"/>
                <w:sz w:val="21"/>
                <w:szCs w:val="21"/>
                <w:highlight w:val="none"/>
                <w:lang w:val="en-US" w:eastAsia="zh-CN"/>
              </w:rPr>
              <w:t>0分</w:t>
            </w:r>
            <w:r>
              <w:rPr>
                <w:rFonts w:hint="eastAsia" w:ascii="宋体" w:hAnsi="宋体" w:eastAsia="宋体" w:cs="宋体"/>
                <w:color w:val="auto"/>
                <w:sz w:val="21"/>
                <w:szCs w:val="21"/>
                <w:highlight w:val="none"/>
                <w:lang w:val="en-US" w:eastAsia="zh-CN"/>
              </w:rPr>
              <w:t>）</w:t>
            </w:r>
          </w:p>
          <w:p w14:paraId="039D9C3A">
            <w:pPr>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施工方案、方案施工组织计划总体安排合理，计划清晰、相互干扰小，组织内容完整满足施工条件要求。所采用的施工方案、程序和措施，既要保证工程质量和安全，又能减少干扰加快施工进度等方面综合评审。</w:t>
            </w:r>
          </w:p>
          <w:p w14:paraId="2D649C3E">
            <w:pPr>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以上方案描述清晰，完整可行，不存在瑕疵得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p w14:paraId="2BF19AE8">
            <w:pPr>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存在1处瑕疵的得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p w14:paraId="31C1ED23">
            <w:pPr>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存在2处瑕疵的得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215A7520">
            <w:pPr>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存在3处瑕疵的得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4509091B">
            <w:pPr>
              <w:ind w:firstLine="438" w:firstLineChars="209"/>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存在4处瑕疵及以上瑕疵或未提供的，得0分。</w:t>
            </w:r>
          </w:p>
        </w:tc>
        <w:tc>
          <w:tcPr>
            <w:tcW w:w="1906" w:type="dxa"/>
            <w:vMerge w:val="continue"/>
            <w:noWrap w:val="0"/>
            <w:vAlign w:val="center"/>
          </w:tcPr>
          <w:p w14:paraId="075D9E4D">
            <w:pPr>
              <w:spacing w:line="360" w:lineRule="exact"/>
              <w:jc w:val="left"/>
              <w:rPr>
                <w:rFonts w:hint="eastAsia" w:ascii="宋体" w:hAnsi="宋体" w:eastAsia="宋体" w:cs="宋体"/>
                <w:color w:val="auto"/>
                <w:kern w:val="0"/>
                <w:sz w:val="28"/>
                <w:highlight w:val="none"/>
                <w:lang w:val="en-US" w:eastAsia="zh-CN" w:bidi="ar-SA"/>
              </w:rPr>
            </w:pPr>
          </w:p>
        </w:tc>
      </w:tr>
      <w:tr w14:paraId="7B4A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2" w:hRule="atLeast"/>
        </w:trPr>
        <w:tc>
          <w:tcPr>
            <w:tcW w:w="617" w:type="dxa"/>
            <w:vMerge w:val="continue"/>
            <w:noWrap w:val="0"/>
            <w:vAlign w:val="center"/>
          </w:tcPr>
          <w:p w14:paraId="61B9DB90">
            <w:pPr>
              <w:ind w:firstLine="28"/>
              <w:jc w:val="center"/>
              <w:rPr>
                <w:rFonts w:hint="eastAsia" w:ascii="宋体" w:hAnsi="宋体" w:eastAsia="宋体" w:cs="宋体"/>
                <w:color w:val="auto"/>
                <w:sz w:val="21"/>
                <w:szCs w:val="21"/>
                <w:highlight w:val="none"/>
                <w:lang w:val="en-US" w:eastAsia="zh-CN"/>
              </w:rPr>
            </w:pPr>
          </w:p>
        </w:tc>
        <w:tc>
          <w:tcPr>
            <w:tcW w:w="1164" w:type="dxa"/>
            <w:vMerge w:val="continue"/>
            <w:noWrap w:val="0"/>
            <w:vAlign w:val="center"/>
          </w:tcPr>
          <w:p w14:paraId="321C72F1">
            <w:pPr>
              <w:ind w:firstLine="28"/>
              <w:jc w:val="center"/>
              <w:rPr>
                <w:rFonts w:hint="eastAsia" w:ascii="宋体" w:hAnsi="宋体" w:cs="宋体"/>
                <w:color w:val="auto"/>
                <w:sz w:val="21"/>
                <w:szCs w:val="21"/>
                <w:highlight w:val="none"/>
              </w:rPr>
            </w:pPr>
          </w:p>
        </w:tc>
        <w:tc>
          <w:tcPr>
            <w:tcW w:w="784" w:type="dxa"/>
            <w:noWrap w:val="0"/>
            <w:vAlign w:val="center"/>
          </w:tcPr>
          <w:p w14:paraId="517D3F07">
            <w:pPr>
              <w:ind w:firstLine="28"/>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5分</w:t>
            </w:r>
          </w:p>
        </w:tc>
        <w:tc>
          <w:tcPr>
            <w:tcW w:w="5300" w:type="dxa"/>
            <w:noWrap w:val="0"/>
            <w:vAlign w:val="center"/>
          </w:tcPr>
          <w:p w14:paraId="19CA8FBF">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3.安全和环境保护管理体系与措施（</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14:paraId="3AA538FF">
            <w:pPr>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施工安全管理体系健全、措施可行。环境保护管理体系的方案、措施先进、合理、可靠等方面综合评审。</w:t>
            </w:r>
          </w:p>
          <w:p w14:paraId="48891DCF">
            <w:pPr>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以上方案描述清晰，完整可行，不存在瑕疵得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14:paraId="25A61CBA">
            <w:pPr>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存在1处瑕疵的得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37D0A6A1">
            <w:pPr>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存在2处瑕疵的得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301BD112">
            <w:pPr>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存在3处瑕疵的得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3A6B7436">
            <w:pPr>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存在4处瑕疵及以上瑕疵或未提供的，得0分。</w:t>
            </w:r>
          </w:p>
        </w:tc>
        <w:tc>
          <w:tcPr>
            <w:tcW w:w="1906" w:type="dxa"/>
            <w:vMerge w:val="continue"/>
            <w:noWrap w:val="0"/>
            <w:vAlign w:val="center"/>
          </w:tcPr>
          <w:p w14:paraId="3CD9143A">
            <w:pPr>
              <w:spacing w:line="360" w:lineRule="exact"/>
              <w:jc w:val="left"/>
              <w:rPr>
                <w:rFonts w:hint="eastAsia" w:ascii="宋体" w:hAnsi="宋体" w:eastAsia="宋体" w:cs="宋体"/>
                <w:color w:val="auto"/>
                <w:kern w:val="0"/>
                <w:sz w:val="28"/>
                <w:highlight w:val="none"/>
                <w:lang w:val="en-US" w:eastAsia="zh-CN" w:bidi="ar-SA"/>
              </w:rPr>
            </w:pPr>
          </w:p>
        </w:tc>
      </w:tr>
      <w:tr w14:paraId="6DA9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6" w:hRule="atLeast"/>
        </w:trPr>
        <w:tc>
          <w:tcPr>
            <w:tcW w:w="617" w:type="dxa"/>
            <w:vMerge w:val="continue"/>
            <w:noWrap w:val="0"/>
            <w:vAlign w:val="center"/>
          </w:tcPr>
          <w:p w14:paraId="5BE0B393">
            <w:pPr>
              <w:ind w:firstLine="28"/>
              <w:jc w:val="center"/>
              <w:rPr>
                <w:rFonts w:hint="eastAsia" w:ascii="宋体" w:hAnsi="宋体" w:eastAsia="宋体" w:cs="宋体"/>
                <w:color w:val="auto"/>
                <w:sz w:val="21"/>
                <w:szCs w:val="21"/>
                <w:highlight w:val="none"/>
                <w:lang w:val="en-US" w:eastAsia="zh-CN"/>
              </w:rPr>
            </w:pPr>
          </w:p>
        </w:tc>
        <w:tc>
          <w:tcPr>
            <w:tcW w:w="1164" w:type="dxa"/>
            <w:vMerge w:val="continue"/>
            <w:noWrap w:val="0"/>
            <w:vAlign w:val="center"/>
          </w:tcPr>
          <w:p w14:paraId="73EE93BE">
            <w:pPr>
              <w:ind w:firstLine="28"/>
              <w:jc w:val="center"/>
              <w:rPr>
                <w:rFonts w:hint="eastAsia" w:ascii="宋体" w:hAnsi="宋体" w:cs="宋体"/>
                <w:color w:val="auto"/>
                <w:sz w:val="21"/>
                <w:szCs w:val="21"/>
                <w:highlight w:val="none"/>
              </w:rPr>
            </w:pPr>
          </w:p>
        </w:tc>
        <w:tc>
          <w:tcPr>
            <w:tcW w:w="784" w:type="dxa"/>
            <w:noWrap w:val="0"/>
            <w:vAlign w:val="center"/>
          </w:tcPr>
          <w:p w14:paraId="5A4ADA10">
            <w:pPr>
              <w:ind w:firstLine="28"/>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5分</w:t>
            </w:r>
          </w:p>
        </w:tc>
        <w:tc>
          <w:tcPr>
            <w:tcW w:w="5300" w:type="dxa"/>
            <w:noWrap w:val="0"/>
            <w:vAlign w:val="center"/>
          </w:tcPr>
          <w:p w14:paraId="5221032C">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4.质量管理体系与措施（5分）</w:t>
            </w:r>
          </w:p>
          <w:p w14:paraId="69249363">
            <w:pPr>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施工质量保证体系和质量检查监督机构健全，并有有效的控制措施和手段。评委对其质量管理体系、措施合理、针对性进行评审。</w:t>
            </w:r>
          </w:p>
          <w:p w14:paraId="302B8FA3">
            <w:pPr>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以上方案描述清晰，完整可行，不存在瑕疵得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14:paraId="3D0F4384">
            <w:pPr>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存在1处瑕疵的得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73759BC8">
            <w:pPr>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存在2处瑕疵的得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71C0FA70">
            <w:pPr>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存在3处瑕疵的得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4D991590">
            <w:pPr>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存在4处瑕疵及以上瑕疵或未提供的，得0分。</w:t>
            </w:r>
          </w:p>
        </w:tc>
        <w:tc>
          <w:tcPr>
            <w:tcW w:w="1906" w:type="dxa"/>
            <w:vMerge w:val="continue"/>
            <w:noWrap w:val="0"/>
            <w:vAlign w:val="center"/>
          </w:tcPr>
          <w:p w14:paraId="460EA645">
            <w:pPr>
              <w:spacing w:line="360" w:lineRule="exact"/>
              <w:jc w:val="left"/>
              <w:rPr>
                <w:rFonts w:hint="eastAsia" w:ascii="宋体" w:hAnsi="宋体" w:eastAsia="宋体" w:cs="宋体"/>
                <w:color w:val="auto"/>
                <w:kern w:val="0"/>
                <w:sz w:val="28"/>
                <w:highlight w:val="none"/>
                <w:lang w:val="en-US" w:eastAsia="zh-CN" w:bidi="ar-SA"/>
              </w:rPr>
            </w:pPr>
          </w:p>
        </w:tc>
      </w:tr>
      <w:tr w14:paraId="39A8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617" w:type="dxa"/>
            <w:vMerge w:val="restart"/>
            <w:noWrap w:val="0"/>
            <w:vAlign w:val="center"/>
          </w:tcPr>
          <w:p w14:paraId="19FD9193">
            <w:pPr>
              <w:ind w:firstLine="28"/>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w:t>
            </w:r>
          </w:p>
        </w:tc>
        <w:tc>
          <w:tcPr>
            <w:tcW w:w="1164" w:type="dxa"/>
            <w:vMerge w:val="restart"/>
            <w:noWrap w:val="0"/>
            <w:vAlign w:val="center"/>
          </w:tcPr>
          <w:p w14:paraId="7792A91D">
            <w:pPr>
              <w:ind w:firstLine="28"/>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商务</w:t>
            </w:r>
            <w:r>
              <w:rPr>
                <w:rFonts w:hint="eastAsia" w:ascii="宋体" w:hAnsi="宋体" w:cs="宋体"/>
                <w:color w:val="auto"/>
                <w:sz w:val="21"/>
                <w:szCs w:val="21"/>
                <w:highlight w:val="none"/>
              </w:rPr>
              <w:t>部分</w:t>
            </w:r>
          </w:p>
          <w:p w14:paraId="3F86C9FE">
            <w:pPr>
              <w:ind w:firstLine="28"/>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w:t>
            </w:r>
          </w:p>
        </w:tc>
        <w:tc>
          <w:tcPr>
            <w:tcW w:w="784" w:type="dxa"/>
            <w:vMerge w:val="restart"/>
            <w:noWrap w:val="0"/>
            <w:vAlign w:val="center"/>
          </w:tcPr>
          <w:p w14:paraId="765E39DB">
            <w:pPr>
              <w:ind w:firstLine="28"/>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20分</w:t>
            </w:r>
          </w:p>
        </w:tc>
        <w:tc>
          <w:tcPr>
            <w:tcW w:w="5300" w:type="dxa"/>
            <w:noWrap w:val="0"/>
            <w:vAlign w:val="center"/>
          </w:tcPr>
          <w:p w14:paraId="4901FBDC">
            <w:p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1.企业业绩（9分）</w:t>
            </w:r>
          </w:p>
          <w:p w14:paraId="26191F82">
            <w:pPr>
              <w:ind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竞选人自2022年1月1日至今（以合同签订时间为准）承担过装饰、装修、改造项目业绩的，每提供1个得3分，此项最多得9分，未提供不得分。</w:t>
            </w:r>
          </w:p>
        </w:tc>
        <w:tc>
          <w:tcPr>
            <w:tcW w:w="1906" w:type="dxa"/>
            <w:noWrap w:val="0"/>
            <w:vAlign w:val="center"/>
          </w:tcPr>
          <w:p w14:paraId="63AC5318">
            <w:p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提供合同协议书并加盖竞选人公章。</w:t>
            </w:r>
          </w:p>
        </w:tc>
      </w:tr>
      <w:tr w14:paraId="28F0F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617" w:type="dxa"/>
            <w:vMerge w:val="continue"/>
            <w:noWrap w:val="0"/>
            <w:vAlign w:val="center"/>
          </w:tcPr>
          <w:p w14:paraId="027137C2">
            <w:pPr>
              <w:ind w:firstLine="28"/>
              <w:jc w:val="center"/>
              <w:rPr>
                <w:rFonts w:hint="eastAsia" w:ascii="宋体" w:hAnsi="宋体" w:cs="宋体"/>
                <w:color w:val="auto"/>
                <w:sz w:val="21"/>
                <w:szCs w:val="21"/>
                <w:highlight w:val="none"/>
                <w:lang w:val="en-US" w:eastAsia="zh-CN"/>
              </w:rPr>
            </w:pPr>
            <w:bookmarkStart w:id="201" w:name="_Toc31101"/>
          </w:p>
        </w:tc>
        <w:tc>
          <w:tcPr>
            <w:tcW w:w="1164" w:type="dxa"/>
            <w:vMerge w:val="continue"/>
            <w:noWrap w:val="0"/>
            <w:vAlign w:val="center"/>
          </w:tcPr>
          <w:p w14:paraId="35DFB6FF">
            <w:pPr>
              <w:ind w:firstLine="28"/>
              <w:jc w:val="center"/>
              <w:rPr>
                <w:rFonts w:hint="eastAsia" w:ascii="宋体" w:hAnsi="宋体" w:cs="宋体"/>
                <w:color w:val="auto"/>
                <w:sz w:val="21"/>
                <w:szCs w:val="21"/>
                <w:highlight w:val="none"/>
              </w:rPr>
            </w:pPr>
          </w:p>
        </w:tc>
        <w:tc>
          <w:tcPr>
            <w:tcW w:w="784" w:type="dxa"/>
            <w:vMerge w:val="continue"/>
            <w:noWrap w:val="0"/>
            <w:vAlign w:val="center"/>
          </w:tcPr>
          <w:p w14:paraId="6135A86C">
            <w:pPr>
              <w:ind w:firstLine="28"/>
              <w:jc w:val="center"/>
              <w:rPr>
                <w:rFonts w:hint="eastAsia" w:ascii="宋体" w:hAnsi="宋体" w:cs="宋体"/>
                <w:color w:val="auto"/>
                <w:sz w:val="21"/>
                <w:szCs w:val="21"/>
                <w:highlight w:val="none"/>
                <w:lang w:val="en-US" w:eastAsia="zh-CN"/>
              </w:rPr>
            </w:pPr>
          </w:p>
        </w:tc>
        <w:tc>
          <w:tcPr>
            <w:tcW w:w="5300" w:type="dxa"/>
            <w:noWrap w:val="0"/>
            <w:vAlign w:val="center"/>
          </w:tcPr>
          <w:p w14:paraId="69DA5AC4">
            <w:pPr>
              <w:jc w:val="left"/>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.造价人员（5分）</w:t>
            </w:r>
          </w:p>
          <w:p w14:paraId="69A0A7F4">
            <w:pPr>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竞选人</w:t>
            </w:r>
            <w:r>
              <w:rPr>
                <w:rFonts w:hint="default" w:ascii="宋体" w:hAnsi="宋体" w:eastAsia="宋体" w:cs="宋体"/>
                <w:color w:val="auto"/>
                <w:sz w:val="21"/>
                <w:szCs w:val="21"/>
                <w:highlight w:val="none"/>
                <w:lang w:val="en-US" w:eastAsia="zh-CN"/>
              </w:rPr>
              <w:t>为本项目服务投入</w:t>
            </w:r>
            <w:r>
              <w:rPr>
                <w:rFonts w:hint="eastAsia" w:ascii="宋体" w:hAnsi="宋体" w:eastAsia="宋体" w:cs="宋体"/>
                <w:color w:val="auto"/>
                <w:sz w:val="21"/>
                <w:szCs w:val="21"/>
                <w:highlight w:val="none"/>
                <w:lang w:val="en-US" w:eastAsia="zh-CN"/>
              </w:rPr>
              <w:t>造价</w:t>
            </w:r>
            <w:r>
              <w:rPr>
                <w:rFonts w:hint="eastAsia" w:ascii="宋体" w:hAnsi="宋体" w:cs="宋体"/>
                <w:color w:val="auto"/>
                <w:sz w:val="21"/>
                <w:szCs w:val="21"/>
                <w:highlight w:val="none"/>
                <w:lang w:val="en-US" w:eastAsia="zh-CN"/>
              </w:rPr>
              <w:t>人</w:t>
            </w:r>
            <w:r>
              <w:rPr>
                <w:rFonts w:hint="eastAsia" w:ascii="宋体" w:hAnsi="宋体" w:eastAsia="宋体" w:cs="宋体"/>
                <w:color w:val="auto"/>
                <w:sz w:val="21"/>
                <w:szCs w:val="21"/>
                <w:highlight w:val="none"/>
                <w:lang w:val="en-US" w:eastAsia="zh-CN"/>
              </w:rPr>
              <w:t>员</w:t>
            </w:r>
            <w:r>
              <w:rPr>
                <w:rFonts w:hint="default" w:ascii="宋体" w:hAnsi="宋体" w:eastAsia="宋体" w:cs="宋体"/>
                <w:color w:val="auto"/>
                <w:sz w:val="21"/>
                <w:szCs w:val="21"/>
                <w:highlight w:val="none"/>
                <w:lang w:val="en-US" w:eastAsia="zh-CN"/>
              </w:rPr>
              <w:t>1名得5分，未提供或未满足得0分。</w:t>
            </w:r>
          </w:p>
        </w:tc>
        <w:tc>
          <w:tcPr>
            <w:tcW w:w="1906" w:type="dxa"/>
            <w:noWrap w:val="0"/>
            <w:vAlign w:val="center"/>
          </w:tcPr>
          <w:p w14:paraId="6C64EA66">
            <w:pPr>
              <w:jc w:val="left"/>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lang w:val="en-US" w:eastAsia="zh-CN"/>
              </w:rPr>
              <w:t>该</w:t>
            </w:r>
            <w:r>
              <w:rPr>
                <w:rFonts w:hint="default" w:ascii="宋体" w:hAnsi="宋体" w:eastAsia="宋体" w:cs="宋体"/>
                <w:color w:val="auto"/>
                <w:sz w:val="21"/>
                <w:szCs w:val="21"/>
                <w:highlight w:val="none"/>
                <w:lang w:val="en-US" w:eastAsia="zh-CN"/>
              </w:rPr>
              <w:t>造价</w:t>
            </w:r>
            <w:r>
              <w:rPr>
                <w:rFonts w:hint="eastAsia" w:ascii="宋体" w:hAnsi="宋体" w:eastAsia="宋体" w:cs="宋体"/>
                <w:color w:val="auto"/>
                <w:sz w:val="21"/>
                <w:szCs w:val="21"/>
                <w:highlight w:val="none"/>
                <w:lang w:val="en-US" w:eastAsia="zh-CN"/>
              </w:rPr>
              <w:t>人</w:t>
            </w:r>
            <w:r>
              <w:rPr>
                <w:rFonts w:hint="default" w:ascii="宋体" w:hAnsi="宋体" w:eastAsia="宋体" w:cs="宋体"/>
                <w:color w:val="auto"/>
                <w:sz w:val="21"/>
                <w:szCs w:val="21"/>
                <w:highlight w:val="none"/>
                <w:lang w:val="en-US" w:eastAsia="zh-CN"/>
              </w:rPr>
              <w:t>员</w:t>
            </w:r>
            <w:r>
              <w:rPr>
                <w:rFonts w:hint="eastAsia" w:ascii="宋体" w:hAnsi="宋体" w:eastAsia="宋体" w:cs="宋体"/>
                <w:color w:val="auto"/>
                <w:sz w:val="21"/>
                <w:szCs w:val="21"/>
                <w:highlight w:val="none"/>
                <w:lang w:val="en-US" w:eastAsia="zh-CN"/>
              </w:rPr>
              <w:t>证书</w:t>
            </w:r>
            <w:r>
              <w:rPr>
                <w:rFonts w:hint="default" w:ascii="宋体" w:hAnsi="宋体" w:eastAsia="宋体" w:cs="宋体"/>
                <w:color w:val="auto"/>
                <w:sz w:val="21"/>
                <w:szCs w:val="21"/>
                <w:highlight w:val="none"/>
                <w:lang w:val="en-US" w:eastAsia="zh-CN"/>
              </w:rPr>
              <w:t>复印件、社保部门出具的养老保险缴纳证明材料复印件（时间为开标当月或前一个月），并加盖</w:t>
            </w:r>
            <w:r>
              <w:rPr>
                <w:rFonts w:hint="eastAsia" w:ascii="宋体" w:hAnsi="宋体" w:eastAsia="宋体" w:cs="宋体"/>
                <w:color w:val="auto"/>
                <w:sz w:val="21"/>
                <w:szCs w:val="21"/>
                <w:highlight w:val="none"/>
                <w:lang w:val="en-US" w:eastAsia="zh-CN"/>
              </w:rPr>
              <w:t>竞选人</w:t>
            </w:r>
            <w:r>
              <w:rPr>
                <w:rFonts w:hint="default" w:ascii="宋体" w:hAnsi="宋体" w:eastAsia="宋体" w:cs="宋体"/>
                <w:color w:val="auto"/>
                <w:sz w:val="21"/>
                <w:szCs w:val="21"/>
                <w:highlight w:val="none"/>
                <w:lang w:val="en-US" w:eastAsia="zh-CN"/>
              </w:rPr>
              <w:t>单位公章。</w:t>
            </w:r>
          </w:p>
        </w:tc>
      </w:tr>
      <w:tr w14:paraId="0DB5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617" w:type="dxa"/>
            <w:vMerge w:val="continue"/>
            <w:noWrap w:val="0"/>
            <w:vAlign w:val="center"/>
          </w:tcPr>
          <w:p w14:paraId="2B650E15">
            <w:pPr>
              <w:ind w:firstLine="28"/>
              <w:jc w:val="center"/>
              <w:rPr>
                <w:rFonts w:hint="eastAsia" w:ascii="宋体" w:hAnsi="宋体" w:cs="宋体"/>
                <w:color w:val="auto"/>
                <w:sz w:val="21"/>
                <w:szCs w:val="21"/>
                <w:highlight w:val="none"/>
                <w:lang w:val="en-US" w:eastAsia="zh-CN"/>
              </w:rPr>
            </w:pPr>
          </w:p>
        </w:tc>
        <w:tc>
          <w:tcPr>
            <w:tcW w:w="1164" w:type="dxa"/>
            <w:vMerge w:val="continue"/>
            <w:noWrap w:val="0"/>
            <w:vAlign w:val="center"/>
          </w:tcPr>
          <w:p w14:paraId="6FD4E163">
            <w:pPr>
              <w:ind w:firstLine="28"/>
              <w:jc w:val="center"/>
              <w:rPr>
                <w:rFonts w:hint="eastAsia" w:ascii="宋体" w:hAnsi="宋体" w:cs="宋体"/>
                <w:color w:val="auto"/>
                <w:sz w:val="21"/>
                <w:szCs w:val="21"/>
                <w:highlight w:val="none"/>
              </w:rPr>
            </w:pPr>
          </w:p>
        </w:tc>
        <w:tc>
          <w:tcPr>
            <w:tcW w:w="784" w:type="dxa"/>
            <w:vMerge w:val="continue"/>
            <w:noWrap w:val="0"/>
            <w:vAlign w:val="center"/>
          </w:tcPr>
          <w:p w14:paraId="7127BB42">
            <w:pPr>
              <w:ind w:firstLine="28"/>
              <w:jc w:val="center"/>
              <w:rPr>
                <w:rFonts w:hint="eastAsia" w:ascii="宋体" w:hAnsi="宋体" w:cs="宋体"/>
                <w:color w:val="auto"/>
                <w:sz w:val="21"/>
                <w:szCs w:val="21"/>
                <w:highlight w:val="none"/>
                <w:lang w:val="en-US" w:eastAsia="zh-CN"/>
              </w:rPr>
            </w:pPr>
          </w:p>
        </w:tc>
        <w:tc>
          <w:tcPr>
            <w:tcW w:w="5300" w:type="dxa"/>
            <w:noWrap w:val="0"/>
            <w:vAlign w:val="center"/>
          </w:tcPr>
          <w:p w14:paraId="6C3ECF1D">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3.服务团队承诺（6分）</w:t>
            </w:r>
          </w:p>
          <w:p w14:paraId="34BEC236">
            <w:pPr>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竞选人</w:t>
            </w:r>
            <w:r>
              <w:rPr>
                <w:rFonts w:hint="default" w:ascii="宋体" w:hAnsi="宋体" w:eastAsia="宋体" w:cs="宋体"/>
                <w:color w:val="auto"/>
                <w:sz w:val="21"/>
                <w:szCs w:val="21"/>
                <w:highlight w:val="none"/>
                <w:lang w:val="en-US" w:eastAsia="zh-CN"/>
              </w:rPr>
              <w:t>承诺拟投入本项目的服务人员应包括</w:t>
            </w:r>
            <w:r>
              <w:rPr>
                <w:rFonts w:hint="eastAsia" w:ascii="宋体" w:hAnsi="宋体" w:eastAsia="宋体" w:cs="宋体"/>
                <w:color w:val="auto"/>
                <w:sz w:val="21"/>
                <w:szCs w:val="21"/>
                <w:highlight w:val="none"/>
                <w:lang w:val="en-US" w:eastAsia="zh-CN"/>
              </w:rPr>
              <w:t>施工</w:t>
            </w:r>
            <w:r>
              <w:rPr>
                <w:rFonts w:hint="default" w:ascii="宋体" w:hAnsi="宋体" w:eastAsia="宋体" w:cs="宋体"/>
                <w:color w:val="auto"/>
                <w:sz w:val="21"/>
                <w:szCs w:val="21"/>
                <w:highlight w:val="none"/>
                <w:lang w:val="en-US" w:eastAsia="zh-CN"/>
              </w:rPr>
              <w:t>员、质检员、安全员、材料员、资料员，人员配置齐全得6分，每少一人扣3分</w:t>
            </w:r>
            <w:r>
              <w:rPr>
                <w:rFonts w:hint="eastAsia" w:ascii="宋体" w:hAnsi="宋体" w:eastAsia="宋体" w:cs="宋体"/>
                <w:color w:val="auto"/>
                <w:sz w:val="21"/>
                <w:szCs w:val="21"/>
                <w:highlight w:val="none"/>
                <w:lang w:val="en-US" w:eastAsia="zh-CN"/>
              </w:rPr>
              <w:t>，扣完为止</w:t>
            </w:r>
            <w:r>
              <w:rPr>
                <w:rFonts w:hint="default" w:ascii="宋体" w:hAnsi="宋体" w:eastAsia="宋体" w:cs="宋体"/>
                <w:color w:val="auto"/>
                <w:sz w:val="21"/>
                <w:szCs w:val="21"/>
                <w:highlight w:val="none"/>
                <w:lang w:val="en-US" w:eastAsia="zh-CN"/>
              </w:rPr>
              <w:t>。</w:t>
            </w:r>
          </w:p>
        </w:tc>
        <w:tc>
          <w:tcPr>
            <w:tcW w:w="1906" w:type="dxa"/>
            <w:noWrap w:val="0"/>
            <w:vAlign w:val="center"/>
          </w:tcPr>
          <w:p w14:paraId="7CF49C35">
            <w:pPr>
              <w:ind w:firstLine="420" w:firstLineChars="200"/>
              <w:jc w:val="left"/>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lang w:val="en-US" w:eastAsia="zh-CN"/>
              </w:rPr>
              <w:t>承诺</w:t>
            </w:r>
            <w:r>
              <w:rPr>
                <w:rFonts w:hint="default" w:ascii="宋体" w:hAnsi="宋体" w:eastAsia="宋体" w:cs="宋体"/>
                <w:color w:val="auto"/>
                <w:sz w:val="21"/>
                <w:szCs w:val="21"/>
                <w:highlight w:val="none"/>
                <w:lang w:val="en-US" w:eastAsia="zh-CN"/>
              </w:rPr>
              <w:t>书并加盖</w:t>
            </w:r>
            <w:r>
              <w:rPr>
                <w:rFonts w:hint="eastAsia" w:ascii="宋体" w:hAnsi="宋体" w:eastAsia="宋体" w:cs="宋体"/>
                <w:color w:val="auto"/>
                <w:sz w:val="21"/>
                <w:szCs w:val="21"/>
                <w:highlight w:val="none"/>
                <w:lang w:val="en-US" w:eastAsia="zh-CN"/>
              </w:rPr>
              <w:t>竞选人</w:t>
            </w:r>
            <w:r>
              <w:rPr>
                <w:rFonts w:hint="default" w:ascii="宋体" w:hAnsi="宋体" w:eastAsia="宋体" w:cs="宋体"/>
                <w:color w:val="auto"/>
                <w:sz w:val="21"/>
                <w:szCs w:val="21"/>
                <w:highlight w:val="none"/>
                <w:lang w:val="en-US" w:eastAsia="zh-CN"/>
              </w:rPr>
              <w:t>公章</w:t>
            </w:r>
            <w:r>
              <w:rPr>
                <w:rFonts w:hint="eastAsia" w:ascii="宋体" w:hAnsi="宋体" w:eastAsia="宋体" w:cs="宋体"/>
                <w:color w:val="auto"/>
                <w:sz w:val="21"/>
                <w:szCs w:val="21"/>
                <w:highlight w:val="none"/>
                <w:lang w:val="en-US" w:eastAsia="zh-CN"/>
              </w:rPr>
              <w:t>。</w:t>
            </w:r>
          </w:p>
        </w:tc>
      </w:tr>
    </w:tbl>
    <w:p w14:paraId="697F44A3">
      <w:pPr>
        <w:pStyle w:val="4"/>
        <w:spacing w:line="400" w:lineRule="exact"/>
        <w:ind w:firstLine="482" w:firstLineChars="200"/>
        <w:rPr>
          <w:rFonts w:hint="eastAsia" w:cs="宋体"/>
          <w:b/>
          <w:color w:val="auto"/>
          <w:sz w:val="24"/>
          <w:szCs w:val="24"/>
          <w:highlight w:val="none"/>
        </w:rPr>
      </w:pPr>
      <w:bookmarkStart w:id="202" w:name="_Toc8599"/>
      <w:bookmarkStart w:id="203" w:name="_Toc4912"/>
      <w:r>
        <w:rPr>
          <w:rFonts w:hint="eastAsia" w:cs="宋体"/>
          <w:b/>
          <w:color w:val="auto"/>
          <w:sz w:val="24"/>
          <w:szCs w:val="24"/>
          <w:highlight w:val="none"/>
          <w:lang w:val="en-US" w:eastAsia="zh-CN"/>
        </w:rPr>
        <w:t>注</w:t>
      </w:r>
      <w:r>
        <w:rPr>
          <w:rFonts w:hint="eastAsia" w:cs="宋体"/>
          <w:b/>
          <w:color w:val="auto"/>
          <w:sz w:val="24"/>
          <w:szCs w:val="24"/>
          <w:highlight w:val="none"/>
        </w:rPr>
        <w:t>：评审小组认为</w:t>
      </w:r>
      <w:r>
        <w:rPr>
          <w:rFonts w:hint="eastAsia" w:cs="宋体"/>
          <w:b/>
          <w:color w:val="auto"/>
          <w:sz w:val="24"/>
          <w:szCs w:val="24"/>
          <w:highlight w:val="none"/>
          <w:lang w:eastAsia="zh-CN"/>
        </w:rPr>
        <w:t>竞选人</w:t>
      </w:r>
      <w:r>
        <w:rPr>
          <w:rFonts w:hint="eastAsia" w:cs="宋体"/>
          <w:b/>
          <w:color w:val="auto"/>
          <w:sz w:val="24"/>
          <w:szCs w:val="24"/>
          <w:highlight w:val="none"/>
        </w:rPr>
        <w:t>的报价明显低于其他通过符合性审查投标人的报价，有可能影响产品质量（服务质量）或者不能诚信履约的，应当要求其在评标现场合理的时间内提供书面说明，必要时提交相关证明材料；投标人不能证明其报价合理性的，评标委员会应当将其作为无效投标处理。</w:t>
      </w:r>
      <w:bookmarkEnd w:id="202"/>
      <w:bookmarkEnd w:id="203"/>
    </w:p>
    <w:p w14:paraId="36805DA0">
      <w:pPr>
        <w:pStyle w:val="4"/>
        <w:spacing w:line="400" w:lineRule="exact"/>
        <w:ind w:firstLine="482" w:firstLineChars="200"/>
        <w:rPr>
          <w:rFonts w:hint="eastAsia" w:cs="宋体"/>
          <w:b/>
          <w:color w:val="auto"/>
          <w:sz w:val="24"/>
          <w:szCs w:val="24"/>
          <w:highlight w:val="none"/>
        </w:rPr>
      </w:pPr>
      <w:bookmarkStart w:id="204" w:name="_Toc16204"/>
      <w:r>
        <w:rPr>
          <w:rFonts w:hint="eastAsia" w:cs="宋体"/>
          <w:b/>
          <w:color w:val="auto"/>
          <w:sz w:val="24"/>
          <w:szCs w:val="24"/>
          <w:highlight w:val="none"/>
        </w:rPr>
        <w:t>三、否决</w:t>
      </w:r>
      <w:r>
        <w:rPr>
          <w:rFonts w:hint="eastAsia" w:cs="宋体"/>
          <w:b/>
          <w:color w:val="auto"/>
          <w:sz w:val="24"/>
          <w:szCs w:val="24"/>
          <w:highlight w:val="none"/>
          <w:lang w:eastAsia="zh-CN"/>
        </w:rPr>
        <w:t>竞选</w:t>
      </w:r>
      <w:r>
        <w:rPr>
          <w:rFonts w:hint="eastAsia" w:cs="宋体"/>
          <w:b/>
          <w:color w:val="auto"/>
          <w:sz w:val="24"/>
          <w:szCs w:val="24"/>
          <w:highlight w:val="none"/>
        </w:rPr>
        <w:t>条款</w:t>
      </w:r>
      <w:bookmarkEnd w:id="198"/>
      <w:bookmarkEnd w:id="199"/>
      <w:bookmarkEnd w:id="201"/>
      <w:bookmarkEnd w:id="204"/>
    </w:p>
    <w:p w14:paraId="7BD90BDE">
      <w:pPr>
        <w:snapToGrid w:val="0"/>
        <w:spacing w:line="400" w:lineRule="exact"/>
        <w:ind w:firstLine="480" w:firstLineChars="200"/>
        <w:rPr>
          <w:rFonts w:hint="eastAsia" w:ascii="宋体" w:hAnsi="宋体" w:cs="宋体"/>
          <w:color w:val="auto"/>
          <w:sz w:val="24"/>
          <w:szCs w:val="24"/>
          <w:highlight w:val="none"/>
        </w:rPr>
      </w:pPr>
      <w:bookmarkStart w:id="205" w:name="_Toc492721019"/>
      <w:r>
        <w:rPr>
          <w:rFonts w:hint="eastAsia" w:ascii="宋体" w:hAnsi="宋体" w:cs="宋体"/>
          <w:color w:val="auto"/>
          <w:sz w:val="24"/>
          <w:szCs w:val="24"/>
          <w:highlight w:val="none"/>
          <w:lang w:eastAsia="zh-CN"/>
        </w:rPr>
        <w:t>竞选人</w:t>
      </w:r>
      <w:r>
        <w:rPr>
          <w:rFonts w:hint="eastAsia" w:ascii="宋体" w:hAnsi="宋体" w:cs="宋体"/>
          <w:color w:val="auto"/>
          <w:sz w:val="24"/>
          <w:szCs w:val="24"/>
          <w:highlight w:val="none"/>
        </w:rPr>
        <w:t>或其</w:t>
      </w:r>
      <w:r>
        <w:rPr>
          <w:rFonts w:hint="eastAsia" w:ascii="宋体" w:hAnsi="宋体" w:cs="宋体"/>
          <w:color w:val="auto"/>
          <w:sz w:val="24"/>
          <w:szCs w:val="24"/>
          <w:highlight w:val="none"/>
          <w:lang w:eastAsia="zh-CN"/>
        </w:rPr>
        <w:t>竞选文件</w:t>
      </w:r>
      <w:r>
        <w:rPr>
          <w:rFonts w:hint="eastAsia" w:ascii="宋体" w:hAnsi="宋体" w:cs="宋体"/>
          <w:color w:val="auto"/>
          <w:sz w:val="24"/>
          <w:szCs w:val="24"/>
          <w:highlight w:val="none"/>
        </w:rPr>
        <w:t>出现下列情况之一者，</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委员会应当否决其</w:t>
      </w:r>
      <w:r>
        <w:rPr>
          <w:rFonts w:hint="eastAsia" w:ascii="宋体" w:hAnsi="宋体" w:cs="宋体"/>
          <w:color w:val="auto"/>
          <w:sz w:val="24"/>
          <w:szCs w:val="24"/>
          <w:highlight w:val="none"/>
          <w:lang w:eastAsia="zh-CN"/>
        </w:rPr>
        <w:t>竞选</w:t>
      </w:r>
      <w:r>
        <w:rPr>
          <w:rFonts w:hint="eastAsia" w:ascii="宋体" w:hAnsi="宋体" w:cs="宋体"/>
          <w:color w:val="auto"/>
          <w:sz w:val="24"/>
          <w:szCs w:val="24"/>
          <w:highlight w:val="none"/>
        </w:rPr>
        <w:t>：</w:t>
      </w:r>
    </w:p>
    <w:p w14:paraId="1C6032A6">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竞选文件</w:t>
      </w:r>
      <w:r>
        <w:rPr>
          <w:rFonts w:hint="eastAsia" w:ascii="宋体" w:hAnsi="宋体" w:cs="宋体"/>
          <w:color w:val="auto"/>
          <w:sz w:val="24"/>
          <w:szCs w:val="24"/>
          <w:highlight w:val="none"/>
        </w:rPr>
        <w:t>未通过资格性</w:t>
      </w:r>
      <w:r>
        <w:rPr>
          <w:rFonts w:hint="eastAsia" w:ascii="宋体" w:hAnsi="宋体" w:cs="宋体"/>
          <w:color w:val="auto"/>
          <w:sz w:val="24"/>
          <w:szCs w:val="24"/>
          <w:highlight w:val="none"/>
          <w:lang w:eastAsia="zh-CN"/>
        </w:rPr>
        <w:t>审</w:t>
      </w:r>
      <w:r>
        <w:rPr>
          <w:rFonts w:hint="eastAsia" w:ascii="宋体" w:hAnsi="宋体" w:cs="宋体"/>
          <w:color w:val="auto"/>
          <w:sz w:val="24"/>
          <w:szCs w:val="24"/>
          <w:highlight w:val="none"/>
        </w:rPr>
        <w:t>查或未通过符合性</w:t>
      </w:r>
      <w:r>
        <w:rPr>
          <w:rFonts w:hint="eastAsia" w:ascii="宋体" w:hAnsi="宋体" w:cs="宋体"/>
          <w:color w:val="auto"/>
          <w:sz w:val="24"/>
          <w:szCs w:val="24"/>
          <w:highlight w:val="none"/>
          <w:lang w:eastAsia="zh-CN"/>
        </w:rPr>
        <w:t>审</w:t>
      </w:r>
      <w:r>
        <w:rPr>
          <w:rFonts w:hint="eastAsia" w:ascii="宋体" w:hAnsi="宋体" w:cs="宋体"/>
          <w:color w:val="auto"/>
          <w:sz w:val="24"/>
          <w:szCs w:val="24"/>
          <w:highlight w:val="none"/>
        </w:rPr>
        <w:t>查的；</w:t>
      </w:r>
    </w:p>
    <w:p w14:paraId="48C2045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竞选文件</w:t>
      </w:r>
      <w:r>
        <w:rPr>
          <w:rFonts w:hint="eastAsia" w:ascii="宋体" w:hAnsi="宋体" w:cs="宋体"/>
          <w:color w:val="auto"/>
          <w:sz w:val="24"/>
          <w:szCs w:val="24"/>
          <w:highlight w:val="none"/>
        </w:rPr>
        <w:t>未按照</w:t>
      </w:r>
      <w:r>
        <w:rPr>
          <w:rFonts w:hint="eastAsia" w:ascii="宋体" w:hAnsi="宋体" w:cs="宋体"/>
          <w:color w:val="auto"/>
          <w:sz w:val="24"/>
          <w:szCs w:val="24"/>
          <w:highlight w:val="none"/>
          <w:lang w:eastAsia="zh-CN"/>
        </w:rPr>
        <w:t>竞争性比选文件第六篇竞选文件</w:t>
      </w:r>
      <w:r>
        <w:rPr>
          <w:rFonts w:hint="eastAsia" w:ascii="宋体" w:hAnsi="宋体" w:cs="宋体"/>
          <w:color w:val="auto"/>
          <w:sz w:val="24"/>
          <w:szCs w:val="24"/>
          <w:highlight w:val="none"/>
        </w:rPr>
        <w:t>格式中所规定签字、盖章的；</w:t>
      </w:r>
    </w:p>
    <w:p w14:paraId="5CFE4365">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w:t>
      </w:r>
      <w:r>
        <w:rPr>
          <w:rFonts w:hint="eastAsia" w:ascii="宋体" w:hAnsi="宋体" w:cs="宋体"/>
          <w:color w:val="auto"/>
          <w:sz w:val="24"/>
          <w:szCs w:val="24"/>
          <w:highlight w:val="none"/>
          <w:lang w:eastAsia="zh-CN"/>
        </w:rPr>
        <w:t>竞选文件</w:t>
      </w:r>
      <w:r>
        <w:rPr>
          <w:rFonts w:hint="eastAsia" w:ascii="宋体" w:hAnsi="宋体" w:cs="宋体"/>
          <w:color w:val="auto"/>
          <w:sz w:val="24"/>
          <w:szCs w:val="24"/>
          <w:highlight w:val="none"/>
        </w:rPr>
        <w:t>出现多个</w:t>
      </w:r>
      <w:r>
        <w:rPr>
          <w:rFonts w:hint="eastAsia" w:ascii="宋体" w:hAnsi="宋体" w:cs="宋体"/>
          <w:color w:val="auto"/>
          <w:sz w:val="24"/>
          <w:szCs w:val="24"/>
          <w:highlight w:val="none"/>
          <w:lang w:eastAsia="zh-CN"/>
        </w:rPr>
        <w:t>竞选</w:t>
      </w:r>
      <w:r>
        <w:rPr>
          <w:rFonts w:hint="eastAsia" w:ascii="宋体" w:hAnsi="宋体" w:cs="宋体"/>
          <w:color w:val="auto"/>
          <w:sz w:val="24"/>
          <w:szCs w:val="24"/>
          <w:highlight w:val="none"/>
        </w:rPr>
        <w:t>方案或</w:t>
      </w:r>
      <w:r>
        <w:rPr>
          <w:rFonts w:hint="eastAsia" w:ascii="宋体" w:hAnsi="宋体" w:cs="宋体"/>
          <w:color w:val="auto"/>
          <w:sz w:val="24"/>
          <w:szCs w:val="24"/>
          <w:highlight w:val="none"/>
          <w:lang w:eastAsia="zh-CN"/>
        </w:rPr>
        <w:t>竞选</w:t>
      </w:r>
      <w:r>
        <w:rPr>
          <w:rFonts w:hint="eastAsia" w:ascii="宋体" w:hAnsi="宋体" w:cs="宋体"/>
          <w:color w:val="auto"/>
          <w:sz w:val="24"/>
          <w:szCs w:val="24"/>
          <w:highlight w:val="none"/>
        </w:rPr>
        <w:t>报价的；</w:t>
      </w:r>
    </w:p>
    <w:p w14:paraId="2B333D9C">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竞选</w:t>
      </w:r>
      <w:r>
        <w:rPr>
          <w:rFonts w:hint="eastAsia" w:ascii="宋体" w:hAnsi="宋体" w:eastAsia="宋体" w:cs="宋体"/>
          <w:color w:val="auto"/>
          <w:kern w:val="0"/>
          <w:sz w:val="24"/>
          <w:szCs w:val="24"/>
          <w:highlight w:val="none"/>
        </w:rPr>
        <w:t>报价超出最高限价的；</w:t>
      </w:r>
    </w:p>
    <w:p w14:paraId="17A056E5">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竞选文件</w:t>
      </w:r>
      <w:r>
        <w:rPr>
          <w:rFonts w:hint="eastAsia" w:ascii="宋体" w:hAnsi="宋体" w:cs="宋体"/>
          <w:color w:val="auto"/>
          <w:sz w:val="24"/>
          <w:szCs w:val="24"/>
          <w:highlight w:val="none"/>
        </w:rPr>
        <w:t>附有</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不能接受的条件的。</w:t>
      </w:r>
    </w:p>
    <w:bookmarkEnd w:id="205"/>
    <w:p w14:paraId="575AA019">
      <w:pPr>
        <w:pStyle w:val="3"/>
        <w:spacing w:before="0" w:beforeLines="0" w:after="0" w:afterLines="0" w:line="360" w:lineRule="auto"/>
        <w:rPr>
          <w:rFonts w:hint="eastAsia" w:ascii="宋体" w:hAnsi="宋体" w:eastAsia="宋体" w:cs="宋体"/>
          <w:b/>
          <w:color w:val="auto"/>
          <w:highlight w:val="none"/>
        </w:rPr>
      </w:pPr>
      <w:r>
        <w:rPr>
          <w:rFonts w:hint="eastAsia" w:ascii="宋体" w:hAnsi="宋体" w:eastAsia="宋体" w:cs="宋体"/>
          <w:color w:val="auto"/>
          <w:sz w:val="28"/>
          <w:highlight w:val="none"/>
        </w:rPr>
        <w:br w:type="page"/>
      </w:r>
      <w:bookmarkStart w:id="206" w:name="_Toc8084"/>
      <w:r>
        <w:rPr>
          <w:rFonts w:hint="eastAsia" w:ascii="宋体" w:hAnsi="宋体" w:eastAsia="宋体" w:cs="宋体"/>
          <w:b/>
          <w:color w:val="auto"/>
          <w:highlight w:val="none"/>
        </w:rPr>
        <w:t xml:space="preserve">第五篇  </w:t>
      </w:r>
      <w:r>
        <w:rPr>
          <w:rFonts w:hint="eastAsia" w:ascii="宋体" w:hAnsi="宋体" w:eastAsia="宋体" w:cs="宋体"/>
          <w:b/>
          <w:color w:val="auto"/>
          <w:highlight w:val="none"/>
          <w:lang w:eastAsia="zh-CN"/>
        </w:rPr>
        <w:t>竞选人</w:t>
      </w:r>
      <w:r>
        <w:rPr>
          <w:rFonts w:hint="eastAsia" w:ascii="宋体" w:hAnsi="宋体" w:eastAsia="宋体" w:cs="宋体"/>
          <w:b/>
          <w:color w:val="auto"/>
          <w:highlight w:val="none"/>
        </w:rPr>
        <w:t>须知</w:t>
      </w:r>
      <w:bookmarkEnd w:id="206"/>
    </w:p>
    <w:p w14:paraId="2F2C10CE">
      <w:pPr>
        <w:pStyle w:val="4"/>
        <w:spacing w:line="400" w:lineRule="exact"/>
        <w:ind w:firstLine="482" w:firstLineChars="200"/>
        <w:rPr>
          <w:rFonts w:hint="eastAsia" w:eastAsia="宋体" w:cs="宋体"/>
          <w:b/>
          <w:color w:val="auto"/>
          <w:sz w:val="24"/>
          <w:highlight w:val="none"/>
          <w:lang w:eastAsia="zh-CN"/>
        </w:rPr>
      </w:pPr>
      <w:bookmarkStart w:id="207" w:name="_Toc24875"/>
      <w:bookmarkStart w:id="208" w:name="_Toc12044"/>
      <w:bookmarkStart w:id="209" w:name="_Toc5913"/>
      <w:r>
        <w:rPr>
          <w:rFonts w:hint="eastAsia" w:cs="宋体"/>
          <w:b/>
          <w:color w:val="auto"/>
          <w:sz w:val="24"/>
          <w:highlight w:val="none"/>
        </w:rPr>
        <w:t>一、</w:t>
      </w:r>
      <w:bookmarkEnd w:id="207"/>
      <w:bookmarkEnd w:id="208"/>
      <w:r>
        <w:rPr>
          <w:rFonts w:hint="eastAsia" w:cs="宋体"/>
          <w:b/>
          <w:color w:val="auto"/>
          <w:sz w:val="24"/>
          <w:highlight w:val="none"/>
          <w:lang w:eastAsia="zh-CN"/>
        </w:rPr>
        <w:t>竞选人</w:t>
      </w:r>
      <w:bookmarkEnd w:id="209"/>
    </w:p>
    <w:p w14:paraId="33BDDEF0">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（一）合格</w:t>
      </w:r>
      <w:r>
        <w:rPr>
          <w:rFonts w:hint="eastAsia" w:ascii="宋体" w:hAnsi="宋体" w:cs="宋体"/>
          <w:color w:val="auto"/>
          <w:sz w:val="24"/>
          <w:highlight w:val="none"/>
          <w:lang w:eastAsia="zh-CN"/>
        </w:rPr>
        <w:t>竞选人</w:t>
      </w:r>
      <w:r>
        <w:rPr>
          <w:rFonts w:hint="eastAsia" w:ascii="宋体" w:hAnsi="宋体" w:cs="宋体"/>
          <w:color w:val="auto"/>
          <w:sz w:val="24"/>
          <w:highlight w:val="none"/>
        </w:rPr>
        <w:t>条件</w:t>
      </w:r>
    </w:p>
    <w:p w14:paraId="531E06DC">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合格</w:t>
      </w:r>
      <w:r>
        <w:rPr>
          <w:rFonts w:hint="eastAsia" w:ascii="宋体" w:hAnsi="宋体" w:cs="宋体"/>
          <w:color w:val="auto"/>
          <w:sz w:val="24"/>
          <w:highlight w:val="none"/>
          <w:lang w:eastAsia="zh-CN"/>
        </w:rPr>
        <w:t>竞选人</w:t>
      </w:r>
      <w:r>
        <w:rPr>
          <w:rFonts w:hint="eastAsia" w:ascii="宋体" w:hAnsi="宋体" w:cs="宋体"/>
          <w:color w:val="auto"/>
          <w:sz w:val="24"/>
          <w:highlight w:val="none"/>
        </w:rPr>
        <w:t>应完全符合</w:t>
      </w:r>
      <w:r>
        <w:rPr>
          <w:rFonts w:hint="eastAsia" w:ascii="宋体" w:hAnsi="宋体" w:cs="宋体"/>
          <w:color w:val="auto"/>
          <w:sz w:val="24"/>
          <w:highlight w:val="none"/>
          <w:lang w:eastAsia="zh-CN"/>
        </w:rPr>
        <w:t>竞争性比选文件</w:t>
      </w:r>
      <w:r>
        <w:rPr>
          <w:rFonts w:hint="eastAsia" w:ascii="宋体" w:hAnsi="宋体" w:cs="宋体"/>
          <w:color w:val="auto"/>
          <w:sz w:val="24"/>
          <w:highlight w:val="none"/>
        </w:rPr>
        <w:t>第一篇中规定的</w:t>
      </w:r>
      <w:r>
        <w:rPr>
          <w:rFonts w:hint="eastAsia" w:ascii="宋体" w:hAnsi="宋体" w:cs="宋体"/>
          <w:color w:val="auto"/>
          <w:sz w:val="24"/>
          <w:highlight w:val="none"/>
          <w:lang w:eastAsia="zh-CN"/>
        </w:rPr>
        <w:t>竞选人资格条件</w:t>
      </w:r>
      <w:r>
        <w:rPr>
          <w:rFonts w:hint="eastAsia" w:ascii="宋体" w:hAnsi="宋体" w:cs="宋体"/>
          <w:color w:val="auto"/>
          <w:sz w:val="24"/>
          <w:highlight w:val="none"/>
        </w:rPr>
        <w:t>，并对</w:t>
      </w:r>
      <w:r>
        <w:rPr>
          <w:rFonts w:hint="eastAsia" w:ascii="宋体" w:hAnsi="宋体" w:cs="宋体"/>
          <w:color w:val="auto"/>
          <w:sz w:val="24"/>
          <w:highlight w:val="none"/>
          <w:lang w:eastAsia="zh-CN"/>
        </w:rPr>
        <w:t>竞争性比选文件</w:t>
      </w:r>
      <w:r>
        <w:rPr>
          <w:rFonts w:hint="eastAsia" w:ascii="宋体" w:hAnsi="宋体" w:cs="宋体"/>
          <w:color w:val="auto"/>
          <w:sz w:val="24"/>
          <w:highlight w:val="none"/>
        </w:rPr>
        <w:t>作出实质性响应。</w:t>
      </w:r>
    </w:p>
    <w:p w14:paraId="086C51D0">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w:t>
      </w:r>
      <w:r>
        <w:rPr>
          <w:rFonts w:hint="eastAsia" w:ascii="宋体" w:hAnsi="宋体" w:cs="宋体"/>
          <w:color w:val="auto"/>
          <w:sz w:val="24"/>
          <w:highlight w:val="none"/>
          <w:lang w:eastAsia="zh-CN"/>
        </w:rPr>
        <w:t>竞选人</w:t>
      </w:r>
      <w:r>
        <w:rPr>
          <w:rFonts w:hint="eastAsia" w:ascii="宋体" w:hAnsi="宋体" w:cs="宋体"/>
          <w:color w:val="auto"/>
          <w:sz w:val="24"/>
          <w:highlight w:val="none"/>
        </w:rPr>
        <w:t>的风险</w:t>
      </w:r>
    </w:p>
    <w:p w14:paraId="6285AD08">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竞选人</w:t>
      </w:r>
      <w:r>
        <w:rPr>
          <w:rFonts w:hint="eastAsia" w:ascii="宋体" w:hAnsi="宋体" w:cs="宋体"/>
          <w:color w:val="auto"/>
          <w:sz w:val="24"/>
          <w:highlight w:val="none"/>
        </w:rPr>
        <w:t>没有按照</w:t>
      </w:r>
      <w:r>
        <w:rPr>
          <w:rFonts w:hint="eastAsia" w:ascii="宋体" w:hAnsi="宋体" w:cs="宋体"/>
          <w:color w:val="auto"/>
          <w:sz w:val="24"/>
          <w:highlight w:val="none"/>
          <w:lang w:eastAsia="zh-CN"/>
        </w:rPr>
        <w:t>竞争性比选文件</w:t>
      </w:r>
      <w:r>
        <w:rPr>
          <w:rFonts w:hint="eastAsia" w:ascii="宋体" w:hAnsi="宋体" w:cs="宋体"/>
          <w:color w:val="auto"/>
          <w:sz w:val="24"/>
          <w:highlight w:val="none"/>
        </w:rPr>
        <w:t>要求提供全部资料，或者</w:t>
      </w:r>
      <w:r>
        <w:rPr>
          <w:rFonts w:hint="eastAsia" w:ascii="宋体" w:hAnsi="宋体" w:cs="宋体"/>
          <w:color w:val="auto"/>
          <w:sz w:val="24"/>
          <w:highlight w:val="none"/>
          <w:lang w:eastAsia="zh-CN"/>
        </w:rPr>
        <w:t>竞选人</w:t>
      </w:r>
      <w:r>
        <w:rPr>
          <w:rFonts w:hint="eastAsia" w:ascii="宋体" w:hAnsi="宋体" w:cs="宋体"/>
          <w:color w:val="auto"/>
          <w:sz w:val="24"/>
          <w:highlight w:val="none"/>
        </w:rPr>
        <w:t>没有对</w:t>
      </w:r>
      <w:r>
        <w:rPr>
          <w:rFonts w:hint="eastAsia" w:ascii="宋体" w:hAnsi="宋体" w:cs="宋体"/>
          <w:color w:val="auto"/>
          <w:sz w:val="24"/>
          <w:highlight w:val="none"/>
          <w:lang w:eastAsia="zh-CN"/>
        </w:rPr>
        <w:t>竞争性比选文件</w:t>
      </w:r>
      <w:r>
        <w:rPr>
          <w:rFonts w:hint="eastAsia" w:ascii="宋体" w:hAnsi="宋体" w:cs="宋体"/>
          <w:color w:val="auto"/>
          <w:sz w:val="24"/>
          <w:highlight w:val="none"/>
        </w:rPr>
        <w:t>在各方面作出实质性响应，可能导致</w:t>
      </w:r>
      <w:r>
        <w:rPr>
          <w:rFonts w:hint="eastAsia" w:ascii="宋体" w:hAnsi="宋体" w:cs="宋体"/>
          <w:color w:val="auto"/>
          <w:sz w:val="24"/>
          <w:highlight w:val="none"/>
          <w:lang w:eastAsia="zh-CN"/>
        </w:rPr>
        <w:t>竞选</w:t>
      </w:r>
      <w:r>
        <w:rPr>
          <w:rFonts w:hint="eastAsia" w:ascii="宋体" w:hAnsi="宋体" w:cs="宋体"/>
          <w:color w:val="auto"/>
          <w:sz w:val="24"/>
          <w:highlight w:val="none"/>
        </w:rPr>
        <w:t>被拒绝或评定为无效</w:t>
      </w:r>
      <w:r>
        <w:rPr>
          <w:rFonts w:hint="eastAsia" w:ascii="宋体" w:hAnsi="宋体" w:cs="宋体"/>
          <w:color w:val="auto"/>
          <w:sz w:val="24"/>
          <w:highlight w:val="none"/>
          <w:lang w:eastAsia="zh-CN"/>
        </w:rPr>
        <w:t>竞选</w:t>
      </w:r>
      <w:r>
        <w:rPr>
          <w:rFonts w:hint="eastAsia" w:ascii="宋体" w:hAnsi="宋体" w:cs="宋体"/>
          <w:color w:val="auto"/>
          <w:sz w:val="24"/>
          <w:highlight w:val="none"/>
        </w:rPr>
        <w:t>。</w:t>
      </w:r>
    </w:p>
    <w:p w14:paraId="6B33C376">
      <w:pPr>
        <w:pStyle w:val="4"/>
        <w:spacing w:line="400" w:lineRule="exact"/>
        <w:ind w:firstLine="482" w:firstLineChars="200"/>
        <w:rPr>
          <w:rFonts w:hint="eastAsia" w:cs="宋体"/>
          <w:b/>
          <w:color w:val="auto"/>
          <w:sz w:val="24"/>
          <w:highlight w:val="none"/>
        </w:rPr>
      </w:pPr>
      <w:bookmarkStart w:id="210" w:name="_Toc19324"/>
      <w:bookmarkStart w:id="211" w:name="_Toc21732"/>
      <w:bookmarkStart w:id="212" w:name="_Toc1654"/>
      <w:r>
        <w:rPr>
          <w:rFonts w:hint="eastAsia" w:cs="宋体"/>
          <w:b/>
          <w:color w:val="auto"/>
          <w:sz w:val="24"/>
          <w:highlight w:val="none"/>
        </w:rPr>
        <w:t>二、</w:t>
      </w:r>
      <w:bookmarkEnd w:id="210"/>
      <w:r>
        <w:rPr>
          <w:rFonts w:hint="eastAsia" w:cs="宋体"/>
          <w:b/>
          <w:color w:val="auto"/>
          <w:sz w:val="24"/>
          <w:highlight w:val="none"/>
          <w:lang w:eastAsia="zh-CN"/>
        </w:rPr>
        <w:t>竞争性比选文件</w:t>
      </w:r>
      <w:bookmarkEnd w:id="211"/>
      <w:bookmarkEnd w:id="212"/>
    </w:p>
    <w:p w14:paraId="098EB59A">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竞争性比选文件</w:t>
      </w:r>
      <w:r>
        <w:rPr>
          <w:rFonts w:hint="eastAsia" w:ascii="宋体" w:hAnsi="宋体" w:cs="宋体"/>
          <w:color w:val="auto"/>
          <w:sz w:val="24"/>
          <w:highlight w:val="none"/>
        </w:rPr>
        <w:t>是</w:t>
      </w:r>
      <w:r>
        <w:rPr>
          <w:rFonts w:hint="eastAsia" w:ascii="宋体" w:hAnsi="宋体" w:cs="宋体"/>
          <w:color w:val="auto"/>
          <w:sz w:val="24"/>
          <w:highlight w:val="none"/>
          <w:lang w:eastAsia="zh-CN"/>
        </w:rPr>
        <w:t>竞选人</w:t>
      </w:r>
      <w:r>
        <w:rPr>
          <w:rFonts w:hint="eastAsia" w:ascii="宋体" w:hAnsi="宋体" w:cs="宋体"/>
          <w:color w:val="auto"/>
          <w:sz w:val="24"/>
          <w:highlight w:val="none"/>
        </w:rPr>
        <w:t>编制</w:t>
      </w:r>
      <w:r>
        <w:rPr>
          <w:rFonts w:hint="eastAsia" w:ascii="宋体" w:hAnsi="宋体" w:cs="宋体"/>
          <w:color w:val="auto"/>
          <w:sz w:val="24"/>
          <w:highlight w:val="none"/>
          <w:lang w:eastAsia="zh-CN"/>
        </w:rPr>
        <w:t>竞选文件</w:t>
      </w:r>
      <w:r>
        <w:rPr>
          <w:rFonts w:hint="eastAsia" w:ascii="宋体" w:hAnsi="宋体" w:cs="宋体"/>
          <w:color w:val="auto"/>
          <w:sz w:val="24"/>
          <w:highlight w:val="none"/>
        </w:rPr>
        <w:t>的依据，是</w:t>
      </w:r>
      <w:r>
        <w:rPr>
          <w:rFonts w:hint="eastAsia" w:ascii="宋体" w:hAnsi="宋体" w:cs="宋体"/>
          <w:color w:val="auto"/>
          <w:sz w:val="24"/>
          <w:highlight w:val="none"/>
          <w:lang w:eastAsia="zh-CN"/>
        </w:rPr>
        <w:t>评审</w:t>
      </w:r>
      <w:r>
        <w:rPr>
          <w:rFonts w:hint="eastAsia" w:ascii="宋体" w:hAnsi="宋体" w:cs="宋体"/>
          <w:color w:val="auto"/>
          <w:sz w:val="24"/>
          <w:highlight w:val="none"/>
        </w:rPr>
        <w:t>委员会评判依据和标准。</w:t>
      </w:r>
      <w:r>
        <w:rPr>
          <w:rFonts w:hint="eastAsia" w:ascii="宋体" w:hAnsi="宋体" w:cs="宋体"/>
          <w:color w:val="auto"/>
          <w:sz w:val="24"/>
          <w:highlight w:val="none"/>
          <w:lang w:eastAsia="zh-CN"/>
        </w:rPr>
        <w:t>竞争性比选文件</w:t>
      </w:r>
      <w:r>
        <w:rPr>
          <w:rFonts w:hint="eastAsia" w:ascii="宋体" w:hAnsi="宋体" w:cs="宋体"/>
          <w:color w:val="auto"/>
          <w:sz w:val="24"/>
          <w:highlight w:val="none"/>
        </w:rPr>
        <w:t>也是</w:t>
      </w:r>
      <w:r>
        <w:rPr>
          <w:rFonts w:hint="eastAsia" w:ascii="宋体" w:hAnsi="宋体" w:cs="宋体"/>
          <w:color w:val="auto"/>
          <w:sz w:val="24"/>
          <w:highlight w:val="none"/>
          <w:lang w:eastAsia="zh-CN"/>
        </w:rPr>
        <w:t>比选人</w:t>
      </w:r>
      <w:r>
        <w:rPr>
          <w:rFonts w:hint="eastAsia" w:ascii="宋体" w:hAnsi="宋体" w:cs="宋体"/>
          <w:color w:val="auto"/>
          <w:sz w:val="24"/>
          <w:highlight w:val="none"/>
        </w:rPr>
        <w:t>与</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签订合同的基础。</w:t>
      </w:r>
    </w:p>
    <w:p w14:paraId="7D627B72">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w:t>
      </w:r>
      <w:r>
        <w:rPr>
          <w:rFonts w:hint="eastAsia" w:ascii="宋体" w:hAnsi="宋体" w:cs="宋体"/>
          <w:color w:val="auto"/>
          <w:sz w:val="24"/>
          <w:highlight w:val="none"/>
          <w:lang w:eastAsia="zh-CN"/>
        </w:rPr>
        <w:t>竞争性比选文件</w:t>
      </w:r>
      <w:r>
        <w:rPr>
          <w:rFonts w:hint="eastAsia" w:ascii="宋体" w:hAnsi="宋体" w:cs="宋体"/>
          <w:color w:val="auto"/>
          <w:sz w:val="24"/>
          <w:highlight w:val="none"/>
        </w:rPr>
        <w:t>由</w:t>
      </w:r>
      <w:r>
        <w:rPr>
          <w:rFonts w:hint="eastAsia" w:ascii="宋体" w:hAnsi="宋体" w:cs="宋体"/>
          <w:color w:val="auto"/>
          <w:sz w:val="24"/>
          <w:highlight w:val="none"/>
          <w:lang w:eastAsia="zh-CN"/>
        </w:rPr>
        <w:t>比选</w:t>
      </w:r>
      <w:r>
        <w:rPr>
          <w:rFonts w:hint="eastAsia" w:ascii="宋体" w:hAnsi="宋体" w:cs="宋体"/>
          <w:color w:val="auto"/>
          <w:sz w:val="24"/>
          <w:highlight w:val="none"/>
        </w:rPr>
        <w:t>邀请书；项目技术要求；项目商务要求；资格审查及</w:t>
      </w:r>
      <w:r>
        <w:rPr>
          <w:rFonts w:hint="eastAsia" w:ascii="宋体" w:hAnsi="宋体" w:cs="宋体"/>
          <w:color w:val="auto"/>
          <w:sz w:val="24"/>
          <w:highlight w:val="none"/>
          <w:lang w:eastAsia="zh-CN"/>
        </w:rPr>
        <w:t>评审</w:t>
      </w:r>
      <w:r>
        <w:rPr>
          <w:rFonts w:hint="eastAsia" w:ascii="宋体" w:hAnsi="宋体" w:cs="宋体"/>
          <w:color w:val="auto"/>
          <w:sz w:val="24"/>
          <w:highlight w:val="none"/>
        </w:rPr>
        <w:t>方法；</w:t>
      </w:r>
      <w:r>
        <w:rPr>
          <w:rFonts w:hint="eastAsia" w:ascii="宋体" w:hAnsi="宋体" w:cs="宋体"/>
          <w:color w:val="auto"/>
          <w:sz w:val="24"/>
          <w:highlight w:val="none"/>
          <w:lang w:eastAsia="zh-CN"/>
        </w:rPr>
        <w:t>竞选人</w:t>
      </w:r>
      <w:r>
        <w:rPr>
          <w:rFonts w:hint="eastAsia" w:ascii="宋体" w:hAnsi="宋体" w:cs="宋体"/>
          <w:color w:val="auto"/>
          <w:sz w:val="24"/>
          <w:highlight w:val="none"/>
        </w:rPr>
        <w:t>须知；合同主要条款和格式合同；</w:t>
      </w:r>
      <w:r>
        <w:rPr>
          <w:rFonts w:hint="eastAsia" w:ascii="宋体" w:hAnsi="宋体" w:cs="宋体"/>
          <w:color w:val="auto"/>
          <w:sz w:val="24"/>
          <w:highlight w:val="none"/>
          <w:lang w:eastAsia="zh-CN"/>
        </w:rPr>
        <w:t>竞选文件</w:t>
      </w:r>
      <w:r>
        <w:rPr>
          <w:rFonts w:hint="eastAsia" w:ascii="宋体" w:hAnsi="宋体" w:cs="宋体"/>
          <w:color w:val="auto"/>
          <w:sz w:val="24"/>
          <w:highlight w:val="none"/>
        </w:rPr>
        <w:t>格式等七部分组成。</w:t>
      </w:r>
    </w:p>
    <w:p w14:paraId="23CB9993">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w:t>
      </w:r>
      <w:r>
        <w:rPr>
          <w:rFonts w:hint="eastAsia" w:ascii="宋体" w:hAnsi="宋体" w:cs="宋体"/>
          <w:color w:val="auto"/>
          <w:sz w:val="24"/>
          <w:highlight w:val="none"/>
          <w:lang w:eastAsia="zh-CN"/>
        </w:rPr>
        <w:t>比选代理机构</w:t>
      </w:r>
      <w:r>
        <w:rPr>
          <w:rFonts w:hint="eastAsia" w:ascii="宋体" w:hAnsi="宋体" w:cs="宋体"/>
          <w:color w:val="auto"/>
          <w:sz w:val="24"/>
          <w:highlight w:val="none"/>
        </w:rPr>
        <w:t>对</w:t>
      </w:r>
      <w:r>
        <w:rPr>
          <w:rFonts w:hint="eastAsia" w:ascii="宋体" w:hAnsi="宋体" w:cs="宋体"/>
          <w:color w:val="auto"/>
          <w:sz w:val="24"/>
          <w:highlight w:val="none"/>
          <w:lang w:eastAsia="zh-CN"/>
        </w:rPr>
        <w:t>竞争性比选文件</w:t>
      </w:r>
      <w:r>
        <w:rPr>
          <w:rFonts w:hint="eastAsia" w:ascii="宋体" w:hAnsi="宋体" w:cs="宋体"/>
          <w:color w:val="auto"/>
          <w:sz w:val="24"/>
          <w:highlight w:val="none"/>
        </w:rPr>
        <w:t>所作的一切有效的书面通知、修改及补充，都是</w:t>
      </w:r>
      <w:r>
        <w:rPr>
          <w:rFonts w:hint="eastAsia" w:ascii="宋体" w:hAnsi="宋体" w:cs="宋体"/>
          <w:color w:val="auto"/>
          <w:sz w:val="24"/>
          <w:highlight w:val="none"/>
          <w:lang w:eastAsia="zh-CN"/>
        </w:rPr>
        <w:t>竞争性比选文件</w:t>
      </w:r>
      <w:r>
        <w:rPr>
          <w:rFonts w:hint="eastAsia" w:ascii="宋体" w:hAnsi="宋体" w:cs="宋体"/>
          <w:color w:val="auto"/>
          <w:sz w:val="24"/>
          <w:highlight w:val="none"/>
        </w:rPr>
        <w:t>不可分割的部分。</w:t>
      </w:r>
    </w:p>
    <w:p w14:paraId="2E4BDE3E">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（三）本项目的</w:t>
      </w:r>
      <w:r>
        <w:rPr>
          <w:rFonts w:hint="eastAsia" w:ascii="宋体" w:hAnsi="宋体" w:cs="宋体"/>
          <w:color w:val="auto"/>
          <w:sz w:val="24"/>
          <w:highlight w:val="none"/>
          <w:lang w:eastAsia="zh-CN"/>
        </w:rPr>
        <w:t>竞争性比选文件</w:t>
      </w:r>
      <w:r>
        <w:rPr>
          <w:rFonts w:hint="eastAsia" w:ascii="宋体" w:hAnsi="宋体" w:cs="宋体"/>
          <w:color w:val="auto"/>
          <w:sz w:val="24"/>
          <w:highlight w:val="none"/>
        </w:rPr>
        <w:t>、补遗文件（如果有）一律在</w:t>
      </w:r>
      <w:r>
        <w:rPr>
          <w:rFonts w:hint="eastAsia" w:ascii="宋体" w:hAnsi="宋体" w:cs="宋体"/>
          <w:color w:val="auto"/>
          <w:sz w:val="24"/>
          <w:highlight w:val="none"/>
          <w:lang w:eastAsia="zh-CN"/>
        </w:rPr>
        <w:t>比选代理机构</w:t>
      </w:r>
      <w:r>
        <w:rPr>
          <w:rFonts w:hint="eastAsia" w:ascii="宋体" w:hAnsi="宋体" w:cs="宋体"/>
          <w:color w:val="auto"/>
          <w:sz w:val="24"/>
          <w:highlight w:val="none"/>
        </w:rPr>
        <w:t>领取，补遗文件（如果有）将以书面形式发送给各</w:t>
      </w:r>
      <w:r>
        <w:rPr>
          <w:rFonts w:hint="eastAsia" w:ascii="宋体" w:hAnsi="宋体" w:cs="宋体"/>
          <w:color w:val="auto"/>
          <w:sz w:val="24"/>
          <w:highlight w:val="none"/>
          <w:lang w:eastAsia="zh-CN"/>
        </w:rPr>
        <w:t>竞选人</w:t>
      </w:r>
      <w:r>
        <w:rPr>
          <w:rFonts w:hint="eastAsia" w:ascii="宋体" w:hAnsi="宋体" w:cs="宋体"/>
          <w:color w:val="auto"/>
          <w:sz w:val="24"/>
          <w:highlight w:val="none"/>
        </w:rPr>
        <w:t>，无论</w:t>
      </w:r>
      <w:r>
        <w:rPr>
          <w:rFonts w:hint="eastAsia" w:ascii="宋体" w:hAnsi="宋体" w:cs="宋体"/>
          <w:color w:val="auto"/>
          <w:sz w:val="24"/>
          <w:highlight w:val="none"/>
          <w:lang w:eastAsia="zh-CN"/>
        </w:rPr>
        <w:t>竞选人</w:t>
      </w:r>
      <w:r>
        <w:rPr>
          <w:rFonts w:hint="eastAsia" w:ascii="宋体" w:hAnsi="宋体" w:cs="宋体"/>
          <w:color w:val="auto"/>
          <w:sz w:val="24"/>
          <w:highlight w:val="none"/>
        </w:rPr>
        <w:t>领取与否，均视同</w:t>
      </w:r>
      <w:r>
        <w:rPr>
          <w:rFonts w:hint="eastAsia" w:ascii="宋体" w:hAnsi="宋体" w:cs="宋体"/>
          <w:color w:val="auto"/>
          <w:sz w:val="24"/>
          <w:highlight w:val="none"/>
          <w:lang w:eastAsia="zh-CN"/>
        </w:rPr>
        <w:t>竞选人</w:t>
      </w:r>
      <w:r>
        <w:rPr>
          <w:rFonts w:hint="eastAsia" w:ascii="宋体" w:hAnsi="宋体" w:cs="宋体"/>
          <w:color w:val="auto"/>
          <w:sz w:val="24"/>
          <w:highlight w:val="none"/>
        </w:rPr>
        <w:t>已知晓本项目</w:t>
      </w:r>
      <w:r>
        <w:rPr>
          <w:rFonts w:hint="eastAsia" w:ascii="宋体" w:hAnsi="宋体" w:cs="宋体"/>
          <w:color w:val="auto"/>
          <w:sz w:val="24"/>
          <w:highlight w:val="none"/>
          <w:lang w:eastAsia="zh-CN"/>
        </w:rPr>
        <w:t>竞争性比选文件</w:t>
      </w:r>
      <w:r>
        <w:rPr>
          <w:rFonts w:hint="eastAsia" w:ascii="宋体" w:hAnsi="宋体" w:cs="宋体"/>
          <w:color w:val="auto"/>
          <w:sz w:val="24"/>
          <w:highlight w:val="none"/>
        </w:rPr>
        <w:t>、补遗文件的内容。</w:t>
      </w:r>
    </w:p>
    <w:p w14:paraId="42E64E16">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w:t>
      </w:r>
      <w:r>
        <w:rPr>
          <w:rFonts w:hint="eastAsia" w:ascii="宋体" w:hAnsi="宋体" w:cs="宋体"/>
          <w:color w:val="auto"/>
          <w:sz w:val="24"/>
          <w:highlight w:val="none"/>
          <w:lang w:eastAsia="zh-CN"/>
        </w:rPr>
        <w:t>比选代理机构</w:t>
      </w:r>
      <w:r>
        <w:rPr>
          <w:rFonts w:hint="eastAsia" w:ascii="宋体" w:hAnsi="宋体" w:cs="宋体"/>
          <w:color w:val="auto"/>
          <w:sz w:val="24"/>
          <w:highlight w:val="none"/>
        </w:rPr>
        <w:t>对已发出的</w:t>
      </w:r>
      <w:r>
        <w:rPr>
          <w:rFonts w:hint="eastAsia" w:ascii="宋体" w:hAnsi="宋体" w:cs="宋体"/>
          <w:color w:val="auto"/>
          <w:sz w:val="24"/>
          <w:highlight w:val="none"/>
          <w:lang w:eastAsia="zh-CN"/>
        </w:rPr>
        <w:t>竞争性比选文件</w:t>
      </w:r>
      <w:r>
        <w:rPr>
          <w:rFonts w:hint="eastAsia" w:ascii="宋体" w:hAnsi="宋体" w:cs="宋体"/>
          <w:color w:val="auto"/>
          <w:sz w:val="24"/>
          <w:highlight w:val="none"/>
        </w:rPr>
        <w:t>需要进行澄清或修改的，应以书面形式或公告形式通知所有</w:t>
      </w:r>
      <w:r>
        <w:rPr>
          <w:rFonts w:hint="eastAsia" w:ascii="宋体" w:hAnsi="宋体" w:cs="宋体"/>
          <w:color w:val="auto"/>
          <w:sz w:val="24"/>
          <w:highlight w:val="none"/>
          <w:lang w:eastAsia="zh-CN"/>
        </w:rPr>
        <w:t>竞争性比</w:t>
      </w:r>
      <w:r>
        <w:rPr>
          <w:rFonts w:hint="eastAsia" w:ascii="宋体" w:hAnsi="宋体" w:eastAsia="宋体" w:cs="宋体"/>
          <w:color w:val="auto"/>
          <w:sz w:val="24"/>
          <w:highlight w:val="none"/>
          <w:lang w:eastAsia="zh-CN"/>
        </w:rPr>
        <w:t>选文件收受人。该澄清或者修改的内容为竞争性比选文件的组成部分。</w:t>
      </w:r>
    </w:p>
    <w:p w14:paraId="7F0211C5">
      <w:pPr>
        <w:pStyle w:val="4"/>
        <w:spacing w:line="400" w:lineRule="exact"/>
        <w:ind w:firstLine="482" w:firstLineChars="200"/>
        <w:rPr>
          <w:rFonts w:hint="eastAsia" w:cs="宋体"/>
          <w:b/>
          <w:color w:val="auto"/>
          <w:sz w:val="24"/>
          <w:szCs w:val="22"/>
          <w:highlight w:val="none"/>
        </w:rPr>
      </w:pPr>
      <w:bookmarkStart w:id="213" w:name="_Toc1918"/>
      <w:bookmarkStart w:id="214" w:name="_Toc9764"/>
      <w:r>
        <w:rPr>
          <w:rFonts w:hint="eastAsia" w:cs="宋体"/>
          <w:b/>
          <w:color w:val="auto"/>
          <w:sz w:val="24"/>
          <w:szCs w:val="22"/>
          <w:highlight w:val="none"/>
        </w:rPr>
        <w:t>三、</w:t>
      </w:r>
      <w:r>
        <w:rPr>
          <w:rFonts w:hint="eastAsia" w:cs="宋体"/>
          <w:b/>
          <w:color w:val="auto"/>
          <w:sz w:val="24"/>
          <w:szCs w:val="22"/>
          <w:highlight w:val="none"/>
          <w:lang w:eastAsia="zh-CN"/>
        </w:rPr>
        <w:t>竞选文件</w:t>
      </w:r>
      <w:bookmarkEnd w:id="213"/>
      <w:bookmarkEnd w:id="214"/>
    </w:p>
    <w:p w14:paraId="5B5FC3C7">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竞选人</w:t>
      </w:r>
      <w:r>
        <w:rPr>
          <w:rFonts w:hint="eastAsia" w:ascii="宋体" w:hAnsi="宋体" w:cs="宋体"/>
          <w:color w:val="auto"/>
          <w:sz w:val="24"/>
          <w:highlight w:val="none"/>
        </w:rPr>
        <w:t>应当按照</w:t>
      </w:r>
      <w:r>
        <w:rPr>
          <w:rFonts w:hint="eastAsia" w:ascii="宋体" w:hAnsi="宋体" w:cs="宋体"/>
          <w:color w:val="auto"/>
          <w:sz w:val="24"/>
          <w:highlight w:val="none"/>
          <w:lang w:eastAsia="zh-CN"/>
        </w:rPr>
        <w:t>竞争性比选文件</w:t>
      </w:r>
      <w:r>
        <w:rPr>
          <w:rFonts w:hint="eastAsia" w:ascii="宋体" w:hAnsi="宋体" w:cs="宋体"/>
          <w:color w:val="auto"/>
          <w:sz w:val="24"/>
          <w:highlight w:val="none"/>
        </w:rPr>
        <w:t>的要求编制</w:t>
      </w:r>
      <w:r>
        <w:rPr>
          <w:rFonts w:hint="eastAsia" w:ascii="宋体" w:hAnsi="宋体" w:cs="宋体"/>
          <w:color w:val="auto"/>
          <w:sz w:val="24"/>
          <w:highlight w:val="none"/>
          <w:lang w:eastAsia="zh-CN"/>
        </w:rPr>
        <w:t>竞选文件</w:t>
      </w:r>
      <w:r>
        <w:rPr>
          <w:rFonts w:hint="eastAsia" w:ascii="宋体" w:hAnsi="宋体" w:cs="宋体"/>
          <w:color w:val="auto"/>
          <w:sz w:val="24"/>
          <w:highlight w:val="none"/>
        </w:rPr>
        <w:t>，并对</w:t>
      </w:r>
      <w:r>
        <w:rPr>
          <w:rFonts w:hint="eastAsia" w:ascii="宋体" w:hAnsi="宋体" w:cs="宋体"/>
          <w:color w:val="auto"/>
          <w:sz w:val="24"/>
          <w:highlight w:val="none"/>
          <w:lang w:eastAsia="zh-CN"/>
        </w:rPr>
        <w:t>竞争性比选文件</w:t>
      </w:r>
      <w:r>
        <w:rPr>
          <w:rFonts w:hint="eastAsia" w:ascii="宋体" w:hAnsi="宋体" w:cs="宋体"/>
          <w:color w:val="auto"/>
          <w:sz w:val="24"/>
          <w:highlight w:val="none"/>
        </w:rPr>
        <w:t>提出的要求和条件作出实质性响应，</w:t>
      </w:r>
      <w:r>
        <w:rPr>
          <w:rFonts w:hint="eastAsia" w:ascii="宋体" w:hAnsi="宋体" w:cs="宋体"/>
          <w:color w:val="auto"/>
          <w:sz w:val="24"/>
          <w:highlight w:val="none"/>
          <w:lang w:eastAsia="zh-CN"/>
        </w:rPr>
        <w:t>竞选文件</w:t>
      </w:r>
      <w:r>
        <w:rPr>
          <w:rFonts w:hint="eastAsia" w:ascii="宋体" w:hAnsi="宋体" w:cs="宋体"/>
          <w:color w:val="auto"/>
          <w:sz w:val="24"/>
          <w:highlight w:val="none"/>
        </w:rPr>
        <w:t>原则上采用软面订本，同时应编制完整的页码、目录。</w:t>
      </w:r>
    </w:p>
    <w:p w14:paraId="4B59E1F9">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w:t>
      </w:r>
      <w:r>
        <w:rPr>
          <w:rFonts w:hint="eastAsia" w:ascii="宋体" w:hAnsi="宋体" w:cs="宋体"/>
          <w:color w:val="auto"/>
          <w:sz w:val="24"/>
          <w:highlight w:val="none"/>
          <w:lang w:eastAsia="zh-CN"/>
        </w:rPr>
        <w:t>竞选文件</w:t>
      </w:r>
      <w:r>
        <w:rPr>
          <w:rFonts w:hint="eastAsia" w:ascii="宋体" w:hAnsi="宋体" w:cs="宋体"/>
          <w:color w:val="auto"/>
          <w:sz w:val="24"/>
          <w:highlight w:val="none"/>
        </w:rPr>
        <w:t>组成</w:t>
      </w:r>
    </w:p>
    <w:p w14:paraId="7211DF61">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竞选文件</w:t>
      </w:r>
      <w:r>
        <w:rPr>
          <w:rFonts w:hint="eastAsia" w:ascii="宋体" w:hAnsi="宋体" w:cs="宋体"/>
          <w:color w:val="auto"/>
          <w:sz w:val="24"/>
          <w:highlight w:val="none"/>
        </w:rPr>
        <w:t>由</w:t>
      </w:r>
      <w:r>
        <w:rPr>
          <w:rFonts w:hint="eastAsia" w:ascii="宋体" w:hAnsi="宋体" w:cs="宋体"/>
          <w:color w:val="auto"/>
          <w:sz w:val="24"/>
          <w:highlight w:val="none"/>
          <w:lang w:eastAsia="zh-CN"/>
        </w:rPr>
        <w:t>第六篇</w:t>
      </w:r>
      <w:r>
        <w:rPr>
          <w:rFonts w:hint="eastAsia" w:ascii="宋体" w:hAnsi="宋体" w:cs="宋体"/>
          <w:color w:val="auto"/>
          <w:sz w:val="24"/>
          <w:highlight w:val="none"/>
        </w:rPr>
        <w:t>“</w:t>
      </w:r>
      <w:r>
        <w:rPr>
          <w:rFonts w:hint="eastAsia" w:ascii="宋体" w:hAnsi="宋体" w:cs="宋体"/>
          <w:color w:val="auto"/>
          <w:sz w:val="24"/>
          <w:highlight w:val="none"/>
          <w:lang w:eastAsia="zh-CN"/>
        </w:rPr>
        <w:t>竞选文件</w:t>
      </w:r>
      <w:r>
        <w:rPr>
          <w:rFonts w:hint="eastAsia" w:ascii="宋体" w:hAnsi="宋体" w:cs="宋体"/>
          <w:color w:val="auto"/>
          <w:sz w:val="24"/>
          <w:highlight w:val="none"/>
        </w:rPr>
        <w:t>格式”规定的部分和</w:t>
      </w:r>
      <w:r>
        <w:rPr>
          <w:rFonts w:hint="eastAsia" w:ascii="宋体" w:hAnsi="宋体" w:cs="宋体"/>
          <w:color w:val="auto"/>
          <w:sz w:val="24"/>
          <w:highlight w:val="none"/>
          <w:lang w:eastAsia="zh-CN"/>
        </w:rPr>
        <w:t>竞选人</w:t>
      </w:r>
      <w:r>
        <w:rPr>
          <w:rFonts w:hint="eastAsia" w:ascii="宋体" w:hAnsi="宋体" w:cs="宋体"/>
          <w:color w:val="auto"/>
          <w:sz w:val="24"/>
          <w:highlight w:val="none"/>
        </w:rPr>
        <w:t>所作的一切有效补充、修改和承诺等文件组成，</w:t>
      </w:r>
      <w:r>
        <w:rPr>
          <w:rFonts w:hint="eastAsia" w:ascii="宋体" w:hAnsi="宋体" w:cs="宋体"/>
          <w:color w:val="auto"/>
          <w:sz w:val="24"/>
          <w:highlight w:val="none"/>
          <w:lang w:eastAsia="zh-CN"/>
        </w:rPr>
        <w:t>竞选人</w:t>
      </w:r>
      <w:r>
        <w:rPr>
          <w:rFonts w:hint="eastAsia" w:ascii="宋体" w:hAnsi="宋体" w:cs="宋体"/>
          <w:color w:val="auto"/>
          <w:sz w:val="24"/>
          <w:highlight w:val="none"/>
        </w:rPr>
        <w:t>应按照</w:t>
      </w:r>
      <w:r>
        <w:rPr>
          <w:rFonts w:hint="eastAsia" w:ascii="宋体" w:hAnsi="宋体" w:cs="宋体"/>
          <w:color w:val="auto"/>
          <w:sz w:val="24"/>
          <w:highlight w:val="none"/>
          <w:lang w:eastAsia="zh-CN"/>
        </w:rPr>
        <w:t>第六篇</w:t>
      </w:r>
      <w:r>
        <w:rPr>
          <w:rFonts w:hint="eastAsia" w:ascii="宋体" w:hAnsi="宋体" w:cs="宋体"/>
          <w:color w:val="auto"/>
          <w:sz w:val="24"/>
          <w:highlight w:val="none"/>
        </w:rPr>
        <w:t>“</w:t>
      </w:r>
      <w:r>
        <w:rPr>
          <w:rFonts w:hint="eastAsia" w:ascii="宋体" w:hAnsi="宋体" w:cs="宋体"/>
          <w:color w:val="auto"/>
          <w:sz w:val="24"/>
          <w:highlight w:val="none"/>
          <w:lang w:eastAsia="zh-CN"/>
        </w:rPr>
        <w:t>竞选文件</w:t>
      </w:r>
      <w:r>
        <w:rPr>
          <w:rFonts w:hint="eastAsia" w:ascii="宋体" w:hAnsi="宋体" w:cs="宋体"/>
          <w:color w:val="auto"/>
          <w:sz w:val="24"/>
          <w:highlight w:val="none"/>
        </w:rPr>
        <w:t>格式”规定的目录顺序组织编写和装订，否则有可能影响评委对</w:t>
      </w:r>
      <w:r>
        <w:rPr>
          <w:rFonts w:hint="eastAsia" w:ascii="宋体" w:hAnsi="宋体" w:cs="宋体"/>
          <w:color w:val="auto"/>
          <w:sz w:val="24"/>
          <w:highlight w:val="none"/>
          <w:lang w:eastAsia="zh-CN"/>
        </w:rPr>
        <w:t>竞选文件</w:t>
      </w:r>
      <w:r>
        <w:rPr>
          <w:rFonts w:hint="eastAsia" w:ascii="宋体" w:hAnsi="宋体" w:cs="宋体"/>
          <w:color w:val="auto"/>
          <w:sz w:val="24"/>
          <w:highlight w:val="none"/>
        </w:rPr>
        <w:t>的评审。</w:t>
      </w:r>
    </w:p>
    <w:p w14:paraId="148F6B61">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具体内容如下：</w:t>
      </w:r>
    </w:p>
    <w:p w14:paraId="6B07274E">
      <w:pPr>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eastAsia="zh-CN"/>
        </w:rPr>
        <w:t>报价</w:t>
      </w:r>
    </w:p>
    <w:p w14:paraId="7C3BBEAE">
      <w:pPr>
        <w:spacing w:line="40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1.1</w:t>
      </w:r>
      <w:r>
        <w:rPr>
          <w:rFonts w:hint="eastAsia" w:ascii="宋体" w:hAnsi="宋体" w:cs="宋体"/>
          <w:color w:val="auto"/>
          <w:sz w:val="24"/>
          <w:highlight w:val="none"/>
          <w:lang w:eastAsia="zh-CN"/>
        </w:rPr>
        <w:t>报价函</w:t>
      </w:r>
    </w:p>
    <w:p w14:paraId="0F828CC8">
      <w:pPr>
        <w:spacing w:line="40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1.2明细报价表</w:t>
      </w:r>
    </w:p>
    <w:p w14:paraId="2833994A">
      <w:pPr>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2.资格</w:t>
      </w:r>
      <w:r>
        <w:rPr>
          <w:rFonts w:hint="eastAsia" w:ascii="宋体" w:hAnsi="宋体" w:cs="宋体"/>
          <w:color w:val="auto"/>
          <w:sz w:val="24"/>
          <w:highlight w:val="none"/>
          <w:lang w:eastAsia="zh-CN"/>
        </w:rPr>
        <w:t>条件及其他</w:t>
      </w:r>
    </w:p>
    <w:p w14:paraId="6C4FCF3E">
      <w:pPr>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2.1法人营业执照（副本）或事业单位法人证书（副本）或个体工商户营业执照或有效的自然人身份证明或社会团体法人登记证书复印件</w:t>
      </w:r>
      <w:r>
        <w:rPr>
          <w:rFonts w:hint="eastAsia" w:ascii="宋体" w:hAnsi="宋体" w:cs="宋体"/>
          <w:color w:val="auto"/>
          <w:sz w:val="24"/>
          <w:highlight w:val="none"/>
          <w:lang w:eastAsia="zh-CN"/>
        </w:rPr>
        <w:t>和特定资格条件证书或证明文件</w:t>
      </w:r>
    </w:p>
    <w:p w14:paraId="010A1AFC">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2.2法定代表人身份证明书（格式）</w:t>
      </w:r>
    </w:p>
    <w:p w14:paraId="2EAB8054">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2.3法定代表人授权委托书（格式）</w:t>
      </w:r>
    </w:p>
    <w:p w14:paraId="77547267">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2.4基本资格条件承诺函（格式）</w:t>
      </w:r>
    </w:p>
    <w:p w14:paraId="727B619B">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3.技术文件</w:t>
      </w:r>
    </w:p>
    <w:p w14:paraId="0A5354B0">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3.1技术条款差异表</w:t>
      </w:r>
    </w:p>
    <w:p w14:paraId="61379234">
      <w:pPr>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highlight w:val="none"/>
        </w:rPr>
        <w:t>3.2</w:t>
      </w:r>
      <w:r>
        <w:rPr>
          <w:rFonts w:hint="eastAsia" w:ascii="宋体" w:hAnsi="宋体" w:cs="宋体"/>
          <w:color w:val="auto"/>
          <w:sz w:val="24"/>
          <w:szCs w:val="24"/>
          <w:highlight w:val="none"/>
          <w:lang w:eastAsia="zh-CN"/>
        </w:rPr>
        <w:t>技术部分方案</w:t>
      </w:r>
    </w:p>
    <w:p w14:paraId="1BC7B0D4">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rPr>
        <w:t>4.商务文件</w:t>
      </w:r>
    </w:p>
    <w:p w14:paraId="22D49A0E">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4.1商务条款差异表</w:t>
      </w:r>
    </w:p>
    <w:p w14:paraId="436B4026">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4.2得分证明材料（如有）</w:t>
      </w:r>
    </w:p>
    <w:p w14:paraId="15EEB0BD">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5.其他</w:t>
      </w:r>
    </w:p>
    <w:p w14:paraId="5B2CF255">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5.1其他与项目有关的资料（自附）</w:t>
      </w:r>
    </w:p>
    <w:p w14:paraId="4E1CA4EE">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w:t>
      </w:r>
      <w:r>
        <w:rPr>
          <w:rFonts w:hint="eastAsia" w:ascii="宋体" w:hAnsi="宋体" w:cs="宋体"/>
          <w:color w:val="auto"/>
          <w:sz w:val="24"/>
          <w:highlight w:val="none"/>
          <w:lang w:eastAsia="zh-CN"/>
        </w:rPr>
        <w:t>竞选</w:t>
      </w:r>
      <w:r>
        <w:rPr>
          <w:rFonts w:hint="eastAsia" w:ascii="宋体" w:hAnsi="宋体" w:cs="宋体"/>
          <w:color w:val="auto"/>
          <w:sz w:val="24"/>
          <w:highlight w:val="none"/>
        </w:rPr>
        <w:t>有效期</w:t>
      </w:r>
    </w:p>
    <w:p w14:paraId="08405399">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竞选</w:t>
      </w:r>
      <w:r>
        <w:rPr>
          <w:rFonts w:hint="eastAsia" w:ascii="宋体" w:hAnsi="宋体" w:cs="宋体"/>
          <w:color w:val="auto"/>
          <w:sz w:val="24"/>
          <w:highlight w:val="none"/>
        </w:rPr>
        <w:t>有效期为</w:t>
      </w:r>
      <w:r>
        <w:rPr>
          <w:rFonts w:hint="eastAsia" w:ascii="宋体" w:hAnsi="宋体" w:cs="宋体"/>
          <w:color w:val="auto"/>
          <w:sz w:val="24"/>
          <w:highlight w:val="none"/>
          <w:lang w:eastAsia="zh-CN"/>
        </w:rPr>
        <w:t>竞选</w:t>
      </w:r>
      <w:r>
        <w:rPr>
          <w:rFonts w:hint="eastAsia" w:ascii="宋体" w:hAnsi="宋体" w:cs="宋体"/>
          <w:color w:val="auto"/>
          <w:sz w:val="24"/>
          <w:highlight w:val="none"/>
        </w:rPr>
        <w:t>截止日期后九十天内。</w:t>
      </w:r>
    </w:p>
    <w:p w14:paraId="525C5D6C">
      <w:pPr>
        <w:snapToGrid w:val="0"/>
        <w:spacing w:line="400" w:lineRule="exact"/>
        <w:ind w:firstLine="470" w:firstLineChars="196"/>
        <w:jc w:val="left"/>
        <w:rPr>
          <w:rFonts w:hint="eastAsia" w:ascii="宋体" w:hAnsi="宋体" w:cs="宋体"/>
          <w:bCs/>
          <w:color w:val="auto"/>
          <w:sz w:val="24"/>
          <w:highlight w:val="none"/>
        </w:rPr>
      </w:pPr>
      <w:r>
        <w:rPr>
          <w:rFonts w:hint="eastAsia" w:ascii="宋体" w:hAnsi="宋体" w:cs="宋体"/>
          <w:color w:val="auto"/>
          <w:sz w:val="24"/>
          <w:highlight w:val="none"/>
        </w:rPr>
        <w:t>（三）</w:t>
      </w:r>
      <w:r>
        <w:rPr>
          <w:rFonts w:hint="eastAsia" w:ascii="宋体" w:hAnsi="宋体" w:cs="宋体"/>
          <w:bCs/>
          <w:color w:val="auto"/>
          <w:sz w:val="24"/>
          <w:highlight w:val="none"/>
          <w:lang w:eastAsia="zh-CN"/>
        </w:rPr>
        <w:t>竞选文件</w:t>
      </w:r>
      <w:r>
        <w:rPr>
          <w:rFonts w:hint="eastAsia" w:ascii="宋体" w:hAnsi="宋体" w:cs="宋体"/>
          <w:bCs/>
          <w:color w:val="auto"/>
          <w:sz w:val="24"/>
          <w:highlight w:val="none"/>
        </w:rPr>
        <w:t>的份数和签署</w:t>
      </w:r>
    </w:p>
    <w:p w14:paraId="717ECE39">
      <w:pPr>
        <w:tabs>
          <w:tab w:val="left" w:pos="0"/>
        </w:tabs>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竞选文件</w:t>
      </w:r>
      <w:r>
        <w:rPr>
          <w:rFonts w:hint="eastAsia" w:ascii="宋体" w:hAnsi="宋体" w:cs="宋体"/>
          <w:color w:val="auto"/>
          <w:sz w:val="24"/>
          <w:highlight w:val="none"/>
        </w:rPr>
        <w:t>一式</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份，其中正本一份，副本一份，电子文档一份。每套纸质</w:t>
      </w:r>
      <w:r>
        <w:rPr>
          <w:rFonts w:hint="eastAsia" w:ascii="宋体" w:hAnsi="宋体" w:cs="宋体"/>
          <w:color w:val="auto"/>
          <w:sz w:val="24"/>
          <w:highlight w:val="none"/>
          <w:lang w:eastAsia="zh-CN"/>
        </w:rPr>
        <w:t>竞选文件</w:t>
      </w:r>
      <w:r>
        <w:rPr>
          <w:rFonts w:hint="eastAsia" w:ascii="宋体" w:hAnsi="宋体" w:cs="宋体"/>
          <w:color w:val="auto"/>
          <w:sz w:val="24"/>
          <w:highlight w:val="none"/>
        </w:rPr>
        <w:t>须在封面清楚地标明“正本”或“副本”，副本应为正本的完整复印件。</w:t>
      </w:r>
      <w:r>
        <w:rPr>
          <w:rFonts w:hint="eastAsia" w:ascii="宋体" w:hAnsi="宋体" w:cs="宋体"/>
          <w:b/>
          <w:bCs/>
          <w:color w:val="auto"/>
          <w:sz w:val="24"/>
          <w:highlight w:val="none"/>
        </w:rPr>
        <w:t>电子文档应为纸质文件正本的完整扫描件，格式为PDF，推荐采用U盘为电子文档载体</w:t>
      </w:r>
      <w:r>
        <w:rPr>
          <w:rFonts w:hint="eastAsia" w:ascii="宋体" w:hAnsi="宋体" w:cs="宋体"/>
          <w:color w:val="auto"/>
          <w:sz w:val="24"/>
          <w:highlight w:val="none"/>
        </w:rPr>
        <w:t>。副本、电子文档与正本不一致时以正本为准。</w:t>
      </w:r>
    </w:p>
    <w:p w14:paraId="40272A03">
      <w:pPr>
        <w:tabs>
          <w:tab w:val="left" w:pos="0"/>
        </w:tabs>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2.在</w:t>
      </w:r>
      <w:r>
        <w:rPr>
          <w:rFonts w:hint="eastAsia" w:ascii="宋体" w:hAnsi="宋体" w:cs="宋体"/>
          <w:color w:val="auto"/>
          <w:sz w:val="24"/>
          <w:highlight w:val="none"/>
          <w:lang w:eastAsia="zh-CN"/>
        </w:rPr>
        <w:t>竞选文件</w:t>
      </w:r>
      <w:r>
        <w:rPr>
          <w:rFonts w:hint="eastAsia" w:ascii="宋体" w:hAnsi="宋体" w:cs="宋体"/>
          <w:color w:val="auto"/>
          <w:sz w:val="24"/>
          <w:highlight w:val="none"/>
        </w:rPr>
        <w:t>正本中，</w:t>
      </w:r>
      <w:r>
        <w:rPr>
          <w:rFonts w:hint="eastAsia" w:ascii="宋体" w:hAnsi="宋体" w:cs="宋体"/>
          <w:color w:val="auto"/>
          <w:sz w:val="24"/>
          <w:highlight w:val="none"/>
          <w:lang w:eastAsia="zh-CN"/>
        </w:rPr>
        <w:t>竞争性比选文件第六篇竞选文件</w:t>
      </w:r>
      <w:r>
        <w:rPr>
          <w:rFonts w:hint="eastAsia" w:ascii="宋体" w:hAnsi="宋体" w:cs="宋体"/>
          <w:color w:val="auto"/>
          <w:sz w:val="24"/>
          <w:highlight w:val="none"/>
        </w:rPr>
        <w:t>格式中规定签字、盖章的地方必须按其规定签字、盖章。</w:t>
      </w:r>
    </w:p>
    <w:p w14:paraId="1F80649E">
      <w:pPr>
        <w:tabs>
          <w:tab w:val="left" w:pos="0"/>
        </w:tabs>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3.若</w:t>
      </w:r>
      <w:r>
        <w:rPr>
          <w:rFonts w:hint="eastAsia" w:ascii="宋体" w:hAnsi="宋体" w:cs="宋体"/>
          <w:color w:val="auto"/>
          <w:sz w:val="24"/>
          <w:highlight w:val="none"/>
          <w:lang w:eastAsia="zh-CN"/>
        </w:rPr>
        <w:t>竞选人</w:t>
      </w:r>
      <w:r>
        <w:rPr>
          <w:rFonts w:hint="eastAsia" w:ascii="宋体" w:hAnsi="宋体" w:cs="宋体"/>
          <w:color w:val="auto"/>
          <w:sz w:val="24"/>
          <w:highlight w:val="none"/>
        </w:rPr>
        <w:t>对</w:t>
      </w:r>
      <w:r>
        <w:rPr>
          <w:rFonts w:hint="eastAsia" w:ascii="宋体" w:hAnsi="宋体" w:cs="宋体"/>
          <w:color w:val="auto"/>
          <w:sz w:val="24"/>
          <w:highlight w:val="none"/>
          <w:lang w:eastAsia="zh-CN"/>
        </w:rPr>
        <w:t>竞选文件</w:t>
      </w:r>
      <w:r>
        <w:rPr>
          <w:rFonts w:hint="eastAsia" w:ascii="宋体" w:hAnsi="宋体" w:cs="宋体"/>
          <w:color w:val="auto"/>
          <w:sz w:val="24"/>
          <w:highlight w:val="none"/>
        </w:rPr>
        <w:t>的错处作必要修改，则应在修改处加盖</w:t>
      </w:r>
      <w:r>
        <w:rPr>
          <w:rFonts w:hint="eastAsia" w:ascii="宋体" w:hAnsi="宋体" w:cs="宋体"/>
          <w:color w:val="auto"/>
          <w:sz w:val="24"/>
          <w:highlight w:val="none"/>
          <w:lang w:eastAsia="zh-CN"/>
        </w:rPr>
        <w:t>竞选人</w:t>
      </w:r>
      <w:r>
        <w:rPr>
          <w:rFonts w:hint="eastAsia" w:ascii="宋体" w:hAnsi="宋体" w:cs="宋体"/>
          <w:color w:val="auto"/>
          <w:sz w:val="24"/>
          <w:highlight w:val="none"/>
        </w:rPr>
        <w:t>公章或由</w:t>
      </w:r>
      <w:r>
        <w:rPr>
          <w:rFonts w:hint="eastAsia" w:ascii="宋体" w:hAnsi="宋体" w:cs="宋体"/>
          <w:color w:val="auto"/>
          <w:sz w:val="24"/>
          <w:szCs w:val="28"/>
          <w:highlight w:val="none"/>
        </w:rPr>
        <w:t>法定代表人</w:t>
      </w:r>
      <w:r>
        <w:rPr>
          <w:rFonts w:hint="eastAsia" w:ascii="宋体" w:hAnsi="宋体" w:cs="宋体"/>
          <w:color w:val="auto"/>
          <w:sz w:val="24"/>
          <w:highlight w:val="none"/>
        </w:rPr>
        <w:t>或</w:t>
      </w:r>
      <w:r>
        <w:rPr>
          <w:rFonts w:hint="eastAsia" w:ascii="宋体" w:hAnsi="宋体" w:cs="宋体"/>
          <w:color w:val="auto"/>
          <w:sz w:val="24"/>
          <w:szCs w:val="28"/>
          <w:highlight w:val="none"/>
        </w:rPr>
        <w:t>法定代表人</w:t>
      </w:r>
      <w:r>
        <w:rPr>
          <w:rFonts w:hint="eastAsia" w:ascii="宋体" w:hAnsi="宋体" w:cs="宋体"/>
          <w:color w:val="auto"/>
          <w:sz w:val="24"/>
          <w:highlight w:val="none"/>
        </w:rPr>
        <w:t>授权代表签字确认。</w:t>
      </w:r>
    </w:p>
    <w:p w14:paraId="7FECDA15">
      <w:pPr>
        <w:snapToGrid w:val="0"/>
        <w:spacing w:line="400" w:lineRule="exact"/>
        <w:ind w:firstLine="470" w:firstLineChars="196"/>
        <w:jc w:val="left"/>
        <w:rPr>
          <w:rFonts w:hint="eastAsia" w:ascii="宋体" w:hAnsi="宋体" w:cs="宋体"/>
          <w:bCs/>
          <w:color w:val="auto"/>
          <w:sz w:val="24"/>
          <w:highlight w:val="none"/>
        </w:rPr>
      </w:pPr>
      <w:r>
        <w:rPr>
          <w:rFonts w:hint="eastAsia" w:ascii="宋体" w:hAnsi="宋体" w:cs="宋体"/>
          <w:color w:val="auto"/>
          <w:sz w:val="24"/>
          <w:highlight w:val="none"/>
        </w:rPr>
        <w:t>4.电报、电话、传真形式的</w:t>
      </w:r>
      <w:r>
        <w:rPr>
          <w:rFonts w:hint="eastAsia" w:ascii="宋体" w:hAnsi="宋体" w:cs="宋体"/>
          <w:color w:val="auto"/>
          <w:sz w:val="24"/>
          <w:highlight w:val="none"/>
          <w:lang w:eastAsia="zh-CN"/>
        </w:rPr>
        <w:t>竞选文件</w:t>
      </w:r>
      <w:r>
        <w:rPr>
          <w:rFonts w:hint="eastAsia" w:ascii="宋体" w:hAnsi="宋体" w:cs="宋体"/>
          <w:color w:val="auto"/>
          <w:sz w:val="24"/>
          <w:highlight w:val="none"/>
        </w:rPr>
        <w:t>概不接受。</w:t>
      </w:r>
    </w:p>
    <w:p w14:paraId="35772375">
      <w:pPr>
        <w:snapToGrid w:val="0"/>
        <w:spacing w:line="400" w:lineRule="exact"/>
        <w:ind w:firstLine="470" w:firstLineChars="196"/>
        <w:jc w:val="left"/>
        <w:rPr>
          <w:rFonts w:hint="eastAsia" w:ascii="宋体" w:hAnsi="宋体" w:cs="宋体"/>
          <w:bCs/>
          <w:color w:val="auto"/>
          <w:sz w:val="24"/>
          <w:highlight w:val="none"/>
        </w:rPr>
      </w:pPr>
      <w:r>
        <w:rPr>
          <w:rFonts w:hint="eastAsia" w:ascii="宋体" w:hAnsi="宋体" w:cs="宋体"/>
          <w:bCs/>
          <w:color w:val="auto"/>
          <w:sz w:val="24"/>
          <w:highlight w:val="none"/>
        </w:rPr>
        <w:t>（五）</w:t>
      </w:r>
      <w:r>
        <w:rPr>
          <w:rFonts w:hint="eastAsia" w:ascii="宋体" w:hAnsi="宋体" w:cs="宋体"/>
          <w:bCs/>
          <w:color w:val="auto"/>
          <w:sz w:val="24"/>
          <w:highlight w:val="none"/>
          <w:lang w:eastAsia="zh-CN"/>
        </w:rPr>
        <w:t>竞选</w:t>
      </w:r>
      <w:r>
        <w:rPr>
          <w:rFonts w:hint="eastAsia" w:ascii="宋体" w:hAnsi="宋体" w:cs="宋体"/>
          <w:bCs/>
          <w:color w:val="auto"/>
          <w:sz w:val="24"/>
          <w:highlight w:val="none"/>
        </w:rPr>
        <w:t>报价</w:t>
      </w:r>
    </w:p>
    <w:p w14:paraId="58159C3C">
      <w:pPr>
        <w:snapToGrid w:val="0"/>
        <w:spacing w:line="400" w:lineRule="exact"/>
        <w:ind w:firstLine="470" w:firstLineChars="196"/>
        <w:jc w:val="left"/>
        <w:rPr>
          <w:rFonts w:hint="eastAsia" w:ascii="宋体" w:hAnsi="宋体" w:cs="宋体"/>
          <w:color w:val="auto"/>
          <w:sz w:val="24"/>
          <w:highlight w:val="none"/>
        </w:rPr>
      </w:pPr>
      <w:r>
        <w:rPr>
          <w:rFonts w:hint="eastAsia" w:ascii="宋体" w:hAnsi="宋体" w:cs="宋体"/>
          <w:bCs/>
          <w:color w:val="auto"/>
          <w:sz w:val="24"/>
          <w:highlight w:val="none"/>
        </w:rPr>
        <w:t>1.</w:t>
      </w:r>
      <w:r>
        <w:rPr>
          <w:rFonts w:hint="eastAsia" w:ascii="宋体" w:hAnsi="宋体" w:cs="宋体"/>
          <w:color w:val="auto"/>
          <w:sz w:val="24"/>
          <w:highlight w:val="none"/>
          <w:lang w:eastAsia="zh-CN"/>
        </w:rPr>
        <w:t>竞选人</w:t>
      </w:r>
      <w:r>
        <w:rPr>
          <w:rFonts w:hint="eastAsia" w:ascii="宋体" w:hAnsi="宋体" w:cs="宋体"/>
          <w:bCs/>
          <w:color w:val="auto"/>
          <w:sz w:val="24"/>
          <w:highlight w:val="none"/>
        </w:rPr>
        <w:t>应严格按照“</w:t>
      </w:r>
      <w:r>
        <w:rPr>
          <w:rFonts w:hint="eastAsia" w:ascii="宋体" w:hAnsi="宋体" w:cs="宋体"/>
          <w:bCs/>
          <w:color w:val="auto"/>
          <w:sz w:val="24"/>
          <w:highlight w:val="none"/>
          <w:lang w:eastAsia="zh-CN"/>
        </w:rPr>
        <w:t>竞选文件</w:t>
      </w:r>
      <w:r>
        <w:rPr>
          <w:rFonts w:hint="eastAsia" w:ascii="宋体" w:hAnsi="宋体" w:cs="宋体"/>
          <w:bCs/>
          <w:color w:val="auto"/>
          <w:sz w:val="24"/>
          <w:highlight w:val="none"/>
        </w:rPr>
        <w:t>格式”中“</w:t>
      </w:r>
      <w:r>
        <w:rPr>
          <w:rFonts w:hint="eastAsia" w:ascii="宋体" w:hAnsi="宋体" w:cs="宋体"/>
          <w:bCs/>
          <w:color w:val="auto"/>
          <w:sz w:val="24"/>
          <w:highlight w:val="none"/>
          <w:lang w:eastAsia="zh-CN"/>
        </w:rPr>
        <w:t>报价函</w:t>
      </w:r>
      <w:r>
        <w:rPr>
          <w:rFonts w:hint="eastAsia" w:ascii="宋体" w:hAnsi="宋体" w:cs="宋体"/>
          <w:bCs/>
          <w:color w:val="auto"/>
          <w:sz w:val="24"/>
          <w:highlight w:val="none"/>
        </w:rPr>
        <w:t>”</w:t>
      </w:r>
      <w:r>
        <w:rPr>
          <w:rFonts w:hint="eastAsia" w:ascii="宋体" w:hAnsi="宋体" w:cs="宋体"/>
          <w:color w:val="auto"/>
          <w:sz w:val="24"/>
          <w:highlight w:val="none"/>
        </w:rPr>
        <w:t>的格式填写报价。</w:t>
      </w:r>
    </w:p>
    <w:p w14:paraId="51FB293C">
      <w:pPr>
        <w:snapToGrid w:val="0"/>
        <w:spacing w:line="400" w:lineRule="exact"/>
        <w:ind w:left="3" w:leftChars="1"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竞选人</w:t>
      </w:r>
      <w:r>
        <w:rPr>
          <w:rFonts w:hint="eastAsia" w:ascii="宋体" w:hAnsi="宋体" w:cs="宋体"/>
          <w:color w:val="auto"/>
          <w:sz w:val="24"/>
          <w:highlight w:val="none"/>
        </w:rPr>
        <w:t>的报价为一次性报价，即在</w:t>
      </w:r>
      <w:r>
        <w:rPr>
          <w:rFonts w:hint="eastAsia" w:ascii="宋体" w:hAnsi="宋体" w:cs="宋体"/>
          <w:color w:val="auto"/>
          <w:sz w:val="24"/>
          <w:highlight w:val="none"/>
          <w:lang w:eastAsia="zh-CN"/>
        </w:rPr>
        <w:t>竞选</w:t>
      </w:r>
      <w:r>
        <w:rPr>
          <w:rFonts w:hint="eastAsia" w:ascii="宋体" w:hAnsi="宋体" w:cs="宋体"/>
          <w:color w:val="auto"/>
          <w:sz w:val="24"/>
          <w:highlight w:val="none"/>
        </w:rPr>
        <w:t>有效期内</w:t>
      </w:r>
      <w:r>
        <w:rPr>
          <w:rFonts w:hint="eastAsia" w:ascii="宋体" w:hAnsi="宋体" w:cs="宋体"/>
          <w:color w:val="auto"/>
          <w:sz w:val="24"/>
          <w:highlight w:val="none"/>
          <w:lang w:eastAsia="zh-CN"/>
        </w:rPr>
        <w:t>竞选</w:t>
      </w:r>
      <w:r>
        <w:rPr>
          <w:rFonts w:hint="eastAsia" w:ascii="宋体" w:hAnsi="宋体" w:cs="宋体"/>
          <w:color w:val="auto"/>
          <w:sz w:val="24"/>
          <w:highlight w:val="none"/>
        </w:rPr>
        <w:t>价格固定不变。</w:t>
      </w:r>
    </w:p>
    <w:p w14:paraId="691ECEB5">
      <w:pPr>
        <w:snapToGrid w:val="0"/>
        <w:spacing w:line="400" w:lineRule="exact"/>
        <w:ind w:left="3" w:leftChars="1" w:firstLine="480" w:firstLineChars="200"/>
        <w:rPr>
          <w:rFonts w:hint="eastAsia" w:ascii="宋体" w:hAnsi="宋体" w:cs="宋体"/>
          <w:color w:val="auto"/>
          <w:sz w:val="24"/>
          <w:highlight w:val="none"/>
        </w:rPr>
      </w:pPr>
      <w:r>
        <w:rPr>
          <w:rFonts w:hint="eastAsia" w:ascii="宋体" w:hAnsi="宋体" w:cs="宋体"/>
          <w:color w:val="auto"/>
          <w:sz w:val="24"/>
          <w:highlight w:val="none"/>
        </w:rPr>
        <w:t>3.本项目只接受一个</w:t>
      </w:r>
      <w:r>
        <w:rPr>
          <w:rFonts w:hint="eastAsia" w:ascii="宋体" w:hAnsi="宋体" w:cs="宋体"/>
          <w:color w:val="auto"/>
          <w:sz w:val="24"/>
          <w:highlight w:val="none"/>
          <w:lang w:eastAsia="zh-CN"/>
        </w:rPr>
        <w:t>竞选</w:t>
      </w:r>
      <w:r>
        <w:rPr>
          <w:rFonts w:hint="eastAsia" w:ascii="宋体" w:hAnsi="宋体" w:cs="宋体"/>
          <w:color w:val="auto"/>
          <w:sz w:val="24"/>
          <w:highlight w:val="none"/>
        </w:rPr>
        <w:t>报价，有选择的或有条件的报价将不予接受。</w:t>
      </w:r>
    </w:p>
    <w:p w14:paraId="54C4CA81">
      <w:pPr>
        <w:pStyle w:val="30"/>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（六）修正错误</w:t>
      </w:r>
    </w:p>
    <w:p w14:paraId="4732C764">
      <w:pPr>
        <w:pStyle w:val="30"/>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若</w:t>
      </w:r>
      <w:r>
        <w:rPr>
          <w:rFonts w:hint="eastAsia" w:hAnsi="宋体" w:cs="宋体"/>
          <w:color w:val="auto"/>
          <w:sz w:val="24"/>
          <w:highlight w:val="none"/>
          <w:lang w:eastAsia="zh-CN"/>
        </w:rPr>
        <w:t>竞选文件</w:t>
      </w:r>
      <w:r>
        <w:rPr>
          <w:rFonts w:hint="eastAsia" w:hAnsi="宋体" w:cs="宋体"/>
          <w:color w:val="auto"/>
          <w:sz w:val="24"/>
          <w:highlight w:val="none"/>
        </w:rPr>
        <w:t>出现计算或表达上的错误，修正错误的原则如下：</w:t>
      </w:r>
    </w:p>
    <w:p w14:paraId="37E673A4">
      <w:pPr>
        <w:pStyle w:val="30"/>
        <w:spacing w:line="400" w:lineRule="exact"/>
        <w:ind w:firstLine="480" w:firstLineChars="200"/>
        <w:rPr>
          <w:rFonts w:hint="eastAsia" w:hAnsi="宋体" w:cs="宋体"/>
          <w:color w:val="auto"/>
          <w:sz w:val="24"/>
          <w:highlight w:val="none"/>
        </w:rPr>
      </w:pPr>
      <w:r>
        <w:rPr>
          <w:rFonts w:hint="eastAsia" w:ascii="宋体" w:hAnsi="宋体" w:cs="宋体"/>
          <w:color w:val="auto"/>
          <w:sz w:val="24"/>
          <w:highlight w:val="none"/>
        </w:rPr>
        <w:t>1</w:t>
      </w:r>
      <w:r>
        <w:rPr>
          <w:rFonts w:hint="eastAsia" w:hAnsi="宋体" w:cs="宋体"/>
          <w:color w:val="auto"/>
          <w:sz w:val="24"/>
          <w:highlight w:val="none"/>
        </w:rPr>
        <w:t>.</w:t>
      </w:r>
      <w:r>
        <w:rPr>
          <w:rFonts w:hint="eastAsia" w:hAnsi="宋体" w:cs="宋体"/>
          <w:color w:val="auto"/>
          <w:sz w:val="24"/>
          <w:highlight w:val="none"/>
          <w:lang w:eastAsia="zh-CN"/>
        </w:rPr>
        <w:t>竞选文件</w:t>
      </w:r>
      <w:r>
        <w:rPr>
          <w:rFonts w:hint="eastAsia" w:hAnsi="宋体" w:cs="宋体"/>
          <w:color w:val="auto"/>
          <w:sz w:val="24"/>
          <w:highlight w:val="none"/>
        </w:rPr>
        <w:t>的大写金额和小写金额不一致的，以大写金额为准；</w:t>
      </w:r>
    </w:p>
    <w:p w14:paraId="1951461D">
      <w:pPr>
        <w:pStyle w:val="30"/>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lang w:val="en-US" w:eastAsia="zh-CN"/>
        </w:rPr>
        <w:t>2</w:t>
      </w:r>
      <w:r>
        <w:rPr>
          <w:rFonts w:hint="eastAsia" w:hAnsi="宋体" w:cs="宋体"/>
          <w:color w:val="auto"/>
          <w:sz w:val="24"/>
          <w:highlight w:val="none"/>
        </w:rPr>
        <w:t>.对不同文字文本</w:t>
      </w:r>
      <w:r>
        <w:rPr>
          <w:rFonts w:hint="eastAsia" w:hAnsi="宋体" w:cs="宋体"/>
          <w:color w:val="auto"/>
          <w:sz w:val="24"/>
          <w:highlight w:val="none"/>
          <w:lang w:eastAsia="zh-CN"/>
        </w:rPr>
        <w:t>竞选文件</w:t>
      </w:r>
      <w:r>
        <w:rPr>
          <w:rFonts w:hint="eastAsia" w:hAnsi="宋体" w:cs="宋体"/>
          <w:color w:val="auto"/>
          <w:sz w:val="24"/>
          <w:highlight w:val="none"/>
        </w:rPr>
        <w:t>的解释发生异议的，以中文文本为准。</w:t>
      </w:r>
    </w:p>
    <w:p w14:paraId="745D2A08">
      <w:pPr>
        <w:pStyle w:val="30"/>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lang w:eastAsia="zh-CN"/>
        </w:rPr>
        <w:t>评审</w:t>
      </w:r>
      <w:r>
        <w:rPr>
          <w:rFonts w:hint="eastAsia" w:hAnsi="宋体" w:cs="宋体"/>
          <w:color w:val="auto"/>
          <w:sz w:val="24"/>
          <w:highlight w:val="none"/>
        </w:rPr>
        <w:t>委员会按上述修正错误的原则及方法调整或修正</w:t>
      </w:r>
      <w:r>
        <w:rPr>
          <w:rFonts w:hint="eastAsia" w:hAnsi="宋体" w:cs="宋体"/>
          <w:color w:val="auto"/>
          <w:sz w:val="24"/>
          <w:highlight w:val="none"/>
          <w:lang w:eastAsia="zh-CN"/>
        </w:rPr>
        <w:t>竞选人竞选</w:t>
      </w:r>
      <w:r>
        <w:rPr>
          <w:rFonts w:hint="eastAsia" w:hAnsi="宋体" w:cs="宋体"/>
          <w:color w:val="auto"/>
          <w:sz w:val="24"/>
          <w:highlight w:val="none"/>
        </w:rPr>
        <w:t>报价，</w:t>
      </w:r>
      <w:r>
        <w:rPr>
          <w:rFonts w:hint="eastAsia" w:hAnsi="宋体" w:cs="宋体"/>
          <w:color w:val="auto"/>
          <w:sz w:val="24"/>
          <w:highlight w:val="none"/>
          <w:lang w:eastAsia="zh-CN"/>
        </w:rPr>
        <w:t>竞选人</w:t>
      </w:r>
      <w:r>
        <w:rPr>
          <w:rFonts w:hint="eastAsia" w:hAnsi="宋体" w:cs="宋体"/>
          <w:color w:val="auto"/>
          <w:sz w:val="24"/>
          <w:highlight w:val="none"/>
        </w:rPr>
        <w:t>同意并签字确认后，调整后的</w:t>
      </w:r>
      <w:r>
        <w:rPr>
          <w:rFonts w:hint="eastAsia" w:hAnsi="宋体" w:cs="宋体"/>
          <w:color w:val="auto"/>
          <w:sz w:val="24"/>
          <w:highlight w:val="none"/>
          <w:lang w:eastAsia="zh-CN"/>
        </w:rPr>
        <w:t>竞选</w:t>
      </w:r>
      <w:r>
        <w:rPr>
          <w:rFonts w:hint="eastAsia" w:hAnsi="宋体" w:cs="宋体"/>
          <w:color w:val="auto"/>
          <w:sz w:val="24"/>
          <w:highlight w:val="none"/>
        </w:rPr>
        <w:t>报价对</w:t>
      </w:r>
      <w:r>
        <w:rPr>
          <w:rFonts w:hint="eastAsia" w:hAnsi="宋体" w:cs="宋体"/>
          <w:color w:val="auto"/>
          <w:sz w:val="24"/>
          <w:highlight w:val="none"/>
          <w:lang w:eastAsia="zh-CN"/>
        </w:rPr>
        <w:t>竞选人</w:t>
      </w:r>
      <w:r>
        <w:rPr>
          <w:rFonts w:hint="eastAsia" w:hAnsi="宋体" w:cs="宋体"/>
          <w:color w:val="auto"/>
          <w:sz w:val="24"/>
          <w:highlight w:val="none"/>
        </w:rPr>
        <w:t>具有约束作用。如果</w:t>
      </w:r>
      <w:r>
        <w:rPr>
          <w:rFonts w:hint="eastAsia" w:hAnsi="宋体" w:cs="宋体"/>
          <w:color w:val="auto"/>
          <w:sz w:val="24"/>
          <w:highlight w:val="none"/>
          <w:lang w:eastAsia="zh-CN"/>
        </w:rPr>
        <w:t>竞选人</w:t>
      </w:r>
      <w:r>
        <w:rPr>
          <w:rFonts w:hint="eastAsia" w:hAnsi="宋体" w:cs="宋体"/>
          <w:color w:val="auto"/>
          <w:sz w:val="24"/>
          <w:highlight w:val="none"/>
        </w:rPr>
        <w:t>不接受修正后的报价，则其</w:t>
      </w:r>
      <w:r>
        <w:rPr>
          <w:rFonts w:hint="eastAsia" w:hAnsi="宋体" w:cs="宋体"/>
          <w:color w:val="auto"/>
          <w:sz w:val="24"/>
          <w:highlight w:val="none"/>
          <w:lang w:eastAsia="zh-CN"/>
        </w:rPr>
        <w:t>竞选</w:t>
      </w:r>
      <w:r>
        <w:rPr>
          <w:rFonts w:hint="eastAsia" w:hAnsi="宋体" w:cs="宋体"/>
          <w:color w:val="auto"/>
          <w:sz w:val="24"/>
          <w:highlight w:val="none"/>
        </w:rPr>
        <w:t>将作为无效</w:t>
      </w:r>
      <w:r>
        <w:rPr>
          <w:rFonts w:hint="eastAsia" w:hAnsi="宋体" w:cs="宋体"/>
          <w:color w:val="auto"/>
          <w:sz w:val="24"/>
          <w:highlight w:val="none"/>
          <w:lang w:eastAsia="zh-CN"/>
        </w:rPr>
        <w:t>竞选</w:t>
      </w:r>
      <w:r>
        <w:rPr>
          <w:rFonts w:hint="eastAsia" w:hAnsi="宋体" w:cs="宋体"/>
          <w:color w:val="auto"/>
          <w:sz w:val="24"/>
          <w:highlight w:val="none"/>
        </w:rPr>
        <w:t>处理。</w:t>
      </w:r>
    </w:p>
    <w:p w14:paraId="680290FA">
      <w:pPr>
        <w:pStyle w:val="30"/>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（七）</w:t>
      </w:r>
      <w:r>
        <w:rPr>
          <w:rFonts w:hint="eastAsia" w:hAnsi="宋体" w:cs="宋体"/>
          <w:color w:val="auto"/>
          <w:sz w:val="24"/>
          <w:highlight w:val="none"/>
          <w:lang w:eastAsia="zh-CN"/>
        </w:rPr>
        <w:t>竞选文件</w:t>
      </w:r>
      <w:r>
        <w:rPr>
          <w:rFonts w:hint="eastAsia" w:hAnsi="宋体" w:cs="宋体"/>
          <w:color w:val="auto"/>
          <w:sz w:val="24"/>
          <w:highlight w:val="none"/>
        </w:rPr>
        <w:t>的递交</w:t>
      </w:r>
    </w:p>
    <w:p w14:paraId="243B7E2B">
      <w:pPr>
        <w:pStyle w:val="30"/>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eastAsia="zh-CN"/>
        </w:rPr>
        <w:t>竞选文件</w:t>
      </w:r>
      <w:r>
        <w:rPr>
          <w:rFonts w:hint="eastAsia" w:hAnsi="宋体" w:cs="宋体"/>
          <w:color w:val="auto"/>
          <w:sz w:val="24"/>
          <w:highlight w:val="none"/>
        </w:rPr>
        <w:t>的密封与标记</w:t>
      </w:r>
    </w:p>
    <w:p w14:paraId="35E6BDB3">
      <w:pPr>
        <w:pStyle w:val="30"/>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1.1</w:t>
      </w:r>
      <w:r>
        <w:rPr>
          <w:rFonts w:hint="eastAsia" w:hAnsi="宋体" w:cs="宋体"/>
          <w:color w:val="auto"/>
          <w:sz w:val="24"/>
          <w:highlight w:val="none"/>
          <w:lang w:eastAsia="zh-CN"/>
        </w:rPr>
        <w:t>竞选文件</w:t>
      </w:r>
      <w:r>
        <w:rPr>
          <w:rFonts w:hint="eastAsia" w:hAnsi="宋体" w:cs="宋体"/>
          <w:color w:val="auto"/>
          <w:sz w:val="24"/>
          <w:highlight w:val="none"/>
        </w:rPr>
        <w:t>的正本、副本均应密封送达</w:t>
      </w:r>
      <w:r>
        <w:rPr>
          <w:rFonts w:hint="eastAsia" w:hAnsi="宋体" w:cs="宋体"/>
          <w:color w:val="auto"/>
          <w:sz w:val="24"/>
          <w:highlight w:val="none"/>
          <w:lang w:eastAsia="zh-CN"/>
        </w:rPr>
        <w:t>竞选</w:t>
      </w:r>
      <w:r>
        <w:rPr>
          <w:rFonts w:hint="eastAsia" w:hAnsi="宋体" w:cs="宋体"/>
          <w:color w:val="auto"/>
          <w:sz w:val="24"/>
          <w:highlight w:val="none"/>
        </w:rPr>
        <w:t>地点，应在封套上注明项目名称、</w:t>
      </w:r>
      <w:r>
        <w:rPr>
          <w:rFonts w:hint="eastAsia" w:hAnsi="宋体" w:cs="宋体"/>
          <w:color w:val="auto"/>
          <w:sz w:val="24"/>
          <w:highlight w:val="none"/>
          <w:lang w:eastAsia="zh-CN"/>
        </w:rPr>
        <w:t>竞选人</w:t>
      </w:r>
      <w:r>
        <w:rPr>
          <w:rFonts w:hint="eastAsia" w:hAnsi="宋体" w:cs="宋体"/>
          <w:color w:val="auto"/>
          <w:sz w:val="24"/>
          <w:highlight w:val="none"/>
        </w:rPr>
        <w:t>名称。若正本、副本分别进行密封的，还应在封套上注明“正本”、“副本”字样。</w:t>
      </w:r>
    </w:p>
    <w:p w14:paraId="2A269C3A">
      <w:pPr>
        <w:pStyle w:val="30"/>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1.2封套的封口处应加盖</w:t>
      </w:r>
      <w:r>
        <w:rPr>
          <w:rFonts w:hint="eastAsia" w:hAnsi="宋体" w:cs="宋体"/>
          <w:color w:val="auto"/>
          <w:sz w:val="24"/>
          <w:highlight w:val="none"/>
          <w:lang w:eastAsia="zh-CN"/>
        </w:rPr>
        <w:t>竞选人</w:t>
      </w:r>
      <w:r>
        <w:rPr>
          <w:rFonts w:hint="eastAsia" w:hAnsi="宋体" w:cs="宋体"/>
          <w:color w:val="auto"/>
          <w:sz w:val="24"/>
          <w:highlight w:val="none"/>
        </w:rPr>
        <w:t>公章或由法定代表人授权代表签字。</w:t>
      </w:r>
    </w:p>
    <w:p w14:paraId="5E5180AF">
      <w:pPr>
        <w:pStyle w:val="30"/>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2.如果</w:t>
      </w:r>
      <w:r>
        <w:rPr>
          <w:rFonts w:hint="eastAsia" w:hAnsi="宋体" w:cs="宋体"/>
          <w:color w:val="auto"/>
          <w:sz w:val="24"/>
          <w:highlight w:val="none"/>
          <w:lang w:eastAsia="zh-CN"/>
        </w:rPr>
        <w:t>竞选文件</w:t>
      </w:r>
      <w:r>
        <w:rPr>
          <w:rFonts w:hint="eastAsia" w:hAnsi="宋体" w:cs="宋体"/>
          <w:color w:val="auto"/>
          <w:sz w:val="24"/>
          <w:highlight w:val="none"/>
        </w:rPr>
        <w:t>通过邮寄递交，</w:t>
      </w:r>
      <w:r>
        <w:rPr>
          <w:rFonts w:hint="eastAsia" w:hAnsi="宋体" w:cs="宋体"/>
          <w:color w:val="auto"/>
          <w:sz w:val="24"/>
          <w:highlight w:val="none"/>
          <w:lang w:eastAsia="zh-CN"/>
        </w:rPr>
        <w:t>竞选人</w:t>
      </w:r>
      <w:r>
        <w:rPr>
          <w:rFonts w:hint="eastAsia" w:hAnsi="宋体" w:cs="宋体"/>
          <w:color w:val="auto"/>
          <w:sz w:val="24"/>
          <w:highlight w:val="none"/>
        </w:rPr>
        <w:t>应将</w:t>
      </w:r>
      <w:r>
        <w:rPr>
          <w:rFonts w:hint="eastAsia" w:hAnsi="宋体" w:cs="宋体"/>
          <w:color w:val="auto"/>
          <w:sz w:val="24"/>
          <w:highlight w:val="none"/>
          <w:lang w:eastAsia="zh-CN"/>
        </w:rPr>
        <w:t>竞选文件</w:t>
      </w:r>
      <w:r>
        <w:rPr>
          <w:rFonts w:hint="eastAsia" w:hAnsi="宋体" w:cs="宋体"/>
          <w:color w:val="auto"/>
          <w:sz w:val="24"/>
          <w:highlight w:val="none"/>
        </w:rPr>
        <w:t>用内、外两层信封密封。</w:t>
      </w:r>
    </w:p>
    <w:p w14:paraId="44096F18">
      <w:pPr>
        <w:pStyle w:val="30"/>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2.1内层信封的封装与标记同 “1.”款规定。</w:t>
      </w:r>
    </w:p>
    <w:p w14:paraId="593AF119">
      <w:pPr>
        <w:pStyle w:val="30"/>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2.2外层信封装入“1.”款所述全部内封资料，并注明</w:t>
      </w:r>
      <w:r>
        <w:rPr>
          <w:rFonts w:hint="eastAsia" w:hAnsi="宋体" w:cs="宋体"/>
          <w:color w:val="auto"/>
          <w:sz w:val="24"/>
          <w:highlight w:val="none"/>
          <w:lang w:val="en-US" w:eastAsia="zh-CN"/>
        </w:rPr>
        <w:t>项目</w:t>
      </w:r>
      <w:r>
        <w:rPr>
          <w:rFonts w:hint="eastAsia" w:hAnsi="宋体" w:cs="宋体"/>
          <w:color w:val="auto"/>
          <w:sz w:val="24"/>
          <w:highlight w:val="none"/>
        </w:rPr>
        <w:t>编号、项目名称。同时应写明</w:t>
      </w:r>
      <w:r>
        <w:rPr>
          <w:rFonts w:hint="eastAsia" w:hAnsi="宋体" w:cs="宋体"/>
          <w:color w:val="auto"/>
          <w:sz w:val="24"/>
          <w:highlight w:val="none"/>
          <w:lang w:eastAsia="zh-CN"/>
        </w:rPr>
        <w:t>竞选人</w:t>
      </w:r>
      <w:r>
        <w:rPr>
          <w:rFonts w:hint="eastAsia" w:hAnsi="宋体" w:cs="宋体"/>
          <w:color w:val="auto"/>
          <w:sz w:val="24"/>
          <w:highlight w:val="none"/>
        </w:rPr>
        <w:t>的名称、地址，以便将迟交的</w:t>
      </w:r>
      <w:r>
        <w:rPr>
          <w:rFonts w:hint="eastAsia" w:hAnsi="宋体" w:cs="宋体"/>
          <w:color w:val="auto"/>
          <w:sz w:val="24"/>
          <w:highlight w:val="none"/>
          <w:lang w:eastAsia="zh-CN"/>
        </w:rPr>
        <w:t>竞选文件</w:t>
      </w:r>
      <w:r>
        <w:rPr>
          <w:rFonts w:hint="eastAsia" w:hAnsi="宋体" w:cs="宋体"/>
          <w:color w:val="auto"/>
          <w:sz w:val="24"/>
          <w:highlight w:val="none"/>
        </w:rPr>
        <w:t>原封退还。</w:t>
      </w:r>
    </w:p>
    <w:p w14:paraId="5D8B0164">
      <w:pPr>
        <w:pStyle w:val="4"/>
        <w:spacing w:line="400" w:lineRule="exact"/>
        <w:ind w:firstLine="482" w:firstLineChars="200"/>
        <w:rPr>
          <w:rFonts w:hint="eastAsia" w:cs="宋体"/>
          <w:b/>
          <w:color w:val="auto"/>
          <w:sz w:val="24"/>
          <w:highlight w:val="none"/>
        </w:rPr>
      </w:pPr>
      <w:bookmarkStart w:id="215" w:name="_Toc8894"/>
      <w:bookmarkStart w:id="216" w:name="_Toc13535"/>
      <w:bookmarkStart w:id="217" w:name="_Toc5079"/>
      <w:bookmarkStart w:id="218" w:name="_Toc27501"/>
      <w:r>
        <w:rPr>
          <w:rFonts w:hint="eastAsia" w:cs="宋体"/>
          <w:b/>
          <w:color w:val="auto"/>
          <w:sz w:val="24"/>
          <w:highlight w:val="none"/>
        </w:rPr>
        <w:t>四、开标</w:t>
      </w:r>
      <w:bookmarkEnd w:id="215"/>
      <w:bookmarkEnd w:id="216"/>
      <w:bookmarkEnd w:id="217"/>
      <w:bookmarkEnd w:id="218"/>
    </w:p>
    <w:p w14:paraId="6B1A22C3">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（一）开标应当在</w:t>
      </w:r>
      <w:r>
        <w:rPr>
          <w:rFonts w:hint="eastAsia" w:ascii="宋体" w:hAnsi="宋体" w:cs="宋体"/>
          <w:color w:val="auto"/>
          <w:sz w:val="24"/>
          <w:highlight w:val="none"/>
          <w:lang w:eastAsia="zh-CN"/>
        </w:rPr>
        <w:t>竞争性比选文件</w:t>
      </w:r>
      <w:r>
        <w:rPr>
          <w:rFonts w:hint="eastAsia" w:ascii="宋体" w:hAnsi="宋体" w:cs="宋体"/>
          <w:color w:val="auto"/>
          <w:sz w:val="24"/>
          <w:highlight w:val="none"/>
        </w:rPr>
        <w:t>中“</w:t>
      </w:r>
      <w:r>
        <w:rPr>
          <w:rFonts w:hint="eastAsia" w:ascii="宋体" w:hAnsi="宋体" w:cs="宋体"/>
          <w:color w:val="auto"/>
          <w:sz w:val="24"/>
          <w:highlight w:val="none"/>
          <w:lang w:eastAsia="zh-CN"/>
        </w:rPr>
        <w:t>比选</w:t>
      </w:r>
      <w:r>
        <w:rPr>
          <w:rFonts w:hint="eastAsia" w:ascii="宋体" w:hAnsi="宋体" w:cs="宋体"/>
          <w:color w:val="auto"/>
          <w:sz w:val="24"/>
          <w:highlight w:val="none"/>
        </w:rPr>
        <w:t>邀请书”确定的时间和地点公开进行。</w:t>
      </w:r>
    </w:p>
    <w:p w14:paraId="0829012E">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w:t>
      </w:r>
      <w:r>
        <w:rPr>
          <w:rFonts w:hint="eastAsia" w:ascii="宋体" w:hAnsi="宋体" w:cs="宋体"/>
          <w:color w:val="auto"/>
          <w:sz w:val="24"/>
          <w:highlight w:val="none"/>
          <w:lang w:eastAsia="zh-CN"/>
        </w:rPr>
        <w:t>比选代理机构</w:t>
      </w:r>
      <w:r>
        <w:rPr>
          <w:rFonts w:hint="eastAsia" w:ascii="宋体" w:hAnsi="宋体" w:cs="宋体"/>
          <w:color w:val="auto"/>
          <w:sz w:val="24"/>
          <w:highlight w:val="none"/>
        </w:rPr>
        <w:t>可视</w:t>
      </w:r>
      <w:r>
        <w:rPr>
          <w:rFonts w:hint="eastAsia" w:ascii="宋体" w:hAnsi="宋体" w:cs="宋体"/>
          <w:color w:val="auto"/>
          <w:sz w:val="24"/>
          <w:highlight w:val="none"/>
          <w:lang w:eastAsia="zh-CN"/>
        </w:rPr>
        <w:t>比选</w:t>
      </w:r>
      <w:r>
        <w:rPr>
          <w:rFonts w:hint="eastAsia" w:ascii="宋体" w:hAnsi="宋体" w:cs="宋体"/>
          <w:color w:val="auto"/>
          <w:sz w:val="24"/>
          <w:highlight w:val="none"/>
        </w:rPr>
        <w:t>具体情况，延长</w:t>
      </w:r>
      <w:r>
        <w:rPr>
          <w:rFonts w:hint="eastAsia" w:ascii="宋体" w:hAnsi="宋体" w:cs="宋体"/>
          <w:color w:val="auto"/>
          <w:sz w:val="24"/>
          <w:highlight w:val="none"/>
          <w:lang w:eastAsia="zh-CN"/>
        </w:rPr>
        <w:t>竞选</w:t>
      </w:r>
      <w:r>
        <w:rPr>
          <w:rFonts w:hint="eastAsia" w:ascii="宋体" w:hAnsi="宋体" w:cs="宋体"/>
          <w:color w:val="auto"/>
          <w:sz w:val="24"/>
          <w:highlight w:val="none"/>
        </w:rPr>
        <w:t>截止时间和开标时间，</w:t>
      </w:r>
      <w:r>
        <w:rPr>
          <w:rFonts w:hint="eastAsia" w:ascii="宋体" w:hAnsi="宋体" w:cs="宋体"/>
          <w:color w:val="auto"/>
          <w:sz w:val="24"/>
          <w:highlight w:val="none"/>
          <w:lang w:val="en-US" w:eastAsia="zh-CN"/>
        </w:rPr>
        <w:t>并</w:t>
      </w:r>
      <w:r>
        <w:rPr>
          <w:rFonts w:hint="eastAsia" w:ascii="宋体" w:hAnsi="宋体" w:cs="宋体"/>
          <w:color w:val="auto"/>
          <w:sz w:val="24"/>
          <w:highlight w:val="none"/>
        </w:rPr>
        <w:t>将变更时间书面通知所有</w:t>
      </w:r>
      <w:r>
        <w:rPr>
          <w:rFonts w:hint="eastAsia" w:ascii="宋体" w:hAnsi="宋体" w:cs="宋体"/>
          <w:color w:val="auto"/>
          <w:sz w:val="24"/>
          <w:highlight w:val="none"/>
          <w:lang w:eastAsia="zh-CN"/>
        </w:rPr>
        <w:t>竞争性比选文件</w:t>
      </w:r>
      <w:r>
        <w:rPr>
          <w:rFonts w:hint="eastAsia" w:ascii="宋体" w:hAnsi="宋体" w:cs="宋体"/>
          <w:color w:val="auto"/>
          <w:sz w:val="24"/>
          <w:highlight w:val="none"/>
        </w:rPr>
        <w:t>收受人。</w:t>
      </w:r>
    </w:p>
    <w:p w14:paraId="17CABCAB">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（三）开标由</w:t>
      </w:r>
      <w:r>
        <w:rPr>
          <w:rFonts w:hint="eastAsia" w:ascii="宋体" w:hAnsi="宋体" w:cs="宋体"/>
          <w:color w:val="auto"/>
          <w:sz w:val="24"/>
          <w:highlight w:val="none"/>
          <w:lang w:eastAsia="zh-CN"/>
        </w:rPr>
        <w:t>比选代理机构</w:t>
      </w:r>
      <w:r>
        <w:rPr>
          <w:rFonts w:hint="eastAsia" w:ascii="宋体" w:hAnsi="宋体" w:cs="宋体"/>
          <w:color w:val="auto"/>
          <w:sz w:val="24"/>
          <w:highlight w:val="none"/>
        </w:rPr>
        <w:t>主持，邀请</w:t>
      </w:r>
      <w:r>
        <w:rPr>
          <w:rFonts w:hint="eastAsia" w:ascii="宋体" w:hAnsi="宋体" w:cs="宋体"/>
          <w:color w:val="auto"/>
          <w:sz w:val="24"/>
          <w:highlight w:val="none"/>
          <w:lang w:eastAsia="zh-CN"/>
        </w:rPr>
        <w:t>比选人</w:t>
      </w:r>
      <w:r>
        <w:rPr>
          <w:rFonts w:hint="eastAsia" w:ascii="宋体" w:hAnsi="宋体" w:cs="宋体"/>
          <w:color w:val="auto"/>
          <w:sz w:val="24"/>
          <w:highlight w:val="none"/>
        </w:rPr>
        <w:t>、</w:t>
      </w:r>
      <w:r>
        <w:rPr>
          <w:rFonts w:hint="eastAsia" w:ascii="宋体" w:hAnsi="宋体" w:cs="宋体"/>
          <w:color w:val="auto"/>
          <w:sz w:val="24"/>
          <w:highlight w:val="none"/>
          <w:lang w:eastAsia="zh-CN"/>
        </w:rPr>
        <w:t>竞选人</w:t>
      </w:r>
      <w:r>
        <w:rPr>
          <w:rFonts w:hint="eastAsia" w:ascii="宋体" w:hAnsi="宋体" w:cs="宋体"/>
          <w:color w:val="auto"/>
          <w:sz w:val="24"/>
          <w:highlight w:val="none"/>
        </w:rPr>
        <w:t>代表参加，有关监督部门可视情况派员现场监督。</w:t>
      </w:r>
    </w:p>
    <w:p w14:paraId="7FC8852D">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（四）开标时，由</w:t>
      </w:r>
      <w:r>
        <w:rPr>
          <w:rFonts w:hint="eastAsia" w:ascii="宋体" w:hAnsi="宋体" w:cs="宋体"/>
          <w:color w:val="auto"/>
          <w:sz w:val="24"/>
          <w:highlight w:val="none"/>
          <w:lang w:eastAsia="zh-CN"/>
        </w:rPr>
        <w:t>竞选人</w:t>
      </w:r>
      <w:r>
        <w:rPr>
          <w:rFonts w:hint="eastAsia" w:ascii="宋体" w:hAnsi="宋体" w:cs="宋体"/>
          <w:color w:val="auto"/>
          <w:sz w:val="24"/>
          <w:highlight w:val="none"/>
        </w:rPr>
        <w:t>或者其推选的代表检查</w:t>
      </w:r>
      <w:r>
        <w:rPr>
          <w:rFonts w:hint="eastAsia" w:ascii="宋体" w:hAnsi="宋体" w:cs="宋体"/>
          <w:color w:val="auto"/>
          <w:sz w:val="24"/>
          <w:highlight w:val="none"/>
          <w:lang w:eastAsia="zh-CN"/>
        </w:rPr>
        <w:t>竞选文件</w:t>
      </w:r>
      <w:r>
        <w:rPr>
          <w:rFonts w:hint="eastAsia" w:ascii="宋体" w:hAnsi="宋体" w:cs="宋体"/>
          <w:color w:val="auto"/>
          <w:sz w:val="24"/>
          <w:highlight w:val="none"/>
        </w:rPr>
        <w:t>的密封情况，也可以由</w:t>
      </w:r>
      <w:r>
        <w:rPr>
          <w:rFonts w:hint="eastAsia" w:ascii="宋体" w:hAnsi="宋体" w:cs="宋体"/>
          <w:color w:val="auto"/>
          <w:sz w:val="24"/>
          <w:highlight w:val="none"/>
          <w:lang w:eastAsia="zh-CN"/>
        </w:rPr>
        <w:t>比选人</w:t>
      </w:r>
      <w:r>
        <w:rPr>
          <w:rFonts w:hint="eastAsia" w:ascii="宋体" w:hAnsi="宋体" w:cs="宋体"/>
          <w:color w:val="auto"/>
          <w:sz w:val="24"/>
          <w:highlight w:val="none"/>
        </w:rPr>
        <w:t>委托的公证机构人员检查</w:t>
      </w:r>
      <w:r>
        <w:rPr>
          <w:rFonts w:hint="eastAsia" w:ascii="宋体" w:hAnsi="宋体" w:cs="宋体"/>
          <w:color w:val="auto"/>
          <w:sz w:val="24"/>
          <w:highlight w:val="none"/>
          <w:lang w:eastAsia="zh-CN"/>
        </w:rPr>
        <w:t>竞选文件</w:t>
      </w:r>
      <w:r>
        <w:rPr>
          <w:rFonts w:hint="eastAsia" w:ascii="宋体" w:hAnsi="宋体" w:cs="宋体"/>
          <w:color w:val="auto"/>
          <w:sz w:val="24"/>
          <w:highlight w:val="none"/>
        </w:rPr>
        <w:t>密封情况并公证；经确认密封完好的</w:t>
      </w:r>
      <w:r>
        <w:rPr>
          <w:rFonts w:hint="eastAsia" w:ascii="宋体" w:hAnsi="宋体" w:cs="宋体"/>
          <w:color w:val="auto"/>
          <w:sz w:val="24"/>
          <w:highlight w:val="none"/>
          <w:lang w:eastAsia="zh-CN"/>
        </w:rPr>
        <w:t>竞选文件</w:t>
      </w:r>
      <w:r>
        <w:rPr>
          <w:rFonts w:hint="eastAsia" w:ascii="宋体" w:hAnsi="宋体" w:cs="宋体"/>
          <w:color w:val="auto"/>
          <w:sz w:val="24"/>
          <w:highlight w:val="none"/>
        </w:rPr>
        <w:t>，由</w:t>
      </w:r>
      <w:r>
        <w:rPr>
          <w:rFonts w:hint="eastAsia" w:ascii="宋体" w:hAnsi="宋体" w:cs="宋体"/>
          <w:color w:val="auto"/>
          <w:sz w:val="24"/>
          <w:highlight w:val="none"/>
          <w:lang w:eastAsia="zh-CN"/>
        </w:rPr>
        <w:t>比选代理机构</w:t>
      </w:r>
      <w:r>
        <w:rPr>
          <w:rFonts w:hint="eastAsia" w:ascii="宋体" w:hAnsi="宋体" w:cs="宋体"/>
          <w:color w:val="auto"/>
          <w:sz w:val="24"/>
          <w:highlight w:val="none"/>
        </w:rPr>
        <w:t>工作人员当众拆封，宣读</w:t>
      </w:r>
      <w:r>
        <w:rPr>
          <w:rFonts w:hint="eastAsia" w:ascii="宋体" w:hAnsi="宋体" w:cs="宋体"/>
          <w:color w:val="auto"/>
          <w:sz w:val="24"/>
          <w:highlight w:val="none"/>
          <w:lang w:eastAsia="zh-CN"/>
        </w:rPr>
        <w:t>竞选文件</w:t>
      </w:r>
      <w:r>
        <w:rPr>
          <w:rFonts w:hint="eastAsia" w:ascii="宋体" w:hAnsi="宋体" w:cs="宋体"/>
          <w:color w:val="auto"/>
          <w:sz w:val="24"/>
          <w:highlight w:val="none"/>
        </w:rPr>
        <w:t>正本“</w:t>
      </w:r>
      <w:r>
        <w:rPr>
          <w:rFonts w:hint="eastAsia" w:ascii="宋体" w:hAnsi="宋体" w:cs="宋体"/>
          <w:color w:val="auto"/>
          <w:sz w:val="24"/>
          <w:highlight w:val="none"/>
          <w:lang w:eastAsia="zh-CN"/>
        </w:rPr>
        <w:t>报价函</w:t>
      </w:r>
      <w:r>
        <w:rPr>
          <w:rFonts w:hint="eastAsia" w:ascii="宋体" w:hAnsi="宋体" w:cs="宋体"/>
          <w:color w:val="auto"/>
          <w:sz w:val="24"/>
          <w:highlight w:val="none"/>
        </w:rPr>
        <w:t>”的</w:t>
      </w:r>
      <w:r>
        <w:rPr>
          <w:rFonts w:hint="eastAsia" w:ascii="宋体" w:hAnsi="宋体" w:cs="宋体"/>
          <w:color w:val="auto"/>
          <w:sz w:val="24"/>
          <w:highlight w:val="none"/>
          <w:lang w:eastAsia="zh-CN"/>
        </w:rPr>
        <w:t>竞选人</w:t>
      </w:r>
      <w:r>
        <w:rPr>
          <w:rFonts w:hint="eastAsia" w:ascii="宋体" w:hAnsi="宋体" w:cs="宋体"/>
          <w:color w:val="auto"/>
          <w:sz w:val="24"/>
          <w:highlight w:val="none"/>
        </w:rPr>
        <w:t>名称和</w:t>
      </w:r>
      <w:r>
        <w:rPr>
          <w:rFonts w:hint="eastAsia" w:ascii="宋体" w:hAnsi="宋体" w:cs="宋体"/>
          <w:color w:val="auto"/>
          <w:sz w:val="24"/>
          <w:highlight w:val="none"/>
          <w:lang w:eastAsia="zh-CN"/>
        </w:rPr>
        <w:t>竞选</w:t>
      </w:r>
      <w:r>
        <w:rPr>
          <w:rFonts w:hint="eastAsia" w:ascii="宋体" w:hAnsi="宋体" w:cs="宋体"/>
          <w:color w:val="auto"/>
          <w:sz w:val="24"/>
          <w:highlight w:val="none"/>
        </w:rPr>
        <w:t>报价</w:t>
      </w:r>
      <w:r>
        <w:rPr>
          <w:rFonts w:hint="eastAsia" w:ascii="宋体" w:hAnsi="宋体" w:cs="宋体"/>
          <w:color w:val="auto"/>
          <w:sz w:val="24"/>
          <w:highlight w:val="none"/>
          <w:lang w:val="en-US" w:eastAsia="zh-CN"/>
        </w:rPr>
        <w:t>等</w:t>
      </w:r>
      <w:r>
        <w:rPr>
          <w:rFonts w:hint="eastAsia" w:ascii="宋体" w:hAnsi="宋体" w:cs="宋体"/>
          <w:color w:val="auto"/>
          <w:sz w:val="24"/>
          <w:highlight w:val="none"/>
        </w:rPr>
        <w:t>主要内容并记录。</w:t>
      </w:r>
    </w:p>
    <w:p w14:paraId="4D6EBE1A">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（五）未宣读的</w:t>
      </w:r>
      <w:r>
        <w:rPr>
          <w:rFonts w:hint="eastAsia" w:ascii="宋体" w:hAnsi="宋体" w:cs="宋体"/>
          <w:color w:val="auto"/>
          <w:sz w:val="24"/>
          <w:highlight w:val="none"/>
          <w:lang w:eastAsia="zh-CN"/>
        </w:rPr>
        <w:t>竞选</w:t>
      </w:r>
      <w:r>
        <w:rPr>
          <w:rFonts w:hint="eastAsia" w:ascii="宋体" w:hAnsi="宋体" w:cs="宋体"/>
          <w:color w:val="auto"/>
          <w:sz w:val="24"/>
          <w:highlight w:val="none"/>
        </w:rPr>
        <w:t>价格、价格折扣等，</w:t>
      </w:r>
      <w:r>
        <w:rPr>
          <w:rFonts w:hint="eastAsia" w:ascii="宋体" w:hAnsi="宋体" w:cs="宋体"/>
          <w:color w:val="auto"/>
          <w:sz w:val="24"/>
          <w:highlight w:val="none"/>
          <w:lang w:eastAsia="zh-CN"/>
        </w:rPr>
        <w:t>评审</w:t>
      </w:r>
      <w:r>
        <w:rPr>
          <w:rFonts w:hint="eastAsia" w:ascii="宋体" w:hAnsi="宋体" w:cs="宋体"/>
          <w:color w:val="auto"/>
          <w:sz w:val="24"/>
          <w:highlight w:val="none"/>
        </w:rPr>
        <w:t>时不予承认。</w:t>
      </w:r>
    </w:p>
    <w:p w14:paraId="2454D93C">
      <w:pPr>
        <w:pStyle w:val="30"/>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（六）开标过程应由</w:t>
      </w:r>
      <w:r>
        <w:rPr>
          <w:rFonts w:hint="eastAsia" w:hAnsi="宋体" w:cs="宋体"/>
          <w:color w:val="auto"/>
          <w:sz w:val="24"/>
          <w:highlight w:val="none"/>
          <w:lang w:eastAsia="zh-CN"/>
        </w:rPr>
        <w:t>比选</w:t>
      </w:r>
      <w:r>
        <w:rPr>
          <w:rFonts w:hint="eastAsia" w:hAnsi="宋体" w:cs="宋体"/>
          <w:color w:val="auto"/>
          <w:sz w:val="24"/>
          <w:highlight w:val="none"/>
          <w:lang w:val="en-US" w:eastAsia="zh-CN"/>
        </w:rPr>
        <w:t>代理机构</w:t>
      </w:r>
      <w:r>
        <w:rPr>
          <w:rFonts w:hint="eastAsia" w:hAnsi="宋体" w:cs="宋体"/>
          <w:color w:val="auto"/>
          <w:sz w:val="24"/>
          <w:highlight w:val="none"/>
        </w:rPr>
        <w:t>指定专人负责记录，并存档备查。</w:t>
      </w:r>
    </w:p>
    <w:p w14:paraId="302970B1">
      <w:pPr>
        <w:pStyle w:val="4"/>
        <w:spacing w:line="400" w:lineRule="exact"/>
        <w:ind w:firstLine="482" w:firstLineChars="200"/>
        <w:rPr>
          <w:rFonts w:hint="eastAsia" w:eastAsia="宋体" w:cs="宋体"/>
          <w:b/>
          <w:color w:val="auto"/>
          <w:sz w:val="24"/>
          <w:highlight w:val="none"/>
          <w:lang w:eastAsia="zh-CN"/>
        </w:rPr>
      </w:pPr>
      <w:bookmarkStart w:id="219" w:name="_Toc309"/>
      <w:bookmarkStart w:id="220" w:name="_Toc10131"/>
      <w:bookmarkStart w:id="221" w:name="_Toc20925"/>
      <w:bookmarkStart w:id="222" w:name="_Toc9632"/>
      <w:r>
        <w:rPr>
          <w:rFonts w:hint="eastAsia" w:cs="宋体"/>
          <w:b/>
          <w:color w:val="auto"/>
          <w:sz w:val="24"/>
          <w:highlight w:val="none"/>
        </w:rPr>
        <w:t>五、</w:t>
      </w:r>
      <w:bookmarkEnd w:id="219"/>
      <w:bookmarkEnd w:id="220"/>
      <w:r>
        <w:rPr>
          <w:rFonts w:hint="eastAsia" w:cs="宋体"/>
          <w:b/>
          <w:color w:val="auto"/>
          <w:sz w:val="24"/>
          <w:highlight w:val="none"/>
          <w:lang w:eastAsia="zh-CN"/>
        </w:rPr>
        <w:t>评审</w:t>
      </w:r>
      <w:bookmarkEnd w:id="221"/>
      <w:bookmarkEnd w:id="222"/>
    </w:p>
    <w:p w14:paraId="75D99DFC">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见第四篇“</w:t>
      </w:r>
      <w:r>
        <w:rPr>
          <w:rFonts w:hint="eastAsia" w:ascii="宋体" w:hAnsi="宋体" w:cs="宋体"/>
          <w:color w:val="auto"/>
          <w:sz w:val="24"/>
          <w:highlight w:val="none"/>
          <w:lang w:eastAsia="zh-CN"/>
        </w:rPr>
        <w:t>评审</w:t>
      </w:r>
      <w:r>
        <w:rPr>
          <w:rFonts w:hint="eastAsia" w:ascii="宋体" w:hAnsi="宋体" w:cs="宋体"/>
          <w:color w:val="auto"/>
          <w:sz w:val="24"/>
          <w:highlight w:val="none"/>
        </w:rPr>
        <w:t>”内容。</w:t>
      </w:r>
    </w:p>
    <w:p w14:paraId="378009D4">
      <w:pPr>
        <w:pStyle w:val="4"/>
        <w:spacing w:line="400" w:lineRule="exact"/>
        <w:ind w:firstLine="482" w:firstLineChars="200"/>
        <w:rPr>
          <w:rFonts w:hint="eastAsia" w:cs="宋体"/>
          <w:b/>
          <w:color w:val="auto"/>
          <w:sz w:val="24"/>
          <w:highlight w:val="none"/>
        </w:rPr>
      </w:pPr>
      <w:bookmarkStart w:id="223" w:name="_Toc1480"/>
      <w:bookmarkStart w:id="224" w:name="_Toc15184"/>
      <w:bookmarkStart w:id="225" w:name="_Toc10453"/>
      <w:bookmarkStart w:id="226" w:name="_Toc31057"/>
      <w:r>
        <w:rPr>
          <w:rFonts w:hint="eastAsia" w:cs="宋体"/>
          <w:b/>
          <w:color w:val="auto"/>
          <w:sz w:val="24"/>
          <w:highlight w:val="none"/>
        </w:rPr>
        <w:t>六、</w:t>
      </w:r>
      <w:bookmarkEnd w:id="223"/>
      <w:r>
        <w:rPr>
          <w:rFonts w:hint="eastAsia" w:cs="宋体"/>
          <w:b/>
          <w:color w:val="auto"/>
          <w:sz w:val="24"/>
          <w:highlight w:val="none"/>
          <w:lang w:eastAsia="zh-CN"/>
        </w:rPr>
        <w:t>中标人</w:t>
      </w:r>
      <w:r>
        <w:rPr>
          <w:rFonts w:hint="eastAsia" w:cs="宋体"/>
          <w:b/>
          <w:color w:val="auto"/>
          <w:sz w:val="24"/>
          <w:highlight w:val="none"/>
        </w:rPr>
        <w:t>的确认、变更及</w:t>
      </w:r>
      <w:r>
        <w:rPr>
          <w:rFonts w:hint="eastAsia" w:cs="宋体"/>
          <w:b/>
          <w:color w:val="auto"/>
          <w:sz w:val="24"/>
          <w:highlight w:val="none"/>
          <w:lang w:val="en-US" w:eastAsia="zh-CN"/>
        </w:rPr>
        <w:t>成交</w:t>
      </w:r>
      <w:r>
        <w:rPr>
          <w:rFonts w:hint="eastAsia" w:cs="宋体"/>
          <w:b/>
          <w:color w:val="auto"/>
          <w:sz w:val="24"/>
          <w:highlight w:val="none"/>
        </w:rPr>
        <w:t>通知</w:t>
      </w:r>
      <w:bookmarkEnd w:id="224"/>
      <w:bookmarkEnd w:id="225"/>
      <w:bookmarkEnd w:id="226"/>
    </w:p>
    <w:p w14:paraId="136515D4">
      <w:pPr>
        <w:snapToGrid w:val="0"/>
        <w:spacing w:line="400" w:lineRule="exact"/>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的确认</w:t>
      </w:r>
    </w:p>
    <w:p w14:paraId="24B8E820">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应当从评审报告提出的</w:t>
      </w:r>
      <w:r>
        <w:rPr>
          <w:rFonts w:hint="eastAsia" w:ascii="宋体" w:hAnsi="宋体" w:cs="宋体"/>
          <w:color w:val="auto"/>
          <w:sz w:val="24"/>
          <w:szCs w:val="24"/>
          <w:highlight w:val="none"/>
          <w:lang w:eastAsia="zh-CN"/>
        </w:rPr>
        <w:t>中标候选人</w:t>
      </w:r>
      <w:r>
        <w:rPr>
          <w:rFonts w:hint="eastAsia" w:ascii="宋体" w:hAnsi="宋体" w:cs="宋体"/>
          <w:color w:val="auto"/>
          <w:sz w:val="24"/>
          <w:szCs w:val="24"/>
          <w:highlight w:val="none"/>
        </w:rPr>
        <w:t>中，按照排序由高到低的原则确定</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逾期未确定</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且不提出异议的，视为确定评审报告提出的排序</w:t>
      </w:r>
      <w:r>
        <w:rPr>
          <w:rFonts w:hint="eastAsia" w:ascii="宋体" w:hAnsi="宋体" w:cs="宋体"/>
          <w:color w:val="auto"/>
          <w:sz w:val="24"/>
          <w:szCs w:val="24"/>
          <w:highlight w:val="none"/>
          <w:lang w:val="en-US" w:eastAsia="zh-CN"/>
        </w:rPr>
        <w:t>第一</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中标候选人</w:t>
      </w:r>
      <w:r>
        <w:rPr>
          <w:rFonts w:hint="eastAsia" w:ascii="宋体" w:hAnsi="宋体" w:cs="宋体"/>
          <w:color w:val="auto"/>
          <w:sz w:val="24"/>
          <w:szCs w:val="24"/>
          <w:highlight w:val="none"/>
        </w:rPr>
        <w:t>为</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w:t>
      </w:r>
    </w:p>
    <w:p w14:paraId="57F6760A">
      <w:pPr>
        <w:snapToGrid w:val="0"/>
        <w:spacing w:line="400" w:lineRule="exact"/>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的变更</w:t>
      </w:r>
    </w:p>
    <w:p w14:paraId="357E2C05">
      <w:pPr>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highlight w:val="none"/>
          <w:lang w:eastAsia="zh-CN"/>
        </w:rPr>
        <w:t>中标人</w:t>
      </w:r>
      <w:r>
        <w:rPr>
          <w:rFonts w:hint="eastAsia" w:ascii="宋体" w:hAnsi="宋体" w:cs="宋体"/>
          <w:color w:val="auto"/>
          <w:sz w:val="24"/>
          <w:highlight w:val="none"/>
        </w:rPr>
        <w:t>放弃</w:t>
      </w:r>
      <w:r>
        <w:rPr>
          <w:rFonts w:hint="eastAsia" w:ascii="宋体" w:hAnsi="宋体" w:cs="宋体"/>
          <w:color w:val="auto"/>
          <w:sz w:val="24"/>
          <w:highlight w:val="none"/>
          <w:lang w:eastAsia="zh-CN"/>
        </w:rPr>
        <w:t>中标</w:t>
      </w:r>
      <w:r>
        <w:rPr>
          <w:rFonts w:hint="eastAsia" w:ascii="宋体" w:hAnsi="宋体" w:cs="宋体"/>
          <w:color w:val="auto"/>
          <w:sz w:val="24"/>
          <w:highlight w:val="none"/>
        </w:rPr>
        <w:t>、因不可抗力不能履行合同、不按照</w:t>
      </w:r>
      <w:r>
        <w:rPr>
          <w:rFonts w:hint="eastAsia" w:ascii="宋体" w:hAnsi="宋体" w:cs="宋体"/>
          <w:color w:val="auto"/>
          <w:sz w:val="24"/>
          <w:highlight w:val="none"/>
          <w:lang w:eastAsia="zh-CN"/>
        </w:rPr>
        <w:t>竞争性比选文件</w:t>
      </w:r>
      <w:r>
        <w:rPr>
          <w:rFonts w:hint="eastAsia" w:ascii="宋体" w:hAnsi="宋体" w:cs="宋体"/>
          <w:color w:val="auto"/>
          <w:sz w:val="24"/>
          <w:highlight w:val="none"/>
        </w:rPr>
        <w:t>要求提交履约保证金，或者被查实存在影响</w:t>
      </w:r>
      <w:r>
        <w:rPr>
          <w:rFonts w:hint="eastAsia" w:ascii="宋体" w:hAnsi="宋体" w:cs="宋体"/>
          <w:color w:val="auto"/>
          <w:sz w:val="24"/>
          <w:highlight w:val="none"/>
          <w:lang w:eastAsia="zh-CN"/>
        </w:rPr>
        <w:t>成交结果</w:t>
      </w:r>
      <w:r>
        <w:rPr>
          <w:rFonts w:hint="eastAsia" w:ascii="宋体" w:hAnsi="宋体" w:cs="宋体"/>
          <w:color w:val="auto"/>
          <w:sz w:val="24"/>
          <w:highlight w:val="none"/>
        </w:rPr>
        <w:t>的违法行为等情形，不符合</w:t>
      </w:r>
      <w:r>
        <w:rPr>
          <w:rFonts w:hint="eastAsia" w:ascii="宋体" w:hAnsi="宋体" w:cs="宋体"/>
          <w:color w:val="auto"/>
          <w:sz w:val="24"/>
          <w:highlight w:val="none"/>
          <w:lang w:eastAsia="zh-CN"/>
        </w:rPr>
        <w:t>中标</w:t>
      </w:r>
      <w:r>
        <w:rPr>
          <w:rFonts w:hint="eastAsia" w:ascii="宋体" w:hAnsi="宋体" w:cs="宋体"/>
          <w:color w:val="auto"/>
          <w:sz w:val="24"/>
          <w:highlight w:val="none"/>
        </w:rPr>
        <w:t>条件的，</w:t>
      </w:r>
      <w:r>
        <w:rPr>
          <w:rFonts w:hint="eastAsia" w:ascii="宋体" w:hAnsi="宋体" w:cs="宋体"/>
          <w:color w:val="auto"/>
          <w:sz w:val="24"/>
          <w:highlight w:val="none"/>
          <w:lang w:eastAsia="zh-CN"/>
        </w:rPr>
        <w:t>比选人</w:t>
      </w:r>
      <w:r>
        <w:rPr>
          <w:rFonts w:hint="eastAsia" w:ascii="宋体" w:hAnsi="宋体" w:cs="宋体"/>
          <w:color w:val="auto"/>
          <w:sz w:val="24"/>
          <w:highlight w:val="none"/>
        </w:rPr>
        <w:t>可以按照</w:t>
      </w:r>
      <w:r>
        <w:rPr>
          <w:rFonts w:hint="eastAsia" w:ascii="宋体" w:hAnsi="宋体" w:cs="宋体"/>
          <w:color w:val="auto"/>
          <w:sz w:val="24"/>
          <w:highlight w:val="none"/>
          <w:lang w:eastAsia="zh-CN"/>
        </w:rPr>
        <w:t>评审</w:t>
      </w:r>
      <w:r>
        <w:rPr>
          <w:rFonts w:hint="eastAsia" w:ascii="宋体" w:hAnsi="宋体" w:cs="宋体"/>
          <w:color w:val="auto"/>
          <w:sz w:val="24"/>
          <w:highlight w:val="none"/>
        </w:rPr>
        <w:t>委员会提出的综合得分排序依次确定其他</w:t>
      </w:r>
      <w:r>
        <w:rPr>
          <w:rFonts w:hint="eastAsia" w:ascii="宋体" w:hAnsi="宋体" w:cs="宋体"/>
          <w:color w:val="auto"/>
          <w:sz w:val="24"/>
          <w:highlight w:val="none"/>
          <w:lang w:eastAsia="zh-CN"/>
        </w:rPr>
        <w:t>中标候选人</w:t>
      </w:r>
      <w:r>
        <w:rPr>
          <w:rFonts w:hint="eastAsia" w:ascii="宋体" w:hAnsi="宋体" w:cs="宋体"/>
          <w:color w:val="auto"/>
          <w:sz w:val="24"/>
          <w:highlight w:val="none"/>
        </w:rPr>
        <w:t>为</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，也可以重新组织</w:t>
      </w:r>
      <w:r>
        <w:rPr>
          <w:rFonts w:hint="eastAsia" w:ascii="宋体" w:hAnsi="宋体" w:cs="宋体"/>
          <w:color w:val="auto"/>
          <w:sz w:val="24"/>
          <w:highlight w:val="none"/>
          <w:lang w:eastAsia="zh-CN"/>
        </w:rPr>
        <w:t>比选。</w:t>
      </w:r>
    </w:p>
    <w:p w14:paraId="66F86EA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确定后，</w:t>
      </w:r>
      <w:r>
        <w:rPr>
          <w:rFonts w:hint="eastAsia" w:ascii="宋体" w:hAnsi="宋体" w:eastAsia="宋体" w:cs="宋体"/>
          <w:color w:val="auto"/>
          <w:sz w:val="24"/>
          <w:szCs w:val="24"/>
          <w:highlight w:val="none"/>
          <w:lang w:eastAsia="zh-CN"/>
        </w:rPr>
        <w:t>比选</w:t>
      </w:r>
      <w:r>
        <w:rPr>
          <w:rFonts w:hint="eastAsia" w:ascii="宋体" w:hAnsi="宋体" w:cs="宋体"/>
          <w:color w:val="auto"/>
          <w:sz w:val="24"/>
          <w:szCs w:val="24"/>
          <w:highlight w:val="none"/>
          <w:lang w:eastAsia="zh-CN"/>
        </w:rPr>
        <w:t>人</w:t>
      </w:r>
      <w:r>
        <w:rPr>
          <w:rFonts w:hint="eastAsia" w:ascii="宋体" w:hAnsi="宋体" w:eastAsia="宋体" w:cs="宋体"/>
          <w:color w:val="auto"/>
          <w:sz w:val="24"/>
          <w:szCs w:val="24"/>
          <w:highlight w:val="none"/>
        </w:rPr>
        <w:t>将在</w:t>
      </w:r>
      <w:r>
        <w:rPr>
          <w:rFonts w:hint="eastAsia" w:ascii="宋体" w:hAnsi="宋体" w:cs="宋体"/>
          <w:color w:val="auto"/>
          <w:sz w:val="24"/>
          <w:szCs w:val="24"/>
          <w:highlight w:val="none"/>
          <w:lang w:eastAsia="zh-CN"/>
        </w:rPr>
        <w:t>行采家（https://www.gec123.com/）</w:t>
      </w:r>
      <w:r>
        <w:rPr>
          <w:rFonts w:hint="eastAsia" w:ascii="宋体" w:hAnsi="宋体" w:eastAsia="宋体" w:cs="宋体"/>
          <w:color w:val="auto"/>
          <w:sz w:val="24"/>
          <w:szCs w:val="24"/>
          <w:highlight w:val="none"/>
        </w:rPr>
        <w:t>上发布</w:t>
      </w:r>
      <w:r>
        <w:rPr>
          <w:rFonts w:hint="eastAsia" w:ascii="宋体" w:hAnsi="宋体" w:eastAsia="宋体" w:cs="宋体"/>
          <w:color w:val="auto"/>
          <w:sz w:val="24"/>
          <w:szCs w:val="24"/>
          <w:highlight w:val="none"/>
          <w:lang w:eastAsia="zh-CN"/>
        </w:rPr>
        <w:t>结果</w:t>
      </w:r>
      <w:r>
        <w:rPr>
          <w:rFonts w:hint="eastAsia" w:ascii="宋体" w:hAnsi="宋体" w:eastAsia="宋体" w:cs="宋体"/>
          <w:color w:val="auto"/>
          <w:sz w:val="24"/>
          <w:szCs w:val="24"/>
          <w:highlight w:val="none"/>
        </w:rPr>
        <w:t>公告。</w:t>
      </w:r>
    </w:p>
    <w:p w14:paraId="410CFAD0">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（四）结果公告发出同时，</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将以书面形式发出《</w:t>
      </w:r>
      <w:r>
        <w:rPr>
          <w:rFonts w:hint="eastAsia" w:ascii="宋体" w:hAnsi="宋体" w:cs="宋体"/>
          <w:color w:val="auto"/>
          <w:sz w:val="24"/>
          <w:szCs w:val="24"/>
          <w:highlight w:val="none"/>
          <w:lang w:val="en-US" w:eastAsia="zh-CN"/>
        </w:rPr>
        <w:t>中标</w:t>
      </w:r>
      <w:r>
        <w:rPr>
          <w:rFonts w:hint="eastAsia" w:ascii="宋体" w:hAnsi="宋体" w:cs="宋体"/>
          <w:color w:val="auto"/>
          <w:sz w:val="24"/>
          <w:szCs w:val="24"/>
          <w:highlight w:val="none"/>
          <w:lang w:eastAsia="zh-CN"/>
        </w:rPr>
        <w:t>通知书</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中标</w:t>
      </w:r>
      <w:r>
        <w:rPr>
          <w:rFonts w:hint="eastAsia" w:ascii="宋体" w:hAnsi="宋体" w:cs="宋体"/>
          <w:color w:val="auto"/>
          <w:sz w:val="24"/>
          <w:szCs w:val="24"/>
          <w:highlight w:val="none"/>
          <w:lang w:eastAsia="zh-CN"/>
        </w:rPr>
        <w:t>通知书</w:t>
      </w:r>
      <w:r>
        <w:rPr>
          <w:rFonts w:hint="eastAsia" w:ascii="宋体" w:hAnsi="宋体" w:cs="宋体"/>
          <w:color w:val="auto"/>
          <w:sz w:val="24"/>
          <w:szCs w:val="24"/>
          <w:highlight w:val="none"/>
        </w:rPr>
        <w:t>》一经发出即发生法律效力。</w:t>
      </w:r>
    </w:p>
    <w:p w14:paraId="035643D9">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w:t>
      </w:r>
      <w:r>
        <w:rPr>
          <w:rFonts w:hint="eastAsia" w:ascii="宋体" w:hAnsi="宋体" w:cs="宋体"/>
          <w:color w:val="auto"/>
          <w:sz w:val="24"/>
          <w:szCs w:val="24"/>
          <w:highlight w:val="none"/>
          <w:lang w:val="en-US" w:eastAsia="zh-CN"/>
        </w:rPr>
        <w:t>中标</w:t>
      </w:r>
      <w:r>
        <w:rPr>
          <w:rFonts w:hint="eastAsia" w:ascii="宋体" w:hAnsi="宋体" w:cs="宋体"/>
          <w:color w:val="auto"/>
          <w:sz w:val="24"/>
          <w:szCs w:val="24"/>
          <w:highlight w:val="none"/>
          <w:lang w:eastAsia="zh-CN"/>
        </w:rPr>
        <w:t>通知书</w:t>
      </w:r>
      <w:r>
        <w:rPr>
          <w:rFonts w:hint="eastAsia" w:ascii="宋体" w:hAnsi="宋体" w:cs="宋体"/>
          <w:color w:val="auto"/>
          <w:sz w:val="24"/>
          <w:szCs w:val="24"/>
          <w:highlight w:val="none"/>
        </w:rPr>
        <w:t>》将作为签订合同的依据。</w:t>
      </w:r>
    </w:p>
    <w:p w14:paraId="3162025C">
      <w:pPr>
        <w:pStyle w:val="4"/>
        <w:spacing w:line="400" w:lineRule="exact"/>
        <w:ind w:firstLine="482" w:firstLineChars="200"/>
        <w:rPr>
          <w:rFonts w:hint="eastAsia" w:cs="宋体"/>
          <w:b/>
          <w:color w:val="auto"/>
          <w:sz w:val="24"/>
          <w:szCs w:val="22"/>
          <w:highlight w:val="none"/>
        </w:rPr>
      </w:pPr>
      <w:bookmarkStart w:id="227" w:name="_Toc22037"/>
      <w:bookmarkStart w:id="228" w:name="_Toc17903"/>
      <w:bookmarkStart w:id="229" w:name="_Toc1128"/>
      <w:r>
        <w:rPr>
          <w:rFonts w:hint="eastAsia" w:cs="宋体"/>
          <w:b/>
          <w:color w:val="auto"/>
          <w:sz w:val="24"/>
          <w:szCs w:val="22"/>
          <w:highlight w:val="none"/>
        </w:rPr>
        <w:t>七、澄清和答疑</w:t>
      </w:r>
      <w:bookmarkEnd w:id="227"/>
      <w:bookmarkEnd w:id="228"/>
      <w:bookmarkEnd w:id="229"/>
    </w:p>
    <w:p w14:paraId="4F2204F8">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w:t>
      </w:r>
      <w:r>
        <w:rPr>
          <w:rFonts w:hint="eastAsia" w:ascii="宋体" w:hAnsi="宋体" w:cs="宋体"/>
          <w:color w:val="auto"/>
          <w:sz w:val="24"/>
          <w:highlight w:val="none"/>
          <w:lang w:eastAsia="zh-CN"/>
        </w:rPr>
        <w:t>竞选人</w:t>
      </w:r>
      <w:r>
        <w:rPr>
          <w:rFonts w:hint="eastAsia" w:ascii="宋体" w:hAnsi="宋体" w:cs="宋体"/>
          <w:color w:val="auto"/>
          <w:sz w:val="24"/>
          <w:highlight w:val="none"/>
        </w:rPr>
        <w:t>在收到</w:t>
      </w:r>
      <w:r>
        <w:rPr>
          <w:rFonts w:hint="eastAsia" w:ascii="宋体" w:hAnsi="宋体" w:cs="宋体"/>
          <w:color w:val="auto"/>
          <w:sz w:val="24"/>
          <w:highlight w:val="none"/>
          <w:lang w:eastAsia="zh-CN"/>
        </w:rPr>
        <w:t>竞争性比选文件</w:t>
      </w:r>
      <w:r>
        <w:rPr>
          <w:rFonts w:hint="eastAsia" w:ascii="宋体" w:hAnsi="宋体" w:cs="宋体"/>
          <w:color w:val="auto"/>
          <w:sz w:val="24"/>
          <w:highlight w:val="none"/>
        </w:rPr>
        <w:t>后，应仔细检查</w:t>
      </w:r>
      <w:r>
        <w:rPr>
          <w:rFonts w:hint="eastAsia" w:ascii="宋体" w:hAnsi="宋体" w:cs="宋体"/>
          <w:color w:val="auto"/>
          <w:sz w:val="24"/>
          <w:highlight w:val="none"/>
          <w:lang w:eastAsia="zh-CN"/>
        </w:rPr>
        <w:t>竞争性比选文件</w:t>
      </w:r>
      <w:r>
        <w:rPr>
          <w:rFonts w:hint="eastAsia" w:ascii="宋体" w:hAnsi="宋体" w:cs="宋体"/>
          <w:color w:val="auto"/>
          <w:sz w:val="24"/>
          <w:highlight w:val="none"/>
        </w:rPr>
        <w:t>的所有内容，如有残缺或文字表述不清，图纸尺寸标注不明以及存在错、碰、漏、缺、概念模糊和有可能出现歧义或理解上的偏差的内容等应以书面形式向</w:t>
      </w:r>
      <w:r>
        <w:rPr>
          <w:rFonts w:hint="eastAsia" w:ascii="宋体" w:hAnsi="宋体" w:cs="宋体"/>
          <w:color w:val="auto"/>
          <w:sz w:val="24"/>
          <w:highlight w:val="none"/>
          <w:lang w:eastAsia="zh-CN"/>
        </w:rPr>
        <w:t>比选人</w:t>
      </w:r>
      <w:r>
        <w:rPr>
          <w:rFonts w:hint="eastAsia" w:ascii="宋体" w:hAnsi="宋体" w:cs="宋体"/>
          <w:color w:val="auto"/>
          <w:sz w:val="24"/>
          <w:highlight w:val="none"/>
        </w:rPr>
        <w:t>提出。</w:t>
      </w:r>
    </w:p>
    <w:p w14:paraId="264E62AF">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w:t>
      </w:r>
      <w:r>
        <w:rPr>
          <w:rFonts w:hint="eastAsia" w:ascii="宋体" w:hAnsi="宋体" w:cs="宋体"/>
          <w:color w:val="auto"/>
          <w:sz w:val="24"/>
          <w:highlight w:val="none"/>
          <w:lang w:eastAsia="zh-CN"/>
        </w:rPr>
        <w:t>比选人</w:t>
      </w:r>
      <w:r>
        <w:rPr>
          <w:rFonts w:hint="eastAsia" w:ascii="宋体" w:hAnsi="宋体" w:cs="宋体"/>
          <w:color w:val="auto"/>
          <w:sz w:val="24"/>
          <w:highlight w:val="none"/>
        </w:rPr>
        <w:t>以书面形式向各</w:t>
      </w:r>
      <w:r>
        <w:rPr>
          <w:rFonts w:hint="eastAsia" w:ascii="宋体" w:hAnsi="宋体" w:cs="宋体"/>
          <w:color w:val="auto"/>
          <w:sz w:val="24"/>
          <w:highlight w:val="none"/>
          <w:lang w:eastAsia="zh-CN"/>
        </w:rPr>
        <w:t>竞选人</w:t>
      </w:r>
      <w:r>
        <w:rPr>
          <w:rFonts w:hint="eastAsia" w:ascii="宋体" w:hAnsi="宋体" w:cs="宋体"/>
          <w:color w:val="auto"/>
          <w:sz w:val="24"/>
          <w:highlight w:val="none"/>
        </w:rPr>
        <w:t>发布答疑。</w:t>
      </w:r>
    </w:p>
    <w:p w14:paraId="1B9AFC84">
      <w:pPr>
        <w:pStyle w:val="4"/>
        <w:spacing w:line="400" w:lineRule="exact"/>
        <w:ind w:firstLine="482" w:firstLineChars="200"/>
        <w:rPr>
          <w:rFonts w:hint="eastAsia" w:ascii="宋体" w:hAnsi="宋体" w:eastAsia="宋体" w:cs="宋体"/>
          <w:b/>
          <w:color w:val="auto"/>
          <w:sz w:val="24"/>
          <w:szCs w:val="22"/>
          <w:highlight w:val="none"/>
        </w:rPr>
      </w:pPr>
      <w:bookmarkStart w:id="230" w:name="_Toc26409"/>
      <w:bookmarkStart w:id="231" w:name="_Toc28619"/>
      <w:bookmarkStart w:id="232" w:name="_Toc4535"/>
      <w:bookmarkStart w:id="233" w:name="_Toc7900"/>
      <w:bookmarkStart w:id="234" w:name="_Toc76462344"/>
      <w:bookmarkStart w:id="235" w:name="_Toc20815"/>
      <w:bookmarkStart w:id="236" w:name="_Toc17386"/>
      <w:bookmarkStart w:id="237" w:name="_Toc23599"/>
      <w:bookmarkStart w:id="238" w:name="_Toc106030899"/>
      <w:bookmarkStart w:id="239" w:name="_Toc14535"/>
      <w:bookmarkStart w:id="240" w:name="_Toc32332"/>
      <w:r>
        <w:rPr>
          <w:rFonts w:hint="eastAsia" w:ascii="宋体" w:hAnsi="宋体" w:eastAsia="宋体" w:cs="宋体"/>
          <w:b/>
          <w:color w:val="auto"/>
          <w:sz w:val="24"/>
          <w:szCs w:val="22"/>
          <w:highlight w:val="none"/>
          <w:lang w:eastAsia="zh-CN"/>
        </w:rPr>
        <w:t>八</w:t>
      </w:r>
      <w:r>
        <w:rPr>
          <w:rFonts w:hint="eastAsia" w:ascii="宋体" w:hAnsi="宋体" w:eastAsia="宋体" w:cs="宋体"/>
          <w:b/>
          <w:color w:val="auto"/>
          <w:sz w:val="24"/>
          <w:szCs w:val="22"/>
          <w:highlight w:val="none"/>
        </w:rPr>
        <w:t>、</w:t>
      </w:r>
      <w:r>
        <w:rPr>
          <w:rFonts w:hint="eastAsia" w:ascii="宋体" w:hAnsi="宋体" w:eastAsia="宋体" w:cs="宋体"/>
          <w:b/>
          <w:color w:val="auto"/>
          <w:sz w:val="24"/>
          <w:szCs w:val="22"/>
          <w:highlight w:val="none"/>
          <w:lang w:eastAsia="zh-CN"/>
        </w:rPr>
        <w:t>比选</w:t>
      </w:r>
      <w:r>
        <w:rPr>
          <w:rFonts w:hint="eastAsia" w:ascii="宋体" w:hAnsi="宋体" w:eastAsia="宋体" w:cs="宋体"/>
          <w:b/>
          <w:color w:val="auto"/>
          <w:sz w:val="24"/>
          <w:szCs w:val="22"/>
          <w:highlight w:val="none"/>
        </w:rPr>
        <w:t>代理服务费</w:t>
      </w:r>
      <w:bookmarkEnd w:id="230"/>
      <w:bookmarkEnd w:id="231"/>
      <w:bookmarkEnd w:id="232"/>
      <w:bookmarkEnd w:id="233"/>
      <w:bookmarkEnd w:id="234"/>
      <w:bookmarkEnd w:id="235"/>
      <w:bookmarkEnd w:id="236"/>
      <w:bookmarkEnd w:id="237"/>
      <w:bookmarkEnd w:id="238"/>
      <w:bookmarkEnd w:id="239"/>
    </w:p>
    <w:p w14:paraId="0C95252E">
      <w:pPr>
        <w:pStyle w:val="4"/>
        <w:spacing w:line="400" w:lineRule="exact"/>
        <w:ind w:firstLine="480" w:firstLineChars="200"/>
        <w:rPr>
          <w:rFonts w:hint="eastAsia" w:ascii="宋体" w:hAnsi="宋体" w:eastAsia="宋体" w:cs="宋体"/>
          <w:b w:val="0"/>
          <w:bCs/>
          <w:color w:val="auto"/>
          <w:sz w:val="24"/>
          <w:szCs w:val="22"/>
          <w:highlight w:val="none"/>
          <w:lang w:eastAsia="zh-CN"/>
        </w:rPr>
      </w:pPr>
      <w:bookmarkStart w:id="241" w:name="_Toc18652"/>
      <w:bookmarkStart w:id="242" w:name="OLE_LINK7"/>
      <w:bookmarkStart w:id="243" w:name="OLE_LINK8"/>
      <w:bookmarkStart w:id="244" w:name="_Toc1322"/>
      <w:r>
        <w:rPr>
          <w:rFonts w:hint="eastAsia" w:cs="宋体"/>
          <w:b w:val="0"/>
          <w:bCs/>
          <w:color w:val="auto"/>
          <w:sz w:val="24"/>
          <w:szCs w:val="22"/>
          <w:highlight w:val="none"/>
          <w:lang w:eastAsia="zh-CN"/>
        </w:rPr>
        <w:t>竞选人</w:t>
      </w:r>
      <w:r>
        <w:rPr>
          <w:rFonts w:hint="eastAsia" w:ascii="宋体" w:hAnsi="宋体" w:eastAsia="宋体" w:cs="宋体"/>
          <w:b w:val="0"/>
          <w:bCs/>
          <w:color w:val="auto"/>
          <w:sz w:val="24"/>
          <w:szCs w:val="22"/>
          <w:highlight w:val="none"/>
          <w:lang w:eastAsia="zh-CN"/>
        </w:rPr>
        <w:t>成交后向</w:t>
      </w:r>
      <w:r>
        <w:rPr>
          <w:rFonts w:hint="eastAsia" w:cs="宋体"/>
          <w:b w:val="0"/>
          <w:bCs/>
          <w:color w:val="auto"/>
          <w:sz w:val="24"/>
          <w:szCs w:val="22"/>
          <w:highlight w:val="none"/>
          <w:lang w:val="en-US" w:eastAsia="zh-CN"/>
        </w:rPr>
        <w:t>比选</w:t>
      </w:r>
      <w:r>
        <w:rPr>
          <w:rFonts w:hint="eastAsia" w:ascii="宋体" w:hAnsi="宋体" w:eastAsia="宋体" w:cs="宋体"/>
          <w:b w:val="0"/>
          <w:bCs/>
          <w:color w:val="auto"/>
          <w:sz w:val="24"/>
          <w:szCs w:val="22"/>
          <w:highlight w:val="none"/>
          <w:lang w:eastAsia="zh-CN"/>
        </w:rPr>
        <w:t>代理机构缴纳</w:t>
      </w:r>
      <w:r>
        <w:rPr>
          <w:rFonts w:hint="eastAsia" w:cs="宋体"/>
          <w:b w:val="0"/>
          <w:bCs/>
          <w:color w:val="auto"/>
          <w:sz w:val="24"/>
          <w:szCs w:val="22"/>
          <w:highlight w:val="none"/>
          <w:lang w:val="en-US" w:eastAsia="zh-CN"/>
        </w:rPr>
        <w:t>比选</w:t>
      </w:r>
      <w:r>
        <w:rPr>
          <w:rFonts w:hint="eastAsia" w:ascii="宋体" w:hAnsi="宋体" w:eastAsia="宋体" w:cs="宋体"/>
          <w:b w:val="0"/>
          <w:bCs/>
          <w:color w:val="auto"/>
          <w:sz w:val="24"/>
          <w:szCs w:val="22"/>
          <w:highlight w:val="none"/>
          <w:lang w:eastAsia="zh-CN"/>
        </w:rPr>
        <w:t>代理服务费，</w:t>
      </w:r>
      <w:r>
        <w:rPr>
          <w:rFonts w:hint="eastAsia" w:cs="宋体"/>
          <w:b w:val="0"/>
          <w:bCs/>
          <w:color w:val="auto"/>
          <w:sz w:val="24"/>
          <w:szCs w:val="22"/>
          <w:highlight w:val="none"/>
          <w:lang w:val="en-US" w:eastAsia="zh-CN"/>
        </w:rPr>
        <w:t>比选</w:t>
      </w:r>
      <w:r>
        <w:rPr>
          <w:rFonts w:hint="eastAsia" w:ascii="宋体" w:hAnsi="宋体" w:eastAsia="宋体" w:cs="宋体"/>
          <w:b w:val="0"/>
          <w:bCs/>
          <w:color w:val="auto"/>
          <w:sz w:val="24"/>
          <w:szCs w:val="22"/>
          <w:highlight w:val="none"/>
          <w:lang w:eastAsia="zh-CN"/>
        </w:rPr>
        <w:t>代理服务费为</w:t>
      </w:r>
      <w:r>
        <w:rPr>
          <w:rFonts w:hint="eastAsia" w:ascii="宋体" w:hAnsi="宋体" w:eastAsia="宋体" w:cs="宋体"/>
          <w:b w:val="0"/>
          <w:bCs/>
          <w:color w:val="auto"/>
          <w:sz w:val="24"/>
          <w:szCs w:val="22"/>
          <w:highlight w:val="none"/>
          <w:lang w:val="en-US" w:eastAsia="zh-CN"/>
        </w:rPr>
        <w:t>5000</w:t>
      </w:r>
      <w:r>
        <w:rPr>
          <w:rFonts w:hint="eastAsia" w:ascii="宋体" w:hAnsi="宋体" w:eastAsia="宋体" w:cs="宋体"/>
          <w:b w:val="0"/>
          <w:bCs/>
          <w:color w:val="auto"/>
          <w:sz w:val="24"/>
          <w:szCs w:val="22"/>
          <w:highlight w:val="none"/>
          <w:lang w:eastAsia="zh-CN"/>
        </w:rPr>
        <w:t>元人民币。</w:t>
      </w:r>
      <w:bookmarkEnd w:id="241"/>
    </w:p>
    <w:bookmarkEnd w:id="242"/>
    <w:bookmarkEnd w:id="243"/>
    <w:p w14:paraId="65274B8C">
      <w:pPr>
        <w:pStyle w:val="4"/>
        <w:spacing w:line="400" w:lineRule="exact"/>
        <w:ind w:firstLine="482" w:firstLineChars="200"/>
        <w:rPr>
          <w:rFonts w:hint="eastAsia" w:ascii="宋体" w:hAnsi="宋体" w:eastAsia="宋体" w:cs="宋体"/>
          <w:b/>
          <w:color w:val="auto"/>
          <w:sz w:val="24"/>
          <w:szCs w:val="22"/>
          <w:highlight w:val="none"/>
          <w:lang w:eastAsia="zh-CN"/>
        </w:rPr>
      </w:pPr>
      <w:bookmarkStart w:id="245" w:name="_Toc18776"/>
      <w:r>
        <w:rPr>
          <w:rFonts w:hint="eastAsia" w:ascii="宋体" w:hAnsi="宋体" w:eastAsia="宋体" w:cs="宋体"/>
          <w:b/>
          <w:color w:val="auto"/>
          <w:sz w:val="24"/>
          <w:szCs w:val="22"/>
          <w:highlight w:val="none"/>
          <w:lang w:eastAsia="zh-CN"/>
        </w:rPr>
        <w:t>九、</w:t>
      </w:r>
      <w:bookmarkEnd w:id="240"/>
      <w:bookmarkStart w:id="246" w:name="_Toc594"/>
      <w:r>
        <w:rPr>
          <w:rFonts w:hint="eastAsia" w:ascii="宋体" w:hAnsi="宋体" w:eastAsia="宋体" w:cs="宋体"/>
          <w:b/>
          <w:color w:val="auto"/>
          <w:sz w:val="24"/>
          <w:szCs w:val="22"/>
          <w:highlight w:val="none"/>
          <w:lang w:eastAsia="zh-CN"/>
        </w:rPr>
        <w:t>签订合同</w:t>
      </w:r>
      <w:bookmarkEnd w:id="244"/>
      <w:bookmarkEnd w:id="245"/>
      <w:bookmarkEnd w:id="246"/>
    </w:p>
    <w:p w14:paraId="7FF42740">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w:t>
      </w:r>
      <w:r>
        <w:rPr>
          <w:rFonts w:hint="eastAsia" w:ascii="宋体" w:hAnsi="宋体" w:cs="宋体"/>
          <w:color w:val="auto"/>
          <w:sz w:val="24"/>
          <w:highlight w:val="none"/>
          <w:lang w:eastAsia="zh-CN"/>
        </w:rPr>
        <w:t>比选人</w:t>
      </w:r>
      <w:r>
        <w:rPr>
          <w:rFonts w:hint="eastAsia" w:ascii="宋体" w:hAnsi="宋体" w:cs="宋体"/>
          <w:color w:val="auto"/>
          <w:sz w:val="24"/>
          <w:highlight w:val="none"/>
        </w:rPr>
        <w:t>应当自</w:t>
      </w:r>
      <w:r>
        <w:rPr>
          <w:rFonts w:hint="eastAsia" w:ascii="宋体" w:hAnsi="宋体" w:cs="宋体"/>
          <w:color w:val="auto"/>
          <w:sz w:val="24"/>
          <w:highlight w:val="none"/>
          <w:lang w:eastAsia="zh-CN"/>
        </w:rPr>
        <w:t>中标通知书</w:t>
      </w:r>
      <w:r>
        <w:rPr>
          <w:rFonts w:hint="eastAsia" w:ascii="宋体" w:hAnsi="宋体" w:cs="宋体"/>
          <w:color w:val="auto"/>
          <w:sz w:val="24"/>
          <w:highlight w:val="none"/>
        </w:rPr>
        <w:t>发出之日起</w:t>
      </w:r>
      <w:r>
        <w:rPr>
          <w:rFonts w:hint="eastAsia" w:ascii="宋体" w:hAnsi="宋体" w:cs="宋体"/>
          <w:color w:val="auto"/>
          <w:sz w:val="24"/>
          <w:highlight w:val="none"/>
          <w:lang w:eastAsia="zh-CN"/>
        </w:rPr>
        <w:t>二</w:t>
      </w:r>
      <w:r>
        <w:rPr>
          <w:rFonts w:hint="eastAsia" w:ascii="宋体" w:hAnsi="宋体" w:cs="宋体"/>
          <w:color w:val="auto"/>
          <w:sz w:val="24"/>
          <w:highlight w:val="none"/>
        </w:rPr>
        <w:t>十日内，按照</w:t>
      </w:r>
      <w:r>
        <w:rPr>
          <w:rFonts w:hint="eastAsia" w:ascii="宋体" w:hAnsi="宋体" w:cs="宋体"/>
          <w:color w:val="auto"/>
          <w:sz w:val="24"/>
          <w:highlight w:val="none"/>
          <w:lang w:eastAsia="zh-CN"/>
        </w:rPr>
        <w:t>竞争性比选文件</w:t>
      </w:r>
      <w:r>
        <w:rPr>
          <w:rFonts w:hint="eastAsia" w:ascii="宋体" w:hAnsi="宋体" w:cs="宋体"/>
          <w:color w:val="auto"/>
          <w:sz w:val="24"/>
          <w:highlight w:val="none"/>
        </w:rPr>
        <w:t>和</w:t>
      </w:r>
      <w:r>
        <w:rPr>
          <w:rFonts w:hint="eastAsia" w:ascii="宋体" w:hAnsi="宋体" w:cs="宋体"/>
          <w:color w:val="auto"/>
          <w:sz w:val="24"/>
          <w:highlight w:val="none"/>
          <w:lang w:eastAsia="zh-CN"/>
        </w:rPr>
        <w:t>中标人的竞选文件</w:t>
      </w:r>
      <w:r>
        <w:rPr>
          <w:rFonts w:hint="eastAsia" w:ascii="宋体" w:hAnsi="宋体" w:cs="宋体"/>
          <w:color w:val="auto"/>
          <w:sz w:val="24"/>
          <w:highlight w:val="none"/>
        </w:rPr>
        <w:t>约定，与</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签订书面合同。所签订的合同不得对</w:t>
      </w:r>
      <w:r>
        <w:rPr>
          <w:rFonts w:hint="eastAsia" w:ascii="宋体" w:hAnsi="宋体" w:cs="宋体"/>
          <w:color w:val="auto"/>
          <w:sz w:val="24"/>
          <w:highlight w:val="none"/>
          <w:lang w:eastAsia="zh-CN"/>
        </w:rPr>
        <w:t>竞争性比选文件</w:t>
      </w:r>
      <w:r>
        <w:rPr>
          <w:rFonts w:hint="eastAsia" w:ascii="宋体" w:hAnsi="宋体" w:cs="宋体"/>
          <w:color w:val="auto"/>
          <w:sz w:val="24"/>
          <w:highlight w:val="none"/>
        </w:rPr>
        <w:t>和</w:t>
      </w:r>
      <w:r>
        <w:rPr>
          <w:rFonts w:hint="eastAsia" w:ascii="宋体" w:hAnsi="宋体" w:cs="宋体"/>
          <w:color w:val="auto"/>
          <w:sz w:val="24"/>
          <w:highlight w:val="none"/>
          <w:lang w:eastAsia="zh-CN"/>
        </w:rPr>
        <w:t>中标人的竞选文件</w:t>
      </w:r>
      <w:r>
        <w:rPr>
          <w:rFonts w:hint="eastAsia" w:ascii="宋体" w:hAnsi="宋体" w:cs="宋体"/>
          <w:color w:val="auto"/>
          <w:sz w:val="24"/>
          <w:highlight w:val="none"/>
        </w:rPr>
        <w:t>作实质性修改。</w:t>
      </w:r>
      <w:r>
        <w:rPr>
          <w:rFonts w:hint="eastAsia" w:ascii="宋体" w:hAnsi="宋体" w:cs="宋体"/>
          <w:sz w:val="24"/>
          <w:szCs w:val="24"/>
          <w:highlight w:val="none"/>
        </w:rPr>
        <w:t>其他未尽事宜由</w:t>
      </w:r>
      <w:r>
        <w:rPr>
          <w:rFonts w:hint="eastAsia" w:ascii="宋体" w:hAnsi="宋体" w:cs="宋体"/>
          <w:sz w:val="24"/>
          <w:szCs w:val="24"/>
          <w:highlight w:val="none"/>
          <w:lang w:eastAsia="zh-CN"/>
        </w:rPr>
        <w:t>比选</w:t>
      </w:r>
      <w:r>
        <w:rPr>
          <w:rFonts w:hint="eastAsia" w:ascii="宋体" w:hAnsi="宋体" w:cs="宋体"/>
          <w:sz w:val="24"/>
          <w:szCs w:val="24"/>
          <w:highlight w:val="none"/>
        </w:rPr>
        <w:t>人和</w:t>
      </w:r>
      <w:r>
        <w:rPr>
          <w:rFonts w:hint="eastAsia" w:ascii="宋体" w:hAnsi="宋体" w:cs="宋体"/>
          <w:sz w:val="24"/>
          <w:szCs w:val="24"/>
          <w:highlight w:val="none"/>
          <w:lang w:eastAsia="zh-CN"/>
        </w:rPr>
        <w:t>中标人</w:t>
      </w:r>
      <w:r>
        <w:rPr>
          <w:rFonts w:hint="eastAsia" w:ascii="宋体" w:hAnsi="宋体" w:cs="宋体"/>
          <w:sz w:val="24"/>
          <w:szCs w:val="24"/>
          <w:highlight w:val="none"/>
        </w:rPr>
        <w:t>在合同中详细约定。</w:t>
      </w:r>
    </w:p>
    <w:p w14:paraId="6987B179">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（二）发出</w:t>
      </w:r>
      <w:r>
        <w:rPr>
          <w:rFonts w:hint="eastAsia" w:ascii="宋体" w:hAnsi="宋体" w:cs="宋体"/>
          <w:color w:val="auto"/>
          <w:sz w:val="24"/>
          <w:highlight w:val="none"/>
          <w:lang w:eastAsia="zh-CN"/>
        </w:rPr>
        <w:t>中标通知书</w:t>
      </w:r>
      <w:r>
        <w:rPr>
          <w:rFonts w:hint="eastAsia" w:ascii="宋体" w:hAnsi="宋体" w:cs="宋体"/>
          <w:color w:val="auto"/>
          <w:sz w:val="24"/>
          <w:highlight w:val="none"/>
        </w:rPr>
        <w:t>后，因不可抗力或政府决议导致不能签订合同的，则免除</w:t>
      </w:r>
      <w:r>
        <w:rPr>
          <w:rFonts w:hint="eastAsia" w:ascii="宋体" w:hAnsi="宋体" w:cs="宋体"/>
          <w:color w:val="auto"/>
          <w:sz w:val="24"/>
          <w:highlight w:val="none"/>
          <w:lang w:eastAsia="zh-CN"/>
        </w:rPr>
        <w:t>比选人</w:t>
      </w:r>
      <w:r>
        <w:rPr>
          <w:rFonts w:hint="eastAsia" w:ascii="宋体" w:hAnsi="宋体" w:cs="宋体"/>
          <w:color w:val="auto"/>
          <w:sz w:val="24"/>
          <w:highlight w:val="none"/>
        </w:rPr>
        <w:t>赔偿责任。</w:t>
      </w:r>
    </w:p>
    <w:p w14:paraId="790CB382">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w:t>
      </w:r>
      <w:r>
        <w:rPr>
          <w:rFonts w:hint="eastAsia" w:ascii="宋体" w:hAnsi="宋体" w:cs="宋体"/>
          <w:color w:val="auto"/>
          <w:sz w:val="24"/>
          <w:highlight w:val="none"/>
          <w:lang w:eastAsia="zh-CN"/>
        </w:rPr>
        <w:t>竞争性比选文件</w:t>
      </w:r>
      <w:r>
        <w:rPr>
          <w:rFonts w:hint="eastAsia" w:ascii="宋体" w:hAnsi="宋体" w:cs="宋体"/>
          <w:color w:val="auto"/>
          <w:sz w:val="24"/>
          <w:highlight w:val="none"/>
        </w:rPr>
        <w:t>、</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的</w:t>
      </w:r>
      <w:r>
        <w:rPr>
          <w:rFonts w:hint="eastAsia" w:ascii="宋体" w:hAnsi="宋体" w:cs="宋体"/>
          <w:color w:val="auto"/>
          <w:sz w:val="24"/>
          <w:highlight w:val="none"/>
          <w:lang w:eastAsia="zh-CN"/>
        </w:rPr>
        <w:t>竞选文件</w:t>
      </w:r>
      <w:r>
        <w:rPr>
          <w:rFonts w:hint="eastAsia" w:ascii="宋体" w:hAnsi="宋体" w:cs="宋体"/>
          <w:color w:val="auto"/>
          <w:sz w:val="24"/>
          <w:highlight w:val="none"/>
        </w:rPr>
        <w:t>及澄清文件等，均为签订合同的依据。</w:t>
      </w:r>
    </w:p>
    <w:p w14:paraId="6EA63684">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（四）合同生效条款由供需双方约定，法律、行政法规规定应当办理批准、登记等手续后生效的合同，依照其规定。</w:t>
      </w:r>
    </w:p>
    <w:p w14:paraId="4C9EA897">
      <w:pPr>
        <w:pStyle w:val="3"/>
        <w:spacing w:before="0" w:beforeLines="0" w:after="0" w:afterLines="0" w:line="360" w:lineRule="auto"/>
        <w:rPr>
          <w:rFonts w:hint="eastAsia" w:ascii="宋体" w:hAnsi="宋体" w:eastAsia="宋体" w:cs="宋体"/>
          <w:color w:val="auto"/>
          <w:highlight w:val="none"/>
        </w:rPr>
        <w:sectPr>
          <w:headerReference r:id="rId8" w:type="default"/>
          <w:footerReference r:id="rId9" w:type="default"/>
          <w:pgSz w:w="11907" w:h="16840"/>
          <w:pgMar w:top="1134" w:right="1191" w:bottom="1134" w:left="1304" w:header="964" w:footer="992" w:gutter="0"/>
          <w:pgNumType w:fmt="decimal" w:start="1"/>
          <w:cols w:space="720" w:num="1"/>
          <w:docGrid w:linePitch="380" w:charSpace="-5735"/>
        </w:sectPr>
      </w:pPr>
      <w:r>
        <w:rPr>
          <w:rFonts w:hint="eastAsia" w:ascii="宋体" w:hAnsi="宋体" w:eastAsia="宋体" w:cs="宋体"/>
          <w:color w:val="auto"/>
          <w:highlight w:val="none"/>
        </w:rPr>
        <w:br w:type="page"/>
      </w:r>
    </w:p>
    <w:p w14:paraId="21E1AD6F">
      <w:pPr>
        <w:pStyle w:val="4"/>
        <w:spacing w:before="0" w:after="0" w:line="360" w:lineRule="auto"/>
        <w:jc w:val="center"/>
        <w:rPr>
          <w:rFonts w:hint="eastAsia" w:asciiTheme="minorEastAsia" w:hAnsiTheme="minorEastAsia" w:eastAsiaTheme="minorEastAsia" w:cstheme="minorEastAsia"/>
          <w:b w:val="0"/>
          <w:sz w:val="36"/>
          <w:szCs w:val="30"/>
          <w:highlight w:val="none"/>
          <w:lang w:eastAsia="zh-CN"/>
        </w:rPr>
      </w:pPr>
      <w:bookmarkStart w:id="247" w:name="_Toc76462348"/>
      <w:bookmarkStart w:id="248" w:name="_Toc6684"/>
      <w:bookmarkStart w:id="249" w:name="_Toc27150"/>
      <w:r>
        <w:rPr>
          <w:rFonts w:hint="eastAsia" w:asciiTheme="minorEastAsia" w:hAnsiTheme="minorEastAsia" w:eastAsiaTheme="minorEastAsia" w:cstheme="minorEastAsia"/>
          <w:b w:val="0"/>
          <w:sz w:val="36"/>
          <w:szCs w:val="30"/>
          <w:highlight w:val="none"/>
        </w:rPr>
        <w:t xml:space="preserve">第六篇  </w:t>
      </w:r>
      <w:r>
        <w:rPr>
          <w:rFonts w:hint="eastAsia" w:asciiTheme="minorEastAsia" w:hAnsiTheme="minorEastAsia" w:eastAsiaTheme="minorEastAsia" w:cstheme="minorEastAsia"/>
          <w:b w:val="0"/>
          <w:sz w:val="36"/>
          <w:szCs w:val="30"/>
          <w:highlight w:val="none"/>
          <w:lang w:val="en-US" w:eastAsia="zh-CN"/>
        </w:rPr>
        <w:t>项目</w:t>
      </w:r>
      <w:r>
        <w:rPr>
          <w:rFonts w:hint="eastAsia" w:asciiTheme="minorEastAsia" w:hAnsiTheme="minorEastAsia" w:eastAsiaTheme="minorEastAsia" w:cstheme="minorEastAsia"/>
          <w:b w:val="0"/>
          <w:sz w:val="36"/>
          <w:szCs w:val="30"/>
          <w:highlight w:val="none"/>
        </w:rPr>
        <w:t>合同</w:t>
      </w:r>
      <w:bookmarkEnd w:id="247"/>
      <w:r>
        <w:rPr>
          <w:rFonts w:hint="eastAsia" w:asciiTheme="minorEastAsia" w:hAnsiTheme="minorEastAsia" w:eastAsiaTheme="minorEastAsia" w:cstheme="minorEastAsia"/>
          <w:b w:val="0"/>
          <w:sz w:val="36"/>
          <w:szCs w:val="30"/>
          <w:highlight w:val="none"/>
          <w:lang w:eastAsia="zh-CN"/>
        </w:rPr>
        <w:t>（</w:t>
      </w:r>
      <w:r>
        <w:rPr>
          <w:rFonts w:hint="eastAsia" w:asciiTheme="minorEastAsia" w:hAnsiTheme="minorEastAsia" w:eastAsiaTheme="minorEastAsia" w:cstheme="minorEastAsia"/>
          <w:b w:val="0"/>
          <w:sz w:val="36"/>
          <w:szCs w:val="30"/>
          <w:highlight w:val="none"/>
          <w:lang w:val="en-US" w:eastAsia="zh-CN"/>
        </w:rPr>
        <w:t>模板</w:t>
      </w:r>
      <w:r>
        <w:rPr>
          <w:rFonts w:hint="eastAsia" w:asciiTheme="minorEastAsia" w:hAnsiTheme="minorEastAsia" w:eastAsiaTheme="minorEastAsia" w:cstheme="minorEastAsia"/>
          <w:b w:val="0"/>
          <w:sz w:val="36"/>
          <w:szCs w:val="30"/>
          <w:highlight w:val="none"/>
          <w:lang w:eastAsia="zh-CN"/>
        </w:rPr>
        <w:t>）</w:t>
      </w:r>
      <w:bookmarkEnd w:id="248"/>
      <w:bookmarkEnd w:id="249"/>
    </w:p>
    <w:p w14:paraId="1F8E89CE">
      <w:pPr>
        <w:spacing w:after="120"/>
        <w:rPr>
          <w:rFonts w:hint="eastAsia" w:asciiTheme="minorEastAsia" w:hAnsiTheme="minorEastAsia" w:eastAsiaTheme="minorEastAsia" w:cstheme="minorEastAsia"/>
          <w:sz w:val="24"/>
          <w:szCs w:val="24"/>
          <w:highlight w:val="none"/>
        </w:rPr>
      </w:pPr>
      <w:bookmarkStart w:id="250" w:name="_Hlt41879464"/>
      <w:bookmarkEnd w:id="250"/>
    </w:p>
    <w:p w14:paraId="1EDACC5B">
      <w:pPr>
        <w:rPr>
          <w:rFonts w:hint="eastAsia" w:asciiTheme="minorEastAsia" w:hAnsiTheme="minorEastAsia" w:eastAsiaTheme="minorEastAsia" w:cstheme="minorEastAsia"/>
          <w:sz w:val="21"/>
          <w:szCs w:val="24"/>
          <w:highlight w:val="none"/>
        </w:rPr>
      </w:pPr>
    </w:p>
    <w:p w14:paraId="77377F7E">
      <w:pPr>
        <w:spacing w:line="660" w:lineRule="exact"/>
        <w:jc w:val="both"/>
        <w:rPr>
          <w:rFonts w:hint="eastAsia" w:asciiTheme="minorEastAsia" w:hAnsiTheme="minorEastAsia" w:eastAsiaTheme="minorEastAsia" w:cstheme="minorEastAsia"/>
          <w:sz w:val="48"/>
          <w:szCs w:val="48"/>
          <w:highlight w:val="none"/>
        </w:rPr>
      </w:pPr>
    </w:p>
    <w:p w14:paraId="4E03A5DE">
      <w:pPr>
        <w:spacing w:line="660" w:lineRule="exact"/>
        <w:jc w:val="center"/>
        <w:rPr>
          <w:rFonts w:hint="eastAsia" w:asciiTheme="minorEastAsia" w:hAnsiTheme="minorEastAsia" w:eastAsiaTheme="minorEastAsia" w:cstheme="minorEastAsia"/>
          <w:highlight w:val="none"/>
        </w:rPr>
      </w:pPr>
    </w:p>
    <w:p w14:paraId="7161B377">
      <w:pPr>
        <w:spacing w:line="660" w:lineRule="exact"/>
        <w:jc w:val="center"/>
        <w:rPr>
          <w:rFonts w:hint="eastAsia" w:asciiTheme="minorEastAsia" w:hAnsiTheme="minorEastAsia" w:eastAsiaTheme="minorEastAsia" w:cstheme="minorEastAsia"/>
          <w:color w:val="000000"/>
          <w:szCs w:val="28"/>
          <w:highlight w:val="none"/>
        </w:rPr>
      </w:pPr>
    </w:p>
    <w:p w14:paraId="3901DE7E">
      <w:pPr>
        <w:spacing w:line="660" w:lineRule="exact"/>
        <w:jc w:val="center"/>
        <w:rPr>
          <w:rFonts w:hint="eastAsia" w:asciiTheme="minorEastAsia" w:hAnsiTheme="minorEastAsia" w:eastAsiaTheme="minorEastAsia" w:cstheme="minorEastAsia"/>
          <w:color w:val="000000"/>
          <w:szCs w:val="28"/>
          <w:highlight w:val="none"/>
        </w:rPr>
      </w:pPr>
    </w:p>
    <w:p w14:paraId="5DDBB4EF">
      <w:pPr>
        <w:spacing w:line="660" w:lineRule="exact"/>
        <w:jc w:val="center"/>
        <w:rPr>
          <w:rFonts w:hint="eastAsia" w:asciiTheme="minorEastAsia" w:hAnsiTheme="minorEastAsia" w:eastAsiaTheme="minorEastAsia" w:cstheme="minorEastAsia"/>
          <w:color w:val="000000"/>
          <w:sz w:val="52"/>
          <w:szCs w:val="52"/>
          <w:highlight w:val="none"/>
        </w:rPr>
      </w:pPr>
      <w:r>
        <w:rPr>
          <w:rFonts w:hint="eastAsia" w:asciiTheme="minorEastAsia" w:hAnsiTheme="minorEastAsia" w:eastAsiaTheme="minorEastAsia" w:cstheme="minorEastAsia"/>
          <w:color w:val="000000"/>
          <w:sz w:val="52"/>
          <w:szCs w:val="52"/>
          <w:highlight w:val="none"/>
        </w:rPr>
        <w:t>重庆中医药学院工程类合同</w:t>
      </w:r>
    </w:p>
    <w:p w14:paraId="76F14926">
      <w:pPr>
        <w:spacing w:line="660" w:lineRule="exact"/>
        <w:jc w:val="center"/>
        <w:rPr>
          <w:rFonts w:hint="eastAsia" w:asciiTheme="minorEastAsia" w:hAnsiTheme="minorEastAsia" w:eastAsiaTheme="minorEastAsia" w:cstheme="minorEastAsia"/>
          <w:color w:val="000000"/>
          <w:sz w:val="48"/>
          <w:szCs w:val="48"/>
          <w:highlight w:val="none"/>
        </w:rPr>
      </w:pPr>
    </w:p>
    <w:p w14:paraId="0A9844DC">
      <w:pPr>
        <w:spacing w:line="660" w:lineRule="exact"/>
        <w:jc w:val="center"/>
        <w:rPr>
          <w:rFonts w:hint="eastAsia" w:asciiTheme="minorEastAsia" w:hAnsiTheme="minorEastAsia" w:eastAsiaTheme="minorEastAsia" w:cstheme="minorEastAsia"/>
          <w:color w:val="000000"/>
          <w:szCs w:val="28"/>
          <w:highlight w:val="none"/>
        </w:rPr>
      </w:pPr>
    </w:p>
    <w:p w14:paraId="55D4E613">
      <w:pPr>
        <w:spacing w:line="660" w:lineRule="exact"/>
        <w:jc w:val="center"/>
        <w:rPr>
          <w:rFonts w:hint="eastAsia" w:asciiTheme="minorEastAsia" w:hAnsiTheme="minorEastAsia" w:eastAsiaTheme="minorEastAsia" w:cstheme="minorEastAsia"/>
          <w:color w:val="000000"/>
          <w:szCs w:val="28"/>
          <w:highlight w:val="none"/>
        </w:rPr>
      </w:pPr>
    </w:p>
    <w:p w14:paraId="1914EAD5">
      <w:pPr>
        <w:spacing w:line="660" w:lineRule="exact"/>
        <w:jc w:val="center"/>
        <w:rPr>
          <w:rFonts w:hint="eastAsia" w:asciiTheme="minorEastAsia" w:hAnsiTheme="minorEastAsia" w:eastAsiaTheme="minorEastAsia" w:cstheme="minorEastAsia"/>
          <w:color w:val="000000"/>
          <w:szCs w:val="28"/>
          <w:highlight w:val="none"/>
        </w:rPr>
      </w:pPr>
    </w:p>
    <w:p w14:paraId="2FCF18C4">
      <w:pPr>
        <w:spacing w:line="660" w:lineRule="exact"/>
        <w:jc w:val="center"/>
        <w:rPr>
          <w:rFonts w:hint="eastAsia" w:asciiTheme="minorEastAsia" w:hAnsiTheme="minorEastAsia" w:eastAsiaTheme="minorEastAsia" w:cstheme="minorEastAsia"/>
          <w:color w:val="000000"/>
          <w:szCs w:val="28"/>
          <w:highlight w:val="none"/>
        </w:rPr>
      </w:pPr>
    </w:p>
    <w:p w14:paraId="7ED0AF2A">
      <w:pPr>
        <w:spacing w:line="660" w:lineRule="exact"/>
        <w:ind w:left="700" w:leftChars="250" w:right="700" w:rightChars="250"/>
        <w:rPr>
          <w:rFonts w:hint="eastAsia" w:asciiTheme="minorEastAsia" w:hAnsiTheme="minorEastAsia" w:eastAsiaTheme="minorEastAsia" w:cstheme="minorEastAsia"/>
          <w:sz w:val="32"/>
          <w:szCs w:val="32"/>
          <w:highlight w:val="none"/>
          <w:u w:val="single"/>
        </w:rPr>
      </w:pPr>
      <w:r>
        <w:rPr>
          <w:rFonts w:hint="eastAsia" w:asciiTheme="minorEastAsia" w:hAnsiTheme="minorEastAsia" w:eastAsiaTheme="minorEastAsia" w:cstheme="minorEastAsia"/>
          <w:sz w:val="32"/>
          <w:szCs w:val="32"/>
          <w:highlight w:val="none"/>
        </w:rPr>
        <w:t>项 目 号：</w:t>
      </w:r>
      <w:r>
        <w:rPr>
          <w:rFonts w:hint="eastAsia" w:asciiTheme="minorEastAsia" w:hAnsiTheme="minorEastAsia" w:eastAsiaTheme="minorEastAsia" w:cstheme="minorEastAsia"/>
          <w:sz w:val="28"/>
          <w:szCs w:val="28"/>
          <w:highlight w:val="none"/>
          <w:u w:val="single"/>
        </w:rPr>
        <w:t xml:space="preserve">HYD-ZYY-068 </w:t>
      </w:r>
      <w:r>
        <w:rPr>
          <w:rFonts w:hint="eastAsia" w:asciiTheme="minorEastAsia" w:hAnsiTheme="minorEastAsia" w:eastAsiaTheme="minorEastAsia" w:cstheme="minorEastAsia"/>
          <w:sz w:val="28"/>
          <w:szCs w:val="28"/>
          <w:highlight w:val="none"/>
          <w:u w:val="single"/>
          <w:lang w:eastAsia="zh-CN"/>
        </w:rPr>
        <w:t>（HYD-（招）-咨字-2025-A068）</w:t>
      </w:r>
      <w:r>
        <w:rPr>
          <w:rFonts w:hint="eastAsia" w:asciiTheme="minorEastAsia" w:hAnsiTheme="minorEastAsia" w:eastAsiaTheme="minorEastAsia" w:cstheme="minorEastAsia"/>
          <w:sz w:val="28"/>
          <w:szCs w:val="28"/>
          <w:highlight w:val="none"/>
          <w:u w:val="single"/>
        </w:rPr>
        <w:t xml:space="preserve">   </w:t>
      </w:r>
    </w:p>
    <w:p w14:paraId="241E5FDC">
      <w:pPr>
        <w:spacing w:line="660" w:lineRule="exact"/>
        <w:ind w:left="2300" w:leftChars="250" w:right="700" w:rightChars="250" w:hanging="1600" w:hangingChars="500"/>
        <w:rPr>
          <w:rFonts w:hint="eastAsia" w:asciiTheme="minorEastAsia" w:hAnsiTheme="minorEastAsia" w:eastAsiaTheme="minorEastAsia" w:cstheme="minorEastAsia"/>
          <w:sz w:val="32"/>
          <w:szCs w:val="32"/>
          <w:highlight w:val="none"/>
          <w:u w:val="single"/>
        </w:rPr>
      </w:pPr>
      <w:r>
        <w:rPr>
          <w:rFonts w:hint="eastAsia" w:asciiTheme="minorEastAsia" w:hAnsiTheme="minorEastAsia" w:eastAsiaTheme="minorEastAsia" w:cstheme="minorEastAsia"/>
          <w:sz w:val="32"/>
          <w:szCs w:val="32"/>
          <w:highlight w:val="none"/>
        </w:rPr>
        <w:t>合同项目：</w:t>
      </w:r>
      <w:r>
        <w:rPr>
          <w:rFonts w:hint="eastAsia" w:asciiTheme="minorEastAsia" w:hAnsiTheme="minorEastAsia" w:eastAsiaTheme="minorEastAsia" w:cstheme="minorEastAsia"/>
          <w:sz w:val="32"/>
          <w:szCs w:val="32"/>
          <w:highlight w:val="none"/>
          <w:u w:val="single"/>
        </w:rPr>
        <w:t xml:space="preserve">重庆中医药学院南区学生食堂改造采购           </w:t>
      </w:r>
    </w:p>
    <w:p w14:paraId="5B877C2F">
      <w:pPr>
        <w:spacing w:line="660" w:lineRule="exact"/>
        <w:ind w:left="2300" w:leftChars="250" w:right="700" w:rightChars="250" w:hanging="1600" w:hangingChars="500"/>
        <w:rPr>
          <w:rFonts w:hint="eastAsia" w:asciiTheme="minorEastAsia" w:hAnsiTheme="minorEastAsia" w:eastAsiaTheme="minorEastAsia" w:cstheme="minorEastAsia"/>
          <w:sz w:val="32"/>
          <w:szCs w:val="32"/>
          <w:highlight w:val="none"/>
          <w:u w:val="single"/>
        </w:rPr>
      </w:pPr>
      <w:r>
        <w:rPr>
          <w:rFonts w:hint="eastAsia" w:asciiTheme="minorEastAsia" w:hAnsiTheme="minorEastAsia" w:eastAsiaTheme="minorEastAsia" w:cstheme="minorEastAsia"/>
          <w:sz w:val="32"/>
          <w:szCs w:val="32"/>
          <w:highlight w:val="none"/>
        </w:rPr>
        <w:t>合同金额：</w:t>
      </w:r>
      <w:r>
        <w:rPr>
          <w:rFonts w:hint="eastAsia" w:asciiTheme="minorEastAsia" w:hAnsiTheme="minorEastAsia" w:eastAsiaTheme="minorEastAsia" w:cstheme="minorEastAsia"/>
          <w:sz w:val="2"/>
          <w:szCs w:val="2"/>
          <w:highlight w:val="none"/>
        </w:rPr>
        <w:t xml:space="preserve"> </w:t>
      </w:r>
      <w:r>
        <w:rPr>
          <w:rFonts w:hint="eastAsia" w:asciiTheme="minorEastAsia" w:hAnsiTheme="minorEastAsia" w:eastAsiaTheme="minorEastAsia" w:cstheme="minorEastAsia"/>
          <w:sz w:val="32"/>
          <w:szCs w:val="32"/>
          <w:highlight w:val="none"/>
          <w:u w:val="single"/>
        </w:rPr>
        <w:t xml:space="preserve"> </w:t>
      </w:r>
      <w:bookmarkStart w:id="251" w:name="OLE_LINK11"/>
      <w:r>
        <w:rPr>
          <w:rFonts w:hint="eastAsia" w:asciiTheme="minorEastAsia" w:hAnsiTheme="minorEastAsia" w:eastAsiaTheme="minorEastAsia" w:cstheme="minorEastAsia"/>
          <w:sz w:val="32"/>
          <w:szCs w:val="32"/>
          <w:highlight w:val="none"/>
          <w:u w:val="single"/>
        </w:rPr>
        <w:t xml:space="preserve">  </w:t>
      </w:r>
      <w:bookmarkEnd w:id="251"/>
      <w:r>
        <w:rPr>
          <w:rFonts w:hint="eastAsia" w:asciiTheme="minorEastAsia" w:hAnsiTheme="minorEastAsia" w:eastAsiaTheme="minorEastAsia" w:cstheme="minorEastAsia"/>
          <w:sz w:val="32"/>
          <w:szCs w:val="32"/>
          <w:highlight w:val="none"/>
          <w:u w:val="single"/>
        </w:rPr>
        <w:t xml:space="preserve">                                       </w:t>
      </w:r>
    </w:p>
    <w:p w14:paraId="62FEF5E7">
      <w:pPr>
        <w:spacing w:line="660" w:lineRule="exact"/>
        <w:ind w:left="700" w:leftChars="250" w:right="700" w:rightChars="250"/>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经费科目：</w:t>
      </w:r>
      <w:r>
        <w:rPr>
          <w:rFonts w:hint="eastAsia" w:asciiTheme="minorEastAsia" w:hAnsiTheme="minorEastAsia" w:eastAsiaTheme="minorEastAsia" w:cstheme="minorEastAsia"/>
          <w:sz w:val="32"/>
          <w:szCs w:val="32"/>
          <w:highlight w:val="none"/>
          <w:u w:val="single"/>
        </w:rPr>
        <w:t xml:space="preserve">                                          </w:t>
      </w:r>
    </w:p>
    <w:p w14:paraId="175BBF0C">
      <w:pPr>
        <w:spacing w:line="660" w:lineRule="exact"/>
        <w:ind w:left="700" w:leftChars="250" w:right="700" w:rightChars="250"/>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甲    方：</w:t>
      </w:r>
      <w:r>
        <w:rPr>
          <w:rFonts w:hint="eastAsia" w:asciiTheme="minorEastAsia" w:hAnsiTheme="minorEastAsia" w:eastAsiaTheme="minorEastAsia" w:cstheme="minorEastAsia"/>
          <w:sz w:val="32"/>
          <w:szCs w:val="32"/>
          <w:highlight w:val="none"/>
          <w:u w:val="single"/>
        </w:rPr>
        <w:t xml:space="preserve">重庆中医药学院                            </w:t>
      </w:r>
    </w:p>
    <w:p w14:paraId="6AA6B80E">
      <w:pPr>
        <w:spacing w:line="660" w:lineRule="exact"/>
        <w:ind w:left="700" w:leftChars="250" w:right="700" w:rightChars="250"/>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乙    方：</w:t>
      </w:r>
      <w:r>
        <w:rPr>
          <w:rFonts w:hint="eastAsia" w:asciiTheme="minorEastAsia" w:hAnsiTheme="minorEastAsia" w:eastAsiaTheme="minorEastAsia" w:cstheme="minorEastAsia"/>
          <w:sz w:val="32"/>
          <w:szCs w:val="32"/>
          <w:highlight w:val="none"/>
          <w:u w:val="single"/>
        </w:rPr>
        <w:t xml:space="preserve">                                          </w:t>
      </w:r>
    </w:p>
    <w:p w14:paraId="246E9320">
      <w:pPr>
        <w:spacing w:line="660" w:lineRule="exact"/>
        <w:ind w:left="700" w:leftChars="250" w:right="700" w:rightChars="250"/>
        <w:rPr>
          <w:rFonts w:hint="eastAsia" w:asciiTheme="minorEastAsia" w:hAnsiTheme="minorEastAsia" w:eastAsiaTheme="minorEastAsia" w:cstheme="minorEastAsia"/>
          <w:sz w:val="32"/>
          <w:szCs w:val="32"/>
          <w:highlight w:val="none"/>
          <w:u w:val="single"/>
        </w:rPr>
      </w:pPr>
      <w:r>
        <w:rPr>
          <w:rFonts w:hint="eastAsia" w:asciiTheme="minorEastAsia" w:hAnsiTheme="minorEastAsia" w:eastAsiaTheme="minorEastAsia" w:cstheme="minorEastAsia"/>
          <w:sz w:val="32"/>
          <w:szCs w:val="32"/>
          <w:highlight w:val="none"/>
        </w:rPr>
        <w:t>合同编号：</w:t>
      </w:r>
      <w:r>
        <w:rPr>
          <w:rFonts w:hint="eastAsia" w:asciiTheme="minorEastAsia" w:hAnsiTheme="minorEastAsia" w:eastAsiaTheme="minorEastAsia" w:cstheme="minorEastAsia"/>
          <w:sz w:val="32"/>
          <w:szCs w:val="32"/>
          <w:highlight w:val="none"/>
          <w:u w:val="single"/>
        </w:rPr>
        <w:t xml:space="preserve">                                          </w:t>
      </w:r>
    </w:p>
    <w:p w14:paraId="09833730">
      <w:pPr>
        <w:spacing w:line="660" w:lineRule="exact"/>
        <w:ind w:left="700" w:leftChars="250" w:right="700" w:rightChars="250"/>
        <w:rPr>
          <w:rFonts w:hint="eastAsia" w:asciiTheme="minorEastAsia" w:hAnsiTheme="minorEastAsia" w:eastAsiaTheme="minorEastAsia" w:cstheme="minorEastAsia"/>
          <w:sz w:val="32"/>
          <w:szCs w:val="32"/>
          <w:highlight w:val="none"/>
          <w:u w:val="single"/>
        </w:rPr>
      </w:pPr>
      <w:r>
        <w:rPr>
          <w:rFonts w:hint="eastAsia" w:asciiTheme="minorEastAsia" w:hAnsiTheme="minorEastAsia" w:eastAsiaTheme="minorEastAsia" w:cstheme="minorEastAsia"/>
          <w:sz w:val="32"/>
          <w:szCs w:val="32"/>
          <w:highlight w:val="none"/>
        </w:rPr>
        <w:t>签订时间：</w:t>
      </w:r>
      <w:r>
        <w:rPr>
          <w:rFonts w:hint="eastAsia" w:asciiTheme="minorEastAsia" w:hAnsiTheme="minorEastAsia" w:eastAsiaTheme="minorEastAsia" w:cstheme="minorEastAsia"/>
          <w:sz w:val="32"/>
          <w:szCs w:val="32"/>
          <w:highlight w:val="none"/>
          <w:u w:val="single"/>
        </w:rPr>
        <w:t>202</w:t>
      </w:r>
      <w:r>
        <w:rPr>
          <w:rFonts w:hint="eastAsia" w:asciiTheme="minorEastAsia" w:hAnsiTheme="minorEastAsia" w:eastAsiaTheme="minorEastAsia" w:cstheme="minorEastAsia"/>
          <w:sz w:val="32"/>
          <w:szCs w:val="32"/>
          <w:highlight w:val="none"/>
          <w:u w:val="single"/>
          <w:lang w:val="en-US" w:eastAsia="zh-CN"/>
        </w:rPr>
        <w:t>5</w:t>
      </w:r>
      <w:r>
        <w:rPr>
          <w:rFonts w:hint="eastAsia" w:asciiTheme="minorEastAsia" w:hAnsiTheme="minorEastAsia" w:eastAsiaTheme="minorEastAsia" w:cstheme="minorEastAsia"/>
          <w:sz w:val="32"/>
          <w:szCs w:val="32"/>
          <w:highlight w:val="none"/>
          <w:u w:val="single"/>
        </w:rPr>
        <w:t xml:space="preserve">年   月   日                         </w:t>
      </w:r>
    </w:p>
    <w:p w14:paraId="45E314F5">
      <w:pPr>
        <w:spacing w:line="660" w:lineRule="exact"/>
        <w:rPr>
          <w:rFonts w:hint="eastAsia" w:asciiTheme="minorEastAsia" w:hAnsiTheme="minorEastAsia" w:eastAsiaTheme="minorEastAsia" w:cstheme="minorEastAsia"/>
          <w:color w:val="000000"/>
          <w:szCs w:val="28"/>
          <w:highlight w:val="none"/>
        </w:rPr>
      </w:pPr>
    </w:p>
    <w:p w14:paraId="3A0DBFDE">
      <w:pPr>
        <w:spacing w:line="660" w:lineRule="exact"/>
        <w:jc w:val="center"/>
        <w:rPr>
          <w:rFonts w:hint="eastAsia" w:asciiTheme="minorEastAsia" w:hAnsiTheme="minorEastAsia" w:eastAsiaTheme="minorEastAsia" w:cstheme="minorEastAsia"/>
          <w:color w:val="000000"/>
          <w:sz w:val="52"/>
          <w:szCs w:val="52"/>
          <w:highlight w:val="none"/>
        </w:rPr>
      </w:pPr>
      <w:r>
        <w:rPr>
          <w:rFonts w:hint="eastAsia" w:asciiTheme="minorEastAsia" w:hAnsiTheme="minorEastAsia" w:eastAsiaTheme="minorEastAsia" w:cstheme="minorEastAsia"/>
          <w:color w:val="000000"/>
          <w:sz w:val="52"/>
          <w:szCs w:val="52"/>
          <w:highlight w:val="none"/>
        </w:rPr>
        <w:t>施 工 合 同</w:t>
      </w:r>
    </w:p>
    <w:p w14:paraId="46A78A5E">
      <w:pPr>
        <w:spacing w:line="560" w:lineRule="exact"/>
        <w:rPr>
          <w:rFonts w:hint="eastAsia" w:asciiTheme="minorEastAsia" w:hAnsiTheme="minorEastAsia" w:eastAsiaTheme="minorEastAsia" w:cstheme="minorEastAsia"/>
          <w:color w:val="000000"/>
          <w:szCs w:val="28"/>
          <w:highlight w:val="none"/>
        </w:rPr>
      </w:pPr>
    </w:p>
    <w:p w14:paraId="53FC7012">
      <w:pPr>
        <w:pStyle w:val="5"/>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color w:val="000000"/>
          <w:kern w:val="0"/>
          <w:sz w:val="28"/>
          <w:szCs w:val="28"/>
          <w:highlight w:val="none"/>
        </w:rPr>
      </w:pPr>
      <w:bookmarkStart w:id="252" w:name="_Toc22070"/>
      <w:bookmarkStart w:id="253" w:name="_Toc2932"/>
      <w:bookmarkStart w:id="254" w:name="_Toc18930"/>
      <w:r>
        <w:rPr>
          <w:rFonts w:hint="eastAsia" w:asciiTheme="minorEastAsia" w:hAnsiTheme="minorEastAsia" w:eastAsiaTheme="minorEastAsia" w:cstheme="minorEastAsia"/>
          <w:b w:val="0"/>
          <w:color w:val="000000"/>
          <w:kern w:val="0"/>
          <w:sz w:val="28"/>
          <w:szCs w:val="28"/>
          <w:highlight w:val="none"/>
        </w:rPr>
        <w:t>甲      方：重庆中医药学院</w:t>
      </w:r>
      <w:bookmarkEnd w:id="252"/>
      <w:bookmarkEnd w:id="253"/>
      <w:bookmarkEnd w:id="254"/>
    </w:p>
    <w:p w14:paraId="7C81AC8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Cs w:val="28"/>
          <w:highlight w:val="none"/>
          <w:lang w:eastAsia="zh-CN"/>
        </w:rPr>
      </w:pPr>
      <w:r>
        <w:rPr>
          <w:rFonts w:hint="eastAsia" w:asciiTheme="minorEastAsia" w:hAnsiTheme="minorEastAsia" w:eastAsiaTheme="minorEastAsia" w:cstheme="minorEastAsia"/>
          <w:color w:val="000000"/>
          <w:kern w:val="0"/>
          <w:szCs w:val="28"/>
          <w:highlight w:val="none"/>
        </w:rPr>
        <w:t>法定代表人：</w:t>
      </w:r>
      <w:r>
        <w:rPr>
          <w:rFonts w:hint="eastAsia" w:asciiTheme="minorEastAsia" w:hAnsiTheme="minorEastAsia" w:eastAsiaTheme="minorEastAsia" w:cstheme="minorEastAsia"/>
          <w:color w:val="000000"/>
          <w:kern w:val="0"/>
          <w:szCs w:val="28"/>
          <w:highlight w:val="none"/>
          <w:lang w:eastAsia="zh-CN"/>
        </w:rPr>
        <w:t>王勇德</w:t>
      </w:r>
    </w:p>
    <w:p w14:paraId="30304C82">
      <w:pPr>
        <w:pStyle w:val="5"/>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color w:val="000000"/>
          <w:kern w:val="0"/>
          <w:sz w:val="28"/>
          <w:szCs w:val="28"/>
          <w:highlight w:val="none"/>
        </w:rPr>
      </w:pPr>
      <w:bookmarkStart w:id="255" w:name="_Toc2079"/>
      <w:bookmarkStart w:id="256" w:name="_Toc10850"/>
      <w:bookmarkStart w:id="257" w:name="_Toc8761"/>
      <w:r>
        <w:rPr>
          <w:rFonts w:hint="eastAsia" w:asciiTheme="minorEastAsia" w:hAnsiTheme="minorEastAsia" w:eastAsiaTheme="minorEastAsia" w:cstheme="minorEastAsia"/>
          <w:b w:val="0"/>
          <w:color w:val="000000"/>
          <w:kern w:val="0"/>
          <w:sz w:val="28"/>
          <w:szCs w:val="28"/>
          <w:highlight w:val="none"/>
        </w:rPr>
        <w:t>住  所  地：重庆市璧山区璧城街道国学路61号</w:t>
      </w:r>
      <w:bookmarkEnd w:id="255"/>
      <w:bookmarkEnd w:id="256"/>
      <w:bookmarkEnd w:id="257"/>
    </w:p>
    <w:p w14:paraId="43E6722E">
      <w:pPr>
        <w:keepNext w:val="0"/>
        <w:keepLines w:val="0"/>
        <w:pageBreakBefore w:val="0"/>
        <w:widowControl w:val="0"/>
        <w:kinsoku/>
        <w:wordWrap/>
        <w:overflowPunct/>
        <w:topLinePunct w:val="0"/>
        <w:autoSpaceDE/>
        <w:autoSpaceDN/>
        <w:bidi w:val="0"/>
        <w:adjustRightInd/>
        <w:snapToGrid/>
        <w:spacing w:line="480" w:lineRule="exact"/>
        <w:ind w:right="414" w:rightChars="148"/>
        <w:textAlignment w:val="auto"/>
        <w:rPr>
          <w:rFonts w:hint="eastAsia" w:asciiTheme="minorEastAsia" w:hAnsiTheme="minorEastAsia" w:eastAsiaTheme="minorEastAsia" w:cstheme="minorEastAsia"/>
          <w:color w:val="000000"/>
          <w:kern w:val="0"/>
          <w:szCs w:val="28"/>
          <w:highlight w:val="none"/>
        </w:rPr>
      </w:pPr>
      <w:r>
        <w:rPr>
          <w:rFonts w:hint="eastAsia" w:asciiTheme="minorEastAsia" w:hAnsiTheme="minorEastAsia" w:eastAsiaTheme="minorEastAsia" w:cstheme="minorEastAsia"/>
          <w:color w:val="000000"/>
          <w:kern w:val="0"/>
          <w:szCs w:val="28"/>
          <w:highlight w:val="none"/>
        </w:rPr>
        <w:t>乙      方：</w:t>
      </w:r>
    </w:p>
    <w:p w14:paraId="78EDB980">
      <w:pPr>
        <w:keepNext w:val="0"/>
        <w:keepLines w:val="0"/>
        <w:pageBreakBefore w:val="0"/>
        <w:widowControl w:val="0"/>
        <w:kinsoku/>
        <w:wordWrap/>
        <w:overflowPunct/>
        <w:topLinePunct w:val="0"/>
        <w:autoSpaceDE/>
        <w:autoSpaceDN/>
        <w:bidi w:val="0"/>
        <w:adjustRightInd/>
        <w:snapToGrid/>
        <w:spacing w:line="480" w:lineRule="exact"/>
        <w:ind w:right="414" w:rightChars="148"/>
        <w:textAlignment w:val="auto"/>
        <w:rPr>
          <w:rFonts w:hint="eastAsia" w:asciiTheme="minorEastAsia" w:hAnsiTheme="minorEastAsia" w:eastAsiaTheme="minorEastAsia" w:cstheme="minorEastAsia"/>
          <w:color w:val="000000"/>
          <w:kern w:val="0"/>
          <w:szCs w:val="28"/>
          <w:highlight w:val="none"/>
        </w:rPr>
      </w:pPr>
      <w:r>
        <w:rPr>
          <w:rFonts w:hint="eastAsia" w:asciiTheme="minorEastAsia" w:hAnsiTheme="minorEastAsia" w:eastAsiaTheme="minorEastAsia" w:cstheme="minorEastAsia"/>
          <w:color w:val="000000"/>
          <w:kern w:val="0"/>
          <w:szCs w:val="28"/>
          <w:highlight w:val="none"/>
        </w:rPr>
        <w:t>法定代表人：</w:t>
      </w:r>
    </w:p>
    <w:p w14:paraId="6DC40419">
      <w:pPr>
        <w:keepNext w:val="0"/>
        <w:keepLines w:val="0"/>
        <w:pageBreakBefore w:val="0"/>
        <w:widowControl w:val="0"/>
        <w:kinsoku/>
        <w:wordWrap/>
        <w:overflowPunct/>
        <w:topLinePunct w:val="0"/>
        <w:autoSpaceDE/>
        <w:autoSpaceDN/>
        <w:bidi w:val="0"/>
        <w:adjustRightInd/>
        <w:snapToGrid/>
        <w:spacing w:line="480" w:lineRule="exact"/>
        <w:ind w:right="414" w:rightChars="148"/>
        <w:textAlignment w:val="auto"/>
        <w:rPr>
          <w:rFonts w:hint="eastAsia" w:asciiTheme="minorEastAsia" w:hAnsiTheme="minorEastAsia" w:eastAsiaTheme="minorEastAsia" w:cstheme="minorEastAsia"/>
          <w:color w:val="000000"/>
          <w:kern w:val="0"/>
          <w:szCs w:val="28"/>
          <w:highlight w:val="none"/>
        </w:rPr>
      </w:pPr>
      <w:r>
        <w:rPr>
          <w:rFonts w:hint="eastAsia" w:asciiTheme="minorEastAsia" w:hAnsiTheme="minorEastAsia" w:eastAsiaTheme="minorEastAsia" w:cstheme="minorEastAsia"/>
          <w:color w:val="000000"/>
          <w:kern w:val="0"/>
          <w:szCs w:val="28"/>
          <w:highlight w:val="none"/>
        </w:rPr>
        <w:t>住  所  地：</w:t>
      </w:r>
    </w:p>
    <w:p w14:paraId="4DB6A648">
      <w:pPr>
        <w:spacing w:line="560" w:lineRule="exac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bCs/>
          <w:color w:val="000000"/>
          <w:szCs w:val="28"/>
          <w:highlight w:val="none"/>
        </w:rPr>
        <w:t xml:space="preserve">    </w:t>
      </w:r>
      <w:r>
        <w:rPr>
          <w:rFonts w:hint="eastAsia" w:asciiTheme="minorEastAsia" w:hAnsiTheme="minorEastAsia" w:eastAsiaTheme="minorEastAsia" w:cstheme="minorEastAsia"/>
          <w:szCs w:val="28"/>
          <w:highlight w:val="none"/>
        </w:rPr>
        <w:t>根据</w:t>
      </w:r>
      <w:r>
        <w:rPr>
          <w:rFonts w:hint="eastAsia" w:asciiTheme="minorEastAsia" w:hAnsiTheme="minorEastAsia" w:eastAsiaTheme="minorEastAsia" w:cstheme="minorEastAsia"/>
          <w:szCs w:val="28"/>
          <w:highlight w:val="none"/>
          <w:u w:val="single"/>
        </w:rPr>
        <w:t xml:space="preserve">  HYD-（招）-咨字-2025-A068 </w:t>
      </w:r>
      <w:r>
        <w:rPr>
          <w:rFonts w:hint="eastAsia" w:asciiTheme="minorEastAsia" w:hAnsiTheme="minorEastAsia" w:eastAsiaTheme="minorEastAsia" w:cstheme="minorEastAsia"/>
          <w:szCs w:val="28"/>
          <w:highlight w:val="none"/>
        </w:rPr>
        <w:t>号招标项目的投标结果，由乙方为中标方。依照《</w:t>
      </w:r>
      <w:r>
        <w:rPr>
          <w:rFonts w:hint="eastAsia" w:asciiTheme="minorEastAsia" w:hAnsiTheme="minorEastAsia" w:eastAsiaTheme="minorEastAsia" w:cstheme="minorEastAsia"/>
          <w:color w:val="000000"/>
          <w:szCs w:val="28"/>
          <w:highlight w:val="none"/>
        </w:rPr>
        <w:t>中华人民共和国民法典》、《中华人民共和国建筑法》及其他有关法律、行政法规，遵循平等、自愿、公平和诚实信用的原则，双方就工程建设施工事项协商一致，订立本合同。</w:t>
      </w:r>
    </w:p>
    <w:p w14:paraId="3F951966">
      <w:pPr>
        <w:spacing w:line="560" w:lineRule="exact"/>
        <w:ind w:firstLine="560" w:firstLineChars="200"/>
        <w:contextualSpacing/>
        <w:outlineLvl w:val="1"/>
        <w:rPr>
          <w:rFonts w:hint="eastAsia" w:asciiTheme="minorEastAsia" w:hAnsiTheme="minorEastAsia" w:eastAsiaTheme="minorEastAsia" w:cstheme="minorEastAsia"/>
          <w:color w:val="000000"/>
          <w:szCs w:val="28"/>
          <w:highlight w:val="none"/>
        </w:rPr>
      </w:pPr>
      <w:bookmarkStart w:id="258" w:name="_Toc16580"/>
      <w:r>
        <w:rPr>
          <w:rFonts w:hint="eastAsia" w:asciiTheme="minorEastAsia" w:hAnsiTheme="minorEastAsia" w:eastAsiaTheme="minorEastAsia" w:cstheme="minorEastAsia"/>
          <w:color w:val="000000"/>
          <w:szCs w:val="28"/>
          <w:highlight w:val="none"/>
        </w:rPr>
        <w:t>一、工程概况</w:t>
      </w:r>
      <w:bookmarkEnd w:id="258"/>
    </w:p>
    <w:p w14:paraId="0A47852E">
      <w:pPr>
        <w:spacing w:line="560" w:lineRule="exact"/>
        <w:ind w:firstLine="560" w:firstLineChars="200"/>
        <w:rPr>
          <w:rFonts w:hint="eastAsia" w:asciiTheme="minorEastAsia" w:hAnsiTheme="minorEastAsia" w:eastAsiaTheme="minorEastAsia" w:cstheme="minorEastAsia"/>
          <w:color w:val="000000"/>
          <w:szCs w:val="28"/>
          <w:highlight w:val="none"/>
          <w:u w:val="single"/>
        </w:rPr>
      </w:pPr>
      <w:r>
        <w:rPr>
          <w:rFonts w:hint="eastAsia" w:asciiTheme="minorEastAsia" w:hAnsiTheme="minorEastAsia" w:eastAsiaTheme="minorEastAsia" w:cstheme="minorEastAsia"/>
          <w:color w:val="000000"/>
          <w:szCs w:val="28"/>
          <w:highlight w:val="none"/>
        </w:rPr>
        <w:t>1. 工程名称：</w:t>
      </w:r>
      <w:r>
        <w:rPr>
          <w:rFonts w:hint="eastAsia" w:asciiTheme="minorEastAsia" w:hAnsiTheme="minorEastAsia" w:eastAsiaTheme="minorEastAsia" w:cstheme="minorEastAsia"/>
          <w:color w:val="000000"/>
          <w:szCs w:val="28"/>
          <w:highlight w:val="none"/>
          <w:u w:val="single"/>
        </w:rPr>
        <w:t xml:space="preserve">重庆中医药学院南区学生食堂改造采购       </w:t>
      </w:r>
    </w:p>
    <w:p w14:paraId="26BBBAE5">
      <w:pPr>
        <w:spacing w:line="560" w:lineRule="exact"/>
        <w:ind w:firstLine="560" w:firstLineChars="200"/>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2. 工程地点：</w:t>
      </w:r>
      <w:r>
        <w:rPr>
          <w:rFonts w:hint="eastAsia" w:asciiTheme="minorEastAsia" w:hAnsiTheme="minorEastAsia" w:eastAsiaTheme="minorEastAsia" w:cstheme="minorEastAsia"/>
          <w:color w:val="000000"/>
          <w:szCs w:val="28"/>
          <w:highlight w:val="none"/>
          <w:u w:val="single"/>
        </w:rPr>
        <w:t>重庆中医药学院（重庆市璧山区黛山大道以东）</w:t>
      </w:r>
    </w:p>
    <w:p w14:paraId="686D1BED">
      <w:pPr>
        <w:spacing w:line="560" w:lineRule="exact"/>
        <w:ind w:firstLine="560" w:firstLineChars="200"/>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3. 工程内容：</w:t>
      </w:r>
      <w:r>
        <w:rPr>
          <w:rFonts w:hint="eastAsia" w:asciiTheme="minorEastAsia" w:hAnsiTheme="minorEastAsia" w:eastAsiaTheme="minorEastAsia" w:cstheme="minorEastAsia"/>
          <w:color w:val="000000"/>
          <w:szCs w:val="28"/>
          <w:highlight w:val="none"/>
          <w:u w:val="single"/>
        </w:rPr>
        <w:t>本项目主要内容包括但不限于拆除工程、土建工程、安装工程、装饰工程、给排水工程、设备采购等内容</w:t>
      </w:r>
      <w:r>
        <w:rPr>
          <w:rFonts w:hint="eastAsia" w:asciiTheme="minorEastAsia" w:hAnsiTheme="minorEastAsia" w:eastAsiaTheme="minorEastAsia" w:cstheme="minorEastAsia"/>
          <w:color w:val="000000"/>
          <w:szCs w:val="28"/>
          <w:highlight w:val="none"/>
          <w:u w:val="single"/>
          <w:lang w:eastAsia="zh-CN"/>
        </w:rPr>
        <w:t>。</w:t>
      </w:r>
    </w:p>
    <w:p w14:paraId="47CAF4A7">
      <w:pPr>
        <w:spacing w:line="560" w:lineRule="exact"/>
        <w:ind w:firstLine="560" w:firstLineChars="200"/>
        <w:contextualSpacing/>
        <w:outlineLvl w:val="1"/>
        <w:rPr>
          <w:rFonts w:hint="eastAsia" w:asciiTheme="minorEastAsia" w:hAnsiTheme="minorEastAsia" w:eastAsiaTheme="minorEastAsia" w:cstheme="minorEastAsia"/>
          <w:color w:val="000000"/>
          <w:szCs w:val="28"/>
          <w:highlight w:val="none"/>
        </w:rPr>
      </w:pPr>
      <w:bookmarkStart w:id="259" w:name="_Toc9753"/>
      <w:r>
        <w:rPr>
          <w:rFonts w:hint="eastAsia" w:asciiTheme="minorEastAsia" w:hAnsiTheme="minorEastAsia" w:eastAsiaTheme="minorEastAsia" w:cstheme="minorEastAsia"/>
          <w:color w:val="000000"/>
          <w:szCs w:val="28"/>
          <w:highlight w:val="none"/>
        </w:rPr>
        <w:t>二、合同工期及质量标准</w:t>
      </w:r>
      <w:bookmarkEnd w:id="259"/>
    </w:p>
    <w:p w14:paraId="3A4AB009">
      <w:pPr>
        <w:spacing w:line="560" w:lineRule="exact"/>
        <w:ind w:firstLine="560" w:firstLineChars="200"/>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合同工期：合同签订后</w:t>
      </w:r>
      <w:r>
        <w:rPr>
          <w:rFonts w:hint="eastAsia" w:asciiTheme="minorEastAsia" w:hAnsiTheme="minorEastAsia" w:eastAsiaTheme="minorEastAsia" w:cstheme="minorEastAsia"/>
          <w:color w:val="000000"/>
          <w:szCs w:val="28"/>
          <w:highlight w:val="none"/>
          <w:u w:val="single"/>
        </w:rPr>
        <w:t xml:space="preserve">  </w:t>
      </w:r>
      <w:r>
        <w:rPr>
          <w:rFonts w:hint="eastAsia" w:asciiTheme="minorEastAsia" w:hAnsiTheme="minorEastAsia" w:eastAsiaTheme="minorEastAsia" w:cstheme="minorEastAsia"/>
          <w:color w:val="000000"/>
          <w:szCs w:val="28"/>
          <w:highlight w:val="none"/>
          <w:u w:val="single"/>
          <w:lang w:val="en-US" w:eastAsia="zh-CN"/>
        </w:rPr>
        <w:t>15</w:t>
      </w:r>
      <w:r>
        <w:rPr>
          <w:rFonts w:hint="eastAsia" w:asciiTheme="minorEastAsia" w:hAnsiTheme="minorEastAsia" w:eastAsiaTheme="minorEastAsia" w:cstheme="minorEastAsia"/>
          <w:color w:val="000000"/>
          <w:szCs w:val="28"/>
          <w:highlight w:val="none"/>
          <w:u w:val="single"/>
        </w:rPr>
        <w:t xml:space="preserve"> 个</w:t>
      </w:r>
      <w:r>
        <w:rPr>
          <w:rFonts w:hint="eastAsia" w:asciiTheme="minorEastAsia" w:hAnsiTheme="minorEastAsia" w:eastAsiaTheme="minorEastAsia" w:cstheme="minorEastAsia"/>
          <w:color w:val="000000"/>
          <w:szCs w:val="28"/>
          <w:highlight w:val="none"/>
          <w:lang w:val="zh-TW"/>
        </w:rPr>
        <w:t>日历天。缺陷责任期：24个月。</w:t>
      </w:r>
    </w:p>
    <w:p w14:paraId="04C70FA2">
      <w:pPr>
        <w:autoSpaceDE w:val="0"/>
        <w:autoSpaceDN w:val="0"/>
        <w:adjustRightInd w:val="0"/>
        <w:snapToGrid w:val="0"/>
        <w:spacing w:line="560" w:lineRule="exact"/>
        <w:ind w:firstLine="560" w:firstLineChars="200"/>
        <w:rPr>
          <w:rFonts w:hint="eastAsia" w:asciiTheme="minorEastAsia" w:hAnsiTheme="minorEastAsia" w:eastAsiaTheme="minorEastAsia" w:cstheme="minorEastAsia"/>
          <w:color w:val="000000"/>
          <w:szCs w:val="28"/>
          <w:highlight w:val="none"/>
          <w:u w:val="single"/>
          <w:shd w:val="clear" w:color="auto" w:fill="FFFFFF"/>
        </w:rPr>
      </w:pPr>
      <w:r>
        <w:rPr>
          <w:rFonts w:hint="eastAsia" w:asciiTheme="minorEastAsia" w:hAnsiTheme="minorEastAsia" w:eastAsiaTheme="minorEastAsia" w:cstheme="minorEastAsia"/>
          <w:color w:val="000000"/>
          <w:szCs w:val="28"/>
          <w:highlight w:val="none"/>
        </w:rPr>
        <w:t>质量标准：工程质量</w:t>
      </w:r>
      <w:r>
        <w:rPr>
          <w:rFonts w:hint="eastAsia" w:asciiTheme="minorEastAsia" w:hAnsiTheme="minorEastAsia" w:eastAsiaTheme="minorEastAsia" w:cstheme="minorEastAsia"/>
          <w:szCs w:val="28"/>
          <w:highlight w:val="none"/>
        </w:rPr>
        <w:t>符合国家和重庆市现行有关施工质量验收规范和标准要求，并达到合格标准。</w:t>
      </w:r>
    </w:p>
    <w:p w14:paraId="268E15BE">
      <w:pPr>
        <w:spacing w:line="560" w:lineRule="exact"/>
        <w:ind w:firstLine="560" w:firstLineChars="200"/>
        <w:contextualSpacing/>
        <w:outlineLvl w:val="1"/>
        <w:rPr>
          <w:rFonts w:hint="eastAsia" w:asciiTheme="minorEastAsia" w:hAnsiTheme="minorEastAsia" w:eastAsiaTheme="minorEastAsia" w:cstheme="minorEastAsia"/>
          <w:color w:val="000000"/>
          <w:szCs w:val="28"/>
          <w:highlight w:val="none"/>
        </w:rPr>
      </w:pPr>
      <w:bookmarkStart w:id="260" w:name="_Toc4798"/>
      <w:r>
        <w:rPr>
          <w:rFonts w:hint="eastAsia" w:asciiTheme="minorEastAsia" w:hAnsiTheme="minorEastAsia" w:eastAsiaTheme="minorEastAsia" w:cstheme="minorEastAsia"/>
          <w:color w:val="000000"/>
          <w:szCs w:val="28"/>
          <w:highlight w:val="none"/>
        </w:rPr>
        <w:t>三、履约担保</w:t>
      </w:r>
      <w:bookmarkEnd w:id="260"/>
    </w:p>
    <w:p w14:paraId="7B11FD34">
      <w:pPr>
        <w:spacing w:line="560" w:lineRule="exact"/>
        <w:ind w:firstLine="560" w:firstLineChars="200"/>
        <w:rPr>
          <w:rFonts w:hint="eastAsia" w:asciiTheme="minorEastAsia" w:hAnsiTheme="minorEastAsia" w:eastAsiaTheme="minorEastAsia" w:cstheme="minorEastAsia"/>
          <w:color w:val="000000"/>
          <w:szCs w:val="28"/>
          <w:highlight w:val="none"/>
          <w:u w:val="single"/>
          <w:shd w:val="clear" w:color="auto" w:fill="FFFFFF"/>
        </w:rPr>
      </w:pPr>
      <w:r>
        <w:rPr>
          <w:rFonts w:hint="eastAsia" w:asciiTheme="minorEastAsia" w:hAnsiTheme="minorEastAsia" w:eastAsiaTheme="minorEastAsia" w:cstheme="minorEastAsia"/>
          <w:color w:val="000000"/>
          <w:szCs w:val="28"/>
          <w:highlight w:val="none"/>
          <w:u w:val="single"/>
          <w:shd w:val="clear" w:color="auto" w:fill="FFFFFF"/>
        </w:rPr>
        <w:t>1. 履约担保的形式：履约保证金。</w:t>
      </w:r>
    </w:p>
    <w:p w14:paraId="3DEB2855">
      <w:pPr>
        <w:spacing w:line="560" w:lineRule="exact"/>
        <w:ind w:firstLine="560" w:firstLineChars="200"/>
        <w:rPr>
          <w:rFonts w:hint="eastAsia" w:asciiTheme="minorEastAsia" w:hAnsiTheme="minorEastAsia" w:eastAsiaTheme="minorEastAsia" w:cstheme="minorEastAsia"/>
          <w:color w:val="000000"/>
          <w:szCs w:val="28"/>
          <w:highlight w:val="none"/>
          <w:u w:val="single"/>
          <w:shd w:val="clear" w:color="auto" w:fill="FFFFFF"/>
        </w:rPr>
      </w:pPr>
      <w:r>
        <w:rPr>
          <w:rFonts w:hint="eastAsia" w:asciiTheme="minorEastAsia" w:hAnsiTheme="minorEastAsia" w:eastAsiaTheme="minorEastAsia" w:cstheme="minorEastAsia"/>
          <w:color w:val="000000"/>
          <w:szCs w:val="28"/>
          <w:highlight w:val="none"/>
          <w:u w:val="single"/>
          <w:shd w:val="clear" w:color="auto" w:fill="FFFFFF"/>
        </w:rPr>
        <w:t>2. 履约保证金金额：</w:t>
      </w:r>
      <w:r>
        <w:rPr>
          <w:rFonts w:hint="eastAsia" w:asciiTheme="minorEastAsia" w:hAnsiTheme="minorEastAsia" w:eastAsiaTheme="minorEastAsia" w:cstheme="minorEastAsia"/>
          <w:color w:val="000000"/>
          <w:szCs w:val="28"/>
          <w:highlight w:val="none"/>
          <w:u w:val="single"/>
          <w:shd w:val="clear" w:color="auto" w:fill="FFFFFF"/>
          <w:lang w:val="en-US" w:eastAsia="zh-CN"/>
        </w:rPr>
        <w:t>暂定</w:t>
      </w:r>
      <w:r>
        <w:rPr>
          <w:rFonts w:hint="eastAsia" w:asciiTheme="minorEastAsia" w:hAnsiTheme="minorEastAsia" w:eastAsiaTheme="minorEastAsia" w:cstheme="minorEastAsia"/>
          <w:color w:val="000000"/>
          <w:szCs w:val="28"/>
          <w:highlight w:val="none"/>
          <w:u w:val="single"/>
          <w:shd w:val="clear" w:color="auto" w:fill="FFFFFF"/>
        </w:rPr>
        <w:t>合同金额</w:t>
      </w:r>
      <w:r>
        <w:rPr>
          <w:rFonts w:hint="eastAsia" w:asciiTheme="minorEastAsia" w:hAnsiTheme="minorEastAsia" w:eastAsiaTheme="minorEastAsia" w:cstheme="minorEastAsia"/>
          <w:color w:val="000000"/>
          <w:szCs w:val="28"/>
          <w:highlight w:val="none"/>
          <w:u w:val="single"/>
          <w:shd w:val="clear" w:color="auto" w:fill="FFFFFF"/>
          <w:lang w:eastAsia="zh-CN"/>
        </w:rPr>
        <w:t>（</w:t>
      </w:r>
      <w:r>
        <w:rPr>
          <w:rFonts w:hint="eastAsia" w:asciiTheme="minorEastAsia" w:hAnsiTheme="minorEastAsia" w:eastAsiaTheme="minorEastAsia" w:cstheme="minorEastAsia"/>
          <w:color w:val="000000"/>
          <w:szCs w:val="28"/>
          <w:highlight w:val="none"/>
          <w:u w:val="single"/>
          <w:shd w:val="clear" w:color="auto" w:fill="FFFFFF"/>
          <w:lang w:val="en-US" w:eastAsia="zh-CN"/>
        </w:rPr>
        <w:t>45万元×成交取费比率</w:t>
      </w:r>
      <w:r>
        <w:rPr>
          <w:rFonts w:hint="eastAsia" w:asciiTheme="minorEastAsia" w:hAnsiTheme="minorEastAsia" w:eastAsiaTheme="minorEastAsia" w:cstheme="minorEastAsia"/>
          <w:color w:val="000000"/>
          <w:szCs w:val="28"/>
          <w:highlight w:val="none"/>
          <w:u w:val="single"/>
          <w:shd w:val="clear" w:color="auto" w:fill="FFFFFF"/>
          <w:lang w:eastAsia="zh-CN"/>
        </w:rPr>
        <w:t>）的</w:t>
      </w:r>
      <w:r>
        <w:rPr>
          <w:rFonts w:hint="eastAsia" w:asciiTheme="minorEastAsia" w:hAnsiTheme="minorEastAsia" w:eastAsiaTheme="minorEastAsia" w:cstheme="minorEastAsia"/>
          <w:color w:val="000000"/>
          <w:szCs w:val="28"/>
          <w:highlight w:val="none"/>
          <w:u w:val="single"/>
          <w:shd w:val="clear" w:color="auto" w:fill="FFFFFF"/>
          <w:lang w:val="en-US" w:eastAsia="zh-CN"/>
        </w:rPr>
        <w:t xml:space="preserve"> </w:t>
      </w:r>
      <w:r>
        <w:rPr>
          <w:rFonts w:hint="eastAsia" w:asciiTheme="minorEastAsia" w:hAnsiTheme="minorEastAsia" w:eastAsiaTheme="minorEastAsia" w:cstheme="minorEastAsia"/>
          <w:color w:val="000000"/>
          <w:szCs w:val="28"/>
          <w:highlight w:val="none"/>
          <w:u w:val="single"/>
          <w:shd w:val="clear" w:color="auto" w:fill="FFFFFF"/>
        </w:rPr>
        <w:t>10%。</w:t>
      </w:r>
    </w:p>
    <w:p w14:paraId="454A7B67">
      <w:pPr>
        <w:spacing w:line="560" w:lineRule="exact"/>
        <w:ind w:firstLine="560" w:firstLineChars="200"/>
        <w:rPr>
          <w:rFonts w:hint="eastAsia" w:asciiTheme="minorEastAsia" w:hAnsiTheme="minorEastAsia" w:eastAsiaTheme="minorEastAsia" w:cstheme="minorEastAsia"/>
          <w:color w:val="000000"/>
          <w:szCs w:val="28"/>
          <w:highlight w:val="none"/>
          <w:u w:val="single"/>
          <w:shd w:val="clear" w:color="auto" w:fill="FFFFFF"/>
          <w:lang w:eastAsia="zh-CN"/>
        </w:rPr>
      </w:pPr>
      <w:r>
        <w:rPr>
          <w:rFonts w:hint="eastAsia" w:asciiTheme="minorEastAsia" w:hAnsiTheme="minorEastAsia" w:eastAsiaTheme="minorEastAsia" w:cstheme="minorEastAsia"/>
          <w:color w:val="000000"/>
          <w:szCs w:val="28"/>
          <w:highlight w:val="none"/>
          <w:u w:val="single"/>
          <w:shd w:val="clear" w:color="auto" w:fill="FFFFFF"/>
        </w:rPr>
        <w:t>3. 履约保证金的缴纳方式：转账（从中选人银行账户以转账或电汇方式提交）</w:t>
      </w:r>
      <w:r>
        <w:rPr>
          <w:rFonts w:hint="eastAsia" w:asciiTheme="minorEastAsia" w:hAnsiTheme="minorEastAsia" w:eastAsiaTheme="minorEastAsia" w:cstheme="minorEastAsia"/>
          <w:color w:val="000000"/>
          <w:szCs w:val="28"/>
          <w:highlight w:val="none"/>
          <w:u w:val="single"/>
          <w:shd w:val="clear" w:color="auto" w:fill="FFFFFF"/>
          <w:lang w:val="en-US" w:eastAsia="zh-CN"/>
        </w:rPr>
        <w:t>或</w:t>
      </w:r>
      <w:r>
        <w:rPr>
          <w:rFonts w:hint="eastAsia" w:asciiTheme="minorEastAsia" w:hAnsiTheme="minorEastAsia" w:eastAsiaTheme="minorEastAsia" w:cstheme="minorEastAsia"/>
          <w:color w:val="000000"/>
          <w:szCs w:val="28"/>
          <w:highlight w:val="none"/>
          <w:u w:val="single"/>
          <w:shd w:val="clear" w:color="auto" w:fill="FFFFFF"/>
        </w:rPr>
        <w:t>非现金形式（以支票、汇票、本票或者金融机构、担保机构出具的保函）担保</w:t>
      </w:r>
      <w:r>
        <w:rPr>
          <w:rFonts w:hint="eastAsia" w:asciiTheme="minorEastAsia" w:hAnsiTheme="minorEastAsia" w:eastAsiaTheme="minorEastAsia" w:cstheme="minorEastAsia"/>
          <w:color w:val="000000"/>
          <w:szCs w:val="28"/>
          <w:highlight w:val="none"/>
          <w:u w:val="single"/>
          <w:shd w:val="clear" w:color="auto" w:fill="FFFFFF"/>
          <w:lang w:eastAsia="zh-CN"/>
        </w:rPr>
        <w:t>。</w:t>
      </w:r>
    </w:p>
    <w:p w14:paraId="3FA9A86A">
      <w:pPr>
        <w:spacing w:line="560" w:lineRule="exact"/>
        <w:ind w:firstLine="560" w:firstLineChars="200"/>
        <w:rPr>
          <w:rFonts w:hint="eastAsia" w:asciiTheme="minorEastAsia" w:hAnsiTheme="minorEastAsia" w:eastAsiaTheme="minorEastAsia" w:cstheme="minorEastAsia"/>
          <w:color w:val="auto"/>
          <w:szCs w:val="28"/>
          <w:highlight w:val="none"/>
          <w:u w:val="single"/>
          <w:shd w:val="clear" w:color="auto" w:fill="FFFFFF"/>
        </w:rPr>
      </w:pPr>
      <w:r>
        <w:rPr>
          <w:rFonts w:hint="eastAsia" w:asciiTheme="minorEastAsia" w:hAnsiTheme="minorEastAsia" w:eastAsiaTheme="minorEastAsia" w:cstheme="minorEastAsia"/>
          <w:color w:val="000000"/>
          <w:szCs w:val="28"/>
          <w:highlight w:val="none"/>
          <w:u w:val="single"/>
          <w:shd w:val="clear" w:color="auto" w:fill="FFFFFF"/>
        </w:rPr>
        <w:t>4. 履约保证</w:t>
      </w:r>
      <w:r>
        <w:rPr>
          <w:rFonts w:hint="eastAsia" w:asciiTheme="minorEastAsia" w:hAnsiTheme="minorEastAsia" w:eastAsiaTheme="minorEastAsia" w:cstheme="minorEastAsia"/>
          <w:color w:val="auto"/>
          <w:szCs w:val="28"/>
          <w:highlight w:val="none"/>
          <w:u w:val="single"/>
          <w:shd w:val="clear" w:color="auto" w:fill="FFFFFF"/>
        </w:rPr>
        <w:t>金的递交时间：合同签订前转账或电汇至甲方指定账户。</w:t>
      </w:r>
    </w:p>
    <w:p w14:paraId="6069AC07">
      <w:pPr>
        <w:spacing w:line="560" w:lineRule="exact"/>
        <w:ind w:firstLine="560" w:firstLineChars="200"/>
        <w:rPr>
          <w:rFonts w:hint="eastAsia" w:asciiTheme="minorEastAsia" w:hAnsiTheme="minorEastAsia" w:eastAsiaTheme="minorEastAsia" w:cstheme="minorEastAsia"/>
          <w:color w:val="auto"/>
          <w:szCs w:val="28"/>
          <w:highlight w:val="none"/>
          <w:u w:val="single"/>
        </w:rPr>
      </w:pPr>
      <w:r>
        <w:rPr>
          <w:rFonts w:hint="eastAsia" w:asciiTheme="minorEastAsia" w:hAnsiTheme="minorEastAsia" w:eastAsiaTheme="minorEastAsia" w:cstheme="minorEastAsia"/>
          <w:color w:val="auto"/>
          <w:szCs w:val="28"/>
          <w:highlight w:val="none"/>
          <w:u w:val="single"/>
          <w:shd w:val="clear" w:color="auto" w:fill="FFFFFF"/>
        </w:rPr>
        <w:t>5. 履约保证金返还：工程竣工验收合格后一次性无息退还。</w:t>
      </w:r>
    </w:p>
    <w:p w14:paraId="008EF91B">
      <w:pPr>
        <w:spacing w:line="560" w:lineRule="exact"/>
        <w:ind w:firstLine="560" w:firstLineChars="200"/>
        <w:contextualSpacing/>
        <w:outlineLvl w:val="1"/>
        <w:rPr>
          <w:rFonts w:hint="eastAsia" w:asciiTheme="minorEastAsia" w:hAnsiTheme="minorEastAsia" w:eastAsiaTheme="minorEastAsia" w:cstheme="minorEastAsia"/>
          <w:color w:val="auto"/>
          <w:szCs w:val="28"/>
          <w:highlight w:val="none"/>
        </w:rPr>
      </w:pPr>
      <w:bookmarkStart w:id="261" w:name="_Toc2634"/>
      <w:r>
        <w:rPr>
          <w:rFonts w:hint="eastAsia" w:asciiTheme="minorEastAsia" w:hAnsiTheme="minorEastAsia" w:eastAsiaTheme="minorEastAsia" w:cstheme="minorEastAsia"/>
          <w:color w:val="auto"/>
          <w:szCs w:val="28"/>
          <w:highlight w:val="none"/>
        </w:rPr>
        <w:t>四、结算办法</w:t>
      </w:r>
    </w:p>
    <w:p w14:paraId="6E56EFD7">
      <w:pPr>
        <w:spacing w:line="560" w:lineRule="exact"/>
        <w:ind w:firstLine="560" w:firstLineChars="200"/>
        <w:rPr>
          <w:rFonts w:hint="eastAsia" w:asciiTheme="minorEastAsia" w:hAnsiTheme="minorEastAsia" w:eastAsiaTheme="minorEastAsia" w:cstheme="minorEastAsia"/>
          <w:color w:val="auto"/>
          <w:szCs w:val="28"/>
          <w:highlight w:val="none"/>
          <w:u w:val="single"/>
          <w:lang w:val="en-US" w:eastAsia="zh-CN"/>
        </w:rPr>
      </w:pPr>
      <w:r>
        <w:rPr>
          <w:rFonts w:hint="eastAsia" w:asciiTheme="minorEastAsia" w:hAnsiTheme="minorEastAsia" w:eastAsiaTheme="minorEastAsia" w:cstheme="minorEastAsia"/>
          <w:color w:val="auto"/>
          <w:szCs w:val="28"/>
          <w:highlight w:val="none"/>
          <w:u w:val="single"/>
          <w:lang w:val="en-US" w:eastAsia="zh-CN"/>
        </w:rPr>
        <w:t>项目最终结算金额=工程竣工结算审核造价(按结算方式1~8款中所约定的计价原则执行）×乙方成交取费比率+其他费用。</w:t>
      </w:r>
    </w:p>
    <w:p w14:paraId="0E832349">
      <w:pPr>
        <w:spacing w:line="560" w:lineRule="exact"/>
        <w:ind w:firstLine="560" w:firstLineChars="200"/>
        <w:contextualSpacing/>
        <w:outlineLvl w:val="1"/>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五、合同金额及进度支付</w:t>
      </w:r>
      <w:bookmarkEnd w:id="261"/>
    </w:p>
    <w:p w14:paraId="0EB7FB88">
      <w:pPr>
        <w:spacing w:line="560" w:lineRule="exact"/>
        <w:ind w:firstLine="56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lang w:eastAsia="zh-CN"/>
        </w:rPr>
        <w:t>（</w:t>
      </w:r>
      <w:r>
        <w:rPr>
          <w:rFonts w:hint="eastAsia" w:asciiTheme="minorEastAsia" w:hAnsiTheme="minorEastAsia" w:eastAsiaTheme="minorEastAsia" w:cstheme="minorEastAsia"/>
          <w:color w:val="auto"/>
          <w:szCs w:val="28"/>
          <w:highlight w:val="none"/>
          <w:lang w:val="en-US" w:eastAsia="zh-CN"/>
        </w:rPr>
        <w:t>1</w:t>
      </w:r>
      <w:r>
        <w:rPr>
          <w:rFonts w:hint="eastAsia" w:asciiTheme="minorEastAsia" w:hAnsiTheme="minorEastAsia" w:eastAsiaTheme="minorEastAsia" w:cstheme="minorEastAsia"/>
          <w:color w:val="auto"/>
          <w:szCs w:val="28"/>
          <w:highlight w:val="none"/>
          <w:lang w:eastAsia="zh-CN"/>
        </w:rPr>
        <w:t>）</w:t>
      </w:r>
      <w:r>
        <w:rPr>
          <w:rFonts w:hint="eastAsia" w:asciiTheme="minorEastAsia" w:hAnsiTheme="minorEastAsia" w:eastAsiaTheme="minorEastAsia" w:cstheme="minorEastAsia"/>
          <w:color w:val="auto"/>
          <w:szCs w:val="28"/>
          <w:highlight w:val="none"/>
          <w:lang w:val="en-US" w:eastAsia="zh-CN"/>
        </w:rPr>
        <w:t>成交取费比率</w:t>
      </w:r>
      <w:r>
        <w:rPr>
          <w:rFonts w:hint="eastAsia" w:asciiTheme="minorEastAsia" w:hAnsiTheme="minorEastAsia" w:eastAsiaTheme="minorEastAsia" w:cstheme="minorEastAsia"/>
          <w:color w:val="auto"/>
          <w:szCs w:val="28"/>
          <w:highlight w:val="none"/>
        </w:rPr>
        <w:t>：</w:t>
      </w:r>
      <w:r>
        <w:rPr>
          <w:rFonts w:hint="eastAsia" w:asciiTheme="minorEastAsia" w:hAnsiTheme="minorEastAsia" w:eastAsiaTheme="minorEastAsia" w:cstheme="minorEastAsia"/>
          <w:color w:val="auto"/>
          <w:szCs w:val="28"/>
          <w:highlight w:val="none"/>
          <w:u w:val="single"/>
          <w:lang w:val="en-US" w:eastAsia="zh-CN"/>
        </w:rPr>
        <w:t xml:space="preserve">     </w:t>
      </w:r>
      <w:r>
        <w:rPr>
          <w:rFonts w:hint="eastAsia" w:asciiTheme="minorEastAsia" w:hAnsiTheme="minorEastAsia" w:eastAsiaTheme="minorEastAsia" w:cstheme="minorEastAsia"/>
          <w:color w:val="auto"/>
          <w:szCs w:val="28"/>
          <w:highlight w:val="none"/>
          <w:lang w:val="en-US" w:eastAsia="zh-CN"/>
        </w:rPr>
        <w:t>%</w:t>
      </w:r>
      <w:r>
        <w:rPr>
          <w:rFonts w:hint="eastAsia" w:asciiTheme="minorEastAsia" w:hAnsiTheme="minorEastAsia" w:eastAsiaTheme="minorEastAsia" w:cstheme="minorEastAsia"/>
          <w:color w:val="auto"/>
          <w:szCs w:val="28"/>
          <w:highlight w:val="none"/>
        </w:rPr>
        <w:t>，本工程无预付款。</w:t>
      </w:r>
    </w:p>
    <w:p w14:paraId="63D0B5B1">
      <w:pPr>
        <w:spacing w:line="560" w:lineRule="exact"/>
        <w:ind w:firstLine="56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lang w:eastAsia="zh-CN"/>
        </w:rPr>
        <w:t>（</w:t>
      </w:r>
      <w:r>
        <w:rPr>
          <w:rFonts w:hint="eastAsia" w:asciiTheme="minorEastAsia" w:hAnsiTheme="minorEastAsia" w:eastAsiaTheme="minorEastAsia" w:cstheme="minorEastAsia"/>
          <w:color w:val="auto"/>
          <w:szCs w:val="28"/>
          <w:highlight w:val="none"/>
          <w:lang w:val="en-US" w:eastAsia="zh-CN"/>
        </w:rPr>
        <w:t>2</w:t>
      </w:r>
      <w:r>
        <w:rPr>
          <w:rFonts w:hint="eastAsia" w:asciiTheme="minorEastAsia" w:hAnsiTheme="minorEastAsia" w:eastAsiaTheme="minorEastAsia" w:cstheme="minorEastAsia"/>
          <w:color w:val="auto"/>
          <w:szCs w:val="28"/>
          <w:highlight w:val="none"/>
          <w:lang w:eastAsia="zh-CN"/>
        </w:rPr>
        <w:t>）</w:t>
      </w:r>
      <w:r>
        <w:rPr>
          <w:rFonts w:hint="eastAsia" w:asciiTheme="minorEastAsia" w:hAnsiTheme="minorEastAsia" w:eastAsiaTheme="minorEastAsia" w:cstheme="minorEastAsia"/>
          <w:color w:val="auto"/>
          <w:szCs w:val="28"/>
          <w:highlight w:val="none"/>
        </w:rPr>
        <w:t>工程进度款支付：</w:t>
      </w:r>
      <w:r>
        <w:rPr>
          <w:rFonts w:hint="eastAsia" w:asciiTheme="minorEastAsia" w:hAnsiTheme="minorEastAsia" w:eastAsiaTheme="minorEastAsia" w:cstheme="minorEastAsia"/>
          <w:color w:val="auto"/>
          <w:szCs w:val="28"/>
          <w:highlight w:val="none"/>
          <w:u w:val="single"/>
          <w:lang w:val="en-US" w:eastAsia="zh-CN"/>
        </w:rPr>
        <w:t>甲方</w:t>
      </w:r>
      <w:r>
        <w:rPr>
          <w:rFonts w:hint="eastAsia" w:asciiTheme="minorEastAsia" w:hAnsiTheme="minorEastAsia" w:eastAsiaTheme="minorEastAsia" w:cstheme="minorEastAsia"/>
          <w:color w:val="auto"/>
          <w:szCs w:val="28"/>
          <w:highlight w:val="none"/>
          <w:u w:val="single"/>
        </w:rPr>
        <w:t>在竣工验收合格后并经结算审核后支付至审核金额的97%，剩余3%缺陷责任期满作为质保金，缺陷责任期满支付至审核金额的100%。</w:t>
      </w:r>
    </w:p>
    <w:p w14:paraId="691DBCF1">
      <w:pPr>
        <w:spacing w:line="560" w:lineRule="exact"/>
        <w:ind w:firstLine="560" w:firstLineChars="200"/>
        <w:rPr>
          <w:rFonts w:hint="eastAsia" w:asciiTheme="minorEastAsia" w:hAnsiTheme="minorEastAsia" w:eastAsiaTheme="minorEastAsia" w:cstheme="minorEastAsia"/>
          <w:color w:val="auto"/>
          <w:szCs w:val="28"/>
          <w:highlight w:val="none"/>
          <w:lang w:val="en-US" w:eastAsia="zh-CN"/>
        </w:rPr>
      </w:pPr>
      <w:bookmarkStart w:id="262" w:name="_Toc8446"/>
      <w:r>
        <w:rPr>
          <w:rFonts w:hint="eastAsia" w:asciiTheme="minorEastAsia" w:hAnsiTheme="minorEastAsia" w:eastAsiaTheme="minorEastAsia" w:cstheme="minorEastAsia"/>
          <w:color w:val="auto"/>
          <w:szCs w:val="28"/>
          <w:highlight w:val="none"/>
          <w:lang w:val="en-US" w:eastAsia="zh-CN"/>
        </w:rPr>
        <w:t>（3）结算方式</w:t>
      </w:r>
    </w:p>
    <w:p w14:paraId="31F0C090">
      <w:pPr>
        <w:spacing w:line="560" w:lineRule="exact"/>
        <w:ind w:firstLine="560" w:firstLineChars="200"/>
        <w:rPr>
          <w:rFonts w:hint="eastAsia" w:asciiTheme="minorEastAsia" w:hAnsiTheme="minorEastAsia" w:eastAsiaTheme="minorEastAsia" w:cstheme="minorEastAsia"/>
          <w:color w:val="000000"/>
          <w:szCs w:val="28"/>
          <w:highlight w:val="none"/>
          <w:u w:val="single"/>
          <w:lang w:val="en-US" w:eastAsia="zh-CN"/>
        </w:rPr>
      </w:pPr>
      <w:r>
        <w:rPr>
          <w:rFonts w:hint="eastAsia" w:asciiTheme="minorEastAsia" w:hAnsiTheme="minorEastAsia" w:eastAsiaTheme="minorEastAsia" w:cstheme="minorEastAsia"/>
          <w:color w:val="auto"/>
          <w:szCs w:val="28"/>
          <w:highlight w:val="none"/>
          <w:u w:val="single"/>
          <w:lang w:val="en-US" w:eastAsia="zh-CN"/>
        </w:rPr>
        <w:t>1.计量原则：按《房屋建筑与装饰工程工程量计算规范》(GB50854-2013)、《重庆市建设工程工程</w:t>
      </w:r>
      <w:r>
        <w:rPr>
          <w:rFonts w:hint="eastAsia" w:asciiTheme="minorEastAsia" w:hAnsiTheme="minorEastAsia" w:eastAsiaTheme="minorEastAsia" w:cstheme="minorEastAsia"/>
          <w:color w:val="000000"/>
          <w:szCs w:val="28"/>
          <w:highlight w:val="none"/>
          <w:u w:val="single"/>
          <w:lang w:val="en-US" w:eastAsia="zh-CN"/>
        </w:rPr>
        <w:t>量计算规则》（CQJLGZ-2013）约定的计量规则计算的实际完成且经验收合格的工程量。</w:t>
      </w:r>
    </w:p>
    <w:p w14:paraId="33665E5F">
      <w:pPr>
        <w:spacing w:line="560" w:lineRule="exact"/>
        <w:ind w:firstLine="560" w:firstLineChars="200"/>
        <w:rPr>
          <w:rFonts w:hint="eastAsia" w:asciiTheme="minorEastAsia" w:hAnsiTheme="minorEastAsia" w:eastAsiaTheme="minorEastAsia" w:cstheme="minorEastAsia"/>
          <w:color w:val="000000"/>
          <w:szCs w:val="28"/>
          <w:highlight w:val="none"/>
          <w:u w:val="single"/>
          <w:lang w:val="en-US" w:eastAsia="zh-CN"/>
        </w:rPr>
      </w:pPr>
      <w:r>
        <w:rPr>
          <w:rFonts w:hint="eastAsia" w:asciiTheme="minorEastAsia" w:hAnsiTheme="minorEastAsia" w:eastAsiaTheme="minorEastAsia" w:cstheme="minorEastAsia"/>
          <w:color w:val="000000"/>
          <w:szCs w:val="28"/>
          <w:highlight w:val="none"/>
          <w:u w:val="single"/>
          <w:lang w:val="en-US" w:eastAsia="zh-CN"/>
        </w:rPr>
        <w:t>2.计价原则：中华人民共和国国家标准《建设工程工程量清单计价规范》（GB50500-2013）、《重庆市建设工程工程量计算规则》（CQJLGZ-2013）、《重庆市市政工程计价定额》（CQSZDE-2018）、《重庆市房屋建筑与装饰工程计价》(CQJZZSDE-2018)、《重庆市绿色建筑工程计价定额》(CQLSJZDE-2018)、《重庆市园林绿化工程计价定额》（CQYLLHDE-2018）、《重庆市通用安装工程计价定额》(CQAZDE-2018)、《重庆市建设工程费用定额》(CQFYDE-2018）、《重庆市通用安装工程计价定额》(CQAZDE-2018)、《重庆市房屋修缮工程计价定额》(CQXSDE-2018）以及国家及重庆市的相关规范、标准。</w:t>
      </w:r>
    </w:p>
    <w:p w14:paraId="24089053">
      <w:pPr>
        <w:spacing w:line="560" w:lineRule="exact"/>
        <w:ind w:firstLine="560" w:firstLineChars="200"/>
        <w:rPr>
          <w:rFonts w:hint="eastAsia" w:asciiTheme="minorEastAsia" w:hAnsiTheme="minorEastAsia" w:eastAsiaTheme="minorEastAsia" w:cstheme="minorEastAsia"/>
          <w:color w:val="000000"/>
          <w:szCs w:val="28"/>
          <w:highlight w:val="none"/>
          <w:u w:val="single"/>
          <w:lang w:val="en-US" w:eastAsia="zh-CN"/>
        </w:rPr>
      </w:pPr>
      <w:r>
        <w:rPr>
          <w:rFonts w:hint="eastAsia" w:asciiTheme="minorEastAsia" w:hAnsiTheme="minorEastAsia" w:eastAsiaTheme="minorEastAsia" w:cstheme="minorEastAsia"/>
          <w:color w:val="000000"/>
          <w:szCs w:val="28"/>
          <w:highlight w:val="none"/>
          <w:u w:val="single"/>
          <w:lang w:val="en-US" w:eastAsia="zh-CN"/>
        </w:rPr>
        <w:t>3.材料价格按施工期间《重庆市建设工程造价信息》执行，造价信息中没有的材料价格按市场行情据实核价；</w:t>
      </w:r>
    </w:p>
    <w:p w14:paraId="479C5911">
      <w:pPr>
        <w:spacing w:line="560" w:lineRule="exact"/>
        <w:ind w:firstLine="560" w:firstLineChars="200"/>
        <w:rPr>
          <w:rFonts w:hint="eastAsia" w:asciiTheme="minorEastAsia" w:hAnsiTheme="minorEastAsia" w:eastAsiaTheme="minorEastAsia" w:cstheme="minorEastAsia"/>
          <w:color w:val="000000"/>
          <w:szCs w:val="28"/>
          <w:highlight w:val="none"/>
          <w:u w:val="single"/>
          <w:lang w:val="en-US" w:eastAsia="zh-CN"/>
        </w:rPr>
      </w:pPr>
      <w:r>
        <w:rPr>
          <w:rFonts w:hint="eastAsia" w:asciiTheme="minorEastAsia" w:hAnsiTheme="minorEastAsia" w:eastAsiaTheme="minorEastAsia" w:cstheme="minorEastAsia"/>
          <w:color w:val="000000"/>
          <w:szCs w:val="28"/>
          <w:highlight w:val="none"/>
          <w:u w:val="single"/>
          <w:lang w:val="en-US" w:eastAsia="zh-CN"/>
        </w:rPr>
        <w:t>4.人工价格按投标当期《重庆市建设工程造价信息》执行；</w:t>
      </w:r>
    </w:p>
    <w:p w14:paraId="5E66D218">
      <w:pPr>
        <w:spacing w:line="560" w:lineRule="exact"/>
        <w:ind w:firstLine="560" w:firstLineChars="200"/>
        <w:rPr>
          <w:rFonts w:hint="eastAsia" w:asciiTheme="minorEastAsia" w:hAnsiTheme="minorEastAsia" w:eastAsiaTheme="minorEastAsia" w:cstheme="minorEastAsia"/>
          <w:color w:val="000000"/>
          <w:szCs w:val="28"/>
          <w:highlight w:val="none"/>
          <w:u w:val="single"/>
          <w:lang w:val="en-US" w:eastAsia="zh-CN"/>
        </w:rPr>
      </w:pPr>
      <w:r>
        <w:rPr>
          <w:rFonts w:hint="eastAsia" w:asciiTheme="minorEastAsia" w:hAnsiTheme="minorEastAsia" w:eastAsiaTheme="minorEastAsia" w:cstheme="minorEastAsia"/>
          <w:color w:val="000000"/>
          <w:szCs w:val="28"/>
          <w:highlight w:val="none"/>
          <w:u w:val="single"/>
          <w:lang w:val="en-US" w:eastAsia="zh-CN"/>
        </w:rPr>
        <w:t>5.安全文明施工费按《重庆市建设工程费用定额》(CQFYDE-2018）及现行的《重庆市建设工程安全文明施工费计取及使用管理规定》的规定计取；</w:t>
      </w:r>
    </w:p>
    <w:p w14:paraId="3245EF13">
      <w:pPr>
        <w:spacing w:line="560" w:lineRule="exact"/>
        <w:ind w:firstLine="560" w:firstLineChars="200"/>
        <w:rPr>
          <w:rFonts w:hint="eastAsia" w:asciiTheme="minorEastAsia" w:hAnsiTheme="minorEastAsia" w:eastAsiaTheme="minorEastAsia" w:cstheme="minorEastAsia"/>
          <w:color w:val="000000"/>
          <w:szCs w:val="28"/>
          <w:highlight w:val="none"/>
          <w:u w:val="single"/>
          <w:lang w:val="en-US" w:eastAsia="zh-CN"/>
        </w:rPr>
      </w:pPr>
      <w:r>
        <w:rPr>
          <w:rFonts w:hint="eastAsia" w:asciiTheme="minorEastAsia" w:hAnsiTheme="minorEastAsia" w:eastAsiaTheme="minorEastAsia" w:cstheme="minorEastAsia"/>
          <w:color w:val="000000"/>
          <w:szCs w:val="28"/>
          <w:highlight w:val="none"/>
          <w:u w:val="single"/>
          <w:lang w:val="en-US" w:eastAsia="zh-CN"/>
        </w:rPr>
        <w:t>6.规费：按照《重庆市建设工程费用定额》（CQFYDE-2018）规定费率进行计算；</w:t>
      </w:r>
    </w:p>
    <w:p w14:paraId="6C162771">
      <w:pPr>
        <w:spacing w:line="560" w:lineRule="exact"/>
        <w:ind w:firstLine="560" w:firstLineChars="200"/>
        <w:rPr>
          <w:rFonts w:hint="eastAsia" w:asciiTheme="minorEastAsia" w:hAnsiTheme="minorEastAsia" w:eastAsiaTheme="minorEastAsia" w:cstheme="minorEastAsia"/>
          <w:color w:val="000000"/>
          <w:szCs w:val="28"/>
          <w:highlight w:val="none"/>
          <w:u w:val="single"/>
          <w:lang w:val="en-US" w:eastAsia="zh-CN"/>
        </w:rPr>
      </w:pPr>
      <w:r>
        <w:rPr>
          <w:rFonts w:hint="eastAsia" w:asciiTheme="minorEastAsia" w:hAnsiTheme="minorEastAsia" w:eastAsiaTheme="minorEastAsia" w:cstheme="minorEastAsia"/>
          <w:color w:val="000000"/>
          <w:szCs w:val="28"/>
          <w:highlight w:val="none"/>
          <w:u w:val="single"/>
          <w:lang w:val="en-US" w:eastAsia="zh-CN"/>
        </w:rPr>
        <w:t>7.税金按《重庆市建设工程费用定额》(CQFYDE-2018)增值税一般计税方法计取。</w:t>
      </w:r>
    </w:p>
    <w:p w14:paraId="087B9723">
      <w:pPr>
        <w:spacing w:line="560" w:lineRule="exact"/>
        <w:ind w:firstLine="560" w:firstLineChars="200"/>
        <w:rPr>
          <w:rFonts w:hint="eastAsia" w:asciiTheme="minorEastAsia" w:hAnsiTheme="minorEastAsia" w:eastAsiaTheme="minorEastAsia" w:cstheme="minorEastAsia"/>
          <w:color w:val="000000"/>
          <w:szCs w:val="28"/>
          <w:highlight w:val="none"/>
          <w:u w:val="single"/>
          <w:lang w:val="en-US" w:eastAsia="zh-CN"/>
        </w:rPr>
      </w:pPr>
      <w:r>
        <w:rPr>
          <w:rFonts w:hint="eastAsia" w:asciiTheme="minorEastAsia" w:hAnsiTheme="minorEastAsia" w:eastAsiaTheme="minorEastAsia" w:cstheme="minorEastAsia"/>
          <w:color w:val="000000"/>
          <w:szCs w:val="28"/>
          <w:highlight w:val="none"/>
          <w:u w:val="single"/>
          <w:lang w:val="en-US" w:eastAsia="zh-CN"/>
        </w:rPr>
        <w:t>8.若采用上述清单定额计价原则不适用，则由供应商向甲方报送综合单价，经核定后执行。</w:t>
      </w:r>
    </w:p>
    <w:p w14:paraId="161F2883">
      <w:pPr>
        <w:spacing w:line="560" w:lineRule="exact"/>
        <w:ind w:firstLine="560" w:firstLineChars="200"/>
        <w:rPr>
          <w:rFonts w:hint="eastAsia" w:asciiTheme="minorEastAsia" w:hAnsiTheme="minorEastAsia" w:eastAsiaTheme="minorEastAsia" w:cstheme="minorEastAsia"/>
          <w:color w:val="000000"/>
          <w:szCs w:val="28"/>
          <w:highlight w:val="none"/>
          <w:u w:val="single"/>
          <w:lang w:val="en-US" w:eastAsia="zh-CN"/>
        </w:rPr>
      </w:pPr>
      <w:r>
        <w:rPr>
          <w:rFonts w:hint="eastAsia" w:asciiTheme="minorEastAsia" w:hAnsiTheme="minorEastAsia" w:eastAsiaTheme="minorEastAsia" w:cstheme="minorEastAsia"/>
          <w:color w:val="000000"/>
          <w:szCs w:val="28"/>
          <w:highlight w:val="none"/>
          <w:u w:val="single"/>
          <w:lang w:val="en-US" w:eastAsia="zh-CN"/>
        </w:rPr>
        <w:t>9.其他费用：合同约定的增加、扣减金额（含按实签证的计日工）</w:t>
      </w:r>
    </w:p>
    <w:p w14:paraId="29558DB6">
      <w:pPr>
        <w:spacing w:line="560" w:lineRule="exact"/>
        <w:ind w:firstLine="560" w:firstLineChars="200"/>
        <w:contextualSpacing/>
        <w:outlineLvl w:val="1"/>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六、双方责任</w:t>
      </w:r>
      <w:bookmarkEnd w:id="262"/>
    </w:p>
    <w:p w14:paraId="4540C31A">
      <w:pPr>
        <w:spacing w:line="560" w:lineRule="exact"/>
        <w:ind w:firstLine="560" w:firstLineChars="200"/>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1. 甲方责任：</w:t>
      </w:r>
    </w:p>
    <w:p w14:paraId="33879D0E">
      <w:pPr>
        <w:spacing w:line="560" w:lineRule="exact"/>
        <w:ind w:firstLine="560" w:firstLineChars="200"/>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（1）甲方应按合同约定付款条件支付乙方工程款项。</w:t>
      </w:r>
    </w:p>
    <w:p w14:paraId="59529633">
      <w:pPr>
        <w:spacing w:line="560" w:lineRule="exact"/>
        <w:ind w:firstLine="560" w:firstLineChars="200"/>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（2）根据相关法律法规规定应承担的其它义务。</w:t>
      </w:r>
    </w:p>
    <w:p w14:paraId="2E79AA27">
      <w:pPr>
        <w:spacing w:line="560" w:lineRule="exact"/>
        <w:ind w:firstLine="560" w:firstLineChars="200"/>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2. 乙方责任：</w:t>
      </w:r>
    </w:p>
    <w:p w14:paraId="60B42ED0">
      <w:pPr>
        <w:spacing w:line="560" w:lineRule="exact"/>
        <w:ind w:firstLine="560" w:firstLineChars="200"/>
        <w:rPr>
          <w:rFonts w:hint="eastAsia" w:asciiTheme="minorEastAsia" w:hAnsiTheme="minorEastAsia" w:eastAsiaTheme="minorEastAsia" w:cstheme="minorEastAsia"/>
          <w:kern w:val="0"/>
          <w:szCs w:val="28"/>
          <w:highlight w:val="none"/>
        </w:rPr>
      </w:pPr>
      <w:r>
        <w:rPr>
          <w:rFonts w:hint="eastAsia" w:asciiTheme="minorEastAsia" w:hAnsiTheme="minorEastAsia" w:eastAsiaTheme="minorEastAsia" w:cstheme="minorEastAsia"/>
          <w:kern w:val="0"/>
          <w:szCs w:val="28"/>
          <w:highlight w:val="none"/>
        </w:rPr>
        <w:t>（1）办理法律规定应由乙方办理的许可和批准，并将办理结果书面报送甲方留存；</w:t>
      </w:r>
    </w:p>
    <w:p w14:paraId="51F36720">
      <w:pPr>
        <w:spacing w:line="560" w:lineRule="exact"/>
        <w:ind w:firstLine="560" w:firstLineChars="200"/>
        <w:rPr>
          <w:rFonts w:hint="eastAsia" w:asciiTheme="minorEastAsia" w:hAnsiTheme="minorEastAsia" w:eastAsiaTheme="minorEastAsia" w:cstheme="minorEastAsia"/>
          <w:kern w:val="0"/>
          <w:szCs w:val="28"/>
          <w:highlight w:val="none"/>
        </w:rPr>
      </w:pPr>
      <w:r>
        <w:rPr>
          <w:rFonts w:hint="eastAsia" w:asciiTheme="minorEastAsia" w:hAnsiTheme="minorEastAsia" w:eastAsiaTheme="minorEastAsia" w:cstheme="minorEastAsia"/>
          <w:kern w:val="0"/>
          <w:szCs w:val="28"/>
          <w:highlight w:val="none"/>
        </w:rPr>
        <w:t>（2）</w:t>
      </w:r>
      <w:r>
        <w:rPr>
          <w:rFonts w:hint="eastAsia" w:asciiTheme="minorEastAsia" w:hAnsiTheme="minorEastAsia" w:eastAsiaTheme="minorEastAsia" w:cstheme="minorEastAsia"/>
          <w:color w:val="000000"/>
          <w:szCs w:val="28"/>
          <w:highlight w:val="none"/>
        </w:rPr>
        <w:t>严格依照甲方提供并经双方确认的施工图纸，以及说明和交底纪要、设计变更通知单进行施工，做好自检工作确保施工质量；</w:t>
      </w:r>
      <w:r>
        <w:rPr>
          <w:rFonts w:hint="eastAsia" w:asciiTheme="minorEastAsia" w:hAnsiTheme="minorEastAsia" w:eastAsiaTheme="minorEastAsia" w:cstheme="minorEastAsia"/>
          <w:kern w:val="0"/>
          <w:szCs w:val="28"/>
          <w:highlight w:val="none"/>
        </w:rPr>
        <w:t>按法律规定和合同约定完成工程，并在保修期内承担保修义务；</w:t>
      </w:r>
    </w:p>
    <w:p w14:paraId="63ADCD82">
      <w:pPr>
        <w:spacing w:line="560" w:lineRule="exact"/>
        <w:ind w:firstLine="560" w:firstLineChars="200"/>
        <w:rPr>
          <w:rFonts w:hint="eastAsia" w:asciiTheme="minorEastAsia" w:hAnsiTheme="minorEastAsia" w:eastAsiaTheme="minorEastAsia" w:cstheme="minorEastAsia"/>
          <w:kern w:val="0"/>
          <w:szCs w:val="28"/>
          <w:highlight w:val="none"/>
        </w:rPr>
      </w:pPr>
      <w:r>
        <w:rPr>
          <w:rFonts w:hint="eastAsia" w:asciiTheme="minorEastAsia" w:hAnsiTheme="minorEastAsia" w:eastAsiaTheme="minorEastAsia" w:cstheme="minorEastAsia"/>
          <w:kern w:val="0"/>
          <w:szCs w:val="28"/>
          <w:highlight w:val="none"/>
        </w:rPr>
        <w:t>（3）按法律规定和合同约定采取施工安全和环境保护措施，办理工伤保险，确保工程及人员、材料、设备和设施的安全；</w:t>
      </w:r>
    </w:p>
    <w:p w14:paraId="6BD2F62F">
      <w:pPr>
        <w:spacing w:line="560" w:lineRule="exact"/>
        <w:ind w:firstLine="560" w:firstLineChars="200"/>
        <w:rPr>
          <w:rFonts w:hint="eastAsia" w:asciiTheme="minorEastAsia" w:hAnsiTheme="minorEastAsia" w:eastAsiaTheme="minorEastAsia" w:cstheme="minorEastAsia"/>
          <w:kern w:val="0"/>
          <w:szCs w:val="28"/>
          <w:highlight w:val="none"/>
        </w:rPr>
      </w:pPr>
      <w:r>
        <w:rPr>
          <w:rFonts w:hint="eastAsia" w:asciiTheme="minorEastAsia" w:hAnsiTheme="minorEastAsia" w:eastAsiaTheme="minorEastAsia" w:cstheme="minorEastAsia"/>
          <w:kern w:val="0"/>
          <w:szCs w:val="28"/>
          <w:highlight w:val="none"/>
        </w:rPr>
        <w:t>（4）按合同约定的工作内容和施工进度要求，编制施工组织设计和施工措施计划，并对所有施工作业和施工方法的完备性和安全可靠性负责；</w:t>
      </w:r>
    </w:p>
    <w:p w14:paraId="1BA7C687">
      <w:pPr>
        <w:spacing w:line="560" w:lineRule="exact"/>
        <w:ind w:firstLine="560" w:firstLineChars="200"/>
        <w:rPr>
          <w:rFonts w:hint="eastAsia" w:asciiTheme="minorEastAsia" w:hAnsiTheme="minorEastAsia" w:eastAsiaTheme="minorEastAsia" w:cstheme="minorEastAsia"/>
          <w:kern w:val="0"/>
          <w:szCs w:val="28"/>
          <w:highlight w:val="none"/>
        </w:rPr>
      </w:pPr>
      <w:r>
        <w:rPr>
          <w:rFonts w:hint="eastAsia" w:asciiTheme="minorEastAsia" w:hAnsiTheme="minorEastAsia" w:eastAsiaTheme="minorEastAsia" w:cstheme="minorEastAsia"/>
          <w:kern w:val="0"/>
          <w:szCs w:val="28"/>
          <w:highlight w:val="none"/>
        </w:rPr>
        <w:t>（5）在进行合同约定的各项工作时，不得侵害甲方与他人使用公用道路、水源、市政管网等公共设施的权利，避免对邻近的公共设施产生干扰。乙方占用或使用他人的施工场地，影响他人作业或生活的，应承担相应责任；</w:t>
      </w:r>
    </w:p>
    <w:p w14:paraId="310D162E">
      <w:pPr>
        <w:spacing w:line="560" w:lineRule="exact"/>
        <w:ind w:firstLine="560" w:firstLineChars="200"/>
        <w:rPr>
          <w:rFonts w:hint="eastAsia" w:asciiTheme="minorEastAsia" w:hAnsiTheme="minorEastAsia" w:eastAsiaTheme="minorEastAsia" w:cstheme="minorEastAsia"/>
          <w:kern w:val="0"/>
          <w:szCs w:val="28"/>
          <w:highlight w:val="none"/>
        </w:rPr>
      </w:pPr>
      <w:r>
        <w:rPr>
          <w:rFonts w:hint="eastAsia" w:asciiTheme="minorEastAsia" w:hAnsiTheme="minorEastAsia" w:eastAsiaTheme="minorEastAsia" w:cstheme="minorEastAsia"/>
          <w:kern w:val="0"/>
          <w:szCs w:val="28"/>
          <w:highlight w:val="none"/>
        </w:rPr>
        <w:t>（6）应在施工组织设计中列明环境保护的具体措施。在合同履行期间，乙方应采取合理措施保护施工现场环境。对施工作业过程中可能引起的大气、水、噪音以及固体废物污染采取具体可行的防范措施。应当承担因其原因引起的环境污染侵权损害赔偿责任，因上述环境污染引起纠纷而导致暂停施工的，由此增加的费用和（或）延误的工期由乙方承担。约定负责施工场地及其周边环境与生态的保护工作；</w:t>
      </w:r>
    </w:p>
    <w:p w14:paraId="1292A9B9">
      <w:pPr>
        <w:spacing w:line="560" w:lineRule="exact"/>
        <w:ind w:firstLine="560" w:firstLineChars="200"/>
        <w:rPr>
          <w:rFonts w:hint="eastAsia" w:asciiTheme="minorEastAsia" w:hAnsiTheme="minorEastAsia" w:eastAsiaTheme="minorEastAsia" w:cstheme="minorEastAsia"/>
          <w:kern w:val="0"/>
          <w:szCs w:val="28"/>
          <w:highlight w:val="none"/>
        </w:rPr>
      </w:pPr>
      <w:r>
        <w:rPr>
          <w:rFonts w:hint="eastAsia" w:asciiTheme="minorEastAsia" w:hAnsiTheme="minorEastAsia" w:eastAsiaTheme="minorEastAsia" w:cstheme="minorEastAsia"/>
          <w:kern w:val="0"/>
          <w:szCs w:val="28"/>
          <w:highlight w:val="none"/>
        </w:rPr>
        <w:t>（7）应安全文明施工，采取施工安全措施，确保工程及其人员、材料、设备和设施的安全，防止因工程施工造成的人身伤害和财产损失；</w:t>
      </w:r>
    </w:p>
    <w:p w14:paraId="31B5E647">
      <w:pPr>
        <w:spacing w:line="560" w:lineRule="exact"/>
        <w:ind w:firstLine="560" w:firstLineChars="200"/>
        <w:rPr>
          <w:rFonts w:hint="eastAsia" w:asciiTheme="minorEastAsia" w:hAnsiTheme="minorEastAsia" w:eastAsiaTheme="minorEastAsia" w:cstheme="minorEastAsia"/>
          <w:kern w:val="0"/>
          <w:szCs w:val="28"/>
          <w:highlight w:val="none"/>
        </w:rPr>
      </w:pPr>
      <w:r>
        <w:rPr>
          <w:rFonts w:hint="eastAsia" w:asciiTheme="minorEastAsia" w:hAnsiTheme="minorEastAsia" w:eastAsiaTheme="minorEastAsia" w:cstheme="minorEastAsia"/>
          <w:kern w:val="0"/>
          <w:szCs w:val="28"/>
          <w:highlight w:val="none"/>
        </w:rPr>
        <w:t>（8）将甲方按合同约定支付的各项价款专用于合同工程，且应及时</w:t>
      </w:r>
      <w:r>
        <w:rPr>
          <w:rFonts w:hint="eastAsia" w:asciiTheme="minorEastAsia" w:hAnsiTheme="minorEastAsia" w:eastAsiaTheme="minorEastAsia" w:cstheme="minorEastAsia"/>
          <w:color w:val="000000"/>
          <w:szCs w:val="28"/>
          <w:highlight w:val="none"/>
        </w:rPr>
        <w:t>足额支付</w:t>
      </w:r>
      <w:r>
        <w:rPr>
          <w:rFonts w:hint="eastAsia" w:asciiTheme="minorEastAsia" w:hAnsiTheme="minorEastAsia" w:eastAsiaTheme="minorEastAsia" w:cstheme="minorEastAsia"/>
          <w:kern w:val="0"/>
          <w:szCs w:val="28"/>
          <w:highlight w:val="none"/>
        </w:rPr>
        <w:t>其雇用人员工资</w:t>
      </w:r>
      <w:r>
        <w:rPr>
          <w:rFonts w:hint="eastAsia" w:asciiTheme="minorEastAsia" w:hAnsiTheme="minorEastAsia" w:eastAsiaTheme="minorEastAsia" w:cstheme="minorEastAsia"/>
          <w:color w:val="000000"/>
          <w:szCs w:val="28"/>
          <w:highlight w:val="none"/>
        </w:rPr>
        <w:t>。</w:t>
      </w:r>
    </w:p>
    <w:p w14:paraId="2679809A">
      <w:pPr>
        <w:spacing w:line="560" w:lineRule="exact"/>
        <w:ind w:firstLine="560" w:firstLineChars="200"/>
        <w:rPr>
          <w:rFonts w:hint="eastAsia" w:asciiTheme="minorEastAsia" w:hAnsiTheme="minorEastAsia" w:eastAsiaTheme="minorEastAsia" w:cstheme="minorEastAsia"/>
          <w:kern w:val="0"/>
          <w:szCs w:val="28"/>
          <w:highlight w:val="none"/>
        </w:rPr>
      </w:pPr>
      <w:r>
        <w:rPr>
          <w:rFonts w:hint="eastAsia" w:asciiTheme="minorEastAsia" w:hAnsiTheme="minorEastAsia" w:eastAsiaTheme="minorEastAsia" w:cstheme="minorEastAsia"/>
          <w:kern w:val="0"/>
          <w:szCs w:val="28"/>
          <w:highlight w:val="none"/>
        </w:rPr>
        <w:t>（9）按照法律规定和合同约定编制竣工资料，完成竣工资料立卷及归档，并按甲方要求移交甲方；</w:t>
      </w:r>
    </w:p>
    <w:p w14:paraId="516B1B3D">
      <w:pPr>
        <w:spacing w:line="560" w:lineRule="exact"/>
        <w:ind w:firstLine="560" w:firstLineChars="200"/>
        <w:rPr>
          <w:rFonts w:hint="eastAsia" w:asciiTheme="minorEastAsia" w:hAnsiTheme="minorEastAsia" w:eastAsiaTheme="minorEastAsia" w:cstheme="minorEastAsia"/>
          <w:kern w:val="0"/>
          <w:szCs w:val="28"/>
          <w:highlight w:val="none"/>
        </w:rPr>
      </w:pPr>
      <w:r>
        <w:rPr>
          <w:rFonts w:hint="eastAsia" w:asciiTheme="minorEastAsia" w:hAnsiTheme="minorEastAsia" w:eastAsiaTheme="minorEastAsia" w:cstheme="minorEastAsia"/>
          <w:kern w:val="0"/>
          <w:szCs w:val="28"/>
          <w:highlight w:val="none"/>
        </w:rPr>
        <w:t>（10）应履行的其他义务。</w:t>
      </w:r>
    </w:p>
    <w:p w14:paraId="3EC0724E">
      <w:pPr>
        <w:spacing w:line="560" w:lineRule="exact"/>
        <w:ind w:firstLine="560" w:firstLineChars="200"/>
        <w:contextualSpacing/>
        <w:outlineLvl w:val="1"/>
        <w:rPr>
          <w:rFonts w:hint="eastAsia" w:asciiTheme="minorEastAsia" w:hAnsiTheme="minorEastAsia" w:eastAsiaTheme="minorEastAsia" w:cstheme="minorEastAsia"/>
          <w:color w:val="000000"/>
          <w:szCs w:val="28"/>
          <w:highlight w:val="none"/>
        </w:rPr>
      </w:pPr>
      <w:bookmarkStart w:id="263" w:name="_Toc11651"/>
      <w:r>
        <w:rPr>
          <w:rFonts w:hint="eastAsia" w:asciiTheme="minorEastAsia" w:hAnsiTheme="minorEastAsia" w:eastAsiaTheme="minorEastAsia" w:cstheme="minorEastAsia"/>
          <w:color w:val="000000"/>
          <w:szCs w:val="28"/>
          <w:highlight w:val="none"/>
        </w:rPr>
        <w:t>七、施工管理</w:t>
      </w:r>
      <w:bookmarkEnd w:id="263"/>
    </w:p>
    <w:p w14:paraId="6FF84BA6">
      <w:pPr>
        <w:spacing w:line="560" w:lineRule="exact"/>
        <w:ind w:firstLine="560" w:firstLineChars="200"/>
        <w:rPr>
          <w:rFonts w:hint="eastAsia" w:asciiTheme="minorEastAsia" w:hAnsiTheme="minorEastAsia" w:eastAsiaTheme="minorEastAsia" w:cstheme="minorEastAsia"/>
          <w:kern w:val="0"/>
          <w:szCs w:val="28"/>
          <w:highlight w:val="none"/>
        </w:rPr>
      </w:pPr>
      <w:r>
        <w:rPr>
          <w:rFonts w:hint="eastAsia" w:asciiTheme="minorEastAsia" w:hAnsiTheme="minorEastAsia" w:eastAsiaTheme="minorEastAsia" w:cstheme="minorEastAsia"/>
          <w:kern w:val="0"/>
          <w:szCs w:val="28"/>
          <w:highlight w:val="none"/>
        </w:rPr>
        <w:t>1. 施工过程中，甲乙双方均应派出管理人员，各自履行职责，共同管理工程，共同推进工程进度；</w:t>
      </w:r>
    </w:p>
    <w:p w14:paraId="370BDF5C">
      <w:pPr>
        <w:spacing w:line="560" w:lineRule="exact"/>
        <w:ind w:firstLine="560" w:firstLineChars="200"/>
        <w:rPr>
          <w:rFonts w:hint="eastAsia" w:asciiTheme="minorEastAsia" w:hAnsiTheme="minorEastAsia" w:eastAsiaTheme="minorEastAsia" w:cstheme="minorEastAsia"/>
          <w:kern w:val="0"/>
          <w:szCs w:val="28"/>
          <w:highlight w:val="none"/>
        </w:rPr>
      </w:pPr>
      <w:r>
        <w:rPr>
          <w:rFonts w:hint="eastAsia" w:asciiTheme="minorEastAsia" w:hAnsiTheme="minorEastAsia" w:eastAsiaTheme="minorEastAsia" w:cstheme="minorEastAsia"/>
          <w:kern w:val="0"/>
          <w:szCs w:val="28"/>
          <w:highlight w:val="none"/>
        </w:rPr>
        <w:t>2. 本工程甲方为派驻现场代表，乙方为派驻现场代表；双方代表均对工程的安全质量进度负有同等责任。</w:t>
      </w:r>
      <w:bookmarkStart w:id="264" w:name="_Toc31746"/>
    </w:p>
    <w:p w14:paraId="16F8FB1B">
      <w:pPr>
        <w:spacing w:line="560" w:lineRule="exact"/>
        <w:ind w:firstLine="560" w:firstLineChars="200"/>
        <w:contextualSpacing/>
        <w:outlineLvl w:val="1"/>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八、设计变更</w:t>
      </w:r>
      <w:bookmarkEnd w:id="264"/>
    </w:p>
    <w:p w14:paraId="46241AE5">
      <w:pPr>
        <w:adjustRightInd w:val="0"/>
        <w:snapToGrid w:val="0"/>
        <w:spacing w:line="560" w:lineRule="exact"/>
        <w:ind w:firstLine="560" w:firstLineChars="200"/>
        <w:rPr>
          <w:rFonts w:hint="eastAsia" w:asciiTheme="minorEastAsia" w:hAnsiTheme="minorEastAsia" w:eastAsiaTheme="minorEastAsia" w:cstheme="minorEastAsia"/>
          <w:color w:val="000000"/>
          <w:kern w:val="0"/>
          <w:szCs w:val="28"/>
          <w:highlight w:val="none"/>
        </w:rPr>
      </w:pPr>
      <w:r>
        <w:rPr>
          <w:rFonts w:hint="eastAsia" w:asciiTheme="minorEastAsia" w:hAnsiTheme="minorEastAsia" w:eastAsiaTheme="minorEastAsia" w:cstheme="minorEastAsia"/>
          <w:color w:val="000000"/>
          <w:kern w:val="0"/>
          <w:szCs w:val="28"/>
          <w:highlight w:val="none"/>
        </w:rPr>
        <w:t>1. 变更的范围和内容</w:t>
      </w:r>
    </w:p>
    <w:p w14:paraId="667B49D0">
      <w:pPr>
        <w:adjustRightInd w:val="0"/>
        <w:snapToGrid w:val="0"/>
        <w:spacing w:line="560" w:lineRule="exact"/>
        <w:ind w:firstLine="560" w:firstLineChars="200"/>
        <w:rPr>
          <w:rFonts w:hint="eastAsia" w:asciiTheme="minorEastAsia" w:hAnsiTheme="minorEastAsia" w:eastAsiaTheme="minorEastAsia" w:cstheme="minorEastAsia"/>
          <w:color w:val="000000"/>
          <w:kern w:val="0"/>
          <w:szCs w:val="28"/>
          <w:highlight w:val="none"/>
        </w:rPr>
      </w:pPr>
      <w:r>
        <w:rPr>
          <w:rFonts w:hint="eastAsia" w:asciiTheme="minorEastAsia" w:hAnsiTheme="minorEastAsia" w:eastAsiaTheme="minorEastAsia" w:cstheme="minorEastAsia"/>
          <w:color w:val="000000"/>
          <w:kern w:val="0"/>
          <w:szCs w:val="28"/>
          <w:highlight w:val="none"/>
        </w:rPr>
        <w:t>设计变更及调整或施工过程中出现新增项目、合同范围外的零星项目均属于工程变更。</w:t>
      </w:r>
    </w:p>
    <w:p w14:paraId="757D97BB">
      <w:pPr>
        <w:numPr>
          <w:ilvl w:val="0"/>
          <w:numId w:val="17"/>
        </w:numPr>
        <w:adjustRightInd w:val="0"/>
        <w:snapToGrid w:val="0"/>
        <w:spacing w:line="560" w:lineRule="exact"/>
        <w:ind w:firstLine="560" w:firstLineChars="200"/>
        <w:rPr>
          <w:rFonts w:hint="eastAsia" w:asciiTheme="minorEastAsia" w:hAnsiTheme="minorEastAsia" w:eastAsiaTheme="minorEastAsia" w:cstheme="minorEastAsia"/>
          <w:color w:val="000000"/>
          <w:kern w:val="0"/>
          <w:szCs w:val="28"/>
          <w:highlight w:val="none"/>
        </w:rPr>
      </w:pPr>
      <w:r>
        <w:rPr>
          <w:rFonts w:hint="eastAsia" w:asciiTheme="minorEastAsia" w:hAnsiTheme="minorEastAsia" w:eastAsiaTheme="minorEastAsia" w:cstheme="minorEastAsia"/>
          <w:color w:val="000000"/>
          <w:kern w:val="0"/>
          <w:szCs w:val="28"/>
          <w:highlight w:val="none"/>
        </w:rPr>
        <w:t>变更程序</w:t>
      </w:r>
    </w:p>
    <w:p w14:paraId="328A045C">
      <w:pPr>
        <w:adjustRightInd w:val="0"/>
        <w:snapToGrid w:val="0"/>
        <w:spacing w:line="560" w:lineRule="exact"/>
        <w:ind w:firstLine="560" w:firstLineChars="200"/>
        <w:rPr>
          <w:rFonts w:hint="eastAsia" w:asciiTheme="minorEastAsia" w:hAnsiTheme="minorEastAsia" w:eastAsiaTheme="minorEastAsia" w:cstheme="minorEastAsia"/>
          <w:color w:val="000000"/>
          <w:kern w:val="0"/>
          <w:szCs w:val="28"/>
          <w:highlight w:val="none"/>
        </w:rPr>
      </w:pPr>
      <w:r>
        <w:rPr>
          <w:rFonts w:hint="eastAsia" w:asciiTheme="minorEastAsia" w:hAnsiTheme="minorEastAsia" w:eastAsiaTheme="minorEastAsia" w:cstheme="minorEastAsia"/>
          <w:color w:val="000000"/>
          <w:kern w:val="0"/>
          <w:szCs w:val="28"/>
          <w:highlight w:val="none"/>
        </w:rPr>
        <w:t>变更估价</w:t>
      </w:r>
    </w:p>
    <w:p w14:paraId="535EA804">
      <w:pPr>
        <w:adjustRightInd w:val="0"/>
        <w:snapToGrid w:val="0"/>
        <w:spacing w:line="560" w:lineRule="exact"/>
        <w:ind w:firstLine="560" w:firstLineChars="200"/>
        <w:rPr>
          <w:rFonts w:hint="eastAsia" w:asciiTheme="minorEastAsia" w:hAnsiTheme="minorEastAsia" w:eastAsiaTheme="minorEastAsia" w:cstheme="minorEastAsia"/>
          <w:color w:val="000000"/>
          <w:kern w:val="0"/>
          <w:szCs w:val="28"/>
          <w:highlight w:val="none"/>
        </w:rPr>
      </w:pPr>
      <w:r>
        <w:rPr>
          <w:rFonts w:hint="eastAsia" w:asciiTheme="minorEastAsia" w:hAnsiTheme="minorEastAsia" w:eastAsiaTheme="minorEastAsia" w:cstheme="minorEastAsia"/>
          <w:color w:val="000000"/>
          <w:kern w:val="0"/>
          <w:szCs w:val="28"/>
          <w:highlight w:val="none"/>
        </w:rPr>
        <w:t>（1）乙方提交变更报价书的期限：经批准的变更工程量乙方应在7天內向甲方、监理人等提交变更报价书。</w:t>
      </w:r>
    </w:p>
    <w:p w14:paraId="716E6A19">
      <w:pPr>
        <w:spacing w:line="560" w:lineRule="exact"/>
        <w:ind w:firstLine="560" w:firstLineChars="200"/>
        <w:rPr>
          <w:rFonts w:hint="eastAsia" w:asciiTheme="minorEastAsia" w:hAnsiTheme="minorEastAsia" w:eastAsiaTheme="minorEastAsia" w:cstheme="minorEastAsia"/>
          <w:bCs/>
          <w:color w:val="000000"/>
          <w:szCs w:val="28"/>
          <w:highlight w:val="none"/>
        </w:rPr>
      </w:pPr>
      <w:r>
        <w:rPr>
          <w:rFonts w:hint="eastAsia" w:asciiTheme="minorEastAsia" w:hAnsiTheme="minorEastAsia" w:eastAsiaTheme="minorEastAsia" w:cstheme="minorEastAsia"/>
          <w:color w:val="000000"/>
          <w:szCs w:val="28"/>
          <w:highlight w:val="none"/>
        </w:rPr>
        <w:t>（2）</w:t>
      </w:r>
      <w:r>
        <w:rPr>
          <w:rFonts w:hint="eastAsia" w:asciiTheme="minorEastAsia" w:hAnsiTheme="minorEastAsia" w:eastAsiaTheme="minorEastAsia" w:cstheme="minorEastAsia"/>
          <w:bCs/>
          <w:color w:val="000000"/>
          <w:szCs w:val="28"/>
          <w:highlight w:val="none"/>
        </w:rPr>
        <w:t>监理人商定或确定变更价格的期限：甲方应在收到乙方变更报价书后的14 天内与乙方商定或确定变更价格，逾期视为同意。</w:t>
      </w:r>
    </w:p>
    <w:p w14:paraId="5AF0032A">
      <w:pPr>
        <w:spacing w:line="560" w:lineRule="exact"/>
        <w:ind w:firstLine="560" w:firstLineChars="200"/>
        <w:rPr>
          <w:rFonts w:hint="eastAsia" w:asciiTheme="minorEastAsia" w:hAnsiTheme="minorEastAsia" w:eastAsiaTheme="minorEastAsia" w:cstheme="minorEastAsia"/>
          <w:bCs/>
          <w:color w:val="000000"/>
          <w:szCs w:val="28"/>
          <w:highlight w:val="none"/>
        </w:rPr>
      </w:pPr>
      <w:r>
        <w:rPr>
          <w:rFonts w:hint="eastAsia" w:asciiTheme="minorEastAsia" w:hAnsiTheme="minorEastAsia" w:eastAsiaTheme="minorEastAsia" w:cstheme="minorEastAsia"/>
          <w:color w:val="000000"/>
          <w:szCs w:val="28"/>
          <w:highlight w:val="none"/>
        </w:rPr>
        <w:t>（3）</w:t>
      </w:r>
      <w:r>
        <w:rPr>
          <w:rFonts w:hint="eastAsia" w:asciiTheme="minorEastAsia" w:hAnsiTheme="minorEastAsia" w:eastAsiaTheme="minorEastAsia" w:cstheme="minorEastAsia"/>
          <w:bCs/>
          <w:color w:val="000000"/>
          <w:szCs w:val="28"/>
          <w:highlight w:val="none"/>
        </w:rPr>
        <w:t>收到变更指示后，如乙方未在规定的期限内提交变更报价书的，监理人可自行决定是否调整合同价款以及如果监理决定调整合同价款时，相应调整的具体金额。</w:t>
      </w:r>
    </w:p>
    <w:p w14:paraId="06017A0F">
      <w:pPr>
        <w:spacing w:line="560" w:lineRule="exact"/>
        <w:ind w:firstLine="560" w:firstLineChars="200"/>
        <w:rPr>
          <w:rFonts w:hint="eastAsia" w:asciiTheme="minorEastAsia" w:hAnsiTheme="minorEastAsia" w:eastAsiaTheme="minorEastAsia" w:cstheme="minorEastAsia"/>
          <w:bCs/>
          <w:color w:val="000000"/>
          <w:szCs w:val="28"/>
          <w:highlight w:val="none"/>
        </w:rPr>
      </w:pPr>
      <w:r>
        <w:rPr>
          <w:rFonts w:hint="eastAsia" w:asciiTheme="minorEastAsia" w:hAnsiTheme="minorEastAsia" w:eastAsiaTheme="minorEastAsia" w:cstheme="minorEastAsia"/>
          <w:color w:val="000000"/>
          <w:szCs w:val="28"/>
          <w:highlight w:val="none"/>
        </w:rPr>
        <w:t>（4）</w:t>
      </w:r>
      <w:r>
        <w:rPr>
          <w:rFonts w:hint="eastAsia" w:asciiTheme="minorEastAsia" w:hAnsiTheme="minorEastAsia" w:eastAsiaTheme="minorEastAsia" w:cstheme="minorEastAsia"/>
          <w:bCs/>
          <w:color w:val="000000"/>
          <w:szCs w:val="28"/>
          <w:highlight w:val="none"/>
        </w:rPr>
        <w:t>变更内容、价格、价款、方式等须书面经甲方法定代表人签章并加盖甲方法人印章后生效。</w:t>
      </w:r>
    </w:p>
    <w:p w14:paraId="000BC7BB">
      <w:pPr>
        <w:adjustRightInd w:val="0"/>
        <w:snapToGrid w:val="0"/>
        <w:spacing w:line="560" w:lineRule="exact"/>
        <w:ind w:firstLine="560" w:firstLineChars="200"/>
        <w:rPr>
          <w:rFonts w:hint="eastAsia" w:asciiTheme="minorEastAsia" w:hAnsiTheme="minorEastAsia" w:eastAsiaTheme="minorEastAsia" w:cstheme="minorEastAsia"/>
          <w:color w:val="000000"/>
          <w:kern w:val="0"/>
          <w:szCs w:val="28"/>
          <w:highlight w:val="none"/>
        </w:rPr>
      </w:pPr>
      <w:r>
        <w:rPr>
          <w:rFonts w:hint="eastAsia" w:asciiTheme="minorEastAsia" w:hAnsiTheme="minorEastAsia" w:eastAsiaTheme="minorEastAsia" w:cstheme="minorEastAsia"/>
          <w:color w:val="000000"/>
          <w:kern w:val="0"/>
          <w:szCs w:val="28"/>
          <w:highlight w:val="none"/>
        </w:rPr>
        <w:t>3. 变更的估价原则</w:t>
      </w:r>
    </w:p>
    <w:p w14:paraId="5ECC2132">
      <w:pPr>
        <w:adjustRightInd w:val="0"/>
        <w:snapToGrid w:val="0"/>
        <w:spacing w:line="560" w:lineRule="exact"/>
        <w:ind w:firstLine="560" w:firstLineChars="200"/>
        <w:rPr>
          <w:rFonts w:hint="eastAsia" w:asciiTheme="minorEastAsia" w:hAnsiTheme="minorEastAsia" w:eastAsiaTheme="minorEastAsia" w:cstheme="minorEastAsia"/>
          <w:color w:val="000000"/>
          <w:kern w:val="0"/>
          <w:szCs w:val="28"/>
          <w:highlight w:val="none"/>
        </w:rPr>
      </w:pPr>
      <w:r>
        <w:rPr>
          <w:rFonts w:hint="eastAsia" w:asciiTheme="minorEastAsia" w:hAnsiTheme="minorEastAsia" w:eastAsiaTheme="minorEastAsia" w:cstheme="minorEastAsia"/>
          <w:color w:val="000000"/>
          <w:kern w:val="0"/>
          <w:szCs w:val="28"/>
          <w:highlight w:val="none"/>
        </w:rPr>
        <w:t>变更估价的原则：</w:t>
      </w:r>
    </w:p>
    <w:p w14:paraId="321A3932">
      <w:pPr>
        <w:spacing w:line="560" w:lineRule="exact"/>
        <w:ind w:firstLine="560" w:firstLineChars="200"/>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lang w:val="en-US" w:eastAsia="zh-CN"/>
        </w:rPr>
        <w:t>按结算办法中结算方式1~8款中所约定的计价原则执行</w:t>
      </w:r>
      <w:r>
        <w:rPr>
          <w:rFonts w:hint="eastAsia" w:asciiTheme="minorEastAsia" w:hAnsiTheme="minorEastAsia" w:eastAsiaTheme="minorEastAsia" w:cstheme="minorEastAsia"/>
          <w:color w:val="000000"/>
          <w:szCs w:val="28"/>
          <w:highlight w:val="none"/>
        </w:rPr>
        <w:t>。</w:t>
      </w:r>
    </w:p>
    <w:p w14:paraId="5CCBC392">
      <w:pPr>
        <w:spacing w:line="560" w:lineRule="exact"/>
        <w:ind w:firstLine="560" w:firstLineChars="200"/>
        <w:contextualSpacing/>
        <w:outlineLvl w:val="1"/>
        <w:rPr>
          <w:rFonts w:hint="eastAsia" w:asciiTheme="minorEastAsia" w:hAnsiTheme="minorEastAsia" w:eastAsiaTheme="minorEastAsia" w:cstheme="minorEastAsia"/>
          <w:color w:val="000000"/>
          <w:szCs w:val="28"/>
          <w:highlight w:val="none"/>
        </w:rPr>
      </w:pPr>
      <w:bookmarkStart w:id="265" w:name="_Toc17038"/>
      <w:r>
        <w:rPr>
          <w:rFonts w:hint="eastAsia" w:asciiTheme="minorEastAsia" w:hAnsiTheme="minorEastAsia" w:eastAsiaTheme="minorEastAsia" w:cstheme="minorEastAsia"/>
          <w:color w:val="000000"/>
          <w:szCs w:val="28"/>
          <w:highlight w:val="none"/>
        </w:rPr>
        <w:t>九、施工监理及验收事项</w:t>
      </w:r>
      <w:bookmarkEnd w:id="265"/>
    </w:p>
    <w:p w14:paraId="0325F387">
      <w:pPr>
        <w:spacing w:line="560" w:lineRule="exact"/>
        <w:ind w:firstLine="560" w:firstLineChars="200"/>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1. 本工程若需监理，甲方应当委托有相应资质监理单位进行。</w:t>
      </w:r>
    </w:p>
    <w:p w14:paraId="258B32C9">
      <w:pPr>
        <w:spacing w:line="560" w:lineRule="exact"/>
        <w:ind w:firstLine="560" w:firstLineChars="200"/>
        <w:contextualSpacing/>
        <w:outlineLvl w:val="1"/>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姓    名：</w:t>
      </w:r>
      <w:r>
        <w:rPr>
          <w:rFonts w:hint="eastAsia" w:asciiTheme="minorEastAsia" w:hAnsiTheme="minorEastAsia" w:eastAsiaTheme="minorEastAsia" w:cstheme="minorEastAsia"/>
          <w:color w:val="000000"/>
          <w:szCs w:val="28"/>
          <w:highlight w:val="none"/>
          <w:u w:val="single"/>
        </w:rPr>
        <w:t>/</w:t>
      </w:r>
      <w:r>
        <w:rPr>
          <w:rFonts w:hint="eastAsia" w:asciiTheme="minorEastAsia" w:hAnsiTheme="minorEastAsia" w:eastAsiaTheme="minorEastAsia" w:cstheme="minorEastAsia"/>
          <w:color w:val="000000"/>
          <w:szCs w:val="28"/>
          <w:highlight w:val="none"/>
        </w:rPr>
        <w:t>；</w:t>
      </w:r>
    </w:p>
    <w:p w14:paraId="43DAC2A9">
      <w:pPr>
        <w:spacing w:line="560" w:lineRule="exact"/>
        <w:ind w:firstLine="560" w:firstLineChars="200"/>
        <w:contextualSpacing/>
        <w:outlineLvl w:val="1"/>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职    务：</w:t>
      </w:r>
      <w:r>
        <w:rPr>
          <w:rFonts w:hint="eastAsia" w:asciiTheme="minorEastAsia" w:hAnsiTheme="minorEastAsia" w:eastAsiaTheme="minorEastAsia" w:cstheme="minorEastAsia"/>
          <w:color w:val="000000"/>
          <w:szCs w:val="28"/>
          <w:highlight w:val="none"/>
          <w:u w:val="single"/>
        </w:rPr>
        <w:t>/</w:t>
      </w:r>
      <w:r>
        <w:rPr>
          <w:rFonts w:hint="eastAsia" w:asciiTheme="minorEastAsia" w:hAnsiTheme="minorEastAsia" w:eastAsiaTheme="minorEastAsia" w:cstheme="minorEastAsia"/>
          <w:color w:val="000000"/>
          <w:szCs w:val="28"/>
          <w:highlight w:val="none"/>
        </w:rPr>
        <w:t>；</w:t>
      </w:r>
    </w:p>
    <w:p w14:paraId="4B35CC83">
      <w:pPr>
        <w:spacing w:line="560" w:lineRule="exact"/>
        <w:ind w:firstLine="560" w:firstLineChars="200"/>
        <w:contextualSpacing/>
        <w:outlineLvl w:val="1"/>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监理工程师执业资格证书号：</w:t>
      </w:r>
      <w:r>
        <w:rPr>
          <w:rFonts w:hint="eastAsia" w:asciiTheme="minorEastAsia" w:hAnsiTheme="minorEastAsia" w:eastAsiaTheme="minorEastAsia" w:cstheme="minorEastAsia"/>
          <w:color w:val="000000"/>
          <w:szCs w:val="28"/>
          <w:highlight w:val="none"/>
          <w:u w:val="single"/>
        </w:rPr>
        <w:t>/</w:t>
      </w:r>
      <w:r>
        <w:rPr>
          <w:rFonts w:hint="eastAsia" w:asciiTheme="minorEastAsia" w:hAnsiTheme="minorEastAsia" w:eastAsiaTheme="minorEastAsia" w:cstheme="minorEastAsia"/>
          <w:color w:val="000000"/>
          <w:szCs w:val="28"/>
          <w:highlight w:val="none"/>
        </w:rPr>
        <w:t>；</w:t>
      </w:r>
    </w:p>
    <w:p w14:paraId="7E534CA2">
      <w:pPr>
        <w:spacing w:line="560" w:lineRule="exact"/>
        <w:ind w:firstLine="56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color w:val="000000"/>
          <w:szCs w:val="28"/>
          <w:highlight w:val="none"/>
        </w:rPr>
        <w:t>联系方式：</w:t>
      </w:r>
      <w:r>
        <w:rPr>
          <w:rFonts w:hint="eastAsia" w:asciiTheme="minorEastAsia" w:hAnsiTheme="minorEastAsia" w:eastAsiaTheme="minorEastAsia" w:cstheme="minorEastAsia"/>
          <w:color w:val="000000"/>
          <w:szCs w:val="28"/>
          <w:highlight w:val="none"/>
          <w:u w:val="single"/>
        </w:rPr>
        <w:t>/</w:t>
      </w:r>
      <w:r>
        <w:rPr>
          <w:rFonts w:hint="eastAsia" w:asciiTheme="minorEastAsia" w:hAnsiTheme="minorEastAsia" w:eastAsiaTheme="minorEastAsia" w:cstheme="minorEastAsia"/>
          <w:color w:val="000000"/>
          <w:szCs w:val="28"/>
          <w:highlight w:val="none"/>
        </w:rPr>
        <w:t>；</w:t>
      </w:r>
    </w:p>
    <w:p w14:paraId="1A54EE86">
      <w:pPr>
        <w:spacing w:line="560" w:lineRule="exact"/>
        <w:ind w:firstLine="560" w:firstLineChars="200"/>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2. 乙方在进行隐蔽工程覆盖施工前，应当提请甲方或监理验收。甲方或监理应当在接到通知后的次日内验收。</w:t>
      </w:r>
    </w:p>
    <w:p w14:paraId="638532EB">
      <w:pPr>
        <w:spacing w:line="560" w:lineRule="exact"/>
        <w:ind w:firstLine="560" w:firstLineChars="200"/>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3. 乙方施工完毕，应当提请甲方验收。甲方组织相关单位在 5 个工作日内组织验收；验收合格由甲、乙双方签署合格确认书，验收通过后开始计算保修期。</w:t>
      </w:r>
    </w:p>
    <w:p w14:paraId="5151678B">
      <w:pPr>
        <w:spacing w:line="560" w:lineRule="exact"/>
        <w:ind w:firstLine="560" w:firstLineChars="200"/>
        <w:contextualSpacing/>
        <w:outlineLvl w:val="1"/>
        <w:rPr>
          <w:rFonts w:hint="eastAsia" w:asciiTheme="minorEastAsia" w:hAnsiTheme="minorEastAsia" w:eastAsiaTheme="minorEastAsia" w:cstheme="minorEastAsia"/>
          <w:color w:val="000000"/>
          <w:szCs w:val="28"/>
          <w:highlight w:val="none"/>
        </w:rPr>
      </w:pPr>
      <w:bookmarkStart w:id="266" w:name="_Toc28230"/>
      <w:r>
        <w:rPr>
          <w:rFonts w:hint="eastAsia" w:asciiTheme="minorEastAsia" w:hAnsiTheme="minorEastAsia" w:eastAsiaTheme="minorEastAsia" w:cstheme="minorEastAsia"/>
          <w:color w:val="000000"/>
          <w:szCs w:val="28"/>
          <w:highlight w:val="none"/>
        </w:rPr>
        <w:t>十、保修约定</w:t>
      </w:r>
      <w:bookmarkEnd w:id="266"/>
    </w:p>
    <w:p w14:paraId="4006EBB5">
      <w:pPr>
        <w:spacing w:line="560" w:lineRule="exact"/>
        <w:ind w:firstLine="560" w:firstLineChars="200"/>
        <w:rPr>
          <w:rFonts w:hint="eastAsia" w:asciiTheme="minorEastAsia" w:hAnsiTheme="minorEastAsia" w:eastAsiaTheme="minorEastAsia" w:cstheme="minorEastAsia"/>
          <w:color w:val="000000"/>
          <w:szCs w:val="28"/>
          <w:highlight w:val="none"/>
          <w:u w:val="single"/>
          <w:lang w:val="en-US" w:eastAsia="zh-CN"/>
        </w:rPr>
      </w:pPr>
      <w:bookmarkStart w:id="267" w:name="_Toc27832"/>
      <w:r>
        <w:rPr>
          <w:rFonts w:hint="eastAsia" w:asciiTheme="minorEastAsia" w:hAnsiTheme="minorEastAsia" w:eastAsiaTheme="minorEastAsia" w:cstheme="minorEastAsia"/>
          <w:color w:val="000000"/>
          <w:szCs w:val="28"/>
          <w:highlight w:val="none"/>
          <w:u w:val="single"/>
          <w:lang w:val="en-US" w:eastAsia="zh-CN"/>
        </w:rPr>
        <w:t>1.质保期按照建设工程质量管理条例相关规定执行。</w:t>
      </w:r>
    </w:p>
    <w:p w14:paraId="6FFCEC56">
      <w:pPr>
        <w:spacing w:line="560" w:lineRule="exact"/>
        <w:ind w:firstLine="560" w:firstLineChars="200"/>
        <w:rPr>
          <w:rFonts w:hint="eastAsia" w:asciiTheme="minorEastAsia" w:hAnsiTheme="minorEastAsia" w:eastAsiaTheme="minorEastAsia" w:cstheme="minorEastAsia"/>
          <w:color w:val="000000"/>
          <w:szCs w:val="28"/>
          <w:highlight w:val="none"/>
          <w:u w:val="single"/>
          <w:lang w:val="en-US" w:eastAsia="zh-CN"/>
        </w:rPr>
      </w:pPr>
      <w:r>
        <w:rPr>
          <w:rFonts w:hint="eastAsia" w:asciiTheme="minorEastAsia" w:hAnsiTheme="minorEastAsia" w:eastAsiaTheme="minorEastAsia" w:cstheme="minorEastAsia"/>
          <w:color w:val="000000"/>
          <w:szCs w:val="28"/>
          <w:highlight w:val="none"/>
          <w:u w:val="single"/>
          <w:lang w:val="en-US" w:eastAsia="zh-CN"/>
        </w:rPr>
        <w:t>（1）基础设施工程、房屋建筑的</w:t>
      </w:r>
      <w:r>
        <w:rPr>
          <w:rFonts w:hint="eastAsia" w:asciiTheme="minorEastAsia" w:hAnsiTheme="minorEastAsia" w:eastAsiaTheme="minorEastAsia" w:cstheme="minorEastAsia"/>
          <w:color w:val="000000"/>
          <w:szCs w:val="28"/>
          <w:highlight w:val="none"/>
          <w:u w:val="single"/>
          <w:lang w:val="en-US" w:eastAsia="zh-CN"/>
        </w:rPr>
        <w:fldChar w:fldCharType="begin"/>
      </w:r>
      <w:r>
        <w:rPr>
          <w:rFonts w:hint="eastAsia" w:asciiTheme="minorEastAsia" w:hAnsiTheme="minorEastAsia" w:eastAsiaTheme="minorEastAsia" w:cstheme="minorEastAsia"/>
          <w:color w:val="000000"/>
          <w:szCs w:val="28"/>
          <w:highlight w:val="none"/>
          <w:u w:val="single"/>
          <w:lang w:val="en-US" w:eastAsia="zh-CN"/>
        </w:rPr>
        <w:instrText xml:space="preserve"> HYPERLINK "https://baike.so.com/doc/5421948-5660139.html" \t "_blank" </w:instrText>
      </w:r>
      <w:r>
        <w:rPr>
          <w:rFonts w:hint="eastAsia" w:asciiTheme="minorEastAsia" w:hAnsiTheme="minorEastAsia" w:eastAsiaTheme="minorEastAsia" w:cstheme="minorEastAsia"/>
          <w:color w:val="000000"/>
          <w:szCs w:val="28"/>
          <w:highlight w:val="none"/>
          <w:u w:val="single"/>
          <w:lang w:val="en-US" w:eastAsia="zh-CN"/>
        </w:rPr>
        <w:fldChar w:fldCharType="separate"/>
      </w:r>
      <w:r>
        <w:rPr>
          <w:rFonts w:hint="eastAsia" w:asciiTheme="minorEastAsia" w:hAnsiTheme="minorEastAsia" w:eastAsiaTheme="minorEastAsia" w:cstheme="minorEastAsia"/>
          <w:color w:val="000000"/>
          <w:szCs w:val="28"/>
          <w:highlight w:val="none"/>
          <w:u w:val="single"/>
          <w:lang w:val="en-US" w:eastAsia="zh-CN"/>
        </w:rPr>
        <w:t>地基基础工程</w:t>
      </w:r>
      <w:r>
        <w:rPr>
          <w:rFonts w:hint="eastAsia" w:asciiTheme="minorEastAsia" w:hAnsiTheme="minorEastAsia" w:eastAsiaTheme="minorEastAsia" w:cstheme="minorEastAsia"/>
          <w:color w:val="000000"/>
          <w:szCs w:val="28"/>
          <w:highlight w:val="none"/>
          <w:u w:val="single"/>
          <w:lang w:val="en-US" w:eastAsia="zh-CN"/>
        </w:rPr>
        <w:fldChar w:fldCharType="end"/>
      </w:r>
      <w:r>
        <w:rPr>
          <w:rFonts w:hint="eastAsia" w:asciiTheme="minorEastAsia" w:hAnsiTheme="minorEastAsia" w:eastAsiaTheme="minorEastAsia" w:cstheme="minorEastAsia"/>
          <w:color w:val="000000"/>
          <w:szCs w:val="28"/>
          <w:highlight w:val="none"/>
          <w:u w:val="single"/>
          <w:lang w:val="en-US" w:eastAsia="zh-CN"/>
        </w:rPr>
        <w:t>和主体结构工程，为设计文件规定的该工程的合理使用年限;</w:t>
      </w:r>
    </w:p>
    <w:p w14:paraId="6637BDB7">
      <w:pPr>
        <w:spacing w:line="560" w:lineRule="exact"/>
        <w:ind w:firstLine="560" w:firstLineChars="200"/>
        <w:rPr>
          <w:rFonts w:hint="eastAsia" w:asciiTheme="minorEastAsia" w:hAnsiTheme="minorEastAsia" w:eastAsiaTheme="minorEastAsia" w:cstheme="minorEastAsia"/>
          <w:color w:val="000000"/>
          <w:szCs w:val="28"/>
          <w:highlight w:val="none"/>
          <w:u w:val="single"/>
          <w:lang w:val="en-US" w:eastAsia="zh-CN"/>
        </w:rPr>
      </w:pPr>
      <w:r>
        <w:rPr>
          <w:rFonts w:hint="eastAsia" w:asciiTheme="minorEastAsia" w:hAnsiTheme="minorEastAsia" w:eastAsiaTheme="minorEastAsia" w:cstheme="minorEastAsia"/>
          <w:color w:val="000000"/>
          <w:szCs w:val="28"/>
          <w:highlight w:val="none"/>
          <w:u w:val="single"/>
          <w:lang w:val="en-US" w:eastAsia="zh-CN"/>
        </w:rPr>
        <w:t>（2）屋面防水工程、有防水要求的卫生间、房间和外墙面的防渗漏，为5年;</w:t>
      </w:r>
    </w:p>
    <w:p w14:paraId="4E30CE9E">
      <w:pPr>
        <w:spacing w:line="560" w:lineRule="exact"/>
        <w:ind w:firstLine="560" w:firstLineChars="200"/>
        <w:rPr>
          <w:rFonts w:hint="eastAsia" w:asciiTheme="minorEastAsia" w:hAnsiTheme="minorEastAsia" w:eastAsiaTheme="minorEastAsia" w:cstheme="minorEastAsia"/>
          <w:color w:val="000000"/>
          <w:szCs w:val="28"/>
          <w:highlight w:val="none"/>
          <w:u w:val="single"/>
          <w:lang w:val="en-US" w:eastAsia="zh-CN"/>
        </w:rPr>
      </w:pPr>
      <w:r>
        <w:rPr>
          <w:rFonts w:hint="eastAsia" w:asciiTheme="minorEastAsia" w:hAnsiTheme="minorEastAsia" w:eastAsiaTheme="minorEastAsia" w:cstheme="minorEastAsia"/>
          <w:color w:val="000000"/>
          <w:szCs w:val="28"/>
          <w:highlight w:val="none"/>
          <w:u w:val="single"/>
          <w:lang w:val="en-US" w:eastAsia="zh-CN"/>
        </w:rPr>
        <w:t>（3）供热与供冷系统，为2个采暖期、供冷期;</w:t>
      </w:r>
    </w:p>
    <w:p w14:paraId="5B74C7C4">
      <w:pPr>
        <w:spacing w:line="560" w:lineRule="exact"/>
        <w:ind w:firstLine="560" w:firstLineChars="200"/>
        <w:rPr>
          <w:rFonts w:hint="eastAsia" w:asciiTheme="minorEastAsia" w:hAnsiTheme="minorEastAsia" w:eastAsiaTheme="minorEastAsia" w:cstheme="minorEastAsia"/>
          <w:color w:val="000000"/>
          <w:szCs w:val="28"/>
          <w:highlight w:val="none"/>
          <w:u w:val="single"/>
          <w:lang w:val="en-US" w:eastAsia="zh-CN"/>
        </w:rPr>
      </w:pPr>
      <w:r>
        <w:rPr>
          <w:rFonts w:hint="eastAsia" w:asciiTheme="minorEastAsia" w:hAnsiTheme="minorEastAsia" w:eastAsiaTheme="minorEastAsia" w:cstheme="minorEastAsia"/>
          <w:color w:val="000000"/>
          <w:szCs w:val="28"/>
          <w:highlight w:val="none"/>
          <w:u w:val="single"/>
          <w:lang w:val="en-US" w:eastAsia="zh-CN"/>
        </w:rPr>
        <w:t>（4）电气管线、给排水管道、设备安装和装修工程，为2年。</w:t>
      </w:r>
    </w:p>
    <w:p w14:paraId="18235D76">
      <w:pPr>
        <w:spacing w:line="560" w:lineRule="exact"/>
        <w:ind w:firstLine="560" w:firstLineChars="200"/>
        <w:rPr>
          <w:rFonts w:hint="eastAsia" w:asciiTheme="minorEastAsia" w:hAnsiTheme="minorEastAsia" w:eastAsiaTheme="minorEastAsia" w:cstheme="minorEastAsia"/>
          <w:color w:val="000000"/>
          <w:szCs w:val="28"/>
          <w:highlight w:val="none"/>
          <w:u w:val="single"/>
          <w:lang w:val="en-US" w:eastAsia="zh-CN"/>
        </w:rPr>
      </w:pPr>
      <w:r>
        <w:rPr>
          <w:rFonts w:hint="eastAsia" w:asciiTheme="minorEastAsia" w:hAnsiTheme="minorEastAsia" w:eastAsiaTheme="minorEastAsia" w:cstheme="minorEastAsia"/>
          <w:color w:val="000000"/>
          <w:szCs w:val="28"/>
          <w:highlight w:val="none"/>
          <w:u w:val="single"/>
          <w:lang w:val="en-US" w:eastAsia="zh-CN"/>
        </w:rPr>
        <w:t>2.乙方应按法律、法规和行业要求以对在质保期内的工程承担免费保修责任。</w:t>
      </w:r>
    </w:p>
    <w:p w14:paraId="0D09512D">
      <w:pPr>
        <w:spacing w:line="560" w:lineRule="exact"/>
        <w:ind w:firstLine="560" w:firstLineChars="200"/>
        <w:rPr>
          <w:rFonts w:hint="eastAsia" w:asciiTheme="minorEastAsia" w:hAnsiTheme="minorEastAsia" w:eastAsiaTheme="minorEastAsia" w:cstheme="minorEastAsia"/>
          <w:color w:val="000000"/>
          <w:szCs w:val="28"/>
          <w:highlight w:val="none"/>
          <w:u w:val="single"/>
          <w:lang w:val="en-US" w:eastAsia="zh-CN"/>
        </w:rPr>
      </w:pPr>
      <w:r>
        <w:rPr>
          <w:rFonts w:hint="eastAsia" w:asciiTheme="minorEastAsia" w:hAnsiTheme="minorEastAsia" w:eastAsiaTheme="minorEastAsia" w:cstheme="minorEastAsia"/>
          <w:color w:val="000000"/>
          <w:szCs w:val="28"/>
          <w:highlight w:val="none"/>
          <w:u w:val="single"/>
          <w:lang w:val="en-US" w:eastAsia="zh-CN"/>
        </w:rPr>
        <w:t>3.乙方应按规定的货物性能、技术要求、质量标准向甲方提供未经使用的全新产品。</w:t>
      </w:r>
    </w:p>
    <w:p w14:paraId="4B7B76E7">
      <w:pPr>
        <w:spacing w:line="560" w:lineRule="exact"/>
        <w:ind w:firstLine="560" w:firstLineChars="200"/>
        <w:rPr>
          <w:rFonts w:hint="eastAsia" w:asciiTheme="minorEastAsia" w:hAnsiTheme="minorEastAsia" w:eastAsiaTheme="minorEastAsia" w:cstheme="minorEastAsia"/>
          <w:color w:val="000000"/>
          <w:szCs w:val="28"/>
          <w:highlight w:val="none"/>
          <w:u w:val="single"/>
          <w:lang w:val="en-US" w:eastAsia="zh-CN"/>
        </w:rPr>
      </w:pPr>
      <w:r>
        <w:rPr>
          <w:rFonts w:hint="eastAsia" w:asciiTheme="minorEastAsia" w:hAnsiTheme="minorEastAsia" w:eastAsiaTheme="minorEastAsia" w:cstheme="minorEastAsia"/>
          <w:color w:val="000000"/>
          <w:szCs w:val="28"/>
          <w:highlight w:val="none"/>
          <w:u w:val="single"/>
          <w:lang w:val="en-US" w:eastAsia="zh-CN"/>
        </w:rPr>
        <w:t>4.乙方承诺延长质保期的，按实际质保期限执行。</w:t>
      </w:r>
    </w:p>
    <w:p w14:paraId="727C3D8D">
      <w:pPr>
        <w:spacing w:line="560" w:lineRule="exact"/>
        <w:ind w:firstLine="560" w:firstLineChars="200"/>
        <w:rPr>
          <w:rFonts w:hint="eastAsia" w:asciiTheme="minorEastAsia" w:hAnsiTheme="minorEastAsia" w:eastAsiaTheme="minorEastAsia" w:cstheme="minorEastAsia"/>
          <w:color w:val="000000"/>
          <w:szCs w:val="28"/>
          <w:highlight w:val="none"/>
          <w:u w:val="single"/>
          <w:lang w:val="en-US" w:eastAsia="zh-CN"/>
        </w:rPr>
      </w:pPr>
      <w:r>
        <w:rPr>
          <w:rFonts w:hint="eastAsia" w:asciiTheme="minorEastAsia" w:hAnsiTheme="minorEastAsia" w:eastAsiaTheme="minorEastAsia" w:cstheme="minorEastAsia"/>
          <w:color w:val="000000"/>
          <w:szCs w:val="28"/>
          <w:highlight w:val="none"/>
          <w:u w:val="single"/>
          <w:lang w:val="en-US" w:eastAsia="zh-CN"/>
        </w:rPr>
        <w:t>5.质保期自单项工程验收合格之日起计算。</w:t>
      </w:r>
    </w:p>
    <w:p w14:paraId="4E779E70">
      <w:pPr>
        <w:spacing w:line="560" w:lineRule="exact"/>
        <w:ind w:firstLine="560" w:firstLineChars="200"/>
        <w:contextualSpacing/>
        <w:outlineLvl w:val="1"/>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十一、违约责任</w:t>
      </w:r>
      <w:bookmarkEnd w:id="267"/>
    </w:p>
    <w:p w14:paraId="5C9BA334">
      <w:pPr>
        <w:spacing w:line="560" w:lineRule="exact"/>
        <w:ind w:firstLine="560" w:firstLineChars="200"/>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1. 因甲方违约并致使合同目的不能实现的，乙方有权解除合同：</w:t>
      </w:r>
    </w:p>
    <w:p w14:paraId="266F77B8">
      <w:pPr>
        <w:spacing w:line="560" w:lineRule="exact"/>
        <w:ind w:firstLine="560" w:firstLineChars="200"/>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（1）除不可抗力、政策外，因甲方原因延迟支付合同价款超过180天的；</w:t>
      </w:r>
    </w:p>
    <w:p w14:paraId="5E50ED6B">
      <w:pPr>
        <w:spacing w:line="560" w:lineRule="exact"/>
        <w:ind w:firstLine="560" w:firstLineChars="200"/>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（2）除不可抗力、政策外，因甲方原因导致工期延误超过90天的；</w:t>
      </w:r>
    </w:p>
    <w:p w14:paraId="752835CB">
      <w:pPr>
        <w:spacing w:line="560" w:lineRule="exact"/>
        <w:ind w:firstLine="560" w:firstLineChars="200"/>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（3）除不可抗力、政策外，因甲方原因导致暂停施工满56天，经乙方催告后，甲方无合理解释且未纠正其违约行为的；</w:t>
      </w:r>
    </w:p>
    <w:p w14:paraId="526FBC5B">
      <w:pPr>
        <w:spacing w:line="560" w:lineRule="exact"/>
        <w:ind w:firstLine="560" w:firstLineChars="200"/>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（4）其他未履行合同项下的义务构成对合同的实质性违约，并且在收到乙方要求说明其违约并予以补救的通知后56天内仍未补救该实质性违约的。</w:t>
      </w:r>
    </w:p>
    <w:p w14:paraId="51F6893A">
      <w:pPr>
        <w:spacing w:line="560" w:lineRule="exact"/>
        <w:ind w:firstLine="560" w:firstLineChars="200"/>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2. 因甲方违约解除合同，甲方应在解除合同后28天内支付下列款项：</w:t>
      </w:r>
    </w:p>
    <w:p w14:paraId="00F9B1E2">
      <w:pPr>
        <w:spacing w:line="560" w:lineRule="exact"/>
        <w:ind w:firstLine="560" w:firstLineChars="200"/>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（1）合同解除前所完成工作的价款；</w:t>
      </w:r>
    </w:p>
    <w:p w14:paraId="355412BC">
      <w:pPr>
        <w:spacing w:line="560" w:lineRule="exact"/>
        <w:ind w:firstLine="560" w:firstLineChars="200"/>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（2）乙方为工程施工订购并已付款的材料、工程设备和其他物品的价款；</w:t>
      </w:r>
    </w:p>
    <w:p w14:paraId="2A9A4800">
      <w:pPr>
        <w:spacing w:line="560" w:lineRule="exact"/>
        <w:ind w:firstLine="560" w:firstLineChars="200"/>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（3）按照合同约定应退还的履约保证金；</w:t>
      </w:r>
    </w:p>
    <w:p w14:paraId="6374A75D">
      <w:pPr>
        <w:spacing w:line="560" w:lineRule="exact"/>
        <w:ind w:firstLine="56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000000"/>
          <w:szCs w:val="28"/>
          <w:highlight w:val="none"/>
        </w:rPr>
        <w:t>3. 乙方</w:t>
      </w:r>
      <w:r>
        <w:rPr>
          <w:rFonts w:hint="eastAsia" w:asciiTheme="minorEastAsia" w:hAnsiTheme="minorEastAsia" w:eastAsiaTheme="minorEastAsia" w:cstheme="minorEastAsia"/>
          <w:color w:val="auto"/>
          <w:szCs w:val="28"/>
          <w:highlight w:val="none"/>
        </w:rPr>
        <w:t>违约的情形</w:t>
      </w:r>
    </w:p>
    <w:p w14:paraId="4ADE58DE">
      <w:pPr>
        <w:spacing w:line="560" w:lineRule="exact"/>
        <w:ind w:firstLine="56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如乙方出现下列情形违约情形的，甲方有权要求乙方承担违约金；即按照已经支付工程款的30%向甲方支付违约金；如违约金低于人民币5万元的，则违约金按照人民币5万元计算；如违约金低于乙方违约行为给甲方造成的实际损失的，则以甲方的实际损失金额确定违约金。</w:t>
      </w:r>
    </w:p>
    <w:p w14:paraId="08B66023">
      <w:pPr>
        <w:spacing w:line="560" w:lineRule="exact"/>
        <w:ind w:firstLine="560" w:firstLineChars="200"/>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auto"/>
          <w:szCs w:val="28"/>
          <w:highlight w:val="none"/>
        </w:rPr>
        <w:t>另外，由此给甲方造成的损失、按照《</w:t>
      </w:r>
      <w:r>
        <w:rPr>
          <w:rFonts w:hint="eastAsia" w:asciiTheme="minorEastAsia" w:hAnsiTheme="minorEastAsia" w:eastAsiaTheme="minorEastAsia" w:cstheme="minorEastAsia"/>
          <w:color w:val="000000"/>
          <w:szCs w:val="28"/>
          <w:highlight w:val="none"/>
        </w:rPr>
        <w:t>重庆中医药学院工程管理负面清单》承担违约责任并无条件整改和解除合同：</w:t>
      </w:r>
    </w:p>
    <w:p w14:paraId="4A7DDAFC">
      <w:pPr>
        <w:spacing w:line="560" w:lineRule="exact"/>
        <w:ind w:firstLine="560" w:firstLineChars="200"/>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（1）乙方违反合同约定进行转包或违法分包的；</w:t>
      </w:r>
    </w:p>
    <w:p w14:paraId="16E6A605">
      <w:pPr>
        <w:spacing w:line="560" w:lineRule="exact"/>
        <w:ind w:firstLine="560" w:firstLineChars="200"/>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（2）乙方违反合同约定采购和使用不合格的材料和工程设备的；</w:t>
      </w:r>
    </w:p>
    <w:p w14:paraId="28C1689E">
      <w:pPr>
        <w:spacing w:line="560" w:lineRule="exact"/>
        <w:ind w:firstLine="560" w:firstLineChars="200"/>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（3）甲方在施工过程中的日常工程质量检查和分部工程（分项工程）质量验收时，若甲方发现乙方工程质量不合格；乙方施工的工程内容全部竣工后，工程质量正式验收前，工程整体质量若达不到合格标准，</w:t>
      </w:r>
    </w:p>
    <w:p w14:paraId="2595C6DB">
      <w:pPr>
        <w:spacing w:line="560" w:lineRule="exact"/>
        <w:ind w:firstLine="56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color w:val="000000"/>
          <w:szCs w:val="28"/>
          <w:highlight w:val="none"/>
        </w:rPr>
        <w:t>（4）社会媒体曝光或市民投诉存在工程质量、安全、环保问题经核实后情况属实；</w:t>
      </w:r>
    </w:p>
    <w:p w14:paraId="049FFE65">
      <w:pPr>
        <w:spacing w:line="560" w:lineRule="exact"/>
        <w:ind w:firstLine="560" w:firstLineChars="200"/>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（5）未经甲方批准，私自将已按照合同约定进入施工现场的材料或设备撤离施工现场的；</w:t>
      </w:r>
    </w:p>
    <w:p w14:paraId="633DE00C">
      <w:pPr>
        <w:spacing w:line="560" w:lineRule="exact"/>
        <w:ind w:firstLine="560" w:firstLineChars="200"/>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（6）乙方未能按施工进度计划及时完成合同约定的工作，造成工期延误的；</w:t>
      </w:r>
    </w:p>
    <w:p w14:paraId="6F12D40A">
      <w:pPr>
        <w:spacing w:line="560" w:lineRule="exact"/>
        <w:ind w:firstLine="560" w:firstLineChars="200"/>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（7）乙方在保修期内，未能在合理期限对工程缺陷进行修复，或拒绝按甲方要求进行修复的；</w:t>
      </w:r>
    </w:p>
    <w:p w14:paraId="5E6108EB">
      <w:pPr>
        <w:spacing w:line="560" w:lineRule="exact"/>
        <w:ind w:firstLine="560" w:firstLineChars="200"/>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（8）由于乙方原因导致工人劳务纠纷、治安事件不能控制（如爬塔吊、聚众闹事等），影响了甲方声誉和形象，</w:t>
      </w:r>
    </w:p>
    <w:p w14:paraId="3CB6D22E">
      <w:pPr>
        <w:spacing w:line="560" w:lineRule="exact"/>
        <w:ind w:firstLine="560" w:firstLineChars="200"/>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（9）乙方明确表示或者以其行为表明不履行合同主要义务的；</w:t>
      </w:r>
    </w:p>
    <w:p w14:paraId="03870486">
      <w:pPr>
        <w:spacing w:line="560" w:lineRule="exact"/>
        <w:ind w:firstLine="560" w:firstLineChars="200"/>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（10）乙方未能按照合同约定履行其他义务的。</w:t>
      </w:r>
    </w:p>
    <w:p w14:paraId="7F206DF8">
      <w:pPr>
        <w:spacing w:line="560" w:lineRule="exact"/>
        <w:ind w:firstLine="560" w:firstLineChars="200"/>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合同解除后，乙方应按照甲方要求和监理人的指示完成现场的清理和撤离；甲方和乙方应在合同解除后查清各项付款和已扣款项进行清算。</w:t>
      </w:r>
    </w:p>
    <w:p w14:paraId="201C61FE">
      <w:pPr>
        <w:spacing w:line="560" w:lineRule="exact"/>
        <w:ind w:firstLine="560" w:firstLineChars="200"/>
        <w:contextualSpacing/>
        <w:outlineLvl w:val="1"/>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十二、合同权益转让</w:t>
      </w:r>
    </w:p>
    <w:p w14:paraId="35037528">
      <w:pPr>
        <w:spacing w:line="560" w:lineRule="exact"/>
        <w:ind w:firstLine="560" w:firstLineChars="200"/>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因乙方违约解除合同的，甲方有权要求乙方将其为实施合同而签订的材料和设备的采购合同的权益转让给甲方，乙方应在收到解除合同通知后14天内，协助甲方与采购合同的供应商达成相关的转让协议。</w:t>
      </w:r>
    </w:p>
    <w:p w14:paraId="63141AA4">
      <w:pPr>
        <w:spacing w:line="560" w:lineRule="exact"/>
        <w:ind w:firstLine="560" w:firstLineChars="200"/>
        <w:contextualSpacing/>
        <w:outlineLvl w:val="1"/>
        <w:rPr>
          <w:rFonts w:hint="eastAsia" w:asciiTheme="minorEastAsia" w:hAnsiTheme="minorEastAsia" w:eastAsiaTheme="minorEastAsia" w:cstheme="minorEastAsia"/>
          <w:color w:val="000000"/>
          <w:szCs w:val="28"/>
          <w:highlight w:val="none"/>
        </w:rPr>
      </w:pPr>
      <w:bookmarkStart w:id="268" w:name="_Toc11647"/>
      <w:r>
        <w:rPr>
          <w:rFonts w:hint="eastAsia" w:asciiTheme="minorEastAsia" w:hAnsiTheme="minorEastAsia" w:eastAsiaTheme="minorEastAsia" w:cstheme="minorEastAsia"/>
          <w:color w:val="000000"/>
          <w:szCs w:val="28"/>
          <w:highlight w:val="none"/>
        </w:rPr>
        <w:t>十三、合同争议解决</w:t>
      </w:r>
      <w:bookmarkEnd w:id="268"/>
    </w:p>
    <w:p w14:paraId="42C564EB">
      <w:pPr>
        <w:spacing w:line="560" w:lineRule="exact"/>
        <w:ind w:firstLine="560" w:firstLineChars="200"/>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因履行本合同发生的争议，由当事人双方协商解决，协商不成，交由甲方所在人民法院依法审判。</w:t>
      </w:r>
    </w:p>
    <w:p w14:paraId="1F7DC696">
      <w:pPr>
        <w:spacing w:line="560" w:lineRule="exact"/>
        <w:ind w:firstLine="560" w:firstLineChars="200"/>
        <w:contextualSpacing/>
        <w:outlineLvl w:val="1"/>
        <w:rPr>
          <w:rFonts w:hint="eastAsia" w:asciiTheme="minorEastAsia" w:hAnsiTheme="minorEastAsia" w:eastAsiaTheme="minorEastAsia" w:cstheme="minorEastAsia"/>
          <w:color w:val="000000"/>
          <w:szCs w:val="28"/>
          <w:highlight w:val="none"/>
        </w:rPr>
      </w:pPr>
      <w:bookmarkStart w:id="269" w:name="_Toc13315"/>
      <w:r>
        <w:rPr>
          <w:rFonts w:hint="eastAsia" w:asciiTheme="minorEastAsia" w:hAnsiTheme="minorEastAsia" w:eastAsiaTheme="minorEastAsia" w:cstheme="minorEastAsia"/>
          <w:color w:val="000000"/>
          <w:szCs w:val="28"/>
          <w:highlight w:val="none"/>
        </w:rPr>
        <w:t>十四、其它</w:t>
      </w:r>
      <w:bookmarkEnd w:id="269"/>
    </w:p>
    <w:p w14:paraId="68A551AB">
      <w:pPr>
        <w:spacing w:line="560" w:lineRule="exact"/>
        <w:ind w:firstLine="560" w:firstLineChars="200"/>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1. 本合同对应招标文件、答疑及补充通知乙方文件和投标文件均为本合同的组成部分。</w:t>
      </w:r>
    </w:p>
    <w:p w14:paraId="70DAE3DB">
      <w:pPr>
        <w:spacing w:line="560" w:lineRule="exact"/>
        <w:ind w:firstLine="560" w:firstLineChars="200"/>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2. 本合同未尽事宜，双方另行协商解决，合同附件、双方往来文件、会议纪要等书面协议或文件作为合同的组成部分，具有同等法律效力。</w:t>
      </w:r>
    </w:p>
    <w:p w14:paraId="0C536003">
      <w:pPr>
        <w:spacing w:line="560" w:lineRule="exact"/>
        <w:ind w:firstLine="560" w:firstLineChars="200"/>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3. 本合同一式</w:t>
      </w:r>
      <w:r>
        <w:rPr>
          <w:rFonts w:hint="eastAsia" w:asciiTheme="minorEastAsia" w:hAnsiTheme="minorEastAsia" w:eastAsiaTheme="minorEastAsia" w:cstheme="minorEastAsia"/>
          <w:color w:val="000000"/>
          <w:szCs w:val="28"/>
          <w:highlight w:val="none"/>
          <w:u w:val="single"/>
        </w:rPr>
        <w:t>陆</w:t>
      </w:r>
      <w:r>
        <w:rPr>
          <w:rFonts w:hint="eastAsia" w:asciiTheme="minorEastAsia" w:hAnsiTheme="minorEastAsia" w:eastAsiaTheme="minorEastAsia" w:cstheme="minorEastAsia"/>
          <w:color w:val="000000"/>
          <w:szCs w:val="28"/>
          <w:highlight w:val="none"/>
        </w:rPr>
        <w:t>份，甲执</w:t>
      </w:r>
      <w:r>
        <w:rPr>
          <w:rFonts w:hint="eastAsia" w:asciiTheme="minorEastAsia" w:hAnsiTheme="minorEastAsia" w:eastAsiaTheme="minorEastAsia" w:cstheme="minorEastAsia"/>
          <w:color w:val="000000"/>
          <w:szCs w:val="28"/>
          <w:highlight w:val="none"/>
          <w:u w:val="single"/>
        </w:rPr>
        <w:t>肆</w:t>
      </w:r>
      <w:r>
        <w:rPr>
          <w:rFonts w:hint="eastAsia" w:asciiTheme="minorEastAsia" w:hAnsiTheme="minorEastAsia" w:eastAsiaTheme="minorEastAsia" w:cstheme="minorEastAsia"/>
          <w:color w:val="000000"/>
          <w:szCs w:val="28"/>
          <w:highlight w:val="none"/>
        </w:rPr>
        <w:t>份，乙方</w:t>
      </w:r>
      <w:r>
        <w:rPr>
          <w:rFonts w:hint="eastAsia" w:asciiTheme="minorEastAsia" w:hAnsiTheme="minorEastAsia" w:eastAsiaTheme="minorEastAsia" w:cstheme="minorEastAsia"/>
          <w:color w:val="000000"/>
          <w:szCs w:val="28"/>
          <w:highlight w:val="none"/>
          <w:u w:val="single"/>
        </w:rPr>
        <w:t>贰</w:t>
      </w:r>
      <w:r>
        <w:rPr>
          <w:rFonts w:hint="eastAsia" w:asciiTheme="minorEastAsia" w:hAnsiTheme="minorEastAsia" w:eastAsiaTheme="minorEastAsia" w:cstheme="minorEastAsia"/>
          <w:color w:val="000000"/>
          <w:szCs w:val="28"/>
          <w:highlight w:val="none"/>
        </w:rPr>
        <w:t>份，具有同等法律效力。</w:t>
      </w:r>
    </w:p>
    <w:p w14:paraId="4A9D8483">
      <w:pPr>
        <w:spacing w:line="560" w:lineRule="exact"/>
        <w:ind w:firstLine="560" w:firstLineChars="200"/>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（以下无正文）</w:t>
      </w:r>
    </w:p>
    <w:p w14:paraId="3EC85D25">
      <w:pPr>
        <w:spacing w:line="560" w:lineRule="exact"/>
        <w:ind w:firstLine="560" w:firstLineChars="200"/>
        <w:rPr>
          <w:rFonts w:hint="eastAsia" w:asciiTheme="minorEastAsia" w:hAnsiTheme="minorEastAsia" w:eastAsiaTheme="minorEastAsia" w:cstheme="minorEastAsia"/>
          <w:color w:val="000000"/>
          <w:szCs w:val="28"/>
          <w:highlight w:val="none"/>
        </w:rPr>
      </w:pPr>
    </w:p>
    <w:p w14:paraId="4AB9DDE9">
      <w:pPr>
        <w:spacing w:line="560" w:lineRule="exact"/>
        <w:ind w:firstLine="560" w:firstLineChars="200"/>
        <w:rPr>
          <w:rFonts w:hint="eastAsia" w:asciiTheme="minorEastAsia" w:hAnsiTheme="minorEastAsia" w:eastAsiaTheme="minorEastAsia" w:cstheme="minorEastAsia"/>
          <w:color w:val="000000"/>
          <w:szCs w:val="28"/>
          <w:highlight w:val="none"/>
        </w:rPr>
      </w:pPr>
    </w:p>
    <w:p w14:paraId="6ADC8808">
      <w:pPr>
        <w:spacing w:line="560" w:lineRule="exact"/>
        <w:ind w:firstLine="560" w:firstLineChars="200"/>
        <w:rPr>
          <w:rFonts w:hint="eastAsia" w:asciiTheme="minorEastAsia" w:hAnsiTheme="minorEastAsia" w:eastAsiaTheme="minorEastAsia" w:cstheme="minorEastAsia"/>
          <w:color w:val="000000"/>
          <w:szCs w:val="28"/>
          <w:highlight w:val="none"/>
        </w:rPr>
      </w:pPr>
    </w:p>
    <w:tbl>
      <w:tblPr>
        <w:tblStyle w:val="58"/>
        <w:tblW w:w="9331" w:type="dxa"/>
        <w:jc w:val="center"/>
        <w:tblLayout w:type="autofit"/>
        <w:tblCellMar>
          <w:top w:w="0" w:type="dxa"/>
          <w:left w:w="108" w:type="dxa"/>
          <w:bottom w:w="0" w:type="dxa"/>
          <w:right w:w="108" w:type="dxa"/>
        </w:tblCellMar>
      </w:tblPr>
      <w:tblGrid>
        <w:gridCol w:w="4489"/>
        <w:gridCol w:w="4842"/>
      </w:tblGrid>
      <w:tr w14:paraId="39C1D062">
        <w:tblPrEx>
          <w:tblCellMar>
            <w:top w:w="0" w:type="dxa"/>
            <w:left w:w="108" w:type="dxa"/>
            <w:bottom w:w="0" w:type="dxa"/>
            <w:right w:w="108" w:type="dxa"/>
          </w:tblCellMar>
        </w:tblPrEx>
        <w:trPr>
          <w:trHeight w:val="915" w:hRule="atLeast"/>
          <w:jc w:val="center"/>
        </w:trPr>
        <w:tc>
          <w:tcPr>
            <w:tcW w:w="4489" w:type="dxa"/>
            <w:tcBorders>
              <w:tl2br w:val="nil"/>
              <w:tr2bl w:val="nil"/>
            </w:tcBorders>
            <w:noWrap w:val="0"/>
            <w:vAlign w:val="top"/>
          </w:tcPr>
          <w:p w14:paraId="210E019A">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甲    方：重庆中医药学院</w:t>
            </w:r>
          </w:p>
        </w:tc>
        <w:tc>
          <w:tcPr>
            <w:tcW w:w="4842" w:type="dxa"/>
            <w:tcBorders>
              <w:tl2br w:val="nil"/>
              <w:tr2bl w:val="nil"/>
            </w:tcBorders>
            <w:noWrap w:val="0"/>
            <w:vAlign w:val="top"/>
          </w:tcPr>
          <w:p w14:paraId="0F8EF141">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乙    方：</w:t>
            </w:r>
          </w:p>
        </w:tc>
      </w:tr>
      <w:tr w14:paraId="41048B12">
        <w:tblPrEx>
          <w:tblCellMar>
            <w:top w:w="0" w:type="dxa"/>
            <w:left w:w="108" w:type="dxa"/>
            <w:bottom w:w="0" w:type="dxa"/>
            <w:right w:w="108" w:type="dxa"/>
          </w:tblCellMar>
        </w:tblPrEx>
        <w:trPr>
          <w:trHeight w:val="745" w:hRule="atLeast"/>
          <w:jc w:val="center"/>
        </w:trPr>
        <w:tc>
          <w:tcPr>
            <w:tcW w:w="4489" w:type="dxa"/>
            <w:tcBorders>
              <w:tl2br w:val="nil"/>
              <w:tr2bl w:val="nil"/>
            </w:tcBorders>
            <w:noWrap w:val="0"/>
            <w:vAlign w:val="top"/>
          </w:tcPr>
          <w:p w14:paraId="3B0D6E38">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法人代表人</w:t>
            </w:r>
          </w:p>
          <w:p w14:paraId="4FA9E8E0">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或委托代理人（签字）：</w:t>
            </w:r>
          </w:p>
          <w:p w14:paraId="37ED4AB6">
            <w:pPr>
              <w:pStyle w:val="38"/>
              <w:spacing w:line="560" w:lineRule="exact"/>
              <w:rPr>
                <w:rFonts w:hint="eastAsia" w:asciiTheme="minorEastAsia" w:hAnsiTheme="minorEastAsia" w:eastAsiaTheme="minorEastAsia" w:cstheme="minorEastAsia"/>
                <w:sz w:val="28"/>
                <w:szCs w:val="28"/>
                <w:highlight w:val="none"/>
              </w:rPr>
            </w:pPr>
          </w:p>
        </w:tc>
        <w:tc>
          <w:tcPr>
            <w:tcW w:w="4842" w:type="dxa"/>
            <w:tcBorders>
              <w:tl2br w:val="nil"/>
              <w:tr2bl w:val="nil"/>
            </w:tcBorders>
            <w:noWrap w:val="0"/>
            <w:vAlign w:val="top"/>
          </w:tcPr>
          <w:p w14:paraId="7785EEBB">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法人代表人</w:t>
            </w:r>
          </w:p>
          <w:p w14:paraId="6F5A3C11">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或委托代理人（签字）：</w:t>
            </w:r>
          </w:p>
          <w:p w14:paraId="5647D450">
            <w:pPr>
              <w:pStyle w:val="2"/>
              <w:rPr>
                <w:rFonts w:hint="eastAsia" w:asciiTheme="minorEastAsia" w:hAnsiTheme="minorEastAsia" w:eastAsiaTheme="minorEastAsia" w:cstheme="minorEastAsia"/>
                <w:highlight w:val="none"/>
              </w:rPr>
            </w:pPr>
          </w:p>
        </w:tc>
      </w:tr>
      <w:tr w14:paraId="50B0DB60">
        <w:tblPrEx>
          <w:tblCellMar>
            <w:top w:w="0" w:type="dxa"/>
            <w:left w:w="108" w:type="dxa"/>
            <w:bottom w:w="0" w:type="dxa"/>
            <w:right w:w="108" w:type="dxa"/>
          </w:tblCellMar>
        </w:tblPrEx>
        <w:trPr>
          <w:trHeight w:val="664" w:hRule="atLeast"/>
          <w:jc w:val="center"/>
        </w:trPr>
        <w:tc>
          <w:tcPr>
            <w:tcW w:w="4489" w:type="dxa"/>
            <w:tcBorders>
              <w:tl2br w:val="nil"/>
              <w:tr2bl w:val="nil"/>
            </w:tcBorders>
            <w:noWrap w:val="0"/>
            <w:vAlign w:val="top"/>
          </w:tcPr>
          <w:p w14:paraId="78C9B186">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税    号：12500000MB1G7951XD</w:t>
            </w:r>
          </w:p>
        </w:tc>
        <w:tc>
          <w:tcPr>
            <w:tcW w:w="4842" w:type="dxa"/>
            <w:tcBorders>
              <w:tl2br w:val="nil"/>
              <w:tr2bl w:val="nil"/>
            </w:tcBorders>
            <w:noWrap w:val="0"/>
            <w:vAlign w:val="top"/>
          </w:tcPr>
          <w:p w14:paraId="3FAFC706">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税    号：</w:t>
            </w:r>
          </w:p>
        </w:tc>
      </w:tr>
      <w:tr w14:paraId="683E757B">
        <w:tblPrEx>
          <w:tblCellMar>
            <w:top w:w="0" w:type="dxa"/>
            <w:left w:w="108" w:type="dxa"/>
            <w:bottom w:w="0" w:type="dxa"/>
            <w:right w:w="108" w:type="dxa"/>
          </w:tblCellMar>
        </w:tblPrEx>
        <w:trPr>
          <w:trHeight w:val="649" w:hRule="atLeast"/>
          <w:jc w:val="center"/>
        </w:trPr>
        <w:tc>
          <w:tcPr>
            <w:tcW w:w="4489" w:type="dxa"/>
            <w:tcBorders>
              <w:tl2br w:val="nil"/>
              <w:tr2bl w:val="nil"/>
            </w:tcBorders>
            <w:noWrap w:val="0"/>
            <w:vAlign w:val="top"/>
          </w:tcPr>
          <w:p w14:paraId="3438F60C">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开户银行：中信银行重庆科学城</w:t>
            </w:r>
          </w:p>
          <w:p w14:paraId="5C8DBF98">
            <w:pPr>
              <w:spacing w:line="560" w:lineRule="exact"/>
              <w:ind w:firstLine="1439" w:firstLineChars="514"/>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支行</w:t>
            </w:r>
          </w:p>
        </w:tc>
        <w:tc>
          <w:tcPr>
            <w:tcW w:w="4842" w:type="dxa"/>
            <w:tcBorders>
              <w:tl2br w:val="nil"/>
              <w:tr2bl w:val="nil"/>
            </w:tcBorders>
            <w:noWrap w:val="0"/>
            <w:vAlign w:val="top"/>
          </w:tcPr>
          <w:p w14:paraId="3DC22864">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开户银行：</w:t>
            </w:r>
          </w:p>
        </w:tc>
      </w:tr>
      <w:tr w14:paraId="63E7399E">
        <w:tblPrEx>
          <w:tblCellMar>
            <w:top w:w="0" w:type="dxa"/>
            <w:left w:w="108" w:type="dxa"/>
            <w:bottom w:w="0" w:type="dxa"/>
            <w:right w:w="108" w:type="dxa"/>
          </w:tblCellMar>
        </w:tblPrEx>
        <w:trPr>
          <w:trHeight w:val="649" w:hRule="atLeast"/>
          <w:jc w:val="center"/>
        </w:trPr>
        <w:tc>
          <w:tcPr>
            <w:tcW w:w="4489" w:type="dxa"/>
            <w:tcBorders>
              <w:tl2br w:val="nil"/>
              <w:tr2bl w:val="nil"/>
            </w:tcBorders>
            <w:noWrap w:val="0"/>
            <w:vAlign w:val="top"/>
          </w:tcPr>
          <w:p w14:paraId="7AA99ED1">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账    号：8111201013500508457</w:t>
            </w:r>
          </w:p>
        </w:tc>
        <w:tc>
          <w:tcPr>
            <w:tcW w:w="4842" w:type="dxa"/>
            <w:tcBorders>
              <w:tl2br w:val="nil"/>
              <w:tr2bl w:val="nil"/>
            </w:tcBorders>
            <w:noWrap w:val="0"/>
            <w:vAlign w:val="top"/>
          </w:tcPr>
          <w:p w14:paraId="3DA11D58">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账    号：</w:t>
            </w:r>
          </w:p>
        </w:tc>
      </w:tr>
      <w:tr w14:paraId="75BE02EE">
        <w:tblPrEx>
          <w:tblCellMar>
            <w:top w:w="0" w:type="dxa"/>
            <w:left w:w="108" w:type="dxa"/>
            <w:bottom w:w="0" w:type="dxa"/>
            <w:right w:w="108" w:type="dxa"/>
          </w:tblCellMar>
        </w:tblPrEx>
        <w:trPr>
          <w:trHeight w:val="596" w:hRule="atLeast"/>
          <w:jc w:val="center"/>
        </w:trPr>
        <w:tc>
          <w:tcPr>
            <w:tcW w:w="4489" w:type="dxa"/>
            <w:tcBorders>
              <w:tl2br w:val="nil"/>
              <w:tr2bl w:val="nil"/>
            </w:tcBorders>
            <w:noWrap w:val="0"/>
            <w:vAlign w:val="top"/>
          </w:tcPr>
          <w:p w14:paraId="2276D104">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电    话：023-65880092</w:t>
            </w:r>
          </w:p>
        </w:tc>
        <w:tc>
          <w:tcPr>
            <w:tcW w:w="4842" w:type="dxa"/>
            <w:tcBorders>
              <w:tl2br w:val="nil"/>
              <w:tr2bl w:val="nil"/>
            </w:tcBorders>
            <w:noWrap w:val="0"/>
            <w:vAlign w:val="top"/>
          </w:tcPr>
          <w:p w14:paraId="039468B2">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电    话：</w:t>
            </w:r>
          </w:p>
        </w:tc>
      </w:tr>
      <w:tr w14:paraId="4BB73411">
        <w:tblPrEx>
          <w:tblCellMar>
            <w:top w:w="0" w:type="dxa"/>
            <w:left w:w="108" w:type="dxa"/>
            <w:bottom w:w="0" w:type="dxa"/>
            <w:right w:w="108" w:type="dxa"/>
          </w:tblCellMar>
        </w:tblPrEx>
        <w:trPr>
          <w:trHeight w:val="1127" w:hRule="atLeast"/>
          <w:jc w:val="center"/>
        </w:trPr>
        <w:tc>
          <w:tcPr>
            <w:tcW w:w="4489" w:type="dxa"/>
            <w:tcBorders>
              <w:tl2br w:val="nil"/>
              <w:tr2bl w:val="nil"/>
            </w:tcBorders>
            <w:noWrap w:val="0"/>
            <w:vAlign w:val="top"/>
          </w:tcPr>
          <w:p w14:paraId="448E2A12">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地    址：重庆市璧山区璧城街道</w:t>
            </w:r>
          </w:p>
          <w:p w14:paraId="026E3544">
            <w:pPr>
              <w:spacing w:line="560" w:lineRule="exact"/>
              <w:ind w:firstLine="1439" w:firstLineChars="514"/>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国学路61号</w:t>
            </w:r>
          </w:p>
        </w:tc>
        <w:tc>
          <w:tcPr>
            <w:tcW w:w="4842" w:type="dxa"/>
            <w:tcBorders>
              <w:tl2br w:val="nil"/>
              <w:tr2bl w:val="nil"/>
            </w:tcBorders>
            <w:noWrap w:val="0"/>
            <w:vAlign w:val="top"/>
          </w:tcPr>
          <w:p w14:paraId="183BE983">
            <w:pPr>
              <w:spacing w:line="560" w:lineRule="exact"/>
              <w:ind w:left="1400" w:hanging="1400" w:hangingChars="5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地    址：</w:t>
            </w:r>
          </w:p>
        </w:tc>
      </w:tr>
      <w:tr w14:paraId="3F254829">
        <w:tblPrEx>
          <w:tblCellMar>
            <w:top w:w="0" w:type="dxa"/>
            <w:left w:w="108" w:type="dxa"/>
            <w:bottom w:w="0" w:type="dxa"/>
            <w:right w:w="108" w:type="dxa"/>
          </w:tblCellMar>
        </w:tblPrEx>
        <w:trPr>
          <w:trHeight w:val="90" w:hRule="atLeast"/>
          <w:jc w:val="center"/>
        </w:trPr>
        <w:tc>
          <w:tcPr>
            <w:tcW w:w="4489" w:type="dxa"/>
            <w:tcBorders>
              <w:tl2br w:val="nil"/>
              <w:tr2bl w:val="nil"/>
            </w:tcBorders>
            <w:noWrap w:val="0"/>
            <w:vAlign w:val="top"/>
          </w:tcPr>
          <w:p w14:paraId="7F5E57CB">
            <w:pPr>
              <w:spacing w:line="560" w:lineRule="exact"/>
              <w:ind w:left="1400" w:hanging="1400" w:hangingChars="500"/>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时    间：     年   月   日</w:t>
            </w:r>
          </w:p>
        </w:tc>
        <w:tc>
          <w:tcPr>
            <w:tcW w:w="4842" w:type="dxa"/>
            <w:tcBorders>
              <w:tl2br w:val="nil"/>
              <w:tr2bl w:val="nil"/>
            </w:tcBorders>
            <w:noWrap w:val="0"/>
            <w:vAlign w:val="top"/>
          </w:tcPr>
          <w:p w14:paraId="35166F53">
            <w:pPr>
              <w:spacing w:line="560" w:lineRule="exact"/>
              <w:ind w:left="1400" w:hanging="1400" w:hangingChars="500"/>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时    间：     年   月   日</w:t>
            </w:r>
          </w:p>
        </w:tc>
      </w:tr>
      <w:tr w14:paraId="0717B2BF">
        <w:tblPrEx>
          <w:tblCellMar>
            <w:top w:w="0" w:type="dxa"/>
            <w:left w:w="108" w:type="dxa"/>
            <w:bottom w:w="0" w:type="dxa"/>
            <w:right w:w="108" w:type="dxa"/>
          </w:tblCellMar>
        </w:tblPrEx>
        <w:trPr>
          <w:trHeight w:val="562" w:hRule="atLeast"/>
          <w:jc w:val="center"/>
        </w:trPr>
        <w:tc>
          <w:tcPr>
            <w:tcW w:w="9331" w:type="dxa"/>
            <w:gridSpan w:val="2"/>
            <w:tcBorders>
              <w:tl2br w:val="nil"/>
              <w:tr2bl w:val="nil"/>
            </w:tcBorders>
            <w:noWrap w:val="0"/>
            <w:vAlign w:val="top"/>
          </w:tcPr>
          <w:p w14:paraId="10E6F481">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签约地点：</w:t>
            </w:r>
            <w:r>
              <w:rPr>
                <w:rFonts w:hint="eastAsia" w:asciiTheme="minorEastAsia" w:hAnsiTheme="minorEastAsia" w:eastAsiaTheme="minorEastAsia" w:cstheme="minorEastAsia"/>
                <w:kern w:val="0"/>
                <w:szCs w:val="28"/>
                <w:highlight w:val="none"/>
              </w:rPr>
              <w:t>重</w:t>
            </w:r>
            <w:r>
              <w:rPr>
                <w:rFonts w:hint="eastAsia" w:asciiTheme="minorEastAsia" w:hAnsiTheme="minorEastAsia" w:eastAsiaTheme="minorEastAsia" w:cstheme="minorEastAsia"/>
                <w:szCs w:val="28"/>
                <w:highlight w:val="none"/>
              </w:rPr>
              <w:t>庆市璧山区璧城街道国学路61号重庆中医药学院</w:t>
            </w:r>
          </w:p>
        </w:tc>
      </w:tr>
    </w:tbl>
    <w:p w14:paraId="271969D4">
      <w:pPr>
        <w:spacing w:line="560" w:lineRule="exact"/>
        <w:rPr>
          <w:rFonts w:hint="eastAsia" w:asciiTheme="minorEastAsia" w:hAnsiTheme="minorEastAsia" w:eastAsiaTheme="minorEastAsia" w:cstheme="minorEastAsia"/>
          <w:b/>
          <w:bCs/>
          <w:color w:val="000000"/>
          <w:szCs w:val="28"/>
          <w:highlight w:val="none"/>
        </w:rPr>
      </w:pPr>
      <w:bookmarkStart w:id="270" w:name="_Toc3679"/>
      <w:r>
        <w:rPr>
          <w:rFonts w:hint="eastAsia" w:asciiTheme="minorEastAsia" w:hAnsiTheme="minorEastAsia" w:eastAsiaTheme="minorEastAsia" w:cstheme="minorEastAsia"/>
          <w:b/>
          <w:bCs/>
          <w:color w:val="000000"/>
          <w:szCs w:val="28"/>
          <w:highlight w:val="none"/>
        </w:rPr>
        <w:br w:type="page"/>
      </w:r>
    </w:p>
    <w:p w14:paraId="77EE64E0">
      <w:pPr>
        <w:spacing w:line="560" w:lineRule="exact"/>
        <w:contextualSpacing/>
        <w:outlineLvl w:val="1"/>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附件1</w:t>
      </w:r>
      <w:bookmarkEnd w:id="270"/>
    </w:p>
    <w:p w14:paraId="0AA3F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hint="eastAsia" w:asciiTheme="minorEastAsia" w:hAnsiTheme="minorEastAsia" w:eastAsiaTheme="minorEastAsia" w:cstheme="minorEastAsia"/>
          <w:color w:val="000000"/>
          <w:sz w:val="44"/>
          <w:szCs w:val="44"/>
          <w:highlight w:val="none"/>
        </w:rPr>
      </w:pPr>
      <w:bookmarkStart w:id="271" w:name="_Toc10170"/>
      <w:r>
        <w:rPr>
          <w:rFonts w:hint="eastAsia" w:asciiTheme="minorEastAsia" w:hAnsiTheme="minorEastAsia" w:eastAsiaTheme="minorEastAsia" w:cstheme="minorEastAsia"/>
          <w:color w:val="000000"/>
          <w:sz w:val="44"/>
          <w:szCs w:val="44"/>
          <w:highlight w:val="none"/>
        </w:rPr>
        <w:t>乙方主要管理人员表</w:t>
      </w:r>
    </w:p>
    <w:p w14:paraId="1D90B150">
      <w:pPr>
        <w:pStyle w:val="2"/>
        <w:rPr>
          <w:rFonts w:hint="eastAsia" w:asciiTheme="minorEastAsia" w:hAnsiTheme="minorEastAsia" w:eastAsiaTheme="minorEastAsia" w:cstheme="minorEastAsia"/>
          <w:highlight w:val="none"/>
        </w:rPr>
      </w:pPr>
    </w:p>
    <w:p w14:paraId="229E817E">
      <w:pPr>
        <w:spacing w:line="560" w:lineRule="exact"/>
        <w:rPr>
          <w:rFonts w:hint="eastAsia" w:asciiTheme="minorEastAsia" w:hAnsiTheme="minorEastAsia" w:eastAsiaTheme="minorEastAsia" w:cstheme="minorEastAsia"/>
          <w:b/>
          <w:bCs/>
          <w:color w:val="000000"/>
          <w:szCs w:val="28"/>
          <w:highlight w:val="none"/>
        </w:rPr>
      </w:pPr>
      <w:r>
        <w:rPr>
          <w:rFonts w:hint="eastAsia" w:asciiTheme="minorEastAsia" w:hAnsiTheme="minorEastAsia" w:eastAsiaTheme="minorEastAsia" w:cstheme="minorEastAsia"/>
          <w:b/>
          <w:bCs/>
          <w:color w:val="000000"/>
          <w:szCs w:val="28"/>
          <w:highlight w:val="none"/>
        </w:rPr>
        <w:br w:type="page"/>
      </w:r>
    </w:p>
    <w:p w14:paraId="65E27AF6">
      <w:pPr>
        <w:spacing w:line="560" w:lineRule="exact"/>
        <w:contextualSpacing/>
        <w:outlineLvl w:val="1"/>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附件2</w:t>
      </w:r>
    </w:p>
    <w:bookmarkEnd w:id="271"/>
    <w:p w14:paraId="36736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hint="eastAsia" w:asciiTheme="minorEastAsia" w:hAnsiTheme="minorEastAsia" w:eastAsiaTheme="minorEastAsia" w:cstheme="minorEastAsia"/>
          <w:color w:val="000000"/>
          <w:sz w:val="44"/>
          <w:szCs w:val="44"/>
          <w:highlight w:val="none"/>
        </w:rPr>
      </w:pPr>
      <w:r>
        <w:rPr>
          <w:rFonts w:hint="eastAsia" w:asciiTheme="minorEastAsia" w:hAnsiTheme="minorEastAsia" w:eastAsiaTheme="minorEastAsia" w:cstheme="minorEastAsia"/>
          <w:color w:val="000000"/>
          <w:sz w:val="44"/>
          <w:szCs w:val="44"/>
          <w:highlight w:val="none"/>
        </w:rPr>
        <w:t>信息安全保密协议</w:t>
      </w:r>
    </w:p>
    <w:p w14:paraId="4306E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hint="eastAsia" w:asciiTheme="minorEastAsia" w:hAnsiTheme="minorEastAsia" w:eastAsiaTheme="minorEastAsia" w:cstheme="minorEastAsia"/>
          <w:color w:val="000000"/>
          <w:szCs w:val="28"/>
          <w:highlight w:val="none"/>
        </w:rPr>
      </w:pPr>
    </w:p>
    <w:p w14:paraId="7FABF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甲  方：重庆中医药学院</w:t>
      </w:r>
    </w:p>
    <w:p w14:paraId="1DCB7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hint="eastAsia" w:asciiTheme="minorEastAsia" w:hAnsiTheme="minorEastAsia" w:eastAsiaTheme="minorEastAsia" w:cstheme="minorEastAsia"/>
          <w:color w:val="000000"/>
          <w:szCs w:val="28"/>
          <w:highlight w:val="none"/>
          <w:u w:val="single"/>
        </w:rPr>
      </w:pPr>
      <w:r>
        <w:rPr>
          <w:rFonts w:hint="eastAsia" w:asciiTheme="minorEastAsia" w:hAnsiTheme="minorEastAsia" w:eastAsiaTheme="minorEastAsia" w:cstheme="minorEastAsia"/>
          <w:color w:val="000000"/>
          <w:szCs w:val="28"/>
          <w:highlight w:val="none"/>
        </w:rPr>
        <w:t>乙  方：</w:t>
      </w:r>
    </w:p>
    <w:p w14:paraId="130D1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p>
    <w:p w14:paraId="456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因乙方为甲方提供本主协议所述服务或/和采购供货，已经(或将要)知悉甲方的</w:t>
      </w:r>
      <w:r>
        <w:rPr>
          <w:rFonts w:hint="eastAsia" w:asciiTheme="minorEastAsia" w:hAnsiTheme="minorEastAsia" w:eastAsiaTheme="minorEastAsia" w:cstheme="minorEastAsia"/>
          <w:color w:val="000000"/>
          <w:szCs w:val="28"/>
          <w:highlight w:val="none"/>
          <w:lang w:eastAsia="zh-Hans"/>
        </w:rPr>
        <w:t>信息</w:t>
      </w:r>
      <w:r>
        <w:rPr>
          <w:rFonts w:hint="eastAsia" w:asciiTheme="minorEastAsia" w:hAnsiTheme="minorEastAsia" w:eastAsiaTheme="minorEastAsia" w:cstheme="minorEastAsia"/>
          <w:color w:val="000000"/>
          <w:szCs w:val="28"/>
          <w:highlight w:val="none"/>
        </w:rPr>
        <w:t>，为明确乙方的保密义务和维护双方的合法权益，依据相关法规，甲乙双方本着平等、自愿、公平和诚实信用的原则签订本协议。</w:t>
      </w:r>
    </w:p>
    <w:p w14:paraId="4971EFF6">
      <w:pPr>
        <w:spacing w:line="560" w:lineRule="exact"/>
        <w:ind w:firstLine="560" w:firstLineChars="200"/>
        <w:contextualSpacing/>
        <w:outlineLvl w:val="1"/>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第一条  保密内容及范围</w:t>
      </w:r>
    </w:p>
    <w:p w14:paraId="571ED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1. 乙方同意对甲方、或者</w:t>
      </w:r>
      <w:r>
        <w:rPr>
          <w:rFonts w:hint="eastAsia" w:asciiTheme="minorEastAsia" w:hAnsiTheme="minorEastAsia" w:eastAsiaTheme="minorEastAsia" w:cstheme="minorEastAsia"/>
          <w:color w:val="000000"/>
          <w:szCs w:val="28"/>
          <w:highlight w:val="none"/>
          <w:lang w:eastAsia="zh-Hans"/>
        </w:rPr>
        <w:t>虽属于</w:t>
      </w:r>
      <w:r>
        <w:rPr>
          <w:rFonts w:hint="eastAsia" w:asciiTheme="minorEastAsia" w:hAnsiTheme="minorEastAsia" w:eastAsiaTheme="minorEastAsia" w:cstheme="minorEastAsia"/>
          <w:color w:val="000000"/>
          <w:szCs w:val="28"/>
          <w:highlight w:val="none"/>
        </w:rPr>
        <w:t>甲方</w:t>
      </w:r>
      <w:r>
        <w:rPr>
          <w:rFonts w:hint="eastAsia" w:asciiTheme="minorEastAsia" w:hAnsiTheme="minorEastAsia" w:eastAsiaTheme="minorEastAsia" w:cstheme="minorEastAsia"/>
          <w:color w:val="000000"/>
          <w:szCs w:val="28"/>
          <w:highlight w:val="none"/>
          <w:lang w:eastAsia="zh-Hans"/>
        </w:rPr>
        <w:t>的供应商</w:t>
      </w:r>
      <w:r>
        <w:rPr>
          <w:rFonts w:hint="eastAsia" w:asciiTheme="minorEastAsia" w:hAnsiTheme="minorEastAsia" w:eastAsiaTheme="minorEastAsia" w:cstheme="minorEastAsia"/>
          <w:color w:val="000000"/>
          <w:szCs w:val="28"/>
          <w:highlight w:val="none"/>
        </w:rPr>
        <w:t>等第三方但甲方负有保密义务的</w:t>
      </w:r>
      <w:r>
        <w:rPr>
          <w:rFonts w:hint="eastAsia" w:asciiTheme="minorEastAsia" w:hAnsiTheme="minorEastAsia" w:eastAsiaTheme="minorEastAsia" w:cstheme="minorEastAsia"/>
          <w:color w:val="000000"/>
          <w:szCs w:val="28"/>
          <w:highlight w:val="none"/>
          <w:lang w:eastAsia="zh-Hans"/>
        </w:rPr>
        <w:t>一</w:t>
      </w:r>
      <w:r>
        <w:rPr>
          <w:rFonts w:hint="eastAsia" w:asciiTheme="minorEastAsia" w:hAnsiTheme="minorEastAsia" w:eastAsiaTheme="minorEastAsia" w:cstheme="minorEastAsia"/>
          <w:color w:val="000000"/>
          <w:szCs w:val="28"/>
          <w:highlight w:val="none"/>
        </w:rPr>
        <w:t>切保密信息予以严格保密。</w:t>
      </w:r>
    </w:p>
    <w:p w14:paraId="435A1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2. 本协议中的“保密信息”是指乙方在甲方</w:t>
      </w:r>
      <w:r>
        <w:rPr>
          <w:rFonts w:hint="eastAsia" w:asciiTheme="minorEastAsia" w:hAnsiTheme="minorEastAsia" w:eastAsiaTheme="minorEastAsia" w:cstheme="minorEastAsia"/>
          <w:color w:val="000000"/>
          <w:szCs w:val="28"/>
          <w:highlight w:val="none"/>
          <w:lang w:eastAsia="zh-Hans"/>
        </w:rPr>
        <w:t>服务</w:t>
      </w:r>
      <w:r>
        <w:rPr>
          <w:rFonts w:hint="eastAsia" w:asciiTheme="minorEastAsia" w:hAnsiTheme="minorEastAsia" w:eastAsiaTheme="minorEastAsia" w:cstheme="minorEastAsia"/>
          <w:color w:val="000000"/>
          <w:szCs w:val="28"/>
          <w:highlight w:val="none"/>
        </w:rPr>
        <w:t>期间接触到的甲方、甲方</w:t>
      </w:r>
      <w:r>
        <w:rPr>
          <w:rFonts w:hint="eastAsia" w:asciiTheme="minorEastAsia" w:hAnsiTheme="minorEastAsia" w:eastAsiaTheme="minorEastAsia" w:cstheme="minorEastAsia"/>
          <w:color w:val="000000"/>
          <w:szCs w:val="28"/>
          <w:highlight w:val="none"/>
          <w:lang w:eastAsia="zh-Hans"/>
        </w:rPr>
        <w:t>的供应商</w:t>
      </w:r>
      <w:r>
        <w:rPr>
          <w:rFonts w:hint="eastAsia" w:asciiTheme="minorEastAsia" w:hAnsiTheme="minorEastAsia" w:eastAsiaTheme="minorEastAsia" w:cstheme="minorEastAsia"/>
          <w:color w:val="000000"/>
          <w:szCs w:val="28"/>
          <w:highlight w:val="none"/>
        </w:rPr>
        <w:t>及甲方关联</w:t>
      </w:r>
      <w:r>
        <w:rPr>
          <w:rFonts w:hint="eastAsia" w:asciiTheme="minorEastAsia" w:hAnsiTheme="minorEastAsia" w:eastAsiaTheme="minorEastAsia" w:cstheme="minorEastAsia"/>
          <w:color w:val="000000"/>
          <w:szCs w:val="28"/>
          <w:highlight w:val="none"/>
          <w:lang w:eastAsia="zh-Hans"/>
        </w:rPr>
        <w:t>单位</w:t>
      </w:r>
      <w:r>
        <w:rPr>
          <w:rFonts w:hint="eastAsia" w:asciiTheme="minorEastAsia" w:hAnsiTheme="minorEastAsia" w:eastAsiaTheme="minorEastAsia" w:cstheme="minorEastAsia"/>
          <w:color w:val="000000"/>
          <w:szCs w:val="28"/>
          <w:highlight w:val="none"/>
        </w:rPr>
        <w:t>的任何形式的秘密信息，包括但不限于:</w:t>
      </w:r>
    </w:p>
    <w:p w14:paraId="6CACD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（1）任何甲方、甲方</w:t>
      </w:r>
      <w:r>
        <w:rPr>
          <w:rFonts w:hint="eastAsia" w:asciiTheme="minorEastAsia" w:hAnsiTheme="minorEastAsia" w:eastAsiaTheme="minorEastAsia" w:cstheme="minorEastAsia"/>
          <w:color w:val="000000"/>
          <w:szCs w:val="28"/>
          <w:highlight w:val="none"/>
          <w:lang w:eastAsia="zh-Hans"/>
        </w:rPr>
        <w:t>的供应商</w:t>
      </w:r>
      <w:r>
        <w:rPr>
          <w:rFonts w:hint="eastAsia" w:asciiTheme="minorEastAsia" w:hAnsiTheme="minorEastAsia" w:eastAsiaTheme="minorEastAsia" w:cstheme="minorEastAsia"/>
          <w:color w:val="000000"/>
          <w:szCs w:val="28"/>
          <w:highlight w:val="none"/>
        </w:rPr>
        <w:t>及甲方关联</w:t>
      </w:r>
      <w:r>
        <w:rPr>
          <w:rFonts w:hint="eastAsia" w:asciiTheme="minorEastAsia" w:hAnsiTheme="minorEastAsia" w:eastAsiaTheme="minorEastAsia" w:cstheme="minorEastAsia"/>
          <w:color w:val="000000"/>
          <w:szCs w:val="28"/>
          <w:highlight w:val="none"/>
          <w:lang w:eastAsia="zh-Hans"/>
        </w:rPr>
        <w:t>单位</w:t>
      </w:r>
      <w:r>
        <w:rPr>
          <w:rFonts w:hint="eastAsia" w:asciiTheme="minorEastAsia" w:hAnsiTheme="minorEastAsia" w:eastAsiaTheme="minorEastAsia" w:cstheme="minorEastAsia"/>
          <w:color w:val="000000"/>
          <w:szCs w:val="28"/>
          <w:highlight w:val="none"/>
        </w:rPr>
        <w:t>不欲公开的观点、发现、发明、公式、程序、计划、图表、模型、参数、数据、标准、商业秘密、专有技术以及任何知识产权等；</w:t>
      </w:r>
    </w:p>
    <w:p w14:paraId="1572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（2）甲方、甲方</w:t>
      </w:r>
      <w:r>
        <w:rPr>
          <w:rFonts w:hint="eastAsia" w:asciiTheme="minorEastAsia" w:hAnsiTheme="minorEastAsia" w:eastAsiaTheme="minorEastAsia" w:cstheme="minorEastAsia"/>
          <w:color w:val="000000"/>
          <w:szCs w:val="28"/>
          <w:highlight w:val="none"/>
          <w:lang w:eastAsia="zh-Hans"/>
        </w:rPr>
        <w:t>的供应商</w:t>
      </w:r>
      <w:r>
        <w:rPr>
          <w:rFonts w:hint="eastAsia" w:asciiTheme="minorEastAsia" w:hAnsiTheme="minorEastAsia" w:eastAsiaTheme="minorEastAsia" w:cstheme="minorEastAsia"/>
          <w:color w:val="000000"/>
          <w:szCs w:val="28"/>
          <w:highlight w:val="none"/>
        </w:rPr>
        <w:t>及甲方关联</w:t>
      </w:r>
      <w:r>
        <w:rPr>
          <w:rFonts w:hint="eastAsia" w:asciiTheme="minorEastAsia" w:hAnsiTheme="minorEastAsia" w:eastAsiaTheme="minorEastAsia" w:cstheme="minorEastAsia"/>
          <w:color w:val="000000"/>
          <w:szCs w:val="28"/>
          <w:highlight w:val="none"/>
          <w:lang w:eastAsia="zh-Hans"/>
        </w:rPr>
        <w:t>单位</w:t>
      </w:r>
      <w:r>
        <w:rPr>
          <w:rFonts w:hint="eastAsia" w:asciiTheme="minorEastAsia" w:hAnsiTheme="minorEastAsia" w:eastAsiaTheme="minorEastAsia" w:cstheme="minorEastAsia"/>
          <w:color w:val="000000"/>
          <w:szCs w:val="28"/>
          <w:highlight w:val="none"/>
        </w:rPr>
        <w:t>制作或拥有的任何形式的报告、访谈记录、数据、信件、电子邮件、报表、模型以及其他文件的原件或副件；</w:t>
      </w:r>
    </w:p>
    <w:p w14:paraId="2309C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（3）甲方、甲方</w:t>
      </w:r>
      <w:r>
        <w:rPr>
          <w:rFonts w:hint="eastAsia" w:asciiTheme="minorEastAsia" w:hAnsiTheme="minorEastAsia" w:eastAsiaTheme="minorEastAsia" w:cstheme="minorEastAsia"/>
          <w:color w:val="000000"/>
          <w:szCs w:val="28"/>
          <w:highlight w:val="none"/>
          <w:lang w:eastAsia="zh-Hans"/>
        </w:rPr>
        <w:t>的供应商</w:t>
      </w:r>
      <w:r>
        <w:rPr>
          <w:rFonts w:hint="eastAsia" w:asciiTheme="minorEastAsia" w:hAnsiTheme="minorEastAsia" w:eastAsiaTheme="minorEastAsia" w:cstheme="minorEastAsia"/>
          <w:color w:val="000000"/>
          <w:szCs w:val="28"/>
          <w:highlight w:val="none"/>
        </w:rPr>
        <w:t>及甲方关联</w:t>
      </w:r>
      <w:r>
        <w:rPr>
          <w:rFonts w:hint="eastAsia" w:asciiTheme="minorEastAsia" w:hAnsiTheme="minorEastAsia" w:eastAsiaTheme="minorEastAsia" w:cstheme="minorEastAsia"/>
          <w:color w:val="000000"/>
          <w:szCs w:val="28"/>
          <w:highlight w:val="none"/>
          <w:lang w:eastAsia="zh-Hans"/>
        </w:rPr>
        <w:t>单位</w:t>
      </w:r>
      <w:r>
        <w:rPr>
          <w:rFonts w:hint="eastAsia" w:asciiTheme="minorEastAsia" w:hAnsiTheme="minorEastAsia" w:eastAsiaTheme="minorEastAsia" w:cstheme="minorEastAsia"/>
          <w:color w:val="000000"/>
          <w:szCs w:val="28"/>
          <w:highlight w:val="none"/>
        </w:rPr>
        <w:t>的技术资料或秘密、经营情况、经营策略及经营信息、客户信息、客户经营状况等；</w:t>
      </w:r>
    </w:p>
    <w:p w14:paraId="131F1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（4）甲方内外部项目的项目建议书、项目计划、报价、合同、项目研究方法和工具、培训资料和工具以及项目成果等；</w:t>
      </w:r>
    </w:p>
    <w:p w14:paraId="508C8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（5）甲方内部不欲公开或未经公开的公司制度、文件、决议、消息和公司运营情况等；</w:t>
      </w:r>
    </w:p>
    <w:p w14:paraId="55FDC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（6）任何甲方、甲方</w:t>
      </w:r>
      <w:r>
        <w:rPr>
          <w:rFonts w:hint="eastAsia" w:asciiTheme="minorEastAsia" w:hAnsiTheme="minorEastAsia" w:eastAsiaTheme="minorEastAsia" w:cstheme="minorEastAsia"/>
          <w:color w:val="000000"/>
          <w:szCs w:val="28"/>
          <w:highlight w:val="none"/>
          <w:lang w:eastAsia="zh-Hans"/>
        </w:rPr>
        <w:t>的供应商</w:t>
      </w:r>
      <w:r>
        <w:rPr>
          <w:rFonts w:hint="eastAsia" w:asciiTheme="minorEastAsia" w:hAnsiTheme="minorEastAsia" w:eastAsiaTheme="minorEastAsia" w:cstheme="minorEastAsia"/>
          <w:color w:val="000000"/>
          <w:szCs w:val="28"/>
          <w:highlight w:val="none"/>
        </w:rPr>
        <w:t>及甲方关联</w:t>
      </w:r>
      <w:r>
        <w:rPr>
          <w:rFonts w:hint="eastAsia" w:asciiTheme="minorEastAsia" w:hAnsiTheme="minorEastAsia" w:eastAsiaTheme="minorEastAsia" w:cstheme="minorEastAsia"/>
          <w:color w:val="000000"/>
          <w:szCs w:val="28"/>
          <w:highlight w:val="none"/>
          <w:lang w:eastAsia="zh-Hans"/>
        </w:rPr>
        <w:t>单位</w:t>
      </w:r>
      <w:r>
        <w:rPr>
          <w:rFonts w:hint="eastAsia" w:asciiTheme="minorEastAsia" w:hAnsiTheme="minorEastAsia" w:eastAsiaTheme="minorEastAsia" w:cstheme="minorEastAsia"/>
          <w:color w:val="000000"/>
          <w:szCs w:val="28"/>
          <w:highlight w:val="none"/>
        </w:rPr>
        <w:t>不欲公开的关于财务、成本、利润、市场、销售、合同的信息及</w:t>
      </w:r>
      <w:r>
        <w:rPr>
          <w:rFonts w:hint="eastAsia" w:asciiTheme="minorEastAsia" w:hAnsiTheme="minorEastAsia" w:eastAsiaTheme="minorEastAsia" w:cstheme="minorEastAsia"/>
          <w:color w:val="000000"/>
          <w:szCs w:val="28"/>
          <w:highlight w:val="none"/>
          <w:lang w:eastAsia="zh-Hans"/>
        </w:rPr>
        <w:t>上下级单位</w:t>
      </w:r>
      <w:r>
        <w:rPr>
          <w:rFonts w:hint="eastAsia" w:asciiTheme="minorEastAsia" w:hAnsiTheme="minorEastAsia" w:eastAsiaTheme="minorEastAsia" w:cstheme="minorEastAsia"/>
          <w:color w:val="000000"/>
          <w:szCs w:val="28"/>
          <w:highlight w:val="none"/>
        </w:rPr>
        <w:t>和</w:t>
      </w:r>
      <w:r>
        <w:rPr>
          <w:rFonts w:hint="eastAsia" w:asciiTheme="minorEastAsia" w:hAnsiTheme="minorEastAsia" w:eastAsiaTheme="minorEastAsia" w:cstheme="minorEastAsia"/>
          <w:color w:val="000000"/>
          <w:szCs w:val="28"/>
          <w:highlight w:val="none"/>
          <w:lang w:eastAsia="zh-Hans"/>
        </w:rPr>
        <w:t>供应</w:t>
      </w:r>
      <w:r>
        <w:rPr>
          <w:rFonts w:hint="eastAsia" w:asciiTheme="minorEastAsia" w:hAnsiTheme="minorEastAsia" w:eastAsiaTheme="minorEastAsia" w:cstheme="minorEastAsia"/>
          <w:color w:val="000000"/>
          <w:szCs w:val="28"/>
          <w:highlight w:val="none"/>
        </w:rPr>
        <w:t>商名单等。</w:t>
      </w:r>
    </w:p>
    <w:p w14:paraId="276E3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乙方承认，上述“保密信息"均为甲方的保密信息。本协议不仅适用于乙方在本协议签订之后接触的保密信息，也适用于乙方在本协议生效日期前接触的所有保密信息。</w:t>
      </w:r>
    </w:p>
    <w:p w14:paraId="1B78F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乙方确认，如果对是否属于保密信息存在争议，则乙方应按保密信息进行处理，除非得到甲方明确否认。</w:t>
      </w:r>
    </w:p>
    <w:p w14:paraId="0BE08346">
      <w:pPr>
        <w:spacing w:line="560" w:lineRule="exact"/>
        <w:ind w:firstLine="560" w:firstLineChars="200"/>
        <w:contextualSpacing/>
        <w:outlineLvl w:val="1"/>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第二条  乙方的保密义务</w:t>
      </w:r>
    </w:p>
    <w:p w14:paraId="2C824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1. 乙方同意为甲方利益尽最佳努力，在提供</w:t>
      </w:r>
      <w:r>
        <w:rPr>
          <w:rFonts w:hint="eastAsia" w:asciiTheme="minorEastAsia" w:hAnsiTheme="minorEastAsia" w:eastAsiaTheme="minorEastAsia" w:cstheme="minorEastAsia"/>
          <w:color w:val="000000"/>
          <w:szCs w:val="28"/>
          <w:highlight w:val="none"/>
          <w:u w:val="single"/>
        </w:rPr>
        <w:t xml:space="preserve"> </w:t>
      </w:r>
      <w:r>
        <w:rPr>
          <w:rFonts w:hint="eastAsia" w:asciiTheme="minorEastAsia" w:hAnsiTheme="minorEastAsia" w:eastAsiaTheme="minorEastAsia" w:cstheme="minorEastAsia"/>
          <w:color w:val="000000"/>
          <w:szCs w:val="28"/>
          <w:highlight w:val="none"/>
        </w:rPr>
        <w:t>本主协议所述服务或/和采购供货不组织、参加或计划组织、参加任何竞争企业、或从事任何不正当使用甲方商业秘密的行为。</w:t>
      </w:r>
    </w:p>
    <w:p w14:paraId="20CFD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2. 乙方在为甲方提供服务期间，应严格遵守甲方规定的任何成文或不成文的保密规章、制度，履行与其服务内容相应的保密职责；若甲方的保密规章、制度没有规定或者规定不明确之处，乙方亦应本着谨慎、诚实的态度，采取任何必要、合理的措施，维护其</w:t>
      </w:r>
      <w:r>
        <w:rPr>
          <w:rFonts w:hint="eastAsia" w:asciiTheme="minorEastAsia" w:hAnsiTheme="minorEastAsia" w:eastAsiaTheme="minorEastAsia" w:cstheme="minorEastAsia"/>
          <w:color w:val="000000"/>
          <w:szCs w:val="28"/>
          <w:highlight w:val="none"/>
          <w:lang w:eastAsia="zh-Hans"/>
        </w:rPr>
        <w:t>服务</w:t>
      </w:r>
      <w:r>
        <w:rPr>
          <w:rFonts w:hint="eastAsia" w:asciiTheme="minorEastAsia" w:hAnsiTheme="minorEastAsia" w:eastAsiaTheme="minorEastAsia" w:cstheme="minorEastAsia"/>
          <w:color w:val="000000"/>
          <w:szCs w:val="28"/>
          <w:highlight w:val="none"/>
        </w:rPr>
        <w:t>期间知悉或者持有的保密信息。</w:t>
      </w:r>
    </w:p>
    <w:p w14:paraId="4CDB6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lang w:eastAsia="zh-Hans"/>
        </w:rPr>
      </w:pPr>
      <w:r>
        <w:rPr>
          <w:rFonts w:hint="eastAsia" w:asciiTheme="minorEastAsia" w:hAnsiTheme="minorEastAsia" w:eastAsiaTheme="minorEastAsia" w:cstheme="minorEastAsia"/>
          <w:color w:val="000000"/>
          <w:szCs w:val="28"/>
          <w:highlight w:val="none"/>
        </w:rPr>
        <w:t>3. 甲方或乙方</w:t>
      </w:r>
      <w:r>
        <w:rPr>
          <w:rFonts w:hint="eastAsia" w:asciiTheme="minorEastAsia" w:hAnsiTheme="minorEastAsia" w:eastAsiaTheme="minorEastAsia" w:cstheme="minorEastAsia"/>
          <w:color w:val="000000"/>
          <w:szCs w:val="28"/>
          <w:highlight w:val="none"/>
          <w:lang w:eastAsia="zh-Hans"/>
        </w:rPr>
        <w:t>在服务</w:t>
      </w:r>
      <w:r>
        <w:rPr>
          <w:rFonts w:hint="eastAsia" w:asciiTheme="minorEastAsia" w:hAnsiTheme="minorEastAsia" w:eastAsiaTheme="minorEastAsia" w:cstheme="minorEastAsia"/>
          <w:color w:val="000000"/>
          <w:szCs w:val="28"/>
          <w:highlight w:val="none"/>
        </w:rPr>
        <w:t>范围内就保密事宜对乙方提出的合理要求，乙方应予执行，并作为本合同约定的保密义务的</w:t>
      </w:r>
      <w:r>
        <w:rPr>
          <w:rFonts w:hint="eastAsia" w:asciiTheme="minorEastAsia" w:hAnsiTheme="minorEastAsia" w:eastAsiaTheme="minorEastAsia" w:cstheme="minorEastAsia"/>
          <w:color w:val="000000"/>
          <w:szCs w:val="28"/>
          <w:highlight w:val="none"/>
          <w:lang w:eastAsia="zh-Hans"/>
        </w:rPr>
        <w:t>一部分。</w:t>
      </w:r>
    </w:p>
    <w:p w14:paraId="49973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lang w:eastAsia="zh-Hans"/>
        </w:rPr>
      </w:pPr>
      <w:r>
        <w:rPr>
          <w:rFonts w:hint="eastAsia" w:asciiTheme="minorEastAsia" w:hAnsiTheme="minorEastAsia" w:eastAsiaTheme="minorEastAsia" w:cstheme="minorEastAsia"/>
          <w:color w:val="000000"/>
          <w:szCs w:val="28"/>
          <w:highlight w:val="none"/>
          <w:lang w:eastAsia="zh-Hans"/>
        </w:rPr>
        <w:t>4</w:t>
      </w:r>
      <w:r>
        <w:rPr>
          <w:rFonts w:hint="eastAsia" w:asciiTheme="minorEastAsia" w:hAnsiTheme="minorEastAsia" w:eastAsiaTheme="minorEastAsia" w:cstheme="minorEastAsia"/>
          <w:color w:val="000000"/>
          <w:szCs w:val="28"/>
          <w:highlight w:val="none"/>
        </w:rPr>
        <w:t xml:space="preserve">. </w:t>
      </w:r>
      <w:r>
        <w:rPr>
          <w:rFonts w:hint="eastAsia" w:asciiTheme="minorEastAsia" w:hAnsiTheme="minorEastAsia" w:eastAsiaTheme="minorEastAsia" w:cstheme="minorEastAsia"/>
          <w:color w:val="000000"/>
          <w:szCs w:val="28"/>
          <w:highlight w:val="none"/>
          <w:lang w:eastAsia="zh-Hans"/>
        </w:rPr>
        <w:t>乙方同意对保密信息予以严格保密，承担的保密义务包括但不限于:</w:t>
      </w:r>
    </w:p>
    <w:p w14:paraId="3FE32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lang w:eastAsia="zh-Hans"/>
        </w:rPr>
        <w:t>（1）乙方因某一项目而从甲方、</w:t>
      </w:r>
      <w:r>
        <w:rPr>
          <w:rFonts w:hint="eastAsia" w:asciiTheme="minorEastAsia" w:hAnsiTheme="minorEastAsia" w:eastAsiaTheme="minorEastAsia" w:cstheme="minorEastAsia"/>
          <w:color w:val="000000"/>
          <w:szCs w:val="28"/>
          <w:highlight w:val="none"/>
        </w:rPr>
        <w:t>甲方</w:t>
      </w:r>
      <w:r>
        <w:rPr>
          <w:rFonts w:hint="eastAsia" w:asciiTheme="minorEastAsia" w:hAnsiTheme="minorEastAsia" w:eastAsiaTheme="minorEastAsia" w:cstheme="minorEastAsia"/>
          <w:color w:val="000000"/>
          <w:szCs w:val="28"/>
          <w:highlight w:val="none"/>
          <w:lang w:eastAsia="zh-Hans"/>
        </w:rPr>
        <w:t>的供应商</w:t>
      </w:r>
      <w:r>
        <w:rPr>
          <w:rFonts w:hint="eastAsia" w:asciiTheme="minorEastAsia" w:hAnsiTheme="minorEastAsia" w:eastAsiaTheme="minorEastAsia" w:cstheme="minorEastAsia"/>
          <w:color w:val="000000"/>
          <w:szCs w:val="28"/>
          <w:highlight w:val="none"/>
        </w:rPr>
        <w:t>及甲方关联</w:t>
      </w:r>
      <w:r>
        <w:rPr>
          <w:rFonts w:hint="eastAsia" w:asciiTheme="minorEastAsia" w:hAnsiTheme="minorEastAsia" w:eastAsiaTheme="minorEastAsia" w:cstheme="minorEastAsia"/>
          <w:color w:val="000000"/>
          <w:szCs w:val="28"/>
          <w:highlight w:val="none"/>
          <w:lang w:eastAsia="zh-Hans"/>
        </w:rPr>
        <w:t>单位处获得的保密信息，乙方承诺只在进行该项目或与该项目紧密相关的项目研究时使用，绝不为与该项目无关的目的使用该保密信息</w:t>
      </w:r>
      <w:r>
        <w:rPr>
          <w:rFonts w:hint="eastAsia" w:asciiTheme="minorEastAsia" w:hAnsiTheme="minorEastAsia" w:eastAsiaTheme="minorEastAsia" w:cstheme="minorEastAsia"/>
          <w:color w:val="000000"/>
          <w:szCs w:val="28"/>
          <w:highlight w:val="none"/>
        </w:rPr>
        <w:t>；</w:t>
      </w:r>
    </w:p>
    <w:p w14:paraId="3C9FA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lang w:eastAsia="zh-Hans"/>
        </w:rPr>
        <w:t>乙方应对甲方、</w:t>
      </w:r>
      <w:r>
        <w:rPr>
          <w:rFonts w:hint="eastAsia" w:asciiTheme="minorEastAsia" w:hAnsiTheme="minorEastAsia" w:eastAsiaTheme="minorEastAsia" w:cstheme="minorEastAsia"/>
          <w:color w:val="000000"/>
          <w:szCs w:val="28"/>
          <w:highlight w:val="none"/>
        </w:rPr>
        <w:t>甲方</w:t>
      </w:r>
      <w:r>
        <w:rPr>
          <w:rFonts w:hint="eastAsia" w:asciiTheme="minorEastAsia" w:hAnsiTheme="minorEastAsia" w:eastAsiaTheme="minorEastAsia" w:cstheme="minorEastAsia"/>
          <w:color w:val="000000"/>
          <w:szCs w:val="28"/>
          <w:highlight w:val="none"/>
          <w:lang w:eastAsia="zh-Hans"/>
        </w:rPr>
        <w:t>的供应商</w:t>
      </w:r>
      <w:r>
        <w:rPr>
          <w:rFonts w:hint="eastAsia" w:asciiTheme="minorEastAsia" w:hAnsiTheme="minorEastAsia" w:eastAsiaTheme="minorEastAsia" w:cstheme="minorEastAsia"/>
          <w:color w:val="000000"/>
          <w:szCs w:val="28"/>
          <w:highlight w:val="none"/>
        </w:rPr>
        <w:t>及甲方关联</w:t>
      </w:r>
      <w:r>
        <w:rPr>
          <w:rFonts w:hint="eastAsia" w:asciiTheme="minorEastAsia" w:hAnsiTheme="minorEastAsia" w:eastAsiaTheme="minorEastAsia" w:cstheme="minorEastAsia"/>
          <w:color w:val="000000"/>
          <w:szCs w:val="28"/>
          <w:highlight w:val="none"/>
          <w:lang w:eastAsia="zh-Hans"/>
        </w:rPr>
        <w:t>单位交到自己手中的保密信息予以妥善保存，不得泄漏或遗失，在未经甲方事先书面许可，不得私自保留或复制、记录</w:t>
      </w:r>
      <w:r>
        <w:rPr>
          <w:rFonts w:hint="eastAsia" w:asciiTheme="minorEastAsia" w:hAnsiTheme="minorEastAsia" w:eastAsiaTheme="minorEastAsia" w:cstheme="minorEastAsia"/>
          <w:color w:val="000000"/>
          <w:szCs w:val="28"/>
          <w:highlight w:val="none"/>
        </w:rPr>
        <w:t>；</w:t>
      </w:r>
    </w:p>
    <w:p w14:paraId="71500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lang w:eastAsia="zh-Hans"/>
        </w:rPr>
        <w:t>（3）非经甲方事先书面许可，乙方不得直接或间接地以任何方式或向任何第三方(包括除甲方该项目组人员以外的任何机构和人员)披露或透露保密信息</w:t>
      </w:r>
      <w:r>
        <w:rPr>
          <w:rFonts w:hint="eastAsia" w:asciiTheme="minorEastAsia" w:hAnsiTheme="minorEastAsia" w:eastAsiaTheme="minorEastAsia" w:cstheme="minorEastAsia"/>
          <w:color w:val="000000"/>
          <w:szCs w:val="28"/>
          <w:highlight w:val="none"/>
        </w:rPr>
        <w:t>；</w:t>
      </w:r>
      <w:r>
        <w:rPr>
          <w:rFonts w:hint="eastAsia" w:asciiTheme="minorEastAsia" w:hAnsiTheme="minorEastAsia" w:eastAsiaTheme="minorEastAsia" w:cstheme="minorEastAsia"/>
          <w:color w:val="000000"/>
          <w:szCs w:val="28"/>
          <w:highlight w:val="none"/>
          <w:lang w:eastAsia="zh-Hans"/>
        </w:rPr>
        <w:t>亦不得依据保密信息，就任何问题，向任何第三方做出任何建议</w:t>
      </w:r>
      <w:r>
        <w:rPr>
          <w:rFonts w:hint="eastAsia" w:asciiTheme="minorEastAsia" w:hAnsiTheme="minorEastAsia" w:eastAsiaTheme="minorEastAsia" w:cstheme="minorEastAsia"/>
          <w:color w:val="000000"/>
          <w:szCs w:val="28"/>
          <w:highlight w:val="none"/>
        </w:rPr>
        <w:t>；</w:t>
      </w:r>
    </w:p>
    <w:p w14:paraId="69772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lang w:eastAsia="zh-Hans"/>
        </w:rPr>
        <w:t>（4）当甲方、</w:t>
      </w:r>
      <w:r>
        <w:rPr>
          <w:rFonts w:hint="eastAsia" w:asciiTheme="minorEastAsia" w:hAnsiTheme="minorEastAsia" w:eastAsiaTheme="minorEastAsia" w:cstheme="minorEastAsia"/>
          <w:color w:val="000000"/>
          <w:szCs w:val="28"/>
          <w:highlight w:val="none"/>
        </w:rPr>
        <w:t>甲方</w:t>
      </w:r>
      <w:r>
        <w:rPr>
          <w:rFonts w:hint="eastAsia" w:asciiTheme="minorEastAsia" w:hAnsiTheme="minorEastAsia" w:eastAsiaTheme="minorEastAsia" w:cstheme="minorEastAsia"/>
          <w:color w:val="000000"/>
          <w:szCs w:val="28"/>
          <w:highlight w:val="none"/>
          <w:lang w:eastAsia="zh-Hans"/>
        </w:rPr>
        <w:t>的供应商</w:t>
      </w:r>
      <w:r>
        <w:rPr>
          <w:rFonts w:hint="eastAsia" w:asciiTheme="minorEastAsia" w:hAnsiTheme="minorEastAsia" w:eastAsiaTheme="minorEastAsia" w:cstheme="minorEastAsia"/>
          <w:color w:val="000000"/>
          <w:szCs w:val="28"/>
          <w:highlight w:val="none"/>
        </w:rPr>
        <w:t>及甲方关联</w:t>
      </w:r>
      <w:r>
        <w:rPr>
          <w:rFonts w:hint="eastAsia" w:asciiTheme="minorEastAsia" w:hAnsiTheme="minorEastAsia" w:eastAsiaTheme="minorEastAsia" w:cstheme="minorEastAsia"/>
          <w:color w:val="000000"/>
          <w:szCs w:val="28"/>
          <w:highlight w:val="none"/>
          <w:lang w:eastAsia="zh-Hans"/>
        </w:rPr>
        <w:t>单位要求乙方交回保密信息时(无论出于何种理由)，乙方应立即将保密信息(及保密信息的载体、复制品等)完整交回</w:t>
      </w:r>
      <w:r>
        <w:rPr>
          <w:rFonts w:hint="eastAsia" w:asciiTheme="minorEastAsia" w:hAnsiTheme="minorEastAsia" w:eastAsiaTheme="minorEastAsia" w:cstheme="minorEastAsia"/>
          <w:color w:val="000000"/>
          <w:szCs w:val="28"/>
          <w:highlight w:val="none"/>
        </w:rPr>
        <w:t>；</w:t>
      </w:r>
    </w:p>
    <w:p w14:paraId="432DE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lang w:eastAsia="zh-Hans"/>
        </w:rPr>
        <w:t>（5）根据甲方的要求，如实向甲方提供保密信息的使用记录</w:t>
      </w:r>
      <w:r>
        <w:rPr>
          <w:rFonts w:hint="eastAsia" w:asciiTheme="minorEastAsia" w:hAnsiTheme="minorEastAsia" w:eastAsiaTheme="minorEastAsia" w:cstheme="minorEastAsia"/>
          <w:color w:val="000000"/>
          <w:szCs w:val="28"/>
          <w:highlight w:val="none"/>
        </w:rPr>
        <w:t>；</w:t>
      </w:r>
    </w:p>
    <w:p w14:paraId="0C205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lang w:eastAsia="zh-Hans"/>
        </w:rPr>
        <w:t>（6）乙方提供服务结束时或任何时候甲方提出要求时，须将一切保密信息(及保密信息的载体、复制品等)在甲方要求的时间内交还甲方</w:t>
      </w:r>
      <w:r>
        <w:rPr>
          <w:rFonts w:hint="eastAsia" w:asciiTheme="minorEastAsia" w:hAnsiTheme="minorEastAsia" w:eastAsiaTheme="minorEastAsia" w:cstheme="minorEastAsia"/>
          <w:color w:val="000000"/>
          <w:szCs w:val="28"/>
          <w:highlight w:val="none"/>
        </w:rPr>
        <w:t>；</w:t>
      </w:r>
    </w:p>
    <w:p w14:paraId="7CE68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lang w:eastAsia="zh-Hans"/>
        </w:rPr>
      </w:pPr>
      <w:r>
        <w:rPr>
          <w:rFonts w:hint="eastAsia" w:asciiTheme="minorEastAsia" w:hAnsiTheme="minorEastAsia" w:eastAsiaTheme="minorEastAsia" w:cstheme="minorEastAsia"/>
          <w:color w:val="000000"/>
          <w:szCs w:val="28"/>
          <w:highlight w:val="none"/>
          <w:lang w:eastAsia="zh-Hans"/>
        </w:rPr>
        <w:t>乙方在提供服务结束后，应严格遵守相关法律规定，以及以上各项保密义务，不得以任何方式利用、传播、披露所掌握或知悉的保密信息，不得利用所掌握或知悉的保密信息从事损害甲方利益或可能对甲方利益造成不利影响的活动，包括向乙方之后用户单位披露或使用保密信息、为乙方自营企业利益使用保密信息等。</w:t>
      </w:r>
    </w:p>
    <w:p w14:paraId="75325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lang w:eastAsia="zh-Hans"/>
        </w:rPr>
      </w:pPr>
      <w:r>
        <w:rPr>
          <w:rFonts w:hint="eastAsia" w:asciiTheme="minorEastAsia" w:hAnsiTheme="minorEastAsia" w:eastAsiaTheme="minorEastAsia" w:cstheme="minorEastAsia"/>
          <w:color w:val="000000"/>
          <w:szCs w:val="28"/>
          <w:highlight w:val="none"/>
          <w:lang w:eastAsia="zh-Hans"/>
        </w:rPr>
        <w:t>5</w:t>
      </w:r>
      <w:r>
        <w:rPr>
          <w:rFonts w:hint="eastAsia" w:asciiTheme="minorEastAsia" w:hAnsiTheme="minorEastAsia" w:eastAsiaTheme="minorEastAsia" w:cstheme="minorEastAsia"/>
          <w:color w:val="000000"/>
          <w:szCs w:val="28"/>
          <w:highlight w:val="none"/>
        </w:rPr>
        <w:t xml:space="preserve">. </w:t>
      </w:r>
      <w:r>
        <w:rPr>
          <w:rFonts w:hint="eastAsia" w:asciiTheme="minorEastAsia" w:hAnsiTheme="minorEastAsia" w:eastAsiaTheme="minorEastAsia" w:cstheme="minorEastAsia"/>
          <w:color w:val="000000"/>
          <w:szCs w:val="28"/>
          <w:highlight w:val="none"/>
          <w:lang w:eastAsia="zh-Hans"/>
        </w:rPr>
        <w:t>保密信息的保密期是指：乙方服务期间或服务期间后，甲方、</w:t>
      </w:r>
      <w:r>
        <w:rPr>
          <w:rFonts w:hint="eastAsia" w:asciiTheme="minorEastAsia" w:hAnsiTheme="minorEastAsia" w:eastAsiaTheme="minorEastAsia" w:cstheme="minorEastAsia"/>
          <w:color w:val="000000"/>
          <w:szCs w:val="28"/>
          <w:highlight w:val="none"/>
        </w:rPr>
        <w:t>甲方</w:t>
      </w:r>
      <w:r>
        <w:rPr>
          <w:rFonts w:hint="eastAsia" w:asciiTheme="minorEastAsia" w:hAnsiTheme="minorEastAsia" w:eastAsiaTheme="minorEastAsia" w:cstheme="minorEastAsia"/>
          <w:color w:val="000000"/>
          <w:szCs w:val="28"/>
          <w:highlight w:val="none"/>
          <w:lang w:eastAsia="zh-Hans"/>
        </w:rPr>
        <w:t>的供应商</w:t>
      </w:r>
      <w:r>
        <w:rPr>
          <w:rFonts w:hint="eastAsia" w:asciiTheme="minorEastAsia" w:hAnsiTheme="minorEastAsia" w:eastAsiaTheme="minorEastAsia" w:cstheme="minorEastAsia"/>
          <w:color w:val="000000"/>
          <w:szCs w:val="28"/>
          <w:highlight w:val="none"/>
        </w:rPr>
        <w:t>及甲方关联</w:t>
      </w:r>
      <w:r>
        <w:rPr>
          <w:rFonts w:hint="eastAsia" w:asciiTheme="minorEastAsia" w:hAnsiTheme="minorEastAsia" w:eastAsiaTheme="minorEastAsia" w:cstheme="minorEastAsia"/>
          <w:color w:val="000000"/>
          <w:szCs w:val="28"/>
          <w:highlight w:val="none"/>
          <w:lang w:eastAsia="zh-Hans"/>
        </w:rPr>
        <w:t>单位对外公布保密信息，或者保密信息为公众所知之前的任何时间。</w:t>
      </w:r>
    </w:p>
    <w:p w14:paraId="1E2E71F0">
      <w:pPr>
        <w:spacing w:line="560" w:lineRule="exact"/>
        <w:ind w:firstLine="560" w:firstLineChars="200"/>
        <w:contextualSpacing/>
        <w:outlineLvl w:val="1"/>
        <w:rPr>
          <w:rFonts w:hint="eastAsia" w:asciiTheme="minorEastAsia" w:hAnsiTheme="minorEastAsia" w:eastAsiaTheme="minorEastAsia" w:cstheme="minorEastAsia"/>
          <w:color w:val="000000"/>
          <w:szCs w:val="28"/>
          <w:highlight w:val="none"/>
          <w:lang w:eastAsia="zh-Hans"/>
        </w:rPr>
      </w:pPr>
      <w:r>
        <w:rPr>
          <w:rFonts w:hint="eastAsia" w:asciiTheme="minorEastAsia" w:hAnsiTheme="minorEastAsia" w:eastAsiaTheme="minorEastAsia" w:cstheme="minorEastAsia"/>
          <w:color w:val="000000"/>
          <w:szCs w:val="28"/>
          <w:highlight w:val="none"/>
          <w:lang w:eastAsia="zh-Hans"/>
        </w:rPr>
        <w:t xml:space="preserve">第三条 </w:t>
      </w:r>
      <w:r>
        <w:rPr>
          <w:rFonts w:hint="eastAsia" w:asciiTheme="minorEastAsia" w:hAnsiTheme="minorEastAsia" w:eastAsiaTheme="minorEastAsia" w:cstheme="minorEastAsia"/>
          <w:color w:val="000000"/>
          <w:szCs w:val="28"/>
          <w:highlight w:val="none"/>
        </w:rPr>
        <w:t xml:space="preserve"> </w:t>
      </w:r>
      <w:r>
        <w:rPr>
          <w:rFonts w:hint="eastAsia" w:asciiTheme="minorEastAsia" w:hAnsiTheme="minorEastAsia" w:eastAsiaTheme="minorEastAsia" w:cstheme="minorEastAsia"/>
          <w:color w:val="000000"/>
          <w:szCs w:val="28"/>
          <w:highlight w:val="none"/>
          <w:lang w:eastAsia="zh-Hans"/>
        </w:rPr>
        <w:t>甲乙双方确认</w:t>
      </w:r>
    </w:p>
    <w:p w14:paraId="2E7AA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lang w:eastAsia="zh-Hans"/>
        </w:rPr>
      </w:pPr>
      <w:r>
        <w:rPr>
          <w:rFonts w:hint="eastAsia" w:asciiTheme="minorEastAsia" w:hAnsiTheme="minorEastAsia" w:eastAsiaTheme="minorEastAsia" w:cstheme="minorEastAsia"/>
          <w:color w:val="000000"/>
          <w:szCs w:val="28"/>
          <w:highlight w:val="none"/>
          <w:lang w:eastAsia="zh-Hans"/>
        </w:rPr>
        <w:t>1</w:t>
      </w:r>
      <w:r>
        <w:rPr>
          <w:rFonts w:hint="eastAsia" w:asciiTheme="minorEastAsia" w:hAnsiTheme="minorEastAsia" w:eastAsiaTheme="minorEastAsia" w:cstheme="minorEastAsia"/>
          <w:color w:val="000000"/>
          <w:szCs w:val="28"/>
          <w:highlight w:val="none"/>
        </w:rPr>
        <w:t xml:space="preserve">. </w:t>
      </w:r>
      <w:r>
        <w:rPr>
          <w:rFonts w:hint="eastAsia" w:asciiTheme="minorEastAsia" w:hAnsiTheme="minorEastAsia" w:eastAsiaTheme="minorEastAsia" w:cstheme="minorEastAsia"/>
          <w:color w:val="000000"/>
          <w:szCs w:val="28"/>
          <w:highlight w:val="none"/>
          <w:lang w:eastAsia="zh-Hans"/>
        </w:rPr>
        <w:t>双方确认，就本协议的履行，甲方无需额外向乙方支付费用或报酬，除非双方另有约定。</w:t>
      </w:r>
    </w:p>
    <w:p w14:paraId="21588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lang w:eastAsia="zh-Hans"/>
        </w:rPr>
      </w:pPr>
      <w:r>
        <w:rPr>
          <w:rFonts w:hint="eastAsia" w:asciiTheme="minorEastAsia" w:hAnsiTheme="minorEastAsia" w:eastAsiaTheme="minorEastAsia" w:cstheme="minorEastAsia"/>
          <w:color w:val="000000"/>
          <w:szCs w:val="28"/>
          <w:highlight w:val="none"/>
          <w:lang w:eastAsia="zh-Hans"/>
        </w:rPr>
        <w:t>2</w:t>
      </w:r>
      <w:r>
        <w:rPr>
          <w:rFonts w:hint="eastAsia" w:asciiTheme="minorEastAsia" w:hAnsiTheme="minorEastAsia" w:eastAsiaTheme="minorEastAsia" w:cstheme="minorEastAsia"/>
          <w:color w:val="000000"/>
          <w:szCs w:val="28"/>
          <w:highlight w:val="none"/>
        </w:rPr>
        <w:t xml:space="preserve">. </w:t>
      </w:r>
      <w:r>
        <w:rPr>
          <w:rFonts w:hint="eastAsia" w:asciiTheme="minorEastAsia" w:hAnsiTheme="minorEastAsia" w:eastAsiaTheme="minorEastAsia" w:cstheme="minorEastAsia"/>
          <w:color w:val="000000"/>
          <w:szCs w:val="28"/>
          <w:highlight w:val="none"/>
          <w:lang w:eastAsia="zh-Hans"/>
        </w:rPr>
        <w:t>乙方确认，已经知悉并理解甲方的上述制度，并同意遵守执行:</w:t>
      </w:r>
    </w:p>
    <w:p w14:paraId="5238E24A">
      <w:pPr>
        <w:spacing w:line="560" w:lineRule="exact"/>
        <w:ind w:firstLine="560" w:firstLineChars="200"/>
        <w:contextualSpacing/>
        <w:outlineLvl w:val="1"/>
        <w:rPr>
          <w:rFonts w:hint="eastAsia" w:asciiTheme="minorEastAsia" w:hAnsiTheme="minorEastAsia" w:eastAsiaTheme="minorEastAsia" w:cstheme="minorEastAsia"/>
          <w:color w:val="000000"/>
          <w:szCs w:val="28"/>
          <w:highlight w:val="none"/>
          <w:lang w:eastAsia="zh-Hans"/>
        </w:rPr>
      </w:pPr>
      <w:r>
        <w:rPr>
          <w:rFonts w:hint="eastAsia" w:asciiTheme="minorEastAsia" w:hAnsiTheme="minorEastAsia" w:eastAsiaTheme="minorEastAsia" w:cstheme="minorEastAsia"/>
          <w:color w:val="000000"/>
          <w:szCs w:val="28"/>
          <w:highlight w:val="none"/>
          <w:lang w:eastAsia="zh-Hans"/>
        </w:rPr>
        <w:t xml:space="preserve">第四条 </w:t>
      </w:r>
      <w:r>
        <w:rPr>
          <w:rFonts w:hint="eastAsia" w:asciiTheme="minorEastAsia" w:hAnsiTheme="minorEastAsia" w:eastAsiaTheme="minorEastAsia" w:cstheme="minorEastAsia"/>
          <w:color w:val="000000"/>
          <w:szCs w:val="28"/>
          <w:highlight w:val="none"/>
        </w:rPr>
        <w:t xml:space="preserve"> </w:t>
      </w:r>
      <w:r>
        <w:rPr>
          <w:rFonts w:hint="eastAsia" w:asciiTheme="minorEastAsia" w:hAnsiTheme="minorEastAsia" w:eastAsiaTheme="minorEastAsia" w:cstheme="minorEastAsia"/>
          <w:color w:val="000000"/>
          <w:szCs w:val="28"/>
          <w:highlight w:val="none"/>
          <w:lang w:eastAsia="zh-Hans"/>
        </w:rPr>
        <w:t>违约责任</w:t>
      </w:r>
    </w:p>
    <w:p w14:paraId="5786F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lang w:eastAsia="zh-Hans"/>
        </w:rPr>
      </w:pPr>
      <w:r>
        <w:rPr>
          <w:rFonts w:hint="eastAsia" w:asciiTheme="minorEastAsia" w:hAnsiTheme="minorEastAsia" w:eastAsiaTheme="minorEastAsia" w:cstheme="minorEastAsia"/>
          <w:color w:val="000000"/>
          <w:szCs w:val="28"/>
          <w:highlight w:val="none"/>
          <w:lang w:eastAsia="zh-Hans"/>
        </w:rPr>
        <w:t>1</w:t>
      </w:r>
      <w:r>
        <w:rPr>
          <w:rFonts w:hint="eastAsia" w:asciiTheme="minorEastAsia" w:hAnsiTheme="minorEastAsia" w:eastAsiaTheme="minorEastAsia" w:cstheme="minorEastAsia"/>
          <w:color w:val="000000"/>
          <w:szCs w:val="28"/>
          <w:highlight w:val="none"/>
        </w:rPr>
        <w:t xml:space="preserve">. </w:t>
      </w:r>
      <w:r>
        <w:rPr>
          <w:rFonts w:hint="eastAsia" w:asciiTheme="minorEastAsia" w:hAnsiTheme="minorEastAsia" w:eastAsiaTheme="minorEastAsia" w:cstheme="minorEastAsia"/>
          <w:color w:val="000000"/>
          <w:szCs w:val="28"/>
          <w:highlight w:val="none"/>
          <w:lang w:eastAsia="zh-Hans"/>
        </w:rPr>
        <w:t>乙方违反保密义务时，应向甲方支付</w:t>
      </w:r>
      <w:r>
        <w:rPr>
          <w:rFonts w:hint="eastAsia" w:asciiTheme="minorEastAsia" w:hAnsiTheme="minorEastAsia" w:eastAsiaTheme="minorEastAsia" w:cstheme="minorEastAsia"/>
          <w:color w:val="000000"/>
          <w:szCs w:val="28"/>
          <w:highlight w:val="none"/>
        </w:rPr>
        <w:t>合同金额3%的</w:t>
      </w:r>
      <w:r>
        <w:rPr>
          <w:rFonts w:hint="eastAsia" w:asciiTheme="minorEastAsia" w:hAnsiTheme="minorEastAsia" w:eastAsiaTheme="minorEastAsia" w:cstheme="minorEastAsia"/>
          <w:color w:val="000000"/>
          <w:szCs w:val="28"/>
          <w:highlight w:val="none"/>
          <w:lang w:eastAsia="zh-Hans"/>
        </w:rPr>
        <w:t>违约金。同时还应赔偿由此给甲方、甲方的供应商及甲方关联单位造成的一切损失，损失范围包括但不限于甲方的名誉损失、直接损失和可得利益的损失，以及调查费用、公证费用、诉讼费用、律师费用，向第三方支付的赔偿，为应对第三方的指控而支付的一切费用等。上述赔偿可以从乙方的服务报酬或劳动报酬中扣除。</w:t>
      </w:r>
    </w:p>
    <w:p w14:paraId="1F161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lang w:eastAsia="zh-Hans"/>
        </w:rPr>
      </w:pPr>
      <w:r>
        <w:rPr>
          <w:rFonts w:hint="eastAsia" w:asciiTheme="minorEastAsia" w:hAnsiTheme="minorEastAsia" w:eastAsiaTheme="minorEastAsia" w:cstheme="minorEastAsia"/>
          <w:color w:val="000000"/>
          <w:szCs w:val="28"/>
          <w:highlight w:val="none"/>
        </w:rPr>
        <w:t xml:space="preserve">2. </w:t>
      </w:r>
      <w:r>
        <w:rPr>
          <w:rFonts w:hint="eastAsia" w:asciiTheme="minorEastAsia" w:hAnsiTheme="minorEastAsia" w:eastAsiaTheme="minorEastAsia" w:cstheme="minorEastAsia"/>
          <w:color w:val="000000"/>
          <w:szCs w:val="28"/>
          <w:highlight w:val="none"/>
          <w:lang w:eastAsia="zh-Hans"/>
        </w:rPr>
        <w:t>如果乙方侵犯</w:t>
      </w:r>
      <w:r>
        <w:rPr>
          <w:rFonts w:hint="eastAsia" w:asciiTheme="minorEastAsia" w:hAnsiTheme="minorEastAsia" w:eastAsiaTheme="minorEastAsia" w:cstheme="minorEastAsia"/>
          <w:color w:val="000000"/>
          <w:szCs w:val="28"/>
          <w:highlight w:val="none"/>
        </w:rPr>
        <w:t>甲方</w:t>
      </w:r>
      <w:r>
        <w:rPr>
          <w:rFonts w:hint="eastAsia" w:asciiTheme="minorEastAsia" w:hAnsiTheme="minorEastAsia" w:eastAsiaTheme="minorEastAsia" w:cstheme="minorEastAsia"/>
          <w:color w:val="000000"/>
          <w:szCs w:val="28"/>
          <w:highlight w:val="none"/>
          <w:lang w:eastAsia="zh-Hans"/>
        </w:rPr>
        <w:t>的供应商</w:t>
      </w:r>
      <w:r>
        <w:rPr>
          <w:rFonts w:hint="eastAsia" w:asciiTheme="minorEastAsia" w:hAnsiTheme="minorEastAsia" w:eastAsiaTheme="minorEastAsia" w:cstheme="minorEastAsia"/>
          <w:color w:val="000000"/>
          <w:szCs w:val="28"/>
          <w:highlight w:val="none"/>
        </w:rPr>
        <w:t>及甲方关联</w:t>
      </w:r>
      <w:r>
        <w:rPr>
          <w:rFonts w:hint="eastAsia" w:asciiTheme="minorEastAsia" w:hAnsiTheme="minorEastAsia" w:eastAsiaTheme="minorEastAsia" w:cstheme="minorEastAsia"/>
          <w:color w:val="000000"/>
          <w:szCs w:val="28"/>
          <w:highlight w:val="none"/>
          <w:lang w:eastAsia="zh-Hans"/>
        </w:rPr>
        <w:t>单位相关的保密信息或知识产权，甲方有权代表</w:t>
      </w:r>
      <w:r>
        <w:rPr>
          <w:rFonts w:hint="eastAsia" w:asciiTheme="minorEastAsia" w:hAnsiTheme="minorEastAsia" w:eastAsiaTheme="minorEastAsia" w:cstheme="minorEastAsia"/>
          <w:color w:val="000000"/>
          <w:szCs w:val="28"/>
          <w:highlight w:val="none"/>
        </w:rPr>
        <w:t>甲方</w:t>
      </w:r>
      <w:r>
        <w:rPr>
          <w:rFonts w:hint="eastAsia" w:asciiTheme="minorEastAsia" w:hAnsiTheme="minorEastAsia" w:eastAsiaTheme="minorEastAsia" w:cstheme="minorEastAsia"/>
          <w:color w:val="000000"/>
          <w:szCs w:val="28"/>
          <w:highlight w:val="none"/>
          <w:lang w:eastAsia="zh-Hans"/>
        </w:rPr>
        <w:t>的供应商</w:t>
      </w:r>
      <w:r>
        <w:rPr>
          <w:rFonts w:hint="eastAsia" w:asciiTheme="minorEastAsia" w:hAnsiTheme="minorEastAsia" w:eastAsiaTheme="minorEastAsia" w:cstheme="minorEastAsia"/>
          <w:color w:val="000000"/>
          <w:szCs w:val="28"/>
          <w:highlight w:val="none"/>
        </w:rPr>
        <w:t>及甲方关联</w:t>
      </w:r>
      <w:r>
        <w:rPr>
          <w:rFonts w:hint="eastAsia" w:asciiTheme="minorEastAsia" w:hAnsiTheme="minorEastAsia" w:eastAsiaTheme="minorEastAsia" w:cstheme="minorEastAsia"/>
          <w:color w:val="000000"/>
          <w:szCs w:val="28"/>
          <w:highlight w:val="none"/>
          <w:lang w:eastAsia="zh-Hans"/>
        </w:rPr>
        <w:t>单位追究乙方的法律责任。</w:t>
      </w:r>
    </w:p>
    <w:p w14:paraId="459F7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lang w:eastAsia="zh-Hans"/>
        </w:rPr>
      </w:pPr>
      <w:r>
        <w:rPr>
          <w:rFonts w:hint="eastAsia" w:asciiTheme="minorEastAsia" w:hAnsiTheme="minorEastAsia" w:eastAsiaTheme="minorEastAsia" w:cstheme="minorEastAsia"/>
          <w:color w:val="000000"/>
          <w:szCs w:val="28"/>
          <w:highlight w:val="none"/>
        </w:rPr>
        <w:t>3. 乙方若违反本协议书内容，甲方有权制止乙方违约行为或侵权行为并要求乙方积极采取措施消除影响、赔偿损失；情节严重的，甲方有权向有关部门报案，乙方</w:t>
      </w:r>
      <w:r>
        <w:rPr>
          <w:rFonts w:hint="eastAsia" w:asciiTheme="minorEastAsia" w:hAnsiTheme="minorEastAsia" w:eastAsiaTheme="minorEastAsia" w:cstheme="minorEastAsia"/>
          <w:color w:val="000000"/>
          <w:szCs w:val="28"/>
          <w:highlight w:val="none"/>
          <w:lang w:eastAsia="zh-Hans"/>
        </w:rPr>
        <w:t>应</w:t>
      </w:r>
      <w:r>
        <w:rPr>
          <w:rFonts w:hint="eastAsia" w:asciiTheme="minorEastAsia" w:hAnsiTheme="minorEastAsia" w:eastAsiaTheme="minorEastAsia" w:cstheme="minorEastAsia"/>
          <w:color w:val="000000"/>
          <w:szCs w:val="28"/>
          <w:highlight w:val="none"/>
        </w:rPr>
        <w:t>承担相应的行政和刑事责任。</w:t>
      </w:r>
    </w:p>
    <w:p w14:paraId="46FDCB47">
      <w:pPr>
        <w:spacing w:line="560" w:lineRule="exact"/>
        <w:ind w:firstLine="560" w:firstLineChars="200"/>
        <w:contextualSpacing/>
        <w:outlineLvl w:val="1"/>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lang w:eastAsia="zh-Hans"/>
        </w:rPr>
        <w:t xml:space="preserve">第五条 </w:t>
      </w:r>
      <w:r>
        <w:rPr>
          <w:rFonts w:hint="eastAsia" w:asciiTheme="minorEastAsia" w:hAnsiTheme="minorEastAsia" w:eastAsiaTheme="minorEastAsia" w:cstheme="minorEastAsia"/>
          <w:color w:val="000000"/>
          <w:szCs w:val="28"/>
          <w:highlight w:val="none"/>
        </w:rPr>
        <w:t xml:space="preserve"> </w:t>
      </w:r>
      <w:r>
        <w:rPr>
          <w:rFonts w:hint="eastAsia" w:asciiTheme="minorEastAsia" w:hAnsiTheme="minorEastAsia" w:eastAsiaTheme="minorEastAsia" w:cstheme="minorEastAsia"/>
          <w:color w:val="000000"/>
          <w:szCs w:val="28"/>
          <w:highlight w:val="none"/>
          <w:lang w:eastAsia="zh-Hans"/>
        </w:rPr>
        <w:t>争议解决</w:t>
      </w:r>
      <w:r>
        <w:rPr>
          <w:rFonts w:hint="eastAsia" w:asciiTheme="minorEastAsia" w:hAnsiTheme="minorEastAsia" w:eastAsiaTheme="minorEastAsia" w:cstheme="minorEastAsia"/>
          <w:color w:val="000000"/>
          <w:szCs w:val="28"/>
          <w:highlight w:val="none"/>
        </w:rPr>
        <w:t xml:space="preserve">. </w:t>
      </w:r>
    </w:p>
    <w:p w14:paraId="7393E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lang w:eastAsia="zh-Hans"/>
        </w:rPr>
      </w:pPr>
      <w:r>
        <w:rPr>
          <w:rFonts w:hint="eastAsia" w:asciiTheme="minorEastAsia" w:hAnsiTheme="minorEastAsia" w:eastAsiaTheme="minorEastAsia" w:cstheme="minorEastAsia"/>
          <w:color w:val="000000"/>
          <w:szCs w:val="28"/>
          <w:highlight w:val="none"/>
          <w:lang w:eastAsia="zh-Hans"/>
        </w:rPr>
        <w:t>双方同意，因签订本协议发生的或同本协议有关的一切纠纷，由双方当事人协商解决，协商不成的，任何一方均可向甲方所在地有管辖权的人民法院提起诉讼。</w:t>
      </w:r>
    </w:p>
    <w:p w14:paraId="5A219F31">
      <w:pPr>
        <w:spacing w:line="560" w:lineRule="exact"/>
        <w:ind w:firstLine="560" w:firstLineChars="200"/>
        <w:contextualSpacing/>
        <w:outlineLvl w:val="1"/>
        <w:rPr>
          <w:rFonts w:hint="eastAsia" w:asciiTheme="minorEastAsia" w:hAnsiTheme="minorEastAsia" w:eastAsiaTheme="minorEastAsia" w:cstheme="minorEastAsia"/>
          <w:color w:val="000000"/>
          <w:szCs w:val="28"/>
          <w:highlight w:val="none"/>
          <w:lang w:eastAsia="zh-Hans"/>
        </w:rPr>
      </w:pPr>
      <w:r>
        <w:rPr>
          <w:rFonts w:hint="eastAsia" w:asciiTheme="minorEastAsia" w:hAnsiTheme="minorEastAsia" w:eastAsiaTheme="minorEastAsia" w:cstheme="minorEastAsia"/>
          <w:color w:val="000000"/>
          <w:szCs w:val="28"/>
          <w:highlight w:val="none"/>
          <w:lang w:eastAsia="zh-Hans"/>
        </w:rPr>
        <w:t>第六条</w:t>
      </w:r>
      <w:r>
        <w:rPr>
          <w:rFonts w:hint="eastAsia" w:asciiTheme="minorEastAsia" w:hAnsiTheme="minorEastAsia" w:eastAsiaTheme="minorEastAsia" w:cstheme="minorEastAsia"/>
          <w:color w:val="000000"/>
          <w:szCs w:val="28"/>
          <w:highlight w:val="none"/>
        </w:rPr>
        <w:t xml:space="preserve"> </w:t>
      </w:r>
      <w:r>
        <w:rPr>
          <w:rFonts w:hint="eastAsia" w:asciiTheme="minorEastAsia" w:hAnsiTheme="minorEastAsia" w:eastAsiaTheme="minorEastAsia" w:cstheme="minorEastAsia"/>
          <w:color w:val="000000"/>
          <w:szCs w:val="28"/>
          <w:highlight w:val="none"/>
          <w:lang w:eastAsia="zh-Hans"/>
        </w:rPr>
        <w:t xml:space="preserve"> 附则</w:t>
      </w:r>
    </w:p>
    <w:p w14:paraId="2F28A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1. 任何一方不得将本协议项下的权利和义务转让给第三方，但获得对方书面同意的除外。</w:t>
      </w:r>
    </w:p>
    <w:p w14:paraId="149DA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2. 乙方的保密义务自本项目建设合作起开始生效。</w:t>
      </w:r>
    </w:p>
    <w:p w14:paraId="4AE08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3. 乙方的保密义务并不因双方合作关系的解除而免除。</w:t>
      </w:r>
    </w:p>
    <w:p w14:paraId="4182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lang w:eastAsia="zh-Hans"/>
        </w:rPr>
      </w:pPr>
      <w:r>
        <w:rPr>
          <w:rFonts w:hint="eastAsia" w:asciiTheme="minorEastAsia" w:hAnsiTheme="minorEastAsia" w:eastAsiaTheme="minorEastAsia" w:cstheme="minorEastAsia"/>
          <w:color w:val="000000"/>
          <w:szCs w:val="28"/>
          <w:highlight w:val="none"/>
        </w:rPr>
        <w:t>4. 本协议一式</w:t>
      </w:r>
      <w:r>
        <w:rPr>
          <w:rFonts w:hint="eastAsia" w:asciiTheme="minorEastAsia" w:hAnsiTheme="minorEastAsia" w:eastAsiaTheme="minorEastAsia" w:cstheme="minorEastAsia"/>
          <w:color w:val="000000"/>
          <w:szCs w:val="28"/>
          <w:highlight w:val="none"/>
          <w:u w:val="single"/>
        </w:rPr>
        <w:t xml:space="preserve"> 陆 </w:t>
      </w:r>
      <w:r>
        <w:rPr>
          <w:rFonts w:hint="eastAsia" w:asciiTheme="minorEastAsia" w:hAnsiTheme="minorEastAsia" w:eastAsiaTheme="minorEastAsia" w:cstheme="minorEastAsia"/>
          <w:color w:val="000000"/>
          <w:szCs w:val="28"/>
          <w:highlight w:val="none"/>
        </w:rPr>
        <w:t>份，甲方</w:t>
      </w:r>
      <w:r>
        <w:rPr>
          <w:rFonts w:hint="eastAsia" w:asciiTheme="minorEastAsia" w:hAnsiTheme="minorEastAsia" w:eastAsiaTheme="minorEastAsia" w:cstheme="minorEastAsia"/>
          <w:color w:val="000000"/>
          <w:szCs w:val="28"/>
          <w:highlight w:val="none"/>
          <w:u w:val="single"/>
        </w:rPr>
        <w:t xml:space="preserve"> 肆 </w:t>
      </w:r>
      <w:r>
        <w:rPr>
          <w:rFonts w:hint="eastAsia" w:asciiTheme="minorEastAsia" w:hAnsiTheme="minorEastAsia" w:eastAsiaTheme="minorEastAsia" w:cstheme="minorEastAsia"/>
          <w:color w:val="000000"/>
          <w:szCs w:val="28"/>
          <w:highlight w:val="none"/>
        </w:rPr>
        <w:t>份和乙方</w:t>
      </w:r>
      <w:r>
        <w:rPr>
          <w:rFonts w:hint="eastAsia" w:asciiTheme="minorEastAsia" w:hAnsiTheme="minorEastAsia" w:eastAsiaTheme="minorEastAsia" w:cstheme="minorEastAsia"/>
          <w:color w:val="000000"/>
          <w:szCs w:val="28"/>
          <w:highlight w:val="none"/>
          <w:u w:val="single"/>
        </w:rPr>
        <w:t xml:space="preserve"> 贰 </w:t>
      </w:r>
      <w:r>
        <w:rPr>
          <w:rFonts w:hint="eastAsia" w:asciiTheme="minorEastAsia" w:hAnsiTheme="minorEastAsia" w:eastAsiaTheme="minorEastAsia" w:cstheme="minorEastAsia"/>
          <w:color w:val="000000"/>
          <w:szCs w:val="28"/>
          <w:highlight w:val="none"/>
        </w:rPr>
        <w:t>份。未尽事宜，甲乙双方友好协商，</w:t>
      </w:r>
      <w:r>
        <w:rPr>
          <w:rFonts w:hint="eastAsia" w:asciiTheme="minorEastAsia" w:hAnsiTheme="minorEastAsia" w:eastAsiaTheme="minorEastAsia" w:cstheme="minorEastAsia"/>
          <w:color w:val="000000"/>
          <w:szCs w:val="28"/>
          <w:highlight w:val="none"/>
          <w:lang w:eastAsia="zh-Hans"/>
        </w:rPr>
        <w:t>可签订定补充协议予以完善。</w:t>
      </w:r>
    </w:p>
    <w:p w14:paraId="26AB3D72">
      <w:pPr>
        <w:rPr>
          <w:rFonts w:hint="eastAsia" w:asciiTheme="minorEastAsia" w:hAnsiTheme="minorEastAsia" w:eastAsiaTheme="minorEastAsia" w:cstheme="minorEastAsia"/>
          <w:bCs/>
          <w:color w:val="000000"/>
          <w:szCs w:val="28"/>
          <w:highlight w:val="none"/>
        </w:rPr>
      </w:pPr>
    </w:p>
    <w:p w14:paraId="313D55FD">
      <w:pPr>
        <w:pStyle w:val="2"/>
        <w:rPr>
          <w:rFonts w:hint="eastAsia" w:asciiTheme="minorEastAsia" w:hAnsiTheme="minorEastAsia" w:eastAsiaTheme="minorEastAsia" w:cstheme="minorEastAsia"/>
          <w:highlight w:val="none"/>
        </w:rPr>
      </w:pPr>
    </w:p>
    <w:tbl>
      <w:tblPr>
        <w:tblStyle w:val="58"/>
        <w:tblW w:w="9331" w:type="dxa"/>
        <w:jc w:val="center"/>
        <w:tblLayout w:type="autofit"/>
        <w:tblCellMar>
          <w:top w:w="0" w:type="dxa"/>
          <w:left w:w="108" w:type="dxa"/>
          <w:bottom w:w="0" w:type="dxa"/>
          <w:right w:w="108" w:type="dxa"/>
        </w:tblCellMar>
      </w:tblPr>
      <w:tblGrid>
        <w:gridCol w:w="4489"/>
        <w:gridCol w:w="4842"/>
      </w:tblGrid>
      <w:tr w14:paraId="148C7E21">
        <w:tblPrEx>
          <w:tblCellMar>
            <w:top w:w="0" w:type="dxa"/>
            <w:left w:w="108" w:type="dxa"/>
            <w:bottom w:w="0" w:type="dxa"/>
            <w:right w:w="108" w:type="dxa"/>
          </w:tblCellMar>
        </w:tblPrEx>
        <w:trPr>
          <w:trHeight w:val="915" w:hRule="atLeast"/>
          <w:jc w:val="center"/>
        </w:trPr>
        <w:tc>
          <w:tcPr>
            <w:tcW w:w="4489" w:type="dxa"/>
            <w:tcBorders>
              <w:tl2br w:val="nil"/>
              <w:tr2bl w:val="nil"/>
            </w:tcBorders>
            <w:noWrap w:val="0"/>
            <w:vAlign w:val="top"/>
          </w:tcPr>
          <w:p w14:paraId="28D05510">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甲    方：重庆中医药学院</w:t>
            </w:r>
          </w:p>
        </w:tc>
        <w:tc>
          <w:tcPr>
            <w:tcW w:w="4842" w:type="dxa"/>
            <w:tcBorders>
              <w:tl2br w:val="nil"/>
              <w:tr2bl w:val="nil"/>
            </w:tcBorders>
            <w:noWrap w:val="0"/>
            <w:vAlign w:val="top"/>
          </w:tcPr>
          <w:p w14:paraId="6B82E125">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乙    方：</w:t>
            </w:r>
          </w:p>
        </w:tc>
      </w:tr>
      <w:tr w14:paraId="0BB8249C">
        <w:tblPrEx>
          <w:tblCellMar>
            <w:top w:w="0" w:type="dxa"/>
            <w:left w:w="108" w:type="dxa"/>
            <w:bottom w:w="0" w:type="dxa"/>
            <w:right w:w="108" w:type="dxa"/>
          </w:tblCellMar>
        </w:tblPrEx>
        <w:trPr>
          <w:trHeight w:val="745" w:hRule="atLeast"/>
          <w:jc w:val="center"/>
        </w:trPr>
        <w:tc>
          <w:tcPr>
            <w:tcW w:w="4489" w:type="dxa"/>
            <w:tcBorders>
              <w:tl2br w:val="nil"/>
              <w:tr2bl w:val="nil"/>
            </w:tcBorders>
            <w:noWrap w:val="0"/>
            <w:vAlign w:val="top"/>
          </w:tcPr>
          <w:p w14:paraId="39113AF6">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法人代表人</w:t>
            </w:r>
          </w:p>
          <w:p w14:paraId="3520F9D7">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或委托代理人（签字）：</w:t>
            </w:r>
          </w:p>
          <w:p w14:paraId="444A758F">
            <w:pPr>
              <w:pStyle w:val="38"/>
              <w:spacing w:line="560" w:lineRule="exact"/>
              <w:rPr>
                <w:rFonts w:hint="eastAsia" w:asciiTheme="minorEastAsia" w:hAnsiTheme="minorEastAsia" w:eastAsiaTheme="minorEastAsia" w:cstheme="minorEastAsia"/>
                <w:sz w:val="28"/>
                <w:szCs w:val="28"/>
                <w:highlight w:val="none"/>
              </w:rPr>
            </w:pPr>
          </w:p>
        </w:tc>
        <w:tc>
          <w:tcPr>
            <w:tcW w:w="4842" w:type="dxa"/>
            <w:tcBorders>
              <w:tl2br w:val="nil"/>
              <w:tr2bl w:val="nil"/>
            </w:tcBorders>
            <w:noWrap w:val="0"/>
            <w:vAlign w:val="top"/>
          </w:tcPr>
          <w:p w14:paraId="3C483F5E">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法人代表人</w:t>
            </w:r>
          </w:p>
          <w:p w14:paraId="05B06D17">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或委托代理人（签字）：</w:t>
            </w:r>
          </w:p>
          <w:p w14:paraId="0D09407D">
            <w:pPr>
              <w:pStyle w:val="2"/>
              <w:rPr>
                <w:rFonts w:hint="eastAsia" w:asciiTheme="minorEastAsia" w:hAnsiTheme="minorEastAsia" w:eastAsiaTheme="minorEastAsia" w:cstheme="minorEastAsia"/>
                <w:highlight w:val="none"/>
              </w:rPr>
            </w:pPr>
          </w:p>
        </w:tc>
      </w:tr>
      <w:tr w14:paraId="4711AB7D">
        <w:tblPrEx>
          <w:tblCellMar>
            <w:top w:w="0" w:type="dxa"/>
            <w:left w:w="108" w:type="dxa"/>
            <w:bottom w:w="0" w:type="dxa"/>
            <w:right w:w="108" w:type="dxa"/>
          </w:tblCellMar>
        </w:tblPrEx>
        <w:trPr>
          <w:trHeight w:val="596" w:hRule="atLeast"/>
          <w:jc w:val="center"/>
        </w:trPr>
        <w:tc>
          <w:tcPr>
            <w:tcW w:w="4489" w:type="dxa"/>
            <w:tcBorders>
              <w:tl2br w:val="nil"/>
              <w:tr2bl w:val="nil"/>
            </w:tcBorders>
            <w:noWrap w:val="0"/>
            <w:vAlign w:val="top"/>
          </w:tcPr>
          <w:p w14:paraId="5EFBF4E2">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电    话：023-65880092</w:t>
            </w:r>
          </w:p>
        </w:tc>
        <w:tc>
          <w:tcPr>
            <w:tcW w:w="4842" w:type="dxa"/>
            <w:tcBorders>
              <w:tl2br w:val="nil"/>
              <w:tr2bl w:val="nil"/>
            </w:tcBorders>
            <w:noWrap w:val="0"/>
            <w:vAlign w:val="top"/>
          </w:tcPr>
          <w:p w14:paraId="01510E73">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电    话：</w:t>
            </w:r>
          </w:p>
        </w:tc>
      </w:tr>
      <w:tr w14:paraId="669B9530">
        <w:tblPrEx>
          <w:tblCellMar>
            <w:top w:w="0" w:type="dxa"/>
            <w:left w:w="108" w:type="dxa"/>
            <w:bottom w:w="0" w:type="dxa"/>
            <w:right w:w="108" w:type="dxa"/>
          </w:tblCellMar>
        </w:tblPrEx>
        <w:trPr>
          <w:trHeight w:val="1127" w:hRule="atLeast"/>
          <w:jc w:val="center"/>
        </w:trPr>
        <w:tc>
          <w:tcPr>
            <w:tcW w:w="4489" w:type="dxa"/>
            <w:tcBorders>
              <w:tl2br w:val="nil"/>
              <w:tr2bl w:val="nil"/>
            </w:tcBorders>
            <w:noWrap w:val="0"/>
            <w:vAlign w:val="top"/>
          </w:tcPr>
          <w:p w14:paraId="1621C570">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地    址：重庆市璧山区璧城街道</w:t>
            </w:r>
          </w:p>
          <w:p w14:paraId="6D913092">
            <w:pPr>
              <w:spacing w:line="560" w:lineRule="exact"/>
              <w:ind w:firstLine="1439" w:firstLineChars="514"/>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国学路61号</w:t>
            </w:r>
          </w:p>
        </w:tc>
        <w:tc>
          <w:tcPr>
            <w:tcW w:w="4842" w:type="dxa"/>
            <w:tcBorders>
              <w:tl2br w:val="nil"/>
              <w:tr2bl w:val="nil"/>
            </w:tcBorders>
            <w:noWrap w:val="0"/>
            <w:vAlign w:val="top"/>
          </w:tcPr>
          <w:p w14:paraId="264328E3">
            <w:pPr>
              <w:spacing w:line="560" w:lineRule="exact"/>
              <w:ind w:left="1400" w:hanging="1400" w:hangingChars="5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地    址：</w:t>
            </w:r>
          </w:p>
        </w:tc>
      </w:tr>
      <w:tr w14:paraId="0B4B697B">
        <w:tblPrEx>
          <w:tblCellMar>
            <w:top w:w="0" w:type="dxa"/>
            <w:left w:w="108" w:type="dxa"/>
            <w:bottom w:w="0" w:type="dxa"/>
            <w:right w:w="108" w:type="dxa"/>
          </w:tblCellMar>
        </w:tblPrEx>
        <w:trPr>
          <w:trHeight w:val="90" w:hRule="atLeast"/>
          <w:jc w:val="center"/>
        </w:trPr>
        <w:tc>
          <w:tcPr>
            <w:tcW w:w="4489" w:type="dxa"/>
            <w:tcBorders>
              <w:tl2br w:val="nil"/>
              <w:tr2bl w:val="nil"/>
            </w:tcBorders>
            <w:noWrap w:val="0"/>
            <w:vAlign w:val="top"/>
          </w:tcPr>
          <w:p w14:paraId="21762840">
            <w:pPr>
              <w:spacing w:line="560" w:lineRule="exact"/>
              <w:ind w:left="1400" w:hanging="1400" w:hangingChars="500"/>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时    间：     年   月   日</w:t>
            </w:r>
          </w:p>
        </w:tc>
        <w:tc>
          <w:tcPr>
            <w:tcW w:w="4842" w:type="dxa"/>
            <w:tcBorders>
              <w:tl2br w:val="nil"/>
              <w:tr2bl w:val="nil"/>
            </w:tcBorders>
            <w:noWrap w:val="0"/>
            <w:vAlign w:val="top"/>
          </w:tcPr>
          <w:p w14:paraId="21E98329">
            <w:pPr>
              <w:spacing w:line="560" w:lineRule="exact"/>
              <w:ind w:left="1400" w:hanging="1400" w:hangingChars="500"/>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时    间：     年   月   日</w:t>
            </w:r>
          </w:p>
        </w:tc>
      </w:tr>
      <w:tr w14:paraId="36185E3F">
        <w:tblPrEx>
          <w:tblCellMar>
            <w:top w:w="0" w:type="dxa"/>
            <w:left w:w="108" w:type="dxa"/>
            <w:bottom w:w="0" w:type="dxa"/>
            <w:right w:w="108" w:type="dxa"/>
          </w:tblCellMar>
        </w:tblPrEx>
        <w:trPr>
          <w:trHeight w:val="562" w:hRule="atLeast"/>
          <w:jc w:val="center"/>
        </w:trPr>
        <w:tc>
          <w:tcPr>
            <w:tcW w:w="9331" w:type="dxa"/>
            <w:gridSpan w:val="2"/>
            <w:tcBorders>
              <w:tl2br w:val="nil"/>
              <w:tr2bl w:val="nil"/>
            </w:tcBorders>
            <w:noWrap w:val="0"/>
            <w:vAlign w:val="top"/>
          </w:tcPr>
          <w:p w14:paraId="18CEDE55">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签约地点：</w:t>
            </w:r>
            <w:r>
              <w:rPr>
                <w:rFonts w:hint="eastAsia" w:asciiTheme="minorEastAsia" w:hAnsiTheme="minorEastAsia" w:eastAsiaTheme="minorEastAsia" w:cstheme="minorEastAsia"/>
                <w:kern w:val="0"/>
                <w:szCs w:val="28"/>
                <w:highlight w:val="none"/>
              </w:rPr>
              <w:t>重</w:t>
            </w:r>
            <w:r>
              <w:rPr>
                <w:rFonts w:hint="eastAsia" w:asciiTheme="minorEastAsia" w:hAnsiTheme="minorEastAsia" w:eastAsiaTheme="minorEastAsia" w:cstheme="minorEastAsia"/>
                <w:szCs w:val="28"/>
                <w:highlight w:val="none"/>
              </w:rPr>
              <w:t>庆市璧山区璧城街道国学路61号重庆中医药学院</w:t>
            </w:r>
          </w:p>
        </w:tc>
      </w:tr>
    </w:tbl>
    <w:p w14:paraId="65D3503B">
      <w:pPr>
        <w:spacing w:line="560" w:lineRule="exac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br w:type="page"/>
      </w:r>
    </w:p>
    <w:p w14:paraId="4F2C0109">
      <w:pPr>
        <w:spacing w:line="560" w:lineRule="exact"/>
        <w:contextualSpacing/>
        <w:outlineLvl w:val="1"/>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附件3</w:t>
      </w:r>
    </w:p>
    <w:p w14:paraId="782A3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hint="eastAsia" w:asciiTheme="minorEastAsia" w:hAnsiTheme="minorEastAsia" w:eastAsiaTheme="minorEastAsia" w:cstheme="minorEastAsia"/>
          <w:color w:val="000000"/>
          <w:sz w:val="44"/>
          <w:szCs w:val="44"/>
          <w:highlight w:val="none"/>
        </w:rPr>
      </w:pPr>
      <w:r>
        <w:rPr>
          <w:rFonts w:hint="eastAsia" w:asciiTheme="minorEastAsia" w:hAnsiTheme="minorEastAsia" w:eastAsiaTheme="minorEastAsia" w:cstheme="minorEastAsia"/>
          <w:color w:val="000000"/>
          <w:sz w:val="44"/>
          <w:szCs w:val="44"/>
          <w:highlight w:val="none"/>
        </w:rPr>
        <w:t>安 全 协 议</w:t>
      </w:r>
    </w:p>
    <w:p w14:paraId="4D049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hint="eastAsia" w:asciiTheme="minorEastAsia" w:hAnsiTheme="minorEastAsia" w:eastAsiaTheme="minorEastAsia" w:cstheme="minorEastAsia"/>
          <w:color w:val="000000"/>
          <w:szCs w:val="28"/>
          <w:highlight w:val="none"/>
        </w:rPr>
      </w:pPr>
    </w:p>
    <w:p w14:paraId="203A9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甲  方：重庆中医药学院</w:t>
      </w:r>
    </w:p>
    <w:p w14:paraId="1F78F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hint="eastAsia" w:asciiTheme="minorEastAsia" w:hAnsiTheme="minorEastAsia" w:eastAsiaTheme="minorEastAsia" w:cstheme="minorEastAsia"/>
          <w:color w:val="000000"/>
          <w:szCs w:val="28"/>
          <w:highlight w:val="none"/>
          <w:u w:val="single"/>
        </w:rPr>
      </w:pPr>
      <w:r>
        <w:rPr>
          <w:rFonts w:hint="eastAsia" w:asciiTheme="minorEastAsia" w:hAnsiTheme="minorEastAsia" w:eastAsiaTheme="minorEastAsia" w:cstheme="minorEastAsia"/>
          <w:color w:val="000000"/>
          <w:szCs w:val="28"/>
          <w:highlight w:val="none"/>
        </w:rPr>
        <w:t>乙  方：</w:t>
      </w:r>
    </w:p>
    <w:p w14:paraId="3404D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p>
    <w:p w14:paraId="5CDFE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根据号招标项目的投标结果，中标方（乙方）成为项目的供应商。为避免乙方在提供服务、供货或施工过程中的安全生产风险，有效防止安全事故发生，保障生命、财产安全，促进服务、供货或施工的顺利进行，明确双方安全责任，经甲乙双方友好协商，达成以下安全协议。</w:t>
      </w:r>
    </w:p>
    <w:p w14:paraId="7A53ABA3">
      <w:pPr>
        <w:spacing w:line="560" w:lineRule="exact"/>
        <w:ind w:firstLine="560" w:firstLineChars="200"/>
        <w:contextualSpacing/>
        <w:outlineLvl w:val="1"/>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第一条  甲方安全责任</w:t>
      </w:r>
    </w:p>
    <w:p w14:paraId="72271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1. 甲方有协助乙方在提供服务、供货或施工过程中遇到的安全风险、防火管理以及督促检查的义务。甲方有权检查督促乙方执行有关安全方面的工作情况，对乙方不符合安全文明施工的行为进行制止、纠正并发出安全整改通知书，直至清退出场。</w:t>
      </w:r>
    </w:p>
    <w:p w14:paraId="0BDA3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2. 甲方及甲方委托的监管机构有权对乙方安全生产情况随时进行抽查，有权对乙方参与服务、供货或施工过程中人员进行安全技术知识和安全工作规程的抽查。乙方应予积极配合。若在检查过程中被发现存在的安全隐患，应立即按要求在甲方规定时限内进行整改。</w:t>
      </w:r>
    </w:p>
    <w:p w14:paraId="43B5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3. 乙方在提供服务、供货或施工过程中如发生特、重大事故，甲方有权督促乙方立即通知当地政府和公安部门，要求派人保护现场；并有权要求乙方提供事故调查书面结论及处理意见。</w:t>
      </w:r>
    </w:p>
    <w:p w14:paraId="445B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4. 甲方不得要求乙方违反安全管理规定进行服务、供货或施工。</w:t>
      </w:r>
    </w:p>
    <w:p w14:paraId="04A4F54C">
      <w:pPr>
        <w:spacing w:line="560" w:lineRule="exact"/>
        <w:ind w:firstLine="560" w:firstLineChars="200"/>
        <w:contextualSpacing/>
        <w:outlineLvl w:val="1"/>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第二条  乙方安全责任</w:t>
      </w:r>
    </w:p>
    <w:p w14:paraId="68715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乙方作为服务、供货或施工项目的实施单位，对提供服务、供货或施工项目过程中发生的人身伤害、设备损坏、环境污染等影响甲方安全的一切事故承担安全责任。乙方应切实履行以下安全责任:</w:t>
      </w:r>
    </w:p>
    <w:p w14:paraId="007BD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1. 乙方提供的服务、供货或施工项目所要求的相关资质证明材料应真实、合法、有效。</w:t>
      </w:r>
    </w:p>
    <w:p w14:paraId="0964C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2. 如乙方作为施工项目的供应商，乙方应取得施工企业安全生产许可证后方可从事工程施工</w:t>
      </w:r>
      <w:r>
        <w:rPr>
          <w:rFonts w:hint="eastAsia" w:asciiTheme="minorEastAsia" w:hAnsiTheme="minorEastAsia" w:eastAsiaTheme="minorEastAsia" w:cstheme="minorEastAsia"/>
          <w:szCs w:val="28"/>
          <w:highlight w:val="none"/>
        </w:rPr>
        <w:t>（零</w:t>
      </w:r>
      <w:r>
        <w:rPr>
          <w:rFonts w:hint="eastAsia" w:asciiTheme="minorEastAsia" w:hAnsiTheme="minorEastAsia" w:eastAsiaTheme="minorEastAsia" w:cstheme="minorEastAsia"/>
          <w:color w:val="000000"/>
          <w:szCs w:val="28"/>
          <w:highlight w:val="none"/>
        </w:rPr>
        <w:t>星施工项目或国家没有强制企业施工前取得安全生产许可证的除外）。施工企业的主要负责人、项目负责人、专职安全生产管理人员任职或上岗条件必须符合国家法律、法规相关规定。</w:t>
      </w:r>
    </w:p>
    <w:p w14:paraId="0563D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3. 乙方在提供服务、供货或施工项目过程中必须贯彻执行国家有关安全生产的法律法规，必须制定相应的安全管理制度；严格按照各种操作规程进行操控作业。</w:t>
      </w:r>
    </w:p>
    <w:p w14:paraId="332CC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4. 乙方在提供服务、供货或施工期间，应根据项目需求设立安全责任岗位。</w:t>
      </w:r>
    </w:p>
    <w:p w14:paraId="4DEE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5. 乙方用与提供服务、供货或施工项目的施工机械、工器具及安全防护用品等数量和质量必须满足项目需要，乙方对因使用工器具不当所造成的人员伤亡及设备损坏负责。</w:t>
      </w:r>
    </w:p>
    <w:p w14:paraId="20013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6. 乙方在提供服务、供货或施工项目前，应组织全体工作人员进行安全教育。如需特种工作人员作业，必须有有关部门核发的合格有效的上岗资格证书。</w:t>
      </w:r>
    </w:p>
    <w:p w14:paraId="424C3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7. 乙方在提供服务、供货或施工项目前，乙方应组织人员对工作区域、作业环境、设施设备、工器具等进行检查，确认符合安全要求。</w:t>
      </w:r>
    </w:p>
    <w:p w14:paraId="7EFF8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8. 乙方在提供服务、供货或施工项目过程中需要使用电、水源，应事先与甲方取得联系，不得私拉乱接。中断作业或遇故障应立即切断有关开关。</w:t>
      </w:r>
    </w:p>
    <w:p w14:paraId="595CC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9. 乙方在提供服务、供货或施工项目过程中必须接受甲方的监督、检查，对甲方提出的安全整改意见必须及时整改。</w:t>
      </w:r>
    </w:p>
    <w:p w14:paraId="71822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10. 乙方在提供服务、供货或施工项目过程中发生人身伤亡、设备事故或危及生产运行的不安全情况，应立即报告甲方，并积极配合调查。</w:t>
      </w:r>
    </w:p>
    <w:p w14:paraId="04140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11. 乙方在提供服务、供货或施工项目过程中由于管理不善，违章操作，违章施工，造成甲方其他设施、设备受损，包括但不限于房屋墙面地面损毁，通信网络管道损毁、信号中断等，由乙方承担补修和赔偿的全部责任。</w:t>
      </w:r>
    </w:p>
    <w:p w14:paraId="35755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12. 乙方在提供服务、供货或施工项目过程中(验收前)，由于管理不善，造成工程施工材料损坏或丢失，由乙方承担全部责任。</w:t>
      </w:r>
    </w:p>
    <w:p w14:paraId="6DF65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13. 乙方应依法为在提供服务、供货或施工项目过程中的工作人员缴纳工伤社会保险或购买意外伤害保险。</w:t>
      </w:r>
    </w:p>
    <w:p w14:paraId="1CDA2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14. 乙方要加强对提供服务、供货或施工项目工作人员的管理教育，提高他们的安全意识，时刻考虑到学校师生的安全。教育其不得随意出入师生生活、学习及办公区域，不得随意与学生来往，所有施工人员要严格遵守甲方规章制度。</w:t>
      </w:r>
    </w:p>
    <w:p w14:paraId="7384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15. 乙方须遵守有关环境保护法律、法规的规定，建筑材料摆放规范，并合理调整工作时间，尽量减少工地噪音，在确保安全的同时不影响正常教学及办公秩序。</w:t>
      </w:r>
    </w:p>
    <w:p w14:paraId="100EA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16. 乙方在提供服务、供货或施工过程中，应根据师生活动范围，搭设防护通道，并在显著的位置张贴安全生产的宣传标语，合理设置警示标志、绕行标志等，提示和引导避让危险，严密防范安全事故发生，确保在校师生和施工人员的人身安全。</w:t>
      </w:r>
    </w:p>
    <w:p w14:paraId="5890D1AC">
      <w:pPr>
        <w:spacing w:line="560" w:lineRule="exact"/>
        <w:ind w:firstLine="560" w:firstLineChars="200"/>
        <w:contextualSpacing/>
        <w:outlineLvl w:val="1"/>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第三条  违约责任</w:t>
      </w:r>
    </w:p>
    <w:p w14:paraId="36174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1. 由于乙方责任造成对方或第三方的人身伤害、设备损坏、环境污染等人身或财产损失，由乙方承担相应责任，并赔偿对方或第三方因此造成的全部损失。</w:t>
      </w:r>
    </w:p>
    <w:p w14:paraId="50318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2. 合同履行中，发现乙方提供的有关资质材料无效，甲方有权解除合同，并由乙方承担由此造成的一切损失。</w:t>
      </w:r>
    </w:p>
    <w:p w14:paraId="032AE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3. 如提供服务、供货或施工项目中，乙方需要设置安全责任人员而未设置，未能正确、全面执行安全技术措施、施工组织设计；工作人员未掌握本项目特点及安全措施；用于本项目的施工机械、工器具及安全防护用品不满足施工需要，甲方有权要求乙方立即停工整改，由此引起的后果及损失由乙方承担。</w:t>
      </w:r>
    </w:p>
    <w:p w14:paraId="41A73C32">
      <w:pPr>
        <w:spacing w:line="560" w:lineRule="exact"/>
        <w:ind w:firstLine="560" w:firstLineChars="200"/>
        <w:contextualSpacing/>
        <w:outlineLvl w:val="1"/>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第四条  争议解决方式</w:t>
      </w:r>
    </w:p>
    <w:p w14:paraId="306D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本协议执行过程中，如发生争议，由双方协商解决；协商不成，任何一方可以向甲方所在地人民法院提出诉讼。</w:t>
      </w:r>
    </w:p>
    <w:p w14:paraId="36A16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本协议一式</w:t>
      </w:r>
      <w:r>
        <w:rPr>
          <w:rFonts w:hint="eastAsia" w:asciiTheme="minorEastAsia" w:hAnsiTheme="minorEastAsia" w:eastAsiaTheme="minorEastAsia" w:cstheme="minorEastAsia"/>
          <w:color w:val="000000"/>
          <w:szCs w:val="28"/>
          <w:highlight w:val="none"/>
          <w:u w:val="single"/>
        </w:rPr>
        <w:t>陆</w:t>
      </w:r>
      <w:r>
        <w:rPr>
          <w:rFonts w:hint="eastAsia" w:asciiTheme="minorEastAsia" w:hAnsiTheme="minorEastAsia" w:eastAsiaTheme="minorEastAsia" w:cstheme="minorEastAsia"/>
          <w:color w:val="000000"/>
          <w:szCs w:val="28"/>
          <w:highlight w:val="none"/>
        </w:rPr>
        <w:t>份，甲方</w:t>
      </w:r>
      <w:r>
        <w:rPr>
          <w:rFonts w:hint="eastAsia" w:asciiTheme="minorEastAsia" w:hAnsiTheme="minorEastAsia" w:eastAsiaTheme="minorEastAsia" w:cstheme="minorEastAsia"/>
          <w:color w:val="000000"/>
          <w:szCs w:val="28"/>
          <w:highlight w:val="none"/>
          <w:u w:val="single"/>
        </w:rPr>
        <w:t>肆</w:t>
      </w:r>
      <w:r>
        <w:rPr>
          <w:rFonts w:hint="eastAsia" w:asciiTheme="minorEastAsia" w:hAnsiTheme="minorEastAsia" w:eastAsiaTheme="minorEastAsia" w:cstheme="minorEastAsia"/>
          <w:color w:val="000000"/>
          <w:szCs w:val="28"/>
          <w:highlight w:val="none"/>
        </w:rPr>
        <w:t>份和乙方</w:t>
      </w:r>
      <w:r>
        <w:rPr>
          <w:rFonts w:hint="eastAsia" w:asciiTheme="minorEastAsia" w:hAnsiTheme="minorEastAsia" w:eastAsiaTheme="minorEastAsia" w:cstheme="minorEastAsia"/>
          <w:color w:val="000000"/>
          <w:szCs w:val="28"/>
          <w:highlight w:val="none"/>
          <w:u w:val="single"/>
        </w:rPr>
        <w:t>贰</w:t>
      </w:r>
      <w:r>
        <w:rPr>
          <w:rFonts w:hint="eastAsia" w:asciiTheme="minorEastAsia" w:hAnsiTheme="minorEastAsia" w:eastAsiaTheme="minorEastAsia" w:cstheme="minorEastAsia"/>
          <w:color w:val="000000"/>
          <w:szCs w:val="28"/>
          <w:highlight w:val="none"/>
        </w:rPr>
        <w:t>份。未尽事宜，甲乙双方经友好协商可签订补充协议。</w:t>
      </w:r>
    </w:p>
    <w:p w14:paraId="1CF4C609">
      <w:pPr>
        <w:pStyle w:val="5"/>
        <w:keepNext w:val="0"/>
        <w:keepLines w:val="0"/>
        <w:spacing w:line="560" w:lineRule="exact"/>
        <w:ind w:firstLine="560" w:firstLineChars="200"/>
        <w:rPr>
          <w:rFonts w:hint="eastAsia" w:asciiTheme="minorEastAsia" w:hAnsiTheme="minorEastAsia" w:eastAsiaTheme="minorEastAsia" w:cstheme="minorEastAsia"/>
          <w:b w:val="0"/>
          <w:bCs/>
          <w:color w:val="000000"/>
          <w:sz w:val="28"/>
          <w:szCs w:val="28"/>
          <w:highlight w:val="none"/>
        </w:rPr>
      </w:pPr>
    </w:p>
    <w:p w14:paraId="5F33DB55">
      <w:pPr>
        <w:pStyle w:val="5"/>
        <w:keepNext w:val="0"/>
        <w:keepLines w:val="0"/>
        <w:spacing w:line="560" w:lineRule="exact"/>
        <w:ind w:firstLine="560" w:firstLineChars="200"/>
        <w:rPr>
          <w:rFonts w:hint="eastAsia" w:asciiTheme="minorEastAsia" w:hAnsiTheme="minorEastAsia" w:eastAsiaTheme="minorEastAsia" w:cstheme="minorEastAsia"/>
          <w:b w:val="0"/>
          <w:bCs/>
          <w:color w:val="000000"/>
          <w:sz w:val="28"/>
          <w:szCs w:val="28"/>
          <w:highlight w:val="none"/>
        </w:rPr>
      </w:pPr>
    </w:p>
    <w:tbl>
      <w:tblPr>
        <w:tblStyle w:val="58"/>
        <w:tblW w:w="9331" w:type="dxa"/>
        <w:jc w:val="center"/>
        <w:tblLayout w:type="autofit"/>
        <w:tblCellMar>
          <w:top w:w="0" w:type="dxa"/>
          <w:left w:w="108" w:type="dxa"/>
          <w:bottom w:w="0" w:type="dxa"/>
          <w:right w:w="108" w:type="dxa"/>
        </w:tblCellMar>
      </w:tblPr>
      <w:tblGrid>
        <w:gridCol w:w="4489"/>
        <w:gridCol w:w="4842"/>
      </w:tblGrid>
      <w:tr w14:paraId="3B57DE48">
        <w:tblPrEx>
          <w:tblCellMar>
            <w:top w:w="0" w:type="dxa"/>
            <w:left w:w="108" w:type="dxa"/>
            <w:bottom w:w="0" w:type="dxa"/>
            <w:right w:w="108" w:type="dxa"/>
          </w:tblCellMar>
        </w:tblPrEx>
        <w:trPr>
          <w:trHeight w:val="915" w:hRule="atLeast"/>
          <w:jc w:val="center"/>
        </w:trPr>
        <w:tc>
          <w:tcPr>
            <w:tcW w:w="4489" w:type="dxa"/>
            <w:tcBorders>
              <w:tl2br w:val="nil"/>
              <w:tr2bl w:val="nil"/>
            </w:tcBorders>
            <w:noWrap w:val="0"/>
            <w:vAlign w:val="top"/>
          </w:tcPr>
          <w:p w14:paraId="5309BC2F">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甲    方：重庆中医药学院</w:t>
            </w:r>
          </w:p>
        </w:tc>
        <w:tc>
          <w:tcPr>
            <w:tcW w:w="4842" w:type="dxa"/>
            <w:tcBorders>
              <w:tl2br w:val="nil"/>
              <w:tr2bl w:val="nil"/>
            </w:tcBorders>
            <w:noWrap w:val="0"/>
            <w:vAlign w:val="top"/>
          </w:tcPr>
          <w:p w14:paraId="1CA145ED">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乙    方：</w:t>
            </w:r>
          </w:p>
        </w:tc>
      </w:tr>
      <w:tr w14:paraId="3099A474">
        <w:tblPrEx>
          <w:tblCellMar>
            <w:top w:w="0" w:type="dxa"/>
            <w:left w:w="108" w:type="dxa"/>
            <w:bottom w:w="0" w:type="dxa"/>
            <w:right w:w="108" w:type="dxa"/>
          </w:tblCellMar>
        </w:tblPrEx>
        <w:trPr>
          <w:trHeight w:val="745" w:hRule="atLeast"/>
          <w:jc w:val="center"/>
        </w:trPr>
        <w:tc>
          <w:tcPr>
            <w:tcW w:w="4489" w:type="dxa"/>
            <w:tcBorders>
              <w:tl2br w:val="nil"/>
              <w:tr2bl w:val="nil"/>
            </w:tcBorders>
            <w:noWrap w:val="0"/>
            <w:vAlign w:val="top"/>
          </w:tcPr>
          <w:p w14:paraId="78645461">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法人代表人</w:t>
            </w:r>
          </w:p>
          <w:p w14:paraId="38177C80">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或委托代理人（签字）：</w:t>
            </w:r>
          </w:p>
          <w:p w14:paraId="279D944D">
            <w:pPr>
              <w:pStyle w:val="38"/>
              <w:spacing w:line="560" w:lineRule="exact"/>
              <w:rPr>
                <w:rFonts w:hint="eastAsia" w:asciiTheme="minorEastAsia" w:hAnsiTheme="minorEastAsia" w:eastAsiaTheme="minorEastAsia" w:cstheme="minorEastAsia"/>
                <w:sz w:val="28"/>
                <w:szCs w:val="28"/>
                <w:highlight w:val="none"/>
              </w:rPr>
            </w:pPr>
          </w:p>
        </w:tc>
        <w:tc>
          <w:tcPr>
            <w:tcW w:w="4842" w:type="dxa"/>
            <w:tcBorders>
              <w:tl2br w:val="nil"/>
              <w:tr2bl w:val="nil"/>
            </w:tcBorders>
            <w:noWrap w:val="0"/>
            <w:vAlign w:val="top"/>
          </w:tcPr>
          <w:p w14:paraId="7664896A">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法人代表人</w:t>
            </w:r>
          </w:p>
          <w:p w14:paraId="39C749F6">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或委托代理人（签字）：</w:t>
            </w:r>
          </w:p>
          <w:p w14:paraId="0B5847A1">
            <w:pPr>
              <w:pStyle w:val="2"/>
              <w:rPr>
                <w:rFonts w:hint="eastAsia" w:asciiTheme="minorEastAsia" w:hAnsiTheme="minorEastAsia" w:eastAsiaTheme="minorEastAsia" w:cstheme="minorEastAsia"/>
                <w:highlight w:val="none"/>
              </w:rPr>
            </w:pPr>
          </w:p>
        </w:tc>
      </w:tr>
      <w:tr w14:paraId="5CC1AA56">
        <w:tblPrEx>
          <w:tblCellMar>
            <w:top w:w="0" w:type="dxa"/>
            <w:left w:w="108" w:type="dxa"/>
            <w:bottom w:w="0" w:type="dxa"/>
            <w:right w:w="108" w:type="dxa"/>
          </w:tblCellMar>
        </w:tblPrEx>
        <w:trPr>
          <w:trHeight w:val="596" w:hRule="atLeast"/>
          <w:jc w:val="center"/>
        </w:trPr>
        <w:tc>
          <w:tcPr>
            <w:tcW w:w="4489" w:type="dxa"/>
            <w:tcBorders>
              <w:tl2br w:val="nil"/>
              <w:tr2bl w:val="nil"/>
            </w:tcBorders>
            <w:noWrap w:val="0"/>
            <w:vAlign w:val="top"/>
          </w:tcPr>
          <w:p w14:paraId="294A7EEC">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电    话：023-65880092</w:t>
            </w:r>
          </w:p>
        </w:tc>
        <w:tc>
          <w:tcPr>
            <w:tcW w:w="4842" w:type="dxa"/>
            <w:tcBorders>
              <w:tl2br w:val="nil"/>
              <w:tr2bl w:val="nil"/>
            </w:tcBorders>
            <w:noWrap w:val="0"/>
            <w:vAlign w:val="top"/>
          </w:tcPr>
          <w:p w14:paraId="51E0A28D">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电    话：</w:t>
            </w:r>
          </w:p>
        </w:tc>
      </w:tr>
      <w:tr w14:paraId="14770CCE">
        <w:tblPrEx>
          <w:tblCellMar>
            <w:top w:w="0" w:type="dxa"/>
            <w:left w:w="108" w:type="dxa"/>
            <w:bottom w:w="0" w:type="dxa"/>
            <w:right w:w="108" w:type="dxa"/>
          </w:tblCellMar>
        </w:tblPrEx>
        <w:trPr>
          <w:trHeight w:val="1127" w:hRule="atLeast"/>
          <w:jc w:val="center"/>
        </w:trPr>
        <w:tc>
          <w:tcPr>
            <w:tcW w:w="4489" w:type="dxa"/>
            <w:tcBorders>
              <w:tl2br w:val="nil"/>
              <w:tr2bl w:val="nil"/>
            </w:tcBorders>
            <w:noWrap w:val="0"/>
            <w:vAlign w:val="top"/>
          </w:tcPr>
          <w:p w14:paraId="2489BB4C">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地    址：重庆市璧山区璧城街道</w:t>
            </w:r>
          </w:p>
          <w:p w14:paraId="4DA495E2">
            <w:pPr>
              <w:spacing w:line="560" w:lineRule="exact"/>
              <w:ind w:firstLine="1439" w:firstLineChars="514"/>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国学路61号</w:t>
            </w:r>
          </w:p>
        </w:tc>
        <w:tc>
          <w:tcPr>
            <w:tcW w:w="4842" w:type="dxa"/>
            <w:tcBorders>
              <w:tl2br w:val="nil"/>
              <w:tr2bl w:val="nil"/>
            </w:tcBorders>
            <w:noWrap w:val="0"/>
            <w:vAlign w:val="top"/>
          </w:tcPr>
          <w:p w14:paraId="76C461E2">
            <w:pPr>
              <w:spacing w:line="560" w:lineRule="exact"/>
              <w:ind w:left="1400" w:hanging="1400" w:hangingChars="5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地    址：</w:t>
            </w:r>
          </w:p>
        </w:tc>
      </w:tr>
      <w:tr w14:paraId="7171AC27">
        <w:tblPrEx>
          <w:tblCellMar>
            <w:top w:w="0" w:type="dxa"/>
            <w:left w:w="108" w:type="dxa"/>
            <w:bottom w:w="0" w:type="dxa"/>
            <w:right w:w="108" w:type="dxa"/>
          </w:tblCellMar>
        </w:tblPrEx>
        <w:trPr>
          <w:trHeight w:val="90" w:hRule="atLeast"/>
          <w:jc w:val="center"/>
        </w:trPr>
        <w:tc>
          <w:tcPr>
            <w:tcW w:w="4489" w:type="dxa"/>
            <w:tcBorders>
              <w:tl2br w:val="nil"/>
              <w:tr2bl w:val="nil"/>
            </w:tcBorders>
            <w:noWrap w:val="0"/>
            <w:vAlign w:val="top"/>
          </w:tcPr>
          <w:p w14:paraId="45CEB51C">
            <w:pPr>
              <w:spacing w:line="560" w:lineRule="exact"/>
              <w:ind w:left="1400" w:hanging="1400" w:hangingChars="500"/>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时    间：     年   月   日</w:t>
            </w:r>
          </w:p>
        </w:tc>
        <w:tc>
          <w:tcPr>
            <w:tcW w:w="4842" w:type="dxa"/>
            <w:tcBorders>
              <w:tl2br w:val="nil"/>
              <w:tr2bl w:val="nil"/>
            </w:tcBorders>
            <w:noWrap w:val="0"/>
            <w:vAlign w:val="top"/>
          </w:tcPr>
          <w:p w14:paraId="7093442C">
            <w:pPr>
              <w:spacing w:line="560" w:lineRule="exact"/>
              <w:ind w:left="1400" w:hanging="1400" w:hangingChars="500"/>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时    间：     年   月   日</w:t>
            </w:r>
          </w:p>
        </w:tc>
      </w:tr>
      <w:tr w14:paraId="176667B8">
        <w:tblPrEx>
          <w:tblCellMar>
            <w:top w:w="0" w:type="dxa"/>
            <w:left w:w="108" w:type="dxa"/>
            <w:bottom w:w="0" w:type="dxa"/>
            <w:right w:w="108" w:type="dxa"/>
          </w:tblCellMar>
        </w:tblPrEx>
        <w:trPr>
          <w:trHeight w:val="562" w:hRule="atLeast"/>
          <w:jc w:val="center"/>
        </w:trPr>
        <w:tc>
          <w:tcPr>
            <w:tcW w:w="9331" w:type="dxa"/>
            <w:gridSpan w:val="2"/>
            <w:tcBorders>
              <w:tl2br w:val="nil"/>
              <w:tr2bl w:val="nil"/>
            </w:tcBorders>
            <w:noWrap w:val="0"/>
            <w:vAlign w:val="top"/>
          </w:tcPr>
          <w:p w14:paraId="1AA1F0BA">
            <w:pPr>
              <w:spacing w:line="560" w:lineRule="exac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签约地点：</w:t>
            </w:r>
            <w:r>
              <w:rPr>
                <w:rFonts w:hint="eastAsia" w:asciiTheme="minorEastAsia" w:hAnsiTheme="minorEastAsia" w:eastAsiaTheme="minorEastAsia" w:cstheme="minorEastAsia"/>
                <w:kern w:val="0"/>
                <w:szCs w:val="28"/>
                <w:highlight w:val="none"/>
              </w:rPr>
              <w:t>重</w:t>
            </w:r>
            <w:r>
              <w:rPr>
                <w:rFonts w:hint="eastAsia" w:asciiTheme="minorEastAsia" w:hAnsiTheme="minorEastAsia" w:eastAsiaTheme="minorEastAsia" w:cstheme="minorEastAsia"/>
                <w:szCs w:val="28"/>
                <w:highlight w:val="none"/>
              </w:rPr>
              <w:t>庆市璧山区璧城街道国学路61号重庆中医药学院</w:t>
            </w:r>
          </w:p>
        </w:tc>
      </w:tr>
    </w:tbl>
    <w:p w14:paraId="71D9A7A7">
      <w:pPr>
        <w:pStyle w:val="3"/>
        <w:spacing w:before="0" w:beforeLines="0" w:after="0" w:afterLines="0" w:line="360" w:lineRule="auto"/>
        <w:rPr>
          <w:rFonts w:hint="eastAsia" w:ascii="宋体" w:hAnsi="宋体" w:eastAsia="宋体" w:cs="宋体"/>
          <w:b/>
          <w:color w:val="auto"/>
          <w:highlight w:val="none"/>
        </w:rPr>
        <w:sectPr>
          <w:pgSz w:w="11907" w:h="16840"/>
          <w:pgMar w:top="1134" w:right="1191" w:bottom="1134" w:left="1304" w:header="964" w:footer="992" w:gutter="0"/>
          <w:pgNumType w:fmt="decimal"/>
          <w:cols w:space="720" w:num="1"/>
          <w:docGrid w:linePitch="380" w:charSpace="-5735"/>
        </w:sectPr>
      </w:pPr>
    </w:p>
    <w:p w14:paraId="774848DA">
      <w:pPr>
        <w:pStyle w:val="3"/>
        <w:spacing w:before="0" w:beforeLines="0" w:after="0" w:afterLines="0" w:line="360" w:lineRule="auto"/>
        <w:rPr>
          <w:rFonts w:hint="eastAsia" w:ascii="宋体" w:hAnsi="宋体" w:eastAsia="宋体" w:cs="宋体"/>
          <w:b/>
          <w:color w:val="auto"/>
          <w:highlight w:val="none"/>
        </w:rPr>
      </w:pPr>
      <w:bookmarkStart w:id="272" w:name="_Toc90"/>
      <w:r>
        <w:rPr>
          <w:rFonts w:hint="eastAsia" w:ascii="宋体" w:hAnsi="宋体" w:eastAsia="宋体" w:cs="宋体"/>
          <w:b/>
          <w:color w:val="auto"/>
          <w:highlight w:val="none"/>
        </w:rPr>
        <w:t>第</w:t>
      </w:r>
      <w:r>
        <w:rPr>
          <w:rFonts w:hint="eastAsia" w:ascii="宋体" w:hAnsi="宋体" w:eastAsia="宋体" w:cs="宋体"/>
          <w:b/>
          <w:color w:val="auto"/>
          <w:highlight w:val="none"/>
          <w:lang w:val="en-US" w:eastAsia="zh-CN"/>
        </w:rPr>
        <w:t>七</w:t>
      </w:r>
      <w:r>
        <w:rPr>
          <w:rFonts w:hint="eastAsia" w:ascii="宋体" w:hAnsi="宋体" w:eastAsia="宋体" w:cs="宋体"/>
          <w:b/>
          <w:color w:val="auto"/>
          <w:highlight w:val="none"/>
        </w:rPr>
        <w:t xml:space="preserve">篇  </w:t>
      </w:r>
      <w:r>
        <w:rPr>
          <w:rFonts w:hint="eastAsia" w:ascii="宋体" w:hAnsi="宋体" w:eastAsia="宋体" w:cs="宋体"/>
          <w:b/>
          <w:color w:val="auto"/>
          <w:highlight w:val="none"/>
          <w:lang w:eastAsia="zh-CN"/>
        </w:rPr>
        <w:t>竞选文件</w:t>
      </w:r>
      <w:r>
        <w:rPr>
          <w:rFonts w:hint="eastAsia" w:ascii="宋体" w:hAnsi="宋体" w:eastAsia="宋体" w:cs="宋体"/>
          <w:b/>
          <w:color w:val="auto"/>
          <w:highlight w:val="none"/>
        </w:rPr>
        <w:t>格式</w:t>
      </w:r>
      <w:bookmarkEnd w:id="272"/>
    </w:p>
    <w:p w14:paraId="70248E13">
      <w:pPr>
        <w:tabs>
          <w:tab w:val="left" w:pos="3360"/>
        </w:tabs>
        <w:spacing w:line="360" w:lineRule="auto"/>
        <w:rPr>
          <w:rFonts w:hint="eastAsia" w:ascii="宋体" w:hAnsi="宋体" w:cs="宋体"/>
          <w:b/>
          <w:color w:val="auto"/>
          <w:highlight w:val="none"/>
        </w:rPr>
      </w:pPr>
      <w:r>
        <w:rPr>
          <w:rFonts w:hint="eastAsia" w:ascii="宋体" w:hAnsi="宋体" w:cs="宋体"/>
          <w:b/>
          <w:color w:val="auto"/>
          <w:highlight w:val="none"/>
        </w:rPr>
        <w:br w:type="page"/>
      </w:r>
    </w:p>
    <w:p w14:paraId="7E0419E2">
      <w:pPr>
        <w:tabs>
          <w:tab w:val="left" w:pos="3360"/>
        </w:tabs>
        <w:spacing w:line="360" w:lineRule="auto"/>
        <w:rPr>
          <w:rFonts w:hint="eastAsia" w:ascii="宋体" w:hAnsi="宋体" w:cs="宋体"/>
          <w:b/>
          <w:color w:val="auto"/>
          <w:highlight w:val="none"/>
        </w:rPr>
      </w:pPr>
      <w:r>
        <w:rPr>
          <w:rFonts w:hint="eastAsia" w:ascii="宋体" w:hAnsi="宋体" w:cs="宋体"/>
          <w:color w:val="auto"/>
          <w:sz w:val="44"/>
          <w:highlight w:val="none"/>
        </w:rPr>
        <mc:AlternateContent>
          <mc:Choice Requires="wps">
            <w:drawing>
              <wp:anchor distT="0" distB="0" distL="114300" distR="114300" simplePos="0" relativeHeight="251660288" behindDoc="0" locked="0" layoutInCell="1" allowOverlap="1">
                <wp:simplePos x="0" y="0"/>
                <wp:positionH relativeFrom="column">
                  <wp:posOffset>4264025</wp:posOffset>
                </wp:positionH>
                <wp:positionV relativeFrom="paragraph">
                  <wp:posOffset>224155</wp:posOffset>
                </wp:positionV>
                <wp:extent cx="1651635" cy="70104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651635" cy="701040"/>
                        </a:xfrm>
                        <a:prstGeom prst="rect">
                          <a:avLst/>
                        </a:prstGeom>
                        <a:noFill/>
                        <a:ln>
                          <a:noFill/>
                        </a:ln>
                      </wps:spPr>
                      <wps:txbx>
                        <w:txbxContent>
                          <w:p w14:paraId="43F9C71C">
                            <w:pPr>
                              <w:rPr>
                                <w:rFonts w:hint="eastAsia"/>
                                <w:b/>
                                <w:bCs/>
                                <w:sz w:val="48"/>
                                <w:szCs w:val="48"/>
                              </w:rPr>
                            </w:pPr>
                            <w:r>
                              <w:rPr>
                                <w:rFonts w:hint="eastAsia"/>
                                <w:b/>
                                <w:bCs/>
                                <w:sz w:val="48"/>
                                <w:szCs w:val="48"/>
                              </w:rPr>
                              <w:t>正本/副本</w:t>
                            </w:r>
                          </w:p>
                        </w:txbxContent>
                      </wps:txbx>
                      <wps:bodyPr wrap="square" upright="1"/>
                    </wps:wsp>
                  </a:graphicData>
                </a:graphic>
              </wp:anchor>
            </w:drawing>
          </mc:Choice>
          <mc:Fallback>
            <w:pict>
              <v:shape id="文本框 3" o:spid="_x0000_s1026" o:spt="202" type="#_x0000_t202" style="position:absolute;left:0pt;margin-left:335.75pt;margin-top:17.65pt;height:55.2pt;width:130.05pt;z-index:251660288;mso-width-relative:page;mso-height-relative:page;" filled="f" stroked="f" coordsize="21600,21600" o:gfxdata="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kUalHYAAAACgEAAA8AAAAAAAAAAQAgAAAAIgAAAGRycy9kb3ducmV2LnhtbFBLAQIUABQA&#10;AAAIAIdO4kCp/a97twEAAFwDAAAOAAAAAAAAAAEAIAAAACcBAABkcnMvZTJvRG9jLnhtbFBLBQYA&#10;AAAABgAGAFkBAABQBQAAAAA=&#10;">
                <v:fill on="f" focussize="0,0"/>
                <v:stroke on="f"/>
                <v:imagedata o:title=""/>
                <o:lock v:ext="edit" aspectratio="f"/>
                <v:textbox>
                  <w:txbxContent>
                    <w:p w14:paraId="43F9C71C">
                      <w:pPr>
                        <w:rPr>
                          <w:rFonts w:hint="eastAsia"/>
                          <w:b/>
                          <w:bCs/>
                          <w:sz w:val="48"/>
                          <w:szCs w:val="48"/>
                        </w:rPr>
                      </w:pPr>
                      <w:r>
                        <w:rPr>
                          <w:rFonts w:hint="eastAsia"/>
                          <w:b/>
                          <w:bCs/>
                          <w:sz w:val="48"/>
                          <w:szCs w:val="48"/>
                        </w:rPr>
                        <w:t>正本/副本</w:t>
                      </w:r>
                    </w:p>
                  </w:txbxContent>
                </v:textbox>
              </v:shape>
            </w:pict>
          </mc:Fallback>
        </mc:AlternateContent>
      </w:r>
    </w:p>
    <w:p w14:paraId="44E05DA0">
      <w:pPr>
        <w:tabs>
          <w:tab w:val="left" w:pos="3360"/>
        </w:tabs>
        <w:spacing w:line="360" w:lineRule="auto"/>
        <w:rPr>
          <w:rFonts w:hint="eastAsia" w:ascii="宋体" w:hAnsi="宋体" w:cs="宋体"/>
          <w:b/>
          <w:color w:val="auto"/>
          <w:sz w:val="52"/>
          <w:szCs w:val="52"/>
          <w:highlight w:val="none"/>
        </w:rPr>
      </w:pPr>
    </w:p>
    <w:p w14:paraId="75455FC9">
      <w:pPr>
        <w:tabs>
          <w:tab w:val="left" w:pos="3360"/>
        </w:tabs>
        <w:spacing w:line="360" w:lineRule="auto"/>
        <w:rPr>
          <w:rFonts w:hint="eastAsia" w:ascii="宋体" w:hAnsi="宋体" w:cs="宋体"/>
          <w:b/>
          <w:color w:val="auto"/>
          <w:sz w:val="52"/>
          <w:szCs w:val="52"/>
          <w:highlight w:val="none"/>
        </w:rPr>
      </w:pPr>
    </w:p>
    <w:p w14:paraId="488C804D">
      <w:pPr>
        <w:tabs>
          <w:tab w:val="left" w:pos="3360"/>
        </w:tabs>
        <w:spacing w:line="360" w:lineRule="auto"/>
        <w:jc w:val="center"/>
        <w:rPr>
          <w:rFonts w:hint="eastAsia" w:ascii="宋体" w:hAnsi="宋体" w:cs="宋体"/>
          <w:b/>
          <w:color w:val="auto"/>
          <w:sz w:val="52"/>
          <w:szCs w:val="52"/>
          <w:highlight w:val="none"/>
        </w:rPr>
      </w:pPr>
      <w:r>
        <w:rPr>
          <w:rFonts w:hint="eastAsia" w:ascii="宋体" w:hAnsi="宋体" w:cs="宋体"/>
          <w:b/>
          <w:color w:val="auto"/>
          <w:spacing w:val="567"/>
          <w:sz w:val="52"/>
          <w:szCs w:val="52"/>
          <w:highlight w:val="none"/>
          <w:lang w:eastAsia="zh-CN"/>
        </w:rPr>
        <w:t>竞选文件</w:t>
      </w:r>
    </w:p>
    <w:p w14:paraId="4704D57B">
      <w:pPr>
        <w:tabs>
          <w:tab w:val="left" w:pos="3360"/>
        </w:tabs>
        <w:spacing w:line="360" w:lineRule="auto"/>
        <w:jc w:val="center"/>
        <w:rPr>
          <w:rFonts w:hint="eastAsia" w:ascii="宋体" w:hAnsi="宋体" w:cs="宋体"/>
          <w:b/>
          <w:color w:val="auto"/>
          <w:sz w:val="52"/>
          <w:szCs w:val="52"/>
          <w:highlight w:val="none"/>
        </w:rPr>
      </w:pPr>
    </w:p>
    <w:p w14:paraId="624ADB5E">
      <w:pPr>
        <w:rPr>
          <w:rFonts w:hint="eastAsia" w:ascii="宋体" w:hAnsi="宋体" w:cs="宋体"/>
          <w:b/>
          <w:color w:val="auto"/>
          <w:highlight w:val="none"/>
        </w:rPr>
      </w:pPr>
    </w:p>
    <w:p w14:paraId="06D272B5">
      <w:pPr>
        <w:rPr>
          <w:rFonts w:hint="eastAsia" w:ascii="宋体" w:hAnsi="宋体" w:cs="宋体"/>
          <w:b/>
          <w:color w:val="auto"/>
          <w:highlight w:val="none"/>
        </w:rPr>
      </w:pPr>
    </w:p>
    <w:p w14:paraId="336E91DD">
      <w:pPr>
        <w:rPr>
          <w:rFonts w:hint="eastAsia" w:ascii="宋体" w:hAnsi="宋体" w:cs="宋体"/>
          <w:b/>
          <w:color w:val="auto"/>
          <w:highlight w:val="none"/>
        </w:rPr>
      </w:pPr>
    </w:p>
    <w:p w14:paraId="19B54D92">
      <w:pPr>
        <w:rPr>
          <w:rFonts w:hint="eastAsia" w:ascii="宋体" w:hAnsi="宋体" w:cs="宋体"/>
          <w:b/>
          <w:color w:val="auto"/>
          <w:highlight w:val="none"/>
        </w:rPr>
      </w:pPr>
    </w:p>
    <w:p w14:paraId="7C87CCCC">
      <w:pPr>
        <w:rPr>
          <w:rFonts w:hint="eastAsia" w:ascii="宋体" w:hAnsi="宋体" w:cs="宋体"/>
          <w:b/>
          <w:color w:val="auto"/>
          <w:highlight w:val="none"/>
        </w:rPr>
      </w:pPr>
    </w:p>
    <w:p w14:paraId="1758E845">
      <w:pPr>
        <w:rPr>
          <w:rFonts w:hint="eastAsia" w:ascii="宋体" w:hAnsi="宋体" w:cs="宋体"/>
          <w:b/>
          <w:color w:val="auto"/>
          <w:highlight w:val="none"/>
        </w:rPr>
      </w:pPr>
    </w:p>
    <w:p w14:paraId="5A10DBFC">
      <w:pPr>
        <w:snapToGrid w:val="0"/>
        <w:spacing w:line="440" w:lineRule="exact"/>
        <w:ind w:firstLine="1719" w:firstLineChars="535"/>
        <w:rPr>
          <w:rFonts w:hint="eastAsia" w:ascii="宋体" w:hAnsi="宋体" w:cs="宋体"/>
          <w:b/>
          <w:color w:val="auto"/>
          <w:sz w:val="32"/>
          <w:szCs w:val="32"/>
          <w:highlight w:val="none"/>
        </w:rPr>
      </w:pPr>
    </w:p>
    <w:p w14:paraId="14FD6A24">
      <w:pPr>
        <w:snapToGrid w:val="0"/>
        <w:spacing w:line="440" w:lineRule="exact"/>
        <w:ind w:firstLine="1719" w:firstLineChars="535"/>
        <w:rPr>
          <w:rFonts w:hint="eastAsia" w:ascii="宋体" w:hAnsi="宋体" w:cs="宋体"/>
          <w:b/>
          <w:color w:val="auto"/>
          <w:sz w:val="32"/>
          <w:szCs w:val="32"/>
          <w:highlight w:val="none"/>
        </w:rPr>
      </w:pPr>
      <w:r>
        <w:rPr>
          <w:rFonts w:hint="eastAsia" w:ascii="宋体" w:hAnsi="宋体" w:cs="宋体"/>
          <w:b/>
          <w:color w:val="auto"/>
          <w:sz w:val="32"/>
          <w:szCs w:val="32"/>
          <w:highlight w:val="none"/>
        </w:rPr>
        <w:t>项目编号：</w:t>
      </w:r>
    </w:p>
    <w:p w14:paraId="275A2DED">
      <w:pPr>
        <w:snapToGrid w:val="0"/>
        <w:spacing w:line="440" w:lineRule="exact"/>
        <w:ind w:firstLine="1719" w:firstLineChars="535"/>
        <w:rPr>
          <w:rFonts w:hint="eastAsia" w:ascii="宋体" w:hAnsi="宋体" w:cs="宋体"/>
          <w:b/>
          <w:color w:val="auto"/>
          <w:sz w:val="32"/>
          <w:szCs w:val="32"/>
          <w:highlight w:val="none"/>
        </w:rPr>
      </w:pPr>
      <w:r>
        <w:rPr>
          <w:rFonts w:hint="eastAsia" w:ascii="宋体" w:hAnsi="宋体" w:cs="宋体"/>
          <w:b/>
          <w:color w:val="auto"/>
          <w:sz w:val="32"/>
          <w:szCs w:val="32"/>
          <w:highlight w:val="none"/>
        </w:rPr>
        <w:t>项目名称：</w:t>
      </w:r>
    </w:p>
    <w:p w14:paraId="382658BC">
      <w:pPr>
        <w:snapToGrid w:val="0"/>
        <w:spacing w:line="440" w:lineRule="exact"/>
        <w:ind w:firstLine="1719" w:firstLineChars="535"/>
        <w:rPr>
          <w:rFonts w:hint="eastAsia" w:ascii="宋体" w:hAnsi="宋体" w:cs="宋体"/>
          <w:b/>
          <w:color w:val="auto"/>
          <w:sz w:val="32"/>
          <w:szCs w:val="32"/>
          <w:highlight w:val="none"/>
        </w:rPr>
      </w:pPr>
    </w:p>
    <w:p w14:paraId="78A42927">
      <w:pPr>
        <w:snapToGrid w:val="0"/>
        <w:spacing w:line="440" w:lineRule="exact"/>
        <w:ind w:firstLine="1719" w:firstLineChars="535"/>
        <w:rPr>
          <w:rFonts w:hint="eastAsia" w:ascii="宋体" w:hAnsi="宋体" w:cs="宋体"/>
          <w:b/>
          <w:color w:val="auto"/>
          <w:sz w:val="32"/>
          <w:szCs w:val="32"/>
          <w:highlight w:val="none"/>
        </w:rPr>
      </w:pPr>
    </w:p>
    <w:p w14:paraId="5E1F091E">
      <w:pPr>
        <w:snapToGrid w:val="0"/>
        <w:spacing w:line="440" w:lineRule="exact"/>
        <w:ind w:firstLine="1719" w:firstLineChars="535"/>
        <w:rPr>
          <w:rFonts w:hint="eastAsia" w:ascii="宋体" w:hAnsi="宋体" w:cs="宋体"/>
          <w:b/>
          <w:color w:val="auto"/>
          <w:sz w:val="32"/>
          <w:szCs w:val="32"/>
          <w:highlight w:val="none"/>
        </w:rPr>
      </w:pPr>
      <w:r>
        <w:rPr>
          <w:rFonts w:hint="eastAsia" w:ascii="宋体" w:hAnsi="宋体" w:cs="宋体"/>
          <w:b/>
          <w:color w:val="auto"/>
          <w:sz w:val="32"/>
          <w:szCs w:val="32"/>
          <w:highlight w:val="none"/>
          <w:lang w:eastAsia="zh-CN"/>
        </w:rPr>
        <w:t>竞选人</w:t>
      </w:r>
      <w:r>
        <w:rPr>
          <w:rFonts w:hint="eastAsia" w:ascii="宋体" w:hAnsi="宋体" w:cs="宋体"/>
          <w:b/>
          <w:color w:val="auto"/>
          <w:sz w:val="32"/>
          <w:szCs w:val="32"/>
          <w:highlight w:val="none"/>
        </w:rPr>
        <w:t>名称：</w:t>
      </w:r>
    </w:p>
    <w:p w14:paraId="5F249D2A">
      <w:pPr>
        <w:snapToGrid w:val="0"/>
        <w:spacing w:line="440" w:lineRule="exact"/>
        <w:ind w:firstLine="1719" w:firstLineChars="535"/>
        <w:rPr>
          <w:rFonts w:hint="eastAsia" w:ascii="宋体" w:hAnsi="宋体" w:cs="宋体"/>
          <w:b/>
          <w:color w:val="auto"/>
          <w:sz w:val="32"/>
          <w:szCs w:val="32"/>
          <w:highlight w:val="none"/>
        </w:rPr>
      </w:pPr>
      <w:r>
        <w:rPr>
          <w:rFonts w:hint="eastAsia" w:ascii="宋体" w:hAnsi="宋体" w:cs="宋体"/>
          <w:b/>
          <w:color w:val="auto"/>
          <w:sz w:val="32"/>
          <w:szCs w:val="32"/>
          <w:highlight w:val="none"/>
          <w:lang w:eastAsia="zh-CN"/>
        </w:rPr>
        <w:t>竞选人</w:t>
      </w:r>
      <w:r>
        <w:rPr>
          <w:rFonts w:hint="eastAsia" w:ascii="宋体" w:hAnsi="宋体" w:cs="宋体"/>
          <w:b/>
          <w:color w:val="auto"/>
          <w:sz w:val="32"/>
          <w:szCs w:val="32"/>
          <w:highlight w:val="none"/>
        </w:rPr>
        <w:t>地址：</w:t>
      </w:r>
    </w:p>
    <w:p w14:paraId="076D0CC5">
      <w:pPr>
        <w:snapToGrid w:val="0"/>
        <w:spacing w:line="440" w:lineRule="exact"/>
        <w:ind w:firstLine="1719" w:firstLineChars="535"/>
        <w:rPr>
          <w:rFonts w:hint="eastAsia" w:ascii="宋体" w:hAnsi="宋体" w:cs="宋体"/>
          <w:b/>
          <w:color w:val="auto"/>
          <w:sz w:val="32"/>
          <w:szCs w:val="32"/>
          <w:highlight w:val="none"/>
        </w:rPr>
      </w:pPr>
    </w:p>
    <w:p w14:paraId="7C70FF44">
      <w:pPr>
        <w:snapToGrid w:val="0"/>
        <w:spacing w:line="440" w:lineRule="exact"/>
        <w:ind w:firstLine="1719" w:firstLineChars="535"/>
        <w:rPr>
          <w:rFonts w:hint="eastAsia" w:ascii="宋体" w:hAnsi="宋体" w:cs="宋体"/>
          <w:b/>
          <w:color w:val="auto"/>
          <w:sz w:val="32"/>
          <w:szCs w:val="32"/>
          <w:highlight w:val="none"/>
        </w:rPr>
      </w:pPr>
    </w:p>
    <w:p w14:paraId="2B383C09">
      <w:pPr>
        <w:snapToGrid w:val="0"/>
        <w:spacing w:line="440" w:lineRule="exact"/>
        <w:ind w:firstLine="1719" w:firstLineChars="535"/>
        <w:rPr>
          <w:rFonts w:hint="eastAsia" w:ascii="宋体" w:hAnsi="宋体" w:cs="宋体"/>
          <w:b/>
          <w:color w:val="auto"/>
          <w:sz w:val="32"/>
          <w:szCs w:val="32"/>
          <w:highlight w:val="none"/>
        </w:rPr>
      </w:pPr>
    </w:p>
    <w:p w14:paraId="0470BDDB">
      <w:pPr>
        <w:snapToGrid w:val="0"/>
        <w:spacing w:line="440" w:lineRule="exact"/>
        <w:rPr>
          <w:rFonts w:hint="eastAsia" w:ascii="宋体" w:hAnsi="宋体" w:cs="宋体"/>
          <w:b/>
          <w:color w:val="auto"/>
          <w:sz w:val="32"/>
          <w:szCs w:val="32"/>
          <w:highlight w:val="none"/>
        </w:rPr>
      </w:pPr>
    </w:p>
    <w:p w14:paraId="0FE7AFB6">
      <w:pPr>
        <w:snapToGrid w:val="0"/>
        <w:spacing w:line="440" w:lineRule="exact"/>
        <w:ind w:firstLine="1719" w:firstLineChars="535"/>
        <w:rPr>
          <w:rFonts w:hint="eastAsia" w:ascii="宋体" w:hAnsi="宋体" w:cs="宋体"/>
          <w:b/>
          <w:color w:val="auto"/>
          <w:sz w:val="32"/>
          <w:szCs w:val="32"/>
          <w:highlight w:val="none"/>
        </w:rPr>
      </w:pPr>
    </w:p>
    <w:p w14:paraId="01B90228">
      <w:pPr>
        <w:snapToGrid w:val="0"/>
        <w:spacing w:line="440" w:lineRule="exact"/>
        <w:ind w:firstLine="1928" w:firstLineChars="600"/>
        <w:rPr>
          <w:rFonts w:hint="eastAsia" w:ascii="宋体" w:hAnsi="宋体" w:cs="宋体"/>
          <w:b/>
          <w:color w:val="auto"/>
          <w:sz w:val="32"/>
          <w:szCs w:val="32"/>
          <w:highlight w:val="none"/>
        </w:rPr>
      </w:pPr>
      <w:r>
        <w:rPr>
          <w:rFonts w:hint="eastAsia" w:ascii="宋体" w:hAnsi="宋体" w:cs="宋体"/>
          <w:b/>
          <w:color w:val="auto"/>
          <w:sz w:val="32"/>
          <w:szCs w:val="32"/>
          <w:highlight w:val="none"/>
        </w:rPr>
        <w:t>日期：</w:t>
      </w:r>
      <w:r>
        <w:rPr>
          <w:rFonts w:hint="eastAsia" w:ascii="宋体" w:hAnsi="宋体" w:cs="宋体"/>
          <w:b/>
          <w:color w:val="auto"/>
          <w:sz w:val="32"/>
          <w:szCs w:val="32"/>
          <w:highlight w:val="none"/>
        </w:rPr>
        <w:br w:type="page"/>
      </w:r>
    </w:p>
    <w:p w14:paraId="50571B18">
      <w:pPr>
        <w:snapToGrid w:val="0"/>
        <w:spacing w:line="440" w:lineRule="exact"/>
        <w:ind w:left="560" w:leftChars="200" w:firstLine="643" w:firstLineChars="200"/>
        <w:jc w:val="center"/>
        <w:rPr>
          <w:rFonts w:hint="eastAsia"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目录</w:t>
      </w:r>
    </w:p>
    <w:p w14:paraId="5EA1F7AC">
      <w:pPr>
        <w:snapToGrid w:val="0"/>
        <w:spacing w:line="440" w:lineRule="exact"/>
        <w:ind w:firstLine="482" w:firstLineChars="200"/>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rPr>
        <w:t>一、</w:t>
      </w:r>
      <w:r>
        <w:rPr>
          <w:rFonts w:hint="eastAsia" w:ascii="宋体" w:hAnsi="宋体" w:cs="宋体"/>
          <w:b/>
          <w:color w:val="auto"/>
          <w:sz w:val="24"/>
          <w:szCs w:val="24"/>
          <w:highlight w:val="none"/>
          <w:lang w:eastAsia="zh-CN"/>
        </w:rPr>
        <w:t>报价</w:t>
      </w:r>
    </w:p>
    <w:p w14:paraId="62611305">
      <w:pPr>
        <w:snapToGrid w:val="0"/>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报价函</w:t>
      </w:r>
    </w:p>
    <w:p w14:paraId="23C38595">
      <w:pPr>
        <w:snapToGrid w:val="0"/>
        <w:spacing w:line="440" w:lineRule="exact"/>
        <w:ind w:firstLine="482" w:firstLineChars="200"/>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rPr>
        <w:t>二、资格</w:t>
      </w:r>
      <w:r>
        <w:rPr>
          <w:rFonts w:hint="eastAsia" w:ascii="宋体" w:hAnsi="宋体" w:cs="宋体"/>
          <w:b/>
          <w:color w:val="auto"/>
          <w:sz w:val="24"/>
          <w:szCs w:val="24"/>
          <w:highlight w:val="none"/>
          <w:lang w:eastAsia="zh-CN"/>
        </w:rPr>
        <w:t>条件及其他</w:t>
      </w:r>
    </w:p>
    <w:p w14:paraId="65B61A45">
      <w:pPr>
        <w:snapToGrid w:val="0"/>
        <w:spacing w:line="44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营业执照及特定资格条件证书或证明文件</w:t>
      </w:r>
    </w:p>
    <w:p w14:paraId="39355864">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28F79F53">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0575F9FC">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4E3D96DE">
      <w:pPr>
        <w:snapToGrid w:val="0"/>
        <w:spacing w:line="44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三、技术文件</w:t>
      </w:r>
    </w:p>
    <w:p w14:paraId="7E80DBD9">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（一）技术条款差异表</w:t>
      </w:r>
    </w:p>
    <w:p w14:paraId="5F558DC5">
      <w:pPr>
        <w:snapToGrid w:val="0"/>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（二）技术部分方案</w:t>
      </w:r>
    </w:p>
    <w:p w14:paraId="1B5C9C44">
      <w:pPr>
        <w:snapToGrid w:val="0"/>
        <w:spacing w:line="44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四、商务文件</w:t>
      </w:r>
    </w:p>
    <w:p w14:paraId="0CFB2A22">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（一）商务条款差异表</w:t>
      </w:r>
    </w:p>
    <w:p w14:paraId="02FEC375">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二</w:t>
      </w:r>
      <w:r>
        <w:rPr>
          <w:rFonts w:hint="eastAsia" w:ascii="宋体" w:hAnsi="宋体" w:cs="宋体"/>
          <w:color w:val="auto"/>
          <w:sz w:val="24"/>
          <w:szCs w:val="24"/>
          <w:highlight w:val="none"/>
        </w:rPr>
        <w:t>）</w:t>
      </w:r>
      <w:r>
        <w:rPr>
          <w:rFonts w:hint="eastAsia" w:ascii="宋体" w:hAnsi="宋体" w:cs="宋体"/>
          <w:color w:val="auto"/>
          <w:sz w:val="24"/>
          <w:highlight w:val="none"/>
        </w:rPr>
        <w:t>得分证明材料（如有）</w:t>
      </w:r>
    </w:p>
    <w:p w14:paraId="4FEC9F57">
      <w:pPr>
        <w:tabs>
          <w:tab w:val="left" w:pos="2355"/>
        </w:tabs>
        <w:snapToGrid w:val="0"/>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五、其他</w:t>
      </w:r>
    </w:p>
    <w:p w14:paraId="7A5CFD32">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其他与项目有关的资料（自附）</w:t>
      </w:r>
    </w:p>
    <w:p w14:paraId="6EFF89F6">
      <w:pPr>
        <w:pStyle w:val="4"/>
        <w:pageBreakBefore/>
        <w:spacing w:line="500" w:lineRule="exact"/>
        <w:rPr>
          <w:rFonts w:hint="eastAsia" w:eastAsia="宋体" w:cs="宋体"/>
          <w:b/>
          <w:color w:val="auto"/>
          <w:szCs w:val="28"/>
          <w:highlight w:val="none"/>
          <w:lang w:eastAsia="zh-CN"/>
        </w:rPr>
      </w:pPr>
      <w:bookmarkStart w:id="273" w:name="_Toc429584884"/>
      <w:bookmarkStart w:id="274" w:name="_Toc492721037"/>
      <w:bookmarkStart w:id="275" w:name="_Toc27985"/>
      <w:bookmarkStart w:id="276" w:name="_Toc30553"/>
      <w:r>
        <w:rPr>
          <w:rFonts w:hint="eastAsia" w:cs="宋体"/>
          <w:b/>
          <w:color w:val="auto"/>
          <w:szCs w:val="28"/>
          <w:highlight w:val="none"/>
        </w:rPr>
        <w:t>一、</w:t>
      </w:r>
      <w:bookmarkEnd w:id="273"/>
      <w:bookmarkEnd w:id="274"/>
      <w:r>
        <w:rPr>
          <w:rFonts w:hint="eastAsia" w:cs="宋体"/>
          <w:b/>
          <w:color w:val="auto"/>
          <w:szCs w:val="28"/>
          <w:highlight w:val="none"/>
          <w:lang w:eastAsia="zh-CN"/>
        </w:rPr>
        <w:t>报价</w:t>
      </w:r>
      <w:bookmarkEnd w:id="275"/>
      <w:bookmarkEnd w:id="276"/>
    </w:p>
    <w:p w14:paraId="635428DB">
      <w:pPr>
        <w:tabs>
          <w:tab w:val="left" w:pos="6300"/>
        </w:tabs>
        <w:snapToGrid w:val="0"/>
        <w:spacing w:line="312"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（一）报价函</w:t>
      </w:r>
    </w:p>
    <w:p w14:paraId="70E7F6B4">
      <w:pPr>
        <w:tabs>
          <w:tab w:val="left" w:pos="6300"/>
        </w:tabs>
        <w:snapToGrid w:val="0"/>
        <w:spacing w:line="360" w:lineRule="auto"/>
        <w:jc w:val="center"/>
        <w:outlineLvl w:val="0"/>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报价函</w:t>
      </w:r>
    </w:p>
    <w:p w14:paraId="2FD2AB03">
      <w:pPr>
        <w:tabs>
          <w:tab w:val="left" w:pos="6300"/>
        </w:tab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_______________（</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名称）：</w:t>
      </w:r>
    </w:p>
    <w:p w14:paraId="649E6246">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我方收到______（项目名称）的</w:t>
      </w:r>
      <w:r>
        <w:rPr>
          <w:rFonts w:hint="eastAsia" w:ascii="宋体" w:hAnsi="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，经详细研究，决定参加该项目的</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w:t>
      </w:r>
    </w:p>
    <w:p w14:paraId="29D2ADF8">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愿意按照</w:t>
      </w:r>
      <w:r>
        <w:rPr>
          <w:rFonts w:hint="eastAsia" w:ascii="宋体" w:hAnsi="宋体" w:cs="宋体"/>
          <w:sz w:val="24"/>
          <w:szCs w:val="24"/>
          <w:highlight w:val="none"/>
        </w:rPr>
        <w:t>竞争性</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中的一切要求，提供本项目的</w:t>
      </w:r>
      <w:r>
        <w:rPr>
          <w:rFonts w:hint="eastAsia" w:ascii="宋体" w:hAnsi="宋体" w:eastAsia="宋体" w:cs="宋体"/>
          <w:color w:val="auto"/>
          <w:sz w:val="24"/>
          <w:szCs w:val="24"/>
          <w:highlight w:val="none"/>
          <w:lang w:eastAsia="zh-CN"/>
        </w:rPr>
        <w:t>施工及</w:t>
      </w:r>
      <w:r>
        <w:rPr>
          <w:rFonts w:hint="eastAsia" w:ascii="宋体" w:hAnsi="宋体" w:eastAsia="宋体" w:cs="宋体"/>
          <w:color w:val="auto"/>
          <w:sz w:val="24"/>
          <w:szCs w:val="24"/>
          <w:highlight w:val="none"/>
        </w:rPr>
        <w:t>技术服务，</w:t>
      </w:r>
      <w:r>
        <w:rPr>
          <w:rFonts w:hint="eastAsia" w:ascii="宋体" w:hAnsi="宋体" w:cs="宋体"/>
          <w:color w:val="auto"/>
          <w:sz w:val="24"/>
          <w:szCs w:val="24"/>
          <w:highlight w:val="none"/>
          <w:lang w:val="en-US" w:eastAsia="zh-CN"/>
        </w:rPr>
        <w:t>投标报价取费比率</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w:t>
      </w:r>
    </w:p>
    <w:p w14:paraId="21826407">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我方现提交的</w:t>
      </w:r>
      <w:r>
        <w:rPr>
          <w:rFonts w:hint="eastAsia" w:ascii="宋体" w:hAnsi="宋体" w:cs="宋体"/>
          <w:color w:val="auto"/>
          <w:sz w:val="24"/>
          <w:szCs w:val="24"/>
          <w:highlight w:val="none"/>
          <w:lang w:eastAsia="zh-CN"/>
        </w:rPr>
        <w:t>竞选文件</w:t>
      </w:r>
      <w:r>
        <w:rPr>
          <w:rFonts w:hint="eastAsia" w:ascii="宋体" w:hAnsi="宋体" w:eastAsia="宋体" w:cs="宋体"/>
          <w:color w:val="auto"/>
          <w:sz w:val="24"/>
          <w:szCs w:val="24"/>
          <w:highlight w:val="none"/>
        </w:rPr>
        <w:t>为：</w:t>
      </w:r>
      <w:r>
        <w:rPr>
          <w:rFonts w:hint="eastAsia" w:ascii="宋体" w:hAnsi="宋体" w:cs="宋体"/>
          <w:color w:val="auto"/>
          <w:sz w:val="24"/>
          <w:szCs w:val="24"/>
          <w:highlight w:val="none"/>
          <w:lang w:eastAsia="zh-CN"/>
        </w:rPr>
        <w:t>竞选文件</w:t>
      </w:r>
      <w:r>
        <w:rPr>
          <w:rFonts w:hint="eastAsia" w:ascii="宋体" w:hAnsi="宋体" w:eastAsia="宋体" w:cs="宋体"/>
          <w:color w:val="auto"/>
          <w:sz w:val="24"/>
          <w:szCs w:val="24"/>
          <w:highlight w:val="none"/>
        </w:rPr>
        <w:t>正本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eastAsia="zh-CN"/>
        </w:rPr>
        <w:t>，</w:t>
      </w:r>
      <w:r>
        <w:rPr>
          <w:rFonts w:hint="eastAsia" w:ascii="宋体" w:hAnsi="宋体" w:cs="宋体"/>
          <w:sz w:val="24"/>
          <w:szCs w:val="24"/>
          <w:highlight w:val="none"/>
        </w:rPr>
        <w:t>电子文档</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份。</w:t>
      </w:r>
    </w:p>
    <w:p w14:paraId="0948E8B2">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我方承诺：本次</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的有效期为90天。</w:t>
      </w:r>
    </w:p>
    <w:p w14:paraId="50B446F8">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我方完全理解和接受贵方</w:t>
      </w:r>
      <w:r>
        <w:rPr>
          <w:rFonts w:hint="eastAsia" w:ascii="宋体" w:hAnsi="宋体" w:cs="宋体"/>
          <w:sz w:val="24"/>
          <w:szCs w:val="24"/>
          <w:highlight w:val="none"/>
        </w:rPr>
        <w:t>竞争性</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的一切规定和要求及评审办法。</w:t>
      </w:r>
    </w:p>
    <w:p w14:paraId="127A4EAE">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在整个</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过程中，我方若有违规行为，接受相关处罚。</w:t>
      </w:r>
    </w:p>
    <w:p w14:paraId="5AD71161">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我方若</w:t>
      </w:r>
      <w:r>
        <w:rPr>
          <w:rFonts w:hint="eastAsia" w:ascii="宋体" w:hAnsi="宋体" w:cs="宋体"/>
          <w:color w:val="auto"/>
          <w:sz w:val="24"/>
          <w:szCs w:val="24"/>
          <w:highlight w:val="none"/>
          <w:lang w:eastAsia="zh-CN"/>
        </w:rPr>
        <w:t>中标</w:t>
      </w:r>
      <w:r>
        <w:rPr>
          <w:rFonts w:hint="eastAsia" w:ascii="宋体" w:hAnsi="宋体" w:eastAsia="宋体" w:cs="宋体"/>
          <w:color w:val="auto"/>
          <w:sz w:val="24"/>
          <w:szCs w:val="24"/>
          <w:highlight w:val="none"/>
        </w:rPr>
        <w:t>，将按照</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结果签订合同，并且严格履行合同义务。本承诺函将成为合同不可分割的一部分，与合同具有同等的法律效力。</w:t>
      </w:r>
    </w:p>
    <w:p w14:paraId="5B1DC87F">
      <w:pPr>
        <w:tabs>
          <w:tab w:val="left" w:pos="6300"/>
        </w:tabs>
        <w:snapToGrid w:val="0"/>
        <w:spacing w:line="312" w:lineRule="auto"/>
        <w:ind w:firstLine="480" w:firstLineChars="200"/>
        <w:rPr>
          <w:rFonts w:hint="eastAsia" w:ascii="宋体" w:hAnsi="宋体" w:cs="宋体"/>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w:t>
      </w:r>
      <w:r>
        <w:rPr>
          <w:rFonts w:hint="eastAsia" w:ascii="宋体" w:hAnsi="宋体" w:cs="宋体"/>
          <w:sz w:val="24"/>
          <w:szCs w:val="24"/>
          <w:highlight w:val="none"/>
        </w:rPr>
        <w:t>如果我方成为</w:t>
      </w:r>
      <w:r>
        <w:rPr>
          <w:rFonts w:hint="eastAsia" w:ascii="宋体" w:hAnsi="宋体" w:cs="宋体"/>
          <w:sz w:val="24"/>
          <w:szCs w:val="24"/>
          <w:highlight w:val="none"/>
          <w:lang w:eastAsia="zh-CN"/>
        </w:rPr>
        <w:t>中标人</w:t>
      </w:r>
      <w:r>
        <w:rPr>
          <w:rFonts w:hint="eastAsia" w:ascii="宋体" w:hAnsi="宋体" w:cs="宋体"/>
          <w:sz w:val="24"/>
          <w:szCs w:val="24"/>
          <w:highlight w:val="none"/>
        </w:rPr>
        <w:t>，保证在</w:t>
      </w:r>
      <w:r>
        <w:rPr>
          <w:rFonts w:hint="eastAsia" w:ascii="宋体" w:hAnsi="宋体" w:cs="宋体"/>
          <w:sz w:val="24"/>
          <w:szCs w:val="24"/>
          <w:highlight w:val="none"/>
          <w:lang w:eastAsia="zh-CN"/>
        </w:rPr>
        <w:t>领取中标</w:t>
      </w:r>
      <w:r>
        <w:rPr>
          <w:rFonts w:hint="eastAsia" w:ascii="宋体" w:hAnsi="宋体" w:cs="宋体"/>
          <w:sz w:val="24"/>
          <w:szCs w:val="24"/>
          <w:highlight w:val="none"/>
        </w:rPr>
        <w:t>通知书</w:t>
      </w:r>
      <w:r>
        <w:rPr>
          <w:rFonts w:hint="eastAsia" w:ascii="宋体" w:hAnsi="宋体" w:cs="宋体"/>
          <w:sz w:val="24"/>
          <w:szCs w:val="24"/>
          <w:highlight w:val="none"/>
          <w:lang w:eastAsia="zh-CN"/>
        </w:rPr>
        <w:t>时</w:t>
      </w:r>
      <w:r>
        <w:rPr>
          <w:rFonts w:hint="eastAsia" w:ascii="宋体" w:hAnsi="宋体" w:cs="宋体"/>
          <w:sz w:val="24"/>
          <w:szCs w:val="24"/>
          <w:highlight w:val="none"/>
        </w:rPr>
        <w:t>，向</w:t>
      </w:r>
      <w:r>
        <w:rPr>
          <w:rFonts w:hint="eastAsia" w:ascii="宋体" w:hAnsi="宋体" w:cs="宋体"/>
          <w:sz w:val="24"/>
          <w:szCs w:val="24"/>
          <w:highlight w:val="none"/>
          <w:lang w:eastAsia="zh-CN"/>
        </w:rPr>
        <w:t>比选</w:t>
      </w:r>
      <w:r>
        <w:rPr>
          <w:rFonts w:hint="eastAsia" w:ascii="宋体" w:hAnsi="宋体" w:cs="宋体"/>
          <w:sz w:val="24"/>
          <w:szCs w:val="24"/>
          <w:highlight w:val="none"/>
        </w:rPr>
        <w:t>代理机构</w:t>
      </w:r>
      <w:r>
        <w:rPr>
          <w:rFonts w:hint="eastAsia" w:ascii="宋体" w:hAnsi="宋体" w:cs="宋体"/>
          <w:sz w:val="24"/>
          <w:highlight w:val="none"/>
        </w:rPr>
        <w:t>缴纳</w:t>
      </w:r>
      <w:r>
        <w:rPr>
          <w:rFonts w:hint="eastAsia" w:ascii="宋体" w:hAnsi="宋体" w:cs="宋体"/>
          <w:sz w:val="24"/>
          <w:szCs w:val="24"/>
          <w:highlight w:val="none"/>
        </w:rPr>
        <w:t>竞争性</w:t>
      </w:r>
      <w:r>
        <w:rPr>
          <w:rFonts w:hint="eastAsia" w:ascii="宋体" w:hAnsi="宋体" w:cs="宋体"/>
          <w:sz w:val="24"/>
          <w:szCs w:val="24"/>
          <w:highlight w:val="none"/>
          <w:lang w:eastAsia="zh-CN"/>
        </w:rPr>
        <w:t>比选</w:t>
      </w:r>
      <w:r>
        <w:rPr>
          <w:rFonts w:hint="eastAsia" w:ascii="宋体" w:hAnsi="宋体" w:cs="宋体"/>
          <w:sz w:val="24"/>
          <w:szCs w:val="24"/>
          <w:highlight w:val="none"/>
        </w:rPr>
        <w:t>文件规定的</w:t>
      </w:r>
      <w:r>
        <w:rPr>
          <w:rFonts w:hint="eastAsia" w:ascii="宋体" w:hAnsi="宋体" w:cs="宋体"/>
          <w:sz w:val="24"/>
          <w:szCs w:val="24"/>
          <w:highlight w:val="none"/>
          <w:lang w:eastAsia="zh-CN"/>
        </w:rPr>
        <w:t>比选</w:t>
      </w:r>
      <w:r>
        <w:rPr>
          <w:rFonts w:hint="eastAsia" w:ascii="宋体" w:hAnsi="宋体" w:cs="宋体"/>
          <w:sz w:val="24"/>
          <w:szCs w:val="24"/>
          <w:highlight w:val="none"/>
        </w:rPr>
        <w:t>代理服务费。</w:t>
      </w:r>
    </w:p>
    <w:p w14:paraId="073AD599">
      <w:pPr>
        <w:tabs>
          <w:tab w:val="left" w:pos="6300"/>
        </w:tabs>
        <w:snapToGrid w:val="0"/>
        <w:spacing w:line="360" w:lineRule="auto"/>
        <w:ind w:firstLine="480" w:firstLineChars="200"/>
        <w:rPr>
          <w:rFonts w:hint="eastAsia" w:ascii="宋体" w:hAnsi="宋体" w:eastAsia="宋体" w:cs="宋体"/>
          <w:color w:val="auto"/>
          <w:sz w:val="24"/>
          <w:szCs w:val="24"/>
          <w:highlight w:val="none"/>
        </w:rPr>
      </w:pPr>
    </w:p>
    <w:p w14:paraId="259D57FA">
      <w:pPr>
        <w:tabs>
          <w:tab w:val="left" w:pos="6300"/>
        </w:tabs>
        <w:snapToGrid w:val="0"/>
        <w:spacing w:line="360" w:lineRule="auto"/>
        <w:ind w:firstLine="570"/>
        <w:rPr>
          <w:rFonts w:hint="eastAsia" w:ascii="宋体" w:hAnsi="宋体" w:eastAsia="宋体" w:cs="宋体"/>
          <w:color w:val="auto"/>
          <w:sz w:val="24"/>
          <w:szCs w:val="24"/>
          <w:highlight w:val="none"/>
        </w:rPr>
      </w:pPr>
    </w:p>
    <w:p w14:paraId="5B73B0B5">
      <w:pPr>
        <w:tabs>
          <w:tab w:val="left" w:pos="6300"/>
        </w:tabs>
        <w:snapToGrid w:val="0"/>
        <w:spacing w:line="360" w:lineRule="auto"/>
        <w:ind w:firstLine="570"/>
        <w:rPr>
          <w:rFonts w:hint="eastAsia" w:ascii="宋体" w:hAnsi="宋体" w:eastAsia="宋体" w:cs="宋体"/>
          <w:color w:val="auto"/>
          <w:sz w:val="24"/>
          <w:szCs w:val="24"/>
          <w:highlight w:val="none"/>
        </w:rPr>
      </w:pPr>
    </w:p>
    <w:p w14:paraId="32D94162">
      <w:pPr>
        <w:tabs>
          <w:tab w:val="left" w:pos="6300"/>
        </w:tabs>
        <w:snapToGrid w:val="0"/>
        <w:spacing w:line="360" w:lineRule="auto"/>
        <w:ind w:firstLine="570"/>
        <w:rPr>
          <w:rFonts w:hint="eastAsia" w:ascii="宋体" w:hAnsi="宋体" w:eastAsia="宋体" w:cs="宋体"/>
          <w:color w:val="auto"/>
          <w:sz w:val="24"/>
          <w:szCs w:val="24"/>
          <w:highlight w:val="none"/>
        </w:rPr>
      </w:pPr>
    </w:p>
    <w:p w14:paraId="59D20FE4">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竞选人</w:t>
      </w:r>
      <w:r>
        <w:rPr>
          <w:rFonts w:hint="eastAsia" w:ascii="宋体" w:hAnsi="宋体" w:eastAsia="宋体" w:cs="宋体"/>
          <w:color w:val="auto"/>
          <w:sz w:val="24"/>
          <w:szCs w:val="24"/>
          <w:highlight w:val="none"/>
        </w:rPr>
        <w:t>名称（公章）：</w:t>
      </w:r>
    </w:p>
    <w:p w14:paraId="2E1E816F">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月   日</w:t>
      </w:r>
    </w:p>
    <w:p w14:paraId="1564E1C5">
      <w:pPr>
        <w:tabs>
          <w:tab w:val="left" w:pos="6300"/>
        </w:tabs>
        <w:snapToGrid w:val="0"/>
        <w:spacing w:line="312" w:lineRule="auto"/>
        <w:ind w:firstLine="480" w:firstLineChars="200"/>
        <w:rPr>
          <w:rFonts w:hint="eastAsia" w:ascii="宋体" w:hAnsi="宋体" w:eastAsia="宋体" w:cs="宋体"/>
          <w:color w:val="auto"/>
          <w:sz w:val="24"/>
          <w:szCs w:val="24"/>
          <w:highlight w:val="none"/>
        </w:rPr>
        <w:sectPr>
          <w:pgSz w:w="11907" w:h="16840"/>
          <w:pgMar w:top="1134" w:right="1191" w:bottom="1134" w:left="1304" w:header="964" w:footer="992" w:gutter="0"/>
          <w:pgNumType w:fmt="decimal"/>
          <w:cols w:space="720" w:num="1"/>
          <w:docGrid w:linePitch="380" w:charSpace="-5735"/>
        </w:sectPr>
      </w:pPr>
    </w:p>
    <w:p w14:paraId="4BCC813C">
      <w:pPr>
        <w:pStyle w:val="4"/>
        <w:pageBreakBefore/>
        <w:spacing w:line="500" w:lineRule="exact"/>
        <w:rPr>
          <w:rFonts w:hint="eastAsia" w:eastAsia="宋体" w:cs="宋体"/>
          <w:b/>
          <w:color w:val="auto"/>
          <w:szCs w:val="28"/>
          <w:highlight w:val="none"/>
          <w:lang w:eastAsia="zh-CN"/>
        </w:rPr>
      </w:pPr>
      <w:bookmarkStart w:id="277" w:name="_Toc13404"/>
      <w:bookmarkStart w:id="278" w:name="_Toc15140"/>
      <w:r>
        <w:rPr>
          <w:rFonts w:hint="eastAsia" w:cs="宋体"/>
          <w:b/>
          <w:color w:val="auto"/>
          <w:szCs w:val="28"/>
          <w:highlight w:val="none"/>
        </w:rPr>
        <w:t>二、资格</w:t>
      </w:r>
      <w:r>
        <w:rPr>
          <w:rFonts w:hint="eastAsia" w:cs="宋体"/>
          <w:b/>
          <w:color w:val="auto"/>
          <w:szCs w:val="28"/>
          <w:highlight w:val="none"/>
          <w:lang w:eastAsia="zh-CN"/>
        </w:rPr>
        <w:t>条件及其他</w:t>
      </w:r>
      <w:bookmarkEnd w:id="277"/>
      <w:bookmarkEnd w:id="278"/>
    </w:p>
    <w:p w14:paraId="396F5D8A">
      <w:pPr>
        <w:pStyle w:val="148"/>
        <w:rPr>
          <w:rFonts w:hint="eastAsia" w:ascii="宋体" w:hAnsi="宋体" w:eastAsia="宋体" w:cs="宋体"/>
          <w:color w:val="auto"/>
          <w:highlight w:val="none"/>
        </w:rPr>
      </w:pPr>
    </w:p>
    <w:p w14:paraId="7BE9E7D7">
      <w:pPr>
        <w:widowControl/>
        <w:ind w:firstLine="56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（一）营业执照及特定资格条件证书或证明文件</w:t>
      </w:r>
    </w:p>
    <w:p w14:paraId="08C23B03">
      <w:pPr>
        <w:widowControl/>
        <w:ind w:firstLine="560" w:firstLineChars="200"/>
        <w:jc w:val="left"/>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（二）法定代表人身份证明书（格式）</w:t>
      </w:r>
    </w:p>
    <w:p w14:paraId="5C958BBE">
      <w:pPr>
        <w:tabs>
          <w:tab w:val="left" w:pos="6300"/>
        </w:tabs>
        <w:snapToGrid w:val="0"/>
        <w:spacing w:line="500" w:lineRule="exact"/>
        <w:ind w:firstLine="570"/>
        <w:rPr>
          <w:rFonts w:hint="eastAsia" w:ascii="宋体" w:hAnsi="宋体" w:cs="宋体"/>
          <w:color w:val="auto"/>
          <w:sz w:val="24"/>
          <w:highlight w:val="none"/>
        </w:rPr>
      </w:pPr>
    </w:p>
    <w:p w14:paraId="2A37AEFF">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lang w:eastAsia="zh-CN"/>
        </w:rPr>
        <w:t>比选</w:t>
      </w: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5F0CAE7D">
      <w:pPr>
        <w:tabs>
          <w:tab w:val="left" w:pos="6300"/>
        </w:tabs>
        <w:snapToGrid w:val="0"/>
        <w:spacing w:line="500" w:lineRule="exact"/>
        <w:ind w:firstLine="570"/>
        <w:rPr>
          <w:rFonts w:hint="eastAsia" w:ascii="宋体" w:hAnsi="宋体" w:cs="宋体"/>
          <w:color w:val="auto"/>
          <w:sz w:val="24"/>
          <w:highlight w:val="none"/>
        </w:rPr>
      </w:pPr>
    </w:p>
    <w:p w14:paraId="7FF2556A">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比选人</w:t>
      </w:r>
      <w:r>
        <w:rPr>
          <w:rFonts w:hint="eastAsia" w:ascii="宋体" w:hAnsi="宋体" w:cs="宋体"/>
          <w:color w:val="auto"/>
          <w:sz w:val="24"/>
          <w:highlight w:val="none"/>
        </w:rPr>
        <w:t>名称）：</w:t>
      </w:r>
    </w:p>
    <w:p w14:paraId="4DB2E1D7">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竞选人</w:t>
      </w:r>
      <w:r>
        <w:rPr>
          <w:rFonts w:hint="eastAsia" w:ascii="宋体" w:hAnsi="宋体" w:cs="宋体"/>
          <w:color w:val="auto"/>
          <w:sz w:val="24"/>
          <w:highlight w:val="none"/>
        </w:rPr>
        <w:t>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w:t>
      </w:r>
      <w:r>
        <w:rPr>
          <w:rFonts w:hint="eastAsia" w:ascii="宋体" w:hAnsi="宋体" w:cs="宋体"/>
          <w:color w:val="auto"/>
          <w:sz w:val="24"/>
          <w:highlight w:val="none"/>
          <w:lang w:eastAsia="zh-CN"/>
        </w:rPr>
        <w:t>竞选人</w:t>
      </w:r>
      <w:r>
        <w:rPr>
          <w:rFonts w:hint="eastAsia" w:ascii="宋体" w:hAnsi="宋体" w:cs="宋体"/>
          <w:color w:val="auto"/>
          <w:sz w:val="24"/>
          <w:highlight w:val="none"/>
        </w:rPr>
        <w:t>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48F22FA3">
      <w:pPr>
        <w:tabs>
          <w:tab w:val="left" w:pos="6300"/>
        </w:tabs>
        <w:snapToGrid w:val="0"/>
        <w:spacing w:line="500" w:lineRule="exact"/>
        <w:ind w:firstLine="570"/>
        <w:rPr>
          <w:rFonts w:hint="eastAsia" w:ascii="宋体" w:hAnsi="宋体" w:cs="宋体"/>
          <w:color w:val="auto"/>
          <w:sz w:val="24"/>
          <w:highlight w:val="none"/>
        </w:rPr>
      </w:pPr>
    </w:p>
    <w:p w14:paraId="44B693F8">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特此证明。</w:t>
      </w:r>
    </w:p>
    <w:p w14:paraId="5E79A2EE">
      <w:pPr>
        <w:tabs>
          <w:tab w:val="left" w:pos="6300"/>
        </w:tabs>
        <w:snapToGrid w:val="0"/>
        <w:spacing w:line="500" w:lineRule="exact"/>
        <w:ind w:firstLine="570"/>
        <w:rPr>
          <w:rFonts w:hint="eastAsia" w:ascii="宋体" w:hAnsi="宋体" w:cs="宋体"/>
          <w:color w:val="auto"/>
          <w:sz w:val="24"/>
          <w:highlight w:val="none"/>
        </w:rPr>
      </w:pPr>
    </w:p>
    <w:p w14:paraId="0882AC7A">
      <w:pPr>
        <w:tabs>
          <w:tab w:val="left" w:pos="6300"/>
        </w:tabs>
        <w:snapToGrid w:val="0"/>
        <w:spacing w:line="500" w:lineRule="exact"/>
        <w:ind w:firstLine="570"/>
        <w:rPr>
          <w:rFonts w:hint="eastAsia" w:ascii="宋体" w:hAnsi="宋体" w:cs="宋体"/>
          <w:color w:val="auto"/>
          <w:sz w:val="24"/>
          <w:highlight w:val="none"/>
        </w:rPr>
      </w:pPr>
    </w:p>
    <w:p w14:paraId="39E48903">
      <w:pPr>
        <w:tabs>
          <w:tab w:val="left" w:pos="6300"/>
        </w:tabs>
        <w:snapToGrid w:val="0"/>
        <w:spacing w:line="500" w:lineRule="exact"/>
        <w:ind w:firstLine="570"/>
        <w:rPr>
          <w:rFonts w:hint="eastAsia" w:ascii="宋体" w:hAnsi="宋体" w:cs="宋体"/>
          <w:color w:val="auto"/>
          <w:sz w:val="24"/>
          <w:highlight w:val="none"/>
        </w:rPr>
      </w:pPr>
    </w:p>
    <w:p w14:paraId="085A4C38">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竞选人</w:t>
      </w:r>
      <w:r>
        <w:rPr>
          <w:rFonts w:hint="eastAsia" w:ascii="宋体" w:hAnsi="宋体" w:eastAsia="宋体" w:cs="宋体"/>
          <w:color w:val="auto"/>
          <w:sz w:val="24"/>
          <w:szCs w:val="24"/>
          <w:highlight w:val="none"/>
        </w:rPr>
        <w:t>公章）</w:t>
      </w:r>
    </w:p>
    <w:p w14:paraId="276FF9A9">
      <w:pPr>
        <w:tabs>
          <w:tab w:val="left" w:pos="6300"/>
        </w:tabs>
        <w:snapToGrid w:val="0"/>
        <w:spacing w:line="500" w:lineRule="exact"/>
        <w:ind w:firstLine="570"/>
        <w:rPr>
          <w:rFonts w:hint="eastAsia" w:ascii="宋体" w:hAnsi="宋体" w:cs="宋体"/>
          <w:color w:val="auto"/>
          <w:sz w:val="24"/>
          <w:highlight w:val="none"/>
        </w:rPr>
      </w:pPr>
    </w:p>
    <w:p w14:paraId="6985F06C">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47C1B091">
      <w:pPr>
        <w:tabs>
          <w:tab w:val="left" w:pos="6300"/>
        </w:tabs>
        <w:snapToGrid w:val="0"/>
        <w:spacing w:line="500" w:lineRule="exact"/>
        <w:ind w:firstLine="570"/>
        <w:rPr>
          <w:rFonts w:hint="eastAsia" w:ascii="宋体" w:hAnsi="宋体" w:cs="宋体"/>
          <w:color w:val="auto"/>
          <w:sz w:val="24"/>
          <w:highlight w:val="none"/>
        </w:rPr>
      </w:pPr>
    </w:p>
    <w:p w14:paraId="549ABFC8">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53BA5C91">
      <w:pPr>
        <w:tabs>
          <w:tab w:val="left" w:pos="6300"/>
        </w:tabs>
        <w:snapToGrid w:val="0"/>
        <w:spacing w:line="500" w:lineRule="exact"/>
        <w:ind w:firstLine="570"/>
        <w:rPr>
          <w:rFonts w:hint="eastAsia" w:ascii="宋体" w:hAnsi="宋体" w:cs="宋体"/>
          <w:color w:val="auto"/>
          <w:sz w:val="24"/>
          <w:highlight w:val="none"/>
        </w:rPr>
      </w:pPr>
    </w:p>
    <w:p w14:paraId="1C763755">
      <w:pPr>
        <w:tabs>
          <w:tab w:val="left" w:pos="6300"/>
        </w:tabs>
        <w:snapToGrid w:val="0"/>
        <w:spacing w:line="500" w:lineRule="exact"/>
        <w:ind w:firstLine="570"/>
        <w:rPr>
          <w:rFonts w:hint="eastAsia" w:ascii="宋体" w:hAnsi="宋体" w:cs="宋体"/>
          <w:color w:val="auto"/>
          <w:sz w:val="24"/>
          <w:highlight w:val="none"/>
        </w:rPr>
      </w:pPr>
    </w:p>
    <w:p w14:paraId="1CF57D89">
      <w:pPr>
        <w:tabs>
          <w:tab w:val="left" w:pos="6300"/>
        </w:tabs>
        <w:snapToGrid w:val="0"/>
        <w:spacing w:line="500" w:lineRule="exact"/>
        <w:ind w:firstLine="570"/>
        <w:rPr>
          <w:rFonts w:hint="eastAsia" w:ascii="宋体" w:hAnsi="宋体" w:cs="宋体"/>
          <w:color w:val="auto"/>
          <w:sz w:val="24"/>
          <w:highlight w:val="none"/>
        </w:rPr>
      </w:pPr>
    </w:p>
    <w:p w14:paraId="5E060709">
      <w:pPr>
        <w:tabs>
          <w:tab w:val="left" w:pos="6300"/>
        </w:tabs>
        <w:snapToGrid w:val="0"/>
        <w:spacing w:line="500" w:lineRule="exact"/>
        <w:ind w:firstLine="570"/>
        <w:rPr>
          <w:rFonts w:hint="eastAsia" w:ascii="宋体" w:hAnsi="宋体" w:cs="宋体"/>
          <w:color w:val="auto"/>
          <w:sz w:val="24"/>
          <w:highlight w:val="none"/>
        </w:rPr>
      </w:pPr>
    </w:p>
    <w:p w14:paraId="0F103B49">
      <w:pPr>
        <w:tabs>
          <w:tab w:val="left" w:pos="6300"/>
        </w:tabs>
        <w:snapToGrid w:val="0"/>
        <w:spacing w:line="500" w:lineRule="exact"/>
        <w:ind w:firstLine="570"/>
        <w:rPr>
          <w:rFonts w:hint="eastAsia" w:ascii="宋体" w:hAnsi="宋体" w:cs="宋体"/>
          <w:color w:val="auto"/>
          <w:sz w:val="24"/>
          <w:highlight w:val="none"/>
        </w:rPr>
      </w:pPr>
    </w:p>
    <w:p w14:paraId="0EC6EF7C">
      <w:pPr>
        <w:tabs>
          <w:tab w:val="left" w:pos="6300"/>
        </w:tabs>
        <w:snapToGrid w:val="0"/>
        <w:spacing w:line="500" w:lineRule="exact"/>
        <w:ind w:firstLine="570"/>
        <w:rPr>
          <w:rFonts w:hint="eastAsia" w:ascii="宋体" w:hAnsi="宋体" w:cs="宋体"/>
          <w:color w:val="auto"/>
          <w:sz w:val="24"/>
          <w:highlight w:val="none"/>
        </w:rPr>
      </w:pPr>
    </w:p>
    <w:p w14:paraId="0380D604">
      <w:pPr>
        <w:tabs>
          <w:tab w:val="left" w:pos="6300"/>
        </w:tabs>
        <w:snapToGrid w:val="0"/>
        <w:spacing w:line="500" w:lineRule="exact"/>
        <w:ind w:firstLine="570"/>
        <w:rPr>
          <w:rFonts w:hint="eastAsia" w:ascii="宋体" w:hAnsi="宋体" w:cs="宋体"/>
          <w:color w:val="auto"/>
          <w:highlight w:val="none"/>
        </w:rPr>
      </w:pPr>
      <w:r>
        <w:rPr>
          <w:rFonts w:hint="eastAsia" w:ascii="宋体" w:hAnsi="宋体" w:cs="宋体"/>
          <w:color w:val="auto"/>
          <w:highlight w:val="none"/>
        </w:rPr>
        <w:br w:type="column"/>
      </w:r>
      <w:r>
        <w:rPr>
          <w:rFonts w:hint="eastAsia" w:ascii="宋体" w:hAnsi="宋体" w:cs="宋体"/>
          <w:color w:val="auto"/>
          <w:highlight w:val="none"/>
        </w:rPr>
        <w:t>（三）法定代表人授权委托书（格式）</w:t>
      </w:r>
    </w:p>
    <w:p w14:paraId="06CEA305">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1E99D8D">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szCs w:val="28"/>
          <w:highlight w:val="none"/>
          <w:lang w:eastAsia="zh-CN"/>
        </w:rPr>
        <w:t>比选</w:t>
      </w:r>
      <w:r>
        <w:rPr>
          <w:rFonts w:hint="eastAsia" w:ascii="宋体" w:hAnsi="宋体" w:cs="宋体"/>
          <w:color w:val="auto"/>
          <w:sz w:val="24"/>
          <w:szCs w:val="28"/>
          <w:highlight w:val="none"/>
        </w:rPr>
        <w:t>项目名称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1F481AC1">
      <w:pPr>
        <w:tabs>
          <w:tab w:val="left" w:pos="6300"/>
        </w:tabs>
        <w:snapToGrid w:val="0"/>
        <w:spacing w:line="500" w:lineRule="exact"/>
        <w:ind w:firstLine="570"/>
        <w:rPr>
          <w:rFonts w:hint="eastAsia" w:ascii="宋体" w:hAnsi="宋体" w:cs="宋体"/>
          <w:color w:val="auto"/>
          <w:sz w:val="24"/>
          <w:highlight w:val="none"/>
        </w:rPr>
      </w:pPr>
    </w:p>
    <w:p w14:paraId="14864FDA">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比选人</w:t>
      </w:r>
      <w:r>
        <w:rPr>
          <w:rFonts w:hint="eastAsia" w:ascii="宋体" w:hAnsi="宋体" w:cs="宋体"/>
          <w:color w:val="auto"/>
          <w:sz w:val="24"/>
          <w:highlight w:val="none"/>
        </w:rPr>
        <w:t>名称）：</w:t>
      </w:r>
    </w:p>
    <w:p w14:paraId="29EAF540">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竞选人</w:t>
      </w:r>
      <w:r>
        <w:rPr>
          <w:rFonts w:hint="eastAsia" w:ascii="宋体" w:hAnsi="宋体" w:cs="宋体"/>
          <w:color w:val="auto"/>
          <w:sz w:val="24"/>
          <w:highlight w:val="none"/>
        </w:rPr>
        <w:t>法定代表人名称）是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竞选人</w:t>
      </w:r>
      <w:r>
        <w:rPr>
          <w:rFonts w:hint="eastAsia" w:ascii="宋体" w:hAnsi="宋体" w:cs="宋体"/>
          <w:color w:val="auto"/>
          <w:sz w:val="24"/>
          <w:highlight w:val="none"/>
        </w:rPr>
        <w:t>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（被授权人姓名及身份证代码）代表我单位全权办理上述项</w:t>
      </w:r>
      <w:r>
        <w:rPr>
          <w:rFonts w:hint="eastAsia" w:ascii="宋体" w:hAnsi="宋体" w:eastAsia="宋体" w:cs="宋体"/>
          <w:color w:val="auto"/>
          <w:sz w:val="24"/>
          <w:highlight w:val="none"/>
        </w:rPr>
        <w:t>目的</w:t>
      </w:r>
      <w:r>
        <w:rPr>
          <w:rFonts w:hint="eastAsia" w:ascii="宋体" w:hAnsi="宋体" w:cs="宋体"/>
          <w:color w:val="auto"/>
          <w:sz w:val="24"/>
          <w:highlight w:val="none"/>
          <w:lang w:eastAsia="zh-CN"/>
        </w:rPr>
        <w:t>竞选</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、签约等具体工</w:t>
      </w:r>
      <w:r>
        <w:rPr>
          <w:rFonts w:hint="eastAsia" w:ascii="宋体" w:hAnsi="宋体" w:cs="宋体"/>
          <w:color w:val="auto"/>
          <w:sz w:val="24"/>
          <w:highlight w:val="none"/>
        </w:rPr>
        <w:t>作，并签署全部有关文件、协议及合同。</w:t>
      </w:r>
    </w:p>
    <w:p w14:paraId="0D192328">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我单位对被授权人的签字负全部责任。</w:t>
      </w:r>
    </w:p>
    <w:p w14:paraId="17BCAE30">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在撤消授权的书面通知以前，本授权书一直有效。被授权人在授权书有效期内签署的所有文件不因授权的撤消而失效。</w:t>
      </w:r>
    </w:p>
    <w:p w14:paraId="1948704D">
      <w:pPr>
        <w:tabs>
          <w:tab w:val="left" w:pos="6300"/>
        </w:tabs>
        <w:snapToGrid w:val="0"/>
        <w:spacing w:line="500" w:lineRule="exact"/>
        <w:ind w:firstLine="570"/>
        <w:rPr>
          <w:rFonts w:hint="eastAsia" w:ascii="宋体" w:hAnsi="宋体" w:cs="宋体"/>
          <w:color w:val="auto"/>
          <w:sz w:val="24"/>
          <w:highlight w:val="none"/>
        </w:rPr>
      </w:pPr>
    </w:p>
    <w:p w14:paraId="4A70603B">
      <w:pPr>
        <w:tabs>
          <w:tab w:val="left" w:pos="6300"/>
        </w:tabs>
        <w:snapToGrid w:val="0"/>
        <w:spacing w:line="500" w:lineRule="exact"/>
        <w:ind w:firstLine="570"/>
        <w:rPr>
          <w:rFonts w:hint="eastAsia" w:ascii="宋体" w:hAnsi="宋体" w:cs="宋体"/>
          <w:color w:val="auto"/>
          <w:sz w:val="24"/>
          <w:highlight w:val="none"/>
        </w:rPr>
      </w:pPr>
    </w:p>
    <w:p w14:paraId="27DCCBDA">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被授权人：                               </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竞选人</w:t>
      </w:r>
      <w:r>
        <w:rPr>
          <w:rFonts w:hint="eastAsia" w:ascii="宋体" w:hAnsi="宋体" w:eastAsia="宋体" w:cs="宋体"/>
          <w:color w:val="auto"/>
          <w:sz w:val="24"/>
          <w:szCs w:val="24"/>
          <w:highlight w:val="none"/>
        </w:rPr>
        <w:t>法定代表人：</w:t>
      </w:r>
    </w:p>
    <w:p w14:paraId="0AD962D9">
      <w:pPr>
        <w:tabs>
          <w:tab w:val="left" w:pos="6300"/>
        </w:tabs>
        <w:snapToGrid w:val="0"/>
        <w:spacing w:line="500" w:lineRule="exact"/>
        <w:ind w:firstLine="570"/>
        <w:rPr>
          <w:rFonts w:hint="eastAsia" w:ascii="宋体" w:hAnsi="宋体" w:cs="宋体"/>
          <w:color w:val="auto"/>
          <w:sz w:val="24"/>
          <w:szCs w:val="28"/>
          <w:highlight w:val="none"/>
        </w:rPr>
      </w:pPr>
      <w:r>
        <w:rPr>
          <w:rFonts w:hint="eastAsia" w:ascii="宋体" w:hAnsi="宋体" w:cs="宋体"/>
          <w:color w:val="auto"/>
          <w:sz w:val="24"/>
          <w:szCs w:val="28"/>
          <w:highlight w:val="none"/>
        </w:rPr>
        <w:t>（签字或盖章）                                （签字或盖章）</w:t>
      </w:r>
    </w:p>
    <w:p w14:paraId="2917F4C1">
      <w:pPr>
        <w:tabs>
          <w:tab w:val="left" w:pos="6300"/>
        </w:tabs>
        <w:snapToGrid w:val="0"/>
        <w:spacing w:line="500" w:lineRule="exact"/>
        <w:ind w:firstLine="570"/>
        <w:rPr>
          <w:rFonts w:hint="eastAsia" w:ascii="宋体" w:hAnsi="宋体" w:cs="宋体"/>
          <w:color w:val="auto"/>
          <w:sz w:val="24"/>
          <w:szCs w:val="28"/>
          <w:highlight w:val="none"/>
        </w:rPr>
      </w:pPr>
    </w:p>
    <w:p w14:paraId="38143BAA">
      <w:pPr>
        <w:tabs>
          <w:tab w:val="left" w:pos="6300"/>
        </w:tabs>
        <w:snapToGrid w:val="0"/>
        <w:spacing w:line="500" w:lineRule="exact"/>
        <w:ind w:firstLine="570"/>
        <w:rPr>
          <w:rFonts w:hint="eastAsia" w:ascii="宋体" w:hAnsi="宋体" w:cs="宋体"/>
          <w:color w:val="auto"/>
          <w:sz w:val="24"/>
          <w:highlight w:val="none"/>
        </w:rPr>
      </w:pPr>
    </w:p>
    <w:p w14:paraId="68330DA4">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（附：被授权人身份证正反面复印件）</w:t>
      </w:r>
    </w:p>
    <w:p w14:paraId="52FB7A9B">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3B838991">
      <w:pPr>
        <w:tabs>
          <w:tab w:val="left" w:pos="6300"/>
        </w:tabs>
        <w:snapToGrid w:val="0"/>
        <w:spacing w:line="500" w:lineRule="exact"/>
        <w:ind w:firstLine="570"/>
        <w:rPr>
          <w:rFonts w:hint="eastAsia" w:ascii="宋体" w:hAnsi="宋体" w:cs="宋体"/>
          <w:color w:val="auto"/>
          <w:sz w:val="24"/>
          <w:highlight w:val="none"/>
        </w:rPr>
      </w:pPr>
    </w:p>
    <w:p w14:paraId="14C1CFD5">
      <w:pPr>
        <w:tabs>
          <w:tab w:val="left" w:pos="6300"/>
        </w:tabs>
        <w:snapToGrid w:val="0"/>
        <w:spacing w:line="500" w:lineRule="exact"/>
        <w:ind w:firstLine="570"/>
        <w:rPr>
          <w:rFonts w:hint="eastAsia" w:ascii="宋体" w:hAnsi="宋体" w:cs="宋体"/>
          <w:color w:val="auto"/>
          <w:sz w:val="24"/>
          <w:highlight w:val="none"/>
        </w:rPr>
      </w:pPr>
    </w:p>
    <w:p w14:paraId="7400E21F">
      <w:pPr>
        <w:tabs>
          <w:tab w:val="left" w:pos="6300"/>
        </w:tabs>
        <w:snapToGrid w:val="0"/>
        <w:spacing w:line="500" w:lineRule="exact"/>
        <w:ind w:firstLine="57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竞选人</w:t>
      </w:r>
      <w:r>
        <w:rPr>
          <w:rFonts w:hint="eastAsia" w:ascii="宋体" w:hAnsi="宋体" w:eastAsia="宋体" w:cs="宋体"/>
          <w:color w:val="auto"/>
          <w:sz w:val="24"/>
          <w:szCs w:val="24"/>
          <w:highlight w:val="none"/>
        </w:rPr>
        <w:t>公章）</w:t>
      </w:r>
    </w:p>
    <w:p w14:paraId="2CF42F31">
      <w:pPr>
        <w:tabs>
          <w:tab w:val="left" w:pos="6300"/>
        </w:tabs>
        <w:snapToGrid w:val="0"/>
        <w:spacing w:line="500" w:lineRule="exact"/>
        <w:ind w:right="480" w:firstLine="570"/>
        <w:jc w:val="right"/>
        <w:rPr>
          <w:rFonts w:hint="eastAsia" w:ascii="宋体" w:hAnsi="宋体" w:cs="宋体"/>
          <w:color w:val="auto"/>
          <w:sz w:val="24"/>
          <w:highlight w:val="none"/>
        </w:rPr>
      </w:pPr>
      <w:r>
        <w:rPr>
          <w:rFonts w:hint="eastAsia" w:ascii="宋体" w:hAnsi="宋体" w:cs="宋体"/>
          <w:color w:val="auto"/>
          <w:sz w:val="24"/>
          <w:highlight w:val="none"/>
        </w:rPr>
        <w:t>年   月   日</w:t>
      </w:r>
    </w:p>
    <w:p w14:paraId="56866DD6">
      <w:pPr>
        <w:tabs>
          <w:tab w:val="left" w:pos="6300"/>
        </w:tabs>
        <w:snapToGrid w:val="0"/>
        <w:spacing w:line="500" w:lineRule="exact"/>
        <w:ind w:right="480" w:firstLine="570"/>
        <w:jc w:val="right"/>
        <w:rPr>
          <w:rFonts w:hint="eastAsia" w:ascii="宋体" w:hAnsi="宋体" w:cs="宋体"/>
          <w:color w:val="auto"/>
          <w:sz w:val="24"/>
          <w:highlight w:val="none"/>
        </w:rPr>
      </w:pPr>
    </w:p>
    <w:p w14:paraId="2EF8B8DD">
      <w:pPr>
        <w:tabs>
          <w:tab w:val="left" w:pos="6300"/>
        </w:tabs>
        <w:snapToGrid w:val="0"/>
        <w:spacing w:line="500" w:lineRule="exact"/>
        <w:ind w:right="480" w:firstLine="570"/>
        <w:jc w:val="left"/>
        <w:rPr>
          <w:rFonts w:hint="eastAsia" w:ascii="宋体" w:hAnsi="宋体" w:cs="宋体"/>
          <w:color w:val="auto"/>
          <w:sz w:val="24"/>
          <w:highlight w:val="none"/>
        </w:rPr>
      </w:pPr>
      <w:r>
        <w:rPr>
          <w:rFonts w:hint="eastAsia" w:ascii="宋体" w:hAnsi="宋体" w:cs="宋体"/>
          <w:color w:val="auto"/>
          <w:sz w:val="24"/>
          <w:highlight w:val="none"/>
        </w:rPr>
        <w:t>注：</w:t>
      </w:r>
    </w:p>
    <w:p w14:paraId="1DCF54FA">
      <w:pPr>
        <w:tabs>
          <w:tab w:val="left" w:pos="6300"/>
        </w:tabs>
        <w:snapToGrid w:val="0"/>
        <w:spacing w:line="500" w:lineRule="exact"/>
        <w:ind w:right="480" w:firstLine="570"/>
        <w:jc w:val="left"/>
        <w:rPr>
          <w:rFonts w:hint="eastAsia" w:ascii="宋体" w:hAnsi="宋体" w:cs="宋体"/>
          <w:color w:val="auto"/>
          <w:sz w:val="24"/>
          <w:highlight w:val="none"/>
        </w:rPr>
      </w:pPr>
      <w:r>
        <w:rPr>
          <w:rFonts w:hint="eastAsia" w:ascii="宋体" w:hAnsi="宋体" w:cs="宋体"/>
          <w:color w:val="auto"/>
          <w:sz w:val="24"/>
          <w:highlight w:val="none"/>
        </w:rPr>
        <w:t>1.若为法定代表人办理并签署</w:t>
      </w:r>
      <w:r>
        <w:rPr>
          <w:rFonts w:hint="eastAsia" w:ascii="宋体" w:hAnsi="宋体" w:cs="宋体"/>
          <w:color w:val="auto"/>
          <w:sz w:val="24"/>
          <w:highlight w:val="none"/>
          <w:lang w:eastAsia="zh-CN"/>
        </w:rPr>
        <w:t>竞选文件</w:t>
      </w:r>
      <w:r>
        <w:rPr>
          <w:rFonts w:hint="eastAsia" w:ascii="宋体" w:hAnsi="宋体" w:cs="宋体"/>
          <w:color w:val="auto"/>
          <w:sz w:val="24"/>
          <w:highlight w:val="none"/>
        </w:rPr>
        <w:t>的，不提供此文件。</w:t>
      </w:r>
    </w:p>
    <w:p w14:paraId="68FDF9EB">
      <w:pPr>
        <w:tabs>
          <w:tab w:val="left" w:pos="6300"/>
        </w:tabs>
        <w:snapToGrid w:val="0"/>
        <w:spacing w:line="500" w:lineRule="exact"/>
        <w:ind w:firstLine="560" w:firstLineChars="200"/>
        <w:jc w:val="left"/>
        <w:rPr>
          <w:rFonts w:hint="eastAsia" w:ascii="宋体" w:hAnsi="宋体" w:cs="宋体"/>
          <w:b/>
          <w:bCs/>
          <w:color w:val="auto"/>
          <w:sz w:val="32"/>
          <w:szCs w:val="32"/>
          <w:highlight w:val="none"/>
        </w:rPr>
      </w:pPr>
      <w:r>
        <w:rPr>
          <w:rFonts w:hint="eastAsia" w:ascii="宋体" w:hAnsi="宋体" w:cs="宋体"/>
          <w:color w:val="auto"/>
          <w:highlight w:val="none"/>
        </w:rPr>
        <w:br w:type="column"/>
      </w:r>
      <w:r>
        <w:rPr>
          <w:rFonts w:hint="eastAsia" w:ascii="宋体" w:hAnsi="宋体" w:cs="宋体"/>
          <w:color w:val="auto"/>
          <w:highlight w:val="none"/>
        </w:rPr>
        <w:t>（四）基本资格条件承诺函</w:t>
      </w:r>
    </w:p>
    <w:p w14:paraId="0C906821">
      <w:pPr>
        <w:tabs>
          <w:tab w:val="left" w:pos="6300"/>
        </w:tabs>
        <w:snapToGrid w:val="0"/>
        <w:spacing w:line="530" w:lineRule="exact"/>
        <w:rPr>
          <w:rFonts w:hint="eastAsia" w:ascii="宋体" w:hAnsi="宋体" w:cs="宋体"/>
          <w:color w:val="auto"/>
          <w:sz w:val="24"/>
          <w:highlight w:val="none"/>
        </w:rPr>
      </w:pPr>
    </w:p>
    <w:p w14:paraId="79109148">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lang w:eastAsia="zh-CN"/>
        </w:rPr>
        <w:t>人</w:t>
      </w:r>
      <w:r>
        <w:rPr>
          <w:rFonts w:hint="eastAsia" w:ascii="宋体" w:hAnsi="宋体" w:cs="宋体"/>
          <w:color w:val="auto"/>
          <w:sz w:val="24"/>
          <w:highlight w:val="none"/>
        </w:rPr>
        <w:t>名称）：</w:t>
      </w:r>
    </w:p>
    <w:p w14:paraId="09FAF703">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竞选人</w:t>
      </w:r>
      <w:r>
        <w:rPr>
          <w:rFonts w:hint="eastAsia" w:ascii="宋体" w:hAnsi="宋体" w:cs="宋体"/>
          <w:color w:val="auto"/>
          <w:sz w:val="24"/>
          <w:highlight w:val="none"/>
        </w:rPr>
        <w:t>名称）郑重承诺：</w:t>
      </w:r>
    </w:p>
    <w:p w14:paraId="7B8758FB">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1.我方具有良好的商业信誉和健全的财务会计制度，具有履行合同所必需的设备和专业技术能力，具</w:t>
      </w:r>
      <w:r>
        <w:rPr>
          <w:rFonts w:hint="eastAsia" w:ascii="宋体" w:hAnsi="宋体" w:cs="宋体"/>
          <w:color w:val="auto"/>
          <w:sz w:val="24"/>
          <w:highlight w:val="none"/>
          <w:lang w:val="zh-CN"/>
        </w:rPr>
        <w:t>有依法缴纳税收和社会保障金的良好记录</w:t>
      </w:r>
      <w:r>
        <w:rPr>
          <w:rFonts w:hint="eastAsia" w:ascii="宋体" w:hAnsi="宋体" w:cs="宋体"/>
          <w:color w:val="auto"/>
          <w:sz w:val="24"/>
          <w:highlight w:val="none"/>
        </w:rPr>
        <w:t>，参加本项目</w:t>
      </w:r>
      <w:r>
        <w:rPr>
          <w:rFonts w:hint="eastAsia" w:ascii="宋体" w:hAnsi="宋体" w:cs="宋体"/>
          <w:color w:val="auto"/>
          <w:sz w:val="24"/>
          <w:highlight w:val="none"/>
          <w:lang w:eastAsia="zh-CN"/>
        </w:rPr>
        <w:t>比选</w:t>
      </w:r>
      <w:r>
        <w:rPr>
          <w:rFonts w:hint="eastAsia" w:ascii="宋体" w:hAnsi="宋体" w:cs="宋体"/>
          <w:color w:val="auto"/>
          <w:sz w:val="24"/>
          <w:highlight w:val="none"/>
        </w:rPr>
        <w:t>活动前三年内无重大违法活动记录。</w:t>
      </w:r>
    </w:p>
    <w:p w14:paraId="2B4B4F9C">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62E82D6D">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3.我方在</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项目评审（评标）环节结束后，随时接受</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人、</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代理机构的检查验证，配合提供相关证明材料，证明符合</w:t>
      </w:r>
      <w:r>
        <w:rPr>
          <w:rFonts w:hint="eastAsia" w:ascii="宋体" w:hAnsi="宋体" w:cs="宋体"/>
          <w:color w:val="auto"/>
          <w:sz w:val="24"/>
          <w:highlight w:val="none"/>
          <w:lang w:eastAsia="zh-CN"/>
        </w:rPr>
        <w:t>相关法律法规</w:t>
      </w:r>
      <w:r>
        <w:rPr>
          <w:rFonts w:hint="eastAsia" w:ascii="宋体" w:hAnsi="宋体" w:cs="宋体"/>
          <w:color w:val="auto"/>
          <w:sz w:val="24"/>
          <w:highlight w:val="none"/>
        </w:rPr>
        <w:t>规定的</w:t>
      </w:r>
      <w:r>
        <w:rPr>
          <w:rFonts w:hint="eastAsia" w:ascii="宋体" w:hAnsi="宋体" w:cs="宋体"/>
          <w:color w:val="auto"/>
          <w:sz w:val="24"/>
          <w:highlight w:val="none"/>
          <w:lang w:eastAsia="zh-CN"/>
        </w:rPr>
        <w:t>竞选人</w:t>
      </w:r>
      <w:r>
        <w:rPr>
          <w:rFonts w:hint="eastAsia" w:ascii="宋体" w:hAnsi="宋体" w:cs="宋体"/>
          <w:color w:val="auto"/>
          <w:sz w:val="24"/>
          <w:highlight w:val="none"/>
        </w:rPr>
        <w:t>基本资格条件。</w:t>
      </w:r>
    </w:p>
    <w:p w14:paraId="3F28C17F">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我方对以上承诺负全部法律责任。</w:t>
      </w:r>
    </w:p>
    <w:p w14:paraId="05A13FDB">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特此承诺。</w:t>
      </w:r>
    </w:p>
    <w:p w14:paraId="54FE39DA">
      <w:pPr>
        <w:tabs>
          <w:tab w:val="left" w:pos="6300"/>
        </w:tabs>
        <w:snapToGrid w:val="0"/>
        <w:spacing w:line="500" w:lineRule="exact"/>
        <w:ind w:firstLine="480" w:firstLineChars="200"/>
        <w:rPr>
          <w:rFonts w:hint="eastAsia" w:ascii="宋体" w:hAnsi="宋体" w:cs="宋体"/>
          <w:color w:val="auto"/>
          <w:sz w:val="24"/>
          <w:highlight w:val="none"/>
        </w:rPr>
      </w:pPr>
    </w:p>
    <w:p w14:paraId="5DB3A97A">
      <w:pPr>
        <w:pStyle w:val="34"/>
        <w:rPr>
          <w:rFonts w:hint="eastAsia"/>
          <w:highlight w:val="none"/>
        </w:rPr>
      </w:pPr>
    </w:p>
    <w:p w14:paraId="04F48BD9">
      <w:pPr>
        <w:tabs>
          <w:tab w:val="left" w:pos="6300"/>
        </w:tabs>
        <w:snapToGrid w:val="0"/>
        <w:spacing w:line="500" w:lineRule="exact"/>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竞选人</w:t>
      </w:r>
      <w:r>
        <w:rPr>
          <w:rFonts w:hint="eastAsia" w:ascii="宋体" w:hAnsi="宋体" w:cs="宋体"/>
          <w:color w:val="auto"/>
          <w:sz w:val="24"/>
          <w:highlight w:val="none"/>
        </w:rPr>
        <w:t>公章）</w:t>
      </w:r>
    </w:p>
    <w:p w14:paraId="73A1E0FE">
      <w:pPr>
        <w:tabs>
          <w:tab w:val="left" w:pos="6300"/>
        </w:tabs>
        <w:snapToGrid w:val="0"/>
        <w:spacing w:line="500" w:lineRule="exact"/>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年   月   日</w:t>
      </w:r>
    </w:p>
    <w:p w14:paraId="74739FB7">
      <w:pPr>
        <w:snapToGrid w:val="0"/>
        <w:spacing w:line="440" w:lineRule="exact"/>
        <w:ind w:firstLine="480" w:firstLineChars="200"/>
        <w:rPr>
          <w:rFonts w:hint="eastAsia" w:ascii="宋体" w:hAnsi="宋体" w:cs="宋体"/>
          <w:color w:val="auto"/>
          <w:sz w:val="24"/>
          <w:szCs w:val="24"/>
          <w:highlight w:val="none"/>
        </w:rPr>
      </w:pPr>
    </w:p>
    <w:p w14:paraId="1D2374DA">
      <w:pPr>
        <w:pStyle w:val="4"/>
        <w:bidi w:val="0"/>
        <w:rPr>
          <w:rFonts w:hint="eastAsia" w:ascii="宋体" w:hAnsi="宋体" w:cs="宋体"/>
          <w:b/>
          <w:color w:val="auto"/>
          <w:sz w:val="24"/>
          <w:highlight w:val="none"/>
        </w:rPr>
      </w:pPr>
      <w:r>
        <w:rPr>
          <w:rFonts w:hint="eastAsia" w:ascii="宋体" w:hAnsi="宋体" w:cs="宋体"/>
          <w:color w:val="auto"/>
          <w:highlight w:val="none"/>
        </w:rPr>
        <w:br w:type="page"/>
      </w:r>
      <w:bookmarkStart w:id="279" w:name="_Toc12829"/>
      <w:bookmarkStart w:id="280" w:name="_Toc30954"/>
      <w:r>
        <w:rPr>
          <w:rFonts w:hint="eastAsia" w:ascii="宋体" w:hAnsi="宋体" w:eastAsia="宋体" w:cs="宋体"/>
          <w:b/>
          <w:color w:val="auto"/>
          <w:szCs w:val="28"/>
          <w:highlight w:val="none"/>
          <w:lang w:val="en-US" w:eastAsia="zh-CN"/>
        </w:rPr>
        <w:t>三、技术文件</w:t>
      </w:r>
      <w:bookmarkEnd w:id="279"/>
      <w:bookmarkEnd w:id="280"/>
    </w:p>
    <w:p w14:paraId="25A8AAE9">
      <w:pPr>
        <w:tabs>
          <w:tab w:val="left" w:pos="6300"/>
        </w:tabs>
        <w:snapToGrid w:val="0"/>
        <w:spacing w:line="500" w:lineRule="exact"/>
        <w:ind w:firstLine="560" w:firstLineChars="200"/>
        <w:rPr>
          <w:rFonts w:hint="eastAsia" w:ascii="宋体" w:hAnsi="宋体" w:cs="宋体"/>
          <w:color w:val="auto"/>
          <w:szCs w:val="24"/>
          <w:highlight w:val="none"/>
        </w:rPr>
      </w:pPr>
      <w:r>
        <w:rPr>
          <w:rFonts w:hint="eastAsia" w:ascii="宋体" w:hAnsi="宋体" w:cs="宋体"/>
          <w:color w:val="auto"/>
          <w:szCs w:val="24"/>
          <w:highlight w:val="none"/>
        </w:rPr>
        <w:t>（一）技术条款差异表</w:t>
      </w:r>
    </w:p>
    <w:p w14:paraId="14ACC348">
      <w:pPr>
        <w:pStyle w:val="33"/>
        <w:tabs>
          <w:tab w:val="left" w:pos="6300"/>
        </w:tabs>
        <w:snapToGrid w:val="0"/>
        <w:spacing w:line="500" w:lineRule="exact"/>
        <w:ind w:firstLine="480" w:firstLineChars="200"/>
        <w:outlineLvl w:val="0"/>
        <w:rPr>
          <w:rFonts w:hint="eastAsia" w:ascii="宋体" w:hAnsi="宋体" w:eastAsia="宋体" w:cs="宋体"/>
          <w:color w:val="auto"/>
          <w:sz w:val="24"/>
          <w:szCs w:val="28"/>
          <w:highlight w:val="none"/>
          <w:lang w:eastAsia="zh-CN"/>
        </w:rPr>
      </w:pPr>
      <w:r>
        <w:rPr>
          <w:rFonts w:hint="eastAsia" w:ascii="宋体" w:hAnsi="宋体" w:cs="宋体"/>
          <w:color w:val="auto"/>
          <w:sz w:val="24"/>
          <w:szCs w:val="28"/>
          <w:highlight w:val="none"/>
          <w:lang w:eastAsia="zh-CN"/>
        </w:rPr>
        <w:t>比选</w:t>
      </w:r>
      <w:r>
        <w:rPr>
          <w:rFonts w:hint="eastAsia" w:ascii="宋体" w:hAnsi="宋体" w:cs="宋体"/>
          <w:color w:val="auto"/>
          <w:sz w:val="24"/>
          <w:szCs w:val="28"/>
          <w:highlight w:val="none"/>
        </w:rPr>
        <w:t>项目</w:t>
      </w:r>
      <w:r>
        <w:rPr>
          <w:rFonts w:hint="eastAsia" w:ascii="宋体" w:hAnsi="宋体" w:cs="宋体"/>
          <w:color w:val="auto"/>
          <w:sz w:val="24"/>
          <w:szCs w:val="28"/>
          <w:highlight w:val="none"/>
          <w:lang w:eastAsia="zh-CN"/>
        </w:rPr>
        <w:t>编号：</w:t>
      </w:r>
    </w:p>
    <w:p w14:paraId="7EB17FD6">
      <w:pPr>
        <w:pStyle w:val="33"/>
        <w:tabs>
          <w:tab w:val="left" w:pos="6300"/>
        </w:tabs>
        <w:snapToGrid w:val="0"/>
        <w:spacing w:line="500" w:lineRule="exact"/>
        <w:ind w:firstLine="480" w:firstLineChars="200"/>
        <w:outlineLvl w:val="0"/>
        <w:rPr>
          <w:rFonts w:hint="eastAsia" w:ascii="宋体" w:hAnsi="宋体" w:cs="宋体"/>
          <w:color w:val="auto"/>
          <w:sz w:val="24"/>
          <w:highlight w:val="none"/>
        </w:rPr>
      </w:pPr>
      <w:r>
        <w:rPr>
          <w:rFonts w:hint="eastAsia" w:ascii="宋体" w:hAnsi="宋体" w:cs="宋体"/>
          <w:color w:val="auto"/>
          <w:sz w:val="24"/>
          <w:szCs w:val="28"/>
          <w:highlight w:val="none"/>
          <w:lang w:eastAsia="zh-CN"/>
        </w:rPr>
        <w:t>比选</w:t>
      </w:r>
      <w:r>
        <w:rPr>
          <w:rFonts w:hint="eastAsia" w:ascii="宋体" w:hAnsi="宋体" w:cs="宋体"/>
          <w:color w:val="auto"/>
          <w:sz w:val="24"/>
          <w:szCs w:val="28"/>
          <w:highlight w:val="none"/>
        </w:rPr>
        <w:t>项目名称</w:t>
      </w:r>
      <w:r>
        <w:rPr>
          <w:rFonts w:hint="eastAsia" w:ascii="宋体" w:hAnsi="宋体" w:cs="宋体"/>
          <w:color w:val="auto"/>
          <w:sz w:val="24"/>
          <w:highlight w:val="none"/>
        </w:rPr>
        <w:t>：</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969"/>
        <w:gridCol w:w="3081"/>
        <w:gridCol w:w="2308"/>
      </w:tblGrid>
      <w:tr w14:paraId="21AA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0" w:type="dxa"/>
            <w:noWrap w:val="0"/>
            <w:vAlign w:val="center"/>
          </w:tcPr>
          <w:p w14:paraId="6A8C07D5">
            <w:pPr>
              <w:tabs>
                <w:tab w:val="left" w:pos="6300"/>
              </w:tabs>
              <w:snapToGrid w:val="0"/>
              <w:spacing w:line="500" w:lineRule="exact"/>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2969" w:type="dxa"/>
            <w:noWrap w:val="0"/>
            <w:vAlign w:val="center"/>
          </w:tcPr>
          <w:p w14:paraId="3721B852">
            <w:pPr>
              <w:tabs>
                <w:tab w:val="left" w:pos="6300"/>
              </w:tabs>
              <w:snapToGrid w:val="0"/>
              <w:spacing w:line="500" w:lineRule="exact"/>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比选</w:t>
            </w:r>
            <w:r>
              <w:rPr>
                <w:rFonts w:hint="eastAsia" w:ascii="宋体" w:hAnsi="宋体" w:cs="宋体"/>
                <w:color w:val="auto"/>
                <w:sz w:val="21"/>
                <w:szCs w:val="21"/>
                <w:highlight w:val="none"/>
              </w:rPr>
              <w:t>要求</w:t>
            </w:r>
          </w:p>
        </w:tc>
        <w:tc>
          <w:tcPr>
            <w:tcW w:w="3081" w:type="dxa"/>
            <w:noWrap w:val="0"/>
            <w:vAlign w:val="center"/>
          </w:tcPr>
          <w:p w14:paraId="121F70ED">
            <w:pPr>
              <w:tabs>
                <w:tab w:val="left" w:pos="6300"/>
              </w:tabs>
              <w:snapToGrid w:val="0"/>
              <w:spacing w:line="500" w:lineRule="exact"/>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竞选</w:t>
            </w:r>
            <w:r>
              <w:rPr>
                <w:rFonts w:hint="eastAsia" w:ascii="宋体" w:hAnsi="宋体" w:cs="宋体"/>
                <w:color w:val="auto"/>
                <w:sz w:val="21"/>
                <w:szCs w:val="21"/>
                <w:highlight w:val="none"/>
              </w:rPr>
              <w:t>应答</w:t>
            </w:r>
          </w:p>
        </w:tc>
        <w:tc>
          <w:tcPr>
            <w:tcW w:w="2308" w:type="dxa"/>
            <w:noWrap w:val="0"/>
            <w:vAlign w:val="center"/>
          </w:tcPr>
          <w:p w14:paraId="11BD6335">
            <w:pPr>
              <w:tabs>
                <w:tab w:val="left" w:pos="6300"/>
              </w:tabs>
              <w:snapToGrid w:val="0"/>
              <w:spacing w:line="500" w:lineRule="exact"/>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差异说明</w:t>
            </w:r>
          </w:p>
        </w:tc>
      </w:tr>
      <w:tr w14:paraId="3B220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4AA76530">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noWrap w:val="0"/>
            <w:vAlign w:val="center"/>
          </w:tcPr>
          <w:p w14:paraId="10C18284">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noWrap w:val="0"/>
            <w:vAlign w:val="center"/>
          </w:tcPr>
          <w:p w14:paraId="6A06DEDD">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8" w:type="dxa"/>
            <w:noWrap w:val="0"/>
            <w:vAlign w:val="center"/>
          </w:tcPr>
          <w:p w14:paraId="26E7B45E">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478D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188CAC21">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noWrap w:val="0"/>
            <w:vAlign w:val="center"/>
          </w:tcPr>
          <w:p w14:paraId="7D60E4C1">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noWrap w:val="0"/>
            <w:vAlign w:val="center"/>
          </w:tcPr>
          <w:p w14:paraId="74BF427F">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8" w:type="dxa"/>
            <w:noWrap w:val="0"/>
            <w:vAlign w:val="center"/>
          </w:tcPr>
          <w:p w14:paraId="61629748">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55AC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02B25DB7">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noWrap w:val="0"/>
            <w:vAlign w:val="center"/>
          </w:tcPr>
          <w:p w14:paraId="0F2ABAC8">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noWrap w:val="0"/>
            <w:vAlign w:val="center"/>
          </w:tcPr>
          <w:p w14:paraId="0E55DB13">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8" w:type="dxa"/>
            <w:noWrap w:val="0"/>
            <w:vAlign w:val="center"/>
          </w:tcPr>
          <w:p w14:paraId="3CE368EE">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3628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5EFFBB39">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noWrap w:val="0"/>
            <w:vAlign w:val="center"/>
          </w:tcPr>
          <w:p w14:paraId="1DD50B51">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noWrap w:val="0"/>
            <w:vAlign w:val="center"/>
          </w:tcPr>
          <w:p w14:paraId="5FDB714C">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8" w:type="dxa"/>
            <w:noWrap w:val="0"/>
            <w:vAlign w:val="center"/>
          </w:tcPr>
          <w:p w14:paraId="4F2963FA">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242CB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31D63529">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noWrap w:val="0"/>
            <w:vAlign w:val="center"/>
          </w:tcPr>
          <w:p w14:paraId="018AC71C">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noWrap w:val="0"/>
            <w:vAlign w:val="center"/>
          </w:tcPr>
          <w:p w14:paraId="0DE298B4">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8" w:type="dxa"/>
            <w:noWrap w:val="0"/>
            <w:vAlign w:val="center"/>
          </w:tcPr>
          <w:p w14:paraId="1568E6A3">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4D6C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5CA48C76">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noWrap w:val="0"/>
            <w:vAlign w:val="center"/>
          </w:tcPr>
          <w:p w14:paraId="3F9013DA">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noWrap w:val="0"/>
            <w:vAlign w:val="center"/>
          </w:tcPr>
          <w:p w14:paraId="4939B32C">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8" w:type="dxa"/>
            <w:noWrap w:val="0"/>
            <w:vAlign w:val="center"/>
          </w:tcPr>
          <w:p w14:paraId="0C4858D3">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1CB6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59CF0FB5">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noWrap w:val="0"/>
            <w:vAlign w:val="center"/>
          </w:tcPr>
          <w:p w14:paraId="086CCC7C">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noWrap w:val="0"/>
            <w:vAlign w:val="center"/>
          </w:tcPr>
          <w:p w14:paraId="20AD7E3D">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8" w:type="dxa"/>
            <w:noWrap w:val="0"/>
            <w:vAlign w:val="center"/>
          </w:tcPr>
          <w:p w14:paraId="34EB63BC">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56D6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0F1D0507">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noWrap w:val="0"/>
            <w:vAlign w:val="center"/>
          </w:tcPr>
          <w:p w14:paraId="417053E7">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noWrap w:val="0"/>
            <w:vAlign w:val="center"/>
          </w:tcPr>
          <w:p w14:paraId="780E4ADA">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8" w:type="dxa"/>
            <w:noWrap w:val="0"/>
            <w:vAlign w:val="center"/>
          </w:tcPr>
          <w:p w14:paraId="7F1F6664">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2200F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73432EBE">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noWrap w:val="0"/>
            <w:vAlign w:val="center"/>
          </w:tcPr>
          <w:p w14:paraId="5ACC2472">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noWrap w:val="0"/>
            <w:vAlign w:val="center"/>
          </w:tcPr>
          <w:p w14:paraId="4FDB85DF">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8" w:type="dxa"/>
            <w:noWrap w:val="0"/>
            <w:vAlign w:val="center"/>
          </w:tcPr>
          <w:p w14:paraId="5E83B825">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673F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2140FF46">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noWrap w:val="0"/>
            <w:vAlign w:val="center"/>
          </w:tcPr>
          <w:p w14:paraId="70551823">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noWrap w:val="0"/>
            <w:vAlign w:val="center"/>
          </w:tcPr>
          <w:p w14:paraId="6D6CFB4E">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8" w:type="dxa"/>
            <w:noWrap w:val="0"/>
            <w:vAlign w:val="center"/>
          </w:tcPr>
          <w:p w14:paraId="660CFC6D">
            <w:pPr>
              <w:tabs>
                <w:tab w:val="left" w:pos="6300"/>
              </w:tabs>
              <w:snapToGrid w:val="0"/>
              <w:spacing w:line="500" w:lineRule="exact"/>
              <w:jc w:val="center"/>
              <w:outlineLvl w:val="0"/>
              <w:rPr>
                <w:rFonts w:hint="eastAsia" w:ascii="宋体" w:hAnsi="宋体" w:cs="宋体"/>
                <w:color w:val="auto"/>
                <w:sz w:val="21"/>
                <w:szCs w:val="21"/>
                <w:highlight w:val="none"/>
              </w:rPr>
            </w:pPr>
          </w:p>
        </w:tc>
      </w:tr>
    </w:tbl>
    <w:p w14:paraId="4B5C96F3">
      <w:pPr>
        <w:spacing w:line="500" w:lineRule="exact"/>
        <w:ind w:firstLine="600" w:firstLineChars="250"/>
        <w:rPr>
          <w:rFonts w:hint="eastAsia" w:ascii="宋体" w:hAnsi="宋体" w:cs="宋体"/>
          <w:color w:val="auto"/>
          <w:sz w:val="24"/>
          <w:szCs w:val="28"/>
          <w:highlight w:val="none"/>
        </w:rPr>
      </w:pPr>
      <w:r>
        <w:rPr>
          <w:rFonts w:hint="eastAsia" w:ascii="宋体" w:hAnsi="宋体" w:cs="宋体"/>
          <w:color w:val="auto"/>
          <w:sz w:val="24"/>
          <w:szCs w:val="28"/>
          <w:highlight w:val="none"/>
          <w:lang w:eastAsia="zh-CN"/>
        </w:rPr>
        <w:t>竞选人</w:t>
      </w:r>
      <w:r>
        <w:rPr>
          <w:rFonts w:hint="eastAsia" w:ascii="宋体" w:hAnsi="宋体" w:cs="宋体"/>
          <w:color w:val="auto"/>
          <w:sz w:val="24"/>
          <w:szCs w:val="28"/>
          <w:highlight w:val="none"/>
        </w:rPr>
        <w:t>：                                  法定代表人或法定代表人授权代表：</w:t>
      </w:r>
    </w:p>
    <w:p w14:paraId="3BDDEC9E">
      <w:pPr>
        <w:spacing w:line="500" w:lineRule="exact"/>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w:t>
      </w:r>
    </w:p>
    <w:p w14:paraId="544BAD7C">
      <w:pPr>
        <w:spacing w:line="500" w:lineRule="exact"/>
        <w:ind w:firstLine="720" w:firstLineChars="300"/>
        <w:rPr>
          <w:rFonts w:hint="eastAsia" w:ascii="宋体" w:hAnsi="宋体" w:cs="宋体"/>
          <w:color w:val="auto"/>
          <w:sz w:val="24"/>
          <w:szCs w:val="28"/>
          <w:highlight w:val="none"/>
        </w:rPr>
      </w:pPr>
      <w:r>
        <w:rPr>
          <w:rFonts w:hint="eastAsia" w:ascii="宋体" w:hAnsi="宋体" w:cs="宋体"/>
          <w:color w:val="auto"/>
          <w:sz w:val="24"/>
          <w:szCs w:val="28"/>
          <w:highlight w:val="none"/>
        </w:rPr>
        <w:t>（</w:t>
      </w:r>
      <w:r>
        <w:rPr>
          <w:rFonts w:hint="eastAsia" w:ascii="宋体" w:hAnsi="宋体" w:cs="宋体"/>
          <w:color w:val="auto"/>
          <w:sz w:val="24"/>
          <w:szCs w:val="28"/>
          <w:highlight w:val="none"/>
          <w:lang w:eastAsia="zh-CN"/>
        </w:rPr>
        <w:t>竞选人</w:t>
      </w:r>
      <w:r>
        <w:rPr>
          <w:rFonts w:hint="eastAsia" w:ascii="宋体" w:hAnsi="宋体" w:cs="宋体"/>
          <w:color w:val="auto"/>
          <w:sz w:val="24"/>
          <w:szCs w:val="28"/>
          <w:highlight w:val="none"/>
        </w:rPr>
        <w:t>公章）                               （签字或盖章）</w:t>
      </w:r>
    </w:p>
    <w:p w14:paraId="3F200B16">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szCs w:val="28"/>
          <w:highlight w:val="none"/>
        </w:rPr>
        <w:t xml:space="preserve">                                            年     月     日</w:t>
      </w:r>
    </w:p>
    <w:p w14:paraId="54AA0C33">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注：</w:t>
      </w:r>
    </w:p>
    <w:p w14:paraId="3AED2948">
      <w:pPr>
        <w:tabs>
          <w:tab w:val="left" w:pos="6300"/>
        </w:tabs>
        <w:snapToGrid w:val="0"/>
        <w:spacing w:line="50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1.本表即为对本项目“第二篇  项目技术要求”中所列要求进行比较和响应；</w:t>
      </w:r>
    </w:p>
    <w:p w14:paraId="2470EEFC">
      <w:pPr>
        <w:tabs>
          <w:tab w:val="left" w:pos="6300"/>
        </w:tabs>
        <w:snapToGrid w:val="0"/>
        <w:spacing w:line="50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2.该表必须按照</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要求逐条如实填写，根据</w:t>
      </w:r>
      <w:r>
        <w:rPr>
          <w:rFonts w:hint="eastAsia" w:ascii="宋体" w:hAnsi="宋体" w:cs="宋体"/>
          <w:color w:val="auto"/>
          <w:sz w:val="24"/>
          <w:szCs w:val="24"/>
          <w:highlight w:val="none"/>
          <w:lang w:eastAsia="zh-CN"/>
        </w:rPr>
        <w:t>竞选</w:t>
      </w:r>
      <w:r>
        <w:rPr>
          <w:rFonts w:hint="eastAsia" w:ascii="宋体" w:hAnsi="宋体" w:cs="宋体"/>
          <w:color w:val="auto"/>
          <w:sz w:val="24"/>
          <w:szCs w:val="24"/>
          <w:highlight w:val="none"/>
        </w:rPr>
        <w:t>情况在“差异说明”项填写正偏离或负偏离，完全符合的填写“无差异”；</w:t>
      </w:r>
    </w:p>
    <w:p w14:paraId="567AE299">
      <w:pPr>
        <w:tabs>
          <w:tab w:val="left" w:pos="6300"/>
        </w:tabs>
        <w:snapToGrid w:val="0"/>
        <w:spacing w:line="50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3.该表可扩展；</w:t>
      </w:r>
    </w:p>
    <w:p w14:paraId="0DEF2770">
      <w:pPr>
        <w:tabs>
          <w:tab w:val="left" w:pos="6300"/>
        </w:tabs>
        <w:snapToGrid w:val="0"/>
        <w:spacing w:line="500" w:lineRule="exact"/>
        <w:ind w:firstLine="570"/>
        <w:rPr>
          <w:rFonts w:hint="eastAsia" w:ascii="宋体" w:hAnsi="宋体" w:cs="宋体"/>
          <w:color w:val="auto"/>
          <w:sz w:val="24"/>
          <w:szCs w:val="24"/>
          <w:highlight w:val="none"/>
        </w:rPr>
        <w:sectPr>
          <w:pgSz w:w="11907" w:h="16840"/>
          <w:pgMar w:top="1134" w:right="1191" w:bottom="1134" w:left="1304" w:header="964" w:footer="992" w:gutter="0"/>
          <w:pgNumType w:fmt="decimal"/>
          <w:cols w:space="720" w:num="1"/>
          <w:docGrid w:linePitch="380" w:charSpace="-5735"/>
        </w:sectPr>
      </w:pPr>
      <w:r>
        <w:rPr>
          <w:rFonts w:hint="eastAsia" w:ascii="宋体" w:hAnsi="宋体" w:cs="宋体"/>
          <w:color w:val="auto"/>
          <w:sz w:val="24"/>
          <w:szCs w:val="24"/>
          <w:highlight w:val="none"/>
        </w:rPr>
        <w:t>4.可附相关技术支撑材料。（格式自定）</w:t>
      </w:r>
    </w:p>
    <w:p w14:paraId="05080916">
      <w:pPr>
        <w:tabs>
          <w:tab w:val="left" w:pos="6300"/>
        </w:tabs>
        <w:snapToGrid w:val="0"/>
        <w:spacing w:line="500" w:lineRule="exact"/>
        <w:ind w:firstLine="56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（二）技术部分方案</w:t>
      </w:r>
    </w:p>
    <w:p w14:paraId="3CEAA09A">
      <w:pPr>
        <w:tabs>
          <w:tab w:val="left" w:pos="6300"/>
        </w:tabs>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415B006B">
      <w:pPr>
        <w:pStyle w:val="4"/>
        <w:pageBreakBefore/>
        <w:spacing w:line="500" w:lineRule="exact"/>
        <w:rPr>
          <w:rFonts w:hint="eastAsia" w:cs="宋体"/>
          <w:b/>
          <w:color w:val="auto"/>
          <w:szCs w:val="28"/>
          <w:highlight w:val="none"/>
        </w:rPr>
      </w:pPr>
      <w:bookmarkStart w:id="281" w:name="_Toc6370"/>
      <w:bookmarkStart w:id="282" w:name="_Toc429584886"/>
      <w:bookmarkStart w:id="283" w:name="_Toc4117"/>
      <w:bookmarkStart w:id="284" w:name="_Toc492721039"/>
      <w:r>
        <w:rPr>
          <w:rFonts w:hint="eastAsia" w:cs="宋体"/>
          <w:b/>
          <w:color w:val="auto"/>
          <w:szCs w:val="28"/>
          <w:highlight w:val="none"/>
        </w:rPr>
        <w:t>四、商务文件</w:t>
      </w:r>
      <w:bookmarkEnd w:id="281"/>
      <w:bookmarkEnd w:id="282"/>
      <w:bookmarkEnd w:id="283"/>
      <w:bookmarkEnd w:id="284"/>
    </w:p>
    <w:p w14:paraId="2926733B">
      <w:pPr>
        <w:tabs>
          <w:tab w:val="left" w:pos="6300"/>
        </w:tabs>
        <w:snapToGrid w:val="0"/>
        <w:spacing w:line="500" w:lineRule="exact"/>
        <w:ind w:firstLine="560" w:firstLineChars="200"/>
        <w:outlineLvl w:val="0"/>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eastAsia="zh-CN"/>
        </w:rPr>
        <w:t>一</w:t>
      </w:r>
      <w:r>
        <w:rPr>
          <w:rFonts w:hint="eastAsia" w:ascii="宋体" w:hAnsi="宋体" w:cs="宋体"/>
          <w:color w:val="auto"/>
          <w:highlight w:val="none"/>
        </w:rPr>
        <w:t>）商务条款差异表</w:t>
      </w:r>
    </w:p>
    <w:p w14:paraId="116F8419">
      <w:pPr>
        <w:pStyle w:val="33"/>
        <w:tabs>
          <w:tab w:val="left" w:pos="6300"/>
        </w:tabs>
        <w:snapToGrid w:val="0"/>
        <w:spacing w:line="500" w:lineRule="exact"/>
        <w:ind w:firstLine="480" w:firstLineChars="200"/>
        <w:outlineLvl w:val="0"/>
        <w:rPr>
          <w:rFonts w:hint="eastAsia" w:ascii="宋体" w:hAnsi="宋体" w:eastAsia="宋体" w:cs="宋体"/>
          <w:color w:val="auto"/>
          <w:sz w:val="24"/>
          <w:szCs w:val="28"/>
          <w:highlight w:val="none"/>
          <w:lang w:eastAsia="zh-CN"/>
        </w:rPr>
      </w:pPr>
      <w:r>
        <w:rPr>
          <w:rFonts w:hint="eastAsia" w:ascii="宋体" w:hAnsi="宋体" w:cs="宋体"/>
          <w:color w:val="auto"/>
          <w:sz w:val="24"/>
          <w:szCs w:val="28"/>
          <w:highlight w:val="none"/>
          <w:lang w:eastAsia="zh-CN"/>
        </w:rPr>
        <w:t>比选</w:t>
      </w:r>
      <w:r>
        <w:rPr>
          <w:rFonts w:hint="eastAsia" w:ascii="宋体" w:hAnsi="宋体" w:cs="宋体"/>
          <w:color w:val="auto"/>
          <w:sz w:val="24"/>
          <w:szCs w:val="28"/>
          <w:highlight w:val="none"/>
        </w:rPr>
        <w:t>项目</w:t>
      </w:r>
      <w:r>
        <w:rPr>
          <w:rFonts w:hint="eastAsia" w:ascii="宋体" w:hAnsi="宋体" w:cs="宋体"/>
          <w:color w:val="auto"/>
          <w:sz w:val="24"/>
          <w:szCs w:val="28"/>
          <w:highlight w:val="none"/>
          <w:lang w:eastAsia="zh-CN"/>
        </w:rPr>
        <w:t>编号：</w:t>
      </w:r>
    </w:p>
    <w:p w14:paraId="6D23F0A5">
      <w:pPr>
        <w:pStyle w:val="33"/>
        <w:tabs>
          <w:tab w:val="left" w:pos="6300"/>
        </w:tabs>
        <w:snapToGrid w:val="0"/>
        <w:spacing w:line="500" w:lineRule="exact"/>
        <w:ind w:firstLine="480" w:firstLineChars="200"/>
        <w:outlineLvl w:val="0"/>
        <w:rPr>
          <w:rFonts w:hint="eastAsia" w:ascii="宋体" w:hAnsi="宋体" w:cs="宋体"/>
          <w:color w:val="auto"/>
          <w:sz w:val="24"/>
          <w:highlight w:val="none"/>
        </w:rPr>
      </w:pPr>
      <w:r>
        <w:rPr>
          <w:rFonts w:hint="eastAsia" w:ascii="宋体" w:hAnsi="宋体" w:cs="宋体"/>
          <w:color w:val="auto"/>
          <w:sz w:val="24"/>
          <w:szCs w:val="28"/>
          <w:highlight w:val="none"/>
          <w:lang w:eastAsia="zh-CN"/>
        </w:rPr>
        <w:t>比选</w:t>
      </w:r>
      <w:r>
        <w:rPr>
          <w:rFonts w:hint="eastAsia" w:ascii="宋体" w:hAnsi="宋体" w:cs="宋体"/>
          <w:color w:val="auto"/>
          <w:sz w:val="24"/>
          <w:szCs w:val="28"/>
          <w:highlight w:val="none"/>
        </w:rPr>
        <w:t>项目名称</w:t>
      </w:r>
      <w:r>
        <w:rPr>
          <w:rFonts w:hint="eastAsia" w:ascii="宋体" w:hAnsi="宋体" w:cs="宋体"/>
          <w:color w:val="auto"/>
          <w:sz w:val="24"/>
          <w:highlight w:val="none"/>
        </w:rPr>
        <w:t>：</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969"/>
        <w:gridCol w:w="3081"/>
        <w:gridCol w:w="2308"/>
      </w:tblGrid>
      <w:tr w14:paraId="3E25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0" w:type="dxa"/>
            <w:noWrap w:val="0"/>
            <w:vAlign w:val="center"/>
          </w:tcPr>
          <w:p w14:paraId="02A956BB">
            <w:pPr>
              <w:tabs>
                <w:tab w:val="left" w:pos="6300"/>
              </w:tabs>
              <w:snapToGrid w:val="0"/>
              <w:spacing w:line="500" w:lineRule="exact"/>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2969" w:type="dxa"/>
            <w:noWrap w:val="0"/>
            <w:vAlign w:val="center"/>
          </w:tcPr>
          <w:p w14:paraId="05A053A4">
            <w:pPr>
              <w:tabs>
                <w:tab w:val="left" w:pos="6300"/>
              </w:tabs>
              <w:snapToGrid w:val="0"/>
              <w:spacing w:line="500" w:lineRule="exact"/>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比选</w:t>
            </w:r>
            <w:r>
              <w:rPr>
                <w:rFonts w:hint="eastAsia" w:ascii="宋体" w:hAnsi="宋体" w:cs="宋体"/>
                <w:color w:val="auto"/>
                <w:sz w:val="21"/>
                <w:szCs w:val="21"/>
                <w:highlight w:val="none"/>
              </w:rPr>
              <w:t>商务要求</w:t>
            </w:r>
          </w:p>
        </w:tc>
        <w:tc>
          <w:tcPr>
            <w:tcW w:w="3081" w:type="dxa"/>
            <w:noWrap w:val="0"/>
            <w:vAlign w:val="center"/>
          </w:tcPr>
          <w:p w14:paraId="5F3F8963">
            <w:pPr>
              <w:tabs>
                <w:tab w:val="left" w:pos="6300"/>
              </w:tabs>
              <w:snapToGrid w:val="0"/>
              <w:spacing w:line="500" w:lineRule="exact"/>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竞选</w:t>
            </w:r>
            <w:r>
              <w:rPr>
                <w:rFonts w:hint="eastAsia" w:ascii="宋体" w:hAnsi="宋体" w:cs="宋体"/>
                <w:color w:val="auto"/>
                <w:sz w:val="21"/>
                <w:szCs w:val="21"/>
                <w:highlight w:val="none"/>
              </w:rPr>
              <w:t>商务应答</w:t>
            </w:r>
          </w:p>
        </w:tc>
        <w:tc>
          <w:tcPr>
            <w:tcW w:w="2308" w:type="dxa"/>
            <w:noWrap w:val="0"/>
            <w:vAlign w:val="center"/>
          </w:tcPr>
          <w:p w14:paraId="54A5D9B0">
            <w:pPr>
              <w:tabs>
                <w:tab w:val="left" w:pos="6300"/>
              </w:tabs>
              <w:snapToGrid w:val="0"/>
              <w:spacing w:line="500" w:lineRule="exact"/>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差异说明</w:t>
            </w:r>
          </w:p>
        </w:tc>
      </w:tr>
      <w:tr w14:paraId="43AA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0F3D6979">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noWrap w:val="0"/>
            <w:vAlign w:val="center"/>
          </w:tcPr>
          <w:p w14:paraId="1F42F629">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noWrap w:val="0"/>
            <w:vAlign w:val="center"/>
          </w:tcPr>
          <w:p w14:paraId="26E4A254">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8" w:type="dxa"/>
            <w:noWrap w:val="0"/>
            <w:vAlign w:val="center"/>
          </w:tcPr>
          <w:p w14:paraId="6A2D4982">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7925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151D7DBF">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noWrap w:val="0"/>
            <w:vAlign w:val="center"/>
          </w:tcPr>
          <w:p w14:paraId="7F7A848E">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noWrap w:val="0"/>
            <w:vAlign w:val="center"/>
          </w:tcPr>
          <w:p w14:paraId="2A4393F4">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8" w:type="dxa"/>
            <w:noWrap w:val="0"/>
            <w:vAlign w:val="center"/>
          </w:tcPr>
          <w:p w14:paraId="3FACEA66">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7887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577F9D44">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noWrap w:val="0"/>
            <w:vAlign w:val="center"/>
          </w:tcPr>
          <w:p w14:paraId="77E60FE0">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noWrap w:val="0"/>
            <w:vAlign w:val="center"/>
          </w:tcPr>
          <w:p w14:paraId="48717371">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8" w:type="dxa"/>
            <w:noWrap w:val="0"/>
            <w:vAlign w:val="center"/>
          </w:tcPr>
          <w:p w14:paraId="43571FE0">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48D8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29417394">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noWrap w:val="0"/>
            <w:vAlign w:val="center"/>
          </w:tcPr>
          <w:p w14:paraId="67FF64AC">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noWrap w:val="0"/>
            <w:vAlign w:val="center"/>
          </w:tcPr>
          <w:p w14:paraId="3ADA2257">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8" w:type="dxa"/>
            <w:noWrap w:val="0"/>
            <w:vAlign w:val="center"/>
          </w:tcPr>
          <w:p w14:paraId="20B96BFF">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6670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507179D3">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noWrap w:val="0"/>
            <w:vAlign w:val="center"/>
          </w:tcPr>
          <w:p w14:paraId="45D79279">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noWrap w:val="0"/>
            <w:vAlign w:val="center"/>
          </w:tcPr>
          <w:p w14:paraId="583D7143">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8" w:type="dxa"/>
            <w:noWrap w:val="0"/>
            <w:vAlign w:val="center"/>
          </w:tcPr>
          <w:p w14:paraId="6C43AC49">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3173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6CAFB920">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noWrap w:val="0"/>
            <w:vAlign w:val="center"/>
          </w:tcPr>
          <w:p w14:paraId="401E9642">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noWrap w:val="0"/>
            <w:vAlign w:val="center"/>
          </w:tcPr>
          <w:p w14:paraId="5B5284F6">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8" w:type="dxa"/>
            <w:noWrap w:val="0"/>
            <w:vAlign w:val="center"/>
          </w:tcPr>
          <w:p w14:paraId="0CD6E5BB">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69F3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33166AA7">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noWrap w:val="0"/>
            <w:vAlign w:val="center"/>
          </w:tcPr>
          <w:p w14:paraId="6D620581">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noWrap w:val="0"/>
            <w:vAlign w:val="center"/>
          </w:tcPr>
          <w:p w14:paraId="475149C6">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8" w:type="dxa"/>
            <w:noWrap w:val="0"/>
            <w:vAlign w:val="center"/>
          </w:tcPr>
          <w:p w14:paraId="5B8F75B2">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04CA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2539517B">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noWrap w:val="0"/>
            <w:vAlign w:val="center"/>
          </w:tcPr>
          <w:p w14:paraId="63E929F4">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noWrap w:val="0"/>
            <w:vAlign w:val="center"/>
          </w:tcPr>
          <w:p w14:paraId="64C7D008">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8" w:type="dxa"/>
            <w:noWrap w:val="0"/>
            <w:vAlign w:val="center"/>
          </w:tcPr>
          <w:p w14:paraId="52AA6551">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63BF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389D7525">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noWrap w:val="0"/>
            <w:vAlign w:val="center"/>
          </w:tcPr>
          <w:p w14:paraId="74E30066">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noWrap w:val="0"/>
            <w:vAlign w:val="center"/>
          </w:tcPr>
          <w:p w14:paraId="14A829BD">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8" w:type="dxa"/>
            <w:noWrap w:val="0"/>
            <w:vAlign w:val="center"/>
          </w:tcPr>
          <w:p w14:paraId="6403132B">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2BAF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231CEC3A">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noWrap w:val="0"/>
            <w:vAlign w:val="center"/>
          </w:tcPr>
          <w:p w14:paraId="5EB5E837">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noWrap w:val="0"/>
            <w:vAlign w:val="center"/>
          </w:tcPr>
          <w:p w14:paraId="2D8D8DB3">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8" w:type="dxa"/>
            <w:noWrap w:val="0"/>
            <w:vAlign w:val="center"/>
          </w:tcPr>
          <w:p w14:paraId="11D4EC6D">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0934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2098C301">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noWrap w:val="0"/>
            <w:vAlign w:val="center"/>
          </w:tcPr>
          <w:p w14:paraId="570B5318">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noWrap w:val="0"/>
            <w:vAlign w:val="center"/>
          </w:tcPr>
          <w:p w14:paraId="00387EEA">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8" w:type="dxa"/>
            <w:noWrap w:val="0"/>
            <w:vAlign w:val="center"/>
          </w:tcPr>
          <w:p w14:paraId="4A174417">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1BAD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2F80093A">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969" w:type="dxa"/>
            <w:noWrap w:val="0"/>
            <w:vAlign w:val="center"/>
          </w:tcPr>
          <w:p w14:paraId="62AB6107">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3081" w:type="dxa"/>
            <w:noWrap w:val="0"/>
            <w:vAlign w:val="center"/>
          </w:tcPr>
          <w:p w14:paraId="45F96441">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308" w:type="dxa"/>
            <w:noWrap w:val="0"/>
            <w:vAlign w:val="center"/>
          </w:tcPr>
          <w:p w14:paraId="3CD6D209">
            <w:pPr>
              <w:tabs>
                <w:tab w:val="left" w:pos="6300"/>
              </w:tabs>
              <w:snapToGrid w:val="0"/>
              <w:spacing w:line="500" w:lineRule="exact"/>
              <w:jc w:val="center"/>
              <w:outlineLvl w:val="0"/>
              <w:rPr>
                <w:rFonts w:hint="eastAsia" w:ascii="宋体" w:hAnsi="宋体" w:cs="宋体"/>
                <w:color w:val="auto"/>
                <w:sz w:val="21"/>
                <w:szCs w:val="21"/>
                <w:highlight w:val="none"/>
              </w:rPr>
            </w:pPr>
          </w:p>
        </w:tc>
      </w:tr>
    </w:tbl>
    <w:p w14:paraId="3F17F8DC">
      <w:pPr>
        <w:spacing w:line="500" w:lineRule="exact"/>
        <w:ind w:firstLine="600" w:firstLineChars="250"/>
        <w:rPr>
          <w:rFonts w:hint="eastAsia" w:ascii="宋体" w:hAnsi="宋体" w:cs="宋体"/>
          <w:color w:val="auto"/>
          <w:sz w:val="24"/>
          <w:szCs w:val="28"/>
          <w:highlight w:val="none"/>
        </w:rPr>
      </w:pPr>
      <w:r>
        <w:rPr>
          <w:rFonts w:hint="eastAsia" w:ascii="宋体" w:hAnsi="宋体" w:cs="宋体"/>
          <w:color w:val="auto"/>
          <w:sz w:val="24"/>
          <w:szCs w:val="28"/>
          <w:highlight w:val="none"/>
          <w:lang w:val="en-US" w:eastAsia="zh-CN"/>
        </w:rPr>
        <w:t>竞选人</w:t>
      </w:r>
      <w:r>
        <w:rPr>
          <w:rFonts w:hint="eastAsia" w:ascii="宋体" w:hAnsi="宋体" w:cs="宋体"/>
          <w:color w:val="auto"/>
          <w:sz w:val="24"/>
          <w:szCs w:val="28"/>
          <w:highlight w:val="none"/>
        </w:rPr>
        <w:t>：                            法定代表人或法定代表人授权代表：</w:t>
      </w:r>
    </w:p>
    <w:p w14:paraId="2C84CBD8">
      <w:pPr>
        <w:spacing w:line="500" w:lineRule="exact"/>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w:t>
      </w:r>
      <w:r>
        <w:rPr>
          <w:rFonts w:hint="eastAsia" w:ascii="宋体" w:hAnsi="宋体" w:cs="宋体"/>
          <w:color w:val="auto"/>
          <w:sz w:val="24"/>
          <w:szCs w:val="28"/>
          <w:highlight w:val="none"/>
          <w:lang w:val="en-US" w:eastAsia="zh-CN"/>
        </w:rPr>
        <w:t>竞选</w:t>
      </w:r>
      <w:r>
        <w:rPr>
          <w:rFonts w:hint="eastAsia" w:ascii="宋体" w:hAnsi="宋体" w:cs="宋体"/>
          <w:color w:val="auto"/>
          <w:sz w:val="24"/>
          <w:szCs w:val="28"/>
          <w:highlight w:val="none"/>
          <w:lang w:eastAsia="zh-CN"/>
        </w:rPr>
        <w:t>人</w:t>
      </w:r>
      <w:r>
        <w:rPr>
          <w:rFonts w:hint="eastAsia" w:ascii="宋体" w:hAnsi="宋体" w:cs="宋体"/>
          <w:color w:val="auto"/>
          <w:sz w:val="24"/>
          <w:szCs w:val="28"/>
          <w:highlight w:val="none"/>
        </w:rPr>
        <w:t>公章）                               （签字或盖章）</w:t>
      </w:r>
    </w:p>
    <w:p w14:paraId="58AA391A">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szCs w:val="28"/>
          <w:highlight w:val="none"/>
        </w:rPr>
        <w:t xml:space="preserve">                                            年     月     日</w:t>
      </w:r>
    </w:p>
    <w:p w14:paraId="60E0EE55">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注：</w:t>
      </w:r>
    </w:p>
    <w:p w14:paraId="490D9471">
      <w:pPr>
        <w:tabs>
          <w:tab w:val="left" w:pos="6300"/>
        </w:tabs>
        <w:snapToGrid w:val="0"/>
        <w:spacing w:line="50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1.本表即为对本项目“第三篇 项目商务要求”中所列商务条款进行比较和响应；</w:t>
      </w:r>
    </w:p>
    <w:p w14:paraId="5FCB9D8A">
      <w:pPr>
        <w:tabs>
          <w:tab w:val="left" w:pos="6300"/>
        </w:tabs>
        <w:snapToGrid w:val="0"/>
        <w:spacing w:line="50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2.该表必须按照</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要求逐条如实填写，根据</w:t>
      </w:r>
      <w:r>
        <w:rPr>
          <w:rFonts w:hint="eastAsia" w:ascii="宋体" w:hAnsi="宋体" w:cs="宋体"/>
          <w:color w:val="auto"/>
          <w:sz w:val="24"/>
          <w:szCs w:val="24"/>
          <w:highlight w:val="none"/>
          <w:lang w:eastAsia="zh-CN"/>
        </w:rPr>
        <w:t>竞选</w:t>
      </w:r>
      <w:r>
        <w:rPr>
          <w:rFonts w:hint="eastAsia" w:ascii="宋体" w:hAnsi="宋体" w:cs="宋体"/>
          <w:color w:val="auto"/>
          <w:sz w:val="24"/>
          <w:szCs w:val="24"/>
          <w:highlight w:val="none"/>
        </w:rPr>
        <w:t>情况在“差异说明”项填写正偏离或负偏离，完全符合的填写“无差异”。</w:t>
      </w:r>
    </w:p>
    <w:p w14:paraId="4885C86B">
      <w:pPr>
        <w:tabs>
          <w:tab w:val="left" w:pos="6300"/>
        </w:tabs>
        <w:snapToGrid w:val="0"/>
        <w:spacing w:line="50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3.该表可扩展。</w:t>
      </w:r>
    </w:p>
    <w:p w14:paraId="25ADEE46">
      <w:pPr>
        <w:tabs>
          <w:tab w:val="left" w:pos="6300"/>
        </w:tabs>
        <w:snapToGrid w:val="0"/>
        <w:spacing w:line="500" w:lineRule="exact"/>
        <w:ind w:firstLine="560" w:firstLineChars="200"/>
        <w:outlineLvl w:val="0"/>
        <w:rPr>
          <w:rFonts w:hint="eastAsia" w:ascii="宋体" w:hAnsi="宋体" w:cs="宋体"/>
          <w:color w:val="auto"/>
          <w:highlight w:val="none"/>
        </w:rPr>
      </w:pPr>
      <w:r>
        <w:rPr>
          <w:rFonts w:hint="eastAsia" w:ascii="宋体" w:hAnsi="宋体" w:cs="宋体"/>
          <w:color w:val="auto"/>
          <w:szCs w:val="28"/>
          <w:highlight w:val="none"/>
        </w:rPr>
        <w:br w:type="page"/>
      </w:r>
      <w:r>
        <w:rPr>
          <w:rFonts w:hint="eastAsia" w:ascii="宋体" w:hAnsi="宋体" w:cs="宋体"/>
          <w:color w:val="auto"/>
          <w:highlight w:val="none"/>
        </w:rPr>
        <w:t>（</w:t>
      </w:r>
      <w:r>
        <w:rPr>
          <w:rFonts w:hint="eastAsia" w:ascii="宋体" w:hAnsi="宋体" w:cs="宋体"/>
          <w:color w:val="auto"/>
          <w:highlight w:val="none"/>
          <w:lang w:eastAsia="zh-CN"/>
        </w:rPr>
        <w:t>二</w:t>
      </w:r>
      <w:r>
        <w:rPr>
          <w:rFonts w:hint="eastAsia" w:ascii="宋体" w:hAnsi="宋体" w:cs="宋体"/>
          <w:color w:val="auto"/>
          <w:highlight w:val="none"/>
        </w:rPr>
        <w:t>）</w:t>
      </w:r>
      <w:bookmarkStart w:id="285" w:name="_Toc429584888"/>
      <w:bookmarkStart w:id="286" w:name="_Toc492721041"/>
      <w:r>
        <w:rPr>
          <w:rFonts w:hint="eastAsia" w:ascii="宋体" w:hAnsi="宋体" w:cs="宋体"/>
          <w:color w:val="auto"/>
          <w:highlight w:val="none"/>
        </w:rPr>
        <w:t>得分证明材料（如有）</w:t>
      </w:r>
    </w:p>
    <w:p w14:paraId="2CE54E79">
      <w:pPr>
        <w:pStyle w:val="4"/>
        <w:bidi w:val="0"/>
        <w:rPr>
          <w:rFonts w:hint="eastAsia" w:ascii="宋体" w:hAnsi="宋体" w:cs="宋体"/>
          <w:b/>
          <w:color w:val="auto"/>
          <w:sz w:val="21"/>
          <w:szCs w:val="28"/>
          <w:highlight w:val="none"/>
        </w:rPr>
      </w:pPr>
      <w:r>
        <w:rPr>
          <w:rFonts w:hint="eastAsia" w:ascii="宋体" w:hAnsi="宋体" w:cs="宋体"/>
          <w:b/>
          <w:color w:val="auto"/>
          <w:szCs w:val="28"/>
          <w:highlight w:val="none"/>
        </w:rPr>
        <w:br w:type="page"/>
      </w:r>
      <w:bookmarkEnd w:id="285"/>
      <w:bookmarkEnd w:id="286"/>
      <w:bookmarkStart w:id="287" w:name="_Toc20404"/>
      <w:bookmarkStart w:id="288" w:name="_Toc32767"/>
      <w:r>
        <w:rPr>
          <w:rFonts w:hint="eastAsia" w:ascii="宋体" w:hAnsi="宋体" w:eastAsia="宋体" w:cs="宋体"/>
          <w:b/>
          <w:color w:val="auto"/>
          <w:kern w:val="2"/>
          <w:sz w:val="28"/>
          <w:szCs w:val="28"/>
          <w:highlight w:val="none"/>
          <w:lang w:val="en-US" w:eastAsia="zh-CN" w:bidi="ar-SA"/>
        </w:rPr>
        <w:t>五、其他</w:t>
      </w:r>
      <w:bookmarkEnd w:id="287"/>
      <w:bookmarkEnd w:id="288"/>
    </w:p>
    <w:p w14:paraId="585FCA5E">
      <w:pPr>
        <w:ind w:firstLine="560" w:firstLineChars="200"/>
        <w:jc w:val="left"/>
        <w:rPr>
          <w:rFonts w:hint="eastAsia" w:ascii="宋体" w:hAnsi="宋体" w:cs="宋体"/>
          <w:color w:val="auto"/>
          <w:highlight w:val="none"/>
        </w:rPr>
      </w:pPr>
      <w:r>
        <w:rPr>
          <w:rFonts w:hint="eastAsia" w:ascii="宋体" w:hAnsi="宋体" w:cs="宋体"/>
          <w:color w:val="auto"/>
          <w:highlight w:val="none"/>
        </w:rPr>
        <w:t>其他与项目有关的资料（自附）</w:t>
      </w:r>
    </w:p>
    <w:p w14:paraId="33D0AB1A">
      <w:pPr>
        <w:tabs>
          <w:tab w:val="left" w:pos="6300"/>
        </w:tabs>
        <w:snapToGrid w:val="0"/>
        <w:spacing w:line="500" w:lineRule="exact"/>
        <w:rPr>
          <w:rFonts w:hint="eastAsia" w:ascii="宋体" w:hAnsi="宋体" w:cs="宋体"/>
          <w:color w:val="auto"/>
          <w:highlight w:val="none"/>
        </w:rPr>
      </w:pPr>
    </w:p>
    <w:p w14:paraId="2B9BDFFD">
      <w:pPr>
        <w:tabs>
          <w:tab w:val="left" w:pos="6300"/>
        </w:tabs>
        <w:snapToGrid w:val="0"/>
        <w:spacing w:line="500" w:lineRule="exact"/>
        <w:ind w:firstLine="570"/>
        <w:jc w:val="left"/>
        <w:rPr>
          <w:rFonts w:hint="eastAsia" w:ascii="宋体" w:hAnsi="宋体" w:cs="宋体"/>
          <w:color w:val="auto"/>
          <w:sz w:val="24"/>
          <w:highlight w:val="none"/>
        </w:rPr>
      </w:pPr>
    </w:p>
    <w:p w14:paraId="23B65FD3">
      <w:pPr>
        <w:tabs>
          <w:tab w:val="left" w:pos="6300"/>
        </w:tabs>
        <w:snapToGrid w:val="0"/>
        <w:spacing w:line="500" w:lineRule="exact"/>
        <w:ind w:firstLine="570"/>
        <w:jc w:val="left"/>
        <w:rPr>
          <w:rFonts w:hint="eastAsia" w:ascii="宋体" w:hAnsi="宋体" w:cs="宋体"/>
          <w:color w:val="auto"/>
          <w:sz w:val="24"/>
          <w:highlight w:val="none"/>
        </w:rPr>
      </w:pPr>
    </w:p>
    <w:p w14:paraId="3850E320">
      <w:pPr>
        <w:tabs>
          <w:tab w:val="left" w:pos="6300"/>
        </w:tabs>
        <w:snapToGrid w:val="0"/>
        <w:spacing w:line="500" w:lineRule="exact"/>
        <w:ind w:firstLine="570"/>
        <w:jc w:val="left"/>
        <w:rPr>
          <w:rFonts w:hint="eastAsia" w:ascii="宋体" w:hAnsi="宋体" w:cs="宋体"/>
          <w:color w:val="auto"/>
          <w:sz w:val="24"/>
          <w:highlight w:val="none"/>
        </w:rPr>
      </w:pPr>
    </w:p>
    <w:p w14:paraId="0759627A">
      <w:pPr>
        <w:tabs>
          <w:tab w:val="left" w:pos="6300"/>
        </w:tabs>
        <w:snapToGrid w:val="0"/>
        <w:spacing w:line="500" w:lineRule="exact"/>
        <w:ind w:firstLine="570"/>
        <w:jc w:val="left"/>
        <w:rPr>
          <w:rFonts w:hint="eastAsia" w:ascii="宋体" w:hAnsi="宋体" w:cs="宋体"/>
          <w:color w:val="auto"/>
          <w:sz w:val="24"/>
          <w:highlight w:val="none"/>
        </w:rPr>
      </w:pPr>
    </w:p>
    <w:p w14:paraId="3ECAFDB0">
      <w:pPr>
        <w:tabs>
          <w:tab w:val="left" w:pos="6300"/>
        </w:tabs>
        <w:snapToGrid w:val="0"/>
        <w:spacing w:line="500" w:lineRule="exact"/>
        <w:ind w:firstLine="570"/>
        <w:jc w:val="left"/>
        <w:rPr>
          <w:rFonts w:hint="eastAsia" w:ascii="宋体" w:hAnsi="宋体" w:cs="宋体"/>
          <w:color w:val="auto"/>
          <w:sz w:val="24"/>
          <w:highlight w:val="none"/>
        </w:rPr>
      </w:pPr>
    </w:p>
    <w:p w14:paraId="0DC26002">
      <w:pPr>
        <w:tabs>
          <w:tab w:val="left" w:pos="6300"/>
        </w:tabs>
        <w:snapToGrid w:val="0"/>
        <w:spacing w:line="500" w:lineRule="exact"/>
        <w:ind w:firstLine="570"/>
        <w:jc w:val="left"/>
        <w:rPr>
          <w:rFonts w:hint="eastAsia" w:ascii="宋体" w:hAnsi="宋体" w:cs="宋体"/>
          <w:color w:val="auto"/>
          <w:sz w:val="24"/>
          <w:highlight w:val="none"/>
        </w:rPr>
      </w:pPr>
    </w:p>
    <w:p w14:paraId="7F1ECADA">
      <w:pPr>
        <w:tabs>
          <w:tab w:val="left" w:pos="6300"/>
        </w:tabs>
        <w:snapToGrid w:val="0"/>
        <w:spacing w:line="500" w:lineRule="exact"/>
        <w:ind w:firstLine="570"/>
        <w:jc w:val="left"/>
        <w:rPr>
          <w:rFonts w:hint="eastAsia" w:ascii="宋体" w:hAnsi="宋体" w:cs="宋体"/>
          <w:color w:val="auto"/>
          <w:sz w:val="24"/>
          <w:highlight w:val="none"/>
        </w:rPr>
      </w:pPr>
    </w:p>
    <w:p w14:paraId="16933E29">
      <w:pPr>
        <w:tabs>
          <w:tab w:val="left" w:pos="6300"/>
        </w:tabs>
        <w:snapToGrid w:val="0"/>
        <w:spacing w:line="500" w:lineRule="exact"/>
        <w:ind w:firstLine="570"/>
        <w:jc w:val="left"/>
        <w:rPr>
          <w:rFonts w:hint="eastAsia" w:ascii="宋体" w:hAnsi="宋体" w:cs="宋体"/>
          <w:color w:val="auto"/>
          <w:sz w:val="24"/>
          <w:highlight w:val="none"/>
        </w:rPr>
      </w:pPr>
    </w:p>
    <w:p w14:paraId="71A5AC00">
      <w:pPr>
        <w:tabs>
          <w:tab w:val="left" w:pos="6300"/>
        </w:tabs>
        <w:snapToGrid w:val="0"/>
        <w:spacing w:line="500" w:lineRule="exact"/>
        <w:ind w:firstLine="570"/>
        <w:jc w:val="left"/>
        <w:rPr>
          <w:rFonts w:hint="eastAsia" w:ascii="宋体" w:hAnsi="宋体" w:cs="宋体"/>
          <w:color w:val="auto"/>
          <w:sz w:val="24"/>
          <w:highlight w:val="none"/>
        </w:rPr>
      </w:pPr>
    </w:p>
    <w:p w14:paraId="1990BC86">
      <w:pPr>
        <w:tabs>
          <w:tab w:val="left" w:pos="6300"/>
        </w:tabs>
        <w:snapToGrid w:val="0"/>
        <w:spacing w:line="500" w:lineRule="exact"/>
        <w:ind w:firstLine="570"/>
        <w:jc w:val="left"/>
        <w:rPr>
          <w:rFonts w:hint="eastAsia" w:ascii="宋体" w:hAnsi="宋体" w:cs="宋体"/>
          <w:color w:val="auto"/>
          <w:sz w:val="24"/>
          <w:highlight w:val="none"/>
        </w:rPr>
      </w:pPr>
    </w:p>
    <w:p w14:paraId="256B63F2">
      <w:pPr>
        <w:tabs>
          <w:tab w:val="left" w:pos="6300"/>
        </w:tabs>
        <w:snapToGrid w:val="0"/>
        <w:spacing w:line="500" w:lineRule="exact"/>
        <w:ind w:firstLine="570"/>
        <w:jc w:val="left"/>
        <w:rPr>
          <w:rFonts w:hint="eastAsia" w:ascii="宋体" w:hAnsi="宋体" w:cs="宋体"/>
          <w:color w:val="auto"/>
          <w:sz w:val="24"/>
          <w:highlight w:val="none"/>
        </w:rPr>
      </w:pPr>
    </w:p>
    <w:p w14:paraId="18B7FAD3">
      <w:pPr>
        <w:tabs>
          <w:tab w:val="left" w:pos="6300"/>
        </w:tabs>
        <w:snapToGrid w:val="0"/>
        <w:spacing w:line="500" w:lineRule="exact"/>
        <w:ind w:firstLine="570"/>
        <w:jc w:val="left"/>
        <w:rPr>
          <w:rFonts w:hint="eastAsia" w:ascii="宋体" w:hAnsi="宋体" w:cs="宋体"/>
          <w:color w:val="auto"/>
          <w:sz w:val="24"/>
          <w:highlight w:val="none"/>
        </w:rPr>
      </w:pPr>
    </w:p>
    <w:p w14:paraId="23C589E7">
      <w:pPr>
        <w:tabs>
          <w:tab w:val="left" w:pos="6300"/>
        </w:tabs>
        <w:snapToGrid w:val="0"/>
        <w:spacing w:line="500" w:lineRule="exact"/>
        <w:ind w:firstLine="570"/>
        <w:jc w:val="left"/>
        <w:rPr>
          <w:rFonts w:hint="eastAsia" w:ascii="宋体" w:hAnsi="宋体" w:cs="宋体"/>
          <w:color w:val="auto"/>
          <w:sz w:val="24"/>
          <w:highlight w:val="none"/>
        </w:rPr>
      </w:pPr>
    </w:p>
    <w:p w14:paraId="7ED318FC">
      <w:pPr>
        <w:tabs>
          <w:tab w:val="left" w:pos="6300"/>
        </w:tabs>
        <w:snapToGrid w:val="0"/>
        <w:spacing w:line="500" w:lineRule="exact"/>
        <w:ind w:firstLine="570"/>
        <w:jc w:val="left"/>
        <w:rPr>
          <w:rFonts w:hint="eastAsia" w:ascii="宋体" w:hAnsi="宋体" w:cs="宋体"/>
          <w:color w:val="auto"/>
          <w:sz w:val="24"/>
          <w:highlight w:val="none"/>
        </w:rPr>
      </w:pPr>
    </w:p>
    <w:p w14:paraId="477ECE12">
      <w:pPr>
        <w:tabs>
          <w:tab w:val="left" w:pos="6300"/>
        </w:tabs>
        <w:snapToGrid w:val="0"/>
        <w:spacing w:line="500" w:lineRule="exact"/>
        <w:ind w:firstLine="570"/>
        <w:jc w:val="left"/>
        <w:rPr>
          <w:rFonts w:hint="eastAsia" w:ascii="宋体" w:hAnsi="宋体" w:cs="宋体"/>
          <w:color w:val="auto"/>
          <w:sz w:val="24"/>
          <w:highlight w:val="none"/>
        </w:rPr>
      </w:pPr>
    </w:p>
    <w:p w14:paraId="53FBBEEC">
      <w:pPr>
        <w:tabs>
          <w:tab w:val="left" w:pos="6300"/>
        </w:tabs>
        <w:snapToGrid w:val="0"/>
        <w:spacing w:line="500" w:lineRule="exact"/>
        <w:ind w:firstLine="570"/>
        <w:jc w:val="left"/>
        <w:rPr>
          <w:rFonts w:hint="eastAsia" w:ascii="宋体" w:hAnsi="宋体" w:cs="宋体"/>
          <w:color w:val="auto"/>
          <w:sz w:val="24"/>
          <w:highlight w:val="none"/>
        </w:rPr>
      </w:pPr>
    </w:p>
    <w:p w14:paraId="4EF3E3A8">
      <w:pPr>
        <w:tabs>
          <w:tab w:val="left" w:pos="6300"/>
        </w:tabs>
        <w:snapToGrid w:val="0"/>
        <w:spacing w:line="500" w:lineRule="exact"/>
        <w:ind w:firstLine="570"/>
        <w:jc w:val="left"/>
        <w:rPr>
          <w:rFonts w:hint="eastAsia" w:ascii="宋体" w:hAnsi="宋体" w:cs="宋体"/>
          <w:color w:val="auto"/>
          <w:sz w:val="24"/>
          <w:highlight w:val="none"/>
        </w:rPr>
      </w:pPr>
    </w:p>
    <w:p w14:paraId="7BA58DCA">
      <w:pPr>
        <w:pStyle w:val="56"/>
        <w:ind w:left="0" w:leftChars="0" w:firstLine="0" w:firstLineChars="0"/>
        <w:rPr>
          <w:rFonts w:hint="eastAsia" w:ascii="宋体" w:hAnsi="宋体" w:cs="宋体"/>
          <w:color w:val="auto"/>
          <w:sz w:val="24"/>
          <w:highlight w:val="none"/>
        </w:rPr>
      </w:pPr>
    </w:p>
    <w:p w14:paraId="42448698">
      <w:pPr>
        <w:pStyle w:val="56"/>
        <w:rPr>
          <w:rFonts w:hint="eastAsia" w:ascii="宋体" w:hAnsi="宋体" w:cs="宋体"/>
          <w:color w:val="auto"/>
          <w:sz w:val="24"/>
          <w:highlight w:val="none"/>
        </w:rPr>
      </w:pPr>
    </w:p>
    <w:p w14:paraId="3B0E685A">
      <w:pPr>
        <w:tabs>
          <w:tab w:val="left" w:pos="6300"/>
        </w:tabs>
        <w:snapToGrid w:val="0"/>
        <w:spacing w:line="500" w:lineRule="exact"/>
        <w:ind w:firstLine="570"/>
        <w:jc w:val="left"/>
        <w:rPr>
          <w:rFonts w:hint="eastAsia" w:ascii="宋体" w:hAnsi="宋体" w:cs="宋体"/>
          <w:color w:val="auto"/>
          <w:sz w:val="24"/>
          <w:highlight w:val="none"/>
        </w:rPr>
      </w:pPr>
    </w:p>
    <w:p w14:paraId="02F099A8">
      <w:pPr>
        <w:tabs>
          <w:tab w:val="left" w:pos="6300"/>
        </w:tabs>
        <w:snapToGrid w:val="0"/>
        <w:spacing w:line="500" w:lineRule="exact"/>
        <w:jc w:val="center"/>
        <w:rPr>
          <w:rFonts w:hint="eastAsia" w:ascii="宋体" w:hAnsi="宋体" w:cs="宋体"/>
          <w:color w:val="auto"/>
          <w:highlight w:val="none"/>
        </w:rPr>
      </w:pPr>
      <w:r>
        <w:rPr>
          <w:rFonts w:hint="eastAsia" w:ascii="宋体" w:hAnsi="宋体" w:cs="宋体"/>
          <w:color w:val="auto"/>
          <w:highlight w:val="none"/>
        </w:rPr>
        <w:t>（结束）</w:t>
      </w:r>
    </w:p>
    <w:sectPr>
      <w:pgSz w:w="11907" w:h="16840"/>
      <w:pgMar w:top="1134" w:right="1191" w:bottom="1134" w:left="1304" w:header="964"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9FC340-40A3-4A6B-8DBD-D91F6FA6DD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昆仑楷体">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20B060901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embedRegular r:id="rId2" w:fontKey="{ED5FE171-8A1A-41BF-8908-712F307E7A31}"/>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C12C">
    <w:pPr>
      <w:pStyle w:val="36"/>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271CFEEE">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17476">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FDEEE">
    <w:pPr>
      <w:pStyle w:val="36"/>
      <w:rPr>
        <w:rFonts w:hint="eastAsia"/>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7F971">
    <w:pPr>
      <w:pStyle w:val="3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C0E45">
    <w:pPr>
      <w:pStyle w:val="36"/>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73879">
                          <w:pPr>
                            <w:pStyle w:val="3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273879">
                    <w:pPr>
                      <w:pStyle w:val="3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06D98">
    <w:pPr>
      <w:pStyle w:val="37"/>
      <w:jc w:val="both"/>
      <w:rPr>
        <w:rFonts w:hint="eastAsia" w:ascii="方正仿宋_GBK" w:eastAsia="方正仿宋_GBK"/>
        <w:sz w:val="21"/>
        <w:szCs w:val="21"/>
      </w:rPr>
    </w:pPr>
    <w:r>
      <w:rPr>
        <w:rFonts w:hint="eastAsia" w:ascii="宋体" w:hAnsi="宋体" w:cs="宋体"/>
        <w:sz w:val="21"/>
        <w:szCs w:val="21"/>
        <w:lang w:eastAsia="zh-CN"/>
      </w:rPr>
      <w:t>重庆合越达工程管理有限公司</w:t>
    </w:r>
    <w:r>
      <w:rPr>
        <w:rFonts w:hint="eastAsia" w:ascii="宋体" w:hAnsi="宋体" w:cs="宋体"/>
        <w:sz w:val="21"/>
        <w:szCs w:val="21"/>
      </w:rPr>
      <w:t xml:space="preserve">                                                 竞争性</w:t>
    </w:r>
    <w:r>
      <w:rPr>
        <w:rFonts w:hint="eastAsia" w:ascii="宋体" w:hAnsi="宋体" w:cs="宋体"/>
        <w:sz w:val="21"/>
        <w:szCs w:val="21"/>
        <w:lang w:eastAsia="zh-CN"/>
      </w:rPr>
      <w:t>比选</w:t>
    </w:r>
    <w:r>
      <w:rPr>
        <w:rFonts w:hint="eastAsia" w:ascii="宋体" w:hAnsi="宋体" w:cs="宋体"/>
        <w:sz w:val="21"/>
        <w:szCs w:val="21"/>
      </w:rPr>
      <w:t>文件</w:t>
    </w:r>
  </w:p>
  <w:p w14:paraId="4E2C51DE">
    <w:pPr>
      <w:pStyle w:val="37"/>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D2630">
    <w:pPr>
      <w:pStyle w:val="37"/>
      <w:jc w:val="both"/>
      <w:rPr>
        <w:rFonts w:hint="eastAsia" w:ascii="方正仿宋_GBK" w:eastAsia="方正仿宋_GBK"/>
        <w:sz w:val="21"/>
        <w:szCs w:val="24"/>
      </w:rPr>
    </w:pPr>
    <w:r>
      <w:rPr>
        <w:rFonts w:hint="eastAsia" w:ascii="宋体" w:hAnsi="宋体" w:cs="宋体"/>
        <w:sz w:val="21"/>
        <w:szCs w:val="21"/>
        <w:lang w:eastAsia="zh-CN"/>
      </w:rPr>
      <w:t>重庆合越达工程管理有限公司</w:t>
    </w:r>
    <w:r>
      <w:rPr>
        <w:rFonts w:hint="eastAsia" w:ascii="宋体" w:hAnsi="宋体" w:cs="宋体"/>
        <w:sz w:val="21"/>
        <w:szCs w:val="21"/>
      </w:rPr>
      <w:t xml:space="preserve">                                                 竞争性</w:t>
    </w:r>
    <w:r>
      <w:rPr>
        <w:rFonts w:hint="eastAsia" w:ascii="宋体" w:hAnsi="宋体" w:cs="宋体"/>
        <w:sz w:val="21"/>
        <w:szCs w:val="21"/>
        <w:lang w:eastAsia="zh-CN"/>
      </w:rPr>
      <w:t>比选</w:t>
    </w:r>
    <w:r>
      <w:rPr>
        <w:rFonts w:hint="eastAsia" w:ascii="宋体" w:hAnsi="宋体" w:cs="宋体"/>
        <w:sz w:val="21"/>
        <w:szCs w:val="21"/>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340772"/>
    <w:multiLevelType w:val="singleLevel"/>
    <w:tmpl w:val="A7340772"/>
    <w:lvl w:ilvl="0" w:tentative="0">
      <w:start w:val="3"/>
      <w:numFmt w:val="decimal"/>
      <w:suff w:val="nothing"/>
      <w:lvlText w:val="%1、"/>
      <w:lvlJc w:val="left"/>
    </w:lvl>
  </w:abstractNum>
  <w:abstractNum w:abstractNumId="1">
    <w:nsid w:val="00000003"/>
    <w:multiLevelType w:val="singleLevel"/>
    <w:tmpl w:val="00000003"/>
    <w:lvl w:ilvl="0" w:tentative="0">
      <w:start w:val="1"/>
      <w:numFmt w:val="decimal"/>
      <w:pStyle w:val="14"/>
      <w:lvlText w:val="%1."/>
      <w:lvlJc w:val="left"/>
      <w:pPr>
        <w:tabs>
          <w:tab w:val="left" w:pos="780"/>
        </w:tabs>
        <w:ind w:left="780" w:hanging="360"/>
      </w:pPr>
    </w:lvl>
  </w:abstractNum>
  <w:abstractNum w:abstractNumId="2">
    <w:nsid w:val="00000005"/>
    <w:multiLevelType w:val="multilevel"/>
    <w:tmpl w:val="00000005"/>
    <w:lvl w:ilvl="0" w:tentative="0">
      <w:start w:val="1"/>
      <w:numFmt w:val="bullet"/>
      <w:pStyle w:val="230"/>
      <w:lvlText w:val=""/>
      <w:lvlJc w:val="left"/>
      <w:pPr>
        <w:tabs>
          <w:tab w:val="left" w:pos="980"/>
        </w:tabs>
        <w:ind w:left="980" w:hanging="360"/>
      </w:pPr>
      <w:rPr>
        <w:rFonts w:hint="default" w:ascii="Wingdings" w:hAnsi="Wingdings"/>
      </w:rPr>
    </w:lvl>
    <w:lvl w:ilvl="1" w:tentative="0">
      <w:start w:val="1"/>
      <w:numFmt w:val="bullet"/>
      <w:pStyle w:val="111"/>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3">
    <w:nsid w:val="00000006"/>
    <w:multiLevelType w:val="singleLevel"/>
    <w:tmpl w:val="00000006"/>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4">
    <w:nsid w:val="00000007"/>
    <w:multiLevelType w:val="multilevel"/>
    <w:tmpl w:val="00000007"/>
    <w:lvl w:ilvl="0" w:tentative="0">
      <w:start w:val="1"/>
      <w:numFmt w:val="bullet"/>
      <w:pStyle w:val="203"/>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8"/>
    <w:multiLevelType w:val="multilevel"/>
    <w:tmpl w:val="00000008"/>
    <w:lvl w:ilvl="0" w:tentative="0">
      <w:start w:val="1"/>
      <w:numFmt w:val="chineseCountingThousand"/>
      <w:pStyle w:val="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9"/>
    <w:multiLevelType w:val="multilevel"/>
    <w:tmpl w:val="00000009"/>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5"/>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0000000A"/>
    <w:multiLevelType w:val="multilevel"/>
    <w:tmpl w:val="0000000A"/>
    <w:lvl w:ilvl="0" w:tentative="0">
      <w:start w:val="8"/>
      <w:numFmt w:val="decimal"/>
      <w:pStyle w:val="114"/>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174"/>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0000012"/>
    <w:multiLevelType w:val="singleLevel"/>
    <w:tmpl w:val="00000012"/>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9">
    <w:nsid w:val="00000013"/>
    <w:multiLevelType w:val="multilevel"/>
    <w:tmpl w:val="00000013"/>
    <w:lvl w:ilvl="0" w:tentative="0">
      <w:start w:val="1"/>
      <w:numFmt w:val="bullet"/>
      <w:pStyle w:val="192"/>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5"/>
    <w:multiLevelType w:val="multilevel"/>
    <w:tmpl w:val="00000015"/>
    <w:lvl w:ilvl="0" w:tentative="0">
      <w:start w:val="1"/>
      <w:numFmt w:val="decimal"/>
      <w:pStyle w:val="126"/>
      <w:lvlText w:val="(%1)"/>
      <w:lvlJc w:val="left"/>
      <w:pPr>
        <w:tabs>
          <w:tab w:val="left" w:pos="397"/>
        </w:tabs>
        <w:ind w:left="397" w:hanging="397"/>
      </w:pPr>
      <w:rPr>
        <w:rFonts w:hint="default" w:ascii="Arial" w:hAnsi="Arial" w:eastAsia="宋体"/>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6"/>
    <w:multiLevelType w:val="singleLevel"/>
    <w:tmpl w:val="00000016"/>
    <w:lvl w:ilvl="0" w:tentative="0">
      <w:start w:val="1"/>
      <w:numFmt w:val="bullet"/>
      <w:pStyle w:val="155"/>
      <w:lvlText w:val=""/>
      <w:lvlJc w:val="left"/>
      <w:pPr>
        <w:tabs>
          <w:tab w:val="left" w:pos="360"/>
        </w:tabs>
        <w:ind w:left="360" w:hanging="360"/>
      </w:pPr>
      <w:rPr>
        <w:rFonts w:hint="default" w:ascii="Wingdings" w:hAnsi="Wingdings"/>
      </w:rPr>
    </w:lvl>
  </w:abstractNum>
  <w:abstractNum w:abstractNumId="12">
    <w:nsid w:val="00000017"/>
    <w:multiLevelType w:val="singleLevel"/>
    <w:tmpl w:val="00000017"/>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13">
    <w:nsid w:val="00000019"/>
    <w:multiLevelType w:val="singleLevel"/>
    <w:tmpl w:val="00000019"/>
    <w:lvl w:ilvl="0" w:tentative="0">
      <w:start w:val="1"/>
      <w:numFmt w:val="decimal"/>
      <w:pStyle w:val="129"/>
      <w:lvlText w:val="%1)"/>
      <w:lvlJc w:val="left"/>
      <w:pPr>
        <w:tabs>
          <w:tab w:val="left" w:pos="425"/>
        </w:tabs>
        <w:ind w:left="425" w:hanging="425"/>
      </w:pPr>
      <w:rPr>
        <w:rFonts w:hint="eastAsia"/>
      </w:rPr>
    </w:lvl>
  </w:abstractNum>
  <w:abstractNum w:abstractNumId="14">
    <w:nsid w:val="0000001A"/>
    <w:multiLevelType w:val="multilevel"/>
    <w:tmpl w:val="0000001A"/>
    <w:lvl w:ilvl="0" w:tentative="0">
      <w:start w:val="1"/>
      <w:numFmt w:val="decimal"/>
      <w:pStyle w:val="13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1D"/>
    <w:multiLevelType w:val="multilevel"/>
    <w:tmpl w:val="0000001D"/>
    <w:lvl w:ilvl="0" w:tentative="0">
      <w:start w:val="1"/>
      <w:numFmt w:val="chineseCountingThousand"/>
      <w:pStyle w:val="228"/>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AC2F0EF"/>
    <w:multiLevelType w:val="singleLevel"/>
    <w:tmpl w:val="0AC2F0EF"/>
    <w:lvl w:ilvl="0" w:tentative="0">
      <w:start w:val="2"/>
      <w:numFmt w:val="decimal"/>
      <w:suff w:val="space"/>
      <w:lvlText w:val="%1."/>
      <w:lvlJc w:val="left"/>
    </w:lvl>
  </w:abstractNum>
  <w:num w:numId="1">
    <w:abstractNumId w:val="5"/>
  </w:num>
  <w:num w:numId="2">
    <w:abstractNumId w:val="1"/>
  </w:num>
  <w:num w:numId="3">
    <w:abstractNumId w:val="3"/>
  </w:num>
  <w:num w:numId="4">
    <w:abstractNumId w:val="12"/>
  </w:num>
  <w:num w:numId="5">
    <w:abstractNumId w:val="8"/>
  </w:num>
  <w:num w:numId="6">
    <w:abstractNumId w:val="2"/>
  </w:num>
  <w:num w:numId="7">
    <w:abstractNumId w:val="7"/>
  </w:num>
  <w:num w:numId="8">
    <w:abstractNumId w:val="6"/>
  </w:num>
  <w:num w:numId="9">
    <w:abstractNumId w:val="10"/>
  </w:num>
  <w:num w:numId="10">
    <w:abstractNumId w:val="13"/>
  </w:num>
  <w:num w:numId="11">
    <w:abstractNumId w:val="14"/>
  </w:num>
  <w:num w:numId="12">
    <w:abstractNumId w:val="11"/>
  </w:num>
  <w:num w:numId="13">
    <w:abstractNumId w:val="9"/>
  </w:num>
  <w:num w:numId="14">
    <w:abstractNumId w:val="4"/>
  </w:num>
  <w:num w:numId="15">
    <w:abstractNumId w:val="15"/>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M2QxYjAwMjEzODAyMjdlNDIzOTI3ZDJkODRjNDEifQ=="/>
  </w:docVars>
  <w:rsids>
    <w:rsidRoot w:val="00172A27"/>
    <w:rsid w:val="00000479"/>
    <w:rsid w:val="000014DB"/>
    <w:rsid w:val="00004E02"/>
    <w:rsid w:val="00006F7B"/>
    <w:rsid w:val="000072F0"/>
    <w:rsid w:val="00011AF1"/>
    <w:rsid w:val="00011EC0"/>
    <w:rsid w:val="00013DAB"/>
    <w:rsid w:val="00015E54"/>
    <w:rsid w:val="000169B3"/>
    <w:rsid w:val="00020335"/>
    <w:rsid w:val="0002053F"/>
    <w:rsid w:val="00020E01"/>
    <w:rsid w:val="00021209"/>
    <w:rsid w:val="00021946"/>
    <w:rsid w:val="00021B7A"/>
    <w:rsid w:val="00022F71"/>
    <w:rsid w:val="000244A3"/>
    <w:rsid w:val="00025C8E"/>
    <w:rsid w:val="000266A1"/>
    <w:rsid w:val="0003075E"/>
    <w:rsid w:val="0003257F"/>
    <w:rsid w:val="0003282A"/>
    <w:rsid w:val="00034A67"/>
    <w:rsid w:val="00034B02"/>
    <w:rsid w:val="00035AA7"/>
    <w:rsid w:val="00036465"/>
    <w:rsid w:val="0003767C"/>
    <w:rsid w:val="000376BA"/>
    <w:rsid w:val="000419A4"/>
    <w:rsid w:val="00042250"/>
    <w:rsid w:val="00043311"/>
    <w:rsid w:val="00044C4F"/>
    <w:rsid w:val="000479BB"/>
    <w:rsid w:val="00052276"/>
    <w:rsid w:val="00052AC5"/>
    <w:rsid w:val="000548E3"/>
    <w:rsid w:val="00054BCC"/>
    <w:rsid w:val="000555EF"/>
    <w:rsid w:val="00056058"/>
    <w:rsid w:val="00057565"/>
    <w:rsid w:val="00060807"/>
    <w:rsid w:val="00061B3F"/>
    <w:rsid w:val="00064EA7"/>
    <w:rsid w:val="0006572E"/>
    <w:rsid w:val="0006614D"/>
    <w:rsid w:val="00066E2F"/>
    <w:rsid w:val="0006738D"/>
    <w:rsid w:val="00067519"/>
    <w:rsid w:val="00070752"/>
    <w:rsid w:val="00071594"/>
    <w:rsid w:val="000723A6"/>
    <w:rsid w:val="000728C3"/>
    <w:rsid w:val="00075520"/>
    <w:rsid w:val="00075E9D"/>
    <w:rsid w:val="00076336"/>
    <w:rsid w:val="00076347"/>
    <w:rsid w:val="0007664F"/>
    <w:rsid w:val="00084631"/>
    <w:rsid w:val="00084AAA"/>
    <w:rsid w:val="000852E5"/>
    <w:rsid w:val="00086E0D"/>
    <w:rsid w:val="000901C4"/>
    <w:rsid w:val="000911A6"/>
    <w:rsid w:val="000946BD"/>
    <w:rsid w:val="00094D91"/>
    <w:rsid w:val="0009549B"/>
    <w:rsid w:val="00096F33"/>
    <w:rsid w:val="00097825"/>
    <w:rsid w:val="000A11F1"/>
    <w:rsid w:val="000A15F7"/>
    <w:rsid w:val="000A3134"/>
    <w:rsid w:val="000A4082"/>
    <w:rsid w:val="000A4B40"/>
    <w:rsid w:val="000A5589"/>
    <w:rsid w:val="000A6A63"/>
    <w:rsid w:val="000B05C5"/>
    <w:rsid w:val="000B2716"/>
    <w:rsid w:val="000B2CF3"/>
    <w:rsid w:val="000B3660"/>
    <w:rsid w:val="000B45E1"/>
    <w:rsid w:val="000B537D"/>
    <w:rsid w:val="000B7999"/>
    <w:rsid w:val="000C06D1"/>
    <w:rsid w:val="000C089B"/>
    <w:rsid w:val="000C0EB1"/>
    <w:rsid w:val="000C1CF6"/>
    <w:rsid w:val="000C2017"/>
    <w:rsid w:val="000C2306"/>
    <w:rsid w:val="000C2606"/>
    <w:rsid w:val="000C37EE"/>
    <w:rsid w:val="000C4016"/>
    <w:rsid w:val="000C4574"/>
    <w:rsid w:val="000C47BC"/>
    <w:rsid w:val="000C4D3D"/>
    <w:rsid w:val="000C5389"/>
    <w:rsid w:val="000C7B07"/>
    <w:rsid w:val="000C7FF1"/>
    <w:rsid w:val="000D28BD"/>
    <w:rsid w:val="000D297A"/>
    <w:rsid w:val="000D2CAF"/>
    <w:rsid w:val="000D568F"/>
    <w:rsid w:val="000D5BF4"/>
    <w:rsid w:val="000D66BE"/>
    <w:rsid w:val="000E14D0"/>
    <w:rsid w:val="000E1A53"/>
    <w:rsid w:val="000E2626"/>
    <w:rsid w:val="000E32C9"/>
    <w:rsid w:val="000E43DC"/>
    <w:rsid w:val="000E6331"/>
    <w:rsid w:val="000F1472"/>
    <w:rsid w:val="000F16AA"/>
    <w:rsid w:val="000F176A"/>
    <w:rsid w:val="000F29B2"/>
    <w:rsid w:val="000F30CC"/>
    <w:rsid w:val="000F3783"/>
    <w:rsid w:val="000F390E"/>
    <w:rsid w:val="000F391C"/>
    <w:rsid w:val="000F482B"/>
    <w:rsid w:val="001000D7"/>
    <w:rsid w:val="00101851"/>
    <w:rsid w:val="00101A48"/>
    <w:rsid w:val="0010362C"/>
    <w:rsid w:val="0010698B"/>
    <w:rsid w:val="001103D7"/>
    <w:rsid w:val="00110AA3"/>
    <w:rsid w:val="0011162B"/>
    <w:rsid w:val="00111819"/>
    <w:rsid w:val="0011194D"/>
    <w:rsid w:val="00112522"/>
    <w:rsid w:val="001125BF"/>
    <w:rsid w:val="001127E0"/>
    <w:rsid w:val="00113C81"/>
    <w:rsid w:val="001149B6"/>
    <w:rsid w:val="00115095"/>
    <w:rsid w:val="00116D8E"/>
    <w:rsid w:val="0012012E"/>
    <w:rsid w:val="001206B2"/>
    <w:rsid w:val="0012297F"/>
    <w:rsid w:val="00122FAE"/>
    <w:rsid w:val="001256A8"/>
    <w:rsid w:val="001273AE"/>
    <w:rsid w:val="0012798B"/>
    <w:rsid w:val="00130941"/>
    <w:rsid w:val="001329C4"/>
    <w:rsid w:val="00134E6D"/>
    <w:rsid w:val="00135250"/>
    <w:rsid w:val="0014045A"/>
    <w:rsid w:val="001407F6"/>
    <w:rsid w:val="00141D8D"/>
    <w:rsid w:val="001444AC"/>
    <w:rsid w:val="00145D2B"/>
    <w:rsid w:val="00146F24"/>
    <w:rsid w:val="001500D4"/>
    <w:rsid w:val="0015081D"/>
    <w:rsid w:val="0015271E"/>
    <w:rsid w:val="001528E5"/>
    <w:rsid w:val="00153940"/>
    <w:rsid w:val="00154F6F"/>
    <w:rsid w:val="00155297"/>
    <w:rsid w:val="00157B34"/>
    <w:rsid w:val="00161645"/>
    <w:rsid w:val="00162E78"/>
    <w:rsid w:val="00163576"/>
    <w:rsid w:val="001639F0"/>
    <w:rsid w:val="00165D21"/>
    <w:rsid w:val="00165E01"/>
    <w:rsid w:val="00166B5B"/>
    <w:rsid w:val="00175520"/>
    <w:rsid w:val="001767A8"/>
    <w:rsid w:val="001806BA"/>
    <w:rsid w:val="00180A81"/>
    <w:rsid w:val="00181419"/>
    <w:rsid w:val="001814B7"/>
    <w:rsid w:val="0018194D"/>
    <w:rsid w:val="00181AFE"/>
    <w:rsid w:val="00183811"/>
    <w:rsid w:val="001852D4"/>
    <w:rsid w:val="001864B0"/>
    <w:rsid w:val="00186A28"/>
    <w:rsid w:val="00187134"/>
    <w:rsid w:val="00187F68"/>
    <w:rsid w:val="00191EDB"/>
    <w:rsid w:val="00193934"/>
    <w:rsid w:val="0019396C"/>
    <w:rsid w:val="00195BAD"/>
    <w:rsid w:val="001961B5"/>
    <w:rsid w:val="00197B4A"/>
    <w:rsid w:val="00197D7B"/>
    <w:rsid w:val="001A006A"/>
    <w:rsid w:val="001A06A7"/>
    <w:rsid w:val="001A0940"/>
    <w:rsid w:val="001A39A8"/>
    <w:rsid w:val="001A4064"/>
    <w:rsid w:val="001A4391"/>
    <w:rsid w:val="001A53A9"/>
    <w:rsid w:val="001A58F4"/>
    <w:rsid w:val="001A599A"/>
    <w:rsid w:val="001B1305"/>
    <w:rsid w:val="001B166D"/>
    <w:rsid w:val="001B2781"/>
    <w:rsid w:val="001B4A20"/>
    <w:rsid w:val="001B4EF7"/>
    <w:rsid w:val="001B6E34"/>
    <w:rsid w:val="001B72F2"/>
    <w:rsid w:val="001C08B0"/>
    <w:rsid w:val="001C2080"/>
    <w:rsid w:val="001C5088"/>
    <w:rsid w:val="001C6A1E"/>
    <w:rsid w:val="001C6A2B"/>
    <w:rsid w:val="001D3224"/>
    <w:rsid w:val="001D3B7E"/>
    <w:rsid w:val="001E0782"/>
    <w:rsid w:val="001E1438"/>
    <w:rsid w:val="001E2617"/>
    <w:rsid w:val="001E2892"/>
    <w:rsid w:val="001E2993"/>
    <w:rsid w:val="001E33A8"/>
    <w:rsid w:val="001E3CB1"/>
    <w:rsid w:val="001E4934"/>
    <w:rsid w:val="001E4F32"/>
    <w:rsid w:val="001E67E5"/>
    <w:rsid w:val="001E6D38"/>
    <w:rsid w:val="001E7195"/>
    <w:rsid w:val="001F07F7"/>
    <w:rsid w:val="001F109D"/>
    <w:rsid w:val="001F1B54"/>
    <w:rsid w:val="001F21F3"/>
    <w:rsid w:val="001F27E7"/>
    <w:rsid w:val="001F2CAB"/>
    <w:rsid w:val="001F381D"/>
    <w:rsid w:val="001F4B77"/>
    <w:rsid w:val="001F5A8A"/>
    <w:rsid w:val="001F6E3F"/>
    <w:rsid w:val="001F707E"/>
    <w:rsid w:val="001F709D"/>
    <w:rsid w:val="0020184F"/>
    <w:rsid w:val="00201A09"/>
    <w:rsid w:val="00207232"/>
    <w:rsid w:val="002101B3"/>
    <w:rsid w:val="0021206C"/>
    <w:rsid w:val="00213479"/>
    <w:rsid w:val="00213791"/>
    <w:rsid w:val="00214A17"/>
    <w:rsid w:val="00215BFC"/>
    <w:rsid w:val="0021649F"/>
    <w:rsid w:val="00217C0F"/>
    <w:rsid w:val="00220225"/>
    <w:rsid w:val="00223B03"/>
    <w:rsid w:val="00224922"/>
    <w:rsid w:val="0022626D"/>
    <w:rsid w:val="0022640C"/>
    <w:rsid w:val="0022711C"/>
    <w:rsid w:val="00227651"/>
    <w:rsid w:val="00230675"/>
    <w:rsid w:val="00230CE6"/>
    <w:rsid w:val="002320E8"/>
    <w:rsid w:val="00233AFE"/>
    <w:rsid w:val="00236735"/>
    <w:rsid w:val="00236E09"/>
    <w:rsid w:val="00237468"/>
    <w:rsid w:val="00240113"/>
    <w:rsid w:val="00241B91"/>
    <w:rsid w:val="002435D0"/>
    <w:rsid w:val="00243765"/>
    <w:rsid w:val="00243F8F"/>
    <w:rsid w:val="00244300"/>
    <w:rsid w:val="00246E8A"/>
    <w:rsid w:val="002474A9"/>
    <w:rsid w:val="00252999"/>
    <w:rsid w:val="00252E9D"/>
    <w:rsid w:val="0025308A"/>
    <w:rsid w:val="0025601D"/>
    <w:rsid w:val="00257257"/>
    <w:rsid w:val="00257FF1"/>
    <w:rsid w:val="002606E2"/>
    <w:rsid w:val="00261327"/>
    <w:rsid w:val="002619B5"/>
    <w:rsid w:val="00261D69"/>
    <w:rsid w:val="00262267"/>
    <w:rsid w:val="00262CB5"/>
    <w:rsid w:val="00263797"/>
    <w:rsid w:val="002638B1"/>
    <w:rsid w:val="002638E5"/>
    <w:rsid w:val="00263F00"/>
    <w:rsid w:val="00264A68"/>
    <w:rsid w:val="00265244"/>
    <w:rsid w:val="00266BCA"/>
    <w:rsid w:val="002719D6"/>
    <w:rsid w:val="00271C41"/>
    <w:rsid w:val="00272ED6"/>
    <w:rsid w:val="00275F04"/>
    <w:rsid w:val="002802C2"/>
    <w:rsid w:val="0028066C"/>
    <w:rsid w:val="00282995"/>
    <w:rsid w:val="00282E57"/>
    <w:rsid w:val="00282F44"/>
    <w:rsid w:val="00282F6A"/>
    <w:rsid w:val="002833CF"/>
    <w:rsid w:val="002867E1"/>
    <w:rsid w:val="0029022C"/>
    <w:rsid w:val="00293471"/>
    <w:rsid w:val="002A008C"/>
    <w:rsid w:val="002A0576"/>
    <w:rsid w:val="002A0598"/>
    <w:rsid w:val="002A2093"/>
    <w:rsid w:val="002A6925"/>
    <w:rsid w:val="002A78DC"/>
    <w:rsid w:val="002B21AB"/>
    <w:rsid w:val="002B26F0"/>
    <w:rsid w:val="002B31D4"/>
    <w:rsid w:val="002B32DB"/>
    <w:rsid w:val="002B5732"/>
    <w:rsid w:val="002C0003"/>
    <w:rsid w:val="002C07DE"/>
    <w:rsid w:val="002C3680"/>
    <w:rsid w:val="002C5C0E"/>
    <w:rsid w:val="002C5ECF"/>
    <w:rsid w:val="002C658C"/>
    <w:rsid w:val="002C6836"/>
    <w:rsid w:val="002C7F2B"/>
    <w:rsid w:val="002D0B6C"/>
    <w:rsid w:val="002D128B"/>
    <w:rsid w:val="002D2F75"/>
    <w:rsid w:val="002D3086"/>
    <w:rsid w:val="002D336A"/>
    <w:rsid w:val="002D36E9"/>
    <w:rsid w:val="002E0FB6"/>
    <w:rsid w:val="002E1597"/>
    <w:rsid w:val="002E2816"/>
    <w:rsid w:val="002E3FCA"/>
    <w:rsid w:val="002E41DF"/>
    <w:rsid w:val="002E6DFA"/>
    <w:rsid w:val="002F0405"/>
    <w:rsid w:val="002F1086"/>
    <w:rsid w:val="002F1557"/>
    <w:rsid w:val="002F5EEF"/>
    <w:rsid w:val="002F7E4C"/>
    <w:rsid w:val="003000AD"/>
    <w:rsid w:val="00301FF8"/>
    <w:rsid w:val="00302447"/>
    <w:rsid w:val="003055FB"/>
    <w:rsid w:val="00305972"/>
    <w:rsid w:val="00305F51"/>
    <w:rsid w:val="00306CC5"/>
    <w:rsid w:val="003074ED"/>
    <w:rsid w:val="003075D9"/>
    <w:rsid w:val="003078AE"/>
    <w:rsid w:val="00310677"/>
    <w:rsid w:val="003144DF"/>
    <w:rsid w:val="00316C9A"/>
    <w:rsid w:val="00317BBE"/>
    <w:rsid w:val="00320DB9"/>
    <w:rsid w:val="00321104"/>
    <w:rsid w:val="003220FF"/>
    <w:rsid w:val="003231A8"/>
    <w:rsid w:val="003251C7"/>
    <w:rsid w:val="00326AE6"/>
    <w:rsid w:val="00327203"/>
    <w:rsid w:val="00327355"/>
    <w:rsid w:val="00331597"/>
    <w:rsid w:val="003340BB"/>
    <w:rsid w:val="003355D0"/>
    <w:rsid w:val="00335B3F"/>
    <w:rsid w:val="003431D8"/>
    <w:rsid w:val="00344FF3"/>
    <w:rsid w:val="00346D5A"/>
    <w:rsid w:val="00347CE1"/>
    <w:rsid w:val="00350F6A"/>
    <w:rsid w:val="00351459"/>
    <w:rsid w:val="00351CCF"/>
    <w:rsid w:val="00353A8D"/>
    <w:rsid w:val="00355E5A"/>
    <w:rsid w:val="00357BB3"/>
    <w:rsid w:val="003606E0"/>
    <w:rsid w:val="003622F7"/>
    <w:rsid w:val="003622F9"/>
    <w:rsid w:val="003657B2"/>
    <w:rsid w:val="00366AF5"/>
    <w:rsid w:val="0036756E"/>
    <w:rsid w:val="0037002C"/>
    <w:rsid w:val="003709C5"/>
    <w:rsid w:val="00370BB4"/>
    <w:rsid w:val="00370BF4"/>
    <w:rsid w:val="0037169E"/>
    <w:rsid w:val="00372145"/>
    <w:rsid w:val="0037245D"/>
    <w:rsid w:val="00372DC7"/>
    <w:rsid w:val="00374946"/>
    <w:rsid w:val="003754CD"/>
    <w:rsid w:val="00375B6A"/>
    <w:rsid w:val="00375B89"/>
    <w:rsid w:val="00376370"/>
    <w:rsid w:val="00380667"/>
    <w:rsid w:val="00383C9F"/>
    <w:rsid w:val="003846F7"/>
    <w:rsid w:val="00386295"/>
    <w:rsid w:val="0038635F"/>
    <w:rsid w:val="003902F6"/>
    <w:rsid w:val="00392A5E"/>
    <w:rsid w:val="003930AF"/>
    <w:rsid w:val="00394100"/>
    <w:rsid w:val="00395D77"/>
    <w:rsid w:val="003968A8"/>
    <w:rsid w:val="003A0937"/>
    <w:rsid w:val="003A4636"/>
    <w:rsid w:val="003A669F"/>
    <w:rsid w:val="003A6A32"/>
    <w:rsid w:val="003A79F7"/>
    <w:rsid w:val="003B0033"/>
    <w:rsid w:val="003B26FA"/>
    <w:rsid w:val="003B2994"/>
    <w:rsid w:val="003B35D0"/>
    <w:rsid w:val="003B643A"/>
    <w:rsid w:val="003B6554"/>
    <w:rsid w:val="003B727B"/>
    <w:rsid w:val="003C10E9"/>
    <w:rsid w:val="003C2D04"/>
    <w:rsid w:val="003C3995"/>
    <w:rsid w:val="003C593D"/>
    <w:rsid w:val="003C5F41"/>
    <w:rsid w:val="003D0698"/>
    <w:rsid w:val="003D0992"/>
    <w:rsid w:val="003D169F"/>
    <w:rsid w:val="003D1857"/>
    <w:rsid w:val="003D1F45"/>
    <w:rsid w:val="003D335E"/>
    <w:rsid w:val="003D51B5"/>
    <w:rsid w:val="003D5982"/>
    <w:rsid w:val="003D6FF0"/>
    <w:rsid w:val="003E0904"/>
    <w:rsid w:val="003E0A18"/>
    <w:rsid w:val="003E39B8"/>
    <w:rsid w:val="003E554C"/>
    <w:rsid w:val="003E581D"/>
    <w:rsid w:val="003E5E95"/>
    <w:rsid w:val="003E68DA"/>
    <w:rsid w:val="003E699F"/>
    <w:rsid w:val="003E70FB"/>
    <w:rsid w:val="003E7ABF"/>
    <w:rsid w:val="003F2CFF"/>
    <w:rsid w:val="003F2DDF"/>
    <w:rsid w:val="003F4600"/>
    <w:rsid w:val="003F4F4E"/>
    <w:rsid w:val="003F5BC7"/>
    <w:rsid w:val="003F7665"/>
    <w:rsid w:val="004006D8"/>
    <w:rsid w:val="0040154D"/>
    <w:rsid w:val="00402607"/>
    <w:rsid w:val="00404257"/>
    <w:rsid w:val="00404747"/>
    <w:rsid w:val="004054C9"/>
    <w:rsid w:val="00406EFD"/>
    <w:rsid w:val="00407616"/>
    <w:rsid w:val="0040799A"/>
    <w:rsid w:val="0041006C"/>
    <w:rsid w:val="00410766"/>
    <w:rsid w:val="00410D92"/>
    <w:rsid w:val="00411C41"/>
    <w:rsid w:val="00412662"/>
    <w:rsid w:val="004144BF"/>
    <w:rsid w:val="004157DD"/>
    <w:rsid w:val="00415899"/>
    <w:rsid w:val="004173C0"/>
    <w:rsid w:val="004176D2"/>
    <w:rsid w:val="00420EBB"/>
    <w:rsid w:val="00420FC9"/>
    <w:rsid w:val="0042105B"/>
    <w:rsid w:val="00421FE4"/>
    <w:rsid w:val="00422860"/>
    <w:rsid w:val="00425990"/>
    <w:rsid w:val="00425B08"/>
    <w:rsid w:val="00425C65"/>
    <w:rsid w:val="0042618B"/>
    <w:rsid w:val="004262A6"/>
    <w:rsid w:val="004262D9"/>
    <w:rsid w:val="0042684C"/>
    <w:rsid w:val="00426C55"/>
    <w:rsid w:val="00426CB2"/>
    <w:rsid w:val="0042774A"/>
    <w:rsid w:val="004338B7"/>
    <w:rsid w:val="00434202"/>
    <w:rsid w:val="004350E5"/>
    <w:rsid w:val="00436C86"/>
    <w:rsid w:val="0044196B"/>
    <w:rsid w:val="00442474"/>
    <w:rsid w:val="0044361E"/>
    <w:rsid w:val="00443757"/>
    <w:rsid w:val="00443DF3"/>
    <w:rsid w:val="004446CE"/>
    <w:rsid w:val="00446B28"/>
    <w:rsid w:val="00450D5F"/>
    <w:rsid w:val="0045181E"/>
    <w:rsid w:val="00451FB9"/>
    <w:rsid w:val="00454511"/>
    <w:rsid w:val="004557DB"/>
    <w:rsid w:val="004558F5"/>
    <w:rsid w:val="0045590E"/>
    <w:rsid w:val="00456E17"/>
    <w:rsid w:val="00460D50"/>
    <w:rsid w:val="00462A3C"/>
    <w:rsid w:val="00462D63"/>
    <w:rsid w:val="00464863"/>
    <w:rsid w:val="00466D5A"/>
    <w:rsid w:val="004670D2"/>
    <w:rsid w:val="00467345"/>
    <w:rsid w:val="00473B6F"/>
    <w:rsid w:val="00475385"/>
    <w:rsid w:val="0047562B"/>
    <w:rsid w:val="00477B67"/>
    <w:rsid w:val="00481B5C"/>
    <w:rsid w:val="00483329"/>
    <w:rsid w:val="00483910"/>
    <w:rsid w:val="0048396B"/>
    <w:rsid w:val="00485174"/>
    <w:rsid w:val="0048592B"/>
    <w:rsid w:val="00485F62"/>
    <w:rsid w:val="00486EC6"/>
    <w:rsid w:val="00487CDA"/>
    <w:rsid w:val="0049042C"/>
    <w:rsid w:val="00491019"/>
    <w:rsid w:val="004915E3"/>
    <w:rsid w:val="00491AED"/>
    <w:rsid w:val="00495A81"/>
    <w:rsid w:val="004978F0"/>
    <w:rsid w:val="004A0052"/>
    <w:rsid w:val="004A0793"/>
    <w:rsid w:val="004A0CA7"/>
    <w:rsid w:val="004A2306"/>
    <w:rsid w:val="004A2476"/>
    <w:rsid w:val="004A263F"/>
    <w:rsid w:val="004A5BBC"/>
    <w:rsid w:val="004A688F"/>
    <w:rsid w:val="004A75DF"/>
    <w:rsid w:val="004B1497"/>
    <w:rsid w:val="004B159F"/>
    <w:rsid w:val="004B2831"/>
    <w:rsid w:val="004B2BC5"/>
    <w:rsid w:val="004B2E03"/>
    <w:rsid w:val="004B4A2C"/>
    <w:rsid w:val="004B5C33"/>
    <w:rsid w:val="004B6CA6"/>
    <w:rsid w:val="004B7F36"/>
    <w:rsid w:val="004B7F7F"/>
    <w:rsid w:val="004B7FE0"/>
    <w:rsid w:val="004C1FC5"/>
    <w:rsid w:val="004C2A6E"/>
    <w:rsid w:val="004C2E77"/>
    <w:rsid w:val="004C411A"/>
    <w:rsid w:val="004C52E3"/>
    <w:rsid w:val="004C6D00"/>
    <w:rsid w:val="004D009E"/>
    <w:rsid w:val="004D021B"/>
    <w:rsid w:val="004D0C83"/>
    <w:rsid w:val="004D32AF"/>
    <w:rsid w:val="004D4740"/>
    <w:rsid w:val="004E0174"/>
    <w:rsid w:val="004E0781"/>
    <w:rsid w:val="004E18AF"/>
    <w:rsid w:val="004E257E"/>
    <w:rsid w:val="004E405B"/>
    <w:rsid w:val="004E414A"/>
    <w:rsid w:val="004F1010"/>
    <w:rsid w:val="004F2721"/>
    <w:rsid w:val="004F2BA7"/>
    <w:rsid w:val="00500E9B"/>
    <w:rsid w:val="005016D9"/>
    <w:rsid w:val="0050253D"/>
    <w:rsid w:val="00502629"/>
    <w:rsid w:val="00503149"/>
    <w:rsid w:val="005032D1"/>
    <w:rsid w:val="0050518F"/>
    <w:rsid w:val="005055F6"/>
    <w:rsid w:val="00506F4A"/>
    <w:rsid w:val="005102E2"/>
    <w:rsid w:val="00511CB1"/>
    <w:rsid w:val="00511EE3"/>
    <w:rsid w:val="00512C2F"/>
    <w:rsid w:val="00513CBD"/>
    <w:rsid w:val="00513DEA"/>
    <w:rsid w:val="00515415"/>
    <w:rsid w:val="00522FA5"/>
    <w:rsid w:val="005259D1"/>
    <w:rsid w:val="00525E4A"/>
    <w:rsid w:val="005265FD"/>
    <w:rsid w:val="00526C0A"/>
    <w:rsid w:val="005310BE"/>
    <w:rsid w:val="005310E4"/>
    <w:rsid w:val="005316F9"/>
    <w:rsid w:val="0053343F"/>
    <w:rsid w:val="00533F51"/>
    <w:rsid w:val="00535C90"/>
    <w:rsid w:val="00536251"/>
    <w:rsid w:val="00536907"/>
    <w:rsid w:val="0053716F"/>
    <w:rsid w:val="005375CE"/>
    <w:rsid w:val="005378DE"/>
    <w:rsid w:val="00537C42"/>
    <w:rsid w:val="0054015F"/>
    <w:rsid w:val="00541231"/>
    <w:rsid w:val="0054232A"/>
    <w:rsid w:val="00542E37"/>
    <w:rsid w:val="005431F5"/>
    <w:rsid w:val="0054457B"/>
    <w:rsid w:val="00546521"/>
    <w:rsid w:val="00546C36"/>
    <w:rsid w:val="0055311C"/>
    <w:rsid w:val="00554709"/>
    <w:rsid w:val="00561D06"/>
    <w:rsid w:val="00563C0C"/>
    <w:rsid w:val="00563C7A"/>
    <w:rsid w:val="005645D3"/>
    <w:rsid w:val="005663BA"/>
    <w:rsid w:val="00566C37"/>
    <w:rsid w:val="00566CBB"/>
    <w:rsid w:val="00572CFB"/>
    <w:rsid w:val="00573239"/>
    <w:rsid w:val="00575908"/>
    <w:rsid w:val="00575D33"/>
    <w:rsid w:val="0057610B"/>
    <w:rsid w:val="00581E1F"/>
    <w:rsid w:val="00582B73"/>
    <w:rsid w:val="00583A49"/>
    <w:rsid w:val="0058540B"/>
    <w:rsid w:val="0058626D"/>
    <w:rsid w:val="00587496"/>
    <w:rsid w:val="00590085"/>
    <w:rsid w:val="00590822"/>
    <w:rsid w:val="005943B0"/>
    <w:rsid w:val="00594A7D"/>
    <w:rsid w:val="005963E8"/>
    <w:rsid w:val="00596A78"/>
    <w:rsid w:val="005A1054"/>
    <w:rsid w:val="005A18A4"/>
    <w:rsid w:val="005A19DA"/>
    <w:rsid w:val="005A360D"/>
    <w:rsid w:val="005A4766"/>
    <w:rsid w:val="005A6846"/>
    <w:rsid w:val="005A7181"/>
    <w:rsid w:val="005A7BA0"/>
    <w:rsid w:val="005B1105"/>
    <w:rsid w:val="005B1829"/>
    <w:rsid w:val="005B2A51"/>
    <w:rsid w:val="005B3903"/>
    <w:rsid w:val="005B5D00"/>
    <w:rsid w:val="005B5DE5"/>
    <w:rsid w:val="005B5FAC"/>
    <w:rsid w:val="005B61ED"/>
    <w:rsid w:val="005C00AC"/>
    <w:rsid w:val="005C2F7D"/>
    <w:rsid w:val="005C4345"/>
    <w:rsid w:val="005C466D"/>
    <w:rsid w:val="005C4AD0"/>
    <w:rsid w:val="005C51C0"/>
    <w:rsid w:val="005C789B"/>
    <w:rsid w:val="005D2366"/>
    <w:rsid w:val="005D2F52"/>
    <w:rsid w:val="005D2FED"/>
    <w:rsid w:val="005D351E"/>
    <w:rsid w:val="005D3D47"/>
    <w:rsid w:val="005D4261"/>
    <w:rsid w:val="005D4E6B"/>
    <w:rsid w:val="005D5B32"/>
    <w:rsid w:val="005D7525"/>
    <w:rsid w:val="005E117E"/>
    <w:rsid w:val="005E12B4"/>
    <w:rsid w:val="005E1ABD"/>
    <w:rsid w:val="005E1CF8"/>
    <w:rsid w:val="005E2910"/>
    <w:rsid w:val="005E63F3"/>
    <w:rsid w:val="005E7B12"/>
    <w:rsid w:val="005E7BCC"/>
    <w:rsid w:val="005F3B3F"/>
    <w:rsid w:val="005F5262"/>
    <w:rsid w:val="005F65A7"/>
    <w:rsid w:val="00600DF2"/>
    <w:rsid w:val="00601283"/>
    <w:rsid w:val="006016E0"/>
    <w:rsid w:val="006027F8"/>
    <w:rsid w:val="006031D1"/>
    <w:rsid w:val="0060469C"/>
    <w:rsid w:val="00606612"/>
    <w:rsid w:val="006069DE"/>
    <w:rsid w:val="00611D71"/>
    <w:rsid w:val="00615082"/>
    <w:rsid w:val="00616EC6"/>
    <w:rsid w:val="00616F2A"/>
    <w:rsid w:val="006173E6"/>
    <w:rsid w:val="00617FA7"/>
    <w:rsid w:val="00620672"/>
    <w:rsid w:val="006209F1"/>
    <w:rsid w:val="006225C9"/>
    <w:rsid w:val="00625A1E"/>
    <w:rsid w:val="006265B2"/>
    <w:rsid w:val="00627B60"/>
    <w:rsid w:val="00630E0F"/>
    <w:rsid w:val="00630F83"/>
    <w:rsid w:val="00633632"/>
    <w:rsid w:val="00633B08"/>
    <w:rsid w:val="006341BD"/>
    <w:rsid w:val="006347BE"/>
    <w:rsid w:val="00634D23"/>
    <w:rsid w:val="00635159"/>
    <w:rsid w:val="006355A9"/>
    <w:rsid w:val="00636376"/>
    <w:rsid w:val="00636C1F"/>
    <w:rsid w:val="00636C67"/>
    <w:rsid w:val="00637410"/>
    <w:rsid w:val="00637E20"/>
    <w:rsid w:val="006416B9"/>
    <w:rsid w:val="00641FD5"/>
    <w:rsid w:val="0064263E"/>
    <w:rsid w:val="006426F7"/>
    <w:rsid w:val="0064330C"/>
    <w:rsid w:val="00644C70"/>
    <w:rsid w:val="006452D5"/>
    <w:rsid w:val="006456C7"/>
    <w:rsid w:val="00646D8F"/>
    <w:rsid w:val="00650CEA"/>
    <w:rsid w:val="00653FC4"/>
    <w:rsid w:val="00654615"/>
    <w:rsid w:val="00655231"/>
    <w:rsid w:val="006554C7"/>
    <w:rsid w:val="00655645"/>
    <w:rsid w:val="006558D7"/>
    <w:rsid w:val="00655CB3"/>
    <w:rsid w:val="00656760"/>
    <w:rsid w:val="006609A1"/>
    <w:rsid w:val="00662357"/>
    <w:rsid w:val="006629C6"/>
    <w:rsid w:val="00663B11"/>
    <w:rsid w:val="00664D6E"/>
    <w:rsid w:val="00665ADC"/>
    <w:rsid w:val="006661A4"/>
    <w:rsid w:val="00666B11"/>
    <w:rsid w:val="0066764A"/>
    <w:rsid w:val="0067293D"/>
    <w:rsid w:val="006752A0"/>
    <w:rsid w:val="00675735"/>
    <w:rsid w:val="006759E0"/>
    <w:rsid w:val="00675E52"/>
    <w:rsid w:val="006774DD"/>
    <w:rsid w:val="006800A2"/>
    <w:rsid w:val="00680CC4"/>
    <w:rsid w:val="00680EEC"/>
    <w:rsid w:val="0068128E"/>
    <w:rsid w:val="00683021"/>
    <w:rsid w:val="006830A1"/>
    <w:rsid w:val="0068367F"/>
    <w:rsid w:val="00683DDF"/>
    <w:rsid w:val="00686598"/>
    <w:rsid w:val="00686A3F"/>
    <w:rsid w:val="00687999"/>
    <w:rsid w:val="00687DE9"/>
    <w:rsid w:val="00687F73"/>
    <w:rsid w:val="006917C8"/>
    <w:rsid w:val="00692295"/>
    <w:rsid w:val="006931D7"/>
    <w:rsid w:val="006935C5"/>
    <w:rsid w:val="00695E50"/>
    <w:rsid w:val="00696EEA"/>
    <w:rsid w:val="006A0741"/>
    <w:rsid w:val="006A0B45"/>
    <w:rsid w:val="006A3257"/>
    <w:rsid w:val="006A3DC1"/>
    <w:rsid w:val="006A5644"/>
    <w:rsid w:val="006A5EF4"/>
    <w:rsid w:val="006A696E"/>
    <w:rsid w:val="006A71EB"/>
    <w:rsid w:val="006A7635"/>
    <w:rsid w:val="006B009E"/>
    <w:rsid w:val="006B1C4C"/>
    <w:rsid w:val="006B319D"/>
    <w:rsid w:val="006B4021"/>
    <w:rsid w:val="006B4097"/>
    <w:rsid w:val="006B6EC5"/>
    <w:rsid w:val="006B7E69"/>
    <w:rsid w:val="006C03FF"/>
    <w:rsid w:val="006C32BC"/>
    <w:rsid w:val="006C364A"/>
    <w:rsid w:val="006C4663"/>
    <w:rsid w:val="006C4D2A"/>
    <w:rsid w:val="006C5411"/>
    <w:rsid w:val="006C5AAA"/>
    <w:rsid w:val="006C6A4B"/>
    <w:rsid w:val="006C7755"/>
    <w:rsid w:val="006D1E36"/>
    <w:rsid w:val="006D3608"/>
    <w:rsid w:val="006D3828"/>
    <w:rsid w:val="006D3BA8"/>
    <w:rsid w:val="006D46F0"/>
    <w:rsid w:val="006D7125"/>
    <w:rsid w:val="006E016E"/>
    <w:rsid w:val="006E1550"/>
    <w:rsid w:val="006E2F2B"/>
    <w:rsid w:val="006E3559"/>
    <w:rsid w:val="006E5759"/>
    <w:rsid w:val="006F1A60"/>
    <w:rsid w:val="006F2E9B"/>
    <w:rsid w:val="006F7B0F"/>
    <w:rsid w:val="006F7F8E"/>
    <w:rsid w:val="00701E8B"/>
    <w:rsid w:val="00705A0B"/>
    <w:rsid w:val="007070E3"/>
    <w:rsid w:val="007101F0"/>
    <w:rsid w:val="00711731"/>
    <w:rsid w:val="00711845"/>
    <w:rsid w:val="00712012"/>
    <w:rsid w:val="00716DD4"/>
    <w:rsid w:val="00717D8B"/>
    <w:rsid w:val="00725BB6"/>
    <w:rsid w:val="007267FB"/>
    <w:rsid w:val="00726CCC"/>
    <w:rsid w:val="00727554"/>
    <w:rsid w:val="00730019"/>
    <w:rsid w:val="00730722"/>
    <w:rsid w:val="00730AB1"/>
    <w:rsid w:val="00731E6E"/>
    <w:rsid w:val="00733B6B"/>
    <w:rsid w:val="0073466F"/>
    <w:rsid w:val="00734E55"/>
    <w:rsid w:val="00735BA5"/>
    <w:rsid w:val="00737032"/>
    <w:rsid w:val="00740B7B"/>
    <w:rsid w:val="00742F59"/>
    <w:rsid w:val="007431AD"/>
    <w:rsid w:val="007440E6"/>
    <w:rsid w:val="00744374"/>
    <w:rsid w:val="007445DB"/>
    <w:rsid w:val="00745F6E"/>
    <w:rsid w:val="00746414"/>
    <w:rsid w:val="007559B3"/>
    <w:rsid w:val="00756A4D"/>
    <w:rsid w:val="007570BB"/>
    <w:rsid w:val="00757139"/>
    <w:rsid w:val="007613AA"/>
    <w:rsid w:val="007615A8"/>
    <w:rsid w:val="007619F1"/>
    <w:rsid w:val="00761E7F"/>
    <w:rsid w:val="007629D1"/>
    <w:rsid w:val="007641FC"/>
    <w:rsid w:val="0076463D"/>
    <w:rsid w:val="00765EEB"/>
    <w:rsid w:val="0076668D"/>
    <w:rsid w:val="00766C2E"/>
    <w:rsid w:val="00767C31"/>
    <w:rsid w:val="007750E2"/>
    <w:rsid w:val="00775303"/>
    <w:rsid w:val="0077586D"/>
    <w:rsid w:val="00780883"/>
    <w:rsid w:val="00781A63"/>
    <w:rsid w:val="00781E90"/>
    <w:rsid w:val="00784097"/>
    <w:rsid w:val="007843B7"/>
    <w:rsid w:val="007849C7"/>
    <w:rsid w:val="00784CE4"/>
    <w:rsid w:val="007859FF"/>
    <w:rsid w:val="00785BF4"/>
    <w:rsid w:val="00787304"/>
    <w:rsid w:val="007901A5"/>
    <w:rsid w:val="00790422"/>
    <w:rsid w:val="0079150F"/>
    <w:rsid w:val="0079188F"/>
    <w:rsid w:val="00791D3D"/>
    <w:rsid w:val="00793F0B"/>
    <w:rsid w:val="007953B5"/>
    <w:rsid w:val="007977A7"/>
    <w:rsid w:val="007A1958"/>
    <w:rsid w:val="007A1D16"/>
    <w:rsid w:val="007A4D8F"/>
    <w:rsid w:val="007A6589"/>
    <w:rsid w:val="007A7CD9"/>
    <w:rsid w:val="007B08DC"/>
    <w:rsid w:val="007B12C5"/>
    <w:rsid w:val="007B16BE"/>
    <w:rsid w:val="007B313E"/>
    <w:rsid w:val="007B346A"/>
    <w:rsid w:val="007B3832"/>
    <w:rsid w:val="007B4360"/>
    <w:rsid w:val="007B4DC9"/>
    <w:rsid w:val="007B6CDF"/>
    <w:rsid w:val="007C241F"/>
    <w:rsid w:val="007C394F"/>
    <w:rsid w:val="007C7056"/>
    <w:rsid w:val="007C7FA8"/>
    <w:rsid w:val="007D38F9"/>
    <w:rsid w:val="007D5328"/>
    <w:rsid w:val="007E0353"/>
    <w:rsid w:val="007E081F"/>
    <w:rsid w:val="007E0AA3"/>
    <w:rsid w:val="007E0FF7"/>
    <w:rsid w:val="007E1C5C"/>
    <w:rsid w:val="007E521C"/>
    <w:rsid w:val="007E7604"/>
    <w:rsid w:val="007F0ED0"/>
    <w:rsid w:val="007F0F10"/>
    <w:rsid w:val="007F13DC"/>
    <w:rsid w:val="007F1CA9"/>
    <w:rsid w:val="007F251F"/>
    <w:rsid w:val="007F2D84"/>
    <w:rsid w:val="007F396F"/>
    <w:rsid w:val="007F3ED7"/>
    <w:rsid w:val="007F4318"/>
    <w:rsid w:val="007F6123"/>
    <w:rsid w:val="007F7728"/>
    <w:rsid w:val="008001B6"/>
    <w:rsid w:val="00800A7E"/>
    <w:rsid w:val="00804C4D"/>
    <w:rsid w:val="00805E84"/>
    <w:rsid w:val="00810596"/>
    <w:rsid w:val="00813DCB"/>
    <w:rsid w:val="00816374"/>
    <w:rsid w:val="00816B59"/>
    <w:rsid w:val="00817467"/>
    <w:rsid w:val="008179D0"/>
    <w:rsid w:val="00820E09"/>
    <w:rsid w:val="00821000"/>
    <w:rsid w:val="008214A4"/>
    <w:rsid w:val="008217BE"/>
    <w:rsid w:val="00822952"/>
    <w:rsid w:val="00823323"/>
    <w:rsid w:val="00823F06"/>
    <w:rsid w:val="008259B1"/>
    <w:rsid w:val="00825E3B"/>
    <w:rsid w:val="00830EE4"/>
    <w:rsid w:val="00831DEF"/>
    <w:rsid w:val="0083206E"/>
    <w:rsid w:val="008356FF"/>
    <w:rsid w:val="00836907"/>
    <w:rsid w:val="00837924"/>
    <w:rsid w:val="00837B07"/>
    <w:rsid w:val="00837B6A"/>
    <w:rsid w:val="008402DC"/>
    <w:rsid w:val="00841A10"/>
    <w:rsid w:val="0084235F"/>
    <w:rsid w:val="0084441C"/>
    <w:rsid w:val="00844CBE"/>
    <w:rsid w:val="00845878"/>
    <w:rsid w:val="00847436"/>
    <w:rsid w:val="00847A3D"/>
    <w:rsid w:val="00850495"/>
    <w:rsid w:val="00850EC5"/>
    <w:rsid w:val="00851796"/>
    <w:rsid w:val="00852041"/>
    <w:rsid w:val="00852CCF"/>
    <w:rsid w:val="00853695"/>
    <w:rsid w:val="00856416"/>
    <w:rsid w:val="0086093E"/>
    <w:rsid w:val="00860FA0"/>
    <w:rsid w:val="00863965"/>
    <w:rsid w:val="00863F53"/>
    <w:rsid w:val="008656ED"/>
    <w:rsid w:val="0087113C"/>
    <w:rsid w:val="008727E5"/>
    <w:rsid w:val="00872CE0"/>
    <w:rsid w:val="00873E1B"/>
    <w:rsid w:val="0087738E"/>
    <w:rsid w:val="008805E7"/>
    <w:rsid w:val="00880F9A"/>
    <w:rsid w:val="00881904"/>
    <w:rsid w:val="00882D3D"/>
    <w:rsid w:val="00884E93"/>
    <w:rsid w:val="00885219"/>
    <w:rsid w:val="00885CBF"/>
    <w:rsid w:val="0088781F"/>
    <w:rsid w:val="00887F44"/>
    <w:rsid w:val="00890690"/>
    <w:rsid w:val="00891C63"/>
    <w:rsid w:val="008922A1"/>
    <w:rsid w:val="00893906"/>
    <w:rsid w:val="00895072"/>
    <w:rsid w:val="0089637F"/>
    <w:rsid w:val="008A0540"/>
    <w:rsid w:val="008A056B"/>
    <w:rsid w:val="008A090C"/>
    <w:rsid w:val="008A0CEB"/>
    <w:rsid w:val="008A1349"/>
    <w:rsid w:val="008A23F2"/>
    <w:rsid w:val="008A6DB1"/>
    <w:rsid w:val="008B3E3C"/>
    <w:rsid w:val="008B407A"/>
    <w:rsid w:val="008B4B2B"/>
    <w:rsid w:val="008B6A54"/>
    <w:rsid w:val="008C0317"/>
    <w:rsid w:val="008C208F"/>
    <w:rsid w:val="008C3640"/>
    <w:rsid w:val="008C3C3C"/>
    <w:rsid w:val="008C4238"/>
    <w:rsid w:val="008C54D0"/>
    <w:rsid w:val="008C57FA"/>
    <w:rsid w:val="008C5917"/>
    <w:rsid w:val="008D2FB6"/>
    <w:rsid w:val="008D4BC1"/>
    <w:rsid w:val="008D5B76"/>
    <w:rsid w:val="008D5D99"/>
    <w:rsid w:val="008D62C4"/>
    <w:rsid w:val="008D6905"/>
    <w:rsid w:val="008D72F8"/>
    <w:rsid w:val="008D7942"/>
    <w:rsid w:val="008E0401"/>
    <w:rsid w:val="008E19F1"/>
    <w:rsid w:val="008E3775"/>
    <w:rsid w:val="008E4A4A"/>
    <w:rsid w:val="008E50F9"/>
    <w:rsid w:val="008F026A"/>
    <w:rsid w:val="008F03A5"/>
    <w:rsid w:val="008F0944"/>
    <w:rsid w:val="008F0CB3"/>
    <w:rsid w:val="008F2915"/>
    <w:rsid w:val="008F4840"/>
    <w:rsid w:val="008F51B6"/>
    <w:rsid w:val="008F6B0B"/>
    <w:rsid w:val="008F7FC7"/>
    <w:rsid w:val="00903862"/>
    <w:rsid w:val="00904D5F"/>
    <w:rsid w:val="009060B1"/>
    <w:rsid w:val="00906A06"/>
    <w:rsid w:val="00906CF9"/>
    <w:rsid w:val="00907D95"/>
    <w:rsid w:val="009106EB"/>
    <w:rsid w:val="009111F7"/>
    <w:rsid w:val="0091506A"/>
    <w:rsid w:val="009168D1"/>
    <w:rsid w:val="00917A39"/>
    <w:rsid w:val="0092098F"/>
    <w:rsid w:val="009211E3"/>
    <w:rsid w:val="00922666"/>
    <w:rsid w:val="00923C4C"/>
    <w:rsid w:val="00925889"/>
    <w:rsid w:val="00925A29"/>
    <w:rsid w:val="00926D5A"/>
    <w:rsid w:val="009274F8"/>
    <w:rsid w:val="0092759C"/>
    <w:rsid w:val="00927881"/>
    <w:rsid w:val="00930E7F"/>
    <w:rsid w:val="00932194"/>
    <w:rsid w:val="00932299"/>
    <w:rsid w:val="009342AB"/>
    <w:rsid w:val="009344FA"/>
    <w:rsid w:val="009431CE"/>
    <w:rsid w:val="009434F5"/>
    <w:rsid w:val="00952A37"/>
    <w:rsid w:val="00952DBB"/>
    <w:rsid w:val="0095360A"/>
    <w:rsid w:val="00953676"/>
    <w:rsid w:val="00955802"/>
    <w:rsid w:val="00955FF1"/>
    <w:rsid w:val="00961189"/>
    <w:rsid w:val="00961894"/>
    <w:rsid w:val="00961C34"/>
    <w:rsid w:val="0096361A"/>
    <w:rsid w:val="00964FD7"/>
    <w:rsid w:val="00965845"/>
    <w:rsid w:val="00965D3C"/>
    <w:rsid w:val="009704E8"/>
    <w:rsid w:val="009707D5"/>
    <w:rsid w:val="00975B2E"/>
    <w:rsid w:val="00977681"/>
    <w:rsid w:val="00977B09"/>
    <w:rsid w:val="00977EA2"/>
    <w:rsid w:val="009805E9"/>
    <w:rsid w:val="0098155D"/>
    <w:rsid w:val="009815D1"/>
    <w:rsid w:val="00981B9F"/>
    <w:rsid w:val="009847F2"/>
    <w:rsid w:val="00986FC8"/>
    <w:rsid w:val="009903A3"/>
    <w:rsid w:val="0099059F"/>
    <w:rsid w:val="00991E23"/>
    <w:rsid w:val="0099205D"/>
    <w:rsid w:val="009925D3"/>
    <w:rsid w:val="009931BD"/>
    <w:rsid w:val="0099391B"/>
    <w:rsid w:val="00993E75"/>
    <w:rsid w:val="00994E3A"/>
    <w:rsid w:val="00995B33"/>
    <w:rsid w:val="009961AF"/>
    <w:rsid w:val="00997ED7"/>
    <w:rsid w:val="009A0228"/>
    <w:rsid w:val="009A0303"/>
    <w:rsid w:val="009A0532"/>
    <w:rsid w:val="009A1249"/>
    <w:rsid w:val="009A19B4"/>
    <w:rsid w:val="009A2F0C"/>
    <w:rsid w:val="009A3632"/>
    <w:rsid w:val="009A559F"/>
    <w:rsid w:val="009A56AB"/>
    <w:rsid w:val="009A633D"/>
    <w:rsid w:val="009A742B"/>
    <w:rsid w:val="009B01ED"/>
    <w:rsid w:val="009B0ACB"/>
    <w:rsid w:val="009B258F"/>
    <w:rsid w:val="009B25D5"/>
    <w:rsid w:val="009B2AB9"/>
    <w:rsid w:val="009B2C02"/>
    <w:rsid w:val="009B7144"/>
    <w:rsid w:val="009B7FB1"/>
    <w:rsid w:val="009C15D8"/>
    <w:rsid w:val="009C3340"/>
    <w:rsid w:val="009C33FD"/>
    <w:rsid w:val="009C460E"/>
    <w:rsid w:val="009C5B14"/>
    <w:rsid w:val="009C5BD2"/>
    <w:rsid w:val="009C6566"/>
    <w:rsid w:val="009D0DF3"/>
    <w:rsid w:val="009D22C3"/>
    <w:rsid w:val="009D3468"/>
    <w:rsid w:val="009D36CF"/>
    <w:rsid w:val="009D3B7C"/>
    <w:rsid w:val="009D7BBA"/>
    <w:rsid w:val="009E05D6"/>
    <w:rsid w:val="009E11F1"/>
    <w:rsid w:val="009E1AA4"/>
    <w:rsid w:val="009E22EA"/>
    <w:rsid w:val="009E33A4"/>
    <w:rsid w:val="009E359F"/>
    <w:rsid w:val="009E4B2C"/>
    <w:rsid w:val="009E6755"/>
    <w:rsid w:val="009E7274"/>
    <w:rsid w:val="009F117F"/>
    <w:rsid w:val="009F2496"/>
    <w:rsid w:val="009F3F85"/>
    <w:rsid w:val="009F4616"/>
    <w:rsid w:val="009F4A56"/>
    <w:rsid w:val="009F7F9D"/>
    <w:rsid w:val="00A023E6"/>
    <w:rsid w:val="00A02876"/>
    <w:rsid w:val="00A03D35"/>
    <w:rsid w:val="00A05776"/>
    <w:rsid w:val="00A079EF"/>
    <w:rsid w:val="00A07BDB"/>
    <w:rsid w:val="00A15FB8"/>
    <w:rsid w:val="00A16E9C"/>
    <w:rsid w:val="00A1764A"/>
    <w:rsid w:val="00A17FAC"/>
    <w:rsid w:val="00A216BD"/>
    <w:rsid w:val="00A21F9C"/>
    <w:rsid w:val="00A242E8"/>
    <w:rsid w:val="00A24899"/>
    <w:rsid w:val="00A24FAB"/>
    <w:rsid w:val="00A2600F"/>
    <w:rsid w:val="00A30CB8"/>
    <w:rsid w:val="00A30F0E"/>
    <w:rsid w:val="00A3318A"/>
    <w:rsid w:val="00A331D1"/>
    <w:rsid w:val="00A336ED"/>
    <w:rsid w:val="00A33DAC"/>
    <w:rsid w:val="00A348D5"/>
    <w:rsid w:val="00A34D31"/>
    <w:rsid w:val="00A36EAF"/>
    <w:rsid w:val="00A408A2"/>
    <w:rsid w:val="00A4293F"/>
    <w:rsid w:val="00A42D9F"/>
    <w:rsid w:val="00A43B02"/>
    <w:rsid w:val="00A43BFA"/>
    <w:rsid w:val="00A45253"/>
    <w:rsid w:val="00A454F6"/>
    <w:rsid w:val="00A460C5"/>
    <w:rsid w:val="00A46D49"/>
    <w:rsid w:val="00A46DB4"/>
    <w:rsid w:val="00A50283"/>
    <w:rsid w:val="00A52466"/>
    <w:rsid w:val="00A52485"/>
    <w:rsid w:val="00A52858"/>
    <w:rsid w:val="00A53959"/>
    <w:rsid w:val="00A54E34"/>
    <w:rsid w:val="00A56894"/>
    <w:rsid w:val="00A57397"/>
    <w:rsid w:val="00A662B6"/>
    <w:rsid w:val="00A70CFF"/>
    <w:rsid w:val="00A75100"/>
    <w:rsid w:val="00A75EC6"/>
    <w:rsid w:val="00A76D62"/>
    <w:rsid w:val="00A76EBA"/>
    <w:rsid w:val="00A80536"/>
    <w:rsid w:val="00A81EC2"/>
    <w:rsid w:val="00A84CC4"/>
    <w:rsid w:val="00A85534"/>
    <w:rsid w:val="00A85AFE"/>
    <w:rsid w:val="00A86967"/>
    <w:rsid w:val="00A87572"/>
    <w:rsid w:val="00A87965"/>
    <w:rsid w:val="00A926AD"/>
    <w:rsid w:val="00A93F07"/>
    <w:rsid w:val="00A96F07"/>
    <w:rsid w:val="00A96FAC"/>
    <w:rsid w:val="00A97379"/>
    <w:rsid w:val="00A97593"/>
    <w:rsid w:val="00A976DE"/>
    <w:rsid w:val="00A97839"/>
    <w:rsid w:val="00AA019D"/>
    <w:rsid w:val="00AA081D"/>
    <w:rsid w:val="00AA135C"/>
    <w:rsid w:val="00AA178F"/>
    <w:rsid w:val="00AA19BE"/>
    <w:rsid w:val="00AA29D5"/>
    <w:rsid w:val="00AA3559"/>
    <w:rsid w:val="00AA3A39"/>
    <w:rsid w:val="00AA3DB5"/>
    <w:rsid w:val="00AA3EA9"/>
    <w:rsid w:val="00AA5FAE"/>
    <w:rsid w:val="00AA69C5"/>
    <w:rsid w:val="00AB2352"/>
    <w:rsid w:val="00AB2420"/>
    <w:rsid w:val="00AB3539"/>
    <w:rsid w:val="00AB65A4"/>
    <w:rsid w:val="00AB6BE9"/>
    <w:rsid w:val="00AB75E2"/>
    <w:rsid w:val="00AC0D4B"/>
    <w:rsid w:val="00AC1A91"/>
    <w:rsid w:val="00AC29EE"/>
    <w:rsid w:val="00AC34CB"/>
    <w:rsid w:val="00AC3E69"/>
    <w:rsid w:val="00AC4816"/>
    <w:rsid w:val="00AC4CC7"/>
    <w:rsid w:val="00AC686A"/>
    <w:rsid w:val="00AC6BF3"/>
    <w:rsid w:val="00AC76E8"/>
    <w:rsid w:val="00AC7E13"/>
    <w:rsid w:val="00AC7FED"/>
    <w:rsid w:val="00AD27B8"/>
    <w:rsid w:val="00AD343E"/>
    <w:rsid w:val="00AD5791"/>
    <w:rsid w:val="00AD6C9C"/>
    <w:rsid w:val="00AE1250"/>
    <w:rsid w:val="00AE192B"/>
    <w:rsid w:val="00AE317A"/>
    <w:rsid w:val="00AE3756"/>
    <w:rsid w:val="00AE3FB5"/>
    <w:rsid w:val="00AE6683"/>
    <w:rsid w:val="00AE6D6B"/>
    <w:rsid w:val="00AF0EB0"/>
    <w:rsid w:val="00AF34DE"/>
    <w:rsid w:val="00AF50A6"/>
    <w:rsid w:val="00AF54C3"/>
    <w:rsid w:val="00AF5804"/>
    <w:rsid w:val="00AF5E05"/>
    <w:rsid w:val="00AF61F2"/>
    <w:rsid w:val="00AF7C0B"/>
    <w:rsid w:val="00B00368"/>
    <w:rsid w:val="00B00D20"/>
    <w:rsid w:val="00B01D3E"/>
    <w:rsid w:val="00B01DC4"/>
    <w:rsid w:val="00B02390"/>
    <w:rsid w:val="00B033F1"/>
    <w:rsid w:val="00B03427"/>
    <w:rsid w:val="00B03AAF"/>
    <w:rsid w:val="00B049A7"/>
    <w:rsid w:val="00B0541C"/>
    <w:rsid w:val="00B067D7"/>
    <w:rsid w:val="00B07321"/>
    <w:rsid w:val="00B07BDB"/>
    <w:rsid w:val="00B10447"/>
    <w:rsid w:val="00B11550"/>
    <w:rsid w:val="00B12150"/>
    <w:rsid w:val="00B1393E"/>
    <w:rsid w:val="00B15773"/>
    <w:rsid w:val="00B1598F"/>
    <w:rsid w:val="00B20273"/>
    <w:rsid w:val="00B20D2D"/>
    <w:rsid w:val="00B20DE3"/>
    <w:rsid w:val="00B215E0"/>
    <w:rsid w:val="00B21733"/>
    <w:rsid w:val="00B232D3"/>
    <w:rsid w:val="00B27C2F"/>
    <w:rsid w:val="00B31094"/>
    <w:rsid w:val="00B313B3"/>
    <w:rsid w:val="00B31F98"/>
    <w:rsid w:val="00B320E9"/>
    <w:rsid w:val="00B332F8"/>
    <w:rsid w:val="00B360C9"/>
    <w:rsid w:val="00B378FB"/>
    <w:rsid w:val="00B37C7C"/>
    <w:rsid w:val="00B40E48"/>
    <w:rsid w:val="00B44B63"/>
    <w:rsid w:val="00B45F06"/>
    <w:rsid w:val="00B4604C"/>
    <w:rsid w:val="00B46446"/>
    <w:rsid w:val="00B46AE5"/>
    <w:rsid w:val="00B47211"/>
    <w:rsid w:val="00B47633"/>
    <w:rsid w:val="00B477F3"/>
    <w:rsid w:val="00B479A2"/>
    <w:rsid w:val="00B47EE6"/>
    <w:rsid w:val="00B50125"/>
    <w:rsid w:val="00B54BE8"/>
    <w:rsid w:val="00B54C95"/>
    <w:rsid w:val="00B55870"/>
    <w:rsid w:val="00B55E56"/>
    <w:rsid w:val="00B56C67"/>
    <w:rsid w:val="00B57186"/>
    <w:rsid w:val="00B57252"/>
    <w:rsid w:val="00B57898"/>
    <w:rsid w:val="00B61D5E"/>
    <w:rsid w:val="00B6252D"/>
    <w:rsid w:val="00B6309B"/>
    <w:rsid w:val="00B63D82"/>
    <w:rsid w:val="00B65C0A"/>
    <w:rsid w:val="00B66F07"/>
    <w:rsid w:val="00B706A2"/>
    <w:rsid w:val="00B7186E"/>
    <w:rsid w:val="00B7368D"/>
    <w:rsid w:val="00B744BA"/>
    <w:rsid w:val="00B74E30"/>
    <w:rsid w:val="00B76D21"/>
    <w:rsid w:val="00B775BD"/>
    <w:rsid w:val="00B776F8"/>
    <w:rsid w:val="00B811A4"/>
    <w:rsid w:val="00B81CFF"/>
    <w:rsid w:val="00B82429"/>
    <w:rsid w:val="00B82C14"/>
    <w:rsid w:val="00B8350B"/>
    <w:rsid w:val="00B83E7A"/>
    <w:rsid w:val="00B86553"/>
    <w:rsid w:val="00B869C4"/>
    <w:rsid w:val="00B9001F"/>
    <w:rsid w:val="00B908B9"/>
    <w:rsid w:val="00B90FEF"/>
    <w:rsid w:val="00B9347F"/>
    <w:rsid w:val="00B94DDB"/>
    <w:rsid w:val="00B95CBD"/>
    <w:rsid w:val="00B95F0C"/>
    <w:rsid w:val="00B964E1"/>
    <w:rsid w:val="00B97F6D"/>
    <w:rsid w:val="00BA0493"/>
    <w:rsid w:val="00BA09B3"/>
    <w:rsid w:val="00BA2364"/>
    <w:rsid w:val="00BA23A2"/>
    <w:rsid w:val="00BA33A9"/>
    <w:rsid w:val="00BA4C26"/>
    <w:rsid w:val="00BA7D91"/>
    <w:rsid w:val="00BB00F6"/>
    <w:rsid w:val="00BB2201"/>
    <w:rsid w:val="00BB3D0C"/>
    <w:rsid w:val="00BB5658"/>
    <w:rsid w:val="00BB5F4E"/>
    <w:rsid w:val="00BB6D4A"/>
    <w:rsid w:val="00BB7064"/>
    <w:rsid w:val="00BB7BDB"/>
    <w:rsid w:val="00BB7D48"/>
    <w:rsid w:val="00BB7EE0"/>
    <w:rsid w:val="00BC1F99"/>
    <w:rsid w:val="00BC2C36"/>
    <w:rsid w:val="00BC2CB3"/>
    <w:rsid w:val="00BC4871"/>
    <w:rsid w:val="00BC4D5D"/>
    <w:rsid w:val="00BC58CA"/>
    <w:rsid w:val="00BC7CD5"/>
    <w:rsid w:val="00BC7E62"/>
    <w:rsid w:val="00BC7EAE"/>
    <w:rsid w:val="00BD085F"/>
    <w:rsid w:val="00BD0AC6"/>
    <w:rsid w:val="00BD15BB"/>
    <w:rsid w:val="00BD25B6"/>
    <w:rsid w:val="00BD37BA"/>
    <w:rsid w:val="00BD5761"/>
    <w:rsid w:val="00BD6D76"/>
    <w:rsid w:val="00BD7EBF"/>
    <w:rsid w:val="00BE1321"/>
    <w:rsid w:val="00BE1B1D"/>
    <w:rsid w:val="00BE200A"/>
    <w:rsid w:val="00BE24F8"/>
    <w:rsid w:val="00BE552C"/>
    <w:rsid w:val="00BE6820"/>
    <w:rsid w:val="00BF2A02"/>
    <w:rsid w:val="00BF312A"/>
    <w:rsid w:val="00BF4212"/>
    <w:rsid w:val="00BF449F"/>
    <w:rsid w:val="00BF4CF7"/>
    <w:rsid w:val="00BF6BCB"/>
    <w:rsid w:val="00BF786E"/>
    <w:rsid w:val="00C04CA2"/>
    <w:rsid w:val="00C0511C"/>
    <w:rsid w:val="00C1111A"/>
    <w:rsid w:val="00C11DF3"/>
    <w:rsid w:val="00C11EC1"/>
    <w:rsid w:val="00C12E1F"/>
    <w:rsid w:val="00C165A1"/>
    <w:rsid w:val="00C16994"/>
    <w:rsid w:val="00C21BFF"/>
    <w:rsid w:val="00C22FB5"/>
    <w:rsid w:val="00C23C59"/>
    <w:rsid w:val="00C245F5"/>
    <w:rsid w:val="00C30840"/>
    <w:rsid w:val="00C3225D"/>
    <w:rsid w:val="00C32B80"/>
    <w:rsid w:val="00C33173"/>
    <w:rsid w:val="00C35F43"/>
    <w:rsid w:val="00C423BA"/>
    <w:rsid w:val="00C443F9"/>
    <w:rsid w:val="00C45ACD"/>
    <w:rsid w:val="00C46E5D"/>
    <w:rsid w:val="00C4771B"/>
    <w:rsid w:val="00C47C6F"/>
    <w:rsid w:val="00C50D1D"/>
    <w:rsid w:val="00C51C83"/>
    <w:rsid w:val="00C535C1"/>
    <w:rsid w:val="00C539DE"/>
    <w:rsid w:val="00C53C69"/>
    <w:rsid w:val="00C54522"/>
    <w:rsid w:val="00C558E6"/>
    <w:rsid w:val="00C55976"/>
    <w:rsid w:val="00C56A16"/>
    <w:rsid w:val="00C56F90"/>
    <w:rsid w:val="00C57935"/>
    <w:rsid w:val="00C57C5B"/>
    <w:rsid w:val="00C57FFD"/>
    <w:rsid w:val="00C62071"/>
    <w:rsid w:val="00C62A1C"/>
    <w:rsid w:val="00C64597"/>
    <w:rsid w:val="00C645D3"/>
    <w:rsid w:val="00C65F95"/>
    <w:rsid w:val="00C70061"/>
    <w:rsid w:val="00C71166"/>
    <w:rsid w:val="00C71788"/>
    <w:rsid w:val="00C721B8"/>
    <w:rsid w:val="00C73A35"/>
    <w:rsid w:val="00C749AE"/>
    <w:rsid w:val="00C74BE1"/>
    <w:rsid w:val="00C771CC"/>
    <w:rsid w:val="00C778A3"/>
    <w:rsid w:val="00C7796A"/>
    <w:rsid w:val="00C815BF"/>
    <w:rsid w:val="00C820FB"/>
    <w:rsid w:val="00C826B3"/>
    <w:rsid w:val="00C934D1"/>
    <w:rsid w:val="00C94007"/>
    <w:rsid w:val="00C95622"/>
    <w:rsid w:val="00C95A75"/>
    <w:rsid w:val="00C96695"/>
    <w:rsid w:val="00CA1E5E"/>
    <w:rsid w:val="00CA33FA"/>
    <w:rsid w:val="00CA35F2"/>
    <w:rsid w:val="00CA4768"/>
    <w:rsid w:val="00CA62FA"/>
    <w:rsid w:val="00CB1B17"/>
    <w:rsid w:val="00CB2D60"/>
    <w:rsid w:val="00CB6009"/>
    <w:rsid w:val="00CC047A"/>
    <w:rsid w:val="00CC3507"/>
    <w:rsid w:val="00CC3A59"/>
    <w:rsid w:val="00CC5A0C"/>
    <w:rsid w:val="00CC658E"/>
    <w:rsid w:val="00CC686C"/>
    <w:rsid w:val="00CC70FB"/>
    <w:rsid w:val="00CC738B"/>
    <w:rsid w:val="00CD07B0"/>
    <w:rsid w:val="00CD0F11"/>
    <w:rsid w:val="00CD2C52"/>
    <w:rsid w:val="00CD2C68"/>
    <w:rsid w:val="00CD3D3E"/>
    <w:rsid w:val="00CD5E38"/>
    <w:rsid w:val="00CD7A47"/>
    <w:rsid w:val="00CE3A7E"/>
    <w:rsid w:val="00CE5314"/>
    <w:rsid w:val="00CE6621"/>
    <w:rsid w:val="00CE69EB"/>
    <w:rsid w:val="00CE6A29"/>
    <w:rsid w:val="00CE7A09"/>
    <w:rsid w:val="00CE7EBD"/>
    <w:rsid w:val="00CF084D"/>
    <w:rsid w:val="00CF6710"/>
    <w:rsid w:val="00CF7B6E"/>
    <w:rsid w:val="00CF7D09"/>
    <w:rsid w:val="00D00074"/>
    <w:rsid w:val="00D004DE"/>
    <w:rsid w:val="00D01BF5"/>
    <w:rsid w:val="00D054B6"/>
    <w:rsid w:val="00D12929"/>
    <w:rsid w:val="00D12B09"/>
    <w:rsid w:val="00D15E47"/>
    <w:rsid w:val="00D163C8"/>
    <w:rsid w:val="00D175E6"/>
    <w:rsid w:val="00D237F0"/>
    <w:rsid w:val="00D2387A"/>
    <w:rsid w:val="00D2477F"/>
    <w:rsid w:val="00D31751"/>
    <w:rsid w:val="00D323F0"/>
    <w:rsid w:val="00D32E09"/>
    <w:rsid w:val="00D33903"/>
    <w:rsid w:val="00D33981"/>
    <w:rsid w:val="00D33A04"/>
    <w:rsid w:val="00D349DF"/>
    <w:rsid w:val="00D36455"/>
    <w:rsid w:val="00D3724C"/>
    <w:rsid w:val="00D4096F"/>
    <w:rsid w:val="00D40B9B"/>
    <w:rsid w:val="00D40ED4"/>
    <w:rsid w:val="00D41C19"/>
    <w:rsid w:val="00D41C3C"/>
    <w:rsid w:val="00D429E9"/>
    <w:rsid w:val="00D44CC7"/>
    <w:rsid w:val="00D46AD2"/>
    <w:rsid w:val="00D475F4"/>
    <w:rsid w:val="00D5202E"/>
    <w:rsid w:val="00D52469"/>
    <w:rsid w:val="00D54FA8"/>
    <w:rsid w:val="00D5598F"/>
    <w:rsid w:val="00D56691"/>
    <w:rsid w:val="00D568A1"/>
    <w:rsid w:val="00D60ABD"/>
    <w:rsid w:val="00D61D7B"/>
    <w:rsid w:val="00D62543"/>
    <w:rsid w:val="00D629C4"/>
    <w:rsid w:val="00D63D66"/>
    <w:rsid w:val="00D649E5"/>
    <w:rsid w:val="00D652FE"/>
    <w:rsid w:val="00D662F1"/>
    <w:rsid w:val="00D67894"/>
    <w:rsid w:val="00D678E0"/>
    <w:rsid w:val="00D70362"/>
    <w:rsid w:val="00D72A76"/>
    <w:rsid w:val="00D7420D"/>
    <w:rsid w:val="00D75720"/>
    <w:rsid w:val="00D771DD"/>
    <w:rsid w:val="00D77405"/>
    <w:rsid w:val="00D805F6"/>
    <w:rsid w:val="00D81485"/>
    <w:rsid w:val="00D81809"/>
    <w:rsid w:val="00D8308F"/>
    <w:rsid w:val="00D84951"/>
    <w:rsid w:val="00D868BD"/>
    <w:rsid w:val="00D921FB"/>
    <w:rsid w:val="00D9283B"/>
    <w:rsid w:val="00D93E8A"/>
    <w:rsid w:val="00D95EF5"/>
    <w:rsid w:val="00D96209"/>
    <w:rsid w:val="00D96430"/>
    <w:rsid w:val="00D96D4D"/>
    <w:rsid w:val="00DA255D"/>
    <w:rsid w:val="00DA2A24"/>
    <w:rsid w:val="00DA46EA"/>
    <w:rsid w:val="00DA473D"/>
    <w:rsid w:val="00DA4A7E"/>
    <w:rsid w:val="00DA5311"/>
    <w:rsid w:val="00DA5EE0"/>
    <w:rsid w:val="00DB142F"/>
    <w:rsid w:val="00DB1DD6"/>
    <w:rsid w:val="00DB326D"/>
    <w:rsid w:val="00DB361F"/>
    <w:rsid w:val="00DB372D"/>
    <w:rsid w:val="00DB388A"/>
    <w:rsid w:val="00DB4665"/>
    <w:rsid w:val="00DB54D4"/>
    <w:rsid w:val="00DB5600"/>
    <w:rsid w:val="00DB7DF8"/>
    <w:rsid w:val="00DC16CA"/>
    <w:rsid w:val="00DC18F9"/>
    <w:rsid w:val="00DC663A"/>
    <w:rsid w:val="00DD0496"/>
    <w:rsid w:val="00DD0E3D"/>
    <w:rsid w:val="00DD16EF"/>
    <w:rsid w:val="00DD473C"/>
    <w:rsid w:val="00DD79EB"/>
    <w:rsid w:val="00DE1B56"/>
    <w:rsid w:val="00DE1FCA"/>
    <w:rsid w:val="00DE313F"/>
    <w:rsid w:val="00DE4196"/>
    <w:rsid w:val="00DE4E0A"/>
    <w:rsid w:val="00DE63D8"/>
    <w:rsid w:val="00DF00F2"/>
    <w:rsid w:val="00DF1229"/>
    <w:rsid w:val="00DF1F97"/>
    <w:rsid w:val="00DF461B"/>
    <w:rsid w:val="00DF785F"/>
    <w:rsid w:val="00E016FA"/>
    <w:rsid w:val="00E01911"/>
    <w:rsid w:val="00E0374D"/>
    <w:rsid w:val="00E03A0F"/>
    <w:rsid w:val="00E0434C"/>
    <w:rsid w:val="00E059BE"/>
    <w:rsid w:val="00E05C58"/>
    <w:rsid w:val="00E06398"/>
    <w:rsid w:val="00E070B4"/>
    <w:rsid w:val="00E07166"/>
    <w:rsid w:val="00E10177"/>
    <w:rsid w:val="00E14410"/>
    <w:rsid w:val="00E14B21"/>
    <w:rsid w:val="00E14F3C"/>
    <w:rsid w:val="00E15AE5"/>
    <w:rsid w:val="00E175A1"/>
    <w:rsid w:val="00E209E7"/>
    <w:rsid w:val="00E2321E"/>
    <w:rsid w:val="00E300C9"/>
    <w:rsid w:val="00E30B66"/>
    <w:rsid w:val="00E33236"/>
    <w:rsid w:val="00E3776E"/>
    <w:rsid w:val="00E37AF0"/>
    <w:rsid w:val="00E41BE6"/>
    <w:rsid w:val="00E54008"/>
    <w:rsid w:val="00E5478B"/>
    <w:rsid w:val="00E56A7C"/>
    <w:rsid w:val="00E60A41"/>
    <w:rsid w:val="00E60AB6"/>
    <w:rsid w:val="00E60B6E"/>
    <w:rsid w:val="00E60E62"/>
    <w:rsid w:val="00E61D1A"/>
    <w:rsid w:val="00E61E33"/>
    <w:rsid w:val="00E626F9"/>
    <w:rsid w:val="00E62F82"/>
    <w:rsid w:val="00E64E12"/>
    <w:rsid w:val="00E6535E"/>
    <w:rsid w:val="00E672FA"/>
    <w:rsid w:val="00E73AAF"/>
    <w:rsid w:val="00E74456"/>
    <w:rsid w:val="00E757DD"/>
    <w:rsid w:val="00E773D8"/>
    <w:rsid w:val="00E7761C"/>
    <w:rsid w:val="00E8281C"/>
    <w:rsid w:val="00E82BF4"/>
    <w:rsid w:val="00E857AA"/>
    <w:rsid w:val="00E87BB9"/>
    <w:rsid w:val="00E90735"/>
    <w:rsid w:val="00E91361"/>
    <w:rsid w:val="00E9359B"/>
    <w:rsid w:val="00E93790"/>
    <w:rsid w:val="00E94F51"/>
    <w:rsid w:val="00E952C0"/>
    <w:rsid w:val="00E96FDB"/>
    <w:rsid w:val="00EA09A7"/>
    <w:rsid w:val="00EA229F"/>
    <w:rsid w:val="00EA5253"/>
    <w:rsid w:val="00EB0239"/>
    <w:rsid w:val="00EB0DCB"/>
    <w:rsid w:val="00EB0F1E"/>
    <w:rsid w:val="00EB2A4A"/>
    <w:rsid w:val="00EB3928"/>
    <w:rsid w:val="00EB46BB"/>
    <w:rsid w:val="00EB5698"/>
    <w:rsid w:val="00EB6134"/>
    <w:rsid w:val="00EB640D"/>
    <w:rsid w:val="00EC272E"/>
    <w:rsid w:val="00EC53CC"/>
    <w:rsid w:val="00EC6822"/>
    <w:rsid w:val="00EC73F9"/>
    <w:rsid w:val="00EC7CC1"/>
    <w:rsid w:val="00ED30F9"/>
    <w:rsid w:val="00ED450A"/>
    <w:rsid w:val="00ED51FD"/>
    <w:rsid w:val="00ED60CA"/>
    <w:rsid w:val="00EE3BE8"/>
    <w:rsid w:val="00EE4846"/>
    <w:rsid w:val="00EE4B26"/>
    <w:rsid w:val="00EE50D3"/>
    <w:rsid w:val="00EE6FB0"/>
    <w:rsid w:val="00EE719A"/>
    <w:rsid w:val="00EF0A2A"/>
    <w:rsid w:val="00EF1FD9"/>
    <w:rsid w:val="00EF7700"/>
    <w:rsid w:val="00EF7D65"/>
    <w:rsid w:val="00F028F2"/>
    <w:rsid w:val="00F03B5D"/>
    <w:rsid w:val="00F064DD"/>
    <w:rsid w:val="00F06673"/>
    <w:rsid w:val="00F06FCC"/>
    <w:rsid w:val="00F07AB9"/>
    <w:rsid w:val="00F11491"/>
    <w:rsid w:val="00F11682"/>
    <w:rsid w:val="00F12756"/>
    <w:rsid w:val="00F14BC5"/>
    <w:rsid w:val="00F15099"/>
    <w:rsid w:val="00F155FF"/>
    <w:rsid w:val="00F15A69"/>
    <w:rsid w:val="00F15DD7"/>
    <w:rsid w:val="00F16E49"/>
    <w:rsid w:val="00F17FA4"/>
    <w:rsid w:val="00F20265"/>
    <w:rsid w:val="00F2397E"/>
    <w:rsid w:val="00F243EE"/>
    <w:rsid w:val="00F24EF5"/>
    <w:rsid w:val="00F251A3"/>
    <w:rsid w:val="00F30D73"/>
    <w:rsid w:val="00F314AD"/>
    <w:rsid w:val="00F3213B"/>
    <w:rsid w:val="00F32D45"/>
    <w:rsid w:val="00F3320A"/>
    <w:rsid w:val="00F344F9"/>
    <w:rsid w:val="00F3505E"/>
    <w:rsid w:val="00F362FD"/>
    <w:rsid w:val="00F37988"/>
    <w:rsid w:val="00F404B8"/>
    <w:rsid w:val="00F40CE1"/>
    <w:rsid w:val="00F41840"/>
    <w:rsid w:val="00F419E7"/>
    <w:rsid w:val="00F46D86"/>
    <w:rsid w:val="00F476D5"/>
    <w:rsid w:val="00F5045C"/>
    <w:rsid w:val="00F504D7"/>
    <w:rsid w:val="00F5092F"/>
    <w:rsid w:val="00F52093"/>
    <w:rsid w:val="00F53286"/>
    <w:rsid w:val="00F536A7"/>
    <w:rsid w:val="00F5451E"/>
    <w:rsid w:val="00F54E90"/>
    <w:rsid w:val="00F5572E"/>
    <w:rsid w:val="00F6182F"/>
    <w:rsid w:val="00F621FF"/>
    <w:rsid w:val="00F626E3"/>
    <w:rsid w:val="00F62E96"/>
    <w:rsid w:val="00F63685"/>
    <w:rsid w:val="00F66AA5"/>
    <w:rsid w:val="00F70779"/>
    <w:rsid w:val="00F720E0"/>
    <w:rsid w:val="00F730B6"/>
    <w:rsid w:val="00F741E1"/>
    <w:rsid w:val="00F74A91"/>
    <w:rsid w:val="00F753A8"/>
    <w:rsid w:val="00F75A4D"/>
    <w:rsid w:val="00F762DC"/>
    <w:rsid w:val="00F76D1C"/>
    <w:rsid w:val="00F7735B"/>
    <w:rsid w:val="00F77408"/>
    <w:rsid w:val="00F774D9"/>
    <w:rsid w:val="00F77AEA"/>
    <w:rsid w:val="00F802AE"/>
    <w:rsid w:val="00F815D6"/>
    <w:rsid w:val="00F8251E"/>
    <w:rsid w:val="00F830A4"/>
    <w:rsid w:val="00F8381F"/>
    <w:rsid w:val="00F83CFB"/>
    <w:rsid w:val="00F84CC4"/>
    <w:rsid w:val="00F85706"/>
    <w:rsid w:val="00F8738A"/>
    <w:rsid w:val="00F87B64"/>
    <w:rsid w:val="00F923B8"/>
    <w:rsid w:val="00FA3477"/>
    <w:rsid w:val="00FA422E"/>
    <w:rsid w:val="00FA544E"/>
    <w:rsid w:val="00FA5AFE"/>
    <w:rsid w:val="00FA65AC"/>
    <w:rsid w:val="00FA72B1"/>
    <w:rsid w:val="00FB26B3"/>
    <w:rsid w:val="00FB2ADE"/>
    <w:rsid w:val="00FB4D00"/>
    <w:rsid w:val="00FB501D"/>
    <w:rsid w:val="00FB5247"/>
    <w:rsid w:val="00FB54A7"/>
    <w:rsid w:val="00FB62B3"/>
    <w:rsid w:val="00FB78CF"/>
    <w:rsid w:val="00FB7965"/>
    <w:rsid w:val="00FC059C"/>
    <w:rsid w:val="00FC10F7"/>
    <w:rsid w:val="00FC1DE5"/>
    <w:rsid w:val="00FC21FA"/>
    <w:rsid w:val="00FC43BF"/>
    <w:rsid w:val="00FC50A4"/>
    <w:rsid w:val="00FC6A7B"/>
    <w:rsid w:val="00FD07BB"/>
    <w:rsid w:val="00FD31E2"/>
    <w:rsid w:val="00FD50CC"/>
    <w:rsid w:val="00FD5C43"/>
    <w:rsid w:val="00FD5FA9"/>
    <w:rsid w:val="00FD6F76"/>
    <w:rsid w:val="00FD7284"/>
    <w:rsid w:val="00FD7EEA"/>
    <w:rsid w:val="00FE0B63"/>
    <w:rsid w:val="00FE21C0"/>
    <w:rsid w:val="00FE3A71"/>
    <w:rsid w:val="00FE4FFE"/>
    <w:rsid w:val="00FE5F31"/>
    <w:rsid w:val="00FE735B"/>
    <w:rsid w:val="00FF19E5"/>
    <w:rsid w:val="00FF2D68"/>
    <w:rsid w:val="00FF5490"/>
    <w:rsid w:val="00FF7EB1"/>
    <w:rsid w:val="00FF7ECD"/>
    <w:rsid w:val="016D2621"/>
    <w:rsid w:val="018E522B"/>
    <w:rsid w:val="01D47D49"/>
    <w:rsid w:val="01DD6CC1"/>
    <w:rsid w:val="02236255"/>
    <w:rsid w:val="02416767"/>
    <w:rsid w:val="026D18F5"/>
    <w:rsid w:val="02A14F4D"/>
    <w:rsid w:val="02AB5AF9"/>
    <w:rsid w:val="02AD1925"/>
    <w:rsid w:val="02E10202"/>
    <w:rsid w:val="02F7191C"/>
    <w:rsid w:val="030B2862"/>
    <w:rsid w:val="032D75DF"/>
    <w:rsid w:val="03350474"/>
    <w:rsid w:val="034D5BA9"/>
    <w:rsid w:val="03614E2D"/>
    <w:rsid w:val="037A50BF"/>
    <w:rsid w:val="039D7714"/>
    <w:rsid w:val="03BE4A34"/>
    <w:rsid w:val="03C52799"/>
    <w:rsid w:val="03D52D80"/>
    <w:rsid w:val="03DF50DA"/>
    <w:rsid w:val="0414343E"/>
    <w:rsid w:val="04300721"/>
    <w:rsid w:val="044342F1"/>
    <w:rsid w:val="045F4DF2"/>
    <w:rsid w:val="046255C4"/>
    <w:rsid w:val="048B6871"/>
    <w:rsid w:val="049B7E79"/>
    <w:rsid w:val="049E7095"/>
    <w:rsid w:val="04BC5BEE"/>
    <w:rsid w:val="04BD20B3"/>
    <w:rsid w:val="04D94B9F"/>
    <w:rsid w:val="04EF0BC7"/>
    <w:rsid w:val="052A2975"/>
    <w:rsid w:val="0561522E"/>
    <w:rsid w:val="05B34ED2"/>
    <w:rsid w:val="05FD2B43"/>
    <w:rsid w:val="06424ED6"/>
    <w:rsid w:val="064C75F3"/>
    <w:rsid w:val="06592AF2"/>
    <w:rsid w:val="06CC647D"/>
    <w:rsid w:val="06D92503"/>
    <w:rsid w:val="073A2176"/>
    <w:rsid w:val="075529E2"/>
    <w:rsid w:val="075E2102"/>
    <w:rsid w:val="078D124F"/>
    <w:rsid w:val="07927288"/>
    <w:rsid w:val="07AC2477"/>
    <w:rsid w:val="07BF16A6"/>
    <w:rsid w:val="087B6054"/>
    <w:rsid w:val="087D1715"/>
    <w:rsid w:val="087E57C1"/>
    <w:rsid w:val="087E77C1"/>
    <w:rsid w:val="087F5FC1"/>
    <w:rsid w:val="08853622"/>
    <w:rsid w:val="08B576D2"/>
    <w:rsid w:val="08B63136"/>
    <w:rsid w:val="08D62564"/>
    <w:rsid w:val="09362DB7"/>
    <w:rsid w:val="09715EAC"/>
    <w:rsid w:val="097B46F6"/>
    <w:rsid w:val="09D04B31"/>
    <w:rsid w:val="09D92955"/>
    <w:rsid w:val="09EB433A"/>
    <w:rsid w:val="09FB2219"/>
    <w:rsid w:val="0A1204DF"/>
    <w:rsid w:val="0A213997"/>
    <w:rsid w:val="0A365D0C"/>
    <w:rsid w:val="0A422FA2"/>
    <w:rsid w:val="0A4836D4"/>
    <w:rsid w:val="0A4E1411"/>
    <w:rsid w:val="0A5442A0"/>
    <w:rsid w:val="0A653F4F"/>
    <w:rsid w:val="0A7F1DA3"/>
    <w:rsid w:val="0A983175"/>
    <w:rsid w:val="0AFD1714"/>
    <w:rsid w:val="0B116DC6"/>
    <w:rsid w:val="0BE22C8C"/>
    <w:rsid w:val="0C0A02CE"/>
    <w:rsid w:val="0C0D104E"/>
    <w:rsid w:val="0C1C227E"/>
    <w:rsid w:val="0C255D26"/>
    <w:rsid w:val="0C824144"/>
    <w:rsid w:val="0C8C69E4"/>
    <w:rsid w:val="0C957792"/>
    <w:rsid w:val="0CAD2DCB"/>
    <w:rsid w:val="0CB055D0"/>
    <w:rsid w:val="0D153B53"/>
    <w:rsid w:val="0D444E52"/>
    <w:rsid w:val="0D447EB9"/>
    <w:rsid w:val="0D500BC0"/>
    <w:rsid w:val="0D6C5454"/>
    <w:rsid w:val="0D987F29"/>
    <w:rsid w:val="0DBC1427"/>
    <w:rsid w:val="0E064DE2"/>
    <w:rsid w:val="0E455145"/>
    <w:rsid w:val="0E46108F"/>
    <w:rsid w:val="0E715598"/>
    <w:rsid w:val="0E9339DC"/>
    <w:rsid w:val="0E9D5DAE"/>
    <w:rsid w:val="0EA21DA1"/>
    <w:rsid w:val="0EA87CDD"/>
    <w:rsid w:val="0EC96259"/>
    <w:rsid w:val="0F3F7F99"/>
    <w:rsid w:val="0F432CFE"/>
    <w:rsid w:val="0F5F2A02"/>
    <w:rsid w:val="0F67556C"/>
    <w:rsid w:val="0F873682"/>
    <w:rsid w:val="0FB00B75"/>
    <w:rsid w:val="0FC109DE"/>
    <w:rsid w:val="0FC4644C"/>
    <w:rsid w:val="0FEF1D50"/>
    <w:rsid w:val="0FFD2818"/>
    <w:rsid w:val="10277198"/>
    <w:rsid w:val="1033096A"/>
    <w:rsid w:val="105A223E"/>
    <w:rsid w:val="106516A2"/>
    <w:rsid w:val="107A5551"/>
    <w:rsid w:val="10906AB5"/>
    <w:rsid w:val="1093567D"/>
    <w:rsid w:val="109C592D"/>
    <w:rsid w:val="10DD1963"/>
    <w:rsid w:val="10ED41D3"/>
    <w:rsid w:val="112343B9"/>
    <w:rsid w:val="11295638"/>
    <w:rsid w:val="114356BE"/>
    <w:rsid w:val="119E4FF4"/>
    <w:rsid w:val="119F43A3"/>
    <w:rsid w:val="11A15233"/>
    <w:rsid w:val="11F53491"/>
    <w:rsid w:val="120100F2"/>
    <w:rsid w:val="121A67F7"/>
    <w:rsid w:val="126C741A"/>
    <w:rsid w:val="12872092"/>
    <w:rsid w:val="12897C74"/>
    <w:rsid w:val="12EF0F10"/>
    <w:rsid w:val="12FA70DD"/>
    <w:rsid w:val="130A23C8"/>
    <w:rsid w:val="13397295"/>
    <w:rsid w:val="13655109"/>
    <w:rsid w:val="138A3501"/>
    <w:rsid w:val="13904B88"/>
    <w:rsid w:val="13967043"/>
    <w:rsid w:val="13994ECE"/>
    <w:rsid w:val="13B3480E"/>
    <w:rsid w:val="14413BD1"/>
    <w:rsid w:val="14442C00"/>
    <w:rsid w:val="146303A8"/>
    <w:rsid w:val="146B7792"/>
    <w:rsid w:val="14941A30"/>
    <w:rsid w:val="14B57A89"/>
    <w:rsid w:val="14CF4495"/>
    <w:rsid w:val="14DF6425"/>
    <w:rsid w:val="14E15951"/>
    <w:rsid w:val="14E86B20"/>
    <w:rsid w:val="151A4366"/>
    <w:rsid w:val="1525173B"/>
    <w:rsid w:val="154931DE"/>
    <w:rsid w:val="15783D74"/>
    <w:rsid w:val="15905478"/>
    <w:rsid w:val="15A66276"/>
    <w:rsid w:val="15B76AAE"/>
    <w:rsid w:val="15C35F37"/>
    <w:rsid w:val="15CE2129"/>
    <w:rsid w:val="15D657FB"/>
    <w:rsid w:val="160D1A58"/>
    <w:rsid w:val="16530D40"/>
    <w:rsid w:val="169C0FBB"/>
    <w:rsid w:val="16A07272"/>
    <w:rsid w:val="16AB2C64"/>
    <w:rsid w:val="16DC407B"/>
    <w:rsid w:val="170240B9"/>
    <w:rsid w:val="17130215"/>
    <w:rsid w:val="17654071"/>
    <w:rsid w:val="17B77D15"/>
    <w:rsid w:val="17D03DD9"/>
    <w:rsid w:val="18047D2E"/>
    <w:rsid w:val="18144605"/>
    <w:rsid w:val="184C0342"/>
    <w:rsid w:val="187A193C"/>
    <w:rsid w:val="188E75F7"/>
    <w:rsid w:val="188F2DDB"/>
    <w:rsid w:val="189521AD"/>
    <w:rsid w:val="18A04A9A"/>
    <w:rsid w:val="18FF17AC"/>
    <w:rsid w:val="190B21D4"/>
    <w:rsid w:val="193663A0"/>
    <w:rsid w:val="19411EA9"/>
    <w:rsid w:val="19451B5B"/>
    <w:rsid w:val="19572FDB"/>
    <w:rsid w:val="195E7E05"/>
    <w:rsid w:val="1961613B"/>
    <w:rsid w:val="19924EC5"/>
    <w:rsid w:val="199A49FC"/>
    <w:rsid w:val="19A906EA"/>
    <w:rsid w:val="19CE672C"/>
    <w:rsid w:val="19EE5B05"/>
    <w:rsid w:val="1A1324AA"/>
    <w:rsid w:val="1A697A36"/>
    <w:rsid w:val="1A6E215E"/>
    <w:rsid w:val="1A803BB2"/>
    <w:rsid w:val="1AC65AFA"/>
    <w:rsid w:val="1AD25564"/>
    <w:rsid w:val="1ADE3924"/>
    <w:rsid w:val="1AE138B7"/>
    <w:rsid w:val="1AE94DEE"/>
    <w:rsid w:val="1AF94316"/>
    <w:rsid w:val="1B0015A6"/>
    <w:rsid w:val="1B5A0CF0"/>
    <w:rsid w:val="1B83540D"/>
    <w:rsid w:val="1BDB2105"/>
    <w:rsid w:val="1BEC7FA6"/>
    <w:rsid w:val="1C094FC7"/>
    <w:rsid w:val="1C0F1013"/>
    <w:rsid w:val="1C2A3A50"/>
    <w:rsid w:val="1C435ED5"/>
    <w:rsid w:val="1C493F61"/>
    <w:rsid w:val="1C4F27D9"/>
    <w:rsid w:val="1C562F03"/>
    <w:rsid w:val="1C575C68"/>
    <w:rsid w:val="1C8F75DC"/>
    <w:rsid w:val="1C9606CE"/>
    <w:rsid w:val="1CB12F4D"/>
    <w:rsid w:val="1CBC3417"/>
    <w:rsid w:val="1CEC47E3"/>
    <w:rsid w:val="1D07002F"/>
    <w:rsid w:val="1D291FE4"/>
    <w:rsid w:val="1D2E13A9"/>
    <w:rsid w:val="1D4961E3"/>
    <w:rsid w:val="1D9B1214"/>
    <w:rsid w:val="1DA86BF9"/>
    <w:rsid w:val="1DC55D08"/>
    <w:rsid w:val="1DE52512"/>
    <w:rsid w:val="1E0319BB"/>
    <w:rsid w:val="1E0567BD"/>
    <w:rsid w:val="1E3B0089"/>
    <w:rsid w:val="1E4F3DB3"/>
    <w:rsid w:val="1E85149C"/>
    <w:rsid w:val="1E886365"/>
    <w:rsid w:val="1EA65E5D"/>
    <w:rsid w:val="1F0A6D1E"/>
    <w:rsid w:val="1F533EB9"/>
    <w:rsid w:val="1F6507F2"/>
    <w:rsid w:val="1F6E6433"/>
    <w:rsid w:val="1FCE13AE"/>
    <w:rsid w:val="20057A41"/>
    <w:rsid w:val="201F3C9F"/>
    <w:rsid w:val="2023779B"/>
    <w:rsid w:val="2026745E"/>
    <w:rsid w:val="2041079C"/>
    <w:rsid w:val="20525F14"/>
    <w:rsid w:val="205B24B5"/>
    <w:rsid w:val="20893CDB"/>
    <w:rsid w:val="20D117B9"/>
    <w:rsid w:val="20DF24ED"/>
    <w:rsid w:val="210E65F2"/>
    <w:rsid w:val="211F33EE"/>
    <w:rsid w:val="21283337"/>
    <w:rsid w:val="21297909"/>
    <w:rsid w:val="21532727"/>
    <w:rsid w:val="21AC619B"/>
    <w:rsid w:val="21D069AF"/>
    <w:rsid w:val="21E711B3"/>
    <w:rsid w:val="22114C1A"/>
    <w:rsid w:val="222F5515"/>
    <w:rsid w:val="225D24ED"/>
    <w:rsid w:val="22680B6F"/>
    <w:rsid w:val="227C279A"/>
    <w:rsid w:val="22A1081F"/>
    <w:rsid w:val="22B87D4D"/>
    <w:rsid w:val="23141CFA"/>
    <w:rsid w:val="23307BD3"/>
    <w:rsid w:val="233A4B5E"/>
    <w:rsid w:val="23712004"/>
    <w:rsid w:val="239B3202"/>
    <w:rsid w:val="23D86D98"/>
    <w:rsid w:val="241F62D3"/>
    <w:rsid w:val="243C7755"/>
    <w:rsid w:val="243D55E9"/>
    <w:rsid w:val="244F5EA8"/>
    <w:rsid w:val="2493398B"/>
    <w:rsid w:val="24987856"/>
    <w:rsid w:val="24A47221"/>
    <w:rsid w:val="24AC5E78"/>
    <w:rsid w:val="24AE2845"/>
    <w:rsid w:val="24E318DF"/>
    <w:rsid w:val="24E76A0D"/>
    <w:rsid w:val="25117A89"/>
    <w:rsid w:val="255C19EB"/>
    <w:rsid w:val="257968D6"/>
    <w:rsid w:val="25856A22"/>
    <w:rsid w:val="259B1D4B"/>
    <w:rsid w:val="25B628C4"/>
    <w:rsid w:val="25B8371D"/>
    <w:rsid w:val="25BC160E"/>
    <w:rsid w:val="26057317"/>
    <w:rsid w:val="260F79B4"/>
    <w:rsid w:val="26377807"/>
    <w:rsid w:val="2650413E"/>
    <w:rsid w:val="26AF03E9"/>
    <w:rsid w:val="26D23CF5"/>
    <w:rsid w:val="26D33A84"/>
    <w:rsid w:val="26D76E02"/>
    <w:rsid w:val="26F73DF2"/>
    <w:rsid w:val="26FC1C11"/>
    <w:rsid w:val="26FC4AB8"/>
    <w:rsid w:val="279664C8"/>
    <w:rsid w:val="27A330C9"/>
    <w:rsid w:val="28164F13"/>
    <w:rsid w:val="28205DD1"/>
    <w:rsid w:val="28575C58"/>
    <w:rsid w:val="2863370C"/>
    <w:rsid w:val="287845F5"/>
    <w:rsid w:val="28917B04"/>
    <w:rsid w:val="28CB0D53"/>
    <w:rsid w:val="28E00878"/>
    <w:rsid w:val="28F1705A"/>
    <w:rsid w:val="29193098"/>
    <w:rsid w:val="291D29FD"/>
    <w:rsid w:val="2948438E"/>
    <w:rsid w:val="29A9738A"/>
    <w:rsid w:val="29EF1E14"/>
    <w:rsid w:val="2A0A48AB"/>
    <w:rsid w:val="2A3C0C26"/>
    <w:rsid w:val="2A4D2E37"/>
    <w:rsid w:val="2ABB2C0F"/>
    <w:rsid w:val="2AC74305"/>
    <w:rsid w:val="2B4C52DF"/>
    <w:rsid w:val="2B676628"/>
    <w:rsid w:val="2BC63EE2"/>
    <w:rsid w:val="2BCB7E65"/>
    <w:rsid w:val="2BD710F4"/>
    <w:rsid w:val="2C2B7C0E"/>
    <w:rsid w:val="2C2D4234"/>
    <w:rsid w:val="2C3D050B"/>
    <w:rsid w:val="2C8D63FE"/>
    <w:rsid w:val="2C9529D5"/>
    <w:rsid w:val="2C965046"/>
    <w:rsid w:val="2CFD5525"/>
    <w:rsid w:val="2D4707DB"/>
    <w:rsid w:val="2D99575D"/>
    <w:rsid w:val="2DC33529"/>
    <w:rsid w:val="2DCE7471"/>
    <w:rsid w:val="2DDD58E1"/>
    <w:rsid w:val="2DE47F8D"/>
    <w:rsid w:val="2E112A2A"/>
    <w:rsid w:val="2E132621"/>
    <w:rsid w:val="2E1C51F1"/>
    <w:rsid w:val="2E2C5491"/>
    <w:rsid w:val="2E372393"/>
    <w:rsid w:val="2E383E35"/>
    <w:rsid w:val="2E3F10E8"/>
    <w:rsid w:val="2E8575B4"/>
    <w:rsid w:val="2E9E4DCF"/>
    <w:rsid w:val="2EF266DA"/>
    <w:rsid w:val="2F224C52"/>
    <w:rsid w:val="2F2443BA"/>
    <w:rsid w:val="2F2D7712"/>
    <w:rsid w:val="2F391032"/>
    <w:rsid w:val="2F605BE8"/>
    <w:rsid w:val="2FA76FB4"/>
    <w:rsid w:val="2FD402DB"/>
    <w:rsid w:val="2FFD10DA"/>
    <w:rsid w:val="30005FF3"/>
    <w:rsid w:val="300C2DE1"/>
    <w:rsid w:val="303614AF"/>
    <w:rsid w:val="308C2216"/>
    <w:rsid w:val="30B302B8"/>
    <w:rsid w:val="30D20C2F"/>
    <w:rsid w:val="30D8741C"/>
    <w:rsid w:val="3154698C"/>
    <w:rsid w:val="317E257D"/>
    <w:rsid w:val="318E1E34"/>
    <w:rsid w:val="31976B07"/>
    <w:rsid w:val="31CD2AE7"/>
    <w:rsid w:val="320B758B"/>
    <w:rsid w:val="322A4D4F"/>
    <w:rsid w:val="32475C6F"/>
    <w:rsid w:val="32772E0C"/>
    <w:rsid w:val="3286616B"/>
    <w:rsid w:val="328A40C1"/>
    <w:rsid w:val="329807ED"/>
    <w:rsid w:val="32A452C1"/>
    <w:rsid w:val="32DD38B6"/>
    <w:rsid w:val="32E524C2"/>
    <w:rsid w:val="33122BFC"/>
    <w:rsid w:val="332556E3"/>
    <w:rsid w:val="332935F5"/>
    <w:rsid w:val="3340798D"/>
    <w:rsid w:val="335204A9"/>
    <w:rsid w:val="336A2F14"/>
    <w:rsid w:val="337D2F8D"/>
    <w:rsid w:val="339064C2"/>
    <w:rsid w:val="33B27C73"/>
    <w:rsid w:val="33C16A05"/>
    <w:rsid w:val="33C213C5"/>
    <w:rsid w:val="33EC0CF8"/>
    <w:rsid w:val="33FE6172"/>
    <w:rsid w:val="34286C6A"/>
    <w:rsid w:val="34571FA7"/>
    <w:rsid w:val="34787734"/>
    <w:rsid w:val="348973D1"/>
    <w:rsid w:val="351871FC"/>
    <w:rsid w:val="35744E69"/>
    <w:rsid w:val="35FD2F6D"/>
    <w:rsid w:val="368708D6"/>
    <w:rsid w:val="36950E10"/>
    <w:rsid w:val="36996207"/>
    <w:rsid w:val="36A66BB1"/>
    <w:rsid w:val="36AD31EC"/>
    <w:rsid w:val="36D25C98"/>
    <w:rsid w:val="36DB03D2"/>
    <w:rsid w:val="36DD421E"/>
    <w:rsid w:val="373C6BB7"/>
    <w:rsid w:val="37416DFE"/>
    <w:rsid w:val="37501922"/>
    <w:rsid w:val="37A83672"/>
    <w:rsid w:val="380E0584"/>
    <w:rsid w:val="38364A98"/>
    <w:rsid w:val="38424AA2"/>
    <w:rsid w:val="389E4FED"/>
    <w:rsid w:val="39076531"/>
    <w:rsid w:val="391A66D7"/>
    <w:rsid w:val="39486B76"/>
    <w:rsid w:val="394C636C"/>
    <w:rsid w:val="396C3DF4"/>
    <w:rsid w:val="398E6D0B"/>
    <w:rsid w:val="39A64349"/>
    <w:rsid w:val="39C07ECF"/>
    <w:rsid w:val="39D9281C"/>
    <w:rsid w:val="39DD7A8E"/>
    <w:rsid w:val="3A3B7454"/>
    <w:rsid w:val="3A94511B"/>
    <w:rsid w:val="3AB31A11"/>
    <w:rsid w:val="3ABE756C"/>
    <w:rsid w:val="3B09743D"/>
    <w:rsid w:val="3B203D96"/>
    <w:rsid w:val="3B294517"/>
    <w:rsid w:val="3B560366"/>
    <w:rsid w:val="3B5846DD"/>
    <w:rsid w:val="3B877DC0"/>
    <w:rsid w:val="3BB87142"/>
    <w:rsid w:val="3BC82E6C"/>
    <w:rsid w:val="3C1B7EF5"/>
    <w:rsid w:val="3C492397"/>
    <w:rsid w:val="3C557588"/>
    <w:rsid w:val="3CAF7276"/>
    <w:rsid w:val="3CB669F0"/>
    <w:rsid w:val="3CC662FE"/>
    <w:rsid w:val="3CCA2A44"/>
    <w:rsid w:val="3CDD5C6A"/>
    <w:rsid w:val="3D1B159F"/>
    <w:rsid w:val="3D260A27"/>
    <w:rsid w:val="3D78424E"/>
    <w:rsid w:val="3D7B1155"/>
    <w:rsid w:val="3E050F28"/>
    <w:rsid w:val="3E12773E"/>
    <w:rsid w:val="3E305936"/>
    <w:rsid w:val="3E606618"/>
    <w:rsid w:val="3ED5112C"/>
    <w:rsid w:val="3F1858E3"/>
    <w:rsid w:val="3F1A1BE8"/>
    <w:rsid w:val="3F3045C8"/>
    <w:rsid w:val="3F550715"/>
    <w:rsid w:val="3F6A7E4C"/>
    <w:rsid w:val="3F970EAD"/>
    <w:rsid w:val="3FA4725F"/>
    <w:rsid w:val="3FC229F6"/>
    <w:rsid w:val="3FC661C8"/>
    <w:rsid w:val="3FEE6950"/>
    <w:rsid w:val="3FF94265"/>
    <w:rsid w:val="3FFF1154"/>
    <w:rsid w:val="40022E21"/>
    <w:rsid w:val="402607C5"/>
    <w:rsid w:val="40284DDD"/>
    <w:rsid w:val="40423494"/>
    <w:rsid w:val="4070214F"/>
    <w:rsid w:val="40875512"/>
    <w:rsid w:val="40966424"/>
    <w:rsid w:val="40AB2936"/>
    <w:rsid w:val="40BA31C0"/>
    <w:rsid w:val="40BB07C3"/>
    <w:rsid w:val="40C046A2"/>
    <w:rsid w:val="40C83C56"/>
    <w:rsid w:val="40DC1B77"/>
    <w:rsid w:val="40E402E6"/>
    <w:rsid w:val="40FE7045"/>
    <w:rsid w:val="41140DB3"/>
    <w:rsid w:val="413A1D00"/>
    <w:rsid w:val="4151103E"/>
    <w:rsid w:val="4151542A"/>
    <w:rsid w:val="415F167E"/>
    <w:rsid w:val="417C70BF"/>
    <w:rsid w:val="417E6BDF"/>
    <w:rsid w:val="42252B95"/>
    <w:rsid w:val="425731BE"/>
    <w:rsid w:val="42583C58"/>
    <w:rsid w:val="42AE765E"/>
    <w:rsid w:val="430F0ADF"/>
    <w:rsid w:val="437267E5"/>
    <w:rsid w:val="43F65146"/>
    <w:rsid w:val="4420353A"/>
    <w:rsid w:val="44461EFF"/>
    <w:rsid w:val="448A413C"/>
    <w:rsid w:val="44AE6EA7"/>
    <w:rsid w:val="44AF09C4"/>
    <w:rsid w:val="44C227EF"/>
    <w:rsid w:val="44C6634E"/>
    <w:rsid w:val="44CC6C2E"/>
    <w:rsid w:val="44D45DFB"/>
    <w:rsid w:val="45160307"/>
    <w:rsid w:val="45366146"/>
    <w:rsid w:val="453B08E9"/>
    <w:rsid w:val="457572C5"/>
    <w:rsid w:val="45A53D0B"/>
    <w:rsid w:val="45AA2934"/>
    <w:rsid w:val="45BD62FC"/>
    <w:rsid w:val="462B31FA"/>
    <w:rsid w:val="463A41BA"/>
    <w:rsid w:val="46441A77"/>
    <w:rsid w:val="468B109F"/>
    <w:rsid w:val="46947BBF"/>
    <w:rsid w:val="46A25506"/>
    <w:rsid w:val="46A41C10"/>
    <w:rsid w:val="46A42951"/>
    <w:rsid w:val="46CE16DD"/>
    <w:rsid w:val="470E3F68"/>
    <w:rsid w:val="471071C1"/>
    <w:rsid w:val="471D0AC9"/>
    <w:rsid w:val="474A6A19"/>
    <w:rsid w:val="478B5BE9"/>
    <w:rsid w:val="478D6D16"/>
    <w:rsid w:val="479E48B1"/>
    <w:rsid w:val="47B91770"/>
    <w:rsid w:val="47E83AFF"/>
    <w:rsid w:val="480A2B4D"/>
    <w:rsid w:val="48175CFB"/>
    <w:rsid w:val="485364DD"/>
    <w:rsid w:val="488C7D6C"/>
    <w:rsid w:val="48AB3A60"/>
    <w:rsid w:val="48D35B96"/>
    <w:rsid w:val="49234D20"/>
    <w:rsid w:val="49515F21"/>
    <w:rsid w:val="495E42FF"/>
    <w:rsid w:val="496A4DE3"/>
    <w:rsid w:val="49C65E72"/>
    <w:rsid w:val="49C86AA4"/>
    <w:rsid w:val="4A005647"/>
    <w:rsid w:val="4A3C684E"/>
    <w:rsid w:val="4A6B6BA1"/>
    <w:rsid w:val="4A8A3D80"/>
    <w:rsid w:val="4AC43C4A"/>
    <w:rsid w:val="4AF313B8"/>
    <w:rsid w:val="4AFC7A63"/>
    <w:rsid w:val="4B4473B1"/>
    <w:rsid w:val="4B63653E"/>
    <w:rsid w:val="4B7834FB"/>
    <w:rsid w:val="4BCD5071"/>
    <w:rsid w:val="4BDF0665"/>
    <w:rsid w:val="4C112076"/>
    <w:rsid w:val="4C273B95"/>
    <w:rsid w:val="4C3E7CE6"/>
    <w:rsid w:val="4C6205A3"/>
    <w:rsid w:val="4CBB3F4D"/>
    <w:rsid w:val="4CBC0CF3"/>
    <w:rsid w:val="4CF11C31"/>
    <w:rsid w:val="4CF5595E"/>
    <w:rsid w:val="4D0E1901"/>
    <w:rsid w:val="4D3D3FCE"/>
    <w:rsid w:val="4D571951"/>
    <w:rsid w:val="4D773BB6"/>
    <w:rsid w:val="4DA86A55"/>
    <w:rsid w:val="4DAF4B51"/>
    <w:rsid w:val="4DE9273F"/>
    <w:rsid w:val="4E08619A"/>
    <w:rsid w:val="4E2B5A65"/>
    <w:rsid w:val="4E5004AC"/>
    <w:rsid w:val="4E521FB0"/>
    <w:rsid w:val="4E7E7399"/>
    <w:rsid w:val="4E8B6898"/>
    <w:rsid w:val="4EB720E4"/>
    <w:rsid w:val="4EBC4E46"/>
    <w:rsid w:val="4ECA4C51"/>
    <w:rsid w:val="4EEF28BE"/>
    <w:rsid w:val="4EEF4729"/>
    <w:rsid w:val="4EFC3E56"/>
    <w:rsid w:val="4EFD3099"/>
    <w:rsid w:val="4F2A7607"/>
    <w:rsid w:val="4F647E0B"/>
    <w:rsid w:val="4F6C1993"/>
    <w:rsid w:val="4F91588E"/>
    <w:rsid w:val="4FC95614"/>
    <w:rsid w:val="4FF16325"/>
    <w:rsid w:val="500F418B"/>
    <w:rsid w:val="50260123"/>
    <w:rsid w:val="503A61A2"/>
    <w:rsid w:val="505610F9"/>
    <w:rsid w:val="505F4B58"/>
    <w:rsid w:val="50632D75"/>
    <w:rsid w:val="506D728A"/>
    <w:rsid w:val="509D6833"/>
    <w:rsid w:val="50A12BD9"/>
    <w:rsid w:val="50B454A2"/>
    <w:rsid w:val="50BF16C7"/>
    <w:rsid w:val="50FA0EA6"/>
    <w:rsid w:val="51017D34"/>
    <w:rsid w:val="5102349D"/>
    <w:rsid w:val="510734C7"/>
    <w:rsid w:val="510834D0"/>
    <w:rsid w:val="510F3226"/>
    <w:rsid w:val="511D1CA8"/>
    <w:rsid w:val="513E0310"/>
    <w:rsid w:val="51846EC4"/>
    <w:rsid w:val="518E1C60"/>
    <w:rsid w:val="51C67D6D"/>
    <w:rsid w:val="51C70B8B"/>
    <w:rsid w:val="51E91C91"/>
    <w:rsid w:val="51EE7040"/>
    <w:rsid w:val="51FE4C62"/>
    <w:rsid w:val="520C46EE"/>
    <w:rsid w:val="526034FF"/>
    <w:rsid w:val="52632790"/>
    <w:rsid w:val="526C3842"/>
    <w:rsid w:val="526E1420"/>
    <w:rsid w:val="52866968"/>
    <w:rsid w:val="52A452C4"/>
    <w:rsid w:val="52D41261"/>
    <w:rsid w:val="52F51CBB"/>
    <w:rsid w:val="53127835"/>
    <w:rsid w:val="531C5B4F"/>
    <w:rsid w:val="531F1F33"/>
    <w:rsid w:val="532C3CD2"/>
    <w:rsid w:val="533A0B35"/>
    <w:rsid w:val="534D21F6"/>
    <w:rsid w:val="535F4EF9"/>
    <w:rsid w:val="536746F1"/>
    <w:rsid w:val="539349F0"/>
    <w:rsid w:val="53C118C9"/>
    <w:rsid w:val="53EE4E13"/>
    <w:rsid w:val="53F061F9"/>
    <w:rsid w:val="54113073"/>
    <w:rsid w:val="54285785"/>
    <w:rsid w:val="545339A2"/>
    <w:rsid w:val="547425FA"/>
    <w:rsid w:val="549535B0"/>
    <w:rsid w:val="549A4653"/>
    <w:rsid w:val="549D0948"/>
    <w:rsid w:val="54DC110F"/>
    <w:rsid w:val="5539030F"/>
    <w:rsid w:val="557A1F5D"/>
    <w:rsid w:val="559E5653"/>
    <w:rsid w:val="55BD77F0"/>
    <w:rsid w:val="55C65667"/>
    <w:rsid w:val="55CB233F"/>
    <w:rsid w:val="55E05C8C"/>
    <w:rsid w:val="5605448A"/>
    <w:rsid w:val="56144C3B"/>
    <w:rsid w:val="561F7505"/>
    <w:rsid w:val="56237A5E"/>
    <w:rsid w:val="56712A9B"/>
    <w:rsid w:val="56D71605"/>
    <w:rsid w:val="56E0567F"/>
    <w:rsid w:val="56E54394"/>
    <w:rsid w:val="56F576D4"/>
    <w:rsid w:val="56F7187C"/>
    <w:rsid w:val="574B30A3"/>
    <w:rsid w:val="57571F2C"/>
    <w:rsid w:val="57963779"/>
    <w:rsid w:val="579E7ED7"/>
    <w:rsid w:val="57A70959"/>
    <w:rsid w:val="57AA5CF4"/>
    <w:rsid w:val="57C655D6"/>
    <w:rsid w:val="57EE4690"/>
    <w:rsid w:val="58245423"/>
    <w:rsid w:val="582E3C6B"/>
    <w:rsid w:val="584B3140"/>
    <w:rsid w:val="585F046A"/>
    <w:rsid w:val="587D3B6E"/>
    <w:rsid w:val="58871392"/>
    <w:rsid w:val="5889510A"/>
    <w:rsid w:val="58901B93"/>
    <w:rsid w:val="5898359F"/>
    <w:rsid w:val="589B4642"/>
    <w:rsid w:val="58BE06F8"/>
    <w:rsid w:val="58E701E7"/>
    <w:rsid w:val="58F843CB"/>
    <w:rsid w:val="597D07BD"/>
    <w:rsid w:val="599363C5"/>
    <w:rsid w:val="59D40B56"/>
    <w:rsid w:val="5A473784"/>
    <w:rsid w:val="5A5A42B1"/>
    <w:rsid w:val="5A9A6DD2"/>
    <w:rsid w:val="5ACC6044"/>
    <w:rsid w:val="5AE164D3"/>
    <w:rsid w:val="5AFB5A70"/>
    <w:rsid w:val="5AFD5F50"/>
    <w:rsid w:val="5B3E4A04"/>
    <w:rsid w:val="5B3E5C79"/>
    <w:rsid w:val="5B3F0CA8"/>
    <w:rsid w:val="5B570919"/>
    <w:rsid w:val="5B6044C2"/>
    <w:rsid w:val="5B6C3EF0"/>
    <w:rsid w:val="5B8371BD"/>
    <w:rsid w:val="5BC863C0"/>
    <w:rsid w:val="5BE67718"/>
    <w:rsid w:val="5C06061A"/>
    <w:rsid w:val="5C0E3334"/>
    <w:rsid w:val="5C192697"/>
    <w:rsid w:val="5C4373A0"/>
    <w:rsid w:val="5C447CC6"/>
    <w:rsid w:val="5C485468"/>
    <w:rsid w:val="5C715599"/>
    <w:rsid w:val="5CC6014B"/>
    <w:rsid w:val="5CE27E67"/>
    <w:rsid w:val="5D230B66"/>
    <w:rsid w:val="5D6418B2"/>
    <w:rsid w:val="5D8A2688"/>
    <w:rsid w:val="5DB350AA"/>
    <w:rsid w:val="5DED2098"/>
    <w:rsid w:val="5DEE370E"/>
    <w:rsid w:val="5E0C11F0"/>
    <w:rsid w:val="5E3077F0"/>
    <w:rsid w:val="5E4F3D1B"/>
    <w:rsid w:val="5E7F4FE5"/>
    <w:rsid w:val="5E9D7B78"/>
    <w:rsid w:val="5EB15B51"/>
    <w:rsid w:val="5EE017FC"/>
    <w:rsid w:val="5EF05C2F"/>
    <w:rsid w:val="5EFE1E35"/>
    <w:rsid w:val="5F022E0D"/>
    <w:rsid w:val="5F5D1B07"/>
    <w:rsid w:val="5F9F1E89"/>
    <w:rsid w:val="5FB53B63"/>
    <w:rsid w:val="5FCE60B5"/>
    <w:rsid w:val="5FDB4EED"/>
    <w:rsid w:val="5FDF278A"/>
    <w:rsid w:val="60111CD0"/>
    <w:rsid w:val="60130DC7"/>
    <w:rsid w:val="60CF1B28"/>
    <w:rsid w:val="60D550FF"/>
    <w:rsid w:val="60E20E5A"/>
    <w:rsid w:val="60EA57BB"/>
    <w:rsid w:val="611B0853"/>
    <w:rsid w:val="615C33BC"/>
    <w:rsid w:val="616314DB"/>
    <w:rsid w:val="61677FB2"/>
    <w:rsid w:val="61771E39"/>
    <w:rsid w:val="618047F4"/>
    <w:rsid w:val="618D0736"/>
    <w:rsid w:val="61A84B0B"/>
    <w:rsid w:val="61B41449"/>
    <w:rsid w:val="61B54830"/>
    <w:rsid w:val="61D66E56"/>
    <w:rsid w:val="61DB05B5"/>
    <w:rsid w:val="61E6438B"/>
    <w:rsid w:val="621C5EEE"/>
    <w:rsid w:val="62652744"/>
    <w:rsid w:val="6294694F"/>
    <w:rsid w:val="62E83F51"/>
    <w:rsid w:val="631B1054"/>
    <w:rsid w:val="632131B2"/>
    <w:rsid w:val="63290F90"/>
    <w:rsid w:val="634F07DE"/>
    <w:rsid w:val="63685240"/>
    <w:rsid w:val="638D7E4D"/>
    <w:rsid w:val="638E5CCA"/>
    <w:rsid w:val="63B61867"/>
    <w:rsid w:val="63D13112"/>
    <w:rsid w:val="63FB14D7"/>
    <w:rsid w:val="64297581"/>
    <w:rsid w:val="64AF59D8"/>
    <w:rsid w:val="64BC33BF"/>
    <w:rsid w:val="64D9611A"/>
    <w:rsid w:val="64F7302E"/>
    <w:rsid w:val="651263D5"/>
    <w:rsid w:val="653528B7"/>
    <w:rsid w:val="65355D07"/>
    <w:rsid w:val="65367D37"/>
    <w:rsid w:val="658954CB"/>
    <w:rsid w:val="65AC5CC3"/>
    <w:rsid w:val="65E23B21"/>
    <w:rsid w:val="660576BF"/>
    <w:rsid w:val="662452F1"/>
    <w:rsid w:val="663F28CB"/>
    <w:rsid w:val="66540B05"/>
    <w:rsid w:val="66934A06"/>
    <w:rsid w:val="66A17AC3"/>
    <w:rsid w:val="66C53214"/>
    <w:rsid w:val="66C96359"/>
    <w:rsid w:val="673D6311"/>
    <w:rsid w:val="67490DDC"/>
    <w:rsid w:val="67826BDE"/>
    <w:rsid w:val="679F3F68"/>
    <w:rsid w:val="67A70F09"/>
    <w:rsid w:val="67BE2C61"/>
    <w:rsid w:val="67E30F24"/>
    <w:rsid w:val="67E96CCA"/>
    <w:rsid w:val="68073658"/>
    <w:rsid w:val="6811392E"/>
    <w:rsid w:val="682F2960"/>
    <w:rsid w:val="68331422"/>
    <w:rsid w:val="6839243A"/>
    <w:rsid w:val="683D7311"/>
    <w:rsid w:val="68B85370"/>
    <w:rsid w:val="690305C1"/>
    <w:rsid w:val="6906005F"/>
    <w:rsid w:val="690953E5"/>
    <w:rsid w:val="69240F1A"/>
    <w:rsid w:val="69434ECD"/>
    <w:rsid w:val="69436C99"/>
    <w:rsid w:val="69753D76"/>
    <w:rsid w:val="699C4A0C"/>
    <w:rsid w:val="699C566D"/>
    <w:rsid w:val="69C24906"/>
    <w:rsid w:val="69D02DD8"/>
    <w:rsid w:val="69E52A5D"/>
    <w:rsid w:val="6A202C0C"/>
    <w:rsid w:val="6A3327B2"/>
    <w:rsid w:val="6A4B07D1"/>
    <w:rsid w:val="6ABA67E5"/>
    <w:rsid w:val="6ABB4F65"/>
    <w:rsid w:val="6ABD2B56"/>
    <w:rsid w:val="6AC27EAE"/>
    <w:rsid w:val="6AD36051"/>
    <w:rsid w:val="6B066F0B"/>
    <w:rsid w:val="6B082341"/>
    <w:rsid w:val="6B0B7984"/>
    <w:rsid w:val="6B381CDB"/>
    <w:rsid w:val="6B3B1EBB"/>
    <w:rsid w:val="6B514F4F"/>
    <w:rsid w:val="6B65651D"/>
    <w:rsid w:val="6B6749AF"/>
    <w:rsid w:val="6BC6707F"/>
    <w:rsid w:val="6BE22114"/>
    <w:rsid w:val="6C1A3BF5"/>
    <w:rsid w:val="6C2F28D7"/>
    <w:rsid w:val="6C8D2059"/>
    <w:rsid w:val="6CCC5E0B"/>
    <w:rsid w:val="6CD53D3E"/>
    <w:rsid w:val="6CDA642A"/>
    <w:rsid w:val="6D2E69C3"/>
    <w:rsid w:val="6D383457"/>
    <w:rsid w:val="6D4E7480"/>
    <w:rsid w:val="6DA20E25"/>
    <w:rsid w:val="6DDE3FA6"/>
    <w:rsid w:val="6DFD581F"/>
    <w:rsid w:val="6EB433DC"/>
    <w:rsid w:val="6ED365E8"/>
    <w:rsid w:val="6EEC06B7"/>
    <w:rsid w:val="6EF3178D"/>
    <w:rsid w:val="6EFE214E"/>
    <w:rsid w:val="6F080C3B"/>
    <w:rsid w:val="6F6638ED"/>
    <w:rsid w:val="6F7A3AF3"/>
    <w:rsid w:val="6F9A2F0D"/>
    <w:rsid w:val="6F9A4CA5"/>
    <w:rsid w:val="6FC23F95"/>
    <w:rsid w:val="6FDF1B36"/>
    <w:rsid w:val="6FE524A7"/>
    <w:rsid w:val="6FED3F34"/>
    <w:rsid w:val="6FFF6CEB"/>
    <w:rsid w:val="70067D67"/>
    <w:rsid w:val="700C7D63"/>
    <w:rsid w:val="702208DA"/>
    <w:rsid w:val="70437397"/>
    <w:rsid w:val="70714D08"/>
    <w:rsid w:val="70954B5D"/>
    <w:rsid w:val="7097776B"/>
    <w:rsid w:val="710358B5"/>
    <w:rsid w:val="71320A1A"/>
    <w:rsid w:val="7148020F"/>
    <w:rsid w:val="714874B8"/>
    <w:rsid w:val="714C3FD8"/>
    <w:rsid w:val="714C4577"/>
    <w:rsid w:val="716C28B5"/>
    <w:rsid w:val="71B95857"/>
    <w:rsid w:val="71C11A5D"/>
    <w:rsid w:val="71C94E53"/>
    <w:rsid w:val="720930EC"/>
    <w:rsid w:val="725044EC"/>
    <w:rsid w:val="725323A5"/>
    <w:rsid w:val="725E1292"/>
    <w:rsid w:val="726D3801"/>
    <w:rsid w:val="727C780C"/>
    <w:rsid w:val="72F44D01"/>
    <w:rsid w:val="731B3DFF"/>
    <w:rsid w:val="73786792"/>
    <w:rsid w:val="738844E4"/>
    <w:rsid w:val="739E3117"/>
    <w:rsid w:val="73BA4961"/>
    <w:rsid w:val="73BB0707"/>
    <w:rsid w:val="73CF5B09"/>
    <w:rsid w:val="740D49E9"/>
    <w:rsid w:val="7414159E"/>
    <w:rsid w:val="742E794F"/>
    <w:rsid w:val="74385F75"/>
    <w:rsid w:val="74485637"/>
    <w:rsid w:val="744D11B3"/>
    <w:rsid w:val="747D0B9F"/>
    <w:rsid w:val="7484284B"/>
    <w:rsid w:val="74890514"/>
    <w:rsid w:val="74965B05"/>
    <w:rsid w:val="74A939AB"/>
    <w:rsid w:val="74DF3D74"/>
    <w:rsid w:val="74E05E61"/>
    <w:rsid w:val="750202C6"/>
    <w:rsid w:val="75035446"/>
    <w:rsid w:val="75055A6D"/>
    <w:rsid w:val="7506740D"/>
    <w:rsid w:val="75D4756D"/>
    <w:rsid w:val="75D7117E"/>
    <w:rsid w:val="75E46208"/>
    <w:rsid w:val="75E9242C"/>
    <w:rsid w:val="761C70D6"/>
    <w:rsid w:val="762D45B4"/>
    <w:rsid w:val="76345C1E"/>
    <w:rsid w:val="765D0BDA"/>
    <w:rsid w:val="767C3626"/>
    <w:rsid w:val="76C92DEE"/>
    <w:rsid w:val="76DA32A9"/>
    <w:rsid w:val="772D030C"/>
    <w:rsid w:val="774937B5"/>
    <w:rsid w:val="775A0DE3"/>
    <w:rsid w:val="77965C19"/>
    <w:rsid w:val="77E643FE"/>
    <w:rsid w:val="78006D3F"/>
    <w:rsid w:val="78045E7B"/>
    <w:rsid w:val="7842492A"/>
    <w:rsid w:val="78610F65"/>
    <w:rsid w:val="786848E4"/>
    <w:rsid w:val="7879264D"/>
    <w:rsid w:val="78A91105"/>
    <w:rsid w:val="78B071EB"/>
    <w:rsid w:val="78D3447E"/>
    <w:rsid w:val="78F65981"/>
    <w:rsid w:val="79021147"/>
    <w:rsid w:val="79B2163A"/>
    <w:rsid w:val="79C53513"/>
    <w:rsid w:val="7A0B003F"/>
    <w:rsid w:val="7A195E96"/>
    <w:rsid w:val="7A3B66BC"/>
    <w:rsid w:val="7A680A7C"/>
    <w:rsid w:val="7A6F1DB1"/>
    <w:rsid w:val="7A9416DE"/>
    <w:rsid w:val="7AA159FA"/>
    <w:rsid w:val="7AB276AF"/>
    <w:rsid w:val="7AFF0B04"/>
    <w:rsid w:val="7B004D90"/>
    <w:rsid w:val="7B3007B4"/>
    <w:rsid w:val="7B3C0AC9"/>
    <w:rsid w:val="7B3E3B49"/>
    <w:rsid w:val="7B4414B7"/>
    <w:rsid w:val="7B455BB0"/>
    <w:rsid w:val="7B920D7E"/>
    <w:rsid w:val="7B9C2C0E"/>
    <w:rsid w:val="7BB3231A"/>
    <w:rsid w:val="7BB50953"/>
    <w:rsid w:val="7BB66BC0"/>
    <w:rsid w:val="7BD61C95"/>
    <w:rsid w:val="7BD927D6"/>
    <w:rsid w:val="7BFD00CE"/>
    <w:rsid w:val="7C1B1ED1"/>
    <w:rsid w:val="7C3A5B6C"/>
    <w:rsid w:val="7C413482"/>
    <w:rsid w:val="7C453FA6"/>
    <w:rsid w:val="7C5348E9"/>
    <w:rsid w:val="7C9864E6"/>
    <w:rsid w:val="7C9B5288"/>
    <w:rsid w:val="7CA91615"/>
    <w:rsid w:val="7CC027B1"/>
    <w:rsid w:val="7CD673E6"/>
    <w:rsid w:val="7CDF048A"/>
    <w:rsid w:val="7CE928BF"/>
    <w:rsid w:val="7D2334DD"/>
    <w:rsid w:val="7D461C4A"/>
    <w:rsid w:val="7D601847"/>
    <w:rsid w:val="7D7A4757"/>
    <w:rsid w:val="7D836CF5"/>
    <w:rsid w:val="7D843A65"/>
    <w:rsid w:val="7DB94FE7"/>
    <w:rsid w:val="7DE85610"/>
    <w:rsid w:val="7E092462"/>
    <w:rsid w:val="7E3F54C8"/>
    <w:rsid w:val="7EA65BD8"/>
    <w:rsid w:val="7EF07766"/>
    <w:rsid w:val="7F03416E"/>
    <w:rsid w:val="7F0B2E45"/>
    <w:rsid w:val="7F486C4B"/>
    <w:rsid w:val="7F7D45B6"/>
    <w:rsid w:val="7F870599"/>
    <w:rsid w:val="7F8B2AA9"/>
    <w:rsid w:val="7FB863AC"/>
    <w:rsid w:val="7FD840FD"/>
    <w:rsid w:val="7FE707E4"/>
    <w:rsid w:val="7FED39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autoRedefine/>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paragraph" w:styleId="4">
    <w:name w:val="heading 2"/>
    <w:basedOn w:val="1"/>
    <w:next w:val="1"/>
    <w:link w:val="69"/>
    <w:autoRedefine/>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autoRedefine/>
    <w:qFormat/>
    <w:uiPriority w:val="0"/>
    <w:pPr>
      <w:keepNext/>
      <w:keepLines/>
      <w:spacing w:before="260" w:beforeLines="0" w:beforeAutospacing="0" w:after="260" w:afterLines="0" w:afterAutospacing="0" w:line="413" w:lineRule="auto"/>
      <w:jc w:val="center"/>
      <w:outlineLvl w:val="2"/>
    </w:pPr>
    <w:rPr>
      <w:b/>
      <w:sz w:val="44"/>
    </w:rPr>
  </w:style>
  <w:style w:type="paragraph" w:styleId="6">
    <w:name w:val="heading 4"/>
    <w:basedOn w:val="1"/>
    <w:next w:val="1"/>
    <w:qFormat/>
    <w:uiPriority w:val="0"/>
    <w:pPr>
      <w:keepNext/>
      <w:keepLines/>
      <w:numPr>
        <w:ilvl w:val="0"/>
        <w:numId w:val="1"/>
      </w:numPr>
      <w:spacing w:before="560" w:after="290" w:line="377"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9">
    <w:name w:val="heading 7"/>
    <w:basedOn w:val="1"/>
    <w:next w:val="1"/>
    <w:autoRedefine/>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0">
    <w:name w:val="heading 8"/>
    <w:basedOn w:val="1"/>
    <w:next w:val="1"/>
    <w:autoRedefine/>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0">
    <w:name w:val="Default Paragraph Font"/>
    <w:qFormat/>
    <w:uiPriority w:val="0"/>
  </w:style>
  <w:style w:type="table" w:default="1" w:styleId="58">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rFonts w:ascii="仿宋_GB2312" w:eastAsia="仿宋_GB2312"/>
      <w:kern w:val="2"/>
      <w:sz w:val="32"/>
    </w:rPr>
  </w:style>
  <w:style w:type="paragraph" w:styleId="12">
    <w:name w:val="List 3"/>
    <w:basedOn w:val="1"/>
    <w:autoRedefine/>
    <w:qFormat/>
    <w:uiPriority w:val="0"/>
    <w:pPr>
      <w:adjustRightInd w:val="0"/>
      <w:snapToGrid w:val="0"/>
      <w:spacing w:line="360" w:lineRule="auto"/>
      <w:ind w:left="100" w:leftChars="400" w:hanging="200" w:hangingChars="200"/>
    </w:pPr>
    <w:rPr>
      <w:sz w:val="24"/>
    </w:rPr>
  </w:style>
  <w:style w:type="paragraph" w:styleId="13">
    <w:name w:val="toc 7"/>
    <w:basedOn w:val="1"/>
    <w:next w:val="1"/>
    <w:autoRedefine/>
    <w:qFormat/>
    <w:uiPriority w:val="0"/>
    <w:pPr>
      <w:ind w:left="2520" w:leftChars="1200"/>
    </w:pPr>
  </w:style>
  <w:style w:type="paragraph" w:styleId="14">
    <w:name w:val="List Number 2"/>
    <w:basedOn w:val="1"/>
    <w:autoRedefine/>
    <w:qFormat/>
    <w:uiPriority w:val="0"/>
    <w:pPr>
      <w:numPr>
        <w:ilvl w:val="0"/>
        <w:numId w:val="2"/>
      </w:numPr>
      <w:spacing w:line="360" w:lineRule="auto"/>
    </w:pPr>
    <w:rPr>
      <w:sz w:val="24"/>
    </w:rPr>
  </w:style>
  <w:style w:type="paragraph" w:styleId="15">
    <w:name w:val="List Bullet 4"/>
    <w:basedOn w:val="1"/>
    <w:autoRedefine/>
    <w:qFormat/>
    <w:uiPriority w:val="0"/>
    <w:pPr>
      <w:widowControl/>
      <w:numPr>
        <w:ilvl w:val="0"/>
        <w:numId w:val="3"/>
      </w:numPr>
      <w:tabs>
        <w:tab w:val="left" w:pos="1134"/>
        <w:tab w:val="clear" w:pos="1620"/>
      </w:tabs>
      <w:adjustRightInd w:val="0"/>
      <w:snapToGrid w:val="0"/>
      <w:spacing w:before="120" w:line="280" w:lineRule="atLeast"/>
      <w:ind w:left="1418" w:hanging="284"/>
      <w:jc w:val="left"/>
    </w:pPr>
    <w:rPr>
      <w:rFonts w:ascii="宋体"/>
      <w:kern w:val="0"/>
      <w:sz w:val="22"/>
    </w:rPr>
  </w:style>
  <w:style w:type="paragraph" w:styleId="16">
    <w:name w:val="Normal Indent"/>
    <w:basedOn w:val="1"/>
    <w:autoRedefine/>
    <w:qFormat/>
    <w:uiPriority w:val="0"/>
    <w:pPr>
      <w:adjustRightInd w:val="0"/>
      <w:snapToGrid w:val="0"/>
      <w:spacing w:line="360" w:lineRule="auto"/>
      <w:ind w:firstLine="420"/>
    </w:pPr>
    <w:rPr>
      <w:sz w:val="24"/>
    </w:rPr>
  </w:style>
  <w:style w:type="paragraph" w:styleId="17">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autoRedefine/>
    <w:qFormat/>
    <w:uiPriority w:val="0"/>
    <w:pPr>
      <w:shd w:val="clear" w:color="auto" w:fill="000080"/>
    </w:pPr>
  </w:style>
  <w:style w:type="paragraph" w:styleId="19">
    <w:name w:val="toa heading"/>
    <w:basedOn w:val="1"/>
    <w:next w:val="1"/>
    <w:autoRedefine/>
    <w:qFormat/>
    <w:uiPriority w:val="0"/>
    <w:pPr>
      <w:spacing w:before="120" w:beforeLines="0" w:beforeAutospacing="0"/>
    </w:pPr>
    <w:rPr>
      <w:rFonts w:ascii="Arial" w:hAnsi="Arial"/>
      <w:sz w:val="24"/>
    </w:rPr>
  </w:style>
  <w:style w:type="paragraph" w:styleId="20">
    <w:name w:val="annotation text"/>
    <w:basedOn w:val="1"/>
    <w:link w:val="70"/>
    <w:autoRedefine/>
    <w:qFormat/>
    <w:uiPriority w:val="99"/>
    <w:pPr>
      <w:widowControl/>
      <w:tabs>
        <w:tab w:val="left" w:pos="1134"/>
      </w:tabs>
      <w:adjustRightInd w:val="0"/>
      <w:snapToGrid w:val="0"/>
      <w:spacing w:line="280" w:lineRule="atLeast"/>
      <w:jc w:val="left"/>
    </w:pPr>
    <w:rPr>
      <w:rFonts w:eastAsia="PMingLiU"/>
      <w:kern w:val="0"/>
      <w:sz w:val="24"/>
      <w:lang w:eastAsia="zh-TW"/>
    </w:rPr>
  </w:style>
  <w:style w:type="paragraph" w:styleId="21">
    <w:name w:val="Body Text 3"/>
    <w:basedOn w:val="1"/>
    <w:autoRedefine/>
    <w:qFormat/>
    <w:uiPriority w:val="0"/>
    <w:pPr>
      <w:adjustRightInd w:val="0"/>
      <w:snapToGrid w:val="0"/>
      <w:spacing w:after="120" w:afterLines="0" w:afterAutospacing="0" w:line="360" w:lineRule="auto"/>
    </w:pPr>
    <w:rPr>
      <w:sz w:val="16"/>
    </w:rPr>
  </w:style>
  <w:style w:type="paragraph" w:styleId="22">
    <w:name w:val="List Bullet 3"/>
    <w:basedOn w:val="1"/>
    <w:autoRedefine/>
    <w:qFormat/>
    <w:uiPriority w:val="0"/>
    <w:pPr>
      <w:numPr>
        <w:ilvl w:val="0"/>
        <w:numId w:val="4"/>
      </w:numPr>
      <w:adjustRightInd w:val="0"/>
      <w:snapToGrid w:val="0"/>
      <w:spacing w:line="360" w:lineRule="auto"/>
    </w:pPr>
    <w:rPr>
      <w:sz w:val="24"/>
    </w:rPr>
  </w:style>
  <w:style w:type="paragraph" w:styleId="23">
    <w:name w:val="Body Text Indent"/>
    <w:basedOn w:val="1"/>
    <w:autoRedefine/>
    <w:qFormat/>
    <w:uiPriority w:val="0"/>
    <w:pPr>
      <w:spacing w:line="700" w:lineRule="exact"/>
      <w:ind w:left="960"/>
    </w:pPr>
    <w:rPr>
      <w:sz w:val="44"/>
    </w:rPr>
  </w:style>
  <w:style w:type="paragraph" w:styleId="24">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5">
    <w:name w:val="List 2"/>
    <w:basedOn w:val="1"/>
    <w:autoRedefine/>
    <w:qFormat/>
    <w:uiPriority w:val="0"/>
    <w:pPr>
      <w:adjustRightInd w:val="0"/>
      <w:snapToGrid w:val="0"/>
      <w:spacing w:line="360" w:lineRule="auto"/>
      <w:ind w:left="100" w:leftChars="200" w:hanging="200" w:hangingChars="200"/>
    </w:pPr>
    <w:rPr>
      <w:sz w:val="24"/>
    </w:rPr>
  </w:style>
  <w:style w:type="paragraph" w:styleId="26">
    <w:name w:val="List Continue"/>
    <w:basedOn w:val="1"/>
    <w:autoRedefine/>
    <w:qFormat/>
    <w:uiPriority w:val="0"/>
    <w:pPr>
      <w:adjustRightInd w:val="0"/>
      <w:snapToGrid w:val="0"/>
      <w:spacing w:after="120" w:afterLines="0" w:afterAutospacing="0" w:line="360" w:lineRule="auto"/>
      <w:ind w:left="420" w:leftChars="200"/>
    </w:pPr>
    <w:rPr>
      <w:sz w:val="24"/>
    </w:rPr>
  </w:style>
  <w:style w:type="paragraph" w:styleId="27">
    <w:name w:val="List Bullet 2"/>
    <w:basedOn w:val="1"/>
    <w:autoRedefine/>
    <w:qFormat/>
    <w:uiPriority w:val="0"/>
    <w:pPr>
      <w:numPr>
        <w:ilvl w:val="0"/>
        <w:numId w:val="5"/>
      </w:numPr>
      <w:adjustRightInd w:val="0"/>
      <w:snapToGrid w:val="0"/>
      <w:spacing w:line="360" w:lineRule="auto"/>
    </w:pPr>
    <w:rPr>
      <w:sz w:val="24"/>
    </w:rPr>
  </w:style>
  <w:style w:type="paragraph" w:styleId="28">
    <w:name w:val="toc 5"/>
    <w:basedOn w:val="1"/>
    <w:next w:val="1"/>
    <w:autoRedefine/>
    <w:qFormat/>
    <w:uiPriority w:val="0"/>
    <w:pPr>
      <w:ind w:left="1680" w:leftChars="800"/>
    </w:pPr>
  </w:style>
  <w:style w:type="paragraph" w:styleId="29">
    <w:name w:val="toc 3"/>
    <w:basedOn w:val="1"/>
    <w:next w:val="1"/>
    <w:autoRedefine/>
    <w:qFormat/>
    <w:uiPriority w:val="0"/>
    <w:pPr>
      <w:ind w:left="840" w:leftChars="400"/>
    </w:pPr>
  </w:style>
  <w:style w:type="paragraph" w:styleId="30">
    <w:name w:val="Plain Text"/>
    <w:basedOn w:val="1"/>
    <w:next w:val="31"/>
    <w:link w:val="71"/>
    <w:autoRedefine/>
    <w:qFormat/>
    <w:uiPriority w:val="0"/>
    <w:pPr>
      <w:adjustRightInd w:val="0"/>
      <w:snapToGrid w:val="0"/>
      <w:spacing w:line="360" w:lineRule="auto"/>
    </w:pPr>
    <w:rPr>
      <w:rFonts w:ascii="宋体" w:hAnsi="Courier New"/>
      <w:sz w:val="21"/>
    </w:rPr>
  </w:style>
  <w:style w:type="paragraph" w:customStyle="1" w:styleId="31">
    <w:name w:val="Default"/>
    <w:basedOn w:val="1"/>
    <w:next w:val="1"/>
    <w:autoRedefine/>
    <w:qFormat/>
    <w:uiPriority w:val="99"/>
    <w:pPr>
      <w:autoSpaceDE w:val="0"/>
      <w:autoSpaceDN w:val="0"/>
      <w:adjustRightInd w:val="0"/>
      <w:jc w:val="left"/>
    </w:pPr>
    <w:rPr>
      <w:rFonts w:ascii="......." w:hAnsi="Calibri"/>
      <w:color w:val="000000"/>
      <w:kern w:val="0"/>
      <w:sz w:val="24"/>
      <w:szCs w:val="24"/>
    </w:rPr>
  </w:style>
  <w:style w:type="paragraph" w:styleId="32">
    <w:name w:val="toc 8"/>
    <w:basedOn w:val="1"/>
    <w:next w:val="1"/>
    <w:autoRedefine/>
    <w:qFormat/>
    <w:uiPriority w:val="0"/>
    <w:pPr>
      <w:ind w:left="2940" w:leftChars="1400"/>
    </w:pPr>
  </w:style>
  <w:style w:type="paragraph" w:styleId="33">
    <w:name w:val="Date"/>
    <w:basedOn w:val="1"/>
    <w:next w:val="1"/>
    <w:link w:val="72"/>
    <w:autoRedefine/>
    <w:qFormat/>
    <w:uiPriority w:val="0"/>
  </w:style>
  <w:style w:type="paragraph" w:styleId="34">
    <w:name w:val="Body Text Indent 2"/>
    <w:basedOn w:val="1"/>
    <w:autoRedefine/>
    <w:qFormat/>
    <w:uiPriority w:val="0"/>
    <w:pPr>
      <w:snapToGrid w:val="0"/>
      <w:spacing w:line="440" w:lineRule="atLeast"/>
      <w:ind w:firstLine="570"/>
    </w:pPr>
    <w:rPr>
      <w:rFonts w:ascii="宋体"/>
    </w:rPr>
  </w:style>
  <w:style w:type="paragraph" w:styleId="35">
    <w:name w:val="Balloon Text"/>
    <w:basedOn w:val="1"/>
    <w:autoRedefine/>
    <w:qFormat/>
    <w:uiPriority w:val="0"/>
    <w:rPr>
      <w:sz w:val="18"/>
    </w:rPr>
  </w:style>
  <w:style w:type="paragraph" w:styleId="36">
    <w:name w:val="footer"/>
    <w:basedOn w:val="1"/>
    <w:link w:val="73"/>
    <w:autoRedefine/>
    <w:qFormat/>
    <w:uiPriority w:val="99"/>
    <w:pPr>
      <w:tabs>
        <w:tab w:val="center" w:pos="4153"/>
        <w:tab w:val="right" w:pos="8306"/>
      </w:tabs>
      <w:snapToGrid w:val="0"/>
      <w:jc w:val="left"/>
    </w:pPr>
    <w:rPr>
      <w:sz w:val="18"/>
    </w:rPr>
  </w:style>
  <w:style w:type="paragraph" w:styleId="37">
    <w:name w:val="header"/>
    <w:basedOn w:val="1"/>
    <w:link w:val="74"/>
    <w:autoRedefine/>
    <w:qFormat/>
    <w:uiPriority w:val="99"/>
    <w:pPr>
      <w:pBdr>
        <w:bottom w:val="single" w:color="auto" w:sz="6" w:space="1"/>
      </w:pBdr>
      <w:tabs>
        <w:tab w:val="center" w:pos="4153"/>
        <w:tab w:val="right" w:pos="8306"/>
      </w:tabs>
      <w:snapToGrid w:val="0"/>
      <w:jc w:val="center"/>
    </w:pPr>
    <w:rPr>
      <w:sz w:val="18"/>
    </w:rPr>
  </w:style>
  <w:style w:type="paragraph" w:styleId="38">
    <w:name w:val="toc 1"/>
    <w:basedOn w:val="1"/>
    <w:next w:val="1"/>
    <w:autoRedefine/>
    <w:qFormat/>
    <w:uiPriority w:val="39"/>
    <w:pPr>
      <w:tabs>
        <w:tab w:val="left" w:pos="1260"/>
        <w:tab w:val="left" w:pos="1685"/>
        <w:tab w:val="right" w:leader="dot" w:pos="8400"/>
      </w:tabs>
      <w:spacing w:line="320" w:lineRule="exact"/>
      <w:ind w:firstLine="280" w:firstLineChars="100"/>
    </w:pPr>
  </w:style>
  <w:style w:type="paragraph" w:styleId="39">
    <w:name w:val="List Continue 4"/>
    <w:basedOn w:val="1"/>
    <w:autoRedefine/>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autoRedefine/>
    <w:qFormat/>
    <w:uiPriority w:val="0"/>
    <w:pPr>
      <w:ind w:left="1260" w:leftChars="600"/>
    </w:pPr>
  </w:style>
  <w:style w:type="paragraph" w:styleId="41">
    <w:name w:val="footnote text"/>
    <w:basedOn w:val="1"/>
    <w:autoRedefine/>
    <w:qFormat/>
    <w:uiPriority w:val="0"/>
    <w:pPr>
      <w:spacing w:line="360" w:lineRule="auto"/>
    </w:pPr>
    <w:rPr>
      <w:sz w:val="18"/>
    </w:rPr>
  </w:style>
  <w:style w:type="paragraph" w:styleId="42">
    <w:name w:val="toc 6"/>
    <w:basedOn w:val="1"/>
    <w:next w:val="1"/>
    <w:autoRedefine/>
    <w:qFormat/>
    <w:uiPriority w:val="0"/>
    <w:pPr>
      <w:ind w:left="2100" w:leftChars="1000"/>
    </w:pPr>
  </w:style>
  <w:style w:type="paragraph" w:styleId="43">
    <w:name w:val="List 5"/>
    <w:basedOn w:val="1"/>
    <w:autoRedefine/>
    <w:qFormat/>
    <w:uiPriority w:val="0"/>
    <w:pPr>
      <w:adjustRightInd w:val="0"/>
      <w:snapToGrid w:val="0"/>
      <w:spacing w:line="360" w:lineRule="auto"/>
      <w:ind w:left="100" w:leftChars="800" w:hanging="200" w:hangingChars="200"/>
    </w:pPr>
    <w:rPr>
      <w:sz w:val="24"/>
    </w:rPr>
  </w:style>
  <w:style w:type="paragraph" w:styleId="44">
    <w:name w:val="Body Text Indent 3"/>
    <w:basedOn w:val="1"/>
    <w:autoRedefine/>
    <w:qFormat/>
    <w:uiPriority w:val="0"/>
    <w:pPr>
      <w:spacing w:line="360" w:lineRule="auto"/>
      <w:ind w:firstLine="632"/>
    </w:pPr>
    <w:rPr>
      <w:rFonts w:ascii="黑体" w:eastAsia="黑体"/>
    </w:rPr>
  </w:style>
  <w:style w:type="paragraph" w:styleId="45">
    <w:name w:val="table of figures"/>
    <w:basedOn w:val="1"/>
    <w:next w:val="1"/>
    <w:autoRedefine/>
    <w:qFormat/>
    <w:uiPriority w:val="0"/>
    <w:pPr>
      <w:tabs>
        <w:tab w:val="right" w:leader="dot" w:pos="8640"/>
      </w:tabs>
      <w:spacing w:line="360" w:lineRule="auto"/>
      <w:ind w:left="400" w:hanging="400"/>
    </w:pPr>
    <w:rPr>
      <w:sz w:val="24"/>
    </w:rPr>
  </w:style>
  <w:style w:type="paragraph" w:styleId="46">
    <w:name w:val="toc 2"/>
    <w:basedOn w:val="1"/>
    <w:next w:val="1"/>
    <w:autoRedefine/>
    <w:qFormat/>
    <w:uiPriority w:val="39"/>
    <w:pPr>
      <w:tabs>
        <w:tab w:val="right" w:leader="dot" w:pos="8400"/>
      </w:tabs>
      <w:spacing w:line="440" w:lineRule="exact"/>
      <w:ind w:left="280" w:leftChars="100" w:rightChars="-91"/>
    </w:pPr>
  </w:style>
  <w:style w:type="paragraph" w:styleId="47">
    <w:name w:val="toc 9"/>
    <w:basedOn w:val="1"/>
    <w:next w:val="1"/>
    <w:autoRedefine/>
    <w:qFormat/>
    <w:uiPriority w:val="0"/>
    <w:pPr>
      <w:ind w:left="3360" w:leftChars="1600"/>
    </w:pPr>
  </w:style>
  <w:style w:type="paragraph" w:styleId="48">
    <w:name w:val="Body Text 2"/>
    <w:basedOn w:val="1"/>
    <w:autoRedefine/>
    <w:qFormat/>
    <w:uiPriority w:val="0"/>
    <w:pPr>
      <w:adjustRightInd w:val="0"/>
      <w:snapToGrid w:val="0"/>
      <w:spacing w:after="120" w:afterLines="0" w:afterAutospacing="0" w:line="480" w:lineRule="auto"/>
    </w:pPr>
    <w:rPr>
      <w:sz w:val="24"/>
    </w:rPr>
  </w:style>
  <w:style w:type="paragraph" w:styleId="49">
    <w:name w:val="List 4"/>
    <w:basedOn w:val="1"/>
    <w:autoRedefine/>
    <w:qFormat/>
    <w:uiPriority w:val="0"/>
    <w:pPr>
      <w:adjustRightInd w:val="0"/>
      <w:snapToGrid w:val="0"/>
      <w:spacing w:line="360" w:lineRule="auto"/>
      <w:ind w:left="100" w:leftChars="600" w:hanging="200" w:hangingChars="200"/>
    </w:pPr>
    <w:rPr>
      <w:sz w:val="24"/>
    </w:rPr>
  </w:style>
  <w:style w:type="paragraph" w:styleId="50">
    <w:name w:val="List Continue 2"/>
    <w:basedOn w:val="1"/>
    <w:autoRedefine/>
    <w:qFormat/>
    <w:uiPriority w:val="0"/>
    <w:pPr>
      <w:adjustRightInd w:val="0"/>
      <w:snapToGrid w:val="0"/>
      <w:spacing w:after="120" w:afterLines="0" w:afterAutospacing="0" w:line="360" w:lineRule="auto"/>
      <w:ind w:left="840" w:leftChars="400"/>
    </w:pPr>
    <w:rPr>
      <w:sz w:val="24"/>
    </w:rPr>
  </w:style>
  <w:style w:type="paragraph" w:styleId="51">
    <w:name w:val="Normal (Web)"/>
    <w:basedOn w:val="1"/>
    <w:autoRedefine/>
    <w:qFormat/>
    <w:uiPriority w:val="99"/>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2">
    <w:name w:val="List Continue 3"/>
    <w:basedOn w:val="1"/>
    <w:autoRedefine/>
    <w:qFormat/>
    <w:uiPriority w:val="0"/>
    <w:pPr>
      <w:adjustRightInd w:val="0"/>
      <w:snapToGrid w:val="0"/>
      <w:spacing w:after="120" w:afterLines="0" w:afterAutospacing="0" w:line="360" w:lineRule="auto"/>
      <w:ind w:left="1260" w:leftChars="600"/>
    </w:pPr>
    <w:rPr>
      <w:sz w:val="24"/>
    </w:rPr>
  </w:style>
  <w:style w:type="paragraph" w:styleId="53">
    <w:name w:val="index 1"/>
    <w:basedOn w:val="1"/>
    <w:next w:val="1"/>
    <w:autoRedefine/>
    <w:qFormat/>
    <w:uiPriority w:val="0"/>
    <w:pPr>
      <w:adjustRightInd w:val="0"/>
      <w:spacing w:line="240" w:lineRule="atLeast"/>
      <w:textAlignment w:val="baseline"/>
    </w:pPr>
    <w:rPr>
      <w:rFonts w:ascii="宋体"/>
      <w:kern w:val="0"/>
      <w:sz w:val="21"/>
    </w:rPr>
  </w:style>
  <w:style w:type="paragraph" w:styleId="54">
    <w:name w:val="Title"/>
    <w:basedOn w:val="1"/>
    <w:next w:val="1"/>
    <w:autoRedefine/>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5">
    <w:name w:val="annotation subject"/>
    <w:basedOn w:val="20"/>
    <w:next w:val="20"/>
    <w:autoRedefine/>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6">
    <w:name w:val="Body Text First Indent"/>
    <w:basedOn w:val="1"/>
    <w:autoRedefine/>
    <w:qFormat/>
    <w:uiPriority w:val="0"/>
    <w:pPr>
      <w:spacing w:line="360" w:lineRule="auto"/>
      <w:ind w:firstLine="420"/>
    </w:pPr>
    <w:rPr>
      <w:rFonts w:ascii="宋体" w:hAnsi="宋体"/>
      <w:sz w:val="24"/>
    </w:rPr>
  </w:style>
  <w:style w:type="paragraph" w:styleId="57">
    <w:name w:val="Body Text First Indent 2"/>
    <w:basedOn w:val="23"/>
    <w:next w:val="1"/>
    <w:autoRedefine/>
    <w:qFormat/>
    <w:uiPriority w:val="0"/>
    <w:pPr>
      <w:spacing w:after="120" w:afterLines="0" w:afterAutospacing="0" w:line="240" w:lineRule="auto"/>
      <w:ind w:left="420" w:leftChars="200" w:firstLine="420" w:firstLineChars="200"/>
    </w:pPr>
    <w:rPr>
      <w:sz w:val="21"/>
    </w:rPr>
  </w:style>
  <w:style w:type="table" w:styleId="59">
    <w:name w:val="Table Grid"/>
    <w:basedOn w:val="5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autoRedefine/>
    <w:qFormat/>
    <w:uiPriority w:val="22"/>
    <w:rPr>
      <w:b/>
    </w:rPr>
  </w:style>
  <w:style w:type="character" w:styleId="62">
    <w:name w:val="page number"/>
    <w:autoRedefine/>
    <w:qFormat/>
    <w:uiPriority w:val="0"/>
  </w:style>
  <w:style w:type="character" w:styleId="63">
    <w:name w:val="FollowedHyperlink"/>
    <w:autoRedefine/>
    <w:qFormat/>
    <w:uiPriority w:val="0"/>
    <w:rPr>
      <w:color w:val="800080"/>
      <w:u w:val="single"/>
    </w:rPr>
  </w:style>
  <w:style w:type="character" w:styleId="64">
    <w:name w:val="Emphasis"/>
    <w:autoRedefine/>
    <w:qFormat/>
    <w:uiPriority w:val="0"/>
    <w:rPr>
      <w:i/>
    </w:rPr>
  </w:style>
  <w:style w:type="character" w:styleId="65">
    <w:name w:val="Hyperlink"/>
    <w:autoRedefine/>
    <w:qFormat/>
    <w:uiPriority w:val="99"/>
    <w:rPr>
      <w:color w:val="0000FF"/>
      <w:u w:val="single"/>
    </w:rPr>
  </w:style>
  <w:style w:type="character" w:styleId="66">
    <w:name w:val="annotation reference"/>
    <w:autoRedefine/>
    <w:qFormat/>
    <w:uiPriority w:val="99"/>
    <w:rPr>
      <w:sz w:val="21"/>
    </w:rPr>
  </w:style>
  <w:style w:type="character" w:styleId="67">
    <w:name w:val="footnote reference"/>
    <w:autoRedefine/>
    <w:qFormat/>
    <w:uiPriority w:val="0"/>
    <w:rPr>
      <w:position w:val="6"/>
      <w:sz w:val="14"/>
      <w:vertAlign w:val="superscript"/>
    </w:rPr>
  </w:style>
  <w:style w:type="paragraph" w:customStyle="1" w:styleId="68">
    <w:name w:val="目录 53"/>
    <w:next w:val="1"/>
    <w:qFormat/>
    <w:uiPriority w:val="0"/>
    <w:pPr>
      <w:wordWrap w:val="0"/>
      <w:ind w:left="1275"/>
      <w:jc w:val="both"/>
    </w:pPr>
    <w:rPr>
      <w:rFonts w:ascii="Calibri" w:hAnsi="Calibri" w:eastAsia="宋体" w:cs="Times New Roman"/>
      <w:sz w:val="21"/>
      <w:lang w:val="en-US" w:eastAsia="zh-CN" w:bidi="ar-SA"/>
    </w:rPr>
  </w:style>
  <w:style w:type="character" w:customStyle="1" w:styleId="69">
    <w:name w:val="标题 2 字符"/>
    <w:link w:val="4"/>
    <w:autoRedefine/>
    <w:qFormat/>
    <w:uiPriority w:val="0"/>
    <w:rPr>
      <w:rFonts w:ascii="宋体" w:hAnsi="宋体"/>
      <w:kern w:val="2"/>
      <w:sz w:val="28"/>
    </w:rPr>
  </w:style>
  <w:style w:type="character" w:customStyle="1" w:styleId="70">
    <w:name w:val="批注文字 字符"/>
    <w:link w:val="20"/>
    <w:autoRedefine/>
    <w:qFormat/>
    <w:uiPriority w:val="99"/>
    <w:rPr>
      <w:rFonts w:eastAsia="PMingLiU"/>
      <w:sz w:val="24"/>
      <w:lang w:eastAsia="zh-TW"/>
    </w:rPr>
  </w:style>
  <w:style w:type="character" w:customStyle="1" w:styleId="71">
    <w:name w:val="纯文本 字符"/>
    <w:link w:val="30"/>
    <w:autoRedefine/>
    <w:qFormat/>
    <w:uiPriority w:val="0"/>
    <w:rPr>
      <w:rFonts w:ascii="宋体" w:hAnsi="Courier New"/>
      <w:kern w:val="2"/>
      <w:sz w:val="21"/>
    </w:rPr>
  </w:style>
  <w:style w:type="character" w:customStyle="1" w:styleId="72">
    <w:name w:val="日期 字符"/>
    <w:link w:val="33"/>
    <w:autoRedefine/>
    <w:qFormat/>
    <w:uiPriority w:val="0"/>
    <w:rPr>
      <w:kern w:val="2"/>
      <w:sz w:val="28"/>
    </w:rPr>
  </w:style>
  <w:style w:type="character" w:customStyle="1" w:styleId="73">
    <w:name w:val="页脚 字符"/>
    <w:link w:val="36"/>
    <w:autoRedefine/>
    <w:qFormat/>
    <w:uiPriority w:val="99"/>
    <w:rPr>
      <w:kern w:val="2"/>
      <w:sz w:val="18"/>
    </w:rPr>
  </w:style>
  <w:style w:type="character" w:customStyle="1" w:styleId="74">
    <w:name w:val="页眉 字符"/>
    <w:link w:val="37"/>
    <w:autoRedefine/>
    <w:qFormat/>
    <w:uiPriority w:val="99"/>
    <w:rPr>
      <w:kern w:val="2"/>
      <w:sz w:val="18"/>
    </w:rPr>
  </w:style>
  <w:style w:type="paragraph" w:customStyle="1" w:styleId="75">
    <w:name w:val="正文 A"/>
    <w:autoRedefine/>
    <w:qFormat/>
    <w:uiPriority w:val="99"/>
    <w:pPr>
      <w:framePr w:wrap="around" w:vAnchor="margin" w:hAnchor="text" w:y="1"/>
      <w:widowControl w:val="0"/>
      <w:jc w:val="both"/>
    </w:pPr>
    <w:rPr>
      <w:rFonts w:ascii="Arial Unicode MS" w:hAnsi="Arial Unicode MS" w:eastAsia="宋体" w:cs="Arial Unicode MS"/>
      <w:color w:val="000000"/>
      <w:kern w:val="2"/>
      <w:sz w:val="21"/>
      <w:szCs w:val="21"/>
      <w:lang w:val="en-US" w:eastAsia="zh-CN" w:bidi="ar-SA"/>
    </w:rPr>
  </w:style>
  <w:style w:type="character" w:customStyle="1" w:styleId="76">
    <w:name w:val="样式 宋体"/>
    <w:autoRedefine/>
    <w:qFormat/>
    <w:uiPriority w:val="0"/>
    <w:rPr>
      <w:rFonts w:ascii="宋体" w:hAnsi="宋体" w:eastAsia="宋体"/>
      <w:sz w:val="28"/>
    </w:rPr>
  </w:style>
  <w:style w:type="character" w:customStyle="1" w:styleId="77">
    <w:name w:val="标书正文:  0.74 厘米 Char1"/>
    <w:autoRedefine/>
    <w:qFormat/>
    <w:uiPriority w:val="0"/>
    <w:rPr>
      <w:rFonts w:eastAsia="宋体"/>
      <w:kern w:val="2"/>
      <w:sz w:val="24"/>
      <w:lang w:val="en-US" w:eastAsia="zh-CN"/>
    </w:rPr>
  </w:style>
  <w:style w:type="character" w:customStyle="1" w:styleId="78">
    <w:name w:val="文字 Char"/>
    <w:link w:val="79"/>
    <w:autoRedefine/>
    <w:qFormat/>
    <w:uiPriority w:val="0"/>
    <w:rPr>
      <w:rFonts w:ascii="宋体" w:eastAsia="宋体"/>
      <w:kern w:val="2"/>
      <w:sz w:val="28"/>
      <w:lang w:val="en-US" w:eastAsia="zh-CN" w:bidi="ar-SA"/>
    </w:rPr>
  </w:style>
  <w:style w:type="paragraph" w:customStyle="1" w:styleId="79">
    <w:name w:val="文字"/>
    <w:basedOn w:val="1"/>
    <w:link w:val="78"/>
    <w:autoRedefine/>
    <w:qFormat/>
    <w:uiPriority w:val="0"/>
    <w:pPr>
      <w:tabs>
        <w:tab w:val="left" w:pos="8520"/>
      </w:tabs>
      <w:spacing w:line="312" w:lineRule="auto"/>
      <w:ind w:right="-210" w:firstLine="556"/>
    </w:pPr>
    <w:rPr>
      <w:rFonts w:ascii="宋体"/>
    </w:rPr>
  </w:style>
  <w:style w:type="character" w:customStyle="1" w:styleId="80">
    <w:name w:val="正文 + 三号 Char"/>
    <w:autoRedefine/>
    <w:qFormat/>
    <w:uiPriority w:val="0"/>
    <w:rPr>
      <w:rFonts w:eastAsia="宋体"/>
      <w:kern w:val="2"/>
      <w:sz w:val="21"/>
      <w:lang w:val="en-US" w:eastAsia="zh-CN"/>
    </w:rPr>
  </w:style>
  <w:style w:type="character" w:customStyle="1" w:styleId="81">
    <w:name w:val=" Char Char3"/>
    <w:autoRedefine/>
    <w:qFormat/>
    <w:uiPriority w:val="0"/>
    <w:rPr>
      <w:rFonts w:eastAsia="宋体"/>
      <w:kern w:val="2"/>
      <w:sz w:val="18"/>
      <w:lang w:val="en-US" w:eastAsia="zh-CN"/>
    </w:rPr>
  </w:style>
  <w:style w:type="character" w:customStyle="1" w:styleId="82">
    <w:name w:val="font1"/>
    <w:autoRedefine/>
    <w:qFormat/>
    <w:uiPriority w:val="0"/>
    <w:rPr>
      <w:color w:val="000000"/>
      <w:sz w:val="18"/>
    </w:rPr>
  </w:style>
  <w:style w:type="character" w:customStyle="1" w:styleId="83">
    <w:name w:val=" Char Char7"/>
    <w:autoRedefine/>
    <w:qFormat/>
    <w:uiPriority w:val="0"/>
    <w:rPr>
      <w:rFonts w:ascii="宋体" w:hAnsi="宋体" w:eastAsia="宋体"/>
      <w:kern w:val="2"/>
      <w:sz w:val="28"/>
    </w:rPr>
  </w:style>
  <w:style w:type="character" w:customStyle="1" w:styleId="84">
    <w:name w:val="Table Text Char1 Char"/>
    <w:autoRedefine/>
    <w:qFormat/>
    <w:uiPriority w:val="0"/>
    <w:rPr>
      <w:rFonts w:ascii="Arial" w:hAnsi="Arial"/>
      <w:kern w:val="2"/>
      <w:sz w:val="18"/>
      <w:lang w:val="en-US" w:eastAsia="zh-CN" w:bidi="ar-SA"/>
    </w:rPr>
  </w:style>
  <w:style w:type="character" w:customStyle="1" w:styleId="85">
    <w:name w:val=" Char Char4"/>
    <w:autoRedefine/>
    <w:qFormat/>
    <w:uiPriority w:val="0"/>
    <w:rPr>
      <w:rFonts w:eastAsia="宋体"/>
      <w:b/>
      <w:kern w:val="2"/>
      <w:sz w:val="21"/>
      <w:lang w:val="en-US" w:eastAsia="zh-CN"/>
    </w:rPr>
  </w:style>
  <w:style w:type="character" w:customStyle="1" w:styleId="86">
    <w:name w:val="Table Heading Char Char"/>
    <w:autoRedefine/>
    <w:qFormat/>
    <w:uiPriority w:val="0"/>
    <w:rPr>
      <w:rFonts w:ascii="Arial" w:hAnsi="Arial" w:eastAsia="黑体"/>
      <w:kern w:val="2"/>
      <w:sz w:val="18"/>
      <w:lang w:val="en-US" w:eastAsia="zh-CN"/>
    </w:rPr>
  </w:style>
  <w:style w:type="character" w:customStyle="1" w:styleId="87">
    <w:name w:val="Table Text Char Char Char Char"/>
    <w:autoRedefine/>
    <w:qFormat/>
    <w:uiPriority w:val="0"/>
    <w:rPr>
      <w:rFonts w:ascii="Arial" w:hAnsi="Arial"/>
      <w:kern w:val="2"/>
      <w:sz w:val="18"/>
      <w:lang w:val="en-US" w:eastAsia="zh-CN" w:bidi="ar-SA"/>
    </w:rPr>
  </w:style>
  <w:style w:type="character" w:customStyle="1" w:styleId="88">
    <w:name w:val="top-det1"/>
    <w:autoRedefine/>
    <w:qFormat/>
    <w:uiPriority w:val="0"/>
    <w:rPr>
      <w:b/>
      <w:color w:val="000000"/>
    </w:rPr>
  </w:style>
  <w:style w:type="character" w:customStyle="1" w:styleId="89">
    <w:name w:val="font01"/>
    <w:autoRedefine/>
    <w:qFormat/>
    <w:uiPriority w:val="0"/>
    <w:rPr>
      <w:rFonts w:hint="eastAsia" w:ascii="宋体" w:hAnsi="宋体" w:eastAsia="宋体" w:cs="宋体"/>
      <w:color w:val="000000"/>
      <w:sz w:val="22"/>
      <w:szCs w:val="22"/>
      <w:u w:val="none"/>
    </w:rPr>
  </w:style>
  <w:style w:type="character" w:customStyle="1" w:styleId="90">
    <w:name w:val="样式3 Char"/>
    <w:link w:val="91"/>
    <w:autoRedefine/>
    <w:qFormat/>
    <w:uiPriority w:val="0"/>
    <w:rPr>
      <w:b/>
      <w:kern w:val="44"/>
    </w:rPr>
  </w:style>
  <w:style w:type="paragraph" w:customStyle="1" w:styleId="91">
    <w:name w:val="样式3"/>
    <w:basedOn w:val="3"/>
    <w:next w:val="3"/>
    <w:link w:val="90"/>
    <w:autoRedefine/>
    <w:qFormat/>
    <w:uiPriority w:val="0"/>
    <w:pPr>
      <w:keepLines/>
      <w:tabs>
        <w:tab w:val="clear" w:pos="3360"/>
      </w:tabs>
      <w:adjustRightInd w:val="0"/>
      <w:spacing w:before="340" w:beforeLines="0" w:beforeAutospacing="0" w:after="330" w:afterLines="0" w:afterAutospacing="0" w:line="576" w:lineRule="auto"/>
      <w:jc w:val="both"/>
    </w:pPr>
    <w:rPr>
      <w:rFonts w:eastAsia="宋体"/>
      <w:b/>
      <w:kern w:val="44"/>
      <w:sz w:val="20"/>
    </w:rPr>
  </w:style>
  <w:style w:type="character" w:customStyle="1" w:styleId="92">
    <w:name w:val="小 Char"/>
    <w:autoRedefine/>
    <w:qFormat/>
    <w:uiPriority w:val="0"/>
    <w:rPr>
      <w:rFonts w:ascii="宋体" w:hAnsi="Courier New" w:eastAsia="宋体"/>
      <w:kern w:val="2"/>
      <w:sz w:val="21"/>
      <w:lang w:val="en-US" w:eastAsia="zh-CN" w:bidi="ar-SA"/>
    </w:rPr>
  </w:style>
  <w:style w:type="character" w:customStyle="1" w:styleId="93">
    <w:name w:val="Table Text Char"/>
    <w:autoRedefine/>
    <w:qFormat/>
    <w:uiPriority w:val="0"/>
    <w:rPr>
      <w:rFonts w:ascii="Arial" w:hAnsi="Arial"/>
      <w:kern w:val="2"/>
      <w:sz w:val="18"/>
      <w:lang w:val="en-US" w:eastAsia="zh-CN" w:bidi="ar-SA"/>
    </w:rPr>
  </w:style>
  <w:style w:type="character" w:customStyle="1" w:styleId="94">
    <w:name w:val=" Char Char"/>
    <w:autoRedefine/>
    <w:qFormat/>
    <w:uiPriority w:val="0"/>
    <w:rPr>
      <w:rFonts w:ascii="宋体" w:hAnsi="宋体" w:eastAsia="宋体"/>
      <w:kern w:val="2"/>
      <w:sz w:val="24"/>
      <w:lang w:val="en-US" w:eastAsia="zh-CN" w:bidi="ar-SA"/>
    </w:rPr>
  </w:style>
  <w:style w:type="character" w:customStyle="1" w:styleId="95">
    <w:name w:val="font81"/>
    <w:autoRedefine/>
    <w:qFormat/>
    <w:uiPriority w:val="0"/>
    <w:rPr>
      <w:rFonts w:hint="default" w:ascii="Times New Roman" w:hAnsi="Times New Roman" w:cs="Times New Roman"/>
      <w:color w:val="000000"/>
      <w:sz w:val="20"/>
      <w:szCs w:val="20"/>
      <w:u w:val="none"/>
    </w:rPr>
  </w:style>
  <w:style w:type="character" w:customStyle="1" w:styleId="96">
    <w:name w:val=" Char Char6"/>
    <w:autoRedefine/>
    <w:qFormat/>
    <w:uiPriority w:val="0"/>
    <w:rPr>
      <w:rFonts w:ascii="仿宋_GB2312" w:eastAsia="仿宋_GB2312"/>
      <w:kern w:val="2"/>
      <w:sz w:val="32"/>
    </w:rPr>
  </w:style>
  <w:style w:type="character" w:customStyle="1" w:styleId="97">
    <w:name w:val=" Char Char2"/>
    <w:autoRedefine/>
    <w:qFormat/>
    <w:uiPriority w:val="0"/>
    <w:rPr>
      <w:rFonts w:eastAsia="宋体"/>
      <w:kern w:val="2"/>
      <w:sz w:val="18"/>
      <w:lang w:val="en-US" w:eastAsia="zh-CN"/>
    </w:rPr>
  </w:style>
  <w:style w:type="character" w:customStyle="1" w:styleId="98">
    <w:name w:val="crowed11"/>
    <w:autoRedefine/>
    <w:qFormat/>
    <w:uiPriority w:val="0"/>
    <w:rPr>
      <w:rFonts w:hint="default" w:ascii="_x000B__x000C_" w:hAnsi="_x000B__x000C_"/>
      <w:sz w:val="24"/>
    </w:rPr>
  </w:style>
  <w:style w:type="character" w:customStyle="1" w:styleId="99">
    <w:name w:val="v151"/>
    <w:autoRedefine/>
    <w:qFormat/>
    <w:uiPriority w:val="0"/>
    <w:rPr>
      <w:sz w:val="18"/>
    </w:rPr>
  </w:style>
  <w:style w:type="character" w:customStyle="1" w:styleId="100">
    <w:name w:val="未命名11"/>
    <w:autoRedefine/>
    <w:qFormat/>
    <w:uiPriority w:val="0"/>
    <w:rPr>
      <w:color w:val="77FFFF"/>
      <w:sz w:val="24"/>
    </w:rPr>
  </w:style>
  <w:style w:type="character" w:customStyle="1" w:styleId="101">
    <w:name w:val="font11"/>
    <w:autoRedefine/>
    <w:qFormat/>
    <w:uiPriority w:val="0"/>
    <w:rPr>
      <w:rFonts w:hint="eastAsia" w:ascii="宋体" w:hAnsi="宋体" w:eastAsia="宋体" w:cs="宋体"/>
      <w:color w:val="000000"/>
      <w:sz w:val="20"/>
      <w:szCs w:val="20"/>
      <w:u w:val="none"/>
    </w:rPr>
  </w:style>
  <w:style w:type="character" w:customStyle="1" w:styleId="102">
    <w:name w:val="content-white1"/>
    <w:autoRedefine/>
    <w:qFormat/>
    <w:uiPriority w:val="0"/>
    <w:rPr>
      <w:rFonts w:ascii="_x000B__x000C_" w:hAnsi="_x000B__x000C_"/>
      <w:color w:val="auto"/>
      <w:sz w:val="18"/>
      <w:u w:val="none"/>
    </w:rPr>
  </w:style>
  <w:style w:type="character" w:customStyle="1" w:styleId="103">
    <w:name w:val=" Char Char5"/>
    <w:autoRedefine/>
    <w:qFormat/>
    <w:uiPriority w:val="0"/>
    <w:rPr>
      <w:rFonts w:ascii="Arial" w:hAnsi="Arial" w:eastAsia="宋体"/>
      <w:b/>
      <w:smallCaps/>
      <w:kern w:val="28"/>
      <w:sz w:val="36"/>
      <w:lang w:val="en-US" w:eastAsia="en-US"/>
    </w:rPr>
  </w:style>
  <w:style w:type="paragraph" w:customStyle="1" w:styleId="104">
    <w:name w:val="样式1xz"/>
    <w:basedOn w:val="1"/>
    <w:autoRedefine/>
    <w:qFormat/>
    <w:uiPriority w:val="0"/>
    <w:pPr>
      <w:tabs>
        <w:tab w:val="left" w:pos="1050"/>
        <w:tab w:val="right" w:leader="dot" w:pos="8296"/>
      </w:tabs>
    </w:pPr>
    <w:rPr>
      <w:caps/>
      <w:spacing w:val="20"/>
      <w:sz w:val="24"/>
    </w:rPr>
  </w:style>
  <w:style w:type="paragraph" w:customStyle="1" w:styleId="105">
    <w:name w:val="1.正文"/>
    <w:basedOn w:val="1"/>
    <w:autoRedefine/>
    <w:qFormat/>
    <w:uiPriority w:val="0"/>
    <w:pPr>
      <w:spacing w:line="360" w:lineRule="auto"/>
      <w:ind w:left="540" w:leftChars="225" w:firstLine="540" w:firstLineChars="225"/>
    </w:pPr>
    <w:rPr>
      <w:sz w:val="24"/>
    </w:rPr>
  </w:style>
  <w:style w:type="paragraph" w:customStyle="1" w:styleId="106">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07">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108">
    <w:name w:val="文本1"/>
    <w:basedOn w:val="1"/>
    <w:autoRedefine/>
    <w:qFormat/>
    <w:uiPriority w:val="0"/>
    <w:pPr>
      <w:adjustRightInd w:val="0"/>
      <w:spacing w:line="312" w:lineRule="atLeast"/>
      <w:jc w:val="center"/>
      <w:textAlignment w:val="baseline"/>
    </w:pPr>
    <w:rPr>
      <w:kern w:val="0"/>
      <w:sz w:val="18"/>
    </w:rPr>
  </w:style>
  <w:style w:type="paragraph" w:customStyle="1" w:styleId="109">
    <w:name w:val=" Char Char1 Char"/>
    <w:basedOn w:val="1"/>
    <w:autoRedefine/>
    <w:qFormat/>
    <w:uiPriority w:val="0"/>
    <w:rPr>
      <w:rFonts w:ascii="Tahoma" w:hAnsi="Tahoma"/>
      <w:sz w:val="24"/>
      <w:szCs w:val="24"/>
    </w:rPr>
  </w:style>
  <w:style w:type="paragraph" w:customStyle="1" w:styleId="110">
    <w:name w:val="样式 首行缩进:  0.74 厘米"/>
    <w:basedOn w:val="1"/>
    <w:autoRedefine/>
    <w:qFormat/>
    <w:uiPriority w:val="0"/>
    <w:pPr>
      <w:spacing w:line="360" w:lineRule="auto"/>
      <w:ind w:firstLine="420"/>
    </w:pPr>
    <w:rPr>
      <w:sz w:val="24"/>
    </w:rPr>
  </w:style>
  <w:style w:type="paragraph" w:customStyle="1" w:styleId="111">
    <w:name w:val="一级条标题"/>
    <w:next w:val="112"/>
    <w:autoRedefine/>
    <w:qFormat/>
    <w:uiPriority w:val="0"/>
    <w:pPr>
      <w:numPr>
        <w:ilvl w:val="1"/>
        <w:numId w:val="6"/>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12">
    <w:name w:val="段"/>
    <w:autoRedefine/>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13">
    <w:name w:val="样式1"/>
    <w:basedOn w:val="6"/>
    <w:autoRedefine/>
    <w:qFormat/>
    <w:uiPriority w:val="0"/>
    <w:pPr>
      <w:spacing w:before="500" w:after="260" w:line="560" w:lineRule="atLeast"/>
    </w:pPr>
  </w:style>
  <w:style w:type="paragraph" w:customStyle="1" w:styleId="114">
    <w:name w:val=" Char Char Char Char Char"/>
    <w:basedOn w:val="1"/>
    <w:autoRedefine/>
    <w:qFormat/>
    <w:uiPriority w:val="0"/>
    <w:pPr>
      <w:numPr>
        <w:ilvl w:val="0"/>
        <w:numId w:val="7"/>
      </w:numPr>
    </w:pPr>
    <w:rPr>
      <w:rFonts w:ascii="Tahoma" w:hAnsi="Tahoma"/>
      <w:sz w:val="24"/>
    </w:rPr>
  </w:style>
  <w:style w:type="paragraph" w:customStyle="1" w:styleId="115">
    <w:name w:val="章标题"/>
    <w:next w:val="1"/>
    <w:autoRedefine/>
    <w:qFormat/>
    <w:uiPriority w:val="0"/>
    <w:pPr>
      <w:numPr>
        <w:ilvl w:val="1"/>
        <w:numId w:val="8"/>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16">
    <w:name w:val="默认段落字体 Para Char Char Char Char Char Char Char"/>
    <w:basedOn w:val="1"/>
    <w:autoRedefine/>
    <w:qFormat/>
    <w:uiPriority w:val="0"/>
    <w:rPr>
      <w:rFonts w:ascii="Tahoma" w:hAnsi="Tahoma"/>
      <w:sz w:val="24"/>
    </w:rPr>
  </w:style>
  <w:style w:type="paragraph" w:customStyle="1" w:styleId="117">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18">
    <w:name w:val="图片文字"/>
    <w:basedOn w:val="1"/>
    <w:autoRedefine/>
    <w:qFormat/>
    <w:uiPriority w:val="0"/>
    <w:pPr>
      <w:spacing w:line="240" w:lineRule="atLeast"/>
      <w:jc w:val="center"/>
    </w:pPr>
    <w:rPr>
      <w:sz w:val="21"/>
    </w:rPr>
  </w:style>
  <w:style w:type="paragraph" w:customStyle="1" w:styleId="119">
    <w:name w:val="Title - Revision"/>
    <w:basedOn w:val="54"/>
    <w:autoRedefine/>
    <w:qFormat/>
    <w:uiPriority w:val="0"/>
    <w:pPr>
      <w:spacing w:before="720" w:beforeLines="0" w:beforeAutospacing="0"/>
    </w:pPr>
  </w:style>
  <w:style w:type="paragraph" w:customStyle="1" w:styleId="120">
    <w:name w:val=" Char Char Char Char Char Char Char Char Char Char Char Char Char"/>
    <w:basedOn w:val="1"/>
    <w:autoRedefine/>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21">
    <w:name w:val="Table Text Char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22">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23">
    <w:name w:val="可研正文"/>
    <w:basedOn w:val="2"/>
    <w:autoRedefine/>
    <w:qFormat/>
    <w:uiPriority w:val="0"/>
    <w:pPr>
      <w:adjustRightInd w:val="0"/>
      <w:snapToGrid w:val="0"/>
      <w:spacing w:line="440" w:lineRule="exact"/>
      <w:ind w:firstLine="567"/>
    </w:pPr>
    <w:rPr>
      <w:sz w:val="28"/>
    </w:rPr>
  </w:style>
  <w:style w:type="paragraph" w:customStyle="1" w:styleId="124">
    <w:name w:val="段落正文"/>
    <w:basedOn w:val="1"/>
    <w:autoRedefine/>
    <w:qFormat/>
    <w:uiPriority w:val="0"/>
    <w:pPr>
      <w:spacing w:before="156" w:beforeLines="50" w:beforeAutospacing="0" w:line="360" w:lineRule="auto"/>
      <w:ind w:firstLine="200" w:firstLineChars="200"/>
    </w:pPr>
    <w:rPr>
      <w:spacing w:val="2"/>
      <w:sz w:val="24"/>
    </w:rPr>
  </w:style>
  <w:style w:type="paragraph" w:customStyle="1" w:styleId="125">
    <w:name w:val="附录3"/>
    <w:basedOn w:val="1"/>
    <w:next w:val="1"/>
    <w:autoRedefine/>
    <w:qFormat/>
    <w:uiPriority w:val="0"/>
    <w:pPr>
      <w:numPr>
        <w:ilvl w:val="2"/>
        <w:numId w:val="0"/>
      </w:numPr>
      <w:tabs>
        <w:tab w:val="left" w:pos="851"/>
      </w:tabs>
      <w:ind w:left="425" w:hanging="425"/>
      <w:outlineLvl w:val="2"/>
    </w:pPr>
    <w:rPr>
      <w:rFonts w:eastAsia="黑体"/>
      <w:b/>
      <w:sz w:val="32"/>
    </w:rPr>
  </w:style>
  <w:style w:type="paragraph" w:customStyle="1" w:styleId="126">
    <w:name w:val="Item Step in Table"/>
    <w:autoRedefine/>
    <w:qFormat/>
    <w:uiPriority w:val="0"/>
    <w:pPr>
      <w:numPr>
        <w:ilvl w:val="0"/>
        <w:numId w:val="9"/>
      </w:numPr>
      <w:spacing w:before="40" w:after="40"/>
      <w:jc w:val="both"/>
    </w:pPr>
    <w:rPr>
      <w:rFonts w:ascii="Arial" w:hAnsi="Arial" w:eastAsia="宋体" w:cs="Times New Roman"/>
      <w:sz w:val="18"/>
      <w:lang w:val="en-US" w:eastAsia="zh-CN" w:bidi="ar-SA"/>
    </w:rPr>
  </w:style>
  <w:style w:type="paragraph" w:customStyle="1" w:styleId="127">
    <w:name w:val="Title - Date"/>
    <w:basedOn w:val="54"/>
    <w:next w:val="1"/>
    <w:autoRedefine/>
    <w:qFormat/>
    <w:uiPriority w:val="0"/>
    <w:pPr>
      <w:spacing w:before="240" w:beforeLines="0" w:beforeAutospacing="0" w:after="720" w:afterLines="0" w:afterAutospacing="0"/>
    </w:pPr>
    <w:rPr>
      <w:sz w:val="28"/>
    </w:rPr>
  </w:style>
  <w:style w:type="paragraph" w:customStyle="1" w:styleId="128">
    <w:name w:val="表文字"/>
    <w:autoRedefine/>
    <w:qFormat/>
    <w:uiPriority w:val="0"/>
    <w:rPr>
      <w:rFonts w:ascii="宋体" w:hAnsi="Times New Roman" w:eastAsia="宋体" w:cs="Times New Roman"/>
      <w:kern w:val="2"/>
      <w:lang w:val="en-US" w:eastAsia="zh-CN" w:bidi="ar-SA"/>
    </w:rPr>
  </w:style>
  <w:style w:type="paragraph" w:customStyle="1" w:styleId="129">
    <w:name w:val="操作步骤"/>
    <w:basedOn w:val="1"/>
    <w:autoRedefine/>
    <w:qFormat/>
    <w:uiPriority w:val="0"/>
    <w:pPr>
      <w:numPr>
        <w:ilvl w:val="0"/>
        <w:numId w:val="10"/>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30">
    <w:name w:val="没有缩进（为图形使用）"/>
    <w:basedOn w:val="1"/>
    <w:autoRedefine/>
    <w:qFormat/>
    <w:uiPriority w:val="0"/>
    <w:pPr>
      <w:spacing w:before="120" w:beforeLines="0" w:beforeAutospacing="0" w:after="120" w:afterLines="0" w:afterAutospacing="0" w:line="360" w:lineRule="auto"/>
    </w:pPr>
    <w:rPr>
      <w:sz w:val="24"/>
    </w:rPr>
  </w:style>
  <w:style w:type="paragraph" w:customStyle="1" w:styleId="131">
    <w:name w:val="样式 样式 首行缩进:  2 字符 + 首行缩进:  2 字符"/>
    <w:basedOn w:val="1"/>
    <w:autoRedefine/>
    <w:qFormat/>
    <w:uiPriority w:val="0"/>
    <w:pPr>
      <w:numPr>
        <w:ilvl w:val="0"/>
        <w:numId w:val="11"/>
      </w:numPr>
      <w:tabs>
        <w:tab w:val="clear" w:pos="1230"/>
      </w:tabs>
      <w:spacing w:line="360" w:lineRule="auto"/>
      <w:ind w:firstLine="480" w:firstLineChars="200"/>
    </w:pPr>
    <w:rPr>
      <w:sz w:val="24"/>
    </w:rPr>
  </w:style>
  <w:style w:type="paragraph" w:customStyle="1" w:styleId="132">
    <w:name w:val="简单回函地址"/>
    <w:basedOn w:val="1"/>
    <w:autoRedefine/>
    <w:qFormat/>
    <w:uiPriority w:val="0"/>
    <w:pPr>
      <w:adjustRightInd w:val="0"/>
      <w:snapToGrid w:val="0"/>
      <w:spacing w:line="360" w:lineRule="auto"/>
    </w:pPr>
    <w:rPr>
      <w:sz w:val="24"/>
    </w:rPr>
  </w:style>
  <w:style w:type="paragraph" w:customStyle="1" w:styleId="133">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4">
    <w:name w:val="xl40"/>
    <w:basedOn w:val="1"/>
    <w:autoRedefine/>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35">
    <w:name w:val="样式 行距: 1.5 倍行距1"/>
    <w:basedOn w:val="1"/>
    <w:autoRedefine/>
    <w:qFormat/>
    <w:uiPriority w:val="0"/>
    <w:pPr>
      <w:snapToGrid w:val="0"/>
    </w:pPr>
    <w:rPr>
      <w:sz w:val="21"/>
    </w:rPr>
  </w:style>
  <w:style w:type="paragraph" w:customStyle="1" w:styleId="136">
    <w:name w:val="正文字缩2字"/>
    <w:basedOn w:val="1"/>
    <w:autoRedefine/>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7">
    <w:name w:val="Char"/>
    <w:basedOn w:val="1"/>
    <w:autoRedefine/>
    <w:qFormat/>
    <w:uiPriority w:val="0"/>
    <w:pPr>
      <w:widowControl/>
      <w:spacing w:line="400" w:lineRule="exact"/>
      <w:jc w:val="center"/>
    </w:pPr>
    <w:rPr>
      <w:sz w:val="24"/>
    </w:rPr>
  </w:style>
  <w:style w:type="paragraph" w:customStyle="1" w:styleId="138">
    <w:name w:val="普通正文"/>
    <w:basedOn w:val="1"/>
    <w:autoRedefine/>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39">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40">
    <w:name w:val="CSS1级正文 Char"/>
    <w:basedOn w:val="2"/>
    <w:autoRedefine/>
    <w:qFormat/>
    <w:uiPriority w:val="0"/>
    <w:pPr>
      <w:adjustRightInd w:val="0"/>
      <w:snapToGrid w:val="0"/>
      <w:spacing w:line="360" w:lineRule="auto"/>
      <w:ind w:firstLine="480"/>
    </w:pPr>
    <w:rPr>
      <w:rFonts w:ascii="Times New Roman" w:eastAsia="宋体"/>
      <w:sz w:val="24"/>
    </w:rPr>
  </w:style>
  <w:style w:type="paragraph" w:customStyle="1" w:styleId="141">
    <w:name w:val="xl23"/>
    <w:basedOn w:val="1"/>
    <w:autoRedefine/>
    <w:qFormat/>
    <w:uiPriority w:val="0"/>
    <w:pPr>
      <w:widowControl/>
      <w:spacing w:before="100" w:beforeLines="0" w:beforeAutospacing="1" w:after="100" w:afterLines="0" w:afterAutospacing="1" w:line="360" w:lineRule="auto"/>
      <w:textAlignment w:val="top"/>
    </w:pPr>
    <w:rPr>
      <w:kern w:val="0"/>
      <w:sz w:val="24"/>
    </w:rPr>
  </w:style>
  <w:style w:type="paragraph" w:customStyle="1" w:styleId="142">
    <w:name w:val="Char Char Char Char"/>
    <w:basedOn w:val="1"/>
    <w:autoRedefine/>
    <w:qFormat/>
    <w:uiPriority w:val="0"/>
    <w:pPr>
      <w:pageBreakBefore/>
      <w:widowControl/>
      <w:spacing w:after="160" w:afterLines="0" w:line="240" w:lineRule="exact"/>
      <w:jc w:val="left"/>
    </w:pPr>
    <w:rPr>
      <w:rFonts w:ascii="Verdana" w:hAnsi="Verdana"/>
      <w:kern w:val="0"/>
      <w:sz w:val="20"/>
      <w:lang w:eastAsia="en-US"/>
    </w:rPr>
  </w:style>
  <w:style w:type="paragraph" w:customStyle="1" w:styleId="143">
    <w:name w:val="tabletext"/>
    <w:basedOn w:val="1"/>
    <w:autoRedefine/>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44">
    <w:name w:val=" Char"/>
    <w:basedOn w:val="1"/>
    <w:autoRedefine/>
    <w:qFormat/>
    <w:uiPriority w:val="0"/>
    <w:pPr>
      <w:spacing w:line="240" w:lineRule="atLeast"/>
      <w:ind w:left="420" w:firstLine="420"/>
    </w:pPr>
    <w:rPr>
      <w:kern w:val="0"/>
      <w:sz w:val="21"/>
    </w:rPr>
  </w:style>
  <w:style w:type="paragraph" w:customStyle="1" w:styleId="145">
    <w:name w:val="正文1"/>
    <w:basedOn w:val="1"/>
    <w:autoRedefine/>
    <w:qFormat/>
    <w:uiPriority w:val="0"/>
    <w:pPr>
      <w:spacing w:line="300" w:lineRule="auto"/>
      <w:ind w:firstLine="200" w:firstLineChars="200"/>
    </w:pPr>
    <w:rPr>
      <w:sz w:val="24"/>
    </w:rPr>
  </w:style>
  <w:style w:type="paragraph" w:styleId="146">
    <w:name w:val="List Paragraph"/>
    <w:basedOn w:val="1"/>
    <w:autoRedefine/>
    <w:qFormat/>
    <w:uiPriority w:val="99"/>
    <w:pPr>
      <w:ind w:firstLine="420" w:firstLineChars="200"/>
    </w:pPr>
    <w:rPr>
      <w:rFonts w:ascii="Calibri" w:hAnsi="Calibri" w:eastAsia="宋体" w:cs="Times New Roman"/>
      <w:sz w:val="21"/>
      <w:szCs w:val="22"/>
    </w:rPr>
  </w:style>
  <w:style w:type="paragraph" w:customStyle="1" w:styleId="147">
    <w:name w:val="标题2"/>
    <w:basedOn w:val="4"/>
    <w:autoRedefine/>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48">
    <w:name w:val="方案正文"/>
    <w:basedOn w:val="1"/>
    <w:autoRedefine/>
    <w:qFormat/>
    <w:uiPriority w:val="0"/>
    <w:pPr>
      <w:suppressAutoHyphens/>
      <w:spacing w:line="312" w:lineRule="auto"/>
      <w:ind w:firstLine="200"/>
    </w:pPr>
    <w:rPr>
      <w:rFonts w:ascii="Calibri" w:hAnsi="Calibri" w:eastAsia="Times New Roman"/>
      <w:kern w:val="1"/>
    </w:rPr>
  </w:style>
  <w:style w:type="paragraph" w:customStyle="1" w:styleId="149">
    <w:name w:val=" Char1 Char Char Char"/>
    <w:basedOn w:val="1"/>
    <w:autoRedefine/>
    <w:qFormat/>
    <w:uiPriority w:val="0"/>
    <w:rPr>
      <w:rFonts w:ascii="Tahoma" w:hAnsi="Tahoma"/>
      <w:sz w:val="24"/>
    </w:rPr>
  </w:style>
  <w:style w:type="paragraph" w:customStyle="1" w:styleId="150">
    <w:name w:val=" Char Char1"/>
    <w:basedOn w:val="1"/>
    <w:autoRedefine/>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51">
    <w:name w:val="正文 + 三号"/>
    <w:basedOn w:val="1"/>
    <w:autoRedefine/>
    <w:qFormat/>
    <w:uiPriority w:val="0"/>
    <w:rPr>
      <w:rFonts w:eastAsia="宋体"/>
      <w:kern w:val="2"/>
      <w:sz w:val="21"/>
      <w:lang w:val="en-US" w:eastAsia="zh-CN"/>
    </w:rPr>
  </w:style>
  <w:style w:type="paragraph" w:customStyle="1" w:styleId="152">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153">
    <w:name w:val="Body Text Indent 2"/>
    <w:basedOn w:val="1"/>
    <w:autoRedefine/>
    <w:qFormat/>
    <w:uiPriority w:val="0"/>
    <w:pPr>
      <w:adjustRightInd w:val="0"/>
      <w:spacing w:before="120" w:beforeLines="0" w:beforeAutospacing="0"/>
      <w:ind w:firstLine="420"/>
      <w:textAlignment w:val="baseline"/>
    </w:pPr>
    <w:rPr>
      <w:sz w:val="24"/>
    </w:rPr>
  </w:style>
  <w:style w:type="paragraph" w:customStyle="1" w:styleId="154">
    <w:name w:val="标题无"/>
    <w:basedOn w:val="1"/>
    <w:autoRedefine/>
    <w:qFormat/>
    <w:uiPriority w:val="0"/>
    <w:pPr>
      <w:spacing w:line="360" w:lineRule="auto"/>
    </w:pPr>
    <w:rPr>
      <w:sz w:val="24"/>
    </w:rPr>
  </w:style>
  <w:style w:type="paragraph" w:customStyle="1" w:styleId="155">
    <w:name w:val="表号"/>
    <w:basedOn w:val="1"/>
    <w:autoRedefine/>
    <w:qFormat/>
    <w:uiPriority w:val="0"/>
    <w:pPr>
      <w:numPr>
        <w:ilvl w:val="0"/>
        <w:numId w:val="12"/>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56">
    <w:name w:val="1"/>
    <w:basedOn w:val="1"/>
    <w:autoRedefine/>
    <w:qFormat/>
    <w:uiPriority w:val="0"/>
    <w:rPr>
      <w:rFonts w:ascii="Tahoma" w:hAnsi="Tahoma"/>
      <w:sz w:val="24"/>
    </w:rPr>
  </w:style>
  <w:style w:type="paragraph" w:customStyle="1" w:styleId="157">
    <w:name w:val="文章正文"/>
    <w:basedOn w:val="1"/>
    <w:autoRedefine/>
    <w:qFormat/>
    <w:uiPriority w:val="0"/>
    <w:pPr>
      <w:ind w:firstLine="560" w:firstLineChars="200"/>
    </w:pPr>
    <w:rPr>
      <w:rFonts w:ascii="仿宋_GB2312" w:hAnsi="宋体" w:eastAsia="仿宋_GB2312"/>
      <w:color w:val="000000"/>
    </w:rPr>
  </w:style>
  <w:style w:type="paragraph" w:customStyle="1" w:styleId="158">
    <w:name w:val="样式 正文缩进正文（首行缩进两字）表正文正文非缩进特点标题4段1 + 首行缩进:  2 字符"/>
    <w:basedOn w:val="16"/>
    <w:autoRedefine/>
    <w:qFormat/>
    <w:uiPriority w:val="0"/>
    <w:pPr>
      <w:ind w:firstLine="480" w:firstLineChars="200"/>
    </w:pPr>
  </w:style>
  <w:style w:type="paragraph" w:customStyle="1" w:styleId="159">
    <w:name w:val="二级列表"/>
    <w:basedOn w:val="124"/>
    <w:next w:val="124"/>
    <w:autoRedefine/>
    <w:qFormat/>
    <w:uiPriority w:val="0"/>
    <w:pPr>
      <w:tabs>
        <w:tab w:val="left" w:pos="2120"/>
      </w:tabs>
      <w:ind w:firstLine="0" w:firstLineChars="0"/>
    </w:pPr>
    <w:rPr>
      <w:b/>
    </w:rPr>
  </w:style>
  <w:style w:type="paragraph" w:customStyle="1" w:styleId="160">
    <w:name w:val="p"/>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61">
    <w:name w:val="Char Char1 Char Char Char Char Char Char Char Char"/>
    <w:basedOn w:val="1"/>
    <w:autoRedefine/>
    <w:qFormat/>
    <w:uiPriority w:val="0"/>
    <w:pPr>
      <w:widowControl/>
      <w:spacing w:after="160" w:afterLines="0" w:line="240" w:lineRule="exact"/>
      <w:jc w:val="left"/>
    </w:pPr>
    <w:rPr>
      <w:rFonts w:ascii="Verdana" w:hAnsi="Verdana"/>
      <w:kern w:val="0"/>
      <w:sz w:val="20"/>
      <w:lang w:eastAsia="en-US"/>
    </w:rPr>
  </w:style>
  <w:style w:type="paragraph" w:customStyle="1" w:styleId="162">
    <w:name w:val="文本框样式1"/>
    <w:basedOn w:val="1"/>
    <w:autoRedefine/>
    <w:qFormat/>
    <w:uiPriority w:val="0"/>
    <w:pPr>
      <w:adjustRightInd w:val="0"/>
      <w:snapToGrid w:val="0"/>
      <w:spacing w:before="60" w:beforeLines="0" w:beforeAutospacing="0" w:line="180" w:lineRule="exact"/>
      <w:jc w:val="center"/>
    </w:pPr>
    <w:rPr>
      <w:sz w:val="21"/>
    </w:rPr>
  </w:style>
  <w:style w:type="paragraph" w:customStyle="1" w:styleId="163">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164">
    <w:name w:val=" Char Char 字元 字元 字元 Char Char Char Char"/>
    <w:basedOn w:val="1"/>
    <w:autoRedefine/>
    <w:qFormat/>
    <w:uiPriority w:val="0"/>
    <w:pPr>
      <w:adjustRightInd w:val="0"/>
      <w:spacing w:line="360" w:lineRule="auto"/>
    </w:pPr>
    <w:rPr>
      <w:kern w:val="0"/>
      <w:sz w:val="24"/>
    </w:rPr>
  </w:style>
  <w:style w:type="paragraph" w:customStyle="1" w:styleId="165">
    <w:name w:val="Table Text"/>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66">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167">
    <w:name w:val="样式 样式 正文首行缩进 2 + 左  0 字符 + 首行缩进:  2.57 字符"/>
    <w:basedOn w:val="1"/>
    <w:next w:val="1"/>
    <w:autoRedefine/>
    <w:qFormat/>
    <w:uiPriority w:val="0"/>
    <w:pPr>
      <w:adjustRightInd w:val="0"/>
      <w:snapToGrid w:val="0"/>
      <w:spacing w:after="120" w:afterLines="0" w:afterAutospacing="0"/>
      <w:ind w:firstLine="540" w:firstLineChars="257"/>
    </w:pPr>
    <w:rPr>
      <w:sz w:val="21"/>
    </w:rPr>
  </w:style>
  <w:style w:type="paragraph" w:customStyle="1" w:styleId="168">
    <w:name w:val="Body Text 2"/>
    <w:basedOn w:val="1"/>
    <w:autoRedefine/>
    <w:qFormat/>
    <w:uiPriority w:val="0"/>
    <w:pPr>
      <w:adjustRightInd w:val="0"/>
      <w:spacing w:before="120" w:beforeLines="0" w:beforeAutospacing="0" w:line="360" w:lineRule="auto"/>
      <w:ind w:firstLine="480"/>
      <w:textAlignment w:val="baseline"/>
    </w:pPr>
    <w:rPr>
      <w:sz w:val="24"/>
    </w:rPr>
  </w:style>
  <w:style w:type="paragraph" w:customStyle="1" w:styleId="169">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70">
    <w:name w:val="样式 宋体 五号 行距: 单倍行距"/>
    <w:basedOn w:val="1"/>
    <w:autoRedefine/>
    <w:qFormat/>
    <w:uiPriority w:val="0"/>
    <w:pPr>
      <w:adjustRightInd w:val="0"/>
      <w:jc w:val="left"/>
    </w:pPr>
    <w:rPr>
      <w:rFonts w:ascii="宋体" w:hAnsi="宋体"/>
      <w:kern w:val="0"/>
      <w:sz w:val="21"/>
    </w:rPr>
  </w:style>
  <w:style w:type="paragraph" w:customStyle="1" w:styleId="171">
    <w:name w:val="content"/>
    <w:basedOn w:val="1"/>
    <w:autoRedefine/>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72">
    <w:name w:val="bt"/>
    <w:basedOn w:val="1"/>
    <w:next w:val="2"/>
    <w:autoRedefine/>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73">
    <w:name w:val="标书正文:  0.74 厘米"/>
    <w:basedOn w:val="1"/>
    <w:autoRedefine/>
    <w:qFormat/>
    <w:uiPriority w:val="0"/>
    <w:pPr>
      <w:snapToGrid w:val="0"/>
      <w:spacing w:line="360" w:lineRule="auto"/>
      <w:ind w:firstLine="420"/>
    </w:pPr>
    <w:rPr>
      <w:rFonts w:eastAsia="宋体"/>
      <w:kern w:val="2"/>
      <w:sz w:val="24"/>
      <w:lang w:val="en-US" w:eastAsia="zh-CN"/>
    </w:rPr>
  </w:style>
  <w:style w:type="paragraph" w:customStyle="1" w:styleId="174">
    <w:name w:val="Style Heading 3h3Heading 3 - oldLevel 3 HeadH3level_3PIM 3se..."/>
    <w:basedOn w:val="5"/>
    <w:autoRedefine/>
    <w:qFormat/>
    <w:uiPriority w:val="0"/>
    <w:pPr>
      <w:numPr>
        <w:ilvl w:val="2"/>
        <w:numId w:val="7"/>
      </w:numPr>
      <w:jc w:val="both"/>
    </w:pPr>
    <w:rPr>
      <w:sz w:val="32"/>
    </w:rPr>
  </w:style>
  <w:style w:type="paragraph" w:customStyle="1" w:styleId="175">
    <w:name w:val="标题3——2"/>
    <w:basedOn w:val="5"/>
    <w:next w:val="56"/>
    <w:autoRedefine/>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76">
    <w:name w:val="Table Contents"/>
    <w:basedOn w:val="2"/>
    <w:autoRedefine/>
    <w:qFormat/>
    <w:uiPriority w:val="0"/>
    <w:pPr>
      <w:suppressAutoHyphens/>
      <w:jc w:val="left"/>
    </w:pPr>
    <w:rPr>
      <w:rFonts w:ascii="Times New Roman" w:eastAsia="Times New Roman"/>
      <w:kern w:val="0"/>
      <w:sz w:val="24"/>
    </w:rPr>
  </w:style>
  <w:style w:type="paragraph" w:customStyle="1" w:styleId="177">
    <w:name w:val=" Char Char Char"/>
    <w:basedOn w:val="1"/>
    <w:autoRedefine/>
    <w:qFormat/>
    <w:uiPriority w:val="0"/>
    <w:rPr>
      <w:rFonts w:ascii="Tahoma" w:hAnsi="Tahoma"/>
      <w:sz w:val="24"/>
    </w:rPr>
  </w:style>
  <w:style w:type="paragraph" w:customStyle="1" w:styleId="178">
    <w:name w:val="标准正文"/>
    <w:basedOn w:val="23"/>
    <w:autoRedefine/>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79">
    <w:name w:val="IN Step"/>
    <w:basedOn w:val="1"/>
    <w:autoRedefine/>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80">
    <w:name w:val="首行缩进 1"/>
    <w:basedOn w:val="1"/>
    <w:autoRedefine/>
    <w:qFormat/>
    <w:uiPriority w:val="0"/>
    <w:pPr>
      <w:spacing w:after="120" w:afterLines="0" w:afterAutospacing="0" w:line="360" w:lineRule="auto"/>
      <w:ind w:firstLine="200" w:firstLineChars="200"/>
    </w:pPr>
    <w:rPr>
      <w:sz w:val="24"/>
    </w:rPr>
  </w:style>
  <w:style w:type="paragraph" w:customStyle="1" w:styleId="181">
    <w:name w:val="_Style 179"/>
    <w:autoRedefine/>
    <w:qFormat/>
    <w:uiPriority w:val="0"/>
    <w:rPr>
      <w:rFonts w:ascii="Times New Roman" w:hAnsi="Times New Roman" w:eastAsia="宋体" w:cs="Times New Roman"/>
      <w:kern w:val="2"/>
      <w:sz w:val="21"/>
      <w:lang w:val="en-US" w:eastAsia="zh-CN" w:bidi="ar-SA"/>
    </w:rPr>
  </w:style>
  <w:style w:type="paragraph" w:customStyle="1" w:styleId="182">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183">
    <w:name w:val="摘要"/>
    <w:basedOn w:val="1"/>
    <w:next w:val="4"/>
    <w:autoRedefine/>
    <w:qFormat/>
    <w:uiPriority w:val="0"/>
    <w:pPr>
      <w:spacing w:line="360" w:lineRule="auto"/>
    </w:pPr>
    <w:rPr>
      <w:rFonts w:eastAsia="黑体"/>
      <w:sz w:val="20"/>
    </w:rPr>
  </w:style>
  <w:style w:type="paragraph" w:customStyle="1" w:styleId="184">
    <w:name w:val=" Char Char Char Char Char Char Char"/>
    <w:basedOn w:val="1"/>
    <w:autoRedefine/>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85">
    <w:name w:val="样式 标题 6第五层条 + 三号 段前: 0.5 行"/>
    <w:basedOn w:val="8"/>
    <w:autoRedefine/>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86">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187">
    <w:name w:val="编号正文"/>
    <w:basedOn w:val="133"/>
    <w:autoRedefine/>
    <w:qFormat/>
    <w:uiPriority w:val="0"/>
    <w:pPr>
      <w:snapToGrid/>
      <w:spacing w:line="360" w:lineRule="auto"/>
      <w:ind w:left="1407" w:hanging="1047"/>
      <w:jc w:val="left"/>
    </w:pPr>
    <w:rPr>
      <w:rFonts w:eastAsia="仿宋_GB2312"/>
    </w:rPr>
  </w:style>
  <w:style w:type="paragraph" w:customStyle="1" w:styleId="188">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89">
    <w:name w:val="样式4"/>
    <w:basedOn w:val="6"/>
    <w:autoRedefine/>
    <w:qFormat/>
    <w:uiPriority w:val="0"/>
    <w:pPr>
      <w:numPr>
        <w:ilvl w:val="0"/>
        <w:numId w:val="0"/>
      </w:numPr>
      <w:adjustRightInd w:val="0"/>
      <w:snapToGrid w:val="0"/>
      <w:spacing w:before="280" w:beforeLines="0" w:beforeAutospacing="0" w:line="372" w:lineRule="auto"/>
    </w:pPr>
  </w:style>
  <w:style w:type="paragraph" w:customStyle="1" w:styleId="190">
    <w:name w:val="默认段落字体 Para Char Char Char Char Char Char Char Char Char1 Char Char Char Char"/>
    <w:basedOn w:val="1"/>
    <w:autoRedefine/>
    <w:qFormat/>
    <w:uiPriority w:val="0"/>
    <w:rPr>
      <w:rFonts w:ascii="Tahoma" w:hAnsi="Tahoma"/>
      <w:sz w:val="24"/>
    </w:rPr>
  </w:style>
  <w:style w:type="paragraph" w:customStyle="1" w:styleId="191">
    <w:name w:val="正文4"/>
    <w:basedOn w:val="1"/>
    <w:autoRedefine/>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92">
    <w:name w:val="Item List"/>
    <w:autoRedefine/>
    <w:qFormat/>
    <w:uiPriority w:val="0"/>
    <w:pPr>
      <w:numPr>
        <w:ilvl w:val="0"/>
        <w:numId w:val="13"/>
      </w:numPr>
      <w:spacing w:line="300" w:lineRule="auto"/>
      <w:jc w:val="both"/>
    </w:pPr>
    <w:rPr>
      <w:rFonts w:ascii="Arial" w:hAnsi="Arial" w:eastAsia="宋体" w:cs="Times New Roman"/>
      <w:sz w:val="21"/>
      <w:lang w:val="en-US" w:eastAsia="zh-CN" w:bidi="ar-SA"/>
    </w:rPr>
  </w:style>
  <w:style w:type="paragraph" w:customStyle="1" w:styleId="193">
    <w:name w:val="Char1 Char Char Char"/>
    <w:basedOn w:val="1"/>
    <w:autoRedefine/>
    <w:qFormat/>
    <w:uiPriority w:val="0"/>
    <w:rPr>
      <w:rFonts w:ascii="Tahoma" w:hAnsi="Tahoma"/>
      <w:sz w:val="21"/>
    </w:rPr>
  </w:style>
  <w:style w:type="paragraph" w:customStyle="1" w:styleId="194">
    <w:name w:val="样式 标题 1 + 居中 段前: 6 磅 段后: 6 磅 行距: 1.5 倍行距"/>
    <w:basedOn w:val="3"/>
    <w:autoRedefine/>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95">
    <w:name w:val="xl53"/>
    <w:basedOn w:val="1"/>
    <w:autoRedefine/>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96">
    <w:name w:val=" Char1"/>
    <w:basedOn w:val="1"/>
    <w:autoRedefine/>
    <w:qFormat/>
    <w:uiPriority w:val="0"/>
    <w:rPr>
      <w:sz w:val="21"/>
    </w:rPr>
  </w:style>
  <w:style w:type="paragraph" w:customStyle="1" w:styleId="197">
    <w:name w:val="样式 标题 1章标题Heading 0Section HeadPIM 1H1h11st levell11H1..."/>
    <w:basedOn w:val="3"/>
    <w:autoRedefine/>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198">
    <w:name w:val="关键词"/>
    <w:basedOn w:val="1"/>
    <w:next w:val="1"/>
    <w:autoRedefine/>
    <w:qFormat/>
    <w:uiPriority w:val="0"/>
    <w:pPr>
      <w:spacing w:line="360" w:lineRule="auto"/>
    </w:pPr>
    <w:rPr>
      <w:rFonts w:eastAsia="黑体"/>
      <w:sz w:val="20"/>
    </w:rPr>
  </w:style>
  <w:style w:type="paragraph" w:customStyle="1" w:styleId="199">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200">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201">
    <w:name w:val="图标"/>
    <w:basedOn w:val="1"/>
    <w:next w:val="1"/>
    <w:autoRedefine/>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202">
    <w:name w:val="首行缩进"/>
    <w:basedOn w:val="1"/>
    <w:autoRedefine/>
    <w:qFormat/>
    <w:uiPriority w:val="0"/>
    <w:pPr>
      <w:spacing w:line="360" w:lineRule="auto"/>
      <w:ind w:firstLine="420" w:firstLineChars="200"/>
    </w:pPr>
    <w:rPr>
      <w:sz w:val="21"/>
    </w:rPr>
  </w:style>
  <w:style w:type="paragraph" w:customStyle="1" w:styleId="203">
    <w:name w:val="样式 正文首行缩进 2 + 首行缩进:  2 字符"/>
    <w:basedOn w:val="1"/>
    <w:autoRedefine/>
    <w:qFormat/>
    <w:uiPriority w:val="0"/>
    <w:pPr>
      <w:numPr>
        <w:ilvl w:val="0"/>
        <w:numId w:val="14"/>
      </w:numPr>
      <w:adjustRightInd w:val="0"/>
      <w:snapToGrid w:val="0"/>
      <w:spacing w:line="360" w:lineRule="auto"/>
    </w:pPr>
    <w:rPr>
      <w:rFonts w:ascii="Arial" w:hAnsi="Arial"/>
      <w:b/>
      <w:sz w:val="24"/>
    </w:rPr>
  </w:style>
  <w:style w:type="paragraph" w:customStyle="1" w:styleId="204">
    <w:name w:val="style1"/>
    <w:basedOn w:val="1"/>
    <w:autoRedefine/>
    <w:qFormat/>
    <w:uiPriority w:val="0"/>
    <w:pPr>
      <w:widowControl/>
      <w:spacing w:before="100" w:beforeLines="0" w:beforeAutospacing="1" w:after="100" w:afterLines="0" w:afterAutospacing="1"/>
      <w:jc w:val="left"/>
    </w:pPr>
    <w:rPr>
      <w:rFonts w:ascii="宋体" w:hAnsi="宋体"/>
      <w:kern w:val="0"/>
      <w:sz w:val="21"/>
    </w:rPr>
  </w:style>
  <w:style w:type="paragraph" w:customStyle="1" w:styleId="205">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06">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7">
    <w:name w:val="表头文本"/>
    <w:autoRedefine/>
    <w:qFormat/>
    <w:uiPriority w:val="0"/>
    <w:pPr>
      <w:jc w:val="center"/>
    </w:pPr>
    <w:rPr>
      <w:rFonts w:ascii="Arial" w:hAnsi="Arial" w:eastAsia="宋体" w:cs="Times New Roman"/>
      <w:b/>
      <w:sz w:val="21"/>
      <w:lang w:val="en-US" w:eastAsia="zh-CN" w:bidi="ar-SA"/>
    </w:rPr>
  </w:style>
  <w:style w:type="paragraph" w:customStyle="1" w:styleId="208">
    <w:name w:val=" Char Char Char Char Char Char1 Char"/>
    <w:basedOn w:val="1"/>
    <w:autoRedefine/>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209">
    <w:name w:val="00"/>
    <w:basedOn w:val="1"/>
    <w:autoRedefine/>
    <w:qFormat/>
    <w:uiPriority w:val="0"/>
    <w:pPr>
      <w:autoSpaceDE w:val="0"/>
      <w:autoSpaceDN w:val="0"/>
      <w:adjustRightInd w:val="0"/>
      <w:jc w:val="left"/>
    </w:pPr>
    <w:rPr>
      <w:rFonts w:ascii="黑体" w:eastAsia="黑体"/>
      <w:b/>
      <w:kern w:val="0"/>
      <w:sz w:val="20"/>
    </w:rPr>
  </w:style>
  <w:style w:type="paragraph" w:customStyle="1" w:styleId="210">
    <w:name w:val="IN Feature"/>
    <w:next w:val="179"/>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1">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212">
    <w:name w:val="图例"/>
    <w:basedOn w:val="1"/>
    <w:autoRedefine/>
    <w:qFormat/>
    <w:uiPriority w:val="0"/>
    <w:pPr>
      <w:spacing w:before="120" w:beforeLines="0" w:beforeAutospacing="0" w:after="120" w:afterLines="0" w:afterAutospacing="0" w:line="360" w:lineRule="auto"/>
      <w:jc w:val="center"/>
    </w:pPr>
    <w:rPr>
      <w:rFonts w:eastAsia="仿宋_GB2312"/>
      <w:b/>
      <w:sz w:val="24"/>
    </w:rPr>
  </w:style>
  <w:style w:type="paragraph" w:customStyle="1" w:styleId="213">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214">
    <w:name w:val="Char Char Char Char Char Char Char"/>
    <w:basedOn w:val="18"/>
    <w:autoRedefine/>
    <w:qFormat/>
    <w:uiPriority w:val="0"/>
    <w:rPr>
      <w:rFonts w:ascii="宋体" w:hAnsi="Tahoma"/>
    </w:rPr>
  </w:style>
  <w:style w:type="paragraph" w:customStyle="1" w:styleId="215">
    <w:name w:val="列出段落1"/>
    <w:basedOn w:val="1"/>
    <w:autoRedefine/>
    <w:qFormat/>
    <w:uiPriority w:val="34"/>
    <w:pPr>
      <w:ind w:firstLine="420" w:firstLineChars="200"/>
    </w:pPr>
  </w:style>
  <w:style w:type="paragraph" w:customStyle="1" w:styleId="216">
    <w:name w:val="表格内文字"/>
    <w:basedOn w:val="30"/>
    <w:autoRedefine/>
    <w:qFormat/>
    <w:uiPriority w:val="0"/>
    <w:pPr>
      <w:snapToGrid/>
      <w:spacing w:line="240" w:lineRule="auto"/>
    </w:pPr>
    <w:rPr>
      <w:color w:val="000000"/>
      <w:lang w:val="en-GB"/>
    </w:rPr>
  </w:style>
  <w:style w:type="paragraph" w:customStyle="1" w:styleId="217">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18">
    <w:name w:val="项目"/>
    <w:basedOn w:val="1"/>
    <w:autoRedefine/>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219">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20">
    <w:name w:val="正文表格"/>
    <w:basedOn w:val="1"/>
    <w:autoRedefine/>
    <w:qFormat/>
    <w:uiPriority w:val="0"/>
    <w:pPr>
      <w:adjustRightInd w:val="0"/>
      <w:spacing w:before="40" w:beforeLines="0" w:beforeAutospacing="0" w:after="40" w:afterLines="0" w:afterAutospacing="0"/>
    </w:pPr>
    <w:rPr>
      <w:sz w:val="24"/>
    </w:rPr>
  </w:style>
  <w:style w:type="paragraph" w:customStyle="1" w:styleId="221">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22">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23">
    <w:name w:val="内容标题"/>
    <w:basedOn w:val="18"/>
    <w:autoRedefine/>
    <w:qFormat/>
    <w:uiPriority w:val="0"/>
    <w:rPr>
      <w:rFonts w:ascii="Tahoma" w:hAnsi="Tahoma"/>
      <w:sz w:val="24"/>
    </w:rPr>
  </w:style>
  <w:style w:type="paragraph" w:customStyle="1" w:styleId="224">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25">
    <w:name w:val="附录4"/>
    <w:basedOn w:val="1"/>
    <w:next w:val="1"/>
    <w:autoRedefine/>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226">
    <w:name w:val="xl27"/>
    <w:basedOn w:val="1"/>
    <w:autoRedefine/>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227">
    <w:name w:val=" Char Char1 Char Char Char Char Char Char Char Char Char Char Char Char Char Char"/>
    <w:basedOn w:val="1"/>
    <w:autoRedefine/>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228">
    <w:name w:val="样式2"/>
    <w:basedOn w:val="6"/>
    <w:autoRedefine/>
    <w:qFormat/>
    <w:uiPriority w:val="0"/>
    <w:pPr>
      <w:numPr>
        <w:ilvl w:val="0"/>
        <w:numId w:val="15"/>
      </w:numPr>
      <w:spacing w:line="400" w:lineRule="exact"/>
      <w:jc w:val="center"/>
      <w:outlineLvl w:val="0"/>
    </w:pPr>
    <w:rPr>
      <w:b w:val="0"/>
      <w:sz w:val="44"/>
    </w:rPr>
  </w:style>
  <w:style w:type="paragraph" w:customStyle="1" w:styleId="229">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0">
    <w:name w:val="列表项目"/>
    <w:basedOn w:val="1"/>
    <w:autoRedefine/>
    <w:qFormat/>
    <w:uiPriority w:val="0"/>
    <w:pPr>
      <w:numPr>
        <w:ilvl w:val="0"/>
        <w:numId w:val="6"/>
      </w:numPr>
      <w:tabs>
        <w:tab w:val="left" w:pos="420"/>
        <w:tab w:val="clear" w:pos="980"/>
      </w:tabs>
      <w:spacing w:line="288" w:lineRule="auto"/>
      <w:ind w:left="840" w:leftChars="200" w:hanging="420" w:hangingChars="200"/>
    </w:pPr>
    <w:rPr>
      <w:sz w:val="21"/>
    </w:rPr>
  </w:style>
  <w:style w:type="paragraph" w:customStyle="1" w:styleId="231">
    <w:name w:val="目录 71"/>
    <w:basedOn w:val="1"/>
    <w:next w:val="1"/>
    <w:autoRedefine/>
    <w:qFormat/>
    <w:uiPriority w:val="0"/>
    <w:pPr>
      <w:ind w:left="2520"/>
    </w:pPr>
  </w:style>
  <w:style w:type="character" w:customStyle="1" w:styleId="232">
    <w:name w:val="Hyperlink.0"/>
    <w:autoRedefine/>
    <w:qFormat/>
    <w:uiPriority w:val="0"/>
    <w:rPr>
      <w:lang w:val="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14024</Words>
  <Characters>14802</Characters>
  <Lines>169</Lines>
  <Paragraphs>47</Paragraphs>
  <TotalTime>6</TotalTime>
  <ScaleCrop>false</ScaleCrop>
  <LinksUpToDate>false</LinksUpToDate>
  <CharactersWithSpaces>15371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2023-02-25T13:53:00Z</dcterms:created>
  <dc:creator>admin</dc:creator>
  <cp:lastModifiedBy>OREO</cp:lastModifiedBy>
  <cp:lastPrinted>2024-01-02T03:17:00Z</cp:lastPrinted>
  <dcterms:modified xsi:type="dcterms:W3CDTF">2025-11-18T11:59:28Z</dcterms:modified>
  <dc:title>货物</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4B9A631029AA4C68B5ACDE44764E29D0_13</vt:lpwstr>
  </property>
  <property fmtid="{D5CDD505-2E9C-101B-9397-08002B2CF9AE}" pid="4" name="KSOTemplateDocerSaveRecord">
    <vt:lpwstr>eyJoZGlkIjoiODhlYjdiOGNhZDA0MjM3NTE0MDIyZmVhMDNlMGI3ZjciLCJ1c2VySWQiOiI0NjU2NjA1ODIifQ==</vt:lpwstr>
  </property>
</Properties>
</file>