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EA3085">
      <w:pPr>
        <w:pStyle w:val="23"/>
        <w:spacing w:line="240" w:lineRule="auto"/>
        <w:ind w:left="0"/>
        <w:jc w:val="center"/>
        <w:rPr>
          <w:rFonts w:hint="eastAsia" w:ascii="宋体" w:hAnsi="宋体" w:eastAsia="宋体" w:cs="宋体"/>
          <w:color w:val="auto"/>
          <w:sz w:val="60"/>
          <w:szCs w:val="60"/>
          <w:highlight w:val="none"/>
        </w:rPr>
      </w:pPr>
      <w:bookmarkStart w:id="0" w:name="_Toc136879634"/>
      <w:bookmarkStart w:id="1" w:name="_Toc136880102"/>
      <w:bookmarkStart w:id="2" w:name="_Toc136879793"/>
      <w:bookmarkStart w:id="3" w:name="_Toc20816"/>
      <w:bookmarkStart w:id="4" w:name="_Toc15146"/>
      <w:bookmarkStart w:id="5" w:name="_Toc21750"/>
      <w:bookmarkStart w:id="6" w:name="_Toc30901"/>
      <w:bookmarkStart w:id="7" w:name="_Toc3073"/>
      <w:bookmarkStart w:id="8" w:name="_Toc23648"/>
      <w:bookmarkStart w:id="9" w:name="_Toc21122"/>
      <w:bookmarkStart w:id="10" w:name="_Toc16015"/>
      <w:bookmarkStart w:id="11" w:name="_Toc1828"/>
      <w:bookmarkStart w:id="12" w:name="_Toc12923"/>
      <w:bookmarkStart w:id="13" w:name="_Toc31915"/>
      <w:bookmarkStart w:id="14" w:name="_Toc136879882"/>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DD79BED">
      <w:pPr>
        <w:pStyle w:val="23"/>
        <w:spacing w:line="240" w:lineRule="auto"/>
        <w:ind w:left="0"/>
        <w:jc w:val="center"/>
        <w:rPr>
          <w:rFonts w:hint="eastAsia" w:ascii="宋体" w:hAnsi="宋体" w:eastAsia="宋体" w:cs="宋体"/>
          <w:color w:val="auto"/>
          <w:sz w:val="60"/>
          <w:szCs w:val="60"/>
          <w:highlight w:val="none"/>
        </w:rPr>
      </w:pPr>
      <w:r>
        <w:rPr>
          <w:rFonts w:hint="eastAsia" w:ascii="宋体" w:hAnsi="宋体" w:eastAsia="宋体" w:cs="宋体"/>
          <w:color w:val="auto"/>
          <w:sz w:val="60"/>
          <w:szCs w:val="60"/>
          <w:highlight w:val="none"/>
          <w:lang w:eastAsia="zh-CN"/>
        </w:rPr>
        <w:t>小额交易平台</w:t>
      </w:r>
      <w:bookmarkStart w:id="15" w:name="_Toc5958"/>
      <w:bookmarkStart w:id="16" w:name="_Toc136879794"/>
      <w:bookmarkStart w:id="17" w:name="_Toc136880103"/>
      <w:bookmarkStart w:id="18" w:name="_Toc7828"/>
      <w:bookmarkStart w:id="19" w:name="_Toc136879635"/>
      <w:bookmarkStart w:id="20" w:name="_Toc6223"/>
      <w:bookmarkStart w:id="21" w:name="_Toc21695"/>
      <w:bookmarkStart w:id="22" w:name="_Toc25539"/>
      <w:bookmarkStart w:id="23" w:name="_Toc16319"/>
      <w:bookmarkStart w:id="24" w:name="_Toc31652"/>
      <w:bookmarkStart w:id="25" w:name="_Toc5521"/>
      <w:bookmarkStart w:id="26" w:name="_Toc28014"/>
      <w:bookmarkStart w:id="27" w:name="_Toc136879883"/>
      <w:bookmarkStart w:id="28" w:name="_Toc12859"/>
      <w:bookmarkStart w:id="29" w:name="_Toc156"/>
      <w:r>
        <w:rPr>
          <w:rFonts w:hint="eastAsia" w:ascii="宋体" w:hAnsi="宋体" w:eastAsia="宋体" w:cs="宋体"/>
          <w:color w:val="auto"/>
          <w:sz w:val="60"/>
          <w:szCs w:val="60"/>
          <w:highlight w:val="none"/>
        </w:rPr>
        <w:t>网上竞采采购文件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7D3DF0B">
      <w:pPr>
        <w:pStyle w:val="23"/>
        <w:spacing w:line="240" w:lineRule="auto"/>
        <w:ind w:left="0"/>
        <w:jc w:val="center"/>
        <w:rPr>
          <w:rFonts w:hint="eastAsia" w:ascii="宋体" w:hAnsi="宋体" w:eastAsia="宋体" w:cs="宋体"/>
          <w:color w:val="auto"/>
          <w:sz w:val="80"/>
          <w:szCs w:val="80"/>
          <w:highlight w:val="none"/>
        </w:rPr>
      </w:pPr>
    </w:p>
    <w:p w14:paraId="5943A638">
      <w:pPr>
        <w:pStyle w:val="23"/>
        <w:spacing w:line="500" w:lineRule="exact"/>
        <w:ind w:left="0"/>
        <w:rPr>
          <w:rFonts w:hint="eastAsia" w:ascii="宋体" w:hAnsi="宋体" w:eastAsia="宋体" w:cs="宋体"/>
          <w:color w:val="auto"/>
          <w:sz w:val="32"/>
          <w:highlight w:val="none"/>
        </w:rPr>
      </w:pPr>
    </w:p>
    <w:p w14:paraId="691F7736">
      <w:pPr>
        <w:pStyle w:val="23"/>
        <w:spacing w:line="500" w:lineRule="exact"/>
        <w:ind w:left="0"/>
        <w:rPr>
          <w:rFonts w:hint="eastAsia" w:ascii="宋体" w:hAnsi="宋体" w:eastAsia="宋体" w:cs="宋体"/>
          <w:color w:val="auto"/>
          <w:sz w:val="52"/>
          <w:szCs w:val="52"/>
          <w:highlight w:val="none"/>
        </w:rPr>
      </w:pPr>
    </w:p>
    <w:p w14:paraId="3D72628D">
      <w:pPr>
        <w:pStyle w:val="23"/>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7BB2AAEB">
      <w:pPr>
        <w:pStyle w:val="23"/>
        <w:spacing w:line="500" w:lineRule="exact"/>
        <w:ind w:left="0"/>
        <w:rPr>
          <w:rFonts w:hint="eastAsia" w:ascii="宋体" w:hAnsi="宋体" w:eastAsia="宋体" w:cs="宋体"/>
          <w:color w:val="auto"/>
          <w:sz w:val="32"/>
          <w:highlight w:val="none"/>
        </w:rPr>
      </w:pPr>
    </w:p>
    <w:p w14:paraId="784306AD">
      <w:pPr>
        <w:pStyle w:val="23"/>
        <w:spacing w:line="500" w:lineRule="exact"/>
        <w:ind w:left="0"/>
        <w:jc w:val="center"/>
        <w:rPr>
          <w:rFonts w:hint="eastAsia" w:ascii="宋体" w:hAnsi="宋体" w:eastAsia="宋体" w:cs="宋体"/>
          <w:color w:val="auto"/>
          <w:sz w:val="32"/>
          <w:highlight w:val="none"/>
        </w:rPr>
      </w:pPr>
    </w:p>
    <w:p w14:paraId="77E165AC">
      <w:pPr>
        <w:spacing w:line="500" w:lineRule="exact"/>
        <w:jc w:val="center"/>
        <w:outlineLvl w:val="0"/>
        <w:rPr>
          <w:rFonts w:hint="eastAsia" w:ascii="宋体" w:hAnsi="宋体" w:eastAsia="宋体" w:cs="宋体"/>
          <w:color w:val="auto"/>
          <w:sz w:val="32"/>
          <w:highlight w:val="none"/>
        </w:rPr>
      </w:pPr>
      <w:r>
        <w:rPr>
          <w:rFonts w:hint="eastAsia" w:ascii="宋体" w:hAnsi="宋体" w:eastAsia="宋体" w:cs="宋体"/>
          <w:color w:val="auto"/>
          <w:sz w:val="32"/>
          <w:highlight w:val="none"/>
        </w:rPr>
        <w:t>采购项目名称：</w:t>
      </w:r>
      <w:r>
        <w:rPr>
          <w:rFonts w:hint="eastAsia" w:ascii="宋体" w:hAnsi="宋体" w:cs="宋体"/>
          <w:color w:val="auto"/>
          <w:sz w:val="32"/>
          <w:highlight w:val="none"/>
          <w:lang w:val="en-US" w:eastAsia="zh-CN"/>
        </w:rPr>
        <w:t>秀山县2025年受污染耕地安全利用类核算点位取样项目</w:t>
      </w:r>
    </w:p>
    <w:p w14:paraId="6A385995">
      <w:pPr>
        <w:pStyle w:val="23"/>
        <w:spacing w:line="500" w:lineRule="exact"/>
        <w:ind w:left="0"/>
        <w:jc w:val="center"/>
        <w:rPr>
          <w:rFonts w:hint="eastAsia" w:ascii="宋体" w:hAnsi="宋体" w:eastAsia="宋体" w:cs="宋体"/>
          <w:color w:val="auto"/>
          <w:sz w:val="32"/>
          <w:highlight w:val="none"/>
        </w:rPr>
      </w:pPr>
    </w:p>
    <w:p w14:paraId="014B0EFE">
      <w:pPr>
        <w:pStyle w:val="23"/>
        <w:spacing w:line="500" w:lineRule="exact"/>
        <w:ind w:left="0"/>
        <w:jc w:val="center"/>
        <w:rPr>
          <w:rFonts w:hint="eastAsia" w:ascii="宋体" w:hAnsi="宋体" w:eastAsia="宋体" w:cs="宋体"/>
          <w:color w:val="auto"/>
          <w:sz w:val="32"/>
          <w:highlight w:val="none"/>
        </w:rPr>
      </w:pPr>
    </w:p>
    <w:p w14:paraId="0011C16D">
      <w:pPr>
        <w:pStyle w:val="4"/>
        <w:rPr>
          <w:rFonts w:hint="eastAsia" w:ascii="宋体" w:hAnsi="宋体" w:eastAsia="宋体" w:cs="宋体"/>
          <w:color w:val="auto"/>
          <w:highlight w:val="none"/>
        </w:rPr>
      </w:pPr>
    </w:p>
    <w:p w14:paraId="29AADF62">
      <w:pPr>
        <w:rPr>
          <w:rFonts w:hint="eastAsia" w:ascii="宋体" w:hAnsi="宋体" w:eastAsia="宋体" w:cs="宋体"/>
          <w:color w:val="auto"/>
          <w:highlight w:val="none"/>
        </w:rPr>
      </w:pPr>
    </w:p>
    <w:p w14:paraId="2DAB0A4B">
      <w:pPr>
        <w:rPr>
          <w:rFonts w:hint="eastAsia" w:ascii="宋体" w:hAnsi="宋体" w:eastAsia="宋体" w:cs="宋体"/>
          <w:color w:val="auto"/>
          <w:highlight w:val="none"/>
        </w:rPr>
      </w:pPr>
    </w:p>
    <w:p w14:paraId="41C09FCD">
      <w:pPr>
        <w:rPr>
          <w:rFonts w:hint="eastAsia" w:ascii="宋体" w:hAnsi="宋体" w:eastAsia="宋体" w:cs="宋体"/>
          <w:color w:val="auto"/>
          <w:highlight w:val="none"/>
        </w:rPr>
      </w:pPr>
    </w:p>
    <w:p w14:paraId="6D4B4CF9">
      <w:pPr>
        <w:rPr>
          <w:rFonts w:hint="eastAsia" w:ascii="宋体" w:hAnsi="宋体" w:eastAsia="宋体" w:cs="宋体"/>
          <w:color w:val="auto"/>
          <w:highlight w:val="none"/>
        </w:rPr>
      </w:pPr>
    </w:p>
    <w:p w14:paraId="68818D4F">
      <w:pPr>
        <w:rPr>
          <w:rFonts w:hint="eastAsia" w:ascii="宋体" w:hAnsi="宋体" w:eastAsia="宋体" w:cs="宋体"/>
          <w:color w:val="auto"/>
          <w:highlight w:val="none"/>
        </w:rPr>
      </w:pPr>
    </w:p>
    <w:p w14:paraId="08FF49CC">
      <w:pPr>
        <w:pStyle w:val="23"/>
        <w:spacing w:line="500" w:lineRule="exact"/>
        <w:ind w:left="0" w:firstLine="1280" w:firstLineChars="400"/>
        <w:jc w:val="left"/>
        <w:rPr>
          <w:rFonts w:hint="eastAsia" w:ascii="宋体" w:hAnsi="宋体" w:cs="宋体"/>
          <w:color w:val="auto"/>
          <w:sz w:val="32"/>
          <w:highlight w:val="none"/>
          <w:lang w:val="en-US" w:eastAsia="zh-CN"/>
        </w:rPr>
      </w:pPr>
      <w:r>
        <w:rPr>
          <w:rFonts w:hint="eastAsia" w:ascii="宋体" w:hAnsi="宋体" w:eastAsia="宋体" w:cs="宋体"/>
          <w:color w:val="auto"/>
          <w:sz w:val="32"/>
          <w:highlight w:val="none"/>
        </w:rPr>
        <w:t>采购人：</w:t>
      </w:r>
      <w:r>
        <w:rPr>
          <w:rFonts w:hint="eastAsia" w:ascii="宋体" w:hAnsi="宋体" w:cs="宋体"/>
          <w:color w:val="auto"/>
          <w:sz w:val="32"/>
          <w:highlight w:val="none"/>
          <w:lang w:eastAsia="zh-CN"/>
        </w:rPr>
        <w:t>秀山土家族苗族自治县</w:t>
      </w:r>
      <w:r>
        <w:rPr>
          <w:rFonts w:hint="eastAsia" w:ascii="宋体" w:hAnsi="宋体" w:cs="宋体"/>
          <w:color w:val="auto"/>
          <w:sz w:val="32"/>
          <w:highlight w:val="none"/>
          <w:lang w:val="en-US" w:eastAsia="zh-CN"/>
        </w:rPr>
        <w:t>农业农村委员会</w:t>
      </w:r>
    </w:p>
    <w:p w14:paraId="7C54BA18">
      <w:pPr>
        <w:pStyle w:val="23"/>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w:t>
      </w:r>
      <w:r>
        <w:rPr>
          <w:rFonts w:hint="eastAsia" w:ascii="宋体" w:hAnsi="宋体" w:cs="宋体"/>
          <w:color w:val="auto"/>
          <w:sz w:val="32"/>
          <w:highlight w:val="none"/>
          <w:lang w:eastAsia="zh-CN"/>
        </w:rPr>
        <w:t>重庆千诺工程项目管理有限公司</w:t>
      </w:r>
    </w:p>
    <w:p w14:paraId="6D946380">
      <w:pPr>
        <w:pStyle w:val="22"/>
        <w:rPr>
          <w:rFonts w:hint="eastAsia" w:ascii="宋体" w:hAnsi="宋体" w:eastAsia="宋体" w:cs="宋体"/>
          <w:color w:val="auto"/>
          <w:highlight w:val="none"/>
        </w:rPr>
      </w:pPr>
    </w:p>
    <w:p w14:paraId="4090C4FF">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四</w:t>
      </w:r>
      <w:r>
        <w:rPr>
          <w:rFonts w:hint="eastAsia" w:ascii="宋体" w:hAnsi="宋体" w:eastAsia="宋体" w:cs="宋体"/>
          <w:color w:val="auto"/>
          <w:sz w:val="32"/>
          <w:szCs w:val="32"/>
          <w:highlight w:val="none"/>
        </w:rPr>
        <w:t>月</w:t>
      </w:r>
    </w:p>
    <w:p w14:paraId="08E1A484">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2A27D4BD">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7FFE62F5">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3E6E980">
      <w:pPr>
        <w:pStyle w:val="30"/>
        <w:tabs>
          <w:tab w:val="right" w:leader="dot" w:pos="9412"/>
        </w:tabs>
        <w:ind w:left="1120"/>
        <w:rPr>
          <w:rFonts w:hint="eastAsia" w:ascii="宋体" w:hAnsi="宋体" w:eastAsia="宋体" w:cs="宋体"/>
          <w:color w:val="auto"/>
          <w:highlight w:val="none"/>
        </w:rPr>
      </w:pPr>
    </w:p>
    <w:p w14:paraId="7B53D28E">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第二篇采购项目技术需求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C7EB0B1">
      <w:pPr>
        <w:pStyle w:val="48"/>
        <w:tabs>
          <w:tab w:val="right" w:leader="dot" w:pos="9412"/>
        </w:tabs>
        <w:ind w:left="560"/>
        <w:rPr>
          <w:rFonts w:hint="eastAsia" w:ascii="宋体" w:hAnsi="宋体" w:eastAsia="宋体" w:cs="宋体"/>
          <w:color w:val="auto"/>
          <w:highlight w:val="none"/>
        </w:rPr>
      </w:pPr>
    </w:p>
    <w:p w14:paraId="0706539A">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第三篇采购项目商务需求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F9A9E5A">
      <w:pPr>
        <w:pStyle w:val="48"/>
        <w:tabs>
          <w:tab w:val="right" w:leader="dot" w:pos="9412"/>
        </w:tabs>
        <w:ind w:left="560"/>
        <w:rPr>
          <w:rFonts w:hint="eastAsia" w:ascii="宋体" w:hAnsi="宋体" w:eastAsia="宋体" w:cs="宋体"/>
          <w:color w:val="auto"/>
          <w:highlight w:val="none"/>
        </w:rPr>
      </w:pPr>
    </w:p>
    <w:p w14:paraId="6D177B83">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第四篇网上竞采程序及方法、评审标准、响应无效和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5523D11">
      <w:pPr>
        <w:pStyle w:val="30"/>
        <w:tabs>
          <w:tab w:val="right" w:leader="dot" w:pos="9412"/>
        </w:tabs>
        <w:ind w:left="1120"/>
        <w:rPr>
          <w:rFonts w:hint="eastAsia" w:ascii="宋体" w:hAnsi="宋体" w:eastAsia="宋体" w:cs="宋体"/>
          <w:color w:val="auto"/>
          <w:highlight w:val="none"/>
        </w:rPr>
      </w:pPr>
    </w:p>
    <w:p w14:paraId="6E7883C6">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C9F887">
      <w:pPr>
        <w:pStyle w:val="30"/>
        <w:tabs>
          <w:tab w:val="right" w:leader="dot" w:pos="9412"/>
        </w:tabs>
        <w:ind w:left="1120"/>
        <w:rPr>
          <w:rFonts w:hint="eastAsia" w:ascii="宋体" w:hAnsi="宋体" w:eastAsia="宋体" w:cs="宋体"/>
          <w:color w:val="auto"/>
          <w:highlight w:val="none"/>
        </w:rPr>
      </w:pPr>
    </w:p>
    <w:p w14:paraId="5D158652">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第六篇合同草案条款和格式合同（模板）</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6A9D85">
      <w:pPr>
        <w:rPr>
          <w:rFonts w:hint="eastAsia"/>
          <w:highlight w:val="none"/>
        </w:rPr>
      </w:pPr>
    </w:p>
    <w:p w14:paraId="2462EDC3">
      <w:pPr>
        <w:ind w:firstLine="560" w:firstLineChars="200"/>
        <w:rPr>
          <w:rFonts w:hint="default" w:eastAsia="宋体"/>
          <w:highlight w:val="none"/>
          <w:lang w:val="en-US" w:eastAsia="zh-CN"/>
        </w:rPr>
      </w:pPr>
      <w:r>
        <w:rPr>
          <w:rFonts w:hint="eastAsia"/>
          <w:highlight w:val="none"/>
        </w:rPr>
        <w:t>第七篇响应文件编制要求</w:t>
      </w:r>
      <w:r>
        <w:rPr>
          <w:rFonts w:hint="eastAsia"/>
          <w:highlight w:val="none"/>
          <w:lang w:val="en-US" w:eastAsia="zh-CN"/>
        </w:rPr>
        <w:t>.............................................................................</w:t>
      </w:r>
      <w:r>
        <w:rPr>
          <w:rFonts w:hint="eastAsia" w:ascii="宋体" w:hAnsi="宋体" w:cs="宋体"/>
          <w:color w:val="auto"/>
          <w:highlight w:val="none"/>
          <w:lang w:val="en-US" w:eastAsia="zh-CN"/>
        </w:rPr>
        <w:t>48</w:t>
      </w:r>
    </w:p>
    <w:p w14:paraId="772E4A39">
      <w:pPr>
        <w:rPr>
          <w:rFonts w:hint="eastAsia"/>
          <w:highlight w:val="none"/>
        </w:rPr>
      </w:pPr>
    </w:p>
    <w:p w14:paraId="5A2C5150">
      <w:pPr>
        <w:pStyle w:val="30"/>
        <w:tabs>
          <w:tab w:val="right" w:leader="dot" w:pos="9412"/>
        </w:tabs>
        <w:ind w:left="1120"/>
        <w:rPr>
          <w:rFonts w:hint="eastAsia" w:ascii="宋体" w:hAnsi="宋体" w:eastAsia="宋体" w:cs="宋体"/>
          <w:color w:val="auto"/>
          <w:highlight w:val="none"/>
        </w:rPr>
      </w:pPr>
    </w:p>
    <w:p w14:paraId="47530D24">
      <w:pPr>
        <w:pStyle w:val="48"/>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0DBD9FB6">
      <w:pPr>
        <w:pStyle w:val="3"/>
        <w:spacing w:line="360" w:lineRule="auto"/>
        <w:jc w:val="center"/>
        <w:rPr>
          <w:rFonts w:hint="eastAsia" w:ascii="宋体" w:hAnsi="宋体" w:eastAsia="宋体" w:cs="宋体"/>
          <w:bCs/>
          <w:color w:val="auto"/>
          <w:szCs w:val="30"/>
          <w:highlight w:val="none"/>
        </w:rPr>
      </w:pPr>
      <w:bookmarkStart w:id="30" w:name="_Toc21521"/>
      <w:bookmarkStart w:id="31" w:name="_Toc12789052"/>
      <w:bookmarkStart w:id="32" w:name="_Toc11641050"/>
      <w:r>
        <w:rPr>
          <w:rFonts w:hint="eastAsia" w:ascii="宋体" w:hAnsi="宋体" w:eastAsia="宋体" w:cs="宋体"/>
          <w:bCs/>
          <w:color w:val="auto"/>
          <w:sz w:val="36"/>
          <w:szCs w:val="30"/>
          <w:highlight w:val="none"/>
        </w:rPr>
        <w:t>第一篇采购邀请书</w:t>
      </w:r>
      <w:bookmarkEnd w:id="30"/>
      <w:bookmarkEnd w:id="31"/>
      <w:bookmarkEnd w:id="32"/>
    </w:p>
    <w:p w14:paraId="168E880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重庆千诺工程项目管理有限公司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秀山土家族苗族自治县农业农村委员会</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秀山县2025年受污染耕地安全利用类核算点位取样项目</w:t>
      </w:r>
      <w:r>
        <w:rPr>
          <w:rFonts w:hint="eastAsia" w:ascii="宋体" w:hAnsi="宋体" w:eastAsia="宋体" w:cs="宋体"/>
          <w:color w:val="auto"/>
          <w:sz w:val="24"/>
          <w:szCs w:val="24"/>
          <w:highlight w:val="none"/>
        </w:rPr>
        <w:t>进行网上竞采。欢迎有资格的供应商前来参与网上竞采。</w:t>
      </w:r>
    </w:p>
    <w:p w14:paraId="5C047734">
      <w:pPr>
        <w:pStyle w:val="4"/>
        <w:numPr>
          <w:ilvl w:val="0"/>
          <w:numId w:val="14"/>
        </w:numPr>
        <w:spacing w:before="240" w:beforeLines="100" w:after="0" w:line="360" w:lineRule="auto"/>
        <w:rPr>
          <w:rFonts w:hint="eastAsia" w:ascii="宋体" w:hAnsi="宋体" w:eastAsia="宋体" w:cs="宋体"/>
          <w:color w:val="auto"/>
          <w:sz w:val="24"/>
          <w:szCs w:val="24"/>
          <w:highlight w:val="none"/>
        </w:rPr>
      </w:pPr>
      <w:bookmarkStart w:id="33" w:name="_Toc2406"/>
      <w:bookmarkStart w:id="34" w:name="_Toc313893526"/>
      <w:bookmarkStart w:id="35" w:name="_Toc5721"/>
      <w:bookmarkStart w:id="36" w:name="_Toc317775175"/>
      <w:bookmarkStart w:id="37" w:name="_Toc373860293"/>
      <w:bookmarkStart w:id="38" w:name="_Toc317775178"/>
      <w:r>
        <w:rPr>
          <w:rFonts w:hint="eastAsia" w:ascii="宋体" w:hAnsi="宋体" w:eastAsia="宋体" w:cs="宋体"/>
          <w:color w:val="auto"/>
          <w:sz w:val="24"/>
          <w:szCs w:val="24"/>
          <w:highlight w:val="none"/>
        </w:rPr>
        <w:t>采购内容</w:t>
      </w:r>
      <w:bookmarkEnd w:id="33"/>
      <w:bookmarkEnd w:id="34"/>
      <w:bookmarkEnd w:id="35"/>
      <w:bookmarkEnd w:id="36"/>
    </w:p>
    <w:tbl>
      <w:tblPr>
        <w:tblStyle w:val="61"/>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4"/>
        <w:gridCol w:w="1811"/>
        <w:gridCol w:w="1472"/>
        <w:gridCol w:w="1009"/>
      </w:tblGrid>
      <w:tr w14:paraId="6766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454" w:type="dxa"/>
            <w:tcBorders>
              <w:top w:val="single" w:color="auto" w:sz="4" w:space="0"/>
              <w:left w:val="single" w:color="auto" w:sz="4" w:space="0"/>
              <w:right w:val="single" w:color="auto" w:sz="4" w:space="0"/>
            </w:tcBorders>
            <w:vAlign w:val="center"/>
          </w:tcPr>
          <w:p w14:paraId="67370B3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811" w:type="dxa"/>
            <w:tcBorders>
              <w:top w:val="single" w:color="auto" w:sz="4" w:space="0"/>
              <w:left w:val="single" w:color="auto" w:sz="4" w:space="0"/>
              <w:right w:val="single" w:color="auto" w:sz="4" w:space="0"/>
            </w:tcBorders>
            <w:vAlign w:val="center"/>
          </w:tcPr>
          <w:p w14:paraId="6C6F447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2CBC2AD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472" w:type="dxa"/>
            <w:tcBorders>
              <w:top w:val="single" w:color="auto" w:sz="4" w:space="0"/>
              <w:left w:val="single" w:color="auto" w:sz="4" w:space="0"/>
              <w:right w:val="single" w:color="auto" w:sz="4" w:space="0"/>
            </w:tcBorders>
            <w:vAlign w:val="center"/>
          </w:tcPr>
          <w:p w14:paraId="2F1164F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中标人</w:t>
            </w:r>
            <w:r>
              <w:rPr>
                <w:rFonts w:hint="eastAsia" w:ascii="宋体" w:hAnsi="宋体" w:eastAsia="宋体" w:cs="宋体"/>
                <w:b/>
                <w:bCs/>
                <w:color w:val="auto"/>
                <w:kern w:val="0"/>
                <w:sz w:val="24"/>
                <w:szCs w:val="24"/>
                <w:highlight w:val="none"/>
              </w:rPr>
              <w:t>数量（名）</w:t>
            </w:r>
          </w:p>
        </w:tc>
        <w:tc>
          <w:tcPr>
            <w:tcW w:w="1009" w:type="dxa"/>
            <w:tcBorders>
              <w:top w:val="single" w:color="auto" w:sz="4" w:space="0"/>
              <w:left w:val="single" w:color="auto" w:sz="4" w:space="0"/>
              <w:right w:val="single" w:color="auto" w:sz="4" w:space="0"/>
            </w:tcBorders>
            <w:vAlign w:val="center"/>
          </w:tcPr>
          <w:p w14:paraId="47B01E30">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备注</w:t>
            </w:r>
          </w:p>
        </w:tc>
      </w:tr>
      <w:tr w14:paraId="351B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454" w:type="dxa"/>
            <w:tcBorders>
              <w:top w:val="single" w:color="auto" w:sz="4" w:space="0"/>
              <w:left w:val="single" w:color="auto" w:sz="4" w:space="0"/>
              <w:bottom w:val="single" w:color="auto" w:sz="4" w:space="0"/>
              <w:right w:val="single" w:color="auto" w:sz="4" w:space="0"/>
            </w:tcBorders>
            <w:vAlign w:val="center"/>
          </w:tcPr>
          <w:p w14:paraId="3BA7ECBB">
            <w:pPr>
              <w:jc w:val="center"/>
              <w:rPr>
                <w:rFonts w:hint="eastAsia" w:ascii="宋体" w:hAnsi="宋体" w:eastAsia="宋体" w:cs="宋体"/>
                <w:color w:val="auto"/>
                <w:sz w:val="24"/>
                <w:szCs w:val="24"/>
                <w:highlight w:val="none"/>
                <w:lang w:eastAsia="zh-CN"/>
              </w:rPr>
            </w:pPr>
            <w:bookmarkStart w:id="39" w:name="_Hlk344477914"/>
            <w:r>
              <w:rPr>
                <w:rFonts w:hint="eastAsia" w:ascii="宋体" w:hAnsi="宋体" w:cs="宋体"/>
                <w:color w:val="auto"/>
                <w:sz w:val="24"/>
                <w:szCs w:val="24"/>
                <w:highlight w:val="none"/>
                <w:lang w:eastAsia="zh-CN"/>
              </w:rPr>
              <w:t>秀山县2025年受污染耕地安全利用类核算点位取样项目</w:t>
            </w:r>
          </w:p>
        </w:tc>
        <w:tc>
          <w:tcPr>
            <w:tcW w:w="1811" w:type="dxa"/>
            <w:tcBorders>
              <w:top w:val="single" w:color="auto" w:sz="4" w:space="0"/>
              <w:left w:val="single" w:color="auto" w:sz="4" w:space="0"/>
              <w:bottom w:val="single" w:color="auto" w:sz="4" w:space="0"/>
              <w:right w:val="single" w:color="auto" w:sz="4" w:space="0"/>
            </w:tcBorders>
            <w:vAlign w:val="center"/>
          </w:tcPr>
          <w:p w14:paraId="5CDDB6E4">
            <w:pPr>
              <w:jc w:val="center"/>
              <w:rPr>
                <w:rFonts w:hint="default" w:ascii="宋体" w:hAnsi="宋体" w:eastAsia="宋体" w:cs="宋体"/>
                <w:color w:val="auto"/>
                <w:sz w:val="24"/>
                <w:szCs w:val="24"/>
                <w:highlight w:val="non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51793</w:t>
            </w:r>
          </w:p>
        </w:tc>
        <w:tc>
          <w:tcPr>
            <w:tcW w:w="1472" w:type="dxa"/>
            <w:tcBorders>
              <w:top w:val="single" w:color="auto" w:sz="4" w:space="0"/>
              <w:left w:val="single" w:color="auto" w:sz="4" w:space="0"/>
              <w:bottom w:val="single" w:color="auto" w:sz="4" w:space="0"/>
              <w:right w:val="single" w:color="auto" w:sz="4" w:space="0"/>
            </w:tcBorders>
            <w:vAlign w:val="center"/>
          </w:tcPr>
          <w:p w14:paraId="5F9FE4D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4"/>
                <w:highlight w:val="none"/>
                <w:lang w:val="en-US" w:eastAsia="zh-CN"/>
              </w:rPr>
              <w:t>1</w:t>
            </w:r>
          </w:p>
        </w:tc>
        <w:tc>
          <w:tcPr>
            <w:tcW w:w="1009" w:type="dxa"/>
            <w:tcBorders>
              <w:top w:val="single" w:color="auto" w:sz="4" w:space="0"/>
              <w:left w:val="single" w:color="auto" w:sz="4" w:space="0"/>
              <w:bottom w:val="single" w:color="auto" w:sz="4" w:space="0"/>
              <w:right w:val="single" w:color="auto" w:sz="4" w:space="0"/>
            </w:tcBorders>
            <w:vAlign w:val="center"/>
          </w:tcPr>
          <w:p w14:paraId="55B19C89">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bookmarkEnd w:id="39"/>
    </w:tbl>
    <w:p w14:paraId="0AA782FC">
      <w:pPr>
        <w:pStyle w:val="4"/>
        <w:spacing w:before="240" w:beforeLines="100" w:after="0" w:line="360" w:lineRule="auto"/>
        <w:rPr>
          <w:rFonts w:hint="eastAsia" w:ascii="宋体" w:hAnsi="宋体" w:eastAsia="宋体" w:cs="宋体"/>
          <w:color w:val="auto"/>
          <w:sz w:val="24"/>
          <w:szCs w:val="24"/>
          <w:highlight w:val="none"/>
        </w:rPr>
      </w:pPr>
      <w:bookmarkStart w:id="40" w:name="_Toc1752"/>
      <w:bookmarkStart w:id="41" w:name="_Toc25538"/>
      <w:r>
        <w:rPr>
          <w:rFonts w:hint="eastAsia" w:ascii="宋体" w:hAnsi="宋体" w:eastAsia="宋体" w:cs="宋体"/>
          <w:color w:val="auto"/>
          <w:sz w:val="24"/>
          <w:szCs w:val="24"/>
          <w:highlight w:val="none"/>
        </w:rPr>
        <w:t>二、资金来源</w:t>
      </w:r>
      <w:bookmarkEnd w:id="40"/>
      <w:bookmarkEnd w:id="41"/>
    </w:p>
    <w:p w14:paraId="4E1569AC">
      <w:pPr>
        <w:keepNext/>
        <w:keepLines/>
        <w:spacing w:line="400" w:lineRule="exact"/>
        <w:ind w:firstLine="480" w:firstLineChars="200"/>
        <w:rPr>
          <w:rFonts w:hint="eastAsia" w:ascii="宋体" w:hAnsi="宋体" w:eastAsia="宋体" w:cs="宋体"/>
          <w:bCs/>
          <w:color w:val="auto"/>
          <w:sz w:val="24"/>
          <w:szCs w:val="24"/>
          <w:highlight w:val="none"/>
        </w:rPr>
      </w:pPr>
      <w:bookmarkStart w:id="42" w:name="_Toc5679"/>
      <w:bookmarkStart w:id="43" w:name="_Toc358"/>
      <w:bookmarkStart w:id="44" w:name="_Toc5745"/>
      <w:bookmarkStart w:id="45" w:name="_Toc26791"/>
      <w:r>
        <w:rPr>
          <w:rFonts w:hint="eastAsia" w:ascii="宋体" w:hAnsi="宋体" w:cs="宋体"/>
          <w:color w:val="000000" w:themeColor="text1"/>
          <w:sz w:val="24"/>
          <w:szCs w:val="24"/>
          <w:highlight w:val="none"/>
          <w:lang w:val="en-US" w:eastAsia="zh-CN"/>
          <w14:textFill>
            <w14:solidFill>
              <w14:schemeClr w14:val="tx1"/>
            </w14:solidFill>
          </w14:textFill>
        </w:rPr>
        <w:t>市级专项资金</w:t>
      </w:r>
      <w:r>
        <w:rPr>
          <w:rFonts w:hint="eastAsia" w:ascii="宋体" w:hAnsi="宋体" w:eastAsia="宋体" w:cs="宋体"/>
          <w:bCs/>
          <w:color w:val="auto"/>
          <w:sz w:val="24"/>
          <w:szCs w:val="24"/>
          <w:highlight w:val="none"/>
        </w:rPr>
        <w:t>，预算金额为</w:t>
      </w:r>
      <w:r>
        <w:rPr>
          <w:rFonts w:hint="eastAsia" w:ascii="宋体" w:hAnsi="宋体" w:cs="宋体"/>
          <w:bCs/>
          <w:color w:val="auto"/>
          <w:sz w:val="24"/>
          <w:szCs w:val="24"/>
          <w:highlight w:val="none"/>
          <w:u w:val="single"/>
          <w:lang w:val="en-US" w:eastAsia="zh-CN"/>
        </w:rPr>
        <w:t xml:space="preserve"> 51793 </w:t>
      </w:r>
      <w:r>
        <w:rPr>
          <w:rFonts w:hint="eastAsia" w:ascii="宋体" w:hAnsi="宋体" w:eastAsia="宋体" w:cs="宋体"/>
          <w:bCs/>
          <w:color w:val="auto"/>
          <w:sz w:val="24"/>
          <w:szCs w:val="24"/>
          <w:highlight w:val="none"/>
        </w:rPr>
        <w:t>元</w:t>
      </w:r>
      <w:bookmarkEnd w:id="42"/>
      <w:bookmarkEnd w:id="43"/>
      <w:bookmarkEnd w:id="44"/>
      <w:r>
        <w:rPr>
          <w:rFonts w:hint="eastAsia" w:ascii="宋体" w:hAnsi="宋体" w:eastAsia="宋体" w:cs="宋体"/>
          <w:bCs/>
          <w:color w:val="auto"/>
          <w:sz w:val="24"/>
          <w:szCs w:val="24"/>
          <w:highlight w:val="none"/>
        </w:rPr>
        <w:t>。</w:t>
      </w:r>
      <w:bookmarkEnd w:id="45"/>
    </w:p>
    <w:p w14:paraId="3904FC2B">
      <w:pPr>
        <w:pStyle w:val="4"/>
        <w:spacing w:before="240" w:beforeLines="100" w:after="0" w:line="360" w:lineRule="auto"/>
        <w:rPr>
          <w:rFonts w:hint="eastAsia" w:ascii="宋体" w:hAnsi="宋体" w:eastAsia="宋体" w:cs="宋体"/>
          <w:color w:val="auto"/>
          <w:sz w:val="24"/>
          <w:szCs w:val="24"/>
          <w:highlight w:val="none"/>
        </w:rPr>
      </w:pPr>
      <w:bookmarkStart w:id="46" w:name="_Toc27448"/>
      <w:bookmarkStart w:id="47" w:name="_Toc18111"/>
      <w:r>
        <w:rPr>
          <w:rFonts w:hint="eastAsia" w:ascii="宋体" w:hAnsi="宋体" w:eastAsia="宋体" w:cs="宋体"/>
          <w:color w:val="auto"/>
          <w:sz w:val="24"/>
          <w:szCs w:val="24"/>
          <w:highlight w:val="none"/>
        </w:rPr>
        <w:t>三、供应商资格条件</w:t>
      </w:r>
      <w:bookmarkEnd w:id="46"/>
      <w:bookmarkEnd w:id="47"/>
    </w:p>
    <w:p w14:paraId="7A5FFE1A">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供应商是指向采购人提供服务或者货物的法人、其他组织或者自然人。合格的供应商应符合政府采购法第二十二条规定的基本资格条件</w:t>
      </w:r>
      <w:r>
        <w:rPr>
          <w:rFonts w:hint="eastAsia" w:ascii="宋体" w:hAnsi="宋体" w:eastAsia="宋体" w:cs="宋体"/>
          <w:color w:val="auto"/>
          <w:sz w:val="24"/>
          <w:szCs w:val="24"/>
          <w:highlight w:val="none"/>
          <w:lang w:eastAsia="zh-CN"/>
        </w:rPr>
        <w:t>。</w:t>
      </w:r>
    </w:p>
    <w:p w14:paraId="32D215B9">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5DC3C31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6DD68B3B">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1A0E4DA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CE729EA">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2D95993">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6073989B">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3B9347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bookmarkStart w:id="48" w:name="_Toc16506"/>
      <w:r>
        <w:rPr>
          <w:rFonts w:hint="eastAsia" w:ascii="宋体" w:hAnsi="宋体" w:eastAsia="宋体" w:cs="宋体"/>
          <w:color w:val="auto"/>
          <w:sz w:val="24"/>
          <w:szCs w:val="24"/>
          <w:highlight w:val="none"/>
          <w:lang w:val="en-US" w:eastAsia="zh-CN"/>
        </w:rPr>
        <w:t>供应商须具备有效的营业执照（提供营业执照副本复印件并加盖公章）。</w:t>
      </w:r>
    </w:p>
    <w:p w14:paraId="380E696D">
      <w:pPr>
        <w:pStyle w:val="4"/>
        <w:pageBreakBefore w:val="0"/>
        <w:widowControl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四、采购有关说明</w:t>
      </w:r>
      <w:bookmarkEnd w:id="37"/>
      <w:bookmarkEnd w:id="48"/>
    </w:p>
    <w:bookmarkEnd w:id="38"/>
    <w:p w14:paraId="4750B73F">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9" w:name="_Toc373860294"/>
      <w:bookmarkStart w:id="50" w:name="_Toc20247"/>
      <w:bookmarkStart w:id="51" w:name="_Toc480466699"/>
      <w:r>
        <w:rPr>
          <w:rFonts w:hint="eastAsia" w:ascii="宋体" w:hAnsi="宋体" w:eastAsia="宋体" w:cs="宋体"/>
          <w:color w:val="000000" w:themeColor="text1"/>
          <w:sz w:val="24"/>
          <w:szCs w:val="24"/>
          <w:highlight w:val="none"/>
          <w14:textFill>
            <w14:solidFill>
              <w14:schemeClr w14:val="tx1"/>
            </w14:solidFill>
          </w14:textFill>
        </w:rPr>
        <w:t>（一）参加报价的供应商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"https://cqxs.gec123.com/" \t "https://cqxs.gec123.com/xe/notice/_blank"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重庆秀山小额交易管理平台</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”服务平台注册，成为正式供应商。</w:t>
      </w:r>
    </w:p>
    <w:p w14:paraId="160BC8C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（二）凡有意参加采购的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，请在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下载本项目网上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文件以及补遗等采购前公布的所有项目资料，无论</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下载与否，均视为已知晓所有采购实质性要求内容。</w:t>
      </w:r>
    </w:p>
    <w:p w14:paraId="3529FEB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（三）线上报价</w:t>
      </w:r>
    </w:p>
    <w:p w14:paraId="54A2B92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1.线上报价时间：202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:00北京时间。</w:t>
      </w:r>
    </w:p>
    <w:p w14:paraId="4C2A05C2">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2.线上报价要求：按本项目规定的时间在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14:textFill>
            <w14:solidFill>
              <w14:schemeClr w14:val="tx1"/>
            </w14:solidFill>
          </w14:textFill>
        </w:rPr>
        <w:t>进行网上报价，并在规定的时间内上传响应文件电子文档。未在规定时间内报价和上传响应文件电子文档的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不具备竞标资格。</w:t>
      </w:r>
    </w:p>
    <w:p w14:paraId="11739802">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文件发售：本项目免收网上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文件费。</w:t>
      </w:r>
    </w:p>
    <w:p w14:paraId="75A95BA3">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w:t>
      </w:r>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须满足以下要件，其响应文件才被接受：</w:t>
      </w:r>
    </w:p>
    <w:p w14:paraId="163580AA">
      <w:pPr>
        <w:wordWrap w:val="0"/>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进行网上报价。</w:t>
      </w:r>
    </w:p>
    <w:p w14:paraId="06DD22D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线下开标开始时间：202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bookmarkEnd w:id="49"/>
      <w:bookmarkStart w:id="192" w:name="_GoBack"/>
      <w:bookmarkEnd w:id="192"/>
    </w:p>
    <w:p w14:paraId="5DC0A19E">
      <w:pPr>
        <w:pStyle w:val="4"/>
        <w:spacing w:before="0" w:after="0"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、其他有关规定</w:t>
      </w:r>
      <w:bookmarkEnd w:id="50"/>
      <w:bookmarkEnd w:id="51"/>
    </w:p>
    <w:p w14:paraId="7C25CC98">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7BFB14E0">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09A9C50C">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供应商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17ED3C57">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重庆市政府采购云平台.网上竞采中心（https://xj.ccgp-chongqing.gov.cn/ge/）上发布，请各供应商注意下载；无论供应商下载与否，均视同供应商已知晓本项目补遗文件（如果有）的内容。</w:t>
      </w:r>
    </w:p>
    <w:p w14:paraId="3AE011E7">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589498BC">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（六）网上竞采费用：无论网上竞采结果如何，供应商参与本项目网上竞采的所有费用均应由供应商自行承担。</w:t>
      </w:r>
    </w:p>
    <w:p w14:paraId="6FF913FD">
      <w:pPr>
        <w:snapToGrid w:val="0"/>
        <w:spacing w:line="360" w:lineRule="auto"/>
        <w:ind w:firstLine="361" w:firstLineChars="150"/>
        <w:rPr>
          <w:rFonts w:hint="eastAsia" w:ascii="宋体" w:hAnsi="宋体" w:eastAsia="宋体" w:cs="宋体"/>
          <w:b/>
          <w:bCs/>
          <w:color w:val="auto"/>
          <w:sz w:val="24"/>
          <w:szCs w:val="24"/>
          <w:highlight w:val="none"/>
        </w:rPr>
      </w:pPr>
      <w:bookmarkStart w:id="52" w:name="_Toc480466700"/>
      <w:r>
        <w:rPr>
          <w:rFonts w:hint="eastAsia" w:ascii="宋体" w:hAnsi="宋体" w:eastAsia="宋体" w:cs="宋体"/>
          <w:b/>
          <w:bCs/>
          <w:color w:val="auto"/>
          <w:sz w:val="24"/>
          <w:szCs w:val="24"/>
          <w:highlight w:val="none"/>
        </w:rPr>
        <w:t>（七）本项目不接受联合体参与网上竞采。</w:t>
      </w:r>
    </w:p>
    <w:p w14:paraId="5399734D">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7475BA07">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1557189">
      <w:pPr>
        <w:pStyle w:val="4"/>
        <w:spacing w:before="0" w:after="0" w:line="360" w:lineRule="auto"/>
        <w:rPr>
          <w:rFonts w:hint="eastAsia" w:ascii="宋体" w:hAnsi="宋体" w:eastAsia="宋体" w:cs="宋体"/>
          <w:color w:val="auto"/>
          <w:sz w:val="24"/>
          <w:szCs w:val="24"/>
          <w:highlight w:val="none"/>
        </w:rPr>
      </w:pPr>
      <w:bookmarkStart w:id="53" w:name="_Toc7960"/>
      <w:r>
        <w:rPr>
          <w:rFonts w:hint="eastAsia" w:ascii="宋体" w:hAnsi="宋体" w:eastAsia="宋体" w:cs="宋体"/>
          <w:color w:val="auto"/>
          <w:sz w:val="24"/>
          <w:szCs w:val="24"/>
          <w:highlight w:val="none"/>
        </w:rPr>
        <w:t>七、联系方式</w:t>
      </w:r>
      <w:bookmarkEnd w:id="52"/>
      <w:bookmarkEnd w:id="53"/>
    </w:p>
    <w:p w14:paraId="7C50C292">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秀山土家族苗族自治县农业农村委员会</w:t>
      </w:r>
    </w:p>
    <w:p w14:paraId="4D065B2B">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吴</w:t>
      </w:r>
      <w:r>
        <w:rPr>
          <w:rFonts w:hint="eastAsia" w:ascii="宋体" w:hAnsi="宋体" w:eastAsia="宋体" w:cs="宋体"/>
          <w:color w:val="auto"/>
          <w:sz w:val="24"/>
          <w:szCs w:val="24"/>
          <w:highlight w:val="none"/>
          <w:lang w:val="en-US" w:eastAsia="zh-CN"/>
        </w:rPr>
        <w:t xml:space="preserve">老师  </w:t>
      </w:r>
    </w:p>
    <w:p w14:paraId="5146FB6D">
      <w:pPr>
        <w:snapToGrid w:val="0"/>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19923385855</w:t>
      </w:r>
    </w:p>
    <w:p w14:paraId="7F643E63">
      <w:pPr>
        <w:snapToGrid w:val="0"/>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  址：秀山土家族苗族自治县中和街道朝阳大道（农业农村委办公大楼）</w:t>
      </w:r>
    </w:p>
    <w:p w14:paraId="2F3E3816">
      <w:pPr>
        <w:snapToGrid w:val="0"/>
        <w:spacing w:line="360" w:lineRule="auto"/>
        <w:rPr>
          <w:rFonts w:hint="eastAsia" w:ascii="宋体" w:hAnsi="宋体" w:eastAsia="宋体" w:cs="宋体"/>
          <w:color w:val="auto"/>
          <w:sz w:val="24"/>
          <w:szCs w:val="24"/>
          <w:highlight w:val="none"/>
        </w:rPr>
      </w:pPr>
    </w:p>
    <w:p w14:paraId="39C7C91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重庆千诺工程项目管理有限公司</w:t>
      </w:r>
      <w:r>
        <w:rPr>
          <w:rFonts w:hint="eastAsia" w:ascii="宋体" w:hAnsi="宋体" w:eastAsia="宋体" w:cs="宋体"/>
          <w:color w:val="auto"/>
          <w:sz w:val="24"/>
          <w:szCs w:val="24"/>
          <w:highlight w:val="none"/>
        </w:rPr>
        <w:t xml:space="preserve">  </w:t>
      </w:r>
    </w:p>
    <w:p w14:paraId="1CA208D5">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陈</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p>
    <w:p w14:paraId="4BE8FDD8">
      <w:pPr>
        <w:snapToGrid w:val="0"/>
        <w:spacing w:line="360" w:lineRule="auto"/>
        <w:ind w:firstLine="240" w:firstLineChars="1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18716969222</w:t>
      </w:r>
    </w:p>
    <w:p w14:paraId="30CEAF35">
      <w:pPr>
        <w:snapToGrid w:val="0"/>
        <w:spacing w:line="360" w:lineRule="auto"/>
        <w:ind w:firstLine="240" w:firstLineChars="100"/>
        <w:rPr>
          <w:rFonts w:hint="default" w:ascii="宋体" w:hAnsi="宋体" w:eastAsia="宋体" w:cs="宋体"/>
          <w:color w:val="auto"/>
          <w:sz w:val="24"/>
          <w:szCs w:val="24"/>
          <w:highlight w:val="none"/>
          <w:lang w:val="en-US" w:eastAsia="zh-CN"/>
        </w:rPr>
        <w:sectPr>
          <w:pgSz w:w="11907" w:h="16840"/>
          <w:pgMar w:top="1134" w:right="1418" w:bottom="1134" w:left="1418" w:header="397" w:footer="992" w:gutter="0"/>
          <w:pgNumType w:fmt="numberInDash"/>
          <w:cols w:space="720" w:num="1"/>
          <w:docGrid w:linePitch="312" w:charSpace="0"/>
        </w:sectPr>
      </w:pPr>
      <w:r>
        <w:rPr>
          <w:rFonts w:hint="eastAsia" w:ascii="宋体" w:hAnsi="宋体" w:cs="宋体"/>
          <w:color w:val="auto"/>
          <w:sz w:val="24"/>
          <w:szCs w:val="24"/>
          <w:highlight w:val="none"/>
          <w:lang w:val="en-US" w:eastAsia="zh-CN"/>
        </w:rPr>
        <w:t>地  址：重庆市秀山县花灯街迎春二巷31号</w:t>
      </w:r>
    </w:p>
    <w:p w14:paraId="4F5BAD50">
      <w:pPr>
        <w:pStyle w:val="3"/>
        <w:spacing w:before="0" w:after="0" w:line="360" w:lineRule="auto"/>
        <w:jc w:val="center"/>
        <w:rPr>
          <w:rFonts w:hint="eastAsia" w:ascii="宋体" w:hAnsi="宋体" w:eastAsia="宋体" w:cs="宋体"/>
          <w:bCs/>
          <w:color w:val="auto"/>
          <w:sz w:val="36"/>
          <w:szCs w:val="30"/>
          <w:highlight w:val="none"/>
        </w:rPr>
      </w:pPr>
      <w:bookmarkStart w:id="54" w:name="_Toc18586"/>
      <w:bookmarkStart w:id="55" w:name="_Toc1145"/>
      <w:bookmarkStart w:id="56" w:name="_Toc12789058"/>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项目技术需求</w:t>
      </w:r>
      <w:bookmarkEnd w:id="54"/>
      <w:bookmarkEnd w:id="55"/>
    </w:p>
    <w:bookmarkEnd w:id="56"/>
    <w:p w14:paraId="40E9D49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7" w:name="_Toc309747502"/>
      <w:bookmarkStart w:id="58" w:name="_Toc217446095"/>
      <w:bookmarkStart w:id="59" w:name="_Toc309804710"/>
      <w:bookmarkStart w:id="60" w:name="_Toc314671318"/>
      <w:bookmarkStart w:id="61" w:name="_Toc309809728"/>
      <w:bookmarkStart w:id="62" w:name="_Toc312676822"/>
      <w:r>
        <w:rPr>
          <w:rFonts w:hint="eastAsia" w:ascii="宋体" w:hAnsi="宋体" w:eastAsia="宋体" w:cs="宋体"/>
          <w:color w:val="000000" w:themeColor="text1"/>
          <w:sz w:val="24"/>
          <w:szCs w:val="24"/>
          <w:highlight w:val="none"/>
          <w:lang w:val="en-US" w:eastAsia="zh-CN"/>
          <w14:textFill>
            <w14:solidFill>
              <w14:schemeClr w14:val="tx1"/>
            </w14:solidFill>
          </w14:textFill>
        </w:rPr>
        <w:t>一、项目名称：</w:t>
      </w:r>
      <w:r>
        <w:rPr>
          <w:rFonts w:hint="eastAsia" w:ascii="宋体" w:hAnsi="宋体" w:cs="宋体"/>
          <w:color w:val="000000" w:themeColor="text1"/>
          <w:sz w:val="24"/>
          <w:szCs w:val="24"/>
          <w:highlight w:val="none"/>
          <w:lang w:eastAsia="zh-CN"/>
          <w14:textFill>
            <w14:solidFill>
              <w14:schemeClr w14:val="tx1"/>
            </w14:solidFill>
          </w14:textFill>
        </w:rPr>
        <w:t>秀山县2025年受污染耕地安全利用类核算点位取样项目</w:t>
      </w:r>
    </w:p>
    <w:p w14:paraId="0EBAAB6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二、项目内容</w:t>
      </w:r>
    </w:p>
    <w:p w14:paraId="5CA9F60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依据市上202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default" w:ascii="宋体" w:hAnsi="宋体" w:eastAsia="宋体" w:cs="宋体"/>
          <w:color w:val="000000" w:themeColor="text1"/>
          <w:sz w:val="24"/>
          <w:szCs w:val="24"/>
          <w:highlight w:val="none"/>
          <w:lang w:val="en-US" w:eastAsia="zh-CN"/>
          <w14:textFill>
            <w14:solidFill>
              <w14:schemeClr w14:val="tx1"/>
            </w14:solidFill>
          </w14:textFill>
        </w:rPr>
        <w:t>年度下达我县的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151个受污染安全利用率核算监测点位的</w:t>
      </w:r>
      <w:r>
        <w:rPr>
          <w:rFonts w:hint="default" w:ascii="宋体" w:hAnsi="宋体" w:eastAsia="宋体" w:cs="宋体"/>
          <w:color w:val="000000" w:themeColor="text1"/>
          <w:sz w:val="24"/>
          <w:szCs w:val="24"/>
          <w:highlight w:val="none"/>
          <w:lang w:val="en-US" w:eastAsia="zh-CN"/>
          <w14:textFill>
            <w14:solidFill>
              <w14:schemeClr w14:val="tx1"/>
            </w14:solidFill>
          </w14:textFill>
        </w:rPr>
        <w:t>坐标</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进行信息踏勘，</w:t>
      </w:r>
      <w:r>
        <w:rPr>
          <w:rFonts w:hint="eastAsia" w:ascii="宋体" w:hAnsi="宋体" w:cs="宋体"/>
          <w:color w:val="000000" w:themeColor="text1"/>
          <w:sz w:val="24"/>
          <w:szCs w:val="24"/>
          <w:highlight w:val="none"/>
          <w:lang w:val="en-US" w:eastAsia="zh-CN"/>
          <w14:textFill>
            <w14:solidFill>
              <w14:schemeClr w14:val="tx1"/>
            </w14:solidFill>
          </w14:textFill>
        </w:rPr>
        <w:t>然后在</w:t>
      </w:r>
      <w:r>
        <w:rPr>
          <w:rFonts w:hint="default" w:ascii="宋体" w:hAnsi="宋体" w:eastAsia="宋体" w:cs="宋体"/>
          <w:color w:val="000000" w:themeColor="text1"/>
          <w:sz w:val="24"/>
          <w:szCs w:val="24"/>
          <w:highlight w:val="none"/>
          <w:lang w:val="en-US" w:eastAsia="zh-CN"/>
          <w14:textFill>
            <w14:solidFill>
              <w14:schemeClr w14:val="tx1"/>
            </w14:solidFill>
          </w14:textFill>
        </w:rPr>
        <w:t>农产品</w:t>
      </w:r>
      <w:r>
        <w:rPr>
          <w:rFonts w:hint="eastAsia" w:ascii="宋体" w:hAnsi="宋体" w:cs="宋体"/>
          <w:color w:val="000000" w:themeColor="text1"/>
          <w:sz w:val="24"/>
          <w:szCs w:val="24"/>
          <w:highlight w:val="none"/>
          <w:lang w:val="en-US" w:eastAsia="zh-CN"/>
          <w14:textFill>
            <w14:solidFill>
              <w14:schemeClr w14:val="tx1"/>
            </w14:solidFill>
          </w14:textFill>
        </w:rPr>
        <w:t>成熟期</w:t>
      </w:r>
      <w:r>
        <w:rPr>
          <w:rFonts w:hint="eastAsia" w:ascii="宋体" w:hAnsi="宋体" w:eastAsia="宋体" w:cs="宋体"/>
          <w:color w:val="000000" w:themeColor="text1"/>
          <w:sz w:val="24"/>
          <w:szCs w:val="24"/>
          <w:highlight w:val="none"/>
          <w:lang w:val="en-US" w:eastAsia="zh-CN"/>
          <w14:textFill>
            <w14:solidFill>
              <w14:schemeClr w14:val="tx1"/>
            </w14:solidFill>
          </w14:textFill>
        </w:rPr>
        <w:t>取</w:t>
      </w:r>
      <w:r>
        <w:rPr>
          <w:rFonts w:hint="default" w:ascii="宋体" w:hAnsi="宋体" w:eastAsia="宋体" w:cs="宋体"/>
          <w:color w:val="000000" w:themeColor="text1"/>
          <w:sz w:val="24"/>
          <w:szCs w:val="24"/>
          <w:highlight w:val="none"/>
          <w:lang w:val="en-US" w:eastAsia="zh-CN"/>
          <w14:textFill>
            <w14:solidFill>
              <w14:schemeClr w14:val="tx1"/>
            </w14:solidFill>
          </w14:textFill>
        </w:rPr>
        <w:t>样</w:t>
      </w:r>
      <w:r>
        <w:rPr>
          <w:rFonts w:hint="eastAsia" w:ascii="宋体" w:hAnsi="宋体" w:eastAsia="宋体" w:cs="宋体"/>
          <w:color w:val="000000" w:themeColor="text1"/>
          <w:sz w:val="24"/>
          <w:szCs w:val="24"/>
          <w:highlight w:val="none"/>
          <w:lang w:val="en-US" w:eastAsia="zh-CN"/>
          <w14:textFill>
            <w14:solidFill>
              <w14:schemeClr w14:val="tx1"/>
            </w14:solidFill>
          </w14:textFill>
        </w:rPr>
        <w:t>151个。</w:t>
      </w:r>
    </w:p>
    <w:p w14:paraId="45684C7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三、服务期限</w:t>
      </w:r>
    </w:p>
    <w:bookmarkEnd w:id="57"/>
    <w:bookmarkEnd w:id="58"/>
    <w:bookmarkEnd w:id="59"/>
    <w:bookmarkEnd w:id="60"/>
    <w:bookmarkEnd w:id="61"/>
    <w:bookmarkEnd w:id="62"/>
    <w:p w14:paraId="64A8007C">
      <w:pPr>
        <w:spacing w:line="360" w:lineRule="auto"/>
        <w:ind w:firstLine="240" w:firstLineChars="100"/>
        <w:rPr>
          <w:rFonts w:hint="eastAsia"/>
          <w:lang w:val="en-US" w:eastAsia="zh-CN"/>
        </w:rPr>
      </w:pPr>
      <w:bookmarkStart w:id="63" w:name="_Toc345322155"/>
      <w:r>
        <w:rPr>
          <w:rFonts w:hint="eastAsia" w:ascii="宋体" w:hAnsi="宋体" w:eastAsia="宋体" w:cs="宋体"/>
          <w:color w:val="000000" w:themeColor="text1"/>
          <w:sz w:val="24"/>
          <w:szCs w:val="24"/>
          <w:highlight w:val="none"/>
          <w:lang w:val="en-US" w:eastAsia="zh-CN"/>
          <w14:textFill>
            <w14:solidFill>
              <w14:schemeClr w14:val="tx1"/>
            </w14:solidFill>
          </w14:textFill>
        </w:rPr>
        <w:t>自合同签订之日起至202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月30日前完成</w:t>
      </w:r>
    </w:p>
    <w:bookmarkEnd w:id="63"/>
    <w:p w14:paraId="501760D4">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lang w:val="en-US" w:eastAsia="zh-CN"/>
        </w:rPr>
      </w:pPr>
    </w:p>
    <w:p w14:paraId="25D79992">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kern w:val="2"/>
          <w:sz w:val="24"/>
          <w:highlight w:val="none"/>
          <w:lang w:val="en-US" w:eastAsia="zh-CN" w:bidi="ar-SA"/>
        </w:rPr>
      </w:pPr>
      <w:r>
        <w:rPr>
          <w:rFonts w:hint="eastAsia" w:ascii="宋体" w:hAnsi="宋体" w:cs="宋体"/>
          <w:b/>
          <w:color w:val="auto"/>
          <w:kern w:val="2"/>
          <w:sz w:val="24"/>
          <w:highlight w:val="none"/>
          <w:lang w:val="en-US" w:eastAsia="zh-CN" w:bidi="ar-SA"/>
        </w:rPr>
        <w:t>四</w:t>
      </w:r>
      <w:r>
        <w:rPr>
          <w:rFonts w:hint="eastAsia" w:ascii="宋体" w:hAnsi="宋体" w:eastAsia="宋体" w:cs="宋体"/>
          <w:b/>
          <w:color w:val="auto"/>
          <w:kern w:val="2"/>
          <w:sz w:val="24"/>
          <w:highlight w:val="none"/>
          <w:lang w:val="en-US" w:eastAsia="zh-CN" w:bidi="ar-SA"/>
        </w:rPr>
        <w:t>、其他要求</w:t>
      </w:r>
    </w:p>
    <w:p w14:paraId="055E4F77">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本项目不组织集中踏勘，由供应商自行进行踏勘，无论踏勘与否，采购人均视为对现场条件和项目情况有</w:t>
      </w:r>
      <w:r>
        <w:rPr>
          <w:rFonts w:hint="eastAsia" w:ascii="宋体" w:hAnsi="宋体" w:eastAsia="宋体" w:cs="宋体"/>
          <w:color w:val="auto"/>
          <w:kern w:val="2"/>
          <w:sz w:val="24"/>
          <w:szCs w:val="24"/>
          <w:highlight w:val="none"/>
          <w:lang w:val="en-US" w:eastAsia="zh-CN" w:bidi="ar-SA"/>
        </w:rPr>
        <w:t>充分的了解。供应商自行考虑各种风险，不得因此申请调价或索赔。踏勘过程</w:t>
      </w:r>
      <w:r>
        <w:rPr>
          <w:rFonts w:hint="eastAsia" w:ascii="宋体" w:hAnsi="宋体" w:eastAsia="宋体" w:cs="宋体"/>
          <w:color w:val="auto"/>
          <w:sz w:val="24"/>
          <w:szCs w:val="24"/>
          <w:highlight w:val="none"/>
          <w:lang w:val="en-US" w:eastAsia="zh-CN"/>
        </w:rPr>
        <w:t>中的费用和涉及到的风险损失等均由供应商自行承担。供应商须在投标响应文件中提供已自行踏勘现场的承诺函（格式自拟）。</w:t>
      </w:r>
    </w:p>
    <w:p w14:paraId="64813CB7">
      <w:pPr>
        <w:pageBreakBefore w:val="0"/>
        <w:widowControl w:val="0"/>
        <w:kinsoku/>
        <w:wordWrap/>
        <w:overflowPunct/>
        <w:topLinePunct w:val="0"/>
        <w:autoSpaceDE/>
        <w:autoSpaceDN/>
        <w:bidi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p>
    <w:p w14:paraId="0DA9FEF8">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10B8FABF">
      <w:pPr>
        <w:pStyle w:val="60"/>
        <w:rPr>
          <w:rFonts w:hint="eastAsia" w:ascii="宋体" w:hAnsi="宋体" w:eastAsia="宋体" w:cs="宋体"/>
          <w:color w:val="auto"/>
          <w:sz w:val="24"/>
          <w:szCs w:val="24"/>
          <w:highlight w:val="none"/>
          <w:lang w:val="en-US" w:eastAsia="zh-CN"/>
        </w:rPr>
      </w:pPr>
    </w:p>
    <w:p w14:paraId="1C3194D5">
      <w:pPr>
        <w:rPr>
          <w:rFonts w:hint="eastAsia" w:ascii="宋体" w:hAnsi="宋体" w:eastAsia="宋体" w:cs="宋体"/>
          <w:color w:val="auto"/>
          <w:sz w:val="24"/>
          <w:szCs w:val="24"/>
          <w:highlight w:val="none"/>
          <w:lang w:val="en-US" w:eastAsia="zh-CN"/>
        </w:rPr>
      </w:pPr>
    </w:p>
    <w:p w14:paraId="21A58CDB">
      <w:pPr>
        <w:pStyle w:val="60"/>
        <w:rPr>
          <w:rFonts w:hint="eastAsia" w:ascii="宋体" w:hAnsi="宋体" w:eastAsia="宋体" w:cs="宋体"/>
          <w:color w:val="auto"/>
          <w:sz w:val="24"/>
          <w:szCs w:val="24"/>
          <w:highlight w:val="none"/>
          <w:lang w:val="en-US" w:eastAsia="zh-CN"/>
        </w:rPr>
      </w:pPr>
    </w:p>
    <w:p w14:paraId="78478B31">
      <w:pPr>
        <w:pStyle w:val="60"/>
        <w:rPr>
          <w:rFonts w:hint="eastAsia" w:ascii="宋体" w:hAnsi="宋体" w:eastAsia="宋体" w:cs="宋体"/>
          <w:color w:val="auto"/>
          <w:sz w:val="24"/>
          <w:szCs w:val="24"/>
          <w:highlight w:val="none"/>
          <w:lang w:val="en-US" w:eastAsia="zh-CN"/>
        </w:rPr>
      </w:pPr>
    </w:p>
    <w:p w14:paraId="748E5A93">
      <w:pPr>
        <w:pStyle w:val="60"/>
        <w:rPr>
          <w:rFonts w:hint="eastAsia" w:ascii="宋体" w:hAnsi="宋体" w:eastAsia="宋体" w:cs="宋体"/>
          <w:color w:val="auto"/>
          <w:sz w:val="24"/>
          <w:szCs w:val="24"/>
          <w:highlight w:val="none"/>
          <w:lang w:val="en-US" w:eastAsia="zh-CN"/>
        </w:rPr>
      </w:pPr>
    </w:p>
    <w:p w14:paraId="055D66EF">
      <w:pPr>
        <w:pStyle w:val="60"/>
        <w:rPr>
          <w:rFonts w:hint="eastAsia" w:ascii="宋体" w:hAnsi="宋体" w:eastAsia="宋体" w:cs="宋体"/>
          <w:color w:val="auto"/>
          <w:sz w:val="24"/>
          <w:szCs w:val="24"/>
          <w:highlight w:val="none"/>
          <w:lang w:val="en-US" w:eastAsia="zh-CN"/>
        </w:rPr>
      </w:pPr>
    </w:p>
    <w:p w14:paraId="0AB51AA7">
      <w:pPr>
        <w:pStyle w:val="60"/>
        <w:rPr>
          <w:rFonts w:hint="eastAsia" w:ascii="宋体" w:hAnsi="宋体" w:eastAsia="宋体" w:cs="宋体"/>
          <w:color w:val="auto"/>
          <w:sz w:val="24"/>
          <w:szCs w:val="24"/>
          <w:highlight w:val="none"/>
          <w:lang w:val="en-US" w:eastAsia="zh-CN"/>
        </w:rPr>
      </w:pPr>
    </w:p>
    <w:p w14:paraId="487ADF36">
      <w:pPr>
        <w:pStyle w:val="60"/>
        <w:rPr>
          <w:rFonts w:hint="eastAsia" w:ascii="宋体" w:hAnsi="宋体" w:eastAsia="宋体" w:cs="宋体"/>
          <w:color w:val="auto"/>
          <w:sz w:val="24"/>
          <w:szCs w:val="24"/>
          <w:highlight w:val="none"/>
          <w:lang w:val="en-US" w:eastAsia="zh-CN"/>
        </w:rPr>
      </w:pPr>
    </w:p>
    <w:p w14:paraId="23C129CA">
      <w:pPr>
        <w:pStyle w:val="60"/>
        <w:rPr>
          <w:rFonts w:hint="eastAsia" w:ascii="宋体" w:hAnsi="宋体" w:eastAsia="宋体" w:cs="宋体"/>
          <w:color w:val="auto"/>
          <w:sz w:val="24"/>
          <w:szCs w:val="24"/>
          <w:highlight w:val="none"/>
          <w:lang w:val="en-US" w:eastAsia="zh-CN"/>
        </w:rPr>
      </w:pPr>
    </w:p>
    <w:p w14:paraId="4E3EF196">
      <w:pPr>
        <w:pStyle w:val="60"/>
        <w:rPr>
          <w:rFonts w:hint="eastAsia" w:ascii="宋体" w:hAnsi="宋体" w:eastAsia="宋体" w:cs="宋体"/>
          <w:color w:val="auto"/>
          <w:sz w:val="24"/>
          <w:szCs w:val="24"/>
          <w:highlight w:val="none"/>
          <w:lang w:val="en-US" w:eastAsia="zh-CN"/>
        </w:rPr>
      </w:pPr>
    </w:p>
    <w:p w14:paraId="034E306F">
      <w:pPr>
        <w:pStyle w:val="60"/>
        <w:rPr>
          <w:rFonts w:hint="eastAsia" w:ascii="宋体" w:hAnsi="宋体" w:eastAsia="宋体" w:cs="宋体"/>
          <w:color w:val="auto"/>
          <w:sz w:val="24"/>
          <w:szCs w:val="24"/>
          <w:highlight w:val="none"/>
          <w:lang w:val="en-US" w:eastAsia="zh-CN"/>
        </w:rPr>
      </w:pPr>
    </w:p>
    <w:p w14:paraId="6556107B">
      <w:pPr>
        <w:pStyle w:val="60"/>
        <w:rPr>
          <w:rFonts w:hint="eastAsia" w:ascii="宋体" w:hAnsi="宋体" w:eastAsia="宋体" w:cs="宋体"/>
          <w:color w:val="auto"/>
          <w:sz w:val="24"/>
          <w:szCs w:val="24"/>
          <w:highlight w:val="none"/>
          <w:lang w:val="en-US" w:eastAsia="zh-CN"/>
        </w:rPr>
      </w:pPr>
    </w:p>
    <w:p w14:paraId="461B4BD8">
      <w:pPr>
        <w:pStyle w:val="60"/>
        <w:rPr>
          <w:rFonts w:hint="eastAsia" w:ascii="宋体" w:hAnsi="宋体" w:eastAsia="宋体" w:cs="宋体"/>
          <w:color w:val="auto"/>
          <w:sz w:val="24"/>
          <w:szCs w:val="24"/>
          <w:highlight w:val="none"/>
          <w:lang w:val="en-US" w:eastAsia="zh-CN"/>
        </w:rPr>
      </w:pPr>
    </w:p>
    <w:p w14:paraId="4613B8DC">
      <w:pPr>
        <w:pStyle w:val="60"/>
        <w:rPr>
          <w:rFonts w:hint="eastAsia" w:ascii="宋体" w:hAnsi="宋体" w:eastAsia="宋体" w:cs="宋体"/>
          <w:color w:val="auto"/>
          <w:sz w:val="24"/>
          <w:szCs w:val="24"/>
          <w:highlight w:val="none"/>
          <w:lang w:val="en-US" w:eastAsia="zh-CN"/>
        </w:rPr>
      </w:pPr>
    </w:p>
    <w:p w14:paraId="5BB0B53D">
      <w:pPr>
        <w:pStyle w:val="3"/>
        <w:spacing w:line="360" w:lineRule="auto"/>
        <w:jc w:val="center"/>
        <w:rPr>
          <w:rFonts w:hint="eastAsia" w:ascii="宋体" w:hAnsi="宋体" w:eastAsia="宋体" w:cs="宋体"/>
          <w:color w:val="auto"/>
          <w:sz w:val="24"/>
          <w:szCs w:val="24"/>
          <w:highlight w:val="none"/>
        </w:rPr>
      </w:pPr>
      <w:bookmarkStart w:id="64" w:name="_Toc24341"/>
      <w:r>
        <w:rPr>
          <w:rFonts w:hint="eastAsia" w:ascii="宋体" w:hAnsi="宋体" w:eastAsia="宋体" w:cs="宋体"/>
          <w:color w:val="auto"/>
          <w:sz w:val="36"/>
          <w:szCs w:val="30"/>
          <w:highlight w:val="none"/>
        </w:rPr>
        <w:t>第三篇</w:t>
      </w:r>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color w:val="auto"/>
          <w:sz w:val="36"/>
          <w:szCs w:val="30"/>
          <w:highlight w:val="none"/>
        </w:rPr>
        <w:t>项目商务需求</w:t>
      </w:r>
      <w:bookmarkEnd w:id="64"/>
      <w:bookmarkStart w:id="65" w:name="_Toc76462328"/>
      <w:bookmarkStart w:id="66" w:name="_Toc344475120"/>
    </w:p>
    <w:p w14:paraId="508AB62D">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7" w:name="_Toc27928"/>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工</w:t>
      </w:r>
      <w:r>
        <w:rPr>
          <w:rFonts w:hint="eastAsia" w:ascii="宋体" w:hAnsi="宋体" w:eastAsia="宋体" w:cs="宋体"/>
          <w:color w:val="auto"/>
          <w:sz w:val="24"/>
          <w:highlight w:val="none"/>
        </w:rPr>
        <w:t>期、地点及验收方式</w:t>
      </w:r>
      <w:bookmarkEnd w:id="65"/>
      <w:bookmarkEnd w:id="66"/>
      <w:bookmarkEnd w:id="67"/>
    </w:p>
    <w:p w14:paraId="5BF5F909">
      <w:pPr>
        <w:pStyle w:val="34"/>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（一）计划完工期：</w:t>
      </w:r>
      <w:r>
        <w:rPr>
          <w:rFonts w:hint="eastAsia" w:ascii="宋体" w:hAnsi="宋体" w:cs="宋体"/>
          <w:color w:val="auto"/>
          <w:sz w:val="24"/>
          <w:szCs w:val="24"/>
          <w:highlight w:val="none"/>
          <w:lang w:val="en-US" w:eastAsia="zh-CN"/>
        </w:rPr>
        <w:t>公示期结束后3个工作日内完成合同签订，并在2025年9月30日前完成采样并将送样清单、总结交至采购人</w:t>
      </w:r>
      <w:r>
        <w:rPr>
          <w:rFonts w:hint="eastAsia" w:ascii="宋体" w:hAnsi="宋体" w:cs="宋体"/>
          <w:sz w:val="24"/>
          <w:lang w:eastAsia="zh-CN"/>
        </w:rPr>
        <w:t>。</w:t>
      </w:r>
    </w:p>
    <w:p w14:paraId="5095F30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实施</w:t>
      </w:r>
      <w:r>
        <w:rPr>
          <w:rFonts w:hint="eastAsia" w:ascii="宋体" w:hAnsi="宋体" w:cs="宋体"/>
          <w:sz w:val="24"/>
        </w:rPr>
        <w:t>地点：</w:t>
      </w:r>
      <w:r>
        <w:rPr>
          <w:rFonts w:hint="eastAsia" w:ascii="宋体" w:hAnsi="宋体" w:cs="宋体"/>
          <w:sz w:val="24"/>
          <w:lang w:val="en-US" w:eastAsia="zh-CN"/>
        </w:rPr>
        <w:t>采购人</w:t>
      </w:r>
      <w:r>
        <w:rPr>
          <w:rFonts w:hint="eastAsia" w:ascii="宋体" w:hAnsi="宋体" w:cs="宋体"/>
          <w:sz w:val="24"/>
        </w:rPr>
        <w:t>指定地点</w:t>
      </w:r>
      <w:r>
        <w:rPr>
          <w:rFonts w:hint="eastAsia" w:ascii="宋体" w:hAnsi="宋体" w:eastAsia="宋体" w:cs="宋体"/>
          <w:color w:val="auto"/>
          <w:kern w:val="0"/>
          <w:sz w:val="21"/>
          <w:szCs w:val="24"/>
          <w:highlight w:val="none"/>
          <w:lang w:eastAsia="zh-CN"/>
        </w:rPr>
        <w:t>。</w:t>
      </w:r>
    </w:p>
    <w:p w14:paraId="2A03A86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由采购人</w:t>
      </w:r>
      <w:r>
        <w:rPr>
          <w:rFonts w:hint="eastAsia" w:ascii="宋体" w:hAnsi="宋体" w:cs="宋体"/>
          <w:color w:val="000000" w:themeColor="text1"/>
          <w:sz w:val="24"/>
          <w:szCs w:val="24"/>
          <w:highlight w:val="none"/>
          <w:lang w:val="en-US" w:eastAsia="zh-CN"/>
          <w14:textFill>
            <w14:solidFill>
              <w14:schemeClr w14:val="tx1"/>
            </w14:solidFill>
          </w14:textFill>
        </w:rPr>
        <w:t>自行组织验收</w:t>
      </w:r>
      <w:r>
        <w:rPr>
          <w:rFonts w:hint="eastAsia" w:ascii="宋体" w:hAnsi="宋体" w:cs="宋体"/>
          <w:sz w:val="24"/>
        </w:rPr>
        <w:t>。</w:t>
      </w:r>
    </w:p>
    <w:p w14:paraId="3B08A21F">
      <w:pPr>
        <w:numPr>
          <w:ilvl w:val="0"/>
          <w:numId w:val="0"/>
        </w:num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8" w:name="_Toc2821"/>
      <w:bookmarkStart w:id="69" w:name="_Toc75793511"/>
      <w:bookmarkStart w:id="70" w:name="_Toc14177"/>
      <w:bookmarkStart w:id="71" w:name="_Toc3465"/>
      <w:bookmarkStart w:id="72" w:name="_Toc16693"/>
      <w:bookmarkStart w:id="73" w:name="_Toc32313"/>
      <w:bookmarkStart w:id="74" w:name="_Toc15677"/>
      <w:bookmarkStart w:id="75" w:name="_Toc1450"/>
      <w:bookmarkStart w:id="76" w:name="_Toc15096"/>
      <w:bookmarkStart w:id="77" w:name="_Toc119579780"/>
      <w:bookmarkStart w:id="78" w:name="_Toc4252"/>
      <w:bookmarkStart w:id="79" w:name="_Toc119949879"/>
      <w:bookmarkStart w:id="80" w:name="_Toc156895491"/>
      <w:bookmarkStart w:id="81" w:name="_Toc267320050"/>
      <w:bookmarkStart w:id="82" w:name="_Toc2244"/>
      <w:bookmarkStart w:id="83" w:name="_Toc20887"/>
      <w:bookmarkStart w:id="84" w:name="_Toc23903"/>
      <w:bookmarkStart w:id="85" w:name="_Toc27382"/>
      <w:bookmarkStart w:id="86" w:name="_Toc4774"/>
      <w:r>
        <w:rPr>
          <w:rFonts w:hint="eastAsia" w:ascii="宋体" w:hAnsi="宋体" w:cs="宋体"/>
          <w:b/>
          <w:bCs/>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highlight w:val="none"/>
          <w14:textFill>
            <w14:solidFill>
              <w14:schemeClr w14:val="tx1"/>
            </w14:solidFill>
          </w14:textFill>
        </w:rPr>
        <w: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Start w:id="87" w:name="_Toc18959"/>
      <w:bookmarkStart w:id="88" w:name="_Toc119579782"/>
      <w:bookmarkStart w:id="89" w:name="_Toc267320052"/>
      <w:bookmarkStart w:id="90" w:name="_Toc3311"/>
      <w:bookmarkStart w:id="91" w:name="_Toc4339"/>
      <w:bookmarkStart w:id="92" w:name="_Toc25410"/>
      <w:bookmarkStart w:id="93" w:name="_Toc22431"/>
      <w:bookmarkStart w:id="94" w:name="_Toc3565"/>
      <w:bookmarkStart w:id="95" w:name="_Toc119949881"/>
      <w:bookmarkStart w:id="96" w:name="_Toc4897"/>
      <w:bookmarkStart w:id="97" w:name="_Toc9213"/>
      <w:bookmarkStart w:id="98" w:name="_Toc27144"/>
      <w:bookmarkStart w:id="99" w:name="_Toc11060"/>
      <w:bookmarkStart w:id="100" w:name="_Toc20369"/>
      <w:bookmarkStart w:id="101" w:name="_Toc75793513"/>
      <w:bookmarkStart w:id="102" w:name="_Toc28056"/>
      <w:bookmarkStart w:id="103" w:name="_Toc10105"/>
      <w:bookmarkStart w:id="104" w:name="_Toc11399"/>
      <w:bookmarkStart w:id="105" w:name="_Toc156895493"/>
      <w:r>
        <w:rPr>
          <w:rFonts w:hint="eastAsia" w:ascii="宋体" w:hAnsi="宋体" w:eastAsia="宋体" w:cs="宋体"/>
          <w:b/>
          <w:bCs/>
          <w:color w:val="000000" w:themeColor="text1"/>
          <w:kern w:val="0"/>
          <w:sz w:val="24"/>
          <w:szCs w:val="24"/>
          <w:highlight w:val="none"/>
          <w14:textFill>
            <w14:solidFill>
              <w14:schemeClr w14:val="tx1"/>
            </w14:solidFill>
          </w14:textFill>
        </w:rPr>
        <w:t>报价要求</w:t>
      </w:r>
    </w:p>
    <w:p w14:paraId="384EECA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投标人报价为</w:t>
      </w:r>
      <w:r>
        <w:rPr>
          <w:rFonts w:hint="eastAsia" w:ascii="宋体" w:hAnsi="宋体" w:cs="宋体"/>
          <w:color w:val="auto"/>
          <w:sz w:val="24"/>
          <w:szCs w:val="24"/>
          <w:highlight w:val="none"/>
          <w:lang w:val="en-US" w:eastAsia="zh-CN"/>
        </w:rPr>
        <w:t>为人民币报价</w:t>
      </w:r>
      <w:r>
        <w:rPr>
          <w:rFonts w:hint="eastAsia" w:ascii="宋体" w:hAnsi="宋体" w:eastAsia="宋体" w:cs="宋体"/>
          <w:color w:val="auto"/>
          <w:sz w:val="24"/>
          <w:szCs w:val="24"/>
          <w:highlight w:val="none"/>
        </w:rPr>
        <w:t>，包括实施和完成本项目所需的</w:t>
      </w:r>
      <w:r>
        <w:rPr>
          <w:rFonts w:hint="eastAsia" w:ascii="宋体" w:hAnsi="宋体" w:eastAsia="宋体" w:cs="宋体"/>
          <w:color w:val="auto"/>
          <w:sz w:val="24"/>
          <w:szCs w:val="24"/>
          <w:highlight w:val="none"/>
          <w:lang w:val="en-US" w:eastAsia="zh-CN"/>
        </w:rPr>
        <w:t>人工费、车</w:t>
      </w:r>
      <w:r>
        <w:rPr>
          <w:rFonts w:hint="eastAsia" w:ascii="宋体" w:hAnsi="宋体" w:cs="宋体"/>
          <w:color w:val="auto"/>
          <w:sz w:val="24"/>
          <w:szCs w:val="24"/>
          <w:highlight w:val="none"/>
          <w:lang w:val="en-US" w:eastAsia="zh-CN"/>
        </w:rPr>
        <w:t>辆</w:t>
      </w:r>
      <w:r>
        <w:rPr>
          <w:rFonts w:hint="eastAsia" w:ascii="宋体" w:hAnsi="宋体" w:eastAsia="宋体" w:cs="宋体"/>
          <w:color w:val="auto"/>
          <w:sz w:val="24"/>
          <w:szCs w:val="24"/>
          <w:highlight w:val="none"/>
          <w:lang w:val="en-US" w:eastAsia="zh-CN"/>
        </w:rPr>
        <w:t>费、采样工具和材料、农产品样品费用、送样费用和税费等所有费用</w:t>
      </w:r>
      <w:r>
        <w:rPr>
          <w:rFonts w:hint="eastAsia" w:ascii="宋体" w:hAnsi="宋体" w:eastAsia="宋体" w:cs="宋体"/>
          <w:color w:val="auto"/>
          <w:sz w:val="24"/>
          <w:szCs w:val="24"/>
          <w:highlight w:val="none"/>
        </w:rPr>
        <w:t>，采购人不再支付其他任何费用。因成交供应商自身原因造成漏报、少报皆由其自行承担责任，采购人不再补偿。</w:t>
      </w:r>
    </w:p>
    <w:p w14:paraId="473984D3">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2.本项目实行总价限价，投标人的报价不得超过采购人公布的最高限价。</w:t>
      </w:r>
    </w:p>
    <w:p w14:paraId="1930B0B2">
      <w:pPr>
        <w:snapToGrid w:val="0"/>
        <w:spacing w:line="400" w:lineRule="exact"/>
        <w:ind w:firstLine="482" w:firstLineChars="200"/>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、付款方式 </w:t>
      </w:r>
    </w:p>
    <w:p w14:paraId="4F9ED377">
      <w:pPr>
        <w:numPr>
          <w:ilvl w:val="0"/>
          <w:numId w:val="0"/>
        </w:numPr>
        <w:snapToGrid w:val="0"/>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sz w:val="24"/>
          <w:highlight w:val="none"/>
        </w:rPr>
        <w:t>项目验收合格后</w:t>
      </w:r>
      <w:r>
        <w:rPr>
          <w:rFonts w:hint="eastAsia" w:ascii="宋体" w:hAnsi="宋体" w:cs="宋体"/>
          <w:sz w:val="24"/>
          <w:highlight w:val="none"/>
          <w:lang w:eastAsia="zh-CN"/>
        </w:rPr>
        <w:t>，</w:t>
      </w:r>
      <w:r>
        <w:rPr>
          <w:rFonts w:hint="eastAsia" w:ascii="宋体" w:hAnsi="宋体" w:cs="宋体"/>
          <w:sz w:val="24"/>
          <w:highlight w:val="none"/>
          <w:lang w:val="en-US" w:eastAsia="zh-CN"/>
        </w:rPr>
        <w:t>成交供应商提供对等合同的发票，采购人收到发票后10个工作日内支付</w:t>
      </w:r>
      <w:r>
        <w:rPr>
          <w:rFonts w:hint="eastAsia" w:ascii="宋体" w:hAnsi="宋体" w:cs="宋体"/>
          <w:sz w:val="24"/>
          <w:highlight w:val="none"/>
        </w:rPr>
        <w:t>合同金额</w:t>
      </w:r>
      <w:r>
        <w:rPr>
          <w:rFonts w:hint="eastAsia" w:ascii="宋体" w:hAnsi="宋体" w:cs="宋体"/>
          <w:sz w:val="24"/>
          <w:highlight w:val="none"/>
          <w:lang w:val="en-US" w:eastAsia="zh-CN"/>
        </w:rPr>
        <w:t>的10</w:t>
      </w:r>
      <w:r>
        <w:rPr>
          <w:rFonts w:hint="eastAsia" w:ascii="宋体" w:hAnsi="宋体" w:cs="宋体"/>
          <w:sz w:val="24"/>
          <w:highlight w:val="none"/>
        </w:rPr>
        <w:t>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6BB5A558">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highlight w:val="none"/>
          <w14:textFill>
            <w14:solidFill>
              <w14:schemeClr w14:val="tx1"/>
            </w14:solidFill>
          </w14:textFill>
        </w:rPr>
        <w:t>、知识产权</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F0B150A">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0580841B">
      <w:pPr>
        <w:keepNext/>
        <w:keepLines/>
        <w:adjustRightInd w:val="0"/>
        <w:snapToGrid w:val="0"/>
        <w:spacing w:line="500" w:lineRule="exact"/>
        <w:ind w:firstLine="569" w:firstLineChars="236"/>
        <w:outlineLvl w:val="1"/>
        <w:rPr>
          <w:rFonts w:hint="eastAsia" w:ascii="宋体" w:hAnsi="宋体" w:cs="仿宋"/>
          <w:b/>
          <w:color w:val="000000" w:themeColor="text1"/>
          <w:sz w:val="24"/>
          <w14:textFill>
            <w14:solidFill>
              <w14:schemeClr w14:val="tx1"/>
            </w14:solidFill>
          </w14:textFill>
        </w:rPr>
      </w:pPr>
      <w:bookmarkStart w:id="106" w:name="_Toc267320054"/>
      <w:bookmarkStart w:id="107" w:name="_Toc11068"/>
      <w:r>
        <w:rPr>
          <w:rFonts w:hint="eastAsia" w:ascii="宋体" w:hAnsi="宋体" w:cs="仿宋"/>
          <w:b/>
          <w:color w:val="000000" w:themeColor="text1"/>
          <w:sz w:val="24"/>
          <w:lang w:val="en-US" w:eastAsia="zh-CN"/>
          <w14:textFill>
            <w14:solidFill>
              <w14:schemeClr w14:val="tx1"/>
            </w14:solidFill>
          </w14:textFill>
        </w:rPr>
        <w:t>五</w:t>
      </w:r>
      <w:r>
        <w:rPr>
          <w:rFonts w:hint="eastAsia" w:ascii="宋体" w:hAnsi="宋体" w:cs="仿宋"/>
          <w:b/>
          <w:color w:val="000000" w:themeColor="text1"/>
          <w:sz w:val="24"/>
          <w14:textFill>
            <w14:solidFill>
              <w14:schemeClr w14:val="tx1"/>
            </w14:solidFill>
          </w14:textFill>
        </w:rPr>
        <w:t>、其他</w:t>
      </w:r>
      <w:bookmarkEnd w:id="106"/>
      <w:bookmarkEnd w:id="107"/>
    </w:p>
    <w:p w14:paraId="07B4D6B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）其他未尽事宜由供需双方在采购合同中详细约定。</w:t>
      </w:r>
    </w:p>
    <w:p w14:paraId="1A21C607">
      <w:pPr>
        <w:pStyle w:val="3"/>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bookmarkStart w:id="108" w:name="_Toc102227313"/>
      <w:r>
        <w:rPr>
          <w:rFonts w:hint="eastAsia" w:ascii="宋体" w:hAnsi="宋体" w:eastAsia="宋体" w:cs="宋体"/>
          <w:bCs/>
          <w:color w:val="000000" w:themeColor="text1"/>
          <w:spacing w:val="-11"/>
          <w:sz w:val="24"/>
          <w:szCs w:val="24"/>
          <w:highlight w:val="none"/>
          <w14:textFill>
            <w14:solidFill>
              <w14:schemeClr w14:val="tx1"/>
            </w14:solidFill>
          </w14:textFill>
        </w:rPr>
        <w:t>第四篇</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11"/>
          <w:sz w:val="24"/>
          <w:szCs w:val="24"/>
          <w:highlight w:val="none"/>
          <w14:textFill>
            <w14:solidFill>
              <w14:schemeClr w14:val="tx1"/>
            </w14:solidFill>
          </w14:textFill>
        </w:rPr>
        <w:t>网上竞采程序及方法、评审标准、响应无效和采购终止</w:t>
      </w:r>
    </w:p>
    <w:p w14:paraId="37F20EF1">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09" w:name="_Toc18690"/>
      <w:r>
        <w:rPr>
          <w:rFonts w:hint="eastAsia" w:ascii="宋体" w:hAnsi="宋体" w:eastAsia="宋体" w:cs="宋体"/>
          <w:color w:val="000000" w:themeColor="text1"/>
          <w:sz w:val="24"/>
          <w:szCs w:val="24"/>
          <w:highlight w:val="none"/>
          <w14:textFill>
            <w14:solidFill>
              <w14:schemeClr w14:val="tx1"/>
            </w14:solidFill>
          </w14:textFill>
        </w:rPr>
        <w:t>一、网上竞采程序及方法</w:t>
      </w:r>
      <w:bookmarkEnd w:id="109"/>
    </w:p>
    <w:p w14:paraId="5A4E6E6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（一）评审小组对各供应商的资格条件、响应文件的有效性、完整性和响应程度进行审查。各供应商只有在完全符合要求的前提下，才能参与正式网上竞采。</w:t>
      </w:r>
    </w:p>
    <w:p w14:paraId="02E1354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1.资格性检查。依据法律法规和网上竞采文件的规定，对响应文件中的资格证明进行审查，以确定供应商是否具备网上竞采资格。资格性检查资料表如下：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6CD0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C12A26A">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4394" w:type="dxa"/>
            <w:gridSpan w:val="2"/>
            <w:vAlign w:val="center"/>
          </w:tcPr>
          <w:p w14:paraId="0E420142">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检查因素</w:t>
            </w:r>
          </w:p>
        </w:tc>
        <w:tc>
          <w:tcPr>
            <w:tcW w:w="4558" w:type="dxa"/>
            <w:vAlign w:val="center"/>
          </w:tcPr>
          <w:p w14:paraId="65F3C6B7">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检查内容</w:t>
            </w:r>
          </w:p>
        </w:tc>
      </w:tr>
      <w:tr w14:paraId="4F91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11EA0B6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709" w:type="dxa"/>
            <w:vMerge w:val="restart"/>
            <w:vAlign w:val="center"/>
          </w:tcPr>
          <w:p w14:paraId="4882359F">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应符合的基本资格条件</w:t>
            </w:r>
          </w:p>
        </w:tc>
        <w:tc>
          <w:tcPr>
            <w:tcW w:w="3685" w:type="dxa"/>
            <w:vAlign w:val="center"/>
          </w:tcPr>
          <w:p w14:paraId="6076B18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（1）具有独立承担民事责任的能力</w:t>
            </w:r>
          </w:p>
        </w:tc>
        <w:tc>
          <w:tcPr>
            <w:tcW w:w="4558" w:type="dxa"/>
            <w:vAlign w:val="center"/>
          </w:tcPr>
          <w:p w14:paraId="655C96D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供应商法人营业执照（副本）或事业单位法人证书（副本）或个体工商户营业执照或有效的自然人身份证明、组织机构代码证复印件（注</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\o\ac(○,2)</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D9A94C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供应商法定代表人身份证明和法定代表人授权代表委托书。</w:t>
            </w:r>
          </w:p>
        </w:tc>
      </w:tr>
      <w:tr w14:paraId="4D8E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51B8DF3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1A928528">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200A218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具有良好的商业信誉和健全的财务会计制度</w:t>
            </w:r>
          </w:p>
        </w:tc>
        <w:tc>
          <w:tcPr>
            <w:tcW w:w="4558" w:type="dxa"/>
            <w:vMerge w:val="restart"/>
            <w:vAlign w:val="center"/>
          </w:tcPr>
          <w:p w14:paraId="05C7730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供应商提供基本资格条件承诺函。（格式详见第七篇）</w:t>
            </w:r>
          </w:p>
        </w:tc>
      </w:tr>
      <w:tr w14:paraId="26D5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43AFB5E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6C552984">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5100536C">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（3）具有履行合同所必需的设备和专业技术能力</w:t>
            </w:r>
          </w:p>
        </w:tc>
        <w:tc>
          <w:tcPr>
            <w:tcW w:w="4558" w:type="dxa"/>
            <w:vMerge w:val="continue"/>
            <w:vAlign w:val="center"/>
          </w:tcPr>
          <w:p w14:paraId="7FD5AA1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1FCA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609DF26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27A03181">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1544CA13">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（4）有依法缴纳税收和社会保障金的良好记录</w:t>
            </w:r>
          </w:p>
        </w:tc>
        <w:tc>
          <w:tcPr>
            <w:tcW w:w="4558" w:type="dxa"/>
            <w:vMerge w:val="continue"/>
            <w:vAlign w:val="center"/>
          </w:tcPr>
          <w:p w14:paraId="06FCF30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7C7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6" w:type="dxa"/>
            <w:vMerge w:val="continue"/>
            <w:vAlign w:val="center"/>
          </w:tcPr>
          <w:p w14:paraId="19AEE95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0FE5991C">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43C5C73A">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（5）参加政府采购活动前三年内，在经营活动中没有重大违法记录（注</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\o\ac(○,3)</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4558" w:type="dxa"/>
            <w:vMerge w:val="continue"/>
            <w:vAlign w:val="center"/>
          </w:tcPr>
          <w:p w14:paraId="7B49879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18A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7744179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2444146F">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6CF8859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（6）法律、行政法规规定的其他条件</w:t>
            </w:r>
          </w:p>
        </w:tc>
        <w:tc>
          <w:tcPr>
            <w:tcW w:w="4558" w:type="dxa"/>
            <w:vAlign w:val="center"/>
          </w:tcPr>
          <w:p w14:paraId="51B4790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6731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4808B2B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4394" w:type="dxa"/>
            <w:gridSpan w:val="2"/>
            <w:vAlign w:val="center"/>
          </w:tcPr>
          <w:p w14:paraId="6643857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落实政府采购政策需满足的资格要求</w:t>
            </w:r>
          </w:p>
        </w:tc>
        <w:tc>
          <w:tcPr>
            <w:tcW w:w="4558" w:type="dxa"/>
            <w:vAlign w:val="center"/>
          </w:tcPr>
          <w:p w14:paraId="0325F81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按第一篇“三、供应商资格条件（二）落实政府采购政策需满足的资格要求”的要求提交（如果有）。</w:t>
            </w:r>
          </w:p>
        </w:tc>
      </w:tr>
      <w:tr w14:paraId="191D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19625EB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4394" w:type="dxa"/>
            <w:gridSpan w:val="2"/>
            <w:vAlign w:val="center"/>
          </w:tcPr>
          <w:p w14:paraId="324D921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特定资格条件</w:t>
            </w:r>
          </w:p>
        </w:tc>
        <w:tc>
          <w:tcPr>
            <w:tcW w:w="4558" w:type="dxa"/>
            <w:vAlign w:val="center"/>
          </w:tcPr>
          <w:p w14:paraId="69F1CF9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按第一篇“三、供应商资格条件（三）特定资格条件”的要求提交（如果有）。</w:t>
            </w:r>
          </w:p>
        </w:tc>
      </w:tr>
    </w:tbl>
    <w:p w14:paraId="6FD71E38">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p>
    <w:p w14:paraId="1CED7DA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\o\ac(○,2)</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供应商按“多证合一”登记制度办理营业执照的，组织机构代码证、税务登记证（副本）和社会保险登记证以供应商所提供的营业执照（副本）复印件为准。</w:t>
      </w:r>
    </w:p>
    <w:p w14:paraId="54E4503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\o\ac(○,3)</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8AB1F8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2.符合性检查。依据网上竞采文件的规定，从响应文件的有效性、完整性和对网上竞采文件的响应程度进行审查，以确定是否对网上竞采文件的实质性要求作出响应。符合性检查资料表如下：</w:t>
      </w:r>
    </w:p>
    <w:tbl>
      <w:tblPr>
        <w:tblStyle w:val="6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D5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2926D2E0">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544" w:type="dxa"/>
            <w:gridSpan w:val="2"/>
            <w:vAlign w:val="center"/>
          </w:tcPr>
          <w:p w14:paraId="6FBF4C2C">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评审因素</w:t>
            </w:r>
          </w:p>
        </w:tc>
        <w:tc>
          <w:tcPr>
            <w:tcW w:w="5409" w:type="dxa"/>
            <w:vAlign w:val="center"/>
          </w:tcPr>
          <w:p w14:paraId="7A74F1BA">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评审标准</w:t>
            </w:r>
          </w:p>
        </w:tc>
      </w:tr>
      <w:tr w14:paraId="514F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67D8FF8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560" w:type="dxa"/>
            <w:vMerge w:val="restart"/>
            <w:vAlign w:val="center"/>
          </w:tcPr>
          <w:p w14:paraId="5FE8F72D">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有效性审查</w:t>
            </w:r>
          </w:p>
        </w:tc>
        <w:tc>
          <w:tcPr>
            <w:tcW w:w="1984" w:type="dxa"/>
            <w:vAlign w:val="center"/>
          </w:tcPr>
          <w:p w14:paraId="3B08911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响应文件签署</w:t>
            </w:r>
          </w:p>
        </w:tc>
        <w:tc>
          <w:tcPr>
            <w:tcW w:w="5409" w:type="dxa"/>
            <w:vAlign w:val="center"/>
          </w:tcPr>
          <w:p w14:paraId="34CBA39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网上电子文档及响应文件上法定代表人或其授权代表人的签字齐全。</w:t>
            </w:r>
          </w:p>
        </w:tc>
      </w:tr>
      <w:tr w14:paraId="47E5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7160FE2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79A496F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4939EEC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法定代表人身份证明及授权委托书</w:t>
            </w:r>
          </w:p>
        </w:tc>
        <w:tc>
          <w:tcPr>
            <w:tcW w:w="5409" w:type="dxa"/>
            <w:vAlign w:val="center"/>
          </w:tcPr>
          <w:p w14:paraId="126233E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法定代表人身份证明及授权委托书有效，符合网上竞采文件规定的格式，签字或盖章齐全。</w:t>
            </w:r>
          </w:p>
        </w:tc>
      </w:tr>
      <w:tr w14:paraId="197D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5E0554B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31ABA3C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5B607E3E">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w:t>
            </w:r>
          </w:p>
        </w:tc>
        <w:tc>
          <w:tcPr>
            <w:tcW w:w="5409" w:type="dxa"/>
            <w:vAlign w:val="center"/>
          </w:tcPr>
          <w:p w14:paraId="613180C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每个分包只能有一个</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w:t>
            </w:r>
          </w:p>
        </w:tc>
      </w:tr>
      <w:tr w14:paraId="3905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647DE4C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27AE597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312B795E">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报价唯一</w:t>
            </w:r>
          </w:p>
        </w:tc>
        <w:tc>
          <w:tcPr>
            <w:tcW w:w="5409" w:type="dxa"/>
            <w:vAlign w:val="center"/>
          </w:tcPr>
          <w:p w14:paraId="4AF53D4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只能在采购预算范围内报价，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只能有一个有效报价，不得提交选择性报价。</w:t>
            </w:r>
          </w:p>
        </w:tc>
      </w:tr>
      <w:tr w14:paraId="6467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2B0FC48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560" w:type="dxa"/>
            <w:vAlign w:val="center"/>
          </w:tcPr>
          <w:p w14:paraId="27C656F4">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完整性审查</w:t>
            </w:r>
          </w:p>
        </w:tc>
        <w:tc>
          <w:tcPr>
            <w:tcW w:w="1984" w:type="dxa"/>
            <w:vAlign w:val="center"/>
          </w:tcPr>
          <w:p w14:paraId="6C4D15A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文件份数</w:t>
            </w:r>
          </w:p>
        </w:tc>
        <w:tc>
          <w:tcPr>
            <w:tcW w:w="5409" w:type="dxa"/>
            <w:vAlign w:val="center"/>
          </w:tcPr>
          <w:p w14:paraId="7CA5F78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文件数量符合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文件要求。</w:t>
            </w:r>
          </w:p>
        </w:tc>
      </w:tr>
      <w:tr w14:paraId="0C34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54B8CC1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560" w:type="dxa"/>
            <w:vMerge w:val="restart"/>
            <w:vAlign w:val="center"/>
          </w:tcPr>
          <w:p w14:paraId="1766CA25">
            <w:pPr>
              <w:spacing w:line="360" w:lineRule="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网上竞采文件的响应程度审查</w:t>
            </w:r>
          </w:p>
        </w:tc>
        <w:tc>
          <w:tcPr>
            <w:tcW w:w="1984" w:type="dxa"/>
            <w:vAlign w:val="center"/>
          </w:tcPr>
          <w:p w14:paraId="3E26EC4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响应文件内容</w:t>
            </w:r>
          </w:p>
        </w:tc>
        <w:tc>
          <w:tcPr>
            <w:tcW w:w="5409" w:type="dxa"/>
            <w:vAlign w:val="center"/>
          </w:tcPr>
          <w:p w14:paraId="2987639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对网上竞采文件第二篇、第三篇规定的网上竞采内容作出响应。</w:t>
            </w:r>
          </w:p>
        </w:tc>
      </w:tr>
      <w:tr w14:paraId="0BD2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67E214A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39E45C0D">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1984" w:type="dxa"/>
            <w:vAlign w:val="center"/>
          </w:tcPr>
          <w:p w14:paraId="0BEBBAE4">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网上竞采有效期</w:t>
            </w:r>
          </w:p>
        </w:tc>
        <w:tc>
          <w:tcPr>
            <w:tcW w:w="5409" w:type="dxa"/>
            <w:vAlign w:val="center"/>
          </w:tcPr>
          <w:p w14:paraId="0E7D1EE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满足网上竞采文件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规定。</w:t>
            </w:r>
          </w:p>
        </w:tc>
      </w:tr>
    </w:tbl>
    <w:p w14:paraId="7B63100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6F39A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D19133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（三）评审的依据为网上竞采文件和响应文件（含有效的补充文件）。评审小组判断响应文件对网上竞采文件的响应，仅基于响应文件本身而不靠外部证据。</w:t>
      </w:r>
    </w:p>
    <w:p w14:paraId="578F0503">
      <w:pPr>
        <w:pStyle w:val="4"/>
        <w:spacing w:before="0" w:after="0" w:line="360" w:lineRule="auto"/>
        <w:rPr>
          <w:rFonts w:hint="eastAsia" w:ascii="宋体" w:hAnsi="宋体" w:cs="宋体"/>
          <w:color w:val="000000" w:themeColor="text1"/>
          <w:sz w:val="24"/>
          <w:szCs w:val="24"/>
          <w:highlight w:val="none"/>
          <w:lang w:val="en-US" w:eastAsia="zh-CN"/>
          <w14:textFill>
            <w14:solidFill>
              <w14:schemeClr w14:val="tx1"/>
            </w14:solidFill>
          </w14:textFill>
        </w:rPr>
      </w:pPr>
      <w:bookmarkStart w:id="110" w:name="_Toc18411"/>
      <w:r>
        <w:rPr>
          <w:rFonts w:hint="eastAsia" w:ascii="宋体" w:hAnsi="宋体" w:cs="宋体"/>
          <w:color w:val="000000" w:themeColor="text1"/>
          <w:sz w:val="24"/>
          <w:szCs w:val="24"/>
          <w:highlight w:val="none"/>
          <w:lang w:val="en-US" w:eastAsia="zh-CN"/>
          <w14:textFill>
            <w14:solidFill>
              <w14:schemeClr w14:val="tx1"/>
            </w14:solidFill>
          </w14:textFill>
        </w:rPr>
        <w:t>二、评标方法</w:t>
      </w:r>
    </w:p>
    <w:p w14:paraId="4EE0735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本项目采用综合评估法进行评标。</w:t>
      </w:r>
    </w:p>
    <w:p w14:paraId="4B75151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综合评分法，是指响应文件满足竞采文件全部实质性要求且按照评审因素的量化指标评审得分最高的供应商为成交供应商的评标方法。供应商总得分为价格、技术</w:t>
      </w:r>
      <w:r>
        <w:rPr>
          <w:rFonts w:hint="eastAsia" w:ascii="宋体" w:hAnsi="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等评定因素分别按照相应权重值计算分项得分后相加，满分为100分。</w:t>
      </w:r>
    </w:p>
    <w:p w14:paraId="224CDCBE">
      <w:pPr>
        <w:snapToGrid w:val="0"/>
        <w:spacing w:line="400" w:lineRule="exact"/>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综合评分法：</w:t>
      </w:r>
    </w:p>
    <w:p w14:paraId="32210FC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（一）比较与评价。按竞采文件中规定的评标方法和标准，对资格审查和符合性审查合格的响应文件进行商务和技术评估。</w:t>
      </w:r>
    </w:p>
    <w:p w14:paraId="1A21746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复核后，评审小组汇总每个供应商每项评分因素的得分。</w:t>
      </w:r>
    </w:p>
    <w:p w14:paraId="78B0757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（二）关于技术（质量）、商务偏离</w:t>
      </w:r>
    </w:p>
    <w:p w14:paraId="2A86167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1.电子投标文件投标应答有一条及以上不满足招标文件“第二篇 项目技术需求”要求的，供应商将失去成为成交供应商的资格；</w:t>
      </w:r>
    </w:p>
    <w:p w14:paraId="259310C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2.电子投标文件投标应答有一条及以上不满足招标文件“第三篇 项目商务需求”要求的，供应商将失去成为成交供应商的资格；</w:t>
      </w:r>
    </w:p>
    <w:p w14:paraId="4CC46FA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 评审小组认为供应商的报价明显低于其他通过符合性审查供应商的报价，有可能影响质量或者不能诚信履约的，应当要求其在评标现场合理的时间内在线提供书面说明，必要时提交相关证明材料电子档（PDF格式）；供应商不能证明其报价合理性的，评审小组应当将其作为无效投标处理。</w:t>
      </w:r>
    </w:p>
    <w:p w14:paraId="536094D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（三）推荐成交供应商名单。</w:t>
      </w:r>
    </w:p>
    <w:p w14:paraId="7928E6D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评审后得分由高到低的排列顺序推荐综合得分排名前三的供应商为本包（项目）成交供应商，排名第一的为第一成交供应商。得分相同的，按投标报价由低到高顺序排列。得分且投标报价相同的由评审小组随机抽取的方式进行排列。不推荐技术（质量）部分得分为0分的供应商成为成交供应商。</w:t>
      </w:r>
    </w:p>
    <w:bookmarkEnd w:id="110"/>
    <w:p w14:paraId="3BC8453F">
      <w:pPr>
        <w:pStyle w:val="3"/>
        <w:spacing w:line="400" w:lineRule="exact"/>
        <w:ind w:firstLine="482" w:firstLineChars="200"/>
        <w:rPr>
          <w:rFonts w:hint="eastAsia" w:ascii="宋体" w:hAnsi="宋体" w:eastAsia="宋体" w:cs="宋体"/>
          <w:b/>
          <w:sz w:val="24"/>
          <w:szCs w:val="24"/>
          <w:highlight w:val="none"/>
        </w:rPr>
      </w:pPr>
      <w:bookmarkStart w:id="111" w:name="_Toc102227320"/>
      <w:bookmarkStart w:id="112" w:name="_Toc342913394"/>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评标标准</w:t>
      </w:r>
    </w:p>
    <w:p w14:paraId="0E99E138">
      <w:pPr>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（综合评分法：）</w:t>
      </w:r>
    </w:p>
    <w:p w14:paraId="434A1B35">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bl>
      <w:tblPr>
        <w:tblStyle w:val="61"/>
        <w:tblW w:w="10231"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476"/>
        <w:gridCol w:w="1217"/>
        <w:gridCol w:w="5623"/>
        <w:gridCol w:w="1411"/>
      </w:tblGrid>
      <w:tr w14:paraId="4073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4" w:type="dxa"/>
            <w:noWrap w:val="0"/>
            <w:vAlign w:val="center"/>
          </w:tcPr>
          <w:p w14:paraId="7DAFA947">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476" w:type="dxa"/>
            <w:noWrap w:val="0"/>
            <w:vAlign w:val="center"/>
          </w:tcPr>
          <w:p w14:paraId="04072FF7">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评分因素</w:t>
            </w:r>
          </w:p>
          <w:p w14:paraId="096743CB">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及权重</w:t>
            </w:r>
          </w:p>
        </w:tc>
        <w:tc>
          <w:tcPr>
            <w:tcW w:w="1217" w:type="dxa"/>
            <w:noWrap w:val="0"/>
            <w:vAlign w:val="center"/>
          </w:tcPr>
          <w:p w14:paraId="79815BCF">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c>
          <w:tcPr>
            <w:tcW w:w="5623" w:type="dxa"/>
            <w:noWrap w:val="0"/>
            <w:vAlign w:val="center"/>
          </w:tcPr>
          <w:p w14:paraId="1D250993">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c>
          <w:tcPr>
            <w:tcW w:w="1411" w:type="dxa"/>
            <w:noWrap w:val="0"/>
            <w:vAlign w:val="center"/>
          </w:tcPr>
          <w:p w14:paraId="5FD6B24F">
            <w:pPr>
              <w:pStyle w:val="233"/>
              <w:spacing w:before="0" w:after="0"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14:paraId="3A91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04" w:type="dxa"/>
            <w:noWrap w:val="0"/>
            <w:vAlign w:val="center"/>
          </w:tcPr>
          <w:p w14:paraId="10EDADF3">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rPr>
              <w:t>1</w:t>
            </w:r>
          </w:p>
        </w:tc>
        <w:tc>
          <w:tcPr>
            <w:tcW w:w="1476" w:type="dxa"/>
            <w:noWrap w:val="0"/>
            <w:vAlign w:val="center"/>
          </w:tcPr>
          <w:p w14:paraId="7A9D1F1D">
            <w:pPr>
              <w:keepNext w:val="0"/>
              <w:keepLines w:val="0"/>
              <w:pageBreakBefore w:val="0"/>
              <w:widowControl w:val="0"/>
              <w:kinsoku/>
              <w:wordWrap/>
              <w:overflowPunct/>
              <w:topLinePunct w:val="0"/>
              <w:autoSpaceDE/>
              <w:autoSpaceDN/>
              <w:bidi w:val="0"/>
              <w:adjustRightInd/>
              <w:snapToGrid/>
              <w:spacing w:line="280" w:lineRule="exact"/>
              <w:ind w:firstLine="28"/>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报价</w:t>
            </w:r>
          </w:p>
          <w:p w14:paraId="394A3519">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w:t>
            </w:r>
          </w:p>
        </w:tc>
        <w:tc>
          <w:tcPr>
            <w:tcW w:w="1217" w:type="dxa"/>
            <w:noWrap w:val="0"/>
            <w:vAlign w:val="center"/>
          </w:tcPr>
          <w:p w14:paraId="7EF83B61">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5623" w:type="dxa"/>
            <w:noWrap w:val="0"/>
            <w:vAlign w:val="center"/>
          </w:tcPr>
          <w:p w14:paraId="3B089101">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满足资格要求且</w:t>
            </w:r>
            <w:r>
              <w:rPr>
                <w:rFonts w:hint="eastAsia" w:ascii="宋体" w:hAnsi="宋体" w:eastAsia="宋体" w:cs="宋体"/>
                <w:sz w:val="21"/>
                <w:szCs w:val="21"/>
                <w:lang w:val="en-US" w:eastAsia="zh-CN"/>
              </w:rPr>
              <w:t>投标</w:t>
            </w:r>
            <w:r>
              <w:rPr>
                <w:rFonts w:hint="eastAsia" w:ascii="宋体" w:hAnsi="宋体" w:eastAsia="宋体" w:cs="宋体"/>
                <w:sz w:val="21"/>
                <w:szCs w:val="21"/>
              </w:rPr>
              <w:t>报价最低的供应商的价格为</w:t>
            </w:r>
            <w:r>
              <w:rPr>
                <w:rFonts w:hint="eastAsia" w:ascii="宋体" w:hAnsi="宋体" w:cs="宋体"/>
                <w:sz w:val="21"/>
                <w:szCs w:val="21"/>
                <w:lang w:eastAsia="zh-CN"/>
              </w:rPr>
              <w:t>投标</w:t>
            </w:r>
            <w:r>
              <w:rPr>
                <w:rFonts w:hint="eastAsia" w:ascii="宋体" w:hAnsi="宋体" w:eastAsia="宋体" w:cs="宋体"/>
                <w:sz w:val="21"/>
                <w:szCs w:val="21"/>
              </w:rPr>
              <w:t>基准价，其价格分为满分。按照下列公式计算每个供应商的</w:t>
            </w:r>
            <w:r>
              <w:rPr>
                <w:rFonts w:hint="eastAsia" w:ascii="宋体" w:hAnsi="宋体" w:cs="宋体"/>
                <w:sz w:val="21"/>
                <w:szCs w:val="21"/>
                <w:lang w:eastAsia="zh-CN"/>
              </w:rPr>
              <w:t>投标</w:t>
            </w:r>
            <w:r>
              <w:rPr>
                <w:rFonts w:hint="eastAsia" w:ascii="宋体" w:hAnsi="宋体" w:eastAsia="宋体" w:cs="宋体"/>
                <w:sz w:val="21"/>
                <w:szCs w:val="21"/>
              </w:rPr>
              <w:t>报价得分。</w:t>
            </w:r>
          </w:p>
          <w:p w14:paraId="41121EEF">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华文仿宋" w:hAnsi="华文仿宋" w:eastAsia="华文仿宋" w:cs="华文仿宋"/>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sz w:val="21"/>
                <w:szCs w:val="21"/>
                <w:lang w:eastAsia="zh-CN"/>
              </w:rPr>
              <w:t>投标</w:t>
            </w:r>
            <w:r>
              <w:rPr>
                <w:rFonts w:hint="eastAsia" w:ascii="宋体" w:hAnsi="宋体" w:eastAsia="宋体" w:cs="宋体"/>
                <w:sz w:val="21"/>
                <w:szCs w:val="21"/>
              </w:rPr>
              <w:t>报价得分=（</w:t>
            </w:r>
            <w:r>
              <w:rPr>
                <w:rFonts w:hint="eastAsia" w:ascii="宋体" w:hAnsi="宋体" w:cs="宋体"/>
                <w:sz w:val="21"/>
                <w:szCs w:val="21"/>
                <w:lang w:eastAsia="zh-CN"/>
              </w:rPr>
              <w:t>投标</w:t>
            </w:r>
            <w:r>
              <w:rPr>
                <w:rFonts w:hint="eastAsia" w:ascii="宋体" w:hAnsi="宋体" w:eastAsia="宋体" w:cs="宋体"/>
                <w:sz w:val="21"/>
                <w:szCs w:val="21"/>
              </w:rPr>
              <w:t>基准价/</w:t>
            </w:r>
            <w:r>
              <w:rPr>
                <w:rFonts w:hint="eastAsia" w:ascii="宋体" w:hAnsi="宋体" w:cs="宋体"/>
                <w:sz w:val="21"/>
                <w:szCs w:val="21"/>
                <w:lang w:eastAsia="zh-CN"/>
              </w:rPr>
              <w:t>投标</w:t>
            </w:r>
            <w:r>
              <w:rPr>
                <w:rFonts w:hint="eastAsia" w:ascii="宋体" w:hAnsi="宋体" w:eastAsia="宋体" w:cs="宋体"/>
                <w:sz w:val="21"/>
                <w:szCs w:val="21"/>
              </w:rPr>
              <w:t>报价）×价格权值×100</w:t>
            </w:r>
          </w:p>
        </w:tc>
        <w:tc>
          <w:tcPr>
            <w:tcW w:w="1411" w:type="dxa"/>
            <w:noWrap w:val="0"/>
            <w:vAlign w:val="center"/>
          </w:tcPr>
          <w:p w14:paraId="51DAFD39">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1C5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04" w:type="dxa"/>
            <w:noWrap w:val="0"/>
            <w:vAlign w:val="center"/>
          </w:tcPr>
          <w:p w14:paraId="30CC6024">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rPr>
              <w:t>2</w:t>
            </w:r>
          </w:p>
        </w:tc>
        <w:tc>
          <w:tcPr>
            <w:tcW w:w="1476" w:type="dxa"/>
            <w:noWrap w:val="0"/>
            <w:vAlign w:val="center"/>
          </w:tcPr>
          <w:p w14:paraId="45D2A301">
            <w:pPr>
              <w:keepNext w:val="0"/>
              <w:keepLines w:val="0"/>
              <w:pageBreakBefore w:val="0"/>
              <w:widowControl w:val="0"/>
              <w:kinsoku/>
              <w:wordWrap/>
              <w:overflowPunct/>
              <w:topLinePunct w:val="0"/>
              <w:autoSpaceDE/>
              <w:autoSpaceDN/>
              <w:bidi w:val="0"/>
              <w:adjustRightInd/>
              <w:snapToGrid/>
              <w:spacing w:line="280" w:lineRule="exact"/>
              <w:ind w:firstLine="28"/>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技术部分</w:t>
            </w:r>
          </w:p>
          <w:p w14:paraId="40512B96">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sz w:val="21"/>
                <w:szCs w:val="21"/>
                <w:lang w:val="en-US" w:eastAsia="zh-CN"/>
              </w:rPr>
              <w:t>（服务方案）（</w:t>
            </w:r>
            <w:r>
              <w:rPr>
                <w:rFonts w:hint="eastAsia" w:ascii="宋体" w:hAnsi="宋体" w:cs="宋体"/>
                <w:sz w:val="21"/>
                <w:szCs w:val="21"/>
                <w:lang w:val="en-US" w:eastAsia="zh-CN"/>
              </w:rPr>
              <w:t>50</w:t>
            </w:r>
            <w:r>
              <w:rPr>
                <w:rFonts w:hint="eastAsia" w:ascii="宋体" w:hAnsi="宋体" w:eastAsia="宋体" w:cs="宋体"/>
                <w:sz w:val="21"/>
                <w:szCs w:val="21"/>
              </w:rPr>
              <w:t>%</w:t>
            </w:r>
            <w:r>
              <w:rPr>
                <w:rFonts w:hint="eastAsia" w:ascii="宋体" w:hAnsi="宋体" w:eastAsia="宋体" w:cs="宋体"/>
                <w:sz w:val="21"/>
                <w:szCs w:val="21"/>
                <w:lang w:val="en-US" w:eastAsia="zh-CN"/>
              </w:rPr>
              <w:t>）</w:t>
            </w:r>
          </w:p>
        </w:tc>
        <w:tc>
          <w:tcPr>
            <w:tcW w:w="1217" w:type="dxa"/>
            <w:noWrap w:val="0"/>
            <w:vAlign w:val="center"/>
          </w:tcPr>
          <w:p w14:paraId="4239F0FD">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sz w:val="21"/>
                <w:szCs w:val="21"/>
                <w:lang w:val="en-US" w:eastAsia="zh-CN"/>
              </w:rPr>
              <w:t>50</w:t>
            </w:r>
            <w:r>
              <w:rPr>
                <w:rFonts w:hint="eastAsia" w:ascii="宋体" w:hAnsi="宋体" w:eastAsia="宋体" w:cs="宋体"/>
                <w:sz w:val="21"/>
                <w:szCs w:val="21"/>
              </w:rPr>
              <w:t>分</w:t>
            </w:r>
          </w:p>
        </w:tc>
        <w:tc>
          <w:tcPr>
            <w:tcW w:w="5623" w:type="dxa"/>
            <w:noWrap w:val="0"/>
            <w:vAlign w:val="center"/>
          </w:tcPr>
          <w:p w14:paraId="5882A731">
            <w:pPr>
              <w:pStyle w:val="22"/>
              <w:spacing w:line="36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1、供应商根据采购文件要求提供切实可行的项目工作方案，包括但不限于：对项目实施的理解、组织管理、工作实施计划、工作质量保障措施等（30分）。</w:t>
            </w:r>
          </w:p>
          <w:p w14:paraId="3CDE485E">
            <w:pPr>
              <w:pStyle w:val="22"/>
              <w:numPr>
                <w:ilvl w:val="0"/>
                <w:numId w:val="0"/>
              </w:numPr>
              <w:spacing w:line="360" w:lineRule="exact"/>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u w:val="single"/>
              </w:rPr>
              <w:t xml:space="preserve">优得 </w:t>
            </w:r>
            <w:r>
              <w:rPr>
                <w:rFonts w:hint="eastAsia" w:ascii="宋体" w:hAnsi="宋体" w:cs="宋体"/>
                <w:b/>
                <w:sz w:val="21"/>
                <w:szCs w:val="21"/>
                <w:highlight w:val="none"/>
                <w:u w:val="single"/>
                <w:lang w:val="en-US" w:eastAsia="zh-CN"/>
              </w:rPr>
              <w:t>30</w:t>
            </w:r>
            <w:r>
              <w:rPr>
                <w:rFonts w:hint="eastAsia" w:ascii="宋体" w:hAnsi="宋体" w:eastAsia="宋体" w:cs="宋体"/>
                <w:b/>
                <w:sz w:val="21"/>
                <w:szCs w:val="21"/>
                <w:highlight w:val="none"/>
                <w:u w:val="single"/>
              </w:rPr>
              <w:t xml:space="preserve"> 分，良得</w:t>
            </w:r>
            <w:r>
              <w:rPr>
                <w:rFonts w:hint="eastAsia" w:ascii="宋体" w:hAnsi="宋体" w:cs="宋体"/>
                <w:b/>
                <w:sz w:val="21"/>
                <w:szCs w:val="21"/>
                <w:highlight w:val="none"/>
                <w:u w:val="single"/>
                <w:lang w:val="en-US" w:eastAsia="zh-CN"/>
              </w:rPr>
              <w:t>20</w:t>
            </w:r>
            <w:r>
              <w:rPr>
                <w:rFonts w:hint="eastAsia" w:ascii="宋体" w:hAnsi="宋体" w:eastAsia="宋体" w:cs="宋体"/>
                <w:b/>
                <w:sz w:val="21"/>
                <w:szCs w:val="21"/>
                <w:highlight w:val="none"/>
                <w:u w:val="single"/>
              </w:rPr>
              <w:t xml:space="preserve"> 分，差得</w:t>
            </w:r>
            <w:r>
              <w:rPr>
                <w:rFonts w:hint="eastAsia" w:ascii="宋体" w:hAnsi="宋体" w:cs="宋体"/>
                <w:b/>
                <w:sz w:val="21"/>
                <w:szCs w:val="21"/>
                <w:highlight w:val="none"/>
                <w:u w:val="single"/>
                <w:lang w:val="en-US" w:eastAsia="zh-CN"/>
              </w:rPr>
              <w:t>10</w:t>
            </w:r>
            <w:r>
              <w:rPr>
                <w:rFonts w:hint="eastAsia" w:ascii="宋体" w:hAnsi="宋体" w:eastAsia="宋体" w:cs="宋体"/>
                <w:b/>
                <w:sz w:val="21"/>
                <w:szCs w:val="21"/>
                <w:highlight w:val="none"/>
                <w:u w:val="single"/>
              </w:rPr>
              <w:t>分</w:t>
            </w:r>
            <w:r>
              <w:rPr>
                <w:rFonts w:hint="eastAsia" w:ascii="宋体" w:hAnsi="宋体" w:cs="宋体"/>
                <w:b/>
                <w:sz w:val="21"/>
                <w:szCs w:val="21"/>
                <w:highlight w:val="none"/>
                <w:u w:val="single"/>
                <w:lang w:eastAsia="zh-CN"/>
              </w:rPr>
              <w:t>，</w:t>
            </w:r>
            <w:r>
              <w:rPr>
                <w:rFonts w:hint="eastAsia" w:ascii="宋体" w:hAnsi="宋体" w:eastAsia="宋体" w:cs="宋体"/>
                <w:b/>
                <w:sz w:val="21"/>
                <w:szCs w:val="21"/>
                <w:highlight w:val="none"/>
                <w:u w:val="single"/>
              </w:rPr>
              <w:t>未提供得0分。</w:t>
            </w:r>
          </w:p>
          <w:p w14:paraId="7C48CE6C">
            <w:pPr>
              <w:pStyle w:val="22"/>
              <w:numPr>
                <w:ilvl w:val="0"/>
                <w:numId w:val="0"/>
              </w:numPr>
              <w:spacing w:line="36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2、供应商根据采购文件要求提供切实可行的项目作业安全方案，包括但不限于：安全管理措施、安全应急、安全管理制度等（20分）。</w:t>
            </w:r>
          </w:p>
          <w:p w14:paraId="4CF716D2">
            <w:pPr>
              <w:pStyle w:val="22"/>
              <w:spacing w:line="360" w:lineRule="exact"/>
              <w:rPr>
                <w:rFonts w:hint="default" w:ascii="华文仿宋" w:hAnsi="华文仿宋" w:eastAsia="华文仿宋" w:cs="华文仿宋"/>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sz w:val="21"/>
                <w:szCs w:val="21"/>
                <w:highlight w:val="none"/>
                <w:u w:val="single"/>
              </w:rPr>
              <w:t xml:space="preserve">优得 </w:t>
            </w:r>
            <w:r>
              <w:rPr>
                <w:rFonts w:hint="eastAsia" w:ascii="宋体" w:hAnsi="宋体" w:cs="宋体"/>
                <w:b/>
                <w:sz w:val="21"/>
                <w:szCs w:val="21"/>
                <w:highlight w:val="none"/>
                <w:u w:val="single"/>
                <w:lang w:val="en-US" w:eastAsia="zh-CN"/>
              </w:rPr>
              <w:t>20</w:t>
            </w:r>
            <w:r>
              <w:rPr>
                <w:rFonts w:hint="eastAsia" w:ascii="宋体" w:hAnsi="宋体" w:eastAsia="宋体" w:cs="宋体"/>
                <w:b/>
                <w:sz w:val="21"/>
                <w:szCs w:val="21"/>
                <w:highlight w:val="none"/>
                <w:u w:val="single"/>
              </w:rPr>
              <w:t xml:space="preserve"> 分，良得</w:t>
            </w:r>
            <w:r>
              <w:rPr>
                <w:rFonts w:hint="eastAsia" w:ascii="宋体" w:hAnsi="宋体" w:cs="宋体"/>
                <w:b/>
                <w:sz w:val="21"/>
                <w:szCs w:val="21"/>
                <w:highlight w:val="none"/>
                <w:u w:val="single"/>
                <w:lang w:val="en-US" w:eastAsia="zh-CN"/>
              </w:rPr>
              <w:t>10</w:t>
            </w:r>
            <w:r>
              <w:rPr>
                <w:rFonts w:hint="eastAsia" w:ascii="宋体" w:hAnsi="宋体" w:eastAsia="宋体" w:cs="宋体"/>
                <w:b/>
                <w:sz w:val="21"/>
                <w:szCs w:val="21"/>
                <w:highlight w:val="none"/>
                <w:u w:val="single"/>
              </w:rPr>
              <w:t xml:space="preserve"> 分，差得</w:t>
            </w:r>
            <w:r>
              <w:rPr>
                <w:rFonts w:hint="eastAsia" w:ascii="宋体" w:hAnsi="宋体" w:cs="宋体"/>
                <w:b/>
                <w:sz w:val="21"/>
                <w:szCs w:val="21"/>
                <w:highlight w:val="none"/>
                <w:u w:val="single"/>
                <w:lang w:val="en-US" w:eastAsia="zh-CN"/>
              </w:rPr>
              <w:t>5</w:t>
            </w:r>
            <w:r>
              <w:rPr>
                <w:rFonts w:hint="eastAsia" w:ascii="宋体" w:hAnsi="宋体" w:eastAsia="宋体" w:cs="宋体"/>
                <w:b/>
                <w:sz w:val="21"/>
                <w:szCs w:val="21"/>
                <w:highlight w:val="none"/>
                <w:u w:val="single"/>
              </w:rPr>
              <w:t>分</w:t>
            </w:r>
            <w:r>
              <w:rPr>
                <w:rFonts w:hint="eastAsia" w:ascii="宋体" w:hAnsi="宋体" w:cs="宋体"/>
                <w:b/>
                <w:sz w:val="21"/>
                <w:szCs w:val="21"/>
                <w:highlight w:val="none"/>
                <w:u w:val="single"/>
                <w:lang w:eastAsia="zh-CN"/>
              </w:rPr>
              <w:t>，</w:t>
            </w:r>
            <w:r>
              <w:rPr>
                <w:rFonts w:hint="eastAsia" w:ascii="宋体" w:hAnsi="宋体" w:eastAsia="宋体" w:cs="宋体"/>
                <w:b/>
                <w:sz w:val="21"/>
                <w:szCs w:val="21"/>
                <w:highlight w:val="none"/>
                <w:u w:val="single"/>
              </w:rPr>
              <w:t>未提供得0分。</w:t>
            </w:r>
          </w:p>
        </w:tc>
        <w:tc>
          <w:tcPr>
            <w:tcW w:w="1411" w:type="dxa"/>
            <w:noWrap w:val="0"/>
            <w:vAlign w:val="center"/>
          </w:tcPr>
          <w:p w14:paraId="1379524D">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F36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04" w:type="dxa"/>
            <w:noWrap w:val="0"/>
            <w:vAlign w:val="center"/>
          </w:tcPr>
          <w:p w14:paraId="7A29A3F7">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lang w:val="en-US" w:eastAsia="zh-CN"/>
              </w:rPr>
              <w:t>3</w:t>
            </w:r>
          </w:p>
        </w:tc>
        <w:tc>
          <w:tcPr>
            <w:tcW w:w="1476" w:type="dxa"/>
            <w:noWrap w:val="0"/>
            <w:vAlign w:val="center"/>
          </w:tcPr>
          <w:p w14:paraId="5B1D6AE2">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rPr>
              <w:t>商务部分</w:t>
            </w:r>
            <w:r>
              <w:rPr>
                <w:rFonts w:hint="eastAsia" w:ascii="宋体" w:hAnsi="宋体" w:eastAsia="宋体" w:cs="宋体"/>
                <w:sz w:val="21"/>
                <w:szCs w:val="21"/>
                <w:lang w:eastAsia="zh-CN"/>
              </w:rPr>
              <w:t>（</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1217" w:type="dxa"/>
            <w:noWrap w:val="0"/>
            <w:vAlign w:val="center"/>
          </w:tcPr>
          <w:p w14:paraId="649BBE2A">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cs="宋体"/>
                <w:sz w:val="21"/>
                <w:szCs w:val="21"/>
                <w:lang w:val="en-US" w:eastAsia="zh-CN"/>
              </w:rPr>
              <w:t>20</w:t>
            </w:r>
            <w:r>
              <w:rPr>
                <w:rFonts w:hint="eastAsia" w:ascii="宋体" w:hAnsi="宋体" w:eastAsia="宋体" w:cs="宋体"/>
                <w:sz w:val="21"/>
                <w:szCs w:val="21"/>
                <w:lang w:val="en-US" w:eastAsia="zh-CN"/>
              </w:rPr>
              <w:t>分</w:t>
            </w:r>
          </w:p>
        </w:tc>
        <w:tc>
          <w:tcPr>
            <w:tcW w:w="5623" w:type="dxa"/>
            <w:noWrap w:val="0"/>
            <w:vAlign w:val="center"/>
          </w:tcPr>
          <w:p w14:paraId="0AC52D8C">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color w:val="auto"/>
                <w:kern w:val="2"/>
                <w:sz w:val="21"/>
                <w:szCs w:val="21"/>
                <w:lang w:val="en-US" w:eastAsia="zh-CN" w:bidi="ar-SA"/>
              </w:rPr>
            </w:pPr>
          </w:p>
          <w:p w14:paraId="63638697">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1.业绩证明（</w:t>
            </w:r>
            <w:r>
              <w:rPr>
                <w:rFonts w:hint="eastAsia" w:ascii="宋体" w:hAnsi="宋体" w:cs="宋体"/>
                <w:color w:val="auto"/>
                <w:kern w:val="2"/>
                <w:sz w:val="21"/>
                <w:szCs w:val="21"/>
                <w:lang w:val="en-US" w:eastAsia="zh-CN" w:bidi="ar-SA"/>
              </w:rPr>
              <w:t>20</w:t>
            </w:r>
            <w:r>
              <w:rPr>
                <w:rFonts w:hint="eastAsia" w:ascii="宋体" w:hAnsi="宋体" w:eastAsia="宋体" w:cs="宋体"/>
                <w:color w:val="auto"/>
                <w:kern w:val="2"/>
                <w:sz w:val="21"/>
                <w:szCs w:val="21"/>
                <w:lang w:val="en-US" w:eastAsia="zh-CN" w:bidi="ar-SA"/>
              </w:rPr>
              <w:t>分）：</w:t>
            </w:r>
            <w:r>
              <w:rPr>
                <w:rFonts w:hint="eastAsia" w:ascii="宋体" w:hAnsi="宋体" w:cs="宋体"/>
                <w:color w:val="auto"/>
                <w:kern w:val="2"/>
                <w:sz w:val="21"/>
                <w:szCs w:val="21"/>
                <w:lang w:val="en-US" w:eastAsia="zh-CN" w:bidi="ar-SA"/>
              </w:rPr>
              <w:t>近三年从事土壤安全利用类</w:t>
            </w:r>
            <w:r>
              <w:rPr>
                <w:rFonts w:hint="eastAsia" w:ascii="宋体" w:hAnsi="宋体" w:cs="宋体"/>
                <w:color w:val="auto"/>
                <w:kern w:val="2"/>
                <w:sz w:val="21"/>
                <w:szCs w:val="21"/>
                <w:highlight w:val="none"/>
                <w:lang w:val="en-US" w:eastAsia="zh-CN" w:bidi="ar-SA"/>
              </w:rPr>
              <w:t>农产品取样</w:t>
            </w:r>
            <w:r>
              <w:rPr>
                <w:rFonts w:hint="eastAsia" w:ascii="宋体" w:hAnsi="宋体" w:cs="宋体"/>
                <w:color w:val="auto"/>
                <w:kern w:val="2"/>
                <w:sz w:val="21"/>
                <w:szCs w:val="21"/>
                <w:lang w:val="en-US" w:eastAsia="zh-CN" w:bidi="ar-SA"/>
              </w:rPr>
              <w:t>业绩</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提供3个的得10分，每增加1个得2分，</w:t>
            </w:r>
            <w:r>
              <w:rPr>
                <w:rFonts w:hint="eastAsia" w:ascii="宋体" w:hAnsi="宋体" w:eastAsia="宋体" w:cs="宋体"/>
                <w:color w:val="auto"/>
                <w:kern w:val="2"/>
                <w:sz w:val="21"/>
                <w:szCs w:val="21"/>
                <w:lang w:val="en-US" w:eastAsia="zh-CN" w:bidi="ar-SA"/>
              </w:rPr>
              <w:t>满分</w:t>
            </w:r>
            <w:r>
              <w:rPr>
                <w:rFonts w:hint="eastAsia" w:ascii="宋体" w:hAnsi="宋体" w:cs="宋体"/>
                <w:color w:val="auto"/>
                <w:kern w:val="2"/>
                <w:sz w:val="21"/>
                <w:szCs w:val="21"/>
                <w:lang w:val="en-US" w:eastAsia="zh-CN" w:bidi="ar-SA"/>
              </w:rPr>
              <w:t>20</w:t>
            </w:r>
            <w:r>
              <w:rPr>
                <w:rFonts w:hint="eastAsia" w:ascii="宋体" w:hAnsi="宋体" w:eastAsia="宋体" w:cs="宋体"/>
                <w:color w:val="auto"/>
                <w:kern w:val="2"/>
                <w:sz w:val="21"/>
                <w:szCs w:val="21"/>
                <w:lang w:val="en-US" w:eastAsia="zh-CN" w:bidi="ar-SA"/>
              </w:rPr>
              <w:t>分。</w:t>
            </w:r>
          </w:p>
          <w:p w14:paraId="29122E90">
            <w:pPr>
              <w:pStyle w:val="22"/>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p>
        </w:tc>
        <w:tc>
          <w:tcPr>
            <w:tcW w:w="1411" w:type="dxa"/>
            <w:noWrap w:val="0"/>
            <w:vAlign w:val="center"/>
          </w:tcPr>
          <w:p w14:paraId="25EFFB41">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auto"/>
                <w:kern w:val="2"/>
                <w:sz w:val="21"/>
                <w:szCs w:val="21"/>
                <w:lang w:val="en-US" w:eastAsia="zh-CN" w:bidi="ar-SA"/>
              </w:rPr>
              <w:t>提供合同复印（原件备查），加盖供应商公章，分包合同不计入，原件备查。</w:t>
            </w:r>
          </w:p>
        </w:tc>
      </w:tr>
    </w:tbl>
    <w:p w14:paraId="46972194">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3" w:name="_Toc25094"/>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、响应无效</w:t>
      </w:r>
      <w:bookmarkEnd w:id="113"/>
    </w:p>
    <w:bookmarkEnd w:id="111"/>
    <w:bookmarkEnd w:id="112"/>
    <w:p w14:paraId="7599599D">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供应商发生以下条款情况之一者，视为响应无效，其响应文件将被拒绝：</w:t>
      </w:r>
    </w:p>
    <w:p w14:paraId="00D2DC3A">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（一）供应商不符合规定的基本资格条件或特定资格条件的；</w:t>
      </w:r>
    </w:p>
    <w:p w14:paraId="1EB2DCBF">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（二）供应商所提交的响应文件不按第七篇“响应文件编制要求”规定签字、盖章；</w:t>
      </w:r>
    </w:p>
    <w:p w14:paraId="05CCDFA2">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（三）供应商的报价超过采购预算或总价最高限价或单价最高限价的；</w:t>
      </w:r>
    </w:p>
    <w:p w14:paraId="7F5F22CC">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（四）法定代表人为同一个人的两个及两个以上法人，母公司、全资子公司及其控股公司，在同一分包采购中同时参与网上竞采；</w:t>
      </w:r>
    </w:p>
    <w:p w14:paraId="1B2DDCC7">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（六）供应商的平台报价与上传的网上电子响应文件报价函中的报价不一致的；</w:t>
      </w:r>
    </w:p>
    <w:p w14:paraId="3D798D76">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（七）单位负责人为同一人或者存在直接控股、管理关系的不同供应商，参加同一合同项下的采购活动的；</w:t>
      </w:r>
    </w:p>
    <w:p w14:paraId="6F3BB003">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（八）为采购项目提供整体设计、规范编制或者项目管理、监理、检测等服务的供应商，再参加该采购项目的其他采购活动；</w:t>
      </w:r>
    </w:p>
    <w:p w14:paraId="4DD5CC33">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（九）供应商的服务期、质量保证期及网上竞采有效期不满足网上竞采文件要求的；</w:t>
      </w:r>
    </w:p>
    <w:p w14:paraId="6777CA30">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（十）供应商响应文件内容有与国家现行法律法规相违背的内容，或附有采购人无法接受的条件。</w:t>
      </w:r>
    </w:p>
    <w:p w14:paraId="72D9DA28">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（十一）供应商被列入失信被执行人、税收违法黑名单、政府采购严重违法失信行为记录名单及其他不符合《中华人民共和国政府采购法》第二十二条规定条件的。</w:t>
      </w:r>
    </w:p>
    <w:p w14:paraId="734CFCF3">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采购代理机构将通过“信用中国”网站（www.creditchina.gov.cn)、中国政府采购网（www.ccgp.gov.cn）等渠道查询供应商信用记录，对列入失信被执行人、税收违法黑名单、政府采购严重违法失信行为记录名单及其他不符合《中华人民共和国政府采购法》第二十二条规定条件的供应商，应当拒绝其参与政府采购活动。</w:t>
      </w:r>
    </w:p>
    <w:p w14:paraId="1D48BAAE">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4" w:name="_Toc27425"/>
      <w:bookmarkStart w:id="115" w:name="_Toc18403"/>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、采购终止</w:t>
      </w:r>
      <w:bookmarkEnd w:id="114"/>
      <w:bookmarkEnd w:id="115"/>
    </w:p>
    <w:p w14:paraId="7A4ECE44">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出现下列情形之一的，采购人或者采购代理机构应当终止网上竞采活动，发布项目终止公告并说明原因，重新开展采购活动：</w:t>
      </w:r>
    </w:p>
    <w:p w14:paraId="010C83BB">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（一）因情况变化，不再符合规定的网上竞采采购方式适用情形的；</w:t>
      </w:r>
    </w:p>
    <w:p w14:paraId="0F391927">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（二）出现影响采购公正的违法、违规行为的；</w:t>
      </w:r>
    </w:p>
    <w:p w14:paraId="0FED2A29">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（三）通过资格性审查及符合性审查的供应商不足</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家的，终止本次采购活动，并发布终止采购活动公告。</w:t>
      </w:r>
    </w:p>
    <w:p w14:paraId="59E9D72B">
      <w:pPr>
        <w:pStyle w:val="3"/>
        <w:pageBreakBefore/>
        <w:spacing w:before="0" w:after="0" w:line="360" w:lineRule="auto"/>
        <w:jc w:val="center"/>
        <w:rPr>
          <w:rFonts w:hint="eastAsia" w:ascii="宋体" w:hAnsi="宋体" w:eastAsia="宋体" w:cs="宋体"/>
          <w:bCs/>
          <w:color w:val="auto"/>
          <w:spacing w:val="-11"/>
          <w:sz w:val="36"/>
          <w:szCs w:val="30"/>
          <w:highlight w:val="none"/>
        </w:rPr>
      </w:pPr>
      <w:bookmarkStart w:id="116" w:name="_Toc13753"/>
      <w:r>
        <w:rPr>
          <w:rFonts w:hint="eastAsia" w:ascii="宋体" w:hAnsi="宋体" w:eastAsia="宋体" w:cs="宋体"/>
          <w:bCs/>
          <w:color w:val="auto"/>
          <w:spacing w:val="-11"/>
          <w:sz w:val="36"/>
          <w:szCs w:val="30"/>
          <w:highlight w:val="none"/>
        </w:rPr>
        <w:t>第五篇供应商须知</w:t>
      </w:r>
      <w:bookmarkEnd w:id="108"/>
      <w:bookmarkEnd w:id="116"/>
    </w:p>
    <w:p w14:paraId="08DD8096">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17" w:name="_Toc8105"/>
      <w:bookmarkStart w:id="118" w:name="_Toc26510"/>
      <w:bookmarkStart w:id="119" w:name="_Toc342913389"/>
      <w:bookmarkStart w:id="120" w:name="_Toc11641055"/>
      <w:bookmarkStart w:id="121" w:name="_Toc12789059"/>
      <w:r>
        <w:rPr>
          <w:rFonts w:hint="eastAsia" w:ascii="宋体" w:hAnsi="宋体" w:eastAsia="宋体" w:cs="宋体"/>
          <w:color w:val="auto"/>
          <w:sz w:val="24"/>
          <w:szCs w:val="24"/>
          <w:highlight w:val="none"/>
        </w:rPr>
        <w:t>一、网上竞采费用</w:t>
      </w:r>
      <w:bookmarkEnd w:id="117"/>
      <w:bookmarkEnd w:id="118"/>
      <w:bookmarkEnd w:id="119"/>
    </w:p>
    <w:p w14:paraId="76D98CCA">
      <w:pPr>
        <w:pStyle w:val="266"/>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参与网上竞采的投标供应商应承担其编制响应文件与递交响应文件所涉及的一切费用，不论网上竞采结果如何，采购人和采购代理机构在任何情况下无义务也无责任承担这些费用。</w:t>
      </w:r>
    </w:p>
    <w:p w14:paraId="02035EF6">
      <w:pPr>
        <w:pStyle w:val="4"/>
        <w:pageBreakBefore w:val="0"/>
        <w:widowControl w:val="0"/>
        <w:tabs>
          <w:tab w:val="left" w:pos="2640"/>
        </w:tabs>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22" w:name="_Toc21089"/>
      <w:bookmarkStart w:id="123" w:name="_Toc4870"/>
      <w:bookmarkStart w:id="124" w:name="_Toc342913391"/>
      <w:r>
        <w:rPr>
          <w:rFonts w:hint="eastAsia" w:ascii="宋体" w:hAnsi="宋体" w:eastAsia="宋体" w:cs="宋体"/>
          <w:color w:val="auto"/>
          <w:sz w:val="24"/>
          <w:szCs w:val="24"/>
          <w:highlight w:val="none"/>
        </w:rPr>
        <w:t>二、网上竞采文件</w:t>
      </w:r>
      <w:bookmarkEnd w:id="122"/>
      <w:bookmarkEnd w:id="123"/>
      <w:bookmarkEnd w:id="124"/>
    </w:p>
    <w:p w14:paraId="1F61733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（一）网上竞采文件由采购邀请书、采购项目技术需求、采购项目商务需求、网上竞采程序及方法、评审标准、响应无效和采购终止、投标供应商须知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5621D2FA">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（二）采购人（或采购代理机构）所作的一切有效的书面通知、修改及补充，都是网上竞采文件不可分割的部分。</w:t>
      </w:r>
    </w:p>
    <w:p w14:paraId="074811A5">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（三）网上竞采文件的解释</w:t>
      </w:r>
    </w:p>
    <w:p w14:paraId="53CB0BF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如对网上竞采文件有疑问，必须以书面形式在提交响应文件截止时间2个工作日前向采购人（或采购代理机构）要求澄清，采购人（或采购代理机构）可视具体情况做出处理或答复。如投标供应商未提出疑问，视为完全理解并同意本网上竞采文件。一经进入网上竞采程序，即视为投标供应商已详细阅读全部文件资料，完全理解网上竞采文件所有条款内容并同意放弃对这方面有不明白及误解的权利。</w:t>
      </w:r>
      <w:bookmarkStart w:id="125" w:name="_Toc318159349"/>
      <w:bookmarkStart w:id="126" w:name="_Toc318166429"/>
      <w:bookmarkStart w:id="127" w:name="_Toc318159780"/>
      <w:bookmarkStart w:id="128" w:name="_Toc318159160"/>
    </w:p>
    <w:p w14:paraId="04B3B59A">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（四）本网上竞采文件中，网上竞采小组根据与投标供应商进行网上竞采可能实质性变动的内容为网上竞采文件第二、三、四篇全部内容。</w:t>
      </w:r>
    </w:p>
    <w:p w14:paraId="689398AA">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（五）评审的依据为网上竞采文件和响应文件（含有效的书面承诺）。评审小组判断响应文件对网上竞采文件的响应，仅基于响应文件本身而不靠外部证据。</w:t>
      </w:r>
    </w:p>
    <w:bookmarkEnd w:id="125"/>
    <w:bookmarkEnd w:id="126"/>
    <w:bookmarkEnd w:id="127"/>
    <w:bookmarkEnd w:id="128"/>
    <w:p w14:paraId="211E74F7">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29" w:name="_Toc102227318"/>
      <w:bookmarkStart w:id="130" w:name="_Toc342913392"/>
      <w:bookmarkStart w:id="131" w:name="_Toc16269"/>
      <w:bookmarkStart w:id="132" w:name="_Toc179714297"/>
      <w:bookmarkStart w:id="133" w:name="_Toc29912"/>
      <w:r>
        <w:rPr>
          <w:rFonts w:hint="eastAsia" w:ascii="宋体" w:hAnsi="宋体" w:eastAsia="宋体" w:cs="宋体"/>
          <w:color w:val="auto"/>
          <w:sz w:val="24"/>
          <w:szCs w:val="24"/>
          <w:highlight w:val="none"/>
        </w:rPr>
        <w:t>三、网上竞采要求</w:t>
      </w:r>
      <w:bookmarkEnd w:id="129"/>
      <w:bookmarkEnd w:id="130"/>
      <w:bookmarkEnd w:id="131"/>
      <w:bookmarkEnd w:id="132"/>
      <w:bookmarkEnd w:id="133"/>
    </w:p>
    <w:p w14:paraId="03D9BA6E">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718E669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1.投标供应商应当按照网上竞采文件的要求编制响应文件，并对网上竞采文件提出的要求和条件作出实质性响应，同时应编制完整的页码、目录。</w:t>
      </w:r>
    </w:p>
    <w:p w14:paraId="3884470E">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2C54627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投标供应商所作的一切有效补充、修改和承诺等文件组成，投标供应商应按照第七篇“响应文件编制要求”规定的目录顺序组织编写和装订，也可在基本格式基础上对表格进行扩展，未规定格式的由投标供应商自定格式。</w:t>
      </w:r>
    </w:p>
    <w:p w14:paraId="1D2CD92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3.供应商须对所提供资料的真实性和准确性负责，一旦发现有弄虚作假的情况，按相应法律法规予以处罚。</w:t>
      </w:r>
    </w:p>
    <w:p w14:paraId="128C45BA">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53D9754C">
      <w:pPr>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56C5DB4F">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469E680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17DDF66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1.供应商须在平台报价并上传盖章后的响应文件电子文档一份</w:t>
      </w:r>
      <w:r>
        <w:rPr>
          <w:rFonts w:hint="eastAsia" w:ascii="宋体" w:hAnsi="宋体" w:cs="宋体"/>
          <w:color w:val="auto"/>
          <w:sz w:val="24"/>
          <w:szCs w:val="24"/>
          <w:highlight w:val="none"/>
          <w:lang w:eastAsia="zh-CN"/>
        </w:rPr>
        <w:t>。</w:t>
      </w:r>
    </w:p>
    <w:p w14:paraId="42E8590B">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注：若供应商的平台报价与网上上传的响应文件电子文档报价函中的报价不一致，按响应无效处理。</w:t>
      </w:r>
    </w:p>
    <w:p w14:paraId="689FB384">
      <w:pPr>
        <w:pageBreakBefore w:val="0"/>
        <w:widowControl w:val="0"/>
        <w:numPr>
          <w:ilvl w:val="0"/>
          <w:numId w:val="15"/>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在上传的网上电子文档中，网上竞采文件第七篇响应文件编制要求中规定签字、盖章的地方必须按其规定签字、盖章。</w:t>
      </w:r>
    </w:p>
    <w:p w14:paraId="4D350574">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22B226E5">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供应商须在规定时间内完成线上的响应文件提交，否则视为无效响应。</w:t>
      </w:r>
    </w:p>
    <w:p w14:paraId="27905498">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4" w:name="_Toc9018"/>
      <w:bookmarkStart w:id="135" w:name="_Toc7456"/>
      <w:r>
        <w:rPr>
          <w:rFonts w:hint="eastAsia" w:ascii="宋体" w:hAnsi="宋体" w:eastAsia="宋体" w:cs="宋体"/>
          <w:color w:val="auto"/>
          <w:sz w:val="24"/>
          <w:szCs w:val="24"/>
          <w:highlight w:val="none"/>
        </w:rPr>
        <w:t>四、成交供应商的确认和变更</w:t>
      </w:r>
      <w:bookmarkEnd w:id="134"/>
      <w:bookmarkEnd w:id="135"/>
    </w:p>
    <w:p w14:paraId="533298B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65ADB49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投标供应商为成交供应商。</w:t>
      </w:r>
    </w:p>
    <w:p w14:paraId="001EEEC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62A1FE8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230C5D4B">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6" w:name="_Toc342913395"/>
      <w:bookmarkStart w:id="137" w:name="_Toc1297"/>
      <w:bookmarkStart w:id="138" w:name="_Toc3011"/>
      <w:bookmarkStart w:id="139" w:name="_Toc102227321"/>
      <w:r>
        <w:rPr>
          <w:rFonts w:hint="eastAsia" w:ascii="宋体" w:hAnsi="宋体" w:eastAsia="宋体" w:cs="宋体"/>
          <w:color w:val="auto"/>
          <w:sz w:val="24"/>
          <w:szCs w:val="24"/>
          <w:highlight w:val="none"/>
        </w:rPr>
        <w:t>五、成交通知</w:t>
      </w:r>
      <w:bookmarkEnd w:id="136"/>
      <w:bookmarkEnd w:id="137"/>
      <w:bookmarkEnd w:id="138"/>
      <w:bookmarkEnd w:id="139"/>
    </w:p>
    <w:p w14:paraId="1808558A">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（一）成交供应商确定后，采购人或采购代理机构将在重庆市政府采购云平台.网上竞采中心（https://xj.ccgp-chongqing.gov.cn/ge/）上发布成交结果公告。</w:t>
      </w:r>
    </w:p>
    <w:p w14:paraId="3F75C4CB">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68A12162">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1946254A">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（四）如有投标供应商对成交结果提出质疑的，在质疑处理完毕后发出成交通知书。</w:t>
      </w:r>
    </w:p>
    <w:p w14:paraId="424A5B7B">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40" w:name="_Toc19876"/>
      <w:bookmarkStart w:id="141" w:name="_Toc22361"/>
      <w:r>
        <w:rPr>
          <w:rFonts w:hint="eastAsia" w:ascii="宋体" w:hAnsi="宋体" w:eastAsia="宋体" w:cs="宋体"/>
          <w:color w:val="auto"/>
          <w:sz w:val="24"/>
          <w:szCs w:val="24"/>
          <w:highlight w:val="none"/>
        </w:rPr>
        <w:t>六、采购代理服务费</w:t>
      </w:r>
      <w:bookmarkEnd w:id="140"/>
      <w:bookmarkEnd w:id="141"/>
    </w:p>
    <w:p w14:paraId="67517DC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本次网上竞采由代理机构委托实施，</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val="en-US" w:eastAsia="zh-CN"/>
        </w:rPr>
        <w:t>为人民币</w:t>
      </w:r>
      <w:r>
        <w:rPr>
          <w:rFonts w:hint="eastAsia" w:ascii="宋体" w:hAnsi="宋体" w:cs="宋体"/>
          <w:color w:val="auto"/>
          <w:sz w:val="24"/>
          <w:highlight w:val="none"/>
          <w:u w:val="single"/>
          <w:lang w:val="en-US" w:eastAsia="zh-CN"/>
        </w:rPr>
        <w:t>：620元整</w:t>
      </w:r>
      <w:r>
        <w:rPr>
          <w:rFonts w:hint="eastAsia" w:ascii="宋体" w:hAnsi="宋体" w:eastAsia="宋体" w:cs="宋体"/>
          <w:color w:val="auto"/>
          <w:sz w:val="24"/>
          <w:szCs w:val="24"/>
          <w:highlight w:val="none"/>
        </w:rPr>
        <w:t>，由成交供应商在领取成交通知书时一次性向代理机构缴纳。</w:t>
      </w:r>
    </w:p>
    <w:p w14:paraId="02E681A3">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42" w:name="_Toc11155"/>
      <w:bookmarkStart w:id="143" w:name="_Toc1096"/>
      <w:r>
        <w:rPr>
          <w:rFonts w:hint="eastAsia" w:ascii="宋体" w:hAnsi="宋体" w:eastAsia="宋体" w:cs="宋体"/>
          <w:color w:val="auto"/>
          <w:sz w:val="24"/>
          <w:szCs w:val="24"/>
          <w:highlight w:val="none"/>
        </w:rPr>
        <w:t>七、关于质疑和投诉</w:t>
      </w:r>
      <w:bookmarkEnd w:id="142"/>
      <w:bookmarkEnd w:id="143"/>
    </w:p>
    <w:p w14:paraId="2E85ACCB">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60ABCF80">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投标供应商认为采购文件、采购过程和成交结果使自己的权益受到伤害的，可向采购人或采购代理机构以书面形式提出质疑。</w:t>
      </w:r>
    </w:p>
    <w:p w14:paraId="72959BD5">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提出质疑的应当是参与所质疑项目采购活动的投标供应商。</w:t>
      </w:r>
    </w:p>
    <w:p w14:paraId="2B99436F">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17FABF78">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1.1投标供应商认为采购文件、采购过程、成交结果使自己的权益受到损害的，可以在知道或者应知其权益受到损害之日起7个工作日内，以书面形式向采购人、采购代理机构提出质疑。</w:t>
      </w:r>
    </w:p>
    <w:p w14:paraId="02188934">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1.2投标供应商对采购过程提出质疑的，应在各采购程序环节结束之日起七个工作日内提出。</w:t>
      </w:r>
    </w:p>
    <w:p w14:paraId="5E54FB79">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1.3投标供应商对成交结果提出质疑的，应当在成交结果公告期限届满之日起七个工作日内提出。</w:t>
      </w:r>
    </w:p>
    <w:p w14:paraId="7AE7882D">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1.4投标供应商提出质疑应当提交质疑函和必要的证明材料，质疑函应当包括下列内容：</w:t>
      </w:r>
    </w:p>
    <w:p w14:paraId="5DF74F60">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1.4.1投标供应商的姓名或者名称、地址、邮编、联系人及联系电话；</w:t>
      </w:r>
    </w:p>
    <w:p w14:paraId="281A676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668A6493">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141394AF">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2A1D2FF6">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31DC33D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12CD2EF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6A665518">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1.4.8法定代表人授权委托书原件、法定代表人身份证复印件和其授权代表的身份证复印件（投标供应商为自然人的提供自然人身份证复印件）；</w:t>
      </w:r>
    </w:p>
    <w:p w14:paraId="3B8FEDD7">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1.5投标供应商为自然人的，质疑函应当由本人签字；投标供应商为法人或者其他组织的，质疑函应当由法定代表人、主要负责人，或者其授权代表签字或者盖章，并加盖公章。</w:t>
      </w:r>
    </w:p>
    <w:p w14:paraId="2E1C9F98">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71C74D44">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采购人、采购代理机构应当在收到投标供应商的书面质疑后七个工作日内作出答复，并以书面形式通知质疑投标供应商和其他有关投标供应商。</w:t>
      </w:r>
    </w:p>
    <w:p w14:paraId="4BFD588F">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5D5623C6">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3.1投标供应商应按照《政府采购质疑和投诉办法》（财政部令第94号）及相关法律法规要求，在法定质疑期内一次性提出针对同一采购程序环节的质疑。</w:t>
      </w:r>
    </w:p>
    <w:p w14:paraId="7125859B">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612AB536">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75F3343A">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bookmarkStart w:id="144" w:name="_Toc102227322"/>
      <w:bookmarkStart w:id="145" w:name="_Toc3031"/>
      <w:bookmarkStart w:id="146" w:name="_Toc342913396"/>
      <w:r>
        <w:rPr>
          <w:rFonts w:hint="eastAsia" w:ascii="宋体" w:hAnsi="宋体" w:eastAsia="宋体" w:cs="宋体"/>
          <w:color w:val="auto"/>
          <w:sz w:val="24"/>
          <w:highlight w:val="none"/>
        </w:rPr>
        <w:t>1.投标供应商对采购人、采购代理机构的答复不满意，或者采购人、采购代理机构未在规定时间内作出答复的，可以在答复期满后15个工作日内按照相关法律法规向采购人监督部门提起投诉。</w:t>
      </w:r>
    </w:p>
    <w:p w14:paraId="72C103E0">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2.投标供应商应按照《政府采购质疑和投诉办法》（财政部令第94号）及相关法律法规要求递交投诉书和必要的证明材料。投诉书范本可在财政部门户网站和中国政府采购网下载。</w:t>
      </w:r>
    </w:p>
    <w:p w14:paraId="0BF64FA0">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5B82413">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26DE7CF9">
      <w:pPr>
        <w:pStyle w:val="4"/>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auto"/>
          <w:sz w:val="24"/>
          <w:szCs w:val="24"/>
          <w:highlight w:val="none"/>
        </w:rPr>
      </w:pPr>
      <w:bookmarkStart w:id="147" w:name="_Toc9469"/>
      <w:r>
        <w:rPr>
          <w:rFonts w:hint="eastAsia" w:ascii="宋体" w:hAnsi="宋体" w:eastAsia="宋体" w:cs="宋体"/>
          <w:color w:val="auto"/>
          <w:sz w:val="24"/>
          <w:szCs w:val="24"/>
          <w:highlight w:val="none"/>
        </w:rPr>
        <w:t>八、签订</w:t>
      </w:r>
      <w:bookmarkEnd w:id="144"/>
      <w:r>
        <w:rPr>
          <w:rFonts w:hint="eastAsia" w:ascii="宋体" w:hAnsi="宋体" w:eastAsia="宋体" w:cs="宋体"/>
          <w:color w:val="auto"/>
          <w:sz w:val="24"/>
          <w:szCs w:val="24"/>
          <w:highlight w:val="none"/>
        </w:rPr>
        <w:t>合同</w:t>
      </w:r>
      <w:bookmarkEnd w:id="145"/>
      <w:bookmarkEnd w:id="146"/>
      <w:bookmarkEnd w:id="147"/>
    </w:p>
    <w:p w14:paraId="79E5FD3E">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（一）采购人应当自成交通知书发出之日起二十日内，按照网上竞采文件和成交供应商响应文件的约定，与成交供应商签订书面合同。所签订的合同不得对网上竞采文件和投标供应商的响应文件作实质性修改。</w:t>
      </w:r>
    </w:p>
    <w:p w14:paraId="2A6AA325">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（二）网上竞采文件、投标供应商的响应文件及澄清文件等，均为签订采购合同的依据。</w:t>
      </w:r>
    </w:p>
    <w:p w14:paraId="00F0703E">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41747636">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w:t>
      </w:r>
      <w:r>
        <w:rPr>
          <w:rFonts w:hint="eastAsia" w:ascii="宋体" w:hAnsi="宋体" w:cs="宋体"/>
          <w:color w:val="auto"/>
          <w:sz w:val="24"/>
          <w:szCs w:val="24"/>
          <w:highlight w:val="none"/>
          <w:lang w:val="en-US" w:eastAsia="zh-CN"/>
        </w:rPr>
        <w:t>或采购人</w:t>
      </w:r>
      <w:r>
        <w:rPr>
          <w:rFonts w:hint="eastAsia" w:ascii="宋体" w:hAnsi="宋体" w:eastAsia="宋体" w:cs="宋体"/>
          <w:color w:val="auto"/>
          <w:sz w:val="24"/>
          <w:szCs w:val="24"/>
          <w:highlight w:val="none"/>
        </w:rPr>
        <w:t>要求适用合同通用格式版本的，应按其要求另行签订其他合同。</w:t>
      </w:r>
    </w:p>
    <w:p w14:paraId="60AC2CB7">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rPr>
        <w:t>（五）采购人要求成交供应商提供履约保证金的，应当在网上竞采文件中予以约定。成交供应商履约完毕后，采购人应于五日内无息退还其履约保证金。</w:t>
      </w:r>
    </w:p>
    <w:p w14:paraId="5425BA9C">
      <w:pPr>
        <w:spacing w:line="360" w:lineRule="auto"/>
        <w:ind w:firstLine="360" w:firstLineChars="150"/>
        <w:rPr>
          <w:rFonts w:hint="eastAsia" w:ascii="宋体" w:hAnsi="宋体" w:eastAsia="宋体" w:cs="宋体"/>
          <w:color w:val="auto"/>
          <w:sz w:val="24"/>
          <w:szCs w:val="24"/>
          <w:highlight w:val="none"/>
        </w:rPr>
      </w:pPr>
    </w:p>
    <w:bookmarkEnd w:id="120"/>
    <w:bookmarkEnd w:id="121"/>
    <w:p w14:paraId="57A3AAF2">
      <w:pPr>
        <w:jc w:val="center"/>
        <w:rPr>
          <w:rFonts w:hint="eastAsia" w:ascii="宋体" w:hAnsi="宋体" w:eastAsia="宋体" w:cs="宋体"/>
          <w:color w:val="auto"/>
          <w:sz w:val="36"/>
          <w:szCs w:val="30"/>
          <w:highlight w:val="none"/>
        </w:rPr>
      </w:pPr>
      <w:bookmarkStart w:id="148" w:name="_Toc27139866"/>
      <w:bookmarkStart w:id="149" w:name="_Toc4239"/>
    </w:p>
    <w:p w14:paraId="593474E3">
      <w:pPr>
        <w:jc w:val="center"/>
        <w:rPr>
          <w:rFonts w:hint="eastAsia" w:ascii="宋体" w:hAnsi="宋体" w:eastAsia="宋体" w:cs="宋体"/>
          <w:color w:val="auto"/>
          <w:sz w:val="36"/>
          <w:szCs w:val="30"/>
          <w:highlight w:val="none"/>
        </w:rPr>
      </w:pPr>
    </w:p>
    <w:p w14:paraId="49FF96D4">
      <w:pPr>
        <w:jc w:val="center"/>
        <w:rPr>
          <w:rFonts w:hint="eastAsia" w:ascii="宋体" w:hAnsi="宋体" w:eastAsia="宋体" w:cs="宋体"/>
          <w:b/>
          <w:highlight w:val="none"/>
        </w:rPr>
      </w:pPr>
      <w:r>
        <w:rPr>
          <w:rFonts w:hint="eastAsia" w:ascii="宋体" w:hAnsi="宋体" w:eastAsia="宋体" w:cs="宋体"/>
          <w:color w:val="auto"/>
          <w:sz w:val="36"/>
          <w:szCs w:val="30"/>
          <w:highlight w:val="none"/>
        </w:rPr>
        <w:t>第六篇</w:t>
      </w:r>
      <w:bookmarkEnd w:id="148"/>
      <w:bookmarkEnd w:id="149"/>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b/>
          <w:sz w:val="36"/>
          <w:szCs w:val="22"/>
          <w:highlight w:val="none"/>
        </w:rPr>
        <w:t>合同主要条款和格式合同（样本）</w:t>
      </w:r>
    </w:p>
    <w:p w14:paraId="00D0EC9F">
      <w:pPr>
        <w:snapToGrid w:val="0"/>
        <w:spacing w:before="0" w:beforeAutospacing="0" w:after="0" w:afterAutospacing="0" w:line="560" w:lineRule="exact"/>
        <w:jc w:val="center"/>
        <w:textAlignment w:val="baseline"/>
        <w:rPr>
          <w:rStyle w:val="273"/>
          <w:rFonts w:ascii="华文仿宋" w:hAnsi="华文仿宋" w:eastAsia="华文仿宋"/>
          <w:b/>
          <w:i w:val="0"/>
          <w:caps w:val="0"/>
          <w:color w:val="000000" w:themeColor="text1"/>
          <w:spacing w:val="0"/>
          <w:w w:val="100"/>
          <w:kern w:val="2"/>
          <w:sz w:val="44"/>
          <w:lang w:val="en-US" w:eastAsia="zh-CN" w:bidi="ar-SA"/>
          <w14:textFill>
            <w14:solidFill>
              <w14:schemeClr w14:val="tx1"/>
            </w14:solidFill>
          </w14:textFill>
        </w:rPr>
      </w:pPr>
      <w:r>
        <w:rPr>
          <w:rStyle w:val="273"/>
          <w:rFonts w:ascii="华文仿宋" w:hAnsi="华文仿宋" w:eastAsia="华文仿宋"/>
          <w:b/>
          <w:i w:val="0"/>
          <w:caps w:val="0"/>
          <w:color w:val="000000" w:themeColor="text1"/>
          <w:spacing w:val="0"/>
          <w:w w:val="100"/>
          <w:kern w:val="2"/>
          <w:sz w:val="44"/>
          <w:lang w:val="en-US" w:eastAsia="zh-CN" w:bidi="ar-SA"/>
          <w14:textFill>
            <w14:solidFill>
              <w14:schemeClr w14:val="tx1"/>
            </w14:solidFill>
          </w14:textFill>
        </w:rPr>
        <w:t>重庆市政府采购合同</w:t>
      </w:r>
    </w:p>
    <w:p w14:paraId="69EF8F5D">
      <w:pPr>
        <w:spacing w:line="460" w:lineRule="exact"/>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秀山县2025年度受污染耕地监测点位取样合同</w:t>
      </w:r>
    </w:p>
    <w:p w14:paraId="45455247">
      <w:pPr>
        <w:spacing w:line="460" w:lineRule="exact"/>
        <w:jc w:val="center"/>
        <w:rPr>
          <w:rFonts w:ascii="Times New Roman" w:hAnsi="Times New Roman" w:eastAsia="方正仿宋_GBK" w:cs="Times New Roman"/>
          <w:spacing w:val="-6"/>
          <w:sz w:val="44"/>
          <w:szCs w:val="44"/>
        </w:rPr>
      </w:pPr>
    </w:p>
    <w:p w14:paraId="4C6C6EDC">
      <w:pPr>
        <w:spacing w:line="46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甲方：</w:t>
      </w:r>
      <w:r>
        <w:rPr>
          <w:rFonts w:hint="eastAsia" w:ascii="Times New Roman" w:hAnsi="Times New Roman" w:eastAsia="方正仿宋_GBK" w:cs="Times New Roman"/>
          <w:sz w:val="24"/>
          <w:szCs w:val="24"/>
          <w:u w:val="single"/>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rPr>
        <w:t xml:space="preserve">  </w:t>
      </w:r>
      <w:r>
        <w:rPr>
          <w:rFonts w:hint="eastAsia" w:ascii="Times New Roman" w:hAnsi="Times New Roman" w:eastAsia="方正仿宋_GBK" w:cs="Times New Roman"/>
          <w:sz w:val="24"/>
          <w:szCs w:val="24"/>
        </w:rPr>
        <w:t xml:space="preserve">       </w:t>
      </w:r>
    </w:p>
    <w:p w14:paraId="684C01CC">
      <w:pPr>
        <w:spacing w:line="46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乙方：</w:t>
      </w:r>
      <w:r>
        <w:rPr>
          <w:rFonts w:hint="eastAsia" w:ascii="Times New Roman" w:hAnsi="Times New Roman" w:eastAsia="方正仿宋_GBK" w:cs="Times New Roman"/>
          <w:sz w:val="24"/>
          <w:szCs w:val="24"/>
          <w:u w:val="single"/>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u w:val="single"/>
        </w:rPr>
        <w:t xml:space="preserve">   </w:t>
      </w:r>
    </w:p>
    <w:p w14:paraId="2F906C8B">
      <w:pPr>
        <w:ind w:firstLine="480" w:firstLineChars="200"/>
        <w:rPr>
          <w:rFonts w:ascii="Times New Roman" w:hAnsi="Times New Roman" w:cs="Times New Roman"/>
          <w:sz w:val="24"/>
          <w:szCs w:val="24"/>
        </w:rPr>
      </w:pPr>
    </w:p>
    <w:p w14:paraId="4E26603D">
      <w:pPr>
        <w:widowControl/>
        <w:ind w:firstLine="480" w:firstLineChars="20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根据</w:t>
      </w:r>
      <w:r>
        <w:rPr>
          <w:rFonts w:hint="eastAsia" w:ascii="Times New Roman" w:hAnsi="Times New Roman" w:eastAsia="方正仿宋_GBK" w:cs="Times New Roman"/>
          <w:sz w:val="24"/>
          <w:szCs w:val="24"/>
          <w:lang w:val="zh-CN" w:eastAsia="zh-CN"/>
        </w:rPr>
        <w:t>秀山县小额交易管理平台成交通知书</w:t>
      </w:r>
      <w:r>
        <w:rPr>
          <w:rFonts w:hint="eastAsia" w:ascii="Times New Roman" w:hAnsi="Times New Roman" w:eastAsia="方正仿宋_GBK" w:cs="Times New Roman"/>
          <w:sz w:val="24"/>
          <w:szCs w:val="24"/>
        </w:rPr>
        <w:t>结果</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秀山</w:t>
      </w:r>
      <w:r>
        <w:rPr>
          <w:rFonts w:hint="eastAsia" w:ascii="Times New Roman" w:hAnsi="Times New Roman" w:eastAsia="方正仿宋_GBK" w:cs="Times New Roman"/>
          <w:sz w:val="24"/>
          <w:szCs w:val="24"/>
          <w:lang w:val="zh-CN" w:eastAsia="zh-CN"/>
        </w:rPr>
        <w:t>县</w:t>
      </w:r>
      <w:r>
        <w:rPr>
          <w:rFonts w:hint="eastAsia" w:ascii="Times New Roman" w:hAnsi="Times New Roman" w:eastAsia="方正仿宋_GBK" w:cs="Times New Roman"/>
          <w:sz w:val="24"/>
          <w:szCs w:val="24"/>
          <w:lang w:val="en-US" w:eastAsia="zh-CN"/>
        </w:rPr>
        <w:t>秀山县2025年受污染耕地安全利用类核算点位取样项目</w:t>
      </w:r>
      <w:r>
        <w:rPr>
          <w:rFonts w:hint="eastAsia" w:ascii="Times New Roman" w:hAnsi="Times New Roman" w:eastAsia="方正仿宋_GBK" w:cs="Times New Roman"/>
          <w:sz w:val="24"/>
          <w:szCs w:val="24"/>
          <w:lang w:val="zh-CN" w:eastAsia="zh-CN"/>
        </w:rPr>
        <w:t>中标单位为</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zh-CN" w:eastAsia="zh-CN"/>
        </w:rPr>
        <w:t>，经</w:t>
      </w:r>
      <w:r>
        <w:rPr>
          <w:rFonts w:hint="eastAsia" w:ascii="Times New Roman" w:hAnsi="Times New Roman" w:eastAsia="方正仿宋_GBK" w:cs="Times New Roman"/>
          <w:sz w:val="24"/>
          <w:szCs w:val="24"/>
          <w:u w:val="single"/>
          <w:lang w:val="zh-CN" w:eastAsia="zh-CN"/>
        </w:rPr>
        <w:t>甲乙</w:t>
      </w:r>
      <w:r>
        <w:rPr>
          <w:rFonts w:hint="eastAsia" w:ascii="Times New Roman" w:hAnsi="Times New Roman" w:eastAsia="方正仿宋_GBK" w:cs="Times New Roman"/>
          <w:sz w:val="24"/>
          <w:szCs w:val="24"/>
          <w:lang w:val="zh-CN" w:eastAsia="zh-CN"/>
        </w:rPr>
        <w:t>双</w:t>
      </w:r>
      <w:r>
        <w:rPr>
          <w:rFonts w:hint="eastAsia" w:ascii="Times New Roman" w:hAnsi="Times New Roman" w:eastAsia="方正仿宋_GBK" w:cs="Times New Roman"/>
          <w:sz w:val="24"/>
          <w:szCs w:val="24"/>
        </w:rPr>
        <w:t>方友好协商，达成如下协议。</w:t>
      </w:r>
    </w:p>
    <w:p w14:paraId="3BAD7147">
      <w:pPr>
        <w:spacing w:line="600" w:lineRule="exact"/>
        <w:ind w:firstLine="480" w:firstLineChars="200"/>
        <w:rPr>
          <w:rFonts w:ascii="Times New Roman" w:hAnsi="Times New Roman" w:eastAsia="方正黑体_GBK" w:cs="Times New Roman"/>
          <w:sz w:val="24"/>
          <w:szCs w:val="24"/>
        </w:rPr>
      </w:pPr>
      <w:r>
        <w:rPr>
          <w:rFonts w:ascii="Times New Roman" w:hAnsi="Times New Roman" w:eastAsia="方正黑体_GBK" w:cs="Times New Roman"/>
          <w:sz w:val="24"/>
          <w:szCs w:val="24"/>
        </w:rPr>
        <w:t>一、协议事项</w:t>
      </w:r>
    </w:p>
    <w:p w14:paraId="591325B7">
      <w:pPr>
        <w:spacing w:line="6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甲方：</w:t>
      </w:r>
    </w:p>
    <w:p w14:paraId="5883B3B2">
      <w:pPr>
        <w:spacing w:line="460" w:lineRule="exact"/>
        <w:ind w:firstLine="480" w:firstLineChars="200"/>
        <w:rPr>
          <w:rFonts w:ascii="Times New Roman" w:hAnsi="Times New Roman" w:eastAsia="方正仿宋_GBK" w:cs="Times New Roman"/>
          <w:spacing w:val="-11"/>
          <w:sz w:val="24"/>
          <w:szCs w:val="24"/>
        </w:rPr>
      </w:pPr>
      <w:r>
        <w:rPr>
          <w:rFonts w:ascii="Times New Roman" w:hAnsi="Times New Roman" w:eastAsia="方正仿宋_GBK" w:cs="Times New Roman"/>
          <w:sz w:val="24"/>
          <w:szCs w:val="24"/>
        </w:rPr>
        <w:t>乙方：</w:t>
      </w:r>
      <w:r>
        <w:rPr>
          <w:rFonts w:hint="eastAsia" w:ascii="Times New Roman" w:hAnsi="Times New Roman" w:eastAsia="方正仿宋_GBK" w:cs="Times New Roman"/>
          <w:sz w:val="24"/>
          <w:szCs w:val="24"/>
        </w:rPr>
        <w:t>服务</w:t>
      </w:r>
      <w:r>
        <w:rPr>
          <w:rFonts w:hint="eastAsia" w:ascii="Times New Roman" w:hAnsi="Times New Roman" w:eastAsia="方正仿宋_GBK" w:cs="Times New Roman"/>
          <w:spacing w:val="-11"/>
          <w:sz w:val="24"/>
          <w:szCs w:val="24"/>
        </w:rPr>
        <w:t>内容</w:t>
      </w:r>
    </w:p>
    <w:tbl>
      <w:tblPr>
        <w:tblStyle w:val="61"/>
        <w:tblW w:w="5303" w:type="pct"/>
        <w:tblInd w:w="-411" w:type="dxa"/>
        <w:tblLayout w:type="fixed"/>
        <w:tblCellMar>
          <w:top w:w="15" w:type="dxa"/>
          <w:left w:w="15" w:type="dxa"/>
          <w:bottom w:w="0" w:type="dxa"/>
          <w:right w:w="15" w:type="dxa"/>
        </w:tblCellMar>
      </w:tblPr>
      <w:tblGrid>
        <w:gridCol w:w="698"/>
        <w:gridCol w:w="1991"/>
        <w:gridCol w:w="5419"/>
        <w:gridCol w:w="1267"/>
        <w:gridCol w:w="641"/>
      </w:tblGrid>
      <w:tr w14:paraId="356C0DB2">
        <w:tblPrEx>
          <w:tblCellMar>
            <w:top w:w="15" w:type="dxa"/>
            <w:left w:w="15" w:type="dxa"/>
            <w:bottom w:w="0" w:type="dxa"/>
            <w:right w:w="15" w:type="dxa"/>
          </w:tblCellMar>
        </w:tblPrEx>
        <w:trPr>
          <w:trHeight w:val="826" w:hRule="atLeast"/>
        </w:trPr>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DE951">
            <w:pPr>
              <w:spacing w:line="400" w:lineRule="exact"/>
              <w:rPr>
                <w:rFonts w:ascii="仿宋_GB2312" w:hAnsi="仿宋_GB2312" w:eastAsia="仿宋_GB2312"/>
                <w:b/>
                <w:bCs/>
                <w:color w:val="000000"/>
                <w:kern w:val="0"/>
                <w:sz w:val="24"/>
                <w:szCs w:val="24"/>
                <w:lang w:bidi="ar"/>
              </w:rPr>
            </w:pPr>
            <w:r>
              <w:rPr>
                <w:rFonts w:hint="eastAsia" w:ascii="仿宋_GB2312" w:hAnsi="仿宋_GB2312" w:eastAsia="仿宋_GB2312"/>
                <w:b/>
                <w:bCs/>
                <w:color w:val="000000"/>
                <w:kern w:val="0"/>
                <w:sz w:val="24"/>
                <w:szCs w:val="24"/>
                <w:lang w:bidi="ar"/>
              </w:rPr>
              <w:t>序号</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6DD1E">
            <w:pPr>
              <w:spacing w:line="400" w:lineRule="exact"/>
              <w:ind w:firstLine="241" w:firstLineChars="100"/>
              <w:rPr>
                <w:rFonts w:ascii="仿宋_GB2312" w:hAnsi="仿宋_GB2312" w:eastAsia="仿宋_GB2312"/>
                <w:b/>
                <w:bCs/>
                <w:color w:val="000000"/>
                <w:sz w:val="24"/>
                <w:szCs w:val="24"/>
              </w:rPr>
            </w:pPr>
            <w:r>
              <w:rPr>
                <w:rFonts w:hint="eastAsia" w:ascii="仿宋_GB2312" w:hAnsi="仿宋_GB2312" w:eastAsia="仿宋_GB2312"/>
                <w:b/>
                <w:bCs/>
                <w:color w:val="000000"/>
                <w:sz w:val="24"/>
                <w:szCs w:val="24"/>
              </w:rPr>
              <w:t>服务项目</w:t>
            </w:r>
          </w:p>
        </w:tc>
        <w:tc>
          <w:tcPr>
            <w:tcW w:w="5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4695B">
            <w:pPr>
              <w:spacing w:line="400" w:lineRule="exact"/>
              <w:ind w:firstLine="1267" w:firstLineChars="526"/>
              <w:rPr>
                <w:rFonts w:ascii="仿宋_GB2312" w:hAnsi="仿宋_GB2312" w:eastAsia="仿宋_GB2312"/>
                <w:b/>
                <w:bCs/>
                <w:color w:val="000000"/>
                <w:kern w:val="0"/>
                <w:sz w:val="24"/>
                <w:szCs w:val="24"/>
                <w:lang w:bidi="ar"/>
              </w:rPr>
            </w:pPr>
            <w:r>
              <w:rPr>
                <w:rFonts w:hint="eastAsia" w:ascii="仿宋_GB2312" w:hAnsi="仿宋_GB2312" w:eastAsia="仿宋_GB2312"/>
                <w:b/>
                <w:bCs/>
                <w:color w:val="000000"/>
                <w:kern w:val="0"/>
                <w:sz w:val="24"/>
                <w:szCs w:val="24"/>
                <w:lang w:bidi="ar"/>
              </w:rPr>
              <w:t>具体实施内容</w:t>
            </w:r>
          </w:p>
        </w:tc>
        <w:tc>
          <w:tcPr>
            <w:tcW w:w="1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B56A8">
            <w:pPr>
              <w:spacing w:line="400" w:lineRule="exact"/>
              <w:jc w:val="center"/>
              <w:rPr>
                <w:rFonts w:ascii="仿宋_GB2312" w:hAnsi="仿宋_GB2312" w:eastAsia="仿宋_GB2312"/>
                <w:b/>
                <w:bCs/>
                <w:color w:val="000000"/>
                <w:kern w:val="0"/>
                <w:sz w:val="24"/>
                <w:szCs w:val="24"/>
                <w:lang w:bidi="ar"/>
              </w:rPr>
            </w:pPr>
            <w:r>
              <w:rPr>
                <w:rFonts w:hint="eastAsia" w:ascii="仿宋_GB2312" w:hAnsi="仿宋_GB2312" w:eastAsia="仿宋_GB2312"/>
                <w:b/>
                <w:bCs/>
                <w:color w:val="000000"/>
                <w:kern w:val="0"/>
                <w:sz w:val="24"/>
                <w:szCs w:val="24"/>
                <w:lang w:bidi="ar"/>
              </w:rPr>
              <w:t>金额</w:t>
            </w:r>
          </w:p>
          <w:p w14:paraId="031C2547">
            <w:pPr>
              <w:spacing w:line="400" w:lineRule="exact"/>
              <w:jc w:val="center"/>
              <w:rPr>
                <w:rFonts w:ascii="仿宋_GB2312" w:hAnsi="仿宋_GB2312" w:eastAsia="仿宋_GB2312"/>
                <w:b/>
                <w:bCs/>
                <w:color w:val="000000"/>
                <w:kern w:val="0"/>
                <w:sz w:val="24"/>
                <w:szCs w:val="24"/>
                <w:lang w:bidi="ar"/>
              </w:rPr>
            </w:pPr>
            <w:r>
              <w:rPr>
                <w:rFonts w:hint="eastAsia" w:ascii="仿宋_GB2312" w:hAnsi="仿宋_GB2312" w:eastAsia="仿宋_GB2312"/>
                <w:b/>
                <w:bCs/>
                <w:color w:val="000000"/>
                <w:kern w:val="0"/>
                <w:sz w:val="24"/>
                <w:szCs w:val="24"/>
                <w:lang w:bidi="ar"/>
              </w:rPr>
              <w:t>（元）</w:t>
            </w:r>
          </w:p>
        </w:tc>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BA501">
            <w:pPr>
              <w:spacing w:line="400" w:lineRule="exact"/>
              <w:jc w:val="center"/>
              <w:rPr>
                <w:rFonts w:ascii="仿宋_GB2312" w:hAnsi="仿宋_GB2312" w:eastAsia="仿宋_GB2312"/>
                <w:b/>
                <w:bCs/>
                <w:color w:val="000000"/>
                <w:kern w:val="0"/>
                <w:sz w:val="24"/>
                <w:szCs w:val="24"/>
                <w:lang w:bidi="ar"/>
              </w:rPr>
            </w:pPr>
            <w:r>
              <w:rPr>
                <w:rFonts w:hint="eastAsia" w:ascii="仿宋_GB2312" w:hAnsi="仿宋_GB2312" w:eastAsia="仿宋_GB2312"/>
                <w:b/>
                <w:bCs/>
                <w:color w:val="000000"/>
                <w:kern w:val="0"/>
                <w:sz w:val="24"/>
                <w:szCs w:val="24"/>
                <w:lang w:bidi="ar"/>
              </w:rPr>
              <w:t>备注</w:t>
            </w:r>
          </w:p>
        </w:tc>
      </w:tr>
      <w:tr w14:paraId="1CAA316A">
        <w:tblPrEx>
          <w:tblCellMar>
            <w:top w:w="15" w:type="dxa"/>
            <w:left w:w="15" w:type="dxa"/>
            <w:bottom w:w="0" w:type="dxa"/>
            <w:right w:w="15" w:type="dxa"/>
          </w:tblCellMar>
        </w:tblPrEx>
        <w:trPr>
          <w:trHeight w:val="766" w:hRule="atLeast"/>
        </w:trPr>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2C52F">
            <w:pPr>
              <w:spacing w:line="360" w:lineRule="exact"/>
              <w:ind w:firstLine="240" w:firstLineChars="100"/>
              <w:rPr>
                <w:rFonts w:ascii="仿宋_GB2312" w:hAnsi="仿宋_GB2312" w:eastAsia="仿宋_GB2312"/>
                <w:color w:val="000000"/>
                <w:sz w:val="24"/>
                <w:szCs w:val="24"/>
              </w:rPr>
            </w:pPr>
          </w:p>
        </w:tc>
        <w:tc>
          <w:tcPr>
            <w:tcW w:w="1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CFADF">
            <w:pPr>
              <w:spacing w:line="420" w:lineRule="exact"/>
              <w:rPr>
                <w:rFonts w:hint="default" w:ascii="Times New Roman" w:hAnsi="Times New Roman" w:eastAsia="方正仿宋_GBK" w:cs="Times New Roman"/>
                <w:sz w:val="24"/>
                <w:szCs w:val="24"/>
                <w:lang w:val="en-US" w:eastAsia="zh-CN"/>
              </w:rPr>
            </w:pPr>
          </w:p>
        </w:tc>
        <w:tc>
          <w:tcPr>
            <w:tcW w:w="5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D55B5">
            <w:pPr>
              <w:spacing w:line="420" w:lineRule="exact"/>
              <w:ind w:firstLine="480" w:firstLineChars="200"/>
              <w:rPr>
                <w:rFonts w:hint="default" w:ascii="Times New Roman" w:hAnsi="Times New Roman" w:eastAsia="方正仿宋_GBK" w:cs="Times New Roman"/>
                <w:sz w:val="24"/>
                <w:szCs w:val="24"/>
                <w:lang w:val="en-US" w:eastAsia="zh-CN"/>
              </w:rPr>
            </w:pPr>
          </w:p>
        </w:tc>
        <w:tc>
          <w:tcPr>
            <w:tcW w:w="1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C3420">
            <w:pPr>
              <w:spacing w:line="360" w:lineRule="exact"/>
              <w:jc w:val="center"/>
              <w:rPr>
                <w:rFonts w:hint="default" w:ascii="Times New Roman" w:hAnsi="Times New Roman" w:eastAsia="方正仿宋_GBK" w:cs="Times New Roman"/>
                <w:spacing w:val="0"/>
                <w:sz w:val="24"/>
                <w:szCs w:val="24"/>
                <w:lang w:val="en-US" w:eastAsia="zh-CN"/>
              </w:rPr>
            </w:pPr>
          </w:p>
        </w:tc>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9D822">
            <w:pPr>
              <w:spacing w:line="360" w:lineRule="exact"/>
              <w:ind w:firstLine="480"/>
              <w:jc w:val="center"/>
              <w:rPr>
                <w:rFonts w:ascii="仿宋_GB2312" w:hAnsi="仿宋_GB2312" w:eastAsia="仿宋_GB2312"/>
                <w:color w:val="000000"/>
                <w:sz w:val="24"/>
                <w:szCs w:val="24"/>
              </w:rPr>
            </w:pPr>
          </w:p>
        </w:tc>
      </w:tr>
      <w:tr w14:paraId="48565D0D">
        <w:tblPrEx>
          <w:tblCellMar>
            <w:top w:w="15" w:type="dxa"/>
            <w:left w:w="15" w:type="dxa"/>
            <w:bottom w:w="0" w:type="dxa"/>
            <w:right w:w="15" w:type="dxa"/>
          </w:tblCellMar>
        </w:tblPrEx>
        <w:trPr>
          <w:trHeight w:val="818" w:hRule="atLeast"/>
        </w:trPr>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F4713">
            <w:pPr>
              <w:spacing w:line="360" w:lineRule="exact"/>
              <w:ind w:firstLine="240" w:firstLineChars="100"/>
              <w:rPr>
                <w:rFonts w:ascii="仿宋_GB2312" w:hAnsi="仿宋_GB2312" w:eastAsia="仿宋_GB2312"/>
                <w:color w:val="000000"/>
                <w:sz w:val="24"/>
                <w:szCs w:val="24"/>
              </w:rPr>
            </w:pPr>
          </w:p>
        </w:tc>
        <w:tc>
          <w:tcPr>
            <w:tcW w:w="1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A04B1">
            <w:pPr>
              <w:spacing w:line="420" w:lineRule="exact"/>
              <w:rPr>
                <w:rFonts w:hint="eastAsia" w:ascii="仿宋_GB2312" w:hAnsi="仿宋_GB2312" w:eastAsia="仿宋_GB2312"/>
                <w:color w:val="000000"/>
                <w:sz w:val="24"/>
                <w:szCs w:val="24"/>
                <w:lang w:eastAsia="zh-CN"/>
              </w:rPr>
            </w:pPr>
          </w:p>
        </w:tc>
        <w:tc>
          <w:tcPr>
            <w:tcW w:w="5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163DC">
            <w:pPr>
              <w:spacing w:line="420" w:lineRule="exact"/>
              <w:ind w:firstLine="480" w:firstLineChars="200"/>
              <w:rPr>
                <w:rFonts w:ascii="仿宋_GB2312" w:hAnsi="仿宋_GB2312" w:eastAsia="仿宋_GB2312"/>
                <w:color w:val="000000"/>
                <w:kern w:val="0"/>
                <w:sz w:val="24"/>
                <w:szCs w:val="24"/>
                <w:lang w:bidi="ar"/>
              </w:rPr>
            </w:pPr>
          </w:p>
        </w:tc>
        <w:tc>
          <w:tcPr>
            <w:tcW w:w="1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6D637">
            <w:pPr>
              <w:spacing w:line="360" w:lineRule="exact"/>
              <w:jc w:val="center"/>
              <w:rPr>
                <w:rFonts w:hint="default" w:ascii="Times New Roman" w:hAnsi="Times New Roman" w:eastAsia="方正仿宋_GBK" w:cs="Times New Roman"/>
                <w:spacing w:val="0"/>
                <w:sz w:val="24"/>
                <w:szCs w:val="24"/>
                <w:lang w:val="en-US" w:eastAsia="zh-CN"/>
              </w:rPr>
            </w:pPr>
          </w:p>
        </w:tc>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DC06D">
            <w:pPr>
              <w:spacing w:line="360" w:lineRule="exact"/>
              <w:ind w:firstLine="480"/>
              <w:jc w:val="center"/>
              <w:rPr>
                <w:rFonts w:ascii="仿宋_GB2312" w:hAnsi="仿宋_GB2312" w:eastAsia="仿宋_GB2312"/>
                <w:color w:val="000000"/>
                <w:sz w:val="24"/>
                <w:szCs w:val="24"/>
              </w:rPr>
            </w:pPr>
          </w:p>
        </w:tc>
      </w:tr>
      <w:tr w14:paraId="7D51A8FE">
        <w:tblPrEx>
          <w:tblCellMar>
            <w:top w:w="15" w:type="dxa"/>
            <w:left w:w="15" w:type="dxa"/>
            <w:bottom w:w="0" w:type="dxa"/>
            <w:right w:w="15" w:type="dxa"/>
          </w:tblCellMar>
        </w:tblPrEx>
        <w:trPr>
          <w:trHeight w:val="883" w:hRule="atLeast"/>
        </w:trPr>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14E11">
            <w:pPr>
              <w:spacing w:line="360" w:lineRule="exact"/>
              <w:ind w:firstLine="240" w:firstLineChars="100"/>
              <w:rPr>
                <w:rFonts w:ascii="仿宋_GB2312" w:hAnsi="仿宋_GB2312" w:eastAsia="仿宋_GB2312"/>
                <w:color w:val="000000"/>
                <w:sz w:val="24"/>
                <w:szCs w:val="24"/>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57171">
            <w:pPr>
              <w:spacing w:line="420" w:lineRule="exact"/>
              <w:rPr>
                <w:rFonts w:ascii="仿宋_GB2312" w:hAnsi="仿宋_GB2312" w:eastAsia="仿宋_GB2312"/>
                <w:color w:val="000000"/>
                <w:kern w:val="0"/>
                <w:sz w:val="24"/>
                <w:szCs w:val="24"/>
                <w:lang w:bidi="ar"/>
              </w:rPr>
            </w:pPr>
          </w:p>
        </w:tc>
        <w:tc>
          <w:tcPr>
            <w:tcW w:w="5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F05A6">
            <w:pPr>
              <w:spacing w:line="420" w:lineRule="exact"/>
              <w:ind w:firstLine="480" w:firstLineChars="200"/>
              <w:rPr>
                <w:rFonts w:hint="eastAsia" w:ascii="仿宋_GB2312" w:hAnsi="仿宋_GB2312" w:eastAsia="仿宋_GB2312"/>
                <w:color w:val="000000"/>
                <w:kern w:val="0"/>
                <w:sz w:val="24"/>
                <w:szCs w:val="24"/>
                <w:lang w:eastAsia="zh-CN" w:bidi="ar"/>
              </w:rPr>
            </w:pPr>
          </w:p>
        </w:tc>
        <w:tc>
          <w:tcPr>
            <w:tcW w:w="1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06362">
            <w:pPr>
              <w:spacing w:line="360" w:lineRule="exact"/>
              <w:jc w:val="center"/>
              <w:rPr>
                <w:rFonts w:hint="default" w:ascii="Times New Roman" w:hAnsi="Times New Roman" w:eastAsia="仿宋_GB2312" w:cs="Times New Roman"/>
                <w:color w:val="000000"/>
                <w:sz w:val="24"/>
                <w:szCs w:val="24"/>
                <w:lang w:val="en-US" w:eastAsia="zh-CN"/>
              </w:rPr>
            </w:pPr>
          </w:p>
        </w:tc>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E1EDF">
            <w:pPr>
              <w:spacing w:line="360" w:lineRule="exact"/>
              <w:ind w:firstLine="480"/>
              <w:jc w:val="center"/>
              <w:rPr>
                <w:rFonts w:ascii="仿宋_GB2312" w:hAnsi="仿宋_GB2312" w:eastAsia="仿宋_GB2312"/>
                <w:color w:val="000000"/>
                <w:sz w:val="24"/>
                <w:szCs w:val="24"/>
              </w:rPr>
            </w:pPr>
          </w:p>
        </w:tc>
      </w:tr>
      <w:tr w14:paraId="5F24DC0A">
        <w:tblPrEx>
          <w:tblCellMar>
            <w:top w:w="15" w:type="dxa"/>
            <w:left w:w="15" w:type="dxa"/>
            <w:bottom w:w="0" w:type="dxa"/>
            <w:right w:w="15" w:type="dxa"/>
          </w:tblCellMar>
        </w:tblPrEx>
        <w:trPr>
          <w:trHeight w:val="629" w:hRule="atLeast"/>
        </w:trPr>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FF63">
            <w:pPr>
              <w:spacing w:line="360" w:lineRule="exact"/>
              <w:rPr>
                <w:rFonts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合计</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D7E73">
            <w:pPr>
              <w:spacing w:line="360" w:lineRule="exact"/>
              <w:ind w:firstLine="480"/>
              <w:jc w:val="center"/>
              <w:rPr>
                <w:rFonts w:ascii="仿宋_GB2312" w:hAnsi="仿宋_GB2312" w:eastAsia="仿宋_GB2312"/>
                <w:color w:val="000000"/>
                <w:sz w:val="24"/>
                <w:szCs w:val="24"/>
              </w:rPr>
            </w:pPr>
          </w:p>
        </w:tc>
        <w:tc>
          <w:tcPr>
            <w:tcW w:w="5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DFB01">
            <w:pPr>
              <w:spacing w:line="360" w:lineRule="exact"/>
              <w:ind w:firstLine="480"/>
              <w:jc w:val="center"/>
              <w:rPr>
                <w:rFonts w:ascii="仿宋_GB2312" w:hAnsi="仿宋_GB2312" w:eastAsia="仿宋_GB2312"/>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9F4E1">
            <w:pPr>
              <w:spacing w:line="360" w:lineRule="exact"/>
              <w:jc w:val="center"/>
              <w:rPr>
                <w:rFonts w:hint="default" w:ascii="Times New Roman" w:hAnsi="Times New Roman" w:eastAsia="仿宋_GB2312" w:cs="Times New Roman"/>
                <w:color w:val="000000"/>
                <w:sz w:val="24"/>
                <w:szCs w:val="24"/>
                <w:lang w:val="en-US" w:eastAsia="zh-CN"/>
              </w:rPr>
            </w:pPr>
          </w:p>
        </w:tc>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CF6C1">
            <w:pPr>
              <w:spacing w:line="360" w:lineRule="exact"/>
              <w:ind w:firstLine="480"/>
              <w:jc w:val="center"/>
              <w:rPr>
                <w:rFonts w:ascii="仿宋_GB2312" w:hAnsi="仿宋_GB2312" w:eastAsia="仿宋_GB2312"/>
                <w:color w:val="000000"/>
                <w:sz w:val="24"/>
                <w:szCs w:val="24"/>
              </w:rPr>
            </w:pPr>
          </w:p>
        </w:tc>
      </w:tr>
    </w:tbl>
    <w:p w14:paraId="47E9235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rPr>
        <w:t>二、协议服务报酬：</w:t>
      </w:r>
    </w:p>
    <w:p w14:paraId="0CE788A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甲方支付乙方共计：</w:t>
      </w:r>
    </w:p>
    <w:p w14:paraId="06A089B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支付时间：</w:t>
      </w:r>
    </w:p>
    <w:p w14:paraId="67DA33B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三、支付方式：</w:t>
      </w:r>
    </w:p>
    <w:p w14:paraId="0150EB8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四</w:t>
      </w:r>
      <w:r>
        <w:rPr>
          <w:rFonts w:hint="eastAsia" w:ascii="方正黑体_GBK" w:hAnsi="方正黑体_GBK" w:eastAsia="方正黑体_GBK" w:cs="方正黑体_GBK"/>
          <w:sz w:val="24"/>
          <w:szCs w:val="24"/>
        </w:rPr>
        <w:t>、服务完工时间：</w:t>
      </w:r>
    </w:p>
    <w:p w14:paraId="3A4625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五</w:t>
      </w:r>
      <w:r>
        <w:rPr>
          <w:rFonts w:hint="eastAsia" w:ascii="方正黑体_GBK" w:hAnsi="方正黑体_GBK" w:eastAsia="方正黑体_GBK" w:cs="方正黑体_GBK"/>
          <w:sz w:val="24"/>
          <w:szCs w:val="24"/>
        </w:rPr>
        <w:t>、其他事项</w:t>
      </w:r>
    </w:p>
    <w:p w14:paraId="6247569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outlineLvl w:val="9"/>
        <w:rPr>
          <w:rFonts w:hint="eastAsia" w:ascii="Times New Roman" w:hAnsi="Times New Roman" w:eastAsia="方正仿宋_GBK" w:cs="Times New Roman"/>
          <w:sz w:val="24"/>
          <w:szCs w:val="24"/>
          <w:lang w:val="en-US" w:eastAsia="zh-CN"/>
        </w:rPr>
      </w:pPr>
    </w:p>
    <w:p w14:paraId="6C0AB5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甲方</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 xml:space="preserve">           </w:t>
      </w:r>
    </w:p>
    <w:p w14:paraId="373539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rPr>
        <w:t>地址：</w:t>
      </w:r>
    </w:p>
    <w:p w14:paraId="41C02A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outlineLvl w:val="9"/>
        <w:rPr>
          <w:rFonts w:hint="eastAsia" w:ascii="Times New Roman" w:hAnsi="Times New Roman" w:eastAsia="方正仿宋_GBK" w:cs="Times New Roman"/>
          <w:sz w:val="24"/>
          <w:szCs w:val="24"/>
          <w:lang w:val="en-US"/>
        </w:rPr>
      </w:pPr>
      <w:r>
        <w:rPr>
          <w:rFonts w:hint="eastAsia" w:ascii="Times New Roman" w:hAnsi="Times New Roman" w:eastAsia="方正仿宋_GBK" w:cs="Times New Roman"/>
          <w:sz w:val="24"/>
          <w:szCs w:val="24"/>
        </w:rPr>
        <w:t>电</w:t>
      </w:r>
      <w:r>
        <w:rPr>
          <w:rFonts w:hint="eastAsia" w:ascii="Times New Roman" w:hAnsi="Times New Roman" w:eastAsia="方正仿宋_GBK" w:cs="Times New Roman"/>
          <w:sz w:val="24"/>
          <w:szCs w:val="24"/>
          <w:lang w:val="en-US" w:eastAsia="zh-CN"/>
        </w:rPr>
        <w:t>话：</w:t>
      </w:r>
    </w:p>
    <w:p w14:paraId="4FBC1E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outlineLvl w:val="9"/>
        <w:rPr>
          <w:rFonts w:hint="eastAsia"/>
        </w:rPr>
      </w:pPr>
      <w:r>
        <w:rPr>
          <w:rFonts w:hint="eastAsia" w:ascii="Times New Roman" w:hAnsi="Times New Roman" w:eastAsia="方正仿宋_GBK" w:cs="Times New Roman"/>
          <w:sz w:val="24"/>
          <w:szCs w:val="24"/>
          <w:lang w:eastAsia="zh-CN"/>
        </w:rPr>
        <w:t>授权</w:t>
      </w:r>
      <w:r>
        <w:rPr>
          <w:rFonts w:hint="eastAsia" w:ascii="Times New Roman" w:hAnsi="Times New Roman" w:eastAsia="方正仿宋_GBK" w:cs="Times New Roman"/>
          <w:sz w:val="24"/>
          <w:szCs w:val="24"/>
        </w:rPr>
        <w:t xml:space="preserve">代表： </w:t>
      </w:r>
    </w:p>
    <w:p w14:paraId="528FF4F1">
      <w:pPr>
        <w:rPr>
          <w:rFonts w:hint="eastAsia"/>
          <w:sz w:val="24"/>
          <w:szCs w:val="24"/>
        </w:rPr>
      </w:pPr>
    </w:p>
    <w:p w14:paraId="436CD2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乙方：</w:t>
      </w:r>
    </w:p>
    <w:p w14:paraId="43DB98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rPr>
        <w:t>地址</w:t>
      </w:r>
      <w:r>
        <w:rPr>
          <w:rFonts w:hint="eastAsia" w:ascii="Times New Roman" w:hAnsi="Times New Roman" w:eastAsia="方正仿宋_GBK" w:cs="Times New Roman"/>
          <w:sz w:val="24"/>
          <w:szCs w:val="24"/>
          <w:lang w:val="en-US" w:eastAsia="zh-CN"/>
        </w:rPr>
        <w:t>：</w:t>
      </w:r>
    </w:p>
    <w:p w14:paraId="16C0122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电话：</w:t>
      </w:r>
    </w:p>
    <w:p w14:paraId="7DA1FD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开户银行：</w:t>
      </w:r>
    </w:p>
    <w:p w14:paraId="19D4F7D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账号：</w:t>
      </w:r>
    </w:p>
    <w:p w14:paraId="18752B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outlineLvl w:val="9"/>
        <w:rPr>
          <w:rFonts w:ascii="Times New Roman" w:hAnsi="Times New Roman" w:eastAsia="方正仿宋_GBK" w:cs="Times New Roman"/>
          <w:color w:val="000000"/>
          <w:spacing w:val="-11"/>
          <w:sz w:val="24"/>
          <w:szCs w:val="24"/>
        </w:rPr>
      </w:pPr>
      <w:r>
        <w:rPr>
          <w:rFonts w:hint="eastAsia" w:ascii="Times New Roman" w:hAnsi="Times New Roman" w:eastAsia="方正仿宋_GBK" w:cs="Times New Roman"/>
          <w:sz w:val="24"/>
          <w:szCs w:val="24"/>
          <w:lang w:eastAsia="zh-CN"/>
        </w:rPr>
        <w:t>授权</w:t>
      </w:r>
      <w:r>
        <w:rPr>
          <w:rFonts w:hint="eastAsia" w:ascii="Times New Roman" w:hAnsi="Times New Roman" w:eastAsia="方正仿宋_GBK" w:cs="Times New Roman"/>
          <w:sz w:val="24"/>
          <w:szCs w:val="24"/>
        </w:rPr>
        <w:t>代表</w:t>
      </w:r>
      <w:r>
        <w:rPr>
          <w:rFonts w:hint="eastAsia" w:ascii="Times New Roman" w:hAnsi="Times New Roman" w:eastAsia="方正仿宋_GBK" w:cs="Times New Roman"/>
          <w:sz w:val="24"/>
          <w:szCs w:val="24"/>
          <w:lang w:eastAsia="zh-CN"/>
        </w:rPr>
        <w:t>：</w:t>
      </w:r>
    </w:p>
    <w:p w14:paraId="21F5FCFE">
      <w:pPr>
        <w:spacing w:line="520" w:lineRule="exact"/>
        <w:ind w:firstLine="436" w:firstLineChars="200"/>
        <w:jc w:val="right"/>
        <w:rPr>
          <w:rFonts w:ascii="Times New Roman" w:hAnsi="Times New Roman" w:eastAsia="方正仿宋_GBK" w:cs="Times New Roman"/>
          <w:color w:val="000000"/>
          <w:spacing w:val="-11"/>
          <w:sz w:val="24"/>
          <w:szCs w:val="24"/>
        </w:rPr>
      </w:pPr>
    </w:p>
    <w:p w14:paraId="0D636BB4">
      <w:pPr>
        <w:spacing w:line="520" w:lineRule="exact"/>
        <w:ind w:firstLine="436" w:firstLineChars="200"/>
        <w:jc w:val="right"/>
        <w:rPr>
          <w:rFonts w:hint="eastAsia" w:ascii="Times New Roman" w:hAnsi="Times New Roman" w:eastAsia="方正仿宋_GBK" w:cs="Times New Roman"/>
          <w:color w:val="000000"/>
          <w:spacing w:val="-11"/>
          <w:sz w:val="24"/>
          <w:szCs w:val="24"/>
        </w:rPr>
      </w:pPr>
      <w:r>
        <w:rPr>
          <w:rFonts w:hint="eastAsia" w:ascii="Times New Roman" w:hAnsi="Times New Roman" w:eastAsia="方正仿宋_GBK" w:cs="Times New Roman"/>
          <w:color w:val="000000"/>
          <w:spacing w:val="-11"/>
          <w:sz w:val="24"/>
          <w:szCs w:val="24"/>
        </w:rPr>
        <w:t>签约时间：202</w:t>
      </w:r>
      <w:r>
        <w:rPr>
          <w:rFonts w:hint="eastAsia" w:ascii="Times New Roman" w:hAnsi="Times New Roman" w:eastAsia="方正仿宋_GBK" w:cs="Times New Roman"/>
          <w:color w:val="000000"/>
          <w:spacing w:val="-11"/>
          <w:sz w:val="24"/>
          <w:szCs w:val="24"/>
          <w:lang w:val="en-US" w:eastAsia="zh-CN"/>
        </w:rPr>
        <w:t>5</w:t>
      </w:r>
      <w:r>
        <w:rPr>
          <w:rFonts w:hint="eastAsia" w:ascii="Times New Roman" w:hAnsi="Times New Roman" w:eastAsia="方正仿宋_GBK" w:cs="Times New Roman"/>
          <w:color w:val="000000"/>
          <w:spacing w:val="-11"/>
          <w:sz w:val="24"/>
          <w:szCs w:val="24"/>
        </w:rPr>
        <w:t>年</w:t>
      </w:r>
      <w:r>
        <w:rPr>
          <w:rFonts w:hint="eastAsia" w:ascii="Times New Roman" w:hAnsi="Times New Roman" w:eastAsia="方正仿宋_GBK" w:cs="Times New Roman"/>
          <w:color w:val="000000"/>
          <w:spacing w:val="-11"/>
          <w:sz w:val="24"/>
          <w:szCs w:val="24"/>
          <w:lang w:val="en-US" w:eastAsia="zh-CN"/>
        </w:rPr>
        <w:t xml:space="preserve">  </w:t>
      </w:r>
      <w:r>
        <w:rPr>
          <w:rFonts w:hint="eastAsia" w:ascii="Times New Roman" w:hAnsi="Times New Roman" w:eastAsia="方正仿宋_GBK" w:cs="Times New Roman"/>
          <w:color w:val="000000"/>
          <w:spacing w:val="-11"/>
          <w:sz w:val="24"/>
          <w:szCs w:val="24"/>
        </w:rPr>
        <w:t>月</w:t>
      </w:r>
      <w:r>
        <w:rPr>
          <w:rFonts w:hint="eastAsia" w:ascii="Times New Roman" w:hAnsi="Times New Roman" w:eastAsia="方正仿宋_GBK" w:cs="Times New Roman"/>
          <w:color w:val="000000"/>
          <w:spacing w:val="-11"/>
          <w:sz w:val="24"/>
          <w:szCs w:val="24"/>
          <w:lang w:val="en-US" w:eastAsia="zh-CN"/>
        </w:rPr>
        <w:t xml:space="preserve">  </w:t>
      </w:r>
      <w:r>
        <w:rPr>
          <w:rFonts w:hint="eastAsia" w:ascii="Times New Roman" w:hAnsi="Times New Roman" w:eastAsia="方正仿宋_GBK" w:cs="Times New Roman"/>
          <w:color w:val="000000"/>
          <w:spacing w:val="-11"/>
          <w:sz w:val="24"/>
          <w:szCs w:val="24"/>
        </w:rPr>
        <w:t>日</w:t>
      </w:r>
    </w:p>
    <w:p w14:paraId="3B5F65A2">
      <w:pPr>
        <w:pStyle w:val="22"/>
        <w:rPr>
          <w:rFonts w:hint="eastAsia" w:ascii="Times New Roman" w:hAnsi="Times New Roman" w:eastAsia="方正仿宋_GBK" w:cs="Times New Roman"/>
          <w:color w:val="000000"/>
          <w:spacing w:val="-11"/>
          <w:sz w:val="24"/>
          <w:szCs w:val="24"/>
        </w:rPr>
      </w:pPr>
    </w:p>
    <w:p w14:paraId="7A60ECDA">
      <w:pPr>
        <w:pStyle w:val="3"/>
        <w:spacing w:before="0"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45036D4">
      <w:pPr>
        <w:jc w:val="center"/>
        <w:rPr>
          <w:rFonts w:hint="eastAsia" w:ascii="宋体" w:hAnsi="宋体" w:eastAsia="宋体" w:cs="宋体"/>
          <w:b/>
          <w:bCs/>
          <w:color w:val="auto"/>
          <w:sz w:val="36"/>
          <w:szCs w:val="30"/>
          <w:highlight w:val="none"/>
        </w:rPr>
      </w:pPr>
    </w:p>
    <w:p w14:paraId="53021692">
      <w:pPr>
        <w:jc w:val="center"/>
        <w:rPr>
          <w:rFonts w:hint="eastAsia" w:ascii="宋体" w:hAnsi="宋体" w:eastAsia="宋体" w:cs="宋体"/>
          <w:b/>
          <w:bCs/>
          <w:color w:val="auto"/>
          <w:sz w:val="36"/>
          <w:szCs w:val="30"/>
          <w:highlight w:val="none"/>
        </w:rPr>
      </w:pPr>
    </w:p>
    <w:p w14:paraId="613C169C">
      <w:pPr>
        <w:jc w:val="center"/>
        <w:rPr>
          <w:rFonts w:hint="eastAsia" w:ascii="宋体" w:hAnsi="宋体" w:eastAsia="宋体" w:cs="宋体"/>
          <w:b/>
          <w:bCs/>
          <w:color w:val="auto"/>
          <w:sz w:val="36"/>
          <w:szCs w:val="30"/>
          <w:highlight w:val="none"/>
        </w:rPr>
      </w:pPr>
    </w:p>
    <w:p w14:paraId="756F978F">
      <w:pPr>
        <w:jc w:val="center"/>
        <w:rPr>
          <w:rFonts w:hint="eastAsia" w:ascii="宋体" w:hAnsi="宋体" w:eastAsia="宋体" w:cs="宋体"/>
          <w:b/>
          <w:bCs/>
          <w:color w:val="auto"/>
          <w:sz w:val="36"/>
          <w:szCs w:val="30"/>
          <w:highlight w:val="none"/>
        </w:rPr>
      </w:pPr>
    </w:p>
    <w:p w14:paraId="7F271867">
      <w:pPr>
        <w:jc w:val="center"/>
        <w:rPr>
          <w:rFonts w:hint="eastAsia" w:ascii="宋体" w:hAnsi="宋体" w:eastAsia="宋体" w:cs="宋体"/>
          <w:b/>
          <w:bCs/>
          <w:color w:val="auto"/>
          <w:sz w:val="36"/>
          <w:szCs w:val="30"/>
          <w:highlight w:val="none"/>
        </w:rPr>
      </w:pPr>
    </w:p>
    <w:p w14:paraId="189FBF30">
      <w:pPr>
        <w:jc w:val="center"/>
        <w:rPr>
          <w:rFonts w:hint="eastAsia" w:ascii="宋体" w:hAnsi="宋体" w:eastAsia="宋体" w:cs="宋体"/>
          <w:b/>
          <w:bCs/>
          <w:color w:val="auto"/>
          <w:sz w:val="36"/>
          <w:szCs w:val="30"/>
          <w:highlight w:val="none"/>
        </w:rPr>
      </w:pPr>
    </w:p>
    <w:p w14:paraId="617942A7">
      <w:pPr>
        <w:jc w:val="center"/>
        <w:rPr>
          <w:rFonts w:hint="eastAsia" w:ascii="宋体" w:hAnsi="宋体" w:eastAsia="宋体" w:cs="宋体"/>
          <w:b/>
          <w:bCs/>
          <w:color w:val="auto"/>
          <w:sz w:val="36"/>
          <w:szCs w:val="30"/>
          <w:highlight w:val="none"/>
        </w:rPr>
      </w:pPr>
    </w:p>
    <w:p w14:paraId="54E4840B">
      <w:pPr>
        <w:jc w:val="center"/>
        <w:rPr>
          <w:rFonts w:hint="eastAsia" w:ascii="宋体" w:hAnsi="宋体" w:eastAsia="宋体" w:cs="宋体"/>
          <w:b/>
          <w:bCs/>
          <w:color w:val="auto"/>
          <w:sz w:val="36"/>
          <w:szCs w:val="30"/>
          <w:highlight w:val="none"/>
        </w:rPr>
      </w:pPr>
    </w:p>
    <w:p w14:paraId="75862667">
      <w:pPr>
        <w:jc w:val="center"/>
        <w:rPr>
          <w:rFonts w:hint="eastAsia" w:ascii="宋体" w:hAnsi="宋体" w:eastAsia="宋体" w:cs="宋体"/>
          <w:b/>
          <w:bCs/>
          <w:color w:val="auto"/>
          <w:sz w:val="36"/>
          <w:szCs w:val="30"/>
          <w:highlight w:val="none"/>
        </w:rPr>
      </w:pPr>
    </w:p>
    <w:p w14:paraId="556E716C">
      <w:pPr>
        <w:jc w:val="center"/>
        <w:rPr>
          <w:rFonts w:hint="eastAsia" w:ascii="宋体" w:hAnsi="宋体" w:eastAsia="宋体" w:cs="宋体"/>
          <w:b/>
          <w:bCs/>
          <w:color w:val="auto"/>
          <w:sz w:val="36"/>
          <w:szCs w:val="30"/>
          <w:highlight w:val="none"/>
        </w:rPr>
      </w:pPr>
    </w:p>
    <w:p w14:paraId="71FC64B0">
      <w:pPr>
        <w:jc w:val="center"/>
        <w:rPr>
          <w:rFonts w:hint="eastAsia" w:ascii="宋体" w:hAnsi="宋体" w:eastAsia="宋体" w:cs="宋体"/>
          <w:b/>
          <w:bCs/>
          <w:color w:val="auto"/>
          <w:sz w:val="36"/>
          <w:szCs w:val="30"/>
          <w:highlight w:val="none"/>
        </w:rPr>
      </w:pPr>
    </w:p>
    <w:p w14:paraId="04A190FC">
      <w:pPr>
        <w:jc w:val="center"/>
        <w:rPr>
          <w:rFonts w:hint="eastAsia" w:ascii="宋体" w:hAnsi="宋体" w:eastAsia="宋体" w:cs="宋体"/>
          <w:b/>
          <w:bCs/>
          <w:color w:val="auto"/>
          <w:sz w:val="36"/>
          <w:szCs w:val="30"/>
          <w:highlight w:val="none"/>
        </w:rPr>
      </w:pPr>
    </w:p>
    <w:p w14:paraId="2A75309E">
      <w:pPr>
        <w:jc w:val="center"/>
        <w:rPr>
          <w:rFonts w:hint="eastAsia" w:ascii="宋体" w:hAnsi="宋体" w:eastAsia="宋体" w:cs="宋体"/>
          <w:b/>
          <w:bCs/>
          <w:color w:val="auto"/>
          <w:sz w:val="36"/>
          <w:szCs w:val="30"/>
          <w:highlight w:val="none"/>
        </w:rPr>
      </w:pPr>
    </w:p>
    <w:p w14:paraId="38D02E43">
      <w:pPr>
        <w:jc w:val="center"/>
        <w:rPr>
          <w:rFonts w:hint="eastAsia" w:ascii="宋体" w:hAnsi="宋体" w:eastAsia="宋体" w:cs="宋体"/>
          <w:b/>
          <w:bCs/>
          <w:color w:val="auto"/>
          <w:sz w:val="36"/>
          <w:szCs w:val="30"/>
          <w:highlight w:val="none"/>
        </w:rPr>
      </w:pPr>
    </w:p>
    <w:p w14:paraId="61E1B642">
      <w:pPr>
        <w:jc w:val="center"/>
        <w:rPr>
          <w:rFonts w:hint="eastAsia" w:ascii="宋体" w:hAnsi="宋体" w:eastAsia="宋体" w:cs="宋体"/>
          <w:b/>
          <w:bCs/>
          <w:color w:val="auto"/>
          <w:sz w:val="36"/>
          <w:szCs w:val="30"/>
          <w:highlight w:val="none"/>
        </w:rPr>
      </w:pPr>
    </w:p>
    <w:p w14:paraId="0EFEFD86">
      <w:pPr>
        <w:jc w:val="center"/>
        <w:rPr>
          <w:rFonts w:hint="eastAsia" w:ascii="宋体" w:hAnsi="宋体" w:eastAsia="宋体" w:cs="宋体"/>
          <w:b/>
          <w:bCs/>
          <w:color w:val="auto"/>
          <w:sz w:val="36"/>
          <w:szCs w:val="30"/>
          <w:highlight w:val="none"/>
        </w:rPr>
      </w:pPr>
    </w:p>
    <w:p w14:paraId="58DBBE7F">
      <w:pPr>
        <w:jc w:val="center"/>
        <w:rPr>
          <w:rFonts w:hint="eastAsia" w:ascii="宋体" w:hAnsi="宋体" w:eastAsia="宋体" w:cs="宋体"/>
          <w:b/>
          <w:bCs/>
          <w:color w:val="auto"/>
          <w:sz w:val="36"/>
          <w:szCs w:val="30"/>
          <w:highlight w:val="none"/>
        </w:rPr>
      </w:pPr>
    </w:p>
    <w:p w14:paraId="3A512C57">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78A4CD28">
      <w:pPr>
        <w:spacing w:line="440" w:lineRule="exact"/>
        <w:ind w:firstLine="480" w:firstLineChars="200"/>
        <w:rPr>
          <w:rFonts w:hint="eastAsia" w:ascii="宋体" w:hAnsi="宋体" w:eastAsia="宋体" w:cs="宋体"/>
          <w:color w:val="auto"/>
          <w:sz w:val="24"/>
          <w:szCs w:val="24"/>
          <w:highlight w:val="none"/>
        </w:rPr>
      </w:pPr>
      <w:bookmarkStart w:id="150" w:name="_Toc342913419"/>
      <w:bookmarkStart w:id="151" w:name="_Toc283382454"/>
      <w:bookmarkStart w:id="152" w:name="_Toc313008356"/>
      <w:bookmarkStart w:id="153" w:name="_Toc313888360"/>
      <w:bookmarkStart w:id="154" w:name="_Toc12789073"/>
      <w:r>
        <w:rPr>
          <w:rFonts w:hint="eastAsia" w:ascii="宋体" w:hAnsi="宋体" w:eastAsia="宋体" w:cs="宋体"/>
          <w:color w:val="auto"/>
          <w:sz w:val="24"/>
          <w:szCs w:val="24"/>
          <w:highlight w:val="none"/>
        </w:rPr>
        <w:t>一、经济部分</w:t>
      </w:r>
    </w:p>
    <w:p w14:paraId="02C2970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1CA1F65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p>
    <w:p w14:paraId="2BF5593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7D376CF5">
      <w:pPr>
        <w:pStyle w:val="22"/>
        <w:ind w:firstLine="480" w:firstLineChars="200"/>
        <w:rPr>
          <w:rFonts w:hint="default" w:eastAsia="宋体"/>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（二）服务方案（如有）</w:t>
      </w:r>
    </w:p>
    <w:p w14:paraId="67EC23EA">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51292AF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1EC5288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9DFD3C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p>
    <w:p w14:paraId="0F300CF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7DDA0EB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799BE36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F06C55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0815090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77B1697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2E5385D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53774987">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p>
    <w:p w14:paraId="785F1288">
      <w:pPr>
        <w:spacing w:line="440" w:lineRule="exact"/>
        <w:ind w:firstLine="480" w:firstLineChars="200"/>
        <w:rPr>
          <w:rFonts w:hint="eastAsia" w:ascii="宋体" w:hAnsi="宋体" w:eastAsia="宋体" w:cs="宋体"/>
          <w:color w:val="auto"/>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150"/>
    <w:bookmarkEnd w:id="151"/>
    <w:bookmarkEnd w:id="152"/>
    <w:bookmarkEnd w:id="153"/>
    <w:bookmarkEnd w:id="154"/>
    <w:p w14:paraId="3819BCBA">
      <w:pPr>
        <w:pStyle w:val="4"/>
        <w:spacing w:before="0" w:after="0" w:line="360" w:lineRule="auto"/>
        <w:rPr>
          <w:rFonts w:hint="eastAsia" w:ascii="宋体" w:hAnsi="宋体" w:eastAsia="宋体" w:cs="宋体"/>
          <w:color w:val="auto"/>
          <w:sz w:val="24"/>
          <w:szCs w:val="24"/>
          <w:highlight w:val="none"/>
        </w:rPr>
      </w:pPr>
      <w:bookmarkStart w:id="155" w:name="_Toc23161"/>
      <w:bookmarkStart w:id="156" w:name="_Toc21017"/>
      <w:bookmarkStart w:id="157" w:name="_Toc103679699"/>
      <w:r>
        <w:rPr>
          <w:rFonts w:hint="eastAsia" w:ascii="宋体" w:hAnsi="宋体" w:eastAsia="宋体" w:cs="宋体"/>
          <w:color w:val="auto"/>
          <w:sz w:val="24"/>
          <w:szCs w:val="24"/>
          <w:highlight w:val="none"/>
        </w:rPr>
        <w:t>一、经济部分</w:t>
      </w:r>
      <w:bookmarkEnd w:id="155"/>
      <w:bookmarkEnd w:id="156"/>
      <w:bookmarkEnd w:id="157"/>
    </w:p>
    <w:p w14:paraId="746CC590">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（一）网上竞采报价函</w:t>
      </w:r>
    </w:p>
    <w:p w14:paraId="40B25B2B">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网上竞采报价函</w:t>
      </w:r>
    </w:p>
    <w:p w14:paraId="2D3BFEAE">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sz w:val="24"/>
          <w:szCs w:val="24"/>
          <w:highlight w:val="none"/>
          <w:u w:val="single"/>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A934F6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我方收到____________________________（项目名称）的网上竞采文件，经详细研究，决定参加该项目的网上竞采。</w:t>
      </w:r>
    </w:p>
    <w:p w14:paraId="70E7736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sz w:val="24"/>
          <w:szCs w:val="24"/>
          <w:highlight w:val="none"/>
        </w:rPr>
        <w:t>愿意按照</w:t>
      </w:r>
      <w:r>
        <w:rPr>
          <w:rFonts w:hint="eastAsia" w:ascii="宋体" w:hAnsi="宋体" w:cs="宋体"/>
          <w:sz w:val="24"/>
          <w:szCs w:val="24"/>
          <w:highlight w:val="none"/>
          <w:lang w:val="en-US" w:eastAsia="zh-CN"/>
        </w:rPr>
        <w:t>竞采</w:t>
      </w:r>
      <w:r>
        <w:rPr>
          <w:rFonts w:hint="eastAsia" w:ascii="宋体" w:hAnsi="宋体" w:cs="宋体"/>
          <w:sz w:val="24"/>
          <w:szCs w:val="24"/>
          <w:highlight w:val="none"/>
        </w:rPr>
        <w:t>文件中的一切要求，提供本项目的技术服务，</w:t>
      </w:r>
      <w:r>
        <w:rPr>
          <w:rFonts w:hint="eastAsia" w:ascii="宋体" w:hAnsi="宋体" w:cs="宋体"/>
          <w:sz w:val="24"/>
          <w:szCs w:val="24"/>
          <w:highlight w:val="none"/>
          <w:lang w:eastAsia="zh-CN"/>
        </w:rPr>
        <w:t>投标</w:t>
      </w:r>
      <w:r>
        <w:rPr>
          <w:rFonts w:hint="eastAsia" w:ascii="宋体" w:hAnsi="宋体" w:cs="宋体"/>
          <w:sz w:val="24"/>
          <w:szCs w:val="24"/>
          <w:highlight w:val="none"/>
        </w:rPr>
        <w:t>报价为人民币大写：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；人民币小写：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6D42B91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w:t>
      </w:r>
      <w:r>
        <w:rPr>
          <w:rFonts w:hint="eastAsia" w:ascii="宋体" w:hAnsi="宋体" w:cs="宋体"/>
          <w:color w:val="auto"/>
          <w:sz w:val="24"/>
          <w:szCs w:val="24"/>
          <w:highlight w:val="none"/>
          <w:lang w:eastAsia="zh-CN"/>
        </w:rPr>
        <w:t>电子</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7B2BA19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3.我方承诺：本次网上竞采的有效期为90天。</w:t>
      </w:r>
    </w:p>
    <w:p w14:paraId="250A534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4.我方完全理解和接受贵方网上竞采文件的一切规定和要求及评审办法。</w:t>
      </w:r>
    </w:p>
    <w:p w14:paraId="48A1DBCD">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5.在整个网上竞采过程中，我方若有违规行为，接受按照《中华人民共和国政府采购法》和《网上竞采文件》之规定给予惩罚。</w:t>
      </w:r>
    </w:p>
    <w:p w14:paraId="38E685D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6.我方若成为成交供应商，将按照最终网上竞采结果签订合同，并且严格履行合同义务。本承诺函将成为合同不可分割的一部分，与合同具有同等的法律效力。</w:t>
      </w:r>
    </w:p>
    <w:p w14:paraId="0658F72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7.我方同意按网上竞采文件规定。如果我方成为成交供应商，保证在接到成交通知书前，向采购代理机构缴纳网上竞采文件规定的采购代理服务费。</w:t>
      </w:r>
    </w:p>
    <w:p w14:paraId="77349A6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568FECCA">
      <w:pPr>
        <w:tabs>
          <w:tab w:val="left" w:pos="6300"/>
        </w:tabs>
        <w:snapToGrid w:val="0"/>
        <w:spacing w:line="312" w:lineRule="auto"/>
        <w:ind w:firstLine="570"/>
        <w:rPr>
          <w:rFonts w:hint="eastAsia" w:ascii="宋体" w:hAnsi="宋体" w:eastAsia="宋体" w:cs="宋体"/>
          <w:color w:val="auto"/>
          <w:sz w:val="24"/>
          <w:szCs w:val="24"/>
          <w:highlight w:val="none"/>
        </w:rPr>
      </w:pPr>
    </w:p>
    <w:p w14:paraId="6D2B9013">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45613EC0">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BDAE253">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18E4245E">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17071073">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57D9148C">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0725D79">
      <w:pPr>
        <w:pStyle w:val="126"/>
        <w:rPr>
          <w:rFonts w:hint="eastAsia" w:ascii="宋体" w:hAnsi="宋体" w:eastAsia="宋体" w:cs="宋体"/>
          <w:color w:val="auto"/>
          <w:highlight w:val="none"/>
        </w:rPr>
      </w:pPr>
    </w:p>
    <w:p w14:paraId="4D92D978">
      <w:pPr>
        <w:pStyle w:val="126"/>
        <w:rPr>
          <w:rFonts w:hint="eastAsia" w:ascii="宋体" w:hAnsi="宋体" w:eastAsia="宋体" w:cs="宋体"/>
          <w:color w:val="auto"/>
          <w:highlight w:val="none"/>
        </w:rPr>
      </w:pPr>
    </w:p>
    <w:p w14:paraId="534D1FA5">
      <w:pPr>
        <w:pStyle w:val="126"/>
        <w:rPr>
          <w:rFonts w:hint="eastAsia" w:ascii="宋体" w:hAnsi="宋体" w:eastAsia="宋体" w:cs="宋体"/>
          <w:color w:val="auto"/>
          <w:highlight w:val="none"/>
        </w:rPr>
      </w:pPr>
    </w:p>
    <w:p w14:paraId="0027745D">
      <w:pPr>
        <w:pStyle w:val="126"/>
        <w:rPr>
          <w:rFonts w:hint="eastAsia" w:ascii="宋体" w:hAnsi="宋体" w:eastAsia="宋体" w:cs="宋体"/>
          <w:color w:val="auto"/>
          <w:highlight w:val="none"/>
        </w:rPr>
      </w:pPr>
    </w:p>
    <w:p w14:paraId="6435D441">
      <w:pPr>
        <w:pStyle w:val="126"/>
        <w:rPr>
          <w:rFonts w:hint="eastAsia" w:ascii="宋体" w:hAnsi="宋体" w:eastAsia="宋体" w:cs="宋体"/>
          <w:color w:val="auto"/>
          <w:highlight w:val="none"/>
        </w:rPr>
      </w:pPr>
    </w:p>
    <w:p w14:paraId="1F4E32DB">
      <w:pPr>
        <w:pStyle w:val="126"/>
        <w:rPr>
          <w:rFonts w:hint="eastAsia" w:ascii="宋体" w:hAnsi="宋体" w:eastAsia="宋体" w:cs="宋体"/>
          <w:color w:val="auto"/>
          <w:highlight w:val="none"/>
        </w:rPr>
      </w:pPr>
    </w:p>
    <w:p w14:paraId="1E139953">
      <w:pPr>
        <w:pStyle w:val="126"/>
        <w:rPr>
          <w:rFonts w:hint="eastAsia" w:ascii="宋体" w:hAnsi="宋体" w:eastAsia="宋体" w:cs="宋体"/>
          <w:color w:val="auto"/>
          <w:highlight w:val="none"/>
        </w:rPr>
      </w:pPr>
    </w:p>
    <w:p w14:paraId="09F4ECBB">
      <w:pPr>
        <w:pStyle w:val="126"/>
        <w:rPr>
          <w:rFonts w:hint="eastAsia" w:ascii="宋体" w:hAnsi="宋体" w:eastAsia="宋体" w:cs="宋体"/>
          <w:color w:val="auto"/>
          <w:highlight w:val="none"/>
        </w:rPr>
      </w:pPr>
    </w:p>
    <w:p w14:paraId="0A570709">
      <w:pPr>
        <w:pStyle w:val="126"/>
        <w:rPr>
          <w:rFonts w:hint="eastAsia" w:ascii="宋体" w:hAnsi="宋体" w:eastAsia="宋体" w:cs="宋体"/>
          <w:color w:val="auto"/>
          <w:highlight w:val="none"/>
        </w:rPr>
      </w:pPr>
    </w:p>
    <w:p w14:paraId="0FF01583">
      <w:pPr>
        <w:pStyle w:val="126"/>
        <w:rPr>
          <w:rFonts w:hint="eastAsia" w:ascii="宋体" w:hAnsi="宋体" w:eastAsia="宋体" w:cs="宋体"/>
          <w:color w:val="auto"/>
          <w:highlight w:val="none"/>
        </w:rPr>
      </w:pPr>
    </w:p>
    <w:p w14:paraId="77B2175F">
      <w:pPr>
        <w:pStyle w:val="126"/>
        <w:rPr>
          <w:rFonts w:hint="eastAsia" w:ascii="宋体" w:hAnsi="宋体" w:eastAsia="宋体" w:cs="宋体"/>
          <w:color w:val="auto"/>
          <w:highlight w:val="none"/>
        </w:rPr>
      </w:pPr>
    </w:p>
    <w:p w14:paraId="3C4A42E2">
      <w:pPr>
        <w:pStyle w:val="126"/>
        <w:rPr>
          <w:rFonts w:hint="eastAsia" w:ascii="宋体" w:hAnsi="宋体" w:eastAsia="宋体" w:cs="宋体"/>
          <w:color w:val="auto"/>
          <w:highlight w:val="none"/>
        </w:rPr>
      </w:pPr>
    </w:p>
    <w:p w14:paraId="6BB7A2FD">
      <w:pPr>
        <w:pStyle w:val="126"/>
        <w:rPr>
          <w:rFonts w:hint="eastAsia" w:ascii="宋体" w:hAnsi="宋体" w:eastAsia="宋体" w:cs="宋体"/>
          <w:color w:val="auto"/>
          <w:highlight w:val="none"/>
        </w:rPr>
      </w:pPr>
    </w:p>
    <w:p w14:paraId="5122C863">
      <w:pPr>
        <w:pStyle w:val="126"/>
        <w:rPr>
          <w:rFonts w:hint="eastAsia" w:ascii="宋体" w:hAnsi="宋体" w:eastAsia="宋体" w:cs="宋体"/>
          <w:color w:val="auto"/>
          <w:highlight w:val="none"/>
        </w:rPr>
      </w:pPr>
    </w:p>
    <w:p w14:paraId="510A796A">
      <w:pPr>
        <w:pStyle w:val="126"/>
        <w:rPr>
          <w:rFonts w:hint="eastAsia" w:ascii="宋体" w:hAnsi="宋体" w:eastAsia="宋体" w:cs="宋体"/>
          <w:color w:val="auto"/>
          <w:highlight w:val="none"/>
        </w:rPr>
      </w:pPr>
    </w:p>
    <w:p w14:paraId="51F1AD66">
      <w:pPr>
        <w:pStyle w:val="126"/>
        <w:rPr>
          <w:rFonts w:hint="eastAsia" w:ascii="宋体" w:hAnsi="宋体" w:eastAsia="宋体" w:cs="宋体"/>
          <w:color w:val="auto"/>
          <w:highlight w:val="none"/>
        </w:rPr>
      </w:pPr>
    </w:p>
    <w:p w14:paraId="297050B2">
      <w:pPr>
        <w:pStyle w:val="4"/>
        <w:spacing w:before="0" w:after="0" w:line="360" w:lineRule="auto"/>
        <w:rPr>
          <w:rFonts w:hint="eastAsia" w:ascii="宋体" w:hAnsi="宋体" w:eastAsia="宋体" w:cs="宋体"/>
          <w:color w:val="auto"/>
          <w:sz w:val="24"/>
          <w:szCs w:val="24"/>
          <w:highlight w:val="none"/>
        </w:rPr>
      </w:pPr>
      <w:bookmarkStart w:id="158" w:name="_Toc342913420"/>
      <w:bookmarkStart w:id="159" w:name="_Toc103679700"/>
      <w:bookmarkStart w:id="160" w:name="_Toc7588"/>
      <w:bookmarkStart w:id="161" w:name="_Toc21048"/>
      <w:bookmarkStart w:id="162" w:name="_Toc313008357"/>
      <w:bookmarkStart w:id="163" w:name="_Toc31257"/>
      <w:bookmarkStart w:id="164" w:name="_Toc11802"/>
      <w:bookmarkStart w:id="165" w:name="_Toc313888361"/>
      <w:r>
        <w:rPr>
          <w:rFonts w:hint="eastAsia" w:ascii="宋体" w:hAnsi="宋体" w:eastAsia="宋体" w:cs="宋体"/>
          <w:color w:val="auto"/>
          <w:sz w:val="24"/>
          <w:szCs w:val="24"/>
          <w:highlight w:val="none"/>
        </w:rPr>
        <w:t>二、技术部分</w:t>
      </w:r>
      <w:bookmarkEnd w:id="158"/>
      <w:bookmarkEnd w:id="159"/>
      <w:bookmarkEnd w:id="160"/>
      <w:bookmarkEnd w:id="161"/>
      <w:bookmarkEnd w:id="162"/>
      <w:bookmarkEnd w:id="163"/>
      <w:bookmarkEnd w:id="164"/>
      <w:bookmarkEnd w:id="165"/>
    </w:p>
    <w:p w14:paraId="0858DCA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1C2E7C3A">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技术响应偏离表</w:t>
      </w:r>
    </w:p>
    <w:p w14:paraId="7270FD22">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BA2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7E9352A">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2F38006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4BE51622">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6BB147D2">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5711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C8ABEB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D0A27D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5FFF22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C5C300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C21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5A654C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D55E5C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52D95F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09D97A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A83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65ABF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302E0F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8178A1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490D40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C11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45681C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C30DA1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B09466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9691F2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F32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4D0F1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01BC6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9412F0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183F6D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A8F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E4164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BD6803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80F575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E9B095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2520B8E7">
      <w:pPr>
        <w:snapToGrid w:val="0"/>
        <w:spacing w:line="360" w:lineRule="auto"/>
        <w:ind w:firstLine="465"/>
        <w:rPr>
          <w:rFonts w:hint="eastAsia" w:ascii="宋体" w:hAnsi="宋体" w:eastAsia="宋体" w:cs="宋体"/>
          <w:color w:val="auto"/>
          <w:sz w:val="24"/>
          <w:szCs w:val="24"/>
          <w:highlight w:val="none"/>
        </w:rPr>
      </w:pPr>
    </w:p>
    <w:p w14:paraId="6E80FFE5">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150222ED">
      <w:pPr>
        <w:spacing w:line="500" w:lineRule="exact"/>
        <w:rPr>
          <w:rFonts w:hint="eastAsia" w:ascii="宋体" w:hAnsi="宋体" w:eastAsia="宋体" w:cs="宋体"/>
          <w:color w:val="auto"/>
          <w:sz w:val="24"/>
          <w:szCs w:val="28"/>
          <w:highlight w:val="none"/>
        </w:rPr>
      </w:pPr>
    </w:p>
    <w:p w14:paraId="46D46BBF">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5271ED68">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631FDCB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A3782B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项目技术需求”中所列条款进行比较和响应；</w:t>
      </w:r>
    </w:p>
    <w:p w14:paraId="4FE5E90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5C82A5E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23EE589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06C70FB">
      <w:pPr>
        <w:pStyle w:val="22"/>
        <w:ind w:firstLine="480" w:firstLineChars="200"/>
        <w:rPr>
          <w:rFonts w:hint="default" w:eastAsia="宋体"/>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（二）服务方案（如有）</w:t>
      </w:r>
    </w:p>
    <w:p w14:paraId="35C3FB86">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003555A">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F1129B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3181E5E">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3BCBD8C">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4B86A4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384C278">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E1B676B">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0AE8B8F">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93398E2">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7497B5A">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572B21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7BE28DA">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0E18BF4">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B31E1F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3651B12">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5E719E3">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7839E5F">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EA89EFF">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A7EC19D">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20E476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A175EE6">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303507C">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F20C492">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7852863">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A8CB56C">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2126E2E">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7990336">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AD10572">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9F517E6">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413B005">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1DF1294">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4905177">
      <w:pPr>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41AD0271">
      <w:pPr>
        <w:pStyle w:val="4"/>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166" w:name="_Toc28935"/>
      <w:bookmarkStart w:id="167" w:name="_Toc30551"/>
      <w:bookmarkStart w:id="168" w:name="_Toc313008358"/>
      <w:bookmarkStart w:id="169" w:name="_Toc313888362"/>
      <w:bookmarkStart w:id="170" w:name="_Toc342913421"/>
      <w:bookmarkStart w:id="171" w:name="_Toc103679701"/>
      <w:bookmarkStart w:id="172" w:name="_Toc18617"/>
      <w:bookmarkStart w:id="173" w:name="_Toc29626"/>
      <w:r>
        <w:rPr>
          <w:rFonts w:hint="eastAsia" w:ascii="宋体" w:hAnsi="宋体" w:eastAsia="宋体" w:cs="宋体"/>
          <w:color w:val="auto"/>
          <w:sz w:val="24"/>
          <w:szCs w:val="24"/>
          <w:highlight w:val="none"/>
        </w:rPr>
        <w:t>三、商务部分</w:t>
      </w:r>
      <w:bookmarkEnd w:id="166"/>
      <w:bookmarkEnd w:id="167"/>
      <w:bookmarkEnd w:id="168"/>
      <w:bookmarkEnd w:id="169"/>
      <w:bookmarkEnd w:id="170"/>
      <w:bookmarkEnd w:id="171"/>
      <w:bookmarkEnd w:id="172"/>
      <w:bookmarkEnd w:id="173"/>
    </w:p>
    <w:p w14:paraId="267B8922">
      <w:pPr>
        <w:snapToGrid w:val="0"/>
        <w:spacing w:line="360" w:lineRule="auto"/>
        <w:rPr>
          <w:rFonts w:hint="eastAsia" w:ascii="宋体" w:hAnsi="宋体" w:eastAsia="宋体" w:cs="宋体"/>
          <w:color w:val="auto"/>
          <w:sz w:val="24"/>
          <w:szCs w:val="24"/>
          <w:highlight w:val="none"/>
        </w:rPr>
      </w:pPr>
      <w:bookmarkStart w:id="174" w:name="_Toc283382459"/>
      <w:r>
        <w:rPr>
          <w:rFonts w:hint="eastAsia" w:ascii="宋体" w:hAnsi="宋体" w:eastAsia="宋体" w:cs="宋体"/>
          <w:color w:val="auto"/>
          <w:sz w:val="24"/>
          <w:szCs w:val="24"/>
          <w:highlight w:val="none"/>
        </w:rPr>
        <w:t>（一）商务响应偏离表</w:t>
      </w:r>
    </w:p>
    <w:p w14:paraId="4CB95CD0">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3C6A63D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对于网上竞采文件的商务要求，如有任何偏离请如实填写下表：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1A0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D0692D6">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6186DA84">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0D02275A">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44FB61E7">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05D1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1BDAC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6E68E5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0713A9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40DD1D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DD6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96F983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3417C3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620F08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A46684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26B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BB77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8235CB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D98F7A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34D7FE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9A6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9B8A7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078C99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9013D5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7FB789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2B5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88921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0BCC8A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606D17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35C5E5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D8B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27809A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5DBDB4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88E7F8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AB3DB6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5E653DDC">
      <w:pPr>
        <w:snapToGrid w:val="0"/>
        <w:spacing w:line="360" w:lineRule="auto"/>
        <w:ind w:firstLine="465"/>
        <w:rPr>
          <w:rFonts w:hint="eastAsia" w:ascii="宋体" w:hAnsi="宋体" w:eastAsia="宋体" w:cs="宋体"/>
          <w:color w:val="auto"/>
          <w:sz w:val="24"/>
          <w:szCs w:val="24"/>
          <w:highlight w:val="none"/>
        </w:rPr>
      </w:pPr>
    </w:p>
    <w:p w14:paraId="3B65C157">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68C7FB30">
      <w:pPr>
        <w:spacing w:line="500" w:lineRule="exact"/>
        <w:rPr>
          <w:rFonts w:hint="eastAsia" w:ascii="宋体" w:hAnsi="宋体" w:eastAsia="宋体" w:cs="宋体"/>
          <w:color w:val="auto"/>
          <w:sz w:val="24"/>
          <w:szCs w:val="28"/>
          <w:highlight w:val="none"/>
        </w:rPr>
      </w:pPr>
    </w:p>
    <w:p w14:paraId="5A7C3E1C">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516E86E9">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2E0B40A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07180E7">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项目商务需求”中所列条款进行比较和响应；</w:t>
      </w:r>
    </w:p>
    <w:p w14:paraId="2E2F69F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44C1802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45B152F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AA7C06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r>
        <w:rPr>
          <w:rFonts w:hint="eastAsia" w:ascii="宋体" w:hAnsi="宋体" w:eastAsia="宋体" w:cs="宋体"/>
          <w:color w:val="auto"/>
          <w:sz w:val="24"/>
          <w:szCs w:val="24"/>
          <w:highlight w:val="none"/>
        </w:rPr>
        <w:br w:type="page"/>
      </w:r>
      <w:bookmarkEnd w:id="174"/>
      <w:bookmarkStart w:id="175" w:name="_Toc313008359"/>
      <w:bookmarkStart w:id="176" w:name="_Toc26076"/>
      <w:bookmarkStart w:id="177" w:name="_Toc30310"/>
      <w:bookmarkStart w:id="178" w:name="_Toc342913422"/>
      <w:bookmarkStart w:id="179" w:name="_Toc103679702"/>
      <w:bookmarkStart w:id="180" w:name="_Toc313888363"/>
      <w:bookmarkStart w:id="181" w:name="_Toc16819"/>
      <w:bookmarkStart w:id="182" w:name="_Toc19396"/>
      <w:r>
        <w:rPr>
          <w:rFonts w:hint="eastAsia" w:ascii="宋体" w:hAnsi="宋体" w:eastAsia="宋体" w:cs="宋体"/>
          <w:color w:val="auto"/>
          <w:sz w:val="24"/>
          <w:szCs w:val="24"/>
          <w:highlight w:val="none"/>
        </w:rPr>
        <w:t>四、资格条件及其他</w:t>
      </w:r>
      <w:bookmarkEnd w:id="175"/>
      <w:bookmarkEnd w:id="176"/>
      <w:bookmarkEnd w:id="177"/>
      <w:bookmarkEnd w:id="178"/>
      <w:bookmarkEnd w:id="179"/>
      <w:bookmarkEnd w:id="180"/>
      <w:bookmarkEnd w:id="181"/>
      <w:bookmarkEnd w:id="182"/>
    </w:p>
    <w:p w14:paraId="580EEAF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44446909">
      <w:pPr>
        <w:pStyle w:val="60"/>
        <w:ind w:left="560" w:firstLine="880"/>
        <w:rPr>
          <w:rFonts w:hint="eastAsia" w:ascii="宋体" w:hAnsi="宋体" w:eastAsia="宋体" w:cs="宋体"/>
          <w:color w:val="auto"/>
          <w:highlight w:val="none"/>
        </w:rPr>
      </w:pPr>
    </w:p>
    <w:p w14:paraId="62D85D50">
      <w:pPr>
        <w:pStyle w:val="60"/>
        <w:ind w:left="560" w:firstLine="880"/>
        <w:rPr>
          <w:rFonts w:hint="eastAsia" w:ascii="宋体" w:hAnsi="宋体" w:eastAsia="宋体" w:cs="宋体"/>
          <w:color w:val="auto"/>
          <w:highlight w:val="none"/>
        </w:rPr>
      </w:pPr>
    </w:p>
    <w:p w14:paraId="76D1874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3C38B2C">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427993BA">
      <w:pPr>
        <w:tabs>
          <w:tab w:val="left" w:pos="6300"/>
        </w:tabs>
        <w:snapToGrid w:val="0"/>
        <w:spacing w:line="500" w:lineRule="exact"/>
        <w:ind w:firstLine="570"/>
        <w:rPr>
          <w:rFonts w:hint="eastAsia" w:ascii="宋体" w:hAnsi="宋体" w:eastAsia="宋体" w:cs="宋体"/>
          <w:color w:val="auto"/>
          <w:sz w:val="24"/>
          <w:highlight w:val="none"/>
        </w:rPr>
      </w:pPr>
    </w:p>
    <w:p w14:paraId="3DD8E6E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49D83CCA">
      <w:pPr>
        <w:tabs>
          <w:tab w:val="left" w:pos="6300"/>
        </w:tabs>
        <w:snapToGrid w:val="0"/>
        <w:spacing w:line="500" w:lineRule="exact"/>
        <w:ind w:firstLine="570"/>
        <w:rPr>
          <w:rFonts w:hint="eastAsia" w:ascii="宋体" w:hAnsi="宋体" w:eastAsia="宋体" w:cs="宋体"/>
          <w:color w:val="auto"/>
          <w:sz w:val="24"/>
          <w:highlight w:val="none"/>
        </w:rPr>
      </w:pPr>
    </w:p>
    <w:p w14:paraId="594BDC6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4DC253F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781ADC9D">
      <w:pPr>
        <w:tabs>
          <w:tab w:val="left" w:pos="6300"/>
        </w:tabs>
        <w:snapToGrid w:val="0"/>
        <w:spacing w:line="500" w:lineRule="exact"/>
        <w:ind w:firstLine="570"/>
        <w:rPr>
          <w:rFonts w:hint="eastAsia" w:ascii="宋体" w:hAnsi="宋体" w:eastAsia="宋体" w:cs="宋体"/>
          <w:color w:val="auto"/>
          <w:sz w:val="24"/>
          <w:highlight w:val="none"/>
        </w:rPr>
      </w:pPr>
    </w:p>
    <w:p w14:paraId="604B6CB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A8ED343">
      <w:pPr>
        <w:tabs>
          <w:tab w:val="left" w:pos="6300"/>
        </w:tabs>
        <w:snapToGrid w:val="0"/>
        <w:spacing w:line="500" w:lineRule="exact"/>
        <w:ind w:firstLine="570"/>
        <w:rPr>
          <w:rFonts w:hint="eastAsia" w:ascii="宋体" w:hAnsi="宋体" w:eastAsia="宋体" w:cs="宋体"/>
          <w:color w:val="auto"/>
          <w:sz w:val="24"/>
          <w:highlight w:val="none"/>
        </w:rPr>
      </w:pPr>
    </w:p>
    <w:p w14:paraId="1E25CB57">
      <w:pPr>
        <w:tabs>
          <w:tab w:val="left" w:pos="6300"/>
        </w:tabs>
        <w:snapToGrid w:val="0"/>
        <w:spacing w:line="500" w:lineRule="exact"/>
        <w:ind w:firstLine="570"/>
        <w:rPr>
          <w:rFonts w:hint="eastAsia" w:ascii="宋体" w:hAnsi="宋体" w:eastAsia="宋体" w:cs="宋体"/>
          <w:color w:val="auto"/>
          <w:sz w:val="24"/>
          <w:highlight w:val="none"/>
        </w:rPr>
      </w:pPr>
    </w:p>
    <w:p w14:paraId="6DBA1018">
      <w:pPr>
        <w:tabs>
          <w:tab w:val="left" w:pos="6300"/>
        </w:tabs>
        <w:snapToGrid w:val="0"/>
        <w:spacing w:line="500" w:lineRule="exact"/>
        <w:ind w:firstLine="570"/>
        <w:rPr>
          <w:rFonts w:hint="eastAsia" w:ascii="宋体" w:hAnsi="宋体" w:eastAsia="宋体" w:cs="宋体"/>
          <w:color w:val="auto"/>
          <w:sz w:val="24"/>
          <w:highlight w:val="none"/>
        </w:rPr>
      </w:pPr>
    </w:p>
    <w:p w14:paraId="3D9134D0">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5508C5C8">
      <w:pPr>
        <w:tabs>
          <w:tab w:val="left" w:pos="6300"/>
        </w:tabs>
        <w:snapToGrid w:val="0"/>
        <w:spacing w:line="500" w:lineRule="exact"/>
        <w:ind w:firstLine="570"/>
        <w:rPr>
          <w:rFonts w:hint="eastAsia" w:ascii="宋体" w:hAnsi="宋体" w:eastAsia="宋体" w:cs="宋体"/>
          <w:color w:val="auto"/>
          <w:sz w:val="24"/>
          <w:highlight w:val="none"/>
        </w:rPr>
      </w:pPr>
    </w:p>
    <w:p w14:paraId="631EEB60">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DDDF66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5018889C">
      <w:pPr>
        <w:tabs>
          <w:tab w:val="left" w:pos="6300"/>
        </w:tabs>
        <w:snapToGrid w:val="0"/>
        <w:spacing w:line="500" w:lineRule="exact"/>
        <w:ind w:firstLine="570"/>
        <w:rPr>
          <w:rFonts w:hint="eastAsia" w:ascii="宋体" w:hAnsi="宋体" w:eastAsia="宋体" w:cs="宋体"/>
          <w:color w:val="auto"/>
          <w:sz w:val="24"/>
          <w:highlight w:val="none"/>
        </w:rPr>
      </w:pPr>
    </w:p>
    <w:p w14:paraId="606227B3">
      <w:pPr>
        <w:tabs>
          <w:tab w:val="left" w:pos="6300"/>
        </w:tabs>
        <w:snapToGrid w:val="0"/>
        <w:spacing w:line="500" w:lineRule="exact"/>
        <w:ind w:firstLine="570"/>
        <w:rPr>
          <w:rFonts w:hint="eastAsia" w:ascii="宋体" w:hAnsi="宋体" w:eastAsia="宋体" w:cs="宋体"/>
          <w:color w:val="auto"/>
          <w:sz w:val="24"/>
          <w:highlight w:val="none"/>
        </w:rPr>
      </w:pPr>
    </w:p>
    <w:p w14:paraId="7654483F">
      <w:pPr>
        <w:tabs>
          <w:tab w:val="left" w:pos="6300"/>
        </w:tabs>
        <w:snapToGrid w:val="0"/>
        <w:spacing w:line="500" w:lineRule="exact"/>
        <w:ind w:firstLine="570"/>
        <w:rPr>
          <w:rFonts w:hint="eastAsia" w:ascii="宋体" w:hAnsi="宋体" w:eastAsia="宋体" w:cs="宋体"/>
          <w:color w:val="auto"/>
          <w:sz w:val="24"/>
          <w:highlight w:val="none"/>
        </w:rPr>
      </w:pPr>
    </w:p>
    <w:p w14:paraId="45B3E865">
      <w:pPr>
        <w:tabs>
          <w:tab w:val="left" w:pos="6300"/>
        </w:tabs>
        <w:snapToGrid w:val="0"/>
        <w:spacing w:line="500" w:lineRule="exact"/>
        <w:ind w:firstLine="570"/>
        <w:rPr>
          <w:rFonts w:hint="eastAsia" w:ascii="宋体" w:hAnsi="宋体" w:eastAsia="宋体" w:cs="宋体"/>
          <w:color w:val="auto"/>
          <w:sz w:val="24"/>
          <w:highlight w:val="none"/>
        </w:rPr>
      </w:pPr>
    </w:p>
    <w:p w14:paraId="3E9D17A4">
      <w:pPr>
        <w:tabs>
          <w:tab w:val="left" w:pos="6300"/>
        </w:tabs>
        <w:snapToGrid w:val="0"/>
        <w:spacing w:line="500" w:lineRule="exact"/>
        <w:ind w:firstLine="570"/>
        <w:rPr>
          <w:rFonts w:hint="eastAsia" w:ascii="宋体" w:hAnsi="宋体" w:eastAsia="宋体" w:cs="宋体"/>
          <w:color w:val="auto"/>
          <w:sz w:val="24"/>
          <w:highlight w:val="none"/>
        </w:rPr>
      </w:pPr>
    </w:p>
    <w:p w14:paraId="0F2F635F">
      <w:pPr>
        <w:tabs>
          <w:tab w:val="left" w:pos="6300"/>
        </w:tabs>
        <w:snapToGrid w:val="0"/>
        <w:spacing w:line="500" w:lineRule="exact"/>
        <w:ind w:firstLine="570"/>
        <w:rPr>
          <w:rFonts w:hint="eastAsia" w:ascii="宋体" w:hAnsi="宋体" w:eastAsia="宋体" w:cs="宋体"/>
          <w:color w:val="auto"/>
          <w:sz w:val="24"/>
          <w:highlight w:val="none"/>
        </w:rPr>
      </w:pPr>
    </w:p>
    <w:p w14:paraId="24E6F46F">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1A3AE058">
      <w:pPr>
        <w:tabs>
          <w:tab w:val="left" w:pos="6300"/>
        </w:tabs>
        <w:snapToGrid w:val="0"/>
        <w:spacing w:line="500" w:lineRule="exact"/>
        <w:ind w:firstLine="570"/>
        <w:rPr>
          <w:rFonts w:hint="eastAsia" w:ascii="宋体" w:hAnsi="宋体" w:eastAsia="宋体" w:cs="宋体"/>
          <w:color w:val="auto"/>
          <w:sz w:val="24"/>
          <w:highlight w:val="none"/>
        </w:rPr>
      </w:pPr>
    </w:p>
    <w:p w14:paraId="3E13125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39C39C2A">
      <w:pPr>
        <w:tabs>
          <w:tab w:val="left" w:pos="6300"/>
        </w:tabs>
        <w:snapToGrid w:val="0"/>
        <w:spacing w:line="500" w:lineRule="exact"/>
        <w:ind w:firstLine="570"/>
        <w:rPr>
          <w:rFonts w:hint="eastAsia" w:ascii="宋体" w:hAnsi="宋体" w:eastAsia="宋体" w:cs="宋体"/>
          <w:color w:val="auto"/>
          <w:sz w:val="24"/>
          <w:highlight w:val="none"/>
        </w:rPr>
      </w:pPr>
    </w:p>
    <w:p w14:paraId="62B4A28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19D7F8B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（被授权人姓名及身份证号码）代表我单位全权办理上述项目的采购、签约等具体工作，并签署全部有关文件、协议及合同。</w:t>
      </w:r>
    </w:p>
    <w:p w14:paraId="4EF963E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3434444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5A886673">
      <w:pPr>
        <w:tabs>
          <w:tab w:val="left" w:pos="6300"/>
        </w:tabs>
        <w:snapToGrid w:val="0"/>
        <w:spacing w:line="500" w:lineRule="exact"/>
        <w:ind w:firstLine="570"/>
        <w:rPr>
          <w:rFonts w:hint="eastAsia" w:ascii="宋体" w:hAnsi="宋体" w:eastAsia="宋体" w:cs="宋体"/>
          <w:color w:val="auto"/>
          <w:sz w:val="24"/>
          <w:highlight w:val="none"/>
        </w:rPr>
      </w:pPr>
    </w:p>
    <w:p w14:paraId="23752A12">
      <w:pPr>
        <w:tabs>
          <w:tab w:val="left" w:pos="6300"/>
        </w:tabs>
        <w:snapToGrid w:val="0"/>
        <w:spacing w:line="500" w:lineRule="exact"/>
        <w:ind w:firstLine="570"/>
        <w:rPr>
          <w:rFonts w:hint="eastAsia" w:ascii="宋体" w:hAnsi="宋体" w:eastAsia="宋体" w:cs="宋体"/>
          <w:color w:val="auto"/>
          <w:sz w:val="24"/>
          <w:highlight w:val="none"/>
        </w:rPr>
      </w:pPr>
    </w:p>
    <w:p w14:paraId="525D18A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038D8388">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1902486E">
      <w:pPr>
        <w:tabs>
          <w:tab w:val="left" w:pos="6300"/>
        </w:tabs>
        <w:snapToGrid w:val="0"/>
        <w:spacing w:line="500" w:lineRule="exact"/>
        <w:ind w:firstLine="570"/>
        <w:rPr>
          <w:rFonts w:hint="eastAsia" w:ascii="宋体" w:hAnsi="宋体" w:eastAsia="宋体" w:cs="宋体"/>
          <w:color w:val="auto"/>
          <w:sz w:val="24"/>
          <w:szCs w:val="28"/>
          <w:highlight w:val="none"/>
        </w:rPr>
      </w:pPr>
    </w:p>
    <w:p w14:paraId="4205E6F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34286CA0">
      <w:pPr>
        <w:tabs>
          <w:tab w:val="left" w:pos="6300"/>
        </w:tabs>
        <w:snapToGrid w:val="0"/>
        <w:spacing w:line="500" w:lineRule="exact"/>
        <w:ind w:firstLine="570"/>
        <w:rPr>
          <w:rFonts w:hint="eastAsia" w:ascii="宋体" w:hAnsi="宋体" w:eastAsia="宋体" w:cs="宋体"/>
          <w:color w:val="auto"/>
          <w:sz w:val="24"/>
          <w:highlight w:val="none"/>
        </w:rPr>
      </w:pPr>
    </w:p>
    <w:p w14:paraId="393AF98E">
      <w:pPr>
        <w:tabs>
          <w:tab w:val="left" w:pos="6300"/>
        </w:tabs>
        <w:snapToGrid w:val="0"/>
        <w:spacing w:line="500" w:lineRule="exact"/>
        <w:ind w:firstLine="570"/>
        <w:rPr>
          <w:rFonts w:hint="eastAsia" w:ascii="宋体" w:hAnsi="宋体" w:eastAsia="宋体" w:cs="宋体"/>
          <w:color w:val="auto"/>
          <w:sz w:val="24"/>
          <w:highlight w:val="none"/>
        </w:rPr>
      </w:pPr>
    </w:p>
    <w:p w14:paraId="79349C0E">
      <w:pPr>
        <w:tabs>
          <w:tab w:val="left" w:pos="6300"/>
        </w:tabs>
        <w:snapToGrid w:val="0"/>
        <w:spacing w:line="500" w:lineRule="exact"/>
        <w:ind w:firstLine="570"/>
        <w:rPr>
          <w:rFonts w:hint="eastAsia" w:ascii="宋体" w:hAnsi="宋体" w:eastAsia="宋体" w:cs="宋体"/>
          <w:color w:val="auto"/>
          <w:sz w:val="24"/>
          <w:highlight w:val="none"/>
        </w:rPr>
      </w:pPr>
    </w:p>
    <w:p w14:paraId="44D1ED6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32B4F04C">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E30D0CA">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34506614">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183" w:name="_Toc14422"/>
      <w:r>
        <w:rPr>
          <w:rFonts w:hint="eastAsia" w:ascii="宋体" w:hAnsi="宋体" w:eastAsia="宋体" w:cs="宋体"/>
          <w:color w:val="auto"/>
          <w:sz w:val="24"/>
          <w:szCs w:val="24"/>
          <w:highlight w:val="none"/>
        </w:rPr>
        <w:t>（四）基本资格条件承诺函（格式）</w:t>
      </w:r>
    </w:p>
    <w:p w14:paraId="4A8E7195">
      <w:pPr>
        <w:tabs>
          <w:tab w:val="left" w:pos="6300"/>
        </w:tabs>
        <w:snapToGrid w:val="0"/>
        <w:spacing w:line="530" w:lineRule="exact"/>
        <w:rPr>
          <w:rFonts w:hint="eastAsia" w:ascii="宋体" w:hAnsi="宋体" w:eastAsia="宋体" w:cs="宋体"/>
          <w:color w:val="auto"/>
          <w:sz w:val="24"/>
          <w:highlight w:val="none"/>
        </w:rPr>
      </w:pPr>
    </w:p>
    <w:p w14:paraId="3726BB79">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465F4743">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2842EFD9">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673ABD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7E07F0D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4A8CD6B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0B09103C">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7DDA5AD">
      <w:pPr>
        <w:tabs>
          <w:tab w:val="left" w:pos="6300"/>
        </w:tabs>
        <w:snapToGrid w:val="0"/>
        <w:spacing w:line="530" w:lineRule="exact"/>
        <w:rPr>
          <w:rFonts w:hint="eastAsia" w:ascii="宋体" w:hAnsi="宋体" w:eastAsia="宋体" w:cs="宋体"/>
          <w:color w:val="auto"/>
          <w:sz w:val="24"/>
          <w:szCs w:val="24"/>
          <w:highlight w:val="none"/>
        </w:rPr>
      </w:pPr>
    </w:p>
    <w:p w14:paraId="481B795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7699FC8C">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14D24BF">
      <w:pPr>
        <w:tabs>
          <w:tab w:val="left" w:pos="6300"/>
        </w:tabs>
        <w:snapToGrid w:val="0"/>
        <w:spacing w:line="500" w:lineRule="exact"/>
        <w:ind w:firstLine="570"/>
        <w:rPr>
          <w:rFonts w:hint="eastAsia" w:ascii="宋体" w:hAnsi="宋体" w:eastAsia="宋体" w:cs="宋体"/>
          <w:color w:val="auto"/>
          <w:sz w:val="24"/>
          <w:szCs w:val="24"/>
          <w:highlight w:val="none"/>
        </w:rPr>
      </w:pPr>
    </w:p>
    <w:p w14:paraId="591C823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6AB24D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633B7F1C">
      <w:pPr>
        <w:pStyle w:val="4"/>
        <w:rPr>
          <w:rFonts w:hint="eastAsia" w:ascii="宋体" w:hAnsi="宋体" w:eastAsia="宋体" w:cs="宋体"/>
          <w:color w:val="auto"/>
          <w:sz w:val="24"/>
          <w:szCs w:val="24"/>
          <w:highlight w:val="none"/>
        </w:rPr>
      </w:pPr>
    </w:p>
    <w:p w14:paraId="1C664986">
      <w:pPr>
        <w:rPr>
          <w:rFonts w:hint="eastAsia" w:ascii="宋体" w:hAnsi="宋体" w:eastAsia="宋体" w:cs="宋体"/>
          <w:color w:val="auto"/>
          <w:sz w:val="24"/>
          <w:szCs w:val="24"/>
          <w:highlight w:val="none"/>
        </w:rPr>
      </w:pPr>
    </w:p>
    <w:p w14:paraId="56E4A512">
      <w:pPr>
        <w:pStyle w:val="4"/>
        <w:rPr>
          <w:rFonts w:hint="eastAsia" w:ascii="宋体" w:hAnsi="宋体" w:eastAsia="宋体" w:cs="宋体"/>
          <w:color w:val="auto"/>
          <w:sz w:val="24"/>
          <w:szCs w:val="24"/>
          <w:highlight w:val="none"/>
        </w:rPr>
      </w:pPr>
    </w:p>
    <w:p w14:paraId="505AE8E0">
      <w:pPr>
        <w:rPr>
          <w:rFonts w:hint="eastAsia" w:ascii="宋体" w:hAnsi="宋体" w:eastAsia="宋体" w:cs="宋体"/>
          <w:color w:val="auto"/>
          <w:sz w:val="24"/>
          <w:szCs w:val="24"/>
          <w:highlight w:val="none"/>
        </w:rPr>
      </w:pPr>
    </w:p>
    <w:p w14:paraId="3D37DCD0">
      <w:pPr>
        <w:tabs>
          <w:tab w:val="left" w:pos="6300"/>
        </w:tabs>
        <w:snapToGrid w:val="0"/>
        <w:spacing w:line="500" w:lineRule="exact"/>
        <w:ind w:firstLine="570"/>
        <w:rPr>
          <w:rFonts w:hint="eastAsia" w:ascii="宋体" w:hAnsi="宋体" w:eastAsia="宋体" w:cs="宋体"/>
          <w:color w:val="auto"/>
          <w:sz w:val="24"/>
          <w:szCs w:val="24"/>
          <w:highlight w:val="none"/>
        </w:rPr>
      </w:pPr>
    </w:p>
    <w:p w14:paraId="41B9D72B">
      <w:pPr>
        <w:tabs>
          <w:tab w:val="left" w:pos="6300"/>
        </w:tabs>
        <w:snapToGrid w:val="0"/>
        <w:spacing w:line="500" w:lineRule="exact"/>
        <w:ind w:firstLine="570"/>
        <w:rPr>
          <w:rFonts w:hint="eastAsia" w:ascii="宋体" w:hAnsi="宋体" w:eastAsia="宋体" w:cs="宋体"/>
          <w:color w:val="auto"/>
          <w:sz w:val="24"/>
          <w:szCs w:val="24"/>
          <w:highlight w:val="none"/>
        </w:rPr>
      </w:pPr>
    </w:p>
    <w:p w14:paraId="2B3D1E9E">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3B2E3F59">
      <w:pPr>
        <w:pStyle w:val="4"/>
        <w:spacing w:before="0" w:after="0" w:line="360" w:lineRule="auto"/>
        <w:rPr>
          <w:rFonts w:hint="eastAsia" w:ascii="宋体" w:hAnsi="宋体" w:eastAsia="宋体" w:cs="宋体"/>
          <w:b w:val="0"/>
          <w:bCs/>
          <w:color w:val="auto"/>
          <w:highlight w:val="none"/>
        </w:rPr>
      </w:pPr>
      <w:r>
        <w:rPr>
          <w:rFonts w:hint="eastAsia" w:ascii="宋体" w:hAnsi="宋体" w:eastAsia="宋体" w:cs="宋体"/>
          <w:b w:val="0"/>
          <w:color w:val="auto"/>
          <w:sz w:val="28"/>
          <w:highlight w:val="none"/>
        </w:rPr>
        <w:br w:type="page"/>
      </w:r>
      <w:bookmarkStart w:id="184" w:name="_Toc26481"/>
      <w:bookmarkStart w:id="185" w:name="_Toc15318"/>
      <w:bookmarkStart w:id="186" w:name="_Toc17417"/>
      <w:bookmarkStart w:id="187" w:name="_Toc5951"/>
      <w:r>
        <w:rPr>
          <w:rFonts w:hint="eastAsia" w:ascii="宋体" w:hAnsi="宋体" w:eastAsia="宋体" w:cs="宋体"/>
          <w:b w:val="0"/>
          <w:bCs/>
          <w:color w:val="auto"/>
          <w:sz w:val="24"/>
          <w:szCs w:val="24"/>
          <w:highlight w:val="none"/>
        </w:rPr>
        <w:t>五、其他应提供的资料</w:t>
      </w:r>
      <w:bookmarkEnd w:id="183"/>
      <w:bookmarkEnd w:id="184"/>
      <w:bookmarkEnd w:id="185"/>
      <w:bookmarkEnd w:id="186"/>
      <w:bookmarkEnd w:id="187"/>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如有，格式自拟）</w:t>
      </w:r>
    </w:p>
    <w:p w14:paraId="19E800B9">
      <w:pPr>
        <w:tabs>
          <w:tab w:val="left" w:pos="6300"/>
        </w:tabs>
        <w:snapToGrid w:val="0"/>
        <w:spacing w:line="500" w:lineRule="exact"/>
        <w:ind w:firstLine="570"/>
        <w:rPr>
          <w:rFonts w:hint="eastAsia" w:ascii="宋体" w:hAnsi="宋体" w:eastAsia="宋体" w:cs="宋体"/>
          <w:color w:val="auto"/>
          <w:sz w:val="24"/>
          <w:szCs w:val="24"/>
          <w:highlight w:val="none"/>
        </w:rPr>
      </w:pPr>
      <w:bookmarkStart w:id="188" w:name="_Toc136880175"/>
      <w:bookmarkStart w:id="189" w:name="_Toc10494"/>
      <w:bookmarkStart w:id="190" w:name="_Toc27041"/>
      <w:bookmarkStart w:id="191" w:name="_Toc136879718"/>
    </w:p>
    <w:bookmarkEnd w:id="188"/>
    <w:bookmarkEnd w:id="189"/>
    <w:bookmarkEnd w:id="190"/>
    <w:bookmarkEnd w:id="191"/>
    <w:p w14:paraId="70753C6C">
      <w:pPr>
        <w:spacing w:line="360" w:lineRule="auto"/>
        <w:ind w:firstLine="480" w:firstLineChars="200"/>
        <w:jc w:val="center"/>
        <w:rPr>
          <w:rFonts w:hint="eastAsia" w:ascii="宋体" w:hAnsi="宋体" w:eastAsia="宋体" w:cs="宋体"/>
          <w:color w:val="auto"/>
          <w:sz w:val="24"/>
          <w:szCs w:val="24"/>
          <w:highlight w:val="none"/>
        </w:rPr>
      </w:pPr>
    </w:p>
    <w:p w14:paraId="3FACF607">
      <w:pPr>
        <w:spacing w:line="400" w:lineRule="exact"/>
        <w:ind w:firstLine="480" w:firstLineChars="200"/>
        <w:jc w:val="center"/>
        <w:rPr>
          <w:rFonts w:hint="eastAsia" w:ascii="宋体" w:hAnsi="宋体" w:eastAsia="宋体" w:cs="宋体"/>
          <w:color w:val="auto"/>
          <w:sz w:val="24"/>
          <w:szCs w:val="24"/>
          <w:highlight w:val="none"/>
        </w:rPr>
      </w:pPr>
    </w:p>
    <w:p w14:paraId="1AAB8809">
      <w:pPr>
        <w:spacing w:line="400" w:lineRule="exact"/>
        <w:ind w:firstLine="480" w:firstLineChars="200"/>
        <w:jc w:val="center"/>
        <w:rPr>
          <w:rFonts w:hint="eastAsia" w:ascii="宋体" w:hAnsi="宋体" w:eastAsia="宋体" w:cs="宋体"/>
          <w:color w:val="auto"/>
          <w:sz w:val="24"/>
          <w:szCs w:val="24"/>
          <w:highlight w:val="none"/>
        </w:rPr>
      </w:pPr>
    </w:p>
    <w:p w14:paraId="669826BE">
      <w:pPr>
        <w:spacing w:line="400" w:lineRule="exact"/>
        <w:ind w:firstLine="480" w:firstLineChars="200"/>
        <w:jc w:val="center"/>
        <w:rPr>
          <w:rFonts w:hint="eastAsia" w:ascii="宋体" w:hAnsi="宋体" w:eastAsia="宋体" w:cs="宋体"/>
          <w:color w:val="auto"/>
          <w:sz w:val="24"/>
          <w:szCs w:val="24"/>
          <w:highlight w:val="none"/>
        </w:rPr>
      </w:pPr>
    </w:p>
    <w:p w14:paraId="3371FA22">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3CA9A860">
      <w:pPr>
        <w:spacing w:line="360" w:lineRule="auto"/>
        <w:ind w:firstLine="480" w:firstLineChars="200"/>
        <w:rPr>
          <w:rFonts w:hint="eastAsia" w:ascii="宋体" w:hAnsi="宋体" w:eastAsia="宋体" w:cs="宋体"/>
          <w:color w:val="auto"/>
          <w:sz w:val="24"/>
          <w:szCs w:val="24"/>
          <w:highlight w:val="none"/>
        </w:rPr>
      </w:pPr>
    </w:p>
    <w:p w14:paraId="14858A8F">
      <w:pPr>
        <w:spacing w:line="360" w:lineRule="auto"/>
        <w:ind w:firstLine="480" w:firstLineChars="200"/>
        <w:jc w:val="center"/>
        <w:rPr>
          <w:rFonts w:hint="eastAsia" w:ascii="宋体" w:hAnsi="宋体" w:eastAsia="宋体" w:cs="宋体"/>
          <w:color w:val="auto"/>
          <w:sz w:val="24"/>
          <w:szCs w:val="24"/>
          <w:highlight w:val="none"/>
        </w:rPr>
      </w:pPr>
    </w:p>
    <w:p w14:paraId="00BA9B37">
      <w:pPr>
        <w:spacing w:line="360" w:lineRule="auto"/>
        <w:ind w:firstLine="480" w:firstLineChars="200"/>
        <w:jc w:val="center"/>
        <w:rPr>
          <w:rFonts w:hint="eastAsia" w:ascii="宋体" w:hAnsi="宋体" w:eastAsia="宋体" w:cs="宋体"/>
          <w:color w:val="auto"/>
          <w:sz w:val="24"/>
          <w:szCs w:val="24"/>
          <w:highlight w:val="none"/>
        </w:rPr>
      </w:pPr>
    </w:p>
    <w:p w14:paraId="67772B6C">
      <w:pPr>
        <w:spacing w:line="360" w:lineRule="auto"/>
        <w:ind w:firstLine="480" w:firstLineChars="200"/>
        <w:jc w:val="center"/>
        <w:rPr>
          <w:rFonts w:hint="eastAsia" w:ascii="宋体" w:hAnsi="宋体" w:eastAsia="宋体" w:cs="宋体"/>
          <w:color w:val="auto"/>
          <w:sz w:val="24"/>
          <w:szCs w:val="24"/>
          <w:highlight w:val="none"/>
        </w:rPr>
      </w:pPr>
    </w:p>
    <w:p w14:paraId="2D8822C7">
      <w:pPr>
        <w:spacing w:line="360" w:lineRule="auto"/>
        <w:ind w:firstLine="480" w:firstLineChars="200"/>
        <w:jc w:val="center"/>
        <w:rPr>
          <w:rFonts w:hint="eastAsia" w:ascii="宋体" w:hAnsi="宋体" w:eastAsia="宋体" w:cs="宋体"/>
          <w:color w:val="auto"/>
          <w:sz w:val="24"/>
          <w:szCs w:val="24"/>
          <w:highlight w:val="none"/>
        </w:rPr>
      </w:pPr>
    </w:p>
    <w:p w14:paraId="6C926522">
      <w:pPr>
        <w:spacing w:line="360" w:lineRule="auto"/>
        <w:ind w:firstLine="480" w:firstLineChars="200"/>
        <w:jc w:val="center"/>
        <w:rPr>
          <w:rFonts w:hint="eastAsia" w:ascii="宋体" w:hAnsi="宋体" w:eastAsia="宋体" w:cs="宋体"/>
          <w:color w:val="auto"/>
          <w:sz w:val="24"/>
          <w:szCs w:val="24"/>
          <w:highlight w:val="none"/>
        </w:rPr>
      </w:pPr>
    </w:p>
    <w:p w14:paraId="21D4C79F">
      <w:pPr>
        <w:pStyle w:val="126"/>
        <w:spacing w:line="20" w:lineRule="atLeast"/>
        <w:jc w:val="center"/>
        <w:rPr>
          <w:rFonts w:hint="eastAsia" w:ascii="宋体" w:hAnsi="宋体" w:eastAsia="宋体" w:cs="宋体"/>
          <w:color w:val="auto"/>
          <w:highlight w:val="none"/>
        </w:rPr>
      </w:pPr>
    </w:p>
    <w:p w14:paraId="51AC34FC">
      <w:pPr>
        <w:pStyle w:val="126"/>
        <w:spacing w:line="20" w:lineRule="atLeast"/>
        <w:jc w:val="center"/>
        <w:rPr>
          <w:rFonts w:hint="eastAsia" w:ascii="宋体" w:hAnsi="宋体" w:eastAsia="宋体" w:cs="宋体"/>
          <w:color w:val="auto"/>
          <w:highlight w:val="none"/>
        </w:rPr>
      </w:pPr>
    </w:p>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embedRegular r:id="rId1" w:fontKey="{535B1343-1E8B-420D-95EF-67871163817E}"/>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embedRegular r:id="rId2" w:fontKey="{333225BA-333E-4BCF-834F-E7AE2CBBE8F5}"/>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embedRegular r:id="rId3" w:fontKey="{F5ECB967-1AD0-49B4-B9BA-A6F638F038D9}"/>
  </w:font>
  <w:font w:name="方正仿宋_GBK">
    <w:altName w:val="微软雅黑"/>
    <w:panose1 w:val="02000000000000000000"/>
    <w:charset w:val="86"/>
    <w:family w:val="script"/>
    <w:pitch w:val="default"/>
    <w:sig w:usb0="00000000" w:usb1="00000000" w:usb2="00000000" w:usb3="00000000" w:csb0="00040000" w:csb1="00000000"/>
    <w:embedRegular r:id="rId4" w:fontKey="{CE3A3311-7467-469B-913F-22CAD3FECD69}"/>
  </w:font>
  <w:font w:name="方正黑体_GBK">
    <w:altName w:val="微软雅黑"/>
    <w:panose1 w:val="02000000000000000000"/>
    <w:charset w:val="86"/>
    <w:family w:val="auto"/>
    <w:pitch w:val="default"/>
    <w:sig w:usb0="00000000" w:usb1="00000000" w:usb2="00000000" w:usb3="00000000" w:csb0="00040000" w:csb1="00000000"/>
    <w:embedRegular r:id="rId5" w:fontKey="{1866E342-A3DC-4E6E-A393-5BB3EC02EC36}"/>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C1F9E">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6CA4B94F">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9957">
    <w:pPr>
      <w:pStyle w:val="36"/>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3026">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6942">
    <w:pPr>
      <w:pStyle w:val="38"/>
      <w:jc w:val="both"/>
      <w:rPr>
        <w:rFonts w:ascii="仿宋" w:hAnsi="仿宋" w:eastAsia="仿宋" w:cs="仿宋"/>
        <w:sz w:val="24"/>
        <w:szCs w:val="24"/>
      </w:rPr>
    </w:pPr>
    <w:r>
      <w:rPr>
        <w:rFonts w:hint="eastAsia" w:ascii="仿宋" w:hAnsi="仿宋" w:eastAsia="仿宋" w:cs="仿宋"/>
        <w:sz w:val="24"/>
        <w:szCs w:val="24"/>
        <w:lang w:val="en-US" w:eastAsia="zh-CN"/>
      </w:rPr>
      <w:t xml:space="preserve">重庆千诺工程项目管理有限公司  </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5AA5">
    <w:pPr>
      <w:pStyle w:val="38"/>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D6760">
    <w:pPr>
      <w:pStyle w:val="38"/>
      <w:jc w:val="both"/>
    </w:pPr>
    <w:r>
      <w:rPr>
        <w:rFonts w:hint="eastAsia" w:ascii="方正仿宋_GBK" w:eastAsia="方正仿宋_GBK"/>
        <w:sz w:val="21"/>
        <w:szCs w:val="21"/>
        <w:lang w:eastAsia="zh-CN"/>
      </w:rPr>
      <w:t>重庆千诺工程项目管理有限公司</w:t>
    </w:r>
    <w:r>
      <w:rPr>
        <w:rFonts w:hint="eastAsia" w:ascii="方正仿宋_GBK" w:eastAsia="方正仿宋_GBK"/>
        <w:sz w:val="21"/>
        <w:szCs w:val="21"/>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FAA715AA"/>
    <w:multiLevelType w:val="singleLevel"/>
    <w:tmpl w:val="FAA715AA"/>
    <w:lvl w:ilvl="0" w:tentative="0">
      <w:start w:val="2"/>
      <w:numFmt w:val="decimal"/>
      <w:lvlText w:val="%1."/>
      <w:lvlJc w:val="left"/>
      <w:pPr>
        <w:tabs>
          <w:tab w:val="left" w:pos="312"/>
        </w:tabs>
      </w:pPr>
    </w:lvl>
  </w:abstractNum>
  <w:abstractNum w:abstractNumId="2">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4"/>
  </w:num>
  <w:num w:numId="10">
    <w:abstractNumId w:val="8"/>
  </w:num>
  <w:num w:numId="11">
    <w:abstractNumId w:val="9"/>
  </w:num>
  <w:num w:numId="12">
    <w:abstractNumId w:val="5"/>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466196e3-2bcf-42ae-96dc-6deba7c9db18"/>
  </w:docVars>
  <w:rsids>
    <w:rsidRoot w:val="00B50FC0"/>
    <w:rsid w:val="000661D3"/>
    <w:rsid w:val="0006680A"/>
    <w:rsid w:val="000851E6"/>
    <w:rsid w:val="000E7F13"/>
    <w:rsid w:val="0016285F"/>
    <w:rsid w:val="00166E1F"/>
    <w:rsid w:val="0019222D"/>
    <w:rsid w:val="002D3BA6"/>
    <w:rsid w:val="003222D6"/>
    <w:rsid w:val="00492675"/>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E42B9F"/>
    <w:rsid w:val="00E60A79"/>
    <w:rsid w:val="00F05E08"/>
    <w:rsid w:val="00F340E6"/>
    <w:rsid w:val="00F96D4B"/>
    <w:rsid w:val="011A5340"/>
    <w:rsid w:val="01891B53"/>
    <w:rsid w:val="01C21457"/>
    <w:rsid w:val="0221276B"/>
    <w:rsid w:val="025877D0"/>
    <w:rsid w:val="026D64DC"/>
    <w:rsid w:val="027C16B8"/>
    <w:rsid w:val="0317318F"/>
    <w:rsid w:val="03556AB2"/>
    <w:rsid w:val="04382163"/>
    <w:rsid w:val="04676E77"/>
    <w:rsid w:val="04A63819"/>
    <w:rsid w:val="04F85FF1"/>
    <w:rsid w:val="05BB42A5"/>
    <w:rsid w:val="05FB28F4"/>
    <w:rsid w:val="06635A4F"/>
    <w:rsid w:val="072145DC"/>
    <w:rsid w:val="07ED235A"/>
    <w:rsid w:val="088B55C9"/>
    <w:rsid w:val="089112ED"/>
    <w:rsid w:val="08B3253E"/>
    <w:rsid w:val="092C7268"/>
    <w:rsid w:val="09D1609A"/>
    <w:rsid w:val="09D77CF9"/>
    <w:rsid w:val="09ED2E9B"/>
    <w:rsid w:val="0A4B01E4"/>
    <w:rsid w:val="0A707BE7"/>
    <w:rsid w:val="0A7D7D7B"/>
    <w:rsid w:val="0AD61B81"/>
    <w:rsid w:val="0ADF4EB4"/>
    <w:rsid w:val="0B8961FD"/>
    <w:rsid w:val="0D0C2411"/>
    <w:rsid w:val="0E331896"/>
    <w:rsid w:val="0E671979"/>
    <w:rsid w:val="0F167D68"/>
    <w:rsid w:val="0F251EFA"/>
    <w:rsid w:val="0F2C1D70"/>
    <w:rsid w:val="0FAC1E0F"/>
    <w:rsid w:val="0FB35FED"/>
    <w:rsid w:val="0FC92E5D"/>
    <w:rsid w:val="10104F83"/>
    <w:rsid w:val="10D23E14"/>
    <w:rsid w:val="11060443"/>
    <w:rsid w:val="112F264C"/>
    <w:rsid w:val="118C42A1"/>
    <w:rsid w:val="11A541D1"/>
    <w:rsid w:val="11AE2F4A"/>
    <w:rsid w:val="11B31A46"/>
    <w:rsid w:val="11DD4F52"/>
    <w:rsid w:val="12227F59"/>
    <w:rsid w:val="12977E48"/>
    <w:rsid w:val="12B60FA3"/>
    <w:rsid w:val="13054DB2"/>
    <w:rsid w:val="132412C3"/>
    <w:rsid w:val="133D2E2F"/>
    <w:rsid w:val="13E73C4E"/>
    <w:rsid w:val="14A33DD8"/>
    <w:rsid w:val="15D07BCF"/>
    <w:rsid w:val="16640530"/>
    <w:rsid w:val="16755E9F"/>
    <w:rsid w:val="17183E80"/>
    <w:rsid w:val="171C5300"/>
    <w:rsid w:val="17492F0E"/>
    <w:rsid w:val="17881C2D"/>
    <w:rsid w:val="179F70B6"/>
    <w:rsid w:val="18785439"/>
    <w:rsid w:val="190F569C"/>
    <w:rsid w:val="19461C80"/>
    <w:rsid w:val="19F95FF3"/>
    <w:rsid w:val="19FC4286"/>
    <w:rsid w:val="1A192F67"/>
    <w:rsid w:val="1A8216F7"/>
    <w:rsid w:val="1AB23A71"/>
    <w:rsid w:val="1B98237C"/>
    <w:rsid w:val="1B9F7EE3"/>
    <w:rsid w:val="1C4A7CD9"/>
    <w:rsid w:val="1CBB6F3F"/>
    <w:rsid w:val="1D05527E"/>
    <w:rsid w:val="1EBA7398"/>
    <w:rsid w:val="1F417171"/>
    <w:rsid w:val="1F6470B0"/>
    <w:rsid w:val="1F9F033C"/>
    <w:rsid w:val="1FA0658E"/>
    <w:rsid w:val="1FBD5A40"/>
    <w:rsid w:val="203669FA"/>
    <w:rsid w:val="204F1D62"/>
    <w:rsid w:val="205729E2"/>
    <w:rsid w:val="20880DD0"/>
    <w:rsid w:val="20914128"/>
    <w:rsid w:val="20D90162"/>
    <w:rsid w:val="21A06DEB"/>
    <w:rsid w:val="21C226F3"/>
    <w:rsid w:val="220652BA"/>
    <w:rsid w:val="22FF5139"/>
    <w:rsid w:val="248C3E9A"/>
    <w:rsid w:val="248E2DE1"/>
    <w:rsid w:val="24AE4614"/>
    <w:rsid w:val="24D665AE"/>
    <w:rsid w:val="24FB6014"/>
    <w:rsid w:val="2614136F"/>
    <w:rsid w:val="26B20955"/>
    <w:rsid w:val="27420045"/>
    <w:rsid w:val="278A4A2C"/>
    <w:rsid w:val="28456613"/>
    <w:rsid w:val="2860721B"/>
    <w:rsid w:val="28A80261"/>
    <w:rsid w:val="292567E1"/>
    <w:rsid w:val="29626024"/>
    <w:rsid w:val="2A785209"/>
    <w:rsid w:val="2B05230C"/>
    <w:rsid w:val="2BFC0FF0"/>
    <w:rsid w:val="2C304924"/>
    <w:rsid w:val="2C426408"/>
    <w:rsid w:val="2CAD3314"/>
    <w:rsid w:val="2CC35BC3"/>
    <w:rsid w:val="2CCF2A57"/>
    <w:rsid w:val="2CED0673"/>
    <w:rsid w:val="2D2C2A74"/>
    <w:rsid w:val="2D3F79D7"/>
    <w:rsid w:val="2D9E007B"/>
    <w:rsid w:val="2DA76D39"/>
    <w:rsid w:val="2E3A51FC"/>
    <w:rsid w:val="2F5E2951"/>
    <w:rsid w:val="300761B5"/>
    <w:rsid w:val="300E2A05"/>
    <w:rsid w:val="301246BF"/>
    <w:rsid w:val="303A24A6"/>
    <w:rsid w:val="304E59DB"/>
    <w:rsid w:val="3098247E"/>
    <w:rsid w:val="30FB789A"/>
    <w:rsid w:val="322122F4"/>
    <w:rsid w:val="322C3CB1"/>
    <w:rsid w:val="337E678E"/>
    <w:rsid w:val="337F43E7"/>
    <w:rsid w:val="338B4A07"/>
    <w:rsid w:val="347F407A"/>
    <w:rsid w:val="34D5216F"/>
    <w:rsid w:val="354D18D5"/>
    <w:rsid w:val="369062CC"/>
    <w:rsid w:val="36A65A03"/>
    <w:rsid w:val="36E14B30"/>
    <w:rsid w:val="36E33724"/>
    <w:rsid w:val="371371EE"/>
    <w:rsid w:val="37206361"/>
    <w:rsid w:val="37411742"/>
    <w:rsid w:val="37B00EE0"/>
    <w:rsid w:val="38064393"/>
    <w:rsid w:val="380C6E13"/>
    <w:rsid w:val="386D0B7F"/>
    <w:rsid w:val="38705A0B"/>
    <w:rsid w:val="38934A8A"/>
    <w:rsid w:val="39C74C55"/>
    <w:rsid w:val="39F43377"/>
    <w:rsid w:val="3A170959"/>
    <w:rsid w:val="3A1C1BAF"/>
    <w:rsid w:val="3A305137"/>
    <w:rsid w:val="3A570589"/>
    <w:rsid w:val="3AE07D2F"/>
    <w:rsid w:val="3AF95E24"/>
    <w:rsid w:val="3B31460B"/>
    <w:rsid w:val="3B3836C7"/>
    <w:rsid w:val="3BB80457"/>
    <w:rsid w:val="3C2B6D87"/>
    <w:rsid w:val="3D183C25"/>
    <w:rsid w:val="3D5640D5"/>
    <w:rsid w:val="3DAC0CFE"/>
    <w:rsid w:val="3DEE62BF"/>
    <w:rsid w:val="3E6D08CC"/>
    <w:rsid w:val="3EE72DF2"/>
    <w:rsid w:val="3F081602"/>
    <w:rsid w:val="3F7841B5"/>
    <w:rsid w:val="3F852AA5"/>
    <w:rsid w:val="3F99798D"/>
    <w:rsid w:val="3FB65C45"/>
    <w:rsid w:val="3FCF35E7"/>
    <w:rsid w:val="401270D9"/>
    <w:rsid w:val="406F4F58"/>
    <w:rsid w:val="40B732E0"/>
    <w:rsid w:val="40CE016E"/>
    <w:rsid w:val="40CE3973"/>
    <w:rsid w:val="41E158E5"/>
    <w:rsid w:val="42153520"/>
    <w:rsid w:val="424474C6"/>
    <w:rsid w:val="426B4971"/>
    <w:rsid w:val="42F04068"/>
    <w:rsid w:val="43171167"/>
    <w:rsid w:val="43326EBF"/>
    <w:rsid w:val="43901207"/>
    <w:rsid w:val="43D321DE"/>
    <w:rsid w:val="44261E80"/>
    <w:rsid w:val="445251D5"/>
    <w:rsid w:val="44605159"/>
    <w:rsid w:val="44B7744D"/>
    <w:rsid w:val="44D4282A"/>
    <w:rsid w:val="4504286C"/>
    <w:rsid w:val="45144193"/>
    <w:rsid w:val="451D77E8"/>
    <w:rsid w:val="464F5D68"/>
    <w:rsid w:val="465D46FF"/>
    <w:rsid w:val="466924B3"/>
    <w:rsid w:val="46A25D38"/>
    <w:rsid w:val="46CB09CA"/>
    <w:rsid w:val="4712390F"/>
    <w:rsid w:val="47384EDF"/>
    <w:rsid w:val="48167282"/>
    <w:rsid w:val="4843113A"/>
    <w:rsid w:val="48457423"/>
    <w:rsid w:val="48582566"/>
    <w:rsid w:val="48864335"/>
    <w:rsid w:val="49D22F38"/>
    <w:rsid w:val="49DD3664"/>
    <w:rsid w:val="4A7B03DF"/>
    <w:rsid w:val="4C2048B8"/>
    <w:rsid w:val="4C83217E"/>
    <w:rsid w:val="4CEA2347"/>
    <w:rsid w:val="4D461C92"/>
    <w:rsid w:val="4D50664E"/>
    <w:rsid w:val="4E7D0D4F"/>
    <w:rsid w:val="4EA70ED0"/>
    <w:rsid w:val="4F807FCA"/>
    <w:rsid w:val="4FCF212F"/>
    <w:rsid w:val="4FF95795"/>
    <w:rsid w:val="5067435B"/>
    <w:rsid w:val="519805C3"/>
    <w:rsid w:val="51F7263B"/>
    <w:rsid w:val="52524C16"/>
    <w:rsid w:val="526606C2"/>
    <w:rsid w:val="5293012E"/>
    <w:rsid w:val="529C40E3"/>
    <w:rsid w:val="531D273D"/>
    <w:rsid w:val="5338205E"/>
    <w:rsid w:val="535527CB"/>
    <w:rsid w:val="53C108BF"/>
    <w:rsid w:val="53D24C9F"/>
    <w:rsid w:val="541A08A5"/>
    <w:rsid w:val="54D63934"/>
    <w:rsid w:val="54F02F3B"/>
    <w:rsid w:val="556D1537"/>
    <w:rsid w:val="56091A90"/>
    <w:rsid w:val="562904EF"/>
    <w:rsid w:val="5682571F"/>
    <w:rsid w:val="57E32488"/>
    <w:rsid w:val="58196DAC"/>
    <w:rsid w:val="58382B00"/>
    <w:rsid w:val="58EE3C77"/>
    <w:rsid w:val="59017D1E"/>
    <w:rsid w:val="59063F78"/>
    <w:rsid w:val="59526E6F"/>
    <w:rsid w:val="59594AC9"/>
    <w:rsid w:val="596A402B"/>
    <w:rsid w:val="599975CF"/>
    <w:rsid w:val="59C12681"/>
    <w:rsid w:val="59CE316E"/>
    <w:rsid w:val="5A627539"/>
    <w:rsid w:val="5A75672B"/>
    <w:rsid w:val="5A932270"/>
    <w:rsid w:val="5AD771BE"/>
    <w:rsid w:val="5B505E97"/>
    <w:rsid w:val="5BB21112"/>
    <w:rsid w:val="5C1E267D"/>
    <w:rsid w:val="5D1458EA"/>
    <w:rsid w:val="5D226789"/>
    <w:rsid w:val="5DFF0E1E"/>
    <w:rsid w:val="5E503D20"/>
    <w:rsid w:val="5E886CE4"/>
    <w:rsid w:val="5F4571B2"/>
    <w:rsid w:val="5FED5F7E"/>
    <w:rsid w:val="5FF95B79"/>
    <w:rsid w:val="60D5460C"/>
    <w:rsid w:val="61581B1D"/>
    <w:rsid w:val="61F72DEE"/>
    <w:rsid w:val="62B61E66"/>
    <w:rsid w:val="62E300B0"/>
    <w:rsid w:val="63D01E3F"/>
    <w:rsid w:val="643050EE"/>
    <w:rsid w:val="643248A8"/>
    <w:rsid w:val="654B23D5"/>
    <w:rsid w:val="65B64922"/>
    <w:rsid w:val="6645421B"/>
    <w:rsid w:val="669929BC"/>
    <w:rsid w:val="66B4618F"/>
    <w:rsid w:val="66B56861"/>
    <w:rsid w:val="66CD2666"/>
    <w:rsid w:val="66F7101E"/>
    <w:rsid w:val="66FE3167"/>
    <w:rsid w:val="670F1A60"/>
    <w:rsid w:val="67185FD7"/>
    <w:rsid w:val="67CC5F51"/>
    <w:rsid w:val="67E46396"/>
    <w:rsid w:val="6832131A"/>
    <w:rsid w:val="68F77F37"/>
    <w:rsid w:val="69AC6EAA"/>
    <w:rsid w:val="6AD0079D"/>
    <w:rsid w:val="6ADD55FC"/>
    <w:rsid w:val="6AE9031A"/>
    <w:rsid w:val="6B366553"/>
    <w:rsid w:val="6BA3608B"/>
    <w:rsid w:val="6BE61D2D"/>
    <w:rsid w:val="6C521322"/>
    <w:rsid w:val="6CF52602"/>
    <w:rsid w:val="6D3A7F90"/>
    <w:rsid w:val="6E223B68"/>
    <w:rsid w:val="6E2A648C"/>
    <w:rsid w:val="6F03756C"/>
    <w:rsid w:val="6F3027C1"/>
    <w:rsid w:val="6F6B0AA1"/>
    <w:rsid w:val="6FD5166D"/>
    <w:rsid w:val="700C5C21"/>
    <w:rsid w:val="701D465E"/>
    <w:rsid w:val="705E77F2"/>
    <w:rsid w:val="712B426F"/>
    <w:rsid w:val="71D770C3"/>
    <w:rsid w:val="726F4F19"/>
    <w:rsid w:val="72830B08"/>
    <w:rsid w:val="72A11576"/>
    <w:rsid w:val="72B50B7E"/>
    <w:rsid w:val="73DF3770"/>
    <w:rsid w:val="73FB6A64"/>
    <w:rsid w:val="74727AC0"/>
    <w:rsid w:val="74AF129E"/>
    <w:rsid w:val="74CE5606"/>
    <w:rsid w:val="752E4C17"/>
    <w:rsid w:val="758119C2"/>
    <w:rsid w:val="761D1EEE"/>
    <w:rsid w:val="766C5EFC"/>
    <w:rsid w:val="76872172"/>
    <w:rsid w:val="76B659D2"/>
    <w:rsid w:val="76CC46E8"/>
    <w:rsid w:val="7707390B"/>
    <w:rsid w:val="770C71DA"/>
    <w:rsid w:val="77377CE0"/>
    <w:rsid w:val="7773C1E5"/>
    <w:rsid w:val="777B037A"/>
    <w:rsid w:val="77E37F3B"/>
    <w:rsid w:val="781A6515"/>
    <w:rsid w:val="782347DB"/>
    <w:rsid w:val="78970D25"/>
    <w:rsid w:val="78A44C3B"/>
    <w:rsid w:val="78CA4C57"/>
    <w:rsid w:val="7A200710"/>
    <w:rsid w:val="7A337B1E"/>
    <w:rsid w:val="7A744676"/>
    <w:rsid w:val="7AD91D9F"/>
    <w:rsid w:val="7BDC213F"/>
    <w:rsid w:val="7C0F2651"/>
    <w:rsid w:val="7C264E67"/>
    <w:rsid w:val="7C6641AB"/>
    <w:rsid w:val="7CA63C51"/>
    <w:rsid w:val="7D6A4C5A"/>
    <w:rsid w:val="7DD81BC4"/>
    <w:rsid w:val="7DF54524"/>
    <w:rsid w:val="7E206D18"/>
    <w:rsid w:val="7E5751DF"/>
    <w:rsid w:val="7EAD237F"/>
    <w:rsid w:val="7ED35B5A"/>
    <w:rsid w:val="7F127358"/>
    <w:rsid w:val="7F87849E"/>
    <w:rsid w:val="7F985AAF"/>
    <w:rsid w:val="7FDA2596"/>
    <w:rsid w:val="7FF5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3"/>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7"/>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4"/>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2"/>
    <w:qFormat/>
    <w:uiPriority w:val="0"/>
  </w:style>
  <w:style w:type="paragraph" w:styleId="34">
    <w:name w:val="Body Text Indent 2"/>
    <w:basedOn w:val="1"/>
    <w:link w:val="8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19"/>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3">
    <w:name w:val="footnote text"/>
    <w:basedOn w:val="1"/>
    <w:link w:val="92"/>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3"/>
    <w:qFormat/>
    <w:uiPriority w:val="0"/>
    <w:pPr>
      <w:adjustRightInd/>
      <w:spacing w:line="240" w:lineRule="auto"/>
      <w:textAlignment w:val="auto"/>
    </w:pPr>
  </w:style>
  <w:style w:type="paragraph" w:styleId="59">
    <w:name w:val="Body Text First Indent"/>
    <w:basedOn w:val="22"/>
    <w:next w:val="60"/>
    <w:qFormat/>
    <w:uiPriority w:val="0"/>
    <w:pPr>
      <w:spacing w:line="360" w:lineRule="auto"/>
      <w:ind w:firstLine="420"/>
    </w:pPr>
    <w:rPr>
      <w:rFonts w:ascii="宋体" w:hAnsi="宋体"/>
      <w:sz w:val="24"/>
    </w:rPr>
  </w:style>
  <w:style w:type="paragraph" w:styleId="60">
    <w:name w:val="Body Text First Indent 2"/>
    <w:basedOn w:val="23"/>
    <w:link w:val="110"/>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默认"/>
    <w:qFormat/>
    <w:uiPriority w:val="99"/>
    <w:rPr>
      <w:rFonts w:ascii="Helvetica" w:hAnsi="Helvetica" w:eastAsia="宋体" w:cs="Times New Roman"/>
      <w:color w:val="000000"/>
      <w:sz w:val="22"/>
      <w:szCs w:val="22"/>
      <w:lang w:val="en-US" w:eastAsia="zh-CN" w:bidi="ar-SA"/>
    </w:rPr>
  </w:style>
  <w:style w:type="paragraph" w:customStyle="1" w:styleId="7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正文1"/>
    <w:basedOn w:val="1"/>
    <w:next w:val="1"/>
    <w:qFormat/>
    <w:uiPriority w:val="0"/>
    <w:pPr>
      <w:spacing w:line="300" w:lineRule="auto"/>
      <w:ind w:firstLine="200" w:firstLineChars="200"/>
    </w:pPr>
    <w:rPr>
      <w:sz w:val="24"/>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paragraph" w:customStyle="1" w:styleId="7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qFormat/>
    <w:uiPriority w:val="0"/>
    <w:rPr>
      <w:rFonts w:ascii="宋体" w:hAnsi="宋体" w:eastAsia="宋体"/>
      <w:kern w:val="2"/>
      <w:sz w:val="28"/>
    </w:rPr>
  </w:style>
  <w:style w:type="character" w:customStyle="1" w:styleId="77">
    <w:name w:val="font91"/>
    <w:qFormat/>
    <w:uiPriority w:val="0"/>
    <w:rPr>
      <w:rFonts w:hint="eastAsia" w:ascii="宋体" w:hAnsi="宋体" w:eastAsia="宋体" w:cs="宋体"/>
      <w:color w:val="000000"/>
      <w:sz w:val="20"/>
      <w:szCs w:val="20"/>
      <w:u w:val="none"/>
    </w:rPr>
  </w:style>
  <w:style w:type="character" w:customStyle="1" w:styleId="78">
    <w:name w:val="未命名11"/>
    <w:qFormat/>
    <w:uiPriority w:val="0"/>
    <w:rPr>
      <w:color w:val="77FFFF"/>
      <w:sz w:val="24"/>
    </w:rPr>
  </w:style>
  <w:style w:type="character" w:customStyle="1" w:styleId="79">
    <w:name w:val="font51"/>
    <w:qFormat/>
    <w:uiPriority w:val="0"/>
    <w:rPr>
      <w:rFonts w:hint="eastAsia" w:ascii="宋体" w:hAnsi="宋体" w:eastAsia="宋体" w:cs="宋体"/>
      <w:color w:val="000000"/>
      <w:sz w:val="20"/>
      <w:szCs w:val="20"/>
      <w:u w:val="none"/>
      <w:vertAlign w:val="superscript"/>
    </w:rPr>
  </w:style>
  <w:style w:type="character" w:customStyle="1" w:styleId="80">
    <w:name w:val="content-white1"/>
    <w:qFormat/>
    <w:uiPriority w:val="0"/>
    <w:rPr>
      <w:color w:val="auto"/>
      <w:sz w:val="18"/>
      <w:u w:val="none"/>
    </w:rPr>
  </w:style>
  <w:style w:type="character" w:customStyle="1" w:styleId="81">
    <w:name w:val="正文文本缩进 2 字符"/>
    <w:link w:val="34"/>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批注主题 字符"/>
    <w:basedOn w:val="84"/>
    <w:link w:val="58"/>
    <w:qFormat/>
    <w:uiPriority w:val="0"/>
    <w:rPr>
      <w:sz w:val="24"/>
    </w:rPr>
  </w:style>
  <w:style w:type="character" w:customStyle="1" w:styleId="84">
    <w:name w:val="批注文字 字符"/>
    <w:link w:val="19"/>
    <w:qFormat/>
    <w:uiPriority w:val="0"/>
    <w:rPr>
      <w:sz w:val="24"/>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正文文本缩进 字符"/>
    <w:link w:val="23"/>
    <w:qFormat/>
    <w:uiPriority w:val="0"/>
    <w:rPr>
      <w:kern w:val="2"/>
      <w:sz w:val="44"/>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qFormat/>
    <w:uiPriority w:val="0"/>
    <w:rPr>
      <w:sz w:val="18"/>
    </w:rPr>
  </w:style>
  <w:style w:type="character" w:customStyle="1" w:styleId="90">
    <w:name w:val="样式 宋体"/>
    <w:qFormat/>
    <w:uiPriority w:val="0"/>
    <w:rPr>
      <w:rFonts w:ascii="宋体" w:hAnsi="宋体" w:eastAsia="宋体"/>
      <w:sz w:val="28"/>
    </w:rPr>
  </w:style>
  <w:style w:type="character" w:customStyle="1" w:styleId="91">
    <w:name w:val="title_emph1"/>
    <w:qFormat/>
    <w:uiPriority w:val="0"/>
    <w:rPr>
      <w:rFonts w:hint="default" w:ascii="Arial" w:hAnsi="Arial"/>
      <w:b/>
      <w:sz w:val="20"/>
    </w:rPr>
  </w:style>
  <w:style w:type="character" w:customStyle="1" w:styleId="92">
    <w:name w:val="脚注文本 字符"/>
    <w:link w:val="43"/>
    <w:qFormat/>
    <w:uiPriority w:val="0"/>
    <w:rPr>
      <w:kern w:val="2"/>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 + 三号 Char"/>
    <w:qFormat/>
    <w:uiPriority w:val="0"/>
    <w:rPr>
      <w:rFonts w:eastAsia="宋体"/>
      <w:kern w:val="2"/>
      <w:sz w:val="21"/>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basedOn w:val="63"/>
    <w:qFormat/>
    <w:uiPriority w:val="0"/>
    <w:rPr>
      <w:rFonts w:hint="default" w:ascii="Times New Roman" w:hAnsi="Times New Roman" w:cs="Times New Roman"/>
      <w:color w:val="000000"/>
      <w:sz w:val="20"/>
      <w:szCs w:val="20"/>
      <w:u w:val="none"/>
    </w:rPr>
  </w:style>
  <w:style w:type="character" w:customStyle="1" w:styleId="100">
    <w:name w:val="font101"/>
    <w:qFormat/>
    <w:uiPriority w:val="0"/>
    <w:rPr>
      <w:rFonts w:hint="default" w:ascii="Times New Roman" w:hAnsi="Times New Roman" w:cs="Times New Roman"/>
      <w:color w:val="000000"/>
      <w:sz w:val="20"/>
      <w:szCs w:val="20"/>
      <w:u w:val="none"/>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题 2 字符"/>
    <w:link w:val="3"/>
    <w:qFormat/>
    <w:uiPriority w:val="0"/>
    <w:rPr>
      <w:rFonts w:ascii="Arial" w:hAnsi="Arial" w:eastAsia="黑体"/>
      <w:b/>
      <w:kern w:val="2"/>
      <w:sz w:val="32"/>
    </w:rPr>
  </w:style>
  <w:style w:type="character" w:customStyle="1" w:styleId="104">
    <w:name w:val="font31"/>
    <w:qFormat/>
    <w:uiPriority w:val="0"/>
    <w:rPr>
      <w:rFonts w:hint="eastAsia" w:ascii="宋体" w:hAnsi="宋体" w:eastAsia="宋体" w:cs="宋体"/>
      <w:b/>
      <w:color w:val="000000"/>
      <w:sz w:val="20"/>
      <w:szCs w:val="20"/>
      <w:u w:val="none"/>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标题 3 字符"/>
    <w:link w:val="4"/>
    <w:qFormat/>
    <w:uiPriority w:val="0"/>
    <w:rPr>
      <w:rFonts w:eastAsia="宋体"/>
      <w:b/>
      <w:kern w:val="2"/>
      <w:sz w:val="32"/>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Char Char3"/>
    <w:qFormat/>
    <w:uiPriority w:val="0"/>
    <w:rPr>
      <w:rFonts w:eastAsia="宋体"/>
      <w:kern w:val="2"/>
      <w:sz w:val="18"/>
      <w:lang w:val="en-US" w:eastAsia="zh-CN"/>
    </w:rPr>
  </w:style>
  <w:style w:type="character" w:customStyle="1" w:styleId="110">
    <w:name w:val="正文文本首行缩进 2 字符"/>
    <w:basedOn w:val="86"/>
    <w:link w:val="60"/>
    <w:qFormat/>
    <w:uiPriority w:val="0"/>
    <w:rPr>
      <w:kern w:val="2"/>
      <w:sz w:val="44"/>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日期 字符"/>
    <w:link w:val="33"/>
    <w:qFormat/>
    <w:uiPriority w:val="0"/>
    <w:rPr>
      <w:kern w:val="2"/>
      <w:sz w:val="28"/>
    </w:rPr>
  </w:style>
  <w:style w:type="character" w:customStyle="1" w:styleId="113">
    <w:name w:val="font1"/>
    <w:qFormat/>
    <w:uiPriority w:val="0"/>
    <w:rPr>
      <w:color w:val="000000"/>
      <w:sz w:val="18"/>
    </w:rPr>
  </w:style>
  <w:style w:type="character" w:customStyle="1" w:styleId="114">
    <w:name w:val="Char Char4"/>
    <w:qFormat/>
    <w:uiPriority w:val="0"/>
    <w:rPr>
      <w:rFonts w:eastAsia="宋体"/>
      <w:b/>
      <w:kern w:val="2"/>
      <w:sz w:val="21"/>
      <w:lang w:val="en-US" w:eastAsia="zh-CN"/>
    </w:rPr>
  </w:style>
  <w:style w:type="character" w:customStyle="1" w:styleId="115">
    <w:name w:val="top-det1"/>
    <w:qFormat/>
    <w:uiPriority w:val="0"/>
    <w:rPr>
      <w:b/>
      <w:color w:val="000000"/>
    </w:rPr>
  </w:style>
  <w:style w:type="character" w:customStyle="1" w:styleId="116">
    <w:name w:val="crowed11"/>
    <w:qFormat/>
    <w:uiPriority w:val="0"/>
    <w:rPr>
      <w:rFonts w:hint="default"/>
      <w:sz w:val="24"/>
    </w:rPr>
  </w:style>
  <w:style w:type="character" w:customStyle="1" w:styleId="117">
    <w:name w:val="H2 Char"/>
    <w:qFormat/>
    <w:uiPriority w:val="0"/>
    <w:rPr>
      <w:rFonts w:ascii="Arial" w:hAnsi="Arial" w:eastAsia="宋体"/>
      <w:kern w:val="2"/>
      <w:sz w:val="28"/>
      <w:lang w:val="en-US" w:eastAsia="zh-CN"/>
    </w:rPr>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页脚 字符"/>
    <w:link w:val="36"/>
    <w:qFormat/>
    <w:uiPriority w:val="99"/>
    <w:rPr>
      <w:kern w:val="2"/>
      <w:sz w:val="18"/>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5"/>
    <w:qFormat/>
    <w:uiPriority w:val="0"/>
    <w:pPr>
      <w:ind w:firstLine="480" w:firstLineChars="200"/>
    </w:p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qFormat/>
    <w:uiPriority w:val="0"/>
    <w:rPr>
      <w:rFonts w:ascii="Calibri" w:hAnsi="Calibri" w:eastAsia="宋体" w:cs="Times New Roman"/>
      <w:kern w:val="2"/>
      <w:sz w:val="21"/>
      <w:lang w:val="en-US" w:eastAsia="zh-CN" w:bidi="ar-SA"/>
    </w:rPr>
  </w:style>
  <w:style w:type="paragraph" w:customStyle="1" w:styleId="124">
    <w:name w:val="正文（首行不缩进）"/>
    <w:basedOn w:val="1"/>
    <w:qFormat/>
    <w:uiPriority w:val="0"/>
    <w:pPr>
      <w:autoSpaceDE w:val="0"/>
      <w:autoSpaceDN w:val="0"/>
      <w:adjustRightInd w:val="0"/>
      <w:spacing w:line="360" w:lineRule="auto"/>
      <w:jc w:val="left"/>
    </w:pPr>
    <w:rPr>
      <w:kern w:val="0"/>
      <w:sz w:val="21"/>
    </w:rPr>
  </w:style>
  <w:style w:type="paragraph" w:customStyle="1" w:styleId="1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无间隔1"/>
    <w:qFormat/>
    <w:uiPriority w:val="1"/>
    <w:pPr>
      <w:jc w:val="both"/>
    </w:pPr>
    <w:rPr>
      <w:rFonts w:ascii="Calibri" w:hAnsi="Calibri" w:eastAsia="Times New Roman" w:cs="Times New Roman"/>
      <w:lang w:val="en-US" w:eastAsia="zh-CN" w:bidi="ar-SA"/>
    </w:rPr>
  </w:style>
  <w:style w:type="paragraph" w:customStyle="1" w:styleId="127">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qFormat/>
    <w:uiPriority w:val="1"/>
    <w:pPr>
      <w:autoSpaceDE w:val="0"/>
      <w:autoSpaceDN w:val="0"/>
      <w:adjustRightInd w:val="0"/>
    </w:pPr>
    <w:rPr>
      <w:sz w:val="24"/>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qFormat/>
    <w:uiPriority w:val="0"/>
  </w:style>
  <w:style w:type="paragraph" w:customStyle="1" w:styleId="131">
    <w:name w:val="编号正文"/>
    <w:basedOn w:val="132"/>
    <w:qFormat/>
    <w:uiPriority w:val="0"/>
    <w:pPr>
      <w:snapToGrid/>
      <w:spacing w:line="360" w:lineRule="auto"/>
      <w:ind w:left="1407" w:hanging="1047"/>
      <w:jc w:val="left"/>
    </w:pPr>
    <w:rPr>
      <w:rFonts w:eastAsia="仿宋_GB2312"/>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qFormat/>
    <w:uiPriority w:val="0"/>
    <w:rPr>
      <w:rFonts w:ascii="Times New Roman" w:hAnsi="Times New Roman" w:eastAsia="仿宋"/>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qFormat/>
    <w:uiPriority w:val="0"/>
    <w:rPr>
      <w:rFonts w:ascii="Tahoma" w:hAnsi="Tahoma"/>
      <w:sz w:val="24"/>
      <w:szCs w:val="24"/>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_Style 19"/>
    <w:basedOn w:val="1"/>
    <w:next w:val="138"/>
    <w:qFormat/>
    <w:uiPriority w:val="0"/>
    <w:pPr>
      <w:ind w:firstLine="420" w:firstLineChars="200"/>
    </w:pPr>
    <w:rPr>
      <w:sz w:val="21"/>
      <w:szCs w:val="22"/>
    </w:rPr>
  </w:style>
  <w:style w:type="paragraph" w:customStyle="1" w:styleId="138">
    <w:name w:val="列表段落1"/>
    <w:basedOn w:val="1"/>
    <w:qFormat/>
    <w:uiPriority w:val="0"/>
    <w:pPr>
      <w:ind w:firstLine="420" w:firstLineChars="200"/>
    </w:pPr>
  </w:style>
  <w:style w:type="paragraph" w:customStyle="1" w:styleId="13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首行缩进"/>
    <w:basedOn w:val="1"/>
    <w:qFormat/>
    <w:uiPriority w:val="0"/>
    <w:pPr>
      <w:numPr>
        <w:ilvl w:val="0"/>
        <w:numId w:val="4"/>
      </w:numPr>
      <w:spacing w:line="360" w:lineRule="auto"/>
    </w:pPr>
    <w:rPr>
      <w:rFonts w:eastAsia="仿宋_GB2312"/>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Lines="50" w:line="360" w:lineRule="auto"/>
      <w:ind w:firstLine="200" w:firstLineChars="200"/>
    </w:pPr>
    <w:rPr>
      <w:spacing w:val="2"/>
      <w:sz w:val="24"/>
    </w:rPr>
  </w:style>
  <w:style w:type="paragraph" w:customStyle="1" w:styleId="150">
    <w:name w:val="标题无"/>
    <w:basedOn w:val="1"/>
    <w:qFormat/>
    <w:uiPriority w:val="0"/>
    <w:pPr>
      <w:spacing w:line="360" w:lineRule="auto"/>
    </w:pPr>
    <w:rPr>
      <w:sz w:val="24"/>
    </w:rPr>
  </w:style>
  <w:style w:type="paragraph" w:customStyle="1" w:styleId="151">
    <w:name w:val="没有缩进（为图形使用）"/>
    <w:basedOn w:val="1"/>
    <w:qFormat/>
    <w:uiPriority w:val="0"/>
    <w:pPr>
      <w:spacing w:before="120" w:after="120" w:line="360" w:lineRule="auto"/>
    </w:pPr>
    <w:rPr>
      <w:sz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qFormat/>
    <w:uiPriority w:val="0"/>
    <w:pPr>
      <w:adjustRightInd w:val="0"/>
      <w:spacing w:before="40" w:after="40"/>
    </w:pPr>
    <w:rPr>
      <w:sz w:val="24"/>
    </w:rPr>
  </w:style>
  <w:style w:type="paragraph" w:customStyle="1" w:styleId="15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qFormat/>
    <w:uiPriority w:val="0"/>
    <w:pPr>
      <w:snapToGrid w:val="0"/>
      <w:spacing w:line="360" w:lineRule="auto"/>
      <w:ind w:firstLine="420"/>
    </w:pPr>
    <w:rPr>
      <w:sz w:val="24"/>
    </w:rPr>
  </w:style>
  <w:style w:type="paragraph" w:customStyle="1" w:styleId="156">
    <w:name w:val="Title - Date"/>
    <w:basedOn w:val="57"/>
    <w:next w:val="1"/>
    <w:qFormat/>
    <w:uiPriority w:val="0"/>
    <w:pPr>
      <w:spacing w:before="240" w:after="720"/>
    </w:pPr>
    <w:rPr>
      <w:sz w:val="28"/>
    </w:rPr>
  </w:style>
  <w:style w:type="paragraph" w:customStyle="1" w:styleId="157">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8">
    <w:name w:val="样式11"/>
    <w:basedOn w:val="1"/>
    <w:next w:val="1"/>
    <w:qFormat/>
    <w:uiPriority w:val="0"/>
    <w:rPr>
      <w:rFonts w:ascii="Times New Roman" w:hAnsi="Times New Roman"/>
    </w:rPr>
  </w:style>
  <w:style w:type="paragraph" w:customStyle="1" w:styleId="159">
    <w:name w:val="Char Char14 Char Char"/>
    <w:basedOn w:val="1"/>
    <w:qFormat/>
    <w:uiPriority w:val="0"/>
    <w:rPr>
      <w:sz w:val="21"/>
      <w:szCs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textAlignment w:val="baseline"/>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2"/>
    <w:qFormat/>
    <w:uiPriority w:val="0"/>
    <w:pPr>
      <w:suppressAutoHyphens/>
      <w:jc w:val="left"/>
    </w:pPr>
    <w:rPr>
      <w:rFonts w:ascii="Times New Roman" w:eastAsia="Times New Roman"/>
      <w:kern w:val="0"/>
      <w:sz w:val="24"/>
    </w:rPr>
  </w:style>
  <w:style w:type="paragraph" w:customStyle="1" w:styleId="17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next w:val="1"/>
    <w:qFormat/>
    <w:uiPriority w:val="0"/>
    <w:pPr>
      <w:tabs>
        <w:tab w:val="left" w:pos="851"/>
      </w:tabs>
      <w:ind w:left="425" w:hanging="425"/>
      <w:outlineLvl w:val="2"/>
    </w:pPr>
    <w:rPr>
      <w:rFonts w:eastAsia="黑体"/>
      <w:b/>
      <w:sz w:val="32"/>
    </w:rPr>
  </w:style>
  <w:style w:type="paragraph" w:customStyle="1" w:styleId="182">
    <w:name w:val="标题3——2"/>
    <w:basedOn w:val="4"/>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next w:val="1"/>
    <w:qFormat/>
    <w:uiPriority w:val="0"/>
    <w:rPr>
      <w:rFonts w:ascii="Times New Roman" w:hAnsi="Times New Roman" w:eastAsia="仿宋"/>
      <w:sz w:val="24"/>
    </w:rPr>
  </w:style>
  <w:style w:type="paragraph" w:customStyle="1" w:styleId="18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1"/>
    <w:qFormat/>
    <w:uiPriority w:val="0"/>
    <w:pPr>
      <w:adjustRightInd w:val="0"/>
    </w:pPr>
    <w:rPr>
      <w:color w:val="000000"/>
      <w:lang w:val="en-GB"/>
    </w:rPr>
  </w:style>
  <w:style w:type="paragraph" w:customStyle="1" w:styleId="193">
    <w:name w:val="二级条标题"/>
    <w:basedOn w:val="194"/>
    <w:next w:val="196"/>
    <w:qFormat/>
    <w:uiPriority w:val="0"/>
    <w:pPr>
      <w:ind w:left="840"/>
      <w:outlineLvl w:val="3"/>
    </w:pPr>
  </w:style>
  <w:style w:type="paragraph" w:customStyle="1" w:styleId="194">
    <w:name w:val="一级条标题"/>
    <w:basedOn w:val="195"/>
    <w:next w:val="196"/>
    <w:qFormat/>
    <w:uiPriority w:val="0"/>
    <w:pPr>
      <w:numPr>
        <w:numId w:val="0"/>
      </w:numPr>
      <w:spacing w:beforeLines="0" w:afterLines="0"/>
      <w:ind w:left="525"/>
      <w:outlineLvl w:val="2"/>
    </w:pPr>
    <w:rPr>
      <w:sz w:val="21"/>
    </w:rPr>
  </w:style>
  <w:style w:type="paragraph" w:customStyle="1" w:styleId="195">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2"/>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next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IN Feature"/>
    <w:next w:val="21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5"/>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5"/>
    <w:qFormat/>
    <w:uiPriority w:val="0"/>
    <w:pPr>
      <w:tabs>
        <w:tab w:val="left" w:pos="720"/>
      </w:tabs>
      <w:spacing w:before="500" w:after="260" w:line="560" w:lineRule="atLeast"/>
      <w:ind w:left="420" w:hanging="420"/>
    </w:pPr>
  </w:style>
  <w:style w:type="paragraph" w:customStyle="1" w:styleId="220">
    <w:name w:val="标准正文"/>
    <w:basedOn w:val="23"/>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7"/>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2"/>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7"/>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5"/>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7"/>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1"/>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4"/>
    <w:qFormat/>
    <w:uiPriority w:val="0"/>
    <w:pPr>
      <w:tabs>
        <w:tab w:val="left" w:pos="709"/>
        <w:tab w:val="left" w:pos="1620"/>
      </w:tabs>
      <w:ind w:left="1620" w:hanging="360"/>
    </w:pPr>
  </w:style>
  <w:style w:type="paragraph" w:customStyle="1" w:styleId="269">
    <w:name w:val="摘要"/>
    <w:basedOn w:val="1"/>
    <w:next w:val="3"/>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character" w:customStyle="1" w:styleId="271">
    <w:name w:val="font61"/>
    <w:basedOn w:val="63"/>
    <w:qFormat/>
    <w:uiPriority w:val="0"/>
    <w:rPr>
      <w:rFonts w:hint="default" w:ascii="Times New Roman" w:hAnsi="Times New Roman" w:cs="Times New Roman"/>
      <w:color w:val="000000"/>
      <w:sz w:val="18"/>
      <w:szCs w:val="18"/>
      <w:u w:val="none"/>
    </w:rPr>
  </w:style>
  <w:style w:type="character" w:customStyle="1" w:styleId="272">
    <w:name w:val="font21"/>
    <w:basedOn w:val="63"/>
    <w:qFormat/>
    <w:uiPriority w:val="0"/>
    <w:rPr>
      <w:rFonts w:hint="eastAsia" w:ascii="宋体" w:hAnsi="宋体" w:eastAsia="宋体" w:cs="宋体"/>
      <w:color w:val="000000"/>
      <w:sz w:val="18"/>
      <w:szCs w:val="18"/>
      <w:u w:val="none"/>
    </w:rPr>
  </w:style>
  <w:style w:type="character" w:customStyle="1" w:styleId="273">
    <w:name w:val="NormalCharacter"/>
    <w:link w:val="1"/>
    <w:qFormat/>
    <w:uiPriority w:val="0"/>
    <w:rPr>
      <w:rFonts w:ascii="Calibri" w:hAnsi="Calibri" w:eastAsia="宋体" w:cs="Times New Roman"/>
      <w:kern w:val="2"/>
      <w:sz w:val="28"/>
      <w:lang w:val="en-US" w:eastAsia="zh-CN" w:bidi="ar-SA"/>
    </w:rPr>
  </w:style>
  <w:style w:type="character" w:customStyle="1" w:styleId="274">
    <w:name w:val="font71"/>
    <w:basedOn w:val="63"/>
    <w:qFormat/>
    <w:uiPriority w:val="0"/>
    <w:rPr>
      <w:rFonts w:hint="eastAsia" w:ascii="宋体" w:hAnsi="宋体" w:eastAsia="宋体" w:cs="宋体"/>
      <w:color w:val="000000"/>
      <w:sz w:val="20"/>
      <w:szCs w:val="20"/>
      <w:u w:val="none"/>
    </w:rPr>
  </w:style>
  <w:style w:type="paragraph" w:customStyle="1" w:styleId="275">
    <w:name w:val="BodyText"/>
    <w:basedOn w:val="1"/>
    <w:next w:val="1"/>
    <w:qFormat/>
    <w:uiPriority w:val="99"/>
    <w:pPr>
      <w:spacing w:line="500" w:lineRule="exact"/>
      <w:textAlignment w:val="baseline"/>
    </w:pPr>
    <w:rPr>
      <w:rFonts w:ascii="宋体" w:hAnsi="宋体" w:cs="宋体"/>
      <w:kern w:val="0"/>
    </w:rPr>
  </w:style>
  <w:style w:type="paragraph" w:customStyle="1" w:styleId="276">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7">
    <w:name w:val="List Paragraph"/>
    <w:basedOn w:val="1"/>
    <w:unhideWhenUsed/>
    <w:qFormat/>
    <w:uiPriority w:val="99"/>
    <w:pPr>
      <w:ind w:firstLine="420" w:firstLineChars="200"/>
    </w:pPr>
  </w:style>
  <w:style w:type="paragraph" w:customStyle="1" w:styleId="278">
    <w:name w:val="Heading3"/>
    <w:basedOn w:val="1"/>
    <w:next w:val="1"/>
    <w:qFormat/>
    <w:uiPriority w:val="0"/>
    <w:pPr>
      <w:keepNext/>
      <w:keepLines/>
      <w:spacing w:before="260" w:after="260" w:line="413" w:lineRule="auto"/>
      <w:jc w:val="both"/>
      <w:textAlignment w:val="baseline"/>
    </w:pPr>
    <w:rPr>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31</Pages>
  <Words>11144</Words>
  <Characters>11662</Characters>
  <Lines>133</Lines>
  <Paragraphs>37</Paragraphs>
  <TotalTime>4</TotalTime>
  <ScaleCrop>false</ScaleCrop>
  <LinksUpToDate>false</LinksUpToDate>
  <CharactersWithSpaces>12197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2023-08-01T18:12:00Z</dcterms:created>
  <dc:creator>刘胜仲</dc:creator>
  <cp:lastModifiedBy>忘忧草</cp:lastModifiedBy>
  <cp:lastPrinted>2023-10-20T11:01:00Z</cp:lastPrinted>
  <dcterms:modified xsi:type="dcterms:W3CDTF">2025-04-17T03:38:54Z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7990579_cloud</vt:lpwstr>
  </property>
  <property fmtid="{D5CDD505-2E9C-101B-9397-08002B2CF9AE}" pid="4" name="ICV">
    <vt:lpwstr>2C786EC283E7467A84BC550CB3E8D08C_13</vt:lpwstr>
  </property>
  <property fmtid="{D5CDD505-2E9C-101B-9397-08002B2CF9AE}" pid="5" name="KSOTemplateDocerSaveRecord">
    <vt:lpwstr>eyJoZGlkIjoiNjQwYmQ2ODdkODY0MWZmYmNiZTI0MTExYjEzNDhjNmEiLCJ1c2VySWQiOiI0NDkyNjQ0MTgifQ==</vt:lpwstr>
  </property>
</Properties>
</file>