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1566">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130"/>
          <w:szCs w:val="130"/>
          <w:highlight w:val="none"/>
        </w:rPr>
      </w:pPr>
      <w:r>
        <w:rPr>
          <w:rFonts w:hint="eastAsia" w:ascii="微软雅黑" w:hAnsi="微软雅黑" w:eastAsia="微软雅黑" w:cs="微软雅黑"/>
          <w:color w:val="auto"/>
          <w:sz w:val="24"/>
          <w:szCs w:val="18"/>
          <w:highlight w:val="none"/>
        </w:rPr>
        <w:drawing>
          <wp:anchor distT="0" distB="0" distL="114300" distR="114300" simplePos="0" relativeHeight="251659264" behindDoc="0" locked="0" layoutInCell="1" allowOverlap="1">
            <wp:simplePos x="0" y="0"/>
            <wp:positionH relativeFrom="column">
              <wp:posOffset>1794510</wp:posOffset>
            </wp:positionH>
            <wp:positionV relativeFrom="paragraph">
              <wp:posOffset>-28575</wp:posOffset>
            </wp:positionV>
            <wp:extent cx="2160905" cy="1327150"/>
            <wp:effectExtent l="0" t="0" r="0" b="6350"/>
            <wp:wrapTopAndBottom/>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2"/>
                    <a:stretch>
                      <a:fillRect/>
                    </a:stretch>
                  </pic:blipFill>
                  <pic:spPr>
                    <a:xfrm>
                      <a:off x="0" y="0"/>
                      <a:ext cx="2160905" cy="1327150"/>
                    </a:xfrm>
                    <a:prstGeom prst="rect">
                      <a:avLst/>
                    </a:prstGeom>
                    <a:noFill/>
                    <a:ln>
                      <a:noFill/>
                    </a:ln>
                  </pic:spPr>
                </pic:pic>
              </a:graphicData>
            </a:graphic>
          </wp:anchor>
        </w:drawing>
      </w:r>
      <w:r>
        <w:rPr>
          <w:rFonts w:hint="eastAsia" w:ascii="微软雅黑" w:hAnsi="微软雅黑" w:eastAsia="微软雅黑" w:cs="微软雅黑"/>
          <w:color w:val="auto"/>
          <w:sz w:val="130"/>
          <w:szCs w:val="130"/>
          <w:highlight w:val="none"/>
        </w:rPr>
        <w:t>比 选 文 件</w:t>
      </w:r>
    </w:p>
    <w:p w14:paraId="4B07B53A">
      <w:pPr>
        <w:pStyle w:val="10"/>
        <w:pageBreakBefore w:val="0"/>
        <w:kinsoku/>
        <w:wordWrap/>
        <w:overflowPunct/>
        <w:topLinePunct w:val="0"/>
        <w:autoSpaceDE/>
        <w:autoSpaceDN/>
        <w:bidi w:val="0"/>
        <w:spacing w:line="240" w:lineRule="auto"/>
        <w:ind w:left="0"/>
        <w:jc w:val="center"/>
        <w:rPr>
          <w:rFonts w:hint="eastAsia" w:ascii="微软雅黑" w:hAnsi="微软雅黑" w:eastAsia="微软雅黑" w:cs="微软雅黑"/>
          <w:color w:val="auto"/>
          <w:sz w:val="32"/>
          <w:highlight w:val="none"/>
        </w:rPr>
      </w:pPr>
    </w:p>
    <w:p w14:paraId="15049900">
      <w:pPr>
        <w:pStyle w:val="10"/>
        <w:pageBreakBefore w:val="0"/>
        <w:kinsoku/>
        <w:wordWrap/>
        <w:overflowPunct/>
        <w:topLinePunct w:val="0"/>
        <w:autoSpaceDE/>
        <w:autoSpaceDN/>
        <w:bidi w:val="0"/>
        <w:spacing w:line="240" w:lineRule="auto"/>
        <w:ind w:left="0"/>
        <w:jc w:val="center"/>
        <w:rPr>
          <w:rFonts w:hint="eastAsia" w:ascii="微软雅黑" w:hAnsi="微软雅黑" w:eastAsia="微软雅黑" w:cs="微软雅黑"/>
          <w:color w:val="auto"/>
          <w:sz w:val="32"/>
          <w:highlight w:val="none"/>
        </w:rPr>
      </w:pPr>
    </w:p>
    <w:p w14:paraId="6EE43721">
      <w:pPr>
        <w:pStyle w:val="10"/>
        <w:pageBreakBefore w:val="0"/>
        <w:kinsoku/>
        <w:wordWrap/>
        <w:overflowPunct/>
        <w:topLinePunct w:val="0"/>
        <w:autoSpaceDE/>
        <w:autoSpaceDN/>
        <w:bidi w:val="0"/>
        <w:spacing w:line="240" w:lineRule="auto"/>
        <w:ind w:left="0"/>
        <w:jc w:val="center"/>
        <w:rPr>
          <w:rFonts w:hint="eastAsia" w:ascii="微软雅黑" w:hAnsi="微软雅黑" w:eastAsia="微软雅黑" w:cs="微软雅黑"/>
          <w:color w:val="auto"/>
          <w:sz w:val="32"/>
          <w:highlight w:val="none"/>
        </w:rPr>
      </w:pPr>
    </w:p>
    <w:p w14:paraId="57A35178">
      <w:pPr>
        <w:pStyle w:val="10"/>
        <w:pageBreakBefore w:val="0"/>
        <w:kinsoku/>
        <w:wordWrap/>
        <w:overflowPunct/>
        <w:topLinePunct w:val="0"/>
        <w:autoSpaceDE/>
        <w:autoSpaceDN/>
        <w:bidi w:val="0"/>
        <w:spacing w:line="240" w:lineRule="auto"/>
        <w:ind w:left="0"/>
        <w:jc w:val="center"/>
        <w:rPr>
          <w:rFonts w:hint="eastAsia" w:ascii="微软雅黑" w:hAnsi="微软雅黑" w:eastAsia="微软雅黑" w:cs="微软雅黑"/>
          <w:color w:val="auto"/>
          <w:sz w:val="32"/>
          <w:highlight w:val="none"/>
        </w:rPr>
      </w:pPr>
    </w:p>
    <w:p w14:paraId="339BD36F">
      <w:pPr>
        <w:pStyle w:val="10"/>
        <w:pageBreakBefore w:val="0"/>
        <w:kinsoku/>
        <w:wordWrap/>
        <w:overflowPunct/>
        <w:topLinePunct w:val="0"/>
        <w:autoSpaceDE/>
        <w:autoSpaceDN/>
        <w:bidi w:val="0"/>
        <w:spacing w:line="240" w:lineRule="auto"/>
        <w:ind w:left="0"/>
        <w:jc w:val="left"/>
        <w:rPr>
          <w:rFonts w:hint="eastAsia" w:ascii="微软雅黑" w:hAnsi="微软雅黑" w:eastAsia="微软雅黑" w:cs="微软雅黑"/>
          <w:color w:val="auto"/>
          <w:sz w:val="32"/>
          <w:highlight w:val="none"/>
        </w:rPr>
      </w:pPr>
    </w:p>
    <w:p w14:paraId="73C509D3">
      <w:pPr>
        <w:pageBreakBefore w:val="0"/>
        <w:kinsoku/>
        <w:wordWrap/>
        <w:overflowPunct/>
        <w:topLinePunct w:val="0"/>
        <w:autoSpaceDE/>
        <w:autoSpaceDN/>
        <w:bidi w:val="0"/>
        <w:spacing w:line="240" w:lineRule="auto"/>
        <w:ind w:firstLine="1600" w:firstLineChars="500"/>
        <w:jc w:val="left"/>
        <w:rPr>
          <w:rFonts w:hint="eastAsia" w:ascii="微软雅黑" w:hAnsi="微软雅黑" w:eastAsia="微软雅黑" w:cs="微软雅黑"/>
          <w:color w:val="auto"/>
          <w:sz w:val="32"/>
          <w:szCs w:val="22"/>
          <w:highlight w:val="none"/>
          <w:lang w:val="en-US" w:eastAsia="zh-CN"/>
        </w:rPr>
      </w:pPr>
      <w:r>
        <w:rPr>
          <w:rFonts w:hint="eastAsia" w:ascii="微软雅黑" w:hAnsi="微软雅黑" w:eastAsia="微软雅黑" w:cs="微软雅黑"/>
          <w:color w:val="auto"/>
          <w:sz w:val="32"/>
          <w:highlight w:val="none"/>
        </w:rPr>
        <w:t>项   目   号：</w:t>
      </w:r>
      <w:r>
        <w:rPr>
          <w:rFonts w:hint="eastAsia" w:ascii="微软雅黑" w:hAnsi="微软雅黑" w:eastAsia="微软雅黑" w:cs="微软雅黑"/>
          <w:color w:val="auto"/>
          <w:sz w:val="32"/>
          <w:highlight w:val="none"/>
          <w:lang w:val="en-US" w:eastAsia="zh-CN"/>
        </w:rPr>
        <w:t xml:space="preserve">FL26C014    </w:t>
      </w:r>
    </w:p>
    <w:p w14:paraId="33026851">
      <w:pPr>
        <w:pageBreakBefore w:val="0"/>
        <w:kinsoku/>
        <w:wordWrap/>
        <w:overflowPunct/>
        <w:topLinePunct w:val="0"/>
        <w:autoSpaceDE/>
        <w:autoSpaceDN/>
        <w:bidi w:val="0"/>
        <w:spacing w:line="240" w:lineRule="auto"/>
        <w:ind w:left="3836" w:leftChars="570" w:hanging="2240" w:hangingChars="700"/>
        <w:jc w:val="left"/>
        <w:outlineLvl w:val="0"/>
        <w:rPr>
          <w:rFonts w:hint="eastAsia" w:ascii="微软雅黑" w:hAnsi="微软雅黑" w:eastAsia="微软雅黑" w:cs="微软雅黑"/>
          <w:color w:val="auto"/>
          <w:sz w:val="32"/>
          <w:szCs w:val="22"/>
          <w:highlight w:val="none"/>
          <w:lang w:eastAsia="zh-CN"/>
        </w:rPr>
      </w:pPr>
      <w:r>
        <w:rPr>
          <w:rFonts w:hint="eastAsia" w:ascii="微软雅黑" w:hAnsi="微软雅黑" w:eastAsia="微软雅黑" w:cs="微软雅黑"/>
          <w:color w:val="auto"/>
          <w:sz w:val="32"/>
          <w:szCs w:val="22"/>
          <w:highlight w:val="none"/>
        </w:rPr>
        <w:t>比选项目名称：</w:t>
      </w:r>
      <w:r>
        <w:rPr>
          <w:rFonts w:hint="eastAsia" w:ascii="微软雅黑" w:hAnsi="微软雅黑" w:eastAsia="微软雅黑" w:cs="微软雅黑"/>
          <w:color w:val="auto"/>
          <w:sz w:val="32"/>
          <w:szCs w:val="22"/>
          <w:highlight w:val="none"/>
          <w:lang w:eastAsia="zh-CN"/>
        </w:rPr>
        <w:t>重庆市药品监督管理局空调维保服务</w:t>
      </w:r>
    </w:p>
    <w:p w14:paraId="07EB60DB">
      <w:pPr>
        <w:pageBreakBefore w:val="0"/>
        <w:kinsoku/>
        <w:wordWrap/>
        <w:overflowPunct/>
        <w:topLinePunct w:val="0"/>
        <w:autoSpaceDE/>
        <w:autoSpaceDN/>
        <w:bidi w:val="0"/>
        <w:spacing w:line="240" w:lineRule="auto"/>
        <w:ind w:firstLine="2080" w:firstLineChars="650"/>
        <w:jc w:val="center"/>
        <w:rPr>
          <w:rFonts w:hint="eastAsia" w:ascii="微软雅黑" w:hAnsi="微软雅黑" w:eastAsia="微软雅黑" w:cs="微软雅黑"/>
          <w:color w:val="auto"/>
          <w:sz w:val="32"/>
          <w:szCs w:val="22"/>
          <w:highlight w:val="none"/>
        </w:rPr>
      </w:pPr>
    </w:p>
    <w:p w14:paraId="4D5AE922">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32"/>
          <w:highlight w:val="none"/>
        </w:rPr>
      </w:pPr>
    </w:p>
    <w:p w14:paraId="12C5C3A8">
      <w:pPr>
        <w:pStyle w:val="8"/>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p>
    <w:p w14:paraId="5FB7C85F">
      <w:pPr>
        <w:pStyle w:val="9"/>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p>
    <w:p w14:paraId="26453F91">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32"/>
          <w:highlight w:val="none"/>
        </w:rPr>
      </w:pPr>
    </w:p>
    <w:p w14:paraId="30DD71E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36"/>
          <w:highlight w:val="none"/>
          <w:lang w:val="en-US" w:eastAsia="zh-CN"/>
        </w:rPr>
      </w:pPr>
      <w:r>
        <w:rPr>
          <w:rFonts w:hint="eastAsia" w:ascii="微软雅黑" w:hAnsi="微软雅黑" w:eastAsia="微软雅黑" w:cs="微软雅黑"/>
          <w:color w:val="auto"/>
          <w:sz w:val="36"/>
          <w:highlight w:val="none"/>
        </w:rPr>
        <w:t>比选人：</w:t>
      </w:r>
      <w:r>
        <w:rPr>
          <w:rFonts w:hint="eastAsia" w:ascii="微软雅黑" w:hAnsi="微软雅黑" w:eastAsia="微软雅黑" w:cs="微软雅黑"/>
          <w:color w:val="auto"/>
          <w:sz w:val="36"/>
          <w:highlight w:val="none"/>
          <w:lang w:eastAsia="zh-CN"/>
        </w:rPr>
        <w:t>重庆市药品监督管理局</w:t>
      </w:r>
    </w:p>
    <w:p w14:paraId="13B5736E">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36"/>
          <w:highlight w:val="none"/>
        </w:rPr>
      </w:pPr>
      <w:r>
        <w:rPr>
          <w:rFonts w:hint="eastAsia" w:ascii="微软雅黑" w:hAnsi="微软雅黑" w:eastAsia="微软雅黑" w:cs="微软雅黑"/>
          <w:color w:val="auto"/>
          <w:sz w:val="36"/>
          <w:highlight w:val="none"/>
        </w:rPr>
        <w:t>采购代理机构：重庆复林招标代理有限公司</w:t>
      </w:r>
    </w:p>
    <w:p w14:paraId="0C673D3C">
      <w:pPr>
        <w:pageBreakBefore w:val="0"/>
        <w:kinsoku/>
        <w:wordWrap/>
        <w:overflowPunct/>
        <w:topLinePunct w:val="0"/>
        <w:autoSpaceDE/>
        <w:autoSpaceDN/>
        <w:bidi w:val="0"/>
        <w:snapToGrid w:val="0"/>
        <w:spacing w:line="240" w:lineRule="auto"/>
        <w:jc w:val="center"/>
        <w:rPr>
          <w:rFonts w:hint="eastAsia" w:ascii="微软雅黑" w:hAnsi="微软雅黑" w:eastAsia="微软雅黑" w:cs="微软雅黑"/>
          <w:color w:val="auto"/>
          <w:sz w:val="36"/>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r>
        <w:rPr>
          <w:rFonts w:hint="eastAsia" w:ascii="微软雅黑" w:hAnsi="微软雅黑" w:eastAsia="微软雅黑" w:cs="微软雅黑"/>
          <w:color w:val="auto"/>
          <w:sz w:val="36"/>
          <w:highlight w:val="none"/>
        </w:rPr>
        <w:t>二〇二</w:t>
      </w:r>
      <w:r>
        <w:rPr>
          <w:rFonts w:hint="eastAsia" w:ascii="微软雅黑" w:hAnsi="微软雅黑" w:eastAsia="微软雅黑" w:cs="微软雅黑"/>
          <w:color w:val="auto"/>
          <w:sz w:val="36"/>
          <w:highlight w:val="none"/>
          <w:lang w:val="en-US" w:eastAsia="zh-CN"/>
        </w:rPr>
        <w:t>六</w:t>
      </w:r>
      <w:r>
        <w:rPr>
          <w:rFonts w:hint="eastAsia" w:ascii="微软雅黑" w:hAnsi="微软雅黑" w:eastAsia="微软雅黑" w:cs="微软雅黑"/>
          <w:color w:val="auto"/>
          <w:sz w:val="36"/>
          <w:highlight w:val="none"/>
        </w:rPr>
        <w:t>年</w:t>
      </w:r>
      <w:r>
        <w:rPr>
          <w:rFonts w:hint="eastAsia" w:ascii="微软雅黑" w:hAnsi="微软雅黑" w:eastAsia="微软雅黑" w:cs="微软雅黑"/>
          <w:color w:val="auto"/>
          <w:sz w:val="36"/>
          <w:highlight w:val="none"/>
          <w:lang w:val="en-US" w:eastAsia="zh-CN"/>
        </w:rPr>
        <w:t>三</w:t>
      </w:r>
      <w:r>
        <w:rPr>
          <w:rFonts w:hint="eastAsia" w:ascii="微软雅黑" w:hAnsi="微软雅黑" w:eastAsia="微软雅黑" w:cs="微软雅黑"/>
          <w:color w:val="auto"/>
          <w:sz w:val="36"/>
          <w:highlight w:val="none"/>
        </w:rPr>
        <w:t>月</w:t>
      </w:r>
    </w:p>
    <w:p w14:paraId="0DCCCA71">
      <w:pPr>
        <w:pageBreakBefore w:val="0"/>
        <w:kinsoku/>
        <w:wordWrap/>
        <w:overflowPunct/>
        <w:topLinePunct w:val="0"/>
        <w:autoSpaceDE/>
        <w:autoSpaceDN/>
        <w:bidi w:val="0"/>
        <w:snapToGrid w:val="0"/>
        <w:spacing w:line="240" w:lineRule="auto"/>
        <w:jc w:val="center"/>
        <w:rPr>
          <w:rFonts w:hint="eastAsia" w:ascii="微软雅黑" w:hAnsi="微软雅黑" w:eastAsia="微软雅黑" w:cs="微软雅黑"/>
          <w:color w:val="auto"/>
          <w:sz w:val="44"/>
          <w:highlight w:val="none"/>
        </w:rPr>
      </w:pPr>
      <w:r>
        <w:rPr>
          <w:rFonts w:hint="eastAsia" w:ascii="微软雅黑" w:hAnsi="微软雅黑" w:eastAsia="微软雅黑" w:cs="微软雅黑"/>
          <w:b/>
          <w:bCs/>
          <w:color w:val="auto"/>
          <w:sz w:val="44"/>
          <w:highlight w:val="none"/>
        </w:rPr>
        <w:t>目  录</w:t>
      </w:r>
    </w:p>
    <w:p w14:paraId="68F1D217">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"1-2"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_Toc9140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第一篇 比选邀请书</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_Toc9140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F8E8074">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_Toc21404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kern w:val="2"/>
          <w:highlight w:val="none"/>
          <w:lang w:val="en-US" w:eastAsia="zh-CN" w:bidi="ar-SA"/>
        </w:rPr>
        <w:t>一、</w:t>
      </w:r>
      <w:r>
        <w:rPr>
          <w:rFonts w:hint="eastAsia" w:ascii="微软雅黑" w:hAnsi="微软雅黑" w:eastAsia="微软雅黑" w:cs="微软雅黑"/>
          <w:color w:val="auto"/>
          <w:highlight w:val="none"/>
        </w:rPr>
        <w:t>比选项目内容</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_Toc21404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1C4411A4">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_Toc7630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二、资金来源</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_Toc7630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C8543C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_Toc17576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三、竞选人资格要求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_Toc17576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8D1236F">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_Toc17980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四、投标、比选有关说明</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_Toc17980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46BCB6B9">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_Toc3014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五、投标保证金</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_Toc3014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- 4 -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F17878A">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_Toc5703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六、投标有关规定</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_Toc5703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8249D66">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_Toc30614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八、联系方式</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_Toc30614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180B1EF0">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_Toc23199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 xml:space="preserve">第二篇 </w:t>
      </w:r>
      <w:r>
        <w:rPr>
          <w:rFonts w:hint="eastAsia" w:ascii="微软雅黑" w:hAnsi="微软雅黑" w:eastAsia="微软雅黑" w:cs="微软雅黑"/>
          <w:color w:val="auto"/>
          <w:highlight w:val="none"/>
          <w:lang w:eastAsia="zh-CN"/>
        </w:rPr>
        <w:t>项目服务需求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_Toc23199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85DEA8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_Toc16471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4"/>
          <w:highlight w:val="none"/>
        </w:rPr>
        <w:t>一、采购项目</w:t>
      </w:r>
      <w:r>
        <w:rPr>
          <w:rFonts w:hint="eastAsia" w:ascii="微软雅黑" w:hAnsi="微软雅黑" w:eastAsia="微软雅黑" w:cs="微软雅黑"/>
          <w:bCs/>
          <w:color w:val="auto"/>
          <w:szCs w:val="24"/>
          <w:highlight w:val="none"/>
          <w:lang w:val="en-US" w:eastAsia="zh-CN"/>
        </w:rPr>
        <w:t>概况</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_Toc16471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387B356">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_Toc14253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24"/>
          <w:highlight w:val="none"/>
          <w:lang w:val="en-US" w:eastAsia="zh-CN"/>
        </w:rPr>
        <w:t>二、采购项目服务需求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_Toc14253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CAFF9EC">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_Toc6494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lang w:val="en-US" w:eastAsia="zh-CN"/>
        </w:rPr>
        <w:t>第三篇  项目商务要求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_Toc6494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5F6E9B43">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_Toc6557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一、服务期、服务地点及考核方式</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_Toc6557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B50E2AF">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_Toc29593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二、报价要求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_Toc29593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D9D1A48">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_Toc13679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三、付款方式</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_Toc13679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9F0EA95">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_Toc8381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四、</w:t>
      </w:r>
      <w:r>
        <w:rPr>
          <w:rFonts w:hint="eastAsia" w:ascii="微软雅黑" w:hAnsi="微软雅黑" w:eastAsia="微软雅黑" w:cs="微软雅黑"/>
          <w:color w:val="auto"/>
          <w:szCs w:val="24"/>
          <w:highlight w:val="none"/>
          <w:lang w:val="en-US" w:eastAsia="zh-CN"/>
        </w:rPr>
        <w:t>质量保证</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_Toc8381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EB1AF70">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_Toc11216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第四篇  资格审查及评标办法</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_Toc11216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1B0AF5B">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_Toc17745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一、资格审查</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_Toc17745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31A0AD9">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_Toc9105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二、评标方法</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_Toc9105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1A2E6BD">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_Toc14268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kern w:val="2"/>
          <w:highlight w:val="none"/>
          <w:lang w:val="en-US" w:eastAsia="zh-CN" w:bidi="ar-SA"/>
        </w:rPr>
        <w:t>三、</w:t>
      </w:r>
      <w:r>
        <w:rPr>
          <w:rFonts w:hint="eastAsia" w:ascii="微软雅黑" w:hAnsi="微软雅黑" w:eastAsia="微软雅黑" w:cs="微软雅黑"/>
          <w:color w:val="auto"/>
          <w:szCs w:val="24"/>
          <w:highlight w:val="none"/>
        </w:rPr>
        <w:t>评标标准</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_Toc14268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- 10 -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74CE2FA">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_Toc8429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四、无效投标条款</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_Toc8429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FF47EE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_Toc7410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4"/>
          <w:highlight w:val="none"/>
        </w:rPr>
        <w:t>五、废标条款</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_Toc7410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- 14 -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2EFE7D4">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_Toc18440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第五篇  竞选人须知</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_Toc18440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681A4C1">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_Toc22403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一、竞选人</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_Toc22403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5BCF27C4">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_Toc27719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二、比选文件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_Toc27719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8CA12F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_Toc17425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三、竞选文件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_Toc17425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5C9566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_Toc7016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四、比选</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_Toc7016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10D5107A">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_Toc22130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五、评标</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_Toc22130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300A8BBB">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_Toc2708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六、定标</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_Toc2708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BF7AE9B">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_Toc1305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七、成交</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_Toc1305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9878855">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_Toc15548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八、询问、质疑和投诉</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_Toc15548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7437DEFE">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_Toc7278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九、代理服务费</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_Toc7278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AC36A07">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_Toc13556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highlight w:val="none"/>
        </w:rPr>
        <w:t>十、签订合同</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_Toc13556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6B6CA19F">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_Toc8768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6"/>
          <w:highlight w:val="none"/>
        </w:rPr>
        <w:t>第六篇  采购合同</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_Toc8768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- 20 -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5E00A5BA">
      <w:pPr>
        <w:pStyle w:val="17"/>
        <w:tabs>
          <w:tab w:val="right" w:leader="dot" w:pos="9412"/>
          <w:tab w:val="clear" w:pos="1260"/>
          <w:tab w:val="clear" w:pos="1685"/>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_Toc23733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6"/>
          <w:highlight w:val="none"/>
        </w:rPr>
        <w:t>第七篇 竞选文件格式</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_Toc23733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- 25 -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40C0ECB0">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_Toc29049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rPr>
        <w:t>一、经济文件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_Toc29049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- 26 -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034ED322">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_Toc17711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rPr>
        <w:t>三、商务文件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_Toc17711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- 29 -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197DE374">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_Toc14521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rPr>
        <w:t>四、其他</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_Toc14521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- 32 -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00221F3">
      <w:pPr>
        <w:pStyle w:val="18"/>
        <w:tabs>
          <w:tab w:val="right" w:leader="dot" w:pos="9412"/>
          <w:tab w:val="clear" w:pos="8400"/>
        </w:tabs>
        <w:kinsoku/>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_Toc25608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8"/>
          <w:highlight w:val="none"/>
        </w:rPr>
        <w:t>五、资格文件</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_Toc25608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- 38 -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1"/>
          <w:highlight w:val="none"/>
        </w:rPr>
        <w:fldChar w:fldCharType="end"/>
      </w:r>
    </w:p>
    <w:p w14:paraId="24568E8B">
      <w:pPr>
        <w:pStyle w:val="17"/>
        <w:pageBreakBefore w:val="0"/>
        <w:kinsoku/>
        <w:wordWrap/>
        <w:overflowPunct/>
        <w:topLinePunct w:val="0"/>
        <w:autoSpaceDE/>
        <w:autoSpaceDN/>
        <w:bidi w:val="0"/>
        <w:spacing w:line="240" w:lineRule="auto"/>
        <w:ind w:firstLine="0" w:firstLineChars="0"/>
        <w:rPr>
          <w:rFonts w:hint="eastAsia" w:ascii="微软雅黑" w:hAnsi="微软雅黑" w:eastAsia="微软雅黑" w:cs="微软雅黑"/>
          <w:color w:val="auto"/>
          <w:sz w:val="32"/>
          <w:highlight w:val="none"/>
        </w:rPr>
        <w:sectPr>
          <w:pgSz w:w="11907" w:h="16840"/>
          <w:pgMar w:top="1134" w:right="1191" w:bottom="1134" w:left="1304" w:header="964" w:footer="992" w:gutter="0"/>
          <w:pgNumType w:fmt="numberInDash" w:start="1"/>
          <w:cols w:space="720" w:num="1"/>
          <w:docGrid w:linePitch="312" w:charSpace="0"/>
        </w:sectPr>
      </w:pPr>
      <w:r>
        <w:rPr>
          <w:rFonts w:hint="eastAsia" w:ascii="微软雅黑" w:hAnsi="微软雅黑" w:eastAsia="微软雅黑" w:cs="微软雅黑"/>
          <w:color w:val="auto"/>
          <w:szCs w:val="21"/>
          <w:highlight w:val="none"/>
        </w:rPr>
        <w:fldChar w:fldCharType="end"/>
      </w:r>
    </w:p>
    <w:p w14:paraId="0C687FA8">
      <w:pPr>
        <w:pStyle w:val="2"/>
        <w:pageBreakBefore w:val="0"/>
        <w:kinsoku/>
        <w:wordWrap/>
        <w:overflowPunct/>
        <w:topLinePunct w:val="0"/>
        <w:autoSpaceDE/>
        <w:autoSpaceDN/>
        <w:bidi w:val="0"/>
        <w:spacing w:beforeLines="0" w:afterLines="0" w:line="240" w:lineRule="auto"/>
        <w:rPr>
          <w:rFonts w:hint="eastAsia" w:ascii="微软雅黑" w:hAnsi="微软雅黑" w:eastAsia="微软雅黑" w:cs="微软雅黑"/>
          <w:b/>
          <w:color w:val="auto"/>
          <w:highlight w:val="none"/>
        </w:rPr>
      </w:pPr>
      <w:bookmarkStart w:id="0" w:name="_Toc9140"/>
      <w:r>
        <w:rPr>
          <w:rFonts w:hint="eastAsia" w:ascii="微软雅黑" w:hAnsi="微软雅黑" w:eastAsia="微软雅黑" w:cs="微软雅黑"/>
          <w:b/>
          <w:color w:val="auto"/>
          <w:highlight w:val="none"/>
        </w:rPr>
        <w:t>第一篇 比选邀请书</w:t>
      </w:r>
      <w:bookmarkEnd w:id="0"/>
    </w:p>
    <w:p w14:paraId="572836FA">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重庆市药品监督管理局（以下简称：比选人）委托</w:t>
      </w:r>
      <w:r>
        <w:rPr>
          <w:rFonts w:hint="eastAsia" w:ascii="微软雅黑" w:hAnsi="微软雅黑" w:eastAsia="微软雅黑" w:cs="微软雅黑"/>
          <w:color w:val="auto"/>
          <w:sz w:val="24"/>
          <w:szCs w:val="24"/>
          <w:highlight w:val="none"/>
        </w:rPr>
        <w:t>重庆复林招标代理有限公司对</w:t>
      </w:r>
      <w:r>
        <w:rPr>
          <w:rFonts w:hint="eastAsia" w:ascii="微软雅黑" w:hAnsi="微软雅黑" w:eastAsia="微软雅黑" w:cs="微软雅黑"/>
          <w:color w:val="auto"/>
          <w:sz w:val="24"/>
          <w:szCs w:val="24"/>
          <w:highlight w:val="none"/>
          <w:lang w:eastAsia="zh-CN"/>
        </w:rPr>
        <w:t>重庆市药品监督管理局空调维保服务</w:t>
      </w:r>
      <w:r>
        <w:rPr>
          <w:rFonts w:hint="eastAsia" w:ascii="微软雅黑" w:hAnsi="微软雅黑" w:eastAsia="微软雅黑" w:cs="微软雅黑"/>
          <w:color w:val="auto"/>
          <w:sz w:val="24"/>
          <w:szCs w:val="24"/>
          <w:highlight w:val="none"/>
        </w:rPr>
        <w:t>进行比选，欢迎有资格的竞选人参加投标。</w:t>
      </w:r>
    </w:p>
    <w:p w14:paraId="103131ED">
      <w:pPr>
        <w:pStyle w:val="3"/>
        <w:pageBreakBefore w:val="0"/>
        <w:numPr>
          <w:ilvl w:val="0"/>
          <w:numId w:val="0"/>
        </w:numPr>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1" w:name="_Toc21404"/>
      <w:r>
        <w:rPr>
          <w:rFonts w:hint="eastAsia" w:ascii="微软雅黑" w:hAnsi="微软雅黑" w:eastAsia="微软雅黑" w:cs="微软雅黑"/>
          <w:b/>
          <w:color w:val="auto"/>
          <w:kern w:val="2"/>
          <w:sz w:val="24"/>
          <w:highlight w:val="none"/>
          <w:lang w:val="en-US" w:eastAsia="zh-CN" w:bidi="ar-SA"/>
        </w:rPr>
        <w:t>一、</w:t>
      </w:r>
      <w:r>
        <w:rPr>
          <w:rFonts w:hint="eastAsia" w:ascii="微软雅黑" w:hAnsi="微软雅黑" w:eastAsia="微软雅黑" w:cs="微软雅黑"/>
          <w:b/>
          <w:color w:val="auto"/>
          <w:sz w:val="24"/>
          <w:highlight w:val="none"/>
        </w:rPr>
        <w:t>比选项目内容</w:t>
      </w:r>
      <w:bookmarkEnd w:id="1"/>
    </w:p>
    <w:tbl>
      <w:tblPr>
        <w:tblStyle w:val="21"/>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1343"/>
        <w:gridCol w:w="1522"/>
        <w:gridCol w:w="1395"/>
        <w:gridCol w:w="1950"/>
      </w:tblGrid>
      <w:tr w14:paraId="0CCE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2" w:type="dxa"/>
            <w:noWrap w:val="0"/>
            <w:vAlign w:val="center"/>
          </w:tcPr>
          <w:p w14:paraId="7ED67905">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c>
        <w:tc>
          <w:tcPr>
            <w:tcW w:w="1343" w:type="dxa"/>
            <w:noWrap w:val="0"/>
            <w:vAlign w:val="center"/>
          </w:tcPr>
          <w:p w14:paraId="5B076A9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预算金额</w:t>
            </w:r>
            <w:r>
              <w:rPr>
                <w:rFonts w:hint="eastAsia" w:ascii="微软雅黑" w:hAnsi="微软雅黑" w:eastAsia="微软雅黑" w:cs="微软雅黑"/>
                <w:color w:val="auto"/>
                <w:sz w:val="24"/>
                <w:szCs w:val="24"/>
                <w:highlight w:val="none"/>
              </w:rPr>
              <w:t>（万元）</w:t>
            </w:r>
          </w:p>
        </w:tc>
        <w:tc>
          <w:tcPr>
            <w:tcW w:w="1522" w:type="dxa"/>
            <w:noWrap w:val="0"/>
            <w:vAlign w:val="center"/>
          </w:tcPr>
          <w:p w14:paraId="31C17D89">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投标保证金（万元）</w:t>
            </w:r>
          </w:p>
        </w:tc>
        <w:tc>
          <w:tcPr>
            <w:tcW w:w="1395" w:type="dxa"/>
            <w:noWrap w:val="0"/>
            <w:vAlign w:val="center"/>
          </w:tcPr>
          <w:p w14:paraId="41D10A7E">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中选人</w:t>
            </w:r>
          </w:p>
          <w:p w14:paraId="2A871B4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数量（名）</w:t>
            </w:r>
          </w:p>
        </w:tc>
        <w:tc>
          <w:tcPr>
            <w:tcW w:w="1950" w:type="dxa"/>
            <w:noWrap w:val="0"/>
            <w:vAlign w:val="center"/>
          </w:tcPr>
          <w:p w14:paraId="38B236BE">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采购标的对应的中小企业划分标准所属行业</w:t>
            </w:r>
          </w:p>
        </w:tc>
      </w:tr>
      <w:tr w14:paraId="5A75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02" w:type="dxa"/>
            <w:noWrap w:val="0"/>
            <w:vAlign w:val="center"/>
          </w:tcPr>
          <w:p w14:paraId="7A72350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重庆市药品监督管理局空调维保服务</w:t>
            </w:r>
          </w:p>
        </w:tc>
        <w:tc>
          <w:tcPr>
            <w:tcW w:w="1343" w:type="dxa"/>
            <w:noWrap w:val="0"/>
            <w:vAlign w:val="center"/>
          </w:tcPr>
          <w:p w14:paraId="543E4FB0">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45</w:t>
            </w:r>
          </w:p>
        </w:tc>
        <w:tc>
          <w:tcPr>
            <w:tcW w:w="1522" w:type="dxa"/>
            <w:noWrap w:val="0"/>
            <w:vAlign w:val="center"/>
          </w:tcPr>
          <w:p w14:paraId="75BBB566">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0.9</w:t>
            </w:r>
          </w:p>
        </w:tc>
        <w:tc>
          <w:tcPr>
            <w:tcW w:w="1395" w:type="dxa"/>
            <w:noWrap w:val="0"/>
            <w:vAlign w:val="center"/>
          </w:tcPr>
          <w:p w14:paraId="0F8FE2E3">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w:t>
            </w:r>
          </w:p>
        </w:tc>
        <w:tc>
          <w:tcPr>
            <w:tcW w:w="1950" w:type="dxa"/>
            <w:noWrap w:val="0"/>
            <w:vAlign w:val="center"/>
          </w:tcPr>
          <w:p w14:paraId="0EAD5F55">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其他未列明行业</w:t>
            </w:r>
          </w:p>
        </w:tc>
      </w:tr>
    </w:tbl>
    <w:p w14:paraId="66DB3E47">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2" w:name="_Toc7630"/>
      <w:r>
        <w:rPr>
          <w:rFonts w:hint="eastAsia" w:ascii="微软雅黑" w:hAnsi="微软雅黑" w:eastAsia="微软雅黑" w:cs="微软雅黑"/>
          <w:b/>
          <w:color w:val="auto"/>
          <w:sz w:val="24"/>
          <w:highlight w:val="none"/>
        </w:rPr>
        <w:t>二、资金来源</w:t>
      </w:r>
      <w:bookmarkEnd w:id="2"/>
    </w:p>
    <w:p w14:paraId="3B0B105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财政预算资金</w:t>
      </w:r>
      <w:r>
        <w:rPr>
          <w:rFonts w:hint="eastAsia" w:ascii="微软雅黑" w:hAnsi="微软雅黑" w:eastAsia="微软雅黑" w:cs="微软雅黑"/>
          <w:color w:val="auto"/>
          <w:sz w:val="24"/>
          <w:szCs w:val="24"/>
          <w:highlight w:val="none"/>
          <w:lang w:val="en-US" w:eastAsia="zh-CN"/>
        </w:rPr>
        <w:t>，三年服务期最高限价共计45万元</w:t>
      </w:r>
      <w:r>
        <w:rPr>
          <w:rFonts w:hint="eastAsia" w:ascii="微软雅黑" w:hAnsi="微软雅黑" w:eastAsia="微软雅黑" w:cs="微软雅黑"/>
          <w:color w:val="auto"/>
          <w:sz w:val="24"/>
          <w:szCs w:val="24"/>
          <w:highlight w:val="none"/>
        </w:rPr>
        <w:t>。</w:t>
      </w:r>
    </w:p>
    <w:p w14:paraId="4F3CCC6C">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3" w:name="_Toc17576"/>
      <w:r>
        <w:rPr>
          <w:rFonts w:hint="eastAsia" w:ascii="微软雅黑" w:hAnsi="微软雅黑" w:eastAsia="微软雅黑" w:cs="微软雅黑"/>
          <w:b/>
          <w:color w:val="auto"/>
          <w:sz w:val="24"/>
          <w:highlight w:val="none"/>
        </w:rPr>
        <w:t>三、竞选人资格要求</w:t>
      </w:r>
      <w:bookmarkEnd w:id="3"/>
    </w:p>
    <w:p w14:paraId="668A6E9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（一）满足《中华人民共和国政府采购法》第二十二条规定；</w:t>
      </w:r>
    </w:p>
    <w:p w14:paraId="407D7D7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（二）落实采购政策需满足的资格要求：</w:t>
      </w:r>
      <w:r>
        <w:rPr>
          <w:rFonts w:hint="eastAsia" w:ascii="微软雅黑" w:hAnsi="微软雅黑" w:eastAsia="微软雅黑" w:cs="微软雅黑"/>
          <w:color w:val="auto"/>
          <w:sz w:val="24"/>
          <w:szCs w:val="24"/>
          <w:highlight w:val="none"/>
          <w:lang w:val="en-US" w:eastAsia="zh-CN"/>
        </w:rPr>
        <w:t>本项目专门面向中小企业采购，服务承接企业应为中小微企业（包括中型、小型、微型企业，须提供“中小企业声明函”）或监狱企业（提供“监狱企业证明文件”）或残疾人福利性单位（提供“残疾人福利性单位声明函”）。</w:t>
      </w:r>
    </w:p>
    <w:p w14:paraId="488FEB0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w:t>
      </w:r>
    </w:p>
    <w:p w14:paraId="1163673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①“中小企业声明函”应由竞选人出具，并加盖竞选人公章，声明函格式详见本招标文件第七篇“中小企业声明函”；</w:t>
      </w:r>
    </w:p>
    <w:p w14:paraId="353CB76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②“监狱企业证明文件”应当由竞选人提供（服务承接企业）属于监狱企业的证明文件，该证明文件由省级以上监狱管理局、戒毒管理局（含新疆生产建设兵团）出具；</w:t>
      </w:r>
    </w:p>
    <w:p w14:paraId="2B3551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③“残疾人福利性单位声明函”应由竞选人提供（服务承接企业）出具的“残疾人福利性单位声明函”，并加盖该残疾人福利性单位公章</w:t>
      </w:r>
    </w:p>
    <w:p w14:paraId="20E60EE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（三）本项目的特定资格要求：</w:t>
      </w:r>
      <w:r>
        <w:rPr>
          <w:rFonts w:hint="eastAsia" w:ascii="微软雅黑" w:hAnsi="微软雅黑" w:eastAsia="微软雅黑" w:cs="微软雅黑"/>
          <w:color w:val="auto"/>
          <w:sz w:val="24"/>
          <w:szCs w:val="24"/>
          <w:highlight w:val="none"/>
          <w:lang w:val="en-US" w:eastAsia="zh-CN"/>
        </w:rPr>
        <w:t>无。</w:t>
      </w:r>
    </w:p>
    <w:p w14:paraId="09D6080A">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4" w:name="_Toc17980"/>
      <w:r>
        <w:rPr>
          <w:rFonts w:hint="eastAsia" w:ascii="微软雅黑" w:hAnsi="微软雅黑" w:eastAsia="微软雅黑" w:cs="微软雅黑"/>
          <w:b/>
          <w:color w:val="auto"/>
          <w:sz w:val="24"/>
          <w:highlight w:val="none"/>
        </w:rPr>
        <w:t>四、投标、比选有关说明</w:t>
      </w:r>
      <w:bookmarkEnd w:id="4"/>
    </w:p>
    <w:p w14:paraId="0A875B2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（一）凡有意参加投标的竞选人，请到行采家(http://www.gec123.com/）下载本项目比选文件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补遗等比选前公布的所有项目资料，无论竞选人领取或下载与否，均视为已知晓所有比选内容。</w:t>
      </w:r>
    </w:p>
    <w:p w14:paraId="5176955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（二）比选文件公告期限：自采购公告发布之日（202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日）起三个工作日。</w:t>
      </w:r>
    </w:p>
    <w:p w14:paraId="378CFFA9">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（三）报名及比选文件发售</w:t>
      </w:r>
    </w:p>
    <w:p w14:paraId="2F6DF112">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1.报名和</w:t>
      </w:r>
      <w:r>
        <w:rPr>
          <w:rFonts w:hint="eastAsia" w:ascii="微软雅黑" w:hAnsi="微软雅黑" w:eastAsia="微软雅黑" w:cs="微软雅黑"/>
          <w:color w:val="auto"/>
          <w:sz w:val="24"/>
          <w:szCs w:val="24"/>
          <w:highlight w:val="none"/>
          <w:lang w:val="en-US" w:eastAsia="zh-CN"/>
        </w:rPr>
        <w:t>比选</w:t>
      </w:r>
      <w:r>
        <w:rPr>
          <w:rFonts w:hint="eastAsia" w:ascii="微软雅黑" w:hAnsi="微软雅黑" w:eastAsia="微软雅黑" w:cs="微软雅黑"/>
          <w:color w:val="auto"/>
          <w:sz w:val="24"/>
          <w:szCs w:val="24"/>
          <w:highlight w:val="none"/>
        </w:rPr>
        <w:t>文件发售期：202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日-202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18</w:t>
      </w:r>
      <w:r>
        <w:rPr>
          <w:rFonts w:hint="eastAsia" w:ascii="微软雅黑" w:hAnsi="微软雅黑" w:eastAsia="微软雅黑" w:cs="微软雅黑"/>
          <w:color w:val="auto"/>
          <w:sz w:val="24"/>
          <w:szCs w:val="24"/>
          <w:highlight w:val="none"/>
        </w:rPr>
        <w:t>日17:00（工作时间）。</w:t>
      </w:r>
    </w:p>
    <w:p w14:paraId="180C477C">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比选</w:t>
      </w:r>
      <w:r>
        <w:rPr>
          <w:rFonts w:hint="eastAsia" w:ascii="微软雅黑" w:hAnsi="微软雅黑" w:eastAsia="微软雅黑" w:cs="微软雅黑"/>
          <w:color w:val="auto"/>
          <w:sz w:val="24"/>
          <w:szCs w:val="24"/>
          <w:highlight w:val="none"/>
        </w:rPr>
        <w:t>文件售价：人民币500元/分包（售后不退）</w:t>
      </w:r>
      <w:r>
        <w:rPr>
          <w:rFonts w:hint="eastAsia" w:ascii="微软雅黑" w:hAnsi="微软雅黑" w:eastAsia="微软雅黑" w:cs="微软雅黑"/>
          <w:color w:val="auto"/>
          <w:sz w:val="24"/>
          <w:szCs w:val="24"/>
          <w:highlight w:val="none"/>
          <w:lang w:eastAsia="zh-CN"/>
        </w:rPr>
        <w:t>，</w:t>
      </w:r>
    </w:p>
    <w:p w14:paraId="44DA1E30">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rPr>
        <w:t>文件购买方式</w:t>
      </w:r>
    </w:p>
    <w:p w14:paraId="40402547">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2.1.1现金购买</w:t>
      </w:r>
    </w:p>
    <w:p w14:paraId="7236DC11">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rPr>
        <w:t>文件发售期内，</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到重庆市渝中区创意大厦21-05室，递交《重庆复林招标代理有限公司采购文件发售登记表》（加盖</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公章）并购买</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rPr>
        <w:t>文件。</w:t>
      </w:r>
    </w:p>
    <w:p w14:paraId="6C5B8B79">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2.1.2汇款购买</w:t>
      </w:r>
    </w:p>
    <w:p w14:paraId="25EE97C3">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在公示期内，供应商将采购文件购买费用汇至以下账户内进行购买（需注明项目名称，</w:t>
      </w:r>
      <w:r>
        <w:rPr>
          <w:rFonts w:hint="eastAsia" w:ascii="微软雅黑" w:hAnsi="微软雅黑" w:eastAsia="微软雅黑" w:cs="微软雅黑"/>
          <w:color w:val="auto"/>
          <w:sz w:val="24"/>
          <w:szCs w:val="24"/>
          <w:highlight w:val="none"/>
        </w:rPr>
        <w:t>如</w:t>
      </w:r>
      <w:r>
        <w:rPr>
          <w:rFonts w:hint="eastAsia" w:ascii="微软雅黑" w:hAnsi="微软雅黑" w:eastAsia="微软雅黑" w:cs="微软雅黑"/>
          <w:color w:val="auto"/>
          <w:sz w:val="24"/>
          <w:szCs w:val="24"/>
          <w:highlight w:val="none"/>
          <w:lang w:eastAsia="zh-CN"/>
        </w:rPr>
        <w:t>需</w:t>
      </w:r>
      <w:r>
        <w:rPr>
          <w:rFonts w:hint="eastAsia" w:ascii="微软雅黑" w:hAnsi="微软雅黑" w:eastAsia="微软雅黑" w:cs="微软雅黑"/>
          <w:color w:val="auto"/>
          <w:sz w:val="24"/>
          <w:szCs w:val="24"/>
          <w:highlight w:val="none"/>
        </w:rPr>
        <w:t>开票，开</w:t>
      </w:r>
      <w:r>
        <w:rPr>
          <w:rFonts w:hint="eastAsia" w:ascii="宋体" w:hAnsi="宋体" w:eastAsia="宋体" w:cs="宋体"/>
          <w:color w:val="auto"/>
          <w:sz w:val="24"/>
          <w:highlight w:val="none"/>
        </w:rPr>
        <w:t>票</w:t>
      </w:r>
      <w:r>
        <w:rPr>
          <w:rFonts w:hint="eastAsia" w:ascii="微软雅黑" w:hAnsi="微软雅黑" w:eastAsia="微软雅黑" w:cs="微软雅黑"/>
          <w:color w:val="auto"/>
          <w:sz w:val="24"/>
          <w:szCs w:val="24"/>
          <w:highlight w:val="none"/>
        </w:rPr>
        <w:t>信息请发邮箱fulinzhaobiao@163.com</w:t>
      </w:r>
      <w:r>
        <w:rPr>
          <w:rFonts w:hint="eastAsia" w:ascii="微软雅黑" w:hAnsi="微软雅黑" w:eastAsia="微软雅黑" w:cs="微软雅黑"/>
          <w:color w:val="auto"/>
          <w:sz w:val="24"/>
          <w:szCs w:val="24"/>
          <w:highlight w:val="none"/>
          <w:lang w:val="en-US" w:eastAsia="zh-CN"/>
        </w:rPr>
        <w:t>）</w:t>
      </w:r>
    </w:p>
    <w:p w14:paraId="02782EFC">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mailto:在磋商文件发售期内，供应商将磋商文件购买费用汇至以下账户内进行购买。通过汇款方式购买磋商文件的，将磋商文件汇款凭证（注明项目号）、《采购文件发售登记表》（加盖供应商公章）扫描后发送至*****@**.com（邮箱）。"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通过汇款方式购买采购文件的，供应商需登录重庆复林电子交易招投标平台（http://makepurchase.cn/#/login）点击“</w:t>
      </w:r>
      <w:r>
        <w:rPr>
          <w:rFonts w:hint="eastAsia" w:ascii="微软雅黑" w:hAnsi="微软雅黑" w:eastAsia="微软雅黑" w:cs="微软雅黑"/>
          <w:b/>
          <w:bCs/>
          <w:color w:val="auto"/>
          <w:sz w:val="24"/>
          <w:szCs w:val="24"/>
          <w:highlight w:val="none"/>
        </w:rPr>
        <w:t>供应商报名</w:t>
      </w:r>
      <w:r>
        <w:rPr>
          <w:rFonts w:hint="eastAsia" w:ascii="微软雅黑" w:hAnsi="微软雅黑" w:eastAsia="微软雅黑" w:cs="微软雅黑"/>
          <w:color w:val="auto"/>
          <w:sz w:val="24"/>
          <w:szCs w:val="24"/>
          <w:highlight w:val="none"/>
        </w:rPr>
        <w:t>”按钮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无需注册</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，按平台报名要求进行填写，并上传采购文件汇款凭证（注明项目名称）、《采购文件发售登记表》（加盖供应商公章）扫描件进行报名（如有疑问，请发邮箱fulinzhaobiao@163.com）。</w:t>
      </w:r>
      <w:r>
        <w:rPr>
          <w:rFonts w:hint="eastAsia" w:ascii="微软雅黑" w:hAnsi="微软雅黑" w:eastAsia="微软雅黑" w:cs="微软雅黑"/>
          <w:color w:val="auto"/>
          <w:sz w:val="24"/>
          <w:szCs w:val="24"/>
          <w:highlight w:val="none"/>
        </w:rPr>
        <w:fldChar w:fldCharType="end"/>
      </w:r>
    </w:p>
    <w:p w14:paraId="19A4AE62">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户  名：重庆复林招标代理有限公司</w:t>
      </w:r>
    </w:p>
    <w:p w14:paraId="27B34CA8">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开户行：中国民生银行股份有限公司重庆解放碑支行</w:t>
      </w:r>
    </w:p>
    <w:p w14:paraId="214170C9">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账  号：693213593</w:t>
      </w:r>
    </w:p>
    <w:p w14:paraId="6C977A08">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3.在报名和</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rPr>
        <w:t>文件发售期内完成以上工作的</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，其响应文件才被现场接收。</w:t>
      </w:r>
    </w:p>
    <w:p w14:paraId="2F465699">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（四）线上平台报价</w:t>
      </w:r>
      <w:r>
        <w:rPr>
          <w:rFonts w:hint="eastAsia" w:ascii="微软雅黑" w:hAnsi="微软雅黑" w:eastAsia="微软雅黑" w:cs="微软雅黑"/>
          <w:color w:val="auto"/>
          <w:sz w:val="24"/>
          <w:szCs w:val="24"/>
          <w:highlight w:val="none"/>
          <w:lang w:val="en-US" w:eastAsia="zh-CN"/>
        </w:rPr>
        <w:t>和上传响应文件</w:t>
      </w:r>
      <w:r>
        <w:rPr>
          <w:rFonts w:hint="eastAsia" w:ascii="微软雅黑" w:hAnsi="微软雅黑" w:eastAsia="微软雅黑" w:cs="微软雅黑"/>
          <w:color w:val="auto"/>
          <w:sz w:val="24"/>
          <w:szCs w:val="24"/>
          <w:highlight w:val="none"/>
          <w:lang w:eastAsia="zh-CN"/>
        </w:rPr>
        <w:t>：竞选人需在报价截止时间（同响应文件递交截止时间）前在平台进行线上报价</w:t>
      </w:r>
      <w:r>
        <w:rPr>
          <w:rFonts w:hint="eastAsia" w:ascii="微软雅黑" w:hAnsi="微软雅黑" w:eastAsia="微软雅黑" w:cs="微软雅黑"/>
          <w:color w:val="auto"/>
          <w:sz w:val="24"/>
          <w:szCs w:val="24"/>
          <w:highlight w:val="none"/>
          <w:lang w:val="en-US" w:eastAsia="zh-CN"/>
        </w:rPr>
        <w:t>和上传响应文件（上传的响应文件须是签字盖章齐全的纸质版响应文件正本的扫描件）</w:t>
      </w:r>
      <w:r>
        <w:rPr>
          <w:rFonts w:hint="eastAsia" w:ascii="微软雅黑" w:hAnsi="微软雅黑" w:eastAsia="微软雅黑" w:cs="微软雅黑"/>
          <w:color w:val="auto"/>
          <w:sz w:val="24"/>
          <w:szCs w:val="24"/>
          <w:highlight w:val="none"/>
          <w:lang w:eastAsia="zh-CN"/>
        </w:rPr>
        <w:t>，未在报价截止时间前完成线上报价的竞选人和线上报价与响应文件报价不一致的</w:t>
      </w:r>
      <w:r>
        <w:rPr>
          <w:rFonts w:hint="eastAsia" w:ascii="微软雅黑" w:hAnsi="微软雅黑" w:eastAsia="微软雅黑" w:cs="微软雅黑"/>
          <w:color w:val="auto"/>
          <w:sz w:val="24"/>
          <w:szCs w:val="24"/>
          <w:highlight w:val="none"/>
          <w:lang w:val="en-US" w:eastAsia="zh-CN"/>
        </w:rPr>
        <w:t>以及未上传响应文件的</w:t>
      </w:r>
      <w:r>
        <w:rPr>
          <w:rFonts w:hint="eastAsia" w:ascii="微软雅黑" w:hAnsi="微软雅黑" w:eastAsia="微软雅黑" w:cs="微软雅黑"/>
          <w:color w:val="auto"/>
          <w:sz w:val="24"/>
          <w:szCs w:val="24"/>
          <w:highlight w:val="none"/>
          <w:lang w:eastAsia="zh-CN"/>
        </w:rPr>
        <w:t>均视为无效投标。</w:t>
      </w:r>
    </w:p>
    <w:p w14:paraId="56128B9A">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5" w:name="_Toc3014"/>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五</w:t>
      </w:r>
      <w:r>
        <w:rPr>
          <w:rFonts w:hint="eastAsia" w:ascii="微软雅黑" w:hAnsi="微软雅黑" w:eastAsia="微软雅黑" w:cs="微软雅黑"/>
          <w:color w:val="auto"/>
          <w:sz w:val="24"/>
          <w:szCs w:val="24"/>
          <w:highlight w:val="none"/>
        </w:rPr>
        <w:t>）投标地点：重庆市渝中区创意大厦21-5（重庆复林招标代理有限公司</w:t>
      </w:r>
      <w:r>
        <w:rPr>
          <w:rFonts w:hint="eastAsia" w:ascii="微软雅黑" w:hAnsi="微软雅黑" w:eastAsia="微软雅黑" w:cs="微软雅黑"/>
          <w:color w:val="auto"/>
          <w:sz w:val="24"/>
          <w:szCs w:val="24"/>
          <w:highlight w:val="none"/>
          <w:lang w:val="en-US" w:eastAsia="zh-CN"/>
        </w:rPr>
        <w:t>开标</w:t>
      </w:r>
      <w:r>
        <w:rPr>
          <w:rFonts w:hint="eastAsia" w:ascii="微软雅黑" w:hAnsi="微软雅黑" w:eastAsia="微软雅黑" w:cs="微软雅黑"/>
          <w:color w:val="auto"/>
          <w:sz w:val="24"/>
          <w:szCs w:val="24"/>
          <w:highlight w:val="none"/>
        </w:rPr>
        <w:t>室）</w:t>
      </w:r>
    </w:p>
    <w:p w14:paraId="72D2163B">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六）线上上传竞选文件时间：2026年3月19日09：00-12：00（北京时间）</w:t>
      </w:r>
    </w:p>
    <w:p w14:paraId="201E4BE7">
      <w:pPr>
        <w:pageBreakBefore w:val="0"/>
        <w:widowControl w:val="0"/>
        <w:kinsoku/>
        <w:wordWrap/>
        <w:overflowPunct/>
        <w:topLinePunct w:val="0"/>
        <w:autoSpaceDE/>
        <w:autoSpaceDN/>
        <w:bidi w:val="0"/>
        <w:spacing w:line="240" w:lineRule="auto"/>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（七）线下递交竞选文件时间：2026年3月19日14：00-14：30（北京时间）</w:t>
      </w:r>
    </w:p>
    <w:p w14:paraId="756DF4A6">
      <w:pPr>
        <w:pageBreakBefore w:val="0"/>
        <w:widowControl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（八</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lang w:val="en-US" w:eastAsia="zh-CN"/>
        </w:rPr>
        <w:t>开始</w:t>
      </w:r>
      <w:r>
        <w:rPr>
          <w:rFonts w:hint="eastAsia" w:ascii="微软雅黑" w:hAnsi="微软雅黑" w:eastAsia="微软雅黑" w:cs="微软雅黑"/>
          <w:color w:val="auto"/>
          <w:sz w:val="24"/>
          <w:szCs w:val="24"/>
          <w:highlight w:val="none"/>
        </w:rPr>
        <w:t>时间：202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日北京时间1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30</w:t>
      </w:r>
    </w:p>
    <w:p w14:paraId="044D767D">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九</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比选</w:t>
      </w:r>
      <w:r>
        <w:rPr>
          <w:rFonts w:hint="eastAsia" w:ascii="微软雅黑" w:hAnsi="微软雅黑" w:eastAsia="微软雅黑" w:cs="微软雅黑"/>
          <w:color w:val="auto"/>
          <w:sz w:val="24"/>
          <w:szCs w:val="24"/>
          <w:highlight w:val="none"/>
        </w:rPr>
        <w:t>地点：同投标地点</w:t>
      </w:r>
    </w:p>
    <w:p w14:paraId="267B6509">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五、投标保证金</w:t>
      </w:r>
      <w:bookmarkEnd w:id="5"/>
    </w:p>
    <w:p w14:paraId="6ED64EA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（一）保证金递交</w:t>
      </w:r>
    </w:p>
    <w:p w14:paraId="05A8A90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1.竞选人须按本项目规定的保证金金额请打至重庆复林招标代理有限公司账户，保证金到账时间</w:t>
      </w:r>
      <w:r>
        <w:rPr>
          <w:rFonts w:hint="eastAsia" w:ascii="微软雅黑" w:hAnsi="微软雅黑" w:eastAsia="微软雅黑" w:cs="微软雅黑"/>
          <w:color w:val="auto"/>
          <w:sz w:val="24"/>
          <w:szCs w:val="24"/>
          <w:highlight w:val="none"/>
          <w:lang w:eastAsia="zh-CN"/>
        </w:rPr>
        <w:t>截止</w:t>
      </w:r>
      <w:r>
        <w:rPr>
          <w:rFonts w:hint="eastAsia" w:ascii="微软雅黑" w:hAnsi="微软雅黑" w:eastAsia="微软雅黑" w:cs="微软雅黑"/>
          <w:color w:val="auto"/>
          <w:sz w:val="24"/>
          <w:szCs w:val="24"/>
          <w:highlight w:val="none"/>
          <w:lang w:val="en-US" w:eastAsia="zh-CN"/>
        </w:rPr>
        <w:t>到比选</w:t>
      </w:r>
      <w:r>
        <w:rPr>
          <w:rFonts w:hint="eastAsia" w:ascii="微软雅黑" w:hAnsi="微软雅黑" w:eastAsia="微软雅黑" w:cs="微软雅黑"/>
          <w:color w:val="auto"/>
          <w:sz w:val="24"/>
          <w:szCs w:val="24"/>
          <w:highlight w:val="none"/>
        </w:rPr>
        <w:t>开始时间。</w:t>
      </w:r>
    </w:p>
    <w:p w14:paraId="5271AF9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户  名：重庆复林招标代理有限公司</w:t>
      </w:r>
    </w:p>
    <w:p w14:paraId="4F3DBEB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开户行：中国建设银行股份有限公</w:t>
      </w:r>
      <w:bookmarkStart w:id="188" w:name="_GoBack"/>
      <w:bookmarkEnd w:id="188"/>
      <w:r>
        <w:rPr>
          <w:rFonts w:hint="eastAsia" w:ascii="微软雅黑" w:hAnsi="微软雅黑" w:eastAsia="微软雅黑" w:cs="微软雅黑"/>
          <w:color w:val="auto"/>
          <w:sz w:val="24"/>
          <w:szCs w:val="24"/>
          <w:highlight w:val="none"/>
        </w:rPr>
        <w:t>司重庆南岸青龙路支行</w:t>
      </w:r>
    </w:p>
    <w:p w14:paraId="57B6EA4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账  号：50050110213100000187 </w:t>
      </w:r>
    </w:p>
    <w:p w14:paraId="7B55AF5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银行联行号:105653009187</w:t>
      </w:r>
    </w:p>
    <w:p w14:paraId="7AD9661A">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2.保证金打款时请批注“xx项目投标保证金”，未批注的竞选人在退还保证金时将会被扣除保证金总额的10%作为手续费补偿采购代理机构的税务损失。</w:t>
      </w:r>
    </w:p>
    <w:p w14:paraId="112D8F7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（二）保证金退还方式</w:t>
      </w:r>
    </w:p>
    <w:p w14:paraId="0F3306C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1.未中选人的保证金，在公示后将会原路退还。</w:t>
      </w:r>
    </w:p>
    <w:p w14:paraId="5A23B92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2.中选人的保证金，在中选人与比选人签订合同后，请凭合同复印件至代购代理机构公司退款。</w:t>
      </w:r>
    </w:p>
    <w:p w14:paraId="662FCFC4">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 w:name="_Toc5703"/>
      <w:r>
        <w:rPr>
          <w:rFonts w:hint="eastAsia" w:ascii="微软雅黑" w:hAnsi="微软雅黑" w:eastAsia="微软雅黑" w:cs="微软雅黑"/>
          <w:b/>
          <w:color w:val="auto"/>
          <w:sz w:val="24"/>
          <w:highlight w:val="none"/>
        </w:rPr>
        <w:t>六、投标有关规定</w:t>
      </w:r>
      <w:bookmarkEnd w:id="6"/>
    </w:p>
    <w:p w14:paraId="1CE43FC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，不得参加同一合同项（包）下的采购活动，否则均为无效</w:t>
      </w:r>
      <w:r>
        <w:rPr>
          <w:rFonts w:hint="eastAsia" w:ascii="微软雅黑" w:hAnsi="微软雅黑" w:eastAsia="微软雅黑" w:cs="微软雅黑"/>
          <w:color w:val="auto"/>
          <w:sz w:val="24"/>
          <w:szCs w:val="24"/>
          <w:highlight w:val="none"/>
          <w:lang w:val="en-US" w:eastAsia="zh-CN"/>
        </w:rPr>
        <w:t>竞选</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需在响应文件中提供公司股权关系、法定代表人控股的其他公司、参与项目组成员姓名、联系方式，以及其他能够体现公司之间关联关系的资料，并加盖</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公章，便于评审专家现场核查</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之间是否存在关联关系。</w:t>
      </w:r>
    </w:p>
    <w:p w14:paraId="1ED71E4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（二）为采购项目提供整体设计、规范编制或者项目管理、监理、检测等服务的竞选人，不得再参加该采购项目的其他采购活动。</w:t>
      </w:r>
    </w:p>
    <w:p w14:paraId="7E3568C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（三）本项目若有澄清文件一律在</w:t>
      </w:r>
      <w:r>
        <w:rPr>
          <w:rFonts w:hint="eastAsia" w:ascii="微软雅黑" w:hAnsi="微软雅黑" w:eastAsia="微软雅黑" w:cs="微软雅黑"/>
          <w:color w:val="auto"/>
          <w:sz w:val="24"/>
          <w:szCs w:val="24"/>
          <w:highlight w:val="none"/>
          <w:lang w:val="en-US" w:eastAsia="zh-CN"/>
        </w:rPr>
        <w:t>行采家</w:t>
      </w:r>
      <w:r>
        <w:rPr>
          <w:rFonts w:hint="eastAsia" w:ascii="微软雅黑" w:hAnsi="微软雅黑" w:eastAsia="微软雅黑" w:cs="微软雅黑"/>
          <w:color w:val="auto"/>
          <w:sz w:val="24"/>
          <w:szCs w:val="24"/>
          <w:highlight w:val="none"/>
        </w:rPr>
        <w:t>上发布，请各竞选人注意下载或到采购代理机构领取；无论竞选人下载或领取与否，均视同竞选人已知晓本项目澄清文件的内容。</w:t>
      </w:r>
    </w:p>
    <w:p w14:paraId="567D37B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（四）超过投标截止时间递交的竞选文件，恕不接收。</w:t>
      </w:r>
    </w:p>
    <w:p w14:paraId="041EF63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（五）投标费用：无论投标结果如何，竞选人参与本项目投标的所有费用均应由竞选人自行承担。</w:t>
      </w:r>
    </w:p>
    <w:p w14:paraId="73519A85">
      <w:pPr>
        <w:pStyle w:val="1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（六）本项目不接受联合体参与比选，否则按无效处理。</w:t>
      </w:r>
    </w:p>
    <w:p w14:paraId="6F28ED7E">
      <w:pPr>
        <w:pStyle w:val="1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（七）本项目不接受合同分包，否则按无效处理。</w:t>
      </w:r>
    </w:p>
    <w:p w14:paraId="4643D130">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7" w:name="_Toc30614"/>
      <w:r>
        <w:rPr>
          <w:rFonts w:hint="eastAsia" w:ascii="微软雅黑" w:hAnsi="微软雅黑" w:eastAsia="微软雅黑" w:cs="微软雅黑"/>
          <w:b/>
          <w:color w:val="auto"/>
          <w:sz w:val="24"/>
          <w:highlight w:val="none"/>
        </w:rPr>
        <w:t>八、联系方式</w:t>
      </w:r>
      <w:bookmarkEnd w:id="7"/>
    </w:p>
    <w:p w14:paraId="417B03D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（一）比选人：</w:t>
      </w:r>
      <w:r>
        <w:rPr>
          <w:rFonts w:hint="eastAsia" w:ascii="微软雅黑" w:hAnsi="微软雅黑" w:eastAsia="微软雅黑" w:cs="微软雅黑"/>
          <w:color w:val="auto"/>
          <w:sz w:val="24"/>
          <w:szCs w:val="24"/>
          <w:highlight w:val="none"/>
          <w:lang w:eastAsia="zh-CN"/>
        </w:rPr>
        <w:t>重庆市药品监督管理局</w:t>
      </w:r>
    </w:p>
    <w:p w14:paraId="1A2EDCE2">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系</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color w:val="auto"/>
          <w:sz w:val="24"/>
          <w:szCs w:val="24"/>
          <w:highlight w:val="none"/>
          <w:lang w:val="en-US" w:eastAsia="zh-CN"/>
        </w:rPr>
        <w:t xml:space="preserve">陈鸿 </w:t>
      </w:r>
    </w:p>
    <w:p w14:paraId="17826510">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lang w:val="en-US" w:eastAsia="zh-CN"/>
        </w:rPr>
        <w:t xml:space="preserve">023-60353668   </w:t>
      </w:r>
    </w:p>
    <w:p w14:paraId="6A6AEDFC">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w:t>
      </w:r>
      <w:bookmarkStart w:id="8" w:name="_Toc28099"/>
      <w:bookmarkStart w:id="9" w:name="_Toc654"/>
      <w:bookmarkStart w:id="10" w:name="_Toc7527"/>
      <w:bookmarkStart w:id="11" w:name="_Toc18799"/>
      <w:r>
        <w:rPr>
          <w:rFonts w:hint="eastAsia" w:ascii="微软雅黑" w:hAnsi="微软雅黑" w:eastAsia="微软雅黑" w:cs="微软雅黑"/>
          <w:color w:val="auto"/>
          <w:sz w:val="24"/>
          <w:szCs w:val="24"/>
          <w:highlight w:val="none"/>
        </w:rPr>
        <w:t>重庆市渝北区食品城大道27号</w:t>
      </w:r>
    </w:p>
    <w:bookmarkEnd w:id="8"/>
    <w:bookmarkEnd w:id="9"/>
    <w:bookmarkEnd w:id="10"/>
    <w:bookmarkEnd w:id="11"/>
    <w:p w14:paraId="36B4904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（二）采购代理机构：重庆复林招标代理有限公司</w:t>
      </w:r>
    </w:p>
    <w:p w14:paraId="6AC59D49">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张蕾</w:t>
      </w:r>
      <w:r>
        <w:rPr>
          <w:rFonts w:hint="eastAsia" w:ascii="微软雅黑" w:hAnsi="微软雅黑" w:eastAsia="微软雅黑" w:cs="微软雅黑"/>
          <w:color w:val="auto"/>
          <w:sz w:val="24"/>
          <w:szCs w:val="24"/>
          <w:highlight w:val="none"/>
        </w:rPr>
        <w:t xml:space="preserve"> </w:t>
      </w:r>
    </w:p>
    <w:p w14:paraId="581B6421">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电  话：023-63326460  </w:t>
      </w:r>
      <w:r>
        <w:rPr>
          <w:rFonts w:hint="eastAsia" w:ascii="微软雅黑" w:hAnsi="微软雅黑" w:eastAsia="微软雅黑" w:cs="微软雅黑"/>
          <w:color w:val="auto"/>
          <w:sz w:val="24"/>
          <w:szCs w:val="24"/>
          <w:highlight w:val="none"/>
          <w:lang w:val="en-US" w:eastAsia="zh-CN"/>
        </w:rPr>
        <w:t xml:space="preserve"> 15223228105</w:t>
      </w:r>
    </w:p>
    <w:p w14:paraId="73D2704E">
      <w:pPr>
        <w:pageBreakBefore w:val="0"/>
        <w:kinsoku/>
        <w:wordWrap/>
        <w:overflowPunct/>
        <w:topLinePunct w:val="0"/>
        <w:autoSpaceDE/>
        <w:autoSpaceDN/>
        <w:bidi w:val="0"/>
        <w:snapToGrid w:val="0"/>
        <w:spacing w:line="240" w:lineRule="auto"/>
        <w:ind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址：重庆市渝中区创意大厦21-5</w:t>
      </w:r>
    </w:p>
    <w:p w14:paraId="470D541D">
      <w:pPr>
        <w:pageBreakBefore w:val="0"/>
        <w:kinsoku/>
        <w:wordWrap/>
        <w:overflowPunct/>
        <w:topLinePunct w:val="0"/>
        <w:autoSpaceDE/>
        <w:autoSpaceDN/>
        <w:bidi w:val="0"/>
        <w:spacing w:line="240" w:lineRule="auto"/>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b/>
          <w:bCs/>
          <w:color w:val="auto"/>
          <w:sz w:val="44"/>
          <w:szCs w:val="44"/>
          <w:highlight w:val="none"/>
        </w:rPr>
        <w:t>重庆复林招标代理有限公司</w:t>
      </w:r>
    </w:p>
    <w:p w14:paraId="2AE89468">
      <w:pPr>
        <w:pageBreakBefore w:val="0"/>
        <w:kinsoku/>
        <w:wordWrap/>
        <w:overflowPunct/>
        <w:topLinePunct w:val="0"/>
        <w:autoSpaceDE/>
        <w:autoSpaceDN/>
        <w:bidi w:val="0"/>
        <w:spacing w:line="240" w:lineRule="auto"/>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采购文件发售登记表</w:t>
      </w:r>
    </w:p>
    <w:p w14:paraId="02B84C5F">
      <w:pPr>
        <w:pageBreakBefore w:val="0"/>
        <w:kinsoku/>
        <w:wordWrap/>
        <w:overflowPunct/>
        <w:topLinePunct w:val="0"/>
        <w:autoSpaceDE/>
        <w:autoSpaceDN/>
        <w:bidi w:val="0"/>
        <w:spacing w:line="240" w:lineRule="auto"/>
        <w:jc w:val="left"/>
        <w:rPr>
          <w:rFonts w:hint="eastAsia" w:ascii="微软雅黑" w:hAnsi="微软雅黑" w:eastAsia="微软雅黑" w:cs="微软雅黑"/>
          <w:b/>
          <w:bCs/>
          <w:color w:val="auto"/>
          <w:spacing w:val="40"/>
          <w:highlight w:val="none"/>
        </w:rPr>
      </w:pP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937"/>
        <w:gridCol w:w="1472"/>
        <w:gridCol w:w="3631"/>
      </w:tblGrid>
      <w:tr w14:paraId="796902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5218E9D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项目号</w:t>
            </w:r>
          </w:p>
        </w:tc>
        <w:tc>
          <w:tcPr>
            <w:tcW w:w="7040" w:type="dxa"/>
            <w:gridSpan w:val="3"/>
            <w:noWrap w:val="0"/>
            <w:vAlign w:val="center"/>
          </w:tcPr>
          <w:p w14:paraId="2ECA950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1B7B43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470C1E5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c>
        <w:tc>
          <w:tcPr>
            <w:tcW w:w="7040" w:type="dxa"/>
            <w:gridSpan w:val="3"/>
            <w:noWrap w:val="0"/>
            <w:vAlign w:val="center"/>
          </w:tcPr>
          <w:p w14:paraId="7862A19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6A4E6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2143" w:type="dxa"/>
            <w:noWrap w:val="0"/>
            <w:vAlign w:val="center"/>
          </w:tcPr>
          <w:p w14:paraId="378C777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竞选人</w:t>
            </w:r>
            <w:r>
              <w:rPr>
                <w:rFonts w:hint="eastAsia" w:ascii="微软雅黑" w:hAnsi="微软雅黑" w:eastAsia="微软雅黑" w:cs="微软雅黑"/>
                <w:color w:val="auto"/>
                <w:sz w:val="24"/>
                <w:szCs w:val="24"/>
                <w:highlight w:val="none"/>
              </w:rPr>
              <w:t>名称</w:t>
            </w:r>
          </w:p>
        </w:tc>
        <w:tc>
          <w:tcPr>
            <w:tcW w:w="7040" w:type="dxa"/>
            <w:gridSpan w:val="3"/>
            <w:noWrap w:val="0"/>
            <w:vAlign w:val="bottom"/>
          </w:tcPr>
          <w:p w14:paraId="64CA005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竞选人</w:t>
            </w:r>
            <w:r>
              <w:rPr>
                <w:rFonts w:hint="eastAsia" w:ascii="微软雅黑" w:hAnsi="微软雅黑" w:eastAsia="微软雅黑" w:cs="微软雅黑"/>
                <w:color w:val="auto"/>
                <w:sz w:val="24"/>
                <w:szCs w:val="24"/>
                <w:highlight w:val="none"/>
              </w:rPr>
              <w:t>公章）</w:t>
            </w:r>
          </w:p>
        </w:tc>
      </w:tr>
      <w:tr w14:paraId="35019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79006D3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tc>
        <w:tc>
          <w:tcPr>
            <w:tcW w:w="1937" w:type="dxa"/>
            <w:noWrap w:val="0"/>
            <w:vAlign w:val="center"/>
          </w:tcPr>
          <w:p w14:paraId="42A5A7B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c>
          <w:tcPr>
            <w:tcW w:w="1472" w:type="dxa"/>
            <w:noWrap w:val="0"/>
            <w:vAlign w:val="center"/>
          </w:tcPr>
          <w:p w14:paraId="54FE296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手机</w:t>
            </w:r>
          </w:p>
        </w:tc>
        <w:tc>
          <w:tcPr>
            <w:tcW w:w="3631" w:type="dxa"/>
            <w:noWrap w:val="0"/>
            <w:vAlign w:val="center"/>
          </w:tcPr>
          <w:p w14:paraId="1F2870A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5B0474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41FEE104">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办公电话</w:t>
            </w:r>
          </w:p>
        </w:tc>
        <w:tc>
          <w:tcPr>
            <w:tcW w:w="1937" w:type="dxa"/>
            <w:noWrap w:val="0"/>
            <w:vAlign w:val="center"/>
          </w:tcPr>
          <w:p w14:paraId="75F9B02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c>
          <w:tcPr>
            <w:tcW w:w="1472" w:type="dxa"/>
            <w:noWrap w:val="0"/>
            <w:vAlign w:val="center"/>
          </w:tcPr>
          <w:p w14:paraId="0EB20C3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传真</w:t>
            </w:r>
          </w:p>
        </w:tc>
        <w:tc>
          <w:tcPr>
            <w:tcW w:w="3631" w:type="dxa"/>
            <w:noWrap w:val="0"/>
            <w:vAlign w:val="center"/>
          </w:tcPr>
          <w:p w14:paraId="74DF1F7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6EAB6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49E9886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E-mail</w:t>
            </w:r>
          </w:p>
        </w:tc>
        <w:tc>
          <w:tcPr>
            <w:tcW w:w="7040" w:type="dxa"/>
            <w:gridSpan w:val="3"/>
            <w:noWrap w:val="0"/>
            <w:vAlign w:val="center"/>
          </w:tcPr>
          <w:p w14:paraId="7B7243B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179F09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1926718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单位地址</w:t>
            </w:r>
          </w:p>
        </w:tc>
        <w:tc>
          <w:tcPr>
            <w:tcW w:w="7040" w:type="dxa"/>
            <w:gridSpan w:val="3"/>
            <w:noWrap w:val="0"/>
            <w:vAlign w:val="center"/>
          </w:tcPr>
          <w:p w14:paraId="7ACE471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1C381D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43" w:type="dxa"/>
            <w:noWrap w:val="0"/>
            <w:vAlign w:val="center"/>
          </w:tcPr>
          <w:p w14:paraId="561063C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c>
          <w:tcPr>
            <w:tcW w:w="7040" w:type="dxa"/>
            <w:gridSpan w:val="3"/>
            <w:noWrap w:val="0"/>
            <w:vAlign w:val="center"/>
          </w:tcPr>
          <w:p w14:paraId="7E70569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2E834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43" w:type="dxa"/>
            <w:noWrap w:val="0"/>
            <w:vAlign w:val="center"/>
          </w:tcPr>
          <w:p w14:paraId="661AC11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c>
          <w:tcPr>
            <w:tcW w:w="7040" w:type="dxa"/>
            <w:gridSpan w:val="3"/>
            <w:noWrap w:val="0"/>
            <w:vAlign w:val="center"/>
          </w:tcPr>
          <w:p w14:paraId="7199331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66BC27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43" w:type="dxa"/>
            <w:noWrap w:val="0"/>
            <w:vAlign w:val="center"/>
          </w:tcPr>
          <w:p w14:paraId="161038D4">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c>
          <w:tcPr>
            <w:tcW w:w="7040" w:type="dxa"/>
            <w:gridSpan w:val="3"/>
            <w:noWrap w:val="0"/>
            <w:vAlign w:val="center"/>
          </w:tcPr>
          <w:p w14:paraId="5379748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p>
        </w:tc>
      </w:tr>
      <w:tr w14:paraId="51DCC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83" w:type="dxa"/>
            <w:gridSpan w:val="4"/>
            <w:noWrap w:val="0"/>
            <w:vAlign w:val="center"/>
          </w:tcPr>
          <w:p w14:paraId="43EBD9D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购</w:t>
            </w:r>
            <w:r>
              <w:rPr>
                <w:rFonts w:hint="eastAsia" w:ascii="微软雅黑" w:hAnsi="微软雅黑" w:eastAsia="微软雅黑" w:cs="微软雅黑"/>
                <w:color w:val="auto"/>
                <w:sz w:val="24"/>
                <w:szCs w:val="24"/>
                <w:highlight w:val="none"/>
                <w:lang w:val="en-US" w:eastAsia="zh-CN"/>
              </w:rPr>
              <w:t>项目</w:t>
            </w:r>
            <w:r>
              <w:rPr>
                <w:rFonts w:hint="eastAsia" w:ascii="微软雅黑" w:hAnsi="微软雅黑" w:eastAsia="微软雅黑" w:cs="微软雅黑"/>
                <w:color w:val="auto"/>
                <w:sz w:val="24"/>
                <w:szCs w:val="24"/>
                <w:highlight w:val="none"/>
              </w:rPr>
              <w:t>号为                   的标书，共计            元</w:t>
            </w:r>
          </w:p>
        </w:tc>
      </w:tr>
    </w:tbl>
    <w:p w14:paraId="7B295505">
      <w:pPr>
        <w:pStyle w:val="1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lang w:eastAsia="zh-CN"/>
        </w:rPr>
      </w:pPr>
    </w:p>
    <w:p w14:paraId="59977551">
      <w:pPr>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lang w:eastAsia="zh-CN"/>
        </w:rPr>
        <w:t>日期：</w:t>
      </w:r>
    </w:p>
    <w:p w14:paraId="4DCB9FB1">
      <w:pPr>
        <w:pageBreakBefore w:val="0"/>
        <w:kinsoku/>
        <w:wordWrap/>
        <w:overflowPunct/>
        <w:topLinePunct w:val="0"/>
        <w:autoSpaceDE/>
        <w:autoSpaceDN/>
        <w:bidi w:val="0"/>
        <w:spacing w:line="240" w:lineRule="auto"/>
        <w:rPr>
          <w:rFonts w:hint="eastAsia" w:ascii="微软雅黑" w:hAnsi="微软雅黑" w:eastAsia="微软雅黑" w:cs="微软雅黑"/>
          <w:b/>
          <w:color w:val="auto"/>
          <w:highlight w:val="none"/>
        </w:rPr>
      </w:pPr>
      <w:r>
        <w:rPr>
          <w:rFonts w:hint="eastAsia" w:ascii="微软雅黑" w:hAnsi="微软雅黑" w:eastAsia="微软雅黑" w:cs="微软雅黑"/>
          <w:b/>
          <w:color w:val="auto"/>
          <w:highlight w:val="none"/>
        </w:rPr>
        <w:br w:type="page"/>
      </w:r>
    </w:p>
    <w:p w14:paraId="55A96903">
      <w:pPr>
        <w:pStyle w:val="2"/>
        <w:keepNext/>
        <w:keepLines w:val="0"/>
        <w:pageBreakBefore w:val="0"/>
        <w:widowControl w:val="0"/>
        <w:kinsoku/>
        <w:wordWrap/>
        <w:overflowPunct/>
        <w:topLinePunct w:val="0"/>
        <w:autoSpaceDE/>
        <w:autoSpaceDN/>
        <w:bidi w:val="0"/>
        <w:adjustRightInd/>
        <w:snapToGrid w:val="0"/>
        <w:spacing w:before="191" w:beforeLines="50" w:after="381" w:afterLines="100" w:line="240" w:lineRule="auto"/>
        <w:textAlignment w:val="auto"/>
        <w:rPr>
          <w:rFonts w:hint="eastAsia" w:ascii="微软雅黑" w:hAnsi="微软雅黑" w:eastAsia="微软雅黑" w:cs="微软雅黑"/>
          <w:color w:val="auto"/>
          <w:highlight w:val="none"/>
          <w:lang w:eastAsia="zh-CN"/>
        </w:rPr>
      </w:pPr>
      <w:bookmarkStart w:id="12" w:name="_Toc23199"/>
      <w:r>
        <w:rPr>
          <w:rFonts w:hint="eastAsia" w:ascii="微软雅黑" w:hAnsi="微软雅黑" w:eastAsia="微软雅黑" w:cs="微软雅黑"/>
          <w:b/>
          <w:color w:val="auto"/>
          <w:highlight w:val="none"/>
        </w:rPr>
        <w:t xml:space="preserve">第二篇 </w:t>
      </w:r>
      <w:r>
        <w:rPr>
          <w:rFonts w:hint="eastAsia" w:ascii="微软雅黑" w:hAnsi="微软雅黑" w:eastAsia="微软雅黑" w:cs="微软雅黑"/>
          <w:b/>
          <w:color w:val="auto"/>
          <w:highlight w:val="none"/>
          <w:lang w:eastAsia="zh-CN"/>
        </w:rPr>
        <w:t>项目服务需求</w:t>
      </w:r>
      <w:bookmarkEnd w:id="12"/>
    </w:p>
    <w:p w14:paraId="59AF1513">
      <w:pPr>
        <w:pStyle w:val="3"/>
        <w:pageBreakBefore w:val="0"/>
        <w:numPr>
          <w:ilvl w:val="0"/>
          <w:numId w:val="0"/>
        </w:numPr>
        <w:kinsoku/>
        <w:wordWrap/>
        <w:overflowPunct/>
        <w:topLinePunct w:val="0"/>
        <w:autoSpaceDE/>
        <w:autoSpaceDN/>
        <w:bidi w:val="0"/>
        <w:spacing w:line="240" w:lineRule="auto"/>
        <w:rPr>
          <w:rFonts w:hint="eastAsia" w:ascii="微软雅黑" w:hAnsi="微软雅黑" w:eastAsia="微软雅黑" w:cs="微软雅黑"/>
          <w:b/>
          <w:bCs/>
          <w:color w:val="auto"/>
          <w:sz w:val="24"/>
          <w:szCs w:val="24"/>
          <w:highlight w:val="none"/>
          <w:lang w:eastAsia="zh-CN"/>
        </w:rPr>
      </w:pPr>
      <w:bookmarkStart w:id="13" w:name="_Toc493506287"/>
      <w:bookmarkStart w:id="14" w:name="_Toc16471"/>
      <w:r>
        <w:rPr>
          <w:rFonts w:hint="eastAsia" w:ascii="微软雅黑" w:hAnsi="微软雅黑" w:eastAsia="微软雅黑" w:cs="微软雅黑"/>
          <w:b/>
          <w:bCs/>
          <w:color w:val="auto"/>
          <w:sz w:val="24"/>
          <w:szCs w:val="24"/>
          <w:highlight w:val="none"/>
        </w:rPr>
        <w:t>一、采购项目</w:t>
      </w:r>
      <w:bookmarkEnd w:id="13"/>
      <w:r>
        <w:rPr>
          <w:rFonts w:hint="eastAsia" w:ascii="微软雅黑" w:hAnsi="微软雅黑" w:eastAsia="微软雅黑" w:cs="微软雅黑"/>
          <w:b/>
          <w:bCs/>
          <w:color w:val="auto"/>
          <w:sz w:val="24"/>
          <w:szCs w:val="24"/>
          <w:highlight w:val="none"/>
          <w:lang w:val="en-US" w:eastAsia="zh-CN"/>
        </w:rPr>
        <w:t>概况</w:t>
      </w:r>
      <w:bookmarkEnd w:id="14"/>
    </w:p>
    <w:p w14:paraId="3114423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highlight w:val="none"/>
          <w:lang w:val="en-US" w:eastAsia="zh-CN"/>
        </w:rPr>
      </w:pPr>
      <w:bookmarkStart w:id="15" w:name="_Toc493506288"/>
      <w:r>
        <w:rPr>
          <w:rFonts w:hint="eastAsia" w:ascii="微软雅黑" w:hAnsi="微软雅黑" w:eastAsia="微软雅黑" w:cs="微软雅黑"/>
          <w:color w:val="auto"/>
          <w:sz w:val="24"/>
          <w:szCs w:val="24"/>
          <w:highlight w:val="none"/>
          <w:lang w:val="en-US" w:eastAsia="zh-CN"/>
        </w:rPr>
        <w:t>维保范围：综合楼各类空调共计420台/套，其中恒温恒湿精密空调2台；美的多联式空调（热泵）机组室外机66台；美的多联式空调（热泵）机组室内机287台；美的多联式空调（热泵）机组新风机30台；1.5P分体式挂机26台、3P柜机5台、5P柜机4台。具体可到现场实地勘察。</w:t>
      </w:r>
    </w:p>
    <w:p w14:paraId="02984DEE">
      <w:pPr>
        <w:pStyle w:val="3"/>
        <w:keepNext/>
        <w:keepLines/>
        <w:pageBreakBefore w:val="0"/>
        <w:widowControl w:val="0"/>
        <w:numPr>
          <w:ilvl w:val="0"/>
          <w:numId w:val="0"/>
        </w:numPr>
        <w:kinsoku/>
        <w:wordWrap/>
        <w:overflowPunct/>
        <w:topLinePunct w:val="0"/>
        <w:autoSpaceDE/>
        <w:autoSpaceDN/>
        <w:bidi w:val="0"/>
        <w:adjustRightInd w:val="0"/>
        <w:snapToGrid w:val="0"/>
        <w:spacing w:before="157" w:beforeLines="50" w:line="240" w:lineRule="auto"/>
        <w:textAlignment w:val="auto"/>
        <w:rPr>
          <w:rFonts w:hint="eastAsia" w:ascii="微软雅黑" w:hAnsi="微软雅黑" w:eastAsia="微软雅黑" w:cs="微软雅黑"/>
          <w:b/>
          <w:bCs/>
          <w:color w:val="auto"/>
          <w:sz w:val="24"/>
          <w:szCs w:val="24"/>
          <w:highlight w:val="none"/>
          <w:lang w:val="en-US" w:eastAsia="zh-CN"/>
        </w:rPr>
      </w:pPr>
      <w:bookmarkStart w:id="16" w:name="_Toc14253"/>
      <w:r>
        <w:rPr>
          <w:rFonts w:hint="eastAsia" w:ascii="微软雅黑" w:hAnsi="微软雅黑" w:eastAsia="微软雅黑" w:cs="微软雅黑"/>
          <w:b/>
          <w:bCs/>
          <w:color w:val="auto"/>
          <w:sz w:val="24"/>
          <w:szCs w:val="24"/>
          <w:highlight w:val="none"/>
          <w:lang w:val="en-US" w:eastAsia="zh-CN"/>
        </w:rPr>
        <w:t>二</w:t>
      </w:r>
      <w:bookmarkEnd w:id="15"/>
      <w:r>
        <w:rPr>
          <w:rFonts w:hint="eastAsia" w:ascii="微软雅黑" w:hAnsi="微软雅黑" w:eastAsia="微软雅黑" w:cs="微软雅黑"/>
          <w:b/>
          <w:bCs/>
          <w:color w:val="auto"/>
          <w:sz w:val="24"/>
          <w:szCs w:val="24"/>
          <w:highlight w:val="none"/>
          <w:lang w:val="en-US" w:eastAsia="zh-CN"/>
        </w:rPr>
        <w:t>、采购项目服务需求</w:t>
      </w:r>
      <w:bookmarkEnd w:id="16"/>
    </w:p>
    <w:p w14:paraId="19A0867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维保内容</w:t>
      </w:r>
    </w:p>
    <w:p w14:paraId="12C484D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rPr>
        <w:t>空调电源的空气开关、含电源线、插头、空调管的日常维护、维修、保养；</w:t>
      </w:r>
    </w:p>
    <w:p w14:paraId="3B588E5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2、</w:t>
      </w:r>
      <w:r>
        <w:rPr>
          <w:rFonts w:hint="eastAsia" w:ascii="微软雅黑" w:hAnsi="微软雅黑" w:eastAsia="微软雅黑" w:cs="微软雅黑"/>
          <w:color w:val="auto"/>
          <w:kern w:val="0"/>
          <w:sz w:val="24"/>
          <w:szCs w:val="24"/>
          <w:highlight w:val="none"/>
        </w:rPr>
        <w:t>每年制冷前（4-5月份）和制热前（11-12月份）对空调系统、新风系统、分体机、室外机、室内机进行专业清洗保养；</w:t>
      </w:r>
    </w:p>
    <w:p w14:paraId="23EAFEF8">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3、</w:t>
      </w:r>
      <w:r>
        <w:rPr>
          <w:rFonts w:hint="eastAsia" w:ascii="微软雅黑" w:hAnsi="微软雅黑" w:eastAsia="微软雅黑" w:cs="微软雅黑"/>
          <w:color w:val="auto"/>
          <w:kern w:val="0"/>
          <w:sz w:val="24"/>
          <w:szCs w:val="24"/>
          <w:highlight w:val="none"/>
        </w:rPr>
        <w:t>完成制冷期和制热期的制冷制热要求；</w:t>
      </w:r>
    </w:p>
    <w:p w14:paraId="695262B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维保计划</w:t>
      </w:r>
    </w:p>
    <w:tbl>
      <w:tblPr>
        <w:tblStyle w:val="21"/>
        <w:tblW w:w="0" w:type="auto"/>
        <w:jc w:val="center"/>
        <w:tblLayout w:type="fixed"/>
        <w:tblCellMar>
          <w:top w:w="0" w:type="dxa"/>
          <w:left w:w="108" w:type="dxa"/>
          <w:bottom w:w="0" w:type="dxa"/>
          <w:right w:w="108" w:type="dxa"/>
        </w:tblCellMar>
      </w:tblPr>
      <w:tblGrid>
        <w:gridCol w:w="915"/>
        <w:gridCol w:w="2865"/>
        <w:gridCol w:w="5640"/>
      </w:tblGrid>
      <w:tr w14:paraId="76AEAC35">
        <w:tblPrEx>
          <w:tblCellMar>
            <w:top w:w="0" w:type="dxa"/>
            <w:left w:w="108" w:type="dxa"/>
            <w:bottom w:w="0" w:type="dxa"/>
            <w:right w:w="108" w:type="dxa"/>
          </w:tblCellMar>
        </w:tblPrEx>
        <w:trPr>
          <w:jc w:val="center"/>
        </w:trPr>
        <w:tc>
          <w:tcPr>
            <w:tcW w:w="915" w:type="dxa"/>
            <w:tcBorders>
              <w:top w:val="single" w:color="000000" w:sz="4" w:space="0"/>
              <w:left w:val="single" w:color="000000" w:sz="4" w:space="0"/>
              <w:bottom w:val="single" w:color="000000" w:sz="4" w:space="0"/>
              <w:right w:val="single" w:color="000000" w:sz="4" w:space="0"/>
            </w:tcBorders>
            <w:vAlign w:val="center"/>
          </w:tcPr>
          <w:p w14:paraId="18E29EE5">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序号</w:t>
            </w:r>
          </w:p>
        </w:tc>
        <w:tc>
          <w:tcPr>
            <w:tcW w:w="2865" w:type="dxa"/>
            <w:tcBorders>
              <w:top w:val="single" w:color="000000" w:sz="4" w:space="0"/>
              <w:left w:val="single" w:color="000000" w:sz="4" w:space="0"/>
              <w:bottom w:val="single" w:color="000000" w:sz="4" w:space="0"/>
              <w:right w:val="single" w:color="000000" w:sz="4" w:space="0"/>
            </w:tcBorders>
            <w:vAlign w:val="center"/>
          </w:tcPr>
          <w:p w14:paraId="6B84D467">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类别</w:t>
            </w:r>
          </w:p>
        </w:tc>
        <w:tc>
          <w:tcPr>
            <w:tcW w:w="5640" w:type="dxa"/>
            <w:tcBorders>
              <w:top w:val="single" w:color="000000" w:sz="4" w:space="0"/>
              <w:left w:val="single" w:color="000000" w:sz="4" w:space="0"/>
              <w:bottom w:val="single" w:color="000000" w:sz="4" w:space="0"/>
              <w:right w:val="single" w:color="000000" w:sz="4" w:space="0"/>
            </w:tcBorders>
            <w:vAlign w:val="center"/>
          </w:tcPr>
          <w:p w14:paraId="3E54F312">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项目</w:t>
            </w:r>
          </w:p>
        </w:tc>
      </w:tr>
      <w:tr w14:paraId="5AA857E9">
        <w:tblPrEx>
          <w:tblCellMar>
            <w:top w:w="0" w:type="dxa"/>
            <w:left w:w="108" w:type="dxa"/>
            <w:bottom w:w="0" w:type="dxa"/>
            <w:right w:w="108" w:type="dxa"/>
          </w:tblCellMar>
        </w:tblPrEx>
        <w:trPr>
          <w:jc w:val="center"/>
        </w:trPr>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30010907">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w:t>
            </w:r>
          </w:p>
        </w:tc>
        <w:tc>
          <w:tcPr>
            <w:tcW w:w="2865" w:type="dxa"/>
            <w:vMerge w:val="restart"/>
            <w:tcBorders>
              <w:top w:val="single" w:color="000000" w:sz="4" w:space="0"/>
              <w:left w:val="single" w:color="000000" w:sz="4" w:space="0"/>
              <w:bottom w:val="single" w:color="000000" w:sz="4" w:space="0"/>
              <w:right w:val="single" w:color="000000" w:sz="4" w:space="0"/>
            </w:tcBorders>
            <w:vAlign w:val="center"/>
          </w:tcPr>
          <w:p w14:paraId="5FF302F7">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巡检（每</w:t>
            </w:r>
            <w:r>
              <w:rPr>
                <w:rFonts w:hint="eastAsia" w:ascii="微软雅黑" w:hAnsi="微软雅黑" w:eastAsia="微软雅黑" w:cs="微软雅黑"/>
                <w:color w:val="auto"/>
                <w:kern w:val="0"/>
                <w:sz w:val="24"/>
                <w:szCs w:val="24"/>
                <w:highlight w:val="none"/>
                <w:lang w:val="en-US" w:eastAsia="zh-CN"/>
              </w:rPr>
              <w:t>周</w:t>
            </w:r>
            <w:r>
              <w:rPr>
                <w:rFonts w:hint="eastAsia" w:ascii="微软雅黑" w:hAnsi="微软雅黑" w:eastAsia="微软雅黑" w:cs="微软雅黑"/>
                <w:color w:val="auto"/>
                <w:kern w:val="0"/>
                <w:sz w:val="24"/>
                <w:szCs w:val="24"/>
                <w:highlight w:val="none"/>
              </w:rPr>
              <w:t>）</w:t>
            </w:r>
          </w:p>
        </w:tc>
        <w:tc>
          <w:tcPr>
            <w:tcW w:w="5640" w:type="dxa"/>
            <w:tcBorders>
              <w:top w:val="single" w:color="000000" w:sz="4" w:space="0"/>
              <w:left w:val="single" w:color="000000" w:sz="4" w:space="0"/>
              <w:bottom w:val="single" w:color="000000" w:sz="4" w:space="0"/>
              <w:right w:val="single" w:color="000000" w:sz="4" w:space="0"/>
            </w:tcBorders>
            <w:vAlign w:val="center"/>
          </w:tcPr>
          <w:p w14:paraId="3AB48166">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1.空调显示及运行是否正常</w:t>
            </w:r>
          </w:p>
        </w:tc>
      </w:tr>
      <w:tr w14:paraId="37EF93EB">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1F6CBC1D">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7A5E94C0">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37EFDC43">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2.电源线是否发热</w:t>
            </w:r>
          </w:p>
        </w:tc>
      </w:tr>
      <w:tr w14:paraId="09150969">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70319FC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7AE281BA">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nil"/>
              <w:right w:val="single" w:color="000000" w:sz="4" w:space="0"/>
            </w:tcBorders>
            <w:vAlign w:val="center"/>
          </w:tcPr>
          <w:p w14:paraId="20433186">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3.冷凝水排水是否畅通</w:t>
            </w:r>
          </w:p>
        </w:tc>
      </w:tr>
      <w:tr w14:paraId="083DCEC0">
        <w:tblPrEx>
          <w:tblCellMar>
            <w:top w:w="0" w:type="dxa"/>
            <w:left w:w="108" w:type="dxa"/>
            <w:bottom w:w="0" w:type="dxa"/>
            <w:right w:w="108" w:type="dxa"/>
          </w:tblCellMar>
        </w:tblPrEx>
        <w:trPr>
          <w:jc w:val="center"/>
        </w:trPr>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0FD07B7E">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w:t>
            </w:r>
          </w:p>
        </w:tc>
        <w:tc>
          <w:tcPr>
            <w:tcW w:w="2865" w:type="dxa"/>
            <w:vMerge w:val="restart"/>
            <w:tcBorders>
              <w:top w:val="single" w:color="000000" w:sz="4" w:space="0"/>
              <w:left w:val="single" w:color="000000" w:sz="4" w:space="0"/>
              <w:bottom w:val="single" w:color="000000" w:sz="4" w:space="0"/>
              <w:right w:val="single" w:color="000000" w:sz="4" w:space="0"/>
            </w:tcBorders>
            <w:vAlign w:val="center"/>
          </w:tcPr>
          <w:p w14:paraId="5B738340">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专业维护保养</w:t>
            </w:r>
          </w:p>
          <w:p w14:paraId="6A6B7CB7">
            <w:pPr>
              <w:pageBreakBefore w:val="0"/>
              <w:widowControl/>
              <w:kinsoku/>
              <w:wordWrap/>
              <w:overflowPunct/>
              <w:topLinePunct w:val="0"/>
              <w:autoSpaceDE/>
              <w:autoSpaceDN/>
              <w:bidi w:val="0"/>
              <w:spacing w:line="240" w:lineRule="auto"/>
              <w:jc w:val="center"/>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（4月和10月各一次）</w:t>
            </w:r>
          </w:p>
        </w:tc>
        <w:tc>
          <w:tcPr>
            <w:tcW w:w="5640" w:type="dxa"/>
            <w:tcBorders>
              <w:top w:val="single" w:color="000000" w:sz="4" w:space="0"/>
              <w:left w:val="single" w:color="000000" w:sz="4" w:space="0"/>
              <w:bottom w:val="single" w:color="000000" w:sz="4" w:space="0"/>
              <w:right w:val="single" w:color="000000" w:sz="4" w:space="0"/>
            </w:tcBorders>
            <w:vAlign w:val="center"/>
          </w:tcPr>
          <w:p w14:paraId="5C84F309">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1.清洁室内机过滤网</w:t>
            </w:r>
          </w:p>
        </w:tc>
      </w:tr>
      <w:tr w14:paraId="28DFE757">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25F57EC4">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46D07729">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749B1F2F">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2.清洁空调冷凝器</w:t>
            </w:r>
          </w:p>
        </w:tc>
      </w:tr>
      <w:tr w14:paraId="2DBDA9B8">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7E8010D4">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49401311">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0BE39A05">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3.检查空调制冷系统是否正常</w:t>
            </w:r>
          </w:p>
        </w:tc>
      </w:tr>
      <w:tr w14:paraId="5EB8406B">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7F041D82">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0E169CCC">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188D5F17">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4.测量系统高低压及电压电流等</w:t>
            </w:r>
          </w:p>
        </w:tc>
      </w:tr>
      <w:tr w14:paraId="0A8D0DD5">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47423E44">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143CB032">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59681679">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5.检查排水是否畅通,排水管是否完好</w:t>
            </w:r>
          </w:p>
        </w:tc>
      </w:tr>
      <w:tr w14:paraId="2E3913CC">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6A27E899">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559146E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059F49F7">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6.拧紧电气部分所有接点螺栓</w:t>
            </w:r>
          </w:p>
        </w:tc>
      </w:tr>
      <w:tr w14:paraId="4A505C02">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69B86672">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6F11093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4B5D2D7A">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7.室外机钢制基础防腐</w:t>
            </w:r>
          </w:p>
        </w:tc>
      </w:tr>
      <w:tr w14:paraId="7E5E125E">
        <w:tblPrEx>
          <w:tblCellMar>
            <w:top w:w="0" w:type="dxa"/>
            <w:left w:w="108" w:type="dxa"/>
            <w:bottom w:w="0" w:type="dxa"/>
            <w:right w:w="108" w:type="dxa"/>
          </w:tblCellMar>
        </w:tblPrEx>
        <w:trPr>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3F3CCEF4">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2865" w:type="dxa"/>
            <w:vMerge w:val="continue"/>
            <w:tcBorders>
              <w:top w:val="single" w:color="000000" w:sz="4" w:space="0"/>
              <w:left w:val="single" w:color="000000" w:sz="4" w:space="0"/>
              <w:bottom w:val="single" w:color="000000" w:sz="4" w:space="0"/>
              <w:right w:val="single" w:color="000000" w:sz="4" w:space="0"/>
            </w:tcBorders>
            <w:vAlign w:val="center"/>
          </w:tcPr>
          <w:p w14:paraId="5307FAE7">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4"/>
                <w:szCs w:val="24"/>
                <w:highlight w:val="none"/>
              </w:rPr>
            </w:pPr>
          </w:p>
        </w:tc>
        <w:tc>
          <w:tcPr>
            <w:tcW w:w="5640" w:type="dxa"/>
            <w:tcBorders>
              <w:top w:val="single" w:color="000000" w:sz="4" w:space="0"/>
              <w:left w:val="single" w:color="000000" w:sz="4" w:space="0"/>
              <w:bottom w:val="single" w:color="000000" w:sz="4" w:space="0"/>
              <w:right w:val="single" w:color="000000" w:sz="4" w:space="0"/>
            </w:tcBorders>
            <w:vAlign w:val="center"/>
          </w:tcPr>
          <w:p w14:paraId="3840559A">
            <w:pPr>
              <w:pageBreakBefore w:val="0"/>
              <w:widowControl/>
              <w:kinsoku/>
              <w:wordWrap/>
              <w:overflowPunct/>
              <w:topLinePunct w:val="0"/>
              <w:autoSpaceDE/>
              <w:autoSpaceDN/>
              <w:bidi w:val="0"/>
              <w:spacing w:line="240" w:lineRule="auto"/>
              <w:jc w:val="left"/>
              <w:textAlignment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8.管道保温修补</w:t>
            </w:r>
          </w:p>
        </w:tc>
      </w:tr>
    </w:tbl>
    <w:p w14:paraId="74B0602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工作要求</w:t>
      </w:r>
    </w:p>
    <w:p w14:paraId="282F6B1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供应商需专设7*24小时报修电话，</w:t>
      </w:r>
      <w:bookmarkStart w:id="17" w:name="OLE_LINK6"/>
      <w:bookmarkStart w:id="18" w:name="OLE_LINK5"/>
      <w:r>
        <w:rPr>
          <w:rFonts w:hint="eastAsia" w:ascii="微软雅黑" w:hAnsi="微软雅黑" w:eastAsia="微软雅黑" w:cs="微软雅黑"/>
          <w:color w:val="auto"/>
          <w:kern w:val="0"/>
          <w:sz w:val="24"/>
          <w:szCs w:val="24"/>
          <w:highlight w:val="none"/>
        </w:rPr>
        <w:t>在接到报修后</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rPr>
        <w:t>0分钟内派人到故障空调设备现场检修，2小时内修复。</w:t>
      </w:r>
      <w:bookmarkEnd w:id="17"/>
      <w:bookmarkEnd w:id="18"/>
      <w:r>
        <w:rPr>
          <w:rFonts w:hint="eastAsia" w:ascii="微软雅黑" w:hAnsi="微软雅黑" w:eastAsia="微软雅黑" w:cs="微软雅黑"/>
          <w:color w:val="auto"/>
          <w:kern w:val="0"/>
          <w:sz w:val="24"/>
          <w:szCs w:val="24"/>
          <w:highlight w:val="none"/>
        </w:rPr>
        <w:t>如空调设备需更换材料、配件，修复时间为材料、配件到达后12小时内，在维护、维修过程中如遇配件、材料更换，单件配件价格在500元以内</w:t>
      </w:r>
      <w:bookmarkStart w:id="19" w:name="OLE_LINK4"/>
      <w:bookmarkStart w:id="20" w:name="OLE_LINK3"/>
      <w:r>
        <w:rPr>
          <w:rFonts w:hint="eastAsia" w:ascii="微软雅黑" w:hAnsi="微软雅黑" w:eastAsia="微软雅黑" w:cs="微软雅黑"/>
          <w:color w:val="auto"/>
          <w:kern w:val="0"/>
          <w:sz w:val="24"/>
          <w:szCs w:val="24"/>
          <w:highlight w:val="none"/>
        </w:rPr>
        <w:t>（含500元）</w:t>
      </w:r>
      <w:bookmarkEnd w:id="19"/>
      <w:bookmarkEnd w:id="20"/>
      <w:r>
        <w:rPr>
          <w:rFonts w:hint="eastAsia" w:ascii="微软雅黑" w:hAnsi="微软雅黑" w:eastAsia="微软雅黑" w:cs="微软雅黑"/>
          <w:color w:val="auto"/>
          <w:kern w:val="0"/>
          <w:sz w:val="24"/>
          <w:szCs w:val="24"/>
          <w:highlight w:val="none"/>
        </w:rPr>
        <w:t>的由供应商承担；单件配件价格超过500元的由采购人承担。</w:t>
      </w:r>
    </w:p>
    <w:p w14:paraId="1DD1A38B">
      <w:pPr>
        <w:pStyle w:val="2"/>
        <w:pageBreakBefore w:val="0"/>
        <w:kinsoku/>
        <w:wordWrap/>
        <w:overflowPunct/>
        <w:topLinePunct w:val="0"/>
        <w:autoSpaceDE/>
        <w:autoSpaceDN/>
        <w:bidi w:val="0"/>
        <w:spacing w:line="240" w:lineRule="auto"/>
        <w:rPr>
          <w:rFonts w:hint="eastAsia" w:ascii="微软雅黑" w:hAnsi="微软雅黑" w:eastAsia="微软雅黑" w:cs="微软雅黑"/>
          <w:b/>
          <w:color w:val="auto"/>
          <w:highlight w:val="none"/>
        </w:rPr>
      </w:pPr>
      <w:r>
        <w:rPr>
          <w:rFonts w:hint="eastAsia" w:ascii="微软雅黑" w:hAnsi="微软雅黑" w:eastAsia="微软雅黑" w:cs="微软雅黑"/>
          <w:color w:val="auto"/>
          <w:kern w:val="2"/>
          <w:szCs w:val="24"/>
          <w:highlight w:val="none"/>
          <w:lang w:val="en-US" w:eastAsia="zh-CN" w:bidi="ar-SA"/>
        </w:rPr>
        <w:br w:type="page"/>
      </w:r>
      <w:bookmarkStart w:id="21" w:name="_Toc6494"/>
      <w:r>
        <w:rPr>
          <w:rFonts w:hint="eastAsia" w:ascii="微软雅黑" w:hAnsi="微软雅黑" w:eastAsia="微软雅黑" w:cs="微软雅黑"/>
          <w:b/>
          <w:color w:val="auto"/>
          <w:highlight w:val="none"/>
          <w:lang w:val="en-US" w:eastAsia="zh-CN"/>
        </w:rPr>
        <w:t>第三篇  项目商务要求</w:t>
      </w:r>
      <w:bookmarkEnd w:id="21"/>
    </w:p>
    <w:p w14:paraId="5CCE37C9">
      <w:pPr>
        <w:pStyle w:val="3"/>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微软雅黑" w:hAnsi="微软雅黑" w:eastAsia="微软雅黑" w:cs="微软雅黑"/>
          <w:b/>
          <w:color w:val="auto"/>
          <w:sz w:val="24"/>
          <w:szCs w:val="24"/>
          <w:highlight w:val="none"/>
        </w:rPr>
      </w:pPr>
      <w:bookmarkStart w:id="22" w:name="_Toc6557"/>
      <w:bookmarkStart w:id="23" w:name="_Toc65150282"/>
      <w:bookmarkStart w:id="24" w:name="_Toc267320049"/>
      <w:bookmarkStart w:id="25" w:name="_Toc12086"/>
      <w:bookmarkStart w:id="26" w:name="_Toc59621294"/>
      <w:bookmarkStart w:id="27" w:name="_Toc525649967"/>
      <w:bookmarkStart w:id="28" w:name="_Toc344475121"/>
      <w:bookmarkStart w:id="29" w:name="_Toc487204790"/>
      <w:r>
        <w:rPr>
          <w:rFonts w:hint="eastAsia" w:ascii="微软雅黑" w:hAnsi="微软雅黑" w:eastAsia="微软雅黑" w:cs="微软雅黑"/>
          <w:b/>
          <w:color w:val="auto"/>
          <w:sz w:val="24"/>
          <w:szCs w:val="24"/>
          <w:highlight w:val="none"/>
        </w:rPr>
        <w:t>一、服务期、服务地点及考核方式</w:t>
      </w:r>
      <w:bookmarkEnd w:id="22"/>
      <w:bookmarkEnd w:id="23"/>
      <w:bookmarkEnd w:id="24"/>
      <w:bookmarkEnd w:id="25"/>
      <w:bookmarkEnd w:id="26"/>
    </w:p>
    <w:bookmarkEnd w:id="27"/>
    <w:bookmarkEnd w:id="28"/>
    <w:bookmarkEnd w:id="29"/>
    <w:p w14:paraId="17AE07DC">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kern w:val="0"/>
          <w:sz w:val="24"/>
          <w:szCs w:val="24"/>
          <w:highlight w:val="none"/>
        </w:rPr>
      </w:pPr>
      <w:bookmarkStart w:id="30" w:name="_Toc89159542"/>
      <w:bookmarkStart w:id="31" w:name="_Toc29866"/>
      <w:r>
        <w:rPr>
          <w:rFonts w:hint="eastAsia" w:ascii="微软雅黑" w:hAnsi="微软雅黑" w:eastAsia="微软雅黑" w:cs="微软雅黑"/>
          <w:color w:val="auto"/>
          <w:kern w:val="0"/>
          <w:sz w:val="24"/>
          <w:szCs w:val="24"/>
          <w:highlight w:val="none"/>
        </w:rPr>
        <w:t>（一）服务期</w:t>
      </w:r>
    </w:p>
    <w:p w14:paraId="39445420">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sz w:val="24"/>
          <w:szCs w:val="24"/>
          <w:highlight w:val="none"/>
        </w:rPr>
        <w:t>服务期：自合同签订后3年</w:t>
      </w:r>
      <w:r>
        <w:rPr>
          <w:rFonts w:hint="eastAsia" w:ascii="微软雅黑" w:hAnsi="微软雅黑" w:eastAsia="微软雅黑" w:cs="微软雅黑"/>
          <w:color w:val="auto"/>
          <w:kern w:val="0"/>
          <w:sz w:val="24"/>
          <w:szCs w:val="24"/>
          <w:highlight w:val="none"/>
        </w:rPr>
        <w:t>。</w:t>
      </w:r>
    </w:p>
    <w:p w14:paraId="1F38C952">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（二）服务地点</w:t>
      </w:r>
    </w:p>
    <w:p w14:paraId="420F9FF8">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服务地点：</w:t>
      </w:r>
      <w:r>
        <w:rPr>
          <w:rFonts w:hint="eastAsia" w:ascii="微软雅黑" w:hAnsi="微软雅黑" w:eastAsia="微软雅黑" w:cs="微软雅黑"/>
          <w:color w:val="auto"/>
          <w:kern w:val="0"/>
          <w:sz w:val="24"/>
          <w:szCs w:val="24"/>
          <w:highlight w:val="none"/>
          <w:lang w:eastAsia="zh-CN"/>
        </w:rPr>
        <w:t>两江新区食品城大道27号</w:t>
      </w:r>
      <w:r>
        <w:rPr>
          <w:rFonts w:hint="eastAsia" w:ascii="微软雅黑" w:hAnsi="微软雅黑" w:eastAsia="微软雅黑" w:cs="微软雅黑"/>
          <w:color w:val="auto"/>
          <w:kern w:val="0"/>
          <w:sz w:val="24"/>
          <w:szCs w:val="24"/>
          <w:highlight w:val="none"/>
        </w:rPr>
        <w:t>。</w:t>
      </w:r>
    </w:p>
    <w:p w14:paraId="2DE8ECAD">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（三）验收方式和要求</w:t>
      </w:r>
    </w:p>
    <w:p w14:paraId="20357E62">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按照第二篇项目服务要求进行验收。</w:t>
      </w:r>
    </w:p>
    <w:p w14:paraId="77A607DF">
      <w:pPr>
        <w:pStyle w:val="3"/>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微软雅黑" w:hAnsi="微软雅黑" w:eastAsia="微软雅黑" w:cs="微软雅黑"/>
          <w:b/>
          <w:color w:val="auto"/>
          <w:sz w:val="24"/>
          <w:szCs w:val="24"/>
          <w:highlight w:val="none"/>
        </w:rPr>
      </w:pPr>
      <w:bookmarkStart w:id="32" w:name="_Toc12377"/>
      <w:bookmarkStart w:id="33" w:name="_Toc29593"/>
      <w:r>
        <w:rPr>
          <w:rFonts w:hint="eastAsia" w:ascii="微软雅黑" w:hAnsi="微软雅黑" w:eastAsia="微软雅黑" w:cs="微软雅黑"/>
          <w:b/>
          <w:color w:val="auto"/>
          <w:sz w:val="24"/>
          <w:szCs w:val="24"/>
          <w:highlight w:val="none"/>
        </w:rPr>
        <w:t>二、报价要求</w:t>
      </w:r>
      <w:bookmarkEnd w:id="30"/>
      <w:bookmarkEnd w:id="31"/>
      <w:bookmarkEnd w:id="32"/>
      <w:bookmarkEnd w:id="33"/>
    </w:p>
    <w:p w14:paraId="5E9A3EDA">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bookmarkStart w:id="34" w:name="_Toc44423778"/>
      <w:bookmarkStart w:id="35" w:name="_Toc522724248"/>
      <w:bookmarkStart w:id="36" w:name="_Toc3630"/>
      <w:bookmarkStart w:id="37" w:name="_Toc89159543"/>
      <w:bookmarkStart w:id="38" w:name="_Toc344475122"/>
      <w:r>
        <w:rPr>
          <w:rFonts w:hint="eastAsia" w:ascii="微软雅黑" w:hAnsi="微软雅黑" w:eastAsia="微软雅黑" w:cs="微软雅黑"/>
          <w:color w:val="auto"/>
          <w:sz w:val="24"/>
          <w:szCs w:val="24"/>
          <w:highlight w:val="none"/>
        </w:rPr>
        <w:t>500元以下（含500元）维修材料、人工费由维保单位支出，500元以上的维修材料费由采购人支付。</w:t>
      </w:r>
    </w:p>
    <w:p w14:paraId="5463A868">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竞选</w:t>
      </w:r>
      <w:r>
        <w:rPr>
          <w:rFonts w:hint="eastAsia" w:ascii="微软雅黑" w:hAnsi="微软雅黑" w:eastAsia="微软雅黑" w:cs="微软雅黑"/>
          <w:color w:val="auto"/>
          <w:sz w:val="24"/>
          <w:szCs w:val="24"/>
          <w:highlight w:val="none"/>
        </w:rPr>
        <w:t>报价须为人民币报价，包括完成本项目所需的货物价款、开发费、对接费、服务费、运输费、保险费、安装调试费、税费、培训费等及各种应纳的税费。因成交供应商自身原因造成漏报、少报皆由其自行承担责任，采购人不再补偿。</w:t>
      </w:r>
    </w:p>
    <w:p w14:paraId="7B608CA0">
      <w:pPr>
        <w:pStyle w:val="3"/>
        <w:pageBreakBefore w:val="0"/>
        <w:widowControl w:val="0"/>
        <w:kinsoku/>
        <w:wordWrap/>
        <w:overflowPunct/>
        <w:topLinePunct w:val="0"/>
        <w:autoSpaceDE/>
        <w:autoSpaceDN/>
        <w:bidi w:val="0"/>
        <w:adjustRightInd/>
        <w:snapToGrid/>
        <w:spacing w:before="0" w:after="0" w:line="240" w:lineRule="auto"/>
        <w:ind w:firstLine="480" w:firstLineChars="200"/>
        <w:textAlignment w:val="auto"/>
        <w:rPr>
          <w:rFonts w:hint="eastAsia" w:ascii="微软雅黑" w:hAnsi="微软雅黑" w:eastAsia="微软雅黑" w:cs="微软雅黑"/>
          <w:b/>
          <w:color w:val="auto"/>
          <w:sz w:val="24"/>
          <w:szCs w:val="24"/>
          <w:highlight w:val="none"/>
        </w:rPr>
      </w:pPr>
      <w:bookmarkStart w:id="39" w:name="_Toc7275"/>
      <w:bookmarkStart w:id="40" w:name="_Toc13679"/>
      <w:r>
        <w:rPr>
          <w:rFonts w:hint="eastAsia" w:ascii="微软雅黑" w:hAnsi="微软雅黑" w:eastAsia="微软雅黑" w:cs="微软雅黑"/>
          <w:b/>
          <w:color w:val="auto"/>
          <w:sz w:val="24"/>
          <w:szCs w:val="24"/>
          <w:highlight w:val="none"/>
        </w:rPr>
        <w:t>三、付款方式</w:t>
      </w:r>
      <w:bookmarkEnd w:id="34"/>
      <w:bookmarkEnd w:id="35"/>
      <w:bookmarkEnd w:id="36"/>
      <w:bookmarkEnd w:id="37"/>
      <w:bookmarkEnd w:id="38"/>
      <w:bookmarkEnd w:id="39"/>
      <w:bookmarkEnd w:id="40"/>
      <w:bookmarkStart w:id="41" w:name="_Toc2678932"/>
    </w:p>
    <w:bookmarkEnd w:id="41"/>
    <w:p w14:paraId="6DA83F91">
      <w:pPr>
        <w:kinsoku/>
        <w:overflowPunct/>
        <w:topLinePunct w:val="0"/>
        <w:autoSpaceDE/>
        <w:autoSpaceDN/>
        <w:bidi w:val="0"/>
        <w:snapToGrid/>
        <w:spacing w:line="240" w:lineRule="auto"/>
        <w:ind w:firstLine="480" w:firstLineChars="200"/>
        <w:rPr>
          <w:rFonts w:hint="eastAsia" w:ascii="微软雅黑" w:hAnsi="微软雅黑" w:eastAsia="微软雅黑" w:cs="微软雅黑"/>
          <w:color w:val="auto"/>
          <w:sz w:val="24"/>
          <w:szCs w:val="24"/>
          <w:highlight w:val="none"/>
        </w:rPr>
      </w:pPr>
      <w:bookmarkStart w:id="42" w:name="_Toc11741"/>
      <w:bookmarkStart w:id="43" w:name="_Toc24459"/>
      <w:r>
        <w:rPr>
          <w:rFonts w:hint="eastAsia" w:ascii="微软雅黑" w:hAnsi="微软雅黑" w:eastAsia="微软雅黑" w:cs="微软雅黑"/>
          <w:color w:val="auto"/>
          <w:sz w:val="24"/>
          <w:szCs w:val="24"/>
          <w:highlight w:val="none"/>
          <w:lang w:eastAsia="zh-CN"/>
        </w:rPr>
        <w:t>采购人分2次向成交供应商支付年度维保费用，第一次支付时间为完成制冷期大保养后支付合同总经额的50%，第二次付款时间为完成制热前期的大保养后再支付合同总经额的50%，成交供应商需向采购人提交采购合同、维保服务清单、验收报告、足额发票等材料作为支付的凭证。</w:t>
      </w:r>
    </w:p>
    <w:p w14:paraId="34F48430">
      <w:pPr>
        <w:pStyle w:val="3"/>
        <w:pageBreakBefore w:val="0"/>
        <w:kinsoku/>
        <w:wordWrap/>
        <w:overflowPunct/>
        <w:topLinePunct w:val="0"/>
        <w:autoSpaceDE/>
        <w:autoSpaceDN/>
        <w:bidi w:val="0"/>
        <w:snapToGrid/>
        <w:spacing w:line="240" w:lineRule="auto"/>
        <w:ind w:firstLine="480" w:firstLineChars="200"/>
        <w:textAlignment w:val="auto"/>
        <w:rPr>
          <w:rFonts w:hint="eastAsia" w:ascii="微软雅黑" w:hAnsi="微软雅黑" w:eastAsia="微软雅黑" w:cs="微软雅黑"/>
          <w:b/>
          <w:color w:val="auto"/>
          <w:sz w:val="24"/>
          <w:szCs w:val="24"/>
          <w:highlight w:val="none"/>
          <w:lang w:val="en-US" w:eastAsia="zh-CN"/>
        </w:rPr>
      </w:pPr>
      <w:bookmarkStart w:id="44" w:name="_Toc21110"/>
      <w:bookmarkStart w:id="45" w:name="_Toc8381"/>
      <w:r>
        <w:rPr>
          <w:rFonts w:hint="eastAsia" w:ascii="微软雅黑" w:hAnsi="微软雅黑" w:eastAsia="微软雅黑" w:cs="微软雅黑"/>
          <w:b/>
          <w:color w:val="auto"/>
          <w:sz w:val="24"/>
          <w:szCs w:val="24"/>
          <w:highlight w:val="none"/>
        </w:rPr>
        <w:t>四、</w:t>
      </w:r>
      <w:bookmarkEnd w:id="42"/>
      <w:bookmarkEnd w:id="43"/>
      <w:bookmarkEnd w:id="44"/>
      <w:r>
        <w:rPr>
          <w:rFonts w:hint="eastAsia" w:ascii="微软雅黑" w:hAnsi="微软雅黑" w:eastAsia="微软雅黑" w:cs="微软雅黑"/>
          <w:b/>
          <w:color w:val="auto"/>
          <w:sz w:val="24"/>
          <w:szCs w:val="24"/>
          <w:highlight w:val="none"/>
          <w:lang w:val="en-US" w:eastAsia="zh-CN"/>
        </w:rPr>
        <w:t>质量保证</w:t>
      </w:r>
      <w:bookmarkEnd w:id="45"/>
    </w:p>
    <w:p w14:paraId="09F45239">
      <w:pPr>
        <w:kinsoku/>
        <w:wordWrap w:val="0"/>
        <w:overflowPunct/>
        <w:topLinePunct w:val="0"/>
        <w:autoSpaceDE/>
        <w:autoSpaceDN/>
        <w:bidi w:val="0"/>
        <w:spacing w:line="240" w:lineRule="auto"/>
        <w:ind w:firstLine="480"/>
        <w:rPr>
          <w:rFonts w:hint="eastAsia" w:ascii="微软雅黑" w:hAnsi="微软雅黑" w:eastAsia="微软雅黑" w:cs="微软雅黑"/>
          <w:color w:val="auto"/>
          <w:sz w:val="24"/>
          <w:szCs w:val="24"/>
          <w:highlight w:val="none"/>
        </w:rPr>
      </w:pPr>
      <w:bookmarkStart w:id="46" w:name="_Toc1695"/>
      <w:bookmarkStart w:id="47" w:name="_Toc19180"/>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供应商须严格按照</w:t>
      </w:r>
      <w:r>
        <w:rPr>
          <w:rFonts w:hint="eastAsia" w:ascii="微软雅黑" w:hAnsi="微软雅黑" w:eastAsia="微软雅黑" w:cs="微软雅黑"/>
          <w:color w:val="auto"/>
          <w:sz w:val="24"/>
          <w:szCs w:val="24"/>
          <w:highlight w:val="none"/>
          <w:lang w:eastAsia="zh-CN"/>
        </w:rPr>
        <w:t>竞争性比选</w:t>
      </w:r>
      <w:r>
        <w:rPr>
          <w:rFonts w:hint="eastAsia" w:ascii="微软雅黑" w:hAnsi="微软雅黑" w:eastAsia="微软雅黑" w:cs="微软雅黑"/>
          <w:color w:val="auto"/>
          <w:sz w:val="24"/>
          <w:szCs w:val="24"/>
          <w:highlight w:val="none"/>
        </w:rPr>
        <w:t>文件要求及所自身提供的响应方案实施本项目，供应商在实施过程中接受采购人的监督和建议，根据采购人的意见进行项目实施的调整，并作好项目保障措施确保顺利完成服务。</w:t>
      </w:r>
    </w:p>
    <w:p w14:paraId="0C625032">
      <w:pPr>
        <w:kinsoku/>
        <w:wordWrap w:val="0"/>
        <w:overflowPunct/>
        <w:topLinePunct w:val="0"/>
        <w:autoSpaceDE/>
        <w:autoSpaceDN/>
        <w:bidi w:val="0"/>
        <w:spacing w:line="240" w:lineRule="auto"/>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成交供应商提供的服务未达到</w:t>
      </w:r>
      <w:r>
        <w:rPr>
          <w:rFonts w:hint="eastAsia" w:ascii="微软雅黑" w:hAnsi="微软雅黑" w:eastAsia="微软雅黑" w:cs="微软雅黑"/>
          <w:color w:val="auto"/>
          <w:sz w:val="24"/>
          <w:szCs w:val="24"/>
          <w:highlight w:val="none"/>
          <w:lang w:eastAsia="zh-CN"/>
        </w:rPr>
        <w:t>竞争性比选</w:t>
      </w:r>
      <w:r>
        <w:rPr>
          <w:rFonts w:hint="eastAsia" w:ascii="微软雅黑" w:hAnsi="微软雅黑" w:eastAsia="微软雅黑" w:cs="微软雅黑"/>
          <w:color w:val="auto"/>
          <w:sz w:val="24"/>
          <w:szCs w:val="24"/>
          <w:highlight w:val="none"/>
        </w:rPr>
        <w:t>文件规定要求或出现质量问题等服务纠纷，且对采购人造成损失的，由供应商承担一切责任，并赔偿所造成的损失</w:t>
      </w:r>
    </w:p>
    <w:p w14:paraId="7FA91707">
      <w:pPr>
        <w:kinsoku/>
        <w:wordWrap w:val="0"/>
        <w:overflowPunct/>
        <w:topLinePunct w:val="0"/>
        <w:autoSpaceDE/>
        <w:autoSpaceDN/>
        <w:bidi w:val="0"/>
        <w:spacing w:line="240" w:lineRule="auto"/>
        <w:ind w:firstLine="48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采购方遇到使用及技术问题，电话咨询不能解决的，乙方应在2小时内采取相应响应措施;无法在2小时内解决的，应在4小时内派出专业人员进行技术支持。</w:t>
      </w:r>
    </w:p>
    <w:bookmarkEnd w:id="46"/>
    <w:bookmarkEnd w:id="47"/>
    <w:p w14:paraId="40FF0674">
      <w:pPr>
        <w:pStyle w:val="2"/>
        <w:pageBreakBefore w:val="0"/>
        <w:kinsoku/>
        <w:wordWrap/>
        <w:overflowPunct/>
        <w:topLinePunct w:val="0"/>
        <w:autoSpaceDE/>
        <w:autoSpaceDN/>
        <w:bidi w:val="0"/>
        <w:spacing w:beforeLines="0" w:afterLines="0" w:line="240" w:lineRule="auto"/>
        <w:rPr>
          <w:rFonts w:hint="eastAsia" w:ascii="微软雅黑" w:hAnsi="微软雅黑" w:eastAsia="微软雅黑" w:cs="微软雅黑"/>
          <w:b/>
          <w:color w:val="auto"/>
          <w:highlight w:val="none"/>
        </w:rPr>
      </w:pPr>
      <w:r>
        <w:rPr>
          <w:rFonts w:hint="eastAsia" w:ascii="微软雅黑" w:hAnsi="微软雅黑" w:eastAsia="微软雅黑" w:cs="微软雅黑"/>
          <w:color w:val="auto"/>
          <w:sz w:val="28"/>
          <w:highlight w:val="none"/>
        </w:rPr>
        <w:br w:type="page"/>
      </w:r>
      <w:bookmarkStart w:id="48" w:name="_Toc11216"/>
      <w:r>
        <w:rPr>
          <w:rFonts w:hint="eastAsia" w:ascii="微软雅黑" w:hAnsi="微软雅黑" w:eastAsia="微软雅黑" w:cs="微软雅黑"/>
          <w:b/>
          <w:color w:val="auto"/>
          <w:highlight w:val="none"/>
        </w:rPr>
        <w:t>第四篇  资格审查及评标办法</w:t>
      </w:r>
      <w:bookmarkEnd w:id="48"/>
    </w:p>
    <w:p w14:paraId="052A54A7">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szCs w:val="24"/>
          <w:highlight w:val="none"/>
        </w:rPr>
      </w:pPr>
      <w:bookmarkStart w:id="49" w:name="_Toc17745"/>
      <w:r>
        <w:rPr>
          <w:rFonts w:hint="eastAsia" w:ascii="微软雅黑" w:hAnsi="微软雅黑" w:eastAsia="微软雅黑" w:cs="微软雅黑"/>
          <w:b/>
          <w:color w:val="auto"/>
          <w:sz w:val="24"/>
          <w:szCs w:val="24"/>
          <w:highlight w:val="none"/>
        </w:rPr>
        <w:t>一、资格审查</w:t>
      </w:r>
      <w:bookmarkEnd w:id="49"/>
    </w:p>
    <w:p w14:paraId="62B0373E">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依据相关法律法规规定，由比选人或采购代理机构对竞选文件中的资格证明文件进行审查。资格审查资料表如下：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976"/>
        <w:gridCol w:w="2763"/>
        <w:gridCol w:w="4984"/>
      </w:tblGrid>
      <w:tr w14:paraId="50FC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ign w:val="center"/>
          </w:tcPr>
          <w:p w14:paraId="0F7FA0D1">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739" w:type="dxa"/>
            <w:gridSpan w:val="2"/>
            <w:noWrap/>
            <w:vAlign w:val="center"/>
          </w:tcPr>
          <w:p w14:paraId="0FE659C4">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检查因素</w:t>
            </w:r>
          </w:p>
        </w:tc>
        <w:tc>
          <w:tcPr>
            <w:tcW w:w="4984" w:type="dxa"/>
            <w:noWrap/>
            <w:vAlign w:val="center"/>
          </w:tcPr>
          <w:p w14:paraId="66884CD0">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检查内容</w:t>
            </w:r>
          </w:p>
        </w:tc>
      </w:tr>
      <w:tr w14:paraId="411F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noWrap/>
            <w:vAlign w:val="center"/>
          </w:tcPr>
          <w:p w14:paraId="3DDE4463">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w:t>
            </w:r>
          </w:p>
        </w:tc>
        <w:tc>
          <w:tcPr>
            <w:tcW w:w="976" w:type="dxa"/>
            <w:vMerge w:val="restart"/>
            <w:noWrap/>
            <w:vAlign w:val="center"/>
          </w:tcPr>
          <w:p w14:paraId="6135DE04">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《中华人民共和国政府采购法》第二十二条规定</w:t>
            </w:r>
          </w:p>
        </w:tc>
        <w:tc>
          <w:tcPr>
            <w:tcW w:w="2763" w:type="dxa"/>
            <w:noWrap/>
            <w:vAlign w:val="center"/>
          </w:tcPr>
          <w:p w14:paraId="1C9D5721">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1.具有独立承担民事责任的能力</w:t>
            </w:r>
          </w:p>
        </w:tc>
        <w:tc>
          <w:tcPr>
            <w:tcW w:w="4984" w:type="dxa"/>
            <w:noWrap/>
            <w:vAlign w:val="center"/>
          </w:tcPr>
          <w:p w14:paraId="311230A8">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1.竞选人法人营业执照（副本）或事业单位法人证书（副本）或个体工商户营业执照或有效的自然人身份证明或社会团体法人登记证书（提供复印件）。 </w:t>
            </w:r>
          </w:p>
          <w:p w14:paraId="210A671D">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2.竞选人法定代表人身份证明和法定代表人授权代表委托书。</w:t>
            </w:r>
          </w:p>
        </w:tc>
      </w:tr>
      <w:tr w14:paraId="5583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61734C06">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6B164981">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p>
        </w:tc>
        <w:tc>
          <w:tcPr>
            <w:tcW w:w="2763" w:type="dxa"/>
            <w:noWrap/>
            <w:vAlign w:val="center"/>
          </w:tcPr>
          <w:p w14:paraId="1C21E1A8">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2.</w:t>
            </w:r>
            <w:r>
              <w:rPr>
                <w:rFonts w:hint="eastAsia" w:ascii="微软雅黑" w:hAnsi="微软雅黑" w:eastAsia="微软雅黑" w:cs="微软雅黑"/>
                <w:color w:val="auto"/>
                <w:sz w:val="21"/>
                <w:szCs w:val="21"/>
                <w:highlight w:val="none"/>
              </w:rPr>
              <w:t>具有良好的商业信誉和健全的财务会计制度</w:t>
            </w:r>
          </w:p>
        </w:tc>
        <w:tc>
          <w:tcPr>
            <w:tcW w:w="4984" w:type="dxa"/>
            <w:vMerge w:val="restart"/>
            <w:noWrap/>
            <w:vAlign w:val="center"/>
          </w:tcPr>
          <w:p w14:paraId="53069E64">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竞选人提供“基本资格条件承诺函”（详见第七篇）</w:t>
            </w:r>
          </w:p>
        </w:tc>
      </w:tr>
      <w:tr w14:paraId="1BFC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4EADF1D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15DF8BF9">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p>
        </w:tc>
        <w:tc>
          <w:tcPr>
            <w:tcW w:w="2763" w:type="dxa"/>
            <w:noWrap/>
            <w:vAlign w:val="center"/>
          </w:tcPr>
          <w:p w14:paraId="344C094A">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3.具有履行合同所必需的设备和专业技术能力</w:t>
            </w:r>
          </w:p>
        </w:tc>
        <w:tc>
          <w:tcPr>
            <w:tcW w:w="4984" w:type="dxa"/>
            <w:vMerge w:val="continue"/>
            <w:noWrap/>
            <w:vAlign w:val="center"/>
          </w:tcPr>
          <w:p w14:paraId="06D7A1F2">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r>
      <w:tr w14:paraId="7215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4D097802">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7FCC2C1C">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p>
        </w:tc>
        <w:tc>
          <w:tcPr>
            <w:tcW w:w="2763" w:type="dxa"/>
            <w:noWrap/>
            <w:vAlign w:val="center"/>
          </w:tcPr>
          <w:p w14:paraId="42E80720">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4.有依法缴纳税收和社会保障金的良好记录</w:t>
            </w:r>
          </w:p>
        </w:tc>
        <w:tc>
          <w:tcPr>
            <w:tcW w:w="4984" w:type="dxa"/>
            <w:vMerge w:val="continue"/>
            <w:noWrap/>
            <w:vAlign w:val="center"/>
          </w:tcPr>
          <w:p w14:paraId="5897FA88">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r>
      <w:tr w14:paraId="3FF8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noWrap/>
            <w:vAlign w:val="center"/>
          </w:tcPr>
          <w:p w14:paraId="70AB2F15">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382424EB">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p>
        </w:tc>
        <w:tc>
          <w:tcPr>
            <w:tcW w:w="2763" w:type="dxa"/>
            <w:noWrap/>
            <w:vAlign w:val="center"/>
          </w:tcPr>
          <w:p w14:paraId="3C9976D0">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5.参加采购活动前三年内，在经营活动中没有重大违法记录</w:t>
            </w:r>
          </w:p>
        </w:tc>
        <w:tc>
          <w:tcPr>
            <w:tcW w:w="4984" w:type="dxa"/>
            <w:noWrap/>
            <w:vAlign w:val="center"/>
          </w:tcPr>
          <w:p w14:paraId="45B9AD88">
            <w:pPr>
              <w:pageBreakBefore w:val="0"/>
              <w:kinsoku/>
              <w:wordWrap/>
              <w:overflowPunct/>
              <w:topLinePunct w:val="0"/>
              <w:autoSpaceDE/>
              <w:autoSpaceDN/>
              <w:bidi w:val="0"/>
              <w:spacing w:line="240" w:lineRule="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1.竞选人提供“基本资格条件承诺函”（详见第七篇）。</w:t>
            </w:r>
          </w:p>
          <w:p w14:paraId="5F2CC79D">
            <w:pPr>
              <w:pageBreakBefore w:val="0"/>
              <w:kinsoku/>
              <w:wordWrap/>
              <w:overflowPunct/>
              <w:topLinePunct w:val="0"/>
              <w:autoSpaceDE/>
              <w:autoSpaceDN/>
              <w:bidi w:val="0"/>
              <w:spacing w:line="240" w:lineRule="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bCs/>
                <w:color w:val="auto"/>
                <w:sz w:val="21"/>
                <w:szCs w:val="21"/>
                <w:highlight w:val="none"/>
              </w:rPr>
              <w:t>2.比选人或采购代理机构将通过 “信用中国”网站(www.creditchina.gov.cn)、"中国政府采购网"(www.ccgp.gov.cn)等渠道查询竞选人信用记录，对列入失信被执行人、重大税收违法案件当事人名单、政府采购严重违法失信行为记录名单的竞选人将拒绝其参与政府采购活动。</w:t>
            </w:r>
          </w:p>
        </w:tc>
      </w:tr>
      <w:tr w14:paraId="1C1E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05" w:type="dxa"/>
            <w:vMerge w:val="continue"/>
            <w:noWrap/>
            <w:vAlign w:val="center"/>
          </w:tcPr>
          <w:p w14:paraId="3EEE8450">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52612E66">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c>
          <w:tcPr>
            <w:tcW w:w="2763" w:type="dxa"/>
            <w:noWrap/>
            <w:vAlign w:val="center"/>
          </w:tcPr>
          <w:p w14:paraId="42451F20">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6.法律、行政法规规定的其他条件</w:t>
            </w:r>
          </w:p>
        </w:tc>
        <w:tc>
          <w:tcPr>
            <w:tcW w:w="4984" w:type="dxa"/>
            <w:noWrap/>
            <w:vAlign w:val="center"/>
          </w:tcPr>
          <w:p w14:paraId="4E389CFA">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r>
      <w:tr w14:paraId="1A9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05" w:type="dxa"/>
            <w:vMerge w:val="continue"/>
            <w:noWrap/>
            <w:vAlign w:val="center"/>
          </w:tcPr>
          <w:p w14:paraId="6DA63B61">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976" w:type="dxa"/>
            <w:vMerge w:val="continue"/>
            <w:noWrap/>
            <w:vAlign w:val="center"/>
          </w:tcPr>
          <w:p w14:paraId="690E017B">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c>
          <w:tcPr>
            <w:tcW w:w="2763" w:type="dxa"/>
            <w:noWrap/>
            <w:vAlign w:val="center"/>
          </w:tcPr>
          <w:p w14:paraId="64EE92D0">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7.本项目的特定资格要求</w:t>
            </w:r>
          </w:p>
        </w:tc>
        <w:tc>
          <w:tcPr>
            <w:tcW w:w="4984" w:type="dxa"/>
            <w:noWrap/>
            <w:vAlign w:val="center"/>
          </w:tcPr>
          <w:p w14:paraId="305F2286">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按“第一篇三、竞选人资格要求（三）本项目的特定资格要求”的要求提交（如果有）。</w:t>
            </w:r>
          </w:p>
        </w:tc>
      </w:tr>
      <w:tr w14:paraId="0D38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ign w:val="center"/>
          </w:tcPr>
          <w:p w14:paraId="1FDACA98">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w:t>
            </w:r>
          </w:p>
        </w:tc>
        <w:tc>
          <w:tcPr>
            <w:tcW w:w="3739" w:type="dxa"/>
            <w:gridSpan w:val="2"/>
            <w:noWrap/>
            <w:vAlign w:val="center"/>
          </w:tcPr>
          <w:p w14:paraId="60D95500">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特定资格条件</w:t>
            </w:r>
          </w:p>
        </w:tc>
        <w:tc>
          <w:tcPr>
            <w:tcW w:w="4984" w:type="dxa"/>
            <w:noWrap/>
            <w:vAlign w:val="center"/>
          </w:tcPr>
          <w:p w14:paraId="0F707F4B">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按第一篇“三、竞选人资格要求（二）特定资格条件”的要求提交（如果有）。</w:t>
            </w:r>
          </w:p>
        </w:tc>
      </w:tr>
      <w:tr w14:paraId="2A96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5" w:type="dxa"/>
            <w:noWrap/>
            <w:vAlign w:val="center"/>
          </w:tcPr>
          <w:p w14:paraId="5D83494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w:t>
            </w:r>
          </w:p>
        </w:tc>
        <w:tc>
          <w:tcPr>
            <w:tcW w:w="3739" w:type="dxa"/>
            <w:gridSpan w:val="2"/>
            <w:noWrap/>
            <w:vAlign w:val="center"/>
          </w:tcPr>
          <w:p w14:paraId="780E57EA">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投标保证金</w:t>
            </w:r>
          </w:p>
        </w:tc>
        <w:tc>
          <w:tcPr>
            <w:tcW w:w="4984" w:type="dxa"/>
            <w:noWrap/>
            <w:vAlign w:val="center"/>
          </w:tcPr>
          <w:p w14:paraId="438029CC">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按照比选文件要求足额交纳所投包的投标保证金。</w:t>
            </w:r>
          </w:p>
        </w:tc>
      </w:tr>
    </w:tbl>
    <w:p w14:paraId="2E0C8472">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szCs w:val="24"/>
          <w:highlight w:val="none"/>
        </w:rPr>
      </w:pPr>
      <w:bookmarkStart w:id="50" w:name="_Toc9105"/>
      <w:r>
        <w:rPr>
          <w:rFonts w:hint="eastAsia" w:ascii="微软雅黑" w:hAnsi="微软雅黑" w:eastAsia="微软雅黑" w:cs="微软雅黑"/>
          <w:b/>
          <w:color w:val="auto"/>
          <w:sz w:val="24"/>
          <w:szCs w:val="24"/>
          <w:highlight w:val="none"/>
        </w:rPr>
        <w:t>二、评标方法</w:t>
      </w:r>
      <w:bookmarkEnd w:id="50"/>
    </w:p>
    <w:p w14:paraId="06380843">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本项目采用综合评分法进行评标。</w:t>
      </w:r>
    </w:p>
    <w:p w14:paraId="535EE10A">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是指竞选文件满足比选文件全部实质性要求且按照评审因素的量化指标评审得分最高的竞选人为中选候选人的评标方法。竞选人总得分为价格、商务、技术等评定因素分别按照相应权重值计算分项得分后相加，满分为100分。</w:t>
      </w:r>
    </w:p>
    <w:p w14:paraId="1B0B2DCE">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（一）符合性审查</w:t>
      </w:r>
    </w:p>
    <w:p w14:paraId="43B6B96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比选小组应当对符合资格的竞选人的竞选文件进行符合性审查，以确定其是否满足比选文件的实质性要求。符合性审查资料表如下：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1B69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4ED679E4">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119" w:type="dxa"/>
            <w:gridSpan w:val="2"/>
            <w:noWrap/>
            <w:vAlign w:val="center"/>
          </w:tcPr>
          <w:p w14:paraId="4668634F">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评审因素</w:t>
            </w:r>
          </w:p>
        </w:tc>
        <w:tc>
          <w:tcPr>
            <w:tcW w:w="5836" w:type="dxa"/>
            <w:noWrap/>
            <w:vAlign w:val="center"/>
          </w:tcPr>
          <w:p w14:paraId="455079D5">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评审标准</w:t>
            </w:r>
          </w:p>
        </w:tc>
      </w:tr>
      <w:tr w14:paraId="79AC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ign w:val="center"/>
          </w:tcPr>
          <w:p w14:paraId="36E13F6C">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1562" w:type="dxa"/>
            <w:vMerge w:val="restart"/>
            <w:noWrap/>
            <w:vAlign w:val="center"/>
          </w:tcPr>
          <w:p w14:paraId="74386155">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有效性审查</w:t>
            </w:r>
          </w:p>
        </w:tc>
        <w:tc>
          <w:tcPr>
            <w:tcW w:w="1557" w:type="dxa"/>
            <w:noWrap/>
            <w:vAlign w:val="center"/>
          </w:tcPr>
          <w:p w14:paraId="4982D189">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rPr>
              <w:t>竞选文件签署</w:t>
            </w:r>
          </w:p>
        </w:tc>
        <w:tc>
          <w:tcPr>
            <w:tcW w:w="5836" w:type="dxa"/>
            <w:noWrap/>
            <w:vAlign w:val="center"/>
          </w:tcPr>
          <w:p w14:paraId="7538FB90">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rPr>
              <w:t>竞选文件上法定代表人（或其授权代表）或自然人的签字齐全。</w:t>
            </w:r>
          </w:p>
        </w:tc>
      </w:tr>
      <w:tr w14:paraId="7EE5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1A67D429">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p>
        </w:tc>
        <w:tc>
          <w:tcPr>
            <w:tcW w:w="1562" w:type="dxa"/>
            <w:vMerge w:val="continue"/>
            <w:noWrap/>
            <w:vAlign w:val="center"/>
          </w:tcPr>
          <w:p w14:paraId="17862FD2">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p>
        </w:tc>
        <w:tc>
          <w:tcPr>
            <w:tcW w:w="1557" w:type="dxa"/>
            <w:noWrap/>
            <w:vAlign w:val="center"/>
          </w:tcPr>
          <w:p w14:paraId="0444FD49">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投标方案</w:t>
            </w:r>
          </w:p>
        </w:tc>
        <w:tc>
          <w:tcPr>
            <w:tcW w:w="5836" w:type="dxa"/>
            <w:noWrap/>
            <w:vAlign w:val="center"/>
          </w:tcPr>
          <w:p w14:paraId="07DA27E7">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每个包只能有一个方案投标。</w:t>
            </w:r>
          </w:p>
        </w:tc>
      </w:tr>
      <w:tr w14:paraId="06BB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ign w:val="center"/>
          </w:tcPr>
          <w:p w14:paraId="61F7E555">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p>
        </w:tc>
        <w:tc>
          <w:tcPr>
            <w:tcW w:w="1562" w:type="dxa"/>
            <w:vMerge w:val="continue"/>
            <w:noWrap/>
            <w:vAlign w:val="center"/>
          </w:tcPr>
          <w:p w14:paraId="4FC6844F">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p>
        </w:tc>
        <w:tc>
          <w:tcPr>
            <w:tcW w:w="1557" w:type="dxa"/>
            <w:noWrap/>
            <w:vAlign w:val="center"/>
          </w:tcPr>
          <w:p w14:paraId="5AB46C8A">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报价唯一</w:t>
            </w:r>
          </w:p>
        </w:tc>
        <w:tc>
          <w:tcPr>
            <w:tcW w:w="5836" w:type="dxa"/>
            <w:noWrap/>
            <w:vAlign w:val="center"/>
          </w:tcPr>
          <w:p w14:paraId="1B06103A">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只能在预算金额和最高限价内报价，</w:t>
            </w:r>
            <w:r>
              <w:rPr>
                <w:rFonts w:hint="eastAsia" w:ascii="微软雅黑" w:hAnsi="微软雅黑" w:eastAsia="微软雅黑" w:cs="微软雅黑"/>
                <w:color w:val="auto"/>
                <w:sz w:val="21"/>
                <w:szCs w:val="21"/>
                <w:highlight w:val="none"/>
              </w:rPr>
              <w:t>只能有一个有效报价，不得提交选择性报价。</w:t>
            </w:r>
          </w:p>
        </w:tc>
      </w:tr>
      <w:tr w14:paraId="052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ign w:val="center"/>
          </w:tcPr>
          <w:p w14:paraId="791AABF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w:t>
            </w:r>
          </w:p>
        </w:tc>
        <w:tc>
          <w:tcPr>
            <w:tcW w:w="1562" w:type="dxa"/>
            <w:noWrap/>
            <w:vAlign w:val="center"/>
          </w:tcPr>
          <w:p w14:paraId="2F91A922">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完整性审查</w:t>
            </w:r>
          </w:p>
        </w:tc>
        <w:tc>
          <w:tcPr>
            <w:tcW w:w="1557" w:type="dxa"/>
            <w:noWrap/>
            <w:vAlign w:val="center"/>
          </w:tcPr>
          <w:p w14:paraId="77889FB4">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竞选文件份数</w:t>
            </w:r>
          </w:p>
        </w:tc>
        <w:tc>
          <w:tcPr>
            <w:tcW w:w="5836" w:type="dxa"/>
            <w:noWrap/>
            <w:vAlign w:val="center"/>
          </w:tcPr>
          <w:p w14:paraId="4842946E">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竞选文件正、副本数量（含电子文档）符合比选文件要求。</w:t>
            </w:r>
          </w:p>
        </w:tc>
      </w:tr>
      <w:tr w14:paraId="2E15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ign w:val="center"/>
          </w:tcPr>
          <w:p w14:paraId="5D9B7105">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p>
        </w:tc>
        <w:tc>
          <w:tcPr>
            <w:tcW w:w="1562" w:type="dxa"/>
            <w:noWrap/>
            <w:vAlign w:val="center"/>
          </w:tcPr>
          <w:p w14:paraId="1275F6C5">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服务部分</w:t>
            </w:r>
          </w:p>
        </w:tc>
        <w:tc>
          <w:tcPr>
            <w:tcW w:w="1557" w:type="dxa"/>
            <w:noWrap/>
            <w:vAlign w:val="center"/>
          </w:tcPr>
          <w:p w14:paraId="78CF3103">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竞选文件内容</w:t>
            </w:r>
          </w:p>
        </w:tc>
        <w:tc>
          <w:tcPr>
            <w:tcW w:w="5836" w:type="dxa"/>
            <w:noWrap/>
            <w:vAlign w:val="center"/>
          </w:tcPr>
          <w:p w14:paraId="04400FB5">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本文件第二篇</w:t>
            </w:r>
            <w:r>
              <w:rPr>
                <w:rFonts w:hint="eastAsia" w:ascii="微软雅黑" w:hAnsi="微软雅黑" w:eastAsia="微软雅黑" w:cs="微软雅黑"/>
                <w:color w:val="auto"/>
                <w:sz w:val="21"/>
                <w:szCs w:val="21"/>
                <w:highlight w:val="none"/>
                <w:lang w:val="zh-CN" w:eastAsia="zh-CN"/>
              </w:rPr>
              <w:t>全部</w:t>
            </w:r>
            <w:r>
              <w:rPr>
                <w:rFonts w:hint="eastAsia" w:ascii="微软雅黑" w:hAnsi="微软雅黑" w:eastAsia="微软雅黑" w:cs="微软雅黑"/>
                <w:color w:val="auto"/>
                <w:sz w:val="21"/>
                <w:szCs w:val="21"/>
                <w:highlight w:val="none"/>
                <w:lang w:val="zh-CN"/>
              </w:rPr>
              <w:t>内容。</w:t>
            </w:r>
          </w:p>
        </w:tc>
      </w:tr>
      <w:tr w14:paraId="6C64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ign w:val="center"/>
          </w:tcPr>
          <w:p w14:paraId="532095DF">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4</w:t>
            </w:r>
          </w:p>
        </w:tc>
        <w:tc>
          <w:tcPr>
            <w:tcW w:w="1562" w:type="dxa"/>
            <w:noWrap/>
            <w:vAlign w:val="center"/>
          </w:tcPr>
          <w:p w14:paraId="6C6F1BFD">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商务部分</w:t>
            </w:r>
          </w:p>
        </w:tc>
        <w:tc>
          <w:tcPr>
            <w:tcW w:w="1557" w:type="dxa"/>
            <w:noWrap/>
            <w:vAlign w:val="center"/>
          </w:tcPr>
          <w:p w14:paraId="3B0A0B46">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竞选文件内容</w:t>
            </w:r>
          </w:p>
        </w:tc>
        <w:tc>
          <w:tcPr>
            <w:tcW w:w="5836" w:type="dxa"/>
            <w:noWrap/>
            <w:vAlign w:val="center"/>
          </w:tcPr>
          <w:p w14:paraId="2536ABFB">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本文件第三篇全部内容。</w:t>
            </w:r>
          </w:p>
        </w:tc>
      </w:tr>
      <w:tr w14:paraId="6865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ign w:val="center"/>
          </w:tcPr>
          <w:p w14:paraId="49D7B653">
            <w:pPr>
              <w:pageBreakBefore w:val="0"/>
              <w:kinsoku/>
              <w:wordWrap/>
              <w:overflowPunct/>
              <w:topLinePunct w:val="0"/>
              <w:autoSpaceDE/>
              <w:autoSpaceDN/>
              <w:bidi w:val="0"/>
              <w:spacing w:line="240" w:lineRule="auto"/>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5</w:t>
            </w:r>
          </w:p>
        </w:tc>
        <w:tc>
          <w:tcPr>
            <w:tcW w:w="1562" w:type="dxa"/>
            <w:noWrap/>
            <w:vAlign w:val="center"/>
          </w:tcPr>
          <w:p w14:paraId="44FA10B4">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投标有效期</w:t>
            </w:r>
          </w:p>
        </w:tc>
        <w:tc>
          <w:tcPr>
            <w:tcW w:w="1557" w:type="dxa"/>
            <w:noWrap/>
            <w:vAlign w:val="center"/>
          </w:tcPr>
          <w:p w14:paraId="4E07A547">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竞选文件内容</w:t>
            </w:r>
          </w:p>
        </w:tc>
        <w:tc>
          <w:tcPr>
            <w:tcW w:w="5836" w:type="dxa"/>
            <w:noWrap/>
            <w:vAlign w:val="center"/>
          </w:tcPr>
          <w:p w14:paraId="57B8AAF8">
            <w:pPr>
              <w:pageBreakBefore w:val="0"/>
              <w:kinsoku/>
              <w:wordWrap/>
              <w:overflowPunct/>
              <w:topLinePunct w:val="0"/>
              <w:autoSpaceDE/>
              <w:autoSpaceDN/>
              <w:bidi w:val="0"/>
              <w:spacing w:line="240" w:lineRule="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投标有效期为投标截止时间起90天。</w:t>
            </w:r>
          </w:p>
        </w:tc>
      </w:tr>
    </w:tbl>
    <w:p w14:paraId="09447998">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（二）澄清有关问题。对比选文件中含义不明确、同类问题表述不一致或者有明显文字和计算错误的内容，评标委员会可以书面形式（应当由评标委员会成员签字）要求</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作出必要澄清、说明或者纠正。</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的澄清、说明或者补正应当采用书面形式，由其法定代表人或法定代表人授权代表签字，其澄清的内容不得超出比选文件的范围或者改变比选文件的实质性内容。</w:t>
      </w:r>
    </w:p>
    <w:p w14:paraId="3DDD593B">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（三）比较与评价。按采购文件中规定的评标方法和标准，对资格审查和符合性审查合格的比选文件进行商务和技术评估。</w:t>
      </w:r>
    </w:p>
    <w:p w14:paraId="569509A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评标委员会各成员独立对每个有效</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（通过资格审查、符合性审查的</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）的比选文件进行评价、打分，然后由评标委员会对各成员打分情况进行核查及复核，个别成员对同一</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同一评分项的打分偏离较大的，应对</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的比选文件进行再次核对，确属打分有误的，应及时进行修正。</w:t>
      </w:r>
    </w:p>
    <w:p w14:paraId="4EB37CE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复核后，评标委员会汇总每个</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每项评分因素的得分。</w:t>
      </w:r>
    </w:p>
    <w:p w14:paraId="460A4F4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（四）推荐中选候选人名单。</w:t>
      </w:r>
    </w:p>
    <w:p w14:paraId="206C360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按评审后得分由高到低的排列顺序推荐</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名</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为本分包（项目）中标候选人，排名</w:t>
      </w:r>
      <w:r>
        <w:rPr>
          <w:rFonts w:hint="eastAsia" w:ascii="微软雅黑" w:hAnsi="微软雅黑" w:eastAsia="微软雅黑" w:cs="微软雅黑"/>
          <w:color w:val="auto"/>
          <w:sz w:val="24"/>
          <w:szCs w:val="24"/>
          <w:highlight w:val="none"/>
          <w:lang w:val="en-US" w:eastAsia="zh-CN"/>
        </w:rPr>
        <w:t>第一</w:t>
      </w:r>
      <w:r>
        <w:rPr>
          <w:rFonts w:hint="eastAsia" w:ascii="微软雅黑" w:hAnsi="微软雅黑" w:eastAsia="微软雅黑" w:cs="微软雅黑"/>
          <w:color w:val="auto"/>
          <w:sz w:val="24"/>
          <w:szCs w:val="24"/>
          <w:highlight w:val="none"/>
        </w:rPr>
        <w:t>的为第一中标候选人。得分相同的，按比选报价由低到高顺序排列。得分且比选报价相同的并列。</w:t>
      </w:r>
    </w:p>
    <w:p w14:paraId="650AD989">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最后报价等各方面同时并列的，由采购人或者采购人委托评标委员会按照比选文件规定的方式确定</w:t>
      </w:r>
      <w:r>
        <w:rPr>
          <w:rFonts w:hint="eastAsia" w:ascii="微软雅黑" w:hAnsi="微软雅黑" w:eastAsia="微软雅黑" w:cs="微软雅黑"/>
          <w:color w:val="auto"/>
          <w:sz w:val="24"/>
          <w:szCs w:val="24"/>
          <w:highlight w:val="none"/>
          <w:lang w:eastAsia="zh-CN"/>
        </w:rPr>
        <w:t>中选人</w:t>
      </w:r>
      <w:r>
        <w:rPr>
          <w:rFonts w:hint="eastAsia" w:ascii="微软雅黑" w:hAnsi="微软雅黑" w:eastAsia="微软雅黑" w:cs="微软雅黑"/>
          <w:color w:val="auto"/>
          <w:sz w:val="24"/>
          <w:szCs w:val="24"/>
          <w:highlight w:val="none"/>
        </w:rPr>
        <w:t>；比选文件未规定的，采取随机抽取的方式确定候选</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w:t>
      </w:r>
    </w:p>
    <w:p w14:paraId="682023E0">
      <w:pPr>
        <w:pStyle w:val="3"/>
        <w:pageBreakBefore w:val="0"/>
        <w:numPr>
          <w:ilvl w:val="0"/>
          <w:numId w:val="0"/>
        </w:numPr>
        <w:kinsoku/>
        <w:wordWrap/>
        <w:overflowPunct/>
        <w:topLinePunct w:val="0"/>
        <w:autoSpaceDE/>
        <w:autoSpaceDN/>
        <w:bidi w:val="0"/>
        <w:spacing w:line="240" w:lineRule="auto"/>
        <w:ind w:left="0" w:leftChars="0" w:firstLine="0" w:firstLineChars="0"/>
        <w:rPr>
          <w:rFonts w:hint="eastAsia" w:ascii="微软雅黑" w:hAnsi="微软雅黑" w:eastAsia="微软雅黑" w:cs="微软雅黑"/>
          <w:color w:val="auto"/>
          <w:highlight w:val="none"/>
        </w:rPr>
      </w:pPr>
      <w:bookmarkStart w:id="51" w:name="_Toc267320057"/>
      <w:bookmarkStart w:id="52" w:name="_Toc14268"/>
      <w:r>
        <w:rPr>
          <w:rFonts w:hint="eastAsia" w:ascii="微软雅黑" w:hAnsi="微软雅黑" w:eastAsia="微软雅黑" w:cs="微软雅黑"/>
          <w:color w:val="auto"/>
          <w:kern w:val="2"/>
          <w:sz w:val="28"/>
          <w:highlight w:val="none"/>
          <w:lang w:val="en-US" w:eastAsia="zh-CN" w:bidi="ar-SA"/>
        </w:rPr>
        <w:t>三、</w:t>
      </w:r>
      <w:r>
        <w:rPr>
          <w:rFonts w:hint="eastAsia" w:ascii="微软雅黑" w:hAnsi="微软雅黑" w:eastAsia="微软雅黑" w:cs="微软雅黑"/>
          <w:b/>
          <w:color w:val="auto"/>
          <w:sz w:val="24"/>
          <w:szCs w:val="24"/>
          <w:highlight w:val="none"/>
        </w:rPr>
        <w:t>评标标准</w:t>
      </w:r>
      <w:bookmarkEnd w:id="51"/>
      <w:bookmarkEnd w:id="52"/>
    </w:p>
    <w:tbl>
      <w:tblPr>
        <w:tblStyle w:val="2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55"/>
        <w:gridCol w:w="1067"/>
        <w:gridCol w:w="4536"/>
        <w:gridCol w:w="2127"/>
      </w:tblGrid>
      <w:tr w14:paraId="09BA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Align w:val="center"/>
          </w:tcPr>
          <w:p w14:paraId="7DC14DAF">
            <w:pPr>
              <w:kinsoku/>
              <w:overflowPunct/>
              <w:topLinePunct w:val="0"/>
              <w:autoSpaceDE/>
              <w:autoSpaceDN/>
              <w:bidi w:val="0"/>
              <w:snapToGrid/>
              <w:spacing w:line="240" w:lineRule="auto"/>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1155" w:type="dxa"/>
            <w:vAlign w:val="center"/>
          </w:tcPr>
          <w:p w14:paraId="38A76563">
            <w:pPr>
              <w:kinsoku/>
              <w:overflowPunct/>
              <w:topLinePunct w:val="0"/>
              <w:autoSpaceDE/>
              <w:autoSpaceDN/>
              <w:bidi w:val="0"/>
              <w:snapToGrid/>
              <w:spacing w:line="240" w:lineRule="auto"/>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评分因素及权值</w:t>
            </w:r>
          </w:p>
        </w:tc>
        <w:tc>
          <w:tcPr>
            <w:tcW w:w="1067" w:type="dxa"/>
            <w:vAlign w:val="center"/>
          </w:tcPr>
          <w:p w14:paraId="02FE3589">
            <w:pPr>
              <w:kinsoku/>
              <w:overflowPunct/>
              <w:topLinePunct w:val="0"/>
              <w:autoSpaceDE/>
              <w:autoSpaceDN/>
              <w:bidi w:val="0"/>
              <w:snapToGrid/>
              <w:spacing w:line="240" w:lineRule="auto"/>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分值</w:t>
            </w:r>
          </w:p>
        </w:tc>
        <w:tc>
          <w:tcPr>
            <w:tcW w:w="4536" w:type="dxa"/>
            <w:vAlign w:val="center"/>
          </w:tcPr>
          <w:p w14:paraId="48C66047">
            <w:pPr>
              <w:kinsoku/>
              <w:overflowPunct/>
              <w:topLinePunct w:val="0"/>
              <w:autoSpaceDE/>
              <w:autoSpaceDN/>
              <w:bidi w:val="0"/>
              <w:snapToGrid/>
              <w:spacing w:line="240" w:lineRule="auto"/>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评分标准</w:t>
            </w:r>
          </w:p>
        </w:tc>
        <w:tc>
          <w:tcPr>
            <w:tcW w:w="2127" w:type="dxa"/>
            <w:vAlign w:val="center"/>
          </w:tcPr>
          <w:p w14:paraId="7506CF55">
            <w:pPr>
              <w:kinsoku/>
              <w:overflowPunct/>
              <w:topLinePunct w:val="0"/>
              <w:autoSpaceDE/>
              <w:autoSpaceDN/>
              <w:bidi w:val="0"/>
              <w:snapToGrid/>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说明</w:t>
            </w:r>
          </w:p>
        </w:tc>
      </w:tr>
      <w:tr w14:paraId="31F5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Align w:val="center"/>
          </w:tcPr>
          <w:p w14:paraId="71B0ABCC">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155" w:type="dxa"/>
            <w:vAlign w:val="center"/>
          </w:tcPr>
          <w:p w14:paraId="52F52B67">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竞选</w:t>
            </w:r>
            <w:r>
              <w:rPr>
                <w:rFonts w:hint="eastAsia" w:ascii="微软雅黑" w:hAnsi="微软雅黑" w:eastAsia="微软雅黑" w:cs="微软雅黑"/>
                <w:color w:val="auto"/>
                <w:sz w:val="21"/>
                <w:szCs w:val="21"/>
                <w:highlight w:val="none"/>
              </w:rPr>
              <w:t>报价</w:t>
            </w:r>
          </w:p>
          <w:p w14:paraId="7C1A1B1B">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（30%）</w:t>
            </w:r>
          </w:p>
        </w:tc>
        <w:tc>
          <w:tcPr>
            <w:tcW w:w="1067" w:type="dxa"/>
            <w:vAlign w:val="center"/>
          </w:tcPr>
          <w:p w14:paraId="3C95AA84">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30分</w:t>
            </w:r>
          </w:p>
        </w:tc>
        <w:tc>
          <w:tcPr>
            <w:tcW w:w="4536" w:type="dxa"/>
            <w:vAlign w:val="center"/>
          </w:tcPr>
          <w:p w14:paraId="5704DF2F">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满足</w:t>
            </w:r>
            <w:r>
              <w:rPr>
                <w:rFonts w:hint="eastAsia" w:ascii="微软雅黑" w:hAnsi="微软雅黑" w:eastAsia="微软雅黑" w:cs="微软雅黑"/>
                <w:color w:val="auto"/>
                <w:sz w:val="21"/>
                <w:szCs w:val="21"/>
                <w:highlight w:val="none"/>
                <w:lang w:eastAsia="zh-CN"/>
              </w:rPr>
              <w:t>比选文件</w:t>
            </w:r>
            <w:r>
              <w:rPr>
                <w:rFonts w:hint="eastAsia" w:ascii="微软雅黑" w:hAnsi="微软雅黑" w:eastAsia="微软雅黑" w:cs="微软雅黑"/>
                <w:color w:val="auto"/>
                <w:sz w:val="21"/>
                <w:szCs w:val="21"/>
                <w:highlight w:val="none"/>
              </w:rPr>
              <w:t>资格要求且最后报价最低的供应商的价格为</w:t>
            </w:r>
            <w:r>
              <w:rPr>
                <w:rFonts w:hint="eastAsia" w:ascii="微软雅黑" w:hAnsi="微软雅黑" w:eastAsia="微软雅黑" w:cs="微软雅黑"/>
                <w:color w:val="auto"/>
                <w:sz w:val="21"/>
                <w:szCs w:val="21"/>
                <w:highlight w:val="none"/>
                <w:lang w:val="en-US" w:eastAsia="zh-CN"/>
              </w:rPr>
              <w:t>竞选</w:t>
            </w:r>
            <w:r>
              <w:rPr>
                <w:rFonts w:hint="eastAsia" w:ascii="微软雅黑" w:hAnsi="微软雅黑" w:eastAsia="微软雅黑" w:cs="微软雅黑"/>
                <w:color w:val="auto"/>
                <w:sz w:val="21"/>
                <w:szCs w:val="21"/>
                <w:highlight w:val="none"/>
              </w:rPr>
              <w:t>基准价，其价格分为满分。按照下列公式计算每个供应商的</w:t>
            </w:r>
            <w:r>
              <w:rPr>
                <w:rFonts w:hint="eastAsia" w:ascii="微软雅黑" w:hAnsi="微软雅黑" w:eastAsia="微软雅黑" w:cs="微软雅黑"/>
                <w:color w:val="auto"/>
                <w:sz w:val="21"/>
                <w:szCs w:val="21"/>
                <w:highlight w:val="none"/>
                <w:lang w:val="en-US" w:eastAsia="zh-CN"/>
              </w:rPr>
              <w:t>竞选</w:t>
            </w:r>
            <w:r>
              <w:rPr>
                <w:rFonts w:hint="eastAsia" w:ascii="微软雅黑" w:hAnsi="微软雅黑" w:eastAsia="微软雅黑" w:cs="微软雅黑"/>
                <w:color w:val="auto"/>
                <w:sz w:val="21"/>
                <w:szCs w:val="21"/>
                <w:highlight w:val="none"/>
              </w:rPr>
              <w:t>报价得分。</w:t>
            </w:r>
          </w:p>
          <w:p w14:paraId="038557F8">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竞选</w:t>
            </w:r>
            <w:r>
              <w:rPr>
                <w:rFonts w:hint="eastAsia" w:ascii="微软雅黑" w:hAnsi="微软雅黑" w:eastAsia="微软雅黑" w:cs="微软雅黑"/>
                <w:color w:val="auto"/>
                <w:sz w:val="21"/>
                <w:szCs w:val="21"/>
                <w:highlight w:val="none"/>
              </w:rPr>
              <w:t>报价得分=（</w:t>
            </w:r>
            <w:r>
              <w:rPr>
                <w:rFonts w:hint="eastAsia" w:ascii="微软雅黑" w:hAnsi="微软雅黑" w:eastAsia="微软雅黑" w:cs="微软雅黑"/>
                <w:color w:val="auto"/>
                <w:sz w:val="21"/>
                <w:szCs w:val="21"/>
                <w:highlight w:val="none"/>
                <w:lang w:val="en-US" w:eastAsia="zh-CN"/>
              </w:rPr>
              <w:t>竞选</w:t>
            </w:r>
            <w:r>
              <w:rPr>
                <w:rFonts w:hint="eastAsia" w:ascii="微软雅黑" w:hAnsi="微软雅黑" w:eastAsia="微软雅黑" w:cs="微软雅黑"/>
                <w:color w:val="auto"/>
                <w:sz w:val="21"/>
                <w:szCs w:val="21"/>
                <w:highlight w:val="none"/>
              </w:rPr>
              <w:t>基准价/</w:t>
            </w:r>
            <w:r>
              <w:rPr>
                <w:rFonts w:hint="eastAsia" w:ascii="微软雅黑" w:hAnsi="微软雅黑" w:eastAsia="微软雅黑" w:cs="微软雅黑"/>
                <w:color w:val="auto"/>
                <w:sz w:val="21"/>
                <w:szCs w:val="21"/>
                <w:highlight w:val="none"/>
                <w:lang w:val="en-US" w:eastAsia="zh-CN"/>
              </w:rPr>
              <w:t>竞选</w:t>
            </w:r>
            <w:r>
              <w:rPr>
                <w:rFonts w:hint="eastAsia" w:ascii="微软雅黑" w:hAnsi="微软雅黑" w:eastAsia="微软雅黑" w:cs="微软雅黑"/>
                <w:color w:val="auto"/>
                <w:sz w:val="21"/>
                <w:szCs w:val="21"/>
                <w:highlight w:val="none"/>
              </w:rPr>
              <w:t>报价）×价格权值×100</w:t>
            </w:r>
          </w:p>
        </w:tc>
        <w:tc>
          <w:tcPr>
            <w:tcW w:w="2127" w:type="dxa"/>
            <w:vAlign w:val="center"/>
          </w:tcPr>
          <w:p w14:paraId="2B34ECB5">
            <w:pPr>
              <w:kinsoku/>
              <w:overflowPunct/>
              <w:topLinePunct w:val="0"/>
              <w:autoSpaceDE/>
              <w:autoSpaceDN/>
              <w:bidi w:val="0"/>
              <w:snapToGrid/>
              <w:spacing w:line="240" w:lineRule="auto"/>
              <w:ind w:left="-3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r>
      <w:tr w14:paraId="0CD6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613" w:type="dxa"/>
            <w:vMerge w:val="restart"/>
            <w:vAlign w:val="center"/>
          </w:tcPr>
          <w:p w14:paraId="016F0C53">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155" w:type="dxa"/>
            <w:vMerge w:val="restart"/>
            <w:vAlign w:val="center"/>
          </w:tcPr>
          <w:p w14:paraId="78C77F4D">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服务</w:t>
            </w:r>
            <w:r>
              <w:rPr>
                <w:rFonts w:hint="eastAsia" w:ascii="微软雅黑" w:hAnsi="微软雅黑" w:eastAsia="微软雅黑" w:cs="微软雅黑"/>
                <w:color w:val="auto"/>
                <w:sz w:val="21"/>
                <w:szCs w:val="21"/>
                <w:highlight w:val="none"/>
              </w:rPr>
              <w:t>部分</w:t>
            </w:r>
          </w:p>
          <w:p w14:paraId="2E51ED0C">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t>0%）</w:t>
            </w:r>
          </w:p>
        </w:tc>
        <w:tc>
          <w:tcPr>
            <w:tcW w:w="1067" w:type="dxa"/>
            <w:vMerge w:val="restart"/>
            <w:vAlign w:val="center"/>
          </w:tcPr>
          <w:p w14:paraId="3D0E8A0C">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30</w:t>
            </w:r>
            <w:r>
              <w:rPr>
                <w:rFonts w:hint="eastAsia" w:ascii="微软雅黑" w:hAnsi="微软雅黑" w:eastAsia="微软雅黑" w:cs="微软雅黑"/>
                <w:color w:val="auto"/>
                <w:sz w:val="21"/>
                <w:szCs w:val="21"/>
                <w:highlight w:val="none"/>
              </w:rPr>
              <w:t>分</w:t>
            </w:r>
          </w:p>
        </w:tc>
        <w:tc>
          <w:tcPr>
            <w:tcW w:w="4536" w:type="dxa"/>
            <w:vAlign w:val="center"/>
          </w:tcPr>
          <w:p w14:paraId="7C4FBF5A">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1.维保服务方案（</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p w14:paraId="27C0D6A4">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根据供应商提供的维保服务方案的完善性、合理性、针对性进行评分。</w:t>
            </w:r>
          </w:p>
          <w:p w14:paraId="1890E669">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方案内容不存在瑕疵的得</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 xml:space="preserve">分； </w:t>
            </w:r>
          </w:p>
          <w:p w14:paraId="1A6C9066">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方案内容存在1处瑕疵的得</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 xml:space="preserve">分； </w:t>
            </w:r>
          </w:p>
          <w:p w14:paraId="2AB63D8A">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方案内容存在2处瑕疵的得</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 xml:space="preserve">分； </w:t>
            </w:r>
          </w:p>
          <w:p w14:paraId="2C31DF39">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6D18DF31">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127" w:type="dxa"/>
            <w:vMerge w:val="restart"/>
            <w:vAlign w:val="center"/>
          </w:tcPr>
          <w:p w14:paraId="1A585A56">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2925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13" w:type="dxa"/>
            <w:vMerge w:val="continue"/>
            <w:vAlign w:val="center"/>
          </w:tcPr>
          <w:p w14:paraId="531883E5">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155" w:type="dxa"/>
            <w:vMerge w:val="continue"/>
            <w:vAlign w:val="center"/>
          </w:tcPr>
          <w:p w14:paraId="6A3A3214">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067" w:type="dxa"/>
            <w:vMerge w:val="continue"/>
            <w:vAlign w:val="center"/>
          </w:tcPr>
          <w:p w14:paraId="005CA3C6">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p>
        </w:tc>
        <w:tc>
          <w:tcPr>
            <w:tcW w:w="4536" w:type="dxa"/>
            <w:vAlign w:val="center"/>
          </w:tcPr>
          <w:p w14:paraId="7855A937">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2.项目组织服务方案（</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p w14:paraId="0F6A3FE0">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根据供应商提供的项目组织服务方案的完善性、合理性、针对性进行评分。</w:t>
            </w:r>
          </w:p>
          <w:p w14:paraId="6F87FE66">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方案内容不存在瑕疵的得6分； </w:t>
            </w:r>
          </w:p>
          <w:p w14:paraId="3EB9623B">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41B80824">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1C467EA5">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55999C9A">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127" w:type="dxa"/>
            <w:vMerge w:val="continue"/>
            <w:vAlign w:val="center"/>
          </w:tcPr>
          <w:p w14:paraId="3D8B5428">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p>
        </w:tc>
      </w:tr>
      <w:tr w14:paraId="1304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613" w:type="dxa"/>
            <w:vMerge w:val="continue"/>
            <w:vAlign w:val="center"/>
          </w:tcPr>
          <w:p w14:paraId="1EEA93D9">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155" w:type="dxa"/>
            <w:vMerge w:val="continue"/>
            <w:vAlign w:val="center"/>
          </w:tcPr>
          <w:p w14:paraId="4A0293F7">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067" w:type="dxa"/>
            <w:vMerge w:val="continue"/>
            <w:vAlign w:val="center"/>
          </w:tcPr>
          <w:p w14:paraId="344E920D">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p>
        </w:tc>
        <w:tc>
          <w:tcPr>
            <w:tcW w:w="4536" w:type="dxa"/>
            <w:vAlign w:val="center"/>
          </w:tcPr>
          <w:p w14:paraId="5E5B7A44">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3.服务质量保障措施（</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p w14:paraId="61B345A0">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根据供应商提供的服务质量保障措施的完善性、合理性、可行性进行评分。</w:t>
            </w:r>
          </w:p>
          <w:p w14:paraId="6D576270">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方案内容不存在瑕疵的得6分； </w:t>
            </w:r>
          </w:p>
          <w:p w14:paraId="0453F7FD">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603DC713">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6F3D8FA8">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291D0392">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127" w:type="dxa"/>
            <w:vMerge w:val="continue"/>
            <w:vAlign w:val="center"/>
          </w:tcPr>
          <w:p w14:paraId="416655E5">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p>
        </w:tc>
      </w:tr>
      <w:tr w14:paraId="75B3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613" w:type="dxa"/>
            <w:vMerge w:val="continue"/>
            <w:vAlign w:val="center"/>
          </w:tcPr>
          <w:p w14:paraId="2911F04E">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155" w:type="dxa"/>
            <w:vMerge w:val="continue"/>
            <w:vAlign w:val="center"/>
          </w:tcPr>
          <w:p w14:paraId="2235D051">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067" w:type="dxa"/>
            <w:vMerge w:val="continue"/>
            <w:vAlign w:val="center"/>
          </w:tcPr>
          <w:p w14:paraId="3B09C13E">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p>
        </w:tc>
        <w:tc>
          <w:tcPr>
            <w:tcW w:w="4536" w:type="dxa"/>
            <w:vAlign w:val="center"/>
          </w:tcPr>
          <w:p w14:paraId="04F6C1B1">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4.服务安全保障措施（</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p w14:paraId="4B12D8E0">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根据供应商提供的服务安全保障措施的完善性、合理性、可行性进行评分。</w:t>
            </w:r>
          </w:p>
          <w:p w14:paraId="4881BCF4">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方案内容不存在瑕疵的得6分； </w:t>
            </w:r>
          </w:p>
          <w:p w14:paraId="1017D7C9">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3956EF31">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7CE76E45">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631706E9">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127" w:type="dxa"/>
            <w:vMerge w:val="continue"/>
            <w:vAlign w:val="center"/>
          </w:tcPr>
          <w:p w14:paraId="1EDD6C7D">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p>
        </w:tc>
      </w:tr>
      <w:tr w14:paraId="62ED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613" w:type="dxa"/>
            <w:vMerge w:val="continue"/>
            <w:vAlign w:val="center"/>
          </w:tcPr>
          <w:p w14:paraId="4705E861">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155" w:type="dxa"/>
            <w:vMerge w:val="continue"/>
            <w:vAlign w:val="center"/>
          </w:tcPr>
          <w:p w14:paraId="40135E76">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067" w:type="dxa"/>
            <w:vMerge w:val="continue"/>
            <w:vAlign w:val="center"/>
          </w:tcPr>
          <w:p w14:paraId="64BDDE81">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p>
        </w:tc>
        <w:tc>
          <w:tcPr>
            <w:tcW w:w="4536" w:type="dxa"/>
            <w:vAlign w:val="center"/>
          </w:tcPr>
          <w:p w14:paraId="3FA27EEF">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5.应急预案及处理措施（</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分）</w:t>
            </w:r>
          </w:p>
          <w:p w14:paraId="3CD0F21C">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根据供应商提供的应急预案及处理措施的全面性、详实性、针对性进行评分。</w:t>
            </w:r>
          </w:p>
          <w:p w14:paraId="52787E78">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方案内容不存在瑕疵的得6分； </w:t>
            </w:r>
          </w:p>
          <w:p w14:paraId="349AB4D4">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方案内容存在1处瑕疵的得4分； </w:t>
            </w:r>
          </w:p>
          <w:p w14:paraId="43498BFC">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方案内容存在2处瑕疵的得2分； </w:t>
            </w:r>
          </w:p>
          <w:p w14:paraId="2B8D83C7">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方案内容存在3处以上瑕疵的得1分；</w:t>
            </w:r>
          </w:p>
          <w:p w14:paraId="6A5F939E">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未提供得0分。</w:t>
            </w:r>
          </w:p>
        </w:tc>
        <w:tc>
          <w:tcPr>
            <w:tcW w:w="2127" w:type="dxa"/>
            <w:vMerge w:val="continue"/>
            <w:vAlign w:val="center"/>
          </w:tcPr>
          <w:p w14:paraId="3A39DF1D">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p>
        </w:tc>
      </w:tr>
      <w:tr w14:paraId="3038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vAlign w:val="center"/>
          </w:tcPr>
          <w:p w14:paraId="7FEDCAD0">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1155" w:type="dxa"/>
            <w:vMerge w:val="restart"/>
            <w:vAlign w:val="center"/>
          </w:tcPr>
          <w:p w14:paraId="76F235B1">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商务部分</w:t>
            </w:r>
          </w:p>
          <w:p w14:paraId="29A68278">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bCs/>
                <w:color w:val="auto"/>
                <w:sz w:val="21"/>
                <w:szCs w:val="21"/>
                <w:highlight w:val="none"/>
                <w:lang w:val="en-US" w:eastAsia="zh-CN"/>
              </w:rPr>
              <w:t>4</w:t>
            </w:r>
            <w:r>
              <w:rPr>
                <w:rFonts w:hint="eastAsia" w:ascii="微软雅黑" w:hAnsi="微软雅黑" w:eastAsia="微软雅黑" w:cs="微软雅黑"/>
                <w:bCs/>
                <w:color w:val="auto"/>
                <w:sz w:val="21"/>
                <w:szCs w:val="21"/>
                <w:highlight w:val="none"/>
              </w:rPr>
              <w:t>0</w:t>
            </w:r>
            <w:r>
              <w:rPr>
                <w:rFonts w:hint="eastAsia" w:ascii="微软雅黑" w:hAnsi="微软雅黑" w:eastAsia="微软雅黑" w:cs="微软雅黑"/>
                <w:color w:val="auto"/>
                <w:sz w:val="21"/>
                <w:szCs w:val="21"/>
                <w:highlight w:val="none"/>
              </w:rPr>
              <w:t>%）</w:t>
            </w:r>
          </w:p>
        </w:tc>
        <w:tc>
          <w:tcPr>
            <w:tcW w:w="1067" w:type="dxa"/>
            <w:vMerge w:val="restart"/>
            <w:vAlign w:val="center"/>
          </w:tcPr>
          <w:p w14:paraId="49CDE93E">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团队</w:t>
            </w:r>
          </w:p>
          <w:p w14:paraId="560CBC39">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人员</w:t>
            </w:r>
          </w:p>
          <w:p w14:paraId="495324AE">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（20分）</w:t>
            </w:r>
          </w:p>
        </w:tc>
        <w:tc>
          <w:tcPr>
            <w:tcW w:w="4536" w:type="dxa"/>
            <w:vAlign w:val="center"/>
          </w:tcPr>
          <w:p w14:paraId="44DD0A87">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1.项目负责人（4分）</w:t>
            </w:r>
          </w:p>
          <w:p w14:paraId="00CBD202">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①供应商拟派项目负责人具有大专及以上学历，且具有暖通空调类中级及以上职称的，得2分。</w:t>
            </w:r>
          </w:p>
          <w:p w14:paraId="73E5E1E8">
            <w:pPr>
              <w:kinsoku/>
              <w:overflowPunct/>
              <w:topLinePunct w:val="0"/>
              <w:autoSpaceDE/>
              <w:autoSpaceDN/>
              <w:bidi w:val="0"/>
              <w:spacing w:line="240" w:lineRule="auto"/>
              <w:rPr>
                <w:rFonts w:hint="eastAsia" w:ascii="微软雅黑" w:hAnsi="微软雅黑" w:eastAsia="微软雅黑" w:cs="微软雅黑"/>
                <w:color w:val="auto"/>
                <w:sz w:val="28"/>
                <w:highlight w:val="none"/>
              </w:rPr>
            </w:pPr>
            <w:r>
              <w:rPr>
                <w:rFonts w:hint="eastAsia" w:ascii="微软雅黑" w:hAnsi="微软雅黑" w:eastAsia="微软雅黑" w:cs="微软雅黑"/>
                <w:color w:val="auto"/>
                <w:sz w:val="21"/>
                <w:szCs w:val="21"/>
                <w:highlight w:val="none"/>
              </w:rPr>
              <w:t>②供应商拟派项目负责人具有安全生产监督管理部门或应急管理部门颁发的特种作业操作证，且作业类别分别为：“制冷与空调作业”、“高处作业”、“低压电工作业”，每提供一种作业类别得1分，最多得2分。</w:t>
            </w:r>
          </w:p>
        </w:tc>
        <w:tc>
          <w:tcPr>
            <w:tcW w:w="2127" w:type="dxa"/>
            <w:vMerge w:val="restart"/>
            <w:vAlign w:val="center"/>
          </w:tcPr>
          <w:p w14:paraId="43567BFD">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提供拟派团队人员名单、身份证、相关资质证书（学历、职称、操作证等）复印件、投标截止时间前6个月内任一月份供应商为其缴纳社保证明材料复印件，加盖供应商公章。</w:t>
            </w:r>
          </w:p>
        </w:tc>
      </w:tr>
      <w:tr w14:paraId="6098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13" w:type="dxa"/>
            <w:vMerge w:val="continue"/>
            <w:vAlign w:val="center"/>
          </w:tcPr>
          <w:p w14:paraId="7609500F">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155" w:type="dxa"/>
            <w:vMerge w:val="continue"/>
            <w:vAlign w:val="center"/>
          </w:tcPr>
          <w:p w14:paraId="73BC52C3">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067" w:type="dxa"/>
            <w:vMerge w:val="continue"/>
            <w:vAlign w:val="center"/>
          </w:tcPr>
          <w:p w14:paraId="1E39EFD8">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p>
        </w:tc>
        <w:tc>
          <w:tcPr>
            <w:tcW w:w="4536" w:type="dxa"/>
            <w:vAlign w:val="center"/>
          </w:tcPr>
          <w:p w14:paraId="03CEACC8">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bookmarkStart w:id="53" w:name="OLE_LINK9"/>
            <w:bookmarkStart w:id="54" w:name="OLE_LINK10"/>
            <w:r>
              <w:rPr>
                <w:rFonts w:hint="eastAsia" w:ascii="微软雅黑" w:hAnsi="微软雅黑" w:eastAsia="微软雅黑" w:cs="微软雅黑"/>
                <w:color w:val="auto"/>
                <w:sz w:val="21"/>
                <w:szCs w:val="21"/>
                <w:highlight w:val="none"/>
              </w:rPr>
              <w:t>维护维修人员</w:t>
            </w:r>
            <w:bookmarkEnd w:id="53"/>
            <w:bookmarkEnd w:id="54"/>
            <w:r>
              <w:rPr>
                <w:rFonts w:hint="eastAsia" w:ascii="微软雅黑" w:hAnsi="微软雅黑" w:eastAsia="微软雅黑" w:cs="微软雅黑"/>
                <w:color w:val="auto"/>
                <w:sz w:val="21"/>
                <w:szCs w:val="21"/>
                <w:highlight w:val="none"/>
              </w:rPr>
              <w:t>（不含项目负责人）（16分）</w:t>
            </w:r>
          </w:p>
          <w:p w14:paraId="2EB2EF51">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①供应商拟派维护维修人员具有安全生产监督管理部门或应急管理部门颁发的特种作业操作证，且作业类别为“制冷与空调作业”，每提供1人得</w:t>
            </w:r>
            <w:r>
              <w:rPr>
                <w:rFonts w:hint="eastAsia" w:ascii="微软雅黑" w:hAnsi="微软雅黑" w:eastAsia="微软雅黑" w:cs="微软雅黑"/>
                <w:bCs/>
                <w:color w:val="auto"/>
                <w:sz w:val="21"/>
                <w:szCs w:val="21"/>
                <w:highlight w:val="none"/>
              </w:rPr>
              <w:t>1</w:t>
            </w:r>
            <w:r>
              <w:rPr>
                <w:rFonts w:hint="eastAsia" w:ascii="微软雅黑" w:hAnsi="微软雅黑" w:eastAsia="微软雅黑" w:cs="微软雅黑"/>
                <w:color w:val="auto"/>
                <w:sz w:val="21"/>
                <w:szCs w:val="21"/>
                <w:highlight w:val="none"/>
              </w:rPr>
              <w:t>分，最多得</w:t>
            </w:r>
            <w:r>
              <w:rPr>
                <w:rFonts w:hint="eastAsia" w:ascii="微软雅黑" w:hAnsi="微软雅黑" w:eastAsia="微软雅黑" w:cs="微软雅黑"/>
                <w:bCs/>
                <w:color w:val="auto"/>
                <w:sz w:val="21"/>
                <w:szCs w:val="21"/>
                <w:highlight w:val="none"/>
              </w:rPr>
              <w:t>4</w:t>
            </w:r>
            <w:r>
              <w:rPr>
                <w:rFonts w:hint="eastAsia" w:ascii="微软雅黑" w:hAnsi="微软雅黑" w:eastAsia="微软雅黑" w:cs="微软雅黑"/>
                <w:color w:val="auto"/>
                <w:sz w:val="21"/>
                <w:szCs w:val="21"/>
                <w:highlight w:val="none"/>
              </w:rPr>
              <w:t>分。</w:t>
            </w:r>
          </w:p>
          <w:p w14:paraId="262FE7C5">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②供应商拟派维护维修人员具有安全生产监督管理部门或应急管理部门颁发的特种作业操作证，且作业类别为“高处作业”，每提供一人得</w:t>
            </w:r>
            <w:r>
              <w:rPr>
                <w:rFonts w:hint="eastAsia" w:ascii="微软雅黑" w:hAnsi="微软雅黑" w:eastAsia="微软雅黑" w:cs="微软雅黑"/>
                <w:bCs/>
                <w:color w:val="auto"/>
                <w:sz w:val="21"/>
                <w:szCs w:val="21"/>
                <w:highlight w:val="none"/>
              </w:rPr>
              <w:t>1</w:t>
            </w:r>
            <w:r>
              <w:rPr>
                <w:rFonts w:hint="eastAsia" w:ascii="微软雅黑" w:hAnsi="微软雅黑" w:eastAsia="微软雅黑" w:cs="微软雅黑"/>
                <w:color w:val="auto"/>
                <w:sz w:val="21"/>
                <w:szCs w:val="21"/>
                <w:highlight w:val="none"/>
              </w:rPr>
              <w:t>分，最多得</w:t>
            </w:r>
            <w:r>
              <w:rPr>
                <w:rFonts w:hint="eastAsia" w:ascii="微软雅黑" w:hAnsi="微软雅黑" w:eastAsia="微软雅黑" w:cs="微软雅黑"/>
                <w:bCs/>
                <w:color w:val="auto"/>
                <w:sz w:val="21"/>
                <w:szCs w:val="21"/>
                <w:highlight w:val="none"/>
              </w:rPr>
              <w:t>4</w:t>
            </w:r>
            <w:r>
              <w:rPr>
                <w:rFonts w:hint="eastAsia" w:ascii="微软雅黑" w:hAnsi="微软雅黑" w:eastAsia="微软雅黑" w:cs="微软雅黑"/>
                <w:color w:val="auto"/>
                <w:sz w:val="21"/>
                <w:szCs w:val="21"/>
                <w:highlight w:val="none"/>
              </w:rPr>
              <w:t>分。</w:t>
            </w:r>
          </w:p>
          <w:p w14:paraId="545F17DF">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③供应商拟派维护维修人员具有安全生产监督管理部门或应急管理部门颁发的特种作业操作证，且作业类别为“低压电工作业”，每提供一人得</w:t>
            </w:r>
            <w:r>
              <w:rPr>
                <w:rFonts w:hint="eastAsia" w:ascii="微软雅黑" w:hAnsi="微软雅黑" w:eastAsia="微软雅黑" w:cs="微软雅黑"/>
                <w:bCs/>
                <w:color w:val="auto"/>
                <w:sz w:val="21"/>
                <w:szCs w:val="21"/>
                <w:highlight w:val="none"/>
              </w:rPr>
              <w:t>1</w:t>
            </w:r>
            <w:r>
              <w:rPr>
                <w:rFonts w:hint="eastAsia" w:ascii="微软雅黑" w:hAnsi="微软雅黑" w:eastAsia="微软雅黑" w:cs="微软雅黑"/>
                <w:color w:val="auto"/>
                <w:sz w:val="21"/>
                <w:szCs w:val="21"/>
                <w:highlight w:val="none"/>
              </w:rPr>
              <w:t>分，最多得</w:t>
            </w:r>
            <w:r>
              <w:rPr>
                <w:rFonts w:hint="eastAsia" w:ascii="微软雅黑" w:hAnsi="微软雅黑" w:eastAsia="微软雅黑" w:cs="微软雅黑"/>
                <w:bCs/>
                <w:color w:val="auto"/>
                <w:sz w:val="21"/>
                <w:szCs w:val="21"/>
                <w:highlight w:val="none"/>
              </w:rPr>
              <w:t>4</w:t>
            </w:r>
            <w:r>
              <w:rPr>
                <w:rFonts w:hint="eastAsia" w:ascii="微软雅黑" w:hAnsi="微软雅黑" w:eastAsia="微软雅黑" w:cs="微软雅黑"/>
                <w:color w:val="auto"/>
                <w:sz w:val="21"/>
                <w:szCs w:val="21"/>
                <w:highlight w:val="none"/>
              </w:rPr>
              <w:t>分。</w:t>
            </w:r>
          </w:p>
          <w:p w14:paraId="04B5A273">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④供应商拟派以上维护维修人员中具有职业技能鉴定中心颁发的清洗技术员证书的，每提供一人得1分，</w:t>
            </w:r>
            <w:r>
              <w:rPr>
                <w:rFonts w:hint="eastAsia" w:ascii="微软雅黑" w:hAnsi="微软雅黑" w:eastAsia="微软雅黑" w:cs="微软雅黑"/>
                <w:color w:val="auto"/>
                <w:kern w:val="0"/>
                <w:sz w:val="21"/>
                <w:szCs w:val="21"/>
                <w:highlight w:val="none"/>
              </w:rPr>
              <w:t>最多得</w:t>
            </w:r>
            <w:r>
              <w:rPr>
                <w:rFonts w:hint="eastAsia" w:ascii="微软雅黑" w:hAnsi="微软雅黑" w:eastAsia="微软雅黑" w:cs="微软雅黑"/>
                <w:bCs/>
                <w:color w:val="auto"/>
                <w:kern w:val="0"/>
                <w:sz w:val="21"/>
                <w:szCs w:val="21"/>
                <w:highlight w:val="none"/>
              </w:rPr>
              <w:t>4</w:t>
            </w:r>
            <w:r>
              <w:rPr>
                <w:rFonts w:hint="eastAsia" w:ascii="微软雅黑" w:hAnsi="微软雅黑" w:eastAsia="微软雅黑" w:cs="微软雅黑"/>
                <w:color w:val="auto"/>
                <w:kern w:val="0"/>
                <w:sz w:val="21"/>
                <w:szCs w:val="21"/>
                <w:highlight w:val="none"/>
              </w:rPr>
              <w:t>分</w:t>
            </w:r>
            <w:r>
              <w:rPr>
                <w:rFonts w:hint="eastAsia" w:ascii="微软雅黑" w:hAnsi="微软雅黑" w:eastAsia="微软雅黑" w:cs="微软雅黑"/>
                <w:color w:val="auto"/>
                <w:sz w:val="21"/>
                <w:szCs w:val="21"/>
                <w:highlight w:val="none"/>
              </w:rPr>
              <w:t>。</w:t>
            </w:r>
          </w:p>
        </w:tc>
        <w:tc>
          <w:tcPr>
            <w:tcW w:w="2127" w:type="dxa"/>
            <w:vMerge w:val="continue"/>
            <w:vAlign w:val="center"/>
          </w:tcPr>
          <w:p w14:paraId="591FC2F7">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p>
        </w:tc>
      </w:tr>
      <w:tr w14:paraId="2EF5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13" w:type="dxa"/>
            <w:vMerge w:val="continue"/>
            <w:vAlign w:val="center"/>
          </w:tcPr>
          <w:p w14:paraId="2B9D7E36">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155" w:type="dxa"/>
            <w:vMerge w:val="continue"/>
            <w:vAlign w:val="center"/>
          </w:tcPr>
          <w:p w14:paraId="2858AC6C">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067" w:type="dxa"/>
            <w:vAlign w:val="center"/>
          </w:tcPr>
          <w:p w14:paraId="0B538628">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企业</w:t>
            </w:r>
          </w:p>
          <w:p w14:paraId="3DF48865">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实力</w:t>
            </w:r>
          </w:p>
          <w:p w14:paraId="36B25470">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7分</w:t>
            </w:r>
            <w:r>
              <w:rPr>
                <w:rFonts w:hint="eastAsia" w:ascii="微软雅黑" w:hAnsi="微软雅黑" w:eastAsia="微软雅黑" w:cs="微软雅黑"/>
                <w:color w:val="auto"/>
                <w:sz w:val="21"/>
                <w:szCs w:val="21"/>
                <w:highlight w:val="none"/>
              </w:rPr>
              <w:t>）</w:t>
            </w:r>
          </w:p>
        </w:tc>
        <w:tc>
          <w:tcPr>
            <w:tcW w:w="4536" w:type="dxa"/>
            <w:vAlign w:val="center"/>
          </w:tcPr>
          <w:p w14:paraId="265D6663">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1.供应商具备中国设备维修安装企业能力等级证书（制冷空调）D类Ⅰ级的得</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分，Ⅱ级的得</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分，Ⅲ级的得</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 xml:space="preserve">分，不满足或未提供的得0分。 </w:t>
            </w:r>
          </w:p>
        </w:tc>
        <w:tc>
          <w:tcPr>
            <w:tcW w:w="2127" w:type="dxa"/>
            <w:vAlign w:val="center"/>
          </w:tcPr>
          <w:p w14:paraId="1FBD33AB">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提供证书复印件以及证书查询网址截图，加盖供应商公章。</w:t>
            </w:r>
          </w:p>
        </w:tc>
      </w:tr>
      <w:tr w14:paraId="381E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613" w:type="dxa"/>
            <w:vMerge w:val="continue"/>
            <w:vAlign w:val="center"/>
          </w:tcPr>
          <w:p w14:paraId="431C5659">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155" w:type="dxa"/>
            <w:vMerge w:val="continue"/>
            <w:vAlign w:val="center"/>
          </w:tcPr>
          <w:p w14:paraId="47AF9574">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067" w:type="dxa"/>
            <w:vAlign w:val="center"/>
          </w:tcPr>
          <w:p w14:paraId="77C658D1">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业绩</w:t>
            </w:r>
          </w:p>
          <w:p w14:paraId="693AC730">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10分</w:t>
            </w:r>
            <w:r>
              <w:rPr>
                <w:rFonts w:hint="eastAsia" w:ascii="微软雅黑" w:hAnsi="微软雅黑" w:eastAsia="微软雅黑" w:cs="微软雅黑"/>
                <w:color w:val="auto"/>
                <w:sz w:val="21"/>
                <w:szCs w:val="21"/>
                <w:highlight w:val="none"/>
              </w:rPr>
              <w:t>）</w:t>
            </w:r>
          </w:p>
        </w:tc>
        <w:tc>
          <w:tcPr>
            <w:tcW w:w="4536" w:type="dxa"/>
            <w:vAlign w:val="center"/>
          </w:tcPr>
          <w:p w14:paraId="294D8694">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2023年1月1日至投标截止时间为止（以合同签订时间为准），供应商具有与本项目同类空调维保服务业绩（合同内容包含多联机、精密空调、分体空调）案例的，每提供1项业绩案例的得</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分，最多得</w:t>
            </w:r>
            <w:r>
              <w:rPr>
                <w:rFonts w:hint="eastAsia" w:ascii="微软雅黑" w:hAnsi="微软雅黑" w:eastAsia="微软雅黑"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rPr>
              <w:t>分</w:t>
            </w:r>
          </w:p>
        </w:tc>
        <w:tc>
          <w:tcPr>
            <w:tcW w:w="2127" w:type="dxa"/>
            <w:vAlign w:val="center"/>
          </w:tcPr>
          <w:p w14:paraId="3AA8E9A8">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提供项目合同以及合同对应的任意一期发票证明材料，加盖供应商公章。</w:t>
            </w:r>
          </w:p>
          <w:p w14:paraId="19603F53">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注：同一业主的多个业绩不重复得分；正在履约的和已完成项目业绩均予以认可。</w:t>
            </w:r>
          </w:p>
        </w:tc>
      </w:tr>
      <w:tr w14:paraId="5232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vAlign w:val="center"/>
          </w:tcPr>
          <w:p w14:paraId="64B3090B">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155" w:type="dxa"/>
            <w:vMerge w:val="continue"/>
            <w:vAlign w:val="center"/>
          </w:tcPr>
          <w:p w14:paraId="5141577A">
            <w:pPr>
              <w:kinsoku/>
              <w:overflowPunct/>
              <w:topLinePunct w:val="0"/>
              <w:autoSpaceDE/>
              <w:autoSpaceDN/>
              <w:bidi w:val="0"/>
              <w:snapToGrid/>
              <w:spacing w:line="240" w:lineRule="auto"/>
              <w:ind w:firstLine="28"/>
              <w:jc w:val="center"/>
              <w:rPr>
                <w:rFonts w:hint="eastAsia" w:ascii="微软雅黑" w:hAnsi="微软雅黑" w:eastAsia="微软雅黑" w:cs="微软雅黑"/>
                <w:color w:val="auto"/>
                <w:sz w:val="21"/>
                <w:szCs w:val="21"/>
                <w:highlight w:val="none"/>
              </w:rPr>
            </w:pPr>
          </w:p>
        </w:tc>
        <w:tc>
          <w:tcPr>
            <w:tcW w:w="1067" w:type="dxa"/>
            <w:vAlign w:val="center"/>
          </w:tcPr>
          <w:p w14:paraId="25B76A46">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维保辅助创新能力</w:t>
            </w:r>
          </w:p>
          <w:p w14:paraId="6FA7CA53">
            <w:pPr>
              <w:kinsoku/>
              <w:overflowPunct/>
              <w:topLinePunct w:val="0"/>
              <w:autoSpaceDE/>
              <w:autoSpaceDN/>
              <w:bidi w:val="0"/>
              <w:snapToGrid/>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（3分）</w:t>
            </w:r>
          </w:p>
        </w:tc>
        <w:tc>
          <w:tcPr>
            <w:tcW w:w="4536" w:type="dxa"/>
            <w:vAlign w:val="center"/>
          </w:tcPr>
          <w:p w14:paraId="0C1D834D">
            <w:pPr>
              <w:kinsoku/>
              <w:overflowPunct/>
              <w:topLinePunct w:val="0"/>
              <w:autoSpaceDE/>
              <w:autoSpaceDN/>
              <w:bidi w:val="0"/>
              <w:snapToGrid/>
              <w:spacing w:line="240" w:lineRule="auto"/>
              <w:rPr>
                <w:rFonts w:hint="eastAsia" w:ascii="微软雅黑" w:hAnsi="微软雅黑" w:eastAsia="微软雅黑" w:cs="微软雅黑"/>
                <w:color w:val="auto"/>
                <w:kern w:val="0"/>
                <w:highlight w:val="none"/>
              </w:rPr>
            </w:pPr>
            <w:r>
              <w:rPr>
                <w:rFonts w:hint="eastAsia" w:ascii="微软雅黑" w:hAnsi="微软雅黑" w:eastAsia="微软雅黑" w:cs="微软雅黑"/>
                <w:color w:val="auto"/>
                <w:sz w:val="21"/>
                <w:szCs w:val="21"/>
                <w:highlight w:val="none"/>
              </w:rPr>
              <w:t>供应商具有与本项目维保贴合的辅助技术支撑手段：（1）能够针对客户用于日常维保所涉及内部协调与沟通的客户管理系统；（2）用于提升空调维保人员工作计划执行效率的人员计划任务管理软件；（3）用于挖掘用户使用模式、能耗特征及场景需求，为客户提供精细化运营策略、能耗优化及差异化服务保障的用户习惯分析软件。每提供一个相关的软件著作证明材料的得1分，最多得3分。</w:t>
            </w:r>
          </w:p>
        </w:tc>
        <w:tc>
          <w:tcPr>
            <w:tcW w:w="2127" w:type="dxa"/>
            <w:vAlign w:val="center"/>
          </w:tcPr>
          <w:p w14:paraId="01B05B15">
            <w:pPr>
              <w:kinsoku/>
              <w:overflowPunct/>
              <w:topLinePunct w:val="0"/>
              <w:autoSpaceDE/>
              <w:autoSpaceDN/>
              <w:bidi w:val="0"/>
              <w:snapToGrid/>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提供由中华人民共和国国家版权局出具的计算机软件著作权登记证书复印件或扫描件，加盖供应商公章。</w:t>
            </w:r>
          </w:p>
        </w:tc>
      </w:tr>
    </w:tbl>
    <w:p w14:paraId="2C3ADF1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比选小组认为竞选人的报价明显低于其他通过符合性审查竞选人的报价，有可能影响产品质量或者不能诚信履约的，应当要求其在评标现场合理的时间内提供书面说明，必要时提交相关证明材料；竞选人不能证明其报价合理性的，比选小组应当将其作为无效投标处理。</w:t>
      </w:r>
    </w:p>
    <w:p w14:paraId="1B845B1A">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szCs w:val="24"/>
          <w:highlight w:val="none"/>
        </w:rPr>
      </w:pPr>
      <w:bookmarkStart w:id="55" w:name="_Toc8429"/>
      <w:r>
        <w:rPr>
          <w:rFonts w:hint="eastAsia" w:ascii="微软雅黑" w:hAnsi="微软雅黑" w:eastAsia="微软雅黑" w:cs="微软雅黑"/>
          <w:b/>
          <w:color w:val="auto"/>
          <w:sz w:val="24"/>
          <w:szCs w:val="24"/>
          <w:highlight w:val="none"/>
        </w:rPr>
        <w:t>四、无效投标条款</w:t>
      </w:r>
      <w:bookmarkEnd w:id="55"/>
    </w:p>
    <w:p w14:paraId="48D9C28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竞选人或其竞选文件出现下列情况之一者，应为无效投标：</w:t>
      </w:r>
    </w:p>
    <w:p w14:paraId="0FDB9FED">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（一）未按照比选文件的规定提交投标保证金的；</w:t>
      </w:r>
    </w:p>
    <w:p w14:paraId="69C5DA3E">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（二）竞选文件未按比选文件要求签署、盖章的；</w:t>
      </w:r>
    </w:p>
    <w:p w14:paraId="48A7F0B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（三）不具备比选文件中规定的资格要求的；</w:t>
      </w:r>
    </w:p>
    <w:p w14:paraId="2CACE80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（四）报价超过比选文件中规定的预算金额或者最高限价的；</w:t>
      </w:r>
    </w:p>
    <w:p w14:paraId="7F5D247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（五）竞选文件含有比选人不能接受的附加条件的；</w:t>
      </w:r>
    </w:p>
    <w:p w14:paraId="0949676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（六）竞选人串通投标的；</w:t>
      </w:r>
    </w:p>
    <w:p w14:paraId="1E4B36C8">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（七）竞选人以联合体形式参与投标的；</w:t>
      </w:r>
    </w:p>
    <w:p w14:paraId="181B066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（八）竞选人进行合同分包的；</w:t>
      </w:r>
    </w:p>
    <w:p w14:paraId="47001F8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（九）竞选人</w:t>
      </w:r>
      <w:r>
        <w:rPr>
          <w:rFonts w:hint="eastAsia" w:ascii="微软雅黑" w:hAnsi="微软雅黑" w:eastAsia="微软雅黑" w:cs="微软雅黑"/>
          <w:color w:val="auto"/>
          <w:sz w:val="24"/>
          <w:szCs w:val="24"/>
          <w:highlight w:val="none"/>
        </w:rPr>
        <w:t>需在响应文件中提供公司股权关系、法定代表人控股的其他公司、参与项目组成员姓名、联系方式，以及其他能够体现公司之间关联关系的资料，并加盖</w:t>
      </w:r>
      <w:r>
        <w:rPr>
          <w:rFonts w:hint="eastAsia" w:ascii="微软雅黑" w:hAnsi="微软雅黑" w:eastAsia="微软雅黑" w:cs="微软雅黑"/>
          <w:color w:val="auto"/>
          <w:sz w:val="24"/>
          <w:szCs w:val="24"/>
          <w:highlight w:val="none"/>
          <w:lang w:eastAsia="zh-CN"/>
        </w:rPr>
        <w:t>竞选人</w:t>
      </w:r>
      <w:r>
        <w:rPr>
          <w:rFonts w:hint="eastAsia" w:ascii="微软雅黑" w:hAnsi="微软雅黑" w:eastAsia="微软雅黑" w:cs="微软雅黑"/>
          <w:color w:val="auto"/>
          <w:sz w:val="24"/>
          <w:szCs w:val="24"/>
          <w:highlight w:val="none"/>
        </w:rPr>
        <w:t>公章，无上述材料的视为无效响应。（关联关系表格式详见第七篇）</w:t>
      </w:r>
    </w:p>
    <w:p w14:paraId="2E1D1659">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十</w:t>
      </w:r>
      <w:r>
        <w:rPr>
          <w:rFonts w:hint="eastAsia" w:ascii="微软雅黑" w:hAnsi="微软雅黑" w:eastAsia="微软雅黑" w:cs="微软雅黑"/>
          <w:color w:val="auto"/>
          <w:sz w:val="24"/>
          <w:szCs w:val="24"/>
          <w:highlight w:val="none"/>
        </w:rPr>
        <w:t>）法律、法规和比选文件规定的其他无效情形。</w:t>
      </w:r>
    </w:p>
    <w:p w14:paraId="0176B5E8">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szCs w:val="24"/>
          <w:highlight w:val="none"/>
        </w:rPr>
      </w:pPr>
      <w:bookmarkStart w:id="56" w:name="_Toc7410"/>
      <w:r>
        <w:rPr>
          <w:rFonts w:hint="eastAsia" w:ascii="微软雅黑" w:hAnsi="微软雅黑" w:eastAsia="微软雅黑" w:cs="微软雅黑"/>
          <w:b/>
          <w:color w:val="auto"/>
          <w:sz w:val="24"/>
          <w:szCs w:val="24"/>
          <w:highlight w:val="none"/>
        </w:rPr>
        <w:t>五、废标条款</w:t>
      </w:r>
      <w:bookmarkEnd w:id="56"/>
    </w:p>
    <w:p w14:paraId="0844E834">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在比选采购中，出现下列情形之一的，应予废标：</w:t>
      </w:r>
    </w:p>
    <w:p w14:paraId="1ADCF93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（一）符合专业条件的竞选人或者对比选文件作实质响应的竞选人不足3家的；</w:t>
      </w:r>
    </w:p>
    <w:p w14:paraId="289DED2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（二）竞选人的报价均超过了采购预算，比选人不能支付的；</w:t>
      </w:r>
    </w:p>
    <w:p w14:paraId="581F5EB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（三）出现影响采购公正的违法、违规行为的；</w:t>
      </w:r>
    </w:p>
    <w:p w14:paraId="3376CF4D">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（四）因重大变故，采购任务取消的。</w:t>
      </w:r>
    </w:p>
    <w:p w14:paraId="3F183EB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废标后，除采购任务取消情形外，应当重新组织采购。</w:t>
      </w:r>
    </w:p>
    <w:p w14:paraId="2A47BC65">
      <w:pPr>
        <w:pStyle w:val="2"/>
        <w:pageBreakBefore w:val="0"/>
        <w:kinsoku/>
        <w:wordWrap/>
        <w:overflowPunct/>
        <w:topLinePunct w:val="0"/>
        <w:autoSpaceDE/>
        <w:autoSpaceDN/>
        <w:bidi w:val="0"/>
        <w:spacing w:beforeLines="0" w:afterLines="0" w:line="240" w:lineRule="auto"/>
        <w:rPr>
          <w:rFonts w:hint="eastAsia" w:ascii="微软雅黑" w:hAnsi="微软雅黑" w:eastAsia="微软雅黑" w:cs="微软雅黑"/>
          <w:b/>
          <w:color w:val="auto"/>
          <w:highlight w:val="none"/>
        </w:rPr>
      </w:pPr>
      <w:r>
        <w:rPr>
          <w:rFonts w:hint="eastAsia" w:ascii="微软雅黑" w:hAnsi="微软雅黑" w:eastAsia="微软雅黑" w:cs="微软雅黑"/>
          <w:color w:val="auto"/>
          <w:sz w:val="28"/>
          <w:highlight w:val="none"/>
        </w:rPr>
        <w:br w:type="page"/>
      </w:r>
      <w:bookmarkStart w:id="57" w:name="_Toc18440"/>
      <w:r>
        <w:rPr>
          <w:rFonts w:hint="eastAsia" w:ascii="微软雅黑" w:hAnsi="微软雅黑" w:eastAsia="微软雅黑" w:cs="微软雅黑"/>
          <w:b/>
          <w:color w:val="auto"/>
          <w:highlight w:val="none"/>
        </w:rPr>
        <w:t>第五篇  竞选人须知</w:t>
      </w:r>
      <w:bookmarkEnd w:id="57"/>
    </w:p>
    <w:p w14:paraId="2CC139FE">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58" w:name="_Toc22403"/>
      <w:r>
        <w:rPr>
          <w:rFonts w:hint="eastAsia" w:ascii="微软雅黑" w:hAnsi="微软雅黑" w:eastAsia="微软雅黑" w:cs="微软雅黑"/>
          <w:b/>
          <w:color w:val="auto"/>
          <w:sz w:val="24"/>
          <w:highlight w:val="none"/>
        </w:rPr>
        <w:t>一、竞选人</w:t>
      </w:r>
      <w:bookmarkEnd w:id="58"/>
    </w:p>
    <w:p w14:paraId="247E173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（一）竞选人</w:t>
      </w:r>
    </w:p>
    <w:p w14:paraId="0CC0C234">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竞选人是指响应比选、参加投标竞争的法人、其他组织或者自然人。</w:t>
      </w:r>
    </w:p>
    <w:p w14:paraId="71702CA9">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（二）合格竞选人条件</w:t>
      </w:r>
    </w:p>
    <w:p w14:paraId="5C808FA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合格竞选人应完全符合比选文件第一篇中规定的竞选人资格条件，并对比选文件作出实质性响应。</w:t>
      </w:r>
    </w:p>
    <w:p w14:paraId="55252B6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（三）竞选人的风险</w:t>
      </w:r>
    </w:p>
    <w:p w14:paraId="66D26AF3">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竞选人没有按照比选文件要求提供全部资料，或者竞选人没有对比选文件在各方面作出实质性响应，可能导致投标被拒绝或评定为无效投标。</w:t>
      </w:r>
    </w:p>
    <w:p w14:paraId="7E4EC89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（四）法律责任</w:t>
      </w:r>
    </w:p>
    <w:p w14:paraId="2E03702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竞选人违反《中华人民共和国民法典》等相关规定，将按规定追究竞选人法律责任。</w:t>
      </w:r>
    </w:p>
    <w:p w14:paraId="0D157DEB">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59" w:name="_Toc27719"/>
      <w:r>
        <w:rPr>
          <w:rFonts w:hint="eastAsia" w:ascii="微软雅黑" w:hAnsi="微软雅黑" w:eastAsia="微软雅黑" w:cs="微软雅黑"/>
          <w:b/>
          <w:color w:val="auto"/>
          <w:sz w:val="24"/>
          <w:highlight w:val="none"/>
        </w:rPr>
        <w:t>二、比选文件</w:t>
      </w:r>
      <w:bookmarkEnd w:id="59"/>
    </w:p>
    <w:p w14:paraId="7C185B2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比选文件是竞选人编制竞选文件的依据，是比选小组评判依据和标准。比选文件也是比选人与中选候选人签订合同的基础。</w:t>
      </w:r>
    </w:p>
    <w:p w14:paraId="5B711FD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（一）比选文件由投标邀请书；项目服务需求；商务条款；竞选人须知；评标方法、评标标准、无效投标条款和废标条款；合同主要条款、合同范本；竞选文件格式等七部分组成。</w:t>
      </w:r>
    </w:p>
    <w:p w14:paraId="2823CDD2">
      <w:pPr>
        <w:pageBreakBefore w:val="0"/>
        <w:kinsoku/>
        <w:wordWrap/>
        <w:overflowPunct/>
        <w:topLinePunct w:val="0"/>
        <w:autoSpaceDE/>
        <w:autoSpaceDN/>
        <w:bidi w:val="0"/>
        <w:snapToGrid w:val="0"/>
        <w:spacing w:line="240" w:lineRule="auto"/>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（二）</w:t>
      </w:r>
      <w:r>
        <w:rPr>
          <w:rFonts w:hint="eastAsia" w:ascii="微软雅黑" w:hAnsi="微软雅黑" w:eastAsia="微软雅黑" w:cs="微软雅黑"/>
          <w:color w:val="auto"/>
          <w:sz w:val="24"/>
          <w:highlight w:val="none"/>
        </w:rPr>
        <w:t>采购代理机构对比选文件所作的一切有效的书面通知、修改及补充，都是比选文件不可分割的部分。</w:t>
      </w:r>
    </w:p>
    <w:p w14:paraId="2FA3EB98">
      <w:pPr>
        <w:pageBreakBefore w:val="0"/>
        <w:kinsoku/>
        <w:wordWrap/>
        <w:overflowPunct/>
        <w:topLinePunct w:val="0"/>
        <w:autoSpaceDE/>
        <w:autoSpaceDN/>
        <w:bidi w:val="0"/>
        <w:snapToGrid w:val="0"/>
        <w:spacing w:line="240" w:lineRule="auto"/>
        <w:ind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w:t>
      </w:r>
      <w:r>
        <w:rPr>
          <w:rFonts w:hint="eastAsia" w:ascii="微软雅黑" w:hAnsi="微软雅黑" w:eastAsia="微软雅黑" w:cs="微软雅黑"/>
          <w:color w:val="auto"/>
          <w:sz w:val="24"/>
          <w:szCs w:val="24"/>
          <w:highlight w:val="none"/>
        </w:rPr>
        <w:t>本项目的比选文件、澄清文件（如果有）一律在</w:t>
      </w:r>
      <w:r>
        <w:rPr>
          <w:rFonts w:hint="eastAsia" w:ascii="微软雅黑" w:hAnsi="微软雅黑" w:eastAsia="微软雅黑" w:cs="微软雅黑"/>
          <w:color w:val="auto"/>
          <w:sz w:val="24"/>
          <w:szCs w:val="24"/>
          <w:highlight w:val="none"/>
          <w:lang w:val="en-US" w:eastAsia="zh-CN"/>
        </w:rPr>
        <w:t>行采家</w:t>
      </w:r>
      <w:r>
        <w:rPr>
          <w:rFonts w:hint="eastAsia" w:ascii="微软雅黑" w:hAnsi="微软雅黑" w:eastAsia="微软雅黑" w:cs="微软雅黑"/>
          <w:color w:val="auto"/>
          <w:sz w:val="24"/>
          <w:szCs w:val="24"/>
          <w:highlight w:val="none"/>
        </w:rPr>
        <w:t>上发布，请各竞选人注意下载或到采购代理机构处领取；无论竞选人下载或领取与否，均视同竞选人已知晓本项目比选文件、澄清文件的内容。</w:t>
      </w:r>
    </w:p>
    <w:p w14:paraId="56F78B9D">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（四）采购代理机构对已发出的比选文件需要进行澄清或修改的，应以书面形式或公告形式通知所有比选文件收受人。该澄清或者修改的内容为比选文件的组成部分。</w:t>
      </w:r>
    </w:p>
    <w:p w14:paraId="68CC826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w:t>
      </w:r>
      <w:r>
        <w:rPr>
          <w:rFonts w:hint="eastAsia" w:ascii="微软雅黑" w:hAnsi="微软雅黑" w:eastAsia="微软雅黑" w:cs="微软雅黑"/>
          <w:color w:val="auto"/>
          <w:sz w:val="24"/>
          <w:szCs w:val="24"/>
          <w:highlight w:val="none"/>
        </w:rPr>
        <w:t>竞选人如对比选文件有疑问，必须以书面形式在提交竞选文件截止时间3个工作日前向比选人（或采购代理机构）要求澄清，比选人（或采购代理机构）可视具体情况做出处理或答复。如竞选人未提出疑问，视为完全理解并同意本比选文件。一经进入比选程序，即视为竞选人已详细阅读全部文件资料，完全理解比选文件所有条款内容并同意放弃对这方面有不明白及误解的权利。</w:t>
      </w:r>
    </w:p>
    <w:p w14:paraId="13DF9FD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p>
    <w:p w14:paraId="6A96920A">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0" w:name="_Toc17425"/>
      <w:r>
        <w:rPr>
          <w:rFonts w:hint="eastAsia" w:ascii="微软雅黑" w:hAnsi="微软雅黑" w:eastAsia="微软雅黑" w:cs="微软雅黑"/>
          <w:b/>
          <w:color w:val="auto"/>
          <w:sz w:val="24"/>
          <w:highlight w:val="none"/>
        </w:rPr>
        <w:t>三、竞选文件</w:t>
      </w:r>
      <w:bookmarkEnd w:id="60"/>
    </w:p>
    <w:p w14:paraId="3741DB65">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竞选人应当按照比选文件的要求编制竞选文件，并对比选文件提出的要求和条件作出实质性响应，竞选文件原则上采用软面订本，同时应编制完整的页码、目录。</w:t>
      </w:r>
    </w:p>
    <w:p w14:paraId="3533AF2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（一）竞选文件组成</w:t>
      </w:r>
    </w:p>
    <w:p w14:paraId="2049428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文件由第七篇“竞选文件格式”规定的部分和竞选人所作的一切有效补充、修改和承诺等文件组成，竞选人应按照第七篇“竞选文件格式”规定的目录顺序组织编写和装订，否则有可能影响评委对竞选文件的评审。</w:t>
      </w:r>
    </w:p>
    <w:p w14:paraId="1450D11D">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（三）投标有效期</w:t>
      </w:r>
    </w:p>
    <w:p w14:paraId="717987A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投标有效期为投标截止时间起90天。</w:t>
      </w:r>
    </w:p>
    <w:p w14:paraId="60ED5491">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（四）投标保证金</w:t>
      </w:r>
    </w:p>
    <w:p w14:paraId="17720927">
      <w:pPr>
        <w:pageBreakBefore w:val="0"/>
        <w:tabs>
          <w:tab w:val="left" w:pos="0"/>
        </w:tabs>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1.竞选人应在投标截止时间前，按比选文件第一篇规定交纳投标保证金。</w:t>
      </w:r>
    </w:p>
    <w:p w14:paraId="56742297">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2.投标保证金为投标的有效约束条件。</w:t>
      </w:r>
    </w:p>
    <w:p w14:paraId="52F2747C">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3.投标保证金的有效期限在投标有效期过后三十天继续有效。</w:t>
      </w:r>
    </w:p>
    <w:p w14:paraId="18D35457">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4.投标保证金币种应与竞选报价币种相同。</w:t>
      </w:r>
    </w:p>
    <w:p w14:paraId="79B20877">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5.《成交通知书》发出后，五个工作日内退还未中选候选人的投标保证金；在采购合同签订后，五个工作日退还中选候选人的投标保证金。</w:t>
      </w:r>
    </w:p>
    <w:p w14:paraId="10E029DF">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6.竞选人有下列情形之一的，比选人或者采购代理机构可以不退还投标保证金：</w:t>
      </w:r>
    </w:p>
    <w:p w14:paraId="7DFB950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6.1竞选人在投标有效期撤回竞选文件的；</w:t>
      </w:r>
    </w:p>
    <w:p w14:paraId="459D1729">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6.2竞选人未按规定提交履约保证金的；</w:t>
      </w:r>
    </w:p>
    <w:p w14:paraId="07DC728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6.3竞选人在投标过程中弄虚作假，提供虚假材料的；</w:t>
      </w:r>
    </w:p>
    <w:p w14:paraId="01DAAAC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6.4中选候选人无正当理由不与比选人签订合同的；</w:t>
      </w:r>
    </w:p>
    <w:p w14:paraId="1A97300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6.5中选候选人将成交项目转让给他人或者在竞选文件中未说明且未经比选人同意，将成交项目分包给他人的；</w:t>
      </w:r>
    </w:p>
    <w:p w14:paraId="0D4E1F91">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6.6中选候选人拒绝履行合同义务的；</w:t>
      </w:r>
    </w:p>
    <w:p w14:paraId="39E7C72E">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6.7其他严重扰乱招投标程序的。</w:t>
      </w:r>
    </w:p>
    <w:p w14:paraId="4E73DC0C">
      <w:pPr>
        <w:pageBreakBefore w:val="0"/>
        <w:kinsoku/>
        <w:wordWrap/>
        <w:overflowPunct/>
        <w:topLinePunct w:val="0"/>
        <w:autoSpaceDE/>
        <w:autoSpaceDN/>
        <w:bidi w:val="0"/>
        <w:snapToGrid w:val="0"/>
        <w:spacing w:line="240" w:lineRule="auto"/>
        <w:ind w:firstLine="470" w:firstLineChars="196"/>
        <w:jc w:val="lef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（五）竞选文件的份数和签署</w:t>
      </w:r>
    </w:p>
    <w:p w14:paraId="3507F410">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竞选文件一式四份，其中正本一份，副本二份，电子文档一份（电子文档内容应与竞选文件正本一致，推荐采用光盘或U盘为文件载体）。每套纸质竞选文件须在封面清楚地标明“正本”、“副本”或“电子文档”，副本应为正本的完整复印件，副本与正本不一致时以正本为准。竞选文件电子文档与纸质竞选文件正本不一致时，以纸质竞选文件正本为准。</w:t>
      </w:r>
    </w:p>
    <w:p w14:paraId="701E97D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2.在竞选文件正本中，比选文件第七篇竞选文件格式中规定签字、盖章的地方必须按其规定签字、盖章。</w:t>
      </w:r>
    </w:p>
    <w:p w14:paraId="34A7988A">
      <w:pPr>
        <w:pageBreakBefore w:val="0"/>
        <w:tabs>
          <w:tab w:val="left" w:pos="0"/>
        </w:tabs>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3.若竞选人对竞选文件的错处作必要修改，则应在修改处加盖竞选人公章或由</w:t>
      </w:r>
      <w:r>
        <w:rPr>
          <w:rFonts w:hint="eastAsia" w:ascii="微软雅黑" w:hAnsi="微软雅黑" w:eastAsia="微软雅黑" w:cs="微软雅黑"/>
          <w:color w:val="auto"/>
          <w:sz w:val="24"/>
          <w:szCs w:val="28"/>
          <w:highlight w:val="none"/>
        </w:rPr>
        <w:t>法定代表人（或其授权代表）或自然人</w:t>
      </w:r>
      <w:r>
        <w:rPr>
          <w:rFonts w:hint="eastAsia" w:ascii="微软雅黑" w:hAnsi="微软雅黑" w:eastAsia="微软雅黑" w:cs="微软雅黑"/>
          <w:color w:val="auto"/>
          <w:sz w:val="24"/>
          <w:highlight w:val="none"/>
        </w:rPr>
        <w:t>签字确认。</w:t>
      </w:r>
    </w:p>
    <w:p w14:paraId="064D012F">
      <w:pPr>
        <w:pageBreakBefore w:val="0"/>
        <w:kinsoku/>
        <w:wordWrap/>
        <w:overflowPunct/>
        <w:topLinePunct w:val="0"/>
        <w:autoSpaceDE/>
        <w:autoSpaceDN/>
        <w:bidi w:val="0"/>
        <w:snapToGrid w:val="0"/>
        <w:spacing w:line="240" w:lineRule="auto"/>
        <w:ind w:firstLine="470" w:firstLineChars="196"/>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highlight w:val="none"/>
        </w:rPr>
        <w:t>4.电报、电话、传真形式的竞选文件概不接受。</w:t>
      </w:r>
    </w:p>
    <w:p w14:paraId="5DF9BF18">
      <w:pPr>
        <w:pageBreakBefore w:val="0"/>
        <w:kinsoku/>
        <w:wordWrap/>
        <w:overflowPunct/>
        <w:topLinePunct w:val="0"/>
        <w:autoSpaceDE/>
        <w:autoSpaceDN/>
        <w:bidi w:val="0"/>
        <w:snapToGrid w:val="0"/>
        <w:spacing w:line="240" w:lineRule="auto"/>
        <w:ind w:firstLine="470" w:firstLineChars="196"/>
        <w:jc w:val="lef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（六）竞选报价</w:t>
      </w:r>
    </w:p>
    <w:p w14:paraId="4251F785">
      <w:pPr>
        <w:pageBreakBefore w:val="0"/>
        <w:kinsoku/>
        <w:wordWrap/>
        <w:overflowPunct/>
        <w:topLinePunct w:val="0"/>
        <w:autoSpaceDE/>
        <w:autoSpaceDN/>
        <w:bidi w:val="0"/>
        <w:snapToGrid w:val="0"/>
        <w:spacing w:line="240" w:lineRule="auto"/>
        <w:ind w:firstLine="470" w:firstLineChars="196"/>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Cs/>
          <w:color w:val="auto"/>
          <w:sz w:val="24"/>
          <w:highlight w:val="none"/>
        </w:rPr>
        <w:t>1.竞选人应严格按照“竞选文件格式”中“比选一览表”和“分项报价明细表”</w:t>
      </w:r>
      <w:r>
        <w:rPr>
          <w:rFonts w:hint="eastAsia" w:ascii="微软雅黑" w:hAnsi="微软雅黑" w:eastAsia="微软雅黑" w:cs="微软雅黑"/>
          <w:color w:val="auto"/>
          <w:sz w:val="24"/>
          <w:highlight w:val="none"/>
        </w:rPr>
        <w:t>的格式填写报价。</w:t>
      </w:r>
    </w:p>
    <w:p w14:paraId="4D9F19AF">
      <w:pPr>
        <w:pageBreakBefore w:val="0"/>
        <w:kinsoku/>
        <w:wordWrap/>
        <w:overflowPunct/>
        <w:topLinePunct w:val="0"/>
        <w:autoSpaceDE/>
        <w:autoSpaceDN/>
        <w:bidi w:val="0"/>
        <w:snapToGrid w:val="0"/>
        <w:spacing w:line="240" w:lineRule="auto"/>
        <w:ind w:left="3" w:leftChars="1"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2.竞选人的报价为一次性报价，即在投标有效期内投标价格固定不变。</w:t>
      </w:r>
    </w:p>
    <w:p w14:paraId="137D189E">
      <w:pPr>
        <w:pageBreakBefore w:val="0"/>
        <w:kinsoku/>
        <w:wordWrap/>
        <w:overflowPunct/>
        <w:topLinePunct w:val="0"/>
        <w:autoSpaceDE/>
        <w:autoSpaceDN/>
        <w:bidi w:val="0"/>
        <w:snapToGrid w:val="0"/>
        <w:spacing w:line="240" w:lineRule="auto"/>
        <w:ind w:left="3" w:leftChars="1"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3.本项目只接受一个竞选报价，有选择的或有条件的报价将不予接受。</w:t>
      </w:r>
    </w:p>
    <w:p w14:paraId="0EEA7D2A">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（七）修正错误</w:t>
      </w:r>
    </w:p>
    <w:p w14:paraId="50751B79">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若竞选文件出现计算或表达上的错误，修正错误的原则如下：</w:t>
      </w:r>
    </w:p>
    <w:p w14:paraId="7B2135E3">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1.竞选文件中比选一览表（报价表）内容与竞选文件中相应内容不一致的，以比选一览表（报价表）为准；</w:t>
      </w:r>
    </w:p>
    <w:p w14:paraId="6436D8C7">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2.大写金额和小写金额不一致的，以大写金额为准；</w:t>
      </w:r>
    </w:p>
    <w:p w14:paraId="0E677008">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3.单价金额小数点或者百分比有明显错位的，以比选一览表的总价为准，并修改单价；</w:t>
      </w:r>
    </w:p>
    <w:p w14:paraId="30461013">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4.总价金额与按单价汇总金额不一致的，以单价金额计算结果为准。</w:t>
      </w:r>
    </w:p>
    <w:p w14:paraId="2F951318">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比选小组按上述修正错误的原则及方法调整或修正竞选人竞选报价，若同时出现两种以上不一致的，按照前款规定的顺序修正，竞选人同意并签字确认后，调整后的竞选报价对竞选人具有约束作用。如果竞选人不接受修正后的报价，则其投标将作为无效投标处理。</w:t>
      </w:r>
    </w:p>
    <w:p w14:paraId="427B7015">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（八）竞选文件的递交</w:t>
      </w:r>
    </w:p>
    <w:p w14:paraId="400C3A84">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竞选文件的正本、副本以及电子文档均应密封送达投标地点，应在封套上注明项目名称、竞选人名称。若正本、副本以及电子文档分别进行密封的，还应在封套上注明“正本”、“副本”、“电子文档”字样。</w:t>
      </w:r>
    </w:p>
    <w:p w14:paraId="2852CC78">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1" w:name="_Toc7016"/>
      <w:r>
        <w:rPr>
          <w:rFonts w:hint="eastAsia" w:ascii="微软雅黑" w:hAnsi="微软雅黑" w:eastAsia="微软雅黑" w:cs="微软雅黑"/>
          <w:b/>
          <w:color w:val="auto"/>
          <w:sz w:val="24"/>
          <w:highlight w:val="none"/>
        </w:rPr>
        <w:t>四、比选</w:t>
      </w:r>
      <w:bookmarkEnd w:id="61"/>
    </w:p>
    <w:p w14:paraId="6E9287A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（一）比选应当在比选文件中“投标邀请书”确定的时间和地点公开进行。</w:t>
      </w:r>
    </w:p>
    <w:p w14:paraId="329DB3A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（二）采购代理机构可视采购具体情况，延长投标截止时间和比选时间，并将变更时间书面通知所有比选文件收受人。</w:t>
      </w:r>
    </w:p>
    <w:p w14:paraId="4AC75C61">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（三）比选由比选人或采购代理机构主持，邀请竞选人和有关监督部门代表参加,有关监督部门可视情况派员现场监督。</w:t>
      </w:r>
    </w:p>
    <w:p w14:paraId="577EFB6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比选时，由竞选人或者其推选的代表检查竞选文件的密封情况；经确认无误后，由比选人或者采购代理机构工作人员当众拆封，宣布竞选人名称、投标价格和《比选一览表》规定的需要宣布的其他内容。竞选人不足二家的，不得比选。</w:t>
      </w:r>
    </w:p>
    <w:p w14:paraId="41E1491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（五）未宣读的投标价格、价格折扣和比选文件允许提供的备选投标方案等实质性内容等，评标时不予承认。</w:t>
      </w:r>
    </w:p>
    <w:p w14:paraId="64CB0C63">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（六）比选过程应由比选人或采购代理机构指定专人负责记录，并存档备查。</w:t>
      </w:r>
    </w:p>
    <w:p w14:paraId="33AF6E5E">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（七）竞选人未参加比选的，视同认可比选结果。</w:t>
      </w:r>
    </w:p>
    <w:p w14:paraId="2B3C15BB">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2" w:name="_Toc22130"/>
      <w:r>
        <w:rPr>
          <w:rFonts w:hint="eastAsia" w:ascii="微软雅黑" w:hAnsi="微软雅黑" w:eastAsia="微软雅黑" w:cs="微软雅黑"/>
          <w:b/>
          <w:color w:val="auto"/>
          <w:sz w:val="24"/>
          <w:highlight w:val="none"/>
        </w:rPr>
        <w:t>五、评标</w:t>
      </w:r>
      <w:bookmarkEnd w:id="62"/>
    </w:p>
    <w:p w14:paraId="2F513E78">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见第四篇“评标”内容。</w:t>
      </w:r>
    </w:p>
    <w:p w14:paraId="6A25FB17">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3" w:name="_Toc2708"/>
      <w:r>
        <w:rPr>
          <w:rFonts w:hint="eastAsia" w:ascii="微软雅黑" w:hAnsi="微软雅黑" w:eastAsia="微软雅黑" w:cs="微软雅黑"/>
          <w:b/>
          <w:color w:val="auto"/>
          <w:sz w:val="24"/>
          <w:highlight w:val="none"/>
        </w:rPr>
        <w:t>六、定标</w:t>
      </w:r>
      <w:bookmarkEnd w:id="63"/>
    </w:p>
    <w:p w14:paraId="2B9924B3">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（一）定标原则</w:t>
      </w:r>
    </w:p>
    <w:p w14:paraId="59ED02F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比选人或其授权的比选小组应按照评标报告中推荐的中选候选人排名顺序确定中选候选人。</w:t>
      </w:r>
    </w:p>
    <w:p w14:paraId="575A8BDD">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（二）定标程序</w:t>
      </w:r>
    </w:p>
    <w:p w14:paraId="47E9C1FB">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1.采购代理机构应当在评标结束后2个工作日内将评标报告送比选人。</w:t>
      </w:r>
    </w:p>
    <w:p w14:paraId="2651044B">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2.比选人应当自收到评标报告之日起5个工作日内按评标报告推荐的中选候选人顺序确定中选候选人。</w:t>
      </w:r>
    </w:p>
    <w:p w14:paraId="650909E2">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中选候选人并列的，由比选人或者比选人委托比选小组按照</w:t>
      </w:r>
      <w:r>
        <w:rPr>
          <w:rFonts w:hint="eastAsia" w:ascii="微软雅黑" w:hAnsi="微软雅黑" w:eastAsia="微软雅黑" w:cs="微软雅黑"/>
          <w:color w:val="auto"/>
          <w:sz w:val="24"/>
          <w:szCs w:val="24"/>
          <w:highlight w:val="none"/>
        </w:rPr>
        <w:t>技术需求的优劣顺序排列；技术需求优劣顺序相同的，按商务条款的优劣顺序排列</w:t>
      </w:r>
      <w:r>
        <w:rPr>
          <w:rFonts w:hint="eastAsia" w:ascii="微软雅黑" w:hAnsi="微软雅黑" w:eastAsia="微软雅黑" w:cs="微软雅黑"/>
          <w:color w:val="auto"/>
          <w:sz w:val="24"/>
          <w:highlight w:val="none"/>
        </w:rPr>
        <w:t>确定中选候选人。</w:t>
      </w:r>
    </w:p>
    <w:p w14:paraId="7D1C6F82">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3.比选人或者采购代理机构应当自中选候选人确定之日起2个工作日内，在</w:t>
      </w:r>
      <w:r>
        <w:rPr>
          <w:rFonts w:hint="eastAsia" w:ascii="微软雅黑" w:hAnsi="微软雅黑" w:eastAsia="微软雅黑" w:cs="微软雅黑"/>
          <w:color w:val="auto"/>
          <w:sz w:val="24"/>
          <w:highlight w:val="none"/>
          <w:lang w:val="en-US" w:eastAsia="zh-CN"/>
        </w:rPr>
        <w:t>行采家</w:t>
      </w:r>
      <w:r>
        <w:rPr>
          <w:rFonts w:hint="eastAsia" w:ascii="微软雅黑" w:hAnsi="微软雅黑" w:eastAsia="微软雅黑" w:cs="微软雅黑"/>
          <w:color w:val="auto"/>
          <w:sz w:val="24"/>
          <w:highlight w:val="none"/>
        </w:rPr>
        <w:t>网上公告成交结果。成交公告期限为1个工作日。</w:t>
      </w:r>
    </w:p>
    <w:p w14:paraId="0D503DB3">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4.中选候选人变更</w:t>
      </w:r>
    </w:p>
    <w:p w14:paraId="60C602B9">
      <w:pPr>
        <w:pStyle w:val="11"/>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中选候选人拒绝与比选人签订合同的，比选人可以按照评标报告推荐的中选候选人顺序，确定排名下一位的候选人为中选候选人，也可以重新开展采购活动。</w:t>
      </w:r>
    </w:p>
    <w:p w14:paraId="01B1334C">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4" w:name="_Toc1305"/>
      <w:r>
        <w:rPr>
          <w:rFonts w:hint="eastAsia" w:ascii="微软雅黑" w:hAnsi="微软雅黑" w:eastAsia="微软雅黑" w:cs="微软雅黑"/>
          <w:b/>
          <w:color w:val="auto"/>
          <w:sz w:val="24"/>
          <w:highlight w:val="none"/>
        </w:rPr>
        <w:t>七、成交</w:t>
      </w:r>
      <w:bookmarkEnd w:id="64"/>
    </w:p>
    <w:p w14:paraId="6E3C4335">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（一）比选人依法确定中选候选人后，采购代理机构以书面形式发出成交通知书。</w:t>
      </w:r>
    </w:p>
    <w:p w14:paraId="6A009737">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（二）成交通知书发出后，比选人改变成交结果，或者中选候选人放弃成交，应当承担相应的法律责任。</w:t>
      </w:r>
    </w:p>
    <w:p w14:paraId="558B0A43">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5" w:name="_Toc15548"/>
      <w:r>
        <w:rPr>
          <w:rFonts w:hint="eastAsia" w:ascii="微软雅黑" w:hAnsi="微软雅黑" w:eastAsia="微软雅黑" w:cs="微软雅黑"/>
          <w:b/>
          <w:color w:val="auto"/>
          <w:sz w:val="24"/>
          <w:highlight w:val="none"/>
        </w:rPr>
        <w:t>八、询问、质疑和投诉</w:t>
      </w:r>
      <w:bookmarkEnd w:id="65"/>
    </w:p>
    <w:p w14:paraId="5E9B698B">
      <w:pPr>
        <w:pageBreakBefore w:val="0"/>
        <w:kinsoku/>
        <w:wordWrap/>
        <w:overflowPunct/>
        <w:topLinePunct w:val="0"/>
        <w:autoSpaceDE/>
        <w:autoSpaceDN/>
        <w:bidi w:val="0"/>
        <w:spacing w:line="240" w:lineRule="auto"/>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（一）询问</w:t>
      </w:r>
    </w:p>
    <w:p w14:paraId="2BC1B4ED">
      <w:pPr>
        <w:pageBreakBefore w:val="0"/>
        <w:kinsoku/>
        <w:wordWrap/>
        <w:overflowPunct/>
        <w:topLinePunct w:val="0"/>
        <w:autoSpaceDE/>
        <w:autoSpaceDN/>
        <w:bidi w:val="0"/>
        <w:spacing w:line="240" w:lineRule="auto"/>
        <w:ind w:right="12" w:firstLine="4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比选人或者采购代理机构应当在3个工作日内对竞选人依法提出的询问作出答复。竞选人询问可以是口头或书面形式。</w:t>
      </w:r>
    </w:p>
    <w:p w14:paraId="3E16B3AF">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w:t>
      </w:r>
    </w:p>
    <w:p w14:paraId="19DBD10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竞选人认为采购文件、采购过程和成交结果使自己的权益受到伤害的，可向比选人或采购代理机构以书面形式提出质疑。</w:t>
      </w:r>
    </w:p>
    <w:p w14:paraId="1627F776">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提出质疑的应当是参与所质疑项目采购活动的竞选人。 </w:t>
      </w:r>
    </w:p>
    <w:p w14:paraId="05515B1D">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2.质疑答复</w:t>
      </w:r>
    </w:p>
    <w:p w14:paraId="71453C98">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比选人、采购代理机构应当在收到竞选人的书面质疑后七个工作日内作出答复。</w:t>
      </w:r>
    </w:p>
    <w:p w14:paraId="4A2A7D82">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3.在质疑期内一次性提出针对同一采购程序环节的质疑。</w:t>
      </w:r>
    </w:p>
    <w:p w14:paraId="1C644EDC">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3.2质疑函范本可在财政部门户网站和中国政府采购网下载。</w:t>
      </w:r>
    </w:p>
    <w:p w14:paraId="1AD5120A">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（三）投诉</w:t>
      </w:r>
    </w:p>
    <w:p w14:paraId="4C2FB964">
      <w:pPr>
        <w:pageBreakBefore w:val="0"/>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若竞选人对质疑回复不满，可选择相关部门进行投诉。</w:t>
      </w:r>
    </w:p>
    <w:p w14:paraId="04C22043">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6" w:name="_Toc7278"/>
      <w:r>
        <w:rPr>
          <w:rFonts w:hint="eastAsia" w:ascii="微软雅黑" w:hAnsi="微软雅黑" w:eastAsia="微软雅黑" w:cs="微软雅黑"/>
          <w:b/>
          <w:color w:val="auto"/>
          <w:sz w:val="24"/>
          <w:highlight w:val="none"/>
        </w:rPr>
        <w:t>九、代理服务费</w:t>
      </w:r>
      <w:bookmarkEnd w:id="66"/>
    </w:p>
    <w:p w14:paraId="4491FDE8">
      <w:pPr>
        <w:pageBreakBefore w:val="0"/>
        <w:kinsoku/>
        <w:wordWrap/>
        <w:overflowPunct/>
        <w:topLinePunct w:val="0"/>
        <w:autoSpaceDE/>
        <w:autoSpaceDN/>
        <w:bidi w:val="0"/>
        <w:spacing w:line="240" w:lineRule="auto"/>
        <w:ind w:firstLine="480" w:firstLineChars="200"/>
        <w:textAlignment w:val="auto"/>
        <w:rPr>
          <w:rFonts w:hint="eastAsia" w:ascii="微软雅黑" w:hAnsi="微软雅黑" w:eastAsia="微软雅黑" w:cs="微软雅黑"/>
          <w:color w:val="auto"/>
          <w:sz w:val="24"/>
          <w:highlight w:val="none"/>
          <w:lang w:eastAsia="zh-CN"/>
        </w:rPr>
      </w:pPr>
      <w:bookmarkStart w:id="67" w:name="OLE_LINK8"/>
      <w:bookmarkStart w:id="68" w:name="OLE_LINK7"/>
      <w:r>
        <w:rPr>
          <w:rFonts w:hint="eastAsia" w:ascii="微软雅黑" w:hAnsi="微软雅黑" w:eastAsia="微软雅黑" w:cs="微软雅黑"/>
          <w:color w:val="auto"/>
          <w:sz w:val="24"/>
          <w:highlight w:val="none"/>
        </w:rPr>
        <w:t>（一）</w:t>
      </w:r>
      <w:r>
        <w:rPr>
          <w:rFonts w:hint="eastAsia" w:ascii="微软雅黑" w:hAnsi="微软雅黑" w:eastAsia="微软雅黑" w:cs="微软雅黑"/>
          <w:color w:val="auto"/>
          <w:sz w:val="24"/>
          <w:highlight w:val="none"/>
          <w:lang w:eastAsia="zh-CN"/>
        </w:rPr>
        <w:t>竞选人成交后</w:t>
      </w:r>
      <w:r>
        <w:rPr>
          <w:rFonts w:hint="eastAsia" w:ascii="微软雅黑" w:hAnsi="微软雅黑" w:eastAsia="微软雅黑" w:cs="微软雅黑"/>
          <w:color w:val="auto"/>
          <w:sz w:val="24"/>
          <w:highlight w:val="none"/>
          <w:lang w:val="en-US" w:eastAsia="zh-CN"/>
        </w:rPr>
        <w:t>7日内</w:t>
      </w:r>
      <w:r>
        <w:rPr>
          <w:rFonts w:hint="eastAsia" w:ascii="微软雅黑" w:hAnsi="微软雅黑" w:eastAsia="微软雅黑" w:cs="微软雅黑"/>
          <w:color w:val="auto"/>
          <w:sz w:val="24"/>
          <w:highlight w:val="none"/>
          <w:lang w:eastAsia="zh-CN"/>
        </w:rPr>
        <w:t>向采购代理机构缴纳采购代理服务费，采购代理服务费的收取标准按照以下标准执行（不足</w:t>
      </w:r>
      <w:r>
        <w:rPr>
          <w:rFonts w:hint="eastAsia" w:ascii="微软雅黑" w:hAnsi="微软雅黑" w:eastAsia="微软雅黑" w:cs="微软雅黑"/>
          <w:color w:val="auto"/>
          <w:sz w:val="24"/>
          <w:highlight w:val="none"/>
          <w:lang w:val="en-US" w:eastAsia="zh-CN"/>
        </w:rPr>
        <w:t>3500元按3500元收取</w:t>
      </w:r>
      <w:r>
        <w:rPr>
          <w:rFonts w:hint="eastAsia" w:ascii="微软雅黑" w:hAnsi="微软雅黑" w:eastAsia="微软雅黑" w:cs="微软雅黑"/>
          <w:color w:val="auto"/>
          <w:sz w:val="24"/>
          <w:highlight w:val="none"/>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0962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l2br w:val="single" w:color="auto" w:sz="4" w:space="0"/>
            </w:tcBorders>
          </w:tcPr>
          <w:p w14:paraId="19C182E4">
            <w:pPr>
              <w:pageBreakBefore w:val="0"/>
              <w:widowControl w:val="0"/>
              <w:kinsoku/>
              <w:wordWrap/>
              <w:overflowPunct/>
              <w:topLinePunct w:val="0"/>
              <w:autoSpaceDE/>
              <w:autoSpaceDN/>
              <w:bidi w:val="0"/>
              <w:spacing w:line="240" w:lineRule="auto"/>
              <w:ind w:firstLine="1681" w:firstLineChars="800"/>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lang w:val="en-US"/>
              </w:rPr>
              <mc:AlternateContent>
                <mc:Choice Requires="wps">
                  <w:drawing>
                    <wp:anchor distT="0" distB="0" distL="0" distR="0" simplePos="0" relativeHeight="251660288"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027"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9pt;margin-top:-0.5pt;height:0.05pt;width:0.05pt;z-index:251660288;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YPWAAAACAEAAA8AAAAAAAAAAQAgAAAAIgAAAGRycy9kb3ducmV2LnhtbFBLAQIUABQAAAAI&#10;AIdO4kCZbAo77wEAAOMDAAAOAAAAAAAAAAEAIAAAACUBAABkcnMvZTJvRG9jLnhtbFBLBQYAAAAA&#10;BgAGAFkBAACGBQAAAAA=&#10;">
                      <v:fill on="f" focussize="0,0"/>
                      <v:stroke color="#000000" joinstyle="round"/>
                      <v:imagedata o:title=""/>
                      <o:lock v:ext="edit" aspectratio="f"/>
                    </v:line>
                  </w:pict>
                </mc:Fallback>
              </mc:AlternateContent>
            </w:r>
            <w:r>
              <w:rPr>
                <w:rFonts w:hint="eastAsia" w:ascii="微软雅黑" w:hAnsi="微软雅黑" w:eastAsia="微软雅黑" w:cs="微软雅黑"/>
                <w:b/>
                <w:color w:val="auto"/>
                <w:sz w:val="21"/>
                <w:szCs w:val="21"/>
                <w:highlight w:val="none"/>
                <w:lang w:val="en-US" w:eastAsia="zh-CN"/>
              </w:rPr>
              <w:t>采购</w:t>
            </w:r>
            <w:r>
              <w:rPr>
                <w:rFonts w:hint="eastAsia" w:ascii="微软雅黑" w:hAnsi="微软雅黑" w:eastAsia="微软雅黑" w:cs="微软雅黑"/>
                <w:b/>
                <w:color w:val="auto"/>
                <w:sz w:val="21"/>
                <w:szCs w:val="21"/>
                <w:highlight w:val="none"/>
              </w:rPr>
              <w:t>类型</w:t>
            </w:r>
          </w:p>
          <w:p w14:paraId="25FBE474">
            <w:pPr>
              <w:pageBreakBefore w:val="0"/>
              <w:widowControl w:val="0"/>
              <w:kinsoku/>
              <w:wordWrap/>
              <w:overflowPunct/>
              <w:topLinePunct w:val="0"/>
              <w:autoSpaceDE/>
              <w:autoSpaceDN/>
              <w:bidi w:val="0"/>
              <w:spacing w:line="240" w:lineRule="auto"/>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lang w:val="en-US" w:eastAsia="zh-CN"/>
              </w:rPr>
              <w:t>成交金额</w:t>
            </w:r>
            <w:r>
              <w:rPr>
                <w:rFonts w:hint="eastAsia" w:ascii="微软雅黑" w:hAnsi="微软雅黑" w:eastAsia="微软雅黑" w:cs="微软雅黑"/>
                <w:b/>
                <w:color w:val="auto"/>
                <w:sz w:val="21"/>
                <w:szCs w:val="21"/>
                <w:highlight w:val="none"/>
              </w:rPr>
              <w:t>（万元）</w:t>
            </w:r>
          </w:p>
        </w:tc>
        <w:tc>
          <w:tcPr>
            <w:tcW w:w="2273" w:type="dxa"/>
            <w:vAlign w:val="center"/>
          </w:tcPr>
          <w:p w14:paraId="605C682E">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b/>
                <w:color w:val="auto"/>
                <w:sz w:val="21"/>
                <w:szCs w:val="21"/>
                <w:highlight w:val="none"/>
                <w:lang w:eastAsia="zh-CN"/>
              </w:rPr>
            </w:pPr>
            <w:r>
              <w:rPr>
                <w:rFonts w:hint="eastAsia" w:ascii="微软雅黑" w:hAnsi="微软雅黑" w:eastAsia="微软雅黑" w:cs="微软雅黑"/>
                <w:b/>
                <w:color w:val="auto"/>
                <w:sz w:val="21"/>
                <w:szCs w:val="21"/>
                <w:highlight w:val="none"/>
              </w:rPr>
              <w:t>货物</w:t>
            </w:r>
            <w:r>
              <w:rPr>
                <w:rFonts w:hint="eastAsia" w:ascii="微软雅黑" w:hAnsi="微软雅黑" w:eastAsia="微软雅黑" w:cs="微软雅黑"/>
                <w:b/>
                <w:color w:val="auto"/>
                <w:sz w:val="21"/>
                <w:szCs w:val="21"/>
                <w:highlight w:val="none"/>
                <w:lang w:val="en-US" w:eastAsia="zh-CN"/>
              </w:rPr>
              <w:t>采购</w:t>
            </w:r>
          </w:p>
        </w:tc>
        <w:tc>
          <w:tcPr>
            <w:tcW w:w="2273" w:type="dxa"/>
            <w:vAlign w:val="center"/>
          </w:tcPr>
          <w:p w14:paraId="17B9ED2D">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服务</w:t>
            </w:r>
            <w:r>
              <w:rPr>
                <w:rFonts w:hint="eastAsia" w:ascii="微软雅黑" w:hAnsi="微软雅黑" w:eastAsia="微软雅黑" w:cs="微软雅黑"/>
                <w:b/>
                <w:color w:val="auto"/>
                <w:sz w:val="21"/>
                <w:szCs w:val="21"/>
                <w:highlight w:val="none"/>
                <w:lang w:val="en-US" w:eastAsia="zh-CN"/>
              </w:rPr>
              <w:t>采购</w:t>
            </w:r>
          </w:p>
        </w:tc>
        <w:tc>
          <w:tcPr>
            <w:tcW w:w="2272" w:type="dxa"/>
            <w:vAlign w:val="center"/>
          </w:tcPr>
          <w:p w14:paraId="6FFB50B2">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工程</w:t>
            </w:r>
            <w:r>
              <w:rPr>
                <w:rFonts w:hint="eastAsia" w:ascii="微软雅黑" w:hAnsi="微软雅黑" w:eastAsia="微软雅黑" w:cs="微软雅黑"/>
                <w:b/>
                <w:color w:val="auto"/>
                <w:sz w:val="21"/>
                <w:szCs w:val="21"/>
                <w:highlight w:val="none"/>
                <w:lang w:val="en-US" w:eastAsia="zh-CN"/>
              </w:rPr>
              <w:t>采购</w:t>
            </w:r>
          </w:p>
        </w:tc>
      </w:tr>
      <w:tr w14:paraId="2330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vAlign w:val="center"/>
          </w:tcPr>
          <w:p w14:paraId="77CD1C36">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100以下</w:t>
            </w:r>
          </w:p>
        </w:tc>
        <w:tc>
          <w:tcPr>
            <w:tcW w:w="2273" w:type="dxa"/>
            <w:vAlign w:val="center"/>
          </w:tcPr>
          <w:p w14:paraId="2EDB1668">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2273" w:type="dxa"/>
            <w:vAlign w:val="center"/>
          </w:tcPr>
          <w:p w14:paraId="4A578E87">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2272" w:type="dxa"/>
            <w:vAlign w:val="center"/>
          </w:tcPr>
          <w:p w14:paraId="5DD37A5B">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r>
      <w:tr w14:paraId="0C8E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vAlign w:val="center"/>
          </w:tcPr>
          <w:p w14:paraId="452F16F3">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100-500</w:t>
            </w:r>
          </w:p>
        </w:tc>
        <w:tc>
          <w:tcPr>
            <w:tcW w:w="2273" w:type="dxa"/>
            <w:vAlign w:val="center"/>
          </w:tcPr>
          <w:p w14:paraId="14D4F6E0">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2273" w:type="dxa"/>
            <w:vAlign w:val="center"/>
          </w:tcPr>
          <w:p w14:paraId="608B6992">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272" w:type="dxa"/>
            <w:vAlign w:val="center"/>
          </w:tcPr>
          <w:p w14:paraId="70C0CF8C">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w:t>
            </w:r>
          </w:p>
        </w:tc>
      </w:tr>
      <w:tr w14:paraId="3BD5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vAlign w:val="center"/>
          </w:tcPr>
          <w:p w14:paraId="217BCF7D">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500-1000</w:t>
            </w:r>
          </w:p>
        </w:tc>
        <w:tc>
          <w:tcPr>
            <w:tcW w:w="2273" w:type="dxa"/>
            <w:vAlign w:val="center"/>
          </w:tcPr>
          <w:p w14:paraId="6609992B">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273" w:type="dxa"/>
            <w:vAlign w:val="center"/>
          </w:tcPr>
          <w:p w14:paraId="63AFD0E3">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0.45%</w:t>
            </w:r>
          </w:p>
        </w:tc>
        <w:tc>
          <w:tcPr>
            <w:tcW w:w="2272" w:type="dxa"/>
            <w:vAlign w:val="center"/>
          </w:tcPr>
          <w:p w14:paraId="6226C8E9">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0.55%</w:t>
            </w:r>
          </w:p>
        </w:tc>
      </w:tr>
      <w:tr w14:paraId="0252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vAlign w:val="center"/>
          </w:tcPr>
          <w:p w14:paraId="567B75E0">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1000-5000</w:t>
            </w:r>
          </w:p>
        </w:tc>
        <w:tc>
          <w:tcPr>
            <w:tcW w:w="2273" w:type="dxa"/>
            <w:vAlign w:val="center"/>
          </w:tcPr>
          <w:p w14:paraId="687FBF0C">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w:t>
            </w:r>
          </w:p>
        </w:tc>
        <w:tc>
          <w:tcPr>
            <w:tcW w:w="2273" w:type="dxa"/>
            <w:vAlign w:val="center"/>
          </w:tcPr>
          <w:p w14:paraId="212293FC">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0.25%</w:t>
            </w:r>
          </w:p>
        </w:tc>
        <w:tc>
          <w:tcPr>
            <w:tcW w:w="2272" w:type="dxa"/>
            <w:vAlign w:val="center"/>
          </w:tcPr>
          <w:p w14:paraId="66856FF7">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0.35%</w:t>
            </w:r>
          </w:p>
        </w:tc>
      </w:tr>
      <w:tr w14:paraId="52F4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vAlign w:val="center"/>
          </w:tcPr>
          <w:p w14:paraId="4AD4E922">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5000-10000</w:t>
            </w:r>
          </w:p>
        </w:tc>
        <w:tc>
          <w:tcPr>
            <w:tcW w:w="2273" w:type="dxa"/>
            <w:vAlign w:val="center"/>
          </w:tcPr>
          <w:p w14:paraId="12E33246">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0.25%</w:t>
            </w:r>
          </w:p>
        </w:tc>
        <w:tc>
          <w:tcPr>
            <w:tcW w:w="2273" w:type="dxa"/>
            <w:vAlign w:val="center"/>
          </w:tcPr>
          <w:p w14:paraId="0E350C33">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0.1%</w:t>
            </w:r>
          </w:p>
        </w:tc>
        <w:tc>
          <w:tcPr>
            <w:tcW w:w="2272" w:type="dxa"/>
            <w:vAlign w:val="center"/>
          </w:tcPr>
          <w:p w14:paraId="6853F180">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w:t>
            </w:r>
          </w:p>
        </w:tc>
      </w:tr>
      <w:tr w14:paraId="1F6D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0" w:type="dxa"/>
            <w:vAlign w:val="center"/>
          </w:tcPr>
          <w:p w14:paraId="20072DC9">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10000-100000</w:t>
            </w:r>
          </w:p>
        </w:tc>
        <w:tc>
          <w:tcPr>
            <w:tcW w:w="2273" w:type="dxa"/>
            <w:vAlign w:val="center"/>
          </w:tcPr>
          <w:p w14:paraId="1C4489E3">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c>
          <w:tcPr>
            <w:tcW w:w="2273" w:type="dxa"/>
            <w:vAlign w:val="center"/>
          </w:tcPr>
          <w:p w14:paraId="54A4AF90">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c>
          <w:tcPr>
            <w:tcW w:w="2272" w:type="dxa"/>
            <w:vAlign w:val="center"/>
          </w:tcPr>
          <w:p w14:paraId="180EF015">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r>
      <w:tr w14:paraId="5E6C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vAlign w:val="center"/>
          </w:tcPr>
          <w:p w14:paraId="2B382754">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1000000以上</w:t>
            </w:r>
          </w:p>
        </w:tc>
        <w:tc>
          <w:tcPr>
            <w:tcW w:w="2273" w:type="dxa"/>
            <w:vAlign w:val="center"/>
          </w:tcPr>
          <w:p w14:paraId="5862A0AF">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c>
          <w:tcPr>
            <w:tcW w:w="2273" w:type="dxa"/>
            <w:vAlign w:val="center"/>
          </w:tcPr>
          <w:p w14:paraId="2DC9108E">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c>
          <w:tcPr>
            <w:tcW w:w="2272" w:type="dxa"/>
            <w:vAlign w:val="center"/>
          </w:tcPr>
          <w:p w14:paraId="6D45D672">
            <w:pPr>
              <w:pageBreakBefore w:val="0"/>
              <w:widowControl w:val="0"/>
              <w:kinsoku/>
              <w:wordWrap/>
              <w:overflowPunct/>
              <w:topLinePunct w:val="0"/>
              <w:autoSpaceDE/>
              <w:autoSpaceDN/>
              <w:bidi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r>
    </w:tbl>
    <w:p w14:paraId="7A3809F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（二）采购代理服务费缴纳账号：</w:t>
      </w:r>
    </w:p>
    <w:bookmarkEnd w:id="67"/>
    <w:bookmarkEnd w:id="68"/>
    <w:p w14:paraId="7DFFA9ED">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户  名：重庆复林招标代理有限公司  </w:t>
      </w:r>
    </w:p>
    <w:p w14:paraId="2A6AA86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开户行：中国民生银行股份有限公司重庆解放碑支行  </w:t>
      </w:r>
    </w:p>
    <w:p w14:paraId="13842EA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lang w:val="en-US"/>
        </w:rPr>
      </w:pPr>
      <w:r>
        <w:rPr>
          <w:rFonts w:hint="eastAsia" w:ascii="微软雅黑" w:hAnsi="微软雅黑" w:eastAsia="微软雅黑" w:cs="微软雅黑"/>
          <w:color w:val="auto"/>
          <w:sz w:val="24"/>
          <w:highlight w:val="none"/>
          <w:lang w:val="en-US" w:eastAsia="zh-CN"/>
        </w:rPr>
        <w:t xml:space="preserve">帐  号：693213593  </w:t>
      </w:r>
    </w:p>
    <w:p w14:paraId="49092A6E">
      <w:pPr>
        <w:pStyle w:val="3"/>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b/>
          <w:color w:val="auto"/>
          <w:sz w:val="24"/>
          <w:highlight w:val="none"/>
        </w:rPr>
      </w:pPr>
      <w:bookmarkStart w:id="69" w:name="_Toc13556"/>
      <w:r>
        <w:rPr>
          <w:rFonts w:hint="eastAsia" w:ascii="微软雅黑" w:hAnsi="微软雅黑" w:eastAsia="微软雅黑" w:cs="微软雅黑"/>
          <w:b/>
          <w:color w:val="auto"/>
          <w:sz w:val="24"/>
          <w:highlight w:val="none"/>
        </w:rPr>
        <w:t>十、签订合同</w:t>
      </w:r>
      <w:bookmarkEnd w:id="69"/>
    </w:p>
    <w:p w14:paraId="632EC29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（一）比选人应当自成交通知书发出之日起二十日内，按照比选文件和中选候选人竞选文件的约定，与中选候选人签订书面合同。所签订的合同不得对比选文件和中选候选人竞选文件作实质性修改。</w:t>
      </w:r>
      <w:r>
        <w:rPr>
          <w:rFonts w:hint="eastAsia" w:ascii="微软雅黑" w:hAnsi="微软雅黑" w:eastAsia="微软雅黑" w:cs="微软雅黑"/>
          <w:color w:val="auto"/>
          <w:kern w:val="0"/>
          <w:sz w:val="24"/>
          <w:szCs w:val="24"/>
          <w:highlight w:val="none"/>
        </w:rPr>
        <w:t>其他未尽事宜由比选人和中选候选人在采购合同中详细约定。</w:t>
      </w:r>
    </w:p>
    <w:p w14:paraId="18874B0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（二）比选文件、中选候选人的竞选文件及澄清文件等，均为签订采购合同的依据。</w:t>
      </w:r>
    </w:p>
    <w:p w14:paraId="6BB15F1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（三）合同生效条款由供需双方约定，法律、行政法规规定应当办理批准、登记等手续后生效的合同，依照其规定。</w:t>
      </w:r>
    </w:p>
    <w:p w14:paraId="1D3F57D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（四）比选人要求中选候选人提供履约保证金的，应当在比选文件中予以约定。中选候选人履约完毕后，比选人应按比选文件及合同的约定无息退还其履约保证金。</w:t>
      </w:r>
    </w:p>
    <w:p w14:paraId="1431E1A4">
      <w:pPr>
        <w:pageBreakBefore w:val="0"/>
        <w:kinsoku/>
        <w:wordWrap/>
        <w:overflowPunct/>
        <w:topLinePunct w:val="0"/>
        <w:autoSpaceDE/>
        <w:autoSpaceDN/>
        <w:bidi w:val="0"/>
        <w:spacing w:line="240" w:lineRule="auto"/>
        <w:rPr>
          <w:rFonts w:hint="eastAsia" w:ascii="微软雅黑" w:hAnsi="微软雅黑" w:eastAsia="微软雅黑" w:cs="微软雅黑"/>
          <w:b/>
          <w:color w:val="auto"/>
          <w:sz w:val="44"/>
          <w:highlight w:val="none"/>
        </w:rPr>
      </w:pPr>
      <w:r>
        <w:rPr>
          <w:rFonts w:hint="eastAsia" w:ascii="微软雅黑" w:hAnsi="微软雅黑" w:eastAsia="微软雅黑" w:cs="微软雅黑"/>
          <w:b/>
          <w:color w:val="auto"/>
          <w:sz w:val="44"/>
          <w:highlight w:val="none"/>
        </w:rPr>
        <w:br w:type="page"/>
      </w:r>
    </w:p>
    <w:p w14:paraId="115CE9A6">
      <w:pPr>
        <w:pStyle w:val="2"/>
        <w:pageBreakBefore w:val="0"/>
        <w:kinsoku/>
        <w:wordWrap/>
        <w:overflowPunct/>
        <w:topLinePunct w:val="0"/>
        <w:autoSpaceDE/>
        <w:autoSpaceDN/>
        <w:bidi w:val="0"/>
        <w:snapToGrid/>
        <w:spacing w:before="240" w:after="120" w:line="240" w:lineRule="auto"/>
        <w:rPr>
          <w:rFonts w:hint="eastAsia" w:ascii="微软雅黑" w:hAnsi="微软雅黑" w:eastAsia="微软雅黑" w:cs="微软雅黑"/>
          <w:b/>
          <w:bCs/>
          <w:color w:val="auto"/>
          <w:szCs w:val="36"/>
          <w:highlight w:val="none"/>
        </w:rPr>
      </w:pPr>
      <w:bookmarkStart w:id="70" w:name="_Toc18910"/>
      <w:bookmarkStart w:id="71" w:name="_Toc84"/>
      <w:bookmarkStart w:id="72" w:name="_Toc8768"/>
      <w:bookmarkStart w:id="73" w:name="_Toc229"/>
      <w:bookmarkStart w:id="74" w:name="_Toc18101"/>
      <w:bookmarkStart w:id="75" w:name="_Toc28948"/>
      <w:bookmarkStart w:id="76" w:name="_Toc27280"/>
      <w:bookmarkStart w:id="77" w:name="_Toc1411"/>
      <w:bookmarkStart w:id="78" w:name="_Toc20965"/>
      <w:bookmarkStart w:id="79" w:name="_Toc6967"/>
      <w:bookmarkStart w:id="80" w:name="_Toc13766"/>
      <w:bookmarkStart w:id="81" w:name="_Toc1505"/>
      <w:bookmarkStart w:id="82" w:name="_Toc18306"/>
      <w:bookmarkStart w:id="83" w:name="_Toc18187"/>
      <w:bookmarkStart w:id="84" w:name="_Toc23229"/>
      <w:bookmarkStart w:id="85" w:name="_Toc424"/>
      <w:bookmarkStart w:id="86" w:name="_Toc76462348"/>
      <w:bookmarkStart w:id="87" w:name="_Toc130"/>
      <w:bookmarkStart w:id="88" w:name="_Toc17453"/>
      <w:r>
        <w:rPr>
          <w:rFonts w:hint="eastAsia" w:ascii="微软雅黑" w:hAnsi="微软雅黑" w:eastAsia="微软雅黑" w:cs="微软雅黑"/>
          <w:b/>
          <w:bCs/>
          <w:color w:val="auto"/>
          <w:szCs w:val="36"/>
          <w:highlight w:val="none"/>
        </w:rPr>
        <w:t>第六篇  采购合同</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7F7C8E9">
      <w:pPr>
        <w:pStyle w:val="4"/>
        <w:pageBreakBefore w:val="0"/>
        <w:kinsoku/>
        <w:wordWrap/>
        <w:overflowPunct/>
        <w:topLinePunct w:val="0"/>
        <w:autoSpaceDE/>
        <w:autoSpaceDN/>
        <w:bidi w:val="0"/>
        <w:spacing w:before="0" w:after="0" w:line="240" w:lineRule="auto"/>
        <w:jc w:val="both"/>
        <w:rPr>
          <w:rFonts w:hint="eastAsia" w:ascii="微软雅黑" w:hAnsi="微软雅黑" w:eastAsia="微软雅黑" w:cs="微软雅黑"/>
          <w:color w:val="auto"/>
          <w:sz w:val="24"/>
          <w:szCs w:val="24"/>
          <w:highlight w:val="none"/>
        </w:rPr>
      </w:pPr>
      <w:bookmarkStart w:id="89" w:name="_Toc285722712"/>
      <w:bookmarkStart w:id="90" w:name="_Toc277084870"/>
      <w:bookmarkStart w:id="91" w:name="_Toc493506316"/>
      <w:r>
        <w:rPr>
          <w:rFonts w:hint="eastAsia" w:ascii="微软雅黑" w:hAnsi="微软雅黑" w:eastAsia="微软雅黑" w:cs="微软雅黑"/>
          <w:color w:val="auto"/>
          <w:sz w:val="24"/>
          <w:szCs w:val="24"/>
          <w:highlight w:val="none"/>
        </w:rPr>
        <w:t>一、合同主要条款</w:t>
      </w:r>
      <w:bookmarkEnd w:id="89"/>
      <w:bookmarkEnd w:id="90"/>
      <w:bookmarkEnd w:id="91"/>
    </w:p>
    <w:p w14:paraId="3A0422F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1.定义</w:t>
      </w:r>
    </w:p>
    <w:p w14:paraId="7B468E9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1.1甲方（需方）即采购人，是指通过招标采购，接受合同货物及服务的各级国家机关、事业单位和团体组织。</w:t>
      </w:r>
    </w:p>
    <w:p w14:paraId="143A0A9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1.2乙方（供方）即</w:t>
      </w:r>
      <w:r>
        <w:rPr>
          <w:rFonts w:hint="eastAsia" w:ascii="微软雅黑" w:hAnsi="微软雅黑" w:eastAsia="微软雅黑" w:cs="微软雅黑"/>
          <w:color w:val="auto"/>
          <w:kern w:val="0"/>
          <w:sz w:val="24"/>
          <w:szCs w:val="24"/>
          <w:highlight w:val="none"/>
          <w:lang w:eastAsia="zh-CN"/>
        </w:rPr>
        <w:t>竞选人</w:t>
      </w:r>
      <w:r>
        <w:rPr>
          <w:rFonts w:hint="eastAsia" w:ascii="微软雅黑" w:hAnsi="微软雅黑" w:eastAsia="微软雅黑" w:cs="微软雅黑"/>
          <w:color w:val="auto"/>
          <w:kern w:val="0"/>
          <w:sz w:val="24"/>
          <w:szCs w:val="24"/>
          <w:highlight w:val="none"/>
        </w:rPr>
        <w:t>，是指中标后提供合同货物和服务的自然人、法人及其他组织。</w:t>
      </w:r>
    </w:p>
    <w:p w14:paraId="7075268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1.3合同是指由甲乙双方按照采购文件和比选文件的实质性内容，通过协商一致达成的书面协议。</w:t>
      </w:r>
    </w:p>
    <w:p w14:paraId="70475F3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1.4合同价格指以中标价格为依据，在供方全面履行合同义务后，需方（或财政部门）应支付给供方的金额。</w:t>
      </w:r>
    </w:p>
    <w:p w14:paraId="301E469B">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1.5技术资料是指合同货物及其相关的设计、制造、监造、检验、验收等文件（包括图纸、各种文字说明、标准）。</w:t>
      </w:r>
    </w:p>
    <w:p w14:paraId="3AD7B27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2.货物内容</w:t>
      </w:r>
    </w:p>
    <w:p w14:paraId="4DFAAFE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合同包括以下内容：货物名称、型号规格、技术参数、数量（单位）等内容。</w:t>
      </w:r>
    </w:p>
    <w:p w14:paraId="615C320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3.合同价格</w:t>
      </w:r>
    </w:p>
    <w:p w14:paraId="68A9850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3.1合同价格即合同总价。</w:t>
      </w:r>
    </w:p>
    <w:p w14:paraId="21DC602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3.2合同价格包括合同货物、技术资料、合同货物的税费、运杂费、保险费、包装费、装卸费及与货物有关的供方应纳的税费，所有税费由乙方负担。</w:t>
      </w:r>
    </w:p>
    <w:p w14:paraId="2148194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3.3合同货物单价为不变价。</w:t>
      </w:r>
    </w:p>
    <w:p w14:paraId="64E223D4">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4.转包或分包</w:t>
      </w:r>
    </w:p>
    <w:p w14:paraId="003CE74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4.1本合同范围的货物，应由乙方直接供应，不得转让他人供应；</w:t>
      </w:r>
    </w:p>
    <w:p w14:paraId="5C6A442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4.2非经甲方书面同意，乙方不得将本合同范围的货物全部或部分分包给他人供应；</w:t>
      </w:r>
    </w:p>
    <w:p w14:paraId="7B4CF6D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4.3如有转让和未经甲方同意的分包行为，甲方有权解除合同，没收履约保证金并追究乙方的违约责任。</w:t>
      </w:r>
    </w:p>
    <w:p w14:paraId="7B2C80CD">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5.质量保证及售后服务</w:t>
      </w:r>
    </w:p>
    <w:p w14:paraId="6044AD2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5.1乙方应按采购文件规定的货物性能、技术要求、质量标准向甲方提供未经使用的全新产品。</w:t>
      </w:r>
    </w:p>
    <w:p w14:paraId="56E2717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5.2乙方提供的货物在质保期内因货物本身的质量问题发生故障，乙方应负责免费更换。对达不到技术要求者，根据实际情况，经双方协商，可按以下办法处理：</w:t>
      </w:r>
    </w:p>
    <w:p w14:paraId="05DFD3D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5.2.1更换：由乙方承担所发生的全部费用。</w:t>
      </w:r>
    </w:p>
    <w:p w14:paraId="372566F1">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5.2.2贬值处理：由甲乙双方合议定价。</w:t>
      </w:r>
    </w:p>
    <w:p w14:paraId="0550CB2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5.2.3退货处理：乙方应退还甲方支付的合同款，同时应承担该货物的直接费用（运输、保险、检验、货款利息及银行手续费等）。</w:t>
      </w:r>
    </w:p>
    <w:p w14:paraId="75B5D51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5.3如在使用过程中发生质量问题，乙方应按本项目“第三篇 项目商务要求”中的要求处理。</w:t>
      </w:r>
    </w:p>
    <w:p w14:paraId="48842ABB">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5.4在质保期内，乙方应对货物出现的质量及安全问题负责处理解决并承担一切费用。</w:t>
      </w:r>
    </w:p>
    <w:p w14:paraId="197B9F9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5.5 如甲方要求乙方提供履约保证金的，履约保证金的收取和退还应按本项目“第三篇 项目商务要求”中的要求处理。</w:t>
      </w:r>
    </w:p>
    <w:p w14:paraId="1FB9517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6.付款</w:t>
      </w:r>
    </w:p>
    <w:p w14:paraId="7A0E680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6.1本合同使用货币币制如未作特别说明均为人民币。</w:t>
      </w:r>
    </w:p>
    <w:p w14:paraId="07DA244C">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6.2付款方式：银行转账、现金支票。</w:t>
      </w:r>
    </w:p>
    <w:p w14:paraId="7F358D0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6.3付款方法：同本项目“第三篇 商务条款”中关于付款方式的约定。</w:t>
      </w:r>
    </w:p>
    <w:p w14:paraId="2BAE9FF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7.检查验收</w:t>
      </w:r>
    </w:p>
    <w:p w14:paraId="33E9669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7.1供方应随货物提供合格证和质量证明文件，如是国外进口的货物还须提供入关证明。</w:t>
      </w:r>
    </w:p>
    <w:p w14:paraId="5535C1A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7.2货物验收</w:t>
      </w:r>
    </w:p>
    <w:p w14:paraId="5FF6472F">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供方所交货物的各种质量指标不得低于供方提供样品的质量指标（无样品时按供方的比选时提供的“技术文件”执行），售后服务质量要求按照采购文件和比选文件的内容执行。供方交货时，需方可根据需要随机抽取一部分货物送有关权威检测部门检测，如检测不合格，供方负责赔偿需方一切损失。</w:t>
      </w:r>
    </w:p>
    <w:p w14:paraId="0605B8C6">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7.3货物验收报告应由需方、供方经办人签字，并加盖双方公章，以此作为支付凭据。</w:t>
      </w:r>
    </w:p>
    <w:p w14:paraId="675513E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8.索赔</w:t>
      </w:r>
    </w:p>
    <w:p w14:paraId="7929DFDB">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供方对货物与合同要求不符负有责任，并且需方已于规定交货内和质量保证期内提出索赔，供方应按需方同意的下述一种或多种方法解决索赔事宜。</w:t>
      </w:r>
    </w:p>
    <w:p w14:paraId="08659A6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1AEC343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8.2根据货物的疵劣和受损程度以及需方遭受损失的金额，经双方同意降低货物价格。</w:t>
      </w:r>
    </w:p>
    <w:p w14:paraId="0A9DEE73">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9.知识产权</w:t>
      </w:r>
    </w:p>
    <w:p w14:paraId="15D2B89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0DBA4F5B">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10.合同争议的解决</w:t>
      </w:r>
    </w:p>
    <w:p w14:paraId="2BF58EF1">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10.1当事人友好协商达成一致</w:t>
      </w:r>
    </w:p>
    <w:p w14:paraId="0E2BDCB7">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10.2在60天内当事人协商不能达成协议的，可提请采购人当地仲裁机构仲裁。</w:t>
      </w:r>
    </w:p>
    <w:p w14:paraId="17D00ECD">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11.违约责任</w:t>
      </w:r>
    </w:p>
    <w:p w14:paraId="52503914">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按《中华人民共和国民法典》有关条款，或由供需双方约定。</w:t>
      </w:r>
    </w:p>
    <w:p w14:paraId="716F19D2">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12.合同生效及其它</w:t>
      </w:r>
    </w:p>
    <w:p w14:paraId="0B41BFC0">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12.1合同生效及其效力应符合《中华人民共和国民法典》有关规定。</w:t>
      </w:r>
    </w:p>
    <w:p w14:paraId="1C4CEB88">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12.2合同应经当事人法定代表人或委托代理人签字，加盖双方合同专用章或公章。</w:t>
      </w:r>
    </w:p>
    <w:p w14:paraId="0091D8AA">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12.3合同所包括附件，是合同不可分割的一部分，具有同等法法律效力。</w:t>
      </w:r>
    </w:p>
    <w:p w14:paraId="5A17BF69">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12.4合同需提供担保的，按《中华人民共和国担保法》规定执行。</w:t>
      </w:r>
    </w:p>
    <w:p w14:paraId="556C1ACE">
      <w:pPr>
        <w:pageBreakBefore w:val="0"/>
        <w:kinsoku/>
        <w:wordWrap/>
        <w:overflowPunct/>
        <w:topLinePunct w:val="0"/>
        <w:autoSpaceDE/>
        <w:autoSpaceDN/>
        <w:bidi w:val="0"/>
        <w:spacing w:line="24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12.5本合同条件未尽事宜依照《中华人民共和国民法典》，由供需双方共同协商确定。</w:t>
      </w:r>
    </w:p>
    <w:p w14:paraId="0716ADBC">
      <w:pPr>
        <w:pageBreakBefore w:val="0"/>
        <w:kinsoku/>
        <w:wordWrap/>
        <w:overflowPunct/>
        <w:topLinePunct w:val="0"/>
        <w:autoSpaceDE/>
        <w:autoSpaceDN/>
        <w:bidi w:val="0"/>
        <w:spacing w:line="240" w:lineRule="auto"/>
        <w:ind w:firstLine="360" w:firstLineChars="150"/>
        <w:rPr>
          <w:rFonts w:hint="eastAsia" w:ascii="微软雅黑" w:hAnsi="微软雅黑" w:eastAsia="微软雅黑" w:cs="微软雅黑"/>
          <w:color w:val="auto"/>
          <w:sz w:val="24"/>
          <w:szCs w:val="24"/>
          <w:highlight w:val="none"/>
        </w:rPr>
        <w:sectPr>
          <w:headerReference r:id="rId7" w:type="default"/>
          <w:footerReference r:id="rId8" w:type="default"/>
          <w:type w:val="nextColumn"/>
          <w:pgSz w:w="11907" w:h="16840"/>
          <w:pgMar w:top="1134" w:right="1191" w:bottom="1134" w:left="1304" w:header="964" w:footer="992" w:gutter="0"/>
          <w:pgNumType w:fmt="numberInDash"/>
          <w:cols w:space="720" w:num="1"/>
          <w:docGrid w:linePitch="312" w:charSpace="0"/>
        </w:sectPr>
      </w:pPr>
    </w:p>
    <w:p w14:paraId="5ECD3D09">
      <w:pPr>
        <w:pStyle w:val="4"/>
        <w:pageBreakBefore w:val="0"/>
        <w:kinsoku/>
        <w:wordWrap/>
        <w:overflowPunct/>
        <w:topLinePunct w:val="0"/>
        <w:autoSpaceDE/>
        <w:autoSpaceDN/>
        <w:bidi w:val="0"/>
        <w:spacing w:before="0" w:after="0" w:line="24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附页：1、合同格式（根据项目情况自拟）</w:t>
      </w:r>
    </w:p>
    <w:p w14:paraId="3E74D490">
      <w:pPr>
        <w:pageBreakBefore w:val="0"/>
        <w:kinsoku/>
        <w:wordWrap/>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p>
    <w:p w14:paraId="6C9EACE4">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sz w:val="44"/>
          <w:highlight w:val="none"/>
        </w:rPr>
      </w:pPr>
      <w:r>
        <w:rPr>
          <w:rFonts w:hint="eastAsia" w:ascii="微软雅黑" w:hAnsi="微软雅黑" w:eastAsia="微软雅黑" w:cs="微软雅黑"/>
          <w:b/>
          <w:color w:val="auto"/>
          <w:sz w:val="44"/>
          <w:highlight w:val="none"/>
        </w:rPr>
        <w:t>采购购销合同</w:t>
      </w:r>
    </w:p>
    <w:p w14:paraId="1DC713DC">
      <w:pPr>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w:t>
      </w:r>
    </w:p>
    <w:p w14:paraId="7792D706">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甲方（需方）：</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重庆市药品监督管理局</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计价单位：____________</w:t>
      </w:r>
    </w:p>
    <w:p w14:paraId="0890A3BD">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乙方（供方）：___________________________      计量单位：_____________</w:t>
      </w:r>
    </w:p>
    <w:p w14:paraId="423EA4C1">
      <w:pPr>
        <w:pageBreakBefore w:val="0"/>
        <w:kinsoku/>
        <w:wordWrap/>
        <w:overflowPunct/>
        <w:topLinePunct w:val="0"/>
        <w:autoSpaceDE/>
        <w:autoSpaceDN/>
        <w:bidi w:val="0"/>
        <w:spacing w:line="24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采购项目编号：</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 xml:space="preserve">      合同编号：_____________</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659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6C53B2A">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eastAsia="zh-CN"/>
              </w:rPr>
              <w:t>比选</w:t>
            </w:r>
            <w:r>
              <w:rPr>
                <w:rFonts w:hint="eastAsia" w:ascii="微软雅黑" w:hAnsi="微软雅黑" w:eastAsia="微软雅黑" w:cs="微软雅黑"/>
                <w:color w:val="auto"/>
                <w:sz w:val="21"/>
                <w:szCs w:val="21"/>
                <w:highlight w:val="none"/>
              </w:rPr>
              <w:t>项目名称</w:t>
            </w:r>
          </w:p>
        </w:tc>
        <w:tc>
          <w:tcPr>
            <w:tcW w:w="984" w:type="dxa"/>
            <w:vAlign w:val="center"/>
          </w:tcPr>
          <w:p w14:paraId="17478888">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数量</w:t>
            </w:r>
          </w:p>
        </w:tc>
        <w:tc>
          <w:tcPr>
            <w:tcW w:w="1298" w:type="dxa"/>
            <w:gridSpan w:val="2"/>
            <w:vAlign w:val="center"/>
          </w:tcPr>
          <w:p w14:paraId="3ED8A8FF">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综合单价</w:t>
            </w:r>
          </w:p>
        </w:tc>
        <w:tc>
          <w:tcPr>
            <w:tcW w:w="1134" w:type="dxa"/>
            <w:vAlign w:val="center"/>
          </w:tcPr>
          <w:p w14:paraId="25CA0411">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总价</w:t>
            </w:r>
          </w:p>
        </w:tc>
        <w:tc>
          <w:tcPr>
            <w:tcW w:w="1559" w:type="dxa"/>
            <w:vAlign w:val="center"/>
          </w:tcPr>
          <w:p w14:paraId="7E0157E1">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服务时间</w:t>
            </w:r>
          </w:p>
        </w:tc>
        <w:tc>
          <w:tcPr>
            <w:tcW w:w="1567" w:type="dxa"/>
            <w:vAlign w:val="center"/>
          </w:tcPr>
          <w:p w14:paraId="18DEF3F2">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服务地点</w:t>
            </w:r>
          </w:p>
        </w:tc>
      </w:tr>
      <w:tr w14:paraId="58D3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B83E02C">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984" w:type="dxa"/>
            <w:vAlign w:val="center"/>
          </w:tcPr>
          <w:p w14:paraId="5CBD584C">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298" w:type="dxa"/>
            <w:gridSpan w:val="2"/>
            <w:vAlign w:val="center"/>
          </w:tcPr>
          <w:p w14:paraId="7A5502DD">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134" w:type="dxa"/>
            <w:vAlign w:val="center"/>
          </w:tcPr>
          <w:p w14:paraId="1F23A4ED">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559" w:type="dxa"/>
            <w:vAlign w:val="center"/>
          </w:tcPr>
          <w:p w14:paraId="13C38D5D">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567" w:type="dxa"/>
            <w:vAlign w:val="center"/>
          </w:tcPr>
          <w:p w14:paraId="51DA2F84">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r>
      <w:tr w14:paraId="1C14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0F643D1">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984" w:type="dxa"/>
            <w:vAlign w:val="center"/>
          </w:tcPr>
          <w:p w14:paraId="4806ABE7">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298" w:type="dxa"/>
            <w:gridSpan w:val="2"/>
            <w:vAlign w:val="center"/>
          </w:tcPr>
          <w:p w14:paraId="2B4890F8">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134" w:type="dxa"/>
            <w:vAlign w:val="center"/>
          </w:tcPr>
          <w:p w14:paraId="44ECE783">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559" w:type="dxa"/>
            <w:vAlign w:val="center"/>
          </w:tcPr>
          <w:p w14:paraId="71405A36">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c>
          <w:tcPr>
            <w:tcW w:w="1567" w:type="dxa"/>
            <w:vAlign w:val="center"/>
          </w:tcPr>
          <w:p w14:paraId="0ACC29D7">
            <w:pPr>
              <w:pageBreakBefore w:val="0"/>
              <w:kinsoku/>
              <w:wordWrap/>
              <w:overflowPunct/>
              <w:topLinePunct w:val="0"/>
              <w:autoSpaceDE/>
              <w:autoSpaceDN/>
              <w:bidi w:val="0"/>
              <w:snapToGrid/>
              <w:spacing w:line="240" w:lineRule="auto"/>
              <w:jc w:val="center"/>
              <w:textAlignment w:val="auto"/>
              <w:rPr>
                <w:rFonts w:hint="eastAsia" w:ascii="微软雅黑" w:hAnsi="微软雅黑" w:eastAsia="微软雅黑" w:cs="微软雅黑"/>
                <w:color w:val="auto"/>
                <w:sz w:val="21"/>
                <w:szCs w:val="21"/>
                <w:highlight w:val="none"/>
              </w:rPr>
            </w:pPr>
          </w:p>
        </w:tc>
      </w:tr>
      <w:tr w14:paraId="55E4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67552F4">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合计人民币（小写）：</w:t>
            </w:r>
          </w:p>
        </w:tc>
      </w:tr>
      <w:tr w14:paraId="664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6E4902D">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合计人民币（大写）：</w:t>
            </w:r>
          </w:p>
        </w:tc>
      </w:tr>
      <w:tr w14:paraId="654D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59A4FFB4">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一、服务要求</w:t>
            </w:r>
          </w:p>
        </w:tc>
      </w:tr>
      <w:tr w14:paraId="0C32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548E02B">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二、考核方式</w:t>
            </w:r>
          </w:p>
        </w:tc>
      </w:tr>
      <w:tr w14:paraId="6C4A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CE17250">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三、付款方式：</w:t>
            </w:r>
          </w:p>
          <w:p w14:paraId="1883A330">
            <w:pPr>
              <w:pStyle w:val="12"/>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p>
        </w:tc>
      </w:tr>
      <w:tr w14:paraId="2536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1813867">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四、履约保证金：</w:t>
            </w:r>
          </w:p>
          <w:p w14:paraId="2F788773">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p>
        </w:tc>
      </w:tr>
      <w:tr w14:paraId="28AA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78876EC">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五、违约责任：</w:t>
            </w:r>
          </w:p>
          <w:p w14:paraId="7A7E4887">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按《中华人民共和国民法典》执行，或按双方约定。</w:t>
            </w:r>
          </w:p>
        </w:tc>
      </w:tr>
      <w:tr w14:paraId="4930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8DE59EB">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六、其他约定事项：</w:t>
            </w:r>
          </w:p>
          <w:p w14:paraId="066CDB77">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1.采购文件及其澄清文件、响应文件和承诺是本合同不可分割的部分。</w:t>
            </w:r>
          </w:p>
          <w:p w14:paraId="073262DF">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2.本合同如发生争议由双方协商解决，协商不成向需方所在人民法院提请诉讼。</w:t>
            </w:r>
          </w:p>
          <w:p w14:paraId="0279C7C9">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3.本合同一式__份， 需方__份，供方__份，具同等法律效力。</w:t>
            </w:r>
          </w:p>
          <w:p w14:paraId="719C8669">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4.其他：</w:t>
            </w:r>
          </w:p>
        </w:tc>
      </w:tr>
      <w:tr w14:paraId="3340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4459892">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需方：</w:t>
            </w:r>
          </w:p>
          <w:p w14:paraId="55130A92">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地址：</w:t>
            </w:r>
          </w:p>
          <w:p w14:paraId="2D5CD24F">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联系电话：</w:t>
            </w:r>
          </w:p>
          <w:p w14:paraId="36205235">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授权代表：</w:t>
            </w:r>
          </w:p>
        </w:tc>
        <w:tc>
          <w:tcPr>
            <w:tcW w:w="4984" w:type="dxa"/>
            <w:gridSpan w:val="5"/>
          </w:tcPr>
          <w:p w14:paraId="1510A725">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供方：</w:t>
            </w:r>
          </w:p>
          <w:p w14:paraId="60E51D12">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地址：</w:t>
            </w:r>
          </w:p>
          <w:p w14:paraId="76E518D0">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电话：</w:t>
            </w:r>
          </w:p>
          <w:p w14:paraId="7C82ABBE">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传真：</w:t>
            </w:r>
          </w:p>
          <w:p w14:paraId="2E3C63D4">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开户银行：</w:t>
            </w:r>
          </w:p>
          <w:p w14:paraId="14AE08F6">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账号：</w:t>
            </w:r>
          </w:p>
          <w:p w14:paraId="03A39900">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授权代表：</w:t>
            </w:r>
          </w:p>
          <w:p w14:paraId="2DC2F9A0">
            <w:pPr>
              <w:pageBreakBefore w:val="0"/>
              <w:widowControl/>
              <w:kinsoku/>
              <w:wordWrap/>
              <w:overflowPunct/>
              <w:topLinePunct w:val="0"/>
              <w:autoSpaceDE/>
              <w:autoSpaceDN/>
              <w:bidi w:val="0"/>
              <w:snapToGrid/>
              <w:spacing w:line="240" w:lineRule="auto"/>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（本栏请用计算机打印以便于准确付款）</w:t>
            </w:r>
          </w:p>
        </w:tc>
      </w:tr>
      <w:tr w14:paraId="69B6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47D3A4C">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备注：</w:t>
            </w:r>
          </w:p>
          <w:p w14:paraId="6B507725">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p>
          <w:p w14:paraId="5A4F1072">
            <w:pPr>
              <w:pageBreakBefore w:val="0"/>
              <w:kinsoku/>
              <w:wordWrap/>
              <w:overflowPunct/>
              <w:topLinePunct w:val="0"/>
              <w:autoSpaceDE/>
              <w:autoSpaceDN/>
              <w:bidi w:val="0"/>
              <w:snapToGrid/>
              <w:spacing w:line="240" w:lineRule="auto"/>
              <w:textAlignment w:val="auto"/>
              <w:rPr>
                <w:rFonts w:hint="eastAsia" w:ascii="微软雅黑" w:hAnsi="微软雅黑" w:eastAsia="微软雅黑" w:cs="微软雅黑"/>
                <w:color w:val="auto"/>
                <w:sz w:val="21"/>
                <w:szCs w:val="21"/>
                <w:highlight w:val="none"/>
              </w:rPr>
            </w:pPr>
          </w:p>
        </w:tc>
      </w:tr>
    </w:tbl>
    <w:p w14:paraId="2FFADCEF">
      <w:pPr>
        <w:pageBreakBefore w:val="0"/>
        <w:tabs>
          <w:tab w:val="left" w:pos="9000"/>
        </w:tabs>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p w14:paraId="69DCE06C">
      <w:pPr>
        <w:pageBreakBefore w:val="0"/>
        <w:tabs>
          <w:tab w:val="left" w:pos="9000"/>
        </w:tabs>
        <w:kinsoku/>
        <w:wordWrap/>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签约地点： </w:t>
      </w:r>
    </w:p>
    <w:p w14:paraId="6C6DA04F">
      <w:pPr>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1"/>
          <w:szCs w:val="21"/>
          <w:highlight w:val="none"/>
        </w:rPr>
        <w:t xml:space="preserve">                                      签约时间：  年   月   日 </w:t>
      </w:r>
    </w:p>
    <w:p w14:paraId="36E31096">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sz w:val="44"/>
          <w:highlight w:val="none"/>
        </w:rPr>
      </w:pPr>
    </w:p>
    <w:p w14:paraId="5A08C60E">
      <w:pPr>
        <w:pageBreakBefore w:val="0"/>
        <w:kinsoku/>
        <w:wordWrap/>
        <w:overflowPunct/>
        <w:topLinePunct w:val="0"/>
        <w:autoSpaceDE/>
        <w:autoSpaceDN/>
        <w:bidi w:val="0"/>
        <w:spacing w:line="240" w:lineRule="auto"/>
        <w:jc w:val="center"/>
        <w:rPr>
          <w:rFonts w:hint="eastAsia" w:ascii="微软雅黑" w:hAnsi="微软雅黑" w:eastAsia="微软雅黑" w:cs="微软雅黑"/>
          <w:b/>
          <w:color w:val="auto"/>
          <w:sz w:val="44"/>
          <w:highlight w:val="none"/>
        </w:rPr>
      </w:pPr>
    </w:p>
    <w:p w14:paraId="524E06B6">
      <w:pPr>
        <w:pageBreakBefore w:val="0"/>
        <w:kinsoku/>
        <w:wordWrap/>
        <w:overflowPunct/>
        <w:topLinePunct w:val="0"/>
        <w:autoSpaceDE/>
        <w:autoSpaceDN/>
        <w:bidi w:val="0"/>
        <w:spacing w:line="240" w:lineRule="auto"/>
        <w:rPr>
          <w:rFonts w:hint="eastAsia" w:ascii="微软雅黑" w:hAnsi="微软雅黑" w:eastAsia="微软雅黑" w:cs="微软雅黑"/>
          <w:b/>
          <w:color w:val="auto"/>
          <w:sz w:val="44"/>
          <w:highlight w:val="none"/>
        </w:rPr>
      </w:pPr>
      <w:r>
        <w:rPr>
          <w:rFonts w:hint="eastAsia" w:ascii="微软雅黑" w:hAnsi="微软雅黑" w:eastAsia="微软雅黑" w:cs="微软雅黑"/>
          <w:b/>
          <w:color w:val="auto"/>
          <w:sz w:val="44"/>
          <w:highlight w:val="none"/>
        </w:rPr>
        <w:br w:type="page"/>
      </w:r>
    </w:p>
    <w:p w14:paraId="5CDF52DD">
      <w:pPr>
        <w:pStyle w:val="2"/>
        <w:pageBreakBefore w:val="0"/>
        <w:kinsoku/>
        <w:wordWrap/>
        <w:overflowPunct/>
        <w:topLinePunct w:val="0"/>
        <w:autoSpaceDE/>
        <w:autoSpaceDN/>
        <w:bidi w:val="0"/>
        <w:spacing w:before="240" w:after="120" w:line="240" w:lineRule="auto"/>
        <w:rPr>
          <w:rFonts w:hint="eastAsia" w:ascii="微软雅黑" w:hAnsi="微软雅黑" w:eastAsia="微软雅黑" w:cs="微软雅黑"/>
          <w:b/>
          <w:color w:val="auto"/>
          <w:highlight w:val="none"/>
        </w:rPr>
      </w:pPr>
      <w:bookmarkStart w:id="92" w:name="_Toc23733"/>
      <w:r>
        <w:rPr>
          <w:rFonts w:hint="eastAsia" w:ascii="微软雅黑" w:hAnsi="微软雅黑" w:eastAsia="微软雅黑" w:cs="微软雅黑"/>
          <w:b/>
          <w:bCs/>
          <w:color w:val="auto"/>
          <w:szCs w:val="36"/>
          <w:highlight w:val="none"/>
        </w:rPr>
        <w:t>第七篇 竞选文件格式</w:t>
      </w:r>
      <w:bookmarkEnd w:id="92"/>
    </w:p>
    <w:p w14:paraId="6786F289">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一、经济文件</w:t>
      </w:r>
    </w:p>
    <w:p w14:paraId="03DF9F50">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（一）开标一览表</w:t>
      </w:r>
    </w:p>
    <w:p w14:paraId="64A031A9">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（二）分项报价明细表</w:t>
      </w:r>
    </w:p>
    <w:p w14:paraId="3AEC818A">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二、技术（质量）文件</w:t>
      </w:r>
    </w:p>
    <w:p w14:paraId="74082B85">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8"/>
          <w:highlight w:val="none"/>
        </w:rPr>
        <w:t>条款差异表</w:t>
      </w:r>
    </w:p>
    <w:p w14:paraId="61F22022">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三、商务文件</w:t>
      </w:r>
    </w:p>
    <w:p w14:paraId="3CD1C9FE">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竞选函</w:t>
      </w:r>
      <w:r>
        <w:rPr>
          <w:rFonts w:hint="eastAsia" w:ascii="微软雅黑" w:hAnsi="微软雅黑" w:eastAsia="微软雅黑" w:cs="微软雅黑"/>
          <w:color w:val="auto"/>
          <w:sz w:val="24"/>
          <w:szCs w:val="24"/>
          <w:highlight w:val="none"/>
        </w:rPr>
        <w:t>（格式）</w:t>
      </w:r>
    </w:p>
    <w:p w14:paraId="28B6CBAC">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（二）商务条款差异表</w:t>
      </w:r>
    </w:p>
    <w:p w14:paraId="5E00E64A">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（三）其他商务资料</w:t>
      </w:r>
    </w:p>
    <w:p w14:paraId="1D5E5066">
      <w:pPr>
        <w:tabs>
          <w:tab w:val="left" w:pos="1764"/>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四、其他</w:t>
      </w:r>
    </w:p>
    <w:p w14:paraId="41B291F4">
      <w:pPr>
        <w:tabs>
          <w:tab w:val="left" w:pos="6300"/>
        </w:tabs>
        <w:kinsoku/>
        <w:overflowPunct/>
        <w:topLinePunct w:val="0"/>
        <w:autoSpaceDE/>
        <w:autoSpaceDN/>
        <w:bidi w:val="0"/>
        <w:snapToGrid w:val="0"/>
        <w:spacing w:line="240" w:lineRule="auto"/>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（一）中小企业声明函、监狱企业证明文件、残疾人福利性单位声明函</w:t>
      </w:r>
    </w:p>
    <w:p w14:paraId="29CBAE5B">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（二）其他与项目有关的资料（自附）</w:t>
      </w:r>
    </w:p>
    <w:p w14:paraId="61AC2229">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五、资格文件</w:t>
      </w:r>
    </w:p>
    <w:p w14:paraId="5FC3FA2A">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1399B684">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（二）法定代表人身份证明书（格式）</w:t>
      </w:r>
    </w:p>
    <w:p w14:paraId="0D9D4B68">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（三）法定代表人授权委托书（格式）</w:t>
      </w:r>
    </w:p>
    <w:p w14:paraId="2F706050">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（四）基本资格条件承诺函（格式）</w:t>
      </w:r>
    </w:p>
    <w:p w14:paraId="039C1BBF">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（五）特定资格条件证书或证明文件</w:t>
      </w:r>
    </w:p>
    <w:p w14:paraId="3118ED4D">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p>
    <w:p w14:paraId="358A67F8">
      <w:pPr>
        <w:pStyle w:val="3"/>
        <w:pageBreakBefore/>
        <w:kinsoku/>
        <w:overflowPunct/>
        <w:topLinePunct w:val="0"/>
        <w:autoSpaceDE/>
        <w:autoSpaceDN/>
        <w:bidi w:val="0"/>
        <w:spacing w:line="240" w:lineRule="auto"/>
        <w:ind w:firstLine="560" w:firstLineChars="200"/>
        <w:rPr>
          <w:rFonts w:hint="eastAsia" w:ascii="微软雅黑" w:hAnsi="微软雅黑" w:eastAsia="微软雅黑" w:cs="微软雅黑"/>
          <w:b/>
          <w:color w:val="auto"/>
          <w:szCs w:val="28"/>
          <w:highlight w:val="none"/>
        </w:rPr>
      </w:pPr>
      <w:bookmarkStart w:id="93" w:name="_Toc23361"/>
      <w:bookmarkStart w:id="94" w:name="_Toc29821"/>
      <w:bookmarkStart w:id="95" w:name="_Toc15893"/>
      <w:bookmarkStart w:id="96" w:name="_Toc429584884"/>
      <w:bookmarkStart w:id="97" w:name="_Toc18349"/>
      <w:bookmarkStart w:id="98" w:name="_Toc31828"/>
      <w:bookmarkStart w:id="99" w:name="_Toc106030417"/>
      <w:bookmarkStart w:id="100" w:name="_Toc13547"/>
      <w:bookmarkStart w:id="101" w:name="_Toc10124"/>
      <w:bookmarkStart w:id="102" w:name="_Toc25659"/>
      <w:bookmarkStart w:id="103" w:name="_Toc29049"/>
      <w:bookmarkStart w:id="104" w:name="_Toc14568"/>
      <w:bookmarkStart w:id="105" w:name="_Toc14552"/>
      <w:bookmarkStart w:id="106" w:name="_Toc31914"/>
      <w:bookmarkStart w:id="107" w:name="_Toc27612"/>
      <w:bookmarkStart w:id="108" w:name="_Toc75793540"/>
      <w:bookmarkStart w:id="109" w:name="_Toc21561"/>
      <w:bookmarkStart w:id="110" w:name="_Toc27943"/>
      <w:r>
        <w:rPr>
          <w:rFonts w:hint="eastAsia" w:ascii="微软雅黑" w:hAnsi="微软雅黑" w:eastAsia="微软雅黑" w:cs="微软雅黑"/>
          <w:b/>
          <w:color w:val="auto"/>
          <w:szCs w:val="28"/>
          <w:highlight w:val="none"/>
        </w:rPr>
        <w:t>一、经济文件</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7897191">
      <w:pPr>
        <w:kinsoku/>
        <w:overflowPunct/>
        <w:topLinePunct w:val="0"/>
        <w:autoSpaceDE/>
        <w:autoSpaceDN/>
        <w:bidi w:val="0"/>
        <w:snapToGrid w:val="0"/>
        <w:spacing w:line="240" w:lineRule="auto"/>
        <w:jc w:val="center"/>
        <w:rPr>
          <w:rFonts w:hint="eastAsia" w:ascii="微软雅黑" w:hAnsi="微软雅黑" w:eastAsia="微软雅黑" w:cs="微软雅黑"/>
          <w:color w:val="auto"/>
          <w:szCs w:val="36"/>
          <w:highlight w:val="none"/>
        </w:rPr>
      </w:pPr>
      <w:r>
        <w:rPr>
          <w:rFonts w:hint="eastAsia" w:ascii="微软雅黑" w:hAnsi="微软雅黑" w:eastAsia="微软雅黑" w:cs="微软雅黑"/>
          <w:color w:val="auto"/>
          <w:szCs w:val="36"/>
          <w:highlight w:val="none"/>
        </w:rPr>
        <w:t>（一）开标一览表</w:t>
      </w:r>
    </w:p>
    <w:p w14:paraId="726BB97B">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项目号：</w:t>
      </w:r>
    </w:p>
    <w:p w14:paraId="05F5CC4B">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招标项目名称：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566F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trPr>
        <w:tc>
          <w:tcPr>
            <w:tcW w:w="1788" w:type="dxa"/>
            <w:noWrap w:val="0"/>
            <w:vAlign w:val="center"/>
          </w:tcPr>
          <w:p w14:paraId="4C43E950">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lang w:eastAsia="zh-CN"/>
              </w:rPr>
              <w:t>竞选人</w:t>
            </w:r>
            <w:r>
              <w:rPr>
                <w:rFonts w:hint="eastAsia" w:ascii="微软雅黑" w:hAnsi="微软雅黑" w:eastAsia="微软雅黑" w:cs="微软雅黑"/>
                <w:color w:val="auto"/>
                <w:sz w:val="21"/>
                <w:szCs w:val="28"/>
                <w:highlight w:val="none"/>
              </w:rPr>
              <w:t>名称</w:t>
            </w:r>
          </w:p>
        </w:tc>
        <w:tc>
          <w:tcPr>
            <w:tcW w:w="7840" w:type="dxa"/>
            <w:gridSpan w:val="3"/>
            <w:noWrap w:val="0"/>
            <w:vAlign w:val="center"/>
          </w:tcPr>
          <w:p w14:paraId="17B1D1DC">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rPr>
            </w:pPr>
          </w:p>
        </w:tc>
      </w:tr>
      <w:tr w14:paraId="5A85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3BA8E140">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lang w:val="en-US" w:eastAsia="zh-CN"/>
              </w:rPr>
              <w:t>项目</w:t>
            </w:r>
            <w:r>
              <w:rPr>
                <w:rFonts w:hint="eastAsia" w:ascii="微软雅黑" w:hAnsi="微软雅黑" w:eastAsia="微软雅黑" w:cs="微软雅黑"/>
                <w:color w:val="auto"/>
                <w:sz w:val="21"/>
                <w:szCs w:val="28"/>
                <w:highlight w:val="none"/>
              </w:rPr>
              <w:t>名称</w:t>
            </w:r>
          </w:p>
        </w:tc>
        <w:tc>
          <w:tcPr>
            <w:tcW w:w="932" w:type="dxa"/>
            <w:noWrap w:val="0"/>
            <w:vAlign w:val="center"/>
          </w:tcPr>
          <w:p w14:paraId="36D16A4D">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rPr>
              <w:t>数量</w:t>
            </w:r>
          </w:p>
        </w:tc>
        <w:tc>
          <w:tcPr>
            <w:tcW w:w="4760" w:type="dxa"/>
            <w:noWrap w:val="0"/>
            <w:vAlign w:val="center"/>
          </w:tcPr>
          <w:p w14:paraId="4EBAAC8E">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lang w:val="en-US" w:eastAsia="zh-CN"/>
              </w:rPr>
              <w:t>竞选</w:t>
            </w:r>
            <w:r>
              <w:rPr>
                <w:rFonts w:hint="eastAsia" w:ascii="微软雅黑" w:hAnsi="微软雅黑" w:eastAsia="微软雅黑" w:cs="微软雅黑"/>
                <w:color w:val="auto"/>
                <w:sz w:val="21"/>
                <w:szCs w:val="28"/>
                <w:highlight w:val="none"/>
              </w:rPr>
              <w:t>报价（小写）</w:t>
            </w:r>
          </w:p>
        </w:tc>
      </w:tr>
      <w:tr w14:paraId="4296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0F5B3121">
            <w:pPr>
              <w:kinsoku/>
              <w:overflowPunct/>
              <w:topLinePunct w:val="0"/>
              <w:autoSpaceDE/>
              <w:autoSpaceDN/>
              <w:bidi w:val="0"/>
              <w:spacing w:line="240" w:lineRule="auto"/>
              <w:rPr>
                <w:rFonts w:hint="eastAsia" w:ascii="微软雅黑" w:hAnsi="微软雅黑" w:eastAsia="微软雅黑" w:cs="微软雅黑"/>
                <w:color w:val="auto"/>
                <w:sz w:val="21"/>
                <w:szCs w:val="28"/>
                <w:highlight w:val="none"/>
              </w:rPr>
            </w:pPr>
          </w:p>
        </w:tc>
        <w:tc>
          <w:tcPr>
            <w:tcW w:w="932" w:type="dxa"/>
            <w:tcBorders>
              <w:bottom w:val="single" w:color="auto" w:sz="4" w:space="0"/>
            </w:tcBorders>
            <w:noWrap w:val="0"/>
            <w:vAlign w:val="center"/>
          </w:tcPr>
          <w:p w14:paraId="2CED7758">
            <w:pPr>
              <w:kinsoku/>
              <w:overflowPunct/>
              <w:topLinePunct w:val="0"/>
              <w:autoSpaceDE/>
              <w:autoSpaceDN/>
              <w:bidi w:val="0"/>
              <w:spacing w:line="240" w:lineRule="auto"/>
              <w:jc w:val="center"/>
              <w:rPr>
                <w:rFonts w:hint="eastAsia" w:ascii="微软雅黑" w:hAnsi="微软雅黑" w:eastAsia="微软雅黑" w:cs="微软雅黑"/>
                <w:color w:val="auto"/>
                <w:sz w:val="21"/>
                <w:szCs w:val="28"/>
                <w:highlight w:val="none"/>
                <w:lang w:val="en-US" w:eastAsia="zh-CN"/>
              </w:rPr>
            </w:pPr>
            <w:r>
              <w:rPr>
                <w:rFonts w:hint="eastAsia" w:ascii="微软雅黑" w:hAnsi="微软雅黑" w:eastAsia="微软雅黑" w:cs="微软雅黑"/>
                <w:color w:val="auto"/>
                <w:sz w:val="21"/>
                <w:szCs w:val="28"/>
                <w:highlight w:val="none"/>
                <w:lang w:val="en-US" w:eastAsia="zh-CN"/>
              </w:rPr>
              <w:t>3年</w:t>
            </w:r>
          </w:p>
        </w:tc>
        <w:tc>
          <w:tcPr>
            <w:tcW w:w="4760" w:type="dxa"/>
            <w:tcBorders>
              <w:bottom w:val="single" w:color="auto" w:sz="4" w:space="0"/>
            </w:tcBorders>
            <w:noWrap w:val="0"/>
            <w:vAlign w:val="top"/>
          </w:tcPr>
          <w:p w14:paraId="33E97677">
            <w:pPr>
              <w:kinsoku/>
              <w:overflowPunct/>
              <w:topLinePunct w:val="0"/>
              <w:autoSpaceDE/>
              <w:autoSpaceDN/>
              <w:bidi w:val="0"/>
              <w:spacing w:line="240" w:lineRule="auto"/>
              <w:rPr>
                <w:rFonts w:hint="eastAsia" w:ascii="微软雅黑" w:hAnsi="微软雅黑" w:eastAsia="微软雅黑" w:cs="微软雅黑"/>
                <w:color w:val="auto"/>
                <w:sz w:val="21"/>
                <w:szCs w:val="28"/>
                <w:highlight w:val="none"/>
              </w:rPr>
            </w:pPr>
          </w:p>
        </w:tc>
      </w:tr>
      <w:tr w14:paraId="185B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14:paraId="5A4598A4">
            <w:pPr>
              <w:kinsoku/>
              <w:overflowPunct/>
              <w:topLinePunct w:val="0"/>
              <w:autoSpaceDE/>
              <w:autoSpaceDN/>
              <w:bidi w:val="0"/>
              <w:spacing w:line="240" w:lineRule="auto"/>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lang w:val="en-US" w:eastAsia="zh-CN"/>
              </w:rPr>
              <w:t>竞选</w:t>
            </w:r>
            <w:r>
              <w:rPr>
                <w:rFonts w:hint="eastAsia" w:ascii="微软雅黑" w:hAnsi="微软雅黑" w:eastAsia="微软雅黑" w:cs="微软雅黑"/>
                <w:color w:val="auto"/>
                <w:sz w:val="21"/>
                <w:szCs w:val="28"/>
                <w:highlight w:val="none"/>
              </w:rPr>
              <w:t xml:space="preserve">报价（大写）：                           </w:t>
            </w:r>
          </w:p>
        </w:tc>
      </w:tr>
      <w:tr w14:paraId="169E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2F410C5D">
            <w:pPr>
              <w:pStyle w:val="12"/>
              <w:kinsoku/>
              <w:overflowPunct/>
              <w:topLinePunct w:val="0"/>
              <w:autoSpaceDE/>
              <w:autoSpaceDN/>
              <w:bidi w:val="0"/>
              <w:spacing w:line="240" w:lineRule="auto"/>
              <w:rPr>
                <w:rFonts w:hint="eastAsia" w:ascii="微软雅黑" w:hAnsi="微软雅黑" w:eastAsia="微软雅黑" w:cs="微软雅黑"/>
                <w:color w:val="auto"/>
                <w:sz w:val="21"/>
                <w:szCs w:val="28"/>
                <w:highlight w:val="none"/>
              </w:rPr>
            </w:pPr>
            <w:r>
              <w:rPr>
                <w:rFonts w:hint="eastAsia" w:ascii="微软雅黑" w:hAnsi="微软雅黑" w:eastAsia="微软雅黑" w:cs="微软雅黑"/>
                <w:color w:val="auto"/>
                <w:sz w:val="21"/>
                <w:szCs w:val="28"/>
                <w:highlight w:val="none"/>
              </w:rPr>
              <w:t>备注：</w:t>
            </w:r>
          </w:p>
        </w:tc>
      </w:tr>
    </w:tbl>
    <w:p w14:paraId="39D2F199">
      <w:pPr>
        <w:pStyle w:val="12"/>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6691481B">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46638FC9">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68F8714F">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                      法定代表人（或法定代表人授权代表）或自然人：</w:t>
      </w:r>
    </w:p>
    <w:p w14:paraId="3C149378">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公章）                               （签署或盖章）</w:t>
      </w:r>
    </w:p>
    <w:p w14:paraId="10ECBA5D">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73DE7781">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457C4A6B">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年     月     日</w:t>
      </w:r>
    </w:p>
    <w:p w14:paraId="71F22A3C">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70DF85D8">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025CB238">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570D7B1D">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说明：</w:t>
      </w:r>
    </w:p>
    <w:p w14:paraId="754E04DE">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1.开标一览表按格式填列；</w:t>
      </w:r>
    </w:p>
    <w:p w14:paraId="37AD7A9D">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2.开标一览表在开标大会上当众宣读，务必填写清楚，准确无误；</w:t>
      </w:r>
    </w:p>
    <w:p w14:paraId="1EC83357">
      <w:pPr>
        <w:kinsoku/>
        <w:overflowPunct/>
        <w:topLinePunct w:val="0"/>
        <w:autoSpaceDE/>
        <w:autoSpaceDN/>
        <w:bidi w:val="0"/>
        <w:snapToGrid w:val="0"/>
        <w:spacing w:line="240" w:lineRule="auto"/>
        <w:ind w:firstLine="560" w:firstLineChars="200"/>
        <w:rPr>
          <w:rFonts w:hint="eastAsia" w:ascii="微软雅黑" w:hAnsi="微软雅黑" w:eastAsia="微软雅黑" w:cs="微软雅黑"/>
          <w:b/>
          <w:bCs/>
          <w:color w:val="auto"/>
          <w:sz w:val="24"/>
          <w:szCs w:val="28"/>
          <w:highlight w:val="none"/>
        </w:rPr>
      </w:pPr>
      <w:r>
        <w:rPr>
          <w:rFonts w:hint="eastAsia" w:ascii="微软雅黑" w:hAnsi="微软雅黑" w:eastAsia="微软雅黑" w:cs="微软雅黑"/>
          <w:color w:val="auto"/>
          <w:szCs w:val="28"/>
          <w:highlight w:val="none"/>
        </w:rPr>
        <w:br w:type="page"/>
      </w:r>
      <w:r>
        <w:rPr>
          <w:rFonts w:hint="eastAsia" w:ascii="微软雅黑" w:hAnsi="微软雅黑" w:eastAsia="微软雅黑" w:cs="微软雅黑"/>
          <w:color w:val="auto"/>
          <w:sz w:val="24"/>
          <w:szCs w:val="28"/>
          <w:highlight w:val="none"/>
        </w:rPr>
        <w:t>（二）分项报价明细表</w:t>
      </w:r>
    </w:p>
    <w:p w14:paraId="451AD715">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bookmarkStart w:id="111" w:name="_Toc15891"/>
      <w:bookmarkStart w:id="112" w:name="_Toc2784"/>
      <w:bookmarkStart w:id="113" w:name="_Toc23774"/>
      <w:bookmarkStart w:id="114" w:name="_Toc3224"/>
      <w:bookmarkStart w:id="115" w:name="_Toc13820"/>
      <w:bookmarkStart w:id="116" w:name="_Toc21779"/>
      <w:bookmarkStart w:id="117" w:name="_Toc75793541"/>
      <w:bookmarkStart w:id="118" w:name="_Toc29441"/>
      <w:bookmarkStart w:id="119" w:name="_Toc26723"/>
      <w:bookmarkStart w:id="120" w:name="_Toc5166"/>
      <w:bookmarkStart w:id="121" w:name="_Toc7244"/>
      <w:bookmarkStart w:id="122" w:name="_Toc106030418"/>
      <w:bookmarkStart w:id="123" w:name="_Toc15573"/>
      <w:bookmarkStart w:id="124" w:name="_Toc31344"/>
      <w:bookmarkStart w:id="125" w:name="_Toc11188"/>
      <w:bookmarkStart w:id="126" w:name="_Toc1842"/>
      <w:bookmarkStart w:id="127" w:name="_Toc3836"/>
      <w:bookmarkStart w:id="128" w:name="_Toc493178790"/>
      <w:bookmarkStart w:id="129" w:name="_Toc14980"/>
      <w:bookmarkStart w:id="130" w:name="_Toc21203"/>
      <w:r>
        <w:rPr>
          <w:rFonts w:hint="eastAsia" w:ascii="微软雅黑" w:hAnsi="微软雅黑" w:eastAsia="微软雅黑" w:cs="微软雅黑"/>
          <w:color w:val="auto"/>
          <w:sz w:val="24"/>
          <w:szCs w:val="28"/>
          <w:highlight w:val="none"/>
        </w:rPr>
        <w:t>项目号：</w:t>
      </w:r>
    </w:p>
    <w:p w14:paraId="73E88BEE">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项目名称：                                           单位：元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7"/>
        <w:gridCol w:w="2612"/>
        <w:gridCol w:w="1916"/>
        <w:gridCol w:w="1924"/>
        <w:gridCol w:w="1926"/>
        <w:gridCol w:w="12"/>
      </w:tblGrid>
      <w:tr w14:paraId="1A0B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1238" w:type="dxa"/>
            <w:gridSpan w:val="2"/>
            <w:noWrap w:val="0"/>
            <w:vAlign w:val="center"/>
          </w:tcPr>
          <w:p w14:paraId="13244317">
            <w:pPr>
              <w:kinsoku/>
              <w:overflowPunct/>
              <w:topLinePunct w:val="0"/>
              <w:autoSpaceDE/>
              <w:autoSpaceDN/>
              <w:bidi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2612" w:type="dxa"/>
            <w:noWrap w:val="0"/>
            <w:vAlign w:val="center"/>
          </w:tcPr>
          <w:p w14:paraId="79F3645B">
            <w:pPr>
              <w:kinsoku/>
              <w:overflowPunct/>
              <w:topLinePunct w:val="0"/>
              <w:autoSpaceDE/>
              <w:autoSpaceDN/>
              <w:bidi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名称</w:t>
            </w:r>
          </w:p>
        </w:tc>
        <w:tc>
          <w:tcPr>
            <w:tcW w:w="1916" w:type="dxa"/>
            <w:noWrap w:val="0"/>
            <w:vAlign w:val="center"/>
          </w:tcPr>
          <w:p w14:paraId="51F2A950">
            <w:pPr>
              <w:kinsoku/>
              <w:overflowPunct/>
              <w:topLinePunct w:val="0"/>
              <w:autoSpaceDE/>
              <w:autoSpaceDN/>
              <w:bidi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数量</w:t>
            </w:r>
          </w:p>
        </w:tc>
        <w:tc>
          <w:tcPr>
            <w:tcW w:w="1924" w:type="dxa"/>
            <w:noWrap w:val="0"/>
            <w:vAlign w:val="center"/>
          </w:tcPr>
          <w:p w14:paraId="7019E44D">
            <w:pPr>
              <w:kinsoku/>
              <w:overflowPunct/>
              <w:topLinePunct w:val="0"/>
              <w:autoSpaceDE/>
              <w:autoSpaceDN/>
              <w:bidi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单价</w:t>
            </w:r>
          </w:p>
        </w:tc>
        <w:tc>
          <w:tcPr>
            <w:tcW w:w="1938" w:type="dxa"/>
            <w:gridSpan w:val="2"/>
            <w:noWrap w:val="0"/>
            <w:vAlign w:val="center"/>
          </w:tcPr>
          <w:p w14:paraId="1E32148F">
            <w:pPr>
              <w:kinsoku/>
              <w:overflowPunct/>
              <w:topLinePunct w:val="0"/>
              <w:autoSpaceDE/>
              <w:autoSpaceDN/>
              <w:bidi w:val="0"/>
              <w:spacing w:line="240" w:lineRule="auto"/>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合计</w:t>
            </w:r>
          </w:p>
        </w:tc>
      </w:tr>
      <w:tr w14:paraId="0E8B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10730B4C">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2612" w:type="dxa"/>
            <w:noWrap w:val="0"/>
            <w:vAlign w:val="center"/>
          </w:tcPr>
          <w:p w14:paraId="7EEA2D6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153F352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6207F3E1">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2D4430B3">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3E87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2828603C">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2612" w:type="dxa"/>
            <w:noWrap w:val="0"/>
            <w:vAlign w:val="center"/>
          </w:tcPr>
          <w:p w14:paraId="55B7C9E5">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337989A4">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4F2A0555">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4EC1DD2E">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0CDF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1A3AD2B6">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2612" w:type="dxa"/>
            <w:noWrap w:val="0"/>
            <w:vAlign w:val="center"/>
          </w:tcPr>
          <w:p w14:paraId="500E4F69">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05DE12FD">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4E6CA1E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77E98E8F">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0B5F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686440E7">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p>
        </w:tc>
        <w:tc>
          <w:tcPr>
            <w:tcW w:w="2612" w:type="dxa"/>
            <w:noWrap w:val="0"/>
            <w:vAlign w:val="center"/>
          </w:tcPr>
          <w:p w14:paraId="6DD35A1F">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645EAC5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3B9E897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347A84FF">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5C67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72E0FB82">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w:t>
            </w:r>
          </w:p>
        </w:tc>
        <w:tc>
          <w:tcPr>
            <w:tcW w:w="2612" w:type="dxa"/>
            <w:noWrap w:val="0"/>
            <w:vAlign w:val="center"/>
          </w:tcPr>
          <w:p w14:paraId="0016579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25F1799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24C202A3">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09FFFE02">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1CCE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2D9E9575">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p>
        </w:tc>
        <w:tc>
          <w:tcPr>
            <w:tcW w:w="2612" w:type="dxa"/>
            <w:noWrap w:val="0"/>
            <w:vAlign w:val="center"/>
          </w:tcPr>
          <w:p w14:paraId="11347C3B">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65A860C0">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2BAF4D4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68ECB236">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6112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066E9416">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w:t>
            </w:r>
          </w:p>
        </w:tc>
        <w:tc>
          <w:tcPr>
            <w:tcW w:w="2612" w:type="dxa"/>
            <w:noWrap w:val="0"/>
            <w:vAlign w:val="center"/>
          </w:tcPr>
          <w:p w14:paraId="6EA419DD">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4513107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24" w:type="dxa"/>
            <w:noWrap w:val="0"/>
            <w:vAlign w:val="top"/>
          </w:tcPr>
          <w:p w14:paraId="6B4237D4">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2E91E158">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6790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790FE3F9">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w:t>
            </w:r>
          </w:p>
        </w:tc>
        <w:tc>
          <w:tcPr>
            <w:tcW w:w="2612" w:type="dxa"/>
            <w:noWrap w:val="0"/>
            <w:vAlign w:val="center"/>
          </w:tcPr>
          <w:p w14:paraId="45C4576E">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6E5E993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c>
          <w:tcPr>
            <w:tcW w:w="1924" w:type="dxa"/>
            <w:noWrap w:val="0"/>
            <w:vAlign w:val="top"/>
          </w:tcPr>
          <w:p w14:paraId="49C3676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0024DE1C">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49C5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29CF4333">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9</w:t>
            </w:r>
          </w:p>
        </w:tc>
        <w:tc>
          <w:tcPr>
            <w:tcW w:w="2612" w:type="dxa"/>
            <w:noWrap w:val="0"/>
            <w:vAlign w:val="center"/>
          </w:tcPr>
          <w:p w14:paraId="61B529BA">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05AC6C02">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c>
          <w:tcPr>
            <w:tcW w:w="1924" w:type="dxa"/>
            <w:noWrap w:val="0"/>
            <w:vAlign w:val="top"/>
          </w:tcPr>
          <w:p w14:paraId="790F9B9F">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08E0E0C0">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3959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4B78E8FD">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c>
          <w:tcPr>
            <w:tcW w:w="2612" w:type="dxa"/>
            <w:noWrap w:val="0"/>
            <w:vAlign w:val="center"/>
          </w:tcPr>
          <w:p w14:paraId="5186B1A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16" w:type="dxa"/>
            <w:noWrap w:val="0"/>
            <w:vAlign w:val="center"/>
          </w:tcPr>
          <w:p w14:paraId="3440F1FE">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c>
          <w:tcPr>
            <w:tcW w:w="1924" w:type="dxa"/>
            <w:noWrap w:val="0"/>
            <w:vAlign w:val="top"/>
          </w:tcPr>
          <w:p w14:paraId="1BF60EBF">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614E27F2">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390E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01E384BF">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2612" w:type="dxa"/>
            <w:noWrap w:val="0"/>
            <w:vAlign w:val="center"/>
          </w:tcPr>
          <w:p w14:paraId="1E870B15">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c>
          <w:tcPr>
            <w:tcW w:w="1916" w:type="dxa"/>
            <w:noWrap w:val="0"/>
            <w:vAlign w:val="center"/>
          </w:tcPr>
          <w:p w14:paraId="4AC79844">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p>
        </w:tc>
        <w:tc>
          <w:tcPr>
            <w:tcW w:w="1924" w:type="dxa"/>
            <w:noWrap w:val="0"/>
            <w:vAlign w:val="top"/>
          </w:tcPr>
          <w:p w14:paraId="1AF41F81">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c>
          <w:tcPr>
            <w:tcW w:w="1938" w:type="dxa"/>
            <w:gridSpan w:val="2"/>
            <w:noWrap w:val="0"/>
            <w:vAlign w:val="top"/>
          </w:tcPr>
          <w:p w14:paraId="40ED1757">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p>
        </w:tc>
      </w:tr>
      <w:tr w14:paraId="514F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97" w:hRule="exact"/>
          <w:jc w:val="center"/>
        </w:trPr>
        <w:tc>
          <w:tcPr>
            <w:tcW w:w="1231" w:type="dxa"/>
            <w:noWrap w:val="0"/>
            <w:vAlign w:val="center"/>
          </w:tcPr>
          <w:p w14:paraId="542CFD58">
            <w:pPr>
              <w:pStyle w:val="10"/>
              <w:kinsoku/>
              <w:overflowPunct/>
              <w:topLinePunct w:val="0"/>
              <w:autoSpaceDE/>
              <w:autoSpaceDN/>
              <w:bidi w:val="0"/>
              <w:spacing w:line="240" w:lineRule="auto"/>
              <w:ind w:left="0"/>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w:t>
            </w:r>
          </w:p>
        </w:tc>
        <w:tc>
          <w:tcPr>
            <w:tcW w:w="2619" w:type="dxa"/>
            <w:gridSpan w:val="2"/>
            <w:noWrap w:val="0"/>
            <w:vAlign w:val="center"/>
          </w:tcPr>
          <w:p w14:paraId="1C19F8CC">
            <w:pPr>
              <w:kinsoku/>
              <w:overflowPunct/>
              <w:topLinePunct w:val="0"/>
              <w:autoSpaceDE/>
              <w:autoSpaceDN/>
              <w:bidi w:val="0"/>
              <w:spacing w:line="24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总计</w:t>
            </w:r>
          </w:p>
        </w:tc>
        <w:tc>
          <w:tcPr>
            <w:tcW w:w="5766" w:type="dxa"/>
            <w:gridSpan w:val="3"/>
            <w:noWrap w:val="0"/>
            <w:vAlign w:val="top"/>
          </w:tcPr>
          <w:p w14:paraId="4690116D">
            <w:pPr>
              <w:kinsoku/>
              <w:overflowPunct/>
              <w:topLinePunct w:val="0"/>
              <w:autoSpaceDE/>
              <w:autoSpaceDN/>
              <w:bidi w:val="0"/>
              <w:spacing w:line="240" w:lineRule="auto"/>
              <w:rPr>
                <w:rFonts w:hint="eastAsia" w:ascii="微软雅黑" w:hAnsi="微软雅黑" w:eastAsia="微软雅黑" w:cs="微软雅黑"/>
                <w:color w:val="auto"/>
                <w:sz w:val="21"/>
                <w:szCs w:val="21"/>
                <w:highlight w:val="none"/>
              </w:rPr>
            </w:pPr>
          </w:p>
        </w:tc>
      </w:tr>
    </w:tbl>
    <w:p w14:paraId="07C95A72">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p>
    <w:p w14:paraId="6A003605">
      <w:pPr>
        <w:kinsoku/>
        <w:overflowPunct/>
        <w:topLinePunct w:val="0"/>
        <w:autoSpaceDE/>
        <w:autoSpaceDN/>
        <w:bidi w:val="0"/>
        <w:spacing w:line="240" w:lineRule="auto"/>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                   法定代表人（或法定代表人授权代表）或自然人：</w:t>
      </w:r>
    </w:p>
    <w:p w14:paraId="3344C058">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公章）                               （签署或盖章）</w:t>
      </w:r>
    </w:p>
    <w:p w14:paraId="5E792171">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6885E341">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6158E4E8">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年     月     日</w:t>
      </w:r>
    </w:p>
    <w:p w14:paraId="11585D54">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4FA43A46">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注：</w:t>
      </w:r>
    </w:p>
    <w:p w14:paraId="556CA66B">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1.请</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完整填写本表；</w:t>
      </w:r>
    </w:p>
    <w:p w14:paraId="0297AE46">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b/>
          <w:color w:val="auto"/>
          <w:szCs w:val="28"/>
          <w:highlight w:val="none"/>
        </w:rPr>
      </w:pPr>
      <w:r>
        <w:rPr>
          <w:rFonts w:hint="eastAsia" w:ascii="微软雅黑" w:hAnsi="微软雅黑" w:eastAsia="微软雅黑" w:cs="微软雅黑"/>
          <w:color w:val="auto"/>
          <w:sz w:val="24"/>
          <w:szCs w:val="28"/>
          <w:highlight w:val="none"/>
        </w:rPr>
        <w:t>2.该表可扩展。</w:t>
      </w:r>
      <w:r>
        <w:rPr>
          <w:rFonts w:hint="eastAsia" w:ascii="微软雅黑" w:hAnsi="微软雅黑" w:eastAsia="微软雅黑" w:cs="微软雅黑"/>
          <w:b/>
          <w:color w:val="auto"/>
          <w:szCs w:val="28"/>
          <w:highlight w:val="none"/>
        </w:rPr>
        <w:br w:type="page"/>
      </w:r>
      <w:r>
        <w:rPr>
          <w:rFonts w:hint="eastAsia" w:ascii="微软雅黑" w:hAnsi="微软雅黑" w:eastAsia="微软雅黑" w:cs="微软雅黑"/>
          <w:b/>
          <w:color w:val="auto"/>
          <w:szCs w:val="28"/>
          <w:highlight w:val="none"/>
        </w:rPr>
        <w:t>二、</w:t>
      </w:r>
      <w:r>
        <w:rPr>
          <w:rFonts w:hint="eastAsia" w:ascii="微软雅黑" w:hAnsi="微软雅黑" w:eastAsia="微软雅黑" w:cs="微软雅黑"/>
          <w:b/>
          <w:color w:val="auto"/>
          <w:szCs w:val="28"/>
          <w:highlight w:val="none"/>
          <w:lang w:val="en-US" w:eastAsia="zh-CN"/>
        </w:rPr>
        <w:t>服务</w:t>
      </w:r>
      <w:r>
        <w:rPr>
          <w:rFonts w:hint="eastAsia" w:ascii="微软雅黑" w:hAnsi="微软雅黑" w:eastAsia="微软雅黑" w:cs="微软雅黑"/>
          <w:b/>
          <w:color w:val="auto"/>
          <w:szCs w:val="28"/>
          <w:highlight w:val="none"/>
        </w:rPr>
        <w:t>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89AD2E8">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（一）服务条款差异表</w:t>
      </w:r>
    </w:p>
    <w:p w14:paraId="66259821">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项目号：</w:t>
      </w:r>
    </w:p>
    <w:p w14:paraId="06FEACF6">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53B0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660" w:type="pct"/>
            <w:noWrap w:val="0"/>
            <w:vAlign w:val="center"/>
          </w:tcPr>
          <w:p w14:paraId="7E226F0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1542" w:type="pct"/>
            <w:noWrap w:val="0"/>
            <w:vAlign w:val="center"/>
          </w:tcPr>
          <w:p w14:paraId="234231A4">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招标要求</w:t>
            </w:r>
          </w:p>
        </w:tc>
        <w:tc>
          <w:tcPr>
            <w:tcW w:w="1600" w:type="pct"/>
            <w:noWrap w:val="0"/>
            <w:vAlign w:val="center"/>
          </w:tcPr>
          <w:p w14:paraId="21F9823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投标应答</w:t>
            </w:r>
          </w:p>
        </w:tc>
        <w:tc>
          <w:tcPr>
            <w:tcW w:w="1199" w:type="pct"/>
            <w:noWrap w:val="0"/>
            <w:vAlign w:val="center"/>
          </w:tcPr>
          <w:p w14:paraId="0B15024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差异说明</w:t>
            </w:r>
          </w:p>
        </w:tc>
      </w:tr>
      <w:tr w14:paraId="2EC8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8C53A43">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181EFED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0A6C3A7E">
            <w:pPr>
              <w:tabs>
                <w:tab w:val="left" w:pos="6300"/>
              </w:tabs>
              <w:kinsoku/>
              <w:overflowPunct/>
              <w:topLinePunct w:val="0"/>
              <w:autoSpaceDE/>
              <w:autoSpaceDN/>
              <w:bidi w:val="0"/>
              <w:snapToGrid w:val="0"/>
              <w:spacing w:line="240" w:lineRule="auto"/>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提醒：请注明技术参数或具体内容以及投标文件中技术参数或具体内容的位置（页码）</w:t>
            </w:r>
          </w:p>
        </w:tc>
        <w:tc>
          <w:tcPr>
            <w:tcW w:w="1199" w:type="pct"/>
            <w:noWrap w:val="0"/>
            <w:vAlign w:val="center"/>
          </w:tcPr>
          <w:p w14:paraId="14487FA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6E3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BF6822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485DBA0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45213AC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1342D4F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69EE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8F31CB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725EB60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6C1DC1A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88D8B2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3EAA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660" w:type="pct"/>
            <w:noWrap w:val="0"/>
            <w:vAlign w:val="center"/>
          </w:tcPr>
          <w:p w14:paraId="7796350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219D3DC2">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2E934DB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0E077AB2">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2CEB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B7A57E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0C468363">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421A687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34E4253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03D2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2A9C00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7FAFA6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1FCACBD5">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F5C3EF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0A92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DDACCB6">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739FFEF3">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1AF1EA66">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83068B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42B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504533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1B8A41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42DA7A4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5B094D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361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22D17B8">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121B1D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4A59826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1A200EC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69C7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660" w:type="pct"/>
            <w:noWrap w:val="0"/>
            <w:vAlign w:val="center"/>
          </w:tcPr>
          <w:p w14:paraId="72E090E8">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EAA656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20AD4715">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37059A7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bl>
    <w:p w14:paraId="5FC8A27D">
      <w:pPr>
        <w:kinsoku/>
        <w:overflowPunct/>
        <w:topLinePunct w:val="0"/>
        <w:autoSpaceDE/>
        <w:autoSpaceDN/>
        <w:bidi w:val="0"/>
        <w:spacing w:line="240" w:lineRule="auto"/>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                      法定代表人（或法定代表人授权代表）或自然人：</w:t>
      </w:r>
    </w:p>
    <w:p w14:paraId="56579B26">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5D710E74">
      <w:pPr>
        <w:kinsoku/>
        <w:overflowPunct/>
        <w:topLinePunct w:val="0"/>
        <w:autoSpaceDE/>
        <w:autoSpaceDN/>
        <w:bidi w:val="0"/>
        <w:spacing w:line="240" w:lineRule="auto"/>
        <w:ind w:firstLine="720" w:firstLineChars="3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公章）                               （签署或盖章）</w:t>
      </w:r>
    </w:p>
    <w:p w14:paraId="6A1C21B4">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6FE8CB11">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40B915D2">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1.本表即为对本项目“第二篇  项目</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需求”中所列条款进行比较和响应；</w:t>
      </w:r>
    </w:p>
    <w:p w14:paraId="387EF9A7">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2.本表可扩展；</w:t>
      </w:r>
    </w:p>
    <w:p w14:paraId="6F7C7D64">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 w:val="24"/>
          <w:szCs w:val="28"/>
          <w:highlight w:val="none"/>
          <w:lang w:val="en-US" w:eastAsia="zh-CN"/>
        </w:rPr>
        <w:t>3</w:t>
      </w:r>
      <w:r>
        <w:rPr>
          <w:rFonts w:hint="eastAsia" w:ascii="微软雅黑" w:hAnsi="微软雅黑" w:eastAsia="微软雅黑" w:cs="微软雅黑"/>
          <w:color w:val="auto"/>
          <w:sz w:val="24"/>
          <w:szCs w:val="28"/>
          <w:highlight w:val="none"/>
        </w:rPr>
        <w:t>.投标应答栏中应当注具体内容，且必须标注具体内容在投标文件中的位置（页码）。</w:t>
      </w:r>
    </w:p>
    <w:p w14:paraId="2AEDC9F5">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Cs w:val="24"/>
          <w:highlight w:val="none"/>
        </w:rPr>
        <w:br w:type="page"/>
      </w:r>
    </w:p>
    <w:p w14:paraId="5954AD31">
      <w:pPr>
        <w:pStyle w:val="3"/>
        <w:pageBreakBefore/>
        <w:numPr>
          <w:ilvl w:val="0"/>
          <w:numId w:val="0"/>
        </w:numPr>
        <w:kinsoku/>
        <w:overflowPunct/>
        <w:topLinePunct w:val="0"/>
        <w:autoSpaceDE/>
        <w:autoSpaceDN/>
        <w:bidi w:val="0"/>
        <w:spacing w:line="240" w:lineRule="auto"/>
        <w:ind w:firstLine="560" w:firstLineChars="200"/>
        <w:rPr>
          <w:rFonts w:hint="eastAsia" w:ascii="微软雅黑" w:hAnsi="微软雅黑" w:eastAsia="微软雅黑" w:cs="微软雅黑"/>
          <w:b/>
          <w:color w:val="auto"/>
          <w:szCs w:val="28"/>
          <w:highlight w:val="none"/>
        </w:rPr>
      </w:pPr>
      <w:bookmarkStart w:id="131" w:name="_Toc5573"/>
      <w:bookmarkStart w:id="132" w:name="_Toc22113"/>
      <w:bookmarkStart w:id="133" w:name="_Toc17711"/>
      <w:bookmarkStart w:id="134" w:name="_Toc4362"/>
      <w:bookmarkStart w:id="135" w:name="_Toc492721039"/>
      <w:bookmarkStart w:id="136" w:name="_Toc106030419"/>
      <w:bookmarkStart w:id="137" w:name="_Toc26494"/>
      <w:bookmarkStart w:id="138" w:name="_Toc75793542"/>
      <w:bookmarkStart w:id="139" w:name="_Toc6786"/>
      <w:bookmarkStart w:id="140" w:name="_Toc23523"/>
      <w:bookmarkStart w:id="141" w:name="_Toc10372"/>
      <w:bookmarkStart w:id="142" w:name="_Toc7069"/>
      <w:bookmarkStart w:id="143" w:name="_Toc493178791"/>
      <w:bookmarkStart w:id="144" w:name="_Toc30496"/>
      <w:bookmarkStart w:id="145" w:name="_Toc17290"/>
      <w:bookmarkStart w:id="146" w:name="_Toc14954"/>
      <w:bookmarkStart w:id="147" w:name="_Toc28242"/>
      <w:bookmarkStart w:id="148" w:name="_Toc8958"/>
      <w:bookmarkStart w:id="149" w:name="_Toc32670"/>
      <w:r>
        <w:rPr>
          <w:rFonts w:hint="eastAsia" w:ascii="微软雅黑" w:hAnsi="微软雅黑" w:eastAsia="微软雅黑" w:cs="微软雅黑"/>
          <w:b/>
          <w:color w:val="auto"/>
          <w:szCs w:val="28"/>
          <w:highlight w:val="none"/>
        </w:rPr>
        <w:t>三、商务文件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A9D3AE0">
      <w:pPr>
        <w:kinsoku/>
        <w:overflowPunct/>
        <w:topLinePunct w:val="0"/>
        <w:autoSpaceDE/>
        <w:autoSpaceDN/>
        <w:bidi w:val="0"/>
        <w:snapToGrid w:val="0"/>
        <w:spacing w:before="120" w:beforeLines="50" w:line="240" w:lineRule="auto"/>
        <w:jc w:val="center"/>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t>（一）</w:t>
      </w:r>
      <w:r>
        <w:rPr>
          <w:rFonts w:hint="eastAsia" w:ascii="微软雅黑" w:hAnsi="微软雅黑" w:eastAsia="微软雅黑" w:cs="微软雅黑"/>
          <w:color w:val="auto"/>
          <w:szCs w:val="28"/>
          <w:highlight w:val="none"/>
          <w:lang w:eastAsia="zh-CN"/>
        </w:rPr>
        <w:t>竞选函</w:t>
      </w:r>
      <w:r>
        <w:rPr>
          <w:rFonts w:hint="eastAsia" w:ascii="微软雅黑" w:hAnsi="微软雅黑" w:eastAsia="微软雅黑" w:cs="微软雅黑"/>
          <w:color w:val="auto"/>
          <w:szCs w:val="28"/>
          <w:highlight w:val="none"/>
        </w:rPr>
        <w:t>（格式）</w:t>
      </w:r>
    </w:p>
    <w:p w14:paraId="2C614088">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79795C73">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u w:val="singl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szCs w:val="28"/>
          <w:highlight w:val="none"/>
          <w:u w:val="single"/>
        </w:rPr>
        <w:t xml:space="preserve">                                             </w:t>
      </w:r>
    </w:p>
    <w:p w14:paraId="240E0E2A">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p>
    <w:p w14:paraId="2CEE804D">
      <w:pPr>
        <w:tabs>
          <w:tab w:val="left" w:pos="6300"/>
        </w:tabs>
        <w:kinsoku/>
        <w:overflowPunct/>
        <w:topLinePunct w:val="0"/>
        <w:autoSpaceDE/>
        <w:autoSpaceDN/>
        <w:bidi w:val="0"/>
        <w:snapToGrid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致：</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（采购代理机构名称）：</w:t>
      </w:r>
    </w:p>
    <w:p w14:paraId="08AF96BF">
      <w:pPr>
        <w:kinsoku/>
        <w:overflowPunct/>
        <w:topLinePunct w:val="0"/>
        <w:autoSpaceDE/>
        <w:autoSpaceDN/>
        <w:bidi w:val="0"/>
        <w:snapToGrid w:val="0"/>
        <w:spacing w:before="120" w:beforeLines="50"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名称）系中华人民共和国合法企业，注册地址：</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。我方就参加本次投标有关事项郑重声明如下：</w:t>
      </w:r>
    </w:p>
    <w:p w14:paraId="26B3E009">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一、我方完全理解并接受该项目招标文件所有要求。</w:t>
      </w:r>
    </w:p>
    <w:p w14:paraId="54D8BDC9">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二、我方提交的所有投标文件、资料都是准确和真实的，如有虚假或隐瞒，我方愿意承担一切法律责任。</w:t>
      </w:r>
    </w:p>
    <w:p w14:paraId="5FEE618C">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三、我方承诺按照招标文件要求，提供招标项目的服务。</w:t>
      </w:r>
    </w:p>
    <w:p w14:paraId="13B6311A">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四、我方按招标文件要求提交的投标文件为：投标文件正本1份，副本  份，电子文档  份。</w:t>
      </w:r>
    </w:p>
    <w:p w14:paraId="1EE08691">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五、我方承诺：本次投标的投标有效期为</w:t>
      </w:r>
      <w:r>
        <w:rPr>
          <w:rFonts w:hint="eastAsia" w:ascii="微软雅黑" w:hAnsi="微软雅黑" w:eastAsia="微软雅黑" w:cs="微软雅黑"/>
          <w:color w:val="auto"/>
          <w:sz w:val="24"/>
          <w:highlight w:val="none"/>
        </w:rPr>
        <w:t>投标截止时间</w:t>
      </w:r>
      <w:r>
        <w:rPr>
          <w:rFonts w:hint="eastAsia" w:ascii="微软雅黑" w:hAnsi="微软雅黑" w:eastAsia="微软雅黑" w:cs="微软雅黑"/>
          <w:color w:val="auto"/>
          <w:sz w:val="24"/>
          <w:szCs w:val="28"/>
          <w:highlight w:val="none"/>
        </w:rPr>
        <w:t>起90天。</w:t>
      </w:r>
    </w:p>
    <w:p w14:paraId="140FD958">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六、我方投标报价为闭口价。即在投标有效期和合同有效期内，该报价固定不变。</w:t>
      </w:r>
    </w:p>
    <w:p w14:paraId="69192C02">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七、如果我方中标，我方将履行招标文件中规定的各项要求以及我方投标文件的各项承诺，按《中华人民共和国民法典》及合同约定条款承担我方责任。</w:t>
      </w:r>
    </w:p>
    <w:p w14:paraId="124DC01A">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八、我方未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435DB890">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九、我方理解，最低报价不是中标的唯一条件。</w:t>
      </w:r>
    </w:p>
    <w:p w14:paraId="36408038">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十、我方同意按有关规定及招标文件要求，交纳足额投标保证金。</w:t>
      </w:r>
    </w:p>
    <w:p w14:paraId="4D6F7835">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十一、若我方中标，愿意按有关规定及招标文件要求缴纳招标代理服务费和交易服务费。</w:t>
      </w:r>
    </w:p>
    <w:p w14:paraId="58D511C1">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8"/>
          <w:highlight w:val="none"/>
        </w:rPr>
      </w:pPr>
    </w:p>
    <w:p w14:paraId="2259567B">
      <w:pPr>
        <w:tabs>
          <w:tab w:val="left" w:pos="6300"/>
        </w:tabs>
        <w:kinsoku/>
        <w:overflowPunct/>
        <w:topLinePunct w:val="0"/>
        <w:autoSpaceDE/>
        <w:autoSpaceDN/>
        <w:bidi w:val="0"/>
        <w:snapToGrid w:val="0"/>
        <w:spacing w:line="240" w:lineRule="auto"/>
        <w:ind w:firstLine="5460" w:firstLineChars="2275"/>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公章或自然人签署）</w:t>
      </w:r>
    </w:p>
    <w:p w14:paraId="2F993340">
      <w:pPr>
        <w:tabs>
          <w:tab w:val="left" w:pos="6300"/>
        </w:tabs>
        <w:kinsoku/>
        <w:overflowPunct/>
        <w:topLinePunct w:val="0"/>
        <w:autoSpaceDE/>
        <w:autoSpaceDN/>
        <w:bidi w:val="0"/>
        <w:snapToGrid w:val="0"/>
        <w:spacing w:line="240" w:lineRule="auto"/>
        <w:ind w:firstLine="5760" w:firstLineChars="2400"/>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 w:val="24"/>
          <w:szCs w:val="28"/>
          <w:highlight w:val="none"/>
        </w:rPr>
        <w:t>年    月   日</w:t>
      </w:r>
    </w:p>
    <w:p w14:paraId="6914E905">
      <w:pPr>
        <w:kinsoku/>
        <w:overflowPunct/>
        <w:topLinePunct w:val="0"/>
        <w:autoSpaceDE/>
        <w:autoSpaceDN/>
        <w:bidi w:val="0"/>
        <w:snapToGrid w:val="0"/>
        <w:spacing w:line="240" w:lineRule="auto"/>
        <w:ind w:firstLine="56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Cs w:val="44"/>
          <w:highlight w:val="none"/>
        </w:rPr>
        <w:br w:type="page"/>
      </w:r>
      <w:r>
        <w:rPr>
          <w:rFonts w:hint="eastAsia" w:ascii="微软雅黑" w:hAnsi="微软雅黑" w:eastAsia="微软雅黑" w:cs="微软雅黑"/>
          <w:color w:val="auto"/>
          <w:sz w:val="24"/>
          <w:szCs w:val="28"/>
          <w:highlight w:val="none"/>
        </w:rPr>
        <w:t>（二）商务条款差异表</w:t>
      </w:r>
    </w:p>
    <w:p w14:paraId="4724FCB6">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项目号：</w:t>
      </w:r>
    </w:p>
    <w:p w14:paraId="586F599E">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项目名称：</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65BD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4EB4997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1542" w:type="pct"/>
            <w:noWrap w:val="0"/>
            <w:vAlign w:val="center"/>
          </w:tcPr>
          <w:p w14:paraId="61A13474">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招标商务要求</w:t>
            </w:r>
          </w:p>
        </w:tc>
        <w:tc>
          <w:tcPr>
            <w:tcW w:w="1600" w:type="pct"/>
            <w:noWrap w:val="0"/>
            <w:vAlign w:val="center"/>
          </w:tcPr>
          <w:p w14:paraId="3B7768F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投标商务应答</w:t>
            </w:r>
          </w:p>
        </w:tc>
        <w:tc>
          <w:tcPr>
            <w:tcW w:w="1199" w:type="pct"/>
            <w:noWrap w:val="0"/>
            <w:vAlign w:val="center"/>
          </w:tcPr>
          <w:p w14:paraId="69BAABC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差异说明</w:t>
            </w:r>
          </w:p>
        </w:tc>
      </w:tr>
      <w:tr w14:paraId="6464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1F91410">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081C20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5BA2155E">
            <w:pPr>
              <w:tabs>
                <w:tab w:val="left" w:pos="6300"/>
              </w:tabs>
              <w:kinsoku/>
              <w:overflowPunct/>
              <w:topLinePunct w:val="0"/>
              <w:autoSpaceDE/>
              <w:autoSpaceDN/>
              <w:bidi w:val="0"/>
              <w:snapToGrid w:val="0"/>
              <w:spacing w:line="240" w:lineRule="auto"/>
              <w:outlineLvl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提醒：请注明具体内容以及投标文件中具体内容的位置（页码）</w:t>
            </w:r>
          </w:p>
        </w:tc>
        <w:tc>
          <w:tcPr>
            <w:tcW w:w="1199" w:type="pct"/>
            <w:noWrap w:val="0"/>
            <w:vAlign w:val="center"/>
          </w:tcPr>
          <w:p w14:paraId="406BC66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6B43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F8DCC1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41EC85F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50E4EB8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3C7BC1A9">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21F1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A7BD84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62B7D2B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70BABD89">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7A1DB2E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6112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5A74F34">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645811B0">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70CB11E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6409775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09B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B8DD07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693FDD03">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0EDA74A8">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1F61772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5FA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7846D8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5FBD160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64D957F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65D4FC3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4FA7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707CD07">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5B9EB26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5940712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6F6A6402">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18EC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CFA72C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0B66DAF5">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6A845B6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A7BD67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6FE8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5455BD4">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77E0BB10">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4F47F99B">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BAD2A9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2E1D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30895CD">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6E80440C">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7FB980D4">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2643829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2CC4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6D7BC19">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195C00F8">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630B296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74FDC4F3">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3F0F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D92BF86">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32B18421">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7D02283F">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14AE9A6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r w14:paraId="33FE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0ADD15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542" w:type="pct"/>
            <w:noWrap w:val="0"/>
            <w:vAlign w:val="center"/>
          </w:tcPr>
          <w:p w14:paraId="5DCC10BE">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600" w:type="pct"/>
            <w:noWrap w:val="0"/>
            <w:vAlign w:val="center"/>
          </w:tcPr>
          <w:p w14:paraId="22D1A1DA">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c>
          <w:tcPr>
            <w:tcW w:w="1199" w:type="pct"/>
            <w:noWrap w:val="0"/>
            <w:vAlign w:val="center"/>
          </w:tcPr>
          <w:p w14:paraId="69449532">
            <w:pPr>
              <w:tabs>
                <w:tab w:val="left" w:pos="6300"/>
              </w:tabs>
              <w:kinsoku/>
              <w:overflowPunct/>
              <w:topLinePunct w:val="0"/>
              <w:autoSpaceDE/>
              <w:autoSpaceDN/>
              <w:bidi w:val="0"/>
              <w:snapToGrid w:val="0"/>
              <w:spacing w:line="240" w:lineRule="auto"/>
              <w:jc w:val="center"/>
              <w:outlineLvl w:val="0"/>
              <w:rPr>
                <w:rFonts w:hint="eastAsia" w:ascii="微软雅黑" w:hAnsi="微软雅黑" w:eastAsia="微软雅黑" w:cs="微软雅黑"/>
                <w:color w:val="auto"/>
                <w:sz w:val="21"/>
                <w:szCs w:val="21"/>
                <w:highlight w:val="none"/>
              </w:rPr>
            </w:pPr>
          </w:p>
        </w:tc>
      </w:tr>
    </w:tbl>
    <w:p w14:paraId="13442E8D">
      <w:pPr>
        <w:kinsoku/>
        <w:overflowPunct/>
        <w:topLinePunct w:val="0"/>
        <w:autoSpaceDE/>
        <w:autoSpaceDN/>
        <w:bidi w:val="0"/>
        <w:spacing w:line="240" w:lineRule="auto"/>
        <w:ind w:firstLine="600" w:firstLineChars="250"/>
        <w:rPr>
          <w:rFonts w:hint="eastAsia" w:ascii="微软雅黑" w:hAnsi="微软雅黑" w:eastAsia="微软雅黑" w:cs="微软雅黑"/>
          <w:color w:val="auto"/>
          <w:sz w:val="24"/>
          <w:szCs w:val="28"/>
          <w:highlight w:val="none"/>
        </w:rPr>
      </w:pPr>
    </w:p>
    <w:p w14:paraId="6E2D3FE6">
      <w:pPr>
        <w:kinsoku/>
        <w:overflowPunct/>
        <w:topLinePunct w:val="0"/>
        <w:autoSpaceDE/>
        <w:autoSpaceDN/>
        <w:bidi w:val="0"/>
        <w:spacing w:line="240" w:lineRule="auto"/>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                     法定代表人（或法定代表人授权代表）或自然人：</w:t>
      </w:r>
    </w:p>
    <w:p w14:paraId="66A0C010">
      <w:pPr>
        <w:kinsoku/>
        <w:overflowPunct/>
        <w:topLinePunct w:val="0"/>
        <w:autoSpaceDE/>
        <w:autoSpaceDN/>
        <w:bidi w:val="0"/>
        <w:spacing w:line="240" w:lineRule="auto"/>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r>
        <w:rPr>
          <w:rFonts w:hint="eastAsia" w:ascii="微软雅黑" w:hAnsi="微软雅黑" w:eastAsia="微软雅黑" w:cs="微软雅黑"/>
          <w:color w:val="auto"/>
          <w:sz w:val="24"/>
          <w:szCs w:val="28"/>
          <w:highlight w:val="none"/>
          <w:lang w:eastAsia="zh-CN"/>
        </w:rPr>
        <w:t>竞选人</w:t>
      </w:r>
      <w:r>
        <w:rPr>
          <w:rFonts w:hint="eastAsia" w:ascii="微软雅黑" w:hAnsi="微软雅黑" w:eastAsia="微软雅黑" w:cs="微软雅黑"/>
          <w:color w:val="auto"/>
          <w:sz w:val="24"/>
          <w:szCs w:val="28"/>
          <w:highlight w:val="none"/>
        </w:rPr>
        <w:t>公章）                               （签署或盖章）</w:t>
      </w:r>
    </w:p>
    <w:p w14:paraId="36ECDCB2">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51BC00D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261BA19C">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1.本表即为对本项目“第三篇 项目商务需求”中所列条款进行比较和响应；</w:t>
      </w:r>
    </w:p>
    <w:p w14:paraId="5F32519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2.本表可扩展。</w:t>
      </w:r>
    </w:p>
    <w:p w14:paraId="5A77AC11">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8"/>
          <w:highlight w:val="none"/>
        </w:rPr>
        <w:t>3.投标应答栏中应当注明具体内容，且必须标注具体内容在投标文件中的位置（页码）。</w:t>
      </w:r>
    </w:p>
    <w:p w14:paraId="0D4707FC">
      <w:pPr>
        <w:kinsoku/>
        <w:overflowPunct/>
        <w:topLinePunct w:val="0"/>
        <w:autoSpaceDE/>
        <w:autoSpaceDN/>
        <w:bidi w:val="0"/>
        <w:snapToGrid w:val="0"/>
        <w:spacing w:line="240" w:lineRule="auto"/>
        <w:ind w:firstLine="56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Cs w:val="28"/>
          <w:highlight w:val="none"/>
        </w:rPr>
        <w:br w:type="page"/>
      </w:r>
      <w:r>
        <w:rPr>
          <w:rFonts w:hint="eastAsia" w:ascii="微软雅黑" w:hAnsi="微软雅黑" w:eastAsia="微软雅黑" w:cs="微软雅黑"/>
          <w:color w:val="auto"/>
          <w:sz w:val="24"/>
          <w:szCs w:val="28"/>
          <w:highlight w:val="none"/>
        </w:rPr>
        <w:t>（三）其他商务资料</w:t>
      </w:r>
    </w:p>
    <w:p w14:paraId="18FAC7DE">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65FEF67C">
      <w:pPr>
        <w:tabs>
          <w:tab w:val="left" w:pos="6300"/>
        </w:tabs>
        <w:kinsoku/>
        <w:overflowPunct/>
        <w:topLinePunct w:val="0"/>
        <w:autoSpaceDE/>
        <w:autoSpaceDN/>
        <w:bidi w:val="0"/>
        <w:snapToGrid w:val="0"/>
        <w:spacing w:line="240" w:lineRule="auto"/>
        <w:ind w:firstLine="560"/>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t xml:space="preserve"> </w:t>
      </w:r>
    </w:p>
    <w:p w14:paraId="25CBD81E">
      <w:pPr>
        <w:pStyle w:val="3"/>
        <w:pageBreakBefore/>
        <w:kinsoku/>
        <w:overflowPunct/>
        <w:topLinePunct w:val="0"/>
        <w:autoSpaceDE/>
        <w:autoSpaceDN/>
        <w:bidi w:val="0"/>
        <w:spacing w:line="240" w:lineRule="auto"/>
        <w:ind w:firstLine="560" w:firstLineChars="200"/>
        <w:rPr>
          <w:rFonts w:hint="eastAsia" w:ascii="微软雅黑" w:hAnsi="微软雅黑" w:eastAsia="微软雅黑" w:cs="微软雅黑"/>
          <w:b/>
          <w:color w:val="auto"/>
          <w:szCs w:val="28"/>
          <w:highlight w:val="none"/>
        </w:rPr>
      </w:pPr>
      <w:bookmarkStart w:id="150" w:name="_Toc7042"/>
      <w:bookmarkStart w:id="151" w:name="_Toc493178792"/>
      <w:bookmarkStart w:id="152" w:name="_Toc19687"/>
      <w:bookmarkStart w:id="153" w:name="_Toc492721041"/>
      <w:bookmarkStart w:id="154" w:name="_Toc106030420"/>
      <w:bookmarkStart w:id="155" w:name="_Toc11165"/>
      <w:bookmarkStart w:id="156" w:name="_Toc75793543"/>
      <w:bookmarkStart w:id="157" w:name="_Toc3199"/>
      <w:bookmarkStart w:id="158" w:name="_Toc23915"/>
      <w:bookmarkStart w:id="159" w:name="_Toc4624"/>
      <w:bookmarkStart w:id="160" w:name="_Toc29932"/>
      <w:bookmarkStart w:id="161" w:name="_Toc6978"/>
      <w:bookmarkStart w:id="162" w:name="_Toc27849"/>
      <w:bookmarkStart w:id="163" w:name="_Toc5854"/>
      <w:bookmarkStart w:id="164" w:name="_Toc30376"/>
      <w:bookmarkStart w:id="165" w:name="_Toc2395"/>
      <w:bookmarkStart w:id="166" w:name="_Toc14521"/>
      <w:bookmarkStart w:id="167" w:name="_Toc29543"/>
      <w:bookmarkStart w:id="168" w:name="_Toc24540"/>
      <w:r>
        <w:rPr>
          <w:rFonts w:hint="eastAsia" w:ascii="微软雅黑" w:hAnsi="微软雅黑" w:eastAsia="微软雅黑" w:cs="微软雅黑"/>
          <w:b/>
          <w:color w:val="auto"/>
          <w:szCs w:val="28"/>
          <w:highlight w:val="none"/>
        </w:rPr>
        <w:t>四、其他</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DC3539F">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（一）中小企业声明函、监狱企业证明文件、残疾人福利性单位声明函</w:t>
      </w:r>
    </w:p>
    <w:p w14:paraId="4CEDEC61">
      <w:pPr>
        <w:tabs>
          <w:tab w:val="left" w:pos="6300"/>
        </w:tabs>
        <w:kinsoku/>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中小企业声明函（</w:t>
      </w:r>
      <w:r>
        <w:rPr>
          <w:rFonts w:hint="eastAsia" w:ascii="微软雅黑" w:hAnsi="微软雅黑" w:eastAsia="微软雅黑" w:cs="微软雅黑"/>
          <w:color w:val="auto"/>
          <w:highlight w:val="none"/>
          <w:lang w:val="en-US" w:eastAsia="zh-CN"/>
        </w:rPr>
        <w:t>服务</w:t>
      </w:r>
      <w:r>
        <w:rPr>
          <w:rFonts w:hint="eastAsia" w:ascii="微软雅黑" w:hAnsi="微软雅黑" w:eastAsia="微软雅黑" w:cs="微软雅黑"/>
          <w:color w:val="auto"/>
          <w:highlight w:val="none"/>
        </w:rPr>
        <w:t>类）</w:t>
      </w:r>
    </w:p>
    <w:p w14:paraId="495E76A3">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本公司郑重声明，根据《政府采购促进中小企业发展管理办法》（</w:t>
      </w:r>
      <w:r>
        <w:rPr>
          <w:rFonts w:hint="eastAsia" w:ascii="微软雅黑" w:hAnsi="微软雅黑" w:eastAsia="微软雅黑" w:cs="微软雅黑"/>
          <w:color w:val="auto"/>
          <w:sz w:val="24"/>
          <w:szCs w:val="24"/>
          <w:highlight w:val="none"/>
        </w:rPr>
        <w:t>财库〔2020〕46号</w:t>
      </w:r>
      <w:r>
        <w:rPr>
          <w:rFonts w:hint="eastAsia" w:ascii="微软雅黑" w:hAnsi="微软雅黑" w:eastAsia="微软雅黑" w:cs="微软雅黑"/>
          <w:color w:val="auto"/>
          <w:sz w:val="24"/>
          <w:szCs w:val="28"/>
          <w:highlight w:val="none"/>
        </w:rPr>
        <w:t>）的规定，本公司参加</w:t>
      </w:r>
      <w:r>
        <w:rPr>
          <w:rFonts w:hint="eastAsia" w:ascii="微软雅黑" w:hAnsi="微软雅黑" w:eastAsia="微软雅黑" w:cs="微软雅黑"/>
          <w:i/>
          <w:color w:val="auto"/>
          <w:sz w:val="24"/>
          <w:szCs w:val="28"/>
          <w:highlight w:val="none"/>
          <w:u w:val="single"/>
        </w:rPr>
        <w:t>（单位名称）</w:t>
      </w:r>
      <w:r>
        <w:rPr>
          <w:rFonts w:hint="eastAsia" w:ascii="微软雅黑" w:hAnsi="微软雅黑" w:eastAsia="微软雅黑" w:cs="微软雅黑"/>
          <w:color w:val="auto"/>
          <w:sz w:val="24"/>
          <w:szCs w:val="28"/>
          <w:highlight w:val="none"/>
        </w:rPr>
        <w:t>的</w:t>
      </w:r>
      <w:r>
        <w:rPr>
          <w:rFonts w:hint="eastAsia" w:ascii="微软雅黑" w:hAnsi="微软雅黑" w:eastAsia="微软雅黑" w:cs="微软雅黑"/>
          <w:i/>
          <w:color w:val="auto"/>
          <w:sz w:val="24"/>
          <w:szCs w:val="28"/>
          <w:highlight w:val="none"/>
          <w:u w:val="single"/>
        </w:rPr>
        <w:t>（项目名称）</w:t>
      </w:r>
      <w:r>
        <w:rPr>
          <w:rFonts w:hint="eastAsia" w:ascii="微软雅黑" w:hAnsi="微软雅黑" w:eastAsia="微软雅黑" w:cs="微软雅黑"/>
          <w:color w:val="auto"/>
          <w:sz w:val="24"/>
          <w:szCs w:val="28"/>
          <w:highlight w:val="none"/>
        </w:rPr>
        <w:t>采购活动，</w:t>
      </w:r>
      <w:r>
        <w:rPr>
          <w:rFonts w:hint="eastAsia" w:ascii="微软雅黑" w:hAnsi="微软雅黑" w:eastAsia="微软雅黑" w:cs="微软雅黑"/>
          <w:color w:val="auto"/>
          <w:sz w:val="24"/>
          <w:szCs w:val="28"/>
          <w:highlight w:val="none"/>
          <w:lang w:val="en-US" w:eastAsia="zh-CN"/>
        </w:rPr>
        <w:t>提供的服务</w:t>
      </w:r>
      <w:r>
        <w:rPr>
          <w:rFonts w:hint="eastAsia" w:ascii="微软雅黑" w:hAnsi="微软雅黑" w:eastAsia="微软雅黑" w:cs="微软雅黑"/>
          <w:color w:val="auto"/>
          <w:sz w:val="24"/>
          <w:szCs w:val="28"/>
          <w:highlight w:val="none"/>
        </w:rPr>
        <w:t>全部由符合政策要求的中小企业</w:t>
      </w:r>
      <w:r>
        <w:rPr>
          <w:rFonts w:hint="eastAsia" w:ascii="微软雅黑" w:hAnsi="微软雅黑" w:eastAsia="微软雅黑" w:cs="微软雅黑"/>
          <w:color w:val="auto"/>
          <w:sz w:val="24"/>
          <w:szCs w:val="28"/>
          <w:highlight w:val="none"/>
          <w:lang w:val="en-US" w:eastAsia="zh-CN"/>
        </w:rPr>
        <w:t>承接</w:t>
      </w:r>
      <w:r>
        <w:rPr>
          <w:rFonts w:hint="eastAsia" w:ascii="微软雅黑" w:hAnsi="微软雅黑" w:eastAsia="微软雅黑" w:cs="微软雅黑"/>
          <w:color w:val="auto"/>
          <w:sz w:val="24"/>
          <w:szCs w:val="28"/>
          <w:highlight w:val="none"/>
        </w:rPr>
        <w:t>。相关企业的具体情况如下：</w:t>
      </w:r>
    </w:p>
    <w:p w14:paraId="7454A271">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1.</w:t>
      </w:r>
      <w:r>
        <w:rPr>
          <w:rFonts w:hint="eastAsia" w:ascii="微软雅黑" w:hAnsi="微软雅黑" w:eastAsia="微软雅黑" w:cs="微软雅黑"/>
          <w:i/>
          <w:color w:val="auto"/>
          <w:sz w:val="24"/>
          <w:szCs w:val="28"/>
          <w:highlight w:val="none"/>
          <w:u w:val="single"/>
        </w:rPr>
        <w:t>（标的名称）</w:t>
      </w:r>
      <w:r>
        <w:rPr>
          <w:rFonts w:hint="eastAsia" w:ascii="微软雅黑" w:hAnsi="微软雅黑" w:eastAsia="微软雅黑" w:cs="微软雅黑"/>
          <w:color w:val="auto"/>
          <w:sz w:val="24"/>
          <w:szCs w:val="28"/>
          <w:highlight w:val="none"/>
        </w:rPr>
        <w:t>，属于</w:t>
      </w:r>
      <w:r>
        <w:rPr>
          <w:rFonts w:hint="eastAsia" w:ascii="微软雅黑" w:hAnsi="微软雅黑" w:eastAsia="微软雅黑" w:cs="微软雅黑"/>
          <w:i/>
          <w:color w:val="auto"/>
          <w:sz w:val="24"/>
          <w:szCs w:val="28"/>
          <w:highlight w:val="none"/>
          <w:u w:val="single"/>
        </w:rPr>
        <w:t>（采购文件中明确的所属行业）行业</w:t>
      </w:r>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val="en-US" w:eastAsia="zh-CN"/>
        </w:rPr>
        <w:t>承接企业</w:t>
      </w:r>
      <w:r>
        <w:rPr>
          <w:rFonts w:hint="eastAsia" w:ascii="微软雅黑" w:hAnsi="微软雅黑" w:eastAsia="微软雅黑" w:cs="微软雅黑"/>
          <w:color w:val="auto"/>
          <w:sz w:val="24"/>
          <w:szCs w:val="28"/>
          <w:highlight w:val="none"/>
        </w:rPr>
        <w:t>为</w:t>
      </w:r>
      <w:r>
        <w:rPr>
          <w:rFonts w:hint="eastAsia" w:ascii="微软雅黑" w:hAnsi="微软雅黑" w:eastAsia="微软雅黑" w:cs="微软雅黑"/>
          <w:i/>
          <w:color w:val="auto"/>
          <w:sz w:val="24"/>
          <w:szCs w:val="28"/>
          <w:highlight w:val="none"/>
          <w:u w:val="single"/>
        </w:rPr>
        <w:t>（企业名称）</w:t>
      </w:r>
      <w:r>
        <w:rPr>
          <w:rFonts w:hint="eastAsia" w:ascii="微软雅黑" w:hAnsi="微软雅黑" w:eastAsia="微软雅黑" w:cs="微软雅黑"/>
          <w:color w:val="auto"/>
          <w:sz w:val="24"/>
          <w:szCs w:val="28"/>
          <w:highlight w:val="none"/>
        </w:rPr>
        <w:t>，从业人员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人，营业收入为</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万元，资产总额为</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万元，属于</w:t>
      </w:r>
      <w:r>
        <w:rPr>
          <w:rFonts w:hint="eastAsia" w:ascii="微软雅黑" w:hAnsi="微软雅黑" w:eastAsia="微软雅黑" w:cs="微软雅黑"/>
          <w:i/>
          <w:color w:val="auto"/>
          <w:sz w:val="24"/>
          <w:szCs w:val="28"/>
          <w:highlight w:val="none"/>
          <w:u w:val="single"/>
        </w:rPr>
        <w:t>（中型企业、小型企业、微型企业）</w:t>
      </w:r>
      <w:r>
        <w:rPr>
          <w:rFonts w:hint="eastAsia" w:ascii="微软雅黑" w:hAnsi="微软雅黑" w:eastAsia="微软雅黑" w:cs="微软雅黑"/>
          <w:color w:val="auto"/>
          <w:sz w:val="24"/>
          <w:szCs w:val="28"/>
          <w:highlight w:val="none"/>
        </w:rPr>
        <w:t>；</w:t>
      </w:r>
    </w:p>
    <w:p w14:paraId="254D9AD1">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为本标的提供的服务人员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人，其中与本企业签订劳动合同</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人，其他人员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人。有其他人员的不符合中小企业扶持政策（适用于服务采购项目）;</w:t>
      </w:r>
    </w:p>
    <w:p w14:paraId="555EEC9A">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2.</w:t>
      </w:r>
      <w:r>
        <w:rPr>
          <w:rFonts w:hint="eastAsia" w:ascii="微软雅黑" w:hAnsi="微软雅黑" w:eastAsia="微软雅黑" w:cs="微软雅黑"/>
          <w:i/>
          <w:color w:val="auto"/>
          <w:sz w:val="24"/>
          <w:szCs w:val="28"/>
          <w:highlight w:val="none"/>
          <w:u w:val="single"/>
        </w:rPr>
        <w:t>（标的名称）</w:t>
      </w:r>
      <w:r>
        <w:rPr>
          <w:rFonts w:hint="eastAsia" w:ascii="微软雅黑" w:hAnsi="微软雅黑" w:eastAsia="微软雅黑" w:cs="微软雅黑"/>
          <w:color w:val="auto"/>
          <w:sz w:val="24"/>
          <w:szCs w:val="28"/>
          <w:highlight w:val="none"/>
        </w:rPr>
        <w:t>，属于</w:t>
      </w:r>
      <w:r>
        <w:rPr>
          <w:rFonts w:hint="eastAsia" w:ascii="微软雅黑" w:hAnsi="微软雅黑" w:eastAsia="微软雅黑" w:cs="微软雅黑"/>
          <w:i/>
          <w:color w:val="auto"/>
          <w:sz w:val="24"/>
          <w:szCs w:val="28"/>
          <w:highlight w:val="none"/>
          <w:u w:val="single"/>
        </w:rPr>
        <w:t>（采购文件中明确的所属行业）行业</w:t>
      </w:r>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val="en-US" w:eastAsia="zh-CN"/>
        </w:rPr>
        <w:t>承接企业</w:t>
      </w:r>
      <w:r>
        <w:rPr>
          <w:rFonts w:hint="eastAsia" w:ascii="微软雅黑" w:hAnsi="微软雅黑" w:eastAsia="微软雅黑" w:cs="微软雅黑"/>
          <w:color w:val="auto"/>
          <w:sz w:val="24"/>
          <w:szCs w:val="28"/>
          <w:highlight w:val="none"/>
        </w:rPr>
        <w:t>为</w:t>
      </w:r>
      <w:r>
        <w:rPr>
          <w:rFonts w:hint="eastAsia" w:ascii="微软雅黑" w:hAnsi="微软雅黑" w:eastAsia="微软雅黑" w:cs="微软雅黑"/>
          <w:i/>
          <w:color w:val="auto"/>
          <w:sz w:val="24"/>
          <w:szCs w:val="28"/>
          <w:highlight w:val="none"/>
          <w:u w:val="single"/>
        </w:rPr>
        <w:t>（企业名称）</w:t>
      </w:r>
      <w:r>
        <w:rPr>
          <w:rFonts w:hint="eastAsia" w:ascii="微软雅黑" w:hAnsi="微软雅黑" w:eastAsia="微软雅黑" w:cs="微软雅黑"/>
          <w:color w:val="auto"/>
          <w:sz w:val="24"/>
          <w:szCs w:val="28"/>
          <w:highlight w:val="none"/>
        </w:rPr>
        <w:t>，从业人员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人，营业收入为</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万元，资产总额为</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万元，属于</w:t>
      </w:r>
      <w:r>
        <w:rPr>
          <w:rFonts w:hint="eastAsia" w:ascii="微软雅黑" w:hAnsi="微软雅黑" w:eastAsia="微软雅黑" w:cs="微软雅黑"/>
          <w:i/>
          <w:color w:val="auto"/>
          <w:sz w:val="24"/>
          <w:szCs w:val="28"/>
          <w:highlight w:val="none"/>
          <w:u w:val="single"/>
        </w:rPr>
        <w:t>（中型企业、小型企业、微型企业）</w:t>
      </w:r>
      <w:r>
        <w:rPr>
          <w:rFonts w:hint="eastAsia" w:ascii="微软雅黑" w:hAnsi="微软雅黑" w:eastAsia="微软雅黑" w:cs="微软雅黑"/>
          <w:color w:val="auto"/>
          <w:sz w:val="24"/>
          <w:szCs w:val="28"/>
          <w:highlight w:val="none"/>
        </w:rPr>
        <w:t>；</w:t>
      </w:r>
    </w:p>
    <w:p w14:paraId="287D3C30">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为本标的提供的服务人员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人，其中与本企业签订劳动合同</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人，其他人员</w:t>
      </w:r>
      <w:r>
        <w:rPr>
          <w:rFonts w:hint="eastAsia" w:ascii="微软雅黑" w:hAnsi="微软雅黑" w:eastAsia="微软雅黑" w:cs="微软雅黑"/>
          <w:color w:val="auto"/>
          <w:sz w:val="24"/>
          <w:szCs w:val="28"/>
          <w:highlight w:val="none"/>
          <w:u w:val="single"/>
        </w:rPr>
        <w:t xml:space="preserve">   </w:t>
      </w:r>
      <w:r>
        <w:rPr>
          <w:rFonts w:hint="eastAsia" w:ascii="微软雅黑" w:hAnsi="微软雅黑" w:eastAsia="微软雅黑" w:cs="微软雅黑"/>
          <w:color w:val="auto"/>
          <w:sz w:val="24"/>
          <w:szCs w:val="28"/>
          <w:highlight w:val="none"/>
        </w:rPr>
        <w:t>人。有其他人员的不符合中小企业扶持政策（适用于服务采购项目）;</w:t>
      </w:r>
    </w:p>
    <w:p w14:paraId="1C0BFFBE">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以上企业，不属于大企业的分支机构，不存在控股股东为大企业的情形，也不存在与大企业的负责人为同一人的情形。</w:t>
      </w:r>
    </w:p>
    <w:p w14:paraId="64762DE7">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本企业对上述声明内容的真实性负责。如有虚假，将依法承担相应责任。</w:t>
      </w:r>
    </w:p>
    <w:p w14:paraId="0F8B7FB4">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w:t>
      </w:r>
    </w:p>
    <w:p w14:paraId="3C758874">
      <w:pPr>
        <w:tabs>
          <w:tab w:val="left" w:pos="6300"/>
        </w:tabs>
        <w:kinsoku/>
        <w:overflowPunct/>
        <w:topLinePunct w:val="0"/>
        <w:autoSpaceDE/>
        <w:autoSpaceDN/>
        <w:bidi w:val="0"/>
        <w:snapToGrid w:val="0"/>
        <w:spacing w:line="240" w:lineRule="auto"/>
        <w:ind w:firstLine="6120" w:firstLineChars="25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企业名称（盖章）： </w:t>
      </w:r>
    </w:p>
    <w:p w14:paraId="5194488C">
      <w:pPr>
        <w:tabs>
          <w:tab w:val="left" w:pos="6300"/>
        </w:tabs>
        <w:kinsoku/>
        <w:overflowPunct/>
        <w:topLinePunct w:val="0"/>
        <w:autoSpaceDE/>
        <w:autoSpaceDN/>
        <w:bidi w:val="0"/>
        <w:snapToGrid w:val="0"/>
        <w:spacing w:line="240" w:lineRule="auto"/>
        <w:ind w:firstLine="6120" w:firstLineChars="255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4"/>
          <w:szCs w:val="28"/>
          <w:highlight w:val="none"/>
        </w:rPr>
        <w:t>日期：</w:t>
      </w:r>
    </w:p>
    <w:p w14:paraId="4E8C25A0">
      <w:pPr>
        <w:tabs>
          <w:tab w:val="left" w:pos="6300"/>
        </w:tabs>
        <w:kinsoku/>
        <w:overflowPunct/>
        <w:topLinePunct w:val="0"/>
        <w:autoSpaceDE/>
        <w:autoSpaceDN/>
        <w:bidi w:val="0"/>
        <w:snapToGrid w:val="0"/>
        <w:spacing w:line="240" w:lineRule="auto"/>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填写时应注意以下事项：</w:t>
      </w:r>
    </w:p>
    <w:p w14:paraId="57A9339E">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1.从业人员、营业收入、资产总额填报上一年度数据，无上一年度数据的新成立企业可不填报。</w:t>
      </w:r>
    </w:p>
    <w:p w14:paraId="6B71A238">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2.中小企业应当按照《中小企业划型标准规定》（工信部联企业〔2011〕300号），如实填写并提交《中小企业声明函》。</w:t>
      </w:r>
    </w:p>
    <w:p w14:paraId="29453665">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r>
        <w:rPr>
          <w:rFonts w:hint="eastAsia" w:ascii="微软雅黑" w:hAnsi="微软雅黑" w:eastAsia="微软雅黑" w:cs="微软雅黑"/>
          <w:color w:val="auto"/>
          <w:kern w:val="0"/>
          <w:sz w:val="21"/>
          <w:szCs w:val="21"/>
          <w:highlight w:val="none"/>
          <w:lang w:eastAsia="zh-CN"/>
        </w:rPr>
        <w:t>竞选人</w:t>
      </w:r>
      <w:r>
        <w:rPr>
          <w:rFonts w:hint="eastAsia" w:ascii="微软雅黑" w:hAnsi="微软雅黑" w:eastAsia="微软雅黑" w:cs="微软雅黑"/>
          <w:color w:val="auto"/>
          <w:kern w:val="0"/>
          <w:sz w:val="21"/>
          <w:szCs w:val="21"/>
          <w:highlight w:val="none"/>
        </w:rPr>
        <w:t>填写《中小企业声明函》中所属行业时，应与采购文件第一篇“采购标的对应的中小企业划分标准所属行业”中填写的所属行业一致。</w:t>
      </w:r>
    </w:p>
    <w:p w14:paraId="64CCB62F">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4.本声明函“企业名称（盖章）”处为</w:t>
      </w:r>
      <w:r>
        <w:rPr>
          <w:rFonts w:hint="eastAsia" w:ascii="微软雅黑" w:hAnsi="微软雅黑" w:eastAsia="微软雅黑" w:cs="微软雅黑"/>
          <w:b/>
          <w:color w:val="auto"/>
          <w:kern w:val="0"/>
          <w:sz w:val="21"/>
          <w:szCs w:val="21"/>
          <w:highlight w:val="none"/>
          <w:lang w:eastAsia="zh-CN"/>
        </w:rPr>
        <w:t>竞选人</w:t>
      </w:r>
      <w:r>
        <w:rPr>
          <w:rFonts w:hint="eastAsia" w:ascii="微软雅黑" w:hAnsi="微软雅黑" w:eastAsia="微软雅黑" w:cs="微软雅黑"/>
          <w:b/>
          <w:color w:val="auto"/>
          <w:kern w:val="0"/>
          <w:sz w:val="21"/>
          <w:szCs w:val="21"/>
          <w:highlight w:val="none"/>
        </w:rPr>
        <w:t>盖章。</w:t>
      </w:r>
    </w:p>
    <w:p w14:paraId="65DEDF21">
      <w:pPr>
        <w:tabs>
          <w:tab w:val="left" w:pos="6300"/>
        </w:tabs>
        <w:kinsoku/>
        <w:overflowPunct/>
        <w:topLinePunct w:val="0"/>
        <w:autoSpaceDE/>
        <w:autoSpaceDN/>
        <w:bidi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注：各行业划型标准：</w:t>
      </w:r>
    </w:p>
    <w:p w14:paraId="6BADCCC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7CBD685">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5F6303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4DCB2A">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747BE9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281E546">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206C0A9">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5EC1C9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6118F6F">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33694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59BDD9">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BFB4B6">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BA0B238">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443D3E9">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4AAA80">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212AC6D">
      <w:pPr>
        <w:tabs>
          <w:tab w:val="left" w:pos="6300"/>
        </w:tabs>
        <w:kinsoku/>
        <w:overflowPunct/>
        <w:topLinePunct w:val="0"/>
        <w:autoSpaceDE/>
        <w:autoSpaceDN/>
        <w:bidi w:val="0"/>
        <w:snapToGrid w:val="0"/>
        <w:spacing w:line="240" w:lineRule="auto"/>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6967A95C">
      <w:pPr>
        <w:tabs>
          <w:tab w:val="left" w:pos="6300"/>
        </w:tabs>
        <w:kinsoku/>
        <w:overflowPunct/>
        <w:topLinePunct w:val="0"/>
        <w:autoSpaceDE/>
        <w:autoSpaceDN/>
        <w:bidi w:val="0"/>
        <w:snapToGrid w:val="0"/>
        <w:spacing w:line="240" w:lineRule="auto"/>
        <w:ind w:firstLine="560"/>
        <w:jc w:val="center"/>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color w:val="auto"/>
          <w:szCs w:val="28"/>
          <w:highlight w:val="none"/>
        </w:rPr>
        <w:t>监狱企业证明文件</w:t>
      </w:r>
    </w:p>
    <w:p w14:paraId="08A90FD7">
      <w:pPr>
        <w:tabs>
          <w:tab w:val="left" w:pos="6300"/>
        </w:tabs>
        <w:kinsoku/>
        <w:overflowPunct/>
        <w:topLinePunct w:val="0"/>
        <w:autoSpaceDE/>
        <w:autoSpaceDN/>
        <w:bidi w:val="0"/>
        <w:snapToGrid w:val="0"/>
        <w:spacing w:line="240" w:lineRule="auto"/>
        <w:ind w:firstLine="561"/>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【以省级以上监狱管理局、戒毒管理局（含新疆生产建设兵团）出具的属于监狱企业的证明文件为准】</w:t>
      </w:r>
    </w:p>
    <w:p w14:paraId="6C2BE118">
      <w:pPr>
        <w:tabs>
          <w:tab w:val="left" w:pos="6300"/>
        </w:tabs>
        <w:kinsoku/>
        <w:overflowPunct/>
        <w:topLinePunct w:val="0"/>
        <w:autoSpaceDE/>
        <w:autoSpaceDN/>
        <w:bidi w:val="0"/>
        <w:snapToGrid w:val="0"/>
        <w:spacing w:line="240" w:lineRule="auto"/>
        <w:ind w:firstLine="561"/>
        <w:jc w:val="center"/>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br w:type="page"/>
      </w: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szCs w:val="28"/>
          <w:highlight w:val="none"/>
        </w:rPr>
        <w:t>残疾人福利性单位声明函</w:t>
      </w:r>
    </w:p>
    <w:p w14:paraId="48323718">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w:t>
      </w: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（由本单位承担工程/提供</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），或者提供其他残疾人福利性单位</w:t>
      </w:r>
      <w:r>
        <w:rPr>
          <w:rFonts w:hint="eastAsia" w:ascii="微软雅黑" w:hAnsi="微软雅黑" w:eastAsia="微软雅黑" w:cs="微软雅黑"/>
          <w:color w:val="auto"/>
          <w:sz w:val="24"/>
          <w:highlight w:val="none"/>
          <w:lang w:val="en-US" w:eastAsia="zh-CN"/>
        </w:rPr>
        <w:t>的服务</w:t>
      </w:r>
      <w:r>
        <w:rPr>
          <w:rFonts w:hint="eastAsia" w:ascii="微软雅黑" w:hAnsi="微软雅黑" w:eastAsia="微软雅黑" w:cs="微软雅黑"/>
          <w:color w:val="auto"/>
          <w:sz w:val="24"/>
          <w:highlight w:val="none"/>
        </w:rPr>
        <w:t>（不包括使用非残疾人福利性单位注册商标的货物）。</w:t>
      </w:r>
    </w:p>
    <w:p w14:paraId="0C13664D">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本单位对上述声明的真实性负责。如有虚假，将依法承担相应责任。</w:t>
      </w:r>
    </w:p>
    <w:p w14:paraId="36EF3CFD">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p>
    <w:p w14:paraId="0AA39E06">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p>
    <w:p w14:paraId="742FC542">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名称（盖章）：</w:t>
      </w:r>
    </w:p>
    <w:p w14:paraId="1572F040">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日   期：</w:t>
      </w:r>
    </w:p>
    <w:p w14:paraId="71783798">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41D7CB1C">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666E3723">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4FF5AE4A">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3E9E102E">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1166E925">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5B66D21E">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63DF1607">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37DC698F">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5B50C1CF">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sz w:val="24"/>
          <w:highlight w:val="none"/>
        </w:rPr>
      </w:pPr>
    </w:p>
    <w:p w14:paraId="3EE8C049">
      <w:pPr>
        <w:tabs>
          <w:tab w:val="left" w:pos="6300"/>
        </w:tabs>
        <w:kinsoku/>
        <w:overflowPunct/>
        <w:topLinePunct w:val="0"/>
        <w:autoSpaceDE/>
        <w:autoSpaceDN/>
        <w:bidi w:val="0"/>
        <w:snapToGrid w:val="0"/>
        <w:spacing w:line="240" w:lineRule="auto"/>
        <w:ind w:firstLine="57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highlight w:val="none"/>
        </w:rPr>
        <w:t>若中标人为残疾人福利性单位的，将在结果公告时公告其《残疾人福利性单位声明函》。</w:t>
      </w:r>
    </w:p>
    <w:p w14:paraId="4A2E75B1">
      <w:pPr>
        <w:tabs>
          <w:tab w:val="left" w:pos="6300"/>
        </w:tabs>
        <w:kinsoku/>
        <w:overflowPunct/>
        <w:topLinePunct w:val="0"/>
        <w:autoSpaceDE/>
        <w:autoSpaceDN/>
        <w:bidi w:val="0"/>
        <w:snapToGrid w:val="0"/>
        <w:spacing w:line="240" w:lineRule="auto"/>
        <w:jc w:val="left"/>
        <w:rPr>
          <w:rFonts w:hint="eastAsia" w:ascii="微软雅黑" w:hAnsi="微软雅黑" w:eastAsia="微软雅黑" w:cs="微软雅黑"/>
          <w:color w:val="auto"/>
          <w:sz w:val="24"/>
          <w:szCs w:val="28"/>
          <w:highlight w:val="none"/>
        </w:rPr>
      </w:pPr>
      <w:ins w:id="0" w:author="023" w:date="2025-11-18T14:07:00Z">
        <w:r>
          <w:rPr>
            <w:rFonts w:hint="eastAsia" w:ascii="微软雅黑" w:hAnsi="微软雅黑" w:eastAsia="微软雅黑" w:cs="微软雅黑"/>
            <w:color w:val="auto"/>
            <w:highlight w:val="none"/>
          </w:rPr>
          <w:br w:type="page"/>
        </w:r>
      </w:ins>
      <w:r>
        <w:rPr>
          <w:rFonts w:hint="eastAsia" w:ascii="微软雅黑" w:hAnsi="微软雅黑" w:eastAsia="微软雅黑" w:cs="微软雅黑"/>
          <w:color w:val="auto"/>
          <w:sz w:val="24"/>
          <w:szCs w:val="28"/>
          <w:highlight w:val="none"/>
        </w:rPr>
        <w:t>（</w:t>
      </w:r>
      <w:r>
        <w:rPr>
          <w:rFonts w:hint="eastAsia" w:ascii="微软雅黑" w:hAnsi="微软雅黑" w:eastAsia="微软雅黑" w:cs="微软雅黑"/>
          <w:color w:val="auto"/>
          <w:sz w:val="24"/>
          <w:szCs w:val="28"/>
          <w:highlight w:val="none"/>
          <w:lang w:val="en-US" w:eastAsia="zh-CN"/>
        </w:rPr>
        <w:t>二</w:t>
      </w:r>
      <w:r>
        <w:rPr>
          <w:rFonts w:hint="eastAsia" w:ascii="微软雅黑" w:hAnsi="微软雅黑" w:eastAsia="微软雅黑" w:cs="微软雅黑"/>
          <w:color w:val="auto"/>
          <w:sz w:val="24"/>
          <w:szCs w:val="28"/>
          <w:highlight w:val="none"/>
        </w:rPr>
        <w:t>）其他与项目有关的资料（自附）</w:t>
      </w:r>
    </w:p>
    <w:p w14:paraId="2DC96E25">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p>
    <w:p w14:paraId="7BD96326">
      <w:pPr>
        <w:pStyle w:val="3"/>
        <w:pageBreakBefore/>
        <w:kinsoku/>
        <w:overflowPunct/>
        <w:topLinePunct w:val="0"/>
        <w:autoSpaceDE/>
        <w:autoSpaceDN/>
        <w:bidi w:val="0"/>
        <w:spacing w:line="240" w:lineRule="auto"/>
        <w:ind w:firstLine="560" w:firstLineChars="200"/>
        <w:rPr>
          <w:rFonts w:hint="eastAsia" w:ascii="微软雅黑" w:hAnsi="微软雅黑" w:eastAsia="微软雅黑" w:cs="微软雅黑"/>
          <w:b/>
          <w:color w:val="auto"/>
          <w:szCs w:val="28"/>
          <w:highlight w:val="none"/>
        </w:rPr>
      </w:pPr>
      <w:bookmarkStart w:id="169" w:name="_Toc4000"/>
      <w:bookmarkStart w:id="170" w:name="_Toc21121"/>
      <w:bookmarkStart w:id="171" w:name="_Toc492721038"/>
      <w:bookmarkStart w:id="172" w:name="_Toc11324"/>
      <w:bookmarkStart w:id="173" w:name="_Toc493178793"/>
      <w:bookmarkStart w:id="174" w:name="_Toc30818"/>
      <w:bookmarkStart w:id="175" w:name="_Toc106030421"/>
      <w:bookmarkStart w:id="176" w:name="_Toc75793544"/>
      <w:bookmarkStart w:id="177" w:name="_Toc23187"/>
      <w:bookmarkStart w:id="178" w:name="_Toc17829"/>
      <w:bookmarkStart w:id="179" w:name="_Toc26381"/>
      <w:bookmarkStart w:id="180" w:name="_Toc16577"/>
      <w:bookmarkStart w:id="181" w:name="_Toc25608"/>
      <w:bookmarkStart w:id="182" w:name="_Toc30988"/>
      <w:bookmarkStart w:id="183" w:name="_Toc12509"/>
      <w:bookmarkStart w:id="184" w:name="_Toc13249"/>
      <w:bookmarkStart w:id="185" w:name="_Toc28432"/>
      <w:bookmarkStart w:id="186" w:name="_Toc6108"/>
      <w:bookmarkStart w:id="187" w:name="_Toc17848"/>
      <w:r>
        <w:rPr>
          <w:rFonts w:hint="eastAsia" w:ascii="微软雅黑" w:hAnsi="微软雅黑" w:eastAsia="微软雅黑" w:cs="微软雅黑"/>
          <w:b/>
          <w:color w:val="auto"/>
          <w:szCs w:val="28"/>
          <w:highlight w:val="none"/>
        </w:rPr>
        <w:t>五、资格文件</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7A1284F">
      <w:pPr>
        <w:kinsoku/>
        <w:overflowPunct/>
        <w:topLinePunct w:val="0"/>
        <w:autoSpaceDE/>
        <w:autoSpaceDN/>
        <w:bidi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（一）法人营业执照（副本）或事业单位法人证书（副本）或个体工商户营业执照或有效的自然人身份证明或社会团体法人登记证书复印件</w:t>
      </w:r>
    </w:p>
    <w:p w14:paraId="203972F8">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highlight w:val="none"/>
        </w:rPr>
      </w:pPr>
    </w:p>
    <w:p w14:paraId="551AE175">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highlight w:val="none"/>
        </w:rPr>
      </w:pPr>
    </w:p>
    <w:p w14:paraId="1A8F4EBA">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highlight w:val="none"/>
        </w:rPr>
      </w:pPr>
    </w:p>
    <w:p w14:paraId="7D5EC1D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highlight w:val="none"/>
        </w:rPr>
      </w:pPr>
    </w:p>
    <w:p w14:paraId="6362D7D0">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highlight w:val="none"/>
        </w:rPr>
      </w:pPr>
    </w:p>
    <w:p w14:paraId="5DA395D1">
      <w:pPr>
        <w:kinsoku/>
        <w:overflowPunct/>
        <w:topLinePunct w:val="0"/>
        <w:autoSpaceDE/>
        <w:autoSpaceDN/>
        <w:bidi w:val="0"/>
        <w:spacing w:line="240" w:lineRule="auto"/>
        <w:ind w:firstLine="56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color w:val="auto"/>
          <w:sz w:val="24"/>
          <w:szCs w:val="28"/>
          <w:highlight w:val="none"/>
        </w:rPr>
        <w:t>（二）法定代表人身份证明书（格式）</w:t>
      </w:r>
    </w:p>
    <w:p w14:paraId="0AFEF316">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6F18EC8F">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u w:val="single"/>
        </w:rPr>
        <w:t xml:space="preserve">                                                </w:t>
      </w:r>
    </w:p>
    <w:p w14:paraId="7DDC1F23">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7833C605">
      <w:pPr>
        <w:tabs>
          <w:tab w:val="left" w:pos="6300"/>
        </w:tabs>
        <w:kinsoku/>
        <w:overflowPunct/>
        <w:topLinePunct w:val="0"/>
        <w:autoSpaceDE/>
        <w:autoSpaceDN/>
        <w:bidi w:val="0"/>
        <w:snapToGrid w:val="0"/>
        <w:spacing w:line="24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594DCB9A">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（法定代表人姓名）</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（性别）在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名称）任</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（职务名称）职务，是（</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名称）</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的法定代表人。</w:t>
      </w:r>
    </w:p>
    <w:p w14:paraId="48A4B590">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77FA1D22">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特此证明。</w:t>
      </w:r>
    </w:p>
    <w:p w14:paraId="188D823B">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1D44D3E3">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4DEBAF3C">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w:t>
      </w:r>
    </w:p>
    <w:p w14:paraId="54E74018">
      <w:pPr>
        <w:tabs>
          <w:tab w:val="left" w:pos="6300"/>
        </w:tabs>
        <w:kinsoku/>
        <w:overflowPunct/>
        <w:topLinePunct w:val="0"/>
        <w:autoSpaceDE/>
        <w:autoSpaceDN/>
        <w:bidi w:val="0"/>
        <w:snapToGrid w:val="0"/>
        <w:spacing w:line="240" w:lineRule="auto"/>
        <w:ind w:firstLine="5848" w:firstLineChars="2437"/>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公章）</w:t>
      </w:r>
    </w:p>
    <w:p w14:paraId="65D51FED">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6B4A72B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年   月   日</w:t>
      </w:r>
    </w:p>
    <w:p w14:paraId="64E8A14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法定代表人电话：XXXXXXX      电子邮箱：XXXXXX@XXXXX（若授权他人办理并签署投标文件的可不填写）</w:t>
      </w:r>
    </w:p>
    <w:p w14:paraId="3DD570FF">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（附：法定代表人身份证正反面复印件）</w:t>
      </w:r>
    </w:p>
    <w:p w14:paraId="0AA513F4">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1467F0F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3F87D78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009A9389">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13525015">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78C03248">
      <w:pPr>
        <w:kinsoku/>
        <w:overflowPunct/>
        <w:topLinePunct w:val="0"/>
        <w:autoSpaceDE/>
        <w:autoSpaceDN/>
        <w:bidi w:val="0"/>
        <w:spacing w:line="240" w:lineRule="auto"/>
        <w:ind w:firstLine="56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highlight w:val="none"/>
        </w:rPr>
        <w:br w:type="column"/>
      </w:r>
      <w:r>
        <w:rPr>
          <w:rFonts w:hint="eastAsia" w:ascii="微软雅黑" w:hAnsi="微软雅黑" w:eastAsia="微软雅黑" w:cs="微软雅黑"/>
          <w:color w:val="auto"/>
          <w:sz w:val="24"/>
          <w:szCs w:val="28"/>
          <w:highlight w:val="none"/>
        </w:rPr>
        <w:t>（三）法定代表人授权委托书（格式）</w:t>
      </w:r>
    </w:p>
    <w:p w14:paraId="736162C1">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2594689D">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w:t>
      </w:r>
    </w:p>
    <w:p w14:paraId="0940CCA7">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438C00D6">
      <w:pPr>
        <w:tabs>
          <w:tab w:val="left" w:pos="6300"/>
        </w:tabs>
        <w:kinsoku/>
        <w:overflowPunct/>
        <w:topLinePunct w:val="0"/>
        <w:autoSpaceDE/>
        <w:autoSpaceDN/>
        <w:bidi w:val="0"/>
        <w:snapToGrid w:val="0"/>
        <w:spacing w:line="24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5472627B">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法定代表人名称）是</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名称）的法定代表人，特授权</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（被授权人姓名及身份证代码）代表我单位全权办理上述项目的投标、谈判、签约等具体工作，并签署全部有关文件、协议及合同。</w:t>
      </w:r>
    </w:p>
    <w:p w14:paraId="756864B9">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我单位对被授权人的签署负全部责任。</w:t>
      </w:r>
    </w:p>
    <w:p w14:paraId="11C5CE58">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在撤消授权的书面通知以前，本授权书一直有效。被授权人在授权书有效期内签署的所有文件不因授权的撤消而失效。</w:t>
      </w:r>
    </w:p>
    <w:p w14:paraId="42748F15">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10933E0E">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0901F93F">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被授权人：                                 </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法定代表人：</w:t>
      </w:r>
    </w:p>
    <w:p w14:paraId="0E764166">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（签署或盖章）                                （签署或盖章）</w:t>
      </w:r>
    </w:p>
    <w:p w14:paraId="7CEBFF8F">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szCs w:val="28"/>
          <w:highlight w:val="none"/>
        </w:rPr>
      </w:pPr>
    </w:p>
    <w:p w14:paraId="49803F48">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2791FEFE">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（附：被授权人身份证正反面复印件）</w:t>
      </w:r>
    </w:p>
    <w:p w14:paraId="0A26E93A">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171D0EF7">
      <w:pPr>
        <w:tabs>
          <w:tab w:val="left" w:pos="6300"/>
        </w:tabs>
        <w:kinsoku/>
        <w:overflowPunct/>
        <w:topLinePunct w:val="0"/>
        <w:autoSpaceDE/>
        <w:autoSpaceDN/>
        <w:bidi w:val="0"/>
        <w:snapToGrid w:val="0"/>
        <w:spacing w:line="240" w:lineRule="auto"/>
        <w:ind w:firstLine="570"/>
        <w:rPr>
          <w:rFonts w:hint="eastAsia" w:ascii="微软雅黑" w:hAnsi="微软雅黑" w:eastAsia="微软雅黑" w:cs="微软雅黑"/>
          <w:color w:val="auto"/>
          <w:sz w:val="24"/>
          <w:highlight w:val="none"/>
        </w:rPr>
      </w:pPr>
    </w:p>
    <w:p w14:paraId="0715CAD1">
      <w:pPr>
        <w:tabs>
          <w:tab w:val="left" w:pos="6300"/>
        </w:tabs>
        <w:kinsoku/>
        <w:overflowPunct/>
        <w:topLinePunct w:val="0"/>
        <w:autoSpaceDE/>
        <w:autoSpaceDN/>
        <w:bidi w:val="0"/>
        <w:snapToGrid w:val="0"/>
        <w:spacing w:line="240" w:lineRule="auto"/>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公章）</w:t>
      </w:r>
    </w:p>
    <w:p w14:paraId="7D3EE171">
      <w:pPr>
        <w:tabs>
          <w:tab w:val="left" w:pos="6300"/>
        </w:tabs>
        <w:kinsoku/>
        <w:overflowPunct/>
        <w:topLinePunct w:val="0"/>
        <w:autoSpaceDE/>
        <w:autoSpaceDN/>
        <w:bidi w:val="0"/>
        <w:snapToGrid w:val="0"/>
        <w:spacing w:line="240" w:lineRule="auto"/>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1E8BB46B">
      <w:pPr>
        <w:tabs>
          <w:tab w:val="left" w:pos="6300"/>
        </w:tabs>
        <w:kinsoku/>
        <w:overflowPunct/>
        <w:topLinePunct w:val="0"/>
        <w:autoSpaceDE/>
        <w:autoSpaceDN/>
        <w:bidi w:val="0"/>
        <w:snapToGrid w:val="0"/>
        <w:spacing w:line="240" w:lineRule="auto"/>
        <w:ind w:right="720" w:firstLine="570"/>
        <w:jc w:val="right"/>
        <w:rPr>
          <w:rFonts w:hint="eastAsia" w:ascii="微软雅黑" w:hAnsi="微软雅黑" w:eastAsia="微软雅黑" w:cs="微软雅黑"/>
          <w:color w:val="auto"/>
          <w:sz w:val="24"/>
          <w:highlight w:val="none"/>
        </w:rPr>
      </w:pPr>
    </w:p>
    <w:p w14:paraId="6FA767B9">
      <w:pPr>
        <w:tabs>
          <w:tab w:val="left" w:pos="6300"/>
        </w:tabs>
        <w:kinsoku/>
        <w:overflowPunct/>
        <w:topLinePunct w:val="0"/>
        <w:autoSpaceDE/>
        <w:autoSpaceDN/>
        <w:bidi w:val="0"/>
        <w:snapToGrid w:val="0"/>
        <w:spacing w:line="240" w:lineRule="auto"/>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被授权人电话：XXXXXXX     电子邮箱：XXXXXX@XXXXX（若法定代表人办理并签署投标文件的可不填写）</w:t>
      </w:r>
    </w:p>
    <w:p w14:paraId="485A0DA9">
      <w:pPr>
        <w:tabs>
          <w:tab w:val="left" w:pos="6300"/>
        </w:tabs>
        <w:kinsoku/>
        <w:overflowPunct/>
        <w:topLinePunct w:val="0"/>
        <w:autoSpaceDE/>
        <w:autoSpaceDN/>
        <w:bidi w:val="0"/>
        <w:snapToGrid w:val="0"/>
        <w:spacing w:line="240" w:lineRule="auto"/>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53C91715">
      <w:pPr>
        <w:tabs>
          <w:tab w:val="left" w:pos="6300"/>
        </w:tabs>
        <w:kinsoku/>
        <w:overflowPunct/>
        <w:topLinePunct w:val="0"/>
        <w:autoSpaceDE/>
        <w:autoSpaceDN/>
        <w:bidi w:val="0"/>
        <w:snapToGrid w:val="0"/>
        <w:spacing w:line="240" w:lineRule="auto"/>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1.若为法定代表人办理并签署投标文件的，不提供此文件。</w:t>
      </w:r>
    </w:p>
    <w:p w14:paraId="7E48660A">
      <w:pPr>
        <w:kinsoku/>
        <w:overflowPunct/>
        <w:topLinePunct w:val="0"/>
        <w:autoSpaceDE/>
        <w:autoSpaceDN/>
        <w:bidi w:val="0"/>
        <w:spacing w:line="240" w:lineRule="auto"/>
        <w:ind w:firstLine="56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column"/>
      </w:r>
      <w:r>
        <w:rPr>
          <w:rFonts w:hint="eastAsia" w:ascii="微软雅黑" w:hAnsi="微软雅黑" w:eastAsia="微软雅黑" w:cs="微软雅黑"/>
          <w:color w:val="auto"/>
          <w:sz w:val="24"/>
          <w:szCs w:val="28"/>
          <w:highlight w:val="none"/>
        </w:rPr>
        <w:t>（四）基本资格条件承诺函</w:t>
      </w:r>
    </w:p>
    <w:p w14:paraId="7B507146">
      <w:pPr>
        <w:tabs>
          <w:tab w:val="left" w:pos="6300"/>
        </w:tabs>
        <w:kinsoku/>
        <w:overflowPunct/>
        <w:topLinePunct w:val="0"/>
        <w:autoSpaceDE/>
        <w:autoSpaceDN/>
        <w:bidi w:val="0"/>
        <w:snapToGrid w:val="0"/>
        <w:spacing w:line="240" w:lineRule="auto"/>
        <w:ind w:firstLine="640" w:firstLineChars="200"/>
        <w:jc w:val="center"/>
        <w:outlineLvl w:val="0"/>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基本资格条件承诺函</w:t>
      </w:r>
    </w:p>
    <w:p w14:paraId="1DE9CDB5">
      <w:pPr>
        <w:tabs>
          <w:tab w:val="left" w:pos="6300"/>
        </w:tabs>
        <w:kinsoku/>
        <w:overflowPunct/>
        <w:topLinePunct w:val="0"/>
        <w:autoSpaceDE/>
        <w:autoSpaceDN/>
        <w:bidi w:val="0"/>
        <w:snapToGrid w:val="0"/>
        <w:spacing w:line="240" w:lineRule="auto"/>
        <w:rPr>
          <w:rFonts w:hint="eastAsia" w:ascii="微软雅黑" w:hAnsi="微软雅黑" w:eastAsia="微软雅黑" w:cs="微软雅黑"/>
          <w:color w:val="auto"/>
          <w:sz w:val="24"/>
          <w:highlight w:val="none"/>
        </w:rPr>
      </w:pPr>
    </w:p>
    <w:p w14:paraId="646F12A9">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03062EB8">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名称）郑重承诺：</w:t>
      </w:r>
    </w:p>
    <w:p w14:paraId="387F4CEC">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1.我方具有良好的商业信誉和健全的财务会计制度，具有履行合同所必需的设备和专业技术能力，具</w:t>
      </w:r>
      <w:r>
        <w:rPr>
          <w:rFonts w:hint="eastAsia" w:ascii="微软雅黑" w:hAnsi="微软雅黑" w:eastAsia="微软雅黑" w:cs="微软雅黑"/>
          <w:color w:val="auto"/>
          <w:sz w:val="24"/>
          <w:highlight w:val="none"/>
          <w:lang w:val="zh-CN"/>
        </w:rPr>
        <w:t>有依法缴纳税收和社会保障金的良好记录</w:t>
      </w:r>
      <w:r>
        <w:rPr>
          <w:rFonts w:hint="eastAsia" w:ascii="微软雅黑" w:hAnsi="微软雅黑" w:eastAsia="微软雅黑" w:cs="微软雅黑"/>
          <w:color w:val="auto"/>
          <w:sz w:val="24"/>
          <w:highlight w:val="none"/>
        </w:rPr>
        <w:t>，参加本项目采购活动前三年内无重大违法活动记录。</w:t>
      </w:r>
    </w:p>
    <w:p w14:paraId="150781DD">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4DEAEB2">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3.我方在采购项目评审（评标）环节结束后，随时接受采购人、采购代理机构的检查验证，配合提供相关证明材料，证明符合规定的</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基本资格条件。</w:t>
      </w:r>
    </w:p>
    <w:p w14:paraId="0150A315">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我方对以上承诺负全部法律责任。</w:t>
      </w:r>
    </w:p>
    <w:p w14:paraId="7B08E4A3">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特此承诺。</w:t>
      </w:r>
    </w:p>
    <w:p w14:paraId="02FDE82B">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highlight w:val="none"/>
        </w:rPr>
      </w:pPr>
    </w:p>
    <w:p w14:paraId="28679CB5">
      <w:pPr>
        <w:tabs>
          <w:tab w:val="left" w:pos="6300"/>
        </w:tabs>
        <w:kinsoku/>
        <w:overflowPunct/>
        <w:topLinePunct w:val="0"/>
        <w:autoSpaceDE/>
        <w:autoSpaceDN/>
        <w:bidi w:val="0"/>
        <w:snapToGrid w:val="0"/>
        <w:spacing w:line="240" w:lineRule="auto"/>
        <w:ind w:firstLine="480" w:firstLineChars="20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竞选人</w:t>
      </w:r>
      <w:r>
        <w:rPr>
          <w:rFonts w:hint="eastAsia" w:ascii="微软雅黑" w:hAnsi="微软雅黑" w:eastAsia="微软雅黑" w:cs="微软雅黑"/>
          <w:color w:val="auto"/>
          <w:sz w:val="24"/>
          <w:highlight w:val="none"/>
        </w:rPr>
        <w:t>公章）</w:t>
      </w:r>
    </w:p>
    <w:p w14:paraId="1F690317">
      <w:pPr>
        <w:tabs>
          <w:tab w:val="left" w:pos="6300"/>
        </w:tabs>
        <w:kinsoku/>
        <w:overflowPunct/>
        <w:topLinePunct w:val="0"/>
        <w:autoSpaceDE/>
        <w:autoSpaceDN/>
        <w:bidi w:val="0"/>
        <w:snapToGrid w:val="0"/>
        <w:spacing w:line="240" w:lineRule="auto"/>
        <w:ind w:firstLine="480" w:firstLineChars="20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7BD48896">
      <w:pPr>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4"/>
          <w:highlight w:val="none"/>
        </w:rPr>
      </w:pPr>
    </w:p>
    <w:p w14:paraId="257D1E21">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13BC7209">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6BBFFF8B">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0C15D91D">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597F0570">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0EBAA035">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7AFD31CC">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0F23B993">
      <w:pPr>
        <w:kinsoku/>
        <w:overflowPunct/>
        <w:topLinePunct w:val="0"/>
        <w:autoSpaceDE/>
        <w:autoSpaceDN/>
        <w:bidi w:val="0"/>
        <w:spacing w:line="240" w:lineRule="auto"/>
        <w:rPr>
          <w:rFonts w:hint="eastAsia" w:ascii="微软雅黑" w:hAnsi="微软雅黑" w:eastAsia="微软雅黑" w:cs="微软雅黑"/>
          <w:color w:val="auto"/>
          <w:highlight w:val="none"/>
        </w:rPr>
      </w:pPr>
    </w:p>
    <w:p w14:paraId="6B26A06B">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19E07AAA">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69886B29">
      <w:pPr>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br w:type="page"/>
      </w:r>
    </w:p>
    <w:p w14:paraId="23CD66D0">
      <w:pPr>
        <w:tabs>
          <w:tab w:val="left" w:pos="6300"/>
        </w:tabs>
        <w:kinsoku/>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（五）特定资格条件证书或证明文件</w:t>
      </w:r>
    </w:p>
    <w:p w14:paraId="546472F5">
      <w:pPr>
        <w:pageBreakBefore w:val="0"/>
        <w:tabs>
          <w:tab w:val="left" w:pos="6300"/>
        </w:tabs>
        <w:kinsoku/>
        <w:wordWrap/>
        <w:overflowPunct/>
        <w:topLinePunct w:val="0"/>
        <w:autoSpaceDE/>
        <w:autoSpaceDN/>
        <w:bidi w:val="0"/>
        <w:snapToGrid w:val="0"/>
        <w:spacing w:line="240" w:lineRule="auto"/>
        <w:ind w:firstLine="480" w:firstLineChars="200"/>
        <w:rPr>
          <w:rFonts w:hint="eastAsia" w:ascii="微软雅黑" w:hAnsi="微软雅黑" w:eastAsia="微软雅黑" w:cs="微软雅黑"/>
          <w:color w:val="auto"/>
          <w:sz w:val="24"/>
          <w:szCs w:val="28"/>
          <w:highlight w:val="none"/>
        </w:rPr>
      </w:pPr>
    </w:p>
    <w:p w14:paraId="2CEFB551">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6E2D3CB4">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00CFE961">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5178F32F">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3E546D67">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28D3B985">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4F2976E0">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52EB4D4F">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p>
    <w:p w14:paraId="6C141E5C">
      <w:pPr>
        <w:pageBreakBefore w:val="0"/>
        <w:tabs>
          <w:tab w:val="left" w:pos="6300"/>
        </w:tabs>
        <w:kinsoku/>
        <w:wordWrap/>
        <w:overflowPunct/>
        <w:topLinePunct w:val="0"/>
        <w:autoSpaceDE/>
        <w:autoSpaceDN/>
        <w:bidi w:val="0"/>
        <w:snapToGrid w:val="0"/>
        <w:spacing w:line="24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（结束）</w:t>
      </w:r>
    </w:p>
    <w:p w14:paraId="2D3C3CCE">
      <w:pPr>
        <w:pageBreakBefore w:val="0"/>
        <w:kinsoku/>
        <w:wordWrap/>
        <w:overflowPunct/>
        <w:topLinePunct w:val="0"/>
        <w:autoSpaceDE/>
        <w:autoSpaceDN/>
        <w:bidi w:val="0"/>
        <w:spacing w:line="240" w:lineRule="auto"/>
        <w:rPr>
          <w:rFonts w:hint="eastAsia" w:ascii="微软雅黑" w:hAnsi="微软雅黑" w:eastAsia="微软雅黑" w:cs="微软雅黑"/>
          <w:color w:val="auto"/>
          <w:highlight w:val="none"/>
        </w:rPr>
      </w:pPr>
    </w:p>
    <w:sectPr>
      <w:headerReference r:id="rId9" w:type="default"/>
      <w:footerReference r:id="rId10"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1" w:fontKey="{C7F846B8-0BDD-483C-BF1D-AECB97FAB86D}"/>
  </w:font>
  <w:font w:name="方正仿宋_GBK">
    <w:panose1 w:val="02000000000000000000"/>
    <w:charset w:val="86"/>
    <w:family w:val="script"/>
    <w:pitch w:val="default"/>
    <w:sig w:usb0="A00002BF" w:usb1="38CF7CFA" w:usb2="00082016" w:usb3="00000000" w:csb0="00040001" w:csb1="00000000"/>
    <w:embedRegular r:id="rId2" w:fontKey="{602C5B00-0FD6-41CE-8F7A-E347720028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5917">
    <w:pPr>
      <w:pStyle w:val="15"/>
      <w:jc w:val="center"/>
      <w:rPr>
        <w:sz w:val="24"/>
      </w:rPr>
    </w:pPr>
    <w:r>
      <w:rPr>
        <w:sz w:val="24"/>
      </w:rPr>
      <w:fldChar w:fldCharType="begin"/>
    </w:r>
    <w:r>
      <w:rPr>
        <w:rStyle w:val="24"/>
        <w:sz w:val="24"/>
      </w:rPr>
      <w:instrText xml:space="preserve"> PAGE </w:instrText>
    </w:r>
    <w:r>
      <w:rPr>
        <w:sz w:val="24"/>
      </w:rPr>
      <w:fldChar w:fldCharType="separate"/>
    </w:r>
    <w:r>
      <w:rPr>
        <w:rStyle w:val="24"/>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41DC">
    <w:pPr>
      <w:pStyle w:val="15"/>
      <w:framePr w:wrap="around" w:vAnchor="text" w:hAnchor="margin" w:xAlign="center" w:y="1"/>
      <w:rPr>
        <w:rStyle w:val="24"/>
      </w:rPr>
    </w:pPr>
    <w:r>
      <w:fldChar w:fldCharType="begin"/>
    </w:r>
    <w:r>
      <w:rPr>
        <w:rStyle w:val="24"/>
      </w:rPr>
      <w:instrText xml:space="preserve">PAGE  </w:instrText>
    </w:r>
    <w:r>
      <w:fldChar w:fldCharType="end"/>
    </w:r>
  </w:p>
  <w:p w14:paraId="1474946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0215">
    <w:pPr>
      <w:pStyle w:val="15"/>
      <w:ind w:right="360"/>
      <w:jc w:val="center"/>
    </w:pPr>
    <w:r>
      <w:fldChar w:fldCharType="begin"/>
    </w:r>
    <w:r>
      <w:rPr>
        <w:rStyle w:val="24"/>
      </w:rPr>
      <w:instrText xml:space="preserve"> PAGE </w:instrText>
    </w:r>
    <w:r>
      <w:fldChar w:fldCharType="separate"/>
    </w:r>
    <w:r>
      <w:rPr>
        <w:rStyle w:val="24"/>
      </w:rPr>
      <w:t>- 21 -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518B9">
    <w:pPr>
      <w:pStyle w:val="15"/>
      <w:jc w:val="center"/>
      <w:rPr>
        <w:sz w:val="24"/>
      </w:rPr>
    </w:pPr>
    <w:r>
      <w:rPr>
        <w:sz w:val="24"/>
      </w:rPr>
      <w:fldChar w:fldCharType="begin"/>
    </w:r>
    <w:r>
      <w:rPr>
        <w:rStyle w:val="24"/>
        <w:sz w:val="24"/>
      </w:rPr>
      <w:instrText xml:space="preserve"> PAGE </w:instrText>
    </w:r>
    <w:r>
      <w:rPr>
        <w:sz w:val="24"/>
      </w:rPr>
      <w:fldChar w:fldCharType="separate"/>
    </w:r>
    <w:r>
      <w:rPr>
        <w:rStyle w:val="24"/>
        <w:sz w:val="24"/>
      </w:rPr>
      <w:t>- 39 -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077E">
    <w:pPr>
      <w:pStyle w:val="16"/>
      <w:pBdr>
        <w:bottom w:val="single" w:color="auto" w:sz="4" w:space="1"/>
      </w:pBdr>
      <w:jc w:val="both"/>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7BEE">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B90D">
    <w:pPr>
      <w:pStyle w:val="16"/>
      <w:pBdr>
        <w:bottom w:val="single" w:color="auto" w:sz="4" w:space="1"/>
      </w:pBdr>
      <w:jc w:val="both"/>
      <w:rPr>
        <w:rFonts w:hint="eastAsia"/>
      </w:rPr>
    </w:pPr>
    <w:r>
      <w:rPr>
        <w:rFonts w:hint="eastAsia" w:ascii="方正仿宋_GBK" w:eastAsia="方正仿宋_GBK"/>
        <w:sz w:val="21"/>
        <w:szCs w:val="24"/>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8419">
    <w:pPr>
      <w:pStyle w:val="16"/>
      <w:pBdr>
        <w:bottom w:val="none" w:color="auto" w:sz="0" w:space="1"/>
      </w:pBdr>
      <w:jc w:val="both"/>
      <w:rPr>
        <w:rFonts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23">
    <w15:presenceInfo w15:providerId="None" w15:userId="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MTM0YTQxNjljZTc3Y2MzZjMxYjQ4YTNiNmIxOWEifQ=="/>
  </w:docVars>
  <w:rsids>
    <w:rsidRoot w:val="366605DC"/>
    <w:rsid w:val="0003355D"/>
    <w:rsid w:val="00096572"/>
    <w:rsid w:val="000C45F7"/>
    <w:rsid w:val="001C5CDB"/>
    <w:rsid w:val="00231569"/>
    <w:rsid w:val="002D27EF"/>
    <w:rsid w:val="003A7FE2"/>
    <w:rsid w:val="004314F9"/>
    <w:rsid w:val="00435899"/>
    <w:rsid w:val="00464044"/>
    <w:rsid w:val="00492853"/>
    <w:rsid w:val="004B4367"/>
    <w:rsid w:val="0061360B"/>
    <w:rsid w:val="00797D26"/>
    <w:rsid w:val="007E7E60"/>
    <w:rsid w:val="007F1652"/>
    <w:rsid w:val="00883133"/>
    <w:rsid w:val="008C1A79"/>
    <w:rsid w:val="008E2F95"/>
    <w:rsid w:val="00912927"/>
    <w:rsid w:val="009C42F8"/>
    <w:rsid w:val="009F64C7"/>
    <w:rsid w:val="00A4462E"/>
    <w:rsid w:val="00A84276"/>
    <w:rsid w:val="00AC35E6"/>
    <w:rsid w:val="00BF2BA4"/>
    <w:rsid w:val="00C84137"/>
    <w:rsid w:val="00C923CA"/>
    <w:rsid w:val="00C97245"/>
    <w:rsid w:val="00CE1EB8"/>
    <w:rsid w:val="00D14149"/>
    <w:rsid w:val="00D81F00"/>
    <w:rsid w:val="00E05EE0"/>
    <w:rsid w:val="00E3476F"/>
    <w:rsid w:val="00E763DF"/>
    <w:rsid w:val="00F744BB"/>
    <w:rsid w:val="00FC4D0F"/>
    <w:rsid w:val="01B51459"/>
    <w:rsid w:val="02272A3D"/>
    <w:rsid w:val="02351D79"/>
    <w:rsid w:val="025A1439"/>
    <w:rsid w:val="027F3023"/>
    <w:rsid w:val="02DD1D77"/>
    <w:rsid w:val="0370464D"/>
    <w:rsid w:val="03B311A2"/>
    <w:rsid w:val="04563948"/>
    <w:rsid w:val="04706085"/>
    <w:rsid w:val="05555185"/>
    <w:rsid w:val="05B15368"/>
    <w:rsid w:val="06405880"/>
    <w:rsid w:val="067607F5"/>
    <w:rsid w:val="06B658D1"/>
    <w:rsid w:val="073D6449"/>
    <w:rsid w:val="08210B20"/>
    <w:rsid w:val="0845254C"/>
    <w:rsid w:val="0A035CDE"/>
    <w:rsid w:val="0A282E45"/>
    <w:rsid w:val="0A7E1D45"/>
    <w:rsid w:val="0B921C40"/>
    <w:rsid w:val="0C8D303A"/>
    <w:rsid w:val="0DF845C0"/>
    <w:rsid w:val="0F0454D2"/>
    <w:rsid w:val="0F8244EF"/>
    <w:rsid w:val="10E50428"/>
    <w:rsid w:val="10F468BD"/>
    <w:rsid w:val="111927C8"/>
    <w:rsid w:val="11457119"/>
    <w:rsid w:val="116E61A6"/>
    <w:rsid w:val="12047CF2"/>
    <w:rsid w:val="12082001"/>
    <w:rsid w:val="126C71EE"/>
    <w:rsid w:val="13031039"/>
    <w:rsid w:val="133E25B0"/>
    <w:rsid w:val="14961A2A"/>
    <w:rsid w:val="14F16C4C"/>
    <w:rsid w:val="151B4D60"/>
    <w:rsid w:val="15701E9F"/>
    <w:rsid w:val="15B216E9"/>
    <w:rsid w:val="15BB35BC"/>
    <w:rsid w:val="16026D99"/>
    <w:rsid w:val="16F50B8D"/>
    <w:rsid w:val="179E3A27"/>
    <w:rsid w:val="17FF7881"/>
    <w:rsid w:val="18144D7B"/>
    <w:rsid w:val="181C089E"/>
    <w:rsid w:val="188A5DD6"/>
    <w:rsid w:val="18C474BD"/>
    <w:rsid w:val="18DB45BF"/>
    <w:rsid w:val="191127F1"/>
    <w:rsid w:val="19AA66B3"/>
    <w:rsid w:val="19FA13E8"/>
    <w:rsid w:val="1A355B8C"/>
    <w:rsid w:val="1A9D1D74"/>
    <w:rsid w:val="1ACD7E07"/>
    <w:rsid w:val="1B09724D"/>
    <w:rsid w:val="1B7E4909"/>
    <w:rsid w:val="1B99253B"/>
    <w:rsid w:val="1BB15783"/>
    <w:rsid w:val="1D466752"/>
    <w:rsid w:val="1DA8115B"/>
    <w:rsid w:val="1F176019"/>
    <w:rsid w:val="1F197916"/>
    <w:rsid w:val="1F2C561F"/>
    <w:rsid w:val="1F923E71"/>
    <w:rsid w:val="20E029BA"/>
    <w:rsid w:val="21D21D14"/>
    <w:rsid w:val="220F5343"/>
    <w:rsid w:val="22264634"/>
    <w:rsid w:val="224F0326"/>
    <w:rsid w:val="23F1104C"/>
    <w:rsid w:val="245929EE"/>
    <w:rsid w:val="25917E9B"/>
    <w:rsid w:val="25EF22AF"/>
    <w:rsid w:val="27685737"/>
    <w:rsid w:val="27A158FF"/>
    <w:rsid w:val="281406BC"/>
    <w:rsid w:val="289B328C"/>
    <w:rsid w:val="29E01404"/>
    <w:rsid w:val="29FA77E4"/>
    <w:rsid w:val="2A645F44"/>
    <w:rsid w:val="2BBF26BA"/>
    <w:rsid w:val="2C451D2D"/>
    <w:rsid w:val="2CCF04B2"/>
    <w:rsid w:val="2D7746A6"/>
    <w:rsid w:val="2DE27D71"/>
    <w:rsid w:val="2EC41B6D"/>
    <w:rsid w:val="2EE86B84"/>
    <w:rsid w:val="2F3749A9"/>
    <w:rsid w:val="2F5B6E36"/>
    <w:rsid w:val="31342FDA"/>
    <w:rsid w:val="31AF5BD8"/>
    <w:rsid w:val="31E60B34"/>
    <w:rsid w:val="32EE5EA6"/>
    <w:rsid w:val="344F7F72"/>
    <w:rsid w:val="345D45F6"/>
    <w:rsid w:val="35165FEE"/>
    <w:rsid w:val="357D4824"/>
    <w:rsid w:val="366605DC"/>
    <w:rsid w:val="368A544A"/>
    <w:rsid w:val="36C62248"/>
    <w:rsid w:val="38BB7B3D"/>
    <w:rsid w:val="39865D79"/>
    <w:rsid w:val="3B280276"/>
    <w:rsid w:val="3CB91139"/>
    <w:rsid w:val="3D581DFE"/>
    <w:rsid w:val="3E3D5FD9"/>
    <w:rsid w:val="3E912562"/>
    <w:rsid w:val="3EDF4135"/>
    <w:rsid w:val="40104C12"/>
    <w:rsid w:val="407056B1"/>
    <w:rsid w:val="40ED6D92"/>
    <w:rsid w:val="41173D7E"/>
    <w:rsid w:val="411F6AF6"/>
    <w:rsid w:val="41540B2E"/>
    <w:rsid w:val="41907A9E"/>
    <w:rsid w:val="419A74AE"/>
    <w:rsid w:val="41EE29A4"/>
    <w:rsid w:val="422F25A0"/>
    <w:rsid w:val="42B51AA1"/>
    <w:rsid w:val="44226CC2"/>
    <w:rsid w:val="443609BF"/>
    <w:rsid w:val="456A6C50"/>
    <w:rsid w:val="457B2B2E"/>
    <w:rsid w:val="45E22FE9"/>
    <w:rsid w:val="45E42C1A"/>
    <w:rsid w:val="46155DB3"/>
    <w:rsid w:val="46372B6A"/>
    <w:rsid w:val="46D544C0"/>
    <w:rsid w:val="471F0164"/>
    <w:rsid w:val="475B57BC"/>
    <w:rsid w:val="4823353C"/>
    <w:rsid w:val="48BA1B48"/>
    <w:rsid w:val="491312CF"/>
    <w:rsid w:val="495D03F3"/>
    <w:rsid w:val="49991A37"/>
    <w:rsid w:val="4C107D48"/>
    <w:rsid w:val="4C5B7D82"/>
    <w:rsid w:val="4E187D43"/>
    <w:rsid w:val="4E5E123E"/>
    <w:rsid w:val="4E8C4F70"/>
    <w:rsid w:val="4FE71C0C"/>
    <w:rsid w:val="502B6EFE"/>
    <w:rsid w:val="5176762C"/>
    <w:rsid w:val="51BF1FF4"/>
    <w:rsid w:val="53252976"/>
    <w:rsid w:val="541B7A0B"/>
    <w:rsid w:val="5582002D"/>
    <w:rsid w:val="55F935FB"/>
    <w:rsid w:val="56950170"/>
    <w:rsid w:val="56C43C09"/>
    <w:rsid w:val="57C24009"/>
    <w:rsid w:val="589103EB"/>
    <w:rsid w:val="58EB542F"/>
    <w:rsid w:val="59145F35"/>
    <w:rsid w:val="5A3E139F"/>
    <w:rsid w:val="5A457606"/>
    <w:rsid w:val="5BFE2669"/>
    <w:rsid w:val="5D1530C4"/>
    <w:rsid w:val="5D3E1A99"/>
    <w:rsid w:val="5F51216C"/>
    <w:rsid w:val="5F5244A8"/>
    <w:rsid w:val="5FF83F53"/>
    <w:rsid w:val="60145C01"/>
    <w:rsid w:val="604277FE"/>
    <w:rsid w:val="6071095D"/>
    <w:rsid w:val="60831E27"/>
    <w:rsid w:val="61823FF6"/>
    <w:rsid w:val="62E97BDB"/>
    <w:rsid w:val="636F06E5"/>
    <w:rsid w:val="64713622"/>
    <w:rsid w:val="647B7FFD"/>
    <w:rsid w:val="64C346C9"/>
    <w:rsid w:val="64E24153"/>
    <w:rsid w:val="64F34B29"/>
    <w:rsid w:val="65516F51"/>
    <w:rsid w:val="66EF4CD2"/>
    <w:rsid w:val="677D5E3A"/>
    <w:rsid w:val="678620EE"/>
    <w:rsid w:val="67B349D3"/>
    <w:rsid w:val="684E5FDC"/>
    <w:rsid w:val="68B8009F"/>
    <w:rsid w:val="68F04296"/>
    <w:rsid w:val="696E650D"/>
    <w:rsid w:val="69DC7E45"/>
    <w:rsid w:val="6A6B08B4"/>
    <w:rsid w:val="6AB92E4D"/>
    <w:rsid w:val="6AC025FA"/>
    <w:rsid w:val="6B372938"/>
    <w:rsid w:val="6CB7101D"/>
    <w:rsid w:val="6E1119D2"/>
    <w:rsid w:val="6F193256"/>
    <w:rsid w:val="6FE62545"/>
    <w:rsid w:val="70351F5E"/>
    <w:rsid w:val="70446AB6"/>
    <w:rsid w:val="7051700F"/>
    <w:rsid w:val="70EB2734"/>
    <w:rsid w:val="718E0A27"/>
    <w:rsid w:val="72037FB4"/>
    <w:rsid w:val="7349348B"/>
    <w:rsid w:val="737438A4"/>
    <w:rsid w:val="75276491"/>
    <w:rsid w:val="755C3E40"/>
    <w:rsid w:val="76236BCB"/>
    <w:rsid w:val="77E347CE"/>
    <w:rsid w:val="79760B52"/>
    <w:rsid w:val="7A541DE1"/>
    <w:rsid w:val="7B1E08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line="413" w:lineRule="auto"/>
      <w:outlineLvl w:val="2"/>
    </w:pPr>
    <w:rPr>
      <w:b/>
      <w:sz w:val="32"/>
    </w:rPr>
  </w:style>
  <w:style w:type="paragraph" w:styleId="5">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annotation text"/>
    <w:basedOn w:val="1"/>
    <w:link w:val="28"/>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8">
    <w:name w:val="Body Text"/>
    <w:basedOn w:val="1"/>
    <w:next w:val="9"/>
    <w:qFormat/>
    <w:uiPriority w:val="0"/>
    <w:rPr>
      <w:rFonts w:ascii="仿宋_GB2312" w:eastAsia="仿宋_GB2312"/>
      <w:sz w:val="32"/>
    </w:rPr>
  </w:style>
  <w:style w:type="paragraph" w:styleId="9">
    <w:name w:val="Body Text 2"/>
    <w:basedOn w:val="1"/>
    <w:qFormat/>
    <w:uiPriority w:val="0"/>
    <w:pPr>
      <w:adjustRightInd w:val="0"/>
      <w:snapToGrid w:val="0"/>
      <w:spacing w:after="120" w:line="480" w:lineRule="auto"/>
    </w:pPr>
    <w:rPr>
      <w:sz w:val="24"/>
    </w:rPr>
  </w:style>
  <w:style w:type="paragraph" w:styleId="10">
    <w:name w:val="Body Text Indent"/>
    <w:basedOn w:val="1"/>
    <w:qFormat/>
    <w:uiPriority w:val="0"/>
    <w:pPr>
      <w:spacing w:line="700" w:lineRule="exact"/>
      <w:ind w:left="960"/>
    </w:pPr>
    <w:rPr>
      <w:sz w:val="44"/>
    </w:rPr>
  </w:style>
  <w:style w:type="paragraph" w:styleId="11">
    <w:name w:val="Plain Text"/>
    <w:basedOn w:val="1"/>
    <w:qFormat/>
    <w:uiPriority w:val="0"/>
    <w:pPr>
      <w:adjustRightInd w:val="0"/>
      <w:snapToGrid w:val="0"/>
      <w:spacing w:line="360" w:lineRule="auto"/>
    </w:pPr>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Balloon Text"/>
    <w:basedOn w:val="1"/>
    <w:link w:val="27"/>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tabs>
        <w:tab w:val="left" w:pos="1260"/>
        <w:tab w:val="left" w:pos="1685"/>
        <w:tab w:val="right" w:leader="dot" w:pos="8400"/>
      </w:tabs>
      <w:spacing w:line="320" w:lineRule="exact"/>
      <w:ind w:firstLine="280" w:firstLineChars="100"/>
    </w:pPr>
  </w:style>
  <w:style w:type="paragraph" w:styleId="18">
    <w:name w:val="toc 2"/>
    <w:basedOn w:val="1"/>
    <w:next w:val="1"/>
    <w:qFormat/>
    <w:uiPriority w:val="0"/>
    <w:pPr>
      <w:tabs>
        <w:tab w:val="right" w:leader="dot" w:pos="8400"/>
      </w:tabs>
      <w:spacing w:line="440" w:lineRule="exact"/>
      <w:ind w:left="280" w:leftChars="100" w:right="-91" w:rightChars="-91"/>
    </w:pPr>
  </w:style>
  <w:style w:type="paragraph" w:styleId="19">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0">
    <w:name w:val="annotation subject"/>
    <w:basedOn w:val="7"/>
    <w:next w:val="7"/>
    <w:link w:val="29"/>
    <w:qFormat/>
    <w:uiPriority w:val="0"/>
    <w:pPr>
      <w:widowControl w:val="0"/>
      <w:tabs>
        <w:tab w:val="clear" w:pos="1134"/>
      </w:tabs>
      <w:adjustRightInd/>
      <w:snapToGrid/>
      <w:spacing w:line="240" w:lineRule="auto"/>
    </w:pPr>
    <w:rPr>
      <w:rFonts w:eastAsia="宋体"/>
      <w:b/>
      <w:bCs/>
      <w:kern w:val="2"/>
      <w:sz w:val="28"/>
      <w:lang w:eastAsia="zh-CN"/>
    </w:rPr>
  </w:style>
  <w:style w:type="character" w:styleId="23">
    <w:name w:val="Strong"/>
    <w:qFormat/>
    <w:uiPriority w:val="22"/>
    <w:rPr>
      <w:b/>
    </w:rPr>
  </w:style>
  <w:style w:type="character" w:styleId="24">
    <w:name w:val="page number"/>
    <w:qFormat/>
    <w:uiPriority w:val="0"/>
    <w:rPr>
      <w:rFonts w:ascii="Times New Roman" w:hAnsi="Times New Roman" w:eastAsia="宋体" w:cs="Times New Roman"/>
    </w:rPr>
  </w:style>
  <w:style w:type="character" w:styleId="25">
    <w:name w:val="Emphasis"/>
    <w:qFormat/>
    <w:uiPriority w:val="0"/>
    <w:rPr>
      <w:i/>
    </w:rPr>
  </w:style>
  <w:style w:type="character" w:styleId="26">
    <w:name w:val="annotation reference"/>
    <w:qFormat/>
    <w:uiPriority w:val="0"/>
    <w:rPr>
      <w:rFonts w:ascii="Times New Roman" w:hAnsi="Times New Roman" w:eastAsia="宋体" w:cs="Times New Roman"/>
      <w:sz w:val="21"/>
    </w:rPr>
  </w:style>
  <w:style w:type="character" w:customStyle="1" w:styleId="27">
    <w:name w:val="批注框文本 字符"/>
    <w:basedOn w:val="22"/>
    <w:link w:val="14"/>
    <w:qFormat/>
    <w:uiPriority w:val="0"/>
    <w:rPr>
      <w:kern w:val="2"/>
      <w:sz w:val="18"/>
      <w:szCs w:val="18"/>
    </w:rPr>
  </w:style>
  <w:style w:type="character" w:customStyle="1" w:styleId="28">
    <w:name w:val="批注文字 字符"/>
    <w:basedOn w:val="22"/>
    <w:link w:val="7"/>
    <w:qFormat/>
    <w:uiPriority w:val="0"/>
    <w:rPr>
      <w:rFonts w:eastAsia="PMingLiU"/>
      <w:sz w:val="24"/>
      <w:lang w:eastAsia="zh-TW"/>
    </w:rPr>
  </w:style>
  <w:style w:type="character" w:customStyle="1" w:styleId="29">
    <w:name w:val="批注主题 字符"/>
    <w:basedOn w:val="28"/>
    <w:link w:val="20"/>
    <w:qFormat/>
    <w:uiPriority w:val="0"/>
    <w:rPr>
      <w:rFonts w:eastAsia="PMingLiU"/>
      <w:sz w:val="24"/>
      <w:lang w:eastAsia="zh-TW"/>
    </w:rPr>
  </w:style>
  <w:style w:type="paragraph" w:customStyle="1" w:styleId="30">
    <w:name w:val="图例"/>
    <w:basedOn w:val="1"/>
    <w:qFormat/>
    <w:uiPriority w:val="0"/>
    <w:pPr>
      <w:spacing w:before="120" w:after="120" w:line="360" w:lineRule="auto"/>
      <w:jc w:val="center"/>
    </w:pPr>
    <w:rPr>
      <w:rFonts w:eastAsia="仿宋_GB2312"/>
      <w:b/>
      <w:sz w:val="24"/>
    </w:rPr>
  </w:style>
  <w:style w:type="paragraph" w:styleId="31">
    <w:name w:val="List Paragraph"/>
    <w:basedOn w:val="1"/>
    <w:qFormat/>
    <w:uiPriority w:val="34"/>
    <w:pPr>
      <w:ind w:firstLine="420" w:firstLineChars="200"/>
    </w:p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null3"/>
    <w:qFormat/>
    <w:uiPriority w:val="0"/>
    <w:rPr>
      <w:rFonts w:hint="eastAsia" w:ascii="Calibri" w:hAnsi="Calibri" w:eastAsia="宋体" w:cs="Times New Roman"/>
      <w:lang w:val="en-US" w:eastAsia="zh-Hans" w:bidi="ar-SA"/>
    </w:rPr>
  </w:style>
  <w:style w:type="paragraph" w:customStyle="1" w:styleId="34">
    <w:name w:val="正文文本2"/>
    <w:basedOn w:val="1"/>
    <w:qFormat/>
    <w:uiPriority w:val="0"/>
    <w:pPr>
      <w:spacing w:after="120"/>
      <w:ind w:firstLine="445" w:firstLineChars="200"/>
    </w:pPr>
    <w:rPr>
      <w:rFonts w:ascii="Calibri" w:hAnsi="Calibri"/>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43</Pages>
  <Words>13992</Words>
  <Characters>14682</Characters>
  <Lines>173</Lines>
  <Paragraphs>48</Paragraphs>
  <TotalTime>0</TotalTime>
  <ScaleCrop>false</ScaleCrop>
  <LinksUpToDate>false</LinksUpToDate>
  <CharactersWithSpaces>15345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2025-03-21T04:46:00Z</dcterms:created>
  <dc:creator>重庆</dc:creator>
  <cp:lastModifiedBy>代理</cp:lastModifiedBy>
  <cp:lastPrinted>2026-03-06T08:49:00Z</cp:lastPrinted>
  <dcterms:modified xsi:type="dcterms:W3CDTF">2026-03-13T08:00:00Z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F6FA0B8591AE429A87FE9DBC8A01041A_13</vt:lpwstr>
  </property>
  <property fmtid="{D5CDD505-2E9C-101B-9397-08002B2CF9AE}" pid="4" name="KSOTemplateDocerSaveRecord">
    <vt:lpwstr>eyJoZGlkIjoiNTE1NjM5NWJiYjJlZjJhOGRiZThkYTU4OGJmNjJlZTgiLCJ1c2VySWQiOiIzODk0NTAwMDEifQ==</vt:lpwstr>
  </property>
</Properties>
</file>