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bookmarkStart w:id="0" w:name="_Toc24381341"/>
      <w:bookmarkStart w:id="1" w:name="_Toc24380205"/>
      <w:bookmarkStart w:id="2" w:name="_Toc24359597"/>
      <w:bookmarkStart w:id="3" w:name="_Toc24360035"/>
    </w:p>
    <w:p>
      <w:pPr>
        <w:spacing w:after="156" w:afterLines="50" w:line="480" w:lineRule="auto"/>
        <w:jc w:val="center"/>
        <w:rPr>
          <w:rFonts w:ascii="微软雅黑" w:hAnsi="微软雅黑" w:eastAsia="微软雅黑" w:cs="微软雅黑"/>
          <w:b/>
          <w:bCs/>
          <w:sz w:val="56"/>
          <w:szCs w:val="56"/>
        </w:rPr>
      </w:pPr>
      <w:r>
        <w:rPr>
          <w:rFonts w:hint="eastAsia" w:ascii="微软雅黑" w:hAnsi="微软雅黑" w:eastAsia="微软雅黑" w:cs="微软雅黑"/>
          <w:b/>
          <w:bCs/>
          <w:sz w:val="56"/>
          <w:szCs w:val="56"/>
        </w:rPr>
        <w:t>行采家全程电子化</w:t>
      </w:r>
    </w:p>
    <w:p>
      <w:pPr>
        <w:spacing w:line="480" w:lineRule="auto"/>
        <w:jc w:val="center"/>
        <w:rPr>
          <w:rFonts w:ascii="微软雅黑" w:hAnsi="微软雅黑" w:eastAsia="微软雅黑" w:cs="微软雅黑"/>
          <w:b/>
          <w:bCs/>
          <w:sz w:val="56"/>
          <w:szCs w:val="56"/>
        </w:rPr>
      </w:pPr>
      <w:r>
        <w:rPr>
          <w:rFonts w:hint="eastAsia" w:ascii="微软雅黑" w:hAnsi="微软雅黑" w:eastAsia="微软雅黑" w:cs="微软雅黑"/>
          <w:b/>
          <w:bCs/>
          <w:sz w:val="56"/>
          <w:szCs w:val="56"/>
        </w:rPr>
        <w:t>供应商操作手册（电子密码版）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重庆港澳大家软件产业有限公司</w:t>
      </w:r>
    </w:p>
    <w:p>
      <w:pPr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二零二二年十一月</w:t>
      </w:r>
    </w:p>
    <w:p>
      <w:pPr>
        <w:jc w:val="center"/>
        <w:rPr>
          <w:rFonts w:ascii="微软雅黑" w:hAnsi="微软雅黑" w:eastAsia="微软雅黑" w:cs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 w:cs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 w:cs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 w:cs="微软雅黑"/>
          <w:sz w:val="32"/>
          <w:szCs w:val="32"/>
        </w:rPr>
      </w:pPr>
    </w:p>
    <w:p/>
    <w:p>
      <w:pPr>
        <w:pStyle w:val="14"/>
        <w:tabs>
          <w:tab w:val="right" w:leader="dot" w:pos="8296"/>
        </w:tabs>
      </w:pPr>
    </w:p>
    <w:p>
      <w:pPr>
        <w:pStyle w:val="14"/>
        <w:tabs>
          <w:tab w:val="right" w:leader="dot" w:pos="8296"/>
        </w:tabs>
      </w:pPr>
    </w:p>
    <w:p>
      <w:pPr>
        <w:spacing w:before="156" w:beforeLines="50" w:after="156" w:afterLines="50" w:line="360" w:lineRule="auto"/>
        <w:jc w:val="center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目 录</w:t>
      </w:r>
    </w:p>
    <w:p>
      <w:pPr>
        <w:pStyle w:val="14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</w:instrText>
      </w:r>
      <w:r>
        <w:rPr>
          <w:rFonts w:hint="eastAsia" w:ascii="黑体" w:hAnsi="黑体" w:eastAsia="黑体"/>
        </w:rPr>
        <w:instrText xml:space="preserve">TOC \o "1-3" \h \z \u</w:instrText>
      </w:r>
      <w:r>
        <w:rPr>
          <w:rFonts w:ascii="黑体" w:hAnsi="黑体" w:eastAsia="黑体"/>
        </w:rPr>
        <w:instrText xml:space="preserve"> </w:instrText>
      </w:r>
      <w:r>
        <w:rPr>
          <w:rFonts w:ascii="黑体" w:hAnsi="黑体" w:eastAsia="黑体"/>
        </w:rPr>
        <w:fldChar w:fldCharType="separate"/>
      </w:r>
      <w:r>
        <w:fldChar w:fldCharType="begin"/>
      </w:r>
      <w:r>
        <w:instrText xml:space="preserve"> HYPERLINK \l "_Toc121213126" </w:instrText>
      </w:r>
      <w:r>
        <w:fldChar w:fldCharType="separate"/>
      </w:r>
      <w:r>
        <w:rPr>
          <w:rStyle w:val="22"/>
          <w:rFonts w:ascii="黑体" w:hAnsi="黑体" w:eastAsia="黑体" w:cs="黑体"/>
        </w:rPr>
        <w:t>1.概述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_Toc121213126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2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4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"_Toc121213127" </w:instrText>
      </w:r>
      <w:r>
        <w:fldChar w:fldCharType="separate"/>
      </w:r>
      <w:r>
        <w:rPr>
          <w:rStyle w:val="22"/>
          <w:rFonts w:ascii="黑体" w:hAnsi="黑体" w:eastAsia="黑体" w:cs="黑体"/>
        </w:rPr>
        <w:t>2.供应商标前准备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_Toc121213127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3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"_Toc121213128" </w:instrText>
      </w:r>
      <w:r>
        <w:fldChar w:fldCharType="separate"/>
      </w:r>
      <w:r>
        <w:rPr>
          <w:rStyle w:val="22"/>
          <w:rFonts w:ascii="黑体" w:hAnsi="黑体" w:eastAsia="黑体" w:cstheme="minorEastAsia"/>
          <w:kern w:val="0"/>
        </w:rPr>
        <w:t>2.1供应商注册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_Toc121213128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3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"_Toc121213129" </w:instrText>
      </w:r>
      <w:r>
        <w:fldChar w:fldCharType="separate"/>
      </w:r>
      <w:r>
        <w:rPr>
          <w:rStyle w:val="22"/>
          <w:rFonts w:ascii="黑体" w:hAnsi="黑体" w:eastAsia="黑体" w:cstheme="minorEastAsia"/>
          <w:kern w:val="0"/>
        </w:rPr>
        <w:t>2.2下载安装投标文件制作系统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_Toc121213129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4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4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"_Toc121213130" </w:instrText>
      </w:r>
      <w:r>
        <w:fldChar w:fldCharType="separate"/>
      </w:r>
      <w:r>
        <w:rPr>
          <w:rStyle w:val="22"/>
          <w:rFonts w:ascii="黑体" w:hAnsi="黑体" w:eastAsia="黑体" w:cs="黑体"/>
        </w:rPr>
        <w:t>3.供应商系统登录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_Toc121213130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4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4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"_Toc121213131" </w:instrText>
      </w:r>
      <w:r>
        <w:fldChar w:fldCharType="separate"/>
      </w:r>
      <w:r>
        <w:rPr>
          <w:rStyle w:val="22"/>
          <w:rFonts w:ascii="黑体" w:hAnsi="黑体" w:eastAsia="黑体" w:cs="黑体"/>
        </w:rPr>
        <w:t>4.供应商获取采购文件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_Toc121213131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5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4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"_Toc121213132" </w:instrText>
      </w:r>
      <w:r>
        <w:fldChar w:fldCharType="separate"/>
      </w:r>
      <w:r>
        <w:rPr>
          <w:rStyle w:val="22"/>
          <w:rFonts w:ascii="黑体" w:hAnsi="黑体" w:eastAsia="黑体" w:cs="黑体"/>
        </w:rPr>
        <w:t>5.供应商制作投标文件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_Toc121213132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7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4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"_Toc121213133" </w:instrText>
      </w:r>
      <w:r>
        <w:fldChar w:fldCharType="separate"/>
      </w:r>
      <w:r>
        <w:rPr>
          <w:rStyle w:val="22"/>
          <w:rFonts w:ascii="黑体" w:hAnsi="黑体" w:eastAsia="黑体" w:cs="黑体"/>
        </w:rPr>
        <w:t>6.供应商离线制作电子投标文件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_Toc121213133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8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"_Toc121213134" </w:instrText>
      </w:r>
      <w:r>
        <w:fldChar w:fldCharType="separate"/>
      </w:r>
      <w:r>
        <w:rPr>
          <w:rStyle w:val="22"/>
          <w:rFonts w:ascii="黑体" w:hAnsi="黑体" w:eastAsia="黑体" w:cstheme="minorEastAsia"/>
          <w:kern w:val="0"/>
        </w:rPr>
        <w:t>6.1打开项目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_Toc121213134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9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"_Toc121213135" </w:instrText>
      </w:r>
      <w:r>
        <w:fldChar w:fldCharType="separate"/>
      </w:r>
      <w:r>
        <w:rPr>
          <w:rStyle w:val="22"/>
          <w:rFonts w:ascii="黑体" w:hAnsi="黑体" w:eastAsia="黑体" w:cstheme="minorEastAsia"/>
          <w:kern w:val="0"/>
        </w:rPr>
        <w:t>6.2录入报价一览表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_Toc121213135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9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"_Toc121213136" </w:instrText>
      </w:r>
      <w:r>
        <w:fldChar w:fldCharType="separate"/>
      </w:r>
      <w:r>
        <w:rPr>
          <w:rStyle w:val="22"/>
          <w:rFonts w:ascii="黑体" w:hAnsi="黑体" w:eastAsia="黑体" w:cstheme="minorEastAsia"/>
          <w:kern w:val="0"/>
        </w:rPr>
        <w:t>6.3上传投标文件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_Toc121213136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10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"_Toc121213137" </w:instrText>
      </w:r>
      <w:r>
        <w:fldChar w:fldCharType="separate"/>
      </w:r>
      <w:r>
        <w:rPr>
          <w:rStyle w:val="22"/>
          <w:rFonts w:ascii="黑体" w:hAnsi="黑体" w:eastAsia="黑体" w:cstheme="minorEastAsia"/>
          <w:kern w:val="0"/>
        </w:rPr>
        <w:t>6.4设置评分页码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_Toc121213137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11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"_Toc121213138" </w:instrText>
      </w:r>
      <w:r>
        <w:fldChar w:fldCharType="separate"/>
      </w:r>
      <w:r>
        <w:rPr>
          <w:rStyle w:val="22"/>
          <w:rFonts w:ascii="黑体" w:hAnsi="黑体" w:eastAsia="黑体" w:cstheme="minorEastAsia"/>
          <w:kern w:val="0"/>
        </w:rPr>
        <w:t>6.5设置电子密码并下载投标文件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_Toc121213138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12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4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"_Toc121213139" </w:instrText>
      </w:r>
      <w:r>
        <w:fldChar w:fldCharType="separate"/>
      </w:r>
      <w:r>
        <w:rPr>
          <w:rStyle w:val="22"/>
          <w:rFonts w:ascii="黑体" w:hAnsi="黑体" w:eastAsia="黑体" w:cs="黑体"/>
        </w:rPr>
        <w:t>7.供应商在线投标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_Toc121213139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14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4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"_Toc121213140" </w:instrText>
      </w:r>
      <w:r>
        <w:fldChar w:fldCharType="separate"/>
      </w:r>
      <w:r>
        <w:rPr>
          <w:rStyle w:val="22"/>
          <w:rFonts w:ascii="黑体" w:hAnsi="黑体" w:eastAsia="黑体" w:cs="黑体"/>
        </w:rPr>
        <w:t>8.在线开标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_Toc121213140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15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"_Toc121213141" </w:instrText>
      </w:r>
      <w:r>
        <w:fldChar w:fldCharType="separate"/>
      </w:r>
      <w:r>
        <w:rPr>
          <w:rStyle w:val="22"/>
          <w:rFonts w:ascii="黑体" w:hAnsi="黑体" w:eastAsia="黑体" w:cstheme="minorEastAsia"/>
          <w:kern w:val="0"/>
        </w:rPr>
        <w:t>8.1进入开标室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_Toc121213141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15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"_Toc121213142" </w:instrText>
      </w:r>
      <w:r>
        <w:fldChar w:fldCharType="separate"/>
      </w:r>
      <w:r>
        <w:rPr>
          <w:rStyle w:val="22"/>
          <w:rFonts w:ascii="黑体" w:hAnsi="黑体" w:eastAsia="黑体" w:cstheme="minorEastAsia"/>
          <w:kern w:val="0"/>
        </w:rPr>
        <w:t>8.2在线解密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_Toc121213142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16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"_Toc121213143" </w:instrText>
      </w:r>
      <w:r>
        <w:fldChar w:fldCharType="separate"/>
      </w:r>
      <w:r>
        <w:rPr>
          <w:rStyle w:val="22"/>
          <w:rFonts w:ascii="黑体" w:hAnsi="黑体" w:eastAsia="黑体" w:cstheme="minorEastAsia"/>
          <w:kern w:val="0"/>
        </w:rPr>
        <w:t>8.3确认唱标结果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_Toc121213143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18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14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"_Toc121213144" </w:instrText>
      </w:r>
      <w:r>
        <w:fldChar w:fldCharType="separate"/>
      </w:r>
      <w:r>
        <w:rPr>
          <w:rStyle w:val="22"/>
          <w:rFonts w:ascii="黑体" w:hAnsi="黑体" w:eastAsia="黑体" w:cs="黑体"/>
        </w:rPr>
        <w:t>9.开标完成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_Toc121213144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19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"_Toc121213145" </w:instrText>
      </w:r>
      <w:r>
        <w:fldChar w:fldCharType="separate"/>
      </w:r>
      <w:r>
        <w:rPr>
          <w:rStyle w:val="22"/>
          <w:rFonts w:ascii="黑体" w:hAnsi="黑体" w:eastAsia="黑体" w:cstheme="minorEastAsia"/>
          <w:kern w:val="0"/>
        </w:rPr>
        <w:t>9.1问题澄清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_Toc121213145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20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"_Toc121213146" </w:instrText>
      </w:r>
      <w:r>
        <w:fldChar w:fldCharType="separate"/>
      </w:r>
      <w:r>
        <w:rPr>
          <w:rStyle w:val="22"/>
          <w:rFonts w:ascii="黑体" w:hAnsi="黑体" w:eastAsia="黑体" w:cstheme="minorEastAsia"/>
          <w:kern w:val="0"/>
        </w:rPr>
        <w:t>9.2供应商查看抽签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_Toc121213146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21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黑体" w:hAnsi="黑体" w:eastAsia="黑体"/>
        </w:rPr>
      </w:pPr>
      <w:r>
        <w:fldChar w:fldCharType="begin"/>
      </w:r>
      <w:r>
        <w:instrText xml:space="preserve"> HYPERLINK \l "_Toc121213147" </w:instrText>
      </w:r>
      <w:r>
        <w:fldChar w:fldCharType="separate"/>
      </w:r>
      <w:r>
        <w:rPr>
          <w:rStyle w:val="22"/>
          <w:rFonts w:ascii="黑体" w:hAnsi="黑体" w:eastAsia="黑体" w:cstheme="minorEastAsia"/>
          <w:kern w:val="0"/>
        </w:rPr>
        <w:t>9.3供应商二次报价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_Toc121213147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22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>
      <w:pPr>
        <w:spacing w:line="360" w:lineRule="auto"/>
        <w:rPr>
          <w:rFonts w:ascii="黑体" w:hAnsi="黑体" w:eastAsia="黑体"/>
        </w:rPr>
      </w:pPr>
      <w:r>
        <w:rPr>
          <w:rFonts w:ascii="黑体" w:hAnsi="黑体" w:eastAsia="黑体"/>
        </w:rPr>
        <w:fldChar w:fldCharType="end"/>
      </w:r>
    </w:p>
    <w:p>
      <w:pPr>
        <w:pStyle w:val="52"/>
        <w:spacing w:beforeLines="0" w:afterLines="0"/>
        <w:jc w:val="left"/>
        <w:outlineLvl w:val="1"/>
        <w:rPr>
          <w:rFonts w:ascii="黑体" w:hAnsi="黑体" w:eastAsia="黑体" w:cs="黑体"/>
          <w:b/>
          <w:bCs/>
          <w:kern w:val="2"/>
          <w:sz w:val="28"/>
          <w:szCs w:val="22"/>
        </w:rPr>
        <w:sectPr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  <w:bookmarkStart w:id="4" w:name="_Toc121213126"/>
      <w:bookmarkStart w:id="5" w:name="_Toc12233"/>
      <w:bookmarkStart w:id="6" w:name="_Toc24360032"/>
      <w:bookmarkStart w:id="7" w:name="_Toc24380202"/>
      <w:bookmarkStart w:id="8" w:name="_Toc35443386"/>
      <w:bookmarkStart w:id="9" w:name="_Toc24381338"/>
      <w:bookmarkStart w:id="10" w:name="_Toc24359594"/>
      <w:bookmarkStart w:id="11" w:name="_Toc27056910"/>
    </w:p>
    <w:p>
      <w:pPr>
        <w:pStyle w:val="52"/>
        <w:spacing w:beforeLines="0" w:afterLines="0"/>
        <w:jc w:val="left"/>
        <w:outlineLvl w:val="1"/>
        <w:rPr>
          <w:rFonts w:ascii="黑体" w:hAnsi="黑体" w:eastAsia="黑体" w:cs="黑体"/>
          <w:b/>
          <w:bCs/>
          <w:kern w:val="2"/>
          <w:sz w:val="28"/>
          <w:szCs w:val="22"/>
        </w:rPr>
      </w:pPr>
      <w:r>
        <w:rPr>
          <w:rFonts w:hint="eastAsia" w:ascii="黑体" w:hAnsi="黑体" w:eastAsia="黑体" w:cs="黑体"/>
          <w:b/>
          <w:bCs/>
          <w:kern w:val="2"/>
          <w:sz w:val="28"/>
          <w:szCs w:val="22"/>
        </w:rPr>
        <w:t>1.概述</w:t>
      </w:r>
      <w:bookmarkEnd w:id="4"/>
    </w:p>
    <w:p>
      <w:pPr>
        <w:pStyle w:val="25"/>
        <w:spacing w:line="360" w:lineRule="auto"/>
        <w:ind w:left="0" w:leftChars="0" w:right="0" w:rightChars="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采购全程电子化采购系统实现招标、投标、开评标、定标全流程电子化管理。供应商可通过该系统完成项目的供应商标前准备，系统登录，在线报名，获取采购文件，投标文件制作，在线投标，在线开标，等待评审等操作。相关操作如下：</w:t>
      </w:r>
      <w:bookmarkStart w:id="12" w:name="_Toc20126"/>
      <w:r>
        <w:rPr>
          <w:rFonts w:hint="eastAsia" w:asciiTheme="minorEastAsia" w:hAnsiTheme="minorEastAsia" w:cstheme="minorEastAsia"/>
          <w:sz w:val="24"/>
          <w:szCs w:val="24"/>
        </w:rPr>
        <w:t xml:space="preserve"> </w:t>
      </w:r>
    </w:p>
    <w:bookmarkEnd w:id="12"/>
    <w:p>
      <w:r>
        <w:rPr>
          <w:rFonts w:hint="eastAsia"/>
        </w:rPr>
        <w:drawing>
          <wp:inline distT="0" distB="0" distL="114300" distR="114300">
            <wp:extent cx="5269230" cy="3585845"/>
            <wp:effectExtent l="0" t="0" r="7620" b="5080"/>
            <wp:docPr id="9" name="图片 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0" w:rightChars="0" w:firstLine="480"/>
        <w:rPr>
          <w:rFonts w:ascii="黑体" w:hAnsi="黑体" w:eastAsia="黑体" w:cs="黑体"/>
          <w:b/>
          <w:bCs/>
          <w:sz w:val="28"/>
        </w:rPr>
      </w:pPr>
      <w:r>
        <w:rPr>
          <w:rFonts w:hint="eastAsia" w:ascii="宋体" w:hAnsi="宋体" w:eastAsia="宋体" w:cs="宋体"/>
          <w:sz w:val="24"/>
          <w:szCs w:val="24"/>
        </w:rPr>
        <w:t>作为供应商，通过本系统主要操作核心功能包括：在线报名，获取采购文件，离线制作投标文件，在线投标，进入电子开标室，在线签到，标书解密，唱标环节，开标结束。以下为具体功能操作。</w:t>
      </w:r>
    </w:p>
    <w:p>
      <w:pPr>
        <w:widowControl/>
        <w:jc w:val="left"/>
        <w:rPr>
          <w:rFonts w:ascii="黑体" w:hAnsi="黑体" w:eastAsia="黑体" w:cs="黑体"/>
          <w:b/>
          <w:bCs/>
          <w:sz w:val="28"/>
        </w:rPr>
      </w:pPr>
      <w:r>
        <w:rPr>
          <w:rFonts w:ascii="黑体" w:hAnsi="黑体" w:eastAsia="黑体" w:cs="黑体"/>
          <w:b/>
          <w:bCs/>
          <w:sz w:val="28"/>
        </w:rPr>
        <w:br w:type="page"/>
      </w:r>
    </w:p>
    <w:p>
      <w:pPr>
        <w:pStyle w:val="52"/>
        <w:spacing w:beforeLines="0" w:afterLines="0"/>
        <w:jc w:val="left"/>
        <w:outlineLvl w:val="1"/>
        <w:rPr>
          <w:rFonts w:ascii="黑体" w:hAnsi="黑体" w:eastAsia="黑体" w:cs="黑体"/>
          <w:b/>
          <w:bCs/>
          <w:kern w:val="2"/>
          <w:sz w:val="28"/>
          <w:szCs w:val="22"/>
        </w:rPr>
      </w:pPr>
      <w:bookmarkStart w:id="13" w:name="_Toc121213127"/>
      <w:r>
        <w:rPr>
          <w:rFonts w:ascii="黑体" w:hAnsi="黑体" w:eastAsia="黑体" w:cs="黑体"/>
          <w:b/>
          <w:bCs/>
          <w:kern w:val="2"/>
          <w:sz w:val="28"/>
          <w:szCs w:val="22"/>
        </w:rPr>
        <w:t>2</w:t>
      </w:r>
      <w:r>
        <w:rPr>
          <w:rFonts w:hint="eastAsia" w:ascii="黑体" w:hAnsi="黑体" w:eastAsia="黑体" w:cs="黑体"/>
          <w:b/>
          <w:bCs/>
          <w:kern w:val="2"/>
          <w:sz w:val="28"/>
          <w:szCs w:val="22"/>
        </w:rPr>
        <w:t>.</w:t>
      </w:r>
      <w:bookmarkEnd w:id="5"/>
      <w:r>
        <w:rPr>
          <w:rFonts w:hint="eastAsia" w:ascii="黑体" w:hAnsi="黑体" w:eastAsia="黑体" w:cs="黑体"/>
          <w:b/>
          <w:bCs/>
          <w:kern w:val="2"/>
          <w:sz w:val="28"/>
          <w:szCs w:val="22"/>
        </w:rPr>
        <w:t>供应商标前准备</w:t>
      </w:r>
      <w:bookmarkEnd w:id="13"/>
    </w:p>
    <w:p>
      <w:pPr>
        <w:pStyle w:val="52"/>
        <w:spacing w:beforeLines="0" w:afterLines="0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bookmarkStart w:id="14" w:name="_Toc7391"/>
      <w:r>
        <w:rPr>
          <w:rFonts w:hint="eastAsia" w:asciiTheme="minorEastAsia" w:hAnsiTheme="minorEastAsia" w:cstheme="minorEastAsia"/>
          <w:kern w:val="2"/>
          <w:sz w:val="24"/>
        </w:rPr>
        <w:t>温馨提示：为保障采购活动的正常开展，推荐使用360安全浏览器、360极速浏览器（最低内核版本8</w:t>
      </w:r>
      <w:r>
        <w:rPr>
          <w:rFonts w:asciiTheme="minorEastAsia" w:hAnsiTheme="minorEastAsia" w:cstheme="minorEastAsia"/>
          <w:kern w:val="2"/>
          <w:sz w:val="24"/>
        </w:rPr>
        <w:t>6</w:t>
      </w:r>
      <w:r>
        <w:rPr>
          <w:rFonts w:hint="eastAsia" w:asciiTheme="minorEastAsia" w:hAnsiTheme="minorEastAsia" w:cstheme="minorEastAsia"/>
          <w:kern w:val="2"/>
          <w:sz w:val="24"/>
        </w:rPr>
        <w:t>及以上）、谷歌浏览器（chrome，最低内核版本8</w:t>
      </w:r>
      <w:r>
        <w:rPr>
          <w:rFonts w:asciiTheme="minorEastAsia" w:hAnsiTheme="minorEastAsia" w:cstheme="minorEastAsia"/>
          <w:kern w:val="2"/>
          <w:sz w:val="24"/>
        </w:rPr>
        <w:t>6</w:t>
      </w:r>
      <w:r>
        <w:rPr>
          <w:rFonts w:hint="eastAsia" w:asciiTheme="minorEastAsia" w:hAnsiTheme="minorEastAsia" w:cstheme="minorEastAsia"/>
          <w:kern w:val="2"/>
          <w:sz w:val="24"/>
        </w:rPr>
        <w:t>及以上） 、 微软Edge。</w:t>
      </w:r>
    </w:p>
    <w:p>
      <w:pPr>
        <w:spacing w:line="360" w:lineRule="auto"/>
        <w:ind w:right="210"/>
        <w:outlineLvl w:val="2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bookmarkStart w:id="15" w:name="_Toc121213128"/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2</w:t>
      </w:r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t>.</w:t>
      </w:r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1供应商</w:t>
      </w:r>
      <w:bookmarkEnd w:id="14"/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注册</w:t>
      </w:r>
      <w:bookmarkEnd w:id="15"/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未注册供应商，通过行采家采购服务平台（www.gec123.com）注册，资料复核通过后方能参与行采家采购活动。如图</w:t>
      </w:r>
      <w:r>
        <w:rPr>
          <w:rFonts w:asciiTheme="minorEastAsia" w:hAnsi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cstheme="minorEastAsia"/>
          <w:sz w:val="24"/>
          <w:szCs w:val="24"/>
        </w:rPr>
        <w:t>-1、</w:t>
      </w:r>
      <w:r>
        <w:rPr>
          <w:rFonts w:asciiTheme="minorEastAsia" w:hAnsi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cstheme="minorEastAsia"/>
          <w:sz w:val="24"/>
          <w:szCs w:val="24"/>
        </w:rPr>
        <w:t>-2所示</w:t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drawing>
          <wp:inline distT="0" distB="0" distL="114300" distR="114300">
            <wp:extent cx="4169410" cy="2499995"/>
            <wp:effectExtent l="9525" t="9525" r="12065" b="241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2499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color w:val="C00000"/>
        </w:rPr>
      </w:pPr>
      <w:r>
        <w:rPr>
          <w:rFonts w:hint="eastAsia"/>
          <w:color w:val="C00000"/>
        </w:rPr>
        <w:t>图</w:t>
      </w:r>
      <w:r>
        <w:rPr>
          <w:color w:val="C00000"/>
        </w:rPr>
        <w:t>2</w:t>
      </w:r>
      <w:r>
        <w:rPr>
          <w:rFonts w:hint="eastAsia"/>
          <w:color w:val="C00000"/>
        </w:rPr>
        <w:t>-1</w:t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drawing>
          <wp:inline distT="0" distB="0" distL="114300" distR="114300">
            <wp:extent cx="4286250" cy="2698115"/>
            <wp:effectExtent l="9525" t="9525" r="9525" b="1651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98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color w:val="C00000"/>
        </w:rPr>
      </w:pPr>
      <w:r>
        <w:rPr>
          <w:rFonts w:hint="eastAsia"/>
          <w:color w:val="C00000"/>
        </w:rPr>
        <w:t>图</w:t>
      </w:r>
      <w:r>
        <w:rPr>
          <w:color w:val="C00000"/>
        </w:rPr>
        <w:t>2</w:t>
      </w:r>
      <w:r>
        <w:rPr>
          <w:rFonts w:hint="eastAsia"/>
          <w:color w:val="C00000"/>
        </w:rPr>
        <w:t>-2</w:t>
      </w:r>
    </w:p>
    <w:p>
      <w:pPr>
        <w:pStyle w:val="25"/>
        <w:spacing w:line="360" w:lineRule="auto"/>
        <w:ind w:left="0" w:leftChars="0" w:right="210" w:firstLine="0" w:firstLineChars="0"/>
      </w:pPr>
    </w:p>
    <w:p>
      <w:pPr>
        <w:widowControl/>
        <w:jc w:val="left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br w:type="page"/>
      </w:r>
    </w:p>
    <w:p>
      <w:pPr>
        <w:spacing w:line="360" w:lineRule="auto"/>
        <w:ind w:right="210"/>
        <w:outlineLvl w:val="2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bookmarkStart w:id="16" w:name="_Toc121213129"/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2</w:t>
      </w:r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t>.2</w:t>
      </w:r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下载安装投标文件制作系统</w:t>
      </w:r>
      <w:bookmarkEnd w:id="16"/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投标人登录“行采家采购服务平台-个人中心”，下载并安装“大家采投标文件制作系统”。如图</w:t>
      </w:r>
      <w:r>
        <w:rPr>
          <w:rFonts w:asciiTheme="minorEastAsia" w:hAnsi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cstheme="minorEastAsia"/>
          <w:sz w:val="24"/>
          <w:szCs w:val="24"/>
        </w:rPr>
        <w:t>-</w:t>
      </w:r>
      <w:r>
        <w:rPr>
          <w:rFonts w:asciiTheme="minorEastAsia" w:hAnsi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cstheme="minorEastAsia"/>
          <w:sz w:val="24"/>
          <w:szCs w:val="24"/>
        </w:rPr>
        <w:t>所示</w:t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drawing>
          <wp:inline distT="0" distB="0" distL="0" distR="0">
            <wp:extent cx="5274310" cy="24879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color w:val="C00000"/>
        </w:rPr>
      </w:pPr>
      <w:r>
        <w:rPr>
          <w:rFonts w:hint="eastAsia"/>
          <w:color w:val="C00000"/>
        </w:rPr>
        <w:t>图</w:t>
      </w:r>
      <w:r>
        <w:rPr>
          <w:color w:val="C00000"/>
        </w:rPr>
        <w:t>2</w:t>
      </w:r>
      <w:r>
        <w:rPr>
          <w:rFonts w:hint="eastAsia"/>
          <w:color w:val="C00000"/>
        </w:rPr>
        <w:t>-</w:t>
      </w:r>
      <w:r>
        <w:rPr>
          <w:color w:val="C00000"/>
        </w:rPr>
        <w:t>3</w:t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pStyle w:val="52"/>
        <w:spacing w:beforeLines="0" w:afterLines="0"/>
        <w:jc w:val="left"/>
        <w:outlineLvl w:val="1"/>
        <w:rPr>
          <w:rFonts w:ascii="黑体" w:hAnsi="黑体" w:eastAsia="黑体" w:cs="黑体"/>
          <w:b/>
          <w:bCs/>
          <w:kern w:val="2"/>
          <w:sz w:val="28"/>
          <w:szCs w:val="22"/>
        </w:rPr>
      </w:pPr>
      <w:bookmarkStart w:id="17" w:name="_Toc121213130"/>
      <w:r>
        <w:rPr>
          <w:rFonts w:ascii="黑体" w:hAnsi="黑体" w:eastAsia="黑体" w:cs="黑体"/>
          <w:b/>
          <w:bCs/>
          <w:kern w:val="2"/>
          <w:sz w:val="28"/>
          <w:szCs w:val="22"/>
        </w:rPr>
        <w:t>3</w:t>
      </w:r>
      <w:r>
        <w:rPr>
          <w:rFonts w:hint="eastAsia" w:ascii="黑体" w:hAnsi="黑体" w:eastAsia="黑体" w:cs="黑体"/>
          <w:b/>
          <w:bCs/>
          <w:kern w:val="2"/>
          <w:sz w:val="28"/>
          <w:szCs w:val="22"/>
        </w:rPr>
        <w:t>.供应商系统登录</w:t>
      </w:r>
      <w:bookmarkEnd w:id="17"/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登录网址：www.gec123.com，账号密码与行采家账号密码保持不变，若忘记账号密码可在登录界面找回。如图</w:t>
      </w:r>
      <w:r>
        <w:rPr>
          <w:rFonts w:asciiTheme="minorEastAsia" w:hAnsi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cstheme="minorEastAsia"/>
          <w:sz w:val="24"/>
          <w:szCs w:val="24"/>
        </w:rPr>
        <w:t>-1所示</w:t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drawing>
          <wp:inline distT="0" distB="0" distL="114300" distR="114300">
            <wp:extent cx="4820285" cy="2665730"/>
            <wp:effectExtent l="9525" t="9525" r="27940" b="1079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2665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color w:val="C00000"/>
        </w:rPr>
      </w:pPr>
      <w:r>
        <w:rPr>
          <w:rFonts w:hint="eastAsia"/>
          <w:color w:val="C00000"/>
        </w:rPr>
        <w:t>图</w:t>
      </w:r>
      <w:r>
        <w:rPr>
          <w:color w:val="C00000"/>
        </w:rPr>
        <w:t>3</w:t>
      </w:r>
      <w:r>
        <w:rPr>
          <w:rFonts w:hint="eastAsia"/>
          <w:color w:val="C00000"/>
        </w:rPr>
        <w:t>-1</w:t>
      </w:r>
    </w:p>
    <w:p>
      <w:pPr>
        <w:widowControl/>
        <w:jc w:val="left"/>
        <w:rPr>
          <w:rFonts w:ascii="黑体" w:hAnsi="黑体" w:eastAsia="黑体" w:cs="黑体"/>
          <w:b/>
          <w:bCs/>
          <w:sz w:val="28"/>
        </w:rPr>
      </w:pPr>
      <w:r>
        <w:rPr>
          <w:rFonts w:ascii="黑体" w:hAnsi="黑体" w:eastAsia="黑体" w:cs="黑体"/>
          <w:b/>
          <w:bCs/>
          <w:sz w:val="28"/>
        </w:rPr>
        <w:br w:type="page"/>
      </w:r>
    </w:p>
    <w:p>
      <w:pPr>
        <w:pStyle w:val="52"/>
        <w:spacing w:beforeLines="0" w:afterLines="0"/>
        <w:jc w:val="left"/>
        <w:outlineLvl w:val="1"/>
        <w:rPr>
          <w:rFonts w:ascii="黑体" w:hAnsi="黑体" w:eastAsia="黑体" w:cs="黑体"/>
          <w:b/>
          <w:bCs/>
          <w:kern w:val="2"/>
          <w:sz w:val="28"/>
          <w:szCs w:val="22"/>
        </w:rPr>
      </w:pPr>
      <w:bookmarkStart w:id="18" w:name="_Toc121213131"/>
      <w:r>
        <w:rPr>
          <w:rFonts w:ascii="黑体" w:hAnsi="黑体" w:eastAsia="黑体" w:cs="黑体"/>
          <w:b/>
          <w:bCs/>
          <w:kern w:val="2"/>
          <w:sz w:val="28"/>
          <w:szCs w:val="22"/>
        </w:rPr>
        <w:t>4</w:t>
      </w:r>
      <w:r>
        <w:rPr>
          <w:rFonts w:hint="eastAsia" w:ascii="黑体" w:hAnsi="黑体" w:eastAsia="黑体" w:cs="黑体"/>
          <w:b/>
          <w:bCs/>
          <w:kern w:val="2"/>
          <w:sz w:val="28"/>
          <w:szCs w:val="22"/>
        </w:rPr>
        <w:t>.供应商获取采购文件</w:t>
      </w:r>
      <w:bookmarkEnd w:id="18"/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供应商获取采购文件，需完成以下操作：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1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①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在“待办中心”点击“电子招投标”。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2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②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在“电子招投标”菜单栏里点击“电子投标在线报名”，找到相关项目。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3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③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点击“在线获取”。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4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④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在获取采购文件界面，选好项目包，供应商需填入“联系人”，“联系手机”，“电子邮箱”，上传报名表以内的文件点击“上传附件”。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5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⑤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最后供应商点击“已知晓并同意《投标人须知》”并完成提交。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特殊情况如下：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1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①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若部分代理机构设置需审核获取申请，则需代理机构在线审核通过后才可获取采购文件。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以上流程如图</w:t>
      </w:r>
      <w:r>
        <w:rPr>
          <w:rFonts w:asciiTheme="minorEastAsia" w:hAnsi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cstheme="minorEastAsia"/>
          <w:sz w:val="24"/>
          <w:szCs w:val="24"/>
        </w:rPr>
        <w:t>-1、4</w:t>
      </w:r>
      <w:r>
        <w:rPr>
          <w:rFonts w:asciiTheme="minorEastAsia" w:hAnsiTheme="minorEastAsia" w:cstheme="minorEastAsia"/>
          <w:sz w:val="24"/>
          <w:szCs w:val="24"/>
        </w:rPr>
        <w:t>-2</w:t>
      </w:r>
      <w:r>
        <w:rPr>
          <w:rFonts w:hint="eastAsia" w:asciiTheme="minorEastAsia" w:hAnsiTheme="minorEastAsia" w:cstheme="minorEastAsia"/>
          <w:sz w:val="24"/>
          <w:szCs w:val="24"/>
        </w:rPr>
        <w:t>、4</w:t>
      </w:r>
      <w:r>
        <w:rPr>
          <w:rFonts w:asciiTheme="minorEastAsia" w:hAnsiTheme="minorEastAsia" w:cstheme="minorEastAsia"/>
          <w:sz w:val="24"/>
          <w:szCs w:val="24"/>
        </w:rPr>
        <w:t>-3</w:t>
      </w:r>
      <w:r>
        <w:rPr>
          <w:rFonts w:hint="eastAsia" w:asciiTheme="minorEastAsia" w:hAnsiTheme="minorEastAsia" w:cstheme="minorEastAsia"/>
          <w:sz w:val="24"/>
          <w:szCs w:val="24"/>
        </w:rPr>
        <w:t>、4</w:t>
      </w:r>
      <w:r>
        <w:rPr>
          <w:rFonts w:asciiTheme="minorEastAsia" w:hAnsiTheme="minorEastAsia" w:cstheme="minorEastAsia"/>
          <w:sz w:val="24"/>
          <w:szCs w:val="24"/>
        </w:rPr>
        <w:t>-4</w:t>
      </w:r>
      <w:r>
        <w:rPr>
          <w:rFonts w:hint="eastAsia" w:asciiTheme="minorEastAsia" w:hAnsiTheme="minorEastAsia" w:cstheme="minorEastAsia"/>
          <w:sz w:val="24"/>
          <w:szCs w:val="24"/>
        </w:rPr>
        <w:t>所示.</w:t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drawing>
          <wp:inline distT="0" distB="0" distL="0" distR="0">
            <wp:extent cx="5274310" cy="18992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/>
        <w:jc w:val="center"/>
        <w:rPr>
          <w:color w:val="C00000"/>
        </w:rPr>
      </w:pPr>
      <w:r>
        <w:rPr>
          <w:rFonts w:hint="eastAsia"/>
          <w:color w:val="C00000"/>
        </w:rPr>
        <w:t>图</w:t>
      </w:r>
      <w:r>
        <w:rPr>
          <w:color w:val="C00000"/>
        </w:rPr>
        <w:t>4</w:t>
      </w:r>
      <w:r>
        <w:rPr>
          <w:rFonts w:hint="eastAsia"/>
          <w:color w:val="C00000"/>
        </w:rPr>
        <w:t>-1</w:t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drawing>
          <wp:inline distT="0" distB="0" distL="0" distR="0">
            <wp:extent cx="2415540" cy="2373630"/>
            <wp:effectExtent l="0" t="0" r="381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5748" cy="23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/>
        <w:jc w:val="center"/>
        <w:rPr>
          <w:color w:val="C00000"/>
        </w:rPr>
      </w:pPr>
      <w:r>
        <w:rPr>
          <w:rFonts w:hint="eastAsia"/>
          <w:color w:val="C00000"/>
        </w:rPr>
        <w:t>图</w:t>
      </w:r>
      <w:r>
        <w:rPr>
          <w:color w:val="C00000"/>
        </w:rPr>
        <w:t>4</w:t>
      </w:r>
      <w:r>
        <w:rPr>
          <w:rFonts w:hint="eastAsia"/>
          <w:color w:val="C00000"/>
        </w:rPr>
        <w:t>-</w:t>
      </w:r>
      <w:r>
        <w:rPr>
          <w:color w:val="C00000"/>
        </w:rPr>
        <w:t>2</w:t>
      </w:r>
    </w:p>
    <w:p>
      <w:pPr>
        <w:pStyle w:val="25"/>
        <w:spacing w:line="360" w:lineRule="auto"/>
        <w:ind w:left="0" w:leftChars="0" w:right="210" w:firstLine="0" w:firstLineChars="0"/>
        <w:jc w:val="center"/>
      </w:pPr>
    </w:p>
    <w:p>
      <w:pPr>
        <w:pStyle w:val="25"/>
        <w:spacing w:line="360" w:lineRule="auto"/>
        <w:ind w:left="0" w:leftChars="0" w:right="210" w:firstLine="0" w:firstLineChars="0"/>
        <w:jc w:val="center"/>
      </w:pPr>
      <w:bookmarkStart w:id="35" w:name="_GoBack"/>
      <w:r>
        <w:drawing>
          <wp:inline distT="0" distB="0" distL="114300" distR="114300">
            <wp:extent cx="4731385" cy="1322705"/>
            <wp:effectExtent l="9525" t="9525" r="21590" b="2032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1322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35"/>
    </w:p>
    <w:p>
      <w:pPr>
        <w:pStyle w:val="25"/>
        <w:spacing w:line="360" w:lineRule="auto"/>
        <w:ind w:left="0" w:leftChars="0" w:right="210"/>
        <w:jc w:val="center"/>
        <w:rPr>
          <w:color w:val="C00000"/>
        </w:rPr>
      </w:pPr>
      <w:r>
        <w:rPr>
          <w:rFonts w:hint="eastAsia"/>
          <w:color w:val="C00000"/>
        </w:rPr>
        <w:t>图</w:t>
      </w:r>
      <w:r>
        <w:rPr>
          <w:color w:val="C00000"/>
        </w:rPr>
        <w:t>4</w:t>
      </w:r>
      <w:r>
        <w:rPr>
          <w:rFonts w:hint="eastAsia"/>
          <w:color w:val="C00000"/>
        </w:rPr>
        <w:t>-</w:t>
      </w:r>
      <w:r>
        <w:rPr>
          <w:color w:val="C00000"/>
        </w:rPr>
        <w:t>3</w:t>
      </w:r>
    </w:p>
    <w:p>
      <w:pPr>
        <w:spacing w:line="360" w:lineRule="auto"/>
        <w:ind w:right="210"/>
        <w:rPr>
          <w:color w:val="C00000"/>
        </w:rPr>
      </w:pPr>
      <w:r>
        <w:drawing>
          <wp:inline distT="0" distB="0" distL="0" distR="0">
            <wp:extent cx="5274310" cy="438531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/>
        <w:jc w:val="center"/>
        <w:rPr>
          <w:color w:val="C00000"/>
        </w:rPr>
      </w:pPr>
      <w:r>
        <w:rPr>
          <w:rFonts w:hint="eastAsia"/>
          <w:color w:val="C00000"/>
        </w:rPr>
        <w:t>图</w:t>
      </w:r>
      <w:r>
        <w:rPr>
          <w:color w:val="C00000"/>
        </w:rPr>
        <w:t>4</w:t>
      </w:r>
      <w:r>
        <w:rPr>
          <w:rFonts w:hint="eastAsia"/>
          <w:color w:val="C00000"/>
        </w:rPr>
        <w:t>-</w:t>
      </w:r>
      <w:r>
        <w:rPr>
          <w:color w:val="C00000"/>
        </w:rPr>
        <w:t>4</w:t>
      </w:r>
    </w:p>
    <w:p>
      <w:pPr>
        <w:spacing w:line="360" w:lineRule="auto"/>
        <w:ind w:right="210"/>
        <w:rPr>
          <w:color w:val="C00000"/>
        </w:rPr>
      </w:pPr>
    </w:p>
    <w:p>
      <w:pPr>
        <w:widowControl/>
        <w:jc w:val="left"/>
        <w:rPr>
          <w:rFonts w:ascii="黑体" w:hAnsi="黑体" w:eastAsia="黑体" w:cs="黑体"/>
          <w:b/>
          <w:bCs/>
          <w:sz w:val="28"/>
        </w:rPr>
      </w:pPr>
      <w:r>
        <w:rPr>
          <w:rFonts w:ascii="黑体" w:hAnsi="黑体" w:eastAsia="黑体" w:cs="黑体"/>
          <w:b/>
          <w:bCs/>
          <w:sz w:val="28"/>
        </w:rPr>
        <w:br w:type="page"/>
      </w:r>
    </w:p>
    <w:p>
      <w:pPr>
        <w:pStyle w:val="52"/>
        <w:spacing w:beforeLines="0" w:afterLines="0"/>
        <w:jc w:val="left"/>
        <w:outlineLvl w:val="1"/>
        <w:rPr>
          <w:rFonts w:ascii="黑体" w:hAnsi="黑体" w:eastAsia="黑体" w:cs="黑体"/>
          <w:b/>
          <w:bCs/>
          <w:kern w:val="2"/>
          <w:sz w:val="28"/>
          <w:szCs w:val="22"/>
        </w:rPr>
      </w:pPr>
      <w:bookmarkStart w:id="19" w:name="_Toc121213132"/>
      <w:r>
        <w:rPr>
          <w:rFonts w:ascii="黑体" w:hAnsi="黑体" w:eastAsia="黑体" w:cs="黑体"/>
          <w:b/>
          <w:bCs/>
          <w:kern w:val="2"/>
          <w:sz w:val="28"/>
          <w:szCs w:val="22"/>
        </w:rPr>
        <w:t>5</w:t>
      </w:r>
      <w:r>
        <w:rPr>
          <w:rFonts w:hint="eastAsia" w:ascii="黑体" w:hAnsi="黑体" w:eastAsia="黑体" w:cs="黑体"/>
          <w:b/>
          <w:bCs/>
          <w:kern w:val="2"/>
          <w:sz w:val="28"/>
          <w:szCs w:val="22"/>
        </w:rPr>
        <w:t>.供应商制作投标文件</w:t>
      </w:r>
      <w:bookmarkEnd w:id="19"/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highlight w:val="yellow"/>
        </w:rPr>
        <w:t>投标人根据采购文件要求制作投标文件，按照要求盖章签字。最后将确认的版本转换为pdf格式，用于电子投标文件制作。</w:t>
      </w:r>
    </w:p>
    <w:p>
      <w:pPr>
        <w:widowControl/>
        <w:jc w:val="left"/>
        <w:rPr>
          <w:rFonts w:ascii="黑体" w:hAnsi="黑体" w:eastAsia="黑体" w:cs="黑体"/>
          <w:b/>
          <w:bCs/>
          <w:sz w:val="28"/>
        </w:rPr>
      </w:pPr>
      <w:r>
        <w:rPr>
          <w:rFonts w:ascii="黑体" w:hAnsi="黑体" w:eastAsia="黑体" w:cs="黑体"/>
          <w:b/>
          <w:bCs/>
          <w:sz w:val="28"/>
        </w:rPr>
        <w:br w:type="page"/>
      </w:r>
    </w:p>
    <w:p>
      <w:pPr>
        <w:pStyle w:val="52"/>
        <w:spacing w:beforeLines="0" w:afterLines="0"/>
        <w:jc w:val="left"/>
        <w:outlineLvl w:val="1"/>
        <w:rPr>
          <w:rFonts w:ascii="黑体" w:hAnsi="黑体" w:eastAsia="黑体" w:cs="黑体"/>
          <w:b/>
          <w:bCs/>
          <w:kern w:val="2"/>
          <w:sz w:val="28"/>
          <w:szCs w:val="22"/>
        </w:rPr>
      </w:pPr>
      <w:bookmarkStart w:id="20" w:name="_Toc121213133"/>
      <w:r>
        <w:rPr>
          <w:rFonts w:ascii="黑体" w:hAnsi="黑体" w:eastAsia="黑体" w:cs="黑体"/>
          <w:b/>
          <w:bCs/>
          <w:kern w:val="2"/>
          <w:sz w:val="28"/>
          <w:szCs w:val="22"/>
        </w:rPr>
        <w:t>6</w:t>
      </w:r>
      <w:r>
        <w:rPr>
          <w:rFonts w:hint="eastAsia" w:ascii="黑体" w:hAnsi="黑体" w:eastAsia="黑体" w:cs="黑体"/>
          <w:b/>
          <w:bCs/>
          <w:kern w:val="2"/>
          <w:sz w:val="28"/>
          <w:szCs w:val="22"/>
        </w:rPr>
        <w:t>.供应商离线制作电子投标文件</w:t>
      </w:r>
      <w:bookmarkEnd w:id="20"/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供应商登录大家采投标文件制作系统，离线制作投标文件，登录账号密码与行采家采购平台保持一致。如图</w:t>
      </w:r>
      <w:r>
        <w:rPr>
          <w:rFonts w:asciiTheme="minorEastAsia" w:hAnsiTheme="minorEastAsia" w:cstheme="minorEastAsia"/>
          <w:sz w:val="24"/>
          <w:szCs w:val="24"/>
        </w:rPr>
        <w:t>6</w:t>
      </w:r>
      <w:r>
        <w:rPr>
          <w:rFonts w:hint="eastAsia" w:asciiTheme="minorEastAsia" w:hAnsiTheme="minorEastAsia" w:cstheme="minorEastAsia"/>
          <w:sz w:val="24"/>
          <w:szCs w:val="24"/>
        </w:rPr>
        <w:t>-1所示</w:t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1231900" cy="1190625"/>
            <wp:effectExtent l="0" t="0" r="6350" b="9525"/>
            <wp:docPr id="1" name="图片 1" descr="lQLPJxbZoV4wJ2F9zKOwDBLWF5kPwoIDZaHBE4A2AA_163_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LPJxbZoV4wJ2F9zKOwDBLWF5kPwoIDZaHBE4A2AA_163_125"/>
                    <pic:cNvPicPr>
                      <a:picLocks noChangeAspect="1"/>
                    </pic:cNvPicPr>
                  </pic:nvPicPr>
                  <pic:blipFill>
                    <a:blip r:embed="rId15"/>
                    <a:srcRect r="20654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drawing>
          <wp:inline distT="0" distB="0" distL="114300" distR="114300">
            <wp:extent cx="3990975" cy="2283460"/>
            <wp:effectExtent l="9525" t="9525" r="1905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83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rPr>
          <w:rFonts w:hint="eastAsia"/>
          <w:color w:val="C00000"/>
        </w:rPr>
        <w:t>图</w:t>
      </w:r>
      <w:r>
        <w:rPr>
          <w:color w:val="C00000"/>
        </w:rPr>
        <w:t>6</w:t>
      </w:r>
      <w:r>
        <w:rPr>
          <w:rFonts w:hint="eastAsia"/>
          <w:color w:val="C00000"/>
        </w:rPr>
        <w:t>-1</w:t>
      </w:r>
    </w:p>
    <w:p>
      <w:pPr>
        <w:pStyle w:val="25"/>
        <w:spacing w:line="360" w:lineRule="auto"/>
        <w:ind w:left="0" w:leftChars="0" w:right="210" w:firstLine="560"/>
        <w:rPr>
          <w:rFonts w:asciiTheme="minorEastAsia" w:hAnsiTheme="minorEastAsia" w:cstheme="minorEastAsia"/>
          <w:sz w:val="28"/>
          <w:szCs w:val="28"/>
          <w:highlight w:val="yellow"/>
        </w:rPr>
      </w:pPr>
      <w:r>
        <w:rPr>
          <w:rFonts w:hint="eastAsia" w:asciiTheme="minorEastAsia" w:hAnsiTheme="minorEastAsia" w:cstheme="minorEastAsia"/>
          <w:sz w:val="28"/>
          <w:szCs w:val="28"/>
          <w:highlight w:val="yellow"/>
        </w:rPr>
        <w:t>离线制作投标文件需完成五大步骤，打开项目、录入报价一览表、上传投标文件、设置评分页码、设置电子密码并下载投标文件。如图</w:t>
      </w:r>
      <w:r>
        <w:rPr>
          <w:rFonts w:asciiTheme="minorEastAsia" w:hAnsiTheme="minorEastAsia" w:cstheme="minorEastAsia"/>
          <w:sz w:val="28"/>
          <w:szCs w:val="28"/>
          <w:highlight w:val="yellow"/>
        </w:rPr>
        <w:t>6</w:t>
      </w:r>
      <w:r>
        <w:rPr>
          <w:rFonts w:hint="eastAsia" w:asciiTheme="minorEastAsia" w:hAnsiTheme="minorEastAsia" w:cstheme="minorEastAsia"/>
          <w:sz w:val="28"/>
          <w:szCs w:val="28"/>
          <w:highlight w:val="yellow"/>
        </w:rPr>
        <w:t>-2所示</w:t>
      </w:r>
    </w:p>
    <w:p>
      <w:pPr>
        <w:pStyle w:val="25"/>
        <w:spacing w:line="360" w:lineRule="auto"/>
        <w:ind w:left="0" w:leftChars="0" w:right="210" w:firstLine="0" w:firstLineChars="0"/>
      </w:pPr>
      <w:r>
        <w:drawing>
          <wp:inline distT="0" distB="0" distL="114300" distR="114300">
            <wp:extent cx="5591175" cy="1727200"/>
            <wp:effectExtent l="9525" t="9525" r="19050" b="1587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727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rPr>
          <w:rFonts w:hint="eastAsia"/>
          <w:color w:val="C00000"/>
        </w:rPr>
        <w:t>图</w:t>
      </w:r>
      <w:r>
        <w:rPr>
          <w:color w:val="C00000"/>
        </w:rPr>
        <w:t>6</w:t>
      </w:r>
      <w:r>
        <w:rPr>
          <w:rFonts w:hint="eastAsia"/>
          <w:color w:val="C00000"/>
        </w:rPr>
        <w:t>-2</w:t>
      </w:r>
    </w:p>
    <w:p>
      <w:pPr>
        <w:widowControl/>
        <w:jc w:val="left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br w:type="page"/>
      </w:r>
    </w:p>
    <w:p>
      <w:pPr>
        <w:spacing w:line="360" w:lineRule="auto"/>
        <w:ind w:right="210"/>
        <w:outlineLvl w:val="2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bookmarkStart w:id="21" w:name="_Toc121213134"/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t>6.1</w:t>
      </w:r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打开项目</w:t>
      </w:r>
      <w:bookmarkEnd w:id="21"/>
    </w:p>
    <w:p>
      <w:pPr>
        <w:pStyle w:val="25"/>
        <w:spacing w:line="360" w:lineRule="auto"/>
        <w:ind w:left="0" w:leftChars="0" w:right="0" w:rightChars="0" w:firstLine="480"/>
        <w:rPr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供应商点击“打开项目”，在线查看项目概括。</w:t>
      </w:r>
    </w:p>
    <w:p>
      <w:pPr>
        <w:spacing w:line="360" w:lineRule="auto"/>
        <w:ind w:right="210"/>
        <w:outlineLvl w:val="2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bookmarkStart w:id="22" w:name="_Toc121213135"/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t>6.2</w:t>
      </w:r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录入报价一览表</w:t>
      </w:r>
      <w:bookmarkEnd w:id="22"/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供应商完成录入报价一览表需完成以下步骤：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1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①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录入总报价、数量及勾选是否为小微企业。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2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②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录入完成后点击“保存”。如图</w:t>
      </w:r>
      <w:r>
        <w:rPr>
          <w:rFonts w:asciiTheme="minorEastAsia" w:hAnsiTheme="minorEastAsia" w:cstheme="minorEastAsia"/>
          <w:sz w:val="24"/>
          <w:szCs w:val="24"/>
        </w:rPr>
        <w:t>6</w:t>
      </w:r>
      <w:r>
        <w:rPr>
          <w:rFonts w:hint="eastAsia" w:asciiTheme="minorEastAsia" w:hAnsiTheme="minorEastAsia" w:cstheme="minorEastAsia"/>
          <w:sz w:val="24"/>
          <w:szCs w:val="24"/>
        </w:rPr>
        <w:t>-3所示</w:t>
      </w:r>
    </w:p>
    <w:p>
      <w:pPr>
        <w:pStyle w:val="25"/>
        <w:spacing w:line="360" w:lineRule="auto"/>
        <w:ind w:left="0" w:leftChars="0" w:right="210" w:firstLine="0" w:firstLineChars="0"/>
      </w:pPr>
      <w:r>
        <w:drawing>
          <wp:inline distT="0" distB="0" distL="114300" distR="114300">
            <wp:extent cx="5643880" cy="2515235"/>
            <wp:effectExtent l="9525" t="9525" r="23495" b="2794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2515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rPr>
          <w:rFonts w:hint="eastAsia"/>
          <w:color w:val="C00000"/>
        </w:rPr>
        <w:t xml:space="preserve"> 图</w:t>
      </w:r>
      <w:r>
        <w:rPr>
          <w:color w:val="C00000"/>
        </w:rPr>
        <w:t>6</w:t>
      </w:r>
      <w:r>
        <w:rPr>
          <w:rFonts w:hint="eastAsia"/>
          <w:color w:val="C00000"/>
        </w:rPr>
        <w:t>-3</w:t>
      </w:r>
    </w:p>
    <w:p>
      <w:pPr>
        <w:widowControl/>
        <w:jc w:val="left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br w:type="page"/>
      </w:r>
    </w:p>
    <w:p>
      <w:pPr>
        <w:spacing w:line="360" w:lineRule="auto"/>
        <w:ind w:right="210"/>
        <w:outlineLvl w:val="2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bookmarkStart w:id="23" w:name="_Toc121213136"/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t>6.3</w:t>
      </w:r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上传投标文件</w:t>
      </w:r>
      <w:bookmarkEnd w:id="23"/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供应商点击“上传投标文件”，将制作好的投标文件电子档上传。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以上流程如图</w:t>
      </w:r>
      <w:r>
        <w:rPr>
          <w:rFonts w:asciiTheme="minorEastAsia" w:hAnsiTheme="minorEastAsia" w:cstheme="minorEastAsia"/>
          <w:sz w:val="24"/>
          <w:szCs w:val="24"/>
        </w:rPr>
        <w:t>6</w:t>
      </w:r>
      <w:r>
        <w:rPr>
          <w:rFonts w:hint="eastAsia" w:asciiTheme="minorEastAsia" w:hAnsiTheme="minorEastAsia" w:cstheme="minorEastAsia"/>
          <w:sz w:val="24"/>
          <w:szCs w:val="24"/>
        </w:rPr>
        <w:t>-4所示。</w:t>
      </w:r>
    </w:p>
    <w:p>
      <w:pPr>
        <w:pStyle w:val="25"/>
        <w:spacing w:line="360" w:lineRule="auto"/>
        <w:ind w:left="0" w:leftChars="0" w:right="210" w:firstLine="0" w:firstLineChars="0"/>
      </w:pPr>
      <w:r>
        <w:drawing>
          <wp:inline distT="0" distB="0" distL="114300" distR="114300">
            <wp:extent cx="5485130" cy="2946400"/>
            <wp:effectExtent l="0" t="0" r="1270" b="635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t="11686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/>
        <w:jc w:val="center"/>
      </w:pPr>
      <w:r>
        <w:rPr>
          <w:rFonts w:hint="eastAsia"/>
          <w:color w:val="C00000"/>
        </w:rPr>
        <w:t xml:space="preserve"> 图</w:t>
      </w:r>
      <w:r>
        <w:rPr>
          <w:color w:val="C00000"/>
        </w:rPr>
        <w:t>6</w:t>
      </w:r>
      <w:r>
        <w:rPr>
          <w:rFonts w:hint="eastAsia"/>
          <w:color w:val="C00000"/>
        </w:rPr>
        <w:t>-4</w:t>
      </w:r>
    </w:p>
    <w:p>
      <w:pPr>
        <w:widowControl/>
        <w:jc w:val="left"/>
        <w:rPr>
          <w:rFonts w:asciiTheme="minorEastAsia" w:hAnsiTheme="minorEastAsia" w:cstheme="minorEastAsia"/>
          <w:b/>
          <w:bCs/>
          <w:kern w:val="0"/>
          <w:sz w:val="28"/>
          <w:szCs w:val="28"/>
        </w:rPr>
      </w:pPr>
      <w:r>
        <w:rPr>
          <w:rFonts w:asciiTheme="minorEastAsia" w:hAnsiTheme="minorEastAsia" w:cstheme="minorEastAsia"/>
          <w:b/>
          <w:bCs/>
          <w:kern w:val="0"/>
          <w:sz w:val="28"/>
          <w:szCs w:val="28"/>
        </w:rPr>
        <w:br w:type="page"/>
      </w:r>
    </w:p>
    <w:p>
      <w:pPr>
        <w:spacing w:line="360" w:lineRule="auto"/>
        <w:ind w:right="210"/>
        <w:outlineLvl w:val="2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bookmarkStart w:id="24" w:name="_Toc121213137"/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t>6.4</w:t>
      </w:r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设置评分页码</w:t>
      </w:r>
      <w:bookmarkEnd w:id="24"/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供应商设置评分页码需完成一下步骤：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1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①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选中左边评标条款，将此条款与投标文件页码对应后点击“关联页码”。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2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②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关联成功后，左下方可查看此条款对应的页码内容情况。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3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③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将所有的评标条款与投标文件逐一进行页码关联成功后，点击“确认完成”。如图</w:t>
      </w:r>
      <w:r>
        <w:rPr>
          <w:rFonts w:asciiTheme="minorEastAsia" w:hAnsiTheme="minorEastAsia" w:cstheme="minorEastAsia"/>
          <w:sz w:val="24"/>
          <w:szCs w:val="24"/>
        </w:rPr>
        <w:t>6</w:t>
      </w:r>
      <w:r>
        <w:rPr>
          <w:rFonts w:hint="eastAsia" w:asciiTheme="minorEastAsia" w:hAnsiTheme="minorEastAsia" w:cstheme="minorEastAsia"/>
          <w:sz w:val="24"/>
          <w:szCs w:val="24"/>
        </w:rPr>
        <w:t>-5所示</w:t>
      </w:r>
    </w:p>
    <w:p>
      <w:pPr>
        <w:pStyle w:val="25"/>
        <w:spacing w:line="360" w:lineRule="auto"/>
        <w:ind w:left="0" w:leftChars="0" w:right="210" w:firstLine="0" w:firstLineChars="0"/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5499735" cy="2701925"/>
            <wp:effectExtent l="9525" t="9525" r="15240" b="1270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701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/>
        <w:jc w:val="center"/>
      </w:pPr>
      <w:r>
        <w:rPr>
          <w:rFonts w:hint="eastAsia"/>
          <w:color w:val="C00000"/>
        </w:rPr>
        <w:t xml:space="preserve"> 图</w:t>
      </w:r>
      <w:r>
        <w:rPr>
          <w:color w:val="C00000"/>
        </w:rPr>
        <w:t>6</w:t>
      </w:r>
      <w:r>
        <w:rPr>
          <w:rFonts w:hint="eastAsia"/>
          <w:color w:val="C00000"/>
        </w:rPr>
        <w:t>-5</w:t>
      </w:r>
    </w:p>
    <w:p>
      <w:pPr>
        <w:widowControl/>
        <w:jc w:val="left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br w:type="page"/>
      </w:r>
    </w:p>
    <w:p>
      <w:pPr>
        <w:spacing w:line="360" w:lineRule="auto"/>
        <w:ind w:right="210"/>
        <w:outlineLvl w:val="2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bookmarkStart w:id="25" w:name="_Toc121213138"/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t>6.5</w:t>
      </w:r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设置电子密码并下载投标文件</w:t>
      </w:r>
      <w:bookmarkEnd w:id="25"/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设置完成后进入下载投标文件环节，供应商需完成以下步骤：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1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①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设置投标文件加密密码，并确认密码。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2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②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添加加密</w:t>
      </w:r>
      <w:r>
        <w:rPr>
          <w:rFonts w:asciiTheme="minorEastAsia" w:hAnsiTheme="minorEastAsia" w:cstheme="minorEastAsia"/>
          <w:sz w:val="24"/>
          <w:szCs w:val="24"/>
        </w:rPr>
        <w:t>验证手机号</w:t>
      </w:r>
      <w:r>
        <w:rPr>
          <w:rFonts w:hint="eastAsia" w:asciiTheme="minorEastAsia" w:hAnsiTheme="minorEastAsia" w:cstheme="minorEastAsia"/>
          <w:sz w:val="24"/>
          <w:szCs w:val="24"/>
        </w:rPr>
        <w:t>，应是</w:t>
      </w:r>
      <w:r>
        <w:rPr>
          <w:rFonts w:asciiTheme="minorEastAsia" w:hAnsiTheme="minorEastAsia" w:cstheme="minorEastAsia"/>
          <w:sz w:val="24"/>
          <w:szCs w:val="24"/>
        </w:rPr>
        <w:t>项目授权人或法人手机号，</w:t>
      </w:r>
      <w:r>
        <w:rPr>
          <w:rFonts w:hint="eastAsia" w:asciiTheme="minorEastAsia" w:hAnsiTheme="minorEastAsia" w:cstheme="minorEastAsia"/>
          <w:sz w:val="24"/>
          <w:szCs w:val="24"/>
        </w:rPr>
        <w:t>并获取手机验证码。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3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③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该文件密码将用于后续开标签到、投标文件解密及磋商等环节。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4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④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完成加密后，下载投标文件及备份的投标文件到本地，投标文件自动加密。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备注：投标文件下载后电子投标时再上传，备份的投标文件用于开标环节解密失败的情况下作备用上传（开标环节需带上此电子文件）。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以上流程如图</w:t>
      </w:r>
      <w:r>
        <w:rPr>
          <w:rFonts w:asciiTheme="minorEastAsia" w:hAnsiTheme="minorEastAsia" w:cstheme="minorEastAsia"/>
          <w:sz w:val="24"/>
          <w:szCs w:val="24"/>
        </w:rPr>
        <w:t>6</w:t>
      </w:r>
      <w:r>
        <w:rPr>
          <w:rFonts w:hint="eastAsia" w:asciiTheme="minorEastAsia" w:hAnsiTheme="minorEastAsia" w:cstheme="minorEastAsia"/>
          <w:sz w:val="24"/>
          <w:szCs w:val="24"/>
        </w:rPr>
        <w:t>-6、</w:t>
      </w:r>
      <w:r>
        <w:rPr>
          <w:rFonts w:asciiTheme="minorEastAsia" w:hAnsiTheme="minorEastAsia" w:cstheme="minorEastAsia"/>
          <w:sz w:val="24"/>
          <w:szCs w:val="24"/>
        </w:rPr>
        <w:t>6</w:t>
      </w:r>
      <w:r>
        <w:rPr>
          <w:rFonts w:hint="eastAsia" w:asciiTheme="minorEastAsia" w:hAnsiTheme="minorEastAsia" w:cstheme="minorEastAsia"/>
          <w:sz w:val="24"/>
          <w:szCs w:val="24"/>
        </w:rPr>
        <w:t>-7所示</w:t>
      </w:r>
    </w:p>
    <w:p>
      <w:pPr>
        <w:pStyle w:val="25"/>
        <w:spacing w:line="360" w:lineRule="auto"/>
        <w:ind w:left="0" w:leftChars="0" w:right="210" w:firstLine="0" w:firstLineChars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874645"/>
            <wp:effectExtent l="0" t="0" r="635" b="1905"/>
            <wp:docPr id="21" name="图片 21" descr="供应商密码加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供应商密码加密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/>
          <w:color w:val="C00000"/>
        </w:rPr>
        <w:t xml:space="preserve"> 图</w:t>
      </w:r>
      <w:r>
        <w:rPr>
          <w:color w:val="C00000"/>
        </w:rPr>
        <w:t>6</w:t>
      </w:r>
      <w:r>
        <w:rPr>
          <w:rFonts w:hint="eastAsia"/>
          <w:color w:val="C00000"/>
        </w:rPr>
        <w:t>-6</w:t>
      </w:r>
    </w:p>
    <w:p>
      <w:pPr>
        <w:pStyle w:val="25"/>
        <w:spacing w:line="360" w:lineRule="auto"/>
        <w:ind w:left="0" w:leftChars="0" w:right="210" w:firstLine="0" w:firstLineChars="0"/>
      </w:pPr>
      <w:r>
        <w:drawing>
          <wp:inline distT="0" distB="0" distL="114300" distR="114300">
            <wp:extent cx="5339715" cy="2743200"/>
            <wp:effectExtent l="9525" t="9525" r="22860" b="952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274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rPr>
          <w:rFonts w:hint="eastAsia"/>
          <w:color w:val="C00000"/>
        </w:rPr>
        <w:t>图</w:t>
      </w:r>
      <w:r>
        <w:rPr>
          <w:color w:val="C00000"/>
        </w:rPr>
        <w:t>6</w:t>
      </w:r>
      <w:r>
        <w:rPr>
          <w:rFonts w:hint="eastAsia"/>
          <w:color w:val="C00000"/>
        </w:rPr>
        <w:t>-7</w:t>
      </w:r>
    </w:p>
    <w:p>
      <w:pPr>
        <w:widowControl/>
        <w:jc w:val="left"/>
        <w:rPr>
          <w:rFonts w:ascii="黑体" w:hAnsi="黑体" w:eastAsia="黑体" w:cs="黑体"/>
          <w:b/>
          <w:bCs/>
          <w:sz w:val="28"/>
        </w:rPr>
      </w:pPr>
      <w:r>
        <w:rPr>
          <w:rFonts w:ascii="黑体" w:hAnsi="黑体" w:eastAsia="黑体" w:cs="黑体"/>
          <w:b/>
          <w:bCs/>
          <w:sz w:val="28"/>
        </w:rPr>
        <w:br w:type="page"/>
      </w:r>
    </w:p>
    <w:p>
      <w:pPr>
        <w:pStyle w:val="52"/>
        <w:spacing w:beforeLines="0" w:afterLines="0"/>
        <w:jc w:val="left"/>
        <w:outlineLvl w:val="1"/>
        <w:rPr>
          <w:rFonts w:ascii="黑体" w:hAnsi="黑体" w:eastAsia="黑体" w:cs="黑体"/>
          <w:b/>
          <w:bCs/>
          <w:kern w:val="2"/>
          <w:sz w:val="28"/>
          <w:szCs w:val="22"/>
        </w:rPr>
      </w:pPr>
      <w:bookmarkStart w:id="26" w:name="_Toc121213139"/>
      <w:r>
        <w:rPr>
          <w:rFonts w:ascii="黑体" w:hAnsi="黑体" w:eastAsia="黑体" w:cs="黑体"/>
          <w:b/>
          <w:bCs/>
          <w:kern w:val="2"/>
          <w:sz w:val="28"/>
          <w:szCs w:val="22"/>
        </w:rPr>
        <w:t>7</w:t>
      </w:r>
      <w:r>
        <w:rPr>
          <w:rFonts w:hint="eastAsia" w:ascii="黑体" w:hAnsi="黑体" w:eastAsia="黑体" w:cs="黑体"/>
          <w:b/>
          <w:bCs/>
          <w:kern w:val="2"/>
          <w:sz w:val="28"/>
          <w:szCs w:val="22"/>
        </w:rPr>
        <w:t>.供应商在线投标</w:t>
      </w:r>
      <w:bookmarkEnd w:id="26"/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投标时间结束前，供应商需完成在线投标，供应商需完成以下步骤：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1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①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进入“行采家采购服务平台-个人中心”点击“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电子招投标</w:t>
      </w:r>
      <w:r>
        <w:rPr>
          <w:rFonts w:hint="eastAsia" w:asciiTheme="minorEastAsia" w:hAnsiTheme="minorEastAsia" w:cstheme="minorEastAsia"/>
          <w:sz w:val="24"/>
          <w:szCs w:val="24"/>
        </w:rPr>
        <w:t>”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-&gt;“我的投标项目”</w:t>
      </w:r>
      <w:r>
        <w:rPr>
          <w:rFonts w:hint="eastAsia" w:asciiTheme="minorEastAsia" w:hAnsi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搜索对应项目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点击“在线投标”按钮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24"/>
        </w:rPr>
        <w:t>进入在线投标界面。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2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②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在在线投标界面，完成供应商信息填写。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3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③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上传做好的电子投标文件。</w:t>
      </w:r>
    </w:p>
    <w:p>
      <w:pPr>
        <w:pStyle w:val="25"/>
        <w:spacing w:line="360" w:lineRule="auto"/>
        <w:ind w:left="0" w:leftChars="0" w:right="21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4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④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点击“确定”供应商完成在线投标。如图</w:t>
      </w:r>
      <w:r>
        <w:rPr>
          <w:rFonts w:asciiTheme="minorEastAsia" w:hAnsiTheme="minorEastAsia" w:cstheme="minorEastAsia"/>
          <w:sz w:val="24"/>
          <w:szCs w:val="24"/>
        </w:rPr>
        <w:t>7</w:t>
      </w:r>
      <w:r>
        <w:rPr>
          <w:rFonts w:hint="eastAsia" w:asciiTheme="minorEastAsia" w:hAnsiTheme="minorEastAsia" w:cstheme="minorEastAsia"/>
          <w:sz w:val="24"/>
          <w:szCs w:val="24"/>
        </w:rPr>
        <w:t>-1所示</w:t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drawing>
          <wp:inline distT="0" distB="0" distL="114300" distR="114300">
            <wp:extent cx="5263515" cy="1332230"/>
            <wp:effectExtent l="0" t="0" r="1333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rPr>
          <w:rFonts w:hint="eastAsia"/>
          <w:color w:val="C00000"/>
        </w:rPr>
        <w:t>图</w:t>
      </w:r>
      <w:r>
        <w:rPr>
          <w:color w:val="C00000"/>
        </w:rPr>
        <w:t>7</w:t>
      </w:r>
      <w:r>
        <w:rPr>
          <w:rFonts w:hint="eastAsia"/>
          <w:color w:val="C00000"/>
        </w:rPr>
        <w:t>-1</w:t>
      </w:r>
    </w:p>
    <w:p>
      <w:pPr>
        <w:spacing w:line="360" w:lineRule="auto"/>
        <w:ind w:right="210"/>
      </w:pPr>
    </w:p>
    <w:p>
      <w:pPr>
        <w:widowControl/>
        <w:jc w:val="left"/>
        <w:rPr>
          <w:rFonts w:ascii="黑体" w:hAnsi="黑体" w:eastAsia="黑体" w:cs="黑体"/>
          <w:b/>
          <w:bCs/>
          <w:sz w:val="28"/>
        </w:rPr>
      </w:pPr>
      <w:r>
        <w:rPr>
          <w:rFonts w:ascii="黑体" w:hAnsi="黑体" w:eastAsia="黑体" w:cs="黑体"/>
          <w:b/>
          <w:bCs/>
          <w:sz w:val="28"/>
        </w:rPr>
        <w:br w:type="page"/>
      </w:r>
    </w:p>
    <w:p>
      <w:pPr>
        <w:pStyle w:val="52"/>
        <w:spacing w:beforeLines="0" w:afterLines="0"/>
        <w:jc w:val="left"/>
        <w:outlineLvl w:val="1"/>
        <w:rPr>
          <w:rFonts w:ascii="黑体" w:hAnsi="黑体" w:eastAsia="黑体" w:cs="黑体"/>
          <w:b/>
          <w:bCs/>
          <w:kern w:val="2"/>
          <w:sz w:val="28"/>
          <w:szCs w:val="22"/>
        </w:rPr>
      </w:pPr>
      <w:bookmarkStart w:id="27" w:name="_Toc121213140"/>
      <w:r>
        <w:rPr>
          <w:rFonts w:ascii="黑体" w:hAnsi="黑体" w:eastAsia="黑体" w:cs="黑体"/>
          <w:b/>
          <w:bCs/>
          <w:kern w:val="2"/>
          <w:sz w:val="28"/>
          <w:szCs w:val="22"/>
        </w:rPr>
        <w:t>8</w:t>
      </w:r>
      <w:r>
        <w:rPr>
          <w:rFonts w:hint="eastAsia" w:ascii="黑体" w:hAnsi="黑体" w:eastAsia="黑体" w:cs="黑体"/>
          <w:b/>
          <w:bCs/>
          <w:kern w:val="2"/>
          <w:sz w:val="28"/>
          <w:szCs w:val="22"/>
        </w:rPr>
        <w:t>.在线开标</w:t>
      </w:r>
      <w:bookmarkEnd w:id="27"/>
    </w:p>
    <w:p>
      <w:pPr>
        <w:spacing w:line="360" w:lineRule="auto"/>
        <w:ind w:right="210"/>
        <w:outlineLvl w:val="2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bookmarkStart w:id="28" w:name="_Toc121213141"/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t>8.1</w:t>
      </w:r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进入开标室</w:t>
      </w:r>
      <w:bookmarkEnd w:id="28"/>
    </w:p>
    <w:p>
      <w:pPr>
        <w:pStyle w:val="40"/>
        <w:rPr>
          <w:rFonts w:hint="default"/>
        </w:rPr>
      </w:pPr>
      <w:r>
        <w:t>到达开标时间，投标人点击网上开评标大厅进入开标室做好开标准备。如图</w:t>
      </w:r>
      <w:r>
        <w:rPr>
          <w:rFonts w:hint="default"/>
        </w:rPr>
        <w:t>8</w:t>
      </w:r>
      <w:r>
        <w:t>-1、</w:t>
      </w:r>
      <w:r>
        <w:rPr>
          <w:rFonts w:hint="default"/>
        </w:rPr>
        <w:t>8</w:t>
      </w:r>
      <w:r>
        <w:t>-2所示</w:t>
      </w:r>
    </w:p>
    <w:p>
      <w:r>
        <w:drawing>
          <wp:inline distT="0" distB="0" distL="114300" distR="114300">
            <wp:extent cx="5269230" cy="1875155"/>
            <wp:effectExtent l="9525" t="9525" r="17145" b="2032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75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color w:val="C00000"/>
        </w:rPr>
      </w:pPr>
      <w:r>
        <w:rPr>
          <w:rFonts w:hint="eastAsia"/>
          <w:color w:val="C00000"/>
        </w:rPr>
        <w:t>图</w:t>
      </w:r>
      <w:r>
        <w:rPr>
          <w:color w:val="C00000"/>
        </w:rPr>
        <w:t>8</w:t>
      </w:r>
      <w:r>
        <w:rPr>
          <w:rFonts w:hint="eastAsia"/>
          <w:color w:val="C00000"/>
        </w:rPr>
        <w:t>-1</w:t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6690" cy="2614930"/>
            <wp:effectExtent l="0" t="0" r="635" b="4445"/>
            <wp:docPr id="22" name="图片 22" descr="供应商开前准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供应商开前准备"/>
                    <pic:cNvPicPr>
                      <a:picLocks noChangeAspect="1"/>
                    </pic:cNvPicPr>
                  </pic:nvPicPr>
                  <pic:blipFill>
                    <a:blip r:embed="rId25"/>
                    <a:srcRect t="90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color w:val="C00000"/>
        </w:rPr>
      </w:pPr>
      <w:r>
        <w:rPr>
          <w:rFonts w:hint="eastAsia"/>
          <w:color w:val="C00000"/>
        </w:rPr>
        <w:t>图</w:t>
      </w:r>
      <w:r>
        <w:rPr>
          <w:color w:val="C00000"/>
        </w:rPr>
        <w:t>8</w:t>
      </w:r>
      <w:r>
        <w:rPr>
          <w:rFonts w:hint="eastAsia"/>
          <w:color w:val="C00000"/>
        </w:rPr>
        <w:t>-2</w:t>
      </w:r>
    </w:p>
    <w:p>
      <w:pPr>
        <w:widowControl/>
        <w:jc w:val="left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br w:type="page"/>
      </w:r>
    </w:p>
    <w:p>
      <w:pPr>
        <w:spacing w:line="360" w:lineRule="auto"/>
        <w:ind w:right="210"/>
        <w:outlineLvl w:val="2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bookmarkStart w:id="29" w:name="_Toc121213142"/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t>8.2</w:t>
      </w:r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在线解密</w:t>
      </w:r>
      <w:bookmarkEnd w:id="29"/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由代理机构引导进入解密环节，供应商在解密时间结束前，完成投标文件解密，供应商需完成以下步骤：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/>
          <w:sz w:val="24"/>
          <w:szCs w:val="24"/>
        </w:rPr>
        <w:instrText xml:space="preserve">= 1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/>
          <w:sz w:val="24"/>
          <w:szCs w:val="24"/>
        </w:rPr>
        <w:t>①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点击“解密投标文件”。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/>
          <w:sz w:val="24"/>
          <w:szCs w:val="24"/>
        </w:rPr>
        <w:instrText xml:space="preserve">= 2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/>
          <w:sz w:val="24"/>
          <w:szCs w:val="24"/>
        </w:rPr>
        <w:t>②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在解密界面，输入加密密码和手机验证码。</w:t>
      </w: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/>
          <w:sz w:val="24"/>
          <w:szCs w:val="24"/>
        </w:rPr>
        <w:instrText xml:space="preserve">= 3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/>
          <w:sz w:val="24"/>
          <w:szCs w:val="24"/>
        </w:rPr>
        <w:t>③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点击“确定”，完成投标文件解密</w:t>
      </w:r>
      <w:r>
        <w:rPr>
          <w:rFonts w:hint="eastAsia" w:asciiTheme="minorEastAsia" w:hAnsiTheme="minorEastAsia" w:cstheme="minorEastAsia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</w:instrText>
      </w:r>
      <w:r>
        <w:rPr>
          <w:rFonts w:hint="eastAsia" w:ascii="宋体" w:hAnsi="宋体" w:eastAsia="宋体" w:cs="宋体"/>
          <w:sz w:val="24"/>
          <w:szCs w:val="24"/>
        </w:rPr>
        <w:instrText xml:space="preserve">= 4 \* GB3</w:instrText>
      </w:r>
      <w:r>
        <w:rPr>
          <w:rFonts w:ascii="宋体" w:hAnsi="宋体" w:eastAsia="宋体" w:cs="宋体"/>
          <w:sz w:val="24"/>
          <w:szCs w:val="24"/>
        </w:rPr>
        <w:instrText xml:space="preserve">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解密成功后，可查看开标结果，同时系统自动核对投标文件的一致性。</w:t>
      </w:r>
    </w:p>
    <w:p>
      <w:pPr>
        <w:pStyle w:val="25"/>
        <w:spacing w:line="360" w:lineRule="auto"/>
        <w:ind w:left="0" w:leftChars="0" w:right="210" w:firstLine="480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特殊情况：</w:t>
      </w:r>
      <w:r>
        <w:rPr>
          <w:rFonts w:hint="eastAsia" w:asciiTheme="minorEastAsia" w:hAnsiTheme="minorEastAsia" w:cstheme="minorEastAsia"/>
          <w:sz w:val="24"/>
          <w:szCs w:val="24"/>
        </w:rPr>
        <w:t>若解密投标文件失败，投标人需及时上传下载的备用投标文件。</w:t>
      </w: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以上流程如图</w:t>
      </w:r>
      <w:r>
        <w:rPr>
          <w:rFonts w:asciiTheme="minorEastAsia" w:hAnsiTheme="minorEastAsia" w:cstheme="minorEastAsia"/>
          <w:sz w:val="24"/>
          <w:szCs w:val="24"/>
        </w:rPr>
        <w:t>8</w:t>
      </w:r>
      <w:r>
        <w:rPr>
          <w:rFonts w:hint="eastAsia" w:asciiTheme="minorEastAsia" w:hAnsiTheme="minorEastAsia" w:cstheme="minorEastAsia"/>
          <w:sz w:val="24"/>
          <w:szCs w:val="24"/>
        </w:rPr>
        <w:t>-3、</w:t>
      </w:r>
      <w:r>
        <w:rPr>
          <w:rFonts w:asciiTheme="minorEastAsia" w:hAnsiTheme="minorEastAsia" w:cstheme="minorEastAsia"/>
          <w:sz w:val="24"/>
          <w:szCs w:val="24"/>
        </w:rPr>
        <w:t>8</w:t>
      </w:r>
      <w:r>
        <w:rPr>
          <w:rFonts w:hint="eastAsia" w:asciiTheme="minorEastAsia" w:hAnsiTheme="minorEastAsia" w:cstheme="minorEastAsia"/>
          <w:sz w:val="24"/>
          <w:szCs w:val="24"/>
        </w:rPr>
        <w:t>-4、</w:t>
      </w:r>
      <w:r>
        <w:rPr>
          <w:rFonts w:asciiTheme="minorEastAsia" w:hAnsiTheme="minorEastAsia" w:cstheme="minorEastAsia"/>
          <w:sz w:val="24"/>
          <w:szCs w:val="24"/>
        </w:rPr>
        <w:t>8-5</w:t>
      </w:r>
      <w:r>
        <w:rPr>
          <w:rFonts w:hint="eastAsia" w:asciiTheme="minorEastAsia" w:hAnsiTheme="minorEastAsia" w:cstheme="minorEastAsia"/>
          <w:sz w:val="24"/>
          <w:szCs w:val="24"/>
        </w:rPr>
        <w:t>所示</w:t>
      </w:r>
    </w:p>
    <w:p>
      <w:pPr>
        <w:jc w:val="left"/>
      </w:pPr>
      <w:r>
        <w:drawing>
          <wp:inline distT="0" distB="0" distL="114300" distR="114300">
            <wp:extent cx="5266690" cy="2874645"/>
            <wp:effectExtent l="0" t="0" r="635" b="1905"/>
            <wp:docPr id="23" name="图片 23" descr="供应商解密倒计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供应商解密倒计时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rPr>
          <w:rFonts w:hint="eastAsia"/>
          <w:color w:val="C00000"/>
        </w:rPr>
        <w:t>图</w:t>
      </w:r>
      <w:r>
        <w:rPr>
          <w:color w:val="C00000"/>
        </w:rPr>
        <w:t>8</w:t>
      </w:r>
      <w:r>
        <w:rPr>
          <w:rFonts w:hint="eastAsia"/>
          <w:color w:val="C00000"/>
        </w:rPr>
        <w:t>-3</w:t>
      </w:r>
    </w:p>
    <w:p>
      <w:pPr>
        <w:jc w:val="left"/>
      </w:pPr>
      <w:r>
        <w:rPr>
          <w:rFonts w:hint="eastAsia"/>
        </w:rPr>
        <w:drawing>
          <wp:inline distT="0" distB="0" distL="114300" distR="114300">
            <wp:extent cx="5266690" cy="2874645"/>
            <wp:effectExtent l="0" t="0" r="635" b="1905"/>
            <wp:docPr id="25" name="图片 25" descr="供应商手机解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供应商手机解密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rPr>
          <w:rFonts w:hint="eastAsia"/>
          <w:color w:val="C00000"/>
        </w:rPr>
        <w:t>图</w:t>
      </w:r>
      <w:r>
        <w:rPr>
          <w:color w:val="C00000"/>
        </w:rPr>
        <w:t>8</w:t>
      </w:r>
      <w:r>
        <w:rPr>
          <w:rFonts w:hint="eastAsia"/>
          <w:color w:val="C00000"/>
        </w:rPr>
        <w:t>-4</w:t>
      </w:r>
    </w:p>
    <w:p>
      <w:pPr>
        <w:jc w:val="left"/>
      </w:pPr>
      <w:r>
        <w:rPr>
          <w:rFonts w:hint="eastAsia"/>
        </w:rPr>
        <w:drawing>
          <wp:inline distT="0" distB="0" distL="114300" distR="114300">
            <wp:extent cx="5266690" cy="2874645"/>
            <wp:effectExtent l="0" t="0" r="635" b="1905"/>
            <wp:docPr id="28" name="图片 28" descr="上传备份文件一致性校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上传备份文件一致性校验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rPr>
          <w:rFonts w:hint="eastAsia"/>
          <w:color w:val="C00000"/>
        </w:rPr>
        <w:t>图</w:t>
      </w:r>
      <w:r>
        <w:rPr>
          <w:color w:val="C00000"/>
        </w:rPr>
        <w:t>8</w:t>
      </w:r>
      <w:r>
        <w:rPr>
          <w:rFonts w:hint="eastAsia"/>
          <w:color w:val="C00000"/>
        </w:rPr>
        <w:t>-5</w:t>
      </w:r>
    </w:p>
    <w:p>
      <w:pPr>
        <w:widowControl/>
        <w:jc w:val="left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br w:type="page"/>
      </w:r>
    </w:p>
    <w:p>
      <w:pPr>
        <w:spacing w:line="360" w:lineRule="auto"/>
        <w:ind w:right="210"/>
        <w:outlineLvl w:val="2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bookmarkStart w:id="30" w:name="_Toc121213143"/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t>8.3</w:t>
      </w:r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确认唱标结果</w:t>
      </w:r>
      <w:bookmarkEnd w:id="30"/>
    </w:p>
    <w:p>
      <w:pPr>
        <w:pStyle w:val="25"/>
        <w:spacing w:line="360" w:lineRule="auto"/>
        <w:ind w:left="0" w:leftChars="0" w:right="210" w:firstLine="480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解密完成后，代理机构发起系统唱标，系统自行生成开标一览汇总表，投标人点击确认唱标结果，投标人可在线查看开标一览表。如图</w:t>
      </w:r>
      <w:r>
        <w:rPr>
          <w:rFonts w:asciiTheme="minorEastAsia" w:hAnsiTheme="minorEastAsia" w:cstheme="minorEastAsia"/>
          <w:sz w:val="24"/>
          <w:szCs w:val="24"/>
        </w:rPr>
        <w:t>8</w:t>
      </w:r>
      <w:r>
        <w:rPr>
          <w:rFonts w:hint="eastAsia" w:asciiTheme="minorEastAsia" w:hAnsiTheme="minorEastAsia" w:cstheme="minorEastAsia"/>
          <w:sz w:val="24"/>
          <w:szCs w:val="24"/>
        </w:rPr>
        <w:t>-6所示。</w:t>
      </w:r>
    </w:p>
    <w:p>
      <w:pPr>
        <w:pStyle w:val="40"/>
        <w:ind w:firstLine="0" w:firstLineChars="0"/>
        <w:rPr>
          <w:rFonts w:hint="default" w:asciiTheme="minorEastAsia" w:hAnsiTheme="minorEastAsia" w:cstheme="minorEastAsia"/>
          <w:sz w:val="28"/>
        </w:rPr>
      </w:pPr>
      <w:r>
        <w:drawing>
          <wp:inline distT="0" distB="0" distL="0" distR="0">
            <wp:extent cx="5274310" cy="25958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rPr>
          <w:rFonts w:hint="eastAsia"/>
          <w:color w:val="C00000"/>
        </w:rPr>
        <w:t>图</w:t>
      </w:r>
      <w:r>
        <w:rPr>
          <w:color w:val="C00000"/>
        </w:rPr>
        <w:t>8</w:t>
      </w:r>
      <w:r>
        <w:rPr>
          <w:rFonts w:hint="eastAsia"/>
          <w:color w:val="C00000"/>
        </w:rPr>
        <w:t>-6</w:t>
      </w:r>
    </w:p>
    <w:bookmarkEnd w:id="0"/>
    <w:bookmarkEnd w:id="1"/>
    <w:bookmarkEnd w:id="2"/>
    <w:bookmarkEnd w:id="3"/>
    <w:bookmarkEnd w:id="6"/>
    <w:bookmarkEnd w:id="7"/>
    <w:bookmarkEnd w:id="8"/>
    <w:bookmarkEnd w:id="9"/>
    <w:bookmarkEnd w:id="10"/>
    <w:bookmarkEnd w:id="11"/>
    <w:p>
      <w:pPr>
        <w:widowControl/>
        <w:jc w:val="left"/>
        <w:rPr>
          <w:rFonts w:ascii="黑体" w:hAnsi="黑体" w:eastAsia="黑体" w:cs="黑体"/>
          <w:b/>
          <w:bCs/>
          <w:sz w:val="28"/>
        </w:rPr>
      </w:pPr>
      <w:r>
        <w:rPr>
          <w:rFonts w:ascii="黑体" w:hAnsi="黑体" w:eastAsia="黑体" w:cs="黑体"/>
          <w:b/>
          <w:bCs/>
          <w:sz w:val="28"/>
        </w:rPr>
        <w:br w:type="page"/>
      </w:r>
    </w:p>
    <w:p>
      <w:pPr>
        <w:pStyle w:val="52"/>
        <w:spacing w:beforeLines="0" w:afterLines="0"/>
        <w:jc w:val="left"/>
        <w:outlineLvl w:val="1"/>
        <w:rPr>
          <w:rFonts w:ascii="黑体" w:hAnsi="黑体" w:eastAsia="黑体" w:cs="黑体"/>
          <w:b/>
          <w:bCs/>
          <w:kern w:val="2"/>
          <w:sz w:val="28"/>
          <w:szCs w:val="22"/>
        </w:rPr>
      </w:pPr>
      <w:bookmarkStart w:id="31" w:name="_Toc121213144"/>
      <w:r>
        <w:rPr>
          <w:rFonts w:ascii="黑体" w:hAnsi="黑体" w:eastAsia="黑体" w:cs="黑体"/>
          <w:b/>
          <w:bCs/>
          <w:kern w:val="2"/>
          <w:sz w:val="28"/>
          <w:szCs w:val="22"/>
        </w:rPr>
        <w:t>9</w:t>
      </w:r>
      <w:r>
        <w:rPr>
          <w:rFonts w:hint="eastAsia" w:ascii="黑体" w:hAnsi="黑体" w:eastAsia="黑体" w:cs="黑体"/>
          <w:b/>
          <w:bCs/>
          <w:kern w:val="2"/>
          <w:sz w:val="28"/>
          <w:szCs w:val="22"/>
        </w:rPr>
        <w:t>.开标完成</w:t>
      </w:r>
      <w:bookmarkEnd w:id="31"/>
    </w:p>
    <w:p>
      <w:pPr>
        <w:pStyle w:val="25"/>
        <w:spacing w:line="360" w:lineRule="auto"/>
        <w:ind w:left="0" w:leftChars="0" w:right="21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开标完成后，若该项目为竞争性磋商或谈判等，供应商按采购人或代理机构要求等待评审，比如查看抽签顺序、参与在线磋商、二次报价、澄清等操作。</w:t>
      </w:r>
    </w:p>
    <w:p>
      <w:pPr>
        <w:pStyle w:val="25"/>
        <w:spacing w:line="360" w:lineRule="auto"/>
        <w:ind w:left="0" w:leftChars="0" w:right="210" w:firstLine="480"/>
        <w:jc w:val="left"/>
        <w:rPr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如图</w:t>
      </w:r>
      <w:r>
        <w:rPr>
          <w:rFonts w:asciiTheme="minorEastAsia" w:hAnsiTheme="minorEastAsia" w:cstheme="minorEastAsia"/>
          <w:sz w:val="24"/>
          <w:szCs w:val="24"/>
        </w:rPr>
        <w:t>9</w:t>
      </w:r>
      <w:r>
        <w:rPr>
          <w:rFonts w:hint="eastAsia" w:asciiTheme="minorEastAsia" w:hAnsiTheme="minorEastAsia" w:cstheme="minorEastAsia"/>
          <w:sz w:val="24"/>
          <w:szCs w:val="24"/>
        </w:rPr>
        <w:t>-1、</w:t>
      </w:r>
      <w:r>
        <w:rPr>
          <w:rFonts w:asciiTheme="minorEastAsia" w:hAnsiTheme="minorEastAsia" w:cstheme="minorEastAsia"/>
          <w:sz w:val="24"/>
          <w:szCs w:val="24"/>
        </w:rPr>
        <w:t>9</w:t>
      </w:r>
      <w:r>
        <w:rPr>
          <w:rFonts w:hint="eastAsia" w:asciiTheme="minorEastAsia" w:hAnsiTheme="minorEastAsia" w:cstheme="minorEastAsia"/>
          <w:sz w:val="24"/>
          <w:szCs w:val="24"/>
        </w:rPr>
        <w:t>-2、</w:t>
      </w:r>
      <w:r>
        <w:rPr>
          <w:rFonts w:asciiTheme="minorEastAsia" w:hAnsiTheme="minorEastAsia" w:cstheme="minorEastAsia"/>
          <w:sz w:val="24"/>
          <w:szCs w:val="24"/>
        </w:rPr>
        <w:t>9</w:t>
      </w:r>
      <w:r>
        <w:rPr>
          <w:rFonts w:hint="eastAsia" w:asciiTheme="minorEastAsia" w:hAnsiTheme="minorEastAsia" w:cstheme="minorEastAsia"/>
          <w:sz w:val="24"/>
          <w:szCs w:val="24"/>
        </w:rPr>
        <w:t>-3、</w:t>
      </w:r>
      <w:r>
        <w:rPr>
          <w:rFonts w:asciiTheme="minorEastAsia" w:hAnsiTheme="minorEastAsia" w:cstheme="minorEastAsia"/>
          <w:sz w:val="24"/>
          <w:szCs w:val="24"/>
        </w:rPr>
        <w:t>9</w:t>
      </w:r>
      <w:r>
        <w:rPr>
          <w:rFonts w:hint="eastAsia" w:asciiTheme="minorEastAsia" w:hAnsiTheme="minorEastAsia" w:cstheme="minorEastAsia"/>
          <w:sz w:val="24"/>
          <w:szCs w:val="24"/>
        </w:rPr>
        <w:t>-4、9</w:t>
      </w:r>
      <w:r>
        <w:rPr>
          <w:rFonts w:asciiTheme="minorEastAsia" w:hAnsiTheme="minorEastAsia" w:cstheme="minorEastAsia"/>
          <w:sz w:val="24"/>
          <w:szCs w:val="24"/>
        </w:rPr>
        <w:t>-5</w:t>
      </w:r>
      <w:r>
        <w:rPr>
          <w:rFonts w:hint="eastAsia" w:asciiTheme="minorEastAsia" w:hAnsiTheme="minorEastAsia" w:cstheme="minorEastAsia"/>
          <w:sz w:val="24"/>
          <w:szCs w:val="24"/>
        </w:rPr>
        <w:t>、9</w:t>
      </w:r>
      <w:r>
        <w:rPr>
          <w:rFonts w:asciiTheme="minorEastAsia" w:hAnsiTheme="minorEastAsia" w:cstheme="minorEastAsia"/>
          <w:sz w:val="24"/>
          <w:szCs w:val="24"/>
        </w:rPr>
        <w:t>-6</w:t>
      </w:r>
      <w:r>
        <w:rPr>
          <w:rFonts w:hint="eastAsia" w:asciiTheme="minorEastAsia" w:hAnsiTheme="minorEastAsia" w:cstheme="minorEastAsia"/>
          <w:sz w:val="24"/>
          <w:szCs w:val="24"/>
        </w:rPr>
        <w:t>所示。</w:t>
      </w:r>
    </w:p>
    <w:p>
      <w:pPr>
        <w:pStyle w:val="40"/>
        <w:ind w:firstLine="0" w:firstLineChars="0"/>
        <w:rPr>
          <w:rFonts w:hint="default"/>
        </w:rPr>
      </w:pPr>
      <w:r>
        <w:drawing>
          <wp:inline distT="0" distB="0" distL="0" distR="0">
            <wp:extent cx="5274310" cy="260096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color w:val="C00000"/>
        </w:rPr>
      </w:pPr>
      <w:r>
        <w:rPr>
          <w:rFonts w:hint="eastAsia"/>
          <w:color w:val="C00000"/>
        </w:rPr>
        <w:t>图</w:t>
      </w:r>
      <w:r>
        <w:rPr>
          <w:color w:val="C00000"/>
        </w:rPr>
        <w:t>9</w:t>
      </w:r>
      <w:r>
        <w:rPr>
          <w:rFonts w:hint="eastAsia"/>
          <w:color w:val="C00000"/>
        </w:rPr>
        <w:t>-1</w:t>
      </w:r>
    </w:p>
    <w:p>
      <w:pPr>
        <w:widowControl/>
        <w:jc w:val="left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br w:type="page"/>
      </w:r>
    </w:p>
    <w:p>
      <w:pPr>
        <w:spacing w:line="360" w:lineRule="auto"/>
        <w:ind w:right="210"/>
        <w:outlineLvl w:val="2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bookmarkStart w:id="32" w:name="_Toc121213145"/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t>9.1</w:t>
      </w:r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问题澄清</w:t>
      </w:r>
      <w:bookmarkEnd w:id="32"/>
    </w:p>
    <w:p>
      <w:pPr>
        <w:pStyle w:val="25"/>
        <w:spacing w:line="360" w:lineRule="auto"/>
        <w:ind w:left="0" w:leftChars="0" w:right="21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由专家发起“信息澄清”，专家会要求供应商回答其提出的问题和文件展示等要求。</w:t>
      </w:r>
    </w:p>
    <w:p>
      <w:pPr>
        <w:pStyle w:val="25"/>
        <w:spacing w:line="360" w:lineRule="auto"/>
        <w:ind w:left="0" w:leftChars="0" w:right="21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专家发起信息澄清后，供应商就会收到短信通知，供应商根据澄清要求完成以下步骤：</w:t>
      </w:r>
    </w:p>
    <w:p>
      <w:pPr>
        <w:pStyle w:val="25"/>
        <w:spacing w:line="360" w:lineRule="auto"/>
        <w:ind w:left="0" w:leftChars="0" w:right="210" w:firstLine="480"/>
        <w:jc w:val="left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= 1 \* GB3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①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录入澄清内容，并将相关的文件跟澄清内容一并提交。</w:t>
      </w:r>
    </w:p>
    <w:p>
      <w:pPr>
        <w:pStyle w:val="25"/>
        <w:spacing w:line="360" w:lineRule="auto"/>
        <w:ind w:left="0" w:leftChars="0" w:right="210" w:firstLine="480"/>
        <w:jc w:val="left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= 2 \* GB3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②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以上步骤做完后，就点击“提交澄清”。专家界面就会显示供应商的提交内容，并做出相应的答复。</w:t>
      </w:r>
    </w:p>
    <w:p>
      <w:pPr>
        <w:tabs>
          <w:tab w:val="left" w:pos="3545"/>
        </w:tabs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以上流程如图</w:t>
      </w:r>
      <w:r>
        <w:rPr>
          <w:rFonts w:asciiTheme="minorEastAsia" w:hAnsiTheme="minorEastAsia"/>
          <w:sz w:val="24"/>
          <w:szCs w:val="24"/>
        </w:rPr>
        <w:t>9-2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40"/>
        <w:ind w:firstLine="0" w:firstLineChars="0"/>
        <w:rPr>
          <w:rFonts w:hint="default" w:ascii="黑体" w:hAnsi="黑体" w:eastAsia="黑体" w:cstheme="minorEastAsia"/>
          <w:b/>
          <w:bCs/>
          <w:kern w:val="0"/>
          <w:szCs w:val="24"/>
        </w:rPr>
      </w:pPr>
      <w:r>
        <w:drawing>
          <wp:inline distT="0" distB="0" distL="114300" distR="114300">
            <wp:extent cx="5262245" cy="2521585"/>
            <wp:effectExtent l="0" t="0" r="14605" b="1206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theme="minorEastAsia"/>
          <w:b/>
          <w:bCs/>
          <w:kern w:val="0"/>
          <w:szCs w:val="24"/>
        </w:rPr>
        <w:t xml:space="preserve"> </w:t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color w:val="C00000"/>
        </w:rPr>
      </w:pPr>
      <w:r>
        <w:rPr>
          <w:rFonts w:hint="eastAsia"/>
          <w:color w:val="C00000"/>
        </w:rPr>
        <w:t>图</w:t>
      </w:r>
      <w:r>
        <w:rPr>
          <w:color w:val="C00000"/>
        </w:rPr>
        <w:t>9</w:t>
      </w:r>
      <w:r>
        <w:rPr>
          <w:rFonts w:hint="eastAsia"/>
          <w:color w:val="C00000"/>
        </w:rPr>
        <w:t>-2</w:t>
      </w:r>
    </w:p>
    <w:p>
      <w:pPr>
        <w:widowControl/>
        <w:jc w:val="left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br w:type="page"/>
      </w:r>
    </w:p>
    <w:p>
      <w:pPr>
        <w:spacing w:line="360" w:lineRule="auto"/>
        <w:ind w:right="210"/>
        <w:outlineLvl w:val="2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bookmarkStart w:id="33" w:name="_Toc121213146"/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t>9.2</w:t>
      </w:r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供应商查看抽签</w:t>
      </w:r>
      <w:bookmarkEnd w:id="33"/>
    </w:p>
    <w:p>
      <w:pPr>
        <w:pStyle w:val="25"/>
        <w:spacing w:line="360" w:lineRule="auto"/>
        <w:ind w:left="0" w:leftChars="0" w:right="21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专家通过后台抽签，供应商可在开标大厅界面查看抽签顺序，并按顺序参与后续磋商交流环节。</w:t>
      </w:r>
    </w:p>
    <w:p>
      <w:pPr>
        <w:pStyle w:val="25"/>
        <w:spacing w:line="360" w:lineRule="auto"/>
        <w:ind w:left="0" w:leftChars="0" w:right="21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该流程如图</w:t>
      </w:r>
      <w:r>
        <w:rPr>
          <w:sz w:val="24"/>
          <w:szCs w:val="24"/>
        </w:rPr>
        <w:t>9-3</w:t>
      </w:r>
      <w:r>
        <w:rPr>
          <w:rFonts w:hint="eastAsia"/>
          <w:sz w:val="24"/>
          <w:szCs w:val="24"/>
        </w:rPr>
        <w:t>所示。</w:t>
      </w:r>
    </w:p>
    <w:p>
      <w:pPr>
        <w:pStyle w:val="25"/>
        <w:spacing w:line="360" w:lineRule="auto"/>
        <w:ind w:left="0" w:leftChars="0" w:right="210" w:firstLine="0" w:firstLineChars="0"/>
      </w:pPr>
      <w:r>
        <w:drawing>
          <wp:inline distT="0" distB="0" distL="114300" distR="114300">
            <wp:extent cx="5266055" cy="2424430"/>
            <wp:effectExtent l="0" t="0" r="10795" b="1397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color w:val="C00000"/>
        </w:rPr>
      </w:pPr>
      <w:r>
        <w:rPr>
          <w:rFonts w:hint="eastAsia"/>
          <w:color w:val="C00000"/>
        </w:rPr>
        <w:t>图</w:t>
      </w:r>
      <w:r>
        <w:rPr>
          <w:color w:val="C00000"/>
        </w:rPr>
        <w:t>9</w:t>
      </w:r>
      <w:r>
        <w:rPr>
          <w:rFonts w:hint="eastAsia"/>
          <w:color w:val="C00000"/>
        </w:rPr>
        <w:t>-3</w:t>
      </w:r>
    </w:p>
    <w:p>
      <w:pPr>
        <w:widowControl/>
        <w:jc w:val="left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br w:type="page"/>
      </w:r>
    </w:p>
    <w:p>
      <w:pPr>
        <w:spacing w:line="360" w:lineRule="auto"/>
        <w:ind w:right="210"/>
        <w:outlineLvl w:val="2"/>
        <w:rPr>
          <w:rFonts w:ascii="黑体" w:hAnsi="黑体" w:eastAsia="黑体" w:cstheme="minorEastAsia"/>
          <w:b/>
          <w:bCs/>
          <w:kern w:val="0"/>
          <w:sz w:val="24"/>
          <w:szCs w:val="24"/>
        </w:rPr>
      </w:pPr>
      <w:bookmarkStart w:id="34" w:name="_Toc121213147"/>
      <w:r>
        <w:rPr>
          <w:rFonts w:ascii="黑体" w:hAnsi="黑体" w:eastAsia="黑体" w:cstheme="minorEastAsia"/>
          <w:b/>
          <w:bCs/>
          <w:kern w:val="0"/>
          <w:sz w:val="24"/>
          <w:szCs w:val="24"/>
        </w:rPr>
        <w:t>9.3</w:t>
      </w:r>
      <w:r>
        <w:rPr>
          <w:rFonts w:hint="eastAsia" w:ascii="黑体" w:hAnsi="黑体" w:eastAsia="黑体" w:cstheme="minorEastAsia"/>
          <w:b/>
          <w:bCs/>
          <w:kern w:val="0"/>
          <w:sz w:val="24"/>
          <w:szCs w:val="24"/>
        </w:rPr>
        <w:t>供应商二次报价</w:t>
      </w:r>
      <w:bookmarkEnd w:id="34"/>
    </w:p>
    <w:p>
      <w:pPr>
        <w:spacing w:line="360" w:lineRule="auto"/>
        <w:ind w:right="210" w:rightChars="100"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若需要供应商二次报价，系统界面会自动提示，供应商完成以下步骤：</w:t>
      </w:r>
    </w:p>
    <w:p>
      <w:pPr>
        <w:spacing w:line="360" w:lineRule="auto"/>
        <w:ind w:right="210" w:rightChars="100"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1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①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点击“二次报价”，进入二次报价界面。</w:t>
      </w:r>
    </w:p>
    <w:p>
      <w:pPr>
        <w:spacing w:line="360" w:lineRule="auto"/>
        <w:ind w:right="210" w:rightChars="100"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2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②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</w:rPr>
        <w:t>在“本轮报价”里输入第二次报价的金额。</w:t>
      </w:r>
    </w:p>
    <w:p>
      <w:pPr>
        <w:spacing w:line="360" w:lineRule="auto"/>
        <w:ind w:right="210" w:rightChars="100"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fldChar w:fldCharType="begin"/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= 3 \* GB3</w:instrText>
      </w:r>
      <w:r>
        <w:rPr>
          <w:rFonts w:asciiTheme="minorEastAsia" w:hAnsiTheme="minorEastAsia" w:cs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 w:val="24"/>
          <w:szCs w:val="24"/>
        </w:rPr>
        <w:t>③</w:t>
      </w:r>
      <w:r>
        <w:rPr>
          <w:rFonts w:asciiTheme="minorEastAsia" w:hAnsiTheme="minorEastAsia" w:cstheme="minorEastAsia"/>
          <w:sz w:val="24"/>
          <w:szCs w:val="24"/>
        </w:rPr>
        <w:fldChar w:fldCharType="end"/>
      </w:r>
      <w:r>
        <w:rPr>
          <w:rFonts w:asciiTheme="minorEastAsia" w:hAnsi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24"/>
        </w:rPr>
        <w:t>通过手机号接受验证码信息，作为本次报价的安全验证，最后点击“提交报价”，完成本轮报价。</w:t>
      </w:r>
    </w:p>
    <w:p>
      <w:pPr>
        <w:spacing w:line="360" w:lineRule="auto"/>
        <w:ind w:right="210" w:rightChars="100"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特殊情况：若二次报价时间中，供应商未报价也未提交，则使用最后一次报价为本次报价。</w:t>
      </w:r>
    </w:p>
    <w:p>
      <w:pPr>
        <w:spacing w:line="360" w:lineRule="auto"/>
        <w:ind w:right="210" w:rightChars="100"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以上流程如图9</w:t>
      </w:r>
      <w:r>
        <w:rPr>
          <w:rFonts w:asciiTheme="minorEastAsia" w:hAnsiTheme="minorEastAsia" w:cstheme="minorEastAsia"/>
          <w:sz w:val="24"/>
          <w:szCs w:val="24"/>
        </w:rPr>
        <w:t>-4</w:t>
      </w:r>
      <w:r>
        <w:rPr>
          <w:rFonts w:hint="eastAsia" w:asciiTheme="minorEastAsia" w:hAnsiTheme="minorEastAsia" w:cstheme="minorEastAsia"/>
          <w:sz w:val="24"/>
          <w:szCs w:val="24"/>
        </w:rPr>
        <w:t>、9</w:t>
      </w:r>
      <w:r>
        <w:rPr>
          <w:rFonts w:asciiTheme="minorEastAsia" w:hAnsiTheme="minorEastAsia" w:cstheme="minorEastAsia"/>
          <w:sz w:val="24"/>
          <w:szCs w:val="24"/>
        </w:rPr>
        <w:t>-5</w:t>
      </w:r>
      <w:r>
        <w:rPr>
          <w:rFonts w:hint="eastAsia" w:asciiTheme="minorEastAsia" w:hAnsiTheme="minorEastAsia" w:cstheme="minorEastAsia"/>
          <w:sz w:val="24"/>
          <w:szCs w:val="24"/>
        </w:rPr>
        <w:t>、9</w:t>
      </w:r>
      <w:r>
        <w:rPr>
          <w:rFonts w:asciiTheme="minorEastAsia" w:hAnsiTheme="minorEastAsia" w:cstheme="minorEastAsia"/>
          <w:sz w:val="24"/>
          <w:szCs w:val="24"/>
        </w:rPr>
        <w:t>-6</w:t>
      </w:r>
      <w:r>
        <w:rPr>
          <w:rFonts w:hint="eastAsia" w:asciiTheme="minorEastAsia" w:hAnsiTheme="minorEastAsia" w:cstheme="minorEastAsia"/>
          <w:sz w:val="24"/>
          <w:szCs w:val="24"/>
        </w:rPr>
        <w:t>所示。</w:t>
      </w:r>
    </w:p>
    <w:p>
      <w:pPr>
        <w:pStyle w:val="25"/>
        <w:spacing w:line="360" w:lineRule="auto"/>
        <w:ind w:left="0" w:leftChars="0" w:right="210" w:firstLine="0" w:firstLineChars="0"/>
        <w:jc w:val="center"/>
        <w:rPr>
          <w:color w:val="C00000"/>
        </w:rPr>
      </w:pPr>
      <w:r>
        <w:drawing>
          <wp:inline distT="0" distB="0" distL="0" distR="0">
            <wp:extent cx="5274310" cy="259270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00000"/>
        </w:rPr>
        <w:t>图</w:t>
      </w:r>
      <w:r>
        <w:rPr>
          <w:color w:val="C00000"/>
        </w:rPr>
        <w:t>9</w:t>
      </w:r>
      <w:r>
        <w:rPr>
          <w:rFonts w:hint="eastAsia"/>
          <w:color w:val="C00000"/>
        </w:rPr>
        <w:t>-4</w:t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drawing>
          <wp:inline distT="0" distB="0" distL="0" distR="0">
            <wp:extent cx="5274310" cy="279527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00000"/>
        </w:rPr>
        <w:t>图</w:t>
      </w:r>
      <w:r>
        <w:rPr>
          <w:color w:val="C00000"/>
        </w:rPr>
        <w:t>9</w:t>
      </w:r>
      <w:r>
        <w:rPr>
          <w:rFonts w:hint="eastAsia"/>
          <w:color w:val="C00000"/>
        </w:rPr>
        <w:t>-</w:t>
      </w:r>
      <w:r>
        <w:rPr>
          <w:color w:val="C00000"/>
        </w:rPr>
        <w:t>5</w:t>
      </w:r>
    </w:p>
    <w:p>
      <w:pPr>
        <w:pStyle w:val="25"/>
        <w:spacing w:line="360" w:lineRule="auto"/>
        <w:ind w:left="0" w:leftChars="0" w:right="210" w:firstLine="0" w:firstLineChars="0"/>
        <w:jc w:val="center"/>
      </w:pPr>
      <w:r>
        <w:drawing>
          <wp:inline distT="0" distB="0" distL="0" distR="0">
            <wp:extent cx="5274310" cy="2755265"/>
            <wp:effectExtent l="0" t="0" r="254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00000"/>
        </w:rPr>
        <w:t>图</w:t>
      </w:r>
      <w:r>
        <w:rPr>
          <w:color w:val="C00000"/>
        </w:rPr>
        <w:t>9</w:t>
      </w:r>
      <w:r>
        <w:rPr>
          <w:rFonts w:hint="eastAsia"/>
          <w:color w:val="C00000"/>
        </w:rPr>
        <w:t>-</w:t>
      </w:r>
      <w:r>
        <w:rPr>
          <w:color w:val="C00000"/>
        </w:rPr>
        <w:t>6</w:t>
      </w:r>
    </w:p>
    <w:sectPr>
      <w:footerReference r:id="rId4" w:type="first"/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1E5634"/>
    <w:multiLevelType w:val="multilevel"/>
    <w:tmpl w:val="061E5634"/>
    <w:lvl w:ilvl="0" w:tentative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54"/>
      <w:isLgl/>
      <w:suff w:val="space"/>
      <w:lvlText w:val="%1.%2"/>
      <w:lvlJc w:val="left"/>
      <w:pPr>
        <w:ind w:left="0" w:firstLine="0"/>
      </w:pPr>
      <w:rPr>
        <w:rFonts w:hint="default" w:ascii="Times New Roman" w:hAnsi="Times New Roman" w:cs="Times New Roman"/>
        <w:b/>
        <w:bCs/>
        <w:i w:val="0"/>
        <w:iCs w:val="0"/>
        <w:sz w:val="28"/>
        <w:szCs w:val="28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/>
        <w:i w:val="0"/>
        <w:iCs w:val="0"/>
        <w:sz w:val="28"/>
        <w:szCs w:val="28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/>
        <w:i w:val="0"/>
        <w:iCs w:val="0"/>
        <w:sz w:val="28"/>
        <w:szCs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7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876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020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164"/>
        </w:tabs>
        <w:ind w:left="0" w:firstLine="0"/>
      </w:pPr>
      <w:rPr>
        <w:rFonts w:hint="eastAsia"/>
      </w:rPr>
    </w:lvl>
  </w:abstractNum>
  <w:abstractNum w:abstractNumId="1">
    <w:nsid w:val="3E5B72AD"/>
    <w:multiLevelType w:val="multilevel"/>
    <w:tmpl w:val="3E5B72AD"/>
    <w:lvl w:ilvl="0" w:tentative="0">
      <w:start w:val="1"/>
      <w:numFmt w:val="decimal"/>
      <w:pStyle w:val="2"/>
      <w:isLgl/>
      <w:suff w:val="space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3"/>
      <w:isLgl/>
      <w:suff w:val="space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4"/>
      <w:isLgl/>
      <w:suff w:val="space"/>
      <w:lvlText w:val="%1.%2.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."/>
      <w:lvlJc w:val="left"/>
      <w:pPr>
        <w:ind w:left="568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pStyle w:val="6"/>
      <w:isLgl/>
      <w:suff w:val="space"/>
      <w:lvlText w:val="%1.%2.%3.%4.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pStyle w:val="7"/>
      <w:isLgl/>
      <w:suff w:val="space"/>
      <w:lvlText w:val="%1.%2.%3.%4.%5.%6.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0YjkzYTM4OGIzYzZjZDRiYzUwYzhlOTc4Y2I4YjYifQ=="/>
  </w:docVars>
  <w:rsids>
    <w:rsidRoot w:val="00DD0646"/>
    <w:rsid w:val="00001B95"/>
    <w:rsid w:val="00002153"/>
    <w:rsid w:val="00003AA3"/>
    <w:rsid w:val="00004BC0"/>
    <w:rsid w:val="000065D9"/>
    <w:rsid w:val="00013484"/>
    <w:rsid w:val="000138BD"/>
    <w:rsid w:val="00013B3E"/>
    <w:rsid w:val="00017317"/>
    <w:rsid w:val="00021C52"/>
    <w:rsid w:val="00021E71"/>
    <w:rsid w:val="000253B6"/>
    <w:rsid w:val="0004202F"/>
    <w:rsid w:val="00045DB1"/>
    <w:rsid w:val="000538F7"/>
    <w:rsid w:val="000570F1"/>
    <w:rsid w:val="0005715D"/>
    <w:rsid w:val="00060843"/>
    <w:rsid w:val="000722B7"/>
    <w:rsid w:val="0007284A"/>
    <w:rsid w:val="0008690C"/>
    <w:rsid w:val="00092B53"/>
    <w:rsid w:val="000931FF"/>
    <w:rsid w:val="000A1729"/>
    <w:rsid w:val="000B1068"/>
    <w:rsid w:val="000B2EC9"/>
    <w:rsid w:val="000B7414"/>
    <w:rsid w:val="000C22CA"/>
    <w:rsid w:val="000D3BFE"/>
    <w:rsid w:val="000E2DF5"/>
    <w:rsid w:val="000E3FBE"/>
    <w:rsid w:val="000E401B"/>
    <w:rsid w:val="000E7AB0"/>
    <w:rsid w:val="000F2A43"/>
    <w:rsid w:val="000F6734"/>
    <w:rsid w:val="000F6C38"/>
    <w:rsid w:val="00102313"/>
    <w:rsid w:val="00106CA3"/>
    <w:rsid w:val="00115458"/>
    <w:rsid w:val="00116478"/>
    <w:rsid w:val="00121BD0"/>
    <w:rsid w:val="00122D0B"/>
    <w:rsid w:val="001326B8"/>
    <w:rsid w:val="00133D00"/>
    <w:rsid w:val="00160C57"/>
    <w:rsid w:val="0017700D"/>
    <w:rsid w:val="001779C7"/>
    <w:rsid w:val="0018698F"/>
    <w:rsid w:val="00187A6F"/>
    <w:rsid w:val="00187A92"/>
    <w:rsid w:val="001A2864"/>
    <w:rsid w:val="001C04DD"/>
    <w:rsid w:val="001C63DD"/>
    <w:rsid w:val="001C7EF6"/>
    <w:rsid w:val="001D43F7"/>
    <w:rsid w:val="001E5806"/>
    <w:rsid w:val="001E6BD6"/>
    <w:rsid w:val="001F2274"/>
    <w:rsid w:val="001F45E8"/>
    <w:rsid w:val="001F6BAE"/>
    <w:rsid w:val="002046DC"/>
    <w:rsid w:val="00210D1A"/>
    <w:rsid w:val="00220535"/>
    <w:rsid w:val="00221E0A"/>
    <w:rsid w:val="00224E14"/>
    <w:rsid w:val="00242A7E"/>
    <w:rsid w:val="00247946"/>
    <w:rsid w:val="00253091"/>
    <w:rsid w:val="0025712B"/>
    <w:rsid w:val="002646C6"/>
    <w:rsid w:val="00266276"/>
    <w:rsid w:val="002725A6"/>
    <w:rsid w:val="00274F91"/>
    <w:rsid w:val="0027617E"/>
    <w:rsid w:val="0028360A"/>
    <w:rsid w:val="00285844"/>
    <w:rsid w:val="00293642"/>
    <w:rsid w:val="00297ACD"/>
    <w:rsid w:val="002A04B8"/>
    <w:rsid w:val="002A0D44"/>
    <w:rsid w:val="002B2F72"/>
    <w:rsid w:val="002B3CAE"/>
    <w:rsid w:val="002B4154"/>
    <w:rsid w:val="002B589B"/>
    <w:rsid w:val="002C35A2"/>
    <w:rsid w:val="002D212B"/>
    <w:rsid w:val="002D3A91"/>
    <w:rsid w:val="002D58A1"/>
    <w:rsid w:val="002E1ECB"/>
    <w:rsid w:val="002E340F"/>
    <w:rsid w:val="002E3E05"/>
    <w:rsid w:val="00307A01"/>
    <w:rsid w:val="00307BB9"/>
    <w:rsid w:val="003318D4"/>
    <w:rsid w:val="0033257D"/>
    <w:rsid w:val="00333AC6"/>
    <w:rsid w:val="00343DF6"/>
    <w:rsid w:val="00345280"/>
    <w:rsid w:val="00353F5F"/>
    <w:rsid w:val="00356C19"/>
    <w:rsid w:val="0036075C"/>
    <w:rsid w:val="003626A6"/>
    <w:rsid w:val="00365426"/>
    <w:rsid w:val="0036687D"/>
    <w:rsid w:val="003675EA"/>
    <w:rsid w:val="00374F30"/>
    <w:rsid w:val="00375462"/>
    <w:rsid w:val="00376A13"/>
    <w:rsid w:val="00380C4F"/>
    <w:rsid w:val="003832A9"/>
    <w:rsid w:val="00385CD0"/>
    <w:rsid w:val="00391A0D"/>
    <w:rsid w:val="00391A68"/>
    <w:rsid w:val="00396045"/>
    <w:rsid w:val="003A2191"/>
    <w:rsid w:val="003C5339"/>
    <w:rsid w:val="003C7540"/>
    <w:rsid w:val="003D2040"/>
    <w:rsid w:val="003D5AC9"/>
    <w:rsid w:val="003E6C46"/>
    <w:rsid w:val="003F35CE"/>
    <w:rsid w:val="00403BBE"/>
    <w:rsid w:val="00410198"/>
    <w:rsid w:val="004158FA"/>
    <w:rsid w:val="00421188"/>
    <w:rsid w:val="00423FFA"/>
    <w:rsid w:val="00434F6C"/>
    <w:rsid w:val="00442561"/>
    <w:rsid w:val="00442EB4"/>
    <w:rsid w:val="004464A6"/>
    <w:rsid w:val="00461CB4"/>
    <w:rsid w:val="004700C9"/>
    <w:rsid w:val="0047691C"/>
    <w:rsid w:val="00477243"/>
    <w:rsid w:val="00482D1A"/>
    <w:rsid w:val="00483B44"/>
    <w:rsid w:val="00483D46"/>
    <w:rsid w:val="0048585A"/>
    <w:rsid w:val="004878CA"/>
    <w:rsid w:val="004941A6"/>
    <w:rsid w:val="004A5CD8"/>
    <w:rsid w:val="004C2592"/>
    <w:rsid w:val="004D11F7"/>
    <w:rsid w:val="004D2416"/>
    <w:rsid w:val="004D7EFE"/>
    <w:rsid w:val="004F0371"/>
    <w:rsid w:val="004F04D7"/>
    <w:rsid w:val="004F1F3A"/>
    <w:rsid w:val="004F2099"/>
    <w:rsid w:val="004F5D9B"/>
    <w:rsid w:val="004F7E80"/>
    <w:rsid w:val="005137F9"/>
    <w:rsid w:val="00522928"/>
    <w:rsid w:val="005364CD"/>
    <w:rsid w:val="00537B66"/>
    <w:rsid w:val="00550DB4"/>
    <w:rsid w:val="00551EDD"/>
    <w:rsid w:val="00552BD3"/>
    <w:rsid w:val="00561197"/>
    <w:rsid w:val="00565FF8"/>
    <w:rsid w:val="005823BF"/>
    <w:rsid w:val="00584E5F"/>
    <w:rsid w:val="00585790"/>
    <w:rsid w:val="005865D8"/>
    <w:rsid w:val="00593DF2"/>
    <w:rsid w:val="005A6F0A"/>
    <w:rsid w:val="005B1567"/>
    <w:rsid w:val="005B77B2"/>
    <w:rsid w:val="005C478B"/>
    <w:rsid w:val="005C4DAB"/>
    <w:rsid w:val="005C5F9F"/>
    <w:rsid w:val="005C6651"/>
    <w:rsid w:val="005D02C7"/>
    <w:rsid w:val="005D76E0"/>
    <w:rsid w:val="005E27F6"/>
    <w:rsid w:val="005F40C1"/>
    <w:rsid w:val="00610A1A"/>
    <w:rsid w:val="00610E3C"/>
    <w:rsid w:val="00615131"/>
    <w:rsid w:val="00622470"/>
    <w:rsid w:val="0062779F"/>
    <w:rsid w:val="00630B02"/>
    <w:rsid w:val="00632F0E"/>
    <w:rsid w:val="0064444D"/>
    <w:rsid w:val="006558CA"/>
    <w:rsid w:val="00656C1F"/>
    <w:rsid w:val="00661788"/>
    <w:rsid w:val="00663AFC"/>
    <w:rsid w:val="00665040"/>
    <w:rsid w:val="006706EB"/>
    <w:rsid w:val="00672E4D"/>
    <w:rsid w:val="006777C0"/>
    <w:rsid w:val="00685868"/>
    <w:rsid w:val="006860E2"/>
    <w:rsid w:val="00686FCF"/>
    <w:rsid w:val="00690027"/>
    <w:rsid w:val="00690873"/>
    <w:rsid w:val="006A2BEA"/>
    <w:rsid w:val="006A4876"/>
    <w:rsid w:val="006A6128"/>
    <w:rsid w:val="006A64FB"/>
    <w:rsid w:val="006B07D6"/>
    <w:rsid w:val="006B7DCA"/>
    <w:rsid w:val="006C5A49"/>
    <w:rsid w:val="006D1DAE"/>
    <w:rsid w:val="006D6B46"/>
    <w:rsid w:val="006E055E"/>
    <w:rsid w:val="006E3400"/>
    <w:rsid w:val="006E4548"/>
    <w:rsid w:val="006F4BE5"/>
    <w:rsid w:val="00702C2E"/>
    <w:rsid w:val="0070341B"/>
    <w:rsid w:val="00706F75"/>
    <w:rsid w:val="007076D0"/>
    <w:rsid w:val="0071315F"/>
    <w:rsid w:val="00715BA9"/>
    <w:rsid w:val="0071616E"/>
    <w:rsid w:val="0072038D"/>
    <w:rsid w:val="007224AA"/>
    <w:rsid w:val="00726641"/>
    <w:rsid w:val="00727A78"/>
    <w:rsid w:val="007304BD"/>
    <w:rsid w:val="00730EA4"/>
    <w:rsid w:val="00736D25"/>
    <w:rsid w:val="0073740E"/>
    <w:rsid w:val="007442D9"/>
    <w:rsid w:val="007645F0"/>
    <w:rsid w:val="0077130E"/>
    <w:rsid w:val="00773331"/>
    <w:rsid w:val="00783106"/>
    <w:rsid w:val="007923D5"/>
    <w:rsid w:val="007947C1"/>
    <w:rsid w:val="007A7CBC"/>
    <w:rsid w:val="007B0C5B"/>
    <w:rsid w:val="007B13DB"/>
    <w:rsid w:val="007B28FB"/>
    <w:rsid w:val="007C0EF8"/>
    <w:rsid w:val="007C357D"/>
    <w:rsid w:val="007D5712"/>
    <w:rsid w:val="007E396B"/>
    <w:rsid w:val="007E434A"/>
    <w:rsid w:val="007F4B7F"/>
    <w:rsid w:val="008053A1"/>
    <w:rsid w:val="00811605"/>
    <w:rsid w:val="00817C9E"/>
    <w:rsid w:val="00823883"/>
    <w:rsid w:val="008277AC"/>
    <w:rsid w:val="0083703A"/>
    <w:rsid w:val="00844B10"/>
    <w:rsid w:val="00850C94"/>
    <w:rsid w:val="008550D7"/>
    <w:rsid w:val="00863FA7"/>
    <w:rsid w:val="00866A8E"/>
    <w:rsid w:val="008700E4"/>
    <w:rsid w:val="00875927"/>
    <w:rsid w:val="00876E38"/>
    <w:rsid w:val="00890BB7"/>
    <w:rsid w:val="0089709E"/>
    <w:rsid w:val="008A3152"/>
    <w:rsid w:val="008B4DC7"/>
    <w:rsid w:val="008B4DD7"/>
    <w:rsid w:val="008C1004"/>
    <w:rsid w:val="008D0DEC"/>
    <w:rsid w:val="008D3370"/>
    <w:rsid w:val="008D4BFF"/>
    <w:rsid w:val="008E7A68"/>
    <w:rsid w:val="008F43DF"/>
    <w:rsid w:val="008F75E2"/>
    <w:rsid w:val="00916846"/>
    <w:rsid w:val="00917C17"/>
    <w:rsid w:val="00922729"/>
    <w:rsid w:val="00924808"/>
    <w:rsid w:val="00941318"/>
    <w:rsid w:val="00941A26"/>
    <w:rsid w:val="00942EEA"/>
    <w:rsid w:val="00946DF6"/>
    <w:rsid w:val="00951CCE"/>
    <w:rsid w:val="00956B15"/>
    <w:rsid w:val="00957B86"/>
    <w:rsid w:val="00957C6B"/>
    <w:rsid w:val="0096693F"/>
    <w:rsid w:val="00970E16"/>
    <w:rsid w:val="00972451"/>
    <w:rsid w:val="009733C2"/>
    <w:rsid w:val="00987590"/>
    <w:rsid w:val="009A1A51"/>
    <w:rsid w:val="009A3E2D"/>
    <w:rsid w:val="009A633F"/>
    <w:rsid w:val="009A6B3F"/>
    <w:rsid w:val="009B65C8"/>
    <w:rsid w:val="009C1250"/>
    <w:rsid w:val="009C5B67"/>
    <w:rsid w:val="009D4469"/>
    <w:rsid w:val="009E012E"/>
    <w:rsid w:val="009E065B"/>
    <w:rsid w:val="009F7AB2"/>
    <w:rsid w:val="00A10B62"/>
    <w:rsid w:val="00A15A03"/>
    <w:rsid w:val="00A177E6"/>
    <w:rsid w:val="00A21D9D"/>
    <w:rsid w:val="00A25EE3"/>
    <w:rsid w:val="00A26B15"/>
    <w:rsid w:val="00A3060E"/>
    <w:rsid w:val="00A364DD"/>
    <w:rsid w:val="00A37900"/>
    <w:rsid w:val="00A41C58"/>
    <w:rsid w:val="00A45638"/>
    <w:rsid w:val="00A46B9D"/>
    <w:rsid w:val="00A50790"/>
    <w:rsid w:val="00A53CCE"/>
    <w:rsid w:val="00A55A5B"/>
    <w:rsid w:val="00A572AE"/>
    <w:rsid w:val="00A617DC"/>
    <w:rsid w:val="00A748BC"/>
    <w:rsid w:val="00A931C1"/>
    <w:rsid w:val="00A93BF4"/>
    <w:rsid w:val="00AA2BE8"/>
    <w:rsid w:val="00AA3DC3"/>
    <w:rsid w:val="00AA3E5D"/>
    <w:rsid w:val="00AA5B19"/>
    <w:rsid w:val="00AA5F4D"/>
    <w:rsid w:val="00AC19B9"/>
    <w:rsid w:val="00AD1295"/>
    <w:rsid w:val="00AE45C8"/>
    <w:rsid w:val="00AE6B02"/>
    <w:rsid w:val="00AF1129"/>
    <w:rsid w:val="00AF2EC3"/>
    <w:rsid w:val="00AF683D"/>
    <w:rsid w:val="00B01229"/>
    <w:rsid w:val="00B029ED"/>
    <w:rsid w:val="00B0428F"/>
    <w:rsid w:val="00B04AA2"/>
    <w:rsid w:val="00B05C5F"/>
    <w:rsid w:val="00B063F6"/>
    <w:rsid w:val="00B231F5"/>
    <w:rsid w:val="00B35B9C"/>
    <w:rsid w:val="00B44EB4"/>
    <w:rsid w:val="00B541FA"/>
    <w:rsid w:val="00B60A01"/>
    <w:rsid w:val="00B624CA"/>
    <w:rsid w:val="00B65789"/>
    <w:rsid w:val="00B7568B"/>
    <w:rsid w:val="00B86843"/>
    <w:rsid w:val="00B87AC9"/>
    <w:rsid w:val="00B96350"/>
    <w:rsid w:val="00B96EA3"/>
    <w:rsid w:val="00BA0314"/>
    <w:rsid w:val="00BA1850"/>
    <w:rsid w:val="00BA3714"/>
    <w:rsid w:val="00BA62A6"/>
    <w:rsid w:val="00BB1183"/>
    <w:rsid w:val="00BB2005"/>
    <w:rsid w:val="00BB74C7"/>
    <w:rsid w:val="00BC4C0A"/>
    <w:rsid w:val="00BC79A9"/>
    <w:rsid w:val="00BC7FE0"/>
    <w:rsid w:val="00BD1509"/>
    <w:rsid w:val="00BD28E3"/>
    <w:rsid w:val="00BD7E85"/>
    <w:rsid w:val="00BE1FED"/>
    <w:rsid w:val="00BE2340"/>
    <w:rsid w:val="00BE430D"/>
    <w:rsid w:val="00BE49A9"/>
    <w:rsid w:val="00BF735C"/>
    <w:rsid w:val="00C06DA6"/>
    <w:rsid w:val="00C12014"/>
    <w:rsid w:val="00C174D2"/>
    <w:rsid w:val="00C20258"/>
    <w:rsid w:val="00C21F2E"/>
    <w:rsid w:val="00C22407"/>
    <w:rsid w:val="00C22545"/>
    <w:rsid w:val="00C25A4D"/>
    <w:rsid w:val="00C27B71"/>
    <w:rsid w:val="00C32E89"/>
    <w:rsid w:val="00C355A4"/>
    <w:rsid w:val="00C35D1E"/>
    <w:rsid w:val="00C3723F"/>
    <w:rsid w:val="00C45398"/>
    <w:rsid w:val="00C475AE"/>
    <w:rsid w:val="00C51D8B"/>
    <w:rsid w:val="00C544E4"/>
    <w:rsid w:val="00C552CC"/>
    <w:rsid w:val="00C55842"/>
    <w:rsid w:val="00C55B79"/>
    <w:rsid w:val="00C61022"/>
    <w:rsid w:val="00C626AA"/>
    <w:rsid w:val="00C95D31"/>
    <w:rsid w:val="00CA4897"/>
    <w:rsid w:val="00CA662A"/>
    <w:rsid w:val="00CB00B7"/>
    <w:rsid w:val="00CC1F5A"/>
    <w:rsid w:val="00CC34D2"/>
    <w:rsid w:val="00CC472F"/>
    <w:rsid w:val="00CC54B0"/>
    <w:rsid w:val="00CC72C9"/>
    <w:rsid w:val="00CD2D32"/>
    <w:rsid w:val="00CD36E8"/>
    <w:rsid w:val="00CD3F9C"/>
    <w:rsid w:val="00CD5F2C"/>
    <w:rsid w:val="00CD6063"/>
    <w:rsid w:val="00CD7FE9"/>
    <w:rsid w:val="00CE03DA"/>
    <w:rsid w:val="00CE5246"/>
    <w:rsid w:val="00CF3BC5"/>
    <w:rsid w:val="00CF7E41"/>
    <w:rsid w:val="00D02290"/>
    <w:rsid w:val="00D0286E"/>
    <w:rsid w:val="00D06073"/>
    <w:rsid w:val="00D165EA"/>
    <w:rsid w:val="00D17E33"/>
    <w:rsid w:val="00D23AC6"/>
    <w:rsid w:val="00D2554A"/>
    <w:rsid w:val="00D367D6"/>
    <w:rsid w:val="00D44821"/>
    <w:rsid w:val="00D511F0"/>
    <w:rsid w:val="00D51390"/>
    <w:rsid w:val="00D57A1F"/>
    <w:rsid w:val="00D57FFC"/>
    <w:rsid w:val="00D60FA0"/>
    <w:rsid w:val="00D61E35"/>
    <w:rsid w:val="00D659AD"/>
    <w:rsid w:val="00D65B64"/>
    <w:rsid w:val="00D672E6"/>
    <w:rsid w:val="00D70CD2"/>
    <w:rsid w:val="00D91E7D"/>
    <w:rsid w:val="00DA218E"/>
    <w:rsid w:val="00DA46E9"/>
    <w:rsid w:val="00DA586B"/>
    <w:rsid w:val="00DB1CB4"/>
    <w:rsid w:val="00DB37D0"/>
    <w:rsid w:val="00DB3C9E"/>
    <w:rsid w:val="00DC59A7"/>
    <w:rsid w:val="00DC6D37"/>
    <w:rsid w:val="00DD02B9"/>
    <w:rsid w:val="00DD0646"/>
    <w:rsid w:val="00DD0B11"/>
    <w:rsid w:val="00DD2068"/>
    <w:rsid w:val="00DD331C"/>
    <w:rsid w:val="00DE2EC3"/>
    <w:rsid w:val="00DF759F"/>
    <w:rsid w:val="00E04A06"/>
    <w:rsid w:val="00E06F68"/>
    <w:rsid w:val="00E13A9E"/>
    <w:rsid w:val="00E13B57"/>
    <w:rsid w:val="00E23E74"/>
    <w:rsid w:val="00E30232"/>
    <w:rsid w:val="00E3354E"/>
    <w:rsid w:val="00E37698"/>
    <w:rsid w:val="00E47589"/>
    <w:rsid w:val="00E51815"/>
    <w:rsid w:val="00E52343"/>
    <w:rsid w:val="00E56C26"/>
    <w:rsid w:val="00E601D4"/>
    <w:rsid w:val="00E628CF"/>
    <w:rsid w:val="00E62CC6"/>
    <w:rsid w:val="00E6770B"/>
    <w:rsid w:val="00E70489"/>
    <w:rsid w:val="00E74996"/>
    <w:rsid w:val="00E91564"/>
    <w:rsid w:val="00E92A34"/>
    <w:rsid w:val="00E9713F"/>
    <w:rsid w:val="00EA3525"/>
    <w:rsid w:val="00EA5979"/>
    <w:rsid w:val="00EB6EDE"/>
    <w:rsid w:val="00EB7938"/>
    <w:rsid w:val="00EC1E35"/>
    <w:rsid w:val="00EC2EB4"/>
    <w:rsid w:val="00EC7730"/>
    <w:rsid w:val="00ED0078"/>
    <w:rsid w:val="00ED1DF2"/>
    <w:rsid w:val="00ED43AF"/>
    <w:rsid w:val="00ED6756"/>
    <w:rsid w:val="00EF0288"/>
    <w:rsid w:val="00EF0C20"/>
    <w:rsid w:val="00EF4475"/>
    <w:rsid w:val="00EF4AD9"/>
    <w:rsid w:val="00EF5393"/>
    <w:rsid w:val="00F01CB8"/>
    <w:rsid w:val="00F027E2"/>
    <w:rsid w:val="00F03724"/>
    <w:rsid w:val="00F070C6"/>
    <w:rsid w:val="00F13D65"/>
    <w:rsid w:val="00F17DAB"/>
    <w:rsid w:val="00F22C75"/>
    <w:rsid w:val="00F26844"/>
    <w:rsid w:val="00F328AB"/>
    <w:rsid w:val="00F52BFC"/>
    <w:rsid w:val="00F5321C"/>
    <w:rsid w:val="00F66DCF"/>
    <w:rsid w:val="00F70589"/>
    <w:rsid w:val="00F71E0B"/>
    <w:rsid w:val="00F72DFD"/>
    <w:rsid w:val="00F7413D"/>
    <w:rsid w:val="00F76FEB"/>
    <w:rsid w:val="00F81677"/>
    <w:rsid w:val="00F938E1"/>
    <w:rsid w:val="00F93B93"/>
    <w:rsid w:val="00F96536"/>
    <w:rsid w:val="00FA2B08"/>
    <w:rsid w:val="00FA54D4"/>
    <w:rsid w:val="00FB38CF"/>
    <w:rsid w:val="00FC04A9"/>
    <w:rsid w:val="00FC1072"/>
    <w:rsid w:val="00FD0B23"/>
    <w:rsid w:val="00FD13AB"/>
    <w:rsid w:val="00FD4264"/>
    <w:rsid w:val="00FE5894"/>
    <w:rsid w:val="00FF0C36"/>
    <w:rsid w:val="00FF7A49"/>
    <w:rsid w:val="01C31BB1"/>
    <w:rsid w:val="01EA44C4"/>
    <w:rsid w:val="024141DC"/>
    <w:rsid w:val="029661EF"/>
    <w:rsid w:val="02D02575"/>
    <w:rsid w:val="030D6850"/>
    <w:rsid w:val="03420C2D"/>
    <w:rsid w:val="037461FF"/>
    <w:rsid w:val="046A14C6"/>
    <w:rsid w:val="05E02E4F"/>
    <w:rsid w:val="063B656D"/>
    <w:rsid w:val="06CE732C"/>
    <w:rsid w:val="07302D7C"/>
    <w:rsid w:val="07883688"/>
    <w:rsid w:val="079D1FB5"/>
    <w:rsid w:val="07DD7E0F"/>
    <w:rsid w:val="07FC2798"/>
    <w:rsid w:val="094A4A7E"/>
    <w:rsid w:val="09533A02"/>
    <w:rsid w:val="097D4BB4"/>
    <w:rsid w:val="09A9002B"/>
    <w:rsid w:val="0A123CCB"/>
    <w:rsid w:val="0A350C10"/>
    <w:rsid w:val="0A596BD2"/>
    <w:rsid w:val="0B375DA7"/>
    <w:rsid w:val="0B8909A2"/>
    <w:rsid w:val="0C0937C7"/>
    <w:rsid w:val="0C3E4FE7"/>
    <w:rsid w:val="0D3802C2"/>
    <w:rsid w:val="0E425A04"/>
    <w:rsid w:val="0E89515E"/>
    <w:rsid w:val="0EA96075"/>
    <w:rsid w:val="0EE16656"/>
    <w:rsid w:val="0FFD1EEF"/>
    <w:rsid w:val="101E3292"/>
    <w:rsid w:val="1228622E"/>
    <w:rsid w:val="126B20F2"/>
    <w:rsid w:val="12AD4606"/>
    <w:rsid w:val="12F84687"/>
    <w:rsid w:val="13125F10"/>
    <w:rsid w:val="137C0212"/>
    <w:rsid w:val="13A72A01"/>
    <w:rsid w:val="13E46B78"/>
    <w:rsid w:val="148B278B"/>
    <w:rsid w:val="14F17AD1"/>
    <w:rsid w:val="16E5337C"/>
    <w:rsid w:val="17EA6708"/>
    <w:rsid w:val="181E5DCF"/>
    <w:rsid w:val="187D616E"/>
    <w:rsid w:val="18B07A47"/>
    <w:rsid w:val="191B0D68"/>
    <w:rsid w:val="195E6C4C"/>
    <w:rsid w:val="196653DE"/>
    <w:rsid w:val="19E02449"/>
    <w:rsid w:val="1A19125C"/>
    <w:rsid w:val="1A4C26CB"/>
    <w:rsid w:val="1AF5600D"/>
    <w:rsid w:val="1BE65371"/>
    <w:rsid w:val="1C4933AE"/>
    <w:rsid w:val="1C8D65F9"/>
    <w:rsid w:val="1CC25B52"/>
    <w:rsid w:val="1D264C18"/>
    <w:rsid w:val="1DBD21EF"/>
    <w:rsid w:val="1E4D63BF"/>
    <w:rsid w:val="1E6C127B"/>
    <w:rsid w:val="1F2A076D"/>
    <w:rsid w:val="20332F62"/>
    <w:rsid w:val="2051050C"/>
    <w:rsid w:val="217A4079"/>
    <w:rsid w:val="21883522"/>
    <w:rsid w:val="22025DB6"/>
    <w:rsid w:val="22750988"/>
    <w:rsid w:val="2351172C"/>
    <w:rsid w:val="235B554E"/>
    <w:rsid w:val="23BD55EE"/>
    <w:rsid w:val="23D57211"/>
    <w:rsid w:val="24255838"/>
    <w:rsid w:val="24682CFC"/>
    <w:rsid w:val="249C6D21"/>
    <w:rsid w:val="24CF521F"/>
    <w:rsid w:val="25374CA0"/>
    <w:rsid w:val="256D7F19"/>
    <w:rsid w:val="257D0D9E"/>
    <w:rsid w:val="25ED344C"/>
    <w:rsid w:val="26F12454"/>
    <w:rsid w:val="27216DA4"/>
    <w:rsid w:val="274F3B7A"/>
    <w:rsid w:val="28AB1D72"/>
    <w:rsid w:val="28AB53E1"/>
    <w:rsid w:val="28BE77E1"/>
    <w:rsid w:val="28FE781D"/>
    <w:rsid w:val="29A50577"/>
    <w:rsid w:val="29BA58C1"/>
    <w:rsid w:val="2A563C8A"/>
    <w:rsid w:val="2ABB5E37"/>
    <w:rsid w:val="2AEE52CA"/>
    <w:rsid w:val="2C6725BB"/>
    <w:rsid w:val="2C817163"/>
    <w:rsid w:val="2E0750A2"/>
    <w:rsid w:val="2E661AFD"/>
    <w:rsid w:val="305A3799"/>
    <w:rsid w:val="306501DA"/>
    <w:rsid w:val="314E33B0"/>
    <w:rsid w:val="336726C6"/>
    <w:rsid w:val="34094588"/>
    <w:rsid w:val="346538EE"/>
    <w:rsid w:val="351737B0"/>
    <w:rsid w:val="356A30BE"/>
    <w:rsid w:val="35E95BD6"/>
    <w:rsid w:val="37054099"/>
    <w:rsid w:val="378B5CA7"/>
    <w:rsid w:val="381463B1"/>
    <w:rsid w:val="38346A08"/>
    <w:rsid w:val="38A0772A"/>
    <w:rsid w:val="39293A2A"/>
    <w:rsid w:val="39C23DC5"/>
    <w:rsid w:val="3A677439"/>
    <w:rsid w:val="3A7A76ED"/>
    <w:rsid w:val="3AA5315D"/>
    <w:rsid w:val="3B7E470C"/>
    <w:rsid w:val="3B921F58"/>
    <w:rsid w:val="3C722880"/>
    <w:rsid w:val="3D662FF0"/>
    <w:rsid w:val="3DD9719A"/>
    <w:rsid w:val="3DE6374B"/>
    <w:rsid w:val="3F0C1E37"/>
    <w:rsid w:val="3FA41FE7"/>
    <w:rsid w:val="3FE8618E"/>
    <w:rsid w:val="40322BBA"/>
    <w:rsid w:val="40600C23"/>
    <w:rsid w:val="41590C35"/>
    <w:rsid w:val="423F79DF"/>
    <w:rsid w:val="42511295"/>
    <w:rsid w:val="42724F74"/>
    <w:rsid w:val="42DA1725"/>
    <w:rsid w:val="43F15056"/>
    <w:rsid w:val="44576870"/>
    <w:rsid w:val="446A5BD4"/>
    <w:rsid w:val="44C52AFB"/>
    <w:rsid w:val="452B2A73"/>
    <w:rsid w:val="45445120"/>
    <w:rsid w:val="45F31522"/>
    <w:rsid w:val="474F7342"/>
    <w:rsid w:val="486714B5"/>
    <w:rsid w:val="489F0DA6"/>
    <w:rsid w:val="4932352E"/>
    <w:rsid w:val="496B1AD9"/>
    <w:rsid w:val="4B43260D"/>
    <w:rsid w:val="4BA730E2"/>
    <w:rsid w:val="4BDC4EDE"/>
    <w:rsid w:val="4C90354B"/>
    <w:rsid w:val="4CBC1AE1"/>
    <w:rsid w:val="4D4243B1"/>
    <w:rsid w:val="4DB148B4"/>
    <w:rsid w:val="4E051104"/>
    <w:rsid w:val="4F4F29C1"/>
    <w:rsid w:val="4F59237B"/>
    <w:rsid w:val="504F6B85"/>
    <w:rsid w:val="506748FE"/>
    <w:rsid w:val="5068712D"/>
    <w:rsid w:val="51541475"/>
    <w:rsid w:val="5168610E"/>
    <w:rsid w:val="51E567BF"/>
    <w:rsid w:val="54024D2C"/>
    <w:rsid w:val="543A18DA"/>
    <w:rsid w:val="548C47BE"/>
    <w:rsid w:val="54C47A64"/>
    <w:rsid w:val="55305880"/>
    <w:rsid w:val="55667EBE"/>
    <w:rsid w:val="55CA6202"/>
    <w:rsid w:val="562F564C"/>
    <w:rsid w:val="565226D1"/>
    <w:rsid w:val="56662019"/>
    <w:rsid w:val="56D64810"/>
    <w:rsid w:val="57270094"/>
    <w:rsid w:val="57DC136D"/>
    <w:rsid w:val="58141DEA"/>
    <w:rsid w:val="58386A31"/>
    <w:rsid w:val="58734044"/>
    <w:rsid w:val="594D609A"/>
    <w:rsid w:val="595C1401"/>
    <w:rsid w:val="59852594"/>
    <w:rsid w:val="59970394"/>
    <w:rsid w:val="59AF6015"/>
    <w:rsid w:val="5A432AA7"/>
    <w:rsid w:val="5B0914AE"/>
    <w:rsid w:val="5B610856"/>
    <w:rsid w:val="5B7778BF"/>
    <w:rsid w:val="5C390300"/>
    <w:rsid w:val="5C7E114B"/>
    <w:rsid w:val="5C8A7B51"/>
    <w:rsid w:val="5CA74DE8"/>
    <w:rsid w:val="5CEF566F"/>
    <w:rsid w:val="5DCB72CF"/>
    <w:rsid w:val="5F2174E6"/>
    <w:rsid w:val="5F8D2A58"/>
    <w:rsid w:val="608C3B7D"/>
    <w:rsid w:val="60BC5B3E"/>
    <w:rsid w:val="629572AB"/>
    <w:rsid w:val="62B01DCC"/>
    <w:rsid w:val="62D43FC0"/>
    <w:rsid w:val="638D0299"/>
    <w:rsid w:val="644F5326"/>
    <w:rsid w:val="64C56462"/>
    <w:rsid w:val="65153946"/>
    <w:rsid w:val="653541F0"/>
    <w:rsid w:val="65996D59"/>
    <w:rsid w:val="65F0369B"/>
    <w:rsid w:val="66237269"/>
    <w:rsid w:val="6653333C"/>
    <w:rsid w:val="66AC1326"/>
    <w:rsid w:val="67187EC0"/>
    <w:rsid w:val="67987CD6"/>
    <w:rsid w:val="679E7231"/>
    <w:rsid w:val="67A62C14"/>
    <w:rsid w:val="67FA0098"/>
    <w:rsid w:val="685F12C5"/>
    <w:rsid w:val="68B8650A"/>
    <w:rsid w:val="69F175D4"/>
    <w:rsid w:val="6B0038A9"/>
    <w:rsid w:val="6B1C7A8B"/>
    <w:rsid w:val="6B9C4185"/>
    <w:rsid w:val="6BBD6911"/>
    <w:rsid w:val="6BC4414D"/>
    <w:rsid w:val="6BDC5627"/>
    <w:rsid w:val="6C9C4E4E"/>
    <w:rsid w:val="6D24719C"/>
    <w:rsid w:val="6D4E2AF4"/>
    <w:rsid w:val="6D5764A9"/>
    <w:rsid w:val="6EAF4DDB"/>
    <w:rsid w:val="6EC55AC5"/>
    <w:rsid w:val="6EE23DE4"/>
    <w:rsid w:val="71142BD6"/>
    <w:rsid w:val="713C20DF"/>
    <w:rsid w:val="717F372F"/>
    <w:rsid w:val="71E1254D"/>
    <w:rsid w:val="728F7FBF"/>
    <w:rsid w:val="737F50AE"/>
    <w:rsid w:val="74516F99"/>
    <w:rsid w:val="755277DB"/>
    <w:rsid w:val="75AB7C7A"/>
    <w:rsid w:val="761E7980"/>
    <w:rsid w:val="766A05F5"/>
    <w:rsid w:val="76B73773"/>
    <w:rsid w:val="76D7096D"/>
    <w:rsid w:val="76FC49B1"/>
    <w:rsid w:val="77AE1948"/>
    <w:rsid w:val="782D29C1"/>
    <w:rsid w:val="787B54AA"/>
    <w:rsid w:val="788D1F00"/>
    <w:rsid w:val="7907563A"/>
    <w:rsid w:val="7931448E"/>
    <w:rsid w:val="79517074"/>
    <w:rsid w:val="7AFD7AF6"/>
    <w:rsid w:val="7B270493"/>
    <w:rsid w:val="7BA21F63"/>
    <w:rsid w:val="7C082FD2"/>
    <w:rsid w:val="7C560E61"/>
    <w:rsid w:val="7C743365"/>
    <w:rsid w:val="7CE33BB9"/>
    <w:rsid w:val="7D2834FE"/>
    <w:rsid w:val="7D4A4C81"/>
    <w:rsid w:val="7D9812CB"/>
    <w:rsid w:val="7F3452AA"/>
    <w:rsid w:val="7F712A2A"/>
    <w:rsid w:val="7F8C0397"/>
    <w:rsid w:val="DEFC9246"/>
    <w:rsid w:val="F7E70A09"/>
    <w:rsid w:val="FE8BF16A"/>
    <w:rsid w:val="FFFB6E4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numPr>
        <w:ilvl w:val="0"/>
        <w:numId w:val="1"/>
      </w:numPr>
      <w:autoSpaceDE w:val="0"/>
      <w:autoSpaceDN w:val="0"/>
      <w:adjustRightInd w:val="0"/>
      <w:snapToGrid w:val="0"/>
      <w:spacing w:beforeLines="100" w:afterLines="100" w:line="360" w:lineRule="auto"/>
      <w:outlineLvl w:val="0"/>
    </w:pPr>
    <w:rPr>
      <w:rFonts w:ascii="Times New Roman" w:hAnsi="Times New Roman" w:eastAsia="黑体" w:cs="宋体"/>
      <w:b/>
      <w:snapToGrid w:val="0"/>
      <w:color w:val="000000"/>
      <w:sz w:val="36"/>
      <w:szCs w:val="36"/>
    </w:rPr>
  </w:style>
  <w:style w:type="paragraph" w:styleId="3">
    <w:name w:val="heading 2"/>
    <w:basedOn w:val="1"/>
    <w:next w:val="1"/>
    <w:link w:val="28"/>
    <w:qFormat/>
    <w:uiPriority w:val="9"/>
    <w:pPr>
      <w:keepNext/>
      <w:keepLines/>
      <w:numPr>
        <w:ilvl w:val="1"/>
        <w:numId w:val="1"/>
      </w:numPr>
      <w:autoSpaceDE w:val="0"/>
      <w:autoSpaceDN w:val="0"/>
      <w:adjustRightInd w:val="0"/>
      <w:snapToGrid w:val="0"/>
      <w:spacing w:beforeLines="50" w:afterLines="50" w:line="360" w:lineRule="auto"/>
      <w:outlineLvl w:val="1"/>
    </w:pPr>
    <w:rPr>
      <w:rFonts w:ascii="Times" w:hAnsi="Times" w:eastAsia="黑体" w:cs="宋体"/>
      <w:b/>
      <w:snapToGrid w:val="0"/>
      <w:color w:val="000000"/>
      <w:sz w:val="32"/>
      <w:szCs w:val="32"/>
    </w:rPr>
  </w:style>
  <w:style w:type="paragraph" w:styleId="4">
    <w:name w:val="heading 3"/>
    <w:next w:val="1"/>
    <w:link w:val="29"/>
    <w:qFormat/>
    <w:uiPriority w:val="0"/>
    <w:pPr>
      <w:keepNext/>
      <w:keepLines/>
      <w:numPr>
        <w:ilvl w:val="2"/>
        <w:numId w:val="1"/>
      </w:numPr>
      <w:adjustRightInd w:val="0"/>
      <w:snapToGrid w:val="0"/>
      <w:spacing w:beforeLines="50" w:line="360" w:lineRule="auto"/>
      <w:outlineLvl w:val="2"/>
    </w:pPr>
    <w:rPr>
      <w:rFonts w:ascii="Times New Roman" w:hAnsi="Times New Roman" w:eastAsia="黑体" w:cs="宋体"/>
      <w:b/>
      <w:snapToGrid w:val="0"/>
      <w:sz w:val="28"/>
      <w:szCs w:val="28"/>
      <w:lang w:val="en-US" w:eastAsia="zh-CN" w:bidi="ar-SA"/>
    </w:rPr>
  </w:style>
  <w:style w:type="paragraph" w:styleId="5">
    <w:name w:val="heading 4"/>
    <w:next w:val="1"/>
    <w:link w:val="30"/>
    <w:qFormat/>
    <w:uiPriority w:val="0"/>
    <w:pPr>
      <w:keepNext/>
      <w:keepLines/>
      <w:numPr>
        <w:ilvl w:val="3"/>
        <w:numId w:val="1"/>
      </w:numPr>
      <w:autoSpaceDE w:val="0"/>
      <w:autoSpaceDN w:val="0"/>
      <w:adjustRightInd w:val="0"/>
      <w:snapToGrid w:val="0"/>
      <w:spacing w:before="120" w:beforeLines="50" w:line="360" w:lineRule="auto"/>
      <w:ind w:right="100" w:rightChars="100"/>
      <w:outlineLvl w:val="3"/>
    </w:pPr>
    <w:rPr>
      <w:rFonts w:ascii="Times New Roman" w:hAnsi="Times New Roman" w:eastAsia="宋体" w:cs="宋体"/>
      <w:b/>
      <w:snapToGrid w:val="0"/>
      <w:color w:val="000000"/>
      <w:sz w:val="24"/>
      <w:szCs w:val="24"/>
      <w:lang w:val="en-US" w:eastAsia="zh-CN" w:bidi="ar-SA"/>
    </w:rPr>
  </w:style>
  <w:style w:type="paragraph" w:styleId="6">
    <w:name w:val="heading 5"/>
    <w:next w:val="1"/>
    <w:link w:val="31"/>
    <w:qFormat/>
    <w:uiPriority w:val="0"/>
    <w:pPr>
      <w:keepNext/>
      <w:keepLines/>
      <w:numPr>
        <w:ilvl w:val="4"/>
        <w:numId w:val="1"/>
      </w:numPr>
      <w:adjustRightInd w:val="0"/>
      <w:snapToGrid w:val="0"/>
      <w:spacing w:before="120" w:beforeLines="50" w:line="360" w:lineRule="auto"/>
      <w:ind w:right="100" w:rightChars="100"/>
      <w:outlineLvl w:val="4"/>
    </w:pPr>
    <w:rPr>
      <w:rFonts w:ascii="Times New Roman" w:hAnsi="Times New Roman" w:eastAsia="宋体" w:cs="宋体"/>
      <w:b/>
      <w:snapToGrid w:val="0"/>
      <w:sz w:val="24"/>
      <w:szCs w:val="24"/>
      <w:lang w:val="en-US" w:eastAsia="zh-CN" w:bidi="ar-SA"/>
    </w:rPr>
  </w:style>
  <w:style w:type="paragraph" w:styleId="7">
    <w:name w:val="heading 6"/>
    <w:next w:val="1"/>
    <w:link w:val="32"/>
    <w:qFormat/>
    <w:uiPriority w:val="0"/>
    <w:pPr>
      <w:keepNext/>
      <w:keepLines/>
      <w:numPr>
        <w:ilvl w:val="5"/>
        <w:numId w:val="1"/>
      </w:numPr>
      <w:adjustRightInd w:val="0"/>
      <w:snapToGrid w:val="0"/>
      <w:spacing w:beforeLines="50" w:line="360" w:lineRule="auto"/>
      <w:ind w:right="100" w:rightChars="100"/>
      <w:outlineLvl w:val="5"/>
    </w:pPr>
    <w:rPr>
      <w:rFonts w:ascii="Times New Roman" w:hAnsi="Times New Roman" w:eastAsia="宋体" w:cs="宋体"/>
      <w:b/>
      <w:snapToGrid w:val="0"/>
      <w:sz w:val="24"/>
      <w:szCs w:val="24"/>
      <w:lang w:val="en-US" w:eastAsia="zh-CN" w:bidi="ar-SA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Date"/>
    <w:basedOn w:val="1"/>
    <w:next w:val="1"/>
    <w:link w:val="33"/>
    <w:semiHidden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tabs>
        <w:tab w:val="right" w:leader="dot" w:pos="8296"/>
      </w:tabs>
    </w:pPr>
    <w:rPr>
      <w:rFonts w:ascii="仿宋" w:hAnsi="仿宋" w:eastAsia="仿宋"/>
      <w:b/>
      <w:sz w:val="28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6">
    <w:name w:val="Title"/>
    <w:basedOn w:val="1"/>
    <w:next w:val="1"/>
    <w:link w:val="3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b/>
      <w:bCs/>
    </w:rPr>
  </w:style>
  <w:style w:type="character" w:styleId="21">
    <w:name w:val="FollowedHyperlink"/>
    <w:basedOn w:val="19"/>
    <w:semiHidden/>
    <w:unhideWhenUsed/>
    <w:qFormat/>
    <w:uiPriority w:val="99"/>
    <w:rPr>
      <w:rFonts w:ascii="微软雅黑" w:hAnsi="微软雅黑" w:eastAsia="微软雅黑" w:cs="微软雅黑"/>
      <w:color w:val="02396F"/>
      <w:u w:val="single"/>
    </w:rPr>
  </w:style>
  <w:style w:type="character" w:styleId="22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页眉 字符"/>
    <w:basedOn w:val="19"/>
    <w:link w:val="12"/>
    <w:qFormat/>
    <w:uiPriority w:val="99"/>
    <w:rPr>
      <w:sz w:val="18"/>
      <w:szCs w:val="18"/>
    </w:rPr>
  </w:style>
  <w:style w:type="character" w:customStyle="1" w:styleId="24">
    <w:name w:val="页脚 字符"/>
    <w:basedOn w:val="19"/>
    <w:link w:val="11"/>
    <w:qFormat/>
    <w:uiPriority w:val="0"/>
    <w:rPr>
      <w:sz w:val="18"/>
      <w:szCs w:val="18"/>
    </w:rPr>
  </w:style>
  <w:style w:type="paragraph" w:styleId="25">
    <w:name w:val="List Paragraph"/>
    <w:basedOn w:val="1"/>
    <w:link w:val="41"/>
    <w:qFormat/>
    <w:uiPriority w:val="34"/>
    <w:pPr>
      <w:ind w:left="210" w:leftChars="100" w:right="100" w:rightChars="100" w:firstLine="420" w:firstLineChars="200"/>
    </w:pPr>
  </w:style>
  <w:style w:type="character" w:customStyle="1" w:styleId="26">
    <w:name w:val="批注框文本 字符"/>
    <w:basedOn w:val="19"/>
    <w:link w:val="10"/>
    <w:semiHidden/>
    <w:qFormat/>
    <w:uiPriority w:val="99"/>
    <w:rPr>
      <w:sz w:val="18"/>
      <w:szCs w:val="18"/>
    </w:rPr>
  </w:style>
  <w:style w:type="character" w:customStyle="1" w:styleId="27">
    <w:name w:val="标题 1 字符"/>
    <w:basedOn w:val="19"/>
    <w:link w:val="2"/>
    <w:qFormat/>
    <w:uiPriority w:val="9"/>
    <w:rPr>
      <w:rFonts w:ascii="Times New Roman" w:hAnsi="Times New Roman" w:eastAsia="黑体" w:cs="宋体"/>
      <w:b/>
      <w:snapToGrid w:val="0"/>
      <w:color w:val="000000"/>
      <w:kern w:val="0"/>
      <w:sz w:val="36"/>
      <w:szCs w:val="36"/>
    </w:rPr>
  </w:style>
  <w:style w:type="character" w:customStyle="1" w:styleId="28">
    <w:name w:val="标题 2 字符"/>
    <w:basedOn w:val="19"/>
    <w:link w:val="3"/>
    <w:qFormat/>
    <w:uiPriority w:val="9"/>
    <w:rPr>
      <w:rFonts w:ascii="Times" w:hAnsi="Times" w:eastAsia="黑体" w:cs="宋体"/>
      <w:b/>
      <w:snapToGrid w:val="0"/>
      <w:color w:val="000000"/>
      <w:kern w:val="0"/>
      <w:sz w:val="32"/>
      <w:szCs w:val="32"/>
    </w:rPr>
  </w:style>
  <w:style w:type="character" w:customStyle="1" w:styleId="29">
    <w:name w:val="标题 3 字符"/>
    <w:basedOn w:val="19"/>
    <w:link w:val="4"/>
    <w:qFormat/>
    <w:uiPriority w:val="0"/>
    <w:rPr>
      <w:rFonts w:ascii="Times New Roman" w:hAnsi="Times New Roman" w:eastAsia="黑体" w:cs="宋体"/>
      <w:b/>
      <w:snapToGrid w:val="0"/>
      <w:kern w:val="0"/>
      <w:sz w:val="28"/>
      <w:szCs w:val="28"/>
    </w:rPr>
  </w:style>
  <w:style w:type="character" w:customStyle="1" w:styleId="30">
    <w:name w:val="标题 4 字符"/>
    <w:basedOn w:val="19"/>
    <w:link w:val="5"/>
    <w:qFormat/>
    <w:uiPriority w:val="0"/>
    <w:rPr>
      <w:rFonts w:ascii="Times New Roman" w:hAnsi="Times New Roman" w:eastAsia="宋体" w:cs="宋体"/>
      <w:b/>
      <w:snapToGrid w:val="0"/>
      <w:color w:val="000000"/>
      <w:kern w:val="0"/>
      <w:sz w:val="24"/>
      <w:szCs w:val="24"/>
    </w:rPr>
  </w:style>
  <w:style w:type="character" w:customStyle="1" w:styleId="31">
    <w:name w:val="标题 5 字符"/>
    <w:basedOn w:val="19"/>
    <w:link w:val="6"/>
    <w:qFormat/>
    <w:uiPriority w:val="0"/>
    <w:rPr>
      <w:rFonts w:ascii="Times New Roman" w:hAnsi="Times New Roman" w:eastAsia="宋体" w:cs="宋体"/>
      <w:b/>
      <w:snapToGrid w:val="0"/>
      <w:kern w:val="0"/>
      <w:sz w:val="24"/>
      <w:szCs w:val="24"/>
    </w:rPr>
  </w:style>
  <w:style w:type="character" w:customStyle="1" w:styleId="32">
    <w:name w:val="标题 6 字符"/>
    <w:basedOn w:val="19"/>
    <w:link w:val="7"/>
    <w:qFormat/>
    <w:uiPriority w:val="0"/>
    <w:rPr>
      <w:rFonts w:ascii="Times New Roman" w:hAnsi="Times New Roman" w:eastAsia="宋体" w:cs="宋体"/>
      <w:b/>
      <w:snapToGrid w:val="0"/>
      <w:kern w:val="0"/>
      <w:sz w:val="24"/>
      <w:szCs w:val="24"/>
    </w:rPr>
  </w:style>
  <w:style w:type="character" w:customStyle="1" w:styleId="33">
    <w:name w:val="日期 字符"/>
    <w:basedOn w:val="19"/>
    <w:link w:val="9"/>
    <w:semiHidden/>
    <w:qFormat/>
    <w:uiPriority w:val="99"/>
  </w:style>
  <w:style w:type="paragraph" w:styleId="34">
    <w:name w:val="Quote"/>
    <w:basedOn w:val="1"/>
    <w:next w:val="1"/>
    <w:link w:val="35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35">
    <w:name w:val="引用 字符"/>
    <w:basedOn w:val="19"/>
    <w:link w:val="34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36">
    <w:name w:val="标题 字符"/>
    <w:basedOn w:val="19"/>
    <w:link w:val="16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7">
    <w:name w:val="left"/>
    <w:basedOn w:val="19"/>
    <w:qFormat/>
    <w:uiPriority w:val="0"/>
  </w:style>
  <w:style w:type="character" w:customStyle="1" w:styleId="38">
    <w:name w:val="right"/>
    <w:basedOn w:val="19"/>
    <w:qFormat/>
    <w:uiPriority w:val="0"/>
  </w:style>
  <w:style w:type="paragraph" w:customStyle="1" w:styleId="39">
    <w:name w:val="列出段落2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40">
    <w:name w:val="正文（首行缩进）"/>
    <w:basedOn w:val="1"/>
    <w:unhideWhenUsed/>
    <w:qFormat/>
    <w:uiPriority w:val="0"/>
    <w:pPr>
      <w:spacing w:line="360" w:lineRule="auto"/>
      <w:ind w:firstLine="480" w:firstLineChars="200"/>
    </w:pPr>
    <w:rPr>
      <w:rFonts w:hint="eastAsia" w:ascii="宋体"/>
      <w:sz w:val="24"/>
    </w:rPr>
  </w:style>
  <w:style w:type="character" w:customStyle="1" w:styleId="41">
    <w:name w:val="列表段落 字符"/>
    <w:basedOn w:val="19"/>
    <w:link w:val="25"/>
    <w:qFormat/>
    <w:uiPriority w:val="34"/>
  </w:style>
  <w:style w:type="paragraph" w:customStyle="1" w:styleId="42">
    <w:name w:val="文中醒目标题"/>
    <w:basedOn w:val="1"/>
    <w:next w:val="40"/>
    <w:unhideWhenUsed/>
    <w:qFormat/>
    <w:uiPriority w:val="0"/>
    <w:pPr>
      <w:spacing w:line="360" w:lineRule="auto"/>
      <w:ind w:firstLine="200" w:firstLineChars="200"/>
    </w:pPr>
    <w:rPr>
      <w:rFonts w:hint="eastAsia" w:ascii="宋体"/>
      <w:b/>
      <w:sz w:val="28"/>
    </w:rPr>
  </w:style>
  <w:style w:type="paragraph" w:customStyle="1" w:styleId="43">
    <w:name w:val="图"/>
    <w:basedOn w:val="1"/>
    <w:next w:val="40"/>
    <w:unhideWhenUsed/>
    <w:qFormat/>
    <w:uiPriority w:val="0"/>
    <w:pPr>
      <w:jc w:val="center"/>
    </w:pPr>
    <w:rPr>
      <w:rFonts w:hint="eastAsia"/>
      <w:sz w:val="24"/>
    </w:rPr>
  </w:style>
  <w:style w:type="paragraph" w:styleId="4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46">
    <w:name w:val="displayarti"/>
    <w:basedOn w:val="19"/>
    <w:qFormat/>
    <w:uiPriority w:val="0"/>
    <w:rPr>
      <w:color w:val="FFFFFF"/>
      <w:shd w:val="clear" w:color="auto" w:fill="A00000"/>
    </w:rPr>
  </w:style>
  <w:style w:type="character" w:customStyle="1" w:styleId="47">
    <w:name w:val="redfilefwwh"/>
    <w:basedOn w:val="19"/>
    <w:qFormat/>
    <w:uiPriority w:val="0"/>
    <w:rPr>
      <w:color w:val="BA2636"/>
      <w:sz w:val="12"/>
      <w:szCs w:val="12"/>
    </w:rPr>
  </w:style>
  <w:style w:type="character" w:customStyle="1" w:styleId="48">
    <w:name w:val="redfilenumber"/>
    <w:basedOn w:val="19"/>
    <w:qFormat/>
    <w:uiPriority w:val="0"/>
    <w:rPr>
      <w:color w:val="BA2636"/>
      <w:sz w:val="12"/>
      <w:szCs w:val="12"/>
    </w:rPr>
  </w:style>
  <w:style w:type="character" w:customStyle="1" w:styleId="49">
    <w:name w:val="gjfg"/>
    <w:basedOn w:val="19"/>
    <w:qFormat/>
    <w:uiPriority w:val="0"/>
  </w:style>
  <w:style w:type="character" w:customStyle="1" w:styleId="50">
    <w:name w:val="cfdate"/>
    <w:basedOn w:val="19"/>
    <w:qFormat/>
    <w:uiPriority w:val="0"/>
    <w:rPr>
      <w:color w:val="333333"/>
      <w:sz w:val="12"/>
      <w:szCs w:val="12"/>
    </w:rPr>
  </w:style>
  <w:style w:type="character" w:customStyle="1" w:styleId="51">
    <w:name w:val="qxdate"/>
    <w:basedOn w:val="19"/>
    <w:qFormat/>
    <w:uiPriority w:val="0"/>
    <w:rPr>
      <w:color w:val="333333"/>
      <w:sz w:val="12"/>
      <w:szCs w:val="12"/>
    </w:rPr>
  </w:style>
  <w:style w:type="paragraph" w:customStyle="1" w:styleId="52">
    <w:name w:val="正文格式"/>
    <w:basedOn w:val="1"/>
    <w:qFormat/>
    <w:uiPriority w:val="0"/>
    <w:pPr>
      <w:spacing w:beforeLines="50" w:afterLines="50" w:line="360" w:lineRule="auto"/>
    </w:pPr>
    <w:rPr>
      <w:rFonts w:ascii="Times New Roman" w:hAnsi="Times New Roman"/>
      <w:kern w:val="0"/>
      <w:sz w:val="20"/>
      <w:szCs w:val="24"/>
    </w:rPr>
  </w:style>
  <w:style w:type="paragraph" w:customStyle="1" w:styleId="53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54">
    <w:name w:val="第2级目录"/>
    <w:basedOn w:val="3"/>
    <w:qFormat/>
    <w:uiPriority w:val="0"/>
    <w:pPr>
      <w:numPr>
        <w:numId w:val="2"/>
      </w:numPr>
      <w:spacing w:after="156"/>
      <w:jc w:val="left"/>
    </w:pPr>
    <w:rPr>
      <w:rFonts w:ascii="仿宋" w:hAnsi="仿宋" w:eastAsia="仿宋"/>
    </w:rPr>
  </w:style>
  <w:style w:type="paragraph" w:customStyle="1" w:styleId="55">
    <w:name w:val="正文0"/>
    <w:basedOn w:val="1"/>
    <w:qFormat/>
    <w:uiPriority w:val="0"/>
    <w:pPr>
      <w:spacing w:line="360" w:lineRule="auto"/>
      <w:ind w:firstLine="504" w:firstLineChars="200"/>
      <w:jc w:val="left"/>
    </w:pPr>
    <w:rPr>
      <w:rFonts w:ascii="宋体" w:hAnsi="宋体" w:cs="宋体"/>
      <w:spacing w:val="6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579DCF-63CF-45B5-A6D6-49EFC665CB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http:/sdwm.org</Company>
  <Pages>24</Pages>
  <Words>2591</Words>
  <Characters>2838</Characters>
  <Lines>34</Lines>
  <Paragraphs>9</Paragraphs>
  <TotalTime>24</TotalTime>
  <ScaleCrop>false</ScaleCrop>
  <LinksUpToDate>false</LinksUpToDate>
  <CharactersWithSpaces>2870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2020-04-26T15:40:00Z</dcterms:created>
  <dc:creator>SDWM</dc:creator>
  <cp:lastModifiedBy>汤汤</cp:lastModifiedBy>
  <cp:lastPrinted>2020-04-26T23:54:00Z</cp:lastPrinted>
  <dcterms:modified xsi:type="dcterms:W3CDTF">2023-06-15T08:56:46Z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312B8400F8F24C10B6311E41C40D6E5A</vt:lpwstr>
  </property>
  <property fmtid="{D5CDD505-2E9C-101B-9397-08002B2CF9AE}" pid="4" name="commondata">
    <vt:lpwstr>eyJoZGlkIjoiMTg5Y2ZkNTlkNjE5YTI4NTUyOTBiYWJmNGZiYTAxYWIifQ==</vt:lpwstr>
  </property>
</Properties>
</file>