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84D59">
      <w:pPr>
        <w:spacing w:line="594" w:lineRule="exact"/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2"/>
          <w:sz w:val="32"/>
          <w:szCs w:val="32"/>
        </w:rPr>
        <w:t>附件1：</w:t>
      </w:r>
    </w:p>
    <w:p w14:paraId="2F19AAF3">
      <w:pPr>
        <w:pStyle w:val="4"/>
        <w:spacing w:line="594" w:lineRule="exact"/>
        <w:ind w:left="0"/>
        <w:jc w:val="center"/>
        <w:rPr>
          <w:rFonts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响应单位须知</w:t>
      </w:r>
      <w:bookmarkStart w:id="0" w:name="_Toc430530433"/>
      <w:bookmarkStart w:id="1" w:name="_Toc287607745"/>
      <w:bookmarkStart w:id="2" w:name="_Toc287620684"/>
      <w:bookmarkStart w:id="3" w:name="_Toc277082551"/>
      <w:bookmarkStart w:id="4" w:name="_Toc224103316"/>
    </w:p>
    <w:p w14:paraId="52D5A79E"/>
    <w:bookmarkEnd w:id="0"/>
    <w:bookmarkEnd w:id="1"/>
    <w:bookmarkEnd w:id="2"/>
    <w:bookmarkEnd w:id="3"/>
    <w:bookmarkEnd w:id="4"/>
    <w:tbl>
      <w:tblPr>
        <w:tblStyle w:val="9"/>
        <w:tblW w:w="966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2245"/>
        <w:gridCol w:w="6647"/>
      </w:tblGrid>
      <w:tr w14:paraId="30BF8B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769" w:type="dxa"/>
            <w:shd w:val="clear" w:color="auto" w:fill="F3F3F3"/>
          </w:tcPr>
          <w:p w14:paraId="11AAC5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248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45" w:type="dxa"/>
            <w:shd w:val="clear" w:color="auto" w:fill="F3F3F3"/>
          </w:tcPr>
          <w:p w14:paraId="58D86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条款名称</w:t>
            </w:r>
          </w:p>
        </w:tc>
        <w:tc>
          <w:tcPr>
            <w:tcW w:w="6647" w:type="dxa"/>
            <w:shd w:val="clear" w:color="auto" w:fill="F3F3F3"/>
          </w:tcPr>
          <w:p w14:paraId="182E1D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420" w:lineRule="exact"/>
              <w:ind w:firstLine="3016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编列内容</w:t>
            </w:r>
          </w:p>
        </w:tc>
      </w:tr>
      <w:tr w14:paraId="291A8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130BAA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45" w:type="dxa"/>
            <w:vAlign w:val="center"/>
          </w:tcPr>
          <w:p w14:paraId="7DE768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分包</w:t>
            </w:r>
          </w:p>
        </w:tc>
        <w:tc>
          <w:tcPr>
            <w:tcW w:w="6647" w:type="dxa"/>
            <w:vAlign w:val="center"/>
          </w:tcPr>
          <w:p w14:paraId="5B413E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不允许分包、转包</w:t>
            </w:r>
          </w:p>
        </w:tc>
      </w:tr>
      <w:tr w14:paraId="0DCA9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38F7E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245" w:type="dxa"/>
            <w:vAlign w:val="center"/>
          </w:tcPr>
          <w:p w14:paraId="1A712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响应单位对比选文件提出疑问的截止时间</w:t>
            </w:r>
          </w:p>
        </w:tc>
        <w:tc>
          <w:tcPr>
            <w:tcW w:w="6647" w:type="dxa"/>
            <w:vAlign w:val="center"/>
          </w:tcPr>
          <w:p w14:paraId="5F85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响应单位应仔细阅读比选文件及附件的所有内容，如有文字表述不清、存在歧义、前后不一致等问题应在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分前（北京时间），将书面提问送达比选人。</w:t>
            </w:r>
          </w:p>
        </w:tc>
      </w:tr>
      <w:tr w14:paraId="0F105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W w:w="769" w:type="dxa"/>
            <w:vAlign w:val="center"/>
          </w:tcPr>
          <w:p w14:paraId="694B50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245" w:type="dxa"/>
            <w:vAlign w:val="center"/>
          </w:tcPr>
          <w:p w14:paraId="304BC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比选人对比选文件答疑的截止时间</w:t>
            </w:r>
          </w:p>
        </w:tc>
        <w:tc>
          <w:tcPr>
            <w:tcW w:w="6647" w:type="dxa"/>
            <w:vAlign w:val="center"/>
          </w:tcPr>
          <w:p w14:paraId="108C5A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17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分前（北京时间），书面通知所有响应单位。</w:t>
            </w:r>
          </w:p>
        </w:tc>
      </w:tr>
      <w:tr w14:paraId="738E5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0DE2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245" w:type="dxa"/>
            <w:vAlign w:val="center"/>
          </w:tcPr>
          <w:p w14:paraId="5A631E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比选人对比选文件进行补遗的时间</w:t>
            </w:r>
          </w:p>
        </w:tc>
        <w:tc>
          <w:tcPr>
            <w:tcW w:w="6647" w:type="dxa"/>
            <w:vAlign w:val="center"/>
          </w:tcPr>
          <w:p w14:paraId="3E5607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修改内容可能影响响应文件编制的，须在响应截止时间3日前发布，发布时间至响应截止时间不足3日的，须相应延后响应截止时间。</w:t>
            </w:r>
          </w:p>
        </w:tc>
      </w:tr>
      <w:tr w14:paraId="35029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769" w:type="dxa"/>
            <w:vAlign w:val="center"/>
          </w:tcPr>
          <w:p w14:paraId="6D8A57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245" w:type="dxa"/>
            <w:vAlign w:val="center"/>
          </w:tcPr>
          <w:p w14:paraId="79CA3F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43C22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434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199BD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23D8BA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245" w:type="dxa"/>
            <w:vAlign w:val="center"/>
          </w:tcPr>
          <w:p w14:paraId="2440C6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</w:p>
        </w:tc>
        <w:tc>
          <w:tcPr>
            <w:tcW w:w="6647" w:type="dxa"/>
            <w:vAlign w:val="top"/>
          </w:tcPr>
          <w:p w14:paraId="5D667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</w:t>
            </w:r>
          </w:p>
          <w:p w14:paraId="2ED03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非“合作商资源库”内的供应商若参与本次比选活动，须交纳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，中标单位承诺加入江北建工“合作商资源库”，将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万元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转成入库保证金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，不足部分在入库时补缴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；未中标单位投标结束后无息退还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；若中标后不履行承诺，将没收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投标保证金；若达不到入库条件，将无息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/>
              </w:rPr>
              <w:t>退还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投标保证金，取消中标资格。</w:t>
            </w:r>
          </w:p>
          <w:p w14:paraId="11662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的金额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人民币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0,000.00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元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（大写：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>肆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u w:val="single"/>
              </w:rPr>
              <w:t>万元整）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本条只适用于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社会供应商）</w:t>
            </w:r>
          </w:p>
          <w:p w14:paraId="3BB13C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提交形式：须通过银行汇款或转账形式提交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。（不接受现金、银行汇票、银行保函或其它票证）</w:t>
            </w:r>
          </w:p>
          <w:p w14:paraId="776E4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到账截止时间：同竞价时间一致。</w:t>
            </w:r>
          </w:p>
          <w:p w14:paraId="7E5325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汇出账户必须为竞价人的对公账户。</w:t>
            </w:r>
          </w:p>
          <w:p w14:paraId="450DB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投标保证金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银行账户信息</w:t>
            </w:r>
          </w:p>
          <w:p w14:paraId="495581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账户：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/>
              </w:rPr>
              <w:t>重庆市江北区城市建设工程技术有限公司</w:t>
            </w:r>
          </w:p>
          <w:p w14:paraId="3E71D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开户行：农商行江北支行建西分理处</w:t>
            </w:r>
          </w:p>
          <w:p w14:paraId="5C0FCC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账号：0201050120010004173</w:t>
            </w:r>
          </w:p>
          <w:p w14:paraId="3FEA86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8" w:firstLineChars="0"/>
              <w:textAlignment w:val="baseline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6.汇款或转账凭证上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须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注明信息简称：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eastAsia="zh-CN"/>
              </w:rPr>
              <w:t>残余物资竞价</w:t>
            </w:r>
          </w:p>
        </w:tc>
      </w:tr>
      <w:tr w14:paraId="623F6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69" w:type="dxa"/>
            <w:vAlign w:val="center"/>
          </w:tcPr>
          <w:p w14:paraId="15B43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245" w:type="dxa"/>
            <w:vAlign w:val="center"/>
          </w:tcPr>
          <w:p w14:paraId="5F20E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综合保证金</w:t>
            </w:r>
          </w:p>
        </w:tc>
        <w:tc>
          <w:tcPr>
            <w:tcW w:w="6647" w:type="dxa"/>
            <w:vAlign w:val="center"/>
          </w:tcPr>
          <w:p w14:paraId="0E3E56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420" w:lineRule="exact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暂定合同金额的5%，具体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详见合同</w:t>
            </w:r>
          </w:p>
        </w:tc>
      </w:tr>
      <w:tr w14:paraId="6A77B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69" w:type="dxa"/>
            <w:vAlign w:val="center"/>
          </w:tcPr>
          <w:p w14:paraId="25684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5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245" w:type="dxa"/>
            <w:vAlign w:val="center"/>
          </w:tcPr>
          <w:p w14:paraId="4F6623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ind w:firstLine="593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6647" w:type="dxa"/>
          </w:tcPr>
          <w:p w14:paraId="63EDD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竞价时间起</w:t>
            </w:r>
            <w:r>
              <w:rPr>
                <w:rFonts w:hint="eastAsia" w:ascii="宋体" w:hAnsi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90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（从提交响应文件截止日起计算）</w:t>
            </w:r>
          </w:p>
        </w:tc>
      </w:tr>
      <w:tr w14:paraId="68F481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69" w:type="dxa"/>
            <w:vAlign w:val="center"/>
          </w:tcPr>
          <w:p w14:paraId="0977EA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245" w:type="dxa"/>
            <w:vAlign w:val="center"/>
          </w:tcPr>
          <w:p w14:paraId="7D1C4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构成响应文件的其他材料</w:t>
            </w:r>
          </w:p>
        </w:tc>
        <w:tc>
          <w:tcPr>
            <w:tcW w:w="6647" w:type="dxa"/>
            <w:vAlign w:val="center"/>
          </w:tcPr>
          <w:p w14:paraId="0AD390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420" w:lineRule="exac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响应单位的书面澄清、说明和补正（但不得改变响应文件的实质性内容）</w:t>
            </w:r>
          </w:p>
        </w:tc>
      </w:tr>
      <w:tr w14:paraId="38214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9" w:type="dxa"/>
            <w:vAlign w:val="center"/>
          </w:tcPr>
          <w:p w14:paraId="051EF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245" w:type="dxa"/>
            <w:vAlign w:val="center"/>
          </w:tcPr>
          <w:p w14:paraId="578535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236" w:firstLineChars="100"/>
              <w:jc w:val="both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竞价人代表要求</w:t>
            </w:r>
          </w:p>
        </w:tc>
        <w:tc>
          <w:tcPr>
            <w:tcW w:w="6647" w:type="dxa"/>
          </w:tcPr>
          <w:p w14:paraId="4E1E16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420" w:lineRule="exact"/>
              <w:ind w:left="116" w:right="104" w:firstLine="1"/>
              <w:textAlignment w:val="baseline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竞价人代表应为法定代表人或法人授权代表；前述的法定代表人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或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法人授权代表必须为年满 18 周岁且具有完全民事行为能力的中国公民。</w:t>
            </w:r>
          </w:p>
        </w:tc>
      </w:tr>
      <w:tr w14:paraId="79F7D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8" w:hRule="atLeast"/>
        </w:trPr>
        <w:tc>
          <w:tcPr>
            <w:tcW w:w="769" w:type="dxa"/>
            <w:vAlign w:val="center"/>
          </w:tcPr>
          <w:p w14:paraId="26848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245" w:type="dxa"/>
            <w:vAlign w:val="center"/>
          </w:tcPr>
          <w:p w14:paraId="5C6763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响应报价</w:t>
            </w:r>
          </w:p>
        </w:tc>
        <w:tc>
          <w:tcPr>
            <w:tcW w:w="6647" w:type="dxa"/>
            <w:vAlign w:val="center"/>
          </w:tcPr>
          <w:p w14:paraId="3F82AD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left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响应单位须按照比选人发出的本项目报价清单格式进行报价，不得随意更改或添加内容；响应单位的报价不得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比选人设置的限价</w:t>
            </w:r>
          </w:p>
          <w:p w14:paraId="4F48A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ind w:firstLine="358"/>
              <w:jc w:val="both"/>
              <w:textAlignment w:val="baseline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</w:rPr>
              <w:t>如未按照上述要求填写报价，按无效响应处理。</w:t>
            </w:r>
          </w:p>
        </w:tc>
      </w:tr>
      <w:tr w14:paraId="60906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1" w:hRule="atLeast"/>
        </w:trPr>
        <w:tc>
          <w:tcPr>
            <w:tcW w:w="769" w:type="dxa"/>
            <w:vAlign w:val="center"/>
          </w:tcPr>
          <w:p w14:paraId="08CA0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245" w:type="dxa"/>
            <w:vAlign w:val="center"/>
          </w:tcPr>
          <w:p w14:paraId="72F2C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420" w:lineRule="exact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响应文件格式要求</w:t>
            </w:r>
          </w:p>
        </w:tc>
        <w:tc>
          <w:tcPr>
            <w:tcW w:w="6647" w:type="dxa"/>
            <w:vAlign w:val="center"/>
          </w:tcPr>
          <w:p w14:paraId="2DCC27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1. 响应文件应密封包装，以保证其响应文件信息在提交响应文件截止时间前不被透露。</w:t>
            </w:r>
          </w:p>
          <w:p w14:paraId="7F2F714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2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2.编制响应文件时不得对附件2“响应文件”的相应要素作实质性修改，细微偏差由评标小组提出，响应单位澄清修正后作为投标文件组成部分，拒不修正做否决处理。重大偏差影响评标的按无效报价文件处理。</w:t>
            </w:r>
          </w:p>
          <w:p w14:paraId="682C6B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8" w:line="380" w:lineRule="exact"/>
              <w:ind w:firstLine="474" w:firstLineChars="200"/>
              <w:jc w:val="left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响应文件须编制目录，编制页码（从目录开始编制），目录及页码编制不作为评标因素。</w:t>
            </w:r>
          </w:p>
        </w:tc>
      </w:tr>
      <w:tr w14:paraId="4E5C3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4F23D4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245" w:type="dxa"/>
            <w:vAlign w:val="center"/>
          </w:tcPr>
          <w:p w14:paraId="59C1246E">
            <w:pPr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签名盖章要求</w:t>
            </w:r>
          </w:p>
        </w:tc>
        <w:tc>
          <w:tcPr>
            <w:tcW w:w="6647" w:type="dxa"/>
            <w:vAlign w:val="top"/>
          </w:tcPr>
          <w:p w14:paraId="58E92A9B">
            <w:pPr>
              <w:adjustRightInd w:val="0"/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签字盖章须与附件2“响应文件”中的要求一致，以及构成响应文件的其他资料响应单位认为必要的也需签字盖章。</w:t>
            </w:r>
          </w:p>
          <w:p w14:paraId="7602AE10">
            <w:pPr>
              <w:adjustRightInd w:val="0"/>
              <w:snapToGrid w:val="0"/>
              <w:ind w:firstLine="480" w:firstLineChars="200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要求响应文件应尽量避免涂改、行间插字或删除。如果出现上述情况，改动之处应加盖单位公章并由响应单位的法定代表人签名确认。</w:t>
            </w:r>
          </w:p>
        </w:tc>
      </w:tr>
      <w:tr w14:paraId="059D7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6A10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245" w:type="dxa"/>
            <w:vAlign w:val="center"/>
          </w:tcPr>
          <w:p w14:paraId="7335DE7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pacing w:val="-6"/>
                <w:kern w:val="0"/>
                <w:sz w:val="24"/>
                <w:szCs w:val="24"/>
                <w:highlight w:val="none"/>
              </w:rPr>
              <w:t>响应文件的份数</w:t>
            </w:r>
          </w:p>
        </w:tc>
        <w:tc>
          <w:tcPr>
            <w:tcW w:w="6647" w:type="dxa"/>
            <w:vAlign w:val="center"/>
          </w:tcPr>
          <w:p w14:paraId="19499CF0">
            <w:pPr>
              <w:pStyle w:val="4"/>
              <w:ind w:left="0" w:leftChars="0" w:firstLine="480" w:firstLineChars="200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正本1份、副本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份。正本和副本的封面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右上角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上应清楚地标记“正本”或“副本”的字样。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副本应为正本的完整复印件，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当副本和正本不一致时，以正本为准。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响应文件的正本与副本应分别装订成册，同时应编制完整的页码、目录。</w:t>
            </w:r>
          </w:p>
        </w:tc>
      </w:tr>
      <w:tr w14:paraId="516F1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F50D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245" w:type="dxa"/>
            <w:vAlign w:val="center"/>
          </w:tcPr>
          <w:p w14:paraId="3060B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597"/>
              <w:textAlignment w:val="baseline"/>
              <w:rPr>
                <w:rFonts w:hint="default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  <w:lang w:val="en-US" w:eastAsia="zh-CN"/>
              </w:rPr>
              <w:t>增值税发票</w:t>
            </w:r>
          </w:p>
        </w:tc>
        <w:tc>
          <w:tcPr>
            <w:tcW w:w="6647" w:type="dxa"/>
            <w:vAlign w:val="center"/>
          </w:tcPr>
          <w:p w14:paraId="58CD8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420" w:lineRule="exact"/>
              <w:ind w:left="118" w:right="107" w:firstLine="28"/>
              <w:jc w:val="left"/>
              <w:textAlignment w:val="baseline"/>
              <w:rPr>
                <w:rFonts w:hint="default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成交人向出让人付款时，出让人向成交人提供13%的增值税专用发票。</w:t>
            </w:r>
          </w:p>
        </w:tc>
      </w:tr>
      <w:tr w14:paraId="07502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67922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245" w:type="dxa"/>
            <w:vAlign w:val="center"/>
          </w:tcPr>
          <w:p w14:paraId="1B3F307E">
            <w:pPr>
              <w:snapToGrid w:val="0"/>
              <w:jc w:val="center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比选时间和</w:t>
            </w:r>
          </w:p>
          <w:p w14:paraId="0D07FD5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地点</w:t>
            </w:r>
          </w:p>
        </w:tc>
        <w:tc>
          <w:tcPr>
            <w:tcW w:w="6647" w:type="dxa"/>
            <w:vAlign w:val="center"/>
          </w:tcPr>
          <w:p w14:paraId="05557836">
            <w:pPr>
              <w:snapToGrid w:val="0"/>
              <w:ind w:firstLine="480" w:firstLineChars="200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比选时间：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>202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>28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10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分</w:t>
            </w:r>
          </w:p>
          <w:p w14:paraId="345EE2AB">
            <w:pPr>
              <w:snapToGrid w:val="0"/>
              <w:ind w:firstLine="480" w:firstLineChars="200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比选地点：重庆市江北区城市建设工程技术有限公司会议室</w:t>
            </w:r>
          </w:p>
        </w:tc>
      </w:tr>
      <w:tr w14:paraId="05EF3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57CA16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245" w:type="dxa"/>
            <w:vAlign w:val="center"/>
          </w:tcPr>
          <w:p w14:paraId="5BFE80B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比选程序</w:t>
            </w:r>
          </w:p>
        </w:tc>
        <w:tc>
          <w:tcPr>
            <w:tcW w:w="6647" w:type="dxa"/>
            <w:vAlign w:val="center"/>
          </w:tcPr>
          <w:p w14:paraId="1F6264E6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本项目采取的是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线下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提交响应文件，由比选人在本公告规定的比选时间到达后自行组织评标，具体程序如下：</w:t>
            </w:r>
          </w:p>
          <w:p w14:paraId="0937F791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1.响应文件递交截止时间后，比选人相关经办人向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公布在响应文件递交截止时间前提交响应文件的数量及单位名称；</w:t>
            </w:r>
          </w:p>
          <w:p w14:paraId="74DE0254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公布该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的限价，以便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评审；</w:t>
            </w:r>
          </w:p>
          <w:p w14:paraId="57F17493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.逐单位随机公布响应单位名称、响应报价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其他内容并记录在案；</w:t>
            </w:r>
          </w:p>
          <w:p w14:paraId="1F2E7CB5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.比选人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成员、记录人等有关人员在开标记录上签名确认；</w:t>
            </w:r>
          </w:p>
          <w:p w14:paraId="4D1D796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根据本比选文件附件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《评标办法》评审响应文件，并推荐经评审合格的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报价由高到低的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中选候选人；</w:t>
            </w:r>
          </w:p>
          <w:p w14:paraId="7A44B8D9">
            <w:pPr>
              <w:snapToGrid w:val="0"/>
              <w:ind w:firstLine="480" w:firstLineChars="200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.评标结束。</w:t>
            </w:r>
          </w:p>
          <w:p w14:paraId="0B67E6FA">
            <w:pPr>
              <w:autoSpaceDE w:val="0"/>
              <w:autoSpaceDN w:val="0"/>
              <w:adjustRightInd w:val="0"/>
              <w:snapToGrid w:val="0"/>
              <w:ind w:firstLine="482" w:firstLineChars="200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本次评标遵循公平、公正、科学、择优的原则，响应单位如有异议的，可在公示期内提出异议，无异议的视为默认评标结果。</w:t>
            </w:r>
          </w:p>
          <w:p w14:paraId="2F3C4D05">
            <w:pPr>
              <w:autoSpaceDE w:val="0"/>
              <w:autoSpaceDN w:val="0"/>
              <w:adjustRightInd w:val="0"/>
              <w:snapToGrid w:val="0"/>
              <w:rPr>
                <w:rFonts w:hint="eastAsia" w:ascii="Calibri" w:hAnsi="Calibri" w:eastAsia="宋体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280C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742D15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245" w:type="dxa"/>
            <w:vAlign w:val="center"/>
          </w:tcPr>
          <w:p w14:paraId="1EB64733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的组建</w:t>
            </w:r>
          </w:p>
        </w:tc>
        <w:tc>
          <w:tcPr>
            <w:tcW w:w="6647" w:type="dxa"/>
            <w:vAlign w:val="center"/>
          </w:tcPr>
          <w:p w14:paraId="195AD168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的构成：3人或3人以上单数。</w:t>
            </w:r>
          </w:p>
          <w:p w14:paraId="3BEEB5EC">
            <w:pPr>
              <w:autoSpaceDE w:val="0"/>
              <w:autoSpaceDN w:val="0"/>
              <w:adjustRightInd w:val="0"/>
              <w:snapToGrid w:val="0"/>
              <w:ind w:left="4" w:leftChars="2" w:firstLine="480" w:firstLineChars="2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2.评选小组成员由比选人确定。</w:t>
            </w:r>
          </w:p>
        </w:tc>
      </w:tr>
      <w:tr w14:paraId="2C118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769" w:type="dxa"/>
            <w:vAlign w:val="center"/>
          </w:tcPr>
          <w:p w14:paraId="6C7F2E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245" w:type="dxa"/>
            <w:vAlign w:val="center"/>
          </w:tcPr>
          <w:p w14:paraId="606718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签订合同</w:t>
            </w:r>
          </w:p>
        </w:tc>
        <w:tc>
          <w:tcPr>
            <w:tcW w:w="6647" w:type="dxa"/>
            <w:vAlign w:val="center"/>
          </w:tcPr>
          <w:p w14:paraId="2E67E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比选人和中选人应当自中选通知书发出之日起30天内，根据比选文件和中选人的响应文件订立书面合同。中选人放弃中选项目，无正当理由不与比选人签订合同，在签订合同时向比选人提出附加条件或者更改合同实质性内容的，或不按照比选文件要求提交综合保证金的，比选人取消其中选资格，给比选人造成的损失直接用入库江北建工“合作商资源库”时缴纳的入库保证金抵扣，入库保证金不足以抵扣的，中选人还应当对超过部分予以赔偿。</w:t>
            </w:r>
          </w:p>
        </w:tc>
      </w:tr>
      <w:tr w14:paraId="55EF4F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69" w:type="dxa"/>
            <w:vAlign w:val="center"/>
          </w:tcPr>
          <w:p w14:paraId="06C396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245" w:type="dxa"/>
            <w:vAlign w:val="center"/>
          </w:tcPr>
          <w:p w14:paraId="06D58E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重新比选的情形</w:t>
            </w:r>
          </w:p>
        </w:tc>
        <w:tc>
          <w:tcPr>
            <w:tcW w:w="6647" w:type="dxa"/>
            <w:vAlign w:val="center"/>
          </w:tcPr>
          <w:p w14:paraId="66F5E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有下列情形之一的，比选人将重新比选：</w:t>
            </w:r>
          </w:p>
          <w:p w14:paraId="0481C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（1）响应截止时间止，响应单位少于3个的；</w:t>
            </w:r>
          </w:p>
          <w:p w14:paraId="2CB3B2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（2）经评选小组评审后否决所有响应的；</w:t>
            </w:r>
          </w:p>
          <w:p w14:paraId="0F1CB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（3）经评选小组评审后部分响应被否决，导致有效响应单位不足三个的，评选小组有权否决所有响应。但是有效响应单位的经济、技术等指标仍然具有市场竞争力，能够满足比选文件要求的，评选小组可以继续评标并确定中选候选人。 </w:t>
            </w:r>
          </w:p>
        </w:tc>
      </w:tr>
      <w:tr w14:paraId="03C866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769" w:type="dxa"/>
            <w:vAlign w:val="center"/>
          </w:tcPr>
          <w:p w14:paraId="0D15C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245" w:type="dxa"/>
            <w:vAlign w:val="center"/>
          </w:tcPr>
          <w:p w14:paraId="22A96E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重新比选和不再比选</w:t>
            </w:r>
          </w:p>
        </w:tc>
        <w:tc>
          <w:tcPr>
            <w:tcW w:w="6647" w:type="dxa"/>
            <w:vAlign w:val="center"/>
          </w:tcPr>
          <w:p w14:paraId="4AB56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重新比选经评审有有效响应单位的，应当确定中选候选人;无有效响应单位的，比选人自主选择其他方式进行。</w:t>
            </w:r>
          </w:p>
        </w:tc>
      </w:tr>
      <w:tr w14:paraId="1CE6F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10E76C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245" w:type="dxa"/>
            <w:vAlign w:val="center"/>
          </w:tcPr>
          <w:p w14:paraId="0AFE539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评标结果</w:t>
            </w:r>
          </w:p>
        </w:tc>
        <w:tc>
          <w:tcPr>
            <w:tcW w:w="6647" w:type="dxa"/>
            <w:vAlign w:val="center"/>
          </w:tcPr>
          <w:p w14:paraId="05129727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评选小组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按经评审的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报价由高到低的报价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  <w:t>推荐中选候选人。</w:t>
            </w:r>
          </w:p>
        </w:tc>
      </w:tr>
      <w:tr w14:paraId="3F209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769" w:type="dxa"/>
            <w:vAlign w:val="center"/>
          </w:tcPr>
          <w:p w14:paraId="34FA9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420" w:lineRule="exact"/>
              <w:jc w:val="center"/>
              <w:textAlignment w:val="baseline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2245" w:type="dxa"/>
            <w:vAlign w:val="center"/>
          </w:tcPr>
          <w:p w14:paraId="1FD6637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6647" w:type="dxa"/>
            <w:vAlign w:val="center"/>
          </w:tcPr>
          <w:p w14:paraId="082E9F4A">
            <w:pPr>
              <w:autoSpaceDE w:val="0"/>
              <w:autoSpaceDN w:val="0"/>
              <w:adjustRightInd w:val="0"/>
              <w:snapToGrid w:val="0"/>
              <w:ind w:firstLine="420" w:firstLineChars="0"/>
              <w:jc w:val="left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该项目第三方过磅单位由比选人确定，过磅费用由响应单位自行承担。</w:t>
            </w:r>
          </w:p>
        </w:tc>
      </w:tr>
    </w:tbl>
    <w:p w14:paraId="71086C7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F4E7E">
    <w:pPr>
      <w:pStyle w:val="3"/>
      <w:spacing w:line="14" w:lineRule="auto"/>
      <w:rPr>
        <w:sz w:val="20"/>
      </w:rPr>
    </w:pPr>
    <w:r>
      <w:rPr>
        <w:sz w:val="20"/>
      </w:rP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1CA78BB">
                <w:pPr>
                  <w:pStyle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6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E6A5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RhNDgxYTI0ZThhMzA5NmIzZjBhNWEyZDE0ODA1ZmYifQ=="/>
  </w:docVars>
  <w:rsids>
    <w:rsidRoot w:val="544D5AE3"/>
    <w:rsid w:val="00856063"/>
    <w:rsid w:val="009B4475"/>
    <w:rsid w:val="00D841DC"/>
    <w:rsid w:val="011D1F17"/>
    <w:rsid w:val="02AE676F"/>
    <w:rsid w:val="039842CF"/>
    <w:rsid w:val="03F037D4"/>
    <w:rsid w:val="042E69E2"/>
    <w:rsid w:val="045A2CEE"/>
    <w:rsid w:val="06483827"/>
    <w:rsid w:val="07FE66CB"/>
    <w:rsid w:val="086D4941"/>
    <w:rsid w:val="0926412B"/>
    <w:rsid w:val="09694018"/>
    <w:rsid w:val="0BCB2D68"/>
    <w:rsid w:val="0EDE642C"/>
    <w:rsid w:val="0F67400D"/>
    <w:rsid w:val="0F9B385A"/>
    <w:rsid w:val="0FB12275"/>
    <w:rsid w:val="113A0964"/>
    <w:rsid w:val="11FF551A"/>
    <w:rsid w:val="123E4294"/>
    <w:rsid w:val="12865C4C"/>
    <w:rsid w:val="12D26128"/>
    <w:rsid w:val="12F86B39"/>
    <w:rsid w:val="133A6A8F"/>
    <w:rsid w:val="13465AC5"/>
    <w:rsid w:val="13FE338E"/>
    <w:rsid w:val="148D505F"/>
    <w:rsid w:val="14F20A07"/>
    <w:rsid w:val="17445FC4"/>
    <w:rsid w:val="18F22E6B"/>
    <w:rsid w:val="19207074"/>
    <w:rsid w:val="19256005"/>
    <w:rsid w:val="19934EEF"/>
    <w:rsid w:val="19EA79E7"/>
    <w:rsid w:val="1AB175CD"/>
    <w:rsid w:val="1BC82E20"/>
    <w:rsid w:val="1C5446B4"/>
    <w:rsid w:val="1C5648D0"/>
    <w:rsid w:val="1C7C1EEC"/>
    <w:rsid w:val="1CE67A02"/>
    <w:rsid w:val="1D3764AF"/>
    <w:rsid w:val="1D4D5CD3"/>
    <w:rsid w:val="1DB70140"/>
    <w:rsid w:val="1EE9022A"/>
    <w:rsid w:val="1FB67853"/>
    <w:rsid w:val="210E39CB"/>
    <w:rsid w:val="21C347B6"/>
    <w:rsid w:val="21D15FB5"/>
    <w:rsid w:val="21D84A4B"/>
    <w:rsid w:val="22350CD0"/>
    <w:rsid w:val="22EC1AEA"/>
    <w:rsid w:val="232E25B3"/>
    <w:rsid w:val="235A6A54"/>
    <w:rsid w:val="24431996"/>
    <w:rsid w:val="24F829C8"/>
    <w:rsid w:val="26233A75"/>
    <w:rsid w:val="2830042B"/>
    <w:rsid w:val="287E38B9"/>
    <w:rsid w:val="28C57036"/>
    <w:rsid w:val="29B42C36"/>
    <w:rsid w:val="2A0616E3"/>
    <w:rsid w:val="2A467D32"/>
    <w:rsid w:val="2A6D3510"/>
    <w:rsid w:val="2AAB5475"/>
    <w:rsid w:val="2B6E425C"/>
    <w:rsid w:val="2B920D55"/>
    <w:rsid w:val="2BAB6507"/>
    <w:rsid w:val="2D5E1836"/>
    <w:rsid w:val="2DFE521A"/>
    <w:rsid w:val="2E566991"/>
    <w:rsid w:val="2EDA313F"/>
    <w:rsid w:val="2F3A3BDD"/>
    <w:rsid w:val="2FB43990"/>
    <w:rsid w:val="302C0986"/>
    <w:rsid w:val="309C6428"/>
    <w:rsid w:val="326C67A3"/>
    <w:rsid w:val="32D3412D"/>
    <w:rsid w:val="3378621D"/>
    <w:rsid w:val="361266B2"/>
    <w:rsid w:val="36AF4CE8"/>
    <w:rsid w:val="38146732"/>
    <w:rsid w:val="38A9222F"/>
    <w:rsid w:val="39900FC9"/>
    <w:rsid w:val="39951007"/>
    <w:rsid w:val="39BC591B"/>
    <w:rsid w:val="3B583D69"/>
    <w:rsid w:val="3BB2285C"/>
    <w:rsid w:val="3BBF7881"/>
    <w:rsid w:val="3F055FB6"/>
    <w:rsid w:val="3F4A5273"/>
    <w:rsid w:val="3FB11C9A"/>
    <w:rsid w:val="40293AE0"/>
    <w:rsid w:val="42311326"/>
    <w:rsid w:val="429A6A15"/>
    <w:rsid w:val="42C85330"/>
    <w:rsid w:val="445C1832"/>
    <w:rsid w:val="44C1472D"/>
    <w:rsid w:val="451312BF"/>
    <w:rsid w:val="45A07192"/>
    <w:rsid w:val="46273015"/>
    <w:rsid w:val="471C5BDF"/>
    <w:rsid w:val="492C096A"/>
    <w:rsid w:val="49615C2B"/>
    <w:rsid w:val="497C0C22"/>
    <w:rsid w:val="49BB5BEF"/>
    <w:rsid w:val="4A080708"/>
    <w:rsid w:val="4A317852"/>
    <w:rsid w:val="4ACD7A9A"/>
    <w:rsid w:val="4C5118C3"/>
    <w:rsid w:val="4E0F475B"/>
    <w:rsid w:val="4E685C19"/>
    <w:rsid w:val="4EC618FA"/>
    <w:rsid w:val="4F7C7769"/>
    <w:rsid w:val="4F8E5B53"/>
    <w:rsid w:val="503A5EAE"/>
    <w:rsid w:val="5076286F"/>
    <w:rsid w:val="50780224"/>
    <w:rsid w:val="508A00C9"/>
    <w:rsid w:val="508E3206"/>
    <w:rsid w:val="50C20317"/>
    <w:rsid w:val="510C073C"/>
    <w:rsid w:val="517975BC"/>
    <w:rsid w:val="531331F1"/>
    <w:rsid w:val="53837CF0"/>
    <w:rsid w:val="543C16DA"/>
    <w:rsid w:val="544D5AE3"/>
    <w:rsid w:val="54684BC5"/>
    <w:rsid w:val="571C4E0C"/>
    <w:rsid w:val="583C03B8"/>
    <w:rsid w:val="58A41F44"/>
    <w:rsid w:val="596A5526"/>
    <w:rsid w:val="59DC03CD"/>
    <w:rsid w:val="5A462170"/>
    <w:rsid w:val="5B062A42"/>
    <w:rsid w:val="5B8D10CB"/>
    <w:rsid w:val="5BC03B23"/>
    <w:rsid w:val="5BF06D63"/>
    <w:rsid w:val="5DF70D68"/>
    <w:rsid w:val="5E5A37D0"/>
    <w:rsid w:val="5E6E55F4"/>
    <w:rsid w:val="5F4C4ACF"/>
    <w:rsid w:val="5FC734A2"/>
    <w:rsid w:val="614A0B27"/>
    <w:rsid w:val="61590315"/>
    <w:rsid w:val="61B94632"/>
    <w:rsid w:val="630B4871"/>
    <w:rsid w:val="63FF44D2"/>
    <w:rsid w:val="64252111"/>
    <w:rsid w:val="64C33E06"/>
    <w:rsid w:val="668D50E8"/>
    <w:rsid w:val="68396915"/>
    <w:rsid w:val="688630B7"/>
    <w:rsid w:val="68D76793"/>
    <w:rsid w:val="69665D21"/>
    <w:rsid w:val="698E7CB8"/>
    <w:rsid w:val="69C53AC8"/>
    <w:rsid w:val="6C044D7B"/>
    <w:rsid w:val="6C9205D9"/>
    <w:rsid w:val="6EF315F5"/>
    <w:rsid w:val="6FC860C0"/>
    <w:rsid w:val="70EA187C"/>
    <w:rsid w:val="70FF15B9"/>
    <w:rsid w:val="731B5ECE"/>
    <w:rsid w:val="735C724B"/>
    <w:rsid w:val="73A36734"/>
    <w:rsid w:val="756901F3"/>
    <w:rsid w:val="759E179B"/>
    <w:rsid w:val="779E42D6"/>
    <w:rsid w:val="7A1938BA"/>
    <w:rsid w:val="7B4E4CB6"/>
    <w:rsid w:val="7C3C42A8"/>
    <w:rsid w:val="7C5A11AC"/>
    <w:rsid w:val="7CB4634A"/>
    <w:rsid w:val="7CBE7F8A"/>
    <w:rsid w:val="7CCE5BDD"/>
    <w:rsid w:val="7DB4332B"/>
    <w:rsid w:val="7E3041E8"/>
    <w:rsid w:val="7EBE71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2235</Words>
  <Characters>2300</Characters>
  <Lines>21</Lines>
  <Paragraphs>6</Paragraphs>
  <TotalTime>2</TotalTime>
  <ScaleCrop>false</ScaleCrop>
  <LinksUpToDate>false</LinksUpToDate>
  <CharactersWithSpaces>2371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2022-10-27T11:28:00Z</dcterms:created>
  <dc:creator>不规今日</dc:creator>
  <cp:lastModifiedBy>媛媛</cp:lastModifiedBy>
  <cp:lastPrinted>2024-06-17T08:03:00Z</cp:lastPrinted>
  <dcterms:modified xsi:type="dcterms:W3CDTF">2025-05-22T06:25:08Z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3035A156C9DF40E2AF29274D3B83B25A</vt:lpwstr>
  </property>
  <property fmtid="{D5CDD505-2E9C-101B-9397-08002B2CF9AE}" pid="4" name="KSOTemplateDocerSaveRecord">
    <vt:lpwstr>eyJoZGlkIjoiZWRhNDgxYTI0ZThhMzA5NmIzZjBhNWEyZDE0ODA1ZmYiLCJ1c2VySWQiOiI2OTM3ODQwMjcifQ==</vt:lpwstr>
  </property>
</Properties>
</file>