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07C85B9">
      <w:pPr>
        <w:pStyle w:val="23"/>
        <w:spacing w:line="240" w:lineRule="auto"/>
        <w:ind w:left="0"/>
        <w:jc w:val="center"/>
        <w:rPr>
          <w:rFonts w:hint="eastAsia" w:ascii="宋体" w:hAnsi="宋体" w:eastAsia="宋体" w:cs="宋体"/>
          <w:color w:val="auto"/>
          <w:sz w:val="80"/>
          <w:szCs w:val="80"/>
          <w:highlight w:val="none"/>
        </w:rPr>
      </w:pPr>
      <w:bookmarkStart w:id="0" w:name="_Toc21122"/>
      <w:bookmarkStart w:id="1" w:name="_Toc23648"/>
      <w:bookmarkStart w:id="2" w:name="_Toc21750"/>
      <w:bookmarkStart w:id="3" w:name="_Toc136879634"/>
      <w:bookmarkStart w:id="4" w:name="_Toc20816"/>
      <w:bookmarkStart w:id="5" w:name="_Toc136879882"/>
      <w:bookmarkStart w:id="6" w:name="_Toc136879793"/>
      <w:bookmarkStart w:id="7" w:name="_Toc1828"/>
      <w:bookmarkStart w:id="8" w:name="_Toc12923"/>
      <w:bookmarkStart w:id="9" w:name="_Toc136880102"/>
      <w:bookmarkStart w:id="10" w:name="_Toc3073"/>
      <w:bookmarkStart w:id="11" w:name="_Toc15146"/>
      <w:bookmarkStart w:id="12" w:name="_Toc16015"/>
      <w:bookmarkStart w:id="13" w:name="_Toc31915"/>
      <w:bookmarkStart w:id="14" w:name="_Toc30901"/>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14:paraId="3B108C91">
      <w:pPr>
        <w:pStyle w:val="23"/>
        <w:spacing w:line="240" w:lineRule="auto"/>
        <w:ind w:left="0"/>
        <w:jc w:val="center"/>
        <w:rPr>
          <w:rFonts w:hint="eastAsia" w:ascii="宋体" w:hAnsi="宋体" w:eastAsia="宋体" w:cs="宋体"/>
          <w:color w:val="auto"/>
          <w:sz w:val="32"/>
          <w:highlight w:val="none"/>
          <w:lang w:eastAsia="zh-CN"/>
        </w:rPr>
      </w:pPr>
      <w:r>
        <w:rPr>
          <w:rFonts w:hint="eastAsia" w:ascii="宋体" w:hAnsi="宋体" w:cs="宋体"/>
          <w:color w:val="auto"/>
          <w:sz w:val="80"/>
          <w:szCs w:val="80"/>
          <w:highlight w:val="none"/>
          <w:lang w:eastAsia="zh-CN"/>
        </w:rPr>
        <w:t>小额交易平台网上竞采采购文件</w:t>
      </w:r>
    </w:p>
    <w:p w14:paraId="6CA7BF7C">
      <w:pPr>
        <w:pStyle w:val="23"/>
        <w:spacing w:line="500" w:lineRule="exact"/>
        <w:ind w:left="0"/>
        <w:rPr>
          <w:rFonts w:hint="eastAsia" w:ascii="宋体" w:hAnsi="宋体" w:eastAsia="宋体" w:cs="宋体"/>
          <w:color w:val="auto"/>
          <w:sz w:val="32"/>
          <w:highlight w:val="none"/>
        </w:rPr>
      </w:pPr>
    </w:p>
    <w:p w14:paraId="3DE06525">
      <w:pPr>
        <w:pStyle w:val="23"/>
        <w:spacing w:line="500" w:lineRule="exact"/>
        <w:ind w:left="0"/>
        <w:rPr>
          <w:rFonts w:hint="eastAsia" w:ascii="宋体" w:hAnsi="宋体" w:eastAsia="宋体" w:cs="宋体"/>
          <w:color w:val="auto"/>
          <w:sz w:val="32"/>
          <w:highlight w:val="none"/>
        </w:rPr>
      </w:pPr>
    </w:p>
    <w:p w14:paraId="5F38DCD4">
      <w:pPr>
        <w:pStyle w:val="23"/>
        <w:spacing w:line="500" w:lineRule="exact"/>
        <w:ind w:left="0"/>
        <w:rPr>
          <w:rFonts w:hint="eastAsia" w:ascii="宋体" w:hAnsi="宋体" w:eastAsia="宋体" w:cs="宋体"/>
          <w:color w:val="auto"/>
          <w:sz w:val="32"/>
          <w:highlight w:val="none"/>
        </w:rPr>
      </w:pPr>
    </w:p>
    <w:p w14:paraId="6FB26DE7">
      <w:pPr>
        <w:pStyle w:val="23"/>
        <w:spacing w:line="500" w:lineRule="exact"/>
        <w:ind w:left="0"/>
        <w:rPr>
          <w:rFonts w:hint="eastAsia" w:ascii="宋体" w:hAnsi="宋体" w:eastAsia="宋体" w:cs="宋体"/>
          <w:color w:val="auto"/>
          <w:sz w:val="32"/>
          <w:highlight w:val="none"/>
          <w:lang w:val="en-US" w:eastAsia="zh-CN"/>
        </w:rPr>
      </w:pPr>
      <w:r>
        <w:rPr>
          <w:rFonts w:hint="eastAsia" w:ascii="宋体" w:hAnsi="宋体" w:eastAsia="宋体" w:cs="宋体"/>
          <w:color w:val="auto"/>
          <w:sz w:val="32"/>
          <w:highlight w:val="none"/>
          <w:lang w:val="en-US" w:eastAsia="zh-CN"/>
        </w:rPr>
        <w:t xml:space="preserve"> </w:t>
      </w:r>
    </w:p>
    <w:p w14:paraId="7C3F660F">
      <w:pPr>
        <w:pStyle w:val="23"/>
        <w:spacing w:line="500" w:lineRule="exact"/>
        <w:ind w:left="0"/>
        <w:rPr>
          <w:rFonts w:hint="eastAsia" w:ascii="宋体" w:hAnsi="宋体" w:eastAsia="宋体" w:cs="宋体"/>
          <w:color w:val="auto"/>
          <w:sz w:val="32"/>
          <w:highlight w:val="none"/>
        </w:rPr>
      </w:pPr>
    </w:p>
    <w:p w14:paraId="05593D84">
      <w:pPr>
        <w:pStyle w:val="23"/>
        <w:spacing w:line="500" w:lineRule="exact"/>
        <w:ind w:left="0"/>
        <w:jc w:val="center"/>
        <w:rPr>
          <w:rFonts w:hint="eastAsia" w:ascii="宋体" w:hAnsi="宋体" w:eastAsia="宋体" w:cs="宋体"/>
          <w:color w:val="auto"/>
          <w:sz w:val="32"/>
          <w:highlight w:val="none"/>
        </w:rPr>
      </w:pPr>
    </w:p>
    <w:p w14:paraId="5A06B9D4">
      <w:pPr>
        <w:spacing w:line="500" w:lineRule="exact"/>
        <w:ind w:firstLine="1280" w:firstLineChars="400"/>
        <w:jc w:val="both"/>
        <w:outlineLvl w:val="0"/>
        <w:rPr>
          <w:rFonts w:hint="eastAsia" w:ascii="宋体" w:hAnsi="宋体" w:eastAsia="宋体" w:cs="宋体"/>
          <w:color w:val="auto"/>
          <w:sz w:val="32"/>
          <w:szCs w:val="22"/>
          <w:highlight w:val="none"/>
        </w:rPr>
      </w:pPr>
      <w:r>
        <w:rPr>
          <w:rFonts w:hint="eastAsia" w:ascii="宋体" w:hAnsi="宋体" w:eastAsia="宋体" w:cs="宋体"/>
          <w:color w:val="auto"/>
          <w:sz w:val="32"/>
          <w:highlight w:val="none"/>
        </w:rPr>
        <w:t>采购项目名称：</w:t>
      </w:r>
      <w:r>
        <w:rPr>
          <w:rFonts w:hint="eastAsia" w:ascii="宋体" w:hAnsi="宋体" w:cs="宋体"/>
          <w:color w:val="auto"/>
          <w:sz w:val="32"/>
          <w:highlight w:val="none"/>
          <w:lang w:val="en-US" w:eastAsia="zh-CN"/>
        </w:rPr>
        <w:t>秀山县洪安镇中心卫生院改造项目</w:t>
      </w:r>
    </w:p>
    <w:p w14:paraId="5A693E4E">
      <w:pPr>
        <w:spacing w:line="500" w:lineRule="exact"/>
        <w:ind w:firstLine="2080" w:firstLineChars="650"/>
        <w:outlineLvl w:val="0"/>
        <w:rPr>
          <w:rFonts w:hint="eastAsia" w:ascii="宋体" w:hAnsi="宋体" w:eastAsia="宋体" w:cs="宋体"/>
          <w:color w:val="auto"/>
          <w:sz w:val="32"/>
          <w:highlight w:val="none"/>
        </w:rPr>
      </w:pPr>
    </w:p>
    <w:p w14:paraId="5100DC94">
      <w:pPr>
        <w:pStyle w:val="23"/>
        <w:spacing w:line="500" w:lineRule="exact"/>
        <w:ind w:left="0"/>
        <w:jc w:val="center"/>
        <w:rPr>
          <w:rFonts w:hint="eastAsia" w:ascii="宋体" w:hAnsi="宋体" w:eastAsia="宋体" w:cs="宋体"/>
          <w:color w:val="auto"/>
          <w:sz w:val="32"/>
          <w:highlight w:val="none"/>
        </w:rPr>
      </w:pPr>
    </w:p>
    <w:p w14:paraId="3A57A0E0">
      <w:pPr>
        <w:pStyle w:val="23"/>
        <w:spacing w:line="500" w:lineRule="exact"/>
        <w:ind w:left="0"/>
        <w:jc w:val="center"/>
        <w:rPr>
          <w:rFonts w:hint="eastAsia" w:ascii="宋体" w:hAnsi="宋体" w:eastAsia="宋体" w:cs="宋体"/>
          <w:color w:val="auto"/>
          <w:sz w:val="32"/>
          <w:highlight w:val="none"/>
        </w:rPr>
      </w:pPr>
    </w:p>
    <w:p w14:paraId="3375016D">
      <w:pPr>
        <w:pStyle w:val="5"/>
        <w:rPr>
          <w:rFonts w:hint="eastAsia" w:ascii="宋体" w:hAnsi="宋体" w:eastAsia="宋体" w:cs="宋体"/>
          <w:color w:val="auto"/>
          <w:highlight w:val="none"/>
        </w:rPr>
      </w:pPr>
    </w:p>
    <w:p w14:paraId="4B166281">
      <w:pPr>
        <w:rPr>
          <w:rFonts w:hint="eastAsia" w:ascii="宋体" w:hAnsi="宋体" w:eastAsia="宋体" w:cs="宋体"/>
          <w:color w:val="auto"/>
          <w:highlight w:val="none"/>
        </w:rPr>
      </w:pPr>
    </w:p>
    <w:p w14:paraId="37CDA7D9">
      <w:pPr>
        <w:pStyle w:val="23"/>
        <w:spacing w:line="500" w:lineRule="exact"/>
        <w:ind w:left="0" w:leftChars="0" w:firstLine="1280" w:firstLineChars="400"/>
        <w:jc w:val="left"/>
        <w:rPr>
          <w:rFonts w:hint="eastAsia" w:ascii="宋体" w:hAnsi="宋体" w:eastAsia="宋体" w:cs="宋体"/>
          <w:color w:val="auto"/>
          <w:sz w:val="32"/>
          <w:highlight w:val="none"/>
          <w:lang w:eastAsia="zh-CN"/>
        </w:rPr>
      </w:pPr>
      <w:r>
        <w:rPr>
          <w:rFonts w:hint="eastAsia" w:ascii="宋体" w:hAnsi="宋体" w:eastAsia="宋体" w:cs="宋体"/>
          <w:color w:val="auto"/>
          <w:sz w:val="32"/>
          <w:highlight w:val="none"/>
        </w:rPr>
        <w:t>采购人：</w:t>
      </w:r>
      <w:r>
        <w:rPr>
          <w:rFonts w:hint="eastAsia" w:ascii="宋体" w:hAnsi="宋体" w:cs="宋体"/>
          <w:color w:val="auto"/>
          <w:sz w:val="32"/>
          <w:highlight w:val="none"/>
          <w:lang w:eastAsia="zh-CN"/>
        </w:rPr>
        <w:t>秀山土家族苗族自治县洪安镇中心卫生院</w:t>
      </w:r>
    </w:p>
    <w:p w14:paraId="761C8A16">
      <w:pPr>
        <w:pStyle w:val="23"/>
        <w:spacing w:line="500" w:lineRule="exact"/>
        <w:ind w:left="0" w:firstLine="1280" w:firstLineChars="400"/>
        <w:jc w:val="left"/>
        <w:rPr>
          <w:rFonts w:hint="eastAsia" w:ascii="宋体" w:hAnsi="宋体" w:eastAsia="宋体" w:cs="宋体"/>
          <w:color w:val="auto"/>
          <w:sz w:val="32"/>
          <w:szCs w:val="32"/>
          <w:highlight w:val="none"/>
          <w:lang w:eastAsia="zh-CN"/>
        </w:rPr>
      </w:pPr>
      <w:r>
        <w:rPr>
          <w:rFonts w:hint="eastAsia" w:ascii="宋体" w:hAnsi="宋体" w:eastAsia="宋体" w:cs="宋体"/>
          <w:color w:val="auto"/>
          <w:sz w:val="32"/>
          <w:highlight w:val="none"/>
        </w:rPr>
        <w:t>采购代理机构：</w:t>
      </w:r>
      <w:r>
        <w:rPr>
          <w:rFonts w:hint="eastAsia" w:ascii="宋体" w:hAnsi="宋体" w:cs="宋体"/>
          <w:color w:val="auto"/>
          <w:sz w:val="32"/>
          <w:highlight w:val="none"/>
          <w:lang w:eastAsia="zh-CN"/>
        </w:rPr>
        <w:t>重庆睿采通招标代理有限公司</w:t>
      </w:r>
    </w:p>
    <w:p w14:paraId="035F09C6">
      <w:pPr>
        <w:pStyle w:val="2"/>
        <w:rPr>
          <w:rFonts w:hint="eastAsia" w:ascii="宋体" w:hAnsi="宋体" w:eastAsia="宋体" w:cs="宋体"/>
          <w:color w:val="auto"/>
          <w:highlight w:val="none"/>
        </w:rPr>
      </w:pPr>
    </w:p>
    <w:p w14:paraId="656B6C6F">
      <w:pPr>
        <w:snapToGrid w:val="0"/>
        <w:spacing w:line="500" w:lineRule="exact"/>
        <w:jc w:val="center"/>
        <w:rPr>
          <w:rFonts w:hint="eastAsia" w:ascii="宋体" w:hAnsi="宋体" w:eastAsia="宋体" w:cs="宋体"/>
          <w:color w:val="auto"/>
          <w:sz w:val="44"/>
          <w:szCs w:val="28"/>
          <w:highlight w:val="none"/>
        </w:rPr>
      </w:pPr>
      <w:r>
        <w:rPr>
          <w:rFonts w:hint="eastAsia" w:ascii="宋体" w:hAnsi="宋体" w:eastAsia="宋体" w:cs="宋体"/>
          <w:color w:val="auto"/>
          <w:sz w:val="32"/>
          <w:szCs w:val="32"/>
          <w:highlight w:val="none"/>
        </w:rPr>
        <w:t>二○二</w:t>
      </w:r>
      <w:r>
        <w:rPr>
          <w:rFonts w:hint="eastAsia" w:ascii="宋体" w:hAnsi="宋体" w:cs="宋体"/>
          <w:color w:val="auto"/>
          <w:sz w:val="32"/>
          <w:szCs w:val="32"/>
          <w:highlight w:val="none"/>
          <w:lang w:val="en-US" w:eastAsia="zh-CN"/>
        </w:rPr>
        <w:t>六</w:t>
      </w:r>
      <w:r>
        <w:rPr>
          <w:rFonts w:hint="eastAsia" w:ascii="宋体" w:hAnsi="宋体" w:eastAsia="宋体" w:cs="宋体"/>
          <w:color w:val="auto"/>
          <w:sz w:val="32"/>
          <w:szCs w:val="32"/>
          <w:highlight w:val="none"/>
        </w:rPr>
        <w:t>年</w:t>
      </w:r>
      <w:r>
        <w:rPr>
          <w:rFonts w:hint="eastAsia" w:ascii="宋体" w:hAnsi="宋体" w:cs="宋体"/>
          <w:color w:val="auto"/>
          <w:sz w:val="32"/>
          <w:szCs w:val="32"/>
          <w:highlight w:val="none"/>
          <w:lang w:val="en-US" w:eastAsia="zh-CN"/>
        </w:rPr>
        <w:t>六</w:t>
      </w:r>
      <w:r>
        <w:rPr>
          <w:rFonts w:hint="eastAsia" w:ascii="宋体" w:hAnsi="宋体" w:eastAsia="宋体" w:cs="宋体"/>
          <w:color w:val="auto"/>
          <w:sz w:val="32"/>
          <w:szCs w:val="32"/>
          <w:highlight w:val="none"/>
        </w:rPr>
        <w:t>月</w:t>
      </w:r>
    </w:p>
    <w:p w14:paraId="6F7CC245">
      <w:pPr>
        <w:rPr>
          <w:rFonts w:hint="eastAsia" w:ascii="宋体" w:hAnsi="宋体" w:eastAsia="宋体" w:cs="宋体"/>
          <w:color w:val="auto"/>
          <w:sz w:val="44"/>
          <w:szCs w:val="28"/>
          <w:highlight w:val="none"/>
        </w:rPr>
      </w:pPr>
      <w:r>
        <w:rPr>
          <w:rFonts w:hint="eastAsia" w:ascii="宋体" w:hAnsi="宋体" w:eastAsia="宋体" w:cs="宋体"/>
          <w:color w:val="auto"/>
          <w:sz w:val="44"/>
          <w:szCs w:val="28"/>
          <w:highlight w:val="none"/>
        </w:rPr>
        <w:br w:type="page"/>
      </w:r>
    </w:p>
    <w:p w14:paraId="3569C797">
      <w:pPr>
        <w:spacing w:line="480" w:lineRule="exact"/>
        <w:jc w:val="center"/>
        <w:outlineLvl w:val="0"/>
        <w:rPr>
          <w:rFonts w:hint="eastAsia" w:ascii="宋体" w:hAnsi="宋体" w:eastAsia="宋体" w:cs="宋体"/>
          <w:color w:val="auto"/>
          <w:sz w:val="44"/>
          <w:szCs w:val="28"/>
          <w:highlight w:val="none"/>
        </w:rPr>
      </w:pPr>
      <w:r>
        <w:rPr>
          <w:rFonts w:hint="eastAsia" w:ascii="宋体" w:hAnsi="宋体" w:eastAsia="宋体" w:cs="宋体"/>
          <w:color w:val="auto"/>
          <w:sz w:val="44"/>
          <w:szCs w:val="28"/>
          <w:highlight w:val="none"/>
        </w:rPr>
        <w:t>目录</w:t>
      </w:r>
    </w:p>
    <w:p w14:paraId="0CB5CA14">
      <w:pPr>
        <w:pStyle w:val="49"/>
        <w:tabs>
          <w:tab w:val="right" w:leader="dot" w:pos="9412"/>
        </w:tabs>
        <w:ind w:left="560"/>
        <w:rPr>
          <w:rFonts w:hint="eastAsia" w:ascii="宋体" w:hAnsi="宋体" w:eastAsia="宋体" w:cs="宋体"/>
          <w:color w:val="auto"/>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TOC \o "1-3" \h \z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"_Toc21521" </w:instrText>
      </w:r>
      <w:r>
        <w:rPr>
          <w:rFonts w:hint="eastAsia" w:ascii="宋体" w:hAnsi="宋体" w:eastAsia="宋体" w:cs="宋体"/>
          <w:color w:val="auto"/>
          <w:highlight w:val="none"/>
        </w:rPr>
        <w:fldChar w:fldCharType="separate"/>
      </w:r>
      <w:r>
        <w:rPr>
          <w:rFonts w:hint="eastAsia" w:ascii="宋体" w:hAnsi="宋体" w:eastAsia="宋体" w:cs="宋体"/>
          <w:bCs/>
          <w:color w:val="auto"/>
          <w:szCs w:val="30"/>
          <w:highlight w:val="none"/>
        </w:rPr>
        <w:t>第一篇采购邀请书</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_Toc21521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- 3 -</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03322A06">
      <w:pPr>
        <w:pStyle w:val="31"/>
        <w:tabs>
          <w:tab w:val="right" w:leader="dot" w:pos="9412"/>
        </w:tabs>
        <w:ind w:left="1120"/>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"_Toc5721" </w:instrText>
      </w:r>
      <w:r>
        <w:rPr>
          <w:rFonts w:hint="eastAsia" w:ascii="宋体" w:hAnsi="宋体" w:eastAsia="宋体" w:cs="宋体"/>
          <w:color w:val="auto"/>
          <w:highlight w:val="none"/>
        </w:rPr>
        <w:fldChar w:fldCharType="separate"/>
      </w:r>
      <w:r>
        <w:rPr>
          <w:rFonts w:hint="eastAsia" w:ascii="宋体" w:hAnsi="宋体" w:eastAsia="宋体" w:cs="宋体"/>
          <w:color w:val="auto"/>
          <w:szCs w:val="24"/>
          <w:highlight w:val="none"/>
        </w:rPr>
        <w:t>一、 采购内容</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_Toc5721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- 3 -</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649E4348">
      <w:pPr>
        <w:pStyle w:val="31"/>
        <w:tabs>
          <w:tab w:val="right" w:leader="dot" w:pos="9412"/>
        </w:tabs>
        <w:ind w:left="1120"/>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"_Toc25538" </w:instrText>
      </w:r>
      <w:r>
        <w:rPr>
          <w:rFonts w:hint="eastAsia" w:ascii="宋体" w:hAnsi="宋体" w:eastAsia="宋体" w:cs="宋体"/>
          <w:color w:val="auto"/>
          <w:highlight w:val="none"/>
        </w:rPr>
        <w:fldChar w:fldCharType="separate"/>
      </w:r>
      <w:r>
        <w:rPr>
          <w:rFonts w:hint="eastAsia" w:ascii="宋体" w:hAnsi="宋体" w:eastAsia="宋体" w:cs="宋体"/>
          <w:color w:val="auto"/>
          <w:szCs w:val="24"/>
          <w:highlight w:val="none"/>
        </w:rPr>
        <w:t>二、资金来源</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_Toc25538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- 3 -</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29FEED5C">
      <w:pPr>
        <w:pStyle w:val="31"/>
        <w:tabs>
          <w:tab w:val="right" w:leader="dot" w:pos="9412"/>
        </w:tabs>
        <w:ind w:left="1120"/>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"_Toc27448" </w:instrText>
      </w:r>
      <w:r>
        <w:rPr>
          <w:rFonts w:hint="eastAsia" w:ascii="宋体" w:hAnsi="宋体" w:eastAsia="宋体" w:cs="宋体"/>
          <w:color w:val="auto"/>
          <w:highlight w:val="none"/>
        </w:rPr>
        <w:fldChar w:fldCharType="separate"/>
      </w:r>
      <w:r>
        <w:rPr>
          <w:rFonts w:hint="eastAsia" w:ascii="宋体" w:hAnsi="宋体" w:eastAsia="宋体" w:cs="宋体"/>
          <w:color w:val="auto"/>
          <w:szCs w:val="24"/>
          <w:highlight w:val="none"/>
        </w:rPr>
        <w:t>三、供应商资格条件</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_Toc27448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- 3 -</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5479BA8B">
      <w:pPr>
        <w:pStyle w:val="31"/>
        <w:tabs>
          <w:tab w:val="right" w:leader="dot" w:pos="9412"/>
        </w:tabs>
        <w:ind w:left="1120"/>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"_Toc16506" </w:instrText>
      </w:r>
      <w:r>
        <w:rPr>
          <w:rFonts w:hint="eastAsia" w:ascii="宋体" w:hAnsi="宋体" w:eastAsia="宋体" w:cs="宋体"/>
          <w:color w:val="auto"/>
          <w:highlight w:val="none"/>
        </w:rPr>
        <w:fldChar w:fldCharType="separate"/>
      </w:r>
      <w:r>
        <w:rPr>
          <w:rFonts w:hint="eastAsia" w:ascii="宋体" w:hAnsi="宋体" w:eastAsia="宋体" w:cs="宋体"/>
          <w:color w:val="auto"/>
          <w:szCs w:val="24"/>
          <w:highlight w:val="none"/>
        </w:rPr>
        <w:t>四、采购有关说明</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_Toc16506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- 4 -</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2A07F8D7">
      <w:pPr>
        <w:pStyle w:val="31"/>
        <w:tabs>
          <w:tab w:val="right" w:leader="dot" w:pos="9412"/>
        </w:tabs>
        <w:ind w:left="1120"/>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"_Toc3514" </w:instrText>
      </w:r>
      <w:r>
        <w:rPr>
          <w:rFonts w:hint="eastAsia" w:ascii="宋体" w:hAnsi="宋体" w:eastAsia="宋体" w:cs="宋体"/>
          <w:color w:val="auto"/>
          <w:highlight w:val="none"/>
        </w:rPr>
        <w:fldChar w:fldCharType="separate"/>
      </w:r>
      <w:r>
        <w:rPr>
          <w:rFonts w:hint="eastAsia" w:ascii="宋体" w:hAnsi="宋体" w:eastAsia="宋体" w:cs="宋体"/>
          <w:color w:val="auto"/>
          <w:szCs w:val="24"/>
          <w:highlight w:val="none"/>
        </w:rPr>
        <w:t>五、保证金</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_Toc3514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- 4 -</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796557EF">
      <w:pPr>
        <w:pStyle w:val="31"/>
        <w:tabs>
          <w:tab w:val="right" w:leader="dot" w:pos="9412"/>
        </w:tabs>
        <w:ind w:left="1120"/>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"_Toc20247" </w:instrText>
      </w:r>
      <w:r>
        <w:rPr>
          <w:rFonts w:hint="eastAsia" w:ascii="宋体" w:hAnsi="宋体" w:eastAsia="宋体" w:cs="宋体"/>
          <w:color w:val="auto"/>
          <w:highlight w:val="none"/>
        </w:rPr>
        <w:fldChar w:fldCharType="separate"/>
      </w:r>
      <w:r>
        <w:rPr>
          <w:rFonts w:hint="eastAsia" w:ascii="宋体" w:hAnsi="宋体" w:eastAsia="宋体" w:cs="宋体"/>
          <w:color w:val="auto"/>
          <w:szCs w:val="24"/>
          <w:highlight w:val="none"/>
        </w:rPr>
        <w:t>六、其他有关规定</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_Toc20247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- 4 -</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1B255D1C">
      <w:pPr>
        <w:pStyle w:val="31"/>
        <w:tabs>
          <w:tab w:val="right" w:leader="dot" w:pos="9412"/>
        </w:tabs>
        <w:ind w:left="1120"/>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"_Toc7960" </w:instrText>
      </w:r>
      <w:r>
        <w:rPr>
          <w:rFonts w:hint="eastAsia" w:ascii="宋体" w:hAnsi="宋体" w:eastAsia="宋体" w:cs="宋体"/>
          <w:color w:val="auto"/>
          <w:highlight w:val="none"/>
        </w:rPr>
        <w:fldChar w:fldCharType="separate"/>
      </w:r>
      <w:r>
        <w:rPr>
          <w:rFonts w:hint="eastAsia" w:ascii="宋体" w:hAnsi="宋体" w:eastAsia="宋体" w:cs="宋体"/>
          <w:color w:val="auto"/>
          <w:szCs w:val="24"/>
          <w:highlight w:val="none"/>
        </w:rPr>
        <w:t>七、联系方式</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_Toc7960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- 5 -</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6171866D">
      <w:pPr>
        <w:pStyle w:val="49"/>
        <w:tabs>
          <w:tab w:val="right" w:leader="dot" w:pos="9412"/>
        </w:tabs>
        <w:ind w:left="560"/>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"_Toc1145" </w:instrText>
      </w:r>
      <w:r>
        <w:rPr>
          <w:rFonts w:hint="eastAsia" w:ascii="宋体" w:hAnsi="宋体" w:eastAsia="宋体" w:cs="宋体"/>
          <w:color w:val="auto"/>
          <w:highlight w:val="none"/>
        </w:rPr>
        <w:fldChar w:fldCharType="separate"/>
      </w:r>
      <w:r>
        <w:rPr>
          <w:rFonts w:hint="eastAsia" w:ascii="宋体" w:hAnsi="宋体" w:eastAsia="宋体" w:cs="宋体"/>
          <w:bCs/>
          <w:color w:val="auto"/>
          <w:szCs w:val="30"/>
          <w:highlight w:val="none"/>
        </w:rPr>
        <w:t>第二篇采购项目技术需求</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_Toc1145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6</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7568AD9E">
      <w:pPr>
        <w:pStyle w:val="49"/>
        <w:tabs>
          <w:tab w:val="right" w:leader="dot" w:pos="9412"/>
        </w:tabs>
        <w:ind w:left="560"/>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"_Toc24341" </w:instrText>
      </w:r>
      <w:r>
        <w:rPr>
          <w:rFonts w:hint="eastAsia" w:ascii="宋体" w:hAnsi="宋体" w:eastAsia="宋体" w:cs="宋体"/>
          <w:color w:val="auto"/>
          <w:highlight w:val="none"/>
        </w:rPr>
        <w:fldChar w:fldCharType="separate"/>
      </w:r>
      <w:r>
        <w:rPr>
          <w:rFonts w:hint="eastAsia" w:ascii="宋体" w:hAnsi="宋体" w:eastAsia="宋体" w:cs="宋体"/>
          <w:color w:val="auto"/>
          <w:szCs w:val="30"/>
          <w:highlight w:val="none"/>
        </w:rPr>
        <w:t>第三篇采购项目商务需求</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_Toc24341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7</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5BC50DBB">
      <w:pPr>
        <w:pStyle w:val="49"/>
        <w:tabs>
          <w:tab w:val="right" w:leader="dot" w:pos="9412"/>
        </w:tabs>
        <w:ind w:left="560"/>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"_Toc28614" </w:instrText>
      </w:r>
      <w:r>
        <w:rPr>
          <w:rFonts w:hint="eastAsia" w:ascii="宋体" w:hAnsi="宋体" w:eastAsia="宋体" w:cs="宋体"/>
          <w:color w:val="auto"/>
          <w:highlight w:val="none"/>
        </w:rPr>
        <w:fldChar w:fldCharType="separate"/>
      </w:r>
      <w:r>
        <w:rPr>
          <w:rFonts w:hint="eastAsia" w:ascii="宋体" w:hAnsi="宋体" w:eastAsia="宋体" w:cs="宋体"/>
          <w:bCs/>
          <w:color w:val="auto"/>
          <w:spacing w:val="-11"/>
          <w:szCs w:val="30"/>
          <w:highlight w:val="none"/>
        </w:rPr>
        <w:t>第四篇网上竞采程序及方法、评审标准、响应无效和</w:t>
      </w:r>
      <w:r>
        <w:rPr>
          <w:rFonts w:hint="eastAsia" w:ascii="宋体" w:hAnsi="宋体" w:eastAsia="宋体" w:cs="宋体"/>
          <w:bCs/>
          <w:color w:val="auto"/>
          <w:spacing w:val="-11"/>
          <w:szCs w:val="36"/>
          <w:highlight w:val="none"/>
        </w:rPr>
        <w:t>采购终止</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_Toc28614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11</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1F249E35">
      <w:pPr>
        <w:pStyle w:val="31"/>
        <w:tabs>
          <w:tab w:val="right" w:leader="dot" w:pos="9412"/>
        </w:tabs>
        <w:ind w:left="1120"/>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"_Toc18690" </w:instrText>
      </w:r>
      <w:r>
        <w:rPr>
          <w:rFonts w:hint="eastAsia" w:ascii="宋体" w:hAnsi="宋体" w:eastAsia="宋体" w:cs="宋体"/>
          <w:color w:val="auto"/>
          <w:highlight w:val="none"/>
        </w:rPr>
        <w:fldChar w:fldCharType="separate"/>
      </w:r>
      <w:r>
        <w:rPr>
          <w:rFonts w:hint="eastAsia" w:ascii="宋体" w:hAnsi="宋体" w:eastAsia="宋体" w:cs="宋体"/>
          <w:color w:val="auto"/>
          <w:szCs w:val="24"/>
          <w:highlight w:val="none"/>
        </w:rPr>
        <w:t>一、网上竞采程序及方法</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_Toc18690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11</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57044562">
      <w:pPr>
        <w:pStyle w:val="31"/>
        <w:tabs>
          <w:tab w:val="right" w:leader="dot" w:pos="9412"/>
        </w:tabs>
        <w:ind w:left="1120"/>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"_Toc18411" </w:instrText>
      </w:r>
      <w:r>
        <w:rPr>
          <w:rFonts w:hint="eastAsia" w:ascii="宋体" w:hAnsi="宋体" w:eastAsia="宋体" w:cs="宋体"/>
          <w:color w:val="auto"/>
          <w:highlight w:val="none"/>
        </w:rPr>
        <w:fldChar w:fldCharType="separate"/>
      </w:r>
      <w:r>
        <w:rPr>
          <w:rFonts w:hint="eastAsia" w:ascii="宋体" w:hAnsi="宋体" w:eastAsia="宋体" w:cs="宋体"/>
          <w:color w:val="auto"/>
          <w:szCs w:val="24"/>
          <w:highlight w:val="none"/>
        </w:rPr>
        <w:t>二、评审标准</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_Toc18411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12</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61AF9A2B">
      <w:pPr>
        <w:pStyle w:val="31"/>
        <w:tabs>
          <w:tab w:val="right" w:leader="dot" w:pos="9412"/>
        </w:tabs>
        <w:ind w:left="1120"/>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"_Toc25094" </w:instrText>
      </w:r>
      <w:r>
        <w:rPr>
          <w:rFonts w:hint="eastAsia" w:ascii="宋体" w:hAnsi="宋体" w:eastAsia="宋体" w:cs="宋体"/>
          <w:color w:val="auto"/>
          <w:highlight w:val="none"/>
        </w:rPr>
        <w:fldChar w:fldCharType="separate"/>
      </w:r>
      <w:r>
        <w:rPr>
          <w:rFonts w:hint="eastAsia" w:ascii="宋体" w:hAnsi="宋体" w:eastAsia="宋体" w:cs="宋体"/>
          <w:color w:val="auto"/>
          <w:szCs w:val="24"/>
          <w:highlight w:val="none"/>
        </w:rPr>
        <w:t>三、响应无效</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_Toc25094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12</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6639F7F3">
      <w:pPr>
        <w:pStyle w:val="31"/>
        <w:tabs>
          <w:tab w:val="right" w:leader="dot" w:pos="9412"/>
        </w:tabs>
        <w:ind w:left="1120"/>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"_Toc27425" </w:instrText>
      </w:r>
      <w:r>
        <w:rPr>
          <w:rFonts w:hint="eastAsia" w:ascii="宋体" w:hAnsi="宋体" w:eastAsia="宋体" w:cs="宋体"/>
          <w:color w:val="auto"/>
          <w:highlight w:val="none"/>
        </w:rPr>
        <w:fldChar w:fldCharType="separate"/>
      </w:r>
      <w:r>
        <w:rPr>
          <w:rFonts w:hint="eastAsia" w:ascii="宋体" w:hAnsi="宋体" w:eastAsia="宋体" w:cs="宋体"/>
          <w:color w:val="auto"/>
          <w:szCs w:val="24"/>
          <w:highlight w:val="none"/>
        </w:rPr>
        <w:t>四、采购终止</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_Toc27425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13</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6225CDC6">
      <w:pPr>
        <w:pStyle w:val="49"/>
        <w:tabs>
          <w:tab w:val="right" w:leader="dot" w:pos="9412"/>
        </w:tabs>
        <w:ind w:left="560"/>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"_Toc13753" </w:instrText>
      </w:r>
      <w:r>
        <w:rPr>
          <w:rFonts w:hint="eastAsia" w:ascii="宋体" w:hAnsi="宋体" w:eastAsia="宋体" w:cs="宋体"/>
          <w:color w:val="auto"/>
          <w:highlight w:val="none"/>
        </w:rPr>
        <w:fldChar w:fldCharType="separate"/>
      </w:r>
      <w:r>
        <w:rPr>
          <w:rFonts w:hint="eastAsia" w:ascii="宋体" w:hAnsi="宋体" w:eastAsia="宋体" w:cs="宋体"/>
          <w:bCs/>
          <w:color w:val="auto"/>
          <w:spacing w:val="-11"/>
          <w:szCs w:val="30"/>
          <w:highlight w:val="none"/>
        </w:rPr>
        <w:t>第五篇供应商须知</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_Toc13753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14</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3B9AB50F">
      <w:pPr>
        <w:pStyle w:val="31"/>
        <w:tabs>
          <w:tab w:val="right" w:leader="dot" w:pos="9412"/>
        </w:tabs>
        <w:ind w:left="1120"/>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"_Toc8105" </w:instrText>
      </w:r>
      <w:r>
        <w:rPr>
          <w:rFonts w:hint="eastAsia" w:ascii="宋体" w:hAnsi="宋体" w:eastAsia="宋体" w:cs="宋体"/>
          <w:color w:val="auto"/>
          <w:highlight w:val="none"/>
        </w:rPr>
        <w:fldChar w:fldCharType="separate"/>
      </w:r>
      <w:r>
        <w:rPr>
          <w:rFonts w:hint="eastAsia" w:ascii="宋体" w:hAnsi="宋体" w:eastAsia="宋体" w:cs="宋体"/>
          <w:color w:val="auto"/>
          <w:szCs w:val="24"/>
          <w:highlight w:val="none"/>
        </w:rPr>
        <w:t>一、网上竞采费用</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_Toc8105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14</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70E80D47">
      <w:pPr>
        <w:pStyle w:val="31"/>
        <w:tabs>
          <w:tab w:val="right" w:leader="dot" w:pos="9412"/>
        </w:tabs>
        <w:ind w:left="1120"/>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"_Toc21089" </w:instrText>
      </w:r>
      <w:r>
        <w:rPr>
          <w:rFonts w:hint="eastAsia" w:ascii="宋体" w:hAnsi="宋体" w:eastAsia="宋体" w:cs="宋体"/>
          <w:color w:val="auto"/>
          <w:highlight w:val="none"/>
        </w:rPr>
        <w:fldChar w:fldCharType="separate"/>
      </w:r>
      <w:r>
        <w:rPr>
          <w:rFonts w:hint="eastAsia" w:ascii="宋体" w:hAnsi="宋体" w:eastAsia="宋体" w:cs="宋体"/>
          <w:color w:val="auto"/>
          <w:szCs w:val="24"/>
          <w:highlight w:val="none"/>
        </w:rPr>
        <w:t>二、网上竞采文件</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_Toc21089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14</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143C954C">
      <w:pPr>
        <w:pStyle w:val="31"/>
        <w:tabs>
          <w:tab w:val="right" w:leader="dot" w:pos="9412"/>
        </w:tabs>
        <w:ind w:left="1120"/>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"_Toc16269" </w:instrText>
      </w:r>
      <w:r>
        <w:rPr>
          <w:rFonts w:hint="eastAsia" w:ascii="宋体" w:hAnsi="宋体" w:eastAsia="宋体" w:cs="宋体"/>
          <w:color w:val="auto"/>
          <w:highlight w:val="none"/>
        </w:rPr>
        <w:fldChar w:fldCharType="separate"/>
      </w:r>
      <w:r>
        <w:rPr>
          <w:rFonts w:hint="eastAsia" w:ascii="宋体" w:hAnsi="宋体" w:eastAsia="宋体" w:cs="宋体"/>
          <w:color w:val="auto"/>
          <w:szCs w:val="24"/>
          <w:highlight w:val="none"/>
        </w:rPr>
        <w:t>三、网上竞采要求</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_Toc16269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14</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39885513">
      <w:pPr>
        <w:pStyle w:val="31"/>
        <w:tabs>
          <w:tab w:val="right" w:leader="dot" w:pos="9412"/>
        </w:tabs>
        <w:ind w:left="1120"/>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"_Toc9018" </w:instrText>
      </w:r>
      <w:r>
        <w:rPr>
          <w:rFonts w:hint="eastAsia" w:ascii="宋体" w:hAnsi="宋体" w:eastAsia="宋体" w:cs="宋体"/>
          <w:color w:val="auto"/>
          <w:highlight w:val="none"/>
        </w:rPr>
        <w:fldChar w:fldCharType="separate"/>
      </w:r>
      <w:r>
        <w:rPr>
          <w:rFonts w:hint="eastAsia" w:ascii="宋体" w:hAnsi="宋体" w:eastAsia="宋体" w:cs="宋体"/>
          <w:color w:val="auto"/>
          <w:szCs w:val="24"/>
          <w:highlight w:val="none"/>
        </w:rPr>
        <w:t>四、成交供应商的确认和变更</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_Toc9018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15</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00FE7336">
      <w:pPr>
        <w:pStyle w:val="31"/>
        <w:tabs>
          <w:tab w:val="right" w:leader="dot" w:pos="9412"/>
        </w:tabs>
        <w:ind w:left="1120"/>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"_Toc1297" </w:instrText>
      </w:r>
      <w:r>
        <w:rPr>
          <w:rFonts w:hint="eastAsia" w:ascii="宋体" w:hAnsi="宋体" w:eastAsia="宋体" w:cs="宋体"/>
          <w:color w:val="auto"/>
          <w:highlight w:val="none"/>
        </w:rPr>
        <w:fldChar w:fldCharType="separate"/>
      </w:r>
      <w:r>
        <w:rPr>
          <w:rFonts w:hint="eastAsia" w:ascii="宋体" w:hAnsi="宋体" w:eastAsia="宋体" w:cs="宋体"/>
          <w:color w:val="auto"/>
          <w:szCs w:val="24"/>
          <w:highlight w:val="none"/>
        </w:rPr>
        <w:t>五、成交通知</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_Toc1297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15</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4CF57A52">
      <w:pPr>
        <w:pStyle w:val="31"/>
        <w:tabs>
          <w:tab w:val="right" w:leader="dot" w:pos="9412"/>
        </w:tabs>
        <w:ind w:left="1120"/>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"_Toc19876" </w:instrText>
      </w:r>
      <w:r>
        <w:rPr>
          <w:rFonts w:hint="eastAsia" w:ascii="宋体" w:hAnsi="宋体" w:eastAsia="宋体" w:cs="宋体"/>
          <w:color w:val="auto"/>
          <w:highlight w:val="none"/>
        </w:rPr>
        <w:fldChar w:fldCharType="separate"/>
      </w:r>
      <w:r>
        <w:rPr>
          <w:rFonts w:hint="eastAsia" w:ascii="宋体" w:hAnsi="宋体" w:eastAsia="宋体" w:cs="宋体"/>
          <w:color w:val="auto"/>
          <w:szCs w:val="24"/>
          <w:highlight w:val="none"/>
        </w:rPr>
        <w:t>六、采购代理服务费</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_Toc19876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16</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5AC3C327">
      <w:pPr>
        <w:pStyle w:val="31"/>
        <w:tabs>
          <w:tab w:val="right" w:leader="dot" w:pos="9412"/>
        </w:tabs>
        <w:ind w:left="1120"/>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"_Toc11155" </w:instrText>
      </w:r>
      <w:r>
        <w:rPr>
          <w:rFonts w:hint="eastAsia" w:ascii="宋体" w:hAnsi="宋体" w:eastAsia="宋体" w:cs="宋体"/>
          <w:color w:val="auto"/>
          <w:highlight w:val="none"/>
        </w:rPr>
        <w:fldChar w:fldCharType="separate"/>
      </w:r>
      <w:r>
        <w:rPr>
          <w:rFonts w:hint="eastAsia" w:ascii="宋体" w:hAnsi="宋体" w:eastAsia="宋体" w:cs="宋体"/>
          <w:color w:val="auto"/>
          <w:szCs w:val="24"/>
          <w:highlight w:val="none"/>
        </w:rPr>
        <w:t>七、关于质疑和投诉</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_Toc11155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16</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356177A2">
      <w:pPr>
        <w:pStyle w:val="31"/>
        <w:tabs>
          <w:tab w:val="right" w:leader="dot" w:pos="9412"/>
        </w:tabs>
        <w:ind w:left="1120"/>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"_Toc9469" </w:instrText>
      </w:r>
      <w:r>
        <w:rPr>
          <w:rFonts w:hint="eastAsia" w:ascii="宋体" w:hAnsi="宋体" w:eastAsia="宋体" w:cs="宋体"/>
          <w:color w:val="auto"/>
          <w:highlight w:val="none"/>
        </w:rPr>
        <w:fldChar w:fldCharType="separate"/>
      </w:r>
      <w:r>
        <w:rPr>
          <w:rFonts w:hint="eastAsia" w:ascii="宋体" w:hAnsi="宋体" w:eastAsia="宋体" w:cs="宋体"/>
          <w:color w:val="auto"/>
          <w:szCs w:val="24"/>
          <w:highlight w:val="none"/>
        </w:rPr>
        <w:t>八、签订合同</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_Toc9469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17</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7E5627B7">
      <w:pPr>
        <w:pStyle w:val="49"/>
        <w:tabs>
          <w:tab w:val="right" w:leader="dot" w:pos="9412"/>
        </w:tabs>
        <w:ind w:left="560"/>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"_Toc4239" </w:instrText>
      </w:r>
      <w:r>
        <w:rPr>
          <w:rFonts w:hint="eastAsia" w:ascii="宋体" w:hAnsi="宋体" w:eastAsia="宋体" w:cs="宋体"/>
          <w:color w:val="auto"/>
          <w:highlight w:val="none"/>
        </w:rPr>
        <w:fldChar w:fldCharType="separate"/>
      </w:r>
      <w:r>
        <w:rPr>
          <w:rFonts w:hint="eastAsia" w:ascii="宋体" w:hAnsi="宋体" w:eastAsia="宋体" w:cs="宋体"/>
          <w:color w:val="auto"/>
          <w:szCs w:val="30"/>
          <w:highlight w:val="none"/>
        </w:rPr>
        <w:t>第六篇合同草案条款和格式合同（模板）</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_Toc4239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20</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314C7E51">
      <w:pPr>
        <w:pStyle w:val="31"/>
        <w:tabs>
          <w:tab w:val="right" w:leader="dot" w:pos="9412"/>
        </w:tabs>
        <w:ind w:left="1120"/>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"_Toc21017" </w:instrText>
      </w:r>
      <w:r>
        <w:rPr>
          <w:rFonts w:hint="eastAsia" w:ascii="宋体" w:hAnsi="宋体" w:eastAsia="宋体" w:cs="宋体"/>
          <w:color w:val="auto"/>
          <w:highlight w:val="none"/>
        </w:rPr>
        <w:fldChar w:fldCharType="separate"/>
      </w:r>
      <w:r>
        <w:rPr>
          <w:rFonts w:hint="eastAsia" w:ascii="宋体" w:hAnsi="宋体" w:eastAsia="宋体" w:cs="宋体"/>
          <w:color w:val="auto"/>
          <w:szCs w:val="24"/>
          <w:highlight w:val="none"/>
        </w:rPr>
        <w:t>一、经济部分</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_Toc21017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- 50 -</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4B7D570F">
      <w:pPr>
        <w:pStyle w:val="31"/>
        <w:tabs>
          <w:tab w:val="right" w:leader="dot" w:pos="9412"/>
        </w:tabs>
        <w:ind w:left="1120"/>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"_Toc7588" </w:instrText>
      </w:r>
      <w:r>
        <w:rPr>
          <w:rFonts w:hint="eastAsia" w:ascii="宋体" w:hAnsi="宋体" w:eastAsia="宋体" w:cs="宋体"/>
          <w:color w:val="auto"/>
          <w:highlight w:val="none"/>
        </w:rPr>
        <w:fldChar w:fldCharType="separate"/>
      </w:r>
      <w:r>
        <w:rPr>
          <w:rFonts w:hint="eastAsia" w:ascii="宋体" w:hAnsi="宋体" w:eastAsia="宋体" w:cs="宋体"/>
          <w:color w:val="auto"/>
          <w:szCs w:val="24"/>
          <w:highlight w:val="none"/>
        </w:rPr>
        <w:t>二、技术部分</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_Toc7588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- 52 -</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34F11170">
      <w:pPr>
        <w:pStyle w:val="31"/>
        <w:tabs>
          <w:tab w:val="right" w:leader="dot" w:pos="9412"/>
        </w:tabs>
        <w:ind w:left="1120"/>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"_Toc29626" </w:instrText>
      </w:r>
      <w:r>
        <w:rPr>
          <w:rFonts w:hint="eastAsia" w:ascii="宋体" w:hAnsi="宋体" w:eastAsia="宋体" w:cs="宋体"/>
          <w:color w:val="auto"/>
          <w:highlight w:val="none"/>
        </w:rPr>
        <w:fldChar w:fldCharType="separate"/>
      </w:r>
      <w:r>
        <w:rPr>
          <w:rFonts w:hint="eastAsia" w:ascii="宋体" w:hAnsi="宋体" w:eastAsia="宋体" w:cs="宋体"/>
          <w:color w:val="auto"/>
          <w:szCs w:val="24"/>
          <w:highlight w:val="none"/>
        </w:rPr>
        <w:t>三、商务部分</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_Toc29626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- 54 -</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39FCE68A">
      <w:pPr>
        <w:pStyle w:val="31"/>
        <w:tabs>
          <w:tab w:val="right" w:leader="dot" w:pos="9412"/>
        </w:tabs>
        <w:ind w:left="1120"/>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"_Toc19396" </w:instrText>
      </w:r>
      <w:r>
        <w:rPr>
          <w:rFonts w:hint="eastAsia" w:ascii="宋体" w:hAnsi="宋体" w:eastAsia="宋体" w:cs="宋体"/>
          <w:color w:val="auto"/>
          <w:highlight w:val="none"/>
        </w:rPr>
        <w:fldChar w:fldCharType="separate"/>
      </w:r>
      <w:r>
        <w:rPr>
          <w:rFonts w:hint="eastAsia" w:ascii="宋体" w:hAnsi="宋体" w:eastAsia="宋体" w:cs="宋体"/>
          <w:color w:val="auto"/>
          <w:szCs w:val="24"/>
          <w:highlight w:val="none"/>
        </w:rPr>
        <w:t>四、资格条件及其他</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_Toc19396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- 56 -</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389B3F29">
      <w:pPr>
        <w:pStyle w:val="31"/>
        <w:tabs>
          <w:tab w:val="right" w:leader="dot" w:pos="9412"/>
        </w:tabs>
        <w:ind w:left="1120"/>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"_Toc26481" </w:instrText>
      </w:r>
      <w:r>
        <w:rPr>
          <w:rFonts w:hint="eastAsia" w:ascii="宋体" w:hAnsi="宋体" w:eastAsia="宋体" w:cs="宋体"/>
          <w:color w:val="auto"/>
          <w:highlight w:val="none"/>
        </w:rPr>
        <w:fldChar w:fldCharType="separate"/>
      </w:r>
      <w:r>
        <w:rPr>
          <w:rFonts w:hint="eastAsia" w:ascii="宋体" w:hAnsi="宋体" w:eastAsia="宋体" w:cs="宋体"/>
          <w:color w:val="auto"/>
          <w:szCs w:val="24"/>
          <w:highlight w:val="none"/>
        </w:rPr>
        <w:t>五、其他应提供的资料</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_Toc26481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- 61 -</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fldChar w:fldCharType="end"/>
      </w:r>
    </w:p>
    <w:p w14:paraId="0C080483">
      <w:pPr>
        <w:pStyle w:val="49"/>
        <w:tabs>
          <w:tab w:val="right" w:leader="dot" w:pos="9402"/>
        </w:tabs>
        <w:spacing w:line="480" w:lineRule="exact"/>
        <w:ind w:left="560"/>
        <w:jc w:val="center"/>
        <w:rPr>
          <w:rFonts w:hint="eastAsia" w:ascii="宋体" w:hAnsi="宋体" w:eastAsia="宋体" w:cs="宋体"/>
          <w:color w:val="auto"/>
          <w:sz w:val="18"/>
          <w:szCs w:val="22"/>
          <w:highlight w:val="none"/>
        </w:rPr>
        <w:sectPr>
          <w:headerReference r:id="rId3" w:type="default"/>
          <w:footerReference r:id="rId4" w:type="default"/>
          <w:pgSz w:w="11907" w:h="16840"/>
          <w:pgMar w:top="1134" w:right="1191" w:bottom="1134" w:left="1304" w:header="851" w:footer="992" w:gutter="0"/>
          <w:pgNumType w:fmt="numberInDash" w:start="1"/>
          <w:cols w:space="720" w:num="1"/>
          <w:docGrid w:linePitch="380" w:charSpace="-5735"/>
        </w:sectPr>
      </w:pPr>
      <w:r>
        <w:rPr>
          <w:rFonts w:hint="eastAsia" w:ascii="宋体" w:hAnsi="宋体" w:eastAsia="宋体" w:cs="宋体"/>
          <w:color w:val="auto"/>
          <w:szCs w:val="24"/>
          <w:highlight w:val="none"/>
        </w:rPr>
        <w:fldChar w:fldCharType="end"/>
      </w:r>
    </w:p>
    <w:p w14:paraId="3B1CA05C">
      <w:pPr>
        <w:pStyle w:val="4"/>
        <w:spacing w:line="360" w:lineRule="auto"/>
        <w:jc w:val="center"/>
        <w:rPr>
          <w:rFonts w:hint="eastAsia" w:ascii="宋体" w:hAnsi="宋体" w:eastAsia="宋体" w:cs="宋体"/>
          <w:bCs/>
          <w:color w:val="auto"/>
          <w:szCs w:val="30"/>
          <w:highlight w:val="none"/>
        </w:rPr>
      </w:pPr>
      <w:bookmarkStart w:id="15" w:name="_Toc12789052"/>
      <w:bookmarkStart w:id="16" w:name="_Toc21521"/>
      <w:bookmarkStart w:id="17" w:name="_Toc11641050"/>
      <w:r>
        <w:rPr>
          <w:rFonts w:hint="eastAsia" w:ascii="宋体" w:hAnsi="宋体" w:eastAsia="宋体" w:cs="宋体"/>
          <w:bCs/>
          <w:color w:val="auto"/>
          <w:sz w:val="36"/>
          <w:szCs w:val="30"/>
          <w:highlight w:val="none"/>
        </w:rPr>
        <w:t>第一篇采购邀请书</w:t>
      </w:r>
      <w:bookmarkEnd w:id="15"/>
      <w:bookmarkEnd w:id="16"/>
      <w:bookmarkEnd w:id="17"/>
    </w:p>
    <w:p w14:paraId="76420894">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u w:val="single"/>
          <w:lang w:eastAsia="zh-CN"/>
        </w:rPr>
        <w:t>重庆睿采通招标代理有限公司</w:t>
      </w:r>
      <w:r>
        <w:rPr>
          <w:rFonts w:hint="eastAsia" w:ascii="宋体" w:hAnsi="宋体" w:eastAsia="宋体" w:cs="宋体"/>
          <w:color w:val="auto"/>
          <w:sz w:val="24"/>
          <w:szCs w:val="24"/>
          <w:highlight w:val="none"/>
        </w:rPr>
        <w:t>（以下简称：采购代理机构）接受</w:t>
      </w:r>
      <w:r>
        <w:rPr>
          <w:rFonts w:hint="eastAsia" w:ascii="宋体" w:hAnsi="宋体" w:cs="宋体"/>
          <w:color w:val="auto"/>
          <w:sz w:val="24"/>
          <w:szCs w:val="24"/>
          <w:highlight w:val="none"/>
          <w:u w:val="single"/>
          <w:lang w:eastAsia="zh-CN"/>
        </w:rPr>
        <w:t>秀山土家族苗族自治县洪安镇中心卫生院</w:t>
      </w:r>
      <w:r>
        <w:rPr>
          <w:rFonts w:hint="eastAsia" w:ascii="宋体" w:hAnsi="宋体" w:eastAsia="宋体" w:cs="宋体"/>
          <w:color w:val="auto"/>
          <w:sz w:val="24"/>
          <w:szCs w:val="24"/>
          <w:highlight w:val="none"/>
        </w:rPr>
        <w:t>的委托，对</w:t>
      </w:r>
      <w:r>
        <w:rPr>
          <w:rFonts w:hint="eastAsia" w:ascii="宋体" w:hAnsi="宋体" w:cs="宋体"/>
          <w:color w:val="auto"/>
          <w:sz w:val="24"/>
          <w:szCs w:val="24"/>
          <w:highlight w:val="none"/>
          <w:u w:val="single"/>
          <w:lang w:eastAsia="zh-CN"/>
        </w:rPr>
        <w:t>秀山县洪安镇中心卫生院改造项目</w:t>
      </w:r>
      <w:r>
        <w:rPr>
          <w:rFonts w:hint="eastAsia" w:ascii="宋体" w:hAnsi="宋体" w:eastAsia="宋体" w:cs="宋体"/>
          <w:color w:val="auto"/>
          <w:sz w:val="24"/>
          <w:szCs w:val="24"/>
          <w:highlight w:val="none"/>
        </w:rPr>
        <w:t>进行网上竞采。欢迎有资格的供应商前来参与网上竞采。</w:t>
      </w:r>
    </w:p>
    <w:p w14:paraId="0962633C">
      <w:pPr>
        <w:pStyle w:val="5"/>
        <w:numPr>
          <w:ilvl w:val="0"/>
          <w:numId w:val="14"/>
        </w:numPr>
        <w:spacing w:before="240" w:beforeLines="100" w:after="0" w:line="360" w:lineRule="auto"/>
        <w:rPr>
          <w:rFonts w:hint="eastAsia" w:ascii="宋体" w:hAnsi="宋体" w:eastAsia="宋体" w:cs="宋体"/>
          <w:color w:val="auto"/>
          <w:sz w:val="24"/>
          <w:szCs w:val="24"/>
          <w:highlight w:val="none"/>
        </w:rPr>
      </w:pPr>
      <w:bookmarkStart w:id="18" w:name="_Toc317775175"/>
      <w:bookmarkStart w:id="19" w:name="_Toc5721"/>
      <w:bookmarkStart w:id="20" w:name="_Toc313893526"/>
      <w:bookmarkStart w:id="21" w:name="_Toc2406"/>
      <w:bookmarkStart w:id="22" w:name="_Toc373860293"/>
      <w:bookmarkStart w:id="23" w:name="_Toc317775178"/>
      <w:r>
        <w:rPr>
          <w:rFonts w:hint="eastAsia" w:ascii="宋体" w:hAnsi="宋体" w:eastAsia="宋体" w:cs="宋体"/>
          <w:color w:val="auto"/>
          <w:sz w:val="24"/>
          <w:szCs w:val="24"/>
          <w:highlight w:val="none"/>
        </w:rPr>
        <w:t>采购内容</w:t>
      </w:r>
      <w:bookmarkEnd w:id="18"/>
      <w:bookmarkEnd w:id="19"/>
      <w:bookmarkEnd w:id="20"/>
      <w:bookmarkEnd w:id="21"/>
    </w:p>
    <w:tbl>
      <w:tblPr>
        <w:tblStyle w:val="61"/>
        <w:tblW w:w="78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52"/>
        <w:gridCol w:w="2793"/>
        <w:gridCol w:w="1534"/>
      </w:tblGrid>
      <w:tr w14:paraId="6B814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3552" w:type="dxa"/>
            <w:tcBorders>
              <w:top w:val="single" w:color="auto" w:sz="4" w:space="0"/>
              <w:left w:val="single" w:color="auto" w:sz="4" w:space="0"/>
              <w:right w:val="single" w:color="auto" w:sz="4" w:space="0"/>
            </w:tcBorders>
            <w:vAlign w:val="center"/>
          </w:tcPr>
          <w:p w14:paraId="32CBBE16">
            <w:pPr>
              <w:widowControl/>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项目名称</w:t>
            </w:r>
          </w:p>
        </w:tc>
        <w:tc>
          <w:tcPr>
            <w:tcW w:w="2793" w:type="dxa"/>
            <w:tcBorders>
              <w:top w:val="single" w:color="auto" w:sz="4" w:space="0"/>
              <w:left w:val="single" w:color="auto" w:sz="4" w:space="0"/>
              <w:right w:val="single" w:color="auto" w:sz="4" w:space="0"/>
            </w:tcBorders>
            <w:vAlign w:val="center"/>
          </w:tcPr>
          <w:p w14:paraId="2467681F">
            <w:pPr>
              <w:widowControl/>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最高限价</w:t>
            </w:r>
          </w:p>
          <w:p w14:paraId="7B3C7681">
            <w:pPr>
              <w:widowControl/>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（元）</w:t>
            </w:r>
          </w:p>
        </w:tc>
        <w:tc>
          <w:tcPr>
            <w:tcW w:w="1534" w:type="dxa"/>
            <w:tcBorders>
              <w:top w:val="single" w:color="auto" w:sz="4" w:space="0"/>
              <w:left w:val="single" w:color="auto" w:sz="4" w:space="0"/>
              <w:right w:val="single" w:color="auto" w:sz="4" w:space="0"/>
            </w:tcBorders>
            <w:vAlign w:val="center"/>
          </w:tcPr>
          <w:p w14:paraId="1BBBD370">
            <w:pPr>
              <w:widowControl/>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eastAsia="zh-CN"/>
              </w:rPr>
              <w:t>中标人</w:t>
            </w:r>
            <w:r>
              <w:rPr>
                <w:rFonts w:hint="eastAsia" w:ascii="宋体" w:hAnsi="宋体" w:eastAsia="宋体" w:cs="宋体"/>
                <w:b/>
                <w:bCs/>
                <w:color w:val="auto"/>
                <w:kern w:val="0"/>
                <w:sz w:val="24"/>
                <w:szCs w:val="24"/>
                <w:highlight w:val="none"/>
              </w:rPr>
              <w:t>数量（名）</w:t>
            </w:r>
          </w:p>
        </w:tc>
      </w:tr>
      <w:tr w14:paraId="1BB21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atLeast"/>
          <w:jc w:val="center"/>
        </w:trPr>
        <w:tc>
          <w:tcPr>
            <w:tcW w:w="3552" w:type="dxa"/>
            <w:tcBorders>
              <w:top w:val="single" w:color="auto" w:sz="4" w:space="0"/>
              <w:left w:val="single" w:color="auto" w:sz="4" w:space="0"/>
              <w:right w:val="single" w:color="auto" w:sz="4" w:space="0"/>
            </w:tcBorders>
            <w:vAlign w:val="center"/>
          </w:tcPr>
          <w:p w14:paraId="52FCA17D">
            <w:pPr>
              <w:jc w:val="center"/>
              <w:rPr>
                <w:rFonts w:hint="eastAsia" w:ascii="宋体" w:hAnsi="宋体" w:eastAsia="宋体" w:cs="宋体"/>
                <w:color w:val="auto"/>
                <w:sz w:val="24"/>
                <w:szCs w:val="24"/>
                <w:highlight w:val="none"/>
                <w:lang w:eastAsia="zh-CN"/>
              </w:rPr>
            </w:pPr>
            <w:bookmarkStart w:id="24" w:name="_Hlk344477914"/>
            <w:r>
              <w:rPr>
                <w:rFonts w:hint="eastAsia" w:ascii="宋体" w:hAnsi="宋体" w:cs="宋体"/>
                <w:color w:val="auto"/>
                <w:sz w:val="24"/>
                <w:szCs w:val="24"/>
                <w:highlight w:val="none"/>
                <w:lang w:eastAsia="zh-CN"/>
              </w:rPr>
              <w:t>秀山县洪安镇中心卫生院改造项目</w:t>
            </w:r>
          </w:p>
        </w:tc>
        <w:tc>
          <w:tcPr>
            <w:tcW w:w="2793" w:type="dxa"/>
            <w:tcBorders>
              <w:top w:val="single" w:color="auto" w:sz="4" w:space="0"/>
              <w:left w:val="single" w:color="auto" w:sz="4" w:space="0"/>
              <w:right w:val="single" w:color="auto" w:sz="4" w:space="0"/>
            </w:tcBorders>
            <w:vAlign w:val="center"/>
          </w:tcPr>
          <w:p w14:paraId="5F01321B">
            <w:pPr>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962179.12元</w:t>
            </w:r>
          </w:p>
        </w:tc>
        <w:tc>
          <w:tcPr>
            <w:tcW w:w="1534" w:type="dxa"/>
            <w:tcBorders>
              <w:top w:val="single" w:color="auto" w:sz="4" w:space="0"/>
              <w:left w:val="single" w:color="auto" w:sz="4" w:space="0"/>
              <w:right w:val="single" w:color="auto" w:sz="4" w:space="0"/>
            </w:tcBorders>
            <w:vAlign w:val="center"/>
          </w:tcPr>
          <w:p w14:paraId="73FA5F6B">
            <w:pPr>
              <w:widowControl/>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1"/>
                <w:szCs w:val="24"/>
                <w:highlight w:val="none"/>
                <w:lang w:val="en-US" w:eastAsia="zh-CN"/>
              </w:rPr>
              <w:t>1</w:t>
            </w:r>
          </w:p>
        </w:tc>
      </w:tr>
      <w:bookmarkEnd w:id="24"/>
    </w:tbl>
    <w:p w14:paraId="30D18915">
      <w:pPr>
        <w:pStyle w:val="5"/>
        <w:spacing w:before="240" w:beforeLines="100" w:after="0" w:line="360" w:lineRule="auto"/>
        <w:rPr>
          <w:rFonts w:hint="eastAsia" w:ascii="宋体" w:hAnsi="宋体" w:eastAsia="宋体" w:cs="宋体"/>
          <w:color w:val="auto"/>
          <w:sz w:val="24"/>
          <w:szCs w:val="24"/>
          <w:highlight w:val="none"/>
        </w:rPr>
      </w:pPr>
      <w:bookmarkStart w:id="25" w:name="_Toc1752"/>
      <w:bookmarkStart w:id="26" w:name="_Toc25538"/>
      <w:r>
        <w:rPr>
          <w:rFonts w:hint="eastAsia" w:ascii="宋体" w:hAnsi="宋体" w:eastAsia="宋体" w:cs="宋体"/>
          <w:color w:val="auto"/>
          <w:sz w:val="24"/>
          <w:szCs w:val="24"/>
          <w:highlight w:val="none"/>
        </w:rPr>
        <w:t>二、资金来源</w:t>
      </w:r>
      <w:bookmarkEnd w:id="25"/>
      <w:bookmarkEnd w:id="26"/>
    </w:p>
    <w:p w14:paraId="52CC7953">
      <w:pPr>
        <w:keepNext/>
        <w:keepLines/>
        <w:spacing w:line="400" w:lineRule="exact"/>
        <w:ind w:firstLine="480" w:firstLineChars="200"/>
        <w:rPr>
          <w:rFonts w:hint="eastAsia" w:ascii="宋体" w:hAnsi="宋体" w:eastAsia="宋体" w:cs="宋体"/>
          <w:bCs/>
          <w:color w:val="auto"/>
          <w:sz w:val="24"/>
          <w:szCs w:val="24"/>
          <w:highlight w:val="none"/>
        </w:rPr>
      </w:pPr>
      <w:bookmarkStart w:id="27" w:name="_Toc26791"/>
      <w:r>
        <w:rPr>
          <w:rFonts w:hint="eastAsia" w:ascii="宋体" w:hAnsi="宋体" w:cs="宋体"/>
          <w:bCs/>
          <w:color w:val="auto"/>
          <w:sz w:val="24"/>
          <w:szCs w:val="24"/>
          <w:highlight w:val="none"/>
          <w:lang w:val="en-US" w:eastAsia="zh-CN"/>
        </w:rPr>
        <w:t>业主自筹</w:t>
      </w:r>
      <w:r>
        <w:rPr>
          <w:rFonts w:hint="eastAsia" w:ascii="宋体" w:hAnsi="宋体" w:eastAsia="宋体" w:cs="宋体"/>
          <w:bCs/>
          <w:color w:val="auto"/>
          <w:sz w:val="24"/>
          <w:szCs w:val="24"/>
          <w:highlight w:val="none"/>
          <w:lang w:val="en-US" w:eastAsia="zh-CN"/>
        </w:rPr>
        <w:t>，预算金额为</w:t>
      </w:r>
      <w:r>
        <w:rPr>
          <w:rFonts w:hint="eastAsia" w:ascii="宋体" w:hAnsi="宋体" w:cs="宋体"/>
          <w:sz w:val="24"/>
          <w:szCs w:val="24"/>
          <w:lang w:val="en-US" w:eastAsia="zh-CN"/>
        </w:rPr>
        <w:t>962179.12</w:t>
      </w:r>
      <w:r>
        <w:rPr>
          <w:rFonts w:hint="eastAsia" w:ascii="宋体" w:hAnsi="宋体" w:eastAsia="宋体" w:cs="宋体"/>
          <w:bCs/>
          <w:color w:val="auto"/>
          <w:sz w:val="24"/>
          <w:szCs w:val="24"/>
          <w:highlight w:val="none"/>
          <w:lang w:val="en-US" w:eastAsia="zh-CN"/>
        </w:rPr>
        <w:t>元</w:t>
      </w:r>
      <w:r>
        <w:rPr>
          <w:rFonts w:hint="eastAsia" w:ascii="宋体" w:hAnsi="宋体" w:eastAsia="宋体" w:cs="宋体"/>
          <w:bCs/>
          <w:color w:val="auto"/>
          <w:sz w:val="24"/>
          <w:szCs w:val="24"/>
          <w:highlight w:val="none"/>
        </w:rPr>
        <w:t>。</w:t>
      </w:r>
      <w:bookmarkEnd w:id="27"/>
    </w:p>
    <w:p w14:paraId="2B0209E2">
      <w:pPr>
        <w:pStyle w:val="5"/>
        <w:spacing w:before="240" w:beforeLines="100" w:after="0" w:line="360" w:lineRule="auto"/>
        <w:rPr>
          <w:rFonts w:hint="eastAsia" w:ascii="宋体" w:hAnsi="宋体" w:eastAsia="宋体" w:cs="宋体"/>
          <w:color w:val="auto"/>
          <w:sz w:val="24"/>
          <w:szCs w:val="24"/>
          <w:highlight w:val="none"/>
        </w:rPr>
      </w:pPr>
      <w:bookmarkStart w:id="28" w:name="_Toc18111"/>
      <w:bookmarkStart w:id="29" w:name="_Toc27448"/>
      <w:r>
        <w:rPr>
          <w:rFonts w:hint="eastAsia" w:ascii="宋体" w:hAnsi="宋体" w:eastAsia="宋体" w:cs="宋体"/>
          <w:color w:val="auto"/>
          <w:sz w:val="24"/>
          <w:szCs w:val="24"/>
          <w:highlight w:val="none"/>
        </w:rPr>
        <w:t>三、供应商资格条件</w:t>
      </w:r>
      <w:bookmarkEnd w:id="28"/>
      <w:bookmarkEnd w:id="29"/>
    </w:p>
    <w:p w14:paraId="3997B08D">
      <w:pPr>
        <w:wordWrap w:val="0"/>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供应商是指向采购人提供服务或者货物的法人、其他组织或者自然人。合格的供应商应符合政府采购法第二十二条规定的基本资格条件</w:t>
      </w:r>
      <w:r>
        <w:rPr>
          <w:rFonts w:hint="eastAsia" w:ascii="宋体" w:hAnsi="宋体" w:eastAsia="宋体" w:cs="宋体"/>
          <w:color w:val="auto"/>
          <w:sz w:val="24"/>
          <w:szCs w:val="24"/>
          <w:highlight w:val="none"/>
          <w:lang w:eastAsia="zh-CN"/>
        </w:rPr>
        <w:t>。</w:t>
      </w:r>
    </w:p>
    <w:p w14:paraId="3ACFF368">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（一）基本资格条件</w:t>
      </w:r>
    </w:p>
    <w:p w14:paraId="7E86633A">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1、具有独立承担民事责任的能力；</w:t>
      </w:r>
    </w:p>
    <w:p w14:paraId="37E9B61D">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2、具有良好的商业信誉和健全的财务会计制度；</w:t>
      </w:r>
    </w:p>
    <w:p w14:paraId="1C9A9A3A">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3、具有履行合同所必需的设备和专业技术能力；</w:t>
      </w:r>
    </w:p>
    <w:p w14:paraId="24EA410C">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4、有依法缴纳税收和社会保障资金的良好记录；</w:t>
      </w:r>
    </w:p>
    <w:p w14:paraId="156924F5">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5、参加政府采购活动前三年内，在经营活动中没有重大违法记录；</w:t>
      </w:r>
    </w:p>
    <w:p w14:paraId="486D4CAF">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6、法律、行政法规规定的其他条件。</w:t>
      </w:r>
    </w:p>
    <w:p w14:paraId="550B680F">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二</w:t>
      </w:r>
      <w:r>
        <w:rPr>
          <w:rFonts w:hint="eastAsia" w:ascii="宋体" w:hAnsi="宋体" w:eastAsia="宋体" w:cs="宋体"/>
          <w:color w:val="auto"/>
          <w:sz w:val="24"/>
          <w:szCs w:val="24"/>
          <w:highlight w:val="none"/>
        </w:rPr>
        <w:t>）特定资格条件：</w:t>
      </w:r>
    </w:p>
    <w:p w14:paraId="48BED879">
      <w:pPr>
        <w:pStyle w:val="20"/>
        <w:ind w:firstLine="480" w:firstLineChars="200"/>
        <w:rPr>
          <w:rFonts w:hint="eastAsia" w:ascii="宋体" w:hAnsi="宋体" w:eastAsia="宋体" w:cs="宋体"/>
          <w:color w:val="auto"/>
          <w:kern w:val="2"/>
          <w:sz w:val="24"/>
          <w:szCs w:val="24"/>
          <w:highlight w:val="none"/>
          <w:lang w:val="en-US" w:eastAsia="zh-CN" w:bidi="ar-SA"/>
        </w:rPr>
      </w:pPr>
      <w:bookmarkStart w:id="30" w:name="_Toc16506"/>
      <w:r>
        <w:rPr>
          <w:rFonts w:hint="eastAsia" w:ascii="宋体" w:hAnsi="宋体" w:eastAsia="宋体" w:cs="宋体"/>
          <w:color w:val="auto"/>
          <w:kern w:val="2"/>
          <w:sz w:val="24"/>
          <w:szCs w:val="24"/>
          <w:highlight w:val="none"/>
          <w:lang w:val="en-US" w:eastAsia="zh-CN" w:bidi="ar-SA"/>
        </w:rPr>
        <w:t>1.供应商须具备建设行政主管部门颁发的建筑装修装饰工程专业承包贰级及以上资质。</w:t>
      </w:r>
    </w:p>
    <w:p w14:paraId="5C836D47">
      <w:pPr>
        <w:spacing w:line="40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2.供应商具备有效的营业执照。（提供有效的带二维码标识的营业执照复印件，加盖供应商公章）。</w:t>
      </w:r>
    </w:p>
    <w:p w14:paraId="00703801">
      <w:pPr>
        <w:pStyle w:val="5"/>
        <w:spacing w:before="0" w:after="0" w:line="360" w:lineRule="auto"/>
        <w:ind w:firstLine="480" w:firstLineChars="200"/>
        <w:rPr>
          <w:rFonts w:hint="eastAsia" w:ascii="宋体" w:hAnsi="宋体" w:eastAsia="宋体" w:cs="宋体"/>
          <w:b w:val="0"/>
          <w:bCs/>
          <w:color w:val="auto"/>
          <w:sz w:val="24"/>
          <w:highlight w:val="none"/>
          <w:lang w:val="en-US" w:eastAsia="zh-CN"/>
        </w:rPr>
      </w:pPr>
      <w:r>
        <w:rPr>
          <w:rFonts w:hint="eastAsia" w:ascii="宋体" w:hAnsi="宋体" w:eastAsia="宋体" w:cs="宋体"/>
          <w:b w:val="0"/>
          <w:bCs/>
          <w:color w:val="auto"/>
          <w:kern w:val="2"/>
          <w:sz w:val="24"/>
          <w:szCs w:val="24"/>
          <w:highlight w:val="none"/>
          <w:lang w:val="en-US" w:eastAsia="zh-CN" w:bidi="ar-SA"/>
        </w:rPr>
        <w:t>3.供应商具备建设行政主管部门颁发的有效的安全生产许可证。（提供证书扫描件并加盖供应商公章）。</w:t>
      </w:r>
    </w:p>
    <w:p w14:paraId="62631538">
      <w:pPr>
        <w:pStyle w:val="5"/>
        <w:spacing w:before="0" w:after="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四、采购有关说明</w:t>
      </w:r>
      <w:bookmarkEnd w:id="22"/>
      <w:bookmarkEnd w:id="30"/>
    </w:p>
    <w:p w14:paraId="579A164D">
      <w:pPr>
        <w:wordWrap w:val="0"/>
        <w:spacing w:line="360" w:lineRule="auto"/>
        <w:ind w:firstLine="480" w:firstLineChars="200"/>
        <w:rPr>
          <w:rFonts w:hint="eastAsia" w:ascii="宋体" w:hAnsi="宋体" w:eastAsia="宋体" w:cs="宋体"/>
          <w:color w:val="auto"/>
          <w:sz w:val="24"/>
          <w:szCs w:val="24"/>
          <w:highlight w:val="none"/>
        </w:rPr>
      </w:pPr>
      <w:bookmarkStart w:id="31" w:name="_Toc373860294"/>
      <w:r>
        <w:rPr>
          <w:rFonts w:hint="eastAsia" w:ascii="宋体" w:hAnsi="宋体" w:eastAsia="宋体" w:cs="宋体"/>
          <w:color w:val="auto"/>
          <w:sz w:val="24"/>
          <w:szCs w:val="24"/>
          <w:highlight w:val="none"/>
        </w:rPr>
        <w:t>（一）参加报价的供应商</w:t>
      </w:r>
      <w:r>
        <w:rPr>
          <w:rFonts w:hint="eastAsia" w:ascii="宋体" w:hAnsi="宋体" w:eastAsia="宋体" w:cs="宋体"/>
          <w:color w:val="auto"/>
          <w:sz w:val="24"/>
          <w:szCs w:val="24"/>
          <w:highlight w:val="none"/>
          <w:lang w:val="en-US" w:eastAsia="zh-CN"/>
        </w:rPr>
        <w:t>须</w:t>
      </w:r>
      <w:r>
        <w:rPr>
          <w:rFonts w:hint="eastAsia" w:ascii="宋体" w:hAnsi="宋体" w:eastAsia="宋体" w:cs="宋体"/>
          <w:color w:val="auto"/>
          <w:sz w:val="24"/>
          <w:szCs w:val="24"/>
          <w:highlight w:val="none"/>
        </w:rPr>
        <w:t>在“</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"https://cqxs.gec123.com/" \t "https://cqxs.gec123.com/xe/notice/_blank"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重庆秀山小额交易管理平台</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”服务平台注册，成为正式供应商。</w:t>
      </w:r>
    </w:p>
    <w:p w14:paraId="2E047C0F">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（二）凡有意参加采购的供应商</w:t>
      </w:r>
      <w:r>
        <w:rPr>
          <w:rFonts w:hint="eastAsia" w:ascii="宋体" w:hAnsi="宋体" w:eastAsia="宋体" w:cs="宋体"/>
          <w:color w:val="auto"/>
          <w:sz w:val="24"/>
          <w:szCs w:val="24"/>
          <w:highlight w:val="none"/>
        </w:rPr>
        <w:t>请于</w:t>
      </w:r>
      <w:r>
        <w:rPr>
          <w:rFonts w:hint="eastAsia" w:ascii="宋体" w:hAnsi="宋体" w:cs="宋体"/>
          <w:color w:val="auto"/>
          <w:sz w:val="24"/>
          <w:szCs w:val="24"/>
          <w:highlight w:val="none"/>
          <w:lang w:eastAsia="zh-CN"/>
        </w:rPr>
        <w:t>2026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lang w:val="en-US" w:eastAsia="zh-CN"/>
        </w:rPr>
        <w:t>16</w:t>
      </w:r>
      <w:r>
        <w:rPr>
          <w:rFonts w:hint="eastAsia" w:ascii="宋体" w:hAnsi="宋体" w:eastAsia="宋体" w:cs="宋体"/>
          <w:color w:val="auto"/>
          <w:sz w:val="24"/>
          <w:szCs w:val="24"/>
          <w:highlight w:val="none"/>
        </w:rPr>
        <w:t>日起将报名表加盖公章扫描后发送至</w:t>
      </w:r>
      <w:r>
        <w:rPr>
          <w:rFonts w:hint="eastAsia" w:ascii="宋体" w:hAnsi="宋体" w:cs="宋体"/>
          <w:color w:val="auto"/>
          <w:sz w:val="24"/>
          <w:szCs w:val="24"/>
          <w:highlight w:val="none"/>
          <w:lang w:val="en-US" w:eastAsia="zh-CN"/>
        </w:rPr>
        <w:t>934441280</w:t>
      </w:r>
      <w:r>
        <w:rPr>
          <w:rFonts w:hint="eastAsia" w:ascii="宋体" w:hAnsi="宋体" w:eastAsia="宋体" w:cs="宋体"/>
          <w:color w:val="auto"/>
          <w:sz w:val="24"/>
          <w:szCs w:val="24"/>
          <w:highlight w:val="none"/>
          <w:lang w:val="en-US" w:eastAsia="zh-CN"/>
        </w:rPr>
        <w:t>@qq.com</w:t>
      </w:r>
      <w:r>
        <w:rPr>
          <w:rFonts w:hint="eastAsia" w:ascii="宋体" w:hAnsi="宋体" w:eastAsia="宋体" w:cs="宋体"/>
          <w:color w:val="auto"/>
          <w:sz w:val="24"/>
          <w:szCs w:val="24"/>
          <w:highlight w:val="none"/>
        </w:rPr>
        <w:t>（邮箱）进行报名并获取</w:t>
      </w:r>
      <w:r>
        <w:rPr>
          <w:rFonts w:hint="eastAsia" w:ascii="宋体" w:hAnsi="宋体" w:cs="宋体"/>
          <w:color w:val="auto"/>
          <w:sz w:val="24"/>
          <w:szCs w:val="24"/>
          <w:highlight w:val="none"/>
          <w:lang w:eastAsia="zh-CN"/>
        </w:rPr>
        <w:t>采购</w:t>
      </w:r>
      <w:r>
        <w:rPr>
          <w:rFonts w:hint="eastAsia" w:ascii="宋体" w:hAnsi="宋体" w:eastAsia="宋体" w:cs="宋体"/>
          <w:color w:val="auto"/>
          <w:sz w:val="24"/>
          <w:szCs w:val="24"/>
          <w:highlight w:val="none"/>
        </w:rPr>
        <w:t>文件。</w:t>
      </w:r>
    </w:p>
    <w:p w14:paraId="4D89D775">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（三）</w:t>
      </w:r>
      <w:r>
        <w:rPr>
          <w:rFonts w:hint="eastAsia" w:ascii="宋体" w:hAnsi="宋体" w:cs="宋体"/>
          <w:color w:val="auto"/>
          <w:sz w:val="24"/>
          <w:szCs w:val="24"/>
          <w:highlight w:val="none"/>
          <w:lang w:val="zh-CN"/>
        </w:rPr>
        <w:t>采购</w:t>
      </w:r>
      <w:r>
        <w:rPr>
          <w:rFonts w:hint="eastAsia" w:ascii="宋体" w:hAnsi="宋体" w:eastAsia="宋体" w:cs="宋体"/>
          <w:color w:val="auto"/>
          <w:sz w:val="24"/>
          <w:szCs w:val="24"/>
          <w:highlight w:val="none"/>
          <w:lang w:val="zh-CN"/>
        </w:rPr>
        <w:t>文件每套售价</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zh-CN"/>
        </w:rPr>
        <w:t>0</w:t>
      </w:r>
      <w:r>
        <w:rPr>
          <w:rFonts w:hint="eastAsia" w:ascii="宋体" w:hAnsi="宋体" w:cs="宋体"/>
          <w:color w:val="auto"/>
          <w:sz w:val="24"/>
          <w:szCs w:val="24"/>
          <w:highlight w:val="none"/>
          <w:lang w:val="en-US" w:eastAsia="zh-CN"/>
        </w:rPr>
        <w:t>0</w:t>
      </w:r>
      <w:r>
        <w:rPr>
          <w:rFonts w:hint="eastAsia" w:ascii="宋体" w:hAnsi="宋体" w:eastAsia="宋体" w:cs="宋体"/>
          <w:color w:val="auto"/>
          <w:sz w:val="24"/>
          <w:szCs w:val="24"/>
          <w:highlight w:val="none"/>
          <w:lang w:val="zh-CN"/>
        </w:rPr>
        <w:t>元，售后不退。</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lang w:val="zh-CN"/>
        </w:rPr>
        <w:t>在报名时,向</w:t>
      </w:r>
      <w:r>
        <w:rPr>
          <w:rFonts w:hint="eastAsia" w:ascii="宋体" w:hAnsi="宋体" w:cs="宋体"/>
          <w:color w:val="auto"/>
          <w:sz w:val="24"/>
          <w:szCs w:val="24"/>
          <w:highlight w:val="none"/>
          <w:lang w:val="zh-CN"/>
        </w:rPr>
        <w:t>采购</w:t>
      </w:r>
      <w:r>
        <w:rPr>
          <w:rFonts w:hint="eastAsia" w:ascii="宋体" w:hAnsi="宋体" w:eastAsia="宋体" w:cs="宋体"/>
          <w:color w:val="auto"/>
          <w:sz w:val="24"/>
          <w:szCs w:val="24"/>
          <w:highlight w:val="none"/>
          <w:lang w:val="zh-CN"/>
        </w:rPr>
        <w:t>代理机构缴纳</w:t>
      </w:r>
      <w:r>
        <w:rPr>
          <w:rFonts w:hint="eastAsia" w:ascii="宋体" w:hAnsi="宋体" w:cs="宋体"/>
          <w:color w:val="auto"/>
          <w:sz w:val="24"/>
          <w:szCs w:val="24"/>
          <w:highlight w:val="none"/>
          <w:lang w:val="zh-CN"/>
        </w:rPr>
        <w:t>采购</w:t>
      </w:r>
      <w:r>
        <w:rPr>
          <w:rFonts w:hint="eastAsia" w:ascii="宋体" w:hAnsi="宋体" w:eastAsia="宋体" w:cs="宋体"/>
          <w:color w:val="auto"/>
          <w:sz w:val="24"/>
          <w:szCs w:val="24"/>
          <w:highlight w:val="none"/>
          <w:lang w:val="zh-CN"/>
        </w:rPr>
        <w:t>文件的费用。</w:t>
      </w:r>
      <w:r>
        <w:rPr>
          <w:rFonts w:hint="eastAsia" w:ascii="宋体" w:hAnsi="宋体" w:cs="宋体"/>
          <w:color w:val="auto"/>
          <w:sz w:val="24"/>
          <w:szCs w:val="24"/>
          <w:highlight w:val="none"/>
          <w:lang w:val="zh-CN"/>
        </w:rPr>
        <w:t>采购</w:t>
      </w:r>
      <w:r>
        <w:rPr>
          <w:rFonts w:hint="eastAsia" w:ascii="宋体" w:hAnsi="宋体" w:eastAsia="宋体" w:cs="宋体"/>
          <w:color w:val="auto"/>
          <w:sz w:val="24"/>
          <w:szCs w:val="24"/>
          <w:highlight w:val="none"/>
          <w:lang w:val="zh-CN"/>
        </w:rPr>
        <w:t>文件费收取注意事项详见</w:t>
      </w:r>
      <w:r>
        <w:rPr>
          <w:rFonts w:hint="eastAsia" w:ascii="宋体" w:hAnsi="宋体" w:cs="宋体"/>
          <w:color w:val="auto"/>
          <w:sz w:val="24"/>
          <w:szCs w:val="24"/>
          <w:highlight w:val="none"/>
          <w:lang w:val="zh-CN"/>
        </w:rPr>
        <w:t>采购</w:t>
      </w:r>
      <w:r>
        <w:rPr>
          <w:rFonts w:hint="eastAsia" w:ascii="宋体" w:hAnsi="宋体" w:eastAsia="宋体" w:cs="宋体"/>
          <w:color w:val="auto"/>
          <w:sz w:val="24"/>
          <w:szCs w:val="24"/>
          <w:highlight w:val="none"/>
          <w:lang w:val="zh-CN"/>
        </w:rPr>
        <w:t>公告发布的附件</w:t>
      </w:r>
      <w:r>
        <w:rPr>
          <w:rFonts w:hint="eastAsia" w:ascii="宋体" w:hAnsi="宋体" w:eastAsia="宋体" w:cs="宋体"/>
          <w:color w:val="auto"/>
          <w:sz w:val="24"/>
          <w:szCs w:val="24"/>
          <w:highlight w:val="none"/>
        </w:rPr>
        <w:t>。</w:t>
      </w:r>
    </w:p>
    <w:p w14:paraId="0740F9C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eastAsia="zh-CN"/>
        </w:rPr>
        <w:t>四</w:t>
      </w:r>
      <w:r>
        <w:rPr>
          <w:rFonts w:hint="eastAsia" w:ascii="宋体" w:hAnsi="宋体" w:eastAsia="宋体" w:cs="宋体"/>
          <w:color w:val="auto"/>
          <w:sz w:val="24"/>
          <w:szCs w:val="24"/>
          <w:highlight w:val="none"/>
        </w:rPr>
        <w:t>）线上报价</w:t>
      </w:r>
    </w:p>
    <w:p w14:paraId="5D3C731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1.线上报价时间：</w:t>
      </w:r>
      <w:r>
        <w:rPr>
          <w:rFonts w:hint="eastAsia" w:ascii="宋体" w:hAnsi="宋体" w:cs="宋体"/>
          <w:color w:val="auto"/>
          <w:sz w:val="24"/>
          <w:szCs w:val="24"/>
          <w:highlight w:val="none"/>
          <w:lang w:val="en-US" w:eastAsia="zh-CN"/>
        </w:rPr>
        <w:t>公告发布后-</w:t>
      </w:r>
      <w:r>
        <w:rPr>
          <w:rFonts w:hint="eastAsia" w:ascii="宋体" w:hAnsi="宋体" w:cs="宋体"/>
          <w:color w:val="auto"/>
          <w:sz w:val="24"/>
          <w:szCs w:val="24"/>
          <w:highlight w:val="none"/>
          <w:lang w:eastAsia="zh-CN"/>
        </w:rPr>
        <w:t>2026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lang w:val="en-US" w:eastAsia="zh-CN"/>
        </w:rPr>
        <w:t>22</w:t>
      </w:r>
      <w:r>
        <w:rPr>
          <w:rFonts w:hint="eastAsia" w:ascii="宋体" w:hAnsi="宋体" w:eastAsia="宋体" w:cs="宋体"/>
          <w:color w:val="auto"/>
          <w:sz w:val="24"/>
          <w:szCs w:val="24"/>
          <w:highlight w:val="none"/>
        </w:rPr>
        <w:t>日</w:t>
      </w: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rPr>
        <w:t>:00北京时间。</w:t>
      </w:r>
    </w:p>
    <w:p w14:paraId="1AB190AB">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2.线上报价要求：按本项目规定的时间在</w:t>
      </w:r>
      <w:r>
        <w:rPr>
          <w:rFonts w:hint="eastAsia" w:ascii="宋体" w:hAnsi="宋体" w:eastAsia="宋体" w:cs="宋体"/>
          <w:color w:val="auto"/>
          <w:sz w:val="24"/>
          <w:szCs w:val="24"/>
          <w:highlight w:val="none"/>
          <w:lang w:val="zh-CN"/>
        </w:rPr>
        <w:t>秀山县小额交易管理平台竞采大厅</w:t>
      </w:r>
      <w:r>
        <w:rPr>
          <w:rFonts w:hint="eastAsia" w:ascii="宋体" w:hAnsi="宋体" w:cs="宋体"/>
          <w:color w:val="auto"/>
          <w:sz w:val="24"/>
          <w:szCs w:val="24"/>
          <w:highlight w:val="none"/>
          <w:lang w:eastAsia="zh-CN"/>
        </w:rPr>
        <w:t>（https://cqxs-mall.gec123.com/）</w:t>
      </w:r>
      <w:r>
        <w:rPr>
          <w:rFonts w:hint="eastAsia" w:ascii="宋体" w:hAnsi="宋体" w:eastAsia="宋体" w:cs="宋体"/>
          <w:color w:val="auto"/>
          <w:sz w:val="24"/>
          <w:szCs w:val="24"/>
          <w:highlight w:val="none"/>
        </w:rPr>
        <w:t>进行网上报价，并在规定的时间内上传响应文件电子文档。未在规定时间内报价和上传响应文件电子文档的</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不具备竞标资格。</w:t>
      </w:r>
    </w:p>
    <w:p w14:paraId="736ED718">
      <w:pPr>
        <w:snapToGrid w:val="0"/>
        <w:spacing w:line="360" w:lineRule="auto"/>
        <w:ind w:firstLine="361" w:firstLineChars="15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（五）供应商须满足以下三种要件，其响应文件才被接受：</w:t>
      </w:r>
    </w:p>
    <w:p w14:paraId="3926F014">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1..按时在</w:t>
      </w:r>
      <w:r>
        <w:rPr>
          <w:rFonts w:hint="eastAsia" w:ascii="宋体" w:hAnsi="宋体" w:eastAsia="宋体" w:cs="宋体"/>
          <w:color w:val="auto"/>
          <w:sz w:val="24"/>
          <w:szCs w:val="24"/>
          <w:highlight w:val="none"/>
          <w:lang w:val="zh-CN"/>
        </w:rPr>
        <w:t>秀山县小额交易管理平台竞采大厅</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https://cqxs-mall.gec123.com/</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进行网上报价。</w:t>
      </w:r>
    </w:p>
    <w:p w14:paraId="536D7C7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2.按时递交响应文件。</w:t>
      </w:r>
    </w:p>
    <w:p w14:paraId="0568B491">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注：线上及线下响应文件须一致，如不一致，响应文件作废。</w:t>
      </w:r>
    </w:p>
    <w:p w14:paraId="31F24C21">
      <w:pPr>
        <w:snapToGrid w:val="0"/>
        <w:spacing w:line="360" w:lineRule="auto"/>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（六）</w:t>
      </w:r>
      <w:r>
        <w:rPr>
          <w:rFonts w:hint="eastAsia" w:ascii="宋体" w:hAnsi="宋体" w:eastAsia="宋体" w:cs="宋体"/>
          <w:color w:val="auto"/>
          <w:sz w:val="24"/>
          <w:szCs w:val="24"/>
          <w:highlight w:val="none"/>
          <w:lang w:val="en-US" w:eastAsia="zh-CN"/>
        </w:rPr>
        <w:t>线下响应文件可</w:t>
      </w:r>
      <w:r>
        <w:rPr>
          <w:rFonts w:hint="eastAsia" w:ascii="宋体" w:hAnsi="宋体" w:cs="宋体"/>
          <w:color w:val="auto"/>
          <w:sz w:val="24"/>
          <w:szCs w:val="24"/>
          <w:highlight w:val="none"/>
          <w:lang w:val="en-US" w:eastAsia="zh-CN"/>
        </w:rPr>
        <w:t>选择</w:t>
      </w:r>
      <w:r>
        <w:rPr>
          <w:rFonts w:hint="eastAsia" w:ascii="宋体" w:hAnsi="宋体" w:eastAsia="宋体" w:cs="宋体"/>
          <w:color w:val="auto"/>
          <w:sz w:val="24"/>
          <w:szCs w:val="24"/>
          <w:highlight w:val="none"/>
          <w:lang w:val="en-US" w:eastAsia="zh-CN"/>
        </w:rPr>
        <w:t>邮寄</w:t>
      </w:r>
      <w:r>
        <w:rPr>
          <w:rFonts w:hint="eastAsia" w:ascii="宋体" w:hAnsi="宋体" w:cs="宋体"/>
          <w:color w:val="auto"/>
          <w:sz w:val="24"/>
          <w:szCs w:val="24"/>
          <w:highlight w:val="none"/>
          <w:lang w:val="en-US" w:eastAsia="zh-CN"/>
        </w:rPr>
        <w:t>或</w:t>
      </w:r>
      <w:r>
        <w:rPr>
          <w:rFonts w:hint="eastAsia" w:ascii="宋体" w:hAnsi="宋体" w:eastAsia="宋体" w:cs="宋体"/>
          <w:color w:val="auto"/>
          <w:sz w:val="24"/>
          <w:szCs w:val="24"/>
          <w:highlight w:val="none"/>
          <w:lang w:val="en-US" w:eastAsia="zh-CN"/>
        </w:rPr>
        <w:t>现场递交：</w:t>
      </w:r>
    </w:p>
    <w:p w14:paraId="029B84DA">
      <w:pPr>
        <w:snapToGrid w:val="0"/>
        <w:spacing w:line="360" w:lineRule="auto"/>
        <w:ind w:firstLine="240" w:firstLineChars="1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线下响应文件可采取邮寄方式，邮寄地址：秀山土家族苗族自治县洪安镇中心卫生院</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秀山县洪安镇九龙新街43号</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lang w:val="en-US" w:eastAsia="zh-CN"/>
        </w:rPr>
        <w:t>孙</w:t>
      </w:r>
      <w:r>
        <w:rPr>
          <w:rFonts w:hint="eastAsia" w:ascii="宋体" w:hAnsi="宋体" w:eastAsia="宋体" w:cs="宋体"/>
          <w:color w:val="auto"/>
          <w:sz w:val="24"/>
          <w:szCs w:val="24"/>
          <w:highlight w:val="none"/>
          <w:lang w:val="en-US" w:eastAsia="zh-CN"/>
        </w:rPr>
        <w:t>老师</w:t>
      </w:r>
      <w:r>
        <w:rPr>
          <w:rFonts w:hint="eastAsia" w:ascii="宋体" w:hAnsi="宋体" w:cs="宋体"/>
          <w:color w:val="auto"/>
          <w:sz w:val="24"/>
          <w:szCs w:val="24"/>
          <w:highlight w:val="none"/>
          <w:lang w:val="en-US" w:eastAsia="zh-CN"/>
        </w:rPr>
        <w:t>17723071588</w:t>
      </w:r>
      <w:r>
        <w:rPr>
          <w:rFonts w:hint="eastAsia" w:ascii="宋体" w:hAnsi="宋体" w:eastAsia="宋体" w:cs="宋体"/>
          <w:color w:val="auto"/>
          <w:sz w:val="24"/>
          <w:szCs w:val="24"/>
          <w:highlight w:val="none"/>
          <w:lang w:eastAsia="zh-CN"/>
        </w:rPr>
        <w:t>（收件截止时间为</w:t>
      </w:r>
      <w:r>
        <w:rPr>
          <w:rFonts w:hint="eastAsia" w:ascii="宋体" w:hAnsi="宋体" w:cs="宋体"/>
          <w:color w:val="auto"/>
          <w:sz w:val="24"/>
          <w:szCs w:val="24"/>
          <w:highlight w:val="none"/>
          <w:lang w:eastAsia="zh-CN"/>
        </w:rPr>
        <w:t>2026</w:t>
      </w:r>
      <w:r>
        <w:rPr>
          <w:rFonts w:hint="eastAsia" w:ascii="宋体" w:hAnsi="宋体" w:eastAsia="宋体" w:cs="宋体"/>
          <w:color w:val="auto"/>
          <w:sz w:val="24"/>
          <w:szCs w:val="24"/>
          <w:highlight w:val="none"/>
          <w:lang w:eastAsia="zh-CN"/>
        </w:rPr>
        <w:t>年</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lang w:val="en-US" w:eastAsia="zh-CN"/>
        </w:rPr>
        <w:t>22</w:t>
      </w:r>
      <w:r>
        <w:rPr>
          <w:rFonts w:hint="eastAsia" w:ascii="宋体" w:hAnsi="宋体" w:eastAsia="宋体" w:cs="宋体"/>
          <w:color w:val="auto"/>
          <w:sz w:val="24"/>
          <w:szCs w:val="24"/>
          <w:highlight w:val="none"/>
        </w:rPr>
        <w:t>日</w:t>
      </w:r>
      <w:r>
        <w:rPr>
          <w:rFonts w:hint="eastAsia" w:ascii="宋体" w:hAnsi="宋体" w:cs="宋体"/>
          <w:color w:val="auto"/>
          <w:sz w:val="24"/>
          <w:szCs w:val="24"/>
          <w:highlight w:val="none"/>
          <w:lang w:val="en-US" w:eastAsia="zh-CN"/>
        </w:rPr>
        <w:t>10:00</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北京时间）</w:t>
      </w:r>
    </w:p>
    <w:p w14:paraId="78BD6940">
      <w:pPr>
        <w:snapToGrid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现场递交地址地点：</w:t>
      </w:r>
      <w:r>
        <w:rPr>
          <w:rFonts w:hint="eastAsia" w:ascii="宋体" w:hAnsi="宋体" w:eastAsia="宋体" w:cs="宋体"/>
          <w:color w:val="auto"/>
          <w:sz w:val="24"/>
          <w:szCs w:val="24"/>
          <w:highlight w:val="none"/>
          <w:lang w:eastAsia="zh-CN"/>
        </w:rPr>
        <w:t>秀山土家族苗族自治县洪安镇中心卫生院</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秀山县洪安镇九龙新街43号</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lang w:eastAsia="zh-CN"/>
        </w:rPr>
        <w:t>。</w:t>
      </w:r>
    </w:p>
    <w:p w14:paraId="717A350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（七）响应文件现场递交开始时间：</w:t>
      </w:r>
      <w:r>
        <w:rPr>
          <w:rFonts w:hint="eastAsia" w:ascii="宋体" w:hAnsi="宋体" w:cs="宋体"/>
          <w:color w:val="auto"/>
          <w:sz w:val="24"/>
          <w:szCs w:val="24"/>
          <w:highlight w:val="none"/>
          <w:lang w:eastAsia="zh-CN"/>
        </w:rPr>
        <w:t>2026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lang w:val="en-US" w:eastAsia="zh-CN"/>
        </w:rPr>
        <w:t>22</w:t>
      </w:r>
      <w:r>
        <w:rPr>
          <w:rFonts w:hint="eastAsia" w:ascii="宋体" w:hAnsi="宋体" w:eastAsia="宋体" w:cs="宋体"/>
          <w:color w:val="auto"/>
          <w:sz w:val="24"/>
          <w:szCs w:val="24"/>
          <w:highlight w:val="none"/>
        </w:rPr>
        <w:t>日</w:t>
      </w:r>
      <w:r>
        <w:rPr>
          <w:rFonts w:hint="eastAsia" w:ascii="宋体" w:hAnsi="宋体" w:cs="宋体"/>
          <w:color w:val="auto"/>
          <w:sz w:val="24"/>
          <w:szCs w:val="24"/>
          <w:highlight w:val="none"/>
          <w:lang w:val="en-US" w:eastAsia="zh-CN"/>
        </w:rPr>
        <w:t>09</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北京时间。</w:t>
      </w:r>
    </w:p>
    <w:p w14:paraId="3CDA48D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（八）响应文件现场递交截止时间：</w:t>
      </w:r>
      <w:r>
        <w:rPr>
          <w:rFonts w:hint="eastAsia" w:ascii="宋体" w:hAnsi="宋体" w:cs="宋体"/>
          <w:color w:val="auto"/>
          <w:sz w:val="24"/>
          <w:szCs w:val="24"/>
          <w:highlight w:val="none"/>
          <w:lang w:eastAsia="zh-CN"/>
        </w:rPr>
        <w:t>2026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lang w:val="en-US" w:eastAsia="zh-CN"/>
        </w:rPr>
        <w:t>22</w:t>
      </w:r>
      <w:r>
        <w:rPr>
          <w:rFonts w:hint="eastAsia" w:ascii="宋体" w:hAnsi="宋体" w:eastAsia="宋体" w:cs="宋体"/>
          <w:color w:val="auto"/>
          <w:sz w:val="24"/>
          <w:szCs w:val="24"/>
          <w:highlight w:val="none"/>
        </w:rPr>
        <w:t>日</w:t>
      </w: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0</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北京时间。</w:t>
      </w:r>
    </w:p>
    <w:p w14:paraId="53A6AE9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（九）线下开标开始时间：</w:t>
      </w:r>
      <w:r>
        <w:rPr>
          <w:rFonts w:hint="eastAsia" w:ascii="宋体" w:hAnsi="宋体" w:cs="宋体"/>
          <w:color w:val="auto"/>
          <w:sz w:val="24"/>
          <w:szCs w:val="24"/>
          <w:highlight w:val="none"/>
          <w:lang w:eastAsia="zh-CN"/>
        </w:rPr>
        <w:t>2026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lang w:val="en-US" w:eastAsia="zh-CN"/>
        </w:rPr>
        <w:t>22</w:t>
      </w:r>
      <w:r>
        <w:rPr>
          <w:rFonts w:hint="eastAsia" w:ascii="宋体" w:hAnsi="宋体" w:eastAsia="宋体" w:cs="宋体"/>
          <w:color w:val="auto"/>
          <w:sz w:val="24"/>
          <w:szCs w:val="24"/>
          <w:highlight w:val="none"/>
        </w:rPr>
        <w:t>日北京时间</w:t>
      </w:r>
      <w:r>
        <w:rPr>
          <w:rFonts w:hint="eastAsia" w:ascii="宋体" w:hAnsi="宋体" w:cs="宋体"/>
          <w:color w:val="auto"/>
          <w:sz w:val="24"/>
          <w:szCs w:val="24"/>
          <w:highlight w:val="none"/>
          <w:lang w:val="en-US" w:eastAsia="zh-CN"/>
        </w:rPr>
        <w:t>15</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00</w:t>
      </w:r>
      <w:r>
        <w:rPr>
          <w:rFonts w:hint="eastAsia" w:ascii="宋体" w:hAnsi="宋体" w:eastAsia="宋体" w:cs="宋体"/>
          <w:color w:val="auto"/>
          <w:sz w:val="24"/>
          <w:szCs w:val="24"/>
          <w:highlight w:val="none"/>
        </w:rPr>
        <w:t>北京时间。</w:t>
      </w:r>
    </w:p>
    <w:bookmarkEnd w:id="23"/>
    <w:bookmarkEnd w:id="31"/>
    <w:p w14:paraId="73BD2BE0">
      <w:pPr>
        <w:pStyle w:val="5"/>
        <w:spacing w:before="0" w:after="0" w:line="360" w:lineRule="auto"/>
        <w:rPr>
          <w:rFonts w:hint="eastAsia" w:ascii="宋体" w:hAnsi="宋体" w:eastAsia="宋体" w:cs="宋体"/>
          <w:color w:val="auto"/>
          <w:sz w:val="24"/>
          <w:szCs w:val="24"/>
          <w:highlight w:val="none"/>
        </w:rPr>
      </w:pPr>
      <w:bookmarkStart w:id="32" w:name="_Toc480466699"/>
      <w:bookmarkStart w:id="33" w:name="_Toc20247"/>
      <w:r>
        <w:rPr>
          <w:rFonts w:hint="eastAsia" w:ascii="宋体" w:hAnsi="宋体" w:cs="宋体"/>
          <w:color w:val="auto"/>
          <w:sz w:val="24"/>
          <w:szCs w:val="24"/>
          <w:highlight w:val="none"/>
          <w:lang w:eastAsia="zh-CN"/>
        </w:rPr>
        <w:t>五</w:t>
      </w:r>
      <w:r>
        <w:rPr>
          <w:rFonts w:hint="eastAsia" w:ascii="宋体" w:hAnsi="宋体" w:eastAsia="宋体" w:cs="宋体"/>
          <w:color w:val="auto"/>
          <w:sz w:val="24"/>
          <w:szCs w:val="24"/>
          <w:highlight w:val="none"/>
        </w:rPr>
        <w:t>、其他有关规定</w:t>
      </w:r>
      <w:bookmarkEnd w:id="32"/>
      <w:bookmarkEnd w:id="33"/>
    </w:p>
    <w:p w14:paraId="641B7749">
      <w:pPr>
        <w:snapToGrid w:val="0"/>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（一）单位负责人为同一人或者存在直接控股、管理关系的不同供应商，不得参加同一合同项（分包）下的政府采购活动，否则均为响应无效。</w:t>
      </w:r>
    </w:p>
    <w:p w14:paraId="30DA2EA3">
      <w:pPr>
        <w:snapToGrid w:val="0"/>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（二）为采购项目提供整体设计、规范编制或者项目管理、监理、检测等服务的供应商，不得再参加该采购项目的其他采购活动。</w:t>
      </w:r>
    </w:p>
    <w:p w14:paraId="5811913B">
      <w:pPr>
        <w:spacing w:line="360" w:lineRule="auto"/>
        <w:ind w:firstLine="240" w:firstLineChars="100"/>
        <w:rPr>
          <w:rFonts w:hint="eastAsia" w:ascii="宋体" w:hAnsi="宋体" w:eastAsia="宋体" w:cs="宋体"/>
          <w:color w:val="auto"/>
          <w:highlight w:val="none"/>
        </w:rPr>
      </w:pPr>
      <w:r>
        <w:rPr>
          <w:rFonts w:hint="eastAsia" w:ascii="宋体" w:hAnsi="宋体" w:eastAsia="宋体" w:cs="宋体"/>
          <w:color w:val="auto"/>
          <w:sz w:val="24"/>
          <w:szCs w:val="24"/>
          <w:highlight w:val="none"/>
        </w:rPr>
        <w:t>（三）同一合同项（分包）下为单一品目或非单一品目核心产品品牌的货物采购招标中，同一品牌有多家供应商参加网上竞采，以其中通过资格审查、符合性审查且报价最低的参加评标；报价相同的，由采购人或者采购人委托评审委员会按照网上竞采文件规定的方式确定一个参加评标的投标人，网上竞采文件未规定的采取随机抽取方式确定，其他投标无效。</w:t>
      </w:r>
    </w:p>
    <w:p w14:paraId="2866E092">
      <w:pPr>
        <w:snapToGrid w:val="0"/>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（四）本项目的补遗文件（如果有）一律在</w:t>
      </w:r>
      <w:r>
        <w:rPr>
          <w:rFonts w:hint="eastAsia" w:ascii="宋体" w:hAnsi="宋体" w:eastAsia="宋体" w:cs="宋体"/>
          <w:color w:val="auto"/>
          <w:sz w:val="24"/>
          <w:szCs w:val="24"/>
          <w:highlight w:val="none"/>
          <w:lang w:val="zh-CN"/>
        </w:rPr>
        <w:t>秀山县小额交易管理平台竞采大厅</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https://cqxs-mall.gec123.com/</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上发布，请各供应商注意下载；无论供应商下载与否，均视同供应商已知晓本项目补遗文件（如果有）的内容。</w:t>
      </w:r>
    </w:p>
    <w:p w14:paraId="4F6F5B40">
      <w:pPr>
        <w:snapToGrid w:val="0"/>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（五）超过响应文件截止时间递交的响应文件，恕不接收。</w:t>
      </w:r>
    </w:p>
    <w:p w14:paraId="5550B3DE">
      <w:pPr>
        <w:snapToGrid w:val="0"/>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（六）网上竞采费用：无论网上竞采结果如何，供应商参与本项目网上竞采的所有费用均应由供应商自行承担。</w:t>
      </w:r>
    </w:p>
    <w:p w14:paraId="331E4725">
      <w:pPr>
        <w:snapToGrid w:val="0"/>
        <w:spacing w:line="360" w:lineRule="auto"/>
        <w:ind w:firstLine="361" w:firstLineChars="150"/>
        <w:rPr>
          <w:rFonts w:hint="eastAsia" w:ascii="宋体" w:hAnsi="宋体" w:eastAsia="宋体" w:cs="宋体"/>
          <w:b/>
          <w:bCs/>
          <w:color w:val="auto"/>
          <w:sz w:val="24"/>
          <w:szCs w:val="24"/>
          <w:highlight w:val="none"/>
        </w:rPr>
      </w:pPr>
      <w:bookmarkStart w:id="34" w:name="_Toc480466700"/>
      <w:r>
        <w:rPr>
          <w:rFonts w:hint="eastAsia" w:ascii="宋体" w:hAnsi="宋体" w:eastAsia="宋体" w:cs="宋体"/>
          <w:b/>
          <w:bCs/>
          <w:color w:val="auto"/>
          <w:sz w:val="24"/>
          <w:szCs w:val="24"/>
          <w:highlight w:val="none"/>
        </w:rPr>
        <w:t>（七）本项目不接受联合体参与网上竞采。</w:t>
      </w:r>
    </w:p>
    <w:p w14:paraId="151AC8D7">
      <w:pPr>
        <w:snapToGrid w:val="0"/>
        <w:spacing w:line="360" w:lineRule="auto"/>
        <w:ind w:firstLine="361" w:firstLineChars="150"/>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（八）本项目不接受合同分包。</w:t>
      </w:r>
    </w:p>
    <w:p w14:paraId="6440B247">
      <w:pPr>
        <w:snapToGrid w:val="0"/>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九）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4891540B">
      <w:pPr>
        <w:pStyle w:val="5"/>
        <w:spacing w:before="0" w:after="0" w:line="360" w:lineRule="auto"/>
        <w:rPr>
          <w:rFonts w:hint="eastAsia" w:ascii="宋体" w:hAnsi="宋体" w:eastAsia="宋体" w:cs="宋体"/>
          <w:color w:val="auto"/>
          <w:sz w:val="24"/>
          <w:szCs w:val="24"/>
          <w:highlight w:val="none"/>
        </w:rPr>
      </w:pPr>
      <w:bookmarkStart w:id="35" w:name="_Toc7960"/>
      <w:r>
        <w:rPr>
          <w:rFonts w:hint="eastAsia" w:ascii="宋体" w:hAnsi="宋体" w:cs="宋体"/>
          <w:color w:val="auto"/>
          <w:sz w:val="24"/>
          <w:szCs w:val="24"/>
          <w:highlight w:val="none"/>
          <w:lang w:eastAsia="zh-CN"/>
        </w:rPr>
        <w:t>六</w:t>
      </w:r>
      <w:r>
        <w:rPr>
          <w:rFonts w:hint="eastAsia" w:ascii="宋体" w:hAnsi="宋体" w:eastAsia="宋体" w:cs="宋体"/>
          <w:color w:val="auto"/>
          <w:sz w:val="24"/>
          <w:szCs w:val="24"/>
          <w:highlight w:val="none"/>
        </w:rPr>
        <w:t>、联系方式</w:t>
      </w:r>
      <w:bookmarkEnd w:id="34"/>
      <w:bookmarkEnd w:id="35"/>
    </w:p>
    <w:p w14:paraId="01A92883">
      <w:pPr>
        <w:snapToGrid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（一）采购人：</w:t>
      </w:r>
      <w:r>
        <w:rPr>
          <w:rFonts w:hint="eastAsia" w:ascii="宋体" w:hAnsi="宋体" w:cs="宋体"/>
          <w:color w:val="auto"/>
          <w:sz w:val="24"/>
          <w:szCs w:val="24"/>
          <w:highlight w:val="none"/>
          <w:lang w:eastAsia="zh-CN"/>
        </w:rPr>
        <w:t>秀山土家族苗族自治县洪安镇中心卫生院</w:t>
      </w:r>
    </w:p>
    <w:p w14:paraId="70D42CA2">
      <w:pPr>
        <w:snapToGrid w:val="0"/>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 系 人：</w:t>
      </w:r>
      <w:r>
        <w:rPr>
          <w:rFonts w:hint="eastAsia" w:ascii="宋体" w:hAnsi="宋体" w:cs="宋体"/>
          <w:color w:val="auto"/>
          <w:sz w:val="24"/>
          <w:szCs w:val="24"/>
          <w:highlight w:val="none"/>
          <w:lang w:val="en-US" w:eastAsia="zh-CN"/>
        </w:rPr>
        <w:t xml:space="preserve">孙老师 </w:t>
      </w:r>
      <w:r>
        <w:rPr>
          <w:rFonts w:hint="eastAsia" w:ascii="宋体" w:hAnsi="宋体" w:eastAsia="宋体" w:cs="宋体"/>
          <w:color w:val="auto"/>
          <w:sz w:val="24"/>
          <w:szCs w:val="24"/>
          <w:highlight w:val="none"/>
          <w:lang w:val="en-US" w:eastAsia="zh-CN"/>
        </w:rPr>
        <w:t xml:space="preserve">  </w:t>
      </w:r>
    </w:p>
    <w:p w14:paraId="0003E3DF">
      <w:pPr>
        <w:snapToGrid w:val="0"/>
        <w:spacing w:line="360" w:lineRule="auto"/>
        <w:ind w:firstLine="240" w:firstLineChars="1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电    话：</w:t>
      </w:r>
      <w:r>
        <w:rPr>
          <w:rFonts w:hint="eastAsia" w:ascii="宋体" w:hAnsi="宋体" w:cs="宋体"/>
          <w:color w:val="auto"/>
          <w:sz w:val="24"/>
          <w:szCs w:val="24"/>
          <w:highlight w:val="none"/>
          <w:lang w:val="en-US" w:eastAsia="zh-CN"/>
        </w:rPr>
        <w:t xml:space="preserve">17723071588 </w:t>
      </w:r>
    </w:p>
    <w:p w14:paraId="3DA32068">
      <w:pPr>
        <w:pStyle w:val="24"/>
        <w:ind w:left="0" w:leftChars="0" w:firstLine="240" w:firstLineChars="100"/>
        <w:rPr>
          <w:rFonts w:hint="eastAsia"/>
          <w:color w:val="auto"/>
          <w:highlight w:val="none"/>
          <w:lang w:val="en-US" w:eastAsia="zh-CN"/>
        </w:rPr>
      </w:pPr>
      <w:r>
        <w:rPr>
          <w:rFonts w:hint="eastAsia" w:ascii="宋体" w:hAnsi="宋体" w:eastAsia="宋体" w:cs="宋体"/>
          <w:color w:val="auto"/>
          <w:sz w:val="24"/>
          <w:szCs w:val="24"/>
          <w:highlight w:val="none"/>
          <w:lang w:val="en-US" w:eastAsia="zh-CN"/>
        </w:rPr>
        <w:t>地    址：秀山县洪安镇九龙新街43号</w:t>
      </w:r>
    </w:p>
    <w:p w14:paraId="7EA7C0C4">
      <w:pPr>
        <w:snapToGrid w:val="0"/>
        <w:spacing w:line="360" w:lineRule="auto"/>
        <w:ind w:firstLine="240" w:firstLineChars="100"/>
        <w:rPr>
          <w:rFonts w:hint="eastAsia" w:ascii="宋体" w:hAnsi="宋体" w:eastAsia="宋体" w:cs="宋体"/>
          <w:color w:val="auto"/>
          <w:sz w:val="24"/>
          <w:szCs w:val="24"/>
          <w:highlight w:val="none"/>
          <w:lang w:val="en-US" w:eastAsia="zh-CN"/>
        </w:rPr>
      </w:pPr>
    </w:p>
    <w:p w14:paraId="6039B488">
      <w:pPr>
        <w:snapToGrid w:val="0"/>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（二）采购代理机构：重庆睿采通招标代理有限公司  </w:t>
      </w:r>
    </w:p>
    <w:p w14:paraId="0B53B13C">
      <w:pPr>
        <w:snapToGrid w:val="0"/>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联系人：孙老师</w:t>
      </w:r>
    </w:p>
    <w:p w14:paraId="688B57F0">
      <w:pPr>
        <w:snapToGrid w:val="0"/>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  话：18716616089</w:t>
      </w:r>
    </w:p>
    <w:p w14:paraId="53B021FD">
      <w:pPr>
        <w:snapToGrid w:val="0"/>
        <w:spacing w:line="360" w:lineRule="auto"/>
        <w:ind w:firstLine="240" w:firstLineChars="100"/>
        <w:rPr>
          <w:rFonts w:hint="eastAsia" w:ascii="宋体" w:hAnsi="宋体" w:eastAsia="宋体" w:cs="宋体"/>
          <w:color w:val="auto"/>
          <w:sz w:val="24"/>
          <w:szCs w:val="24"/>
          <w:highlight w:val="none"/>
        </w:rPr>
        <w:sectPr>
          <w:pgSz w:w="11907" w:h="16840"/>
          <w:pgMar w:top="1134" w:right="1418" w:bottom="1134" w:left="1418" w:header="397" w:footer="992" w:gutter="0"/>
          <w:pgNumType w:fmt="numberInDash"/>
          <w:cols w:space="720" w:num="1"/>
          <w:docGrid w:linePitch="312" w:charSpace="0"/>
        </w:sectPr>
      </w:pPr>
      <w:r>
        <w:rPr>
          <w:rFonts w:hint="eastAsia" w:ascii="宋体" w:hAnsi="宋体" w:eastAsia="宋体" w:cs="宋体"/>
          <w:color w:val="auto"/>
          <w:sz w:val="24"/>
          <w:szCs w:val="24"/>
          <w:highlight w:val="none"/>
        </w:rPr>
        <w:t>地  址：重庆市大渡口区春晖路街道翠柏路101号1幢5-1(6楼0129号)</w:t>
      </w:r>
    </w:p>
    <w:p w14:paraId="65E30C04">
      <w:pPr>
        <w:pStyle w:val="4"/>
        <w:spacing w:before="0" w:after="0" w:line="360" w:lineRule="auto"/>
        <w:jc w:val="center"/>
        <w:rPr>
          <w:rFonts w:hint="eastAsia" w:ascii="宋体" w:hAnsi="宋体" w:eastAsia="宋体" w:cs="宋体"/>
          <w:color w:val="auto"/>
          <w:sz w:val="24"/>
          <w:szCs w:val="24"/>
          <w:highlight w:val="none"/>
        </w:rPr>
      </w:pPr>
      <w:bookmarkStart w:id="36" w:name="_Toc12789058"/>
      <w:bookmarkStart w:id="37" w:name="_Toc1145"/>
      <w:bookmarkStart w:id="38" w:name="_Toc18586"/>
      <w:r>
        <w:rPr>
          <w:rFonts w:hint="eastAsia" w:ascii="宋体" w:hAnsi="宋体" w:eastAsia="宋体" w:cs="宋体"/>
          <w:bCs/>
          <w:color w:val="auto"/>
          <w:sz w:val="36"/>
          <w:szCs w:val="30"/>
          <w:highlight w:val="none"/>
        </w:rPr>
        <w:t>第二篇</w:t>
      </w:r>
      <w:r>
        <w:rPr>
          <w:rFonts w:hint="eastAsia" w:ascii="宋体" w:hAnsi="宋体" w:eastAsia="宋体" w:cs="宋体"/>
          <w:bCs/>
          <w:color w:val="auto"/>
          <w:sz w:val="36"/>
          <w:szCs w:val="30"/>
          <w:highlight w:val="none"/>
          <w:lang w:val="en-US" w:eastAsia="zh-CN"/>
        </w:rPr>
        <w:t xml:space="preserve"> </w:t>
      </w:r>
      <w:r>
        <w:rPr>
          <w:rFonts w:hint="eastAsia" w:ascii="宋体" w:hAnsi="宋体" w:eastAsia="宋体" w:cs="宋体"/>
          <w:bCs/>
          <w:color w:val="auto"/>
          <w:sz w:val="36"/>
          <w:szCs w:val="30"/>
          <w:highlight w:val="none"/>
        </w:rPr>
        <w:t>项目技术需求</w:t>
      </w:r>
      <w:bookmarkEnd w:id="36"/>
      <w:bookmarkEnd w:id="37"/>
      <w:bookmarkEnd w:id="38"/>
      <w:bookmarkStart w:id="39" w:name="_Toc76462325"/>
    </w:p>
    <w:p w14:paraId="71E45FB8">
      <w:pPr>
        <w:pStyle w:val="4"/>
        <w:pageBreakBefore w:val="0"/>
        <w:widowControl w:val="0"/>
        <w:kinsoku/>
        <w:wordWrap/>
        <w:overflowPunct/>
        <w:topLinePunct w:val="0"/>
        <w:autoSpaceDE/>
        <w:autoSpaceDN/>
        <w:bidi w:val="0"/>
        <w:adjustRightInd w:val="0"/>
        <w:snapToGrid w:val="0"/>
        <w:spacing w:before="0" w:after="0" w:line="400" w:lineRule="exact"/>
        <w:ind w:firstLine="482" w:firstLineChars="200"/>
        <w:textAlignment w:val="auto"/>
        <w:rPr>
          <w:rFonts w:hint="eastAsia" w:ascii="宋体" w:hAnsi="宋体" w:eastAsia="宋体" w:cs="宋体"/>
          <w:color w:val="auto"/>
          <w:highlight w:val="none"/>
        </w:rPr>
      </w:pPr>
      <w:bookmarkStart w:id="40" w:name="_Toc15329"/>
      <w:r>
        <w:rPr>
          <w:rFonts w:hint="eastAsia" w:ascii="宋体" w:hAnsi="宋体" w:eastAsia="宋体" w:cs="宋体"/>
          <w:color w:val="auto"/>
          <w:sz w:val="24"/>
          <w:highlight w:val="none"/>
        </w:rPr>
        <w:t>一、项目基本概况介绍</w:t>
      </w:r>
      <w:bookmarkEnd w:id="39"/>
      <w:bookmarkEnd w:id="40"/>
    </w:p>
    <w:p w14:paraId="06AF6FF3">
      <w:pPr>
        <w:pageBreakBefore w:val="0"/>
        <w:widowControl w:val="0"/>
        <w:numPr>
          <w:ilvl w:val="0"/>
          <w:numId w:val="0"/>
        </w:numPr>
        <w:kinsoku/>
        <w:wordWrap/>
        <w:overflowPunct/>
        <w:topLinePunct w:val="0"/>
        <w:autoSpaceDE/>
        <w:autoSpaceDN/>
        <w:bidi w:val="0"/>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（一）</w:t>
      </w:r>
      <w:r>
        <w:rPr>
          <w:rFonts w:hint="eastAsia" w:ascii="宋体" w:hAnsi="宋体" w:eastAsia="宋体" w:cs="宋体"/>
          <w:color w:val="auto"/>
          <w:sz w:val="24"/>
          <w:szCs w:val="24"/>
          <w:highlight w:val="none"/>
          <w:lang w:val="en-US" w:eastAsia="zh-CN"/>
        </w:rPr>
        <w:t>工程</w:t>
      </w:r>
      <w:r>
        <w:rPr>
          <w:rFonts w:hint="eastAsia" w:ascii="宋体" w:hAnsi="宋体" w:cs="宋体"/>
          <w:color w:val="auto"/>
          <w:sz w:val="24"/>
          <w:szCs w:val="24"/>
          <w:highlight w:val="none"/>
          <w:lang w:val="en-US" w:eastAsia="zh-CN"/>
        </w:rPr>
        <w:t>概况</w:t>
      </w:r>
      <w:r>
        <w:rPr>
          <w:rFonts w:hint="eastAsia" w:ascii="宋体" w:hAnsi="宋体" w:eastAsia="宋体" w:cs="宋体"/>
          <w:color w:val="auto"/>
          <w:sz w:val="24"/>
          <w:szCs w:val="24"/>
          <w:highlight w:val="none"/>
          <w:lang w:val="en-US" w:eastAsia="zh-CN"/>
        </w:rPr>
        <w:t>：本工程为秀山县洪安镇中心卫生院改造项目，主要包括门诊楼一层改造、功能科一层改造，其中门诊楼一层改造包括原墙面装饰板拆除244.80m²、石膏板吊顶拆除429.31m²、铝方通拆除114.25m²、防撞扶手拆除145.00m、木质门拆除45.15m²、金属门窗拆除62.56m²、原应急照明灯具拆除及恢复17.00套、疏散指示灯及安全出口标志灯拆除及恢复20.00套、感烟探测器拆除及恢复13.00套、空心砖砌体6.97</w:t>
      </w:r>
      <w:r>
        <w:rPr>
          <w:rFonts w:hint="eastAsia" w:ascii="宋体" w:hAnsi="宋体" w:cs="宋体"/>
          <w:color w:val="auto"/>
          <w:sz w:val="24"/>
          <w:szCs w:val="24"/>
          <w:highlight w:val="none"/>
          <w:lang w:val="en-US" w:eastAsia="zh-CN"/>
        </w:rPr>
        <w:t>m³</w:t>
      </w:r>
      <w:r>
        <w:rPr>
          <w:rFonts w:hint="eastAsia" w:ascii="宋体" w:hAnsi="宋体" w:eastAsia="宋体" w:cs="宋体"/>
          <w:color w:val="auto"/>
          <w:sz w:val="24"/>
          <w:szCs w:val="24"/>
          <w:highlight w:val="none"/>
          <w:lang w:val="en-US" w:eastAsia="zh-CN"/>
        </w:rPr>
        <w:t>、木质套装51.45m²、10mm厚钢化玻璃橱窗26.08m²、金属踢脚线637.13m、无机预涂板饰面1129.12m²、铝扣板吊顶429.31m²、大厅木饰面顶棚吊顶114.25m²、墙面乳胶漆763.14m²、天棚乳胶漆584.09m²、导诊台8.50m、防撞扶手安装145.00m等。功能科一层改造包括石膏板吊顶拆除357.34m²、防撞扶手拆除111.20m、木质门拆除18.90m²、铅门拆除12.24m²、原应急照明灯具拆除及恢复14.00套、疏散指示灯及安全出口标志灯拆除及恢复21.00套、感烟探测器拆除及恢复16.00套、木质套装门18.90m²、3Pb成品不锈钢铅门（吊滑式）4.32m²、5Pb成品不锈钢铅门（吊滑式）4.32m²、3Pb铅门1.80m²、5Pb铅门1.80m²、金属踢脚线148.40m、无机预涂板饰面298.62m²、铝扣板吊顶355.62m²、防撞扶手安装111.20m等。</w:t>
      </w:r>
    </w:p>
    <w:p w14:paraId="160136A4">
      <w:pPr>
        <w:pageBreakBefore w:val="0"/>
        <w:widowControl w:val="0"/>
        <w:kinsoku/>
        <w:wordWrap/>
        <w:overflowPunct/>
        <w:topLinePunct w:val="0"/>
        <w:autoSpaceDE/>
        <w:autoSpaceDN/>
        <w:bidi w:val="0"/>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（二）</w:t>
      </w:r>
      <w:r>
        <w:rPr>
          <w:rFonts w:hint="eastAsia" w:ascii="宋体" w:hAnsi="宋体" w:eastAsia="宋体" w:cs="宋体"/>
          <w:color w:val="auto"/>
          <w:sz w:val="24"/>
          <w:szCs w:val="24"/>
          <w:highlight w:val="none"/>
          <w:lang w:val="en-US" w:eastAsia="zh-CN"/>
        </w:rPr>
        <w:t>工程地址：重庆市秀山县洪安镇九龙新街43号</w:t>
      </w:r>
      <w:r>
        <w:rPr>
          <w:rFonts w:hint="eastAsia" w:ascii="宋体" w:hAnsi="宋体" w:cs="宋体"/>
          <w:color w:val="auto"/>
          <w:sz w:val="24"/>
          <w:szCs w:val="24"/>
          <w:highlight w:val="none"/>
          <w:lang w:val="en-US" w:eastAsia="zh-CN"/>
        </w:rPr>
        <w:t>（具体以采购人指定地点为准）</w:t>
      </w:r>
      <w:r>
        <w:rPr>
          <w:rFonts w:hint="eastAsia" w:ascii="宋体" w:hAnsi="宋体" w:eastAsia="宋体" w:cs="宋体"/>
          <w:color w:val="auto"/>
          <w:sz w:val="24"/>
          <w:szCs w:val="24"/>
          <w:highlight w:val="none"/>
          <w:lang w:eastAsia="zh-CN"/>
        </w:rPr>
        <w:t>。</w:t>
      </w:r>
    </w:p>
    <w:p w14:paraId="6A2E0AEC">
      <w:pPr>
        <w:pageBreakBefore w:val="0"/>
        <w:widowControl w:val="0"/>
        <w:kinsoku/>
        <w:wordWrap/>
        <w:overflowPunct/>
        <w:topLinePunct w:val="0"/>
        <w:autoSpaceDE/>
        <w:autoSpaceDN/>
        <w:bidi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（三）招标范围：本项目</w:t>
      </w:r>
      <w:r>
        <w:rPr>
          <w:rFonts w:hint="eastAsia" w:ascii="宋体" w:hAnsi="宋体" w:eastAsia="宋体" w:cs="宋体"/>
          <w:color w:val="auto"/>
          <w:sz w:val="24"/>
          <w:szCs w:val="24"/>
          <w:highlight w:val="none"/>
        </w:rPr>
        <w:t>施工图设计所包含的</w:t>
      </w:r>
      <w:r>
        <w:rPr>
          <w:rFonts w:hint="eastAsia" w:ascii="宋体" w:hAnsi="宋体" w:eastAsia="宋体" w:cs="宋体"/>
          <w:color w:val="auto"/>
          <w:sz w:val="24"/>
          <w:szCs w:val="24"/>
          <w:highlight w:val="none"/>
          <w:lang w:val="en-US" w:eastAsia="zh-CN"/>
        </w:rPr>
        <w:t>全部内容</w:t>
      </w:r>
      <w:r>
        <w:rPr>
          <w:rFonts w:hint="eastAsia" w:ascii="宋体" w:hAnsi="宋体" w:eastAsia="宋体" w:cs="宋体"/>
          <w:color w:val="auto"/>
          <w:sz w:val="24"/>
          <w:szCs w:val="24"/>
          <w:highlight w:val="none"/>
        </w:rPr>
        <w:t>，具体</w:t>
      </w:r>
      <w:r>
        <w:rPr>
          <w:rFonts w:hint="eastAsia" w:ascii="宋体" w:hAnsi="宋体" w:eastAsia="宋体" w:cs="宋体"/>
          <w:color w:val="auto"/>
          <w:sz w:val="24"/>
          <w:szCs w:val="24"/>
          <w:highlight w:val="none"/>
          <w:lang w:val="en-US" w:eastAsia="zh-CN"/>
        </w:rPr>
        <w:t>详见</w:t>
      </w:r>
      <w:r>
        <w:rPr>
          <w:rFonts w:hint="eastAsia" w:ascii="宋体" w:hAnsi="宋体" w:eastAsia="宋体" w:cs="宋体"/>
          <w:color w:val="auto"/>
          <w:sz w:val="24"/>
          <w:szCs w:val="24"/>
          <w:highlight w:val="none"/>
        </w:rPr>
        <w:t>本项目工程量清单</w:t>
      </w:r>
      <w:r>
        <w:rPr>
          <w:rFonts w:hint="eastAsia" w:ascii="宋体" w:hAnsi="宋体" w:eastAsia="宋体" w:cs="宋体"/>
          <w:color w:val="auto"/>
          <w:sz w:val="24"/>
          <w:szCs w:val="24"/>
          <w:highlight w:val="none"/>
          <w:lang w:val="en-US" w:eastAsia="zh-CN"/>
        </w:rPr>
        <w:t>及图</w:t>
      </w:r>
      <w:r>
        <w:rPr>
          <w:rFonts w:hint="eastAsia" w:ascii="宋体" w:hAnsi="宋体" w:eastAsia="宋体" w:cs="宋体"/>
          <w:color w:val="auto"/>
          <w:sz w:val="24"/>
          <w:szCs w:val="24"/>
          <w:highlight w:val="none"/>
        </w:rPr>
        <w:t>纸。</w:t>
      </w:r>
    </w:p>
    <w:p w14:paraId="11B3F05C">
      <w:pPr>
        <w:pageBreakBefore w:val="0"/>
        <w:widowControl w:val="0"/>
        <w:kinsoku/>
        <w:wordWrap/>
        <w:overflowPunct/>
        <w:topLinePunct w:val="0"/>
        <w:autoSpaceDE/>
        <w:autoSpaceDN/>
        <w:bidi w:val="0"/>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（四）技术标准：工程质量符合强制性质量标准，符合国家和重庆市现行有关施工质量验收规范要求，并达到合格标准。</w:t>
      </w:r>
    </w:p>
    <w:p w14:paraId="0C893F5B">
      <w:pPr>
        <w:pStyle w:val="4"/>
        <w:pageBreakBefore w:val="0"/>
        <w:widowControl w:val="0"/>
        <w:kinsoku/>
        <w:wordWrap/>
        <w:overflowPunct/>
        <w:topLinePunct w:val="0"/>
        <w:autoSpaceDE/>
        <w:autoSpaceDN/>
        <w:bidi w:val="0"/>
        <w:adjustRightInd w:val="0"/>
        <w:snapToGrid w:val="0"/>
        <w:spacing w:before="0" w:after="0" w:line="400" w:lineRule="exact"/>
        <w:ind w:firstLine="482"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szCs w:val="24"/>
          <w:highlight w:val="none"/>
          <w:lang w:val="en-US" w:eastAsia="zh-CN"/>
        </w:rPr>
        <w:t>二</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人员要求</w:t>
      </w:r>
    </w:p>
    <w:p w14:paraId="33DD463B">
      <w:pPr>
        <w:pageBreakBefore w:val="0"/>
        <w:widowControl w:val="0"/>
        <w:kinsoku/>
        <w:wordWrap/>
        <w:overflowPunct/>
        <w:topLinePunct w:val="0"/>
        <w:autoSpaceDE/>
        <w:autoSpaceDN/>
        <w:bidi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1.项目经理资格要求</w:t>
      </w:r>
    </w:p>
    <w:p w14:paraId="73C2D607">
      <w:pPr>
        <w:pageBreakBefore w:val="0"/>
        <w:widowControl w:val="0"/>
        <w:kinsoku/>
        <w:wordWrap/>
        <w:overflowPunct/>
        <w:topLinePunct w:val="0"/>
        <w:autoSpaceDE/>
        <w:autoSpaceDN/>
        <w:bidi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本项目项目经理必须已在</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单位注册并应具有</w:t>
      </w:r>
      <w:r>
        <w:rPr>
          <w:rFonts w:hint="eastAsia" w:ascii="宋体" w:hAnsi="宋体" w:eastAsia="宋体" w:cs="宋体"/>
          <w:color w:val="auto"/>
          <w:sz w:val="24"/>
          <w:szCs w:val="24"/>
          <w:highlight w:val="none"/>
          <w:lang w:eastAsia="zh-CN"/>
        </w:rPr>
        <w:t>建筑工程</w:t>
      </w:r>
      <w:r>
        <w:rPr>
          <w:rFonts w:hint="eastAsia" w:ascii="宋体" w:hAnsi="宋体" w:eastAsia="宋体" w:cs="宋体"/>
          <w:color w:val="auto"/>
          <w:sz w:val="24"/>
          <w:szCs w:val="24"/>
          <w:highlight w:val="none"/>
        </w:rPr>
        <w:t>专业二级及以上注册建造师执业资格，并且不能在在建工程担任项目经理</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lang w:eastAsia="zh-CN"/>
        </w:rPr>
        <w:t>提</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lang w:eastAsia="zh-CN"/>
        </w:rPr>
        <w:t>为其缴纳的</w:t>
      </w:r>
      <w:r>
        <w:rPr>
          <w:rFonts w:hint="eastAsia" w:ascii="宋体" w:hAnsi="宋体" w:cs="宋体"/>
          <w:color w:val="auto"/>
          <w:sz w:val="24"/>
          <w:szCs w:val="24"/>
          <w:highlight w:val="none"/>
          <w:lang w:val="en-US" w:eastAsia="zh-CN"/>
        </w:rPr>
        <w:t>2026年3月-2026年5月的</w:t>
      </w:r>
      <w:r>
        <w:rPr>
          <w:rFonts w:hint="eastAsia" w:ascii="宋体" w:hAnsi="宋体" w:eastAsia="宋体" w:cs="宋体"/>
          <w:color w:val="auto"/>
          <w:sz w:val="24"/>
          <w:szCs w:val="24"/>
          <w:highlight w:val="none"/>
          <w:lang w:eastAsia="zh-CN"/>
        </w:rPr>
        <w:t>社保证明材料</w:t>
      </w:r>
      <w:r>
        <w:rPr>
          <w:rFonts w:hint="eastAsia" w:ascii="宋体" w:hAnsi="宋体" w:eastAsia="宋体" w:cs="宋体"/>
          <w:color w:val="auto"/>
          <w:sz w:val="24"/>
          <w:szCs w:val="24"/>
          <w:highlight w:val="none"/>
        </w:rPr>
        <w:t>。</w:t>
      </w:r>
    </w:p>
    <w:p w14:paraId="7249F01C">
      <w:pPr>
        <w:pageBreakBefore w:val="0"/>
        <w:widowControl w:val="0"/>
        <w:kinsoku/>
        <w:wordWrap/>
        <w:overflowPunct/>
        <w:topLinePunct w:val="0"/>
        <w:autoSpaceDE/>
        <w:autoSpaceDN/>
        <w:bidi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（注：项目经理应附建造师注册证书、</w:t>
      </w:r>
      <w:r>
        <w:rPr>
          <w:rFonts w:hint="eastAsia" w:ascii="宋体" w:hAnsi="宋体" w:eastAsia="宋体" w:cs="宋体"/>
          <w:b/>
          <w:bCs/>
          <w:color w:val="auto"/>
          <w:sz w:val="28"/>
          <w:szCs w:val="28"/>
          <w:highlight w:val="none"/>
        </w:rPr>
        <w:t>项目经理</w:t>
      </w:r>
      <w:r>
        <w:rPr>
          <w:rFonts w:hint="eastAsia" w:ascii="宋体" w:hAnsi="宋体" w:eastAsia="宋体" w:cs="宋体"/>
          <w:b/>
          <w:bCs/>
          <w:color w:val="auto"/>
          <w:sz w:val="28"/>
          <w:szCs w:val="28"/>
          <w:highlight w:val="none"/>
          <w:lang w:val="en-US" w:eastAsia="zh-CN"/>
        </w:rPr>
        <w:t>须承诺</w:t>
      </w:r>
      <w:r>
        <w:rPr>
          <w:rFonts w:hint="eastAsia" w:ascii="宋体" w:hAnsi="宋体" w:eastAsia="宋体" w:cs="宋体"/>
          <w:b/>
          <w:bCs/>
          <w:color w:val="auto"/>
          <w:sz w:val="28"/>
          <w:szCs w:val="28"/>
          <w:highlight w:val="none"/>
        </w:rPr>
        <w:t>无在建</w:t>
      </w:r>
      <w:r>
        <w:rPr>
          <w:rFonts w:hint="eastAsia" w:ascii="宋体" w:hAnsi="宋体" w:eastAsia="宋体" w:cs="宋体"/>
          <w:b/>
          <w:bCs/>
          <w:color w:val="auto"/>
          <w:sz w:val="28"/>
          <w:szCs w:val="28"/>
          <w:highlight w:val="none"/>
          <w:lang w:val="en-US" w:eastAsia="zh-CN"/>
        </w:rPr>
        <w:t>项目</w:t>
      </w:r>
      <w:r>
        <w:rPr>
          <w:rFonts w:hint="eastAsia" w:ascii="宋体" w:hAnsi="宋体" w:eastAsia="宋体" w:cs="宋体"/>
          <w:b/>
          <w:bCs/>
          <w:color w:val="auto"/>
          <w:sz w:val="28"/>
          <w:szCs w:val="28"/>
          <w:highlight w:val="none"/>
          <w:lang w:eastAsia="zh-CN"/>
        </w:rPr>
        <w:t>（格式自拟）</w:t>
      </w:r>
      <w:r>
        <w:rPr>
          <w:rFonts w:hint="eastAsia" w:ascii="宋体" w:hAnsi="宋体" w:eastAsia="宋体" w:cs="宋体"/>
          <w:color w:val="auto"/>
          <w:sz w:val="24"/>
          <w:szCs w:val="24"/>
          <w:highlight w:val="none"/>
          <w:lang w:eastAsia="zh-CN"/>
        </w:rPr>
        <w:t>扫描件</w:t>
      </w:r>
      <w:r>
        <w:rPr>
          <w:rFonts w:hint="eastAsia" w:ascii="宋体" w:hAnsi="宋体" w:eastAsia="宋体" w:cs="宋体"/>
          <w:color w:val="auto"/>
          <w:sz w:val="24"/>
          <w:szCs w:val="24"/>
          <w:highlight w:val="none"/>
          <w:lang w:val="en-US" w:eastAsia="zh-CN"/>
        </w:rPr>
        <w:t>并加盖</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公章</w:t>
      </w:r>
      <w:r>
        <w:rPr>
          <w:rFonts w:hint="eastAsia" w:ascii="宋体" w:hAnsi="宋体" w:eastAsia="宋体" w:cs="宋体"/>
          <w:color w:val="auto"/>
          <w:sz w:val="24"/>
          <w:szCs w:val="24"/>
          <w:highlight w:val="none"/>
        </w:rPr>
        <w:t>。）</w:t>
      </w:r>
    </w:p>
    <w:p w14:paraId="2B4BE891">
      <w:pPr>
        <w:spacing w:line="400" w:lineRule="exact"/>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2.主要管理人员</w:t>
      </w:r>
      <w:r>
        <w:rPr>
          <w:rFonts w:hint="eastAsia" w:ascii="宋体" w:hAnsi="宋体" w:cs="宋体"/>
          <w:color w:val="auto"/>
          <w:sz w:val="24"/>
          <w:szCs w:val="24"/>
          <w:highlight w:val="none"/>
          <w:lang w:val="en-US" w:eastAsia="zh-CN"/>
        </w:rPr>
        <w:t>要求</w:t>
      </w:r>
    </w:p>
    <w:p w14:paraId="720AF2E1">
      <w:pPr>
        <w:pageBreakBefore w:val="0"/>
        <w:widowControl w:val="0"/>
        <w:kinsoku/>
        <w:wordWrap/>
        <w:overflowPunct/>
        <w:topLinePunct w:val="0"/>
        <w:autoSpaceDE/>
        <w:autoSpaceDN/>
        <w:bidi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lang w:eastAsia="zh-CN"/>
        </w:rPr>
        <w:t>须承诺，签订合同之前，须按照建设行政主管部门的要求组建施工项目部，配置项目管理班子，出具任命文件。任命文件应当明确施工项目部的职责、岗位设置、人员配备，并书面通知建设单位。相关岗位管理人员应持有建设行政主管部门要求的岗位证书；</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lang w:eastAsia="zh-CN"/>
        </w:rPr>
        <w:t>不满足上述要求的，视为拒绝与其签订合同，</w:t>
      </w:r>
      <w:r>
        <w:rPr>
          <w:rFonts w:hint="eastAsia" w:ascii="宋体" w:hAnsi="宋体" w:cs="宋体"/>
          <w:color w:val="auto"/>
          <w:sz w:val="24"/>
          <w:szCs w:val="24"/>
          <w:highlight w:val="none"/>
          <w:lang w:eastAsia="zh-CN"/>
        </w:rPr>
        <w:t>采购人</w:t>
      </w:r>
      <w:r>
        <w:rPr>
          <w:rFonts w:hint="eastAsia" w:ascii="宋体" w:hAnsi="宋体" w:eastAsia="宋体" w:cs="宋体"/>
          <w:color w:val="auto"/>
          <w:sz w:val="24"/>
          <w:szCs w:val="24"/>
          <w:highlight w:val="none"/>
          <w:lang w:eastAsia="zh-CN"/>
        </w:rPr>
        <w:t>将上报政府采购监管部门取消其成交资格，并追究其责任。</w:t>
      </w:r>
      <w:r>
        <w:rPr>
          <w:rFonts w:hint="eastAsia" w:ascii="宋体" w:hAnsi="宋体" w:eastAsia="宋体" w:cs="宋体"/>
          <w:b/>
          <w:bCs/>
          <w:color w:val="auto"/>
          <w:sz w:val="28"/>
          <w:szCs w:val="28"/>
          <w:highlight w:val="none"/>
          <w:lang w:eastAsia="zh-CN"/>
        </w:rPr>
        <w:t>（提供承诺函，格式自定）</w:t>
      </w:r>
      <w:r>
        <w:rPr>
          <w:rFonts w:hint="eastAsia" w:ascii="宋体" w:hAnsi="宋体" w:eastAsia="宋体" w:cs="宋体"/>
          <w:color w:val="auto"/>
          <w:sz w:val="24"/>
          <w:szCs w:val="24"/>
          <w:highlight w:val="none"/>
          <w:lang w:eastAsia="zh-CN"/>
        </w:rPr>
        <w:t>。</w:t>
      </w:r>
    </w:p>
    <w:p w14:paraId="567FF0E2">
      <w:pPr>
        <w:pageBreakBefore w:val="0"/>
        <w:widowControl w:val="0"/>
        <w:kinsoku/>
        <w:wordWrap/>
        <w:overflowPunct/>
        <w:topLinePunct w:val="0"/>
        <w:autoSpaceDE/>
        <w:autoSpaceDN/>
        <w:bidi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参与</w:t>
      </w:r>
      <w:r>
        <w:rPr>
          <w:rFonts w:hint="eastAsia" w:ascii="宋体" w:hAnsi="宋体" w:eastAsia="宋体" w:cs="宋体"/>
          <w:color w:val="auto"/>
          <w:sz w:val="24"/>
          <w:szCs w:val="24"/>
          <w:highlight w:val="none"/>
          <w:lang w:eastAsia="zh-CN"/>
        </w:rPr>
        <w:t>投标</w:t>
      </w:r>
      <w:r>
        <w:rPr>
          <w:rFonts w:hint="eastAsia" w:ascii="宋体" w:hAnsi="宋体" w:eastAsia="宋体" w:cs="宋体"/>
          <w:color w:val="auto"/>
          <w:sz w:val="24"/>
          <w:szCs w:val="24"/>
          <w:highlight w:val="none"/>
        </w:rPr>
        <w:t>的授权代表的要求</w:t>
      </w:r>
    </w:p>
    <w:p w14:paraId="2FA9A67A">
      <w:pPr>
        <w:pageBreakBefore w:val="0"/>
        <w:widowControl w:val="0"/>
        <w:kinsoku/>
        <w:wordWrap/>
        <w:overflowPunct/>
        <w:topLinePunct w:val="0"/>
        <w:autoSpaceDE/>
        <w:autoSpaceDN/>
        <w:bidi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lang w:eastAsia="zh-CN"/>
        </w:rPr>
        <w:t>拟派参与本项目投标的授权代表，须在响应文件中提供有效的授权委托书</w:t>
      </w:r>
      <w:r>
        <w:rPr>
          <w:rFonts w:hint="eastAsia" w:ascii="宋体" w:hAnsi="宋体" w:cs="宋体"/>
          <w:color w:val="auto"/>
          <w:sz w:val="24"/>
          <w:szCs w:val="24"/>
          <w:highlight w:val="none"/>
          <w:lang w:val="en-US" w:eastAsia="zh-CN"/>
        </w:rPr>
        <w:t>及</w:t>
      </w:r>
      <w:r>
        <w:rPr>
          <w:rFonts w:hint="eastAsia" w:ascii="宋体" w:hAnsi="宋体" w:eastAsia="宋体" w:cs="宋体"/>
          <w:color w:val="auto"/>
          <w:sz w:val="24"/>
          <w:szCs w:val="24"/>
          <w:highlight w:val="none"/>
          <w:lang w:eastAsia="zh-CN"/>
        </w:rPr>
        <w:t>提</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lang w:eastAsia="zh-CN"/>
        </w:rPr>
        <w:t>为其缴纳的</w:t>
      </w:r>
      <w:r>
        <w:rPr>
          <w:rFonts w:hint="eastAsia" w:ascii="宋体" w:hAnsi="宋体" w:cs="宋体"/>
          <w:color w:val="auto"/>
          <w:sz w:val="24"/>
          <w:szCs w:val="24"/>
          <w:highlight w:val="none"/>
          <w:lang w:val="en-US" w:eastAsia="zh-CN"/>
        </w:rPr>
        <w:t>2026年3月-2026年5月的</w:t>
      </w:r>
      <w:r>
        <w:rPr>
          <w:rFonts w:hint="eastAsia" w:ascii="宋体" w:hAnsi="宋体" w:eastAsia="宋体" w:cs="宋体"/>
          <w:color w:val="auto"/>
          <w:sz w:val="24"/>
          <w:szCs w:val="24"/>
          <w:highlight w:val="none"/>
          <w:lang w:eastAsia="zh-CN"/>
        </w:rPr>
        <w:t>社保证明材料</w:t>
      </w:r>
      <w:r>
        <w:rPr>
          <w:rFonts w:hint="eastAsia" w:ascii="宋体" w:hAnsi="宋体" w:eastAsia="宋体" w:cs="宋体"/>
          <w:color w:val="auto"/>
          <w:sz w:val="24"/>
          <w:szCs w:val="24"/>
          <w:highlight w:val="none"/>
        </w:rPr>
        <w:t>。</w:t>
      </w:r>
    </w:p>
    <w:p w14:paraId="251559C7">
      <w:pPr>
        <w:snapToGrid w:val="0"/>
        <w:spacing w:line="360" w:lineRule="auto"/>
        <w:ind w:firstLine="480" w:firstLineChars="200"/>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三</w:t>
      </w:r>
      <w:r>
        <w:rPr>
          <w:rFonts w:hint="eastAsia" w:ascii="宋体" w:hAnsi="宋体" w:eastAsia="宋体" w:cs="宋体"/>
          <w:b/>
          <w:color w:val="auto"/>
          <w:kern w:val="2"/>
          <w:sz w:val="24"/>
          <w:highlight w:val="none"/>
          <w:lang w:val="en-US" w:eastAsia="zh-CN" w:bidi="ar-SA"/>
        </w:rPr>
        <w:t>、其他要求</w:t>
      </w:r>
    </w:p>
    <w:p w14:paraId="730A237F">
      <w:pPr>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bCs/>
          <w:color w:val="auto"/>
          <w:sz w:val="24"/>
          <w:szCs w:val="24"/>
          <w:highlight w:val="none"/>
          <w:lang w:val="en-US" w:eastAsia="zh-CN"/>
        </w:rPr>
        <w:t>踏勘</w:t>
      </w:r>
      <w:r>
        <w:rPr>
          <w:rFonts w:hint="eastAsia" w:ascii="宋体" w:hAnsi="宋体" w:cs="宋体"/>
          <w:b/>
          <w:bCs/>
          <w:color w:val="auto"/>
          <w:sz w:val="24"/>
          <w:szCs w:val="24"/>
          <w:highlight w:val="none"/>
          <w:lang w:val="en-US" w:eastAsia="zh-CN"/>
        </w:rPr>
        <w:t>：</w:t>
      </w:r>
      <w:r>
        <w:rPr>
          <w:rFonts w:hint="eastAsia" w:ascii="宋体" w:hAnsi="宋体" w:eastAsia="宋体" w:cs="宋体"/>
          <w:color w:val="auto"/>
          <w:kern w:val="2"/>
          <w:sz w:val="24"/>
          <w:szCs w:val="24"/>
          <w:highlight w:val="none"/>
          <w:lang w:val="en-US" w:eastAsia="zh-CN" w:bidi="ar-SA"/>
        </w:rPr>
        <w:t>本项目不组织集中踏勘，由供应商自行进行踏勘，无论踏勘与否，采购人均视为对现场条件和项目情况有充分的了解。供应商自行考虑各种风险，不得因此申请调价或索赔。踏勘过程中的费用和涉及到的风险损失等均由供应商自行承担。供应商须在投标响应文件中提供已自行踏勘现场的承诺函</w:t>
      </w:r>
      <w:r>
        <w:rPr>
          <w:rFonts w:hint="eastAsia" w:ascii="宋体" w:hAnsi="宋体" w:eastAsia="宋体" w:cs="宋体"/>
          <w:b/>
          <w:bCs/>
          <w:color w:val="auto"/>
          <w:kern w:val="2"/>
          <w:sz w:val="28"/>
          <w:szCs w:val="28"/>
          <w:highlight w:val="none"/>
          <w:lang w:val="en-US" w:eastAsia="zh-CN" w:bidi="ar-SA"/>
        </w:rPr>
        <w:t>（格式自拟）</w:t>
      </w:r>
      <w:r>
        <w:rPr>
          <w:rFonts w:hint="eastAsia" w:ascii="宋体" w:hAnsi="宋体" w:eastAsia="宋体" w:cs="宋体"/>
          <w:color w:val="auto"/>
          <w:kern w:val="2"/>
          <w:sz w:val="24"/>
          <w:szCs w:val="24"/>
          <w:highlight w:val="none"/>
          <w:lang w:val="en-US" w:eastAsia="zh-CN" w:bidi="ar-SA"/>
        </w:rPr>
        <w:t>。</w:t>
      </w:r>
    </w:p>
    <w:p w14:paraId="72D3EA2C">
      <w:pPr>
        <w:spacing w:line="360" w:lineRule="auto"/>
        <w:rPr>
          <w:rFonts w:hint="eastAsia" w:ascii="宋体" w:hAnsi="宋体" w:eastAsia="宋体" w:cs="宋体"/>
          <w:bCs/>
          <w:color w:val="auto"/>
          <w:kern w:val="0"/>
          <w:sz w:val="24"/>
          <w:szCs w:val="24"/>
          <w:highlight w:val="none"/>
        </w:rPr>
      </w:pPr>
    </w:p>
    <w:p w14:paraId="5DAB27E9">
      <w:pPr>
        <w:pStyle w:val="4"/>
        <w:spacing w:line="360" w:lineRule="auto"/>
        <w:jc w:val="center"/>
        <w:rPr>
          <w:rFonts w:hint="eastAsia" w:ascii="宋体" w:hAnsi="宋体" w:eastAsia="宋体" w:cs="宋体"/>
          <w:color w:val="auto"/>
          <w:sz w:val="36"/>
          <w:szCs w:val="30"/>
          <w:highlight w:val="none"/>
        </w:rPr>
      </w:pPr>
      <w:bookmarkStart w:id="41" w:name="_Toc24341"/>
    </w:p>
    <w:p w14:paraId="748448B7">
      <w:pPr>
        <w:rPr>
          <w:rFonts w:hint="eastAsia" w:ascii="宋体" w:hAnsi="宋体" w:eastAsia="宋体" w:cs="宋体"/>
          <w:color w:val="auto"/>
          <w:sz w:val="36"/>
          <w:szCs w:val="30"/>
          <w:highlight w:val="none"/>
        </w:rPr>
      </w:pPr>
    </w:p>
    <w:p w14:paraId="0C7AE86F">
      <w:pPr>
        <w:rPr>
          <w:rFonts w:hint="eastAsia" w:ascii="宋体" w:hAnsi="宋体" w:eastAsia="宋体" w:cs="宋体"/>
          <w:color w:val="auto"/>
          <w:sz w:val="36"/>
          <w:szCs w:val="30"/>
          <w:highlight w:val="none"/>
        </w:rPr>
      </w:pPr>
    </w:p>
    <w:p w14:paraId="3F3080C4">
      <w:pPr>
        <w:rPr>
          <w:rFonts w:hint="eastAsia" w:ascii="宋体" w:hAnsi="宋体" w:eastAsia="宋体" w:cs="宋体"/>
          <w:color w:val="auto"/>
          <w:sz w:val="36"/>
          <w:szCs w:val="30"/>
          <w:highlight w:val="none"/>
        </w:rPr>
      </w:pPr>
    </w:p>
    <w:p w14:paraId="11AEEDBC">
      <w:pPr>
        <w:rPr>
          <w:rFonts w:hint="eastAsia" w:ascii="宋体" w:hAnsi="宋体" w:eastAsia="宋体" w:cs="宋体"/>
          <w:color w:val="auto"/>
          <w:sz w:val="36"/>
          <w:szCs w:val="30"/>
          <w:highlight w:val="none"/>
        </w:rPr>
      </w:pPr>
    </w:p>
    <w:p w14:paraId="32A96D0D">
      <w:pPr>
        <w:rPr>
          <w:rFonts w:hint="eastAsia" w:ascii="宋体" w:hAnsi="宋体" w:eastAsia="宋体" w:cs="宋体"/>
          <w:color w:val="auto"/>
          <w:sz w:val="36"/>
          <w:szCs w:val="30"/>
          <w:highlight w:val="none"/>
        </w:rPr>
      </w:pPr>
    </w:p>
    <w:p w14:paraId="35CFE3F7">
      <w:pPr>
        <w:rPr>
          <w:rFonts w:hint="eastAsia" w:ascii="宋体" w:hAnsi="宋体" w:eastAsia="宋体" w:cs="宋体"/>
          <w:color w:val="auto"/>
          <w:sz w:val="36"/>
          <w:szCs w:val="30"/>
          <w:highlight w:val="none"/>
        </w:rPr>
      </w:pPr>
    </w:p>
    <w:p w14:paraId="7A7E33DF">
      <w:pPr>
        <w:rPr>
          <w:rFonts w:hint="eastAsia" w:ascii="宋体" w:hAnsi="宋体" w:eastAsia="宋体" w:cs="宋体"/>
          <w:color w:val="auto"/>
          <w:sz w:val="36"/>
          <w:szCs w:val="30"/>
          <w:highlight w:val="none"/>
        </w:rPr>
      </w:pPr>
    </w:p>
    <w:p w14:paraId="18A90F70">
      <w:pPr>
        <w:pStyle w:val="2"/>
        <w:rPr>
          <w:rFonts w:hint="eastAsia"/>
          <w:color w:val="auto"/>
          <w:highlight w:val="none"/>
        </w:rPr>
      </w:pPr>
    </w:p>
    <w:p w14:paraId="66B44811">
      <w:pPr>
        <w:rPr>
          <w:rFonts w:hint="eastAsia"/>
          <w:color w:val="auto"/>
          <w:highlight w:val="none"/>
        </w:rPr>
      </w:pPr>
    </w:p>
    <w:p w14:paraId="4D7385B9">
      <w:pPr>
        <w:pStyle w:val="71"/>
        <w:rPr>
          <w:rFonts w:hint="eastAsia"/>
          <w:color w:val="auto"/>
          <w:highlight w:val="none"/>
        </w:rPr>
      </w:pPr>
    </w:p>
    <w:p w14:paraId="29D253E4">
      <w:pPr>
        <w:rPr>
          <w:rFonts w:hint="eastAsia"/>
          <w:color w:val="auto"/>
          <w:highlight w:val="none"/>
        </w:rPr>
      </w:pPr>
    </w:p>
    <w:p w14:paraId="7471B320">
      <w:pPr>
        <w:pStyle w:val="71"/>
        <w:rPr>
          <w:rFonts w:hint="eastAsia"/>
          <w:color w:val="auto"/>
          <w:highlight w:val="none"/>
        </w:rPr>
      </w:pPr>
    </w:p>
    <w:p w14:paraId="03219407">
      <w:pPr>
        <w:rPr>
          <w:rFonts w:hint="eastAsia"/>
          <w:color w:val="auto"/>
          <w:highlight w:val="none"/>
        </w:rPr>
      </w:pPr>
    </w:p>
    <w:p w14:paraId="6FD33B9E">
      <w:pPr>
        <w:pStyle w:val="71"/>
        <w:rPr>
          <w:rFonts w:hint="eastAsia"/>
          <w:color w:val="auto"/>
          <w:highlight w:val="none"/>
        </w:rPr>
      </w:pPr>
    </w:p>
    <w:p w14:paraId="58571F02">
      <w:pPr>
        <w:rPr>
          <w:rFonts w:hint="eastAsia"/>
        </w:rPr>
      </w:pPr>
    </w:p>
    <w:p w14:paraId="2776E732">
      <w:pPr>
        <w:pStyle w:val="4"/>
        <w:spacing w:line="360" w:lineRule="auto"/>
        <w:jc w:val="center"/>
        <w:rPr>
          <w:rFonts w:hint="eastAsia" w:ascii="宋体" w:hAnsi="宋体" w:eastAsia="宋体" w:cs="宋体"/>
          <w:color w:val="auto"/>
          <w:sz w:val="36"/>
          <w:szCs w:val="30"/>
          <w:highlight w:val="none"/>
        </w:rPr>
      </w:pPr>
      <w:r>
        <w:rPr>
          <w:rFonts w:hint="eastAsia" w:ascii="宋体" w:hAnsi="宋体" w:eastAsia="宋体" w:cs="宋体"/>
          <w:color w:val="auto"/>
          <w:sz w:val="36"/>
          <w:szCs w:val="30"/>
          <w:highlight w:val="none"/>
        </w:rPr>
        <w:t>第三篇</w:t>
      </w:r>
      <w:r>
        <w:rPr>
          <w:rFonts w:hint="eastAsia" w:ascii="宋体" w:hAnsi="宋体" w:eastAsia="宋体" w:cs="宋体"/>
          <w:color w:val="auto"/>
          <w:sz w:val="36"/>
          <w:szCs w:val="30"/>
          <w:highlight w:val="none"/>
          <w:lang w:val="en-US" w:eastAsia="zh-CN"/>
        </w:rPr>
        <w:t xml:space="preserve"> </w:t>
      </w:r>
      <w:r>
        <w:rPr>
          <w:rFonts w:hint="eastAsia" w:ascii="宋体" w:hAnsi="宋体" w:eastAsia="宋体" w:cs="宋体"/>
          <w:color w:val="auto"/>
          <w:sz w:val="36"/>
          <w:szCs w:val="30"/>
          <w:highlight w:val="none"/>
        </w:rPr>
        <w:t>项目商务需求</w:t>
      </w:r>
      <w:bookmarkEnd w:id="41"/>
    </w:p>
    <w:p w14:paraId="75F7753F">
      <w:pPr>
        <w:pStyle w:val="35"/>
        <w:spacing w:line="400" w:lineRule="exact"/>
        <w:ind w:firstLine="480" w:firstLineChars="200"/>
        <w:rPr>
          <w:rFonts w:hint="eastAsia" w:ascii="宋体" w:hAnsi="宋体" w:eastAsia="宋体" w:cs="宋体"/>
          <w:color w:val="auto"/>
          <w:sz w:val="24"/>
          <w:szCs w:val="24"/>
          <w:highlight w:val="none"/>
        </w:rPr>
      </w:pPr>
      <w:bookmarkStart w:id="42" w:name="_Toc76462328"/>
      <w:bookmarkStart w:id="43" w:name="_Toc344475120"/>
      <w:r>
        <w:rPr>
          <w:rFonts w:hint="eastAsia" w:ascii="宋体" w:hAnsi="宋体" w:eastAsia="宋体" w:cs="宋体"/>
          <w:color w:val="auto"/>
          <w:sz w:val="24"/>
          <w:szCs w:val="24"/>
          <w:highlight w:val="none"/>
        </w:rPr>
        <w:t>“※”标注的商务需求为符合性审查中的实质性要求，响应文件若不满足按无效响应处理。</w:t>
      </w:r>
    </w:p>
    <w:p w14:paraId="4881D233">
      <w:pPr>
        <w:pStyle w:val="4"/>
        <w:adjustRightInd w:val="0"/>
        <w:snapToGrid w:val="0"/>
        <w:spacing w:before="0" w:after="0" w:line="400" w:lineRule="exact"/>
        <w:ind w:firstLine="482" w:firstLineChars="200"/>
        <w:rPr>
          <w:rFonts w:hint="eastAsia" w:ascii="宋体" w:hAnsi="宋体" w:eastAsia="宋体" w:cs="宋体"/>
          <w:color w:val="auto"/>
          <w:sz w:val="24"/>
          <w:highlight w:val="none"/>
        </w:rPr>
      </w:pPr>
      <w:bookmarkStart w:id="44" w:name="_Toc27928"/>
      <w:r>
        <w:rPr>
          <w:rFonts w:hint="eastAsia" w:ascii="宋体" w:hAnsi="宋体" w:eastAsia="宋体" w:cs="宋体"/>
          <w:color w:val="auto"/>
          <w:sz w:val="24"/>
          <w:szCs w:val="24"/>
          <w:highlight w:val="none"/>
        </w:rPr>
        <w:t>※</w:t>
      </w:r>
      <w:r>
        <w:rPr>
          <w:rFonts w:hint="eastAsia" w:ascii="宋体" w:hAnsi="宋体" w:eastAsia="宋体" w:cs="宋体"/>
          <w:color w:val="auto"/>
          <w:sz w:val="24"/>
          <w:highlight w:val="none"/>
        </w:rPr>
        <w:t>一、</w:t>
      </w:r>
      <w:r>
        <w:rPr>
          <w:rFonts w:hint="eastAsia" w:ascii="宋体" w:hAnsi="宋体" w:eastAsia="宋体" w:cs="宋体"/>
          <w:color w:val="auto"/>
          <w:sz w:val="24"/>
          <w:highlight w:val="none"/>
          <w:lang w:val="en-US" w:eastAsia="zh-CN"/>
        </w:rPr>
        <w:t>工</w:t>
      </w:r>
      <w:r>
        <w:rPr>
          <w:rFonts w:hint="eastAsia" w:ascii="宋体" w:hAnsi="宋体" w:eastAsia="宋体" w:cs="宋体"/>
          <w:color w:val="auto"/>
          <w:sz w:val="24"/>
          <w:highlight w:val="none"/>
        </w:rPr>
        <w:t>期、地点及验收方式</w:t>
      </w:r>
      <w:bookmarkEnd w:id="42"/>
      <w:bookmarkEnd w:id="43"/>
      <w:bookmarkEnd w:id="44"/>
    </w:p>
    <w:p w14:paraId="3EDB8AFC">
      <w:pPr>
        <w:pStyle w:val="35"/>
        <w:spacing w:line="40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（一）</w:t>
      </w:r>
      <w:r>
        <w:rPr>
          <w:rFonts w:hint="eastAsia" w:ascii="宋体" w:hAnsi="宋体" w:eastAsia="宋体" w:cs="宋体"/>
          <w:color w:val="auto"/>
          <w:sz w:val="24"/>
          <w:szCs w:val="24"/>
          <w:highlight w:val="none"/>
          <w:lang w:val="en-US" w:eastAsia="zh-CN"/>
        </w:rPr>
        <w:t>工</w:t>
      </w:r>
      <w:r>
        <w:rPr>
          <w:rFonts w:hint="eastAsia" w:ascii="宋体" w:hAnsi="宋体" w:eastAsia="宋体" w:cs="宋体"/>
          <w:color w:val="auto"/>
          <w:sz w:val="24"/>
          <w:szCs w:val="24"/>
          <w:highlight w:val="none"/>
        </w:rPr>
        <w:t>期：90日历天</w:t>
      </w:r>
      <w:r>
        <w:rPr>
          <w:rFonts w:hint="eastAsia" w:ascii="宋体" w:hAnsi="宋体" w:cs="宋体"/>
          <w:color w:val="auto"/>
          <w:sz w:val="24"/>
          <w:szCs w:val="24"/>
          <w:highlight w:val="none"/>
          <w:lang w:val="en-US" w:eastAsia="zh-CN"/>
        </w:rPr>
        <w:t>。</w:t>
      </w:r>
    </w:p>
    <w:p w14:paraId="43AFE4DF">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w:t>
      </w:r>
      <w:r>
        <w:rPr>
          <w:rFonts w:hint="eastAsia" w:ascii="宋体" w:hAnsi="宋体" w:eastAsia="宋体" w:cs="宋体"/>
          <w:color w:val="auto"/>
          <w:sz w:val="24"/>
          <w:szCs w:val="24"/>
          <w:highlight w:val="none"/>
          <w:lang w:val="en-US" w:eastAsia="zh-CN"/>
        </w:rPr>
        <w:t>建设</w:t>
      </w:r>
      <w:r>
        <w:rPr>
          <w:rFonts w:hint="eastAsia" w:ascii="宋体" w:hAnsi="宋体" w:eastAsia="宋体" w:cs="宋体"/>
          <w:color w:val="auto"/>
          <w:sz w:val="24"/>
          <w:szCs w:val="24"/>
          <w:highlight w:val="none"/>
        </w:rPr>
        <w:t>地点：重庆市秀山县洪安镇九龙新街43号</w:t>
      </w:r>
      <w:r>
        <w:rPr>
          <w:rFonts w:hint="eastAsia" w:ascii="宋体" w:hAnsi="宋体" w:cs="宋体"/>
          <w:color w:val="auto"/>
          <w:sz w:val="24"/>
          <w:szCs w:val="24"/>
          <w:highlight w:val="none"/>
          <w:lang w:val="en-US" w:eastAsia="zh-CN"/>
        </w:rPr>
        <w:t>（具体以采购人指定地点为准）</w:t>
      </w:r>
      <w:r>
        <w:rPr>
          <w:rFonts w:hint="eastAsia" w:ascii="宋体" w:hAnsi="宋体" w:eastAsia="宋体" w:cs="宋体"/>
          <w:color w:val="auto"/>
          <w:kern w:val="0"/>
          <w:sz w:val="21"/>
          <w:szCs w:val="24"/>
          <w:highlight w:val="none"/>
          <w:lang w:eastAsia="zh-CN"/>
        </w:rPr>
        <w:t>。</w:t>
      </w:r>
    </w:p>
    <w:p w14:paraId="68848559">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（三）验收方式：</w:t>
      </w:r>
    </w:p>
    <w:p w14:paraId="4399D0C6">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1、工程完工后，按国家相关标准验收程序和规程进行验收。</w:t>
      </w:r>
    </w:p>
    <w:p w14:paraId="1FBE5035">
      <w:pPr>
        <w:spacing w:line="400" w:lineRule="exact"/>
        <w:ind w:firstLine="480" w:firstLineChars="200"/>
        <w:rPr>
          <w:rFonts w:hint="default" w:eastAsia="宋体"/>
          <w:color w:val="auto"/>
          <w:highlight w:val="none"/>
          <w:lang w:val="en-US" w:eastAsia="zh-CN"/>
        </w:rPr>
      </w:pPr>
      <w:r>
        <w:rPr>
          <w:rFonts w:hint="eastAsia" w:ascii="宋体" w:hAnsi="宋体" w:eastAsia="宋体" w:cs="宋体"/>
          <w:color w:val="auto"/>
          <w:sz w:val="24"/>
          <w:szCs w:val="24"/>
          <w:highlight w:val="none"/>
        </w:rPr>
        <w:t>2、达到国家现行有关施工质量验收规范要求，并达到合格标准；且应满足采购人发布的施工要求</w:t>
      </w:r>
      <w:r>
        <w:rPr>
          <w:rFonts w:hint="default" w:ascii="宋体" w:hAnsi="宋体" w:eastAsia="宋体" w:cs="宋体"/>
          <w:color w:val="auto"/>
          <w:kern w:val="2"/>
          <w:sz w:val="24"/>
          <w:szCs w:val="24"/>
          <w:highlight w:val="none"/>
          <w:lang w:val="en-US" w:eastAsia="zh-CN" w:bidi="ar-SA"/>
        </w:rPr>
        <w:t>。</w:t>
      </w:r>
    </w:p>
    <w:p w14:paraId="54DE0859">
      <w:pPr>
        <w:pStyle w:val="4"/>
        <w:adjustRightInd w:val="0"/>
        <w:snapToGrid w:val="0"/>
        <w:spacing w:before="0" w:after="0" w:line="400" w:lineRule="exact"/>
        <w:ind w:firstLine="482" w:firstLineChars="200"/>
        <w:jc w:val="both"/>
        <w:rPr>
          <w:rFonts w:hint="eastAsia" w:ascii="宋体" w:hAnsi="宋体" w:eastAsia="宋体" w:cs="宋体"/>
          <w:color w:val="auto"/>
          <w:sz w:val="24"/>
          <w:highlight w:val="none"/>
        </w:rPr>
      </w:pPr>
      <w:bookmarkStart w:id="45" w:name="_Toc344475121"/>
      <w:bookmarkStart w:id="46" w:name="_Toc76462329"/>
      <w:bookmarkStart w:id="47" w:name="_Toc20527"/>
      <w:r>
        <w:rPr>
          <w:rFonts w:hint="eastAsia" w:ascii="宋体" w:hAnsi="宋体" w:eastAsia="宋体" w:cs="宋体"/>
          <w:color w:val="auto"/>
          <w:sz w:val="24"/>
          <w:szCs w:val="24"/>
          <w:highlight w:val="none"/>
        </w:rPr>
        <w:t>※</w:t>
      </w:r>
      <w:r>
        <w:rPr>
          <w:rFonts w:hint="eastAsia" w:ascii="宋体" w:hAnsi="宋体" w:eastAsia="宋体" w:cs="宋体"/>
          <w:color w:val="auto"/>
          <w:sz w:val="24"/>
          <w:highlight w:val="none"/>
        </w:rPr>
        <w:t>二、</w:t>
      </w:r>
      <w:bookmarkEnd w:id="45"/>
      <w:bookmarkEnd w:id="46"/>
      <w:bookmarkEnd w:id="47"/>
      <w:r>
        <w:rPr>
          <w:rFonts w:hint="eastAsia" w:ascii="宋体" w:hAnsi="宋体" w:eastAsia="宋体" w:cs="宋体"/>
          <w:color w:val="auto"/>
          <w:sz w:val="24"/>
          <w:highlight w:val="none"/>
        </w:rPr>
        <w:t>质量保证期限及起始时间</w:t>
      </w:r>
    </w:p>
    <w:p w14:paraId="70C940B0">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工程缺陷责任期为12个月，缺陷责任期自工程通过竣工验收之日起计算。</w:t>
      </w:r>
    </w:p>
    <w:p w14:paraId="44E377D7">
      <w:pPr>
        <w:pStyle w:val="4"/>
        <w:adjustRightInd w:val="0"/>
        <w:snapToGrid w:val="0"/>
        <w:spacing w:before="0" w:after="0" w:line="400" w:lineRule="exact"/>
        <w:ind w:firstLine="482" w:firstLineChars="200"/>
        <w:rPr>
          <w:rFonts w:hint="eastAsia" w:ascii="宋体" w:hAnsi="宋体" w:eastAsia="宋体" w:cs="宋体"/>
          <w:color w:val="auto"/>
          <w:sz w:val="24"/>
          <w:highlight w:val="none"/>
          <w:lang w:val="en-US" w:eastAsia="zh-CN"/>
        </w:rPr>
      </w:pPr>
      <w:bookmarkStart w:id="48" w:name="_Toc76462330"/>
      <w:bookmarkStart w:id="49" w:name="_Toc344475122"/>
      <w:bookmarkStart w:id="50" w:name="_Toc20329"/>
      <w:r>
        <w:rPr>
          <w:rFonts w:hint="eastAsia" w:ascii="宋体" w:hAnsi="宋体" w:eastAsia="宋体" w:cs="宋体"/>
          <w:color w:val="auto"/>
          <w:sz w:val="24"/>
          <w:szCs w:val="24"/>
          <w:highlight w:val="none"/>
        </w:rPr>
        <w:t>※</w:t>
      </w:r>
      <w:r>
        <w:rPr>
          <w:rFonts w:hint="eastAsia" w:ascii="宋体" w:hAnsi="宋体" w:eastAsia="宋体" w:cs="宋体"/>
          <w:color w:val="auto"/>
          <w:sz w:val="24"/>
          <w:highlight w:val="none"/>
        </w:rPr>
        <w:t>三、</w:t>
      </w:r>
      <w:bookmarkEnd w:id="48"/>
      <w:bookmarkEnd w:id="49"/>
      <w:r>
        <w:rPr>
          <w:rFonts w:hint="eastAsia" w:ascii="宋体" w:hAnsi="宋体" w:eastAsia="宋体" w:cs="宋体"/>
          <w:color w:val="auto"/>
          <w:sz w:val="24"/>
          <w:highlight w:val="none"/>
          <w:lang w:val="en-US" w:eastAsia="zh-CN"/>
        </w:rPr>
        <w:t>报价要求</w:t>
      </w:r>
      <w:bookmarkEnd w:id="50"/>
    </w:p>
    <w:p w14:paraId="50AF1E56">
      <w:pPr>
        <w:snapToGrid w:val="0"/>
        <w:spacing w:line="400" w:lineRule="exact"/>
        <w:ind w:firstLine="482" w:firstLineChars="20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本次</w:t>
      </w:r>
      <w:r>
        <w:rPr>
          <w:rFonts w:hint="eastAsia" w:ascii="宋体" w:hAnsi="宋体" w:eastAsia="宋体" w:cs="宋体"/>
          <w:b/>
          <w:bCs/>
          <w:color w:val="auto"/>
          <w:kern w:val="0"/>
          <w:sz w:val="24"/>
          <w:szCs w:val="24"/>
          <w:highlight w:val="none"/>
          <w:lang w:val="en-US" w:eastAsia="zh-CN"/>
        </w:rPr>
        <w:t>投标</w:t>
      </w:r>
      <w:r>
        <w:rPr>
          <w:rFonts w:hint="eastAsia" w:ascii="宋体" w:hAnsi="宋体" w:eastAsia="宋体" w:cs="宋体"/>
          <w:b/>
          <w:bCs/>
          <w:color w:val="auto"/>
          <w:kern w:val="0"/>
          <w:sz w:val="24"/>
          <w:szCs w:val="24"/>
          <w:highlight w:val="none"/>
        </w:rPr>
        <w:t>报价须为人民币报价。</w:t>
      </w:r>
    </w:p>
    <w:p w14:paraId="46C0F4A6">
      <w:pPr>
        <w:snapToGrid w:val="0"/>
        <w:spacing w:line="500" w:lineRule="exact"/>
        <w:ind w:firstLine="482"/>
        <w:jc w:val="left"/>
        <w:rPr>
          <w:rFonts w:hint="eastAsia" w:ascii="宋体" w:hAnsi="宋体" w:cs="宋体"/>
          <w:sz w:val="24"/>
          <w:szCs w:val="24"/>
        </w:rPr>
      </w:pPr>
      <w:bookmarkStart w:id="51" w:name="OLE_LINK3"/>
      <w:bookmarkStart w:id="52" w:name="OLE_LINK4"/>
      <w:r>
        <w:rPr>
          <w:rFonts w:hint="eastAsia" w:ascii="宋体" w:hAnsi="宋体" w:cs="宋体"/>
          <w:sz w:val="24"/>
          <w:szCs w:val="24"/>
        </w:rPr>
        <w:t>1、工程计价方式：本工程采用工程量清单计价方式。</w:t>
      </w:r>
    </w:p>
    <w:p w14:paraId="73765766">
      <w:pPr>
        <w:snapToGrid w:val="0"/>
        <w:spacing w:line="500" w:lineRule="exact"/>
        <w:ind w:firstLine="482"/>
        <w:jc w:val="left"/>
        <w:rPr>
          <w:rFonts w:hint="eastAsia" w:ascii="宋体" w:hAnsi="宋体" w:cs="宋体"/>
          <w:sz w:val="24"/>
          <w:szCs w:val="24"/>
        </w:rPr>
      </w:pPr>
      <w:r>
        <w:rPr>
          <w:rFonts w:hint="eastAsia" w:ascii="宋体" w:hAnsi="宋体" w:cs="宋体"/>
          <w:sz w:val="24"/>
          <w:szCs w:val="24"/>
        </w:rPr>
        <w:t>2、报价范围：供应商应按照招标范围的规定，对采购人提供的工程量清单，结合施工设计图纸的要求进行自主报价。</w:t>
      </w:r>
    </w:p>
    <w:p w14:paraId="1E03CEC1">
      <w:pPr>
        <w:snapToGrid w:val="0"/>
        <w:spacing w:line="500" w:lineRule="exact"/>
        <w:ind w:firstLine="482"/>
        <w:jc w:val="left"/>
        <w:rPr>
          <w:rFonts w:hint="eastAsia" w:ascii="宋体" w:hAnsi="宋体" w:cs="宋体"/>
          <w:sz w:val="24"/>
          <w:szCs w:val="24"/>
        </w:rPr>
      </w:pPr>
      <w:r>
        <w:rPr>
          <w:rFonts w:hint="eastAsia" w:ascii="宋体" w:hAnsi="宋体" w:cs="宋体"/>
          <w:sz w:val="24"/>
          <w:szCs w:val="24"/>
        </w:rPr>
        <w:t>3供应商的报价应是完成本工程招标范围内的全部工程的报价，并以供应商在工程量清单中提出的单价或总价为依据。</w:t>
      </w:r>
    </w:p>
    <w:p w14:paraId="131F8EC5">
      <w:pPr>
        <w:snapToGrid w:val="0"/>
        <w:spacing w:line="500" w:lineRule="exact"/>
        <w:ind w:firstLine="482"/>
        <w:jc w:val="left"/>
        <w:rPr>
          <w:rFonts w:hint="eastAsia" w:ascii="宋体" w:hAnsi="宋体" w:cs="宋体"/>
          <w:sz w:val="24"/>
          <w:szCs w:val="24"/>
        </w:rPr>
      </w:pPr>
      <w:r>
        <w:rPr>
          <w:rFonts w:hint="eastAsia" w:ascii="宋体" w:hAnsi="宋体" w:cs="宋体"/>
          <w:sz w:val="24"/>
          <w:szCs w:val="24"/>
        </w:rPr>
        <w:t>4、供应商应认真填写工程量清单中所列的本合同各工程子目的单价或总价。供应商没有填入单价或总价的工程子目，供应商将认为该子目的价款已包括在工程量清单其他子目的单价和总价中。供应商在工程量清单中多报的子目和单价或总价发包人将不予接受，并将被视为重大偏差，按无效投标处理。</w:t>
      </w:r>
    </w:p>
    <w:p w14:paraId="3CB4C813">
      <w:pPr>
        <w:snapToGrid w:val="0"/>
        <w:spacing w:line="500" w:lineRule="exact"/>
        <w:ind w:firstLine="482"/>
        <w:jc w:val="left"/>
        <w:rPr>
          <w:rFonts w:hint="eastAsia" w:ascii="宋体" w:hAnsi="宋体" w:cs="宋体"/>
          <w:sz w:val="24"/>
          <w:szCs w:val="24"/>
        </w:rPr>
      </w:pPr>
      <w:r>
        <w:rPr>
          <w:rFonts w:hint="eastAsia" w:ascii="宋体" w:hAnsi="宋体" w:cs="宋体"/>
          <w:sz w:val="24"/>
          <w:szCs w:val="24"/>
        </w:rPr>
        <w:t>5、如发现工程量清单中的数量与图纸中数量不一致，应在开标时间前2个工作日内书面通知采购人核查，除非采购人以补遗书的形式予以更正，否则，应以本工程量清单中列出的数量为准。</w:t>
      </w:r>
    </w:p>
    <w:p w14:paraId="7E6C56B1">
      <w:pPr>
        <w:snapToGrid w:val="0"/>
        <w:spacing w:line="500" w:lineRule="exact"/>
        <w:ind w:firstLine="482"/>
        <w:jc w:val="left"/>
        <w:rPr>
          <w:rFonts w:hint="eastAsia" w:ascii="宋体" w:hAnsi="宋体" w:cs="宋体"/>
          <w:sz w:val="24"/>
          <w:szCs w:val="24"/>
        </w:rPr>
      </w:pPr>
      <w:r>
        <w:rPr>
          <w:rFonts w:hint="eastAsia" w:ascii="宋体" w:hAnsi="宋体" w:cs="宋体"/>
          <w:sz w:val="24"/>
          <w:szCs w:val="24"/>
        </w:rPr>
        <w:t>6、采购人在工程量清单中所列出的价格（包括暂列金额、暂估价等），供应商不得修改。否则，将被认定为无效投标。</w:t>
      </w:r>
    </w:p>
    <w:p w14:paraId="1D46C3AE">
      <w:pPr>
        <w:snapToGrid w:val="0"/>
        <w:spacing w:line="500" w:lineRule="exact"/>
        <w:ind w:firstLine="482"/>
        <w:jc w:val="left"/>
        <w:rPr>
          <w:rFonts w:hint="eastAsia" w:ascii="宋体" w:hAnsi="宋体" w:cs="宋体"/>
          <w:sz w:val="24"/>
          <w:szCs w:val="24"/>
        </w:rPr>
      </w:pPr>
      <w:r>
        <w:rPr>
          <w:rFonts w:hint="eastAsia" w:ascii="宋体" w:hAnsi="宋体" w:cs="宋体"/>
          <w:sz w:val="24"/>
          <w:szCs w:val="24"/>
        </w:rPr>
        <w:t>7、人工及材料价格：人工费参照2026年第一季度重庆市建设工程人工信息价渝东南片区计算。材料价格参照重庆市造价总站发布的2026年第四期《重庆工程造价信息》秀山片区信息价（不含税）以及结合现行市场价（不含税）计算。。</w:t>
      </w:r>
    </w:p>
    <w:p w14:paraId="3ECDBBF5">
      <w:pPr>
        <w:snapToGrid w:val="0"/>
        <w:spacing w:line="500" w:lineRule="exact"/>
        <w:ind w:firstLine="482"/>
        <w:jc w:val="left"/>
        <w:rPr>
          <w:rFonts w:hint="eastAsia" w:ascii="宋体" w:hAnsi="宋体" w:cs="宋体"/>
          <w:sz w:val="24"/>
          <w:szCs w:val="24"/>
        </w:rPr>
      </w:pPr>
      <w:r>
        <w:rPr>
          <w:rFonts w:hint="eastAsia" w:ascii="宋体" w:hAnsi="宋体" w:cs="宋体"/>
          <w:sz w:val="24"/>
          <w:szCs w:val="24"/>
        </w:rPr>
        <w:t>8、采用的计价规范：1、《建设工程工程量清单计价规范》（GB50500-2013）、《房屋建筑与装饰工程工程量计算规范》（GB50854-2013）、《通用安装工程工程量计算规范（GB50856-2013）、《重庆市建设工程工程量清单计价规则》（CQJJGZ-2013）、《重庆市建设工程工程量清单计算规则》（CQJLGZ-2013)。2、《重庆市房屋建筑与装饰工程计价定额》（CQJZZSDE-2018）、《重庆市通用安装工程计价定额》（CQAZDE-2018)、《重庆市房屋修工程计价定额》（CQXSDE-2018）、《重庆市绿色建筑工程计价定额》（CQLSJZDE-2018）、《重庆市建设工程费用定额》（CQFYDE-2018）及现行相关配套文件；</w:t>
      </w:r>
    </w:p>
    <w:p w14:paraId="75B0865C">
      <w:pPr>
        <w:snapToGrid w:val="0"/>
        <w:spacing w:line="500" w:lineRule="exact"/>
        <w:ind w:firstLine="482"/>
        <w:jc w:val="left"/>
        <w:rPr>
          <w:rFonts w:hint="eastAsia" w:ascii="宋体" w:hAnsi="宋体" w:cs="宋体"/>
          <w:sz w:val="24"/>
          <w:szCs w:val="24"/>
        </w:rPr>
      </w:pPr>
      <w:r>
        <w:rPr>
          <w:rFonts w:hint="eastAsia" w:ascii="宋体" w:hAnsi="宋体" w:cs="宋体"/>
          <w:sz w:val="24"/>
          <w:szCs w:val="24"/>
        </w:rPr>
        <w:t>9、税金：按照渝建发〔2019〕143号《关于适用增值税新税率调整建设工程计价依据的通知》文件规定，本工程按一般计税法计价，税率按9%计取。</w:t>
      </w:r>
    </w:p>
    <w:p w14:paraId="101F67E4">
      <w:pPr>
        <w:snapToGrid w:val="0"/>
        <w:spacing w:line="500" w:lineRule="exact"/>
        <w:ind w:firstLine="482"/>
        <w:jc w:val="left"/>
        <w:rPr>
          <w:rFonts w:hint="eastAsia" w:ascii="宋体" w:hAnsi="宋体" w:cs="宋体"/>
          <w:sz w:val="24"/>
          <w:szCs w:val="24"/>
        </w:rPr>
      </w:pPr>
      <w:r>
        <w:rPr>
          <w:rFonts w:hint="eastAsia" w:ascii="宋体" w:hAnsi="宋体" w:cs="宋体"/>
          <w:sz w:val="24"/>
          <w:szCs w:val="24"/>
        </w:rPr>
        <w:t>10、本工程项目设置总价和清单单价最高限价，与竞争性磋商文件同时发布。供应商的总报价和清单单价不得超过最高限价，安全文明施工费必须按采购人公布金额填报，否则按废标处理。</w:t>
      </w:r>
    </w:p>
    <w:p w14:paraId="1FE16208">
      <w:pPr>
        <w:snapToGrid w:val="0"/>
        <w:spacing w:line="500" w:lineRule="exact"/>
        <w:ind w:firstLine="482"/>
        <w:jc w:val="left"/>
        <w:rPr>
          <w:rFonts w:hint="eastAsia" w:ascii="宋体" w:hAnsi="宋体" w:cs="宋体"/>
          <w:b/>
          <w:bCs/>
          <w:sz w:val="24"/>
          <w:szCs w:val="24"/>
        </w:rPr>
      </w:pPr>
      <w:r>
        <w:rPr>
          <w:rFonts w:hint="eastAsia" w:ascii="宋体" w:hAnsi="宋体" w:cs="宋体"/>
          <w:sz w:val="24"/>
          <w:szCs w:val="24"/>
        </w:rPr>
        <w:t>11、本项目总报价最高限价为人民币：</w:t>
      </w:r>
      <w:r>
        <w:rPr>
          <w:rFonts w:hint="eastAsia" w:ascii="宋体" w:hAnsi="宋体" w:cs="宋体"/>
          <w:b/>
          <w:bCs/>
          <w:sz w:val="24"/>
          <w:szCs w:val="24"/>
          <w:u w:val="single"/>
          <w:lang w:val="en-US" w:eastAsia="zh-CN"/>
        </w:rPr>
        <w:t>玖拾陆万贰仟壹佰柒拾玖元壹角贰分</w:t>
      </w:r>
      <w:r>
        <w:rPr>
          <w:rFonts w:hint="eastAsia" w:ascii="宋体" w:hAnsi="宋体" w:cs="宋体"/>
          <w:b/>
          <w:bCs/>
          <w:sz w:val="24"/>
          <w:szCs w:val="24"/>
          <w:u w:val="single"/>
        </w:rPr>
        <w:t>（¥</w:t>
      </w:r>
      <w:r>
        <w:rPr>
          <w:rFonts w:hint="eastAsia" w:ascii="宋体" w:hAnsi="宋体" w:cs="宋体"/>
          <w:b/>
          <w:bCs/>
          <w:sz w:val="24"/>
          <w:szCs w:val="24"/>
          <w:u w:val="single"/>
          <w:lang w:val="en-US" w:eastAsia="zh-CN"/>
        </w:rPr>
        <w:t>962179.12</w:t>
      </w:r>
      <w:r>
        <w:rPr>
          <w:rFonts w:hint="eastAsia" w:ascii="宋体" w:hAnsi="宋体" w:cs="宋体"/>
          <w:b/>
          <w:bCs/>
          <w:sz w:val="24"/>
          <w:szCs w:val="24"/>
          <w:u w:val="single"/>
        </w:rPr>
        <w:t>元）</w:t>
      </w:r>
      <w:r>
        <w:rPr>
          <w:rFonts w:hint="eastAsia" w:ascii="宋体" w:hAnsi="宋体" w:cs="宋体"/>
          <w:b/>
          <w:bCs/>
          <w:sz w:val="24"/>
          <w:szCs w:val="24"/>
        </w:rPr>
        <w:t>，其中含安全文明施工费</w:t>
      </w:r>
      <w:r>
        <w:rPr>
          <w:rFonts w:hint="eastAsia" w:ascii="宋体" w:hAnsi="宋体" w:cs="宋体"/>
          <w:b/>
          <w:bCs/>
          <w:sz w:val="24"/>
          <w:szCs w:val="24"/>
          <w:u w:val="single"/>
        </w:rPr>
        <w:t>：</w:t>
      </w:r>
      <w:r>
        <w:rPr>
          <w:rFonts w:hint="eastAsia" w:ascii="宋体" w:hAnsi="宋体" w:cs="宋体"/>
          <w:b/>
          <w:bCs/>
          <w:sz w:val="24"/>
          <w:szCs w:val="24"/>
          <w:u w:val="single"/>
          <w:lang w:val="en-US" w:eastAsia="zh-CN"/>
        </w:rPr>
        <w:t>壹万柒仟陆佰陆拾元肆角贰分</w:t>
      </w:r>
      <w:r>
        <w:rPr>
          <w:rFonts w:hint="eastAsia" w:ascii="宋体" w:hAnsi="宋体" w:cs="宋体"/>
          <w:b/>
          <w:bCs/>
          <w:sz w:val="24"/>
          <w:szCs w:val="24"/>
          <w:u w:val="single"/>
        </w:rPr>
        <w:t>（¥</w:t>
      </w:r>
      <w:r>
        <w:rPr>
          <w:rFonts w:hint="eastAsia" w:ascii="宋体" w:hAnsi="宋体" w:cs="宋体"/>
          <w:b/>
          <w:bCs/>
          <w:sz w:val="24"/>
          <w:szCs w:val="24"/>
          <w:u w:val="single"/>
          <w:lang w:val="en-US" w:eastAsia="zh-CN"/>
        </w:rPr>
        <w:t>17660.42</w:t>
      </w:r>
      <w:r>
        <w:rPr>
          <w:rFonts w:hint="eastAsia" w:ascii="宋体" w:hAnsi="宋体" w:cs="宋体"/>
          <w:b/>
          <w:bCs/>
          <w:sz w:val="24"/>
          <w:szCs w:val="24"/>
          <w:u w:val="single"/>
        </w:rPr>
        <w:t>元）</w:t>
      </w:r>
      <w:r>
        <w:rPr>
          <w:rFonts w:hint="eastAsia" w:ascii="宋体" w:hAnsi="宋体" w:cs="宋体"/>
          <w:b/>
          <w:bCs/>
          <w:sz w:val="24"/>
          <w:szCs w:val="24"/>
        </w:rPr>
        <w:t>。</w:t>
      </w:r>
    </w:p>
    <w:p w14:paraId="6E321EEF">
      <w:pPr>
        <w:spacing w:line="400" w:lineRule="exact"/>
        <w:ind w:firstLine="480" w:firstLineChars="200"/>
        <w:rPr>
          <w:rFonts w:hint="eastAsia" w:ascii="宋体" w:hAnsi="宋体" w:eastAsia="宋体" w:cs="宋体"/>
          <w:b/>
          <w:bCs/>
          <w:color w:val="auto"/>
          <w:sz w:val="24"/>
          <w:szCs w:val="24"/>
          <w:highlight w:val="none"/>
          <w:lang w:eastAsia="zh-CN"/>
        </w:rPr>
      </w:pPr>
      <w:r>
        <w:rPr>
          <w:rFonts w:hint="eastAsia" w:ascii="宋体" w:hAnsi="宋体" w:cs="宋体"/>
          <w:sz w:val="24"/>
          <w:szCs w:val="24"/>
        </w:rPr>
        <w:t>注：请供应商根据采购人发布的工程量清单填写，不得修改采购人发布的工程量清单中的实质性内容。</w:t>
      </w:r>
    </w:p>
    <w:p w14:paraId="64FCA061">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12.其他说明</w:t>
      </w:r>
    </w:p>
    <w:p w14:paraId="1F5B5A4C">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w:t>
      </w:r>
      <w:r>
        <w:rPr>
          <w:rFonts w:hint="eastAsia" w:ascii="宋体" w:hAnsi="宋体" w:eastAsia="宋体" w:cs="宋体"/>
          <w:color w:val="auto"/>
          <w:sz w:val="24"/>
          <w:szCs w:val="24"/>
          <w:highlight w:val="none"/>
          <w:lang w:eastAsia="zh-CN"/>
        </w:rPr>
        <w:t>投标</w:t>
      </w:r>
      <w:r>
        <w:rPr>
          <w:rFonts w:hint="eastAsia" w:ascii="宋体" w:hAnsi="宋体" w:eastAsia="宋体" w:cs="宋体"/>
          <w:color w:val="auto"/>
          <w:sz w:val="24"/>
          <w:szCs w:val="24"/>
          <w:highlight w:val="none"/>
        </w:rPr>
        <w:t>报价函中的总报价必须与工程量清单报价表所报金额一致，若不一致，作无效处理；</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不得对</w:t>
      </w:r>
      <w:r>
        <w:rPr>
          <w:rFonts w:hint="eastAsia" w:ascii="宋体" w:hAnsi="宋体" w:cs="宋体"/>
          <w:color w:val="auto"/>
          <w:sz w:val="24"/>
          <w:szCs w:val="24"/>
          <w:highlight w:val="none"/>
          <w:lang w:eastAsia="zh-CN"/>
        </w:rPr>
        <w:t>采购人</w:t>
      </w:r>
      <w:r>
        <w:rPr>
          <w:rFonts w:hint="eastAsia" w:ascii="宋体" w:hAnsi="宋体" w:eastAsia="宋体" w:cs="宋体"/>
          <w:color w:val="auto"/>
          <w:sz w:val="24"/>
          <w:szCs w:val="24"/>
          <w:highlight w:val="none"/>
        </w:rPr>
        <w:t>发出的工程量清单的项、量进行修改或省略项目特征，否则按无效处理。</w:t>
      </w:r>
    </w:p>
    <w:p w14:paraId="1E06BC20">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12.2按政策和合同约定的应由</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交纳的各种保险费由</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自行投保，保险费由</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承担并支付，并根据企业自身和本工程情况，测算包含在相应的报价中。</w:t>
      </w:r>
    </w:p>
    <w:p w14:paraId="29958FFA">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 符合合同条款规定的全部费用应认为已被计入有标价的工程量清单所列各子目之中，未列子目不予计量的工作，其费用应视为已分摊在本合同工程的有关子目的单价或总价之中。</w:t>
      </w:r>
    </w:p>
    <w:p w14:paraId="5E433037">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12.4每一项目只允许有一个报价。任何有选择的报价将不予接受，其响应文件为无效。</w:t>
      </w:r>
    </w:p>
    <w:p w14:paraId="7F3FDD5A">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12.5各</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对于相同的工程量清单（即工作内容和项目特征描述相同）报价须一致。若出现报价不一致，按无效处理。</w:t>
      </w:r>
    </w:p>
    <w:p w14:paraId="6B918BAB">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12.6弃渣外运运距及处置费各</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自行考虑，纳入分部分项工程量清单项目报价中，包干使用。</w:t>
      </w:r>
    </w:p>
    <w:p w14:paraId="4BDC12DA">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12.7</w:t>
      </w:r>
      <w:r>
        <w:rPr>
          <w:rFonts w:hint="eastAsia" w:ascii="宋体" w:hAnsi="宋体" w:cs="宋体"/>
          <w:color w:val="auto"/>
          <w:sz w:val="24"/>
          <w:szCs w:val="24"/>
          <w:highlight w:val="none"/>
          <w:lang w:eastAsia="zh-CN"/>
        </w:rPr>
        <w:t>采购人</w:t>
      </w:r>
      <w:r>
        <w:rPr>
          <w:rFonts w:hint="eastAsia" w:ascii="宋体" w:hAnsi="宋体" w:eastAsia="宋体" w:cs="宋体"/>
          <w:color w:val="auto"/>
          <w:sz w:val="24"/>
          <w:szCs w:val="24"/>
          <w:highlight w:val="none"/>
        </w:rPr>
        <w:t>提供水电接口，水电所有费用已包含在</w:t>
      </w:r>
      <w:r>
        <w:rPr>
          <w:rFonts w:hint="eastAsia" w:ascii="宋体" w:hAnsi="宋体" w:eastAsia="宋体" w:cs="宋体"/>
          <w:color w:val="auto"/>
          <w:sz w:val="24"/>
          <w:szCs w:val="24"/>
          <w:highlight w:val="none"/>
          <w:lang w:eastAsia="zh-CN"/>
        </w:rPr>
        <w:t>中标人投标</w:t>
      </w:r>
      <w:r>
        <w:rPr>
          <w:rFonts w:hint="eastAsia" w:ascii="宋体" w:hAnsi="宋体" w:eastAsia="宋体" w:cs="宋体"/>
          <w:color w:val="auto"/>
          <w:sz w:val="24"/>
          <w:szCs w:val="24"/>
          <w:highlight w:val="none"/>
        </w:rPr>
        <w:t>报价中包干使用，结算时不作调整。为了不受停电影响延误工期，</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应自行预备柴油发电机组，确保施工期间能正常使用，</w:t>
      </w:r>
      <w:r>
        <w:rPr>
          <w:rFonts w:hint="eastAsia" w:ascii="宋体" w:hAnsi="宋体" w:cs="宋体"/>
          <w:color w:val="auto"/>
          <w:sz w:val="24"/>
          <w:szCs w:val="24"/>
          <w:highlight w:val="none"/>
          <w:lang w:eastAsia="zh-CN"/>
        </w:rPr>
        <w:t>采购人</w:t>
      </w:r>
      <w:r>
        <w:rPr>
          <w:rFonts w:hint="eastAsia" w:ascii="宋体" w:hAnsi="宋体" w:eastAsia="宋体" w:cs="宋体"/>
          <w:color w:val="auto"/>
          <w:sz w:val="24"/>
          <w:szCs w:val="24"/>
          <w:highlight w:val="none"/>
        </w:rPr>
        <w:t>不对其费用予以补偿。如停电，由</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自行发电，</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应自行考虑该因素的有关费用，</w:t>
      </w:r>
      <w:r>
        <w:rPr>
          <w:rFonts w:hint="eastAsia" w:ascii="宋体" w:hAnsi="宋体" w:cs="宋体"/>
          <w:color w:val="auto"/>
          <w:sz w:val="24"/>
          <w:szCs w:val="24"/>
          <w:highlight w:val="none"/>
          <w:lang w:eastAsia="zh-CN"/>
        </w:rPr>
        <w:t>采购人</w:t>
      </w:r>
      <w:r>
        <w:rPr>
          <w:rFonts w:hint="eastAsia" w:ascii="宋体" w:hAnsi="宋体" w:eastAsia="宋体" w:cs="宋体"/>
          <w:color w:val="auto"/>
          <w:sz w:val="24"/>
          <w:szCs w:val="24"/>
          <w:highlight w:val="none"/>
        </w:rPr>
        <w:t>不对发电费用予以补偿。</w:t>
      </w:r>
    </w:p>
    <w:p w14:paraId="5B6AF9F0">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12.8</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可以在响应文件递交截止时间前往现场踏勘以充分了解工地位置、地质情况、地下管网状况、进出场道路、交通管制、拆迁干扰、储存空间、装卸限制、水电接口、行车干扰、人行交通及任何其它足以影响承包价格的情况，任何因忽视或误解工地情况而导致的索赔或工期延长申请将不获批准。</w:t>
      </w:r>
    </w:p>
    <w:p w14:paraId="45421051">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12.9各</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根据</w:t>
      </w:r>
      <w:r>
        <w:rPr>
          <w:rFonts w:hint="eastAsia" w:ascii="宋体" w:hAnsi="宋体" w:cs="宋体"/>
          <w:color w:val="auto"/>
          <w:sz w:val="24"/>
          <w:szCs w:val="24"/>
          <w:highlight w:val="none"/>
          <w:lang w:eastAsia="zh-CN"/>
        </w:rPr>
        <w:t>采购人</w:t>
      </w:r>
      <w:r>
        <w:rPr>
          <w:rFonts w:hint="eastAsia" w:ascii="宋体" w:hAnsi="宋体" w:eastAsia="宋体" w:cs="宋体"/>
          <w:color w:val="auto"/>
          <w:sz w:val="24"/>
          <w:szCs w:val="24"/>
          <w:highlight w:val="none"/>
        </w:rPr>
        <w:t>提供的工程量清单规定的表格，结合本项目并根据实际情况填报工程量清单。</w:t>
      </w:r>
    </w:p>
    <w:p w14:paraId="4D83E094">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sz w:val="24"/>
          <w:szCs w:val="24"/>
          <w:highlight w:val="none"/>
        </w:rPr>
        <w:t>12.10按政策和合同约定的应由</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交纳的各种保险费由</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自行投保，保险费由</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承担并支付，各种规费、环保费、检测试验费并根据企业自身和本工程情况，测算包含在相应的报价中。</w:t>
      </w:r>
    </w:p>
    <w:p w14:paraId="1B76413E">
      <w:pPr>
        <w:pStyle w:val="4"/>
        <w:adjustRightInd w:val="0"/>
        <w:snapToGrid w:val="0"/>
        <w:spacing w:before="0" w:after="0" w:line="400" w:lineRule="exact"/>
        <w:ind w:firstLine="482" w:firstLineChars="200"/>
        <w:rPr>
          <w:rFonts w:hint="default" w:ascii="宋体" w:hAnsi="宋体" w:eastAsia="宋体" w:cs="宋体"/>
          <w:color w:val="auto"/>
          <w:sz w:val="24"/>
          <w:szCs w:val="24"/>
          <w:highlight w:val="none"/>
          <w:lang w:val="en-US" w:eastAsia="zh-CN"/>
        </w:rPr>
      </w:pPr>
      <w:bookmarkStart w:id="53" w:name="_Toc25902"/>
      <w:r>
        <w:rPr>
          <w:rFonts w:hint="eastAsia" w:ascii="宋体" w:hAnsi="宋体" w:eastAsia="宋体" w:cs="宋体"/>
          <w:color w:val="auto"/>
          <w:sz w:val="24"/>
          <w:szCs w:val="24"/>
          <w:highlight w:val="none"/>
          <w:lang w:eastAsia="zh-CN"/>
        </w:rPr>
        <w:t>※四、</w:t>
      </w:r>
      <w:r>
        <w:rPr>
          <w:rFonts w:hint="eastAsia" w:ascii="宋体" w:hAnsi="宋体" w:eastAsia="宋体" w:cs="宋体"/>
          <w:color w:val="auto"/>
          <w:sz w:val="24"/>
          <w:szCs w:val="24"/>
          <w:highlight w:val="none"/>
          <w:lang w:val="en-US" w:eastAsia="zh-CN"/>
        </w:rPr>
        <w:t>付款方式</w:t>
      </w:r>
      <w:bookmarkEnd w:id="53"/>
      <w:r>
        <w:rPr>
          <w:rFonts w:hint="eastAsia" w:ascii="宋体" w:hAnsi="宋体" w:eastAsia="宋体" w:cs="宋体"/>
          <w:color w:val="auto"/>
          <w:sz w:val="24"/>
          <w:szCs w:val="24"/>
          <w:highlight w:val="none"/>
          <w:lang w:val="en-US" w:eastAsia="zh-CN"/>
        </w:rPr>
        <w:t>及结算方式</w:t>
      </w:r>
    </w:p>
    <w:bookmarkEnd w:id="51"/>
    <w:bookmarkEnd w:id="52"/>
    <w:p w14:paraId="3D7A799B">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1、支付方式：</w:t>
      </w:r>
    </w:p>
    <w:p w14:paraId="590F2D54">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）承包人进场施工后，每月按进度申报产值，发包人每月支付工程进度款，进度款支付按承包人申报并经监理、发包方审定已完工程量价款（包括漏项、变更、新增）的8</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%支付（进度款累计支付不超过合同总金额的85%）；</w:t>
      </w:r>
    </w:p>
    <w:p w14:paraId="4CB4D123">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）工程竣工验收合格且经审计结算完成后，支付至结算总价款的97%，留3%的质保金，工程缺陷责任期满后，将剩余的质保金付清给承包人。</w:t>
      </w:r>
    </w:p>
    <w:p w14:paraId="7C7374EB">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2、结算方式：</w:t>
      </w:r>
    </w:p>
    <w:p w14:paraId="065D9597">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项目验收合格后，施工单位15天内提交结算资料，由建设单位安排结算审核，审定金额经各方确定后作为最终结算金额。</w:t>
      </w:r>
    </w:p>
    <w:p w14:paraId="126E5F1F">
      <w:pPr>
        <w:pStyle w:val="4"/>
        <w:adjustRightInd w:val="0"/>
        <w:snapToGrid w:val="0"/>
        <w:spacing w:before="0" w:after="0" w:line="400" w:lineRule="exact"/>
        <w:rPr>
          <w:rFonts w:hint="eastAsia" w:ascii="宋体" w:hAnsi="宋体" w:eastAsia="宋体" w:cs="宋体"/>
          <w:color w:val="auto"/>
          <w:sz w:val="24"/>
          <w:szCs w:val="24"/>
          <w:highlight w:val="none"/>
          <w:lang w:val="en-US" w:eastAsia="zh-CN"/>
        </w:rPr>
      </w:pPr>
      <w:bookmarkStart w:id="54" w:name="_Toc688"/>
      <w:bookmarkStart w:id="55" w:name="_Toc7228"/>
      <w:bookmarkStart w:id="56" w:name="_Toc9380"/>
      <w:bookmarkStart w:id="57" w:name="_Toc65660346"/>
      <w:bookmarkStart w:id="58" w:name="_Toc24751"/>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五、农民工工资</w:t>
      </w:r>
      <w:bookmarkEnd w:id="54"/>
    </w:p>
    <w:p w14:paraId="0311155B">
      <w:pPr>
        <w:spacing w:line="400" w:lineRule="exact"/>
        <w:ind w:firstLine="480" w:firstLineChars="200"/>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严格按照《保障农民工工资支付条例》要求支付民工工资。</w:t>
      </w:r>
    </w:p>
    <w:p w14:paraId="1CD5190D">
      <w:pPr>
        <w:pStyle w:val="4"/>
        <w:adjustRightInd w:val="0"/>
        <w:snapToGrid w:val="0"/>
        <w:spacing w:before="0" w:after="0" w:line="400" w:lineRule="exact"/>
        <w:rPr>
          <w:rFonts w:hint="eastAsia" w:ascii="宋体" w:hAnsi="宋体" w:eastAsia="宋体" w:cs="宋体"/>
          <w:color w:val="auto"/>
          <w:sz w:val="24"/>
          <w:szCs w:val="24"/>
          <w:highlight w:val="none"/>
          <w:lang w:eastAsia="zh-CN"/>
        </w:rPr>
      </w:pPr>
      <w:bookmarkStart w:id="59" w:name="_Toc547"/>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六、</w:t>
      </w:r>
      <w:r>
        <w:rPr>
          <w:rFonts w:hint="eastAsia" w:ascii="宋体" w:hAnsi="宋体" w:eastAsia="宋体" w:cs="宋体"/>
          <w:color w:val="auto"/>
          <w:sz w:val="24"/>
          <w:szCs w:val="24"/>
          <w:highlight w:val="none"/>
          <w:lang w:eastAsia="zh-CN"/>
        </w:rPr>
        <w:t>知识产权</w:t>
      </w:r>
      <w:bookmarkEnd w:id="55"/>
      <w:bookmarkEnd w:id="56"/>
      <w:bookmarkEnd w:id="57"/>
      <w:bookmarkEnd w:id="58"/>
      <w:bookmarkEnd w:id="59"/>
    </w:p>
    <w:p w14:paraId="755B755F">
      <w:pPr>
        <w:snapToGrid w:val="0"/>
        <w:spacing w:line="400" w:lineRule="exact"/>
        <w:ind w:firstLine="5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采购人在中华人民共和国境内使用</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提供的货物及服务时免受第三方提出的侵犯其专利权或其它知识产权的起诉。如果第三方提出侵权指控，</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应承担由此而引起的一切法律责任和费用。</w:t>
      </w:r>
    </w:p>
    <w:p w14:paraId="2B6E469E">
      <w:pPr>
        <w:pStyle w:val="4"/>
        <w:adjustRightInd w:val="0"/>
        <w:snapToGrid w:val="0"/>
        <w:spacing w:before="0" w:after="0" w:line="400" w:lineRule="exact"/>
        <w:jc w:val="both"/>
        <w:rPr>
          <w:rFonts w:hint="eastAsia" w:ascii="宋体" w:hAnsi="宋体" w:eastAsia="宋体" w:cs="宋体"/>
          <w:b/>
          <w:bCs/>
          <w:color w:val="auto"/>
          <w:sz w:val="24"/>
          <w:szCs w:val="28"/>
          <w:highlight w:val="none"/>
        </w:rPr>
      </w:pPr>
      <w:bookmarkStart w:id="60" w:name="_Toc65660348"/>
      <w:bookmarkStart w:id="61" w:name="_Toc21248"/>
      <w:bookmarkStart w:id="62" w:name="_Toc24982"/>
      <w:bookmarkStart w:id="63" w:name="_Toc31659"/>
      <w:bookmarkStart w:id="64" w:name="_Toc24207"/>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七</w:t>
      </w:r>
      <w:r>
        <w:rPr>
          <w:rFonts w:hint="eastAsia" w:ascii="宋体" w:hAnsi="宋体" w:eastAsia="宋体" w:cs="宋体"/>
          <w:color w:val="auto"/>
          <w:sz w:val="24"/>
          <w:szCs w:val="24"/>
          <w:highlight w:val="none"/>
          <w:lang w:eastAsia="zh-CN"/>
        </w:rPr>
        <w:t>、</w:t>
      </w:r>
      <w:bookmarkEnd w:id="60"/>
      <w:bookmarkEnd w:id="61"/>
      <w:bookmarkEnd w:id="62"/>
      <w:bookmarkEnd w:id="63"/>
      <w:r>
        <w:rPr>
          <w:rFonts w:hint="eastAsia" w:ascii="宋体" w:hAnsi="宋体" w:eastAsia="宋体" w:cs="宋体"/>
          <w:color w:val="auto"/>
          <w:sz w:val="24"/>
          <w:szCs w:val="24"/>
          <w:highlight w:val="none"/>
          <w:lang w:eastAsia="zh-CN"/>
        </w:rPr>
        <w:t>安全措施</w:t>
      </w:r>
      <w:bookmarkEnd w:id="64"/>
    </w:p>
    <w:p w14:paraId="38DE0A8D">
      <w:pPr>
        <w:spacing w:line="400" w:lineRule="exact"/>
        <w:ind w:firstLine="480" w:firstLineChars="200"/>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1.本项目施工需符合国家、地方、行业各项规范，且施工单位</w:t>
      </w:r>
      <w:r>
        <w:rPr>
          <w:rFonts w:hint="eastAsia" w:ascii="宋体" w:hAnsi="宋体" w:cs="宋体"/>
          <w:color w:val="auto"/>
          <w:sz w:val="24"/>
          <w:szCs w:val="28"/>
          <w:highlight w:val="none"/>
          <w:lang w:val="en-US" w:eastAsia="zh-CN"/>
        </w:rPr>
        <w:t>须</w:t>
      </w:r>
      <w:r>
        <w:rPr>
          <w:rFonts w:hint="eastAsia" w:ascii="宋体" w:hAnsi="宋体" w:eastAsia="宋体" w:cs="宋体"/>
          <w:color w:val="auto"/>
          <w:sz w:val="24"/>
          <w:szCs w:val="28"/>
          <w:highlight w:val="none"/>
        </w:rPr>
        <w:t>制定专门安全措施方案。</w:t>
      </w:r>
    </w:p>
    <w:p w14:paraId="78E284B3">
      <w:pPr>
        <w:spacing w:line="400" w:lineRule="exact"/>
        <w:ind w:firstLine="480" w:firstLineChars="200"/>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2.建立定期的安全活动制度，班组每天进行班前、班后的安全检查及时清除不安全隐患，根据施工实际情况，提出安全生产措施，及时解决安全生产上存在的各种问题，协助解决安全生产中的疑难问题。</w:t>
      </w:r>
    </w:p>
    <w:p w14:paraId="6E14A89C">
      <w:pPr>
        <w:pStyle w:val="4"/>
        <w:adjustRightInd w:val="0"/>
        <w:snapToGrid w:val="0"/>
        <w:spacing w:before="0" w:after="0" w:line="400" w:lineRule="exact"/>
        <w:ind w:firstLine="482" w:firstLineChars="200"/>
        <w:rPr>
          <w:rFonts w:hint="eastAsia" w:ascii="宋体" w:hAnsi="宋体" w:eastAsia="宋体" w:cs="宋体"/>
          <w:color w:val="auto"/>
          <w:sz w:val="24"/>
          <w:szCs w:val="24"/>
          <w:highlight w:val="none"/>
          <w:lang w:val="en-US" w:eastAsia="zh-CN"/>
        </w:rPr>
      </w:pPr>
      <w:bookmarkStart w:id="65" w:name="_Toc20716"/>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八、其他</w:t>
      </w:r>
      <w:bookmarkEnd w:id="65"/>
    </w:p>
    <w:p w14:paraId="28740986">
      <w:pPr>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其他未尽事宜由供</w:t>
      </w:r>
      <w:bookmarkStart w:id="769" w:name="_GoBack"/>
      <w:bookmarkEnd w:id="769"/>
      <w:r>
        <w:rPr>
          <w:rFonts w:hint="eastAsia" w:ascii="宋体" w:hAnsi="宋体" w:eastAsia="宋体" w:cs="宋体"/>
          <w:color w:val="auto"/>
          <w:sz w:val="24"/>
          <w:szCs w:val="24"/>
          <w:highlight w:val="none"/>
        </w:rPr>
        <w:t>需双方在采购合同中详细约定。</w:t>
      </w:r>
    </w:p>
    <w:p w14:paraId="2908C0EF">
      <w:pPr>
        <w:pStyle w:val="4"/>
        <w:pageBreakBefore/>
        <w:spacing w:before="0" w:after="0" w:line="360" w:lineRule="auto"/>
        <w:jc w:val="center"/>
        <w:rPr>
          <w:rFonts w:hint="eastAsia" w:ascii="宋体" w:hAnsi="宋体" w:eastAsia="宋体" w:cs="宋体"/>
          <w:bCs/>
          <w:color w:val="auto"/>
          <w:spacing w:val="-11"/>
          <w:sz w:val="36"/>
          <w:szCs w:val="30"/>
          <w:highlight w:val="none"/>
        </w:rPr>
      </w:pPr>
      <w:bookmarkStart w:id="66" w:name="_Toc28614"/>
      <w:r>
        <w:rPr>
          <w:rFonts w:hint="eastAsia" w:ascii="宋体" w:hAnsi="宋体" w:eastAsia="宋体" w:cs="宋体"/>
          <w:bCs/>
          <w:color w:val="auto"/>
          <w:spacing w:val="-11"/>
          <w:sz w:val="36"/>
          <w:szCs w:val="30"/>
          <w:highlight w:val="none"/>
        </w:rPr>
        <w:t>第四篇</w:t>
      </w:r>
      <w:r>
        <w:rPr>
          <w:rFonts w:hint="eastAsia" w:ascii="宋体" w:hAnsi="宋体" w:eastAsia="宋体" w:cs="宋体"/>
          <w:bCs/>
          <w:color w:val="auto"/>
          <w:spacing w:val="-11"/>
          <w:sz w:val="36"/>
          <w:szCs w:val="30"/>
          <w:highlight w:val="none"/>
          <w:lang w:val="en-US" w:eastAsia="zh-CN"/>
        </w:rPr>
        <w:t xml:space="preserve"> </w:t>
      </w:r>
      <w:r>
        <w:rPr>
          <w:rFonts w:hint="eastAsia" w:ascii="宋体" w:hAnsi="宋体" w:eastAsia="宋体" w:cs="宋体"/>
          <w:bCs/>
          <w:color w:val="auto"/>
          <w:spacing w:val="-11"/>
          <w:sz w:val="36"/>
          <w:szCs w:val="30"/>
          <w:highlight w:val="none"/>
        </w:rPr>
        <w:t>网上竞采程序及方法、评审标准、响应无效和</w:t>
      </w:r>
      <w:r>
        <w:rPr>
          <w:rFonts w:hint="eastAsia" w:ascii="宋体" w:hAnsi="宋体" w:eastAsia="宋体" w:cs="宋体"/>
          <w:bCs/>
          <w:color w:val="auto"/>
          <w:spacing w:val="-11"/>
          <w:sz w:val="36"/>
          <w:szCs w:val="36"/>
          <w:highlight w:val="none"/>
        </w:rPr>
        <w:t>采购终止</w:t>
      </w:r>
      <w:bookmarkEnd w:id="66"/>
    </w:p>
    <w:p w14:paraId="4F70737C">
      <w:pPr>
        <w:pStyle w:val="5"/>
        <w:spacing w:before="0" w:after="0" w:line="360" w:lineRule="auto"/>
        <w:rPr>
          <w:rFonts w:hint="eastAsia" w:ascii="宋体" w:hAnsi="宋体" w:eastAsia="宋体" w:cs="宋体"/>
          <w:color w:val="auto"/>
          <w:sz w:val="24"/>
          <w:szCs w:val="24"/>
          <w:highlight w:val="none"/>
        </w:rPr>
      </w:pPr>
      <w:bookmarkStart w:id="67" w:name="_Toc18690"/>
      <w:r>
        <w:rPr>
          <w:rFonts w:hint="eastAsia" w:ascii="宋体" w:hAnsi="宋体" w:eastAsia="宋体" w:cs="宋体"/>
          <w:color w:val="auto"/>
          <w:sz w:val="24"/>
          <w:szCs w:val="24"/>
          <w:highlight w:val="none"/>
        </w:rPr>
        <w:t>一、网上竞采程序及方法</w:t>
      </w:r>
      <w:bookmarkEnd w:id="67"/>
    </w:p>
    <w:p w14:paraId="4DC2034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（一）评审小组对各供应商的资格条件、响应文件的有效性、完整性和响应程度进行审查。各供应商只有在完全符合要求的前提下，才能参与正式网上竞采。</w:t>
      </w:r>
    </w:p>
    <w:p w14:paraId="394C10B2">
      <w:pPr>
        <w:snapToGrid w:val="0"/>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kern w:val="0"/>
          <w:sz w:val="24"/>
          <w:szCs w:val="24"/>
          <w:highlight w:val="none"/>
        </w:rPr>
        <w:t>资格性检查。依据法律法规和网上竞采文件的规定，对响应文件中的资格证明进行审查，以确定供应商是否具备网上竞采资格。资格性检查资料表如下：</w:t>
      </w:r>
    </w:p>
    <w:tbl>
      <w:tblPr>
        <w:tblStyle w:val="61"/>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709"/>
        <w:gridCol w:w="3685"/>
        <w:gridCol w:w="4558"/>
      </w:tblGrid>
      <w:tr w14:paraId="2AC8F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Align w:val="center"/>
          </w:tcPr>
          <w:p w14:paraId="0A38DC1E">
            <w:pPr>
              <w:spacing w:line="240" w:lineRule="exact"/>
              <w:jc w:val="center"/>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序号</w:t>
            </w:r>
          </w:p>
        </w:tc>
        <w:tc>
          <w:tcPr>
            <w:tcW w:w="4394" w:type="dxa"/>
            <w:gridSpan w:val="2"/>
            <w:vAlign w:val="center"/>
          </w:tcPr>
          <w:p w14:paraId="35432676">
            <w:pPr>
              <w:spacing w:line="240" w:lineRule="exact"/>
              <w:jc w:val="center"/>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检查因素</w:t>
            </w:r>
          </w:p>
        </w:tc>
        <w:tc>
          <w:tcPr>
            <w:tcW w:w="4558" w:type="dxa"/>
            <w:vAlign w:val="center"/>
          </w:tcPr>
          <w:p w14:paraId="5B8FF2D6">
            <w:pPr>
              <w:spacing w:line="240" w:lineRule="exact"/>
              <w:jc w:val="center"/>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检查内容</w:t>
            </w:r>
          </w:p>
        </w:tc>
      </w:tr>
      <w:tr w14:paraId="248DB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0" w:hRule="atLeast"/>
        </w:trPr>
        <w:tc>
          <w:tcPr>
            <w:tcW w:w="676" w:type="dxa"/>
            <w:vMerge w:val="restart"/>
            <w:vAlign w:val="center"/>
          </w:tcPr>
          <w:p w14:paraId="416CBC1D">
            <w:pPr>
              <w:spacing w:line="2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709" w:type="dxa"/>
            <w:vMerge w:val="restart"/>
            <w:vAlign w:val="center"/>
          </w:tcPr>
          <w:p w14:paraId="36D48D6E">
            <w:pPr>
              <w:spacing w:line="240" w:lineRule="exac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投标供应商</w:t>
            </w:r>
            <w:r>
              <w:rPr>
                <w:rFonts w:hint="eastAsia" w:ascii="宋体" w:hAnsi="宋体" w:eastAsia="宋体" w:cs="宋体"/>
                <w:color w:val="auto"/>
                <w:sz w:val="24"/>
                <w:szCs w:val="24"/>
                <w:highlight w:val="none"/>
                <w:lang w:val="zh-CN"/>
              </w:rPr>
              <w:t>应符合的基本资格条件</w:t>
            </w:r>
          </w:p>
        </w:tc>
        <w:tc>
          <w:tcPr>
            <w:tcW w:w="3685" w:type="dxa"/>
            <w:vAlign w:val="center"/>
          </w:tcPr>
          <w:p w14:paraId="58CB2802">
            <w:pPr>
              <w:spacing w:line="2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（1）具有独立承担民事责任的能力</w:t>
            </w:r>
          </w:p>
        </w:tc>
        <w:tc>
          <w:tcPr>
            <w:tcW w:w="4558" w:type="dxa"/>
            <w:vAlign w:val="center"/>
          </w:tcPr>
          <w:p w14:paraId="78D1FE64">
            <w:pPr>
              <w:spacing w:line="2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供应商法人营业执照（副本）或事业单位法人证书（副本）或个体工商户营业执照或有效的自然人身份证明、组织机构代码证复印件（注</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eq \o\ac(</w:instrText>
            </w:r>
            <w:r>
              <w:rPr>
                <w:rFonts w:hint="eastAsia" w:ascii="宋体" w:hAnsi="宋体" w:eastAsia="宋体" w:cs="宋体"/>
                <w:color w:val="auto"/>
                <w:position w:val="-4"/>
                <w:sz w:val="36"/>
                <w:szCs w:val="24"/>
                <w:highlight w:val="none"/>
              </w:rPr>
              <w:instrText xml:space="preserve">○</w:instrText>
            </w:r>
            <w:r>
              <w:rPr>
                <w:rFonts w:hint="eastAsia" w:ascii="宋体" w:hAnsi="宋体" w:eastAsia="宋体" w:cs="宋体"/>
                <w:color w:val="auto"/>
                <w:sz w:val="24"/>
                <w:szCs w:val="24"/>
                <w:highlight w:val="none"/>
              </w:rPr>
              <w:instrText xml:space="preserve">,2)</w:instrTex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w:t>
            </w:r>
          </w:p>
          <w:p w14:paraId="3E953CCB">
            <w:pPr>
              <w:spacing w:line="2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供应商法定代表人身份证明和法定代表人授权代表委托书。</w:t>
            </w:r>
          </w:p>
        </w:tc>
      </w:tr>
      <w:tr w14:paraId="21DC6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676" w:type="dxa"/>
            <w:vMerge w:val="continue"/>
            <w:vAlign w:val="center"/>
          </w:tcPr>
          <w:p w14:paraId="50D63408">
            <w:pPr>
              <w:spacing w:line="240" w:lineRule="exact"/>
              <w:jc w:val="center"/>
              <w:rPr>
                <w:rFonts w:hint="eastAsia" w:ascii="宋体" w:hAnsi="宋体" w:eastAsia="宋体" w:cs="宋体"/>
                <w:color w:val="auto"/>
                <w:sz w:val="24"/>
                <w:szCs w:val="24"/>
                <w:highlight w:val="none"/>
              </w:rPr>
            </w:pPr>
          </w:p>
        </w:tc>
        <w:tc>
          <w:tcPr>
            <w:tcW w:w="709" w:type="dxa"/>
            <w:vMerge w:val="continue"/>
            <w:vAlign w:val="center"/>
          </w:tcPr>
          <w:p w14:paraId="558FED0E">
            <w:pPr>
              <w:spacing w:line="240" w:lineRule="exact"/>
              <w:rPr>
                <w:rFonts w:hint="eastAsia" w:ascii="宋体" w:hAnsi="宋体" w:eastAsia="宋体" w:cs="宋体"/>
                <w:color w:val="auto"/>
                <w:sz w:val="24"/>
                <w:szCs w:val="24"/>
                <w:highlight w:val="none"/>
                <w:lang w:val="zh-CN"/>
              </w:rPr>
            </w:pPr>
          </w:p>
        </w:tc>
        <w:tc>
          <w:tcPr>
            <w:tcW w:w="3685" w:type="dxa"/>
            <w:vAlign w:val="center"/>
          </w:tcPr>
          <w:p w14:paraId="5AA2CC75">
            <w:pPr>
              <w:spacing w:line="2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rPr>
              <w:t>具有良好的商业信誉和健全的财务会计制度</w:t>
            </w:r>
          </w:p>
        </w:tc>
        <w:tc>
          <w:tcPr>
            <w:tcW w:w="4558" w:type="dxa"/>
            <w:vMerge w:val="restart"/>
            <w:vAlign w:val="center"/>
          </w:tcPr>
          <w:p w14:paraId="57B92D8F">
            <w:pPr>
              <w:spacing w:line="2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供应商提供基本资格条件承诺函。（格式详见第七篇）</w:t>
            </w:r>
          </w:p>
        </w:tc>
      </w:tr>
      <w:tr w14:paraId="0615A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676" w:type="dxa"/>
            <w:vMerge w:val="continue"/>
            <w:vAlign w:val="center"/>
          </w:tcPr>
          <w:p w14:paraId="180F147A">
            <w:pPr>
              <w:spacing w:line="240" w:lineRule="exact"/>
              <w:jc w:val="center"/>
              <w:rPr>
                <w:rFonts w:hint="eastAsia" w:ascii="宋体" w:hAnsi="宋体" w:eastAsia="宋体" w:cs="宋体"/>
                <w:color w:val="auto"/>
                <w:sz w:val="24"/>
                <w:szCs w:val="24"/>
                <w:highlight w:val="none"/>
              </w:rPr>
            </w:pPr>
          </w:p>
        </w:tc>
        <w:tc>
          <w:tcPr>
            <w:tcW w:w="709" w:type="dxa"/>
            <w:vMerge w:val="continue"/>
            <w:vAlign w:val="center"/>
          </w:tcPr>
          <w:p w14:paraId="329E560D">
            <w:pPr>
              <w:spacing w:line="240" w:lineRule="exact"/>
              <w:rPr>
                <w:rFonts w:hint="eastAsia" w:ascii="宋体" w:hAnsi="宋体" w:eastAsia="宋体" w:cs="宋体"/>
                <w:color w:val="auto"/>
                <w:sz w:val="24"/>
                <w:szCs w:val="24"/>
                <w:highlight w:val="none"/>
                <w:lang w:val="zh-CN"/>
              </w:rPr>
            </w:pPr>
          </w:p>
        </w:tc>
        <w:tc>
          <w:tcPr>
            <w:tcW w:w="3685" w:type="dxa"/>
            <w:vAlign w:val="center"/>
          </w:tcPr>
          <w:p w14:paraId="3D97C382">
            <w:pPr>
              <w:spacing w:line="240" w:lineRule="exac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（3）具有履行合同所必需的设备和专业技术能力</w:t>
            </w:r>
          </w:p>
        </w:tc>
        <w:tc>
          <w:tcPr>
            <w:tcW w:w="4558" w:type="dxa"/>
            <w:vMerge w:val="continue"/>
            <w:vAlign w:val="center"/>
          </w:tcPr>
          <w:p w14:paraId="3299F769">
            <w:pPr>
              <w:spacing w:line="240" w:lineRule="exact"/>
              <w:rPr>
                <w:rFonts w:hint="eastAsia" w:ascii="宋体" w:hAnsi="宋体" w:eastAsia="宋体" w:cs="宋体"/>
                <w:color w:val="auto"/>
                <w:sz w:val="24"/>
                <w:szCs w:val="24"/>
                <w:highlight w:val="none"/>
              </w:rPr>
            </w:pPr>
          </w:p>
        </w:tc>
      </w:tr>
      <w:tr w14:paraId="6F68D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676" w:type="dxa"/>
            <w:vMerge w:val="continue"/>
            <w:vAlign w:val="center"/>
          </w:tcPr>
          <w:p w14:paraId="67FE3B39">
            <w:pPr>
              <w:spacing w:line="240" w:lineRule="exact"/>
              <w:jc w:val="center"/>
              <w:rPr>
                <w:rFonts w:hint="eastAsia" w:ascii="宋体" w:hAnsi="宋体" w:eastAsia="宋体" w:cs="宋体"/>
                <w:color w:val="auto"/>
                <w:sz w:val="24"/>
                <w:szCs w:val="24"/>
                <w:highlight w:val="none"/>
              </w:rPr>
            </w:pPr>
          </w:p>
        </w:tc>
        <w:tc>
          <w:tcPr>
            <w:tcW w:w="709" w:type="dxa"/>
            <w:vMerge w:val="continue"/>
            <w:vAlign w:val="center"/>
          </w:tcPr>
          <w:p w14:paraId="45258D5B">
            <w:pPr>
              <w:spacing w:line="240" w:lineRule="exact"/>
              <w:rPr>
                <w:rFonts w:hint="eastAsia" w:ascii="宋体" w:hAnsi="宋体" w:eastAsia="宋体" w:cs="宋体"/>
                <w:color w:val="auto"/>
                <w:sz w:val="24"/>
                <w:szCs w:val="24"/>
                <w:highlight w:val="none"/>
                <w:lang w:val="zh-CN"/>
              </w:rPr>
            </w:pPr>
          </w:p>
        </w:tc>
        <w:tc>
          <w:tcPr>
            <w:tcW w:w="3685" w:type="dxa"/>
            <w:vAlign w:val="center"/>
          </w:tcPr>
          <w:p w14:paraId="21456BF5">
            <w:pPr>
              <w:spacing w:line="240" w:lineRule="exac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（4）有依法缴纳税收和社会保障金的良好记录</w:t>
            </w:r>
          </w:p>
        </w:tc>
        <w:tc>
          <w:tcPr>
            <w:tcW w:w="4558" w:type="dxa"/>
            <w:vMerge w:val="continue"/>
            <w:vAlign w:val="center"/>
          </w:tcPr>
          <w:p w14:paraId="39DC614F">
            <w:pPr>
              <w:spacing w:line="240" w:lineRule="exact"/>
              <w:rPr>
                <w:rFonts w:hint="eastAsia" w:ascii="宋体" w:hAnsi="宋体" w:eastAsia="宋体" w:cs="宋体"/>
                <w:color w:val="auto"/>
                <w:sz w:val="24"/>
                <w:szCs w:val="24"/>
                <w:highlight w:val="none"/>
              </w:rPr>
            </w:pPr>
          </w:p>
        </w:tc>
      </w:tr>
      <w:tr w14:paraId="3DB78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continue"/>
            <w:vAlign w:val="center"/>
          </w:tcPr>
          <w:p w14:paraId="40B84FAA">
            <w:pPr>
              <w:spacing w:line="240" w:lineRule="exact"/>
              <w:jc w:val="center"/>
              <w:rPr>
                <w:rFonts w:hint="eastAsia" w:ascii="宋体" w:hAnsi="宋体" w:eastAsia="宋体" w:cs="宋体"/>
                <w:color w:val="auto"/>
                <w:sz w:val="24"/>
                <w:szCs w:val="24"/>
                <w:highlight w:val="none"/>
              </w:rPr>
            </w:pPr>
          </w:p>
        </w:tc>
        <w:tc>
          <w:tcPr>
            <w:tcW w:w="709" w:type="dxa"/>
            <w:vMerge w:val="continue"/>
            <w:vAlign w:val="center"/>
          </w:tcPr>
          <w:p w14:paraId="5FF5A33D">
            <w:pPr>
              <w:spacing w:line="240" w:lineRule="exact"/>
              <w:rPr>
                <w:rFonts w:hint="eastAsia" w:ascii="宋体" w:hAnsi="宋体" w:eastAsia="宋体" w:cs="宋体"/>
                <w:color w:val="auto"/>
                <w:sz w:val="24"/>
                <w:szCs w:val="24"/>
                <w:highlight w:val="none"/>
                <w:lang w:val="zh-CN"/>
              </w:rPr>
            </w:pPr>
          </w:p>
        </w:tc>
        <w:tc>
          <w:tcPr>
            <w:tcW w:w="3685" w:type="dxa"/>
            <w:vAlign w:val="center"/>
          </w:tcPr>
          <w:p w14:paraId="4F95876F">
            <w:pPr>
              <w:spacing w:line="240" w:lineRule="exac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（5）参加政府采购活动前三年内，在经营活动中没有重大违法记录（注</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eq \o\ac(</w:instrText>
            </w:r>
            <w:r>
              <w:rPr>
                <w:rFonts w:hint="eastAsia" w:ascii="宋体" w:hAnsi="宋体" w:eastAsia="宋体" w:cs="宋体"/>
                <w:color w:val="auto"/>
                <w:position w:val="-4"/>
                <w:sz w:val="36"/>
                <w:szCs w:val="24"/>
                <w:highlight w:val="none"/>
              </w:rPr>
              <w:instrText xml:space="preserve">○</w:instrText>
            </w:r>
            <w:r>
              <w:rPr>
                <w:rFonts w:hint="eastAsia" w:ascii="宋体" w:hAnsi="宋体" w:eastAsia="宋体" w:cs="宋体"/>
                <w:color w:val="auto"/>
                <w:sz w:val="24"/>
                <w:szCs w:val="24"/>
                <w:highlight w:val="none"/>
              </w:rPr>
              <w:instrText xml:space="preserve">,3)</w:instrTex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w:t>
            </w:r>
          </w:p>
        </w:tc>
        <w:tc>
          <w:tcPr>
            <w:tcW w:w="4558" w:type="dxa"/>
            <w:vMerge w:val="continue"/>
            <w:vAlign w:val="center"/>
          </w:tcPr>
          <w:p w14:paraId="153302F1">
            <w:pPr>
              <w:spacing w:line="240" w:lineRule="exact"/>
              <w:rPr>
                <w:rFonts w:hint="eastAsia" w:ascii="宋体" w:hAnsi="宋体" w:eastAsia="宋体" w:cs="宋体"/>
                <w:color w:val="auto"/>
                <w:sz w:val="24"/>
                <w:szCs w:val="24"/>
                <w:highlight w:val="none"/>
              </w:rPr>
            </w:pPr>
          </w:p>
        </w:tc>
      </w:tr>
      <w:tr w14:paraId="22EBC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676" w:type="dxa"/>
            <w:vMerge w:val="continue"/>
            <w:vAlign w:val="center"/>
          </w:tcPr>
          <w:p w14:paraId="34F36A0D">
            <w:pPr>
              <w:spacing w:line="240" w:lineRule="exact"/>
              <w:jc w:val="center"/>
              <w:rPr>
                <w:rFonts w:hint="eastAsia" w:ascii="宋体" w:hAnsi="宋体" w:eastAsia="宋体" w:cs="宋体"/>
                <w:color w:val="auto"/>
                <w:sz w:val="24"/>
                <w:szCs w:val="24"/>
                <w:highlight w:val="none"/>
              </w:rPr>
            </w:pPr>
          </w:p>
        </w:tc>
        <w:tc>
          <w:tcPr>
            <w:tcW w:w="709" w:type="dxa"/>
            <w:vMerge w:val="continue"/>
            <w:vAlign w:val="center"/>
          </w:tcPr>
          <w:p w14:paraId="2FA79084">
            <w:pPr>
              <w:spacing w:line="240" w:lineRule="exact"/>
              <w:rPr>
                <w:rFonts w:hint="eastAsia" w:ascii="宋体" w:hAnsi="宋体" w:eastAsia="宋体" w:cs="宋体"/>
                <w:color w:val="auto"/>
                <w:sz w:val="24"/>
                <w:szCs w:val="24"/>
                <w:highlight w:val="none"/>
                <w:lang w:val="zh-CN"/>
              </w:rPr>
            </w:pPr>
          </w:p>
        </w:tc>
        <w:tc>
          <w:tcPr>
            <w:tcW w:w="3685" w:type="dxa"/>
            <w:vAlign w:val="center"/>
          </w:tcPr>
          <w:p w14:paraId="7D3AA6DC">
            <w:pPr>
              <w:spacing w:line="2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（6）法律、行政法规规定的其他条件</w:t>
            </w:r>
          </w:p>
        </w:tc>
        <w:tc>
          <w:tcPr>
            <w:tcW w:w="4558" w:type="dxa"/>
            <w:vAlign w:val="center"/>
          </w:tcPr>
          <w:p w14:paraId="385AF6B8">
            <w:pPr>
              <w:spacing w:line="240" w:lineRule="exact"/>
              <w:rPr>
                <w:rFonts w:hint="eastAsia" w:ascii="宋体" w:hAnsi="宋体" w:eastAsia="宋体" w:cs="宋体"/>
                <w:color w:val="auto"/>
                <w:sz w:val="24"/>
                <w:szCs w:val="24"/>
                <w:highlight w:val="none"/>
              </w:rPr>
            </w:pPr>
          </w:p>
        </w:tc>
      </w:tr>
      <w:tr w14:paraId="5CE95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trPr>
        <w:tc>
          <w:tcPr>
            <w:tcW w:w="676" w:type="dxa"/>
            <w:vAlign w:val="center"/>
          </w:tcPr>
          <w:p w14:paraId="2B685E34">
            <w:pPr>
              <w:spacing w:line="2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4394" w:type="dxa"/>
            <w:gridSpan w:val="2"/>
            <w:vAlign w:val="center"/>
          </w:tcPr>
          <w:p w14:paraId="5E4EE018">
            <w:pPr>
              <w:spacing w:line="2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落实政府采购政策需满足的资格要求</w:t>
            </w:r>
          </w:p>
        </w:tc>
        <w:tc>
          <w:tcPr>
            <w:tcW w:w="4558" w:type="dxa"/>
            <w:vAlign w:val="center"/>
          </w:tcPr>
          <w:p w14:paraId="61673F63">
            <w:pPr>
              <w:spacing w:line="2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按第一篇“三、供应商资格条件（二）落实政府采购政策需满足的资格要求”的要求提交（如果有）。</w:t>
            </w:r>
          </w:p>
        </w:tc>
      </w:tr>
      <w:tr w14:paraId="78971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676" w:type="dxa"/>
            <w:vAlign w:val="center"/>
          </w:tcPr>
          <w:p w14:paraId="0F6D9E04">
            <w:pPr>
              <w:spacing w:line="2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4394" w:type="dxa"/>
            <w:gridSpan w:val="2"/>
            <w:vAlign w:val="center"/>
          </w:tcPr>
          <w:p w14:paraId="4217DC5C">
            <w:pPr>
              <w:spacing w:line="2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特定资格条件</w:t>
            </w:r>
          </w:p>
        </w:tc>
        <w:tc>
          <w:tcPr>
            <w:tcW w:w="4558" w:type="dxa"/>
            <w:vAlign w:val="center"/>
          </w:tcPr>
          <w:p w14:paraId="57BD7C7B">
            <w:pPr>
              <w:spacing w:line="2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按第一篇“三、供应商资格条件（三）特定资格条件”的要求提交（如果有）。</w:t>
            </w:r>
          </w:p>
        </w:tc>
      </w:tr>
    </w:tbl>
    <w:p w14:paraId="6C846E8B">
      <w:pPr>
        <w:snapToGrid w:val="0"/>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注：</w:t>
      </w:r>
    </w:p>
    <w:p w14:paraId="0E28F039">
      <w:pPr>
        <w:snapToGrid w:val="0"/>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fldChar w:fldCharType="begin"/>
      </w:r>
      <w:r>
        <w:rPr>
          <w:rFonts w:hint="eastAsia" w:ascii="宋体" w:hAnsi="宋体" w:eastAsia="宋体" w:cs="宋体"/>
          <w:color w:val="auto"/>
          <w:kern w:val="0"/>
          <w:sz w:val="24"/>
          <w:szCs w:val="24"/>
          <w:highlight w:val="none"/>
        </w:rPr>
        <w:instrText xml:space="preserve">eq \o\ac(○,</w:instrText>
      </w:r>
      <w:r>
        <w:rPr>
          <w:rFonts w:hint="eastAsia" w:ascii="宋体" w:hAnsi="宋体" w:eastAsia="宋体" w:cs="宋体"/>
          <w:color w:val="auto"/>
          <w:kern w:val="0"/>
          <w:position w:val="3"/>
          <w:sz w:val="16"/>
          <w:szCs w:val="24"/>
          <w:highlight w:val="none"/>
        </w:rPr>
        <w:instrText xml:space="preserve">2</w:instrText>
      </w:r>
      <w:r>
        <w:rPr>
          <w:rFonts w:hint="eastAsia" w:ascii="宋体" w:hAnsi="宋体" w:eastAsia="宋体" w:cs="宋体"/>
          <w:color w:val="auto"/>
          <w:kern w:val="0"/>
          <w:sz w:val="24"/>
          <w:szCs w:val="24"/>
          <w:highlight w:val="none"/>
        </w:rPr>
        <w:instrText xml:space="preserve">)</w:instrText>
      </w:r>
      <w:r>
        <w:rPr>
          <w:rFonts w:hint="eastAsia" w:ascii="宋体" w:hAnsi="宋体" w:eastAsia="宋体" w:cs="宋体"/>
          <w:color w:val="auto"/>
          <w:kern w:val="0"/>
          <w:sz w:val="24"/>
          <w:szCs w:val="24"/>
          <w:highlight w:val="none"/>
        </w:rPr>
        <w:fldChar w:fldCharType="end"/>
      </w:r>
      <w:r>
        <w:rPr>
          <w:rFonts w:hint="eastAsia" w:ascii="宋体" w:hAnsi="宋体" w:eastAsia="宋体" w:cs="宋体"/>
          <w:color w:val="auto"/>
          <w:kern w:val="0"/>
          <w:sz w:val="24"/>
          <w:szCs w:val="24"/>
          <w:highlight w:val="none"/>
        </w:rPr>
        <w:t>投标供应商按“多证合一”登记制度办理营业执照的，组织机构代码证、税务登记证（副本）和社会保险登记证以投标供应商所提供的营业执照（副本）复印件为准。</w:t>
      </w:r>
    </w:p>
    <w:p w14:paraId="04E0F61A">
      <w:pPr>
        <w:snapToGrid w:val="0"/>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fldChar w:fldCharType="begin"/>
      </w:r>
      <w:r>
        <w:rPr>
          <w:rFonts w:hint="eastAsia" w:ascii="宋体" w:hAnsi="宋体" w:eastAsia="宋体" w:cs="宋体"/>
          <w:color w:val="auto"/>
          <w:kern w:val="0"/>
          <w:sz w:val="24"/>
          <w:szCs w:val="24"/>
          <w:highlight w:val="none"/>
        </w:rPr>
        <w:instrText xml:space="preserve">eq \o\ac(○,</w:instrText>
      </w:r>
      <w:r>
        <w:rPr>
          <w:rFonts w:hint="eastAsia" w:ascii="宋体" w:hAnsi="宋体" w:eastAsia="宋体" w:cs="宋体"/>
          <w:color w:val="auto"/>
          <w:kern w:val="0"/>
          <w:position w:val="3"/>
          <w:sz w:val="16"/>
          <w:szCs w:val="24"/>
          <w:highlight w:val="none"/>
        </w:rPr>
        <w:instrText xml:space="preserve">3</w:instrText>
      </w:r>
      <w:r>
        <w:rPr>
          <w:rFonts w:hint="eastAsia" w:ascii="宋体" w:hAnsi="宋体" w:eastAsia="宋体" w:cs="宋体"/>
          <w:color w:val="auto"/>
          <w:kern w:val="0"/>
          <w:sz w:val="24"/>
          <w:szCs w:val="24"/>
          <w:highlight w:val="none"/>
        </w:rPr>
        <w:instrText xml:space="preserve">)</w:instrText>
      </w:r>
      <w:r>
        <w:rPr>
          <w:rFonts w:hint="eastAsia" w:ascii="宋体" w:hAnsi="宋体" w:eastAsia="宋体" w:cs="宋体"/>
          <w:color w:val="auto"/>
          <w:kern w:val="0"/>
          <w:sz w:val="24"/>
          <w:szCs w:val="24"/>
          <w:highlight w:val="none"/>
        </w:rPr>
        <w:fldChar w:fldCharType="end"/>
      </w:r>
      <w:r>
        <w:rPr>
          <w:rFonts w:hint="eastAsia" w:ascii="宋体" w:hAnsi="宋体" w:eastAsia="宋体" w:cs="宋体"/>
          <w:color w:val="auto"/>
          <w:kern w:val="0"/>
          <w:sz w:val="24"/>
          <w:szCs w:val="24"/>
          <w:highlight w:val="none"/>
        </w:rPr>
        <w:t>根据《中华人民共和国政府采购法实施条例》第十九条“参加政府采购活动前三年内，在经营活动中没有重大违法记录”中“重大违法记录”，是指投标供应商因违法经营受到刑事处罚或者责令停产停业、吊销许可证或者执照、较大数额罚款等行政处罚。行政处罚中“较大数额”的认定标准，由被执行人所在的省、自治区、直辖市人民政府制定，国务院有关部门规定了较大数额标准的，从其规定。</w:t>
      </w:r>
    </w:p>
    <w:p w14:paraId="4E43F190">
      <w:pPr>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rPr>
        <w:t>2.符合性检查。依据网上竞采文件的规定，从响应文件的有效性、完整性和对网上竞采文件的响应程度进行审查，以确定是否对网上竞采文件的实质性要求作出响应。符合性检查资料表如下：</w:t>
      </w:r>
    </w:p>
    <w:tbl>
      <w:tblPr>
        <w:tblStyle w:val="61"/>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1984"/>
        <w:gridCol w:w="5409"/>
      </w:tblGrid>
      <w:tr w14:paraId="5CA02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675" w:type="dxa"/>
            <w:vAlign w:val="center"/>
          </w:tcPr>
          <w:p w14:paraId="15C4920F">
            <w:pPr>
              <w:spacing w:line="240" w:lineRule="exact"/>
              <w:jc w:val="center"/>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序号</w:t>
            </w:r>
          </w:p>
        </w:tc>
        <w:tc>
          <w:tcPr>
            <w:tcW w:w="3544" w:type="dxa"/>
            <w:gridSpan w:val="2"/>
            <w:vAlign w:val="center"/>
          </w:tcPr>
          <w:p w14:paraId="41FF952E">
            <w:pPr>
              <w:spacing w:line="240" w:lineRule="exact"/>
              <w:jc w:val="center"/>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评审因素</w:t>
            </w:r>
          </w:p>
        </w:tc>
        <w:tc>
          <w:tcPr>
            <w:tcW w:w="5409" w:type="dxa"/>
            <w:vAlign w:val="center"/>
          </w:tcPr>
          <w:p w14:paraId="3ACF9A3C">
            <w:pPr>
              <w:spacing w:line="240" w:lineRule="exact"/>
              <w:jc w:val="center"/>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评审标准</w:t>
            </w:r>
          </w:p>
        </w:tc>
      </w:tr>
      <w:tr w14:paraId="65ACC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675" w:type="dxa"/>
            <w:vMerge w:val="restart"/>
            <w:vAlign w:val="center"/>
          </w:tcPr>
          <w:p w14:paraId="40E95708">
            <w:pPr>
              <w:spacing w:line="240" w:lineRule="exac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p>
        </w:tc>
        <w:tc>
          <w:tcPr>
            <w:tcW w:w="1560" w:type="dxa"/>
            <w:vMerge w:val="restart"/>
            <w:vAlign w:val="center"/>
          </w:tcPr>
          <w:p w14:paraId="26EDC950">
            <w:pPr>
              <w:spacing w:line="24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有效性审查</w:t>
            </w:r>
          </w:p>
        </w:tc>
        <w:tc>
          <w:tcPr>
            <w:tcW w:w="1984" w:type="dxa"/>
            <w:vAlign w:val="center"/>
          </w:tcPr>
          <w:p w14:paraId="038843E0">
            <w:pPr>
              <w:spacing w:line="240" w:lineRule="exac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响应文件签署</w:t>
            </w:r>
          </w:p>
        </w:tc>
        <w:tc>
          <w:tcPr>
            <w:tcW w:w="5409" w:type="dxa"/>
            <w:vAlign w:val="center"/>
          </w:tcPr>
          <w:p w14:paraId="2408F3A7">
            <w:pPr>
              <w:spacing w:line="240" w:lineRule="exact"/>
              <w:rPr>
                <w:rFonts w:hint="eastAsia" w:ascii="宋体" w:hAnsi="宋体" w:eastAsia="宋体" w:cs="宋体"/>
                <w:color w:val="auto"/>
                <w:kern w:val="0"/>
                <w:sz w:val="24"/>
                <w:szCs w:val="24"/>
                <w:highlight w:val="none"/>
              </w:rPr>
            </w:pPr>
            <w:r>
              <w:rPr>
                <w:rFonts w:hint="eastAsia" w:ascii="宋体" w:hAnsi="宋体" w:eastAsia="宋体" w:cs="宋体"/>
                <w:color w:val="auto"/>
                <w:sz w:val="24"/>
                <w:highlight w:val="none"/>
              </w:rPr>
              <w:t>网上电子文档及响应文件</w:t>
            </w:r>
            <w:r>
              <w:rPr>
                <w:rFonts w:hint="eastAsia" w:ascii="宋体" w:hAnsi="宋体" w:eastAsia="宋体" w:cs="宋体"/>
                <w:color w:val="auto"/>
                <w:sz w:val="24"/>
                <w:szCs w:val="24"/>
                <w:highlight w:val="none"/>
              </w:rPr>
              <w:t>上法定代表人或其授权代表人的签字齐全。</w:t>
            </w:r>
          </w:p>
        </w:tc>
      </w:tr>
      <w:tr w14:paraId="04C33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675" w:type="dxa"/>
            <w:vMerge w:val="continue"/>
            <w:vAlign w:val="center"/>
          </w:tcPr>
          <w:p w14:paraId="3EF5023A">
            <w:pPr>
              <w:spacing w:line="240" w:lineRule="exact"/>
              <w:jc w:val="center"/>
              <w:rPr>
                <w:rFonts w:hint="eastAsia" w:ascii="宋体" w:hAnsi="宋体" w:eastAsia="宋体" w:cs="宋体"/>
                <w:color w:val="auto"/>
                <w:kern w:val="0"/>
                <w:sz w:val="24"/>
                <w:szCs w:val="24"/>
                <w:highlight w:val="none"/>
              </w:rPr>
            </w:pPr>
          </w:p>
        </w:tc>
        <w:tc>
          <w:tcPr>
            <w:tcW w:w="1560" w:type="dxa"/>
            <w:vMerge w:val="continue"/>
            <w:vAlign w:val="center"/>
          </w:tcPr>
          <w:p w14:paraId="37A1D586">
            <w:pPr>
              <w:spacing w:line="240" w:lineRule="exact"/>
              <w:rPr>
                <w:rFonts w:hint="eastAsia" w:ascii="宋体" w:hAnsi="宋体" w:eastAsia="宋体" w:cs="宋体"/>
                <w:color w:val="auto"/>
                <w:kern w:val="0"/>
                <w:sz w:val="24"/>
                <w:szCs w:val="24"/>
                <w:highlight w:val="none"/>
              </w:rPr>
            </w:pPr>
          </w:p>
        </w:tc>
        <w:tc>
          <w:tcPr>
            <w:tcW w:w="1984" w:type="dxa"/>
            <w:vAlign w:val="center"/>
          </w:tcPr>
          <w:p w14:paraId="31A47067">
            <w:pPr>
              <w:spacing w:line="2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法定代表人身份证明及授权委托书</w:t>
            </w:r>
          </w:p>
        </w:tc>
        <w:tc>
          <w:tcPr>
            <w:tcW w:w="5409" w:type="dxa"/>
            <w:vAlign w:val="center"/>
          </w:tcPr>
          <w:p w14:paraId="5728E092">
            <w:pPr>
              <w:spacing w:line="2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法定代表人身份证明及授权委托书有效，符合网上竞采文件规定的格式，签字或盖章齐全。</w:t>
            </w:r>
          </w:p>
        </w:tc>
      </w:tr>
      <w:tr w14:paraId="36B67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675" w:type="dxa"/>
            <w:vMerge w:val="continue"/>
            <w:vAlign w:val="center"/>
          </w:tcPr>
          <w:p w14:paraId="020C6640">
            <w:pPr>
              <w:spacing w:line="240" w:lineRule="exact"/>
              <w:jc w:val="center"/>
              <w:rPr>
                <w:rFonts w:hint="eastAsia" w:ascii="宋体" w:hAnsi="宋体" w:eastAsia="宋体" w:cs="宋体"/>
                <w:color w:val="auto"/>
                <w:kern w:val="0"/>
                <w:sz w:val="24"/>
                <w:szCs w:val="24"/>
                <w:highlight w:val="none"/>
              </w:rPr>
            </w:pPr>
          </w:p>
        </w:tc>
        <w:tc>
          <w:tcPr>
            <w:tcW w:w="1560" w:type="dxa"/>
            <w:vMerge w:val="continue"/>
            <w:vAlign w:val="center"/>
          </w:tcPr>
          <w:p w14:paraId="593C4363">
            <w:pPr>
              <w:spacing w:line="240" w:lineRule="exact"/>
              <w:rPr>
                <w:rFonts w:hint="eastAsia" w:ascii="宋体" w:hAnsi="宋体" w:eastAsia="宋体" w:cs="宋体"/>
                <w:color w:val="auto"/>
                <w:kern w:val="0"/>
                <w:sz w:val="24"/>
                <w:szCs w:val="24"/>
                <w:highlight w:val="none"/>
              </w:rPr>
            </w:pPr>
          </w:p>
        </w:tc>
        <w:tc>
          <w:tcPr>
            <w:tcW w:w="1984" w:type="dxa"/>
            <w:vAlign w:val="center"/>
          </w:tcPr>
          <w:p w14:paraId="30269511">
            <w:pPr>
              <w:spacing w:line="240" w:lineRule="exac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响应</w:t>
            </w:r>
            <w:r>
              <w:rPr>
                <w:rFonts w:hint="eastAsia" w:ascii="宋体" w:hAnsi="宋体" w:eastAsia="宋体" w:cs="宋体"/>
                <w:color w:val="auto"/>
                <w:sz w:val="24"/>
                <w:szCs w:val="24"/>
                <w:highlight w:val="none"/>
                <w:lang w:val="zh-CN"/>
              </w:rPr>
              <w:t>方案</w:t>
            </w:r>
          </w:p>
        </w:tc>
        <w:tc>
          <w:tcPr>
            <w:tcW w:w="5409" w:type="dxa"/>
            <w:vAlign w:val="center"/>
          </w:tcPr>
          <w:p w14:paraId="0C39AB32">
            <w:pPr>
              <w:spacing w:line="240" w:lineRule="exac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lang w:val="zh-CN"/>
              </w:rPr>
              <w:t>每个分包只能有一个</w:t>
            </w:r>
            <w:r>
              <w:rPr>
                <w:rFonts w:hint="eastAsia" w:ascii="宋体" w:hAnsi="宋体" w:eastAsia="宋体" w:cs="宋体"/>
                <w:color w:val="auto"/>
                <w:sz w:val="24"/>
                <w:szCs w:val="24"/>
                <w:highlight w:val="none"/>
              </w:rPr>
              <w:t>响应</w:t>
            </w:r>
            <w:r>
              <w:rPr>
                <w:rFonts w:hint="eastAsia" w:ascii="宋体" w:hAnsi="宋体" w:eastAsia="宋体" w:cs="宋体"/>
                <w:color w:val="auto"/>
                <w:sz w:val="24"/>
                <w:szCs w:val="24"/>
                <w:highlight w:val="none"/>
                <w:lang w:val="zh-CN"/>
              </w:rPr>
              <w:t>方案。</w:t>
            </w:r>
          </w:p>
        </w:tc>
      </w:tr>
      <w:tr w14:paraId="40123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675" w:type="dxa"/>
            <w:vMerge w:val="continue"/>
            <w:vAlign w:val="center"/>
          </w:tcPr>
          <w:p w14:paraId="527C23D5">
            <w:pPr>
              <w:spacing w:line="240" w:lineRule="exact"/>
              <w:jc w:val="center"/>
              <w:rPr>
                <w:rFonts w:hint="eastAsia" w:ascii="宋体" w:hAnsi="宋体" w:eastAsia="宋体" w:cs="宋体"/>
                <w:color w:val="auto"/>
                <w:kern w:val="0"/>
                <w:sz w:val="24"/>
                <w:szCs w:val="24"/>
                <w:highlight w:val="none"/>
              </w:rPr>
            </w:pPr>
          </w:p>
        </w:tc>
        <w:tc>
          <w:tcPr>
            <w:tcW w:w="1560" w:type="dxa"/>
            <w:vMerge w:val="continue"/>
            <w:vAlign w:val="center"/>
          </w:tcPr>
          <w:p w14:paraId="09911E98">
            <w:pPr>
              <w:spacing w:line="240" w:lineRule="exact"/>
              <w:rPr>
                <w:rFonts w:hint="eastAsia" w:ascii="宋体" w:hAnsi="宋体" w:eastAsia="宋体" w:cs="宋体"/>
                <w:color w:val="auto"/>
                <w:kern w:val="0"/>
                <w:sz w:val="24"/>
                <w:szCs w:val="24"/>
                <w:highlight w:val="none"/>
              </w:rPr>
            </w:pPr>
          </w:p>
        </w:tc>
        <w:tc>
          <w:tcPr>
            <w:tcW w:w="1984" w:type="dxa"/>
            <w:vAlign w:val="center"/>
          </w:tcPr>
          <w:p w14:paraId="6E16F7A5">
            <w:pPr>
              <w:spacing w:line="240" w:lineRule="exac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报价唯一</w:t>
            </w:r>
          </w:p>
        </w:tc>
        <w:tc>
          <w:tcPr>
            <w:tcW w:w="5409" w:type="dxa"/>
            <w:vAlign w:val="center"/>
          </w:tcPr>
          <w:p w14:paraId="61D6E216">
            <w:pPr>
              <w:spacing w:line="240" w:lineRule="exac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lang w:val="zh-CN"/>
              </w:rPr>
              <w:t>只能在采购预算范围内报价，</w:t>
            </w:r>
            <w:r>
              <w:rPr>
                <w:rFonts w:hint="eastAsia" w:ascii="宋体" w:hAnsi="宋体" w:eastAsia="宋体" w:cs="宋体"/>
                <w:color w:val="auto"/>
                <w:sz w:val="24"/>
                <w:szCs w:val="24"/>
                <w:highlight w:val="none"/>
              </w:rPr>
              <w:t>只能有一个有效报价，不得提交选择性报价。</w:t>
            </w:r>
          </w:p>
        </w:tc>
      </w:tr>
      <w:tr w14:paraId="51574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675" w:type="dxa"/>
            <w:vAlign w:val="center"/>
          </w:tcPr>
          <w:p w14:paraId="7855AAC2">
            <w:pPr>
              <w:spacing w:line="240" w:lineRule="exac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p>
        </w:tc>
        <w:tc>
          <w:tcPr>
            <w:tcW w:w="1560" w:type="dxa"/>
            <w:vAlign w:val="center"/>
          </w:tcPr>
          <w:p w14:paraId="3223398D">
            <w:pPr>
              <w:spacing w:line="24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完整性审查</w:t>
            </w:r>
          </w:p>
        </w:tc>
        <w:tc>
          <w:tcPr>
            <w:tcW w:w="1984" w:type="dxa"/>
            <w:vAlign w:val="center"/>
          </w:tcPr>
          <w:p w14:paraId="34BEC1E6">
            <w:pPr>
              <w:spacing w:line="240" w:lineRule="exac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响应</w:t>
            </w:r>
            <w:r>
              <w:rPr>
                <w:rFonts w:hint="eastAsia" w:ascii="宋体" w:hAnsi="宋体" w:eastAsia="宋体" w:cs="宋体"/>
                <w:color w:val="auto"/>
                <w:sz w:val="24"/>
                <w:szCs w:val="24"/>
                <w:highlight w:val="none"/>
                <w:lang w:val="zh-CN"/>
              </w:rPr>
              <w:t>文件份数</w:t>
            </w:r>
          </w:p>
        </w:tc>
        <w:tc>
          <w:tcPr>
            <w:tcW w:w="5409" w:type="dxa"/>
            <w:vAlign w:val="center"/>
          </w:tcPr>
          <w:p w14:paraId="422557C6">
            <w:pPr>
              <w:spacing w:line="240" w:lineRule="exac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响应</w:t>
            </w:r>
            <w:r>
              <w:rPr>
                <w:rFonts w:hint="eastAsia" w:ascii="宋体" w:hAnsi="宋体" w:eastAsia="宋体" w:cs="宋体"/>
                <w:color w:val="auto"/>
                <w:sz w:val="24"/>
                <w:szCs w:val="24"/>
                <w:highlight w:val="none"/>
                <w:lang w:val="zh-CN"/>
              </w:rPr>
              <w:t>文件数量符合</w:t>
            </w:r>
            <w:r>
              <w:rPr>
                <w:rFonts w:hint="eastAsia" w:ascii="宋体" w:hAnsi="宋体" w:eastAsia="宋体" w:cs="宋体"/>
                <w:color w:val="auto"/>
                <w:sz w:val="24"/>
                <w:szCs w:val="24"/>
                <w:highlight w:val="none"/>
              </w:rPr>
              <w:t>网上竞采</w:t>
            </w:r>
            <w:r>
              <w:rPr>
                <w:rFonts w:hint="eastAsia" w:ascii="宋体" w:hAnsi="宋体" w:eastAsia="宋体" w:cs="宋体"/>
                <w:color w:val="auto"/>
                <w:sz w:val="24"/>
                <w:szCs w:val="24"/>
                <w:highlight w:val="none"/>
                <w:lang w:val="zh-CN"/>
              </w:rPr>
              <w:t>文件要求。</w:t>
            </w:r>
          </w:p>
        </w:tc>
      </w:tr>
      <w:tr w14:paraId="419C2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675" w:type="dxa"/>
            <w:vMerge w:val="restart"/>
            <w:vAlign w:val="center"/>
          </w:tcPr>
          <w:p w14:paraId="15EDBB5F">
            <w:pPr>
              <w:spacing w:line="240" w:lineRule="exac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p>
        </w:tc>
        <w:tc>
          <w:tcPr>
            <w:tcW w:w="1560" w:type="dxa"/>
            <w:vMerge w:val="restart"/>
            <w:vAlign w:val="center"/>
          </w:tcPr>
          <w:p w14:paraId="1AC82B4E">
            <w:pPr>
              <w:spacing w:line="240" w:lineRule="exact"/>
              <w:rPr>
                <w:rFonts w:hint="eastAsia" w:ascii="宋体" w:hAnsi="宋体" w:eastAsia="宋体" w:cs="宋体"/>
                <w:color w:val="auto"/>
                <w:sz w:val="24"/>
                <w:szCs w:val="24"/>
                <w:highlight w:val="none"/>
                <w:lang w:val="zh-CN"/>
              </w:rPr>
            </w:pPr>
            <w:r>
              <w:rPr>
                <w:rFonts w:hint="eastAsia" w:ascii="宋体" w:hAnsi="宋体" w:eastAsia="宋体" w:cs="宋体"/>
                <w:color w:val="auto"/>
                <w:kern w:val="0"/>
                <w:sz w:val="24"/>
                <w:szCs w:val="24"/>
                <w:highlight w:val="none"/>
              </w:rPr>
              <w:t>网上竞采文件的响应程度审查</w:t>
            </w:r>
          </w:p>
        </w:tc>
        <w:tc>
          <w:tcPr>
            <w:tcW w:w="1984" w:type="dxa"/>
            <w:vAlign w:val="center"/>
          </w:tcPr>
          <w:p w14:paraId="181402DD">
            <w:pPr>
              <w:spacing w:line="24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响应文件内容</w:t>
            </w:r>
          </w:p>
        </w:tc>
        <w:tc>
          <w:tcPr>
            <w:tcW w:w="5409" w:type="dxa"/>
            <w:vAlign w:val="center"/>
          </w:tcPr>
          <w:p w14:paraId="229ED66C">
            <w:pPr>
              <w:pStyle w:val="34"/>
              <w:spacing w:line="24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对网上竞采文件第二篇、第三篇规定的网上竞采内容作出响应。</w:t>
            </w:r>
          </w:p>
        </w:tc>
      </w:tr>
      <w:tr w14:paraId="1986D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75" w:type="dxa"/>
            <w:vMerge w:val="continue"/>
            <w:vAlign w:val="center"/>
          </w:tcPr>
          <w:p w14:paraId="168600EA">
            <w:pPr>
              <w:spacing w:line="240" w:lineRule="exact"/>
              <w:jc w:val="center"/>
              <w:rPr>
                <w:rFonts w:hint="eastAsia" w:ascii="宋体" w:hAnsi="宋体" w:eastAsia="宋体" w:cs="宋体"/>
                <w:color w:val="auto"/>
                <w:kern w:val="0"/>
                <w:sz w:val="24"/>
                <w:szCs w:val="24"/>
                <w:highlight w:val="none"/>
              </w:rPr>
            </w:pPr>
          </w:p>
        </w:tc>
        <w:tc>
          <w:tcPr>
            <w:tcW w:w="1560" w:type="dxa"/>
            <w:vMerge w:val="continue"/>
            <w:vAlign w:val="center"/>
          </w:tcPr>
          <w:p w14:paraId="7790BFC2">
            <w:pPr>
              <w:spacing w:line="240" w:lineRule="exact"/>
              <w:rPr>
                <w:rFonts w:hint="eastAsia" w:ascii="宋体" w:hAnsi="宋体" w:eastAsia="宋体" w:cs="宋体"/>
                <w:color w:val="auto"/>
                <w:sz w:val="24"/>
                <w:szCs w:val="24"/>
                <w:highlight w:val="none"/>
                <w:lang w:val="zh-CN"/>
              </w:rPr>
            </w:pPr>
          </w:p>
        </w:tc>
        <w:tc>
          <w:tcPr>
            <w:tcW w:w="1984" w:type="dxa"/>
            <w:vAlign w:val="center"/>
          </w:tcPr>
          <w:p w14:paraId="2BE58314">
            <w:pPr>
              <w:spacing w:line="24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网上竞采有效期</w:t>
            </w:r>
          </w:p>
        </w:tc>
        <w:tc>
          <w:tcPr>
            <w:tcW w:w="5409" w:type="dxa"/>
            <w:vAlign w:val="center"/>
          </w:tcPr>
          <w:p w14:paraId="0D1F6180">
            <w:pPr>
              <w:spacing w:line="24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满足网上竞采文件</w:t>
            </w:r>
            <w:r>
              <w:rPr>
                <w:rFonts w:hint="eastAsia" w:ascii="宋体" w:hAnsi="宋体" w:eastAsia="宋体" w:cs="宋体"/>
                <w:color w:val="auto"/>
                <w:sz w:val="24"/>
                <w:szCs w:val="24"/>
                <w:highlight w:val="none"/>
                <w:lang w:val="zh-CN"/>
              </w:rPr>
              <w:t>规定。</w:t>
            </w:r>
          </w:p>
        </w:tc>
      </w:tr>
    </w:tbl>
    <w:p w14:paraId="20417809">
      <w:pPr>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二）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6D4E935">
      <w:pPr>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评审小组要求供应商澄清、说明或者更正响应文件应当以书面形式作出。供应商的澄清、说明或者更正应当由法定代表人（或其授权代表）或自然人（供应商为自然人）签署或者加盖公章。由授权代表签署的，应当附法定代表人授权书。供应商为自然人的，应当由本人签署并附身份证明。</w:t>
      </w:r>
    </w:p>
    <w:p w14:paraId="7E0F41C0">
      <w:pPr>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（三）评审的依据为网上竞采文件和响应文件（含有效的补充文件）。评审小组判断响应文件对网上竞采文件的响应，仅基于响应文件本身而不靠外部证据。</w:t>
      </w:r>
    </w:p>
    <w:p w14:paraId="320EDB5D">
      <w:pPr>
        <w:pStyle w:val="5"/>
        <w:spacing w:before="0" w:after="0" w:line="360" w:lineRule="auto"/>
        <w:rPr>
          <w:rFonts w:hint="eastAsia" w:ascii="宋体" w:hAnsi="宋体" w:cs="宋体"/>
          <w:color w:val="auto"/>
          <w:sz w:val="24"/>
          <w:szCs w:val="24"/>
          <w:highlight w:val="none"/>
          <w:lang w:val="en-US" w:eastAsia="zh-CN"/>
        </w:rPr>
      </w:pPr>
      <w:bookmarkStart w:id="68" w:name="_Toc25635"/>
      <w:bookmarkStart w:id="69" w:name="_Toc76462335"/>
      <w:bookmarkStart w:id="70" w:name="_Toc102227313"/>
      <w:r>
        <w:rPr>
          <w:rFonts w:hint="eastAsia" w:ascii="宋体" w:hAnsi="宋体" w:cs="宋体"/>
          <w:color w:val="auto"/>
          <w:sz w:val="24"/>
          <w:szCs w:val="24"/>
          <w:highlight w:val="none"/>
          <w:lang w:val="en-US" w:eastAsia="zh-CN"/>
        </w:rPr>
        <w:t>二、评标方法</w:t>
      </w:r>
    </w:p>
    <w:p w14:paraId="1E23D148">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本项目采用综合评估法进行评标。</w:t>
      </w:r>
    </w:p>
    <w:p w14:paraId="6F6E37D1">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综合评分法，是指响应文件满足竞采文件全部实质性要求且按照评审因素的量化指标评审得分最高的供应商为成交供应商的评标方法。供应商总得分为价格、商务、技术（质量）等评定因素分别按照相应权重值计算分项得分后相加，满分为100分。</w:t>
      </w:r>
    </w:p>
    <w:p w14:paraId="4F551BB3">
      <w:pPr>
        <w:snapToGrid w:val="0"/>
        <w:spacing w:line="400" w:lineRule="exact"/>
        <w:ind w:firstLine="482" w:firstLineChars="200"/>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综合评分法：</w:t>
      </w:r>
    </w:p>
    <w:p w14:paraId="63CA88E0">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（一）比较与评价。按竞采文件中规定的评标方法和标准，对资格审查和符合性审查合格的响应文件进行商务和技术评估。</w:t>
      </w:r>
    </w:p>
    <w:p w14:paraId="1D62CF6A">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评审小组各成员独立对每个有效供应商（通过资格审查、符合性审查的供应商）的响应文件进行评价、打分，然后由评审小组对各成员打分情况进行核查及复核，个别成员对同一供应商同一评分项的打分偏离较大的，应对供应商的响应文件进行再次核对，确属打分有误的，应及时进行修正。复核后，评审小组汇总每个供应商每项评分因素的得分。</w:t>
      </w:r>
    </w:p>
    <w:p w14:paraId="4D28FD82">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（二）关于技术（质量）、商务偏离</w:t>
      </w:r>
    </w:p>
    <w:p w14:paraId="067E2524">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1.电子</w:t>
      </w:r>
      <w:r>
        <w:rPr>
          <w:rFonts w:hint="eastAsia" w:ascii="宋体" w:hAnsi="宋体" w:cs="宋体"/>
          <w:color w:val="auto"/>
          <w:sz w:val="24"/>
          <w:szCs w:val="24"/>
          <w:highlight w:val="none"/>
          <w:lang w:val="en-US" w:eastAsia="zh-CN"/>
        </w:rPr>
        <w:t>响应文件</w:t>
      </w:r>
      <w:r>
        <w:rPr>
          <w:rFonts w:hint="eastAsia" w:ascii="宋体" w:hAnsi="宋体" w:eastAsia="宋体" w:cs="宋体"/>
          <w:color w:val="auto"/>
          <w:sz w:val="24"/>
          <w:szCs w:val="24"/>
          <w:highlight w:val="none"/>
          <w:lang w:val="en-US" w:eastAsia="zh-CN"/>
        </w:rPr>
        <w:t>投标应答有一条及以上不满足</w:t>
      </w:r>
      <w:r>
        <w:rPr>
          <w:rFonts w:hint="eastAsia" w:ascii="宋体" w:hAnsi="宋体" w:cs="宋体"/>
          <w:color w:val="auto"/>
          <w:sz w:val="24"/>
          <w:szCs w:val="24"/>
          <w:highlight w:val="none"/>
          <w:lang w:val="en-US" w:eastAsia="zh-CN"/>
        </w:rPr>
        <w:t>采购</w:t>
      </w:r>
      <w:r>
        <w:rPr>
          <w:rFonts w:hint="eastAsia" w:ascii="宋体" w:hAnsi="宋体" w:eastAsia="宋体" w:cs="宋体"/>
          <w:color w:val="auto"/>
          <w:sz w:val="24"/>
          <w:szCs w:val="24"/>
          <w:highlight w:val="none"/>
          <w:lang w:val="en-US" w:eastAsia="zh-CN"/>
        </w:rPr>
        <w:t>文件“第二篇 项目技术需求”要求的，供应商将失去成为成交供应商的资格；</w:t>
      </w:r>
    </w:p>
    <w:p w14:paraId="764359A6">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2.电子</w:t>
      </w:r>
      <w:r>
        <w:rPr>
          <w:rFonts w:hint="eastAsia" w:ascii="宋体" w:hAnsi="宋体" w:cs="宋体"/>
          <w:color w:val="auto"/>
          <w:sz w:val="24"/>
          <w:szCs w:val="24"/>
          <w:highlight w:val="none"/>
          <w:lang w:val="en-US" w:eastAsia="zh-CN"/>
        </w:rPr>
        <w:t>响应文件</w:t>
      </w:r>
      <w:r>
        <w:rPr>
          <w:rFonts w:hint="eastAsia" w:ascii="宋体" w:hAnsi="宋体" w:eastAsia="宋体" w:cs="宋体"/>
          <w:color w:val="auto"/>
          <w:sz w:val="24"/>
          <w:szCs w:val="24"/>
          <w:highlight w:val="none"/>
          <w:lang w:val="en-US" w:eastAsia="zh-CN"/>
        </w:rPr>
        <w:t>投标应答有一条及以上不满足</w:t>
      </w:r>
      <w:r>
        <w:rPr>
          <w:rFonts w:hint="eastAsia" w:ascii="宋体" w:hAnsi="宋体" w:cs="宋体"/>
          <w:color w:val="auto"/>
          <w:sz w:val="24"/>
          <w:szCs w:val="24"/>
          <w:highlight w:val="none"/>
          <w:lang w:val="en-US" w:eastAsia="zh-CN"/>
        </w:rPr>
        <w:t>采购</w:t>
      </w:r>
      <w:r>
        <w:rPr>
          <w:rFonts w:hint="eastAsia" w:ascii="宋体" w:hAnsi="宋体" w:eastAsia="宋体" w:cs="宋体"/>
          <w:color w:val="auto"/>
          <w:sz w:val="24"/>
          <w:szCs w:val="24"/>
          <w:highlight w:val="none"/>
          <w:lang w:val="en-US" w:eastAsia="zh-CN"/>
        </w:rPr>
        <w:t>文件“第三篇 项目商务需求”要求的，供应商将失去成为成交供应商的资格；</w:t>
      </w:r>
    </w:p>
    <w:p w14:paraId="4C34F4D7">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 评审小组认为供应商的报价明显低于其他通过符合性审查供应商的报价，有可能影响质量或者不能诚信履约的，应当要求其在评标现场合理的时间内在线提供书面说明，必要时提交相关证明材料电子档（PDF格式）；供应商不能证明其报价合理性的，评审小组应当将其作为无效投标处理。</w:t>
      </w:r>
    </w:p>
    <w:p w14:paraId="29C55618">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（三）推荐成交供应商名单。</w:t>
      </w:r>
    </w:p>
    <w:p w14:paraId="3A0F4C87">
      <w:pPr>
        <w:spacing w:line="360" w:lineRule="auto"/>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按评审后得分由高到低的排列顺序推荐综合得分排名前三的供应商为本包（项目）成交供应商，排名第一的为第一成交供应商。得分相同的，按投标报价由低到高顺序排列。得分且投标报价相同的由评审小组随机抽取的方式进行排列。不推荐技术（质量）部分得分为0分的供应商成为成交供应商。</w:t>
      </w:r>
    </w:p>
    <w:p w14:paraId="0899DDFA">
      <w:pPr>
        <w:pStyle w:val="4"/>
        <w:spacing w:line="40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三、</w:t>
      </w:r>
      <w:r>
        <w:rPr>
          <w:rFonts w:hint="eastAsia" w:ascii="宋体" w:hAnsi="宋体" w:eastAsia="宋体" w:cs="宋体"/>
          <w:b/>
          <w:color w:val="auto"/>
          <w:sz w:val="24"/>
          <w:szCs w:val="24"/>
          <w:highlight w:val="none"/>
        </w:rPr>
        <w:t>评标标准</w:t>
      </w:r>
    </w:p>
    <w:p w14:paraId="26FE0E50">
      <w:pPr>
        <w:snapToGrid w:val="0"/>
        <w:spacing w:line="40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（综合评分法：）</w:t>
      </w:r>
    </w:p>
    <w:p w14:paraId="529DBF04">
      <w:pPr>
        <w:snapToGrid w:val="0"/>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评审因素</w:t>
      </w:r>
    </w:p>
    <w:tbl>
      <w:tblPr>
        <w:tblStyle w:val="61"/>
        <w:tblW w:w="99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012"/>
        <w:gridCol w:w="1000"/>
        <w:gridCol w:w="683"/>
        <w:gridCol w:w="5839"/>
        <w:gridCol w:w="904"/>
      </w:tblGrid>
      <w:tr w14:paraId="3B49D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trPr>
        <w:tc>
          <w:tcPr>
            <w:tcW w:w="540" w:type="dxa"/>
            <w:noWrap w:val="0"/>
            <w:vAlign w:val="center"/>
          </w:tcPr>
          <w:p w14:paraId="6C11C778">
            <w:pPr>
              <w:spacing w:line="240" w:lineRule="auto"/>
              <w:ind w:firstLine="28"/>
              <w:jc w:val="center"/>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序号</w:t>
            </w:r>
          </w:p>
        </w:tc>
        <w:tc>
          <w:tcPr>
            <w:tcW w:w="2012" w:type="dxa"/>
            <w:gridSpan w:val="2"/>
            <w:noWrap w:val="0"/>
            <w:vAlign w:val="center"/>
          </w:tcPr>
          <w:p w14:paraId="38F60242">
            <w:pPr>
              <w:spacing w:line="240" w:lineRule="auto"/>
              <w:ind w:firstLine="28"/>
              <w:jc w:val="center"/>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评分因素</w:t>
            </w:r>
          </w:p>
          <w:p w14:paraId="225FA533">
            <w:pPr>
              <w:spacing w:line="240" w:lineRule="auto"/>
              <w:ind w:firstLine="28"/>
              <w:jc w:val="center"/>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及权重</w:t>
            </w:r>
          </w:p>
        </w:tc>
        <w:tc>
          <w:tcPr>
            <w:tcW w:w="683" w:type="dxa"/>
            <w:noWrap w:val="0"/>
            <w:vAlign w:val="center"/>
          </w:tcPr>
          <w:p w14:paraId="61B13398">
            <w:pPr>
              <w:spacing w:line="240" w:lineRule="auto"/>
              <w:ind w:firstLine="28"/>
              <w:jc w:val="center"/>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分值</w:t>
            </w:r>
          </w:p>
        </w:tc>
        <w:tc>
          <w:tcPr>
            <w:tcW w:w="5839" w:type="dxa"/>
            <w:noWrap w:val="0"/>
            <w:vAlign w:val="center"/>
          </w:tcPr>
          <w:p w14:paraId="667A56E7">
            <w:pPr>
              <w:spacing w:line="240" w:lineRule="auto"/>
              <w:ind w:firstLine="28"/>
              <w:jc w:val="center"/>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评分标准</w:t>
            </w:r>
          </w:p>
        </w:tc>
        <w:tc>
          <w:tcPr>
            <w:tcW w:w="904" w:type="dxa"/>
            <w:noWrap w:val="0"/>
            <w:vAlign w:val="center"/>
          </w:tcPr>
          <w:p w14:paraId="7732583B">
            <w:pPr>
              <w:pStyle w:val="234"/>
              <w:spacing w:before="0" w:after="0" w:line="240" w:lineRule="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说明</w:t>
            </w:r>
          </w:p>
        </w:tc>
      </w:tr>
      <w:tr w14:paraId="0E697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trPr>
        <w:tc>
          <w:tcPr>
            <w:tcW w:w="540" w:type="dxa"/>
            <w:noWrap w:val="0"/>
            <w:vAlign w:val="center"/>
          </w:tcPr>
          <w:p w14:paraId="2DF72222">
            <w:pPr>
              <w:spacing w:line="240" w:lineRule="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w:t>
            </w:r>
          </w:p>
        </w:tc>
        <w:tc>
          <w:tcPr>
            <w:tcW w:w="2012" w:type="dxa"/>
            <w:gridSpan w:val="2"/>
            <w:noWrap w:val="0"/>
            <w:vAlign w:val="center"/>
          </w:tcPr>
          <w:p w14:paraId="3163A659">
            <w:pPr>
              <w:spacing w:line="240" w:lineRule="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投标报价部分</w:t>
            </w:r>
          </w:p>
          <w:p w14:paraId="3A141F97">
            <w:pPr>
              <w:spacing w:line="240" w:lineRule="auto"/>
              <w:ind w:firstLine="220" w:firstLineChars="100"/>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w:t>
            </w:r>
            <w:r>
              <w:rPr>
                <w:rFonts w:hint="eastAsia" w:ascii="宋体" w:hAnsi="宋体" w:cs="宋体"/>
                <w:color w:val="auto"/>
                <w:sz w:val="22"/>
                <w:szCs w:val="22"/>
                <w:highlight w:val="none"/>
                <w:lang w:val="en-US" w:eastAsia="zh-CN"/>
              </w:rPr>
              <w:t>60</w:t>
            </w:r>
            <w:r>
              <w:rPr>
                <w:rFonts w:hint="eastAsia" w:ascii="宋体" w:hAnsi="宋体" w:eastAsia="宋体" w:cs="宋体"/>
                <w:color w:val="auto"/>
                <w:sz w:val="22"/>
                <w:szCs w:val="22"/>
                <w:highlight w:val="none"/>
                <w:lang w:val="en-US" w:eastAsia="zh-CN"/>
              </w:rPr>
              <w:t>%）</w:t>
            </w:r>
          </w:p>
        </w:tc>
        <w:tc>
          <w:tcPr>
            <w:tcW w:w="683" w:type="dxa"/>
            <w:noWrap w:val="0"/>
            <w:vAlign w:val="center"/>
          </w:tcPr>
          <w:p w14:paraId="36F0BB85">
            <w:pPr>
              <w:spacing w:line="240" w:lineRule="auto"/>
              <w:rPr>
                <w:rFonts w:hint="default"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60</w:t>
            </w:r>
          </w:p>
        </w:tc>
        <w:tc>
          <w:tcPr>
            <w:tcW w:w="5839" w:type="dxa"/>
            <w:noWrap w:val="0"/>
            <w:vAlign w:val="center"/>
          </w:tcPr>
          <w:p w14:paraId="5346F65E">
            <w:pPr>
              <w:spacing w:line="240" w:lineRule="auto"/>
              <w:ind w:firstLine="220" w:firstLineChars="100"/>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1、评标基准价计算方法</w:t>
            </w:r>
          </w:p>
          <w:p w14:paraId="15DBDF0F">
            <w:pPr>
              <w:spacing w:line="240" w:lineRule="auto"/>
              <w:ind w:firstLine="220" w:firstLineChars="100"/>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所有通过资格审查及符合性审查评审合格的投标人的投标报价中去掉六分之一（不能整除的按小数点前整数取整，不足六家报价则不去掉）的最低价和相同家数的最高价后的平均值再与最高限价的算术平均值即为投标报价的评标基准价。</w:t>
            </w:r>
          </w:p>
          <w:p w14:paraId="498848D1">
            <w:pPr>
              <w:spacing w:line="240" w:lineRule="auto"/>
              <w:ind w:firstLine="220" w:firstLineChars="100"/>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评标基准价计算的最终结果保留两位小数，小数点后第三位四舍五入。在评标基准价计算完成后（除计算错误外），在后续的评审中不得再对其做出调整。</w:t>
            </w:r>
          </w:p>
          <w:p w14:paraId="6DF99420">
            <w:pPr>
              <w:spacing w:line="240" w:lineRule="auto"/>
              <w:ind w:firstLine="220" w:firstLineChars="100"/>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2、投标报价的偏差率计算公式</w:t>
            </w:r>
          </w:p>
          <w:p w14:paraId="09B48FE8">
            <w:pPr>
              <w:spacing w:line="240" w:lineRule="auto"/>
              <w:ind w:firstLine="220" w:firstLineChars="100"/>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偏差率=100％×（投标人报价一评标基准价）／评标基准价，偏差率计算的最终结果保留两位小数，小数点后第三位四舍五入。</w:t>
            </w:r>
          </w:p>
          <w:p w14:paraId="5F5CE081">
            <w:pPr>
              <w:spacing w:line="240" w:lineRule="auto"/>
              <w:ind w:firstLine="220" w:firstLineChars="100"/>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3、投标报价评分标准</w:t>
            </w:r>
          </w:p>
          <w:p w14:paraId="6A71D8DC">
            <w:pPr>
              <w:spacing w:line="240" w:lineRule="auto"/>
              <w:ind w:firstLine="220" w:firstLineChars="100"/>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所有通过资格审查及符合性审查评审合格的投标人，投标报价得满分</w:t>
            </w:r>
            <w:r>
              <w:rPr>
                <w:rFonts w:hint="eastAsia" w:ascii="宋体" w:hAnsi="宋体" w:cs="宋体"/>
                <w:color w:val="auto"/>
                <w:sz w:val="22"/>
                <w:szCs w:val="22"/>
                <w:highlight w:val="none"/>
                <w:lang w:val="en-US" w:eastAsia="zh-CN"/>
              </w:rPr>
              <w:t>60</w:t>
            </w:r>
            <w:r>
              <w:rPr>
                <w:rFonts w:hint="eastAsia" w:ascii="宋体" w:hAnsi="宋体" w:eastAsia="宋体" w:cs="宋体"/>
                <w:color w:val="auto"/>
                <w:sz w:val="22"/>
                <w:szCs w:val="22"/>
                <w:highlight w:val="none"/>
                <w:lang w:val="en-US" w:eastAsia="zh-CN"/>
              </w:rPr>
              <w:t>分。在此基础上，投标报价与评标基准价相比，每增加1%扣0.5分，每减少1%扣0.25分，扣完为止。</w:t>
            </w:r>
          </w:p>
          <w:p w14:paraId="6CE3573F">
            <w:pPr>
              <w:spacing w:line="240" w:lineRule="auto"/>
              <w:ind w:firstLine="220" w:firstLineChars="100"/>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按插入法计算得分。未参与评标基准价计算的投标报价，仍应参加计算相应分值。投标报价得分最终结果保留两位小数，小数点后第三位四舍五入。</w:t>
            </w:r>
          </w:p>
        </w:tc>
        <w:tc>
          <w:tcPr>
            <w:tcW w:w="904" w:type="dxa"/>
            <w:noWrap w:val="0"/>
            <w:vAlign w:val="center"/>
          </w:tcPr>
          <w:p w14:paraId="3F010B50">
            <w:pPr>
              <w:spacing w:line="240" w:lineRule="auto"/>
              <w:ind w:firstLine="220" w:firstLineChars="100"/>
              <w:rPr>
                <w:rFonts w:hint="eastAsia" w:ascii="宋体" w:hAnsi="宋体" w:eastAsia="宋体" w:cs="宋体"/>
                <w:color w:val="auto"/>
                <w:sz w:val="22"/>
                <w:szCs w:val="22"/>
                <w:highlight w:val="none"/>
                <w:lang w:val="en-US" w:eastAsia="zh-CN"/>
              </w:rPr>
            </w:pPr>
          </w:p>
        </w:tc>
      </w:tr>
      <w:tr w14:paraId="7CA14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540" w:type="dxa"/>
            <w:vMerge w:val="restart"/>
            <w:noWrap w:val="0"/>
            <w:vAlign w:val="center"/>
          </w:tcPr>
          <w:p w14:paraId="4162DCBD">
            <w:pPr>
              <w:spacing w:line="240" w:lineRule="auto"/>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2</w:t>
            </w:r>
          </w:p>
        </w:tc>
        <w:tc>
          <w:tcPr>
            <w:tcW w:w="1012" w:type="dxa"/>
            <w:vMerge w:val="restart"/>
            <w:noWrap w:val="0"/>
            <w:vAlign w:val="center"/>
          </w:tcPr>
          <w:p w14:paraId="049DCED9">
            <w:pPr>
              <w:spacing w:line="240" w:lineRule="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技术部分（</w:t>
            </w:r>
            <w:r>
              <w:rPr>
                <w:rFonts w:hint="eastAsia" w:ascii="宋体" w:hAnsi="宋体" w:cs="宋体"/>
                <w:color w:val="auto"/>
                <w:sz w:val="22"/>
                <w:szCs w:val="22"/>
                <w:highlight w:val="none"/>
                <w:lang w:val="en-US" w:eastAsia="zh-CN"/>
              </w:rPr>
              <w:t>4</w:t>
            </w:r>
            <w:r>
              <w:rPr>
                <w:rFonts w:hint="eastAsia" w:ascii="宋体" w:hAnsi="宋体" w:eastAsia="宋体" w:cs="宋体"/>
                <w:color w:val="auto"/>
                <w:sz w:val="22"/>
                <w:szCs w:val="22"/>
                <w:highlight w:val="none"/>
                <w:lang w:val="en-US" w:eastAsia="zh-CN"/>
              </w:rPr>
              <w:t>0%）</w:t>
            </w:r>
          </w:p>
        </w:tc>
        <w:tc>
          <w:tcPr>
            <w:tcW w:w="1000" w:type="dxa"/>
            <w:noWrap w:val="0"/>
            <w:vAlign w:val="center"/>
          </w:tcPr>
          <w:p w14:paraId="4CA0E96B">
            <w:pPr>
              <w:spacing w:line="240" w:lineRule="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实施方案（10%）</w:t>
            </w:r>
          </w:p>
        </w:tc>
        <w:tc>
          <w:tcPr>
            <w:tcW w:w="683" w:type="dxa"/>
            <w:noWrap w:val="0"/>
            <w:vAlign w:val="center"/>
          </w:tcPr>
          <w:p w14:paraId="0BA5BD87">
            <w:pPr>
              <w:spacing w:line="240" w:lineRule="auto"/>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10</w:t>
            </w:r>
          </w:p>
        </w:tc>
        <w:tc>
          <w:tcPr>
            <w:tcW w:w="5839" w:type="dxa"/>
            <w:noWrap w:val="0"/>
            <w:vAlign w:val="center"/>
          </w:tcPr>
          <w:p w14:paraId="67F6796E">
            <w:pPr>
              <w:spacing w:line="240" w:lineRule="auto"/>
              <w:ind w:firstLine="220" w:firstLineChars="100"/>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提供项目实施方案，包括不限于项目实施重点、难点分析及主要对策，施工程序、方法、工艺和技术保证措施。</w:t>
            </w:r>
          </w:p>
          <w:p w14:paraId="173B3C4A">
            <w:pPr>
              <w:spacing w:line="240" w:lineRule="auto"/>
              <w:ind w:firstLine="220" w:firstLineChars="100"/>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方案内容不存在瑕疵，得10分；方案内容存在1处瑕疵，得7分；方案内容存在2处瑕疵得4分；方案内容存在3 处及以上瑕疵得 1分；未提供方案得 0分。</w:t>
            </w:r>
          </w:p>
        </w:tc>
        <w:tc>
          <w:tcPr>
            <w:tcW w:w="904" w:type="dxa"/>
            <w:noWrap w:val="0"/>
            <w:vAlign w:val="center"/>
          </w:tcPr>
          <w:p w14:paraId="4FE4C277">
            <w:pPr>
              <w:spacing w:line="240" w:lineRule="auto"/>
              <w:ind w:firstLine="220" w:firstLineChars="100"/>
              <w:rPr>
                <w:rFonts w:hint="eastAsia" w:ascii="宋体" w:hAnsi="宋体" w:eastAsia="宋体" w:cs="宋体"/>
                <w:color w:val="auto"/>
                <w:sz w:val="22"/>
                <w:szCs w:val="22"/>
                <w:highlight w:val="none"/>
                <w:lang w:val="en-US" w:eastAsia="zh-CN"/>
              </w:rPr>
            </w:pPr>
          </w:p>
        </w:tc>
      </w:tr>
      <w:tr w14:paraId="11669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0" w:hRule="atLeast"/>
        </w:trPr>
        <w:tc>
          <w:tcPr>
            <w:tcW w:w="540" w:type="dxa"/>
            <w:vMerge w:val="continue"/>
            <w:noWrap w:val="0"/>
            <w:vAlign w:val="center"/>
          </w:tcPr>
          <w:p w14:paraId="72D02473">
            <w:pPr>
              <w:spacing w:line="240" w:lineRule="auto"/>
              <w:ind w:firstLine="220" w:firstLineChars="100"/>
              <w:rPr>
                <w:rFonts w:hint="eastAsia" w:ascii="宋体" w:hAnsi="宋体" w:eastAsia="宋体" w:cs="宋体"/>
                <w:color w:val="auto"/>
                <w:sz w:val="22"/>
                <w:szCs w:val="22"/>
                <w:highlight w:val="none"/>
                <w:lang w:val="en-US" w:eastAsia="zh-CN"/>
              </w:rPr>
            </w:pPr>
          </w:p>
        </w:tc>
        <w:tc>
          <w:tcPr>
            <w:tcW w:w="1012" w:type="dxa"/>
            <w:vMerge w:val="continue"/>
            <w:noWrap w:val="0"/>
            <w:vAlign w:val="center"/>
          </w:tcPr>
          <w:p w14:paraId="6704D586">
            <w:pPr>
              <w:spacing w:line="240" w:lineRule="auto"/>
              <w:ind w:firstLine="220" w:firstLineChars="100"/>
              <w:rPr>
                <w:rFonts w:hint="eastAsia" w:ascii="宋体" w:hAnsi="宋体" w:eastAsia="宋体" w:cs="宋体"/>
                <w:color w:val="auto"/>
                <w:sz w:val="22"/>
                <w:szCs w:val="22"/>
                <w:highlight w:val="none"/>
                <w:lang w:val="en-US" w:eastAsia="zh-CN"/>
              </w:rPr>
            </w:pPr>
          </w:p>
        </w:tc>
        <w:tc>
          <w:tcPr>
            <w:tcW w:w="1000" w:type="dxa"/>
            <w:noWrap w:val="0"/>
            <w:vAlign w:val="center"/>
          </w:tcPr>
          <w:p w14:paraId="51D96C3C">
            <w:pPr>
              <w:spacing w:line="240" w:lineRule="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质量管理体系（10%）</w:t>
            </w:r>
          </w:p>
        </w:tc>
        <w:tc>
          <w:tcPr>
            <w:tcW w:w="683" w:type="dxa"/>
            <w:noWrap w:val="0"/>
            <w:vAlign w:val="center"/>
          </w:tcPr>
          <w:p w14:paraId="4359CE09">
            <w:pPr>
              <w:spacing w:line="240" w:lineRule="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10</w:t>
            </w:r>
          </w:p>
        </w:tc>
        <w:tc>
          <w:tcPr>
            <w:tcW w:w="5839" w:type="dxa"/>
            <w:noWrap w:val="0"/>
            <w:vAlign w:val="center"/>
          </w:tcPr>
          <w:p w14:paraId="200B376F">
            <w:pPr>
              <w:spacing w:line="240" w:lineRule="auto"/>
              <w:ind w:firstLine="220" w:firstLineChars="100"/>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质量标准响应采购文件要求，质量管理体系健全有效、保证措施具有针对性。</w:t>
            </w:r>
          </w:p>
          <w:p w14:paraId="08D98CFA">
            <w:pPr>
              <w:spacing w:line="240" w:lineRule="auto"/>
              <w:ind w:firstLine="220" w:firstLineChars="100"/>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方案内容不存在瑕疵，得10分；方案内容存在1处瑕疵，得7分；方案内容存在2处瑕疵得4分；方案内容存在3 处及以上瑕疵得 1分；未提供方案得 0分。</w:t>
            </w:r>
          </w:p>
        </w:tc>
        <w:tc>
          <w:tcPr>
            <w:tcW w:w="904" w:type="dxa"/>
            <w:noWrap w:val="0"/>
            <w:vAlign w:val="center"/>
          </w:tcPr>
          <w:p w14:paraId="02FA9D7B">
            <w:pPr>
              <w:spacing w:line="240" w:lineRule="auto"/>
              <w:ind w:firstLine="220" w:firstLineChars="100"/>
              <w:rPr>
                <w:rFonts w:hint="eastAsia" w:ascii="宋体" w:hAnsi="宋体" w:eastAsia="宋体" w:cs="宋体"/>
                <w:color w:val="auto"/>
                <w:sz w:val="22"/>
                <w:szCs w:val="22"/>
                <w:highlight w:val="none"/>
                <w:lang w:val="en-US" w:eastAsia="zh-CN"/>
              </w:rPr>
            </w:pPr>
          </w:p>
        </w:tc>
      </w:tr>
      <w:tr w14:paraId="35B9A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7" w:hRule="atLeast"/>
        </w:trPr>
        <w:tc>
          <w:tcPr>
            <w:tcW w:w="540" w:type="dxa"/>
            <w:vMerge w:val="continue"/>
            <w:noWrap w:val="0"/>
            <w:vAlign w:val="center"/>
          </w:tcPr>
          <w:p w14:paraId="796BDDF7">
            <w:pPr>
              <w:spacing w:line="240" w:lineRule="auto"/>
              <w:ind w:firstLine="220" w:firstLineChars="100"/>
              <w:rPr>
                <w:rFonts w:hint="eastAsia" w:ascii="宋体" w:hAnsi="宋体" w:eastAsia="宋体" w:cs="宋体"/>
                <w:color w:val="auto"/>
                <w:sz w:val="22"/>
                <w:szCs w:val="22"/>
                <w:highlight w:val="none"/>
                <w:lang w:val="en-US" w:eastAsia="zh-CN"/>
              </w:rPr>
            </w:pPr>
          </w:p>
        </w:tc>
        <w:tc>
          <w:tcPr>
            <w:tcW w:w="1012" w:type="dxa"/>
            <w:vMerge w:val="continue"/>
            <w:noWrap w:val="0"/>
            <w:vAlign w:val="center"/>
          </w:tcPr>
          <w:p w14:paraId="3D80FAE4">
            <w:pPr>
              <w:spacing w:line="240" w:lineRule="auto"/>
              <w:ind w:firstLine="220" w:firstLineChars="100"/>
              <w:rPr>
                <w:rFonts w:hint="eastAsia" w:ascii="宋体" w:hAnsi="宋体" w:eastAsia="宋体" w:cs="宋体"/>
                <w:color w:val="auto"/>
                <w:sz w:val="22"/>
                <w:szCs w:val="22"/>
                <w:highlight w:val="none"/>
                <w:lang w:val="en-US" w:eastAsia="zh-CN"/>
              </w:rPr>
            </w:pPr>
          </w:p>
        </w:tc>
        <w:tc>
          <w:tcPr>
            <w:tcW w:w="1000" w:type="dxa"/>
            <w:noWrap w:val="0"/>
            <w:vAlign w:val="center"/>
          </w:tcPr>
          <w:p w14:paraId="530F8929">
            <w:pPr>
              <w:spacing w:line="240" w:lineRule="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安全管理体系（10%）</w:t>
            </w:r>
          </w:p>
        </w:tc>
        <w:tc>
          <w:tcPr>
            <w:tcW w:w="683" w:type="dxa"/>
            <w:noWrap w:val="0"/>
            <w:vAlign w:val="center"/>
          </w:tcPr>
          <w:p w14:paraId="673A4787">
            <w:pPr>
              <w:spacing w:line="240" w:lineRule="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10</w:t>
            </w:r>
          </w:p>
        </w:tc>
        <w:tc>
          <w:tcPr>
            <w:tcW w:w="5839" w:type="dxa"/>
            <w:noWrap w:val="0"/>
            <w:vAlign w:val="center"/>
          </w:tcPr>
          <w:p w14:paraId="0BE89301">
            <w:pPr>
              <w:spacing w:line="240" w:lineRule="auto"/>
              <w:ind w:firstLine="220" w:firstLineChars="100"/>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安全管理体系健全有效，施工安全专项方案及安全管理保证措施具有针对性、文明施工和防止扰民措施是否得当、针对本项目困难点做详细概述。</w:t>
            </w:r>
          </w:p>
          <w:p w14:paraId="7855F348">
            <w:pPr>
              <w:spacing w:line="240" w:lineRule="auto"/>
              <w:ind w:firstLine="220" w:firstLineChars="100"/>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方案内容不存在瑕疵，得10分；方案内容存在1处瑕疵，得7分；方案内容存在2处瑕疵得4分；方案内容存在3 处及以上瑕疵得 1分；未提供方案得 0分。</w:t>
            </w:r>
          </w:p>
        </w:tc>
        <w:tc>
          <w:tcPr>
            <w:tcW w:w="904" w:type="dxa"/>
            <w:noWrap w:val="0"/>
            <w:vAlign w:val="center"/>
          </w:tcPr>
          <w:p w14:paraId="43DBA659">
            <w:pPr>
              <w:spacing w:line="240" w:lineRule="auto"/>
              <w:ind w:firstLine="220" w:firstLineChars="100"/>
              <w:rPr>
                <w:rFonts w:hint="eastAsia" w:ascii="宋体" w:hAnsi="宋体" w:eastAsia="宋体" w:cs="宋体"/>
                <w:color w:val="auto"/>
                <w:sz w:val="22"/>
                <w:szCs w:val="22"/>
                <w:highlight w:val="none"/>
                <w:lang w:val="en-US" w:eastAsia="zh-CN"/>
              </w:rPr>
            </w:pPr>
          </w:p>
        </w:tc>
      </w:tr>
      <w:tr w14:paraId="69655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2" w:hRule="atLeast"/>
        </w:trPr>
        <w:tc>
          <w:tcPr>
            <w:tcW w:w="540" w:type="dxa"/>
            <w:vMerge w:val="continue"/>
            <w:noWrap w:val="0"/>
            <w:vAlign w:val="center"/>
          </w:tcPr>
          <w:p w14:paraId="43483820">
            <w:pPr>
              <w:spacing w:line="240" w:lineRule="auto"/>
              <w:ind w:firstLine="220" w:firstLineChars="100"/>
              <w:rPr>
                <w:rFonts w:hint="eastAsia" w:ascii="宋体" w:hAnsi="宋体" w:eastAsia="宋体" w:cs="宋体"/>
                <w:color w:val="auto"/>
                <w:sz w:val="22"/>
                <w:szCs w:val="22"/>
                <w:highlight w:val="none"/>
                <w:lang w:val="en-US" w:eastAsia="zh-CN"/>
              </w:rPr>
            </w:pPr>
          </w:p>
        </w:tc>
        <w:tc>
          <w:tcPr>
            <w:tcW w:w="1012" w:type="dxa"/>
            <w:vMerge w:val="continue"/>
            <w:noWrap w:val="0"/>
            <w:vAlign w:val="center"/>
          </w:tcPr>
          <w:p w14:paraId="252921A5">
            <w:pPr>
              <w:spacing w:line="240" w:lineRule="auto"/>
              <w:ind w:firstLine="220" w:firstLineChars="100"/>
              <w:rPr>
                <w:rFonts w:hint="eastAsia" w:ascii="宋体" w:hAnsi="宋体" w:eastAsia="宋体" w:cs="宋体"/>
                <w:color w:val="auto"/>
                <w:sz w:val="22"/>
                <w:szCs w:val="22"/>
                <w:highlight w:val="none"/>
                <w:lang w:val="en-US" w:eastAsia="zh-CN"/>
              </w:rPr>
            </w:pPr>
          </w:p>
        </w:tc>
        <w:tc>
          <w:tcPr>
            <w:tcW w:w="1000" w:type="dxa"/>
            <w:noWrap w:val="0"/>
            <w:vAlign w:val="center"/>
          </w:tcPr>
          <w:p w14:paraId="7A81A734">
            <w:pPr>
              <w:spacing w:line="240" w:lineRule="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实施进度（10%）</w:t>
            </w:r>
          </w:p>
        </w:tc>
        <w:tc>
          <w:tcPr>
            <w:tcW w:w="683" w:type="dxa"/>
            <w:noWrap w:val="0"/>
            <w:vAlign w:val="center"/>
          </w:tcPr>
          <w:p w14:paraId="577D1EF2">
            <w:pPr>
              <w:spacing w:line="240" w:lineRule="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10</w:t>
            </w:r>
          </w:p>
        </w:tc>
        <w:tc>
          <w:tcPr>
            <w:tcW w:w="5839" w:type="dxa"/>
            <w:noWrap w:val="0"/>
            <w:vAlign w:val="center"/>
          </w:tcPr>
          <w:p w14:paraId="014FAA1A">
            <w:pPr>
              <w:spacing w:line="240" w:lineRule="auto"/>
              <w:ind w:firstLine="220" w:firstLineChars="100"/>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进度安排满足项目进度要求，工期安排合理可行。</w:t>
            </w:r>
          </w:p>
          <w:p w14:paraId="0AC73E74">
            <w:pPr>
              <w:spacing w:line="240" w:lineRule="auto"/>
              <w:ind w:firstLine="220" w:firstLineChars="100"/>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方案内容不存在瑕疵，得10分；方案内容存在1处瑕疵，得7分；方案内容存在2处瑕疵得4分；方案内容存在3 处及以上瑕疵得 1分；未提供方案得 0分。</w:t>
            </w:r>
          </w:p>
        </w:tc>
        <w:tc>
          <w:tcPr>
            <w:tcW w:w="904" w:type="dxa"/>
            <w:noWrap w:val="0"/>
            <w:vAlign w:val="center"/>
          </w:tcPr>
          <w:p w14:paraId="12B76E27">
            <w:pPr>
              <w:spacing w:line="240" w:lineRule="auto"/>
              <w:ind w:firstLine="220" w:firstLineChars="100"/>
              <w:rPr>
                <w:rFonts w:hint="eastAsia" w:ascii="宋体" w:hAnsi="宋体" w:eastAsia="宋体" w:cs="宋体"/>
                <w:color w:val="auto"/>
                <w:sz w:val="22"/>
                <w:szCs w:val="22"/>
                <w:highlight w:val="none"/>
                <w:lang w:val="en-US" w:eastAsia="zh-CN"/>
              </w:rPr>
            </w:pPr>
          </w:p>
        </w:tc>
      </w:tr>
    </w:tbl>
    <w:p w14:paraId="78E4DF44">
      <w:pPr>
        <w:spacing w:line="360" w:lineRule="auto"/>
        <w:ind w:firstLine="480" w:firstLineChars="200"/>
        <w:rPr>
          <w:rFonts w:hint="eastAsia" w:ascii="宋体" w:hAnsi="宋体" w:eastAsia="宋体" w:cs="宋体"/>
          <w:color w:val="auto"/>
          <w:kern w:val="0"/>
          <w:sz w:val="24"/>
          <w:szCs w:val="24"/>
          <w:highlight w:val="none"/>
        </w:rPr>
      </w:pPr>
    </w:p>
    <w:p w14:paraId="77083583">
      <w:pPr>
        <w:pStyle w:val="4"/>
        <w:adjustRightInd w:val="0"/>
        <w:snapToGrid w:val="0"/>
        <w:spacing w:before="0" w:after="0"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四</w:t>
      </w:r>
      <w:r>
        <w:rPr>
          <w:rFonts w:hint="eastAsia" w:ascii="宋体" w:hAnsi="宋体" w:eastAsia="宋体" w:cs="宋体"/>
          <w:color w:val="auto"/>
          <w:sz w:val="24"/>
          <w:highlight w:val="none"/>
        </w:rPr>
        <w:t>、无效响应</w:t>
      </w:r>
      <w:bookmarkEnd w:id="68"/>
      <w:bookmarkEnd w:id="69"/>
    </w:p>
    <w:p w14:paraId="16FB21C1">
      <w:pPr>
        <w:snapToGrid w:val="0"/>
        <w:spacing w:line="360" w:lineRule="auto"/>
        <w:ind w:firstLine="4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发生以下条款情况之一者，视为响应无效，其响应文件将被拒绝：</w:t>
      </w:r>
    </w:p>
    <w:p w14:paraId="2280E0C5">
      <w:pPr>
        <w:snapToGrid w:val="0"/>
        <w:spacing w:line="360" w:lineRule="auto"/>
        <w:ind w:firstLine="4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不符合规定的基本资格条件或特定资格条件的；</w:t>
      </w:r>
    </w:p>
    <w:p w14:paraId="3FC57361">
      <w:pPr>
        <w:snapToGrid w:val="0"/>
        <w:spacing w:line="360" w:lineRule="auto"/>
        <w:ind w:firstLine="4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所提交的响应文件不按第七篇“响应文件编制要求”规定签字、盖章；</w:t>
      </w:r>
    </w:p>
    <w:p w14:paraId="37FAACA5">
      <w:pPr>
        <w:snapToGrid w:val="0"/>
        <w:spacing w:line="360" w:lineRule="auto"/>
        <w:ind w:firstLine="4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的报价超过采购预算或总价最高限价或单价最高限价的；</w:t>
      </w:r>
    </w:p>
    <w:p w14:paraId="2133100D">
      <w:pPr>
        <w:snapToGrid w:val="0"/>
        <w:spacing w:line="360" w:lineRule="auto"/>
        <w:ind w:firstLine="4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（四）法定代表人为同一个人的两个及两个以上法人，母公司、全资子公司及其控股公司，在同一分包采购中同时参与网上竞采；</w:t>
      </w:r>
    </w:p>
    <w:p w14:paraId="5D407746">
      <w:pPr>
        <w:snapToGrid w:val="0"/>
        <w:spacing w:line="360" w:lineRule="auto"/>
        <w:ind w:firstLine="4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的平台报价与上传的网上电子响应文件报价函中的报价不一致的；</w:t>
      </w:r>
    </w:p>
    <w:p w14:paraId="31303FD4">
      <w:pPr>
        <w:snapToGrid w:val="0"/>
        <w:spacing w:line="360" w:lineRule="auto"/>
        <w:ind w:firstLine="4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（七）单位负责人为同一人或者存在直接控股、管理关系的不同</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，参加同一合同项下的采购活动的；</w:t>
      </w:r>
    </w:p>
    <w:p w14:paraId="5DC54C2C">
      <w:pPr>
        <w:snapToGrid w:val="0"/>
        <w:spacing w:line="360" w:lineRule="auto"/>
        <w:ind w:firstLine="4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（八）为采购项目提供整体设计、规范编制或者项目管理、监理、检测等服务的</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，再参加该采购项目的其他采购活动；</w:t>
      </w:r>
    </w:p>
    <w:p w14:paraId="05A1B5A1">
      <w:pPr>
        <w:snapToGrid w:val="0"/>
        <w:spacing w:line="360" w:lineRule="auto"/>
        <w:ind w:firstLine="4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（九）</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的服务期、质量保证期及网上竞采有效期不满足网上竞采文件要求的；</w:t>
      </w:r>
    </w:p>
    <w:p w14:paraId="2F31E400">
      <w:pPr>
        <w:snapToGrid w:val="0"/>
        <w:spacing w:line="360" w:lineRule="auto"/>
        <w:ind w:firstLine="4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（十）</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响应文件内容有与国家现行法律法规相违背的内容，或附有采购人无法接受的条件。</w:t>
      </w:r>
    </w:p>
    <w:p w14:paraId="3D623A80">
      <w:pPr>
        <w:snapToGrid w:val="0"/>
        <w:spacing w:line="360" w:lineRule="auto"/>
        <w:ind w:firstLine="4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（十一）</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被列入失信被执行人、税收违法黑名单、政府采购严重违法失信行为记录名单及其他不符合《中华人民共和国政府采购法》第二十二条规定条件的。</w:t>
      </w:r>
    </w:p>
    <w:p w14:paraId="5F659271">
      <w:pPr>
        <w:snapToGrid w:val="0"/>
        <w:spacing w:line="400" w:lineRule="exact"/>
        <w:ind w:firstLine="4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采购人、采购代理机构将通过“信用中国”网站（www.creditchina.gov.cn)、中国政府采购网（www.ccgp.gov.cn）等渠道查询</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信用记录，对列入失信被执行人、税收违法黑名单、政府采购严重违法失信行为记录名单及其他不符合《中华人民共和国政府采购法》第二十二条规定条件的</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，应当拒绝其参与政府采购活动。</w:t>
      </w:r>
    </w:p>
    <w:p w14:paraId="5613DD31">
      <w:pPr>
        <w:pStyle w:val="4"/>
        <w:adjustRightInd w:val="0"/>
        <w:snapToGrid w:val="0"/>
        <w:spacing w:before="0" w:after="0" w:line="400" w:lineRule="exact"/>
        <w:ind w:firstLine="482" w:firstLineChars="200"/>
        <w:rPr>
          <w:rFonts w:hint="eastAsia" w:ascii="宋体" w:hAnsi="宋体" w:eastAsia="宋体" w:cs="宋体"/>
          <w:color w:val="auto"/>
          <w:sz w:val="24"/>
          <w:highlight w:val="none"/>
        </w:rPr>
      </w:pPr>
      <w:bookmarkStart w:id="71" w:name="_Toc4203"/>
      <w:bookmarkStart w:id="72" w:name="_Toc76462336"/>
      <w:r>
        <w:rPr>
          <w:rFonts w:hint="eastAsia" w:ascii="宋体" w:hAnsi="宋体" w:eastAsia="宋体" w:cs="宋体"/>
          <w:color w:val="auto"/>
          <w:sz w:val="24"/>
          <w:highlight w:val="none"/>
          <w:lang w:eastAsia="zh-CN"/>
        </w:rPr>
        <w:t>五</w:t>
      </w:r>
      <w:r>
        <w:rPr>
          <w:rFonts w:hint="eastAsia" w:ascii="宋体" w:hAnsi="宋体" w:eastAsia="宋体" w:cs="宋体"/>
          <w:color w:val="auto"/>
          <w:sz w:val="24"/>
          <w:highlight w:val="none"/>
        </w:rPr>
        <w:t>、采购终止</w:t>
      </w:r>
      <w:bookmarkEnd w:id="71"/>
      <w:bookmarkEnd w:id="72"/>
    </w:p>
    <w:p w14:paraId="4458CA31">
      <w:pPr>
        <w:snapToGrid w:val="0"/>
        <w:spacing w:line="360" w:lineRule="auto"/>
        <w:ind w:firstLine="4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出现下列情形之一的，采购人或者采购代理机构应当终止网上竞采活动，发布项目终止公告并说明原因，重新开展采购活动：</w:t>
      </w:r>
    </w:p>
    <w:p w14:paraId="532211BF">
      <w:pPr>
        <w:snapToGrid w:val="0"/>
        <w:spacing w:line="360" w:lineRule="auto"/>
        <w:ind w:firstLine="4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（一）因情况变化，不再符合规定的网上竞采采购方式适用情形的；</w:t>
      </w:r>
    </w:p>
    <w:p w14:paraId="440EF447">
      <w:pPr>
        <w:snapToGrid w:val="0"/>
        <w:spacing w:line="360" w:lineRule="auto"/>
        <w:ind w:firstLine="4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（二）出现影响采购公正的违法、违规行为的；</w:t>
      </w:r>
    </w:p>
    <w:p w14:paraId="76492F70">
      <w:pPr>
        <w:snapToGrid w:val="0"/>
        <w:spacing w:line="360" w:lineRule="auto"/>
        <w:ind w:firstLine="46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（三）通过资格性审查及符合性审查的</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不足</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家的，终止本次采购活动，并发布终止采购活动公告。</w:t>
      </w:r>
    </w:p>
    <w:p w14:paraId="68257CCC">
      <w:pPr>
        <w:snapToGrid w:val="0"/>
        <w:spacing w:line="360" w:lineRule="auto"/>
        <w:ind w:firstLine="465"/>
        <w:jc w:val="left"/>
        <w:rPr>
          <w:rFonts w:hint="eastAsia" w:ascii="宋体" w:hAnsi="宋体" w:eastAsia="宋体" w:cs="宋体"/>
          <w:color w:val="auto"/>
          <w:sz w:val="24"/>
          <w:szCs w:val="24"/>
          <w:highlight w:val="none"/>
        </w:rPr>
      </w:pPr>
    </w:p>
    <w:p w14:paraId="45D3723C">
      <w:pPr>
        <w:pStyle w:val="4"/>
        <w:pageBreakBefore/>
        <w:spacing w:before="0" w:after="0" w:line="360" w:lineRule="auto"/>
        <w:jc w:val="center"/>
        <w:rPr>
          <w:rFonts w:hint="eastAsia" w:ascii="宋体" w:hAnsi="宋体" w:eastAsia="宋体" w:cs="宋体"/>
          <w:bCs/>
          <w:color w:val="auto"/>
          <w:spacing w:val="-11"/>
          <w:sz w:val="36"/>
          <w:szCs w:val="30"/>
          <w:highlight w:val="none"/>
        </w:rPr>
      </w:pPr>
      <w:bookmarkStart w:id="73" w:name="_Toc13753"/>
      <w:r>
        <w:rPr>
          <w:rFonts w:hint="eastAsia" w:ascii="宋体" w:hAnsi="宋体" w:eastAsia="宋体" w:cs="宋体"/>
          <w:bCs/>
          <w:color w:val="auto"/>
          <w:spacing w:val="-11"/>
          <w:sz w:val="36"/>
          <w:szCs w:val="30"/>
          <w:highlight w:val="none"/>
        </w:rPr>
        <w:t>第五篇供应商须知</w:t>
      </w:r>
      <w:bookmarkEnd w:id="70"/>
      <w:bookmarkEnd w:id="73"/>
    </w:p>
    <w:p w14:paraId="4A7001EF">
      <w:pPr>
        <w:pStyle w:val="5"/>
        <w:spacing w:before="0" w:after="0" w:line="360" w:lineRule="auto"/>
        <w:rPr>
          <w:rFonts w:hint="eastAsia" w:ascii="宋体" w:hAnsi="宋体" w:eastAsia="宋体" w:cs="宋体"/>
          <w:color w:val="auto"/>
          <w:sz w:val="24"/>
          <w:szCs w:val="24"/>
          <w:highlight w:val="none"/>
        </w:rPr>
      </w:pPr>
      <w:bookmarkStart w:id="74" w:name="_Toc26510"/>
      <w:bookmarkStart w:id="75" w:name="_Toc342913389"/>
      <w:bookmarkStart w:id="76" w:name="_Toc8105"/>
      <w:bookmarkStart w:id="77" w:name="_Toc11641055"/>
      <w:bookmarkStart w:id="78" w:name="_Toc12789059"/>
      <w:r>
        <w:rPr>
          <w:rFonts w:hint="eastAsia" w:ascii="宋体" w:hAnsi="宋体" w:eastAsia="宋体" w:cs="宋体"/>
          <w:color w:val="auto"/>
          <w:sz w:val="24"/>
          <w:szCs w:val="24"/>
          <w:highlight w:val="none"/>
        </w:rPr>
        <w:t>一、网上竞采费用</w:t>
      </w:r>
      <w:bookmarkEnd w:id="74"/>
      <w:bookmarkEnd w:id="75"/>
      <w:bookmarkEnd w:id="76"/>
    </w:p>
    <w:p w14:paraId="7C881F41">
      <w:pPr>
        <w:pStyle w:val="267"/>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参与网上竞采的投标供应商应承担其编制响应文件与递交响应文件所涉及的一切费用，不论网上竞采结果如何，采购人和采购代理机构在任何情况下无义务也无责任承担这些费用。</w:t>
      </w:r>
    </w:p>
    <w:p w14:paraId="2BF6736A">
      <w:pPr>
        <w:pStyle w:val="5"/>
        <w:tabs>
          <w:tab w:val="left" w:pos="2640"/>
        </w:tabs>
        <w:spacing w:before="0" w:after="0" w:line="360" w:lineRule="auto"/>
        <w:rPr>
          <w:rFonts w:hint="eastAsia" w:ascii="宋体" w:hAnsi="宋体" w:eastAsia="宋体" w:cs="宋体"/>
          <w:color w:val="auto"/>
          <w:sz w:val="24"/>
          <w:szCs w:val="24"/>
          <w:highlight w:val="none"/>
        </w:rPr>
      </w:pPr>
      <w:bookmarkStart w:id="79" w:name="_Toc21089"/>
      <w:bookmarkStart w:id="80" w:name="_Toc342913391"/>
      <w:bookmarkStart w:id="81" w:name="_Toc4870"/>
      <w:r>
        <w:rPr>
          <w:rFonts w:hint="eastAsia" w:ascii="宋体" w:hAnsi="宋体" w:eastAsia="宋体" w:cs="宋体"/>
          <w:color w:val="auto"/>
          <w:sz w:val="24"/>
          <w:szCs w:val="24"/>
          <w:highlight w:val="none"/>
        </w:rPr>
        <w:t>二、网上竞采文件</w:t>
      </w:r>
      <w:bookmarkEnd w:id="79"/>
      <w:bookmarkEnd w:id="80"/>
      <w:bookmarkEnd w:id="81"/>
    </w:p>
    <w:p w14:paraId="7672935E">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（一）网上竞采文件由采购邀请书、采购项目技术需求、采购项目商务需求、网上竞采程序及方法、评审标准、响应无效和采购终止、投标供应商须知</w:t>
      </w:r>
      <w:r>
        <w:rPr>
          <w:rFonts w:hint="eastAsia" w:ascii="宋体" w:hAnsi="宋体" w:eastAsia="宋体" w:cs="宋体"/>
          <w:b/>
          <w:color w:val="auto"/>
          <w:sz w:val="24"/>
          <w:szCs w:val="24"/>
          <w:highlight w:val="none"/>
        </w:rPr>
        <w:t>、</w:t>
      </w:r>
      <w:r>
        <w:rPr>
          <w:rFonts w:hint="eastAsia" w:ascii="宋体" w:hAnsi="宋体" w:eastAsia="宋体" w:cs="宋体"/>
          <w:color w:val="auto"/>
          <w:sz w:val="24"/>
          <w:szCs w:val="24"/>
          <w:highlight w:val="none"/>
        </w:rPr>
        <w:t>合同主要条款和格式合同</w:t>
      </w:r>
      <w:r>
        <w:rPr>
          <w:rFonts w:hint="eastAsia" w:ascii="宋体" w:hAnsi="宋体" w:eastAsia="宋体" w:cs="宋体"/>
          <w:b/>
          <w:color w:val="auto"/>
          <w:sz w:val="24"/>
          <w:szCs w:val="24"/>
          <w:highlight w:val="none"/>
        </w:rPr>
        <w:t>、</w:t>
      </w:r>
      <w:r>
        <w:rPr>
          <w:rFonts w:hint="eastAsia" w:ascii="宋体" w:hAnsi="宋体" w:eastAsia="宋体" w:cs="宋体"/>
          <w:color w:val="auto"/>
          <w:sz w:val="24"/>
          <w:szCs w:val="24"/>
          <w:highlight w:val="none"/>
        </w:rPr>
        <w:t>响应文件编制要求七部分组成。</w:t>
      </w:r>
    </w:p>
    <w:p w14:paraId="71D244B7">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（二）采购人（或采购代理机构）所作的一切有效的书面通知、修改及补充，都是网上竞采文件不可分割的部分。</w:t>
      </w:r>
    </w:p>
    <w:p w14:paraId="15C1B6B7">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（三）网上竞采文件的解释</w:t>
      </w:r>
    </w:p>
    <w:p w14:paraId="6FAEE5D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供应商如对网上竞采文件有疑问，必须以书面形式在提交响应文件截止时间2个工作日前向采购人（或采购代理机构）要求澄清，采购人（或采购代理机构）可视具体情况做出处理或答复。如投标供应商未提出疑问，视为完全理解并同意本网上竞采文件。一经进入网上竞采程序，即视为投标供应商已详细阅读全部文件资料，完全理解网上竞采文件所有条款内容并同意放弃对这方面有不明白及误解的权利。</w:t>
      </w:r>
      <w:bookmarkStart w:id="82" w:name="_Toc318159780"/>
      <w:bookmarkStart w:id="83" w:name="_Toc318166429"/>
      <w:bookmarkStart w:id="84" w:name="_Toc318159160"/>
      <w:bookmarkStart w:id="85" w:name="_Toc318159349"/>
    </w:p>
    <w:p w14:paraId="2D548C7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（四）本网上竞采文件中，网上竞采小组根据与投标供应商进行网上竞采可能实质性变动的内容为网上竞采文件第二、三、四篇全部内容。</w:t>
      </w:r>
    </w:p>
    <w:p w14:paraId="6C4239D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（五）评审的依据为网上竞采文件和响应文件（含有效的书面承诺）。评审小组判断响应文件对网上竞采文件的响应，仅基于响应文件本身而不靠外部证据。</w:t>
      </w:r>
    </w:p>
    <w:bookmarkEnd w:id="82"/>
    <w:bookmarkEnd w:id="83"/>
    <w:bookmarkEnd w:id="84"/>
    <w:bookmarkEnd w:id="85"/>
    <w:p w14:paraId="27AB104A">
      <w:pPr>
        <w:pStyle w:val="5"/>
        <w:spacing w:before="0" w:after="0" w:line="360" w:lineRule="auto"/>
        <w:rPr>
          <w:rFonts w:hint="eastAsia" w:ascii="宋体" w:hAnsi="宋体" w:eastAsia="宋体" w:cs="宋体"/>
          <w:color w:val="auto"/>
          <w:sz w:val="24"/>
          <w:szCs w:val="24"/>
          <w:highlight w:val="none"/>
        </w:rPr>
      </w:pPr>
      <w:bookmarkStart w:id="86" w:name="_Toc16269"/>
      <w:bookmarkStart w:id="87" w:name="_Toc102227318"/>
      <w:bookmarkStart w:id="88" w:name="_Toc179714297"/>
      <w:bookmarkStart w:id="89" w:name="_Toc29912"/>
      <w:bookmarkStart w:id="90" w:name="_Toc342913392"/>
      <w:r>
        <w:rPr>
          <w:rFonts w:hint="eastAsia" w:ascii="宋体" w:hAnsi="宋体" w:eastAsia="宋体" w:cs="宋体"/>
          <w:color w:val="auto"/>
          <w:sz w:val="24"/>
          <w:szCs w:val="24"/>
          <w:highlight w:val="none"/>
        </w:rPr>
        <w:t>三、网上竞采要求</w:t>
      </w:r>
      <w:bookmarkEnd w:id="86"/>
      <w:bookmarkEnd w:id="87"/>
      <w:bookmarkEnd w:id="88"/>
      <w:bookmarkEnd w:id="89"/>
      <w:bookmarkEnd w:id="90"/>
    </w:p>
    <w:p w14:paraId="745F4E4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（一）响应文件</w:t>
      </w:r>
    </w:p>
    <w:p w14:paraId="7A259BB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1.投标供应商应当按照网上竞采文件的要求编制响应文件，并对网上竞采文件提出的要求和条件作出实质性响应，同时应编制完整的页码、目录。</w:t>
      </w:r>
    </w:p>
    <w:p w14:paraId="0275E86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2.响应文件组成</w:t>
      </w:r>
    </w:p>
    <w:p w14:paraId="6E4156B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文件由第七篇“响应文件编制要求”规定的部分和投标供应商所作的一切有效补充、修改和承诺等文件组成，投标供应商应按照第七篇“响应文件编制要求”规定的目录顺序组织编写和装订，也可在基本格式基础上对表格进行扩展，未规定格式的由投标供应商自定格式。</w:t>
      </w:r>
    </w:p>
    <w:p w14:paraId="62467E0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3.供应商须对所提供资料的真实性和准确性负责，一旦发现有弄虚作假的情况，按相应法律法规予以处罚。</w:t>
      </w:r>
    </w:p>
    <w:p w14:paraId="29B983C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（二）联合体</w:t>
      </w:r>
    </w:p>
    <w:p w14:paraId="154BF5CC">
      <w:p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本项目不接受联合体竞标。</w:t>
      </w:r>
    </w:p>
    <w:p w14:paraId="1359981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（三）网上竞采有效期：响应文件及有关承诺文件有效期为提交响应文件截止时间起90天。</w:t>
      </w:r>
    </w:p>
    <w:p w14:paraId="1191B52F">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（四）提交响应文件的份数和签署</w:t>
      </w:r>
    </w:p>
    <w:p w14:paraId="2B651C22">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须在平台报价并上传盖章后的响应文件电子文档一份，线下竞采时提供响应文件一式二份，其中正本一份，副本一份（网上电子文档内容应与纸质文件正本、副本一致，如不一致以纸质文件为准，副本可为正本的复印件。）</w:t>
      </w:r>
    </w:p>
    <w:p w14:paraId="3E61914A">
      <w:pPr>
        <w:snapToGrid w:val="0"/>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注：若供应商的平台报价与网上上传的响应文件电子文档报价函中的报价不一致，按响应无效处理。</w:t>
      </w:r>
    </w:p>
    <w:p w14:paraId="7C517C66">
      <w:pPr>
        <w:numPr>
          <w:ilvl w:val="0"/>
          <w:numId w:val="15"/>
        </w:num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在上传的网上电子文档中，网上竞采文件第七篇响应文件编制要求中规定签字、盖章的地方必须按其规定签字、盖章。</w:t>
      </w:r>
    </w:p>
    <w:p w14:paraId="4926F25F">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（五）响应文件的递交</w:t>
      </w:r>
    </w:p>
    <w:p w14:paraId="3BE4E5DF">
      <w:pPr>
        <w:snapToGrid w:val="0"/>
        <w:spacing w:line="360" w:lineRule="auto"/>
        <w:ind w:firstLine="482" w:firstLineChars="200"/>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供应商须在规定时间内完成线上和线下的响应文件提交，否则视为无效响应。</w:t>
      </w:r>
    </w:p>
    <w:p w14:paraId="288E2877">
      <w:pPr>
        <w:pStyle w:val="5"/>
        <w:spacing w:before="0" w:after="0" w:line="360" w:lineRule="auto"/>
        <w:rPr>
          <w:rFonts w:hint="eastAsia" w:ascii="宋体" w:hAnsi="宋体" w:eastAsia="宋体" w:cs="宋体"/>
          <w:color w:val="auto"/>
          <w:sz w:val="24"/>
          <w:szCs w:val="24"/>
          <w:highlight w:val="none"/>
        </w:rPr>
      </w:pPr>
      <w:bookmarkStart w:id="91" w:name="_Toc7456"/>
      <w:bookmarkStart w:id="92" w:name="_Toc9018"/>
      <w:r>
        <w:rPr>
          <w:rFonts w:hint="eastAsia" w:ascii="宋体" w:hAnsi="宋体" w:eastAsia="宋体" w:cs="宋体"/>
          <w:color w:val="auto"/>
          <w:sz w:val="24"/>
          <w:szCs w:val="24"/>
          <w:highlight w:val="none"/>
        </w:rPr>
        <w:t>四、成交供应商的确认和变更</w:t>
      </w:r>
      <w:bookmarkEnd w:id="91"/>
      <w:bookmarkEnd w:id="92"/>
    </w:p>
    <w:p w14:paraId="0E6B9C92">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（一）成交供应商的确认</w:t>
      </w:r>
    </w:p>
    <w:p w14:paraId="60B2FBA1">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代理机构应当在评审结束后2个工作日内将评审报告送采购人确认。采购人应当在收到评审报告后5个工作日内，从评审报告提出的成交候选供应商中，按照排序由高到低的原则确定成交供应商，也可以书面授权评审小组直接确定成交供应商。采购人逾期未确定成交供应商且不提出异议的，视为确定评审报告提出的排序第一的投标供应商为成交供应商。</w:t>
      </w:r>
    </w:p>
    <w:p w14:paraId="7DEE982D">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（二）成交供应商的变更</w:t>
      </w:r>
    </w:p>
    <w:p w14:paraId="28AE6A43">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成交供应商拒绝与采购人签订合同的，采购人可以按照评标报告推荐的成交候选供应商顺序，确定排名下一位的候选人为成交供应商，也可以重新开展采购活动。</w:t>
      </w:r>
    </w:p>
    <w:p w14:paraId="0FAABEEA">
      <w:pPr>
        <w:pStyle w:val="5"/>
        <w:spacing w:before="0" w:after="0" w:line="360" w:lineRule="auto"/>
        <w:rPr>
          <w:rFonts w:hint="eastAsia" w:ascii="宋体" w:hAnsi="宋体" w:eastAsia="宋体" w:cs="宋体"/>
          <w:color w:val="auto"/>
          <w:sz w:val="24"/>
          <w:szCs w:val="24"/>
          <w:highlight w:val="none"/>
        </w:rPr>
      </w:pPr>
      <w:bookmarkStart w:id="93" w:name="_Toc102227321"/>
      <w:bookmarkStart w:id="94" w:name="_Toc1297"/>
      <w:bookmarkStart w:id="95" w:name="_Toc342913395"/>
      <w:bookmarkStart w:id="96" w:name="_Toc3011"/>
      <w:r>
        <w:rPr>
          <w:rFonts w:hint="eastAsia" w:ascii="宋体" w:hAnsi="宋体" w:eastAsia="宋体" w:cs="宋体"/>
          <w:color w:val="auto"/>
          <w:sz w:val="24"/>
          <w:szCs w:val="24"/>
          <w:highlight w:val="none"/>
        </w:rPr>
        <w:t>五、成交通知</w:t>
      </w:r>
      <w:bookmarkEnd w:id="93"/>
      <w:bookmarkEnd w:id="94"/>
      <w:bookmarkEnd w:id="95"/>
      <w:bookmarkEnd w:id="96"/>
    </w:p>
    <w:p w14:paraId="75C7219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（一）成交供应商确定后，采购人或采购代理机构将在</w:t>
      </w:r>
      <w:r>
        <w:rPr>
          <w:rFonts w:hint="eastAsia" w:ascii="宋体" w:hAnsi="宋体" w:cs="宋体"/>
          <w:color w:val="auto"/>
          <w:sz w:val="24"/>
          <w:szCs w:val="24"/>
          <w:highlight w:val="none"/>
          <w:lang w:eastAsia="zh-CN"/>
        </w:rPr>
        <w:t>秀山县小额交易管理平台竞采大厅（https://cqxs-mall.gec123.com/）</w:t>
      </w:r>
      <w:r>
        <w:rPr>
          <w:rFonts w:hint="eastAsia" w:ascii="宋体" w:hAnsi="宋体" w:eastAsia="宋体" w:cs="宋体"/>
          <w:color w:val="auto"/>
          <w:sz w:val="24"/>
          <w:szCs w:val="24"/>
          <w:highlight w:val="none"/>
        </w:rPr>
        <w:t>上发布成交结果公告。</w:t>
      </w:r>
    </w:p>
    <w:p w14:paraId="796BAEE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（二）结果公告发出同时，采购代理机构将以书面形式发出《成交通知书》。《成交通知书》一经发出即发生法律效力。</w:t>
      </w:r>
    </w:p>
    <w:p w14:paraId="113B21F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（三）《成交通知书》将作为签订合同的依据。</w:t>
      </w:r>
    </w:p>
    <w:p w14:paraId="77061D3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（四）如有投标供应商对成交结果提出质疑的，在质疑处理完毕后发出成交通知书。</w:t>
      </w:r>
    </w:p>
    <w:p w14:paraId="019E8BDC">
      <w:pPr>
        <w:pStyle w:val="5"/>
        <w:spacing w:before="0" w:after="0" w:line="360" w:lineRule="auto"/>
        <w:rPr>
          <w:rFonts w:hint="eastAsia" w:ascii="宋体" w:hAnsi="宋体" w:eastAsia="宋体" w:cs="宋体"/>
          <w:color w:val="auto"/>
          <w:sz w:val="24"/>
          <w:szCs w:val="24"/>
          <w:highlight w:val="none"/>
        </w:rPr>
      </w:pPr>
      <w:bookmarkStart w:id="97" w:name="_Toc19876"/>
      <w:bookmarkStart w:id="98" w:name="_Toc22361"/>
      <w:r>
        <w:rPr>
          <w:rFonts w:hint="eastAsia" w:ascii="宋体" w:hAnsi="宋体" w:eastAsia="宋体" w:cs="宋体"/>
          <w:color w:val="auto"/>
          <w:sz w:val="24"/>
          <w:szCs w:val="24"/>
          <w:highlight w:val="none"/>
        </w:rPr>
        <w:t>六、采购代理服务费</w:t>
      </w:r>
      <w:bookmarkEnd w:id="97"/>
      <w:bookmarkEnd w:id="98"/>
    </w:p>
    <w:p w14:paraId="7890078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w:t>
      </w:r>
      <w:r>
        <w:rPr>
          <w:rFonts w:hint="eastAsia" w:ascii="宋体" w:hAnsi="宋体" w:cs="宋体"/>
          <w:color w:val="auto"/>
          <w:sz w:val="24"/>
          <w:szCs w:val="24"/>
          <w:highlight w:val="none"/>
          <w:lang w:val="en-US" w:eastAsia="zh-CN"/>
        </w:rPr>
        <w:t>采购代理服务费</w:t>
      </w:r>
      <w:r>
        <w:rPr>
          <w:rFonts w:hint="eastAsia" w:ascii="宋体" w:hAnsi="宋体" w:eastAsia="宋体" w:cs="宋体"/>
          <w:color w:val="auto"/>
          <w:sz w:val="24"/>
          <w:szCs w:val="24"/>
          <w:highlight w:val="none"/>
        </w:rPr>
        <w:t>按照国家发改价格[2011]534号最新收费标准文件执行，</w:t>
      </w:r>
      <w:r>
        <w:rPr>
          <w:rFonts w:hint="eastAsia" w:ascii="宋体" w:hAnsi="宋体" w:cs="宋体"/>
          <w:color w:val="auto"/>
          <w:sz w:val="24"/>
          <w:szCs w:val="24"/>
          <w:highlight w:val="none"/>
          <w:lang w:val="en-US" w:eastAsia="zh-CN"/>
        </w:rPr>
        <w:t>采购代理服务费</w:t>
      </w:r>
      <w:r>
        <w:rPr>
          <w:rFonts w:hint="eastAsia" w:ascii="宋体" w:hAnsi="宋体" w:eastAsia="宋体" w:cs="宋体"/>
          <w:color w:val="auto"/>
          <w:sz w:val="24"/>
          <w:szCs w:val="24"/>
          <w:highlight w:val="none"/>
        </w:rPr>
        <w:t>由中标人在领取中标通知书前一次性支付</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96</w:t>
      </w:r>
      <w:r>
        <w:rPr>
          <w:rFonts w:hint="eastAsia" w:ascii="宋体" w:hAnsi="宋体" w:eastAsia="宋体" w:cs="宋体"/>
          <w:color w:val="auto"/>
          <w:sz w:val="24"/>
          <w:szCs w:val="24"/>
          <w:highlight w:val="none"/>
          <w:u w:val="single"/>
        </w:rPr>
        <w:t xml:space="preserve">00 </w:t>
      </w:r>
      <w:r>
        <w:rPr>
          <w:rFonts w:hint="eastAsia" w:ascii="宋体" w:hAnsi="宋体" w:eastAsia="宋体" w:cs="宋体"/>
          <w:color w:val="auto"/>
          <w:sz w:val="24"/>
          <w:szCs w:val="24"/>
          <w:highlight w:val="none"/>
        </w:rPr>
        <w:t>元给</w:t>
      </w:r>
      <w:r>
        <w:rPr>
          <w:rFonts w:hint="eastAsia" w:ascii="宋体" w:hAnsi="宋体" w:cs="宋体"/>
          <w:color w:val="auto"/>
          <w:sz w:val="24"/>
          <w:szCs w:val="24"/>
          <w:highlight w:val="none"/>
          <w:lang w:val="en-US" w:eastAsia="zh-CN"/>
        </w:rPr>
        <w:t>采购</w:t>
      </w:r>
      <w:r>
        <w:rPr>
          <w:rFonts w:hint="eastAsia" w:ascii="宋体" w:hAnsi="宋体" w:eastAsia="宋体" w:cs="宋体"/>
          <w:color w:val="auto"/>
          <w:sz w:val="24"/>
          <w:szCs w:val="24"/>
          <w:highlight w:val="none"/>
        </w:rPr>
        <w:t>代理机构。</w:t>
      </w:r>
    </w:p>
    <w:p w14:paraId="6122BF6C">
      <w:pPr>
        <w:pStyle w:val="5"/>
        <w:spacing w:before="0" w:after="0" w:line="360" w:lineRule="auto"/>
        <w:rPr>
          <w:rFonts w:hint="eastAsia" w:ascii="宋体" w:hAnsi="宋体" w:eastAsia="宋体" w:cs="宋体"/>
          <w:color w:val="auto"/>
          <w:sz w:val="24"/>
          <w:szCs w:val="24"/>
          <w:highlight w:val="none"/>
        </w:rPr>
      </w:pPr>
      <w:bookmarkStart w:id="99" w:name="_Toc1096"/>
      <w:bookmarkStart w:id="100" w:name="_Toc11155"/>
      <w:r>
        <w:rPr>
          <w:rFonts w:hint="eastAsia" w:ascii="宋体" w:hAnsi="宋体" w:eastAsia="宋体" w:cs="宋体"/>
          <w:color w:val="auto"/>
          <w:sz w:val="24"/>
          <w:szCs w:val="24"/>
          <w:highlight w:val="none"/>
        </w:rPr>
        <w:t>七、关于质疑和投诉</w:t>
      </w:r>
      <w:bookmarkEnd w:id="99"/>
      <w:bookmarkEnd w:id="100"/>
    </w:p>
    <w:p w14:paraId="7F74109E">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（一）质疑</w:t>
      </w:r>
    </w:p>
    <w:p w14:paraId="54FAA0A9">
      <w:pPr>
        <w:spacing w:line="360" w:lineRule="auto"/>
        <w:ind w:right="12"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投标供应商认为采购文件、采购过程和成交结果使自己的权益受到伤害的，可向采购人或采购代理机构以书面形式提出质疑。</w:t>
      </w:r>
    </w:p>
    <w:p w14:paraId="63F55FC4">
      <w:pPr>
        <w:spacing w:line="360" w:lineRule="auto"/>
        <w:ind w:right="12"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提出质疑的应当是参与所质疑项目采购活动的投标供应商。</w:t>
      </w:r>
    </w:p>
    <w:p w14:paraId="47E9DC11">
      <w:pPr>
        <w:spacing w:line="360" w:lineRule="auto"/>
        <w:ind w:right="12"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1.质疑时限、内容</w:t>
      </w:r>
    </w:p>
    <w:p w14:paraId="259585DC">
      <w:pPr>
        <w:spacing w:line="360" w:lineRule="auto"/>
        <w:ind w:right="12"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1.1投标供应商认为采购文件、采购过程、成交结果使自己的权益受到损害的，可以在知道或者应知其权益受到损害之日起7个工作日内，以书面形式向采购人、采购代理机构提出质疑。</w:t>
      </w:r>
    </w:p>
    <w:p w14:paraId="0C3982B0">
      <w:pPr>
        <w:spacing w:line="360" w:lineRule="auto"/>
        <w:ind w:right="12"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1.2投标供应商对采购过程提出质疑的，应在各采购程序环节结束之日起七个工作日内提出。</w:t>
      </w:r>
    </w:p>
    <w:p w14:paraId="3C03C1EF">
      <w:pPr>
        <w:spacing w:line="360" w:lineRule="auto"/>
        <w:ind w:right="12"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1.3投标供应商对成交结果提出质疑的，应当在成交结果公告期限届满之日起七个工作日内提出。</w:t>
      </w:r>
    </w:p>
    <w:p w14:paraId="7E5E8B0F">
      <w:pPr>
        <w:spacing w:line="360" w:lineRule="auto"/>
        <w:ind w:right="12"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1.4投标供应商提出质疑应当提交质疑函和必要的证明材料，质疑函应当包括下列内容：</w:t>
      </w:r>
    </w:p>
    <w:p w14:paraId="679B603F">
      <w:pPr>
        <w:spacing w:line="360" w:lineRule="auto"/>
        <w:ind w:right="12"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1.4.1投标供应商的姓名或者名称、地址、邮编、联系人及联系电话；</w:t>
      </w:r>
    </w:p>
    <w:p w14:paraId="79824F8A">
      <w:pPr>
        <w:spacing w:line="360" w:lineRule="auto"/>
        <w:ind w:right="12"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1.4.2质疑项目的名称、项目号以及项目编号；</w:t>
      </w:r>
    </w:p>
    <w:p w14:paraId="7BC710FD">
      <w:pPr>
        <w:spacing w:line="360" w:lineRule="auto"/>
        <w:ind w:right="12"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1.4.3具体、明确的质疑事项和与质疑事项相关的请求；</w:t>
      </w:r>
    </w:p>
    <w:p w14:paraId="1A09C6E7">
      <w:pPr>
        <w:spacing w:line="360" w:lineRule="auto"/>
        <w:ind w:right="12"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1.4.4事实依据；</w:t>
      </w:r>
    </w:p>
    <w:p w14:paraId="6C5E692B">
      <w:pPr>
        <w:spacing w:line="360" w:lineRule="auto"/>
        <w:ind w:right="12"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1.4.5必要的法律依据；</w:t>
      </w:r>
    </w:p>
    <w:p w14:paraId="23C545FD">
      <w:pPr>
        <w:spacing w:line="360" w:lineRule="auto"/>
        <w:ind w:right="12"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1.4.6提出质疑的日期；</w:t>
      </w:r>
    </w:p>
    <w:p w14:paraId="2CF0067D">
      <w:pPr>
        <w:spacing w:line="360" w:lineRule="auto"/>
        <w:ind w:right="12"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1.4.7营业执照（或事业单位法人证书，或个体工商户营业执照或有效的自然人身份证明、组织机构代码证）复印件；</w:t>
      </w:r>
    </w:p>
    <w:p w14:paraId="1E94B3E4">
      <w:pPr>
        <w:spacing w:line="360" w:lineRule="auto"/>
        <w:ind w:right="12"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1.4.8法定代表人授权委托书原件、法定代表人身份证复印件和其授权代表的身份证复印件（投标供应商为自然人的提供自然人身份证复印件）；</w:t>
      </w:r>
    </w:p>
    <w:p w14:paraId="716E50B7">
      <w:pPr>
        <w:spacing w:line="360" w:lineRule="auto"/>
        <w:ind w:right="12"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1.5投标供应商为自然人的，质疑函应当由本人签字；投标供应商为法人或者其他组织的，质疑函应当由法定代表人、主要负责人，或者其授权代表签字或者盖章，并加盖公章。</w:t>
      </w:r>
    </w:p>
    <w:p w14:paraId="411064EE">
      <w:pPr>
        <w:spacing w:line="360" w:lineRule="auto"/>
        <w:ind w:right="12"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2.质疑答复</w:t>
      </w:r>
    </w:p>
    <w:p w14:paraId="3DCCA108">
      <w:pPr>
        <w:spacing w:line="360" w:lineRule="auto"/>
        <w:ind w:right="12"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采购人、采购代理机构应当在收到投标供应商的书面质疑后七个工作日内作出答复，并以书面形式通知质疑投标供应商和其他有关投标供应商。</w:t>
      </w:r>
    </w:p>
    <w:p w14:paraId="53E20159">
      <w:pPr>
        <w:spacing w:line="360" w:lineRule="auto"/>
        <w:ind w:right="12"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3.其他</w:t>
      </w:r>
    </w:p>
    <w:p w14:paraId="16A21FD1">
      <w:pPr>
        <w:spacing w:line="360" w:lineRule="auto"/>
        <w:ind w:right="12"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3.1投标供应商应按照《政府采购质疑和投诉办法》（财政部令第94号）及相关法律法规要求，在法定质疑期内一次性提出针对同一采购程序环节的质疑。</w:t>
      </w:r>
    </w:p>
    <w:p w14:paraId="43191068">
      <w:pPr>
        <w:spacing w:line="360" w:lineRule="auto"/>
        <w:ind w:right="12"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3.2质疑函范本可在财政部门户网站和中国政府采购网下载。</w:t>
      </w:r>
    </w:p>
    <w:p w14:paraId="19822992">
      <w:pPr>
        <w:spacing w:line="360" w:lineRule="auto"/>
        <w:ind w:right="12"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（二）投诉</w:t>
      </w:r>
    </w:p>
    <w:p w14:paraId="4F8BE35B">
      <w:pPr>
        <w:spacing w:line="360" w:lineRule="auto"/>
        <w:ind w:right="12" w:firstLine="480"/>
        <w:rPr>
          <w:rFonts w:hint="eastAsia" w:ascii="宋体" w:hAnsi="宋体" w:eastAsia="宋体" w:cs="宋体"/>
          <w:color w:val="auto"/>
          <w:sz w:val="24"/>
          <w:highlight w:val="none"/>
        </w:rPr>
      </w:pPr>
      <w:bookmarkStart w:id="101" w:name="_Toc102227322"/>
      <w:bookmarkStart w:id="102" w:name="_Toc3031"/>
      <w:bookmarkStart w:id="103" w:name="_Toc342913396"/>
      <w:r>
        <w:rPr>
          <w:rFonts w:hint="eastAsia" w:ascii="宋体" w:hAnsi="宋体" w:eastAsia="宋体" w:cs="宋体"/>
          <w:color w:val="auto"/>
          <w:sz w:val="24"/>
          <w:highlight w:val="none"/>
        </w:rPr>
        <w:t>1.投标供应商对采购人、采购代理机构的答复不满意，或者采购人、采购代理机构未在规定时间内作出答复的，可以在答复期满后15个工作日内按照相关法律法规向采购人监督部门提起投诉。</w:t>
      </w:r>
    </w:p>
    <w:p w14:paraId="636190D1">
      <w:pPr>
        <w:spacing w:line="360" w:lineRule="auto"/>
        <w:ind w:right="12"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2.投标供应商应按照《政府采购质疑和投诉办法》（财政部令第94号）及相关法律法规要求递交投诉书和必要的证明材料。投诉书范本可在财政部门户网站和中国政府采购网下载。</w:t>
      </w:r>
    </w:p>
    <w:p w14:paraId="509B60E2">
      <w:pPr>
        <w:spacing w:line="360" w:lineRule="auto"/>
        <w:ind w:right="12"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3.投诉书应当使用中文，相关当事人提供外文书证或者外国语视听资料的，应当附有中文译本，由翻译机构盖章或者翻译人员签名；相关当事人向采购人监督部门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台湾地区内形成的证据，应当履行相关的证明手续。</w:t>
      </w:r>
    </w:p>
    <w:p w14:paraId="7C23EA78">
      <w:pPr>
        <w:spacing w:line="360" w:lineRule="auto"/>
        <w:ind w:right="12"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4.在确定受理投诉后，监督部门自受理投诉之日起30个工作日内（需要检验、检测、鉴定、专家评审以及需要投诉人补正材料的，所需时间不计算在投诉处理期限内）对投诉事项做出处理决定。</w:t>
      </w:r>
    </w:p>
    <w:p w14:paraId="6442C782">
      <w:pPr>
        <w:pStyle w:val="5"/>
        <w:spacing w:before="0" w:after="0" w:line="360" w:lineRule="auto"/>
        <w:rPr>
          <w:rFonts w:hint="eastAsia" w:ascii="宋体" w:hAnsi="宋体" w:eastAsia="宋体" w:cs="宋体"/>
          <w:color w:val="auto"/>
          <w:sz w:val="24"/>
          <w:szCs w:val="24"/>
          <w:highlight w:val="none"/>
        </w:rPr>
      </w:pPr>
      <w:bookmarkStart w:id="104" w:name="_Toc9469"/>
      <w:r>
        <w:rPr>
          <w:rFonts w:hint="eastAsia" w:ascii="宋体" w:hAnsi="宋体" w:eastAsia="宋体" w:cs="宋体"/>
          <w:color w:val="auto"/>
          <w:sz w:val="24"/>
          <w:szCs w:val="24"/>
          <w:highlight w:val="none"/>
        </w:rPr>
        <w:t>八、签订</w:t>
      </w:r>
      <w:bookmarkEnd w:id="101"/>
      <w:r>
        <w:rPr>
          <w:rFonts w:hint="eastAsia" w:ascii="宋体" w:hAnsi="宋体" w:eastAsia="宋体" w:cs="宋体"/>
          <w:color w:val="auto"/>
          <w:sz w:val="24"/>
          <w:szCs w:val="24"/>
          <w:highlight w:val="none"/>
        </w:rPr>
        <w:t>合同</w:t>
      </w:r>
      <w:bookmarkEnd w:id="102"/>
      <w:bookmarkEnd w:id="103"/>
      <w:bookmarkEnd w:id="104"/>
    </w:p>
    <w:p w14:paraId="31D00BE3">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（一）采购人应当自成交通知书发出之日起二十日内，按照网上竞采文件和成交供应商响应文件的约定，与成交供应商签订书面合同。所签订的合同不得对网上竞采文件和投标供应商的响应文件作实质性修改。</w:t>
      </w:r>
    </w:p>
    <w:p w14:paraId="41895D5F">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（二）网上竞采文件、投标供应商的响应文件及澄清文件等，均为签订采购合同的依据。</w:t>
      </w:r>
    </w:p>
    <w:p w14:paraId="3556B7F5">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（三）合同生效条款由供需双方约定，法律、行政法规规定应当办理批准、登记等手续后生效的合同，依照其规定。</w:t>
      </w:r>
    </w:p>
    <w:p w14:paraId="5A54436F">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（四）合同原则上应按照《采购合同》签订，相关单位要求适用合同通用格式版本的，应按其要求另行签订其他合同。</w:t>
      </w:r>
    </w:p>
    <w:p w14:paraId="0BF1E254">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（五）采购人要求成交供应商提供履约保证金的，应当在网上竞采文件中予以约定。成交供应商履约完毕后，采购人应于五日内无息退还其履约保证金。</w:t>
      </w:r>
    </w:p>
    <w:p w14:paraId="32A8922F">
      <w:pPr>
        <w:spacing w:line="360" w:lineRule="auto"/>
        <w:ind w:firstLine="360" w:firstLineChars="150"/>
        <w:rPr>
          <w:rFonts w:hint="eastAsia" w:ascii="宋体" w:hAnsi="宋体" w:eastAsia="宋体" w:cs="宋体"/>
          <w:color w:val="auto"/>
          <w:sz w:val="24"/>
          <w:szCs w:val="24"/>
          <w:highlight w:val="none"/>
        </w:rPr>
      </w:pPr>
    </w:p>
    <w:bookmarkEnd w:id="77"/>
    <w:bookmarkEnd w:id="78"/>
    <w:p w14:paraId="6998E704">
      <w:pPr>
        <w:pStyle w:val="4"/>
        <w:spacing w:line="360" w:lineRule="auto"/>
        <w:jc w:val="center"/>
        <w:rPr>
          <w:rFonts w:hint="eastAsia" w:ascii="宋体" w:hAnsi="宋体" w:eastAsia="宋体" w:cs="宋体"/>
          <w:color w:val="auto"/>
          <w:sz w:val="36"/>
          <w:szCs w:val="30"/>
          <w:highlight w:val="none"/>
        </w:rPr>
      </w:pPr>
      <w:bookmarkStart w:id="105" w:name="_Toc27139866"/>
    </w:p>
    <w:p w14:paraId="07AF0C45">
      <w:pPr>
        <w:rPr>
          <w:rFonts w:hint="eastAsia" w:ascii="宋体" w:hAnsi="宋体" w:eastAsia="宋体" w:cs="宋体"/>
          <w:color w:val="auto"/>
          <w:highlight w:val="none"/>
        </w:rPr>
      </w:pPr>
    </w:p>
    <w:p w14:paraId="5C0DC409">
      <w:pPr>
        <w:rPr>
          <w:rFonts w:hint="eastAsia" w:ascii="宋体" w:hAnsi="宋体" w:eastAsia="宋体" w:cs="宋体"/>
          <w:color w:val="auto"/>
          <w:sz w:val="36"/>
          <w:szCs w:val="30"/>
          <w:highlight w:val="none"/>
        </w:rPr>
      </w:pPr>
      <w:r>
        <w:rPr>
          <w:rFonts w:hint="eastAsia" w:ascii="宋体" w:hAnsi="宋体" w:eastAsia="宋体" w:cs="宋体"/>
          <w:color w:val="auto"/>
          <w:sz w:val="36"/>
          <w:szCs w:val="30"/>
          <w:highlight w:val="none"/>
        </w:rPr>
        <w:br w:type="page"/>
      </w:r>
    </w:p>
    <w:p w14:paraId="265A9C43">
      <w:pPr>
        <w:pStyle w:val="3"/>
        <w:numPr>
          <w:ilvl w:val="0"/>
          <w:numId w:val="0"/>
        </w:numPr>
        <w:tabs>
          <w:tab w:val="left" w:pos="3360"/>
        </w:tabs>
        <w:spacing w:before="0" w:beforeLines="0" w:after="0" w:afterLines="0" w:line="360" w:lineRule="auto"/>
        <w:ind w:firstLine="1800" w:firstLineChars="500"/>
        <w:rPr>
          <w:rFonts w:hint="eastAsia" w:ascii="宋体" w:hAnsi="宋体" w:eastAsia="宋体" w:cs="宋体"/>
          <w:b/>
          <w:color w:val="auto"/>
          <w:highlight w:val="none"/>
        </w:rPr>
      </w:pPr>
      <w:bookmarkStart w:id="106" w:name="_Toc4239"/>
      <w:r>
        <w:rPr>
          <w:rFonts w:hint="eastAsia" w:ascii="宋体" w:hAnsi="宋体" w:eastAsia="宋体" w:cs="宋体"/>
          <w:color w:val="auto"/>
          <w:sz w:val="36"/>
          <w:szCs w:val="30"/>
          <w:highlight w:val="none"/>
        </w:rPr>
        <w:t>第六篇</w:t>
      </w:r>
      <w:bookmarkEnd w:id="105"/>
      <w:bookmarkEnd w:id="106"/>
      <w:r>
        <w:rPr>
          <w:rFonts w:hint="eastAsia" w:ascii="宋体" w:hAnsi="宋体" w:eastAsia="宋体" w:cs="宋体"/>
          <w:color w:val="auto"/>
          <w:sz w:val="36"/>
          <w:szCs w:val="30"/>
          <w:highlight w:val="none"/>
          <w:lang w:val="en-US" w:eastAsia="zh-CN"/>
        </w:rPr>
        <w:t xml:space="preserve">  </w:t>
      </w:r>
      <w:r>
        <w:rPr>
          <w:rFonts w:hint="eastAsia" w:ascii="宋体" w:hAnsi="宋体" w:eastAsia="宋体" w:cs="宋体"/>
          <w:b/>
          <w:color w:val="auto"/>
          <w:sz w:val="36"/>
          <w:szCs w:val="22"/>
          <w:highlight w:val="none"/>
        </w:rPr>
        <w:t>合同主要条款和格式合同（样本）</w:t>
      </w:r>
    </w:p>
    <w:p w14:paraId="085606F5">
      <w:pPr>
        <w:bidi w:val="0"/>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第一节</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合同协议书</w:t>
      </w:r>
    </w:p>
    <w:p w14:paraId="287BDACB">
      <w:pPr>
        <w:jc w:val="center"/>
        <w:rPr>
          <w:rFonts w:hint="eastAsia" w:ascii="宋体" w:hAnsi="宋体" w:eastAsia="宋体" w:cs="宋体"/>
          <w:b/>
          <w:color w:val="auto"/>
          <w:szCs w:val="28"/>
          <w:highlight w:val="none"/>
        </w:rPr>
      </w:pPr>
      <w:r>
        <w:rPr>
          <w:rFonts w:hint="eastAsia" w:ascii="宋体" w:hAnsi="宋体" w:eastAsia="宋体" w:cs="宋体"/>
          <w:b/>
          <w:color w:val="auto"/>
          <w:szCs w:val="28"/>
          <w:highlight w:val="none"/>
        </w:rPr>
        <w:t>合同协议书</w:t>
      </w:r>
    </w:p>
    <w:p w14:paraId="66DCDF91">
      <w:pPr>
        <w:jc w:val="center"/>
        <w:rPr>
          <w:rFonts w:hint="eastAsia" w:ascii="宋体" w:hAnsi="宋体" w:eastAsia="宋体" w:cs="宋体"/>
          <w:b/>
          <w:color w:val="auto"/>
          <w:sz w:val="24"/>
          <w:szCs w:val="24"/>
          <w:highlight w:val="none"/>
        </w:rPr>
      </w:pPr>
    </w:p>
    <w:p w14:paraId="6151DCBA">
      <w:pPr>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发包人（采购人）：</w:t>
      </w:r>
    </w:p>
    <w:p w14:paraId="1C878277">
      <w:pPr>
        <w:spacing w:line="360" w:lineRule="auto"/>
        <w:rPr>
          <w:rFonts w:hint="eastAsia" w:ascii="宋体" w:hAnsi="宋体" w:eastAsia="宋体" w:cs="宋体"/>
          <w:b/>
          <w:color w:val="auto"/>
          <w:sz w:val="24"/>
          <w:szCs w:val="24"/>
          <w:highlight w:val="none"/>
          <w:u w:val="single"/>
        </w:rPr>
      </w:pPr>
      <w:r>
        <w:rPr>
          <w:rFonts w:hint="eastAsia" w:ascii="宋体" w:hAnsi="宋体" w:eastAsia="宋体" w:cs="宋体"/>
          <w:b/>
          <w:color w:val="auto"/>
          <w:sz w:val="24"/>
          <w:szCs w:val="24"/>
          <w:highlight w:val="none"/>
        </w:rPr>
        <w:t>承包人（</w:t>
      </w:r>
      <w:r>
        <w:rPr>
          <w:rFonts w:hint="eastAsia" w:ascii="宋体" w:hAnsi="宋体" w:eastAsia="宋体" w:cs="宋体"/>
          <w:b/>
          <w:color w:val="auto"/>
          <w:sz w:val="24"/>
          <w:szCs w:val="24"/>
          <w:highlight w:val="none"/>
          <w:lang w:eastAsia="zh-CN"/>
        </w:rPr>
        <w:t>中标人</w:t>
      </w:r>
      <w:r>
        <w:rPr>
          <w:rFonts w:hint="eastAsia" w:ascii="宋体" w:hAnsi="宋体" w:eastAsia="宋体" w:cs="宋体"/>
          <w:b/>
          <w:color w:val="auto"/>
          <w:sz w:val="24"/>
          <w:szCs w:val="24"/>
          <w:highlight w:val="none"/>
        </w:rPr>
        <w:t>）：</w:t>
      </w:r>
    </w:p>
    <w:p w14:paraId="1F059352">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w:t>
      </w:r>
      <w:r>
        <w:rPr>
          <w:rFonts w:hint="eastAsia" w:ascii="宋体" w:hAnsi="宋体" w:eastAsia="宋体" w:cs="宋体"/>
          <w:snapToGrid w:val="0"/>
          <w:color w:val="auto"/>
          <w:kern w:val="0"/>
          <w:sz w:val="24"/>
          <w:szCs w:val="24"/>
          <w:highlight w:val="none"/>
        </w:rPr>
        <w:t>为实施</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u w:val="single"/>
        </w:rPr>
        <w:tab/>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（项目名称），已接受承包人对该项目</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u w:val="single"/>
        </w:rPr>
        <w:tab/>
      </w:r>
      <w:r>
        <w:rPr>
          <w:rFonts w:hint="eastAsia" w:ascii="宋体" w:hAnsi="宋体" w:eastAsia="宋体" w:cs="宋体"/>
          <w:snapToGrid w:val="0"/>
          <w:color w:val="auto"/>
          <w:kern w:val="0"/>
          <w:sz w:val="24"/>
          <w:szCs w:val="24"/>
          <w:highlight w:val="none"/>
        </w:rPr>
        <w:t>施工的投标。 发包人和承包人</w:t>
      </w:r>
      <w:r>
        <w:rPr>
          <w:rFonts w:hint="eastAsia" w:ascii="宋体" w:hAnsi="宋体" w:eastAsia="宋体" w:cs="宋体"/>
          <w:color w:val="auto"/>
          <w:sz w:val="24"/>
          <w:szCs w:val="24"/>
          <w:highlight w:val="none"/>
        </w:rPr>
        <w:t>根据《中华人民共和国民法典》、《中华人民共和国建筑法》及有关法律规定，遵循平等、自愿、公平和诚实信用的原则，经协商一致，达成如下协议：</w:t>
      </w:r>
    </w:p>
    <w:p w14:paraId="66D02EC9">
      <w:pPr>
        <w:spacing w:line="440" w:lineRule="exac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   </w:t>
      </w:r>
      <w:r>
        <w:rPr>
          <w:rFonts w:hint="eastAsia" w:ascii="宋体" w:hAnsi="宋体" w:eastAsia="宋体" w:cs="宋体"/>
          <w:color w:val="auto"/>
          <w:sz w:val="24"/>
          <w:szCs w:val="24"/>
          <w:highlight w:val="none"/>
        </w:rPr>
        <w:t xml:space="preserve"> </w:t>
      </w:r>
      <w:bookmarkStart w:id="107" w:name="_Toc351203481"/>
      <w:r>
        <w:rPr>
          <w:rFonts w:hint="eastAsia" w:ascii="宋体" w:hAnsi="宋体" w:eastAsia="宋体" w:cs="宋体"/>
          <w:color w:val="auto"/>
          <w:sz w:val="24"/>
          <w:szCs w:val="24"/>
          <w:highlight w:val="none"/>
        </w:rPr>
        <w:t>一、工程概况</w:t>
      </w:r>
      <w:bookmarkEnd w:id="107"/>
    </w:p>
    <w:p w14:paraId="5AD7B94C">
      <w:pPr>
        <w:spacing w:line="440" w:lineRule="exact"/>
        <w:ind w:firstLine="470" w:firstLineChars="196"/>
        <w:rPr>
          <w:rFonts w:hint="eastAsia" w:ascii="宋体" w:hAnsi="宋体" w:eastAsia="宋体" w:cs="宋体"/>
          <w:color w:val="auto"/>
          <w:sz w:val="24"/>
          <w:szCs w:val="24"/>
          <w:highlight w:val="none"/>
          <w:u w:val="single"/>
        </w:rPr>
      </w:pPr>
      <w:r>
        <w:rPr>
          <w:rFonts w:hint="eastAsia" w:ascii="宋体" w:hAnsi="宋体" w:eastAsia="宋体" w:cs="宋体"/>
          <w:bCs/>
          <w:color w:val="auto"/>
          <w:sz w:val="24"/>
          <w:szCs w:val="24"/>
          <w:highlight w:val="none"/>
        </w:rPr>
        <w:t>1.工程名称</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p>
    <w:p w14:paraId="23A89DD0">
      <w:pPr>
        <w:spacing w:line="440" w:lineRule="exact"/>
        <w:ind w:firstLine="470" w:firstLineChars="196"/>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2.工程地点：</w:t>
      </w:r>
      <w:r>
        <w:rPr>
          <w:rFonts w:hint="eastAsia" w:ascii="宋体" w:hAnsi="宋体" w:eastAsia="宋体" w:cs="宋体"/>
          <w:color w:val="auto"/>
          <w:sz w:val="24"/>
          <w:szCs w:val="24"/>
          <w:highlight w:val="none"/>
          <w:u w:val="single"/>
        </w:rPr>
        <w:t xml:space="preserve">                              。</w:t>
      </w:r>
    </w:p>
    <w:p w14:paraId="6C4C3088">
      <w:pPr>
        <w:spacing w:line="440" w:lineRule="exact"/>
        <w:ind w:firstLine="470" w:firstLineChars="196"/>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3.资金来源：</w:t>
      </w:r>
      <w:r>
        <w:rPr>
          <w:rFonts w:hint="eastAsia" w:ascii="宋体" w:hAnsi="宋体" w:eastAsia="宋体" w:cs="宋体"/>
          <w:color w:val="auto"/>
          <w:sz w:val="24"/>
          <w:szCs w:val="24"/>
          <w:highlight w:val="none"/>
          <w:u w:val="single"/>
        </w:rPr>
        <w:t xml:space="preserve">                              。</w:t>
      </w:r>
    </w:p>
    <w:p w14:paraId="450DC4E1">
      <w:pPr>
        <w:spacing w:line="440" w:lineRule="exact"/>
        <w:ind w:firstLine="470" w:firstLineChars="196"/>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4.工程内容：</w:t>
      </w:r>
      <w:r>
        <w:rPr>
          <w:rFonts w:hint="eastAsia" w:ascii="宋体" w:hAnsi="宋体" w:eastAsia="宋体" w:cs="宋体"/>
          <w:color w:val="auto"/>
          <w:sz w:val="24"/>
          <w:szCs w:val="24"/>
          <w:highlight w:val="none"/>
          <w:u w:val="single"/>
        </w:rPr>
        <w:t xml:space="preserve">                              。</w:t>
      </w:r>
    </w:p>
    <w:p w14:paraId="40230331">
      <w:pPr>
        <w:spacing w:line="440" w:lineRule="exact"/>
        <w:ind w:firstLine="470" w:firstLineChars="196"/>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5.</w:t>
      </w:r>
      <w:r>
        <w:rPr>
          <w:rFonts w:hint="eastAsia" w:ascii="宋体" w:hAnsi="宋体" w:eastAsia="宋体" w:cs="宋体"/>
          <w:bCs/>
          <w:color w:val="auto"/>
          <w:sz w:val="24"/>
          <w:szCs w:val="24"/>
          <w:highlight w:val="none"/>
        </w:rPr>
        <w:t>工程规模：</w:t>
      </w:r>
      <w:r>
        <w:rPr>
          <w:rFonts w:hint="eastAsia" w:ascii="宋体" w:hAnsi="宋体" w:eastAsia="宋体" w:cs="宋体"/>
          <w:color w:val="auto"/>
          <w:sz w:val="24"/>
          <w:szCs w:val="24"/>
          <w:highlight w:val="none"/>
          <w:u w:val="single"/>
        </w:rPr>
        <w:t xml:space="preserve">                              。</w:t>
      </w:r>
    </w:p>
    <w:p w14:paraId="5DAF72D4">
      <w:pPr>
        <w:spacing w:line="440" w:lineRule="exact"/>
        <w:ind w:firstLine="470" w:firstLineChars="196"/>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6.工程承包范围：</w:t>
      </w:r>
      <w:r>
        <w:rPr>
          <w:rFonts w:hint="eastAsia" w:ascii="宋体" w:hAnsi="宋体" w:eastAsia="宋体" w:cs="宋体"/>
          <w:color w:val="auto"/>
          <w:sz w:val="24"/>
          <w:szCs w:val="24"/>
          <w:highlight w:val="none"/>
          <w:u w:val="single"/>
        </w:rPr>
        <w:t xml:space="preserve">                              。 </w:t>
      </w:r>
    </w:p>
    <w:p w14:paraId="7702E558">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bookmarkStart w:id="108" w:name="_Toc351203482"/>
      <w:r>
        <w:rPr>
          <w:rFonts w:hint="eastAsia" w:ascii="宋体" w:hAnsi="宋体" w:eastAsia="宋体" w:cs="宋体"/>
          <w:color w:val="auto"/>
          <w:sz w:val="24"/>
          <w:szCs w:val="24"/>
          <w:highlight w:val="none"/>
        </w:rPr>
        <w:t>二、合同工期</w:t>
      </w:r>
      <w:bookmarkEnd w:id="108"/>
    </w:p>
    <w:p w14:paraId="032C2C09">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计划开工日期：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730E1CA3">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计划竣工日期：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528E483C">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工期总日历天数：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天。工期总日历天数与根据前述计划开竣工日期计算的工期天数不一致的，以工期总日历天数为准。</w:t>
      </w:r>
    </w:p>
    <w:p w14:paraId="2B08FF9F">
      <w:pPr>
        <w:spacing w:line="440" w:lineRule="exac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    </w:t>
      </w:r>
      <w:bookmarkStart w:id="109" w:name="_Toc351203483"/>
      <w:r>
        <w:rPr>
          <w:rFonts w:hint="eastAsia" w:ascii="宋体" w:hAnsi="宋体" w:eastAsia="宋体" w:cs="宋体"/>
          <w:b/>
          <w:color w:val="auto"/>
          <w:sz w:val="24"/>
          <w:szCs w:val="24"/>
          <w:highlight w:val="none"/>
        </w:rPr>
        <w:t>三、质量标准</w:t>
      </w:r>
      <w:bookmarkEnd w:id="109"/>
    </w:p>
    <w:p w14:paraId="3AED3DF1">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工程质量符合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标准。</w:t>
      </w:r>
    </w:p>
    <w:p w14:paraId="7B26AD12">
      <w:pPr>
        <w:spacing w:line="440" w:lineRule="exac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   </w:t>
      </w:r>
      <w:r>
        <w:rPr>
          <w:rFonts w:hint="eastAsia" w:ascii="宋体" w:hAnsi="宋体" w:eastAsia="宋体" w:cs="宋体"/>
          <w:b/>
          <w:color w:val="auto"/>
          <w:sz w:val="24"/>
          <w:szCs w:val="24"/>
          <w:highlight w:val="none"/>
        </w:rPr>
        <w:t xml:space="preserve"> </w:t>
      </w:r>
      <w:bookmarkStart w:id="110" w:name="_Toc351203484"/>
      <w:r>
        <w:rPr>
          <w:rFonts w:hint="eastAsia" w:ascii="宋体" w:hAnsi="宋体" w:eastAsia="宋体" w:cs="宋体"/>
          <w:b/>
          <w:color w:val="auto"/>
          <w:sz w:val="24"/>
          <w:szCs w:val="24"/>
          <w:highlight w:val="none"/>
        </w:rPr>
        <w:t>四、签约合同价与合同价格形式</w:t>
      </w:r>
      <w:bookmarkEnd w:id="110"/>
      <w:r>
        <w:rPr>
          <w:rFonts w:hint="eastAsia" w:ascii="宋体" w:hAnsi="宋体" w:eastAsia="宋体" w:cs="宋体"/>
          <w:b/>
          <w:color w:val="auto"/>
          <w:sz w:val="24"/>
          <w:szCs w:val="24"/>
          <w:highlight w:val="none"/>
        </w:rPr>
        <w:tab/>
      </w:r>
    </w:p>
    <w:p w14:paraId="1A0D3E69">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1.签约合同价为：</w:t>
      </w:r>
    </w:p>
    <w:p w14:paraId="7B12012F">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人民币（大写）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w:t>
      </w:r>
    </w:p>
    <w:p w14:paraId="1A2E3845">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其中：</w:t>
      </w:r>
    </w:p>
    <w:p w14:paraId="421644A3">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安全文明施工费</w:t>
      </w:r>
      <w:r>
        <w:rPr>
          <w:rFonts w:hint="eastAsia" w:ascii="宋体" w:hAnsi="宋体" w:eastAsia="宋体" w:cs="宋体"/>
          <w:color w:val="auto"/>
          <w:sz w:val="24"/>
          <w:szCs w:val="24"/>
          <w:highlight w:val="none"/>
        </w:rPr>
        <w:t>：</w:t>
      </w:r>
    </w:p>
    <w:p w14:paraId="200240F9">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人民币（大写）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元)； </w:t>
      </w:r>
    </w:p>
    <w:p w14:paraId="75E3162F">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（2）材料和工程设备暂估价金额：</w:t>
      </w:r>
    </w:p>
    <w:p w14:paraId="15CD48E8">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人民币（大写）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w:t>
      </w:r>
    </w:p>
    <w:p w14:paraId="77F53AA1">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（3）专业工程暂估价金额：</w:t>
      </w:r>
    </w:p>
    <w:p w14:paraId="4F62D8C8">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人民币（大写）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w:t>
      </w:r>
    </w:p>
    <w:p w14:paraId="48D503A4">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（4）暂列金额：</w:t>
      </w:r>
    </w:p>
    <w:p w14:paraId="3E5FEB17">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人民币（大写）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w:t>
      </w:r>
    </w:p>
    <w:p w14:paraId="7D17DC87">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2.合同价格形式：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24A30340">
      <w:pPr>
        <w:spacing w:line="440" w:lineRule="exact"/>
        <w:rPr>
          <w:rFonts w:hint="eastAsia" w:ascii="宋体" w:hAnsi="宋体" w:eastAsia="宋体" w:cs="宋体"/>
          <w:b/>
          <w:color w:val="auto"/>
          <w:sz w:val="24"/>
          <w:szCs w:val="24"/>
          <w:highlight w:val="none"/>
        </w:rPr>
      </w:pPr>
      <w:r>
        <w:rPr>
          <w:rFonts w:hint="eastAsia" w:ascii="宋体" w:hAnsi="宋体" w:eastAsia="宋体" w:cs="宋体"/>
          <w:bCs/>
          <w:color w:val="auto"/>
          <w:sz w:val="24"/>
          <w:szCs w:val="24"/>
          <w:highlight w:val="none"/>
        </w:rPr>
        <w:t xml:space="preserve">   </w:t>
      </w:r>
      <w:r>
        <w:rPr>
          <w:rFonts w:hint="eastAsia" w:ascii="宋体" w:hAnsi="宋体" w:eastAsia="宋体" w:cs="宋体"/>
          <w:b/>
          <w:color w:val="auto"/>
          <w:sz w:val="24"/>
          <w:szCs w:val="24"/>
          <w:highlight w:val="none"/>
        </w:rPr>
        <w:t xml:space="preserve"> </w:t>
      </w:r>
      <w:bookmarkStart w:id="111" w:name="_Toc351203485"/>
      <w:r>
        <w:rPr>
          <w:rFonts w:hint="eastAsia" w:ascii="宋体" w:hAnsi="宋体" w:eastAsia="宋体" w:cs="宋体"/>
          <w:b/>
          <w:color w:val="auto"/>
          <w:sz w:val="24"/>
          <w:szCs w:val="24"/>
          <w:highlight w:val="none"/>
        </w:rPr>
        <w:t>五、</w:t>
      </w:r>
      <w:bookmarkEnd w:id="111"/>
      <w:r>
        <w:rPr>
          <w:rFonts w:hint="eastAsia" w:ascii="宋体" w:hAnsi="宋体" w:eastAsia="宋体" w:cs="宋体"/>
          <w:b/>
          <w:color w:val="auto"/>
          <w:sz w:val="24"/>
          <w:szCs w:val="24"/>
          <w:highlight w:val="none"/>
        </w:rPr>
        <w:t>项目经理</w:t>
      </w:r>
    </w:p>
    <w:p w14:paraId="404A4539">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承包人项目经理：</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53348668">
      <w:pPr>
        <w:spacing w:line="440" w:lineRule="exac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   </w:t>
      </w:r>
      <w:r>
        <w:rPr>
          <w:rFonts w:hint="eastAsia" w:ascii="宋体" w:hAnsi="宋体" w:eastAsia="宋体" w:cs="宋体"/>
          <w:b/>
          <w:color w:val="auto"/>
          <w:sz w:val="24"/>
          <w:szCs w:val="24"/>
          <w:highlight w:val="none"/>
        </w:rPr>
        <w:t xml:space="preserve"> </w:t>
      </w:r>
      <w:bookmarkStart w:id="112" w:name="_Toc351203486"/>
      <w:r>
        <w:rPr>
          <w:rFonts w:hint="eastAsia" w:ascii="宋体" w:hAnsi="宋体" w:eastAsia="宋体" w:cs="宋体"/>
          <w:b/>
          <w:color w:val="auto"/>
          <w:sz w:val="24"/>
          <w:szCs w:val="24"/>
          <w:highlight w:val="none"/>
        </w:rPr>
        <w:t>六、合同文件构成</w:t>
      </w:r>
      <w:bookmarkEnd w:id="112"/>
    </w:p>
    <w:p w14:paraId="4A39FB23">
      <w:pPr>
        <w:spacing w:line="440" w:lineRule="exac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本协议书与下列文件一起构成合同文件：</w:t>
      </w:r>
    </w:p>
    <w:p w14:paraId="34244C33">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成交通知书</w:t>
      </w:r>
      <w:r>
        <w:rPr>
          <w:rFonts w:hint="eastAsia" w:ascii="宋体" w:hAnsi="宋体" w:eastAsia="宋体" w:cs="宋体"/>
          <w:color w:val="auto"/>
          <w:sz w:val="24"/>
          <w:szCs w:val="24"/>
          <w:highlight w:val="none"/>
        </w:rPr>
        <w:t>；</w:t>
      </w:r>
    </w:p>
    <w:p w14:paraId="3BE01966">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（2）投标函及其附录（如果有）； </w:t>
      </w:r>
    </w:p>
    <w:p w14:paraId="7E8304B1">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（3）专用合同条款及其附件；</w:t>
      </w:r>
    </w:p>
    <w:p w14:paraId="6B1DEFF0">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（4）通用合同条款；</w:t>
      </w:r>
    </w:p>
    <w:p w14:paraId="330B9CEB">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（5）技术标准和要求；</w:t>
      </w:r>
    </w:p>
    <w:p w14:paraId="00DB0D59">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（6）图纸；</w:t>
      </w:r>
    </w:p>
    <w:p w14:paraId="6A3C811D">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（7）已标价工程量清单或预算书；</w:t>
      </w:r>
    </w:p>
    <w:p w14:paraId="3494E02F">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（8）其他合同文件。</w:t>
      </w:r>
    </w:p>
    <w:p w14:paraId="4F5F2358">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在合同订立及履行过程中形成的与合同有关的文件均构成合同文件组成部分。</w:t>
      </w:r>
    </w:p>
    <w:p w14:paraId="04B54299">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上述各项合同文件包括合同当事人就该项合同文件所作出的补充和修改，属于同一类内容的文件，应以最新签署的为准。专用合同条款及其附件须经合同当事人签字或盖章。</w:t>
      </w:r>
    </w:p>
    <w:p w14:paraId="25AD9488">
      <w:pPr>
        <w:spacing w:line="440" w:lineRule="exac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   </w:t>
      </w:r>
      <w:r>
        <w:rPr>
          <w:rFonts w:hint="eastAsia" w:ascii="宋体" w:hAnsi="宋体" w:eastAsia="宋体" w:cs="宋体"/>
          <w:b/>
          <w:color w:val="auto"/>
          <w:sz w:val="24"/>
          <w:szCs w:val="24"/>
          <w:highlight w:val="none"/>
        </w:rPr>
        <w:t xml:space="preserve"> </w:t>
      </w:r>
      <w:bookmarkStart w:id="113" w:name="_Toc351203487"/>
      <w:r>
        <w:rPr>
          <w:rFonts w:hint="eastAsia" w:ascii="宋体" w:hAnsi="宋体" w:eastAsia="宋体" w:cs="宋体"/>
          <w:b/>
          <w:color w:val="auto"/>
          <w:sz w:val="24"/>
          <w:szCs w:val="24"/>
          <w:highlight w:val="none"/>
        </w:rPr>
        <w:t>七、承诺</w:t>
      </w:r>
      <w:bookmarkEnd w:id="113"/>
    </w:p>
    <w:p w14:paraId="27A3524F">
      <w:pPr>
        <w:spacing w:line="440" w:lineRule="exac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1.发包人承诺按照法律规定履行项目审批手续、筹集工程建设资金并按照合同约定的期限和方式支付合同价款。</w:t>
      </w:r>
    </w:p>
    <w:p w14:paraId="541A1110">
      <w:pPr>
        <w:spacing w:line="440" w:lineRule="exac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2.承包人承诺按照法律规定及合同约定组织完成工程施工，确保工程质量和安全，不进行转包及违法分包，并在缺陷责任期及保修期内承担相应的工程维修责任。</w:t>
      </w:r>
    </w:p>
    <w:p w14:paraId="251F1C0D">
      <w:pPr>
        <w:spacing w:line="440" w:lineRule="exac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3.发包人和承包人通过招投标形式签订合同的，双方理解并承诺不再就同一工程另行签订与合同实质性内容相背离的协议。</w:t>
      </w:r>
    </w:p>
    <w:p w14:paraId="5005970D">
      <w:pPr>
        <w:spacing w:line="440" w:lineRule="exact"/>
        <w:rPr>
          <w:rFonts w:hint="eastAsia" w:ascii="宋体" w:hAnsi="宋体" w:eastAsia="宋体" w:cs="宋体"/>
          <w:bCs/>
          <w:color w:val="auto"/>
          <w:sz w:val="24"/>
          <w:szCs w:val="24"/>
          <w:highlight w:val="none"/>
        </w:rPr>
      </w:pPr>
      <w:bookmarkStart w:id="114" w:name="_Toc351203488"/>
      <w:r>
        <w:rPr>
          <w:rFonts w:hint="eastAsia" w:ascii="宋体" w:hAnsi="宋体" w:eastAsia="宋体" w:cs="宋体"/>
          <w:b/>
          <w:color w:val="auto"/>
          <w:sz w:val="24"/>
          <w:szCs w:val="24"/>
          <w:highlight w:val="none"/>
        </w:rPr>
        <w:t xml:space="preserve">    八、词语含义</w:t>
      </w:r>
      <w:bookmarkEnd w:id="114"/>
    </w:p>
    <w:p w14:paraId="44298C6F">
      <w:pPr>
        <w:spacing w:line="440" w:lineRule="exac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本协议书中词语含义与第二部分通用合同条款中赋予的含义相同。</w:t>
      </w:r>
    </w:p>
    <w:p w14:paraId="27D940B2">
      <w:pPr>
        <w:spacing w:line="440" w:lineRule="exac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  </w:t>
      </w:r>
      <w:r>
        <w:rPr>
          <w:rFonts w:hint="eastAsia" w:ascii="宋体" w:hAnsi="宋体" w:eastAsia="宋体" w:cs="宋体"/>
          <w:b/>
          <w:color w:val="auto"/>
          <w:sz w:val="24"/>
          <w:szCs w:val="24"/>
          <w:highlight w:val="none"/>
        </w:rPr>
        <w:t xml:space="preserve">  </w:t>
      </w:r>
      <w:bookmarkStart w:id="115" w:name="_Toc351203489"/>
      <w:r>
        <w:rPr>
          <w:rFonts w:hint="eastAsia" w:ascii="宋体" w:hAnsi="宋体" w:eastAsia="宋体" w:cs="宋体"/>
          <w:b/>
          <w:color w:val="auto"/>
          <w:sz w:val="24"/>
          <w:szCs w:val="24"/>
          <w:highlight w:val="none"/>
        </w:rPr>
        <w:t>九、签订时间</w:t>
      </w:r>
      <w:bookmarkEnd w:id="115"/>
    </w:p>
    <w:p w14:paraId="05FEB3EC">
      <w:pPr>
        <w:spacing w:line="440" w:lineRule="exac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本合同于</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年</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月</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日签订。</w:t>
      </w:r>
    </w:p>
    <w:p w14:paraId="14355B83">
      <w:pPr>
        <w:spacing w:line="440" w:lineRule="exac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    </w:t>
      </w:r>
      <w:bookmarkStart w:id="116" w:name="_Toc351203490"/>
      <w:r>
        <w:rPr>
          <w:rFonts w:hint="eastAsia" w:ascii="宋体" w:hAnsi="宋体" w:eastAsia="宋体" w:cs="宋体"/>
          <w:b/>
          <w:color w:val="auto"/>
          <w:sz w:val="24"/>
          <w:szCs w:val="24"/>
          <w:highlight w:val="none"/>
        </w:rPr>
        <w:t>十、签订地点</w:t>
      </w:r>
      <w:bookmarkEnd w:id="116"/>
    </w:p>
    <w:p w14:paraId="522BDA06">
      <w:pPr>
        <w:spacing w:line="440" w:lineRule="exac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本合同在</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签订。</w:t>
      </w:r>
    </w:p>
    <w:p w14:paraId="2D93F596">
      <w:pPr>
        <w:spacing w:line="440" w:lineRule="exac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    </w:t>
      </w:r>
      <w:bookmarkStart w:id="117" w:name="_Toc351203491"/>
      <w:r>
        <w:rPr>
          <w:rFonts w:hint="eastAsia" w:ascii="宋体" w:hAnsi="宋体" w:eastAsia="宋体" w:cs="宋体"/>
          <w:b/>
          <w:color w:val="auto"/>
          <w:sz w:val="24"/>
          <w:szCs w:val="24"/>
          <w:highlight w:val="none"/>
        </w:rPr>
        <w:t>十一、补充协议</w:t>
      </w:r>
      <w:bookmarkEnd w:id="117"/>
    </w:p>
    <w:p w14:paraId="2B7F938E">
      <w:pPr>
        <w:spacing w:line="440" w:lineRule="exact"/>
        <w:rPr>
          <w:rFonts w:hint="eastAsia" w:ascii="宋体" w:hAnsi="宋体" w:eastAsia="宋体" w:cs="宋体"/>
          <w:b/>
          <w:bCs/>
          <w:color w:val="auto"/>
          <w:sz w:val="24"/>
          <w:szCs w:val="24"/>
          <w:highlight w:val="none"/>
        </w:rPr>
      </w:pPr>
      <w:r>
        <w:rPr>
          <w:rFonts w:hint="eastAsia" w:ascii="宋体" w:hAnsi="宋体" w:eastAsia="宋体" w:cs="宋体"/>
          <w:bCs/>
          <w:color w:val="auto"/>
          <w:sz w:val="24"/>
          <w:szCs w:val="24"/>
          <w:highlight w:val="none"/>
        </w:rPr>
        <w:t>合同未尽事宜，合同当事人另行签订补充协议，补充协议是合同的组成部分。</w:t>
      </w:r>
    </w:p>
    <w:p w14:paraId="6F17B85F">
      <w:pPr>
        <w:spacing w:line="440" w:lineRule="exac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    </w:t>
      </w:r>
      <w:bookmarkStart w:id="118" w:name="_Toc351203492"/>
      <w:r>
        <w:rPr>
          <w:rFonts w:hint="eastAsia" w:ascii="宋体" w:hAnsi="宋体" w:eastAsia="宋体" w:cs="宋体"/>
          <w:b/>
          <w:color w:val="auto"/>
          <w:sz w:val="24"/>
          <w:szCs w:val="24"/>
          <w:highlight w:val="none"/>
        </w:rPr>
        <w:t>十二、合同生效</w:t>
      </w:r>
      <w:bookmarkEnd w:id="118"/>
    </w:p>
    <w:p w14:paraId="0F8100A1">
      <w:pPr>
        <w:spacing w:line="440" w:lineRule="exac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本合同自</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生效。</w:t>
      </w:r>
    </w:p>
    <w:p w14:paraId="5E6C1DAA">
      <w:pPr>
        <w:spacing w:line="440" w:lineRule="exac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    </w:t>
      </w:r>
      <w:bookmarkStart w:id="119" w:name="_Toc351203493"/>
      <w:r>
        <w:rPr>
          <w:rFonts w:hint="eastAsia" w:ascii="宋体" w:hAnsi="宋体" w:eastAsia="宋体" w:cs="宋体"/>
          <w:b/>
          <w:color w:val="auto"/>
          <w:sz w:val="24"/>
          <w:szCs w:val="24"/>
          <w:highlight w:val="none"/>
        </w:rPr>
        <w:t>十三、合同份数</w:t>
      </w:r>
      <w:bookmarkEnd w:id="119"/>
    </w:p>
    <w:p w14:paraId="33D14AE9">
      <w:pPr>
        <w:spacing w:line="440" w:lineRule="exac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本合同一式</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份，均具有同等法律效力，发包人执</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份，承包人执</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份。</w:t>
      </w:r>
    </w:p>
    <w:p w14:paraId="302E748C">
      <w:pPr>
        <w:spacing w:line="440" w:lineRule="exact"/>
        <w:rPr>
          <w:rFonts w:hint="eastAsia" w:ascii="宋体" w:hAnsi="宋体" w:eastAsia="宋体" w:cs="宋体"/>
          <w:bCs/>
          <w:color w:val="auto"/>
          <w:sz w:val="24"/>
          <w:szCs w:val="24"/>
          <w:highlight w:val="none"/>
        </w:rPr>
      </w:pPr>
    </w:p>
    <w:p w14:paraId="582F3377">
      <w:pPr>
        <w:spacing w:line="400" w:lineRule="exact"/>
        <w:rPr>
          <w:rFonts w:hint="eastAsia" w:ascii="宋体" w:hAnsi="宋体" w:eastAsia="宋体" w:cs="宋体"/>
          <w:color w:val="auto"/>
          <w:sz w:val="24"/>
          <w:szCs w:val="24"/>
          <w:highlight w:val="none"/>
        </w:rPr>
      </w:pPr>
    </w:p>
    <w:p w14:paraId="4B869FB7">
      <w:pPr>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  (公章)                              承包人：  (公章)</w:t>
      </w:r>
    </w:p>
    <w:p w14:paraId="227485C7">
      <w:pPr>
        <w:spacing w:line="400" w:lineRule="exac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w:t>
      </w:r>
    </w:p>
    <w:p w14:paraId="7F3BB9C7">
      <w:pPr>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                    法定代表人或其委托代理人：</w:t>
      </w:r>
    </w:p>
    <w:p w14:paraId="227E0F98">
      <w:pPr>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                                      （签字）</w:t>
      </w:r>
    </w:p>
    <w:p w14:paraId="20223240">
      <w:pPr>
        <w:spacing w:line="400" w:lineRule="exact"/>
        <w:rPr>
          <w:rFonts w:hint="eastAsia" w:ascii="宋体" w:hAnsi="宋体" w:eastAsia="宋体" w:cs="宋体"/>
          <w:color w:val="auto"/>
          <w:sz w:val="24"/>
          <w:szCs w:val="24"/>
          <w:highlight w:val="none"/>
          <w:u w:val="single"/>
        </w:rPr>
      </w:pPr>
    </w:p>
    <w:p w14:paraId="4A1FCA7E">
      <w:pPr>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地  址：</w:t>
      </w:r>
      <w:r>
        <w:rPr>
          <w:rFonts w:hint="eastAsia" w:ascii="宋体" w:hAnsi="宋体" w:eastAsia="宋体" w:cs="宋体"/>
          <w:color w:val="auto"/>
          <w:sz w:val="24"/>
          <w:szCs w:val="24"/>
          <w:highlight w:val="none"/>
          <w:u w:val="single"/>
        </w:rPr>
        <w:t xml:space="preserve">      </w:t>
      </w:r>
    </w:p>
    <w:p w14:paraId="0EB474D2">
      <w:pPr>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邮政编码：</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邮政编码：</w:t>
      </w:r>
      <w:r>
        <w:rPr>
          <w:rFonts w:hint="eastAsia" w:ascii="宋体" w:hAnsi="宋体" w:eastAsia="宋体" w:cs="宋体"/>
          <w:color w:val="auto"/>
          <w:sz w:val="24"/>
          <w:szCs w:val="24"/>
          <w:highlight w:val="none"/>
          <w:u w:val="single"/>
        </w:rPr>
        <w:t xml:space="preserve">  </w:t>
      </w:r>
    </w:p>
    <w:p w14:paraId="67C65EE6">
      <w:pPr>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法定代表人：</w:t>
      </w:r>
      <w:r>
        <w:rPr>
          <w:rFonts w:hint="eastAsia" w:ascii="宋体" w:hAnsi="宋体" w:eastAsia="宋体" w:cs="宋体"/>
          <w:color w:val="auto"/>
          <w:sz w:val="24"/>
          <w:szCs w:val="24"/>
          <w:highlight w:val="none"/>
          <w:u w:val="single"/>
        </w:rPr>
        <w:t xml:space="preserve">     </w:t>
      </w:r>
    </w:p>
    <w:p w14:paraId="5F494937">
      <w:pPr>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委托代理人：</w:t>
      </w:r>
      <w:r>
        <w:rPr>
          <w:rFonts w:hint="eastAsia" w:ascii="宋体" w:hAnsi="宋体" w:eastAsia="宋体" w:cs="宋体"/>
          <w:color w:val="auto"/>
          <w:sz w:val="24"/>
          <w:szCs w:val="24"/>
          <w:highlight w:val="none"/>
          <w:u w:val="single"/>
        </w:rPr>
        <w:t xml:space="preserve">             </w:t>
      </w:r>
    </w:p>
    <w:p w14:paraId="766964F1">
      <w:pPr>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  话：</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电  话：</w:t>
      </w:r>
      <w:r>
        <w:rPr>
          <w:rFonts w:hint="eastAsia" w:ascii="宋体" w:hAnsi="宋体" w:eastAsia="宋体" w:cs="宋体"/>
          <w:color w:val="auto"/>
          <w:sz w:val="24"/>
          <w:szCs w:val="24"/>
          <w:highlight w:val="none"/>
          <w:u w:val="single"/>
        </w:rPr>
        <w:t xml:space="preserve">     </w:t>
      </w:r>
    </w:p>
    <w:p w14:paraId="49566B3B">
      <w:pPr>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传  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传  真：</w:t>
      </w:r>
      <w:r>
        <w:rPr>
          <w:rFonts w:hint="eastAsia" w:ascii="宋体" w:hAnsi="宋体" w:eastAsia="宋体" w:cs="宋体"/>
          <w:color w:val="auto"/>
          <w:sz w:val="24"/>
          <w:szCs w:val="24"/>
          <w:highlight w:val="none"/>
          <w:u w:val="single"/>
        </w:rPr>
        <w:t xml:space="preserve">   </w:t>
      </w:r>
    </w:p>
    <w:p w14:paraId="2AB3085F">
      <w:pPr>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电子信箱：</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电子信箱：</w:t>
      </w:r>
      <w:r>
        <w:rPr>
          <w:rFonts w:hint="eastAsia" w:ascii="宋体" w:hAnsi="宋体" w:eastAsia="宋体" w:cs="宋体"/>
          <w:color w:val="auto"/>
          <w:sz w:val="24"/>
          <w:szCs w:val="24"/>
          <w:highlight w:val="none"/>
          <w:u w:val="single"/>
        </w:rPr>
        <w:t xml:space="preserve">   </w:t>
      </w:r>
    </w:p>
    <w:p w14:paraId="30A32971">
      <w:pPr>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开户银行：</w:t>
      </w:r>
      <w:r>
        <w:rPr>
          <w:rFonts w:hint="eastAsia" w:ascii="宋体" w:hAnsi="宋体" w:eastAsia="宋体" w:cs="宋体"/>
          <w:color w:val="auto"/>
          <w:sz w:val="24"/>
          <w:szCs w:val="24"/>
          <w:highlight w:val="none"/>
          <w:u w:val="single"/>
        </w:rPr>
        <w:t xml:space="preserve">   </w:t>
      </w:r>
    </w:p>
    <w:p w14:paraId="27C05399">
      <w:pPr>
        <w:spacing w:line="400" w:lineRule="exac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账  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账  号：</w:t>
      </w:r>
      <w:r>
        <w:rPr>
          <w:rFonts w:hint="eastAsia" w:ascii="宋体" w:hAnsi="宋体" w:eastAsia="宋体" w:cs="宋体"/>
          <w:color w:val="auto"/>
          <w:sz w:val="24"/>
          <w:szCs w:val="24"/>
          <w:highlight w:val="none"/>
          <w:u w:val="single"/>
        </w:rPr>
        <w:t xml:space="preserve">     </w:t>
      </w:r>
    </w:p>
    <w:p w14:paraId="4BEBC0CE">
      <w:pPr>
        <w:pStyle w:val="5"/>
        <w:spacing w:before="0" w:after="0" w:line="500" w:lineRule="exact"/>
        <w:ind w:left="1140" w:firstLine="2409" w:firstLineChars="10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br w:type="page"/>
      </w:r>
      <w:bookmarkStart w:id="120" w:name="_Toc351203494"/>
      <w:bookmarkStart w:id="121" w:name="_Toc34472396"/>
      <w:bookmarkStart w:id="122" w:name="_Toc54861172"/>
      <w:bookmarkStart w:id="123" w:name="_Toc27378"/>
      <w:bookmarkStart w:id="124" w:name="_Toc13381854"/>
      <w:bookmarkStart w:id="125" w:name="_Toc529186482"/>
      <w:r>
        <w:rPr>
          <w:rFonts w:hint="eastAsia" w:ascii="宋体" w:hAnsi="宋体" w:eastAsia="宋体" w:cs="宋体"/>
          <w:color w:val="auto"/>
          <w:sz w:val="28"/>
          <w:szCs w:val="28"/>
          <w:highlight w:val="none"/>
        </w:rPr>
        <w:t>第二节 通用合同条款</w:t>
      </w:r>
      <w:bookmarkEnd w:id="120"/>
      <w:bookmarkEnd w:id="121"/>
      <w:bookmarkEnd w:id="122"/>
      <w:bookmarkEnd w:id="123"/>
      <w:bookmarkEnd w:id="124"/>
      <w:bookmarkEnd w:id="125"/>
      <w:bookmarkStart w:id="126" w:name="_Toc337558727"/>
    </w:p>
    <w:bookmarkEnd w:id="126"/>
    <w:p w14:paraId="601D416D">
      <w:pPr>
        <w:snapToGrid w:val="0"/>
        <w:spacing w:line="360" w:lineRule="auto"/>
        <w:ind w:firstLine="424" w:firstLineChars="201"/>
        <w:rPr>
          <w:rFonts w:hint="eastAsia" w:ascii="宋体" w:hAnsi="宋体" w:eastAsia="宋体" w:cs="宋体"/>
          <w:b/>
          <w:color w:val="auto"/>
          <w:sz w:val="21"/>
          <w:szCs w:val="21"/>
          <w:highlight w:val="none"/>
        </w:rPr>
      </w:pPr>
    </w:p>
    <w:p w14:paraId="4ACBECD9">
      <w:pPr>
        <w:snapToGrid w:val="0"/>
        <w:spacing w:line="360" w:lineRule="auto"/>
        <w:ind w:firstLine="484" w:firstLineChars="201"/>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通用合同条款直接采用中华人民共和国住房和城乡建设部与国家工商行政管理总局联合制定的《建设工程施工合同》（GF-2013-0201）示范文本第二章《通用合同条款》。</w:t>
      </w:r>
      <w:bookmarkStart w:id="127" w:name="_Toc351203632"/>
    </w:p>
    <w:p w14:paraId="62B65CEE">
      <w:pPr>
        <w:snapToGrid w:val="0"/>
        <w:spacing w:line="360" w:lineRule="auto"/>
        <w:ind w:firstLine="424" w:firstLineChars="201"/>
        <w:rPr>
          <w:rFonts w:hint="eastAsia" w:ascii="宋体" w:hAnsi="宋体" w:eastAsia="宋体" w:cs="宋体"/>
          <w:b/>
          <w:color w:val="auto"/>
          <w:sz w:val="21"/>
          <w:szCs w:val="21"/>
          <w:highlight w:val="none"/>
        </w:rPr>
      </w:pPr>
    </w:p>
    <w:p w14:paraId="603BBE6D">
      <w:pPr>
        <w:pStyle w:val="5"/>
        <w:spacing w:before="0" w:after="0" w:line="500" w:lineRule="exact"/>
        <w:ind w:left="1140" w:firstLine="2108" w:firstLineChars="1000"/>
        <w:jc w:val="both"/>
        <w:rPr>
          <w:rFonts w:hint="eastAsia" w:ascii="宋体" w:hAnsi="宋体" w:eastAsia="宋体" w:cs="宋体"/>
          <w:color w:val="auto"/>
          <w:sz w:val="28"/>
          <w:szCs w:val="28"/>
          <w:highlight w:val="none"/>
        </w:rPr>
      </w:pPr>
      <w:r>
        <w:rPr>
          <w:rFonts w:hint="eastAsia" w:ascii="宋体" w:hAnsi="宋体" w:eastAsia="宋体" w:cs="宋体"/>
          <w:color w:val="auto"/>
          <w:sz w:val="21"/>
          <w:szCs w:val="21"/>
          <w:highlight w:val="none"/>
        </w:rPr>
        <w:br w:type="page"/>
      </w:r>
      <w:bookmarkStart w:id="128" w:name="_Toc54861173"/>
      <w:bookmarkStart w:id="129" w:name="_Toc22027"/>
      <w:r>
        <w:rPr>
          <w:rFonts w:hint="eastAsia" w:ascii="宋体" w:hAnsi="宋体" w:eastAsia="宋体" w:cs="宋体"/>
          <w:color w:val="auto"/>
          <w:sz w:val="28"/>
          <w:szCs w:val="28"/>
          <w:highlight w:val="none"/>
        </w:rPr>
        <w:t xml:space="preserve">第三节 </w:t>
      </w:r>
      <w:bookmarkStart w:id="130" w:name="_Toc529186483"/>
      <w:r>
        <w:rPr>
          <w:rFonts w:hint="eastAsia" w:ascii="宋体" w:hAnsi="宋体" w:eastAsia="宋体" w:cs="宋体"/>
          <w:color w:val="auto"/>
          <w:sz w:val="28"/>
          <w:szCs w:val="28"/>
          <w:highlight w:val="none"/>
        </w:rPr>
        <w:t>专用合同条款</w:t>
      </w:r>
      <w:bookmarkEnd w:id="128"/>
      <w:bookmarkEnd w:id="129"/>
      <w:bookmarkEnd w:id="130"/>
    </w:p>
    <w:p w14:paraId="26932B03">
      <w:pPr>
        <w:rPr>
          <w:rFonts w:hint="eastAsia" w:ascii="宋体" w:hAnsi="宋体" w:eastAsia="宋体" w:cs="宋体"/>
          <w:color w:val="auto"/>
          <w:highlight w:val="none"/>
        </w:rPr>
      </w:pPr>
    </w:p>
    <w:bookmarkEnd w:id="127"/>
    <w:p w14:paraId="66D57972">
      <w:pPr>
        <w:snapToGrid w:val="0"/>
        <w:spacing w:line="360" w:lineRule="auto"/>
        <w:rPr>
          <w:rFonts w:hint="eastAsia" w:ascii="宋体" w:hAnsi="宋体" w:eastAsia="宋体" w:cs="宋体"/>
          <w:b/>
          <w:color w:val="auto"/>
          <w:kern w:val="0"/>
          <w:sz w:val="21"/>
          <w:szCs w:val="21"/>
          <w:highlight w:val="none"/>
        </w:rPr>
      </w:pPr>
      <w:bookmarkStart w:id="131" w:name="_Toc516756958"/>
      <w:bookmarkStart w:id="132" w:name="_Toc433623103"/>
      <w:bookmarkStart w:id="133" w:name="_Toc351203633"/>
      <w:bookmarkStart w:id="134" w:name="_Toc485992734"/>
      <w:bookmarkStart w:id="135" w:name="_Toc518391409"/>
      <w:r>
        <w:rPr>
          <w:rFonts w:hint="eastAsia" w:ascii="宋体" w:hAnsi="宋体" w:eastAsia="宋体" w:cs="宋体"/>
          <w:b/>
          <w:color w:val="auto"/>
          <w:kern w:val="0"/>
          <w:sz w:val="21"/>
          <w:szCs w:val="21"/>
          <w:highlight w:val="none"/>
        </w:rPr>
        <w:t>1</w:t>
      </w:r>
      <w:bookmarkStart w:id="136" w:name="_Toc296944495"/>
      <w:bookmarkStart w:id="137" w:name="_Toc292559866"/>
      <w:bookmarkStart w:id="138" w:name="_Toc296890984"/>
      <w:bookmarkStart w:id="139" w:name="_Toc296891196"/>
      <w:bookmarkStart w:id="140" w:name="_Toc296503156"/>
      <w:bookmarkStart w:id="141" w:name="_Toc297048342"/>
      <w:bookmarkStart w:id="142" w:name="_Toc292559361"/>
      <w:bookmarkStart w:id="143" w:name="_Toc297120456"/>
      <w:bookmarkStart w:id="144" w:name="_Toc296346657"/>
      <w:bookmarkStart w:id="145" w:name="_Toc296347155"/>
      <w:r>
        <w:rPr>
          <w:rFonts w:hint="eastAsia" w:ascii="宋体" w:hAnsi="宋体" w:eastAsia="宋体" w:cs="宋体"/>
          <w:b/>
          <w:color w:val="auto"/>
          <w:kern w:val="0"/>
          <w:sz w:val="21"/>
          <w:szCs w:val="21"/>
          <w:highlight w:val="none"/>
        </w:rPr>
        <w:t>. 一般约定</w:t>
      </w:r>
      <w:bookmarkEnd w:id="131"/>
      <w:bookmarkEnd w:id="132"/>
      <w:bookmarkEnd w:id="133"/>
      <w:bookmarkEnd w:id="134"/>
      <w:bookmarkEnd w:id="135"/>
    </w:p>
    <w:bookmarkEnd w:id="136"/>
    <w:bookmarkEnd w:id="137"/>
    <w:bookmarkEnd w:id="138"/>
    <w:bookmarkEnd w:id="139"/>
    <w:bookmarkEnd w:id="140"/>
    <w:bookmarkEnd w:id="141"/>
    <w:bookmarkEnd w:id="142"/>
    <w:bookmarkEnd w:id="143"/>
    <w:bookmarkEnd w:id="144"/>
    <w:bookmarkEnd w:id="145"/>
    <w:p w14:paraId="25BA585E">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1.1 </w:t>
      </w:r>
      <w:r>
        <w:rPr>
          <w:rFonts w:hint="eastAsia" w:ascii="宋体" w:hAnsi="宋体" w:eastAsia="宋体" w:cs="宋体"/>
          <w:color w:val="auto"/>
          <w:kern w:val="0"/>
          <w:sz w:val="21"/>
          <w:szCs w:val="21"/>
          <w:highlight w:val="none"/>
        </w:rPr>
        <w:t>词语定义</w:t>
      </w:r>
    </w:p>
    <w:p w14:paraId="4C0463F6">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 合同</w:t>
      </w:r>
    </w:p>
    <w:p w14:paraId="2C9BE1B3">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1.1.1.6技术标准和要求：本目中的技术标准和要求是指技术规范，即合同所约定的技术标准和要求，是合同文件的组成部分。通用合同条款中“技术标准和要求”一词具有相同含义，包括合同双方当事人约定对其所作的修改或补充。</w:t>
      </w:r>
    </w:p>
    <w:p w14:paraId="07930A91">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1.1.1.8 已标价工程量清单：指构成合同的由承包人按照发包人规定的格式和要求填写并标明价格、经算术性错误修订及其他错误修订（如有）且承包人已确认的工程量清单。</w:t>
      </w:r>
    </w:p>
    <w:p w14:paraId="6404E8CC">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1.1.1.10 其他合同文件包括：按照合同协议书〔第六条〕约定执行。</w:t>
      </w:r>
    </w:p>
    <w:p w14:paraId="7F4EFB7A">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本项补充1.1.1.11～1.1.1.14目：</w:t>
      </w:r>
    </w:p>
    <w:p w14:paraId="472A1F8E">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1.1.1.11 </w:t>
      </w:r>
      <w:r>
        <w:rPr>
          <w:rFonts w:hint="eastAsia" w:ascii="宋体" w:hAnsi="宋体" w:cs="宋体"/>
          <w:color w:val="auto"/>
          <w:sz w:val="21"/>
          <w:szCs w:val="21"/>
          <w:highlight w:val="none"/>
          <w:lang w:eastAsia="zh-CN"/>
        </w:rPr>
        <w:t>招标</w:t>
      </w:r>
      <w:r>
        <w:rPr>
          <w:rFonts w:hint="eastAsia" w:ascii="宋体" w:hAnsi="宋体" w:eastAsia="宋体" w:cs="宋体"/>
          <w:color w:val="auto"/>
          <w:sz w:val="21"/>
          <w:szCs w:val="21"/>
          <w:highlight w:val="none"/>
          <w:lang w:eastAsia="zh-CN"/>
        </w:rPr>
        <w:t>文件</w:t>
      </w:r>
      <w:r>
        <w:rPr>
          <w:rFonts w:hint="eastAsia" w:ascii="宋体" w:hAnsi="宋体" w:eastAsia="宋体" w:cs="宋体"/>
          <w:color w:val="auto"/>
          <w:sz w:val="21"/>
          <w:szCs w:val="21"/>
          <w:highlight w:val="none"/>
        </w:rPr>
        <w:t>：指本工程的</w:t>
      </w:r>
      <w:r>
        <w:rPr>
          <w:rFonts w:hint="eastAsia" w:ascii="宋体" w:hAnsi="宋体" w:cs="宋体"/>
          <w:color w:val="auto"/>
          <w:sz w:val="21"/>
          <w:szCs w:val="21"/>
          <w:highlight w:val="none"/>
          <w:lang w:eastAsia="zh-CN"/>
        </w:rPr>
        <w:t>招标</w:t>
      </w:r>
      <w:r>
        <w:rPr>
          <w:rFonts w:hint="eastAsia" w:ascii="宋体" w:hAnsi="宋体" w:eastAsia="宋体" w:cs="宋体"/>
          <w:color w:val="auto"/>
          <w:sz w:val="21"/>
          <w:szCs w:val="21"/>
          <w:highlight w:val="none"/>
          <w:lang w:eastAsia="zh-CN"/>
        </w:rPr>
        <w:t>文件</w:t>
      </w:r>
      <w:r>
        <w:rPr>
          <w:rFonts w:hint="eastAsia" w:ascii="宋体" w:hAnsi="宋体" w:eastAsia="宋体" w:cs="宋体"/>
          <w:color w:val="auto"/>
          <w:sz w:val="21"/>
          <w:szCs w:val="21"/>
          <w:highlight w:val="none"/>
        </w:rPr>
        <w:t>、图纸、其他技术资料及</w:t>
      </w:r>
      <w:r>
        <w:rPr>
          <w:rFonts w:hint="eastAsia" w:ascii="宋体" w:hAnsi="宋体" w:cs="宋体"/>
          <w:color w:val="auto"/>
          <w:sz w:val="21"/>
          <w:szCs w:val="21"/>
          <w:highlight w:val="none"/>
          <w:lang w:eastAsia="zh-CN"/>
        </w:rPr>
        <w:t>采购人</w:t>
      </w:r>
      <w:r>
        <w:rPr>
          <w:rFonts w:hint="eastAsia" w:ascii="宋体" w:hAnsi="宋体" w:eastAsia="宋体" w:cs="宋体"/>
          <w:color w:val="auto"/>
          <w:sz w:val="21"/>
          <w:szCs w:val="21"/>
          <w:highlight w:val="none"/>
        </w:rPr>
        <w:t>发出的对</w:t>
      </w:r>
      <w:r>
        <w:rPr>
          <w:rFonts w:hint="eastAsia" w:ascii="宋体" w:hAnsi="宋体" w:cs="宋体"/>
          <w:color w:val="auto"/>
          <w:sz w:val="21"/>
          <w:szCs w:val="21"/>
          <w:highlight w:val="none"/>
          <w:lang w:eastAsia="zh-CN"/>
        </w:rPr>
        <w:t>招标文件</w:t>
      </w:r>
      <w:r>
        <w:rPr>
          <w:rFonts w:hint="eastAsia" w:ascii="宋体" w:hAnsi="宋体" w:eastAsia="宋体" w:cs="宋体"/>
          <w:color w:val="auto"/>
          <w:sz w:val="21"/>
          <w:szCs w:val="21"/>
          <w:highlight w:val="none"/>
        </w:rPr>
        <w:t>所作的澄清、修改、补遗等资料。</w:t>
      </w:r>
    </w:p>
    <w:p w14:paraId="432424FB">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1.1.1.12 工作：指根据合同条款规定，或根据合同合理推及的，为本工程（包括永久工程和临时工程）施工与维护所需要的管理、劳务、材料、施工设备和其他物品的提供。</w:t>
      </w:r>
    </w:p>
    <w:p w14:paraId="0491C03A">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1.1.1.13 重大设计变更：按照规定需要重新报建设行政主管部门批准的设计变更。</w:t>
      </w:r>
    </w:p>
    <w:p w14:paraId="50629C4F">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1.1.1.14 公章：专指法定单位名称章。</w:t>
      </w:r>
    </w:p>
    <w:p w14:paraId="07F6F662">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1.1.1.15 到岗：指承包人按照到岗履职承诺安排满足办理施工许可手续相关要求的项目主要管理人员实际到施工现场就职履约的行为。</w:t>
      </w:r>
    </w:p>
    <w:p w14:paraId="72531DE7">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1.1.1.16 项目法人：指具有民事权利能力和民事行为能力，依法独立享有民事权利和承担民事义务，以建设项目为目的，从事项目管理的机构、单位或组织。</w:t>
      </w:r>
    </w:p>
    <w:p w14:paraId="26CA6C3F">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 合同当事人及其他相关方</w:t>
      </w:r>
    </w:p>
    <w:p w14:paraId="6736F9E9">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1.1.2.4监理人：</w:t>
      </w:r>
    </w:p>
    <w:p w14:paraId="49299154">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名    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F0AAB29">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资质类别和等级：</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FC1B674">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D3CDFF4">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CD43BAE">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通信地址：</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4A5499B">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1.1.2.5 设计人：</w:t>
      </w:r>
    </w:p>
    <w:p w14:paraId="3BA6A7E6">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名    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7063109">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资质类别和等级：</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D642E21">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434E759">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650104A">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通信地址：</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835B913">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1.1.3 工程和设备</w:t>
      </w:r>
    </w:p>
    <w:p w14:paraId="59F0029E">
      <w:pPr>
        <w:snapToGrid w:val="0"/>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1.1.3.7 作为施工现场组成部分的其他场所包括：</w:t>
      </w:r>
      <w:r>
        <w:rPr>
          <w:rFonts w:hint="eastAsia" w:ascii="宋体" w:hAnsi="宋体" w:eastAsia="宋体" w:cs="宋体"/>
          <w:color w:val="auto"/>
          <w:sz w:val="21"/>
          <w:szCs w:val="21"/>
          <w:highlight w:val="none"/>
          <w:u w:val="single"/>
        </w:rPr>
        <w:t>施工现场现状。</w:t>
      </w:r>
    </w:p>
    <w:p w14:paraId="669F11D9">
      <w:pPr>
        <w:snapToGri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1.1.3.9 永久占地包括：</w:t>
      </w:r>
      <w:r>
        <w:rPr>
          <w:rFonts w:hint="eastAsia" w:ascii="宋体" w:hAnsi="宋体" w:eastAsia="宋体" w:cs="宋体"/>
          <w:color w:val="auto"/>
          <w:sz w:val="21"/>
          <w:szCs w:val="21"/>
          <w:highlight w:val="none"/>
          <w:u w:val="single"/>
        </w:rPr>
        <w:t xml:space="preserve"> 由发包人提供相关图纸 </w:t>
      </w:r>
      <w:r>
        <w:rPr>
          <w:rFonts w:hint="eastAsia" w:ascii="宋体" w:hAnsi="宋体" w:eastAsia="宋体" w:cs="宋体"/>
          <w:color w:val="auto"/>
          <w:kern w:val="0"/>
          <w:sz w:val="21"/>
          <w:szCs w:val="21"/>
          <w:highlight w:val="none"/>
        </w:rPr>
        <w:t>。</w:t>
      </w:r>
    </w:p>
    <w:p w14:paraId="078DB6A8">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1.1.3.10 临时占地包括：</w:t>
      </w:r>
      <w:r>
        <w:rPr>
          <w:rFonts w:hint="eastAsia" w:ascii="宋体" w:hAnsi="宋体" w:eastAsia="宋体" w:cs="宋体"/>
          <w:color w:val="auto"/>
          <w:sz w:val="21"/>
          <w:szCs w:val="21"/>
          <w:highlight w:val="none"/>
          <w:u w:val="single"/>
        </w:rPr>
        <w:t xml:space="preserve">由发包人提供相关图纸 </w:t>
      </w:r>
      <w:r>
        <w:rPr>
          <w:rFonts w:hint="eastAsia" w:ascii="宋体" w:hAnsi="宋体" w:eastAsia="宋体" w:cs="宋体"/>
          <w:color w:val="auto"/>
          <w:kern w:val="0"/>
          <w:sz w:val="21"/>
          <w:szCs w:val="21"/>
          <w:highlight w:val="none"/>
        </w:rPr>
        <w:t>。</w:t>
      </w:r>
    </w:p>
    <w:p w14:paraId="126DA9DD">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1.3法律 </w:t>
      </w:r>
    </w:p>
    <w:p w14:paraId="7011397B">
      <w:pPr>
        <w:autoSpaceDE w:val="0"/>
        <w:autoSpaceDN w:val="0"/>
        <w:adjustRightInd w:val="0"/>
        <w:snapToGrid w:val="0"/>
        <w:spacing w:line="360" w:lineRule="auto"/>
        <w:ind w:left="795" w:leftChars="284"/>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适用于合同的其他规范性文件：</w:t>
      </w:r>
      <w:r>
        <w:rPr>
          <w:rFonts w:hint="eastAsia" w:ascii="宋体" w:hAnsi="宋体" w:eastAsia="宋体" w:cs="宋体"/>
          <w:color w:val="auto"/>
          <w:sz w:val="21"/>
          <w:szCs w:val="21"/>
          <w:highlight w:val="none"/>
          <w:u w:val="single"/>
        </w:rPr>
        <w:t xml:space="preserve"> 相关法律法规   </w:t>
      </w:r>
    </w:p>
    <w:p w14:paraId="17657290">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 标准和规范</w:t>
      </w:r>
    </w:p>
    <w:p w14:paraId="619F6D55">
      <w:pPr>
        <w:snapToGrid w:val="0"/>
        <w:spacing w:line="360" w:lineRule="auto"/>
        <w:ind w:left="795" w:leftChars="28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1.4.1适用于工程的标准规范包括：</w:t>
      </w:r>
    </w:p>
    <w:p w14:paraId="0EE3F7CF">
      <w:pPr>
        <w:snapToGrid w:val="0"/>
        <w:spacing w:line="360" w:lineRule="auto"/>
        <w:ind w:left="795" w:leftChars="284"/>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（1）施工图所涉及的技术标准、规范、规程、图集等；</w:t>
      </w:r>
    </w:p>
    <w:p w14:paraId="4C41A2D0">
      <w:pPr>
        <w:snapToGrid w:val="0"/>
        <w:spacing w:line="360" w:lineRule="auto"/>
        <w:ind w:left="795" w:leftChars="284"/>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（2）国家、行业或重庆市与本工程有关的标准，以及相应的规范、规程等，当这些标准、规范、规程不一致时，以标准、规范、规程要求最高的为准。</w:t>
      </w:r>
    </w:p>
    <w:p w14:paraId="43337828">
      <w:pPr>
        <w:snapToGrid w:val="0"/>
        <w:spacing w:line="360" w:lineRule="auto"/>
        <w:ind w:left="795" w:leftChars="28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（3）        。 </w:t>
      </w:r>
    </w:p>
    <w:p w14:paraId="27E03804">
      <w:pPr>
        <w:snapToGrid w:val="0"/>
        <w:spacing w:line="360" w:lineRule="auto"/>
        <w:ind w:left="795" w:leftChars="28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1.4.2 发包人提供国外标准、规范的名称：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highlight w:val="none"/>
          <w:u w:val="singl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67098FE">
      <w:pPr>
        <w:snapToGrid w:val="0"/>
        <w:spacing w:line="360" w:lineRule="auto"/>
        <w:ind w:left="795" w:leftChars="28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发包人提供国外标准、规范的份数：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highlight w:val="none"/>
          <w:u w:val="singl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33EA246">
      <w:pPr>
        <w:snapToGrid w:val="0"/>
        <w:spacing w:line="360" w:lineRule="auto"/>
        <w:ind w:left="795" w:leftChars="28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发包人提供国外标准、规范的名称：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highlight w:val="none"/>
          <w:u w:val="singl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8A20393">
      <w:pPr>
        <w:snapToGrid w:val="0"/>
        <w:spacing w:line="360" w:lineRule="auto"/>
        <w:ind w:left="795" w:leftChars="28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1.4.3发包人对工程的技术标准和功能要求的特殊要求：</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highlight w:val="none"/>
          <w:u w:val="singl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36CBDA3">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1.5 </w:t>
      </w:r>
      <w:r>
        <w:rPr>
          <w:rFonts w:hint="eastAsia" w:ascii="宋体" w:hAnsi="宋体" w:eastAsia="宋体" w:cs="宋体"/>
          <w:color w:val="auto"/>
          <w:kern w:val="0"/>
          <w:sz w:val="21"/>
          <w:szCs w:val="21"/>
          <w:highlight w:val="none"/>
        </w:rPr>
        <w:t>合同文件的优先顺序</w:t>
      </w:r>
    </w:p>
    <w:p w14:paraId="46BA1779">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合同文件组成及优先顺序为：</w:t>
      </w:r>
    </w:p>
    <w:p w14:paraId="2085E4DA">
      <w:pPr>
        <w:autoSpaceDE w:val="0"/>
        <w:autoSpaceDN w:val="0"/>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成交</w:t>
      </w:r>
      <w:r>
        <w:rPr>
          <w:rFonts w:hint="eastAsia" w:ascii="宋体" w:hAnsi="宋体" w:eastAsia="宋体" w:cs="宋体"/>
          <w:color w:val="auto"/>
          <w:sz w:val="21"/>
          <w:szCs w:val="21"/>
          <w:highlight w:val="none"/>
        </w:rPr>
        <w:t>通知书；</w:t>
      </w:r>
    </w:p>
    <w:p w14:paraId="01FB340B">
      <w:pPr>
        <w:autoSpaceDE w:val="0"/>
        <w:autoSpaceDN w:val="0"/>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eastAsia="zh-CN"/>
        </w:rPr>
        <w:t>招标</w:t>
      </w:r>
      <w:r>
        <w:rPr>
          <w:rFonts w:hint="eastAsia" w:ascii="宋体" w:hAnsi="宋体" w:eastAsia="宋体" w:cs="宋体"/>
          <w:color w:val="auto"/>
          <w:sz w:val="21"/>
          <w:szCs w:val="21"/>
          <w:highlight w:val="none"/>
        </w:rPr>
        <w:t>文件及答疑补遗；</w:t>
      </w:r>
    </w:p>
    <w:p w14:paraId="06B9DD74">
      <w:pPr>
        <w:autoSpaceDE w:val="0"/>
        <w:autoSpaceDN w:val="0"/>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eastAsia="zh-CN"/>
        </w:rPr>
        <w:t>电子响应文件</w:t>
      </w:r>
      <w:r>
        <w:rPr>
          <w:rFonts w:hint="eastAsia" w:ascii="宋体" w:hAnsi="宋体" w:eastAsia="宋体" w:cs="宋体"/>
          <w:color w:val="auto"/>
          <w:sz w:val="21"/>
          <w:szCs w:val="21"/>
          <w:highlight w:val="none"/>
        </w:rPr>
        <w:t>；</w:t>
      </w:r>
    </w:p>
    <w:p w14:paraId="4F3411BD">
      <w:pPr>
        <w:autoSpaceDE w:val="0"/>
        <w:autoSpaceDN w:val="0"/>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（4）通用合同条款；</w:t>
      </w:r>
    </w:p>
    <w:p w14:paraId="01162BC0">
      <w:pPr>
        <w:autoSpaceDE w:val="0"/>
        <w:autoSpaceDN w:val="0"/>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（5）专用合同条款及其附件；</w:t>
      </w:r>
    </w:p>
    <w:p w14:paraId="31DC9815">
      <w:pPr>
        <w:autoSpaceDE w:val="0"/>
        <w:autoSpaceDN w:val="0"/>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（6）已标价工程量清单；</w:t>
      </w:r>
    </w:p>
    <w:p w14:paraId="7D401B69">
      <w:pPr>
        <w:autoSpaceDE w:val="0"/>
        <w:autoSpaceDN w:val="0"/>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（7）图纸；</w:t>
      </w:r>
    </w:p>
    <w:p w14:paraId="59E38256">
      <w:pPr>
        <w:autoSpaceDE w:val="0"/>
        <w:autoSpaceDN w:val="0"/>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（8）技术标准和要求；</w:t>
      </w:r>
    </w:p>
    <w:p w14:paraId="06FCA13E">
      <w:pPr>
        <w:autoSpaceDE w:val="0"/>
        <w:autoSpaceDN w:val="0"/>
        <w:adjustRightInd w:val="0"/>
        <w:snapToGrid w:val="0"/>
        <w:spacing w:line="360" w:lineRule="auto"/>
        <w:ind w:firstLine="525" w:firstLineChars="25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 其他合同文件。</w:t>
      </w:r>
    </w:p>
    <w:p w14:paraId="7AB56CF7">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1.6 </w:t>
      </w:r>
      <w:r>
        <w:rPr>
          <w:rFonts w:hint="eastAsia" w:ascii="宋体" w:hAnsi="宋体" w:eastAsia="宋体" w:cs="宋体"/>
          <w:color w:val="auto"/>
          <w:kern w:val="0"/>
          <w:sz w:val="21"/>
          <w:szCs w:val="21"/>
          <w:highlight w:val="none"/>
        </w:rPr>
        <w:t>图纸和承包人文件</w:t>
      </w:r>
    </w:p>
    <w:p w14:paraId="6688D9D0">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1.6.1 图纸的提供</w:t>
      </w:r>
    </w:p>
    <w:p w14:paraId="7AFB1411">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发包人向承包人提供图纸的期限：</w:t>
      </w:r>
      <w:r>
        <w:rPr>
          <w:rFonts w:hint="eastAsia" w:ascii="宋体" w:hAnsi="宋体" w:eastAsia="宋体" w:cs="宋体"/>
          <w:color w:val="auto"/>
          <w:sz w:val="21"/>
          <w:szCs w:val="21"/>
          <w:highlight w:val="none"/>
          <w:u w:val="single"/>
        </w:rPr>
        <w:t xml:space="preserve"> 开工前14日内提供 </w:t>
      </w:r>
      <w:r>
        <w:rPr>
          <w:rFonts w:hint="eastAsia" w:ascii="宋体" w:hAnsi="宋体" w:eastAsia="宋体" w:cs="宋体"/>
          <w:color w:val="auto"/>
          <w:sz w:val="21"/>
          <w:szCs w:val="21"/>
          <w:highlight w:val="none"/>
        </w:rPr>
        <w:t>；</w:t>
      </w:r>
    </w:p>
    <w:p w14:paraId="0E5BB35A">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发包人向承包人提供图纸的数量：</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2</w:t>
      </w:r>
      <w:r>
        <w:rPr>
          <w:rFonts w:hint="eastAsia" w:ascii="宋体" w:hAnsi="宋体" w:eastAsia="宋体" w:cs="宋体"/>
          <w:color w:val="auto"/>
          <w:sz w:val="21"/>
          <w:szCs w:val="21"/>
          <w:highlight w:val="none"/>
          <w:u w:val="single"/>
        </w:rPr>
        <w:t>套</w:t>
      </w:r>
      <w:r>
        <w:rPr>
          <w:rFonts w:hint="eastAsia" w:ascii="宋体" w:hAnsi="宋体" w:eastAsia="宋体" w:cs="宋体"/>
          <w:color w:val="auto"/>
          <w:sz w:val="21"/>
          <w:szCs w:val="21"/>
          <w:highlight w:val="none"/>
        </w:rPr>
        <w:t>；</w:t>
      </w:r>
    </w:p>
    <w:p w14:paraId="157AF20F">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发包人向承包人提供图纸的内容：</w:t>
      </w:r>
      <w:r>
        <w:rPr>
          <w:rFonts w:hint="eastAsia" w:ascii="宋体" w:hAnsi="宋体" w:eastAsia="宋体" w:cs="宋体"/>
          <w:color w:val="auto"/>
          <w:sz w:val="21"/>
          <w:szCs w:val="21"/>
          <w:highlight w:val="none"/>
          <w:u w:val="single"/>
        </w:rPr>
        <w:t xml:space="preserve"> 工程承包范围内工程的施工图设计文件 </w:t>
      </w:r>
      <w:r>
        <w:rPr>
          <w:rFonts w:hint="eastAsia" w:ascii="宋体" w:hAnsi="宋体" w:eastAsia="宋体" w:cs="宋体"/>
          <w:color w:val="auto"/>
          <w:sz w:val="21"/>
          <w:szCs w:val="21"/>
          <w:highlight w:val="none"/>
        </w:rPr>
        <w:t>。</w:t>
      </w:r>
    </w:p>
    <w:p w14:paraId="18FDB901">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1.6.4 承包人文件</w:t>
      </w:r>
    </w:p>
    <w:p w14:paraId="06E6E023">
      <w:pPr>
        <w:snapToGrid w:val="0"/>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需要由承包人提供的文件，包括：</w:t>
      </w:r>
      <w:r>
        <w:rPr>
          <w:rFonts w:hint="eastAsia" w:ascii="宋体" w:hAnsi="宋体" w:eastAsia="宋体" w:cs="宋体"/>
          <w:color w:val="auto"/>
          <w:sz w:val="21"/>
          <w:szCs w:val="21"/>
          <w:highlight w:val="none"/>
          <w:u w:val="single"/>
        </w:rPr>
        <w:t xml:space="preserve">国家相关职能部门文件、现场会议纪要、技术资料（包括工程所需图集）、施工组织设计、专项施工方案、安全应急方案、当月实际完成合格工程量进度报表、次月进度计划、工程预算、结算、材料采购计划报表，以及合格的工程技术竣工资料等。 </w:t>
      </w:r>
    </w:p>
    <w:p w14:paraId="694516E8">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承包人提供的文件的期限、数量：</w:t>
      </w:r>
      <w:r>
        <w:rPr>
          <w:rFonts w:hint="eastAsia" w:ascii="宋体" w:hAnsi="宋体" w:eastAsia="宋体" w:cs="宋体"/>
          <w:color w:val="auto"/>
          <w:sz w:val="21"/>
          <w:szCs w:val="21"/>
          <w:highlight w:val="none"/>
          <w:u w:val="single"/>
        </w:rPr>
        <w:t>工程开工前一周内，提供施工组织设计和安全应急方案，专项工程实施前1个月提供专项施工方案；每月22日前报送本月已完合格工程进度报表和次月进度计划一式伍份。</w:t>
      </w:r>
    </w:p>
    <w:p w14:paraId="6469B3A4">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承包人提供的文件的数量为：</w:t>
      </w:r>
      <w:r>
        <w:rPr>
          <w:rFonts w:hint="eastAsia" w:ascii="宋体" w:hAnsi="宋体" w:eastAsia="宋体" w:cs="宋体"/>
          <w:color w:val="auto"/>
          <w:sz w:val="21"/>
          <w:szCs w:val="21"/>
          <w:highlight w:val="none"/>
          <w:u w:val="single"/>
        </w:rPr>
        <w:t xml:space="preserve"> 一式五份 </w:t>
      </w:r>
      <w:r>
        <w:rPr>
          <w:rFonts w:hint="eastAsia" w:ascii="宋体" w:hAnsi="宋体" w:eastAsia="宋体" w:cs="宋体"/>
          <w:color w:val="auto"/>
          <w:sz w:val="21"/>
          <w:szCs w:val="21"/>
          <w:highlight w:val="none"/>
        </w:rPr>
        <w:t>；</w:t>
      </w:r>
    </w:p>
    <w:p w14:paraId="6256A040">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承包人提供的文件的形式为：</w:t>
      </w:r>
      <w:r>
        <w:rPr>
          <w:rFonts w:hint="eastAsia" w:ascii="宋体" w:hAnsi="宋体" w:eastAsia="宋体" w:cs="宋体"/>
          <w:color w:val="auto"/>
          <w:sz w:val="21"/>
          <w:szCs w:val="21"/>
          <w:highlight w:val="none"/>
          <w:u w:val="single"/>
        </w:rPr>
        <w:t xml:space="preserve"> 书面形式、加盖项目部公章 </w:t>
      </w:r>
      <w:r>
        <w:rPr>
          <w:rFonts w:hint="eastAsia" w:ascii="宋体" w:hAnsi="宋体" w:eastAsia="宋体" w:cs="宋体"/>
          <w:color w:val="auto"/>
          <w:sz w:val="21"/>
          <w:szCs w:val="21"/>
          <w:highlight w:val="none"/>
        </w:rPr>
        <w:t>；</w:t>
      </w:r>
    </w:p>
    <w:p w14:paraId="777EA1C5">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发包人审批承包人文件的期限：</w:t>
      </w:r>
      <w:r>
        <w:rPr>
          <w:rFonts w:hint="eastAsia" w:ascii="宋体" w:hAnsi="宋体" w:eastAsia="宋体" w:cs="宋体"/>
          <w:color w:val="auto"/>
          <w:sz w:val="21"/>
          <w:szCs w:val="21"/>
          <w:highlight w:val="none"/>
          <w:u w:val="single"/>
        </w:rPr>
        <w:t xml:space="preserve"> 执行通用条款  </w:t>
      </w:r>
      <w:r>
        <w:rPr>
          <w:rFonts w:hint="eastAsia" w:ascii="宋体" w:hAnsi="宋体" w:eastAsia="宋体" w:cs="宋体"/>
          <w:color w:val="auto"/>
          <w:sz w:val="21"/>
          <w:szCs w:val="21"/>
          <w:highlight w:val="none"/>
        </w:rPr>
        <w:t>。</w:t>
      </w:r>
    </w:p>
    <w:p w14:paraId="6F86EC4D">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1.6.5 现场图纸准备</w:t>
      </w:r>
    </w:p>
    <w:p w14:paraId="1C8B3ABC">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关于现场图纸准备的约定：</w:t>
      </w:r>
      <w:r>
        <w:rPr>
          <w:rFonts w:hint="eastAsia" w:ascii="宋体" w:hAnsi="宋体" w:eastAsia="宋体" w:cs="宋体"/>
          <w:color w:val="auto"/>
          <w:sz w:val="21"/>
          <w:szCs w:val="21"/>
          <w:highlight w:val="none"/>
          <w:u w:val="single"/>
        </w:rPr>
        <w:t xml:space="preserve"> 按通用合同条款执行 </w:t>
      </w:r>
      <w:r>
        <w:rPr>
          <w:rFonts w:hint="eastAsia" w:ascii="宋体" w:hAnsi="宋体" w:eastAsia="宋体" w:cs="宋体"/>
          <w:color w:val="auto"/>
          <w:sz w:val="21"/>
          <w:szCs w:val="21"/>
          <w:highlight w:val="none"/>
        </w:rPr>
        <w:t>。</w:t>
      </w:r>
    </w:p>
    <w:p w14:paraId="7DDF8516">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 联络</w:t>
      </w:r>
    </w:p>
    <w:p w14:paraId="147955E9">
      <w:pPr>
        <w:snapToGrid w:val="0"/>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1.7.1发包人和承包人应当在</w:t>
      </w:r>
      <w:r>
        <w:rPr>
          <w:rFonts w:hint="eastAsia" w:ascii="宋体" w:hAnsi="宋体" w:eastAsia="宋体" w:cs="宋体"/>
          <w:color w:val="auto"/>
          <w:sz w:val="21"/>
          <w:szCs w:val="21"/>
          <w:highlight w:val="none"/>
          <w:u w:val="single"/>
        </w:rPr>
        <w:t xml:space="preserve"> 5  </w:t>
      </w:r>
      <w:r>
        <w:rPr>
          <w:rFonts w:hint="eastAsia" w:ascii="宋体" w:hAnsi="宋体" w:eastAsia="宋体" w:cs="宋体"/>
          <w:color w:val="auto"/>
          <w:kern w:val="0"/>
          <w:sz w:val="21"/>
          <w:szCs w:val="21"/>
          <w:highlight w:val="none"/>
        </w:rPr>
        <w:t>天内将与合同有关的通知、批准、证明、证书、指示、指令、要求、请求、同意、意见、确定和决定等书面函件送达对方当事人。</w:t>
      </w:r>
    </w:p>
    <w:p w14:paraId="75E28BE9">
      <w:pPr>
        <w:snapToGrid w:val="0"/>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1.7.2 发包人接收文件的地点：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rPr>
        <w:t>；</w:t>
      </w:r>
    </w:p>
    <w:p w14:paraId="4C24B00C">
      <w:pPr>
        <w:snapToGrid w:val="0"/>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发包人指定的接收人为：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rPr>
        <w:t>。</w:t>
      </w:r>
    </w:p>
    <w:p w14:paraId="3AD297A0">
      <w:pPr>
        <w:snapToGrid w:val="0"/>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承包人接收文件的地点：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rPr>
        <w:t>；</w:t>
      </w:r>
    </w:p>
    <w:p w14:paraId="736C4EEB">
      <w:pPr>
        <w:snapToGrid w:val="0"/>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承包人指定的接收人为：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rPr>
        <w:t>。</w:t>
      </w:r>
    </w:p>
    <w:p w14:paraId="0C8171E8">
      <w:pPr>
        <w:snapToGrid w:val="0"/>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监理人接收文件的地点：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rPr>
        <w:t>；</w:t>
      </w:r>
    </w:p>
    <w:p w14:paraId="18F1DDD4">
      <w:pPr>
        <w:snapToGrid w:val="0"/>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监理人指定的接收人为：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rPr>
        <w:t>。</w:t>
      </w:r>
    </w:p>
    <w:p w14:paraId="538DBC3D">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1.10 </w:t>
      </w:r>
      <w:r>
        <w:rPr>
          <w:rFonts w:hint="eastAsia" w:ascii="宋体" w:hAnsi="宋体" w:eastAsia="宋体" w:cs="宋体"/>
          <w:color w:val="auto"/>
          <w:kern w:val="0"/>
          <w:sz w:val="21"/>
          <w:szCs w:val="21"/>
          <w:highlight w:val="none"/>
        </w:rPr>
        <w:t>交通运输</w:t>
      </w:r>
    </w:p>
    <w:p w14:paraId="72DD55F6">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bookmarkStart w:id="146" w:name="_Toc304295521"/>
      <w:bookmarkStart w:id="147" w:name="_Toc303539100"/>
      <w:bookmarkStart w:id="148" w:name="_Toc300934943"/>
      <w:bookmarkStart w:id="149" w:name="_Toc312677986"/>
      <w:bookmarkStart w:id="150" w:name="_Toc318581155"/>
      <w:r>
        <w:rPr>
          <w:rFonts w:hint="eastAsia" w:ascii="宋体" w:hAnsi="宋体" w:eastAsia="宋体" w:cs="宋体"/>
          <w:color w:val="auto"/>
          <w:sz w:val="21"/>
          <w:szCs w:val="21"/>
          <w:highlight w:val="none"/>
        </w:rPr>
        <w:t>.10.1 出入现场的权利</w:t>
      </w:r>
    </w:p>
    <w:p w14:paraId="7C5E1C59">
      <w:pPr>
        <w:snapToGrid w:val="0"/>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关于出入现场的权利的约定：</w:t>
      </w:r>
      <w:r>
        <w:rPr>
          <w:rFonts w:hint="eastAsia" w:ascii="宋体" w:hAnsi="宋体" w:eastAsia="宋体" w:cs="宋体"/>
          <w:color w:val="auto"/>
          <w:sz w:val="21"/>
          <w:szCs w:val="21"/>
          <w:highlight w:val="none"/>
          <w:u w:val="single"/>
        </w:rPr>
        <w:t>由承包人按发包人要求负责取得出入施工现场所需的批准手续和全部权利；承包人应在竞标前自行踏勘现场，对进出施工现场的方式、手段、路线作出预估，并在报价时充分考虑完善进出现场条件所需的费用及对工期的影响，否则因此增加的费用和延误工期的责任由承包人承担。</w:t>
      </w:r>
    </w:p>
    <w:bookmarkEnd w:id="146"/>
    <w:bookmarkEnd w:id="147"/>
    <w:bookmarkEnd w:id="148"/>
    <w:bookmarkEnd w:id="149"/>
    <w:bookmarkEnd w:id="150"/>
    <w:p w14:paraId="4E4E522A">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bookmarkStart w:id="151" w:name="_Toc300934944"/>
      <w:bookmarkStart w:id="152" w:name="_Toc318581156"/>
      <w:bookmarkStart w:id="153" w:name="_Toc303539101"/>
      <w:bookmarkStart w:id="154" w:name="_Toc304295522"/>
      <w:bookmarkStart w:id="155" w:name="_Toc312677987"/>
      <w:r>
        <w:rPr>
          <w:rFonts w:hint="eastAsia" w:ascii="宋体" w:hAnsi="宋体" w:eastAsia="宋体" w:cs="宋体"/>
          <w:color w:val="auto"/>
          <w:sz w:val="21"/>
          <w:szCs w:val="21"/>
          <w:highlight w:val="none"/>
        </w:rPr>
        <w:t>.10.3 场内交通</w:t>
      </w:r>
    </w:p>
    <w:p w14:paraId="3A3C8504">
      <w:pPr>
        <w:snapToGrid w:val="0"/>
        <w:spacing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kern w:val="0"/>
          <w:sz w:val="21"/>
          <w:szCs w:val="21"/>
          <w:highlight w:val="none"/>
        </w:rPr>
        <w:t>关于场外交通和场内交通的边界的约定：</w:t>
      </w:r>
      <w:r>
        <w:rPr>
          <w:rFonts w:hint="eastAsia" w:ascii="宋体" w:hAnsi="宋体" w:eastAsia="宋体" w:cs="宋体"/>
          <w:color w:val="auto"/>
          <w:sz w:val="21"/>
          <w:szCs w:val="21"/>
          <w:highlight w:val="none"/>
          <w:u w:val="single"/>
        </w:rPr>
        <w:t xml:space="preserve">按通用条款执行  </w:t>
      </w:r>
    </w:p>
    <w:p w14:paraId="1D708539">
      <w:pPr>
        <w:snapToGrid w:val="0"/>
        <w:spacing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关于发包人向承包人免费提供满足工程施工需要的场内道路和交通设施的约定：</w:t>
      </w:r>
      <w:r>
        <w:rPr>
          <w:rFonts w:hint="eastAsia" w:ascii="宋体" w:hAnsi="宋体" w:eastAsia="宋体" w:cs="宋体"/>
          <w:color w:val="auto"/>
          <w:sz w:val="21"/>
          <w:szCs w:val="21"/>
          <w:highlight w:val="none"/>
          <w:u w:val="single"/>
        </w:rPr>
        <w:t xml:space="preserve">由承包人自行承担，费用已包含在综合单价内。  </w:t>
      </w:r>
      <w:bookmarkEnd w:id="151"/>
      <w:bookmarkEnd w:id="152"/>
      <w:bookmarkEnd w:id="153"/>
      <w:bookmarkEnd w:id="154"/>
      <w:bookmarkEnd w:id="155"/>
      <w:bookmarkStart w:id="156" w:name="_Toc318581157"/>
    </w:p>
    <w:p w14:paraId="12EF0878">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1.10.4超大件和超重件的运输</w:t>
      </w:r>
    </w:p>
    <w:p w14:paraId="70E6EF93">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运输超大件或超重件所需的道路和桥梁临时加固改造费用和其他有关费用由</w:t>
      </w:r>
      <w:r>
        <w:rPr>
          <w:rFonts w:hint="eastAsia" w:ascii="宋体" w:hAnsi="宋体" w:eastAsia="宋体" w:cs="宋体"/>
          <w:color w:val="auto"/>
          <w:sz w:val="21"/>
          <w:szCs w:val="21"/>
          <w:highlight w:val="none"/>
          <w:u w:val="single"/>
        </w:rPr>
        <w:t xml:space="preserve"> 承包人 </w:t>
      </w:r>
      <w:r>
        <w:rPr>
          <w:rFonts w:hint="eastAsia" w:ascii="宋体" w:hAnsi="宋体" w:eastAsia="宋体" w:cs="宋体"/>
          <w:color w:val="auto"/>
          <w:sz w:val="21"/>
          <w:szCs w:val="21"/>
          <w:highlight w:val="none"/>
        </w:rPr>
        <w:t>承担。</w:t>
      </w:r>
    </w:p>
    <w:bookmarkEnd w:id="156"/>
    <w:p w14:paraId="2BAF8E89">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1.11 </w:t>
      </w:r>
      <w:r>
        <w:rPr>
          <w:rFonts w:hint="eastAsia" w:ascii="宋体" w:hAnsi="宋体" w:eastAsia="宋体" w:cs="宋体"/>
          <w:color w:val="auto"/>
          <w:kern w:val="0"/>
          <w:sz w:val="21"/>
          <w:szCs w:val="21"/>
          <w:highlight w:val="none"/>
        </w:rPr>
        <w:t>知识产权</w:t>
      </w:r>
    </w:p>
    <w:p w14:paraId="09C3C9AA">
      <w:pPr>
        <w:snapToGrid w:val="0"/>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1.11.1关于发包人提供给承包人的图纸、发包人为实施工程自行编制或委托编制的技术规范以及反映发包人关于合同要求或其他类似性质的文件的著作权的归属：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color w:val="auto"/>
          <w:sz w:val="21"/>
          <w:szCs w:val="21"/>
          <w:highlight w:val="none"/>
          <w:u w:val="single"/>
        </w:rPr>
        <w:t>按通用合同条款执行</w:t>
      </w:r>
    </w:p>
    <w:p w14:paraId="38862A40">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关于发包人提供的上述文件的使用限制的要求：</w:t>
      </w:r>
      <w:r>
        <w:rPr>
          <w:rFonts w:hint="eastAsia" w:ascii="宋体" w:hAnsi="宋体" w:eastAsia="宋体" w:cs="宋体"/>
          <w:color w:val="auto"/>
          <w:sz w:val="21"/>
          <w:szCs w:val="21"/>
          <w:highlight w:val="none"/>
          <w:u w:val="single"/>
        </w:rPr>
        <w:t xml:space="preserve">     按通用合同条款执行    </w:t>
      </w:r>
    </w:p>
    <w:p w14:paraId="1AD43535">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1.11.2 关于承包人为实施工程所编制文件的著作权的归属：</w:t>
      </w:r>
      <w:r>
        <w:rPr>
          <w:rFonts w:hint="eastAsia" w:ascii="宋体" w:hAnsi="宋体" w:eastAsia="宋体" w:cs="宋体"/>
          <w:color w:val="auto"/>
          <w:sz w:val="21"/>
          <w:szCs w:val="21"/>
          <w:highlight w:val="none"/>
          <w:u w:val="single"/>
        </w:rPr>
        <w:t xml:space="preserve">   按通用合同条款执行  </w:t>
      </w:r>
    </w:p>
    <w:p w14:paraId="161248DA">
      <w:pPr>
        <w:snapToGrid w:val="0"/>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关于承包人提供的上述文件的使用限制的要求：</w:t>
      </w:r>
      <w:r>
        <w:rPr>
          <w:rFonts w:hint="eastAsia" w:ascii="宋体" w:hAnsi="宋体" w:eastAsia="宋体" w:cs="宋体"/>
          <w:color w:val="auto"/>
          <w:sz w:val="21"/>
          <w:szCs w:val="21"/>
          <w:highlight w:val="none"/>
          <w:u w:val="single"/>
        </w:rPr>
        <w:t xml:space="preserve">按通用合同条款执行  </w:t>
      </w:r>
    </w:p>
    <w:p w14:paraId="384376BA">
      <w:pPr>
        <w:snapToGrid w:val="0"/>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1.11.4 承包人在施工过程中所采用的专利、专有技术、技术秘密的使用费的承担方式：</w:t>
      </w:r>
      <w:r>
        <w:rPr>
          <w:rFonts w:hint="eastAsia" w:ascii="宋体" w:hAnsi="宋体" w:eastAsia="宋体" w:cs="宋体"/>
          <w:color w:val="auto"/>
          <w:sz w:val="21"/>
          <w:szCs w:val="21"/>
          <w:highlight w:val="none"/>
          <w:u w:val="single"/>
        </w:rPr>
        <w:t>按通用合同条款执行</w:t>
      </w:r>
      <w:r>
        <w:rPr>
          <w:rFonts w:hint="eastAsia" w:ascii="宋体" w:hAnsi="宋体" w:eastAsia="宋体" w:cs="宋体"/>
          <w:color w:val="auto"/>
          <w:kern w:val="0"/>
          <w:sz w:val="21"/>
          <w:szCs w:val="21"/>
          <w:highlight w:val="none"/>
        </w:rPr>
        <w:t>。</w:t>
      </w:r>
    </w:p>
    <w:p w14:paraId="1F78E65E">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1.13工程量清单错误的修正</w:t>
      </w:r>
    </w:p>
    <w:p w14:paraId="1116DF04">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出现工程量清单错误时，是否调整合同价格：</w:t>
      </w:r>
      <w:r>
        <w:rPr>
          <w:rFonts w:hint="eastAsia" w:ascii="宋体" w:hAnsi="宋体" w:eastAsia="宋体" w:cs="宋体"/>
          <w:color w:val="auto"/>
          <w:sz w:val="21"/>
          <w:szCs w:val="21"/>
          <w:highlight w:val="none"/>
          <w:u w:val="single"/>
        </w:rPr>
        <w:t xml:space="preserve">   不调整  </w:t>
      </w:r>
      <w:r>
        <w:rPr>
          <w:rFonts w:hint="eastAsia" w:ascii="宋体" w:hAnsi="宋体" w:eastAsia="宋体" w:cs="宋体"/>
          <w:color w:val="auto"/>
          <w:kern w:val="0"/>
          <w:sz w:val="21"/>
          <w:szCs w:val="21"/>
          <w:highlight w:val="none"/>
        </w:rPr>
        <w:t>。</w:t>
      </w:r>
    </w:p>
    <w:p w14:paraId="70947419">
      <w:pPr>
        <w:snapToGrid w:val="0"/>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允许调整合同价格的工程量偏差范围：</w:t>
      </w:r>
      <w:r>
        <w:rPr>
          <w:rFonts w:hint="eastAsia" w:ascii="宋体" w:hAnsi="宋体" w:eastAsia="宋体" w:cs="宋体"/>
          <w:color w:val="auto"/>
          <w:sz w:val="21"/>
          <w:szCs w:val="21"/>
          <w:highlight w:val="none"/>
          <w:u w:val="single"/>
        </w:rPr>
        <w:t xml:space="preserve">不调整    </w:t>
      </w:r>
    </w:p>
    <w:p w14:paraId="4BB108B2">
      <w:pPr>
        <w:snapToGrid w:val="0"/>
        <w:spacing w:line="360" w:lineRule="auto"/>
        <w:rPr>
          <w:rFonts w:hint="eastAsia" w:ascii="宋体" w:hAnsi="宋体" w:eastAsia="宋体" w:cs="宋体"/>
          <w:b/>
          <w:color w:val="auto"/>
          <w:kern w:val="0"/>
          <w:sz w:val="21"/>
          <w:szCs w:val="21"/>
          <w:highlight w:val="none"/>
        </w:rPr>
      </w:pPr>
      <w:bookmarkStart w:id="157" w:name="_Toc485992735"/>
      <w:bookmarkStart w:id="158" w:name="_Toc351203634"/>
      <w:bookmarkStart w:id="159" w:name="_Toc518391410"/>
      <w:bookmarkStart w:id="160" w:name="_Toc516756959"/>
      <w:bookmarkStart w:id="161" w:name="_Toc433623104"/>
      <w:r>
        <w:rPr>
          <w:rFonts w:hint="eastAsia" w:ascii="宋体" w:hAnsi="宋体" w:eastAsia="宋体" w:cs="宋体"/>
          <w:b/>
          <w:color w:val="auto"/>
          <w:kern w:val="0"/>
          <w:sz w:val="21"/>
          <w:szCs w:val="21"/>
          <w:highlight w:val="none"/>
        </w:rPr>
        <w:t>2</w:t>
      </w:r>
      <w:bookmarkStart w:id="162" w:name="_Toc292559867"/>
      <w:bookmarkStart w:id="163" w:name="_Toc296944496"/>
      <w:bookmarkStart w:id="164" w:name="_Toc296347156"/>
      <w:bookmarkStart w:id="165" w:name="_Toc297048343"/>
      <w:bookmarkStart w:id="166" w:name="_Toc297120457"/>
      <w:bookmarkStart w:id="167" w:name="_Toc296890985"/>
      <w:bookmarkStart w:id="168" w:name="_Toc296891197"/>
      <w:bookmarkStart w:id="169" w:name="_Toc296346658"/>
      <w:bookmarkStart w:id="170" w:name="_Toc292559362"/>
      <w:bookmarkStart w:id="171" w:name="_Toc296503157"/>
      <w:r>
        <w:rPr>
          <w:rFonts w:hint="eastAsia" w:ascii="宋体" w:hAnsi="宋体" w:eastAsia="宋体" w:cs="宋体"/>
          <w:b/>
          <w:color w:val="auto"/>
          <w:kern w:val="0"/>
          <w:sz w:val="21"/>
          <w:szCs w:val="21"/>
          <w:highlight w:val="none"/>
        </w:rPr>
        <w:t>. 发包人</w:t>
      </w:r>
      <w:bookmarkEnd w:id="157"/>
      <w:bookmarkEnd w:id="158"/>
      <w:bookmarkEnd w:id="159"/>
      <w:bookmarkEnd w:id="160"/>
      <w:bookmarkEnd w:id="161"/>
    </w:p>
    <w:bookmarkEnd w:id="162"/>
    <w:bookmarkEnd w:id="163"/>
    <w:bookmarkEnd w:id="164"/>
    <w:bookmarkEnd w:id="165"/>
    <w:bookmarkEnd w:id="166"/>
    <w:bookmarkEnd w:id="167"/>
    <w:bookmarkEnd w:id="168"/>
    <w:bookmarkEnd w:id="169"/>
    <w:bookmarkEnd w:id="170"/>
    <w:bookmarkEnd w:id="171"/>
    <w:p w14:paraId="6C5821CF">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2.2 </w:t>
      </w:r>
      <w:r>
        <w:rPr>
          <w:rFonts w:hint="eastAsia" w:ascii="宋体" w:hAnsi="宋体" w:eastAsia="宋体" w:cs="宋体"/>
          <w:color w:val="auto"/>
          <w:kern w:val="0"/>
          <w:sz w:val="21"/>
          <w:szCs w:val="21"/>
          <w:highlight w:val="none"/>
        </w:rPr>
        <w:t>发包人代表</w:t>
      </w:r>
    </w:p>
    <w:p w14:paraId="3A144F4C">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发包人代表：</w:t>
      </w:r>
    </w:p>
    <w:p w14:paraId="0524240A">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    名：</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DA5BBA8">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身份证号：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A9CF796">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职    务：</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3124B98">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A7908BC">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BF64C1D">
      <w:pPr>
        <w:snapToGrid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通信地址：</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w:t>
      </w:r>
    </w:p>
    <w:p w14:paraId="13FC7D02">
      <w:pPr>
        <w:snapToGrid w:val="0"/>
        <w:spacing w:line="360" w:lineRule="auto"/>
        <w:ind w:firstLine="420" w:firstLineChars="200"/>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rPr>
        <w:t>发包人对发包人代表的授权范围如下：</w:t>
      </w:r>
      <w:r>
        <w:rPr>
          <w:rFonts w:hint="eastAsia" w:ascii="宋体" w:hAnsi="宋体" w:eastAsia="宋体" w:cs="宋体"/>
          <w:color w:val="auto"/>
          <w:sz w:val="21"/>
          <w:szCs w:val="21"/>
          <w:highlight w:val="none"/>
          <w:u w:val="single"/>
        </w:rPr>
        <w:t>代表发包人对项目建设进行协调、管控、审查，确保安全、质量、环保、进度、成本可控，及时处理项目相关问题，向承包人、监理人等下达各类指令。由发包人授权的，以授权书载明的授权范围为准</w:t>
      </w:r>
      <w:r>
        <w:rPr>
          <w:rFonts w:hint="eastAsia" w:ascii="宋体" w:hAnsi="宋体" w:eastAsia="宋体" w:cs="宋体"/>
          <w:color w:val="auto"/>
          <w:sz w:val="21"/>
          <w:szCs w:val="21"/>
          <w:highlight w:val="none"/>
          <w:u w:val="single"/>
          <w:lang w:eastAsia="zh-CN"/>
        </w:rPr>
        <w:t>。</w:t>
      </w:r>
    </w:p>
    <w:p w14:paraId="1612245E">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2.4 </w:t>
      </w:r>
      <w:r>
        <w:rPr>
          <w:rFonts w:hint="eastAsia" w:ascii="宋体" w:hAnsi="宋体" w:eastAsia="宋体" w:cs="宋体"/>
          <w:color w:val="auto"/>
          <w:kern w:val="0"/>
          <w:sz w:val="21"/>
          <w:szCs w:val="21"/>
          <w:highlight w:val="none"/>
        </w:rPr>
        <w:t>施工现场</w:t>
      </w:r>
      <w:r>
        <w:rPr>
          <w:rFonts w:hint="eastAsia" w:ascii="宋体" w:hAnsi="宋体" w:eastAsia="宋体" w:cs="宋体"/>
          <w:color w:val="auto"/>
          <w:sz w:val="21"/>
          <w:szCs w:val="21"/>
          <w:highlight w:val="none"/>
        </w:rPr>
        <w:t>、施工条件和基础资料的提供</w:t>
      </w:r>
    </w:p>
    <w:p w14:paraId="5C279D09">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2.4.1 提供施工现场</w:t>
      </w:r>
    </w:p>
    <w:p w14:paraId="4FABB8EC">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关于发包人移交施工现场的期限要求： </w:t>
      </w:r>
      <w:r>
        <w:rPr>
          <w:rFonts w:hint="eastAsia" w:ascii="宋体" w:hAnsi="宋体" w:eastAsia="宋体" w:cs="宋体"/>
          <w:color w:val="auto"/>
          <w:sz w:val="21"/>
          <w:szCs w:val="21"/>
          <w:highlight w:val="none"/>
          <w:u w:val="single"/>
        </w:rPr>
        <w:t xml:space="preserve">       </w:t>
      </w:r>
    </w:p>
    <w:p w14:paraId="47512FD6">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2.4.2 提供施工条件</w:t>
      </w:r>
    </w:p>
    <w:p w14:paraId="2D4881E8">
      <w:pPr>
        <w:snapToGrid w:val="0"/>
        <w:spacing w:line="360" w:lineRule="auto"/>
        <w:ind w:left="700" w:leftChars="25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关于发包人应负责提供施工所需要的条件，包括：</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FB586D8">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2.5 </w:t>
      </w:r>
      <w:r>
        <w:rPr>
          <w:rFonts w:hint="eastAsia" w:ascii="宋体" w:hAnsi="宋体" w:eastAsia="宋体" w:cs="宋体"/>
          <w:color w:val="auto"/>
          <w:kern w:val="0"/>
          <w:sz w:val="21"/>
          <w:szCs w:val="21"/>
          <w:highlight w:val="none"/>
        </w:rPr>
        <w:t>资金来源证明及支付担保</w:t>
      </w:r>
    </w:p>
    <w:p w14:paraId="392E95B9">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发包人提供资金来源证明的期限要求：</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eastAsia="zh-CN"/>
        </w:rPr>
        <w:t>不采用</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31A403D">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发包人是否提供支付担保：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2835E27">
      <w:pPr>
        <w:snapToGrid w:val="0"/>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发包人提供支付担保的形式：</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52E7032">
      <w:pPr>
        <w:snapToGrid w:val="0"/>
        <w:spacing w:line="360" w:lineRule="auto"/>
        <w:rPr>
          <w:rFonts w:hint="eastAsia" w:ascii="宋体" w:hAnsi="宋体" w:eastAsia="宋体" w:cs="宋体"/>
          <w:b/>
          <w:color w:val="auto"/>
          <w:kern w:val="0"/>
          <w:sz w:val="21"/>
          <w:szCs w:val="21"/>
          <w:highlight w:val="none"/>
        </w:rPr>
      </w:pPr>
      <w:bookmarkStart w:id="172" w:name="_Toc516756960"/>
      <w:bookmarkStart w:id="173" w:name="_Toc351203635"/>
      <w:bookmarkStart w:id="174" w:name="_Toc433623105"/>
      <w:bookmarkStart w:id="175" w:name="_Toc485992736"/>
      <w:bookmarkStart w:id="176" w:name="_Toc518391411"/>
      <w:r>
        <w:rPr>
          <w:rFonts w:hint="eastAsia" w:ascii="宋体" w:hAnsi="宋体" w:eastAsia="宋体" w:cs="宋体"/>
          <w:b/>
          <w:color w:val="auto"/>
          <w:kern w:val="0"/>
          <w:sz w:val="21"/>
          <w:szCs w:val="21"/>
          <w:highlight w:val="none"/>
        </w:rPr>
        <w:t>3</w:t>
      </w:r>
      <w:bookmarkStart w:id="177" w:name="_Toc297048344"/>
      <w:bookmarkStart w:id="178" w:name="_Toc296346659"/>
      <w:bookmarkStart w:id="179" w:name="_Toc296890986"/>
      <w:bookmarkStart w:id="180" w:name="_Toc296891198"/>
      <w:bookmarkStart w:id="181" w:name="_Toc292559363"/>
      <w:bookmarkStart w:id="182" w:name="_Toc297120458"/>
      <w:bookmarkStart w:id="183" w:name="_Toc296503158"/>
      <w:bookmarkStart w:id="184" w:name="_Toc296944497"/>
      <w:bookmarkStart w:id="185" w:name="_Toc296347157"/>
      <w:bookmarkStart w:id="186" w:name="_Toc292559868"/>
      <w:r>
        <w:rPr>
          <w:rFonts w:hint="eastAsia" w:ascii="宋体" w:hAnsi="宋体" w:eastAsia="宋体" w:cs="宋体"/>
          <w:b/>
          <w:color w:val="auto"/>
          <w:kern w:val="0"/>
          <w:sz w:val="21"/>
          <w:szCs w:val="21"/>
          <w:highlight w:val="none"/>
        </w:rPr>
        <w:t>. 承包人</w:t>
      </w:r>
      <w:bookmarkEnd w:id="172"/>
      <w:bookmarkEnd w:id="173"/>
      <w:bookmarkEnd w:id="174"/>
      <w:bookmarkEnd w:id="175"/>
      <w:bookmarkEnd w:id="176"/>
    </w:p>
    <w:bookmarkEnd w:id="177"/>
    <w:bookmarkEnd w:id="178"/>
    <w:bookmarkEnd w:id="179"/>
    <w:bookmarkEnd w:id="180"/>
    <w:bookmarkEnd w:id="181"/>
    <w:bookmarkEnd w:id="182"/>
    <w:bookmarkEnd w:id="183"/>
    <w:bookmarkEnd w:id="184"/>
    <w:bookmarkEnd w:id="185"/>
    <w:bookmarkEnd w:id="186"/>
    <w:p w14:paraId="2E89709C">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 承包人的一般义务</w:t>
      </w:r>
    </w:p>
    <w:p w14:paraId="65E0B42D">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（5）</w:t>
      </w:r>
      <w:r>
        <w:rPr>
          <w:rFonts w:hint="eastAsia" w:ascii="宋体" w:hAnsi="宋体" w:eastAsia="宋体" w:cs="宋体"/>
          <w:color w:val="auto"/>
          <w:sz w:val="21"/>
          <w:szCs w:val="21"/>
          <w:highlight w:val="none"/>
        </w:rPr>
        <w:t>承包人提交的竣工资料的内容：</w:t>
      </w:r>
      <w:r>
        <w:rPr>
          <w:rFonts w:hint="eastAsia" w:ascii="宋体" w:hAnsi="宋体" w:eastAsia="宋体" w:cs="宋体"/>
          <w:color w:val="auto"/>
          <w:sz w:val="21"/>
          <w:szCs w:val="21"/>
          <w:highlight w:val="none"/>
          <w:u w:val="single"/>
        </w:rPr>
        <w:t>工程施工技术资料、工程质量保证资料、工程检验评定资料、竣工图及其他应交资料，应符合《建设工程文件归档整理规范》（GB/T50328-2014）和重庆市有关文件规定。</w:t>
      </w:r>
    </w:p>
    <w:p w14:paraId="1F7C8DE9">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承包人需要提交的竣工资料套数：</w:t>
      </w:r>
      <w:r>
        <w:rPr>
          <w:rFonts w:hint="eastAsia" w:ascii="宋体" w:hAnsi="宋体" w:eastAsia="宋体" w:cs="宋体"/>
          <w:color w:val="auto"/>
          <w:sz w:val="21"/>
          <w:szCs w:val="21"/>
          <w:highlight w:val="none"/>
          <w:u w:val="single"/>
        </w:rPr>
        <w:t>完整竣工资料一式    套（含电子文档）</w:t>
      </w:r>
      <w:r>
        <w:rPr>
          <w:rFonts w:hint="eastAsia" w:ascii="宋体" w:hAnsi="宋体" w:eastAsia="宋体" w:cs="宋体"/>
          <w:color w:val="auto"/>
          <w:sz w:val="21"/>
          <w:szCs w:val="21"/>
          <w:highlight w:val="none"/>
        </w:rPr>
        <w:t>。</w:t>
      </w:r>
    </w:p>
    <w:p w14:paraId="73EE49DA">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承包人提交的竣工资料的费用承担：</w:t>
      </w:r>
      <w:r>
        <w:rPr>
          <w:rFonts w:hint="eastAsia" w:ascii="宋体" w:hAnsi="宋体" w:eastAsia="宋体" w:cs="宋体"/>
          <w:color w:val="auto"/>
          <w:sz w:val="21"/>
          <w:szCs w:val="21"/>
          <w:highlight w:val="none"/>
          <w:u w:val="single"/>
        </w:rPr>
        <w:t>由承包人承担</w:t>
      </w:r>
      <w:r>
        <w:rPr>
          <w:rFonts w:hint="eastAsia" w:ascii="宋体" w:hAnsi="宋体" w:eastAsia="宋体" w:cs="宋体"/>
          <w:color w:val="auto"/>
          <w:sz w:val="21"/>
          <w:szCs w:val="21"/>
          <w:highlight w:val="none"/>
        </w:rPr>
        <w:t>。</w:t>
      </w:r>
    </w:p>
    <w:p w14:paraId="1C497C0D">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承包人提交的竣工资料移交时间：</w:t>
      </w:r>
      <w:r>
        <w:rPr>
          <w:rFonts w:hint="eastAsia" w:ascii="宋体" w:hAnsi="宋体" w:eastAsia="宋体" w:cs="宋体"/>
          <w:color w:val="auto"/>
          <w:sz w:val="21"/>
          <w:szCs w:val="21"/>
          <w:highlight w:val="none"/>
          <w:u w:val="single"/>
        </w:rPr>
        <w:t xml:space="preserve">工程竣工验收合格后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个月内移交给发包人</w:t>
      </w:r>
      <w:r>
        <w:rPr>
          <w:rFonts w:hint="eastAsia" w:ascii="宋体" w:hAnsi="宋体" w:eastAsia="宋体" w:cs="宋体"/>
          <w:color w:val="auto"/>
          <w:sz w:val="21"/>
          <w:szCs w:val="21"/>
          <w:highlight w:val="none"/>
        </w:rPr>
        <w:t>。</w:t>
      </w:r>
    </w:p>
    <w:p w14:paraId="6C6C0718">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承包人提交的竣工资料形式要求：</w:t>
      </w:r>
      <w:r>
        <w:rPr>
          <w:rFonts w:hint="eastAsia" w:ascii="宋体" w:hAnsi="宋体" w:eastAsia="宋体" w:cs="宋体"/>
          <w:color w:val="auto"/>
          <w:sz w:val="21"/>
          <w:szCs w:val="21"/>
          <w:highlight w:val="none"/>
          <w:u w:val="single"/>
        </w:rPr>
        <w:t>完整的书面文件及电子文档</w:t>
      </w:r>
      <w:r>
        <w:rPr>
          <w:rFonts w:hint="eastAsia" w:ascii="宋体" w:hAnsi="宋体" w:eastAsia="宋体" w:cs="宋体"/>
          <w:color w:val="auto"/>
          <w:sz w:val="21"/>
          <w:szCs w:val="21"/>
          <w:highlight w:val="none"/>
        </w:rPr>
        <w:t>。</w:t>
      </w:r>
    </w:p>
    <w:p w14:paraId="67792AD6">
      <w:pPr>
        <w:numPr>
          <w:ilvl w:val="0"/>
          <w:numId w:val="0"/>
        </w:num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承包人应履行的其他义务：</w:t>
      </w:r>
    </w:p>
    <w:p w14:paraId="659B5E36">
      <w:pPr>
        <w:numPr>
          <w:ilvl w:val="0"/>
          <w:numId w:val="0"/>
        </w:num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3.1.10.1在开始施工之前，承包人应核查、复测本工程的各种基准标志。承包人应及时将上述基准标志中存在的错误、不完整或其他缺陷通知发包人，以便发包人核实后重新确认。</w:t>
      </w:r>
    </w:p>
    <w:p w14:paraId="16F2BFB2">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3.1.10.2承包人应负责合同工程范围内测量控制网的测量设定和管理工作，为控制施工造成测量控制网误差累加，每月承包人复测一次测量控制网，并将修正数据及时通知发包人。经监理人批准，其他相关承包人可免费使用施工控制网。</w:t>
      </w:r>
    </w:p>
    <w:p w14:paraId="589B55D8">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3.1.10.3承包人应在开始施工之前对本工程进行排查，补充完善遗漏的危大工程重点部位及环节。危大工程施工前，承包人应对危大工程编制专项施工方案，对于超过一定规模的危大工程，承包人还应组织召开专家论证会对专项施工方案进行论证，通过后方可实施。</w:t>
      </w:r>
    </w:p>
    <w:p w14:paraId="4C877FEC">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3.1.10.4承包人应服从发包人要求的管理模式、工作方式和工作要求，同时接受监理人、跟审单位的管理和全程监督，配合项目结、决算的办理。</w:t>
      </w:r>
    </w:p>
    <w:p w14:paraId="6C2EA887">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3.1.10.5承包人应为本工程开立专用帐户，接受发包人的监管。 </w:t>
      </w:r>
    </w:p>
    <w:p w14:paraId="4CF99477">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 项目经理</w:t>
      </w:r>
    </w:p>
    <w:p w14:paraId="052531A4">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xml:space="preserve">3.2.1 </w:t>
      </w:r>
      <w:r>
        <w:rPr>
          <w:rFonts w:hint="eastAsia" w:ascii="宋体" w:hAnsi="宋体" w:eastAsia="宋体" w:cs="宋体"/>
          <w:color w:val="auto"/>
          <w:sz w:val="21"/>
          <w:szCs w:val="21"/>
          <w:highlight w:val="none"/>
        </w:rPr>
        <w:t>项目经理：</w:t>
      </w:r>
    </w:p>
    <w:p w14:paraId="6D642F96">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    名：</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BC62941">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身份证号：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957D114">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建造师执业资格等级：</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63120A5">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建造师注册证书号：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00DAED0">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建造师执业印章号：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E4A35AF">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安全生产考核合格证书号：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40B9C32">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3F66D18">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CA46033">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通信地址：</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A4BB945">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承包人对项目经理的授权范围如下：</w:t>
      </w:r>
      <w:r>
        <w:rPr>
          <w:rFonts w:hint="eastAsia" w:ascii="宋体" w:hAnsi="宋体" w:eastAsia="宋体" w:cs="宋体"/>
          <w:color w:val="auto"/>
          <w:sz w:val="21"/>
          <w:szCs w:val="21"/>
          <w:highlight w:val="none"/>
          <w:u w:val="single"/>
        </w:rPr>
        <w:t>严格按设计图纸、现行国家施工规范及验收规范组织施工，保证工程质量、进度、安全；及时向监理人、发包人报告现场情况（以承包人书面授权范围为准）</w:t>
      </w:r>
      <w:r>
        <w:rPr>
          <w:rFonts w:hint="eastAsia" w:ascii="宋体" w:hAnsi="宋体" w:eastAsia="宋体" w:cs="宋体"/>
          <w:color w:val="auto"/>
          <w:sz w:val="21"/>
          <w:szCs w:val="21"/>
          <w:highlight w:val="none"/>
        </w:rPr>
        <w:t>。</w:t>
      </w:r>
    </w:p>
    <w:p w14:paraId="70BE61E3">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关于项目经理每月在施工现场的时间要求：</w:t>
      </w:r>
      <w:r>
        <w:rPr>
          <w:rFonts w:hint="eastAsia" w:ascii="宋体" w:hAnsi="宋体" w:eastAsia="宋体" w:cs="宋体"/>
          <w:color w:val="auto"/>
          <w:sz w:val="21"/>
          <w:szCs w:val="21"/>
          <w:highlight w:val="none"/>
          <w:u w:val="single"/>
        </w:rPr>
        <w:t>不少于22天，并附考勤证明材料</w:t>
      </w:r>
      <w:r>
        <w:rPr>
          <w:rFonts w:hint="eastAsia" w:ascii="宋体" w:hAnsi="宋体" w:eastAsia="宋体" w:cs="宋体"/>
          <w:color w:val="auto"/>
          <w:sz w:val="21"/>
          <w:szCs w:val="21"/>
          <w:highlight w:val="none"/>
        </w:rPr>
        <w:t>。</w:t>
      </w:r>
    </w:p>
    <w:p w14:paraId="10BFC967">
      <w:pPr>
        <w:snapToGrid w:val="0"/>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承包人应在合同签订后7天内提交与项目经理签订的劳动合同及为项目经理缴纳社会保险的证明，承包人未在限期内提交的，项目经理无权履行职责，发包人有权要求更换项目经理。</w:t>
      </w:r>
    </w:p>
    <w:p w14:paraId="20688D78">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3.2.2 技术负责人</w:t>
      </w:r>
    </w:p>
    <w:p w14:paraId="634A270C">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    名：</w:t>
      </w:r>
      <w:r>
        <w:rPr>
          <w:rFonts w:hint="eastAsia" w:ascii="宋体" w:hAnsi="宋体" w:eastAsia="宋体" w:cs="宋体"/>
          <w:color w:val="auto"/>
          <w:sz w:val="21"/>
          <w:szCs w:val="21"/>
          <w:highlight w:val="none"/>
          <w:u w:val="single"/>
        </w:rPr>
        <w:t xml:space="preserve">                          </w:t>
      </w:r>
      <w:r>
        <w:rPr>
          <w:rFonts w:hint="eastAsia" w:ascii="宋体" w:hAnsi="宋体" w:eastAsia="宋体" w:cs="宋体"/>
          <w:color w:val="auto"/>
          <w:sz w:val="21"/>
          <w:szCs w:val="21"/>
          <w:highlight w:val="none"/>
        </w:rPr>
        <w:t xml:space="preserve"> ；</w:t>
      </w:r>
    </w:p>
    <w:p w14:paraId="2792EFA0">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身份证号：</w:t>
      </w:r>
      <w:r>
        <w:rPr>
          <w:rFonts w:hint="eastAsia" w:ascii="宋体" w:hAnsi="宋体" w:eastAsia="宋体" w:cs="宋体"/>
          <w:color w:val="auto"/>
          <w:sz w:val="21"/>
          <w:szCs w:val="21"/>
          <w:highlight w:val="none"/>
          <w:u w:val="single"/>
        </w:rPr>
        <w:t xml:space="preserve">                           </w:t>
      </w:r>
      <w:r>
        <w:rPr>
          <w:rFonts w:hint="eastAsia" w:ascii="宋体" w:hAnsi="宋体" w:eastAsia="宋体" w:cs="宋体"/>
          <w:color w:val="auto"/>
          <w:sz w:val="21"/>
          <w:szCs w:val="21"/>
          <w:highlight w:val="none"/>
        </w:rPr>
        <w:t>；</w:t>
      </w:r>
    </w:p>
    <w:p w14:paraId="54585DE2">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联系方式：</w:t>
      </w:r>
      <w:r>
        <w:rPr>
          <w:rFonts w:hint="eastAsia" w:ascii="宋体" w:hAnsi="宋体" w:eastAsia="宋体" w:cs="宋体"/>
          <w:color w:val="auto"/>
          <w:sz w:val="21"/>
          <w:szCs w:val="21"/>
          <w:highlight w:val="none"/>
          <w:u w:val="single"/>
        </w:rPr>
        <w:t xml:space="preserve">                          </w:t>
      </w:r>
      <w:r>
        <w:rPr>
          <w:rFonts w:hint="eastAsia" w:ascii="宋体" w:hAnsi="宋体" w:eastAsia="宋体" w:cs="宋体"/>
          <w:color w:val="auto"/>
          <w:sz w:val="21"/>
          <w:szCs w:val="21"/>
          <w:highlight w:val="none"/>
        </w:rPr>
        <w:t xml:space="preserve"> ；</w:t>
      </w:r>
    </w:p>
    <w:p w14:paraId="1C49A2F4">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专     业：</w:t>
      </w:r>
      <w:r>
        <w:rPr>
          <w:rFonts w:hint="eastAsia" w:ascii="宋体" w:hAnsi="宋体" w:eastAsia="宋体" w:cs="宋体"/>
          <w:color w:val="auto"/>
          <w:sz w:val="21"/>
          <w:szCs w:val="21"/>
          <w:highlight w:val="none"/>
          <w:u w:val="single"/>
        </w:rPr>
        <w:t xml:space="preserve">                          </w:t>
      </w:r>
      <w:r>
        <w:rPr>
          <w:rFonts w:hint="eastAsia" w:ascii="宋体" w:hAnsi="宋体" w:eastAsia="宋体" w:cs="宋体"/>
          <w:color w:val="auto"/>
          <w:sz w:val="21"/>
          <w:szCs w:val="21"/>
          <w:highlight w:val="none"/>
        </w:rPr>
        <w:t xml:space="preserve"> ；</w:t>
      </w:r>
    </w:p>
    <w:p w14:paraId="139ED729">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证书名称及号码：</w:t>
      </w:r>
      <w:r>
        <w:rPr>
          <w:rFonts w:hint="eastAsia" w:ascii="宋体" w:hAnsi="宋体" w:eastAsia="宋体" w:cs="宋体"/>
          <w:color w:val="auto"/>
          <w:sz w:val="21"/>
          <w:szCs w:val="21"/>
          <w:highlight w:val="none"/>
          <w:u w:val="single"/>
        </w:rPr>
        <w:t xml:space="preserve">                         </w:t>
      </w:r>
      <w:r>
        <w:rPr>
          <w:rFonts w:hint="eastAsia" w:ascii="宋体" w:hAnsi="宋体" w:eastAsia="宋体" w:cs="宋体"/>
          <w:color w:val="auto"/>
          <w:sz w:val="21"/>
          <w:szCs w:val="21"/>
          <w:highlight w:val="none"/>
        </w:rPr>
        <w:t>；</w:t>
      </w:r>
    </w:p>
    <w:p w14:paraId="60656EDC">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联系方式：</w:t>
      </w:r>
      <w:r>
        <w:rPr>
          <w:rFonts w:hint="eastAsia" w:ascii="宋体" w:hAnsi="宋体" w:eastAsia="宋体" w:cs="宋体"/>
          <w:color w:val="auto"/>
          <w:sz w:val="21"/>
          <w:szCs w:val="21"/>
          <w:highlight w:val="none"/>
          <w:u w:val="single"/>
        </w:rPr>
        <w:t xml:space="preserve">         </w:t>
      </w:r>
      <w:r>
        <w:rPr>
          <w:rFonts w:hint="eastAsia" w:ascii="宋体" w:hAnsi="宋体" w:eastAsia="宋体" w:cs="宋体"/>
          <w:color w:val="auto"/>
          <w:sz w:val="21"/>
          <w:szCs w:val="21"/>
          <w:highlight w:val="none"/>
        </w:rPr>
        <w:t>。</w:t>
      </w:r>
    </w:p>
    <w:p w14:paraId="7D32A599">
      <w:pPr>
        <w:snapToGrid w:val="0"/>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关于技术负责人每月在施工现场的时间要求：不少于22天，并附考勤证明材料。</w:t>
      </w:r>
    </w:p>
    <w:p w14:paraId="6DF3A734">
      <w:pPr>
        <w:snapToGrid w:val="0"/>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承包人应在合同签订后7天内提交与技术负责人签订的劳动合同及为技术负责人缴纳社会保险的证明，承包人未在限期内提交的，技术负责人无权履行职责，发包人有权要求更换技术负责人。</w:t>
      </w:r>
      <w:bookmarkStart w:id="187" w:name="_Hlk528927599"/>
    </w:p>
    <w:bookmarkEnd w:id="187"/>
    <w:p w14:paraId="7F58B37A">
      <w:pPr>
        <w:snapToGrid w:val="0"/>
        <w:spacing w:line="360" w:lineRule="auto"/>
        <w:ind w:firstLine="420" w:firstLineChars="200"/>
        <w:rPr>
          <w:rFonts w:hint="eastAsia" w:ascii="宋体" w:hAnsi="宋体" w:eastAsia="宋体" w:cs="宋体"/>
          <w:color w:val="auto"/>
          <w:sz w:val="21"/>
          <w:szCs w:val="21"/>
          <w:highlight w:val="none"/>
        </w:rPr>
      </w:pPr>
      <w:bookmarkStart w:id="188" w:name="_Hlk528927718"/>
      <w:r>
        <w:rPr>
          <w:rFonts w:hint="eastAsia" w:ascii="宋体" w:hAnsi="宋体" w:eastAsia="宋体" w:cs="宋体"/>
          <w:color w:val="auto"/>
          <w:sz w:val="21"/>
          <w:szCs w:val="21"/>
          <w:highlight w:val="none"/>
        </w:rPr>
        <w:t>3.2.3 发包人有权书面通知承包人更换其认为不称职/不履职的项目经理和（或）技术负责人，通知中应当载明要求更换的理由。承包人应在接到更换通知后7天内向发包人提出书面的改进报告。发包人收到改进报告后仍要求更换的，承包人应在接到第二次更换通知的14天内进行更换，并将新任命的项目经理和（或）技术负责人的注册执业资格、职称证书、管理经验等资料书面报送发包人审核批准。继任项目经理和（或）技术负责人继续履行合同约定的职责。</w:t>
      </w:r>
      <w:bookmarkEnd w:id="188"/>
    </w:p>
    <w:p w14:paraId="7301E6FA">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若项目经理和技术负责人出现下列情形需更换的，承包人按通用条款第3.2.3项的规定向发包人发出通知，经发包人领导班子集体决策同意后予以批准，并将变更信息推送给行业主管部门：</w:t>
      </w:r>
    </w:p>
    <w:p w14:paraId="02A488BB">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1、死亡；</w:t>
      </w:r>
    </w:p>
    <w:p w14:paraId="37892CD3">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2、非承包人原因导致工期延长，而致使项目经理和技术负责人达到法定退休年龄且确需退休；</w:t>
      </w:r>
    </w:p>
    <w:p w14:paraId="4E01687D">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3、按《职工非因工伤残或因病丧失劳动能力程度鉴定标准（试行）》规定鉴定为完全丧失劳动能力和大部分丧失劳动能力；</w:t>
      </w:r>
    </w:p>
    <w:p w14:paraId="7AD54793">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4、非承包人原因导致中标3个月不能开工；</w:t>
      </w:r>
    </w:p>
    <w:p w14:paraId="3CECEE51">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5、被公安或者司法机关限制人身自由；</w:t>
      </w:r>
    </w:p>
    <w:p w14:paraId="524B7FC1">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6、被取消职称或者执业资格，不满足项目管理要求；</w:t>
      </w:r>
    </w:p>
    <w:p w14:paraId="59341DA6">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7、非承包人原因导致确需变更的其它情形。</w:t>
      </w:r>
    </w:p>
    <w:p w14:paraId="0A4C1A31">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本款补充3.2.6项</w:t>
      </w:r>
    </w:p>
    <w:p w14:paraId="25B1905C">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3.2.6 国有投资项目其他主要人员变更参照《重庆市政府投资项目合同变更管理暂行办法》的规定。</w:t>
      </w:r>
    </w:p>
    <w:p w14:paraId="35C68503">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 承包人人员</w:t>
      </w:r>
    </w:p>
    <w:p w14:paraId="7A73D09C">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3.3.1 承包人应按建设行政主管部门现行规定配备现场施工从业人员，具体要求如下：        </w:t>
      </w:r>
    </w:p>
    <w:p w14:paraId="4558D942">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3.3.2承包人派驻到施工现场的主要施工管理人员在施工过程中如有变动，承包人应及时向监理人提交施工现场人员变动情况的报告。承包人更换主要施工管理人员时，应提前7天书面通知监理人，并征得发包人书面同意。通知中应当载明继任人员的职称、执业资格、项目管理经验等资料。更换后的施工管理人员应当是承包人的正式员工，且在职称、执业资格、项目管理经验等方面不低于原施工管理人员。</w:t>
      </w:r>
    </w:p>
    <w:p w14:paraId="69421E1C">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3.3.3 发包人有权书面通知承包人更换其认为不称职的主要施工管理人员，通知中应当载明要求更换的理由。承包人应在接到更换通知后7天内向发包人提出书面的改进报告。发包人收到改进报告后仍要求更换的，承包人应在接到第二次更换通知的7天内进行更换，并将新委派的主要施工管理人员的注册执业资格、职称证书、管理经验等资料书面报送发包人审核批准。</w:t>
      </w:r>
    </w:p>
    <w:p w14:paraId="45A727DE">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3.3.4 承包人主要施工管理人员离开施工现场，指定的临时人员需满足：</w:t>
      </w:r>
      <w:r>
        <w:rPr>
          <w:rFonts w:hint="eastAsia" w:ascii="宋体" w:hAnsi="宋体" w:eastAsia="宋体" w:cs="宋体"/>
          <w:color w:val="auto"/>
          <w:sz w:val="21"/>
          <w:szCs w:val="21"/>
          <w:highlight w:val="none"/>
          <w:u w:val="single"/>
        </w:rPr>
        <w:t>《重庆市房屋建筑与市政基础设施工程现场施工从业人员配备标准》（DBJ50-157-2013）的相应要求。</w:t>
      </w:r>
    </w:p>
    <w:p w14:paraId="1E246767">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bookmarkStart w:id="189" w:name="_Toc297120459"/>
      <w:bookmarkStart w:id="190" w:name="_Toc297216151"/>
      <w:bookmarkStart w:id="191" w:name="_Toc296944498"/>
      <w:bookmarkStart w:id="192" w:name="_Toc296346660"/>
      <w:bookmarkStart w:id="193" w:name="_Toc296891199"/>
      <w:bookmarkStart w:id="194" w:name="_Toc296503159"/>
      <w:bookmarkStart w:id="195" w:name="_Toc312677988"/>
      <w:bookmarkStart w:id="196" w:name="_Toc292559364"/>
      <w:bookmarkStart w:id="197" w:name="_Toc292559869"/>
      <w:bookmarkStart w:id="198" w:name="_Toc304295523"/>
      <w:bookmarkStart w:id="199" w:name="_Toc296890987"/>
      <w:bookmarkStart w:id="200" w:name="_Toc296347158"/>
      <w:bookmarkStart w:id="201" w:name="_Toc297123492"/>
      <w:bookmarkStart w:id="202" w:name="_Toc303539102"/>
      <w:bookmarkStart w:id="203" w:name="_Toc297048345"/>
      <w:bookmarkStart w:id="204" w:name="_Toc300934945"/>
      <w:r>
        <w:rPr>
          <w:rFonts w:hint="eastAsia" w:ascii="宋体" w:hAnsi="宋体" w:eastAsia="宋体" w:cs="宋体"/>
          <w:color w:val="auto"/>
          <w:sz w:val="21"/>
          <w:szCs w:val="21"/>
          <w:highlight w:val="none"/>
        </w:rPr>
        <w:t>.5 分包</w:t>
      </w:r>
    </w:p>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14:paraId="77515087">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bookmarkStart w:id="205" w:name="_Toc297123493"/>
      <w:bookmarkStart w:id="206" w:name="_Toc297216152"/>
      <w:bookmarkStart w:id="207" w:name="_Toc300934946"/>
      <w:bookmarkStart w:id="208" w:name="_Toc292559365"/>
      <w:bookmarkStart w:id="209" w:name="_Toc297120460"/>
      <w:bookmarkStart w:id="210" w:name="_Toc292559870"/>
      <w:bookmarkStart w:id="211" w:name="_Toc304295524"/>
      <w:bookmarkStart w:id="212" w:name="_Toc296891200"/>
      <w:bookmarkStart w:id="213" w:name="_Toc296347159"/>
      <w:bookmarkStart w:id="214" w:name="_Toc296944499"/>
      <w:bookmarkStart w:id="215" w:name="_Toc296346661"/>
      <w:bookmarkStart w:id="216" w:name="_Toc303539103"/>
      <w:bookmarkStart w:id="217" w:name="_Toc297048346"/>
      <w:bookmarkStart w:id="218" w:name="_Toc296503160"/>
      <w:bookmarkStart w:id="219" w:name="_Toc296890988"/>
      <w:bookmarkStart w:id="220" w:name="_Toc318581158"/>
      <w:bookmarkStart w:id="221" w:name="_Toc312677989"/>
      <w:r>
        <w:rPr>
          <w:rFonts w:hint="eastAsia" w:ascii="宋体" w:hAnsi="宋体" w:eastAsia="宋体" w:cs="宋体"/>
          <w:color w:val="auto"/>
          <w:sz w:val="21"/>
          <w:szCs w:val="21"/>
          <w:highlight w:val="none"/>
        </w:rPr>
        <w:t>.5.1 分包的一般约定</w:t>
      </w:r>
    </w:p>
    <w:p w14:paraId="06ECF103">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禁止分包的工程包括：</w:t>
      </w:r>
      <w:r>
        <w:rPr>
          <w:rFonts w:hint="eastAsia" w:ascii="宋体" w:hAnsi="宋体" w:eastAsia="宋体" w:cs="宋体"/>
          <w:color w:val="auto"/>
          <w:sz w:val="21"/>
          <w:szCs w:val="21"/>
          <w:highlight w:val="none"/>
          <w:u w:val="single"/>
        </w:rPr>
        <w:t xml:space="preserve">本工程不得分包  </w:t>
      </w:r>
      <w:r>
        <w:rPr>
          <w:rFonts w:hint="eastAsia" w:ascii="宋体" w:hAnsi="宋体" w:eastAsia="宋体" w:cs="宋体"/>
          <w:color w:val="auto"/>
          <w:sz w:val="21"/>
          <w:szCs w:val="21"/>
          <w:highlight w:val="none"/>
        </w:rPr>
        <w:t>。</w:t>
      </w:r>
    </w:p>
    <w:p w14:paraId="46E73F4F">
      <w:pPr>
        <w:snapToGrid w:val="0"/>
        <w:spacing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主体结构、关键性工作的范围：</w:t>
      </w:r>
      <w:r>
        <w:rPr>
          <w:rFonts w:hint="eastAsia" w:ascii="宋体" w:hAnsi="宋体" w:eastAsia="宋体" w:cs="宋体"/>
          <w:color w:val="auto"/>
          <w:sz w:val="21"/>
          <w:szCs w:val="21"/>
          <w:highlight w:val="none"/>
          <w:u w:val="single"/>
        </w:rPr>
        <w:t xml:space="preserve">本工程不得分包    </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Start w:id="222" w:name="_Toc297216153"/>
      <w:bookmarkStart w:id="223" w:name="_Toc296944500"/>
      <w:bookmarkStart w:id="224" w:name="_Toc296503161"/>
      <w:bookmarkStart w:id="225" w:name="_Toc297123494"/>
      <w:bookmarkStart w:id="226" w:name="_Toc303539104"/>
      <w:bookmarkStart w:id="227" w:name="_Toc300934947"/>
      <w:bookmarkStart w:id="228" w:name="_Toc304295525"/>
      <w:bookmarkStart w:id="229" w:name="_Toc296891201"/>
      <w:bookmarkStart w:id="230" w:name="_Toc296346662"/>
      <w:bookmarkStart w:id="231" w:name="_Toc296890989"/>
      <w:bookmarkStart w:id="232" w:name="_Toc297120461"/>
      <w:bookmarkStart w:id="233" w:name="_Toc297048347"/>
      <w:bookmarkStart w:id="234" w:name="_Toc296347160"/>
    </w:p>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14:paraId="6260BF59">
      <w:pPr>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3</w:t>
      </w:r>
      <w:bookmarkStart w:id="235" w:name="_Toc318581159"/>
      <w:bookmarkStart w:id="236" w:name="_Toc312677990"/>
      <w:r>
        <w:rPr>
          <w:rFonts w:hint="eastAsia" w:ascii="宋体" w:hAnsi="宋体" w:eastAsia="宋体" w:cs="宋体"/>
          <w:color w:val="auto"/>
          <w:sz w:val="21"/>
          <w:szCs w:val="21"/>
          <w:highlight w:val="none"/>
        </w:rPr>
        <w:t>.5.2分包的确定</w:t>
      </w:r>
    </w:p>
    <w:p w14:paraId="2556169C">
      <w:pPr>
        <w:snapToGrid w:val="0"/>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允许分包的专业工程包括：</w:t>
      </w:r>
      <w:r>
        <w:rPr>
          <w:rFonts w:hint="eastAsia" w:ascii="宋体" w:hAnsi="宋体" w:eastAsia="宋体" w:cs="宋体"/>
          <w:color w:val="auto"/>
          <w:sz w:val="21"/>
          <w:szCs w:val="21"/>
          <w:highlight w:val="none"/>
          <w:u w:val="single"/>
        </w:rPr>
        <w:t xml:space="preserve">本工程不得分包    </w:t>
      </w:r>
      <w:r>
        <w:rPr>
          <w:rFonts w:hint="eastAsia" w:ascii="宋体" w:hAnsi="宋体" w:eastAsia="宋体" w:cs="宋体"/>
          <w:color w:val="auto"/>
          <w:sz w:val="21"/>
          <w:szCs w:val="21"/>
          <w:highlight w:val="none"/>
        </w:rPr>
        <w:t>。</w:t>
      </w:r>
    </w:p>
    <w:p w14:paraId="2262916F">
      <w:pPr>
        <w:snapToGrid w:val="0"/>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其他关于分包的约定：</w:t>
      </w:r>
      <w:r>
        <w:rPr>
          <w:rFonts w:hint="eastAsia" w:ascii="宋体" w:hAnsi="宋体" w:eastAsia="宋体" w:cs="宋体"/>
          <w:color w:val="auto"/>
          <w:sz w:val="21"/>
          <w:szCs w:val="21"/>
          <w:highlight w:val="none"/>
          <w:u w:val="single"/>
        </w:rPr>
        <w:t xml:space="preserve">  本工程不得分包      </w:t>
      </w:r>
      <w:r>
        <w:rPr>
          <w:rFonts w:hint="eastAsia" w:ascii="宋体" w:hAnsi="宋体" w:eastAsia="宋体" w:cs="宋体"/>
          <w:color w:val="auto"/>
          <w:sz w:val="21"/>
          <w:szCs w:val="21"/>
          <w:highlight w:val="none"/>
        </w:rPr>
        <w:t>。</w:t>
      </w:r>
    </w:p>
    <w:bookmarkEnd w:id="235"/>
    <w:bookmarkEnd w:id="236"/>
    <w:p w14:paraId="6F05C638">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 工程照管与成品、半成品保护</w:t>
      </w:r>
    </w:p>
    <w:p w14:paraId="6A768543">
      <w:pPr>
        <w:snapToGrid w:val="0"/>
        <w:spacing w:line="360" w:lineRule="auto"/>
        <w:ind w:firstLine="420" w:firstLineChars="200"/>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承包人负责照管工程及工程相关的材料、工程设备的起始时间：</w:t>
      </w:r>
      <w:r>
        <w:rPr>
          <w:rFonts w:hint="eastAsia" w:ascii="宋体" w:hAnsi="宋体" w:eastAsia="宋体" w:cs="宋体"/>
          <w:color w:val="auto"/>
          <w:sz w:val="21"/>
          <w:szCs w:val="21"/>
          <w:highlight w:val="none"/>
          <w:u w:val="single"/>
        </w:rPr>
        <w:t>按通用条款执行</w:t>
      </w:r>
      <w:r>
        <w:rPr>
          <w:rFonts w:hint="eastAsia" w:ascii="宋体" w:hAnsi="宋体" w:eastAsia="宋体" w:cs="宋体"/>
          <w:color w:val="auto"/>
          <w:kern w:val="0"/>
          <w:sz w:val="21"/>
          <w:szCs w:val="21"/>
          <w:highlight w:val="none"/>
        </w:rPr>
        <w:t>。</w:t>
      </w:r>
    </w:p>
    <w:p w14:paraId="668C88BB">
      <w:pPr>
        <w:snapToGrid w:val="0"/>
        <w:spacing w:line="360" w:lineRule="auto"/>
        <w:rPr>
          <w:rFonts w:hint="eastAsia" w:ascii="宋体" w:hAnsi="宋体" w:eastAsia="宋体" w:cs="宋体"/>
          <w:b/>
          <w:color w:val="auto"/>
          <w:kern w:val="0"/>
          <w:sz w:val="21"/>
          <w:szCs w:val="21"/>
          <w:highlight w:val="none"/>
        </w:rPr>
      </w:pPr>
      <w:bookmarkStart w:id="237" w:name="_Toc518391412"/>
      <w:bookmarkStart w:id="238" w:name="_Toc433623106"/>
      <w:bookmarkStart w:id="239" w:name="_Toc485992737"/>
      <w:bookmarkStart w:id="240" w:name="_Toc351203636"/>
      <w:bookmarkStart w:id="241" w:name="_Toc516756961"/>
      <w:r>
        <w:rPr>
          <w:rFonts w:hint="eastAsia" w:ascii="宋体" w:hAnsi="宋体" w:eastAsia="宋体" w:cs="宋体"/>
          <w:b/>
          <w:color w:val="auto"/>
          <w:kern w:val="0"/>
          <w:sz w:val="21"/>
          <w:szCs w:val="21"/>
          <w:highlight w:val="none"/>
        </w:rPr>
        <w:t>4</w:t>
      </w:r>
      <w:bookmarkStart w:id="242" w:name="_Toc296891202"/>
      <w:bookmarkStart w:id="243" w:name="_Toc292559871"/>
      <w:bookmarkStart w:id="244" w:name="_Toc296944501"/>
      <w:bookmarkStart w:id="245" w:name="_Toc296347161"/>
      <w:bookmarkStart w:id="246" w:name="_Toc296346663"/>
      <w:bookmarkStart w:id="247" w:name="_Toc292559366"/>
      <w:bookmarkStart w:id="248" w:name="_Toc297048348"/>
      <w:bookmarkStart w:id="249" w:name="_Toc296503162"/>
      <w:bookmarkStart w:id="250" w:name="_Toc297120462"/>
      <w:bookmarkStart w:id="251" w:name="_Toc296890990"/>
      <w:bookmarkStart w:id="252" w:name="_Toc267251413"/>
      <w:r>
        <w:rPr>
          <w:rFonts w:hint="eastAsia" w:ascii="宋体" w:hAnsi="宋体" w:eastAsia="宋体" w:cs="宋体"/>
          <w:b/>
          <w:color w:val="auto"/>
          <w:kern w:val="0"/>
          <w:sz w:val="21"/>
          <w:szCs w:val="21"/>
          <w:highlight w:val="none"/>
        </w:rPr>
        <w:t>. 监</w:t>
      </w:r>
      <w:bookmarkEnd w:id="242"/>
      <w:bookmarkEnd w:id="243"/>
      <w:bookmarkEnd w:id="244"/>
      <w:bookmarkEnd w:id="245"/>
      <w:bookmarkEnd w:id="246"/>
      <w:bookmarkEnd w:id="247"/>
      <w:bookmarkEnd w:id="248"/>
      <w:bookmarkEnd w:id="249"/>
      <w:bookmarkEnd w:id="250"/>
      <w:bookmarkEnd w:id="251"/>
      <w:bookmarkEnd w:id="252"/>
      <w:r>
        <w:rPr>
          <w:rFonts w:hint="eastAsia" w:ascii="宋体" w:hAnsi="宋体" w:eastAsia="宋体" w:cs="宋体"/>
          <w:b/>
          <w:color w:val="auto"/>
          <w:kern w:val="0"/>
          <w:sz w:val="21"/>
          <w:szCs w:val="21"/>
          <w:highlight w:val="none"/>
        </w:rPr>
        <w:t>理人</w:t>
      </w:r>
      <w:bookmarkEnd w:id="237"/>
      <w:bookmarkEnd w:id="238"/>
      <w:bookmarkEnd w:id="239"/>
      <w:bookmarkEnd w:id="240"/>
      <w:bookmarkEnd w:id="241"/>
    </w:p>
    <w:p w14:paraId="7378A253">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4.1监理人的一般规定</w:t>
      </w:r>
    </w:p>
    <w:p w14:paraId="3A9095D4">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关于监理人的监理内容：</w:t>
      </w:r>
      <w:r>
        <w:rPr>
          <w:rFonts w:hint="eastAsia" w:ascii="宋体" w:hAnsi="宋体" w:eastAsia="宋体" w:cs="宋体"/>
          <w:color w:val="auto"/>
          <w:sz w:val="21"/>
          <w:szCs w:val="21"/>
          <w:highlight w:val="none"/>
          <w:u w:val="single"/>
        </w:rPr>
        <w:t>按照发包人与监理方签订的监理合同执行。包括施工图示所有内容。具体包括：施工阶段全过程监理。包括：“三控制、三管理、一协调”即：投资控制、质量控制、进度控制；安全管理、合同管理、信息管理；协调有关单位之间的工作关系，配合所有工程结算审计和质量缺陷期内的争议问题处理</w:t>
      </w:r>
      <w:r>
        <w:rPr>
          <w:rFonts w:hint="eastAsia" w:ascii="宋体" w:hAnsi="宋体" w:eastAsia="宋体" w:cs="宋体"/>
          <w:color w:val="auto"/>
          <w:sz w:val="21"/>
          <w:szCs w:val="21"/>
          <w:highlight w:val="none"/>
        </w:rPr>
        <w:t>。</w:t>
      </w:r>
    </w:p>
    <w:p w14:paraId="3B41E404">
      <w:pPr>
        <w:snapToGrid w:val="0"/>
        <w:spacing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关于监理人的监理权限：</w:t>
      </w:r>
      <w:r>
        <w:rPr>
          <w:rFonts w:hint="eastAsia" w:ascii="宋体" w:hAnsi="宋体" w:eastAsia="宋体" w:cs="宋体"/>
          <w:color w:val="auto"/>
          <w:sz w:val="21"/>
          <w:szCs w:val="21"/>
          <w:highlight w:val="none"/>
          <w:u w:val="single"/>
        </w:rPr>
        <w:t>须经发包人事先批准行使的权力：开工、停工、复工令的签发需经发包人同意；工程计量与支付、工程设计变更、工程价款调整、工程签证以及施工组织设计和专项施工方案中涉及影响造价的内容均需发包人同意和批准后有效。其它按照发包人同监理单位签订的监理合同执行。对本工程项目的施工质量、进度、投资、安全文明施工、合同及信息管理等实施全过程监理和控制。对隐蔽工程、设备、材料及施工质量进行验收和工程量签证，对施工环境进行协调</w:t>
      </w:r>
      <w:r>
        <w:rPr>
          <w:rFonts w:hint="eastAsia" w:ascii="宋体" w:hAnsi="宋体" w:eastAsia="宋体" w:cs="宋体"/>
          <w:color w:val="auto"/>
          <w:sz w:val="21"/>
          <w:szCs w:val="21"/>
          <w:highlight w:val="none"/>
        </w:rPr>
        <w:t xml:space="preserve">。 </w:t>
      </w:r>
    </w:p>
    <w:p w14:paraId="62D4C6A8">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关于监理人在施工现场的办公场所、生活场所的提供和费用承担的约定：</w:t>
      </w:r>
      <w:r>
        <w:rPr>
          <w:rFonts w:hint="eastAsia" w:ascii="宋体" w:hAnsi="宋体" w:eastAsia="宋体" w:cs="宋体"/>
          <w:color w:val="auto"/>
          <w:sz w:val="21"/>
          <w:szCs w:val="21"/>
          <w:highlight w:val="none"/>
          <w:u w:val="single"/>
        </w:rPr>
        <w:t>由承包人承担。</w:t>
      </w:r>
    </w:p>
    <w:p w14:paraId="6B3E1D66">
      <w:pPr>
        <w:snapToGrid w:val="0"/>
        <w:spacing w:line="360" w:lineRule="auto"/>
        <w:rPr>
          <w:rFonts w:hint="eastAsia" w:ascii="宋体" w:hAnsi="宋体" w:eastAsia="宋体" w:cs="宋体"/>
          <w:b/>
          <w:color w:val="auto"/>
          <w:kern w:val="0"/>
          <w:sz w:val="21"/>
          <w:szCs w:val="21"/>
          <w:highlight w:val="none"/>
        </w:rPr>
      </w:pPr>
      <w:bookmarkStart w:id="253" w:name="_Toc267251418"/>
      <w:bookmarkStart w:id="254" w:name="_Toc485992738"/>
      <w:bookmarkStart w:id="255" w:name="_Toc516756962"/>
      <w:bookmarkStart w:id="256" w:name="_Toc433623107"/>
      <w:bookmarkStart w:id="257" w:name="_Toc351203637"/>
      <w:bookmarkStart w:id="258" w:name="_Toc518391413"/>
      <w:r>
        <w:rPr>
          <w:rFonts w:hint="eastAsia" w:ascii="宋体" w:hAnsi="宋体" w:eastAsia="宋体" w:cs="宋体"/>
          <w:b/>
          <w:color w:val="auto"/>
          <w:kern w:val="0"/>
          <w:sz w:val="21"/>
          <w:szCs w:val="21"/>
          <w:highlight w:val="none"/>
        </w:rPr>
        <w:t>5</w:t>
      </w:r>
      <w:bookmarkEnd w:id="253"/>
      <w:bookmarkStart w:id="259" w:name="_Toc296944502"/>
      <w:bookmarkStart w:id="260" w:name="_Toc292559872"/>
      <w:bookmarkStart w:id="261" w:name="_Toc296890991"/>
      <w:bookmarkStart w:id="262" w:name="_Toc296891203"/>
      <w:bookmarkStart w:id="263" w:name="_Toc296346664"/>
      <w:bookmarkStart w:id="264" w:name="_Toc296347162"/>
      <w:bookmarkStart w:id="265" w:name="_Toc297120463"/>
      <w:bookmarkStart w:id="266" w:name="_Toc297048349"/>
      <w:bookmarkStart w:id="267" w:name="_Toc296503163"/>
      <w:bookmarkStart w:id="268" w:name="_Toc292559367"/>
      <w:r>
        <w:rPr>
          <w:rFonts w:hint="eastAsia" w:ascii="宋体" w:hAnsi="宋体" w:eastAsia="宋体" w:cs="宋体"/>
          <w:b/>
          <w:color w:val="auto"/>
          <w:kern w:val="0"/>
          <w:sz w:val="21"/>
          <w:szCs w:val="21"/>
          <w:highlight w:val="none"/>
        </w:rPr>
        <w:t>. 工程质量</w:t>
      </w:r>
      <w:bookmarkEnd w:id="254"/>
      <w:bookmarkEnd w:id="255"/>
      <w:bookmarkEnd w:id="256"/>
      <w:bookmarkEnd w:id="257"/>
      <w:bookmarkEnd w:id="258"/>
    </w:p>
    <w:p w14:paraId="16459645">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5.1 </w:t>
      </w:r>
      <w:r>
        <w:rPr>
          <w:rFonts w:hint="eastAsia" w:ascii="宋体" w:hAnsi="宋体" w:eastAsia="宋体" w:cs="宋体"/>
          <w:color w:val="auto"/>
          <w:kern w:val="0"/>
          <w:sz w:val="21"/>
          <w:szCs w:val="21"/>
          <w:highlight w:val="none"/>
        </w:rPr>
        <w:t>质量要求</w:t>
      </w:r>
    </w:p>
    <w:p w14:paraId="4D77383A">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bookmarkStart w:id="269" w:name="_Toc312677997"/>
      <w:bookmarkStart w:id="270" w:name="_Toc303539106"/>
      <w:bookmarkStart w:id="271" w:name="_Toc297123496"/>
      <w:bookmarkStart w:id="272" w:name="_Toc297216155"/>
      <w:bookmarkStart w:id="273" w:name="_Toc304295527"/>
      <w:bookmarkStart w:id="274" w:name="_Toc318581164"/>
      <w:bookmarkStart w:id="275" w:name="_Toc300934949"/>
      <w:r>
        <w:rPr>
          <w:rFonts w:hint="eastAsia" w:ascii="宋体" w:hAnsi="宋体" w:eastAsia="宋体" w:cs="宋体"/>
          <w:color w:val="auto"/>
          <w:sz w:val="21"/>
          <w:szCs w:val="21"/>
          <w:highlight w:val="none"/>
        </w:rPr>
        <w:t>.1.1 特殊质量标准和要求：</w:t>
      </w:r>
    </w:p>
    <w:p w14:paraId="5E43C704">
      <w:pPr>
        <w:snapToGrid w:val="0"/>
        <w:spacing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质量要求：达到国家现行有关施工质量验收规范要求，并达到合格标准。</w:t>
      </w:r>
    </w:p>
    <w:p w14:paraId="4A6C20EC">
      <w:pPr>
        <w:snapToGrid w:val="0"/>
        <w:spacing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（1）基础设施工程、房屋建筑的地基基础工程和主体结构工程，为设计文件规定的该工程的合理使用年限。</w:t>
      </w:r>
    </w:p>
    <w:p w14:paraId="4C01AE3A">
      <w:pPr>
        <w:snapToGrid w:val="0"/>
        <w:spacing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（2）屋面防水工程、有防水要求的卫生间、房间和外墙面的防渗漏，为5年。</w:t>
      </w:r>
    </w:p>
    <w:p w14:paraId="14A9D683">
      <w:pPr>
        <w:snapToGrid w:val="0"/>
        <w:spacing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（3）供热与供冷系统，为2个采暖期、供冷期。</w:t>
      </w:r>
    </w:p>
    <w:p w14:paraId="0F0F76A0">
      <w:pPr>
        <w:snapToGrid w:val="0"/>
        <w:spacing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（4）电气管线、给排水管道、设备安装和装修工程，为2年。</w:t>
      </w:r>
    </w:p>
    <w:p w14:paraId="1616410F">
      <w:pPr>
        <w:snapToGrid w:val="0"/>
        <w:spacing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质量保修期自工程竣工验收合格(以竣工验收报告日期为准)之日起计算</w:t>
      </w:r>
      <w:r>
        <w:rPr>
          <w:rFonts w:hint="eastAsia" w:ascii="宋体" w:hAnsi="宋体" w:eastAsia="宋体" w:cs="宋体"/>
          <w:color w:val="auto"/>
          <w:sz w:val="21"/>
          <w:szCs w:val="21"/>
          <w:highlight w:val="none"/>
          <w:u w:val="single"/>
          <w:lang w:val="en-US" w:eastAsia="zh-CN"/>
        </w:rPr>
        <w:t>2年</w:t>
      </w:r>
      <w:r>
        <w:rPr>
          <w:rFonts w:hint="eastAsia" w:ascii="宋体" w:hAnsi="宋体" w:eastAsia="宋体" w:cs="宋体"/>
          <w:color w:val="auto"/>
          <w:sz w:val="21"/>
          <w:szCs w:val="21"/>
          <w:highlight w:val="none"/>
          <w:u w:val="single"/>
        </w:rPr>
        <w:t>。</w:t>
      </w:r>
    </w:p>
    <w:p w14:paraId="6B2900C9">
      <w:pPr>
        <w:snapToGrid w:val="0"/>
        <w:spacing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关于工程奖项的约定：</w:t>
      </w:r>
      <w:r>
        <w:rPr>
          <w:rFonts w:hint="eastAsia" w:ascii="宋体" w:hAnsi="宋体" w:eastAsia="宋体" w:cs="宋体"/>
          <w:color w:val="auto"/>
          <w:sz w:val="21"/>
          <w:szCs w:val="21"/>
          <w:highlight w:val="none"/>
          <w:u w:val="single"/>
        </w:rPr>
        <w:t xml:space="preserve">            无                  </w:t>
      </w:r>
    </w:p>
    <w:p w14:paraId="47948776">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5.3 </w:t>
      </w:r>
      <w:r>
        <w:rPr>
          <w:rFonts w:hint="eastAsia" w:ascii="宋体" w:hAnsi="宋体" w:eastAsia="宋体" w:cs="宋体"/>
          <w:color w:val="auto"/>
          <w:kern w:val="0"/>
          <w:sz w:val="21"/>
          <w:szCs w:val="21"/>
          <w:highlight w:val="none"/>
        </w:rPr>
        <w:t>隐蔽工程检查</w:t>
      </w:r>
    </w:p>
    <w:p w14:paraId="791EC845">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5.3.2承包人提前通知监理人隐蔽工程检查的期限的约定：</w:t>
      </w:r>
      <w:r>
        <w:rPr>
          <w:rFonts w:hint="eastAsia" w:ascii="宋体" w:hAnsi="宋体" w:eastAsia="宋体" w:cs="宋体"/>
          <w:color w:val="auto"/>
          <w:sz w:val="21"/>
          <w:szCs w:val="21"/>
          <w:highlight w:val="none"/>
          <w:u w:val="single"/>
        </w:rPr>
        <w:t xml:space="preserve">   执行通用条款     </w:t>
      </w:r>
      <w:r>
        <w:rPr>
          <w:rFonts w:hint="eastAsia" w:ascii="宋体" w:hAnsi="宋体" w:eastAsia="宋体" w:cs="宋体"/>
          <w:color w:val="auto"/>
          <w:sz w:val="21"/>
          <w:szCs w:val="21"/>
          <w:highlight w:val="none"/>
        </w:rPr>
        <w:t>。</w:t>
      </w:r>
    </w:p>
    <w:p w14:paraId="1E335D16">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监理人不能按时进行检查时，应提前</w:t>
      </w:r>
      <w:r>
        <w:rPr>
          <w:rFonts w:hint="eastAsia" w:ascii="宋体" w:hAnsi="宋体" w:eastAsia="宋体" w:cs="宋体"/>
          <w:color w:val="auto"/>
          <w:sz w:val="21"/>
          <w:szCs w:val="21"/>
          <w:highlight w:val="none"/>
          <w:u w:val="single"/>
        </w:rPr>
        <w:t xml:space="preserve">   24    </w:t>
      </w:r>
      <w:r>
        <w:rPr>
          <w:rFonts w:hint="eastAsia" w:ascii="宋体" w:hAnsi="宋体" w:eastAsia="宋体" w:cs="宋体"/>
          <w:color w:val="auto"/>
          <w:sz w:val="21"/>
          <w:szCs w:val="21"/>
          <w:highlight w:val="none"/>
        </w:rPr>
        <w:t>小时提交书面延期要求。</w:t>
      </w:r>
    </w:p>
    <w:p w14:paraId="288B96D8">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关于延期最长不得超过：</w:t>
      </w:r>
      <w:r>
        <w:rPr>
          <w:rFonts w:hint="eastAsia" w:ascii="宋体" w:hAnsi="宋体" w:eastAsia="宋体" w:cs="宋体"/>
          <w:color w:val="auto"/>
          <w:sz w:val="21"/>
          <w:szCs w:val="21"/>
          <w:highlight w:val="none"/>
          <w:u w:val="single"/>
        </w:rPr>
        <w:t xml:space="preserve">   48      </w:t>
      </w:r>
      <w:r>
        <w:rPr>
          <w:rFonts w:hint="eastAsia" w:ascii="宋体" w:hAnsi="宋体" w:eastAsia="宋体" w:cs="宋体"/>
          <w:color w:val="auto"/>
          <w:sz w:val="21"/>
          <w:szCs w:val="21"/>
          <w:highlight w:val="none"/>
        </w:rPr>
        <w:t>小时。</w:t>
      </w:r>
    </w:p>
    <w:p w14:paraId="776D1AF8">
      <w:pPr>
        <w:snapToGrid w:val="0"/>
        <w:spacing w:line="360" w:lineRule="auto"/>
        <w:rPr>
          <w:rFonts w:hint="eastAsia" w:ascii="宋体" w:hAnsi="宋体" w:eastAsia="宋体" w:cs="宋体"/>
          <w:b/>
          <w:color w:val="auto"/>
          <w:kern w:val="0"/>
          <w:sz w:val="21"/>
          <w:szCs w:val="21"/>
          <w:highlight w:val="none"/>
        </w:rPr>
      </w:pPr>
      <w:bookmarkStart w:id="276" w:name="_Toc433623108"/>
      <w:bookmarkStart w:id="277" w:name="_Toc485992739"/>
      <w:bookmarkStart w:id="278" w:name="_Toc516756963"/>
      <w:bookmarkStart w:id="279" w:name="_Toc518391414"/>
      <w:bookmarkStart w:id="280" w:name="_Toc351203638"/>
      <w:r>
        <w:rPr>
          <w:rFonts w:hint="eastAsia" w:ascii="宋体" w:hAnsi="宋体" w:eastAsia="宋体" w:cs="宋体"/>
          <w:b/>
          <w:color w:val="auto"/>
          <w:kern w:val="0"/>
          <w:sz w:val="21"/>
          <w:szCs w:val="21"/>
          <w:highlight w:val="none"/>
        </w:rPr>
        <w:t>6. 安全文明施工与环境保护</w:t>
      </w:r>
      <w:bookmarkEnd w:id="276"/>
      <w:bookmarkEnd w:id="277"/>
      <w:bookmarkEnd w:id="278"/>
      <w:bookmarkEnd w:id="279"/>
      <w:bookmarkEnd w:id="280"/>
    </w:p>
    <w:bookmarkEnd w:id="269"/>
    <w:bookmarkEnd w:id="270"/>
    <w:bookmarkEnd w:id="271"/>
    <w:bookmarkEnd w:id="272"/>
    <w:bookmarkEnd w:id="273"/>
    <w:bookmarkEnd w:id="274"/>
    <w:bookmarkEnd w:id="275"/>
    <w:p w14:paraId="1A8B2F1D">
      <w:pPr>
        <w:snapToGrid w:val="0"/>
        <w:spacing w:line="360" w:lineRule="auto"/>
        <w:ind w:firstLine="420" w:firstLineChars="200"/>
        <w:rPr>
          <w:rFonts w:hint="eastAsia" w:ascii="宋体" w:hAnsi="宋体" w:eastAsia="宋体" w:cs="宋体"/>
          <w:color w:val="auto"/>
          <w:sz w:val="21"/>
          <w:szCs w:val="21"/>
          <w:highlight w:val="none"/>
        </w:rPr>
      </w:pPr>
      <w:bookmarkStart w:id="281" w:name="_Toc351203639"/>
      <w:r>
        <w:rPr>
          <w:rFonts w:hint="eastAsia" w:ascii="宋体" w:hAnsi="宋体" w:eastAsia="宋体" w:cs="宋体"/>
          <w:color w:val="auto"/>
          <w:sz w:val="21"/>
          <w:szCs w:val="21"/>
          <w:highlight w:val="none"/>
        </w:rPr>
        <w:t>6.1安全文明施工</w:t>
      </w:r>
    </w:p>
    <w:p w14:paraId="0172552F">
      <w:pPr>
        <w:snapToGrid w:val="0"/>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6.1.1 项目安全生产的达标目标及相应事项的约定：</w:t>
      </w:r>
      <w:r>
        <w:rPr>
          <w:rFonts w:hint="eastAsia" w:ascii="宋体" w:hAnsi="宋体" w:eastAsia="宋体" w:cs="宋体"/>
          <w:color w:val="auto"/>
          <w:sz w:val="21"/>
          <w:szCs w:val="21"/>
          <w:highlight w:val="none"/>
          <w:u w:val="single"/>
        </w:rPr>
        <w:t>承包人应按《建筑施工企业安全生产管理机构设置及专职安全生产管理人员配备办法》（建质【2008】91号）、《建筑施工安全检查标准》（JGJ59-2011）、《重庆市建设工程安全生产监督管理办法》（渝建发〔2008〕177号）、《重庆市房屋建筑和市政基础设施工程现场文明施工标准》（渝建发〔2008〕169号）等相关文件设置专职安全生产管理人员，并按照相关内容和国家行业规范要求采取有效的安全措施，以保证自身及第三人的周边环境的安全 。承包人制定严格的安全防护措施，确保安全施工。如造成安全事故、责任事故，承包人应按规定上报，责任和经济损失由承包人自行承担，如给第三人造成的人身和财产损失，由承包人承担。</w:t>
      </w:r>
    </w:p>
    <w:p w14:paraId="0324D7AB">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6.1.4 关于治安保卫的特别约定：</w:t>
      </w:r>
      <w:r>
        <w:rPr>
          <w:rFonts w:hint="eastAsia" w:ascii="宋体" w:hAnsi="宋体" w:eastAsia="宋体" w:cs="宋体"/>
          <w:color w:val="auto"/>
          <w:sz w:val="21"/>
          <w:szCs w:val="21"/>
          <w:highlight w:val="none"/>
          <w:u w:val="single"/>
        </w:rPr>
        <w:t>执行通用条款</w:t>
      </w:r>
      <w:r>
        <w:rPr>
          <w:rFonts w:hint="eastAsia" w:ascii="宋体" w:hAnsi="宋体" w:eastAsia="宋体" w:cs="宋体"/>
          <w:color w:val="auto"/>
          <w:sz w:val="21"/>
          <w:szCs w:val="21"/>
          <w:highlight w:val="none"/>
        </w:rPr>
        <w:t>。</w:t>
      </w:r>
    </w:p>
    <w:p w14:paraId="2D38D85B">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关于编制施工场地治安管理计划的约定：</w:t>
      </w:r>
      <w:r>
        <w:rPr>
          <w:rFonts w:hint="eastAsia" w:ascii="宋体" w:hAnsi="宋体" w:eastAsia="宋体" w:cs="宋体"/>
          <w:color w:val="auto"/>
          <w:sz w:val="21"/>
          <w:szCs w:val="21"/>
          <w:highlight w:val="none"/>
          <w:u w:val="single"/>
        </w:rPr>
        <w:t>执行通用条款</w:t>
      </w:r>
      <w:r>
        <w:rPr>
          <w:rFonts w:hint="eastAsia" w:ascii="宋体" w:hAnsi="宋体" w:eastAsia="宋体" w:cs="宋体"/>
          <w:color w:val="auto"/>
          <w:sz w:val="21"/>
          <w:szCs w:val="21"/>
          <w:highlight w:val="none"/>
        </w:rPr>
        <w:t>。</w:t>
      </w:r>
    </w:p>
    <w:p w14:paraId="036B70A4">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6.1.5 文明施工</w:t>
      </w:r>
    </w:p>
    <w:p w14:paraId="566571E9">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合同当事人对文明施工的要求：</w:t>
      </w:r>
      <w:r>
        <w:rPr>
          <w:rFonts w:hint="eastAsia" w:ascii="宋体" w:hAnsi="宋体" w:eastAsia="宋体" w:cs="宋体"/>
          <w:color w:val="auto"/>
          <w:sz w:val="21"/>
          <w:szCs w:val="21"/>
          <w:highlight w:val="none"/>
          <w:u w:val="single"/>
        </w:rPr>
        <w:t>满足建设行政主管部门的相关规定和要求。承包人还应按照《房屋建筑和市政基础设施工程施工扬尘控制工作方案》（渝建发〔2009〕13号）、《重庆市房屋建筑和市政基础设施工程现场文明施工标准》（渝建发〔2008〕169号）等相关规定履行好施工扬尘控制、文明施工等责任。承包人办理的有关施工场地交通、环卫和施工噪音管理等手续均由承包人自行负责办理，费用由承包人承担</w:t>
      </w:r>
      <w:r>
        <w:rPr>
          <w:rFonts w:hint="eastAsia" w:ascii="宋体" w:hAnsi="宋体" w:eastAsia="宋体" w:cs="宋体"/>
          <w:color w:val="auto"/>
          <w:sz w:val="21"/>
          <w:szCs w:val="21"/>
          <w:highlight w:val="none"/>
        </w:rPr>
        <w:t>。</w:t>
      </w:r>
    </w:p>
    <w:p w14:paraId="2B51FF8F">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6.1.6 关于安全文明施工费支付比例和支付期限的约定：执行通用条款。</w:t>
      </w:r>
    </w:p>
    <w:p w14:paraId="708E20B4">
      <w:pPr>
        <w:snapToGrid w:val="0"/>
        <w:spacing w:line="360" w:lineRule="auto"/>
        <w:rPr>
          <w:rFonts w:hint="eastAsia" w:ascii="宋体" w:hAnsi="宋体" w:eastAsia="宋体" w:cs="宋体"/>
          <w:b/>
          <w:color w:val="auto"/>
          <w:kern w:val="0"/>
          <w:sz w:val="21"/>
          <w:szCs w:val="21"/>
          <w:highlight w:val="none"/>
        </w:rPr>
      </w:pPr>
      <w:bookmarkStart w:id="282" w:name="_Toc485992740"/>
      <w:bookmarkStart w:id="283" w:name="_Toc433623109"/>
      <w:bookmarkStart w:id="284" w:name="_Toc516756964"/>
      <w:bookmarkStart w:id="285" w:name="_Toc518391415"/>
      <w:r>
        <w:rPr>
          <w:rFonts w:hint="eastAsia" w:ascii="宋体" w:hAnsi="宋体" w:eastAsia="宋体" w:cs="宋体"/>
          <w:b/>
          <w:color w:val="auto"/>
          <w:kern w:val="0"/>
          <w:sz w:val="21"/>
          <w:szCs w:val="21"/>
          <w:highlight w:val="none"/>
        </w:rPr>
        <w:t>7. 工期和进度</w:t>
      </w:r>
      <w:bookmarkEnd w:id="281"/>
      <w:bookmarkEnd w:id="282"/>
      <w:bookmarkEnd w:id="283"/>
      <w:bookmarkEnd w:id="284"/>
      <w:bookmarkEnd w:id="285"/>
    </w:p>
    <w:p w14:paraId="7F61FE29">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7.1 </w:t>
      </w:r>
      <w:r>
        <w:rPr>
          <w:rFonts w:hint="eastAsia" w:ascii="宋体" w:hAnsi="宋体" w:eastAsia="宋体" w:cs="宋体"/>
          <w:color w:val="auto"/>
          <w:kern w:val="0"/>
          <w:sz w:val="21"/>
          <w:szCs w:val="21"/>
          <w:highlight w:val="none"/>
        </w:rPr>
        <w:t>施工组织设计</w:t>
      </w:r>
    </w:p>
    <w:p w14:paraId="7CB1E021">
      <w:pPr>
        <w:snapToGrid w:val="0"/>
        <w:spacing w:line="360" w:lineRule="auto"/>
        <w:ind w:firstLine="420" w:firstLineChars="200"/>
        <w:jc w:val="left"/>
        <w:rPr>
          <w:rFonts w:hint="eastAsia" w:ascii="宋体" w:hAnsi="宋体" w:eastAsia="宋体" w:cs="宋体"/>
          <w:color w:val="auto"/>
          <w:sz w:val="21"/>
          <w:szCs w:val="21"/>
          <w:highlight w:val="none"/>
        </w:rPr>
      </w:pPr>
      <w:bookmarkStart w:id="286" w:name="_Toc351203640"/>
      <w:r>
        <w:rPr>
          <w:rFonts w:hint="eastAsia" w:ascii="宋体" w:hAnsi="宋体" w:eastAsia="宋体" w:cs="宋体"/>
          <w:color w:val="auto"/>
          <w:sz w:val="21"/>
          <w:szCs w:val="21"/>
          <w:highlight w:val="none"/>
        </w:rPr>
        <w:t>7.1.1 合同当事人约定的施工组织设计应包括的其他内容：</w:t>
      </w:r>
      <w:r>
        <w:rPr>
          <w:rFonts w:hint="eastAsia" w:ascii="宋体" w:hAnsi="宋体" w:eastAsia="宋体" w:cs="宋体"/>
          <w:color w:val="auto"/>
          <w:sz w:val="21"/>
          <w:szCs w:val="21"/>
          <w:highlight w:val="none"/>
          <w:u w:val="single"/>
        </w:rPr>
        <w:t>施工组织设计、专项施工方案、安全应急方案等</w:t>
      </w:r>
      <w:r>
        <w:rPr>
          <w:rFonts w:hint="eastAsia" w:ascii="宋体" w:hAnsi="宋体" w:eastAsia="宋体" w:cs="宋体"/>
          <w:color w:val="auto"/>
          <w:sz w:val="21"/>
          <w:szCs w:val="21"/>
          <w:highlight w:val="none"/>
        </w:rPr>
        <w:t>。</w:t>
      </w:r>
    </w:p>
    <w:p w14:paraId="47D8F0B8">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7.1.2 施工组织设计的提交和修改</w:t>
      </w:r>
    </w:p>
    <w:p w14:paraId="5CD9AE29">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承包人提交详细施工组织设计的期限的约定：</w:t>
      </w:r>
      <w:r>
        <w:rPr>
          <w:rFonts w:hint="eastAsia" w:ascii="宋体" w:hAnsi="宋体" w:eastAsia="宋体" w:cs="宋体"/>
          <w:color w:val="auto"/>
          <w:sz w:val="21"/>
          <w:szCs w:val="21"/>
          <w:highlight w:val="none"/>
          <w:u w:val="single"/>
        </w:rPr>
        <w:t>图纸会审交底后7个工作日内</w:t>
      </w:r>
      <w:r>
        <w:rPr>
          <w:rFonts w:hint="eastAsia" w:ascii="宋体" w:hAnsi="宋体" w:eastAsia="宋体" w:cs="宋体"/>
          <w:color w:val="auto"/>
          <w:sz w:val="21"/>
          <w:szCs w:val="21"/>
          <w:highlight w:val="none"/>
        </w:rPr>
        <w:t>。</w:t>
      </w:r>
    </w:p>
    <w:p w14:paraId="609FF467">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发包人和监理人在收到详细的施工组织设计后确认或提出修改意见的期限：</w:t>
      </w:r>
      <w:r>
        <w:rPr>
          <w:rFonts w:hint="eastAsia" w:ascii="宋体" w:hAnsi="宋体" w:eastAsia="宋体" w:cs="宋体"/>
          <w:color w:val="auto"/>
          <w:sz w:val="21"/>
          <w:szCs w:val="21"/>
          <w:highlight w:val="none"/>
          <w:u w:val="single"/>
        </w:rPr>
        <w:t xml:space="preserve"> 发包人收到施工组织设计后10个工作日内审查确认</w:t>
      </w:r>
      <w:r>
        <w:rPr>
          <w:rFonts w:hint="eastAsia" w:ascii="宋体" w:hAnsi="宋体" w:eastAsia="宋体" w:cs="宋体"/>
          <w:color w:val="auto"/>
          <w:sz w:val="21"/>
          <w:szCs w:val="21"/>
          <w:highlight w:val="none"/>
        </w:rPr>
        <w:t>。</w:t>
      </w:r>
    </w:p>
    <w:p w14:paraId="0DECF202">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bookmarkStart w:id="287" w:name="_Toc300934966"/>
      <w:bookmarkStart w:id="288" w:name="_Toc303539123"/>
      <w:bookmarkStart w:id="289" w:name="_Toc297123514"/>
      <w:bookmarkStart w:id="290" w:name="_Toc312677479"/>
      <w:bookmarkStart w:id="291" w:name="_Toc304295541"/>
      <w:bookmarkStart w:id="292" w:name="_Toc297216173"/>
      <w:bookmarkStart w:id="293" w:name="_Toc312678005"/>
      <w:r>
        <w:rPr>
          <w:rFonts w:hint="eastAsia" w:ascii="宋体" w:hAnsi="宋体" w:eastAsia="宋体" w:cs="宋体"/>
          <w:color w:val="auto"/>
          <w:sz w:val="21"/>
          <w:szCs w:val="21"/>
          <w:highlight w:val="none"/>
        </w:rPr>
        <w:t xml:space="preserve">.2 </w:t>
      </w:r>
      <w:r>
        <w:rPr>
          <w:rFonts w:hint="eastAsia" w:ascii="宋体" w:hAnsi="宋体" w:eastAsia="宋体" w:cs="宋体"/>
          <w:color w:val="auto"/>
          <w:kern w:val="0"/>
          <w:sz w:val="21"/>
          <w:szCs w:val="21"/>
          <w:highlight w:val="none"/>
        </w:rPr>
        <w:t>施工进度计划</w:t>
      </w:r>
    </w:p>
    <w:p w14:paraId="77AEE380">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7.2.2 施工进度计划的修订</w:t>
      </w:r>
    </w:p>
    <w:p w14:paraId="597C9C30">
      <w:pPr>
        <w:snapToGrid w:val="0"/>
        <w:spacing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发包人和监理人在收到修订的施工进度计划后确认或提出修改意见的期限：</w:t>
      </w:r>
      <w:r>
        <w:rPr>
          <w:rFonts w:hint="eastAsia" w:ascii="宋体" w:hAnsi="宋体" w:eastAsia="宋体" w:cs="宋体"/>
          <w:color w:val="auto"/>
          <w:sz w:val="21"/>
          <w:szCs w:val="21"/>
          <w:highlight w:val="none"/>
          <w:u w:val="single"/>
        </w:rPr>
        <w:t>发包人收到进度计划后10个工作日内审查确认，月进度计划在收到后的次月10日内审查确认。</w:t>
      </w:r>
    </w:p>
    <w:p w14:paraId="2BA77049">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7.3 </w:t>
      </w:r>
      <w:r>
        <w:rPr>
          <w:rFonts w:hint="eastAsia" w:ascii="宋体" w:hAnsi="宋体" w:eastAsia="宋体" w:cs="宋体"/>
          <w:color w:val="auto"/>
          <w:kern w:val="0"/>
          <w:sz w:val="21"/>
          <w:szCs w:val="21"/>
          <w:highlight w:val="none"/>
        </w:rPr>
        <w:t>开工</w:t>
      </w:r>
    </w:p>
    <w:p w14:paraId="6E936477">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7.3.1 开工准备</w:t>
      </w:r>
    </w:p>
    <w:p w14:paraId="0ABB3224">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关于承包人提交工程开工报审表的期限：</w:t>
      </w:r>
      <w:r>
        <w:rPr>
          <w:rFonts w:hint="eastAsia" w:ascii="宋体" w:hAnsi="宋体" w:eastAsia="宋体" w:cs="宋体"/>
          <w:color w:val="auto"/>
          <w:sz w:val="21"/>
          <w:szCs w:val="21"/>
          <w:highlight w:val="none"/>
          <w:u w:val="single"/>
        </w:rPr>
        <w:t xml:space="preserve">    不晚于开工前</w:t>
      </w:r>
      <w:r>
        <w:rPr>
          <w:rFonts w:hint="eastAsia" w:ascii="宋体" w:hAnsi="宋体" w:eastAsia="宋体" w:cs="宋体"/>
          <w:color w:val="auto"/>
          <w:sz w:val="21"/>
          <w:szCs w:val="21"/>
          <w:highlight w:val="none"/>
          <w:u w:val="single"/>
          <w:lang w:val="en-US" w:eastAsia="zh-CN"/>
        </w:rPr>
        <w:t>7</w:t>
      </w:r>
      <w:r>
        <w:rPr>
          <w:rFonts w:hint="eastAsia" w:ascii="宋体" w:hAnsi="宋体" w:eastAsia="宋体" w:cs="宋体"/>
          <w:color w:val="auto"/>
          <w:sz w:val="21"/>
          <w:szCs w:val="21"/>
          <w:highlight w:val="none"/>
          <w:u w:val="single"/>
        </w:rPr>
        <w:t xml:space="preserve">天  </w:t>
      </w:r>
      <w:r>
        <w:rPr>
          <w:rFonts w:hint="eastAsia" w:ascii="宋体" w:hAnsi="宋体" w:eastAsia="宋体" w:cs="宋体"/>
          <w:color w:val="auto"/>
          <w:sz w:val="21"/>
          <w:szCs w:val="21"/>
          <w:highlight w:val="none"/>
        </w:rPr>
        <w:t>。</w:t>
      </w:r>
    </w:p>
    <w:p w14:paraId="3B3B09D7">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关于发包人应完成的其他开工准备工作及期限：</w:t>
      </w:r>
      <w:r>
        <w:rPr>
          <w:rFonts w:hint="eastAsia" w:ascii="宋体" w:hAnsi="宋体" w:eastAsia="宋体" w:cs="宋体"/>
          <w:color w:val="auto"/>
          <w:sz w:val="21"/>
          <w:szCs w:val="21"/>
          <w:highlight w:val="none"/>
          <w:u w:val="single"/>
        </w:rPr>
        <w:t xml:space="preserve">  不晚于开工前</w:t>
      </w:r>
      <w:r>
        <w:rPr>
          <w:rFonts w:hint="eastAsia" w:ascii="宋体" w:hAnsi="宋体" w:eastAsia="宋体" w:cs="宋体"/>
          <w:color w:val="auto"/>
          <w:sz w:val="21"/>
          <w:szCs w:val="21"/>
          <w:highlight w:val="none"/>
          <w:u w:val="single"/>
          <w:lang w:val="en-US" w:eastAsia="zh-CN"/>
        </w:rPr>
        <w:t>7</w:t>
      </w:r>
      <w:r>
        <w:rPr>
          <w:rFonts w:hint="eastAsia" w:ascii="宋体" w:hAnsi="宋体" w:eastAsia="宋体" w:cs="宋体"/>
          <w:color w:val="auto"/>
          <w:sz w:val="21"/>
          <w:szCs w:val="21"/>
          <w:highlight w:val="none"/>
          <w:u w:val="single"/>
        </w:rPr>
        <w:t xml:space="preserve">天  </w:t>
      </w:r>
      <w:r>
        <w:rPr>
          <w:rFonts w:hint="eastAsia" w:ascii="宋体" w:hAnsi="宋体" w:eastAsia="宋体" w:cs="宋体"/>
          <w:color w:val="auto"/>
          <w:sz w:val="21"/>
          <w:szCs w:val="21"/>
          <w:highlight w:val="none"/>
        </w:rPr>
        <w:t xml:space="preserve"> 。</w:t>
      </w:r>
    </w:p>
    <w:p w14:paraId="6538E2D1">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关于承包人应完成的其他开工准备工作及期限：</w:t>
      </w:r>
      <w:r>
        <w:rPr>
          <w:rFonts w:hint="eastAsia" w:ascii="宋体" w:hAnsi="宋体" w:eastAsia="宋体" w:cs="宋体"/>
          <w:color w:val="auto"/>
          <w:sz w:val="21"/>
          <w:szCs w:val="21"/>
          <w:highlight w:val="none"/>
          <w:u w:val="single"/>
        </w:rPr>
        <w:t xml:space="preserve">  不晚于开工前</w:t>
      </w:r>
      <w:r>
        <w:rPr>
          <w:rFonts w:hint="eastAsia" w:ascii="宋体" w:hAnsi="宋体" w:eastAsia="宋体" w:cs="宋体"/>
          <w:color w:val="auto"/>
          <w:sz w:val="21"/>
          <w:szCs w:val="21"/>
          <w:highlight w:val="none"/>
          <w:u w:val="single"/>
          <w:lang w:val="en-US" w:eastAsia="zh-CN"/>
        </w:rPr>
        <w:t>7</w:t>
      </w:r>
      <w:r>
        <w:rPr>
          <w:rFonts w:hint="eastAsia" w:ascii="宋体" w:hAnsi="宋体" w:eastAsia="宋体" w:cs="宋体"/>
          <w:color w:val="auto"/>
          <w:sz w:val="21"/>
          <w:szCs w:val="21"/>
          <w:highlight w:val="none"/>
          <w:u w:val="single"/>
        </w:rPr>
        <w:t xml:space="preserve">天 </w:t>
      </w:r>
      <w:r>
        <w:rPr>
          <w:rFonts w:hint="eastAsia" w:ascii="宋体" w:hAnsi="宋体" w:eastAsia="宋体" w:cs="宋体"/>
          <w:color w:val="auto"/>
          <w:sz w:val="21"/>
          <w:szCs w:val="21"/>
          <w:highlight w:val="none"/>
        </w:rPr>
        <w:t>。</w:t>
      </w:r>
    </w:p>
    <w:bookmarkEnd w:id="287"/>
    <w:bookmarkEnd w:id="288"/>
    <w:bookmarkEnd w:id="289"/>
    <w:bookmarkEnd w:id="290"/>
    <w:bookmarkEnd w:id="291"/>
    <w:bookmarkEnd w:id="292"/>
    <w:bookmarkEnd w:id="293"/>
    <w:p w14:paraId="5A4488E0">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7.4 测量放线</w:t>
      </w:r>
    </w:p>
    <w:p w14:paraId="7DAB29F0">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7.4.1发包人通过监理人向承包人提供测量基准点、基准线和水准点及其书面资料的期限：</w:t>
      </w:r>
      <w:r>
        <w:rPr>
          <w:rFonts w:hint="eastAsia" w:ascii="宋体" w:hAnsi="宋体" w:eastAsia="宋体" w:cs="宋体"/>
          <w:color w:val="auto"/>
          <w:sz w:val="21"/>
          <w:szCs w:val="21"/>
          <w:highlight w:val="none"/>
          <w:u w:val="single"/>
        </w:rPr>
        <w:t>开工前3日内</w:t>
      </w:r>
      <w:r>
        <w:rPr>
          <w:rFonts w:hint="eastAsia" w:ascii="宋体" w:hAnsi="宋体" w:eastAsia="宋体" w:cs="宋体"/>
          <w:color w:val="auto"/>
          <w:sz w:val="21"/>
          <w:szCs w:val="21"/>
          <w:highlight w:val="none"/>
        </w:rPr>
        <w:t>。</w:t>
      </w:r>
    </w:p>
    <w:p w14:paraId="264755AC">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bookmarkStart w:id="294" w:name="_Toc297216175"/>
      <w:bookmarkStart w:id="295" w:name="_Toc312677484"/>
      <w:bookmarkStart w:id="296" w:name="_Toc304295546"/>
      <w:bookmarkStart w:id="297" w:name="_Toc300934968"/>
      <w:bookmarkStart w:id="298" w:name="_Toc297123516"/>
      <w:bookmarkStart w:id="299" w:name="_Toc312678010"/>
      <w:bookmarkStart w:id="300" w:name="_Toc303539125"/>
      <w:r>
        <w:rPr>
          <w:rFonts w:hint="eastAsia" w:ascii="宋体" w:hAnsi="宋体" w:eastAsia="宋体" w:cs="宋体"/>
          <w:color w:val="auto"/>
          <w:sz w:val="21"/>
          <w:szCs w:val="21"/>
          <w:highlight w:val="none"/>
        </w:rPr>
        <w:t xml:space="preserve">.5 </w:t>
      </w:r>
      <w:r>
        <w:rPr>
          <w:rFonts w:hint="eastAsia" w:ascii="宋体" w:hAnsi="宋体" w:eastAsia="宋体" w:cs="宋体"/>
          <w:color w:val="auto"/>
          <w:kern w:val="0"/>
          <w:sz w:val="21"/>
          <w:szCs w:val="21"/>
          <w:highlight w:val="none"/>
        </w:rPr>
        <w:t>工期延误</w:t>
      </w:r>
    </w:p>
    <w:bookmarkEnd w:id="294"/>
    <w:bookmarkEnd w:id="295"/>
    <w:bookmarkEnd w:id="296"/>
    <w:bookmarkEnd w:id="297"/>
    <w:bookmarkEnd w:id="298"/>
    <w:bookmarkEnd w:id="299"/>
    <w:bookmarkEnd w:id="300"/>
    <w:p w14:paraId="58472FE8">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7.5.1 因发包人原因导致工期延误</w:t>
      </w:r>
    </w:p>
    <w:p w14:paraId="60BAD9FD">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（7）因发包人原因导致工期延误的其他情形：</w:t>
      </w:r>
      <w:r>
        <w:rPr>
          <w:rFonts w:hint="eastAsia" w:ascii="宋体" w:hAnsi="宋体" w:eastAsia="宋体" w:cs="宋体"/>
          <w:color w:val="auto"/>
          <w:sz w:val="21"/>
          <w:szCs w:val="21"/>
          <w:highlight w:val="none"/>
          <w:u w:val="single"/>
        </w:rPr>
        <w:t>因发包人原因不能按时开工的，发包人不负责赔偿承包人的延期开工损失费，但工期可顺延</w:t>
      </w:r>
      <w:r>
        <w:rPr>
          <w:rFonts w:hint="eastAsia" w:ascii="宋体" w:hAnsi="宋体" w:eastAsia="宋体" w:cs="宋体"/>
          <w:color w:val="auto"/>
          <w:sz w:val="21"/>
          <w:szCs w:val="21"/>
          <w:highlight w:val="none"/>
        </w:rPr>
        <w:t>。</w:t>
      </w:r>
    </w:p>
    <w:p w14:paraId="0113AA99">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snapToGrid w:val="0"/>
          <w:color w:val="auto"/>
          <w:sz w:val="21"/>
          <w:szCs w:val="21"/>
          <w:highlight w:val="none"/>
          <w:u w:val="single"/>
        </w:rPr>
        <w:t>若因发生不可抗力原因造成施工工期延后，由此造成的赶工费，由发包人一并承担。</w:t>
      </w:r>
    </w:p>
    <w:p w14:paraId="33C9AE4E">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bookmarkStart w:id="301" w:name="_Toc318581169"/>
      <w:bookmarkStart w:id="302" w:name="_Toc312678012"/>
      <w:bookmarkStart w:id="303" w:name="_Toc312677486"/>
      <w:bookmarkStart w:id="304" w:name="_Toc297123518"/>
      <w:bookmarkStart w:id="305" w:name="_Toc297216177"/>
      <w:bookmarkStart w:id="306" w:name="_Toc303539127"/>
      <w:bookmarkStart w:id="307" w:name="_Toc304295548"/>
      <w:bookmarkStart w:id="308" w:name="_Toc300934970"/>
      <w:r>
        <w:rPr>
          <w:rFonts w:hint="eastAsia" w:ascii="宋体" w:hAnsi="宋体" w:eastAsia="宋体" w:cs="宋体"/>
          <w:color w:val="auto"/>
          <w:sz w:val="21"/>
          <w:szCs w:val="21"/>
          <w:highlight w:val="none"/>
        </w:rPr>
        <w:t>.5.2 因承包人原因导致工期延误</w:t>
      </w:r>
    </w:p>
    <w:bookmarkEnd w:id="301"/>
    <w:bookmarkEnd w:id="302"/>
    <w:bookmarkEnd w:id="303"/>
    <w:p w14:paraId="7DB98786">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w:t>
      </w:r>
      <w:bookmarkStart w:id="309" w:name="_Toc312678013"/>
      <w:bookmarkStart w:id="310" w:name="_Toc312677487"/>
      <w:bookmarkStart w:id="311" w:name="_Toc318581170"/>
      <w:r>
        <w:rPr>
          <w:rFonts w:hint="eastAsia" w:ascii="宋体" w:hAnsi="宋体" w:eastAsia="宋体" w:cs="宋体"/>
          <w:color w:val="auto"/>
          <w:sz w:val="21"/>
          <w:szCs w:val="21"/>
          <w:highlight w:val="none"/>
        </w:rPr>
        <w:t>承包人原因造成工期延误，逾期竣工违约金的计算方法为：</w:t>
      </w:r>
      <w:r>
        <w:rPr>
          <w:rFonts w:hint="eastAsia" w:ascii="宋体" w:hAnsi="宋体" w:eastAsia="宋体" w:cs="宋体"/>
          <w:color w:val="auto"/>
          <w:sz w:val="21"/>
          <w:szCs w:val="21"/>
          <w:highlight w:val="none"/>
          <w:u w:val="single"/>
          <w:lang w:eastAsia="zh-CN"/>
        </w:rPr>
        <w:t>中标人</w:t>
      </w:r>
      <w:r>
        <w:rPr>
          <w:rFonts w:hint="eastAsia" w:ascii="宋体" w:hAnsi="宋体" w:eastAsia="宋体" w:cs="宋体"/>
          <w:color w:val="auto"/>
          <w:sz w:val="21"/>
          <w:szCs w:val="21"/>
          <w:highlight w:val="none"/>
          <w:u w:val="single"/>
        </w:rPr>
        <w:t>不能在约定的工期内未完成施工的，凡超出一天，按照合同金额2‰/天计算违约责任，相关费用在支付进度款中一并扣除，并纳入工程结算</w:t>
      </w:r>
      <w:r>
        <w:rPr>
          <w:rFonts w:hint="eastAsia" w:ascii="宋体" w:hAnsi="宋体" w:eastAsia="宋体" w:cs="宋体"/>
          <w:color w:val="auto"/>
          <w:sz w:val="21"/>
          <w:szCs w:val="21"/>
          <w:highlight w:val="none"/>
        </w:rPr>
        <w:t>。</w:t>
      </w:r>
      <w:bookmarkEnd w:id="304"/>
      <w:bookmarkEnd w:id="305"/>
      <w:bookmarkEnd w:id="306"/>
      <w:bookmarkEnd w:id="307"/>
      <w:bookmarkEnd w:id="308"/>
      <w:bookmarkEnd w:id="309"/>
      <w:bookmarkEnd w:id="310"/>
    </w:p>
    <w:bookmarkEnd w:id="311"/>
    <w:p w14:paraId="1885EAEC">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因承包人原因造成工期延误，逾</w:t>
      </w:r>
      <w:bookmarkStart w:id="312" w:name="_Toc318581171"/>
      <w:bookmarkStart w:id="313" w:name="_Toc312678014"/>
      <w:r>
        <w:rPr>
          <w:rFonts w:hint="eastAsia" w:ascii="宋体" w:hAnsi="宋体" w:eastAsia="宋体" w:cs="宋体"/>
          <w:color w:val="auto"/>
          <w:sz w:val="21"/>
          <w:szCs w:val="21"/>
          <w:highlight w:val="none"/>
        </w:rPr>
        <w:t>期竣工违约金的上限：</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 xml:space="preserve"> 。</w:t>
      </w:r>
    </w:p>
    <w:bookmarkEnd w:id="312"/>
    <w:bookmarkEnd w:id="313"/>
    <w:p w14:paraId="443E2476">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bookmarkStart w:id="314" w:name="_Toc297216178"/>
      <w:bookmarkStart w:id="315" w:name="_Toc297123519"/>
      <w:bookmarkStart w:id="316" w:name="_Toc303539128"/>
      <w:bookmarkStart w:id="317" w:name="_Toc304295549"/>
      <w:bookmarkStart w:id="318" w:name="_Toc312678015"/>
      <w:bookmarkStart w:id="319" w:name="_Toc300934971"/>
      <w:r>
        <w:rPr>
          <w:rFonts w:hint="eastAsia" w:ascii="宋体" w:hAnsi="宋体" w:eastAsia="宋体" w:cs="宋体"/>
          <w:color w:val="auto"/>
          <w:sz w:val="21"/>
          <w:szCs w:val="21"/>
          <w:highlight w:val="none"/>
        </w:rPr>
        <w:t>.6 不</w:t>
      </w:r>
      <w:bookmarkEnd w:id="314"/>
      <w:bookmarkEnd w:id="315"/>
      <w:bookmarkEnd w:id="316"/>
      <w:bookmarkEnd w:id="317"/>
      <w:bookmarkEnd w:id="318"/>
      <w:bookmarkEnd w:id="319"/>
      <w:r>
        <w:rPr>
          <w:rFonts w:hint="eastAsia" w:ascii="宋体" w:hAnsi="宋体" w:eastAsia="宋体" w:cs="宋体"/>
          <w:color w:val="auto"/>
          <w:sz w:val="21"/>
          <w:szCs w:val="21"/>
          <w:highlight w:val="none"/>
        </w:rPr>
        <w:t>利物质条件</w:t>
      </w:r>
    </w:p>
    <w:p w14:paraId="457BF98D">
      <w:pPr>
        <w:snapToGrid w:val="0"/>
        <w:spacing w:line="360" w:lineRule="auto"/>
        <w:ind w:firstLine="420" w:firstLineChars="200"/>
        <w:jc w:val="left"/>
        <w:rPr>
          <w:rFonts w:hint="eastAsia" w:ascii="宋体" w:hAnsi="宋体" w:eastAsia="宋体" w:cs="宋体"/>
          <w:color w:val="auto"/>
          <w:sz w:val="21"/>
          <w:szCs w:val="21"/>
          <w:highlight w:val="none"/>
        </w:rPr>
      </w:pPr>
      <w:bookmarkStart w:id="320" w:name="_Toc297216179"/>
      <w:bookmarkStart w:id="321" w:name="_Toc303539129"/>
      <w:bookmarkStart w:id="322" w:name="_Toc300934972"/>
      <w:bookmarkStart w:id="323" w:name="_Toc297123520"/>
      <w:bookmarkStart w:id="324" w:name="_Toc304295550"/>
      <w:bookmarkStart w:id="325" w:name="_Toc312678016"/>
      <w:bookmarkStart w:id="326" w:name="_Toc318581172"/>
      <w:r>
        <w:rPr>
          <w:rFonts w:hint="eastAsia" w:ascii="宋体" w:hAnsi="宋体" w:eastAsia="宋体" w:cs="宋体"/>
          <w:color w:val="auto"/>
          <w:sz w:val="21"/>
          <w:szCs w:val="21"/>
          <w:highlight w:val="none"/>
        </w:rPr>
        <w:t>不利物质条件的其他情形和有关约定：</w:t>
      </w:r>
      <w:r>
        <w:rPr>
          <w:rFonts w:hint="eastAsia" w:ascii="宋体" w:hAnsi="宋体" w:eastAsia="宋体" w:cs="宋体"/>
          <w:color w:val="auto"/>
          <w:sz w:val="21"/>
          <w:szCs w:val="21"/>
          <w:highlight w:val="none"/>
          <w:u w:val="single"/>
        </w:rPr>
        <w:t>按通用条款执行</w:t>
      </w:r>
      <w:r>
        <w:rPr>
          <w:rFonts w:hint="eastAsia" w:ascii="宋体" w:hAnsi="宋体" w:eastAsia="宋体" w:cs="宋体"/>
          <w:color w:val="auto"/>
          <w:sz w:val="21"/>
          <w:szCs w:val="21"/>
          <w:highlight w:val="none"/>
        </w:rPr>
        <w:t>。</w:t>
      </w:r>
    </w:p>
    <w:bookmarkEnd w:id="320"/>
    <w:bookmarkEnd w:id="321"/>
    <w:bookmarkEnd w:id="322"/>
    <w:bookmarkEnd w:id="323"/>
    <w:bookmarkEnd w:id="324"/>
    <w:bookmarkEnd w:id="325"/>
    <w:bookmarkEnd w:id="326"/>
    <w:p w14:paraId="7A3F6AF7">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bookmarkStart w:id="327" w:name="_Toc312678017"/>
      <w:bookmarkStart w:id="328" w:name="_Toc297216180"/>
      <w:bookmarkStart w:id="329" w:name="_Toc297123521"/>
      <w:bookmarkStart w:id="330" w:name="_Toc303539130"/>
      <w:bookmarkStart w:id="331" w:name="_Toc300934973"/>
      <w:bookmarkStart w:id="332" w:name="_Toc304295551"/>
      <w:r>
        <w:rPr>
          <w:rFonts w:hint="eastAsia" w:ascii="宋体" w:hAnsi="宋体" w:eastAsia="宋体" w:cs="宋体"/>
          <w:color w:val="auto"/>
          <w:sz w:val="21"/>
          <w:szCs w:val="21"/>
          <w:highlight w:val="none"/>
        </w:rPr>
        <w:t>.7异常恶劣的气候条件</w:t>
      </w:r>
    </w:p>
    <w:bookmarkEnd w:id="327"/>
    <w:bookmarkEnd w:id="328"/>
    <w:bookmarkEnd w:id="329"/>
    <w:bookmarkEnd w:id="330"/>
    <w:bookmarkEnd w:id="331"/>
    <w:bookmarkEnd w:id="332"/>
    <w:p w14:paraId="0B95A0C1">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发包人和承包人同意以下情形视为异常恶劣的气候条件</w:t>
      </w:r>
      <w:r>
        <w:rPr>
          <w:rFonts w:hint="eastAsia" w:ascii="宋体" w:hAnsi="宋体" w:eastAsia="宋体" w:cs="宋体"/>
          <w:color w:val="auto"/>
          <w:sz w:val="21"/>
          <w:szCs w:val="21"/>
          <w:highlight w:val="none"/>
          <w:u w:val="single"/>
        </w:rPr>
        <w:t>：按通用条款执行</w:t>
      </w:r>
      <w:r>
        <w:rPr>
          <w:rFonts w:hint="eastAsia" w:ascii="宋体" w:hAnsi="宋体" w:eastAsia="宋体" w:cs="宋体"/>
          <w:color w:val="auto"/>
          <w:sz w:val="21"/>
          <w:szCs w:val="21"/>
          <w:highlight w:val="none"/>
        </w:rPr>
        <w:t>。</w:t>
      </w:r>
    </w:p>
    <w:p w14:paraId="0DDA0992">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7.9 提前竣工的奖励</w:t>
      </w:r>
    </w:p>
    <w:p w14:paraId="25873AD1">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7.9.2提前竣工的奖励：</w:t>
      </w:r>
      <w:r>
        <w:rPr>
          <w:rFonts w:hint="eastAsia" w:ascii="宋体" w:hAnsi="宋体" w:eastAsia="宋体" w:cs="宋体"/>
          <w:color w:val="auto"/>
          <w:sz w:val="21"/>
          <w:szCs w:val="21"/>
          <w:highlight w:val="none"/>
          <w:u w:val="single"/>
        </w:rPr>
        <w:t xml:space="preserve">   承包人应按本</w:t>
      </w:r>
      <w:r>
        <w:rPr>
          <w:rFonts w:hint="eastAsia" w:ascii="宋体" w:hAnsi="宋体" w:cs="宋体"/>
          <w:color w:val="auto"/>
          <w:sz w:val="21"/>
          <w:szCs w:val="21"/>
          <w:highlight w:val="none"/>
          <w:u w:val="single"/>
          <w:lang w:eastAsia="zh-CN"/>
        </w:rPr>
        <w:t>招标</w:t>
      </w:r>
      <w:r>
        <w:rPr>
          <w:rFonts w:hint="eastAsia" w:ascii="宋体" w:hAnsi="宋体" w:eastAsia="宋体" w:cs="宋体"/>
          <w:color w:val="auto"/>
          <w:sz w:val="21"/>
          <w:szCs w:val="21"/>
          <w:highlight w:val="none"/>
          <w:u w:val="single"/>
        </w:rPr>
        <w:t xml:space="preserve">文件要求的工期完成工程施工并交付发包人使用，工期在规定的期限完成或提前竣工的，发包人不奖不惩   </w:t>
      </w:r>
      <w:r>
        <w:rPr>
          <w:rFonts w:hint="eastAsia" w:ascii="宋体" w:hAnsi="宋体" w:eastAsia="宋体" w:cs="宋体"/>
          <w:color w:val="auto"/>
          <w:sz w:val="21"/>
          <w:szCs w:val="21"/>
          <w:highlight w:val="none"/>
        </w:rPr>
        <w:t xml:space="preserve"> 。</w:t>
      </w:r>
    </w:p>
    <w:p w14:paraId="43EA003D">
      <w:pPr>
        <w:snapToGrid w:val="0"/>
        <w:spacing w:line="360" w:lineRule="auto"/>
        <w:rPr>
          <w:rFonts w:hint="eastAsia" w:ascii="宋体" w:hAnsi="宋体" w:eastAsia="宋体" w:cs="宋体"/>
          <w:b/>
          <w:color w:val="auto"/>
          <w:kern w:val="0"/>
          <w:sz w:val="21"/>
          <w:szCs w:val="21"/>
          <w:highlight w:val="none"/>
        </w:rPr>
      </w:pPr>
      <w:bookmarkStart w:id="333" w:name="_Toc518391416"/>
      <w:bookmarkStart w:id="334" w:name="_Toc485992741"/>
      <w:bookmarkStart w:id="335" w:name="_Toc516756965"/>
      <w:bookmarkStart w:id="336" w:name="_Toc433623110"/>
      <w:r>
        <w:rPr>
          <w:rFonts w:hint="eastAsia" w:ascii="宋体" w:hAnsi="宋体" w:eastAsia="宋体" w:cs="宋体"/>
          <w:b/>
          <w:color w:val="auto"/>
          <w:kern w:val="0"/>
          <w:sz w:val="21"/>
          <w:szCs w:val="21"/>
          <w:highlight w:val="none"/>
        </w:rPr>
        <w:t>8. 材料与设备</w:t>
      </w:r>
      <w:bookmarkEnd w:id="286"/>
      <w:bookmarkEnd w:id="333"/>
      <w:bookmarkEnd w:id="334"/>
      <w:bookmarkEnd w:id="335"/>
      <w:bookmarkEnd w:id="336"/>
    </w:p>
    <w:bookmarkEnd w:id="259"/>
    <w:bookmarkEnd w:id="260"/>
    <w:bookmarkEnd w:id="261"/>
    <w:bookmarkEnd w:id="262"/>
    <w:bookmarkEnd w:id="263"/>
    <w:bookmarkEnd w:id="264"/>
    <w:bookmarkEnd w:id="265"/>
    <w:bookmarkEnd w:id="266"/>
    <w:bookmarkEnd w:id="267"/>
    <w:bookmarkEnd w:id="268"/>
    <w:p w14:paraId="3CD51716">
      <w:pPr>
        <w:snapToGrid w:val="0"/>
        <w:spacing w:line="360" w:lineRule="auto"/>
        <w:ind w:firstLine="422" w:firstLineChars="200"/>
        <w:rPr>
          <w:rFonts w:hint="eastAsia" w:ascii="宋体" w:hAnsi="宋体" w:eastAsia="宋体" w:cs="宋体"/>
          <w:b/>
          <w:color w:val="auto"/>
          <w:sz w:val="21"/>
          <w:szCs w:val="21"/>
          <w:highlight w:val="none"/>
        </w:rPr>
      </w:pPr>
      <w:bookmarkStart w:id="337" w:name="_Toc361673431"/>
      <w:bookmarkStart w:id="338" w:name="_Toc296503168"/>
      <w:bookmarkStart w:id="339" w:name="_Toc304295557"/>
      <w:bookmarkStart w:id="340" w:name="_Toc297048354"/>
      <w:bookmarkStart w:id="341" w:name="_Toc312678020"/>
      <w:bookmarkStart w:id="342" w:name="_Toc296891208"/>
      <w:bookmarkStart w:id="343" w:name="_Toc318581173"/>
      <w:bookmarkStart w:id="344" w:name="_Toc296890996"/>
      <w:bookmarkStart w:id="345" w:name="_Toc297216187"/>
      <w:bookmarkStart w:id="346" w:name="_Toc296347167"/>
      <w:bookmarkStart w:id="347" w:name="_Toc297120468"/>
      <w:bookmarkStart w:id="348" w:name="_Toc303539137"/>
      <w:bookmarkStart w:id="349" w:name="_Toc296346669"/>
      <w:bookmarkStart w:id="350" w:name="_Toc312677494"/>
      <w:bookmarkStart w:id="351" w:name="_Toc300934980"/>
      <w:bookmarkStart w:id="352" w:name="_Toc296944507"/>
      <w:bookmarkStart w:id="353" w:name="_Toc297123528"/>
      <w:bookmarkStart w:id="354" w:name="_Toc280868656"/>
      <w:bookmarkStart w:id="355" w:name="_Toc267251424"/>
      <w:bookmarkStart w:id="356" w:name="_Toc280868655"/>
      <w:r>
        <w:rPr>
          <w:rFonts w:hint="eastAsia" w:ascii="宋体" w:hAnsi="宋体" w:eastAsia="宋体" w:cs="宋体"/>
          <w:b/>
          <w:color w:val="auto"/>
          <w:sz w:val="21"/>
          <w:szCs w:val="21"/>
          <w:highlight w:val="none"/>
        </w:rPr>
        <w:t xml:space="preserve">8.1  </w:t>
      </w:r>
      <w:r>
        <w:rPr>
          <w:rFonts w:hint="eastAsia" w:ascii="宋体" w:hAnsi="宋体" w:eastAsia="宋体" w:cs="宋体"/>
          <w:color w:val="auto"/>
          <w:sz w:val="21"/>
          <w:szCs w:val="21"/>
          <w:highlight w:val="none"/>
        </w:rPr>
        <w:t>承包人提供的材料和工程设备</w:t>
      </w:r>
      <w:bookmarkEnd w:id="337"/>
    </w:p>
    <w:p w14:paraId="4BA5DF1B">
      <w:pPr>
        <w:adjustRightInd w:val="0"/>
        <w:snapToGrid w:val="0"/>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8.1.1  承包人负责采购、运输和保管的材料、工程设备：</w:t>
      </w:r>
      <w:r>
        <w:rPr>
          <w:rFonts w:hint="eastAsia" w:ascii="宋体" w:hAnsi="宋体" w:eastAsia="宋体" w:cs="宋体"/>
          <w:color w:val="auto"/>
          <w:sz w:val="21"/>
          <w:szCs w:val="21"/>
          <w:highlight w:val="none"/>
          <w:u w:val="single"/>
        </w:rPr>
        <w:t>由承包人自行采购。承包人采购材料设备必须经监理人和发包人批准，结算时由监理人和发包人按</w:t>
      </w:r>
      <w:r>
        <w:rPr>
          <w:rFonts w:hint="eastAsia" w:ascii="宋体" w:hAnsi="宋体" w:cs="宋体"/>
          <w:color w:val="auto"/>
          <w:sz w:val="21"/>
          <w:szCs w:val="21"/>
          <w:highlight w:val="none"/>
          <w:u w:val="single"/>
          <w:lang w:eastAsia="zh-CN"/>
        </w:rPr>
        <w:t>招标文件</w:t>
      </w:r>
      <w:r>
        <w:rPr>
          <w:rFonts w:hint="eastAsia" w:ascii="宋体" w:hAnsi="宋体" w:eastAsia="宋体" w:cs="宋体"/>
          <w:color w:val="auto"/>
          <w:sz w:val="21"/>
          <w:szCs w:val="21"/>
          <w:highlight w:val="none"/>
          <w:u w:val="single"/>
        </w:rPr>
        <w:t>规定审核的数量和合同约定价格计算。</w:t>
      </w:r>
    </w:p>
    <w:p w14:paraId="2DEFBF5E">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8.1.2  承包人报送监理人审批的时间：</w:t>
      </w:r>
      <w:r>
        <w:rPr>
          <w:rFonts w:hint="eastAsia" w:ascii="宋体" w:hAnsi="宋体" w:eastAsia="宋体" w:cs="宋体"/>
          <w:color w:val="auto"/>
          <w:sz w:val="21"/>
          <w:szCs w:val="21"/>
          <w:highlight w:val="none"/>
          <w:u w:val="single"/>
        </w:rPr>
        <w:t>按发包人及监理单位的相关规定执行。</w:t>
      </w:r>
      <w:r>
        <w:rPr>
          <w:rFonts w:hint="eastAsia" w:ascii="宋体" w:hAnsi="宋体" w:eastAsia="宋体" w:cs="宋体"/>
          <w:color w:val="auto"/>
          <w:sz w:val="21"/>
          <w:szCs w:val="21"/>
          <w:highlight w:val="none"/>
        </w:rPr>
        <w:t xml:space="preserve">    </w:t>
      </w:r>
    </w:p>
    <w:p w14:paraId="5E9631BE">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8.1.3  材料和工程设备的接收、运输与保管：</w:t>
      </w:r>
      <w:r>
        <w:rPr>
          <w:rFonts w:hint="eastAsia" w:ascii="宋体" w:hAnsi="宋体" w:eastAsia="宋体" w:cs="宋体"/>
          <w:color w:val="auto"/>
          <w:kern w:val="0"/>
          <w:sz w:val="21"/>
          <w:szCs w:val="21"/>
          <w:highlight w:val="none"/>
          <w:u w:val="single"/>
        </w:rPr>
        <w:t>在现场内的下车及场内运输、验收、存储、保管、二次及多次搬运、安装损耗以及其他任何必要的辅助等工作由承包人负责，费用已经含在合同综合单价中</w:t>
      </w:r>
      <w:r>
        <w:rPr>
          <w:rFonts w:hint="eastAsia" w:ascii="宋体" w:hAnsi="宋体" w:eastAsia="宋体" w:cs="宋体"/>
          <w:color w:val="auto"/>
          <w:sz w:val="21"/>
          <w:szCs w:val="21"/>
          <w:highlight w:val="none"/>
          <w:u w:val="single"/>
        </w:rPr>
        <w:t>。</w:t>
      </w:r>
    </w:p>
    <w:p w14:paraId="0F13C632">
      <w:pPr>
        <w:snapToGrid w:val="0"/>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 xml:space="preserve">8.2  发包人提供的材料和工程设备 </w:t>
      </w:r>
      <w:r>
        <w:rPr>
          <w:rFonts w:hint="eastAsia" w:ascii="宋体" w:hAnsi="宋体" w:eastAsia="宋体" w:cs="宋体"/>
          <w:color w:val="auto"/>
          <w:sz w:val="21"/>
          <w:szCs w:val="21"/>
          <w:highlight w:val="none"/>
          <w:u w:val="single"/>
        </w:rPr>
        <w:t xml:space="preserve"> 无 </w:t>
      </w:r>
    </w:p>
    <w:p w14:paraId="132BD4C4">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8.6 </w:t>
      </w:r>
      <w:r>
        <w:rPr>
          <w:rFonts w:hint="eastAsia" w:ascii="宋体" w:hAnsi="宋体" w:eastAsia="宋体" w:cs="宋体"/>
          <w:color w:val="auto"/>
          <w:kern w:val="0"/>
          <w:sz w:val="21"/>
          <w:szCs w:val="21"/>
          <w:highlight w:val="none"/>
        </w:rPr>
        <w:t>样品</w:t>
      </w:r>
    </w:p>
    <w:p w14:paraId="04705E20">
      <w:pPr>
        <w:autoSpaceDE w:val="0"/>
        <w:autoSpaceDN w:val="0"/>
        <w:adjustRightInd w:val="0"/>
        <w:snapToGri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8.6.1</w:t>
      </w:r>
      <w:r>
        <w:rPr>
          <w:rFonts w:hint="eastAsia" w:ascii="宋体" w:hAnsi="宋体" w:eastAsia="宋体" w:cs="宋体"/>
          <w:color w:val="auto"/>
          <w:kern w:val="0"/>
          <w:sz w:val="21"/>
          <w:szCs w:val="21"/>
          <w:highlight w:val="none"/>
        </w:rPr>
        <w:tab/>
      </w:r>
      <w:r>
        <w:rPr>
          <w:rFonts w:hint="eastAsia" w:ascii="宋体" w:hAnsi="宋体" w:eastAsia="宋体" w:cs="宋体"/>
          <w:color w:val="auto"/>
          <w:kern w:val="0"/>
          <w:sz w:val="21"/>
          <w:szCs w:val="21"/>
          <w:highlight w:val="none"/>
        </w:rPr>
        <w:t>样品的报送与封存</w:t>
      </w:r>
    </w:p>
    <w:p w14:paraId="6D747FE3">
      <w:pPr>
        <w:autoSpaceDE w:val="0"/>
        <w:autoSpaceDN w:val="0"/>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需要承包人报送样品的材料或工程设备，样品的种类、名称、规格、数量要求：</w:t>
      </w:r>
      <w:r>
        <w:rPr>
          <w:rFonts w:hint="eastAsia" w:ascii="宋体" w:hAnsi="宋体" w:eastAsia="宋体" w:cs="宋体"/>
          <w:color w:val="auto"/>
          <w:sz w:val="21"/>
          <w:szCs w:val="21"/>
          <w:highlight w:val="none"/>
          <w:u w:val="single"/>
        </w:rPr>
        <w:t>按管理部门要求和发包人需求确定  。</w:t>
      </w:r>
    </w:p>
    <w:p w14:paraId="5E9C83B5">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8.8 </w:t>
      </w:r>
      <w:r>
        <w:rPr>
          <w:rFonts w:hint="eastAsia" w:ascii="宋体" w:hAnsi="宋体" w:eastAsia="宋体" w:cs="宋体"/>
          <w:color w:val="auto"/>
          <w:kern w:val="0"/>
          <w:sz w:val="21"/>
          <w:szCs w:val="21"/>
          <w:highlight w:val="none"/>
        </w:rPr>
        <w:t>施工设备和临时设施</w:t>
      </w:r>
    </w:p>
    <w:p w14:paraId="5B6B374F">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8.8.1 承包人提供的施工设备和临时设施</w:t>
      </w:r>
    </w:p>
    <w:p w14:paraId="76B8E3AA">
      <w:pPr>
        <w:snapToGrid w:val="0"/>
        <w:spacing w:line="360" w:lineRule="auto"/>
        <w:ind w:firstLine="48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关于修建临时设施费用承担的约定：</w:t>
      </w:r>
      <w:r>
        <w:rPr>
          <w:rFonts w:hint="eastAsia" w:ascii="宋体" w:hAnsi="宋体" w:eastAsia="宋体" w:cs="宋体"/>
          <w:color w:val="auto"/>
          <w:sz w:val="21"/>
          <w:szCs w:val="21"/>
          <w:highlight w:val="none"/>
          <w:u w:val="single"/>
        </w:rPr>
        <w:t>由承包人承担 ，已包含在综合单价内。</w:t>
      </w:r>
    </w:p>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p w14:paraId="2EBF0613">
      <w:pPr>
        <w:snapToGrid w:val="0"/>
        <w:spacing w:line="360" w:lineRule="auto"/>
        <w:ind w:firstLine="480"/>
        <w:rPr>
          <w:rFonts w:hint="eastAsia" w:ascii="宋体" w:hAnsi="宋体" w:eastAsia="宋体" w:cs="宋体"/>
          <w:color w:val="auto"/>
          <w:sz w:val="21"/>
          <w:szCs w:val="21"/>
          <w:highlight w:val="none"/>
          <w:u w:val="single"/>
        </w:rPr>
      </w:pPr>
      <w:bookmarkStart w:id="357" w:name="_Toc351203641"/>
      <w:r>
        <w:rPr>
          <w:rFonts w:hint="eastAsia" w:ascii="宋体" w:hAnsi="宋体" w:eastAsia="宋体" w:cs="宋体"/>
          <w:color w:val="auto"/>
          <w:sz w:val="21"/>
          <w:szCs w:val="21"/>
          <w:highlight w:val="none"/>
        </w:rPr>
        <w:t>维护、管理临时设施及其占地的责任及费用：</w:t>
      </w:r>
      <w:r>
        <w:rPr>
          <w:rFonts w:hint="eastAsia" w:ascii="宋体" w:hAnsi="宋体" w:eastAsia="宋体" w:cs="宋体"/>
          <w:color w:val="auto"/>
          <w:sz w:val="21"/>
          <w:szCs w:val="21"/>
          <w:highlight w:val="none"/>
          <w:u w:val="single"/>
        </w:rPr>
        <w:t>由承包人自行负责。</w:t>
      </w:r>
    </w:p>
    <w:p w14:paraId="5F0F1881">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8.8.2 要求承包人增加或更换施工设备</w:t>
      </w:r>
    </w:p>
    <w:p w14:paraId="50141ED0">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承包人使用的施工设备不能满足合同进度计划和（或）质量要求时，监理人有权要求承包人增加或更换施工设备，承包人应及时增加或更换，由此增加的费用和（或）工期延误由承包人承担。</w:t>
      </w:r>
    </w:p>
    <w:p w14:paraId="772893A6">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8.8.3 施工设备和临时设施专用于合同工程</w:t>
      </w:r>
    </w:p>
    <w:p w14:paraId="45CF2002">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除合同另有约定外，运入施工场地的所有施工设备以及在施工场地建设的临时设施应专用于合同工程。未经监理人同意，不得将上述施工设备和临时设施中的任何部分运出施工场地或挪作他用。</w:t>
      </w:r>
    </w:p>
    <w:p w14:paraId="7B35E415">
      <w:pPr>
        <w:snapToGrid w:val="0"/>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（2） 经监理人同意，承包人可根据合同进度计划撤走闲置的施工设备。</w:t>
      </w:r>
    </w:p>
    <w:p w14:paraId="1AEEDE5D">
      <w:pPr>
        <w:snapToGrid w:val="0"/>
        <w:spacing w:line="360" w:lineRule="auto"/>
        <w:rPr>
          <w:rFonts w:hint="eastAsia" w:ascii="宋体" w:hAnsi="宋体" w:eastAsia="宋体" w:cs="宋体"/>
          <w:b/>
          <w:color w:val="auto"/>
          <w:kern w:val="0"/>
          <w:sz w:val="21"/>
          <w:szCs w:val="21"/>
          <w:highlight w:val="none"/>
        </w:rPr>
      </w:pPr>
      <w:bookmarkStart w:id="358" w:name="_Toc485992742"/>
      <w:bookmarkStart w:id="359" w:name="_Toc518391417"/>
      <w:bookmarkStart w:id="360" w:name="_Toc433623111"/>
      <w:bookmarkStart w:id="361" w:name="_Toc516756966"/>
      <w:r>
        <w:rPr>
          <w:rFonts w:hint="eastAsia" w:ascii="宋体" w:hAnsi="宋体" w:eastAsia="宋体" w:cs="宋体"/>
          <w:b/>
          <w:color w:val="auto"/>
          <w:kern w:val="0"/>
          <w:sz w:val="21"/>
          <w:szCs w:val="21"/>
          <w:highlight w:val="none"/>
        </w:rPr>
        <w:t>9</w:t>
      </w:r>
      <w:bookmarkEnd w:id="354"/>
      <w:bookmarkEnd w:id="355"/>
      <w:bookmarkEnd w:id="356"/>
      <w:bookmarkStart w:id="362" w:name="_Toc300934982"/>
      <w:bookmarkStart w:id="363" w:name="_Toc304295559"/>
      <w:bookmarkStart w:id="364" w:name="_Toc297216192"/>
      <w:bookmarkStart w:id="365" w:name="_Toc312678021"/>
      <w:bookmarkStart w:id="366" w:name="_Toc303539139"/>
      <w:bookmarkStart w:id="367" w:name="_Toc312677495"/>
      <w:bookmarkStart w:id="368" w:name="_Toc297123533"/>
      <w:bookmarkStart w:id="369" w:name="_Toc297048359"/>
      <w:bookmarkStart w:id="370" w:name="_Toc296944512"/>
      <w:bookmarkStart w:id="371" w:name="_Toc296346674"/>
      <w:bookmarkStart w:id="372" w:name="_Toc296347172"/>
      <w:bookmarkStart w:id="373" w:name="_Toc296891001"/>
      <w:bookmarkStart w:id="374" w:name="_Toc292559378"/>
      <w:bookmarkStart w:id="375" w:name="_Toc267251428"/>
      <w:bookmarkStart w:id="376" w:name="_Toc297120473"/>
      <w:bookmarkStart w:id="377" w:name="_Toc292559883"/>
      <w:bookmarkStart w:id="378" w:name="_Toc296503173"/>
      <w:bookmarkStart w:id="379" w:name="_Toc296891213"/>
      <w:bookmarkStart w:id="380" w:name="_Toc267251427"/>
      <w:r>
        <w:rPr>
          <w:rFonts w:hint="eastAsia" w:ascii="宋体" w:hAnsi="宋体" w:eastAsia="宋体" w:cs="宋体"/>
          <w:b/>
          <w:color w:val="auto"/>
          <w:kern w:val="0"/>
          <w:sz w:val="21"/>
          <w:szCs w:val="21"/>
          <w:highlight w:val="none"/>
        </w:rPr>
        <w:t>. 试验与检验</w:t>
      </w:r>
      <w:bookmarkEnd w:id="357"/>
      <w:bookmarkEnd w:id="358"/>
      <w:bookmarkEnd w:id="359"/>
      <w:bookmarkEnd w:id="360"/>
      <w:bookmarkEnd w:id="361"/>
    </w:p>
    <w:bookmarkEnd w:id="362"/>
    <w:bookmarkEnd w:id="363"/>
    <w:bookmarkEnd w:id="364"/>
    <w:bookmarkEnd w:id="365"/>
    <w:bookmarkEnd w:id="366"/>
    <w:bookmarkEnd w:id="367"/>
    <w:bookmarkEnd w:id="368"/>
    <w:p w14:paraId="24D5C529">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bookmarkStart w:id="381" w:name="_Toc300934983"/>
      <w:bookmarkStart w:id="382" w:name="_Toc312677496"/>
      <w:bookmarkStart w:id="383" w:name="_Toc297123534"/>
      <w:bookmarkStart w:id="384" w:name="_Toc303539140"/>
      <w:bookmarkStart w:id="385" w:name="_Toc312678022"/>
      <w:bookmarkStart w:id="386" w:name="_Toc297216193"/>
      <w:bookmarkStart w:id="387" w:name="_Toc304295560"/>
      <w:r>
        <w:rPr>
          <w:rFonts w:hint="eastAsia" w:ascii="宋体" w:hAnsi="宋体" w:eastAsia="宋体" w:cs="宋体"/>
          <w:color w:val="auto"/>
          <w:sz w:val="21"/>
          <w:szCs w:val="21"/>
          <w:highlight w:val="none"/>
        </w:rPr>
        <w:t>.1试验设备与试验人员</w:t>
      </w:r>
    </w:p>
    <w:bookmarkEnd w:id="381"/>
    <w:bookmarkEnd w:id="382"/>
    <w:bookmarkEnd w:id="383"/>
    <w:bookmarkEnd w:id="384"/>
    <w:bookmarkEnd w:id="385"/>
    <w:bookmarkEnd w:id="386"/>
    <w:bookmarkEnd w:id="387"/>
    <w:p w14:paraId="79F5F021">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bookmarkStart w:id="388" w:name="_Toc312678023"/>
      <w:bookmarkStart w:id="389" w:name="_Toc300934984"/>
      <w:bookmarkStart w:id="390" w:name="_Toc303539141"/>
      <w:bookmarkStart w:id="391" w:name="_Toc297123535"/>
      <w:bookmarkStart w:id="392" w:name="_Toc304295561"/>
      <w:bookmarkStart w:id="393" w:name="_Toc297216194"/>
      <w:bookmarkStart w:id="394" w:name="_Toc312677497"/>
      <w:bookmarkStart w:id="395" w:name="_Toc318581174"/>
      <w:r>
        <w:rPr>
          <w:rFonts w:hint="eastAsia" w:ascii="宋体" w:hAnsi="宋体" w:eastAsia="宋体" w:cs="宋体"/>
          <w:color w:val="auto"/>
          <w:sz w:val="21"/>
          <w:szCs w:val="21"/>
          <w:highlight w:val="none"/>
        </w:rPr>
        <w:t xml:space="preserve">.1.2 </w:t>
      </w:r>
      <w:r>
        <w:rPr>
          <w:rFonts w:hint="eastAsia" w:ascii="宋体" w:hAnsi="宋体" w:eastAsia="宋体" w:cs="宋体"/>
          <w:color w:val="auto"/>
          <w:kern w:val="0"/>
          <w:sz w:val="21"/>
          <w:szCs w:val="21"/>
          <w:highlight w:val="none"/>
        </w:rPr>
        <w:t>试验设备</w:t>
      </w:r>
    </w:p>
    <w:p w14:paraId="31C67E8A">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施工现场需要配置的试验场所：</w:t>
      </w:r>
      <w:bookmarkEnd w:id="388"/>
      <w:bookmarkEnd w:id="389"/>
      <w:bookmarkEnd w:id="390"/>
      <w:bookmarkEnd w:id="391"/>
      <w:bookmarkEnd w:id="392"/>
      <w:bookmarkEnd w:id="393"/>
      <w:bookmarkEnd w:id="394"/>
      <w:bookmarkStart w:id="396" w:name="_Toc303539142"/>
      <w:bookmarkStart w:id="397" w:name="_Toc297123536"/>
      <w:bookmarkStart w:id="398" w:name="_Toc304295562"/>
      <w:bookmarkStart w:id="399" w:name="_Toc300934985"/>
      <w:bookmarkStart w:id="400" w:name="_Toc297216195"/>
      <w:bookmarkStart w:id="401" w:name="_Toc312678024"/>
      <w:bookmarkStart w:id="402" w:name="_Toc312677498"/>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 xml:space="preserve">。 </w:t>
      </w:r>
    </w:p>
    <w:p w14:paraId="054075CD">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施工现场需要配备的试验设备：</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3C12952C">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施工现场需要具备的其他试验条件：</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373528BE">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9.4 </w:t>
      </w:r>
      <w:r>
        <w:rPr>
          <w:rFonts w:hint="eastAsia" w:ascii="宋体" w:hAnsi="宋体" w:eastAsia="宋体" w:cs="宋体"/>
          <w:color w:val="auto"/>
          <w:kern w:val="0"/>
          <w:sz w:val="21"/>
          <w:szCs w:val="21"/>
          <w:highlight w:val="none"/>
        </w:rPr>
        <w:t>现场工艺试验</w:t>
      </w:r>
      <w:r>
        <w:rPr>
          <w:rFonts w:hint="eastAsia" w:ascii="宋体" w:hAnsi="宋体" w:eastAsia="宋体" w:cs="宋体"/>
          <w:color w:val="auto"/>
          <w:sz w:val="21"/>
          <w:szCs w:val="21"/>
          <w:highlight w:val="none"/>
        </w:rPr>
        <w:t xml:space="preserve"> </w:t>
      </w:r>
    </w:p>
    <w:p w14:paraId="507B01CE">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现场工艺试验的有关约定：</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bookmarkEnd w:id="395"/>
    <w:bookmarkEnd w:id="396"/>
    <w:bookmarkEnd w:id="397"/>
    <w:bookmarkEnd w:id="398"/>
    <w:bookmarkEnd w:id="399"/>
    <w:bookmarkEnd w:id="400"/>
    <w:bookmarkEnd w:id="401"/>
    <w:bookmarkEnd w:id="402"/>
    <w:p w14:paraId="78281976">
      <w:pPr>
        <w:snapToGrid w:val="0"/>
        <w:spacing w:line="360" w:lineRule="auto"/>
        <w:rPr>
          <w:rFonts w:hint="eastAsia" w:ascii="宋体" w:hAnsi="宋体" w:eastAsia="宋体" w:cs="宋体"/>
          <w:b/>
          <w:color w:val="auto"/>
          <w:kern w:val="0"/>
          <w:sz w:val="21"/>
          <w:szCs w:val="21"/>
          <w:highlight w:val="none"/>
        </w:rPr>
      </w:pPr>
      <w:bookmarkStart w:id="403" w:name="_Toc351203642"/>
      <w:bookmarkStart w:id="404" w:name="_Toc518391418"/>
      <w:bookmarkStart w:id="405" w:name="_Toc516756967"/>
      <w:bookmarkStart w:id="406" w:name="_Toc485992743"/>
      <w:bookmarkStart w:id="407" w:name="_Toc433623112"/>
      <w:r>
        <w:rPr>
          <w:rFonts w:hint="eastAsia" w:ascii="宋体" w:hAnsi="宋体" w:eastAsia="宋体" w:cs="宋体"/>
          <w:b/>
          <w:color w:val="auto"/>
          <w:kern w:val="0"/>
          <w:sz w:val="21"/>
          <w:szCs w:val="21"/>
          <w:highlight w:val="none"/>
        </w:rPr>
        <w:t>1</w:t>
      </w:r>
      <w:bookmarkEnd w:id="369"/>
      <w:bookmarkEnd w:id="370"/>
      <w:bookmarkEnd w:id="371"/>
      <w:bookmarkEnd w:id="372"/>
      <w:bookmarkEnd w:id="373"/>
      <w:bookmarkEnd w:id="374"/>
      <w:bookmarkEnd w:id="375"/>
      <w:bookmarkEnd w:id="376"/>
      <w:bookmarkEnd w:id="377"/>
      <w:bookmarkEnd w:id="378"/>
      <w:bookmarkEnd w:id="379"/>
      <w:bookmarkEnd w:id="380"/>
      <w:bookmarkStart w:id="408" w:name="_Toc297123540"/>
      <w:bookmarkStart w:id="409" w:name="_Toc296944532"/>
      <w:bookmarkStart w:id="410" w:name="_Toc303539146"/>
      <w:bookmarkStart w:id="411" w:name="_Toc297120493"/>
      <w:bookmarkStart w:id="412" w:name="_Toc304295566"/>
      <w:bookmarkStart w:id="413" w:name="_Toc297048379"/>
      <w:bookmarkStart w:id="414" w:name="_Toc296891021"/>
      <w:bookmarkStart w:id="415" w:name="_Toc296891233"/>
      <w:bookmarkStart w:id="416" w:name="_Toc296346694"/>
      <w:bookmarkStart w:id="417" w:name="_Toc292559903"/>
      <w:bookmarkStart w:id="418" w:name="_Toc296347192"/>
      <w:bookmarkStart w:id="419" w:name="_Toc292559398"/>
      <w:bookmarkStart w:id="420" w:name="_Toc300934989"/>
      <w:bookmarkStart w:id="421" w:name="_Toc297216199"/>
      <w:bookmarkStart w:id="422" w:name="_Toc296503193"/>
      <w:bookmarkStart w:id="423" w:name="_Toc312677499"/>
      <w:bookmarkStart w:id="424" w:name="_Toc312678025"/>
      <w:bookmarkStart w:id="425" w:name="_Toc267251439"/>
      <w:bookmarkStart w:id="426" w:name="_Toc267251437"/>
      <w:bookmarkStart w:id="427" w:name="_Toc267251433"/>
      <w:bookmarkStart w:id="428" w:name="_Toc267251435"/>
      <w:bookmarkStart w:id="429" w:name="_Toc267251441"/>
      <w:bookmarkStart w:id="430" w:name="_Toc267251440"/>
      <w:bookmarkStart w:id="431" w:name="_Toc267251442"/>
      <w:r>
        <w:rPr>
          <w:rFonts w:hint="eastAsia" w:ascii="宋体" w:hAnsi="宋体" w:eastAsia="宋体" w:cs="宋体"/>
          <w:b/>
          <w:color w:val="auto"/>
          <w:kern w:val="0"/>
          <w:sz w:val="21"/>
          <w:szCs w:val="21"/>
          <w:highlight w:val="none"/>
        </w:rPr>
        <w:t>0. 变更</w:t>
      </w:r>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p>
    <w:bookmarkEnd w:id="423"/>
    <w:bookmarkEnd w:id="424"/>
    <w:p w14:paraId="7FF72250">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bookmarkStart w:id="432" w:name="_Toc292559904"/>
      <w:bookmarkStart w:id="433" w:name="_Toc296503194"/>
      <w:bookmarkStart w:id="434" w:name="_Toc297123541"/>
      <w:bookmarkStart w:id="435" w:name="_Toc304295567"/>
      <w:bookmarkStart w:id="436" w:name="_Toc297120494"/>
      <w:bookmarkStart w:id="437" w:name="_Toc296944533"/>
      <w:bookmarkStart w:id="438" w:name="_Toc297216200"/>
      <w:bookmarkStart w:id="439" w:name="_Toc296347193"/>
      <w:bookmarkStart w:id="440" w:name="_Toc312677500"/>
      <w:bookmarkStart w:id="441" w:name="_Toc297048380"/>
      <w:bookmarkStart w:id="442" w:name="_Toc296891022"/>
      <w:bookmarkStart w:id="443" w:name="_Toc296346695"/>
      <w:bookmarkStart w:id="444" w:name="_Toc292559399"/>
      <w:bookmarkStart w:id="445" w:name="_Toc303539147"/>
      <w:bookmarkStart w:id="446" w:name="_Toc300934990"/>
      <w:bookmarkStart w:id="447" w:name="_Toc296891234"/>
      <w:bookmarkStart w:id="448" w:name="_Toc312678026"/>
      <w:r>
        <w:rPr>
          <w:rFonts w:hint="eastAsia" w:ascii="宋体" w:hAnsi="宋体" w:eastAsia="宋体" w:cs="宋体"/>
          <w:color w:val="auto"/>
          <w:sz w:val="21"/>
          <w:szCs w:val="21"/>
          <w:highlight w:val="none"/>
        </w:rPr>
        <w:t>0.1变更的范围</w:t>
      </w:r>
    </w:p>
    <w:p w14:paraId="005F34D4">
      <w:pPr>
        <w:snapToGrid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关于变更的范围的约定：发</w:t>
      </w:r>
      <w:r>
        <w:rPr>
          <w:rFonts w:hint="eastAsia" w:ascii="宋体" w:hAnsi="宋体" w:eastAsia="宋体" w:cs="宋体"/>
          <w:color w:val="auto"/>
          <w:sz w:val="21"/>
          <w:szCs w:val="21"/>
          <w:highlight w:val="none"/>
          <w:u w:val="single"/>
        </w:rPr>
        <w:t>包人有权进行工程变更，工程设计变更需经发包人书面认定。</w:t>
      </w:r>
    </w:p>
    <w:p w14:paraId="065A024B">
      <w:pPr>
        <w:snapToGrid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经发包人认可的变更的范围与内容：</w:t>
      </w:r>
    </w:p>
    <w:p w14:paraId="4EF892B1">
      <w:pPr>
        <w:snapToGrid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（1）改变合同工程的基线、标高、位置或尺寸；</w:t>
      </w:r>
    </w:p>
    <w:p w14:paraId="3C0A5A79">
      <w:pPr>
        <w:snapToGrid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（2）设计图纸外新增的额外工程；</w:t>
      </w:r>
    </w:p>
    <w:p w14:paraId="0F87E68D">
      <w:pPr>
        <w:snapToGrid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（3）设计图纸外缺项、漏项工程。</w:t>
      </w:r>
    </w:p>
    <w:p w14:paraId="521CE3A4">
      <w:pPr>
        <w:snapToGrid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（4）其它变更的范围与内容。</w:t>
      </w:r>
    </w:p>
    <w:p w14:paraId="2F359453">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10.4 </w:t>
      </w:r>
      <w:r>
        <w:rPr>
          <w:rFonts w:hint="eastAsia" w:ascii="宋体" w:hAnsi="宋体" w:eastAsia="宋体" w:cs="宋体"/>
          <w:color w:val="auto"/>
          <w:kern w:val="0"/>
          <w:sz w:val="21"/>
          <w:szCs w:val="21"/>
          <w:highlight w:val="none"/>
        </w:rPr>
        <w:t>变更估价</w:t>
      </w:r>
    </w:p>
    <w:p w14:paraId="796F0197">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10.4.1 变更估价原则：</w:t>
      </w:r>
      <w:r>
        <w:rPr>
          <w:rFonts w:hint="eastAsia" w:ascii="宋体" w:hAnsi="宋体" w:eastAsia="宋体" w:cs="宋体"/>
          <w:b/>
          <w:color w:val="auto"/>
          <w:sz w:val="21"/>
          <w:szCs w:val="21"/>
          <w:highlight w:val="none"/>
          <w:u w:val="single"/>
        </w:rPr>
        <w:t xml:space="preserve">     </w:t>
      </w:r>
      <w:r>
        <w:rPr>
          <w:rFonts w:hint="eastAsia" w:ascii="宋体" w:hAnsi="宋体" w:eastAsia="宋体" w:cs="宋体"/>
          <w:color w:val="auto"/>
          <w:sz w:val="21"/>
          <w:szCs w:val="21"/>
          <w:highlight w:val="none"/>
          <w:u w:val="single"/>
        </w:rPr>
        <w:t>按结算原则执行</w:t>
      </w:r>
      <w:r>
        <w:rPr>
          <w:rFonts w:hint="eastAsia" w:ascii="宋体" w:hAnsi="宋体" w:eastAsia="宋体" w:cs="宋体"/>
          <w:b/>
          <w:color w:val="auto"/>
          <w:sz w:val="21"/>
          <w:szCs w:val="21"/>
          <w:highlight w:val="none"/>
          <w:u w:val="single"/>
        </w:rPr>
        <w:t xml:space="preserve">   </w:t>
      </w:r>
    </w:p>
    <w:p w14:paraId="4D9FC3AB">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Start w:id="449" w:name="_Toc297120497"/>
      <w:bookmarkStart w:id="450" w:name="_Toc296503197"/>
      <w:bookmarkStart w:id="451" w:name="_Toc296944536"/>
      <w:bookmarkStart w:id="452" w:name="_Toc296891025"/>
      <w:bookmarkStart w:id="453" w:name="_Toc292559402"/>
      <w:bookmarkStart w:id="454" w:name="_Toc296347196"/>
      <w:bookmarkStart w:id="455" w:name="_Toc296346698"/>
      <w:bookmarkStart w:id="456" w:name="_Toc297123544"/>
      <w:bookmarkStart w:id="457" w:name="_Toc296891237"/>
      <w:bookmarkStart w:id="458" w:name="_Toc300934993"/>
      <w:bookmarkStart w:id="459" w:name="_Toc303539150"/>
      <w:bookmarkStart w:id="460" w:name="_Toc292559907"/>
      <w:bookmarkStart w:id="461" w:name="_Toc297048383"/>
      <w:bookmarkStart w:id="462" w:name="_Toc297216203"/>
      <w:bookmarkStart w:id="463" w:name="_Toc312677503"/>
      <w:bookmarkStart w:id="464" w:name="_Toc312678029"/>
      <w:bookmarkStart w:id="465" w:name="_Toc304295570"/>
      <w:r>
        <w:rPr>
          <w:rFonts w:hint="eastAsia" w:ascii="宋体" w:hAnsi="宋体" w:eastAsia="宋体" w:cs="宋体"/>
          <w:color w:val="auto"/>
          <w:sz w:val="21"/>
          <w:szCs w:val="21"/>
          <w:highlight w:val="none"/>
        </w:rPr>
        <w:t>0.5承</w:t>
      </w:r>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Start w:id="466" w:name="_Toc296347202"/>
      <w:bookmarkStart w:id="467" w:name="_Toc296944542"/>
      <w:bookmarkStart w:id="468" w:name="_Toc297123545"/>
      <w:bookmarkStart w:id="469" w:name="_Toc297216204"/>
      <w:bookmarkStart w:id="470" w:name="_Toc300934994"/>
      <w:bookmarkStart w:id="471" w:name="_Toc296346704"/>
      <w:bookmarkStart w:id="472" w:name="_Toc297120503"/>
      <w:bookmarkStart w:id="473" w:name="_Toc297048389"/>
      <w:bookmarkStart w:id="474" w:name="_Toc296891243"/>
      <w:bookmarkStart w:id="475" w:name="_Toc303539151"/>
      <w:bookmarkStart w:id="476" w:name="_Toc296891031"/>
      <w:bookmarkStart w:id="477" w:name="_Toc292559408"/>
      <w:bookmarkStart w:id="478" w:name="_Toc292559913"/>
      <w:bookmarkStart w:id="479" w:name="_Toc296503203"/>
      <w:r>
        <w:rPr>
          <w:rFonts w:hint="eastAsia" w:ascii="宋体" w:hAnsi="宋体" w:eastAsia="宋体" w:cs="宋体"/>
          <w:color w:val="auto"/>
          <w:sz w:val="21"/>
          <w:szCs w:val="21"/>
          <w:highlight w:val="none"/>
        </w:rPr>
        <w:t>包人的合理化建议</w:t>
      </w:r>
    </w:p>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p w14:paraId="7009445E">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监理人审查承包人合理化建议的期限：</w:t>
      </w:r>
      <w:r>
        <w:rPr>
          <w:rFonts w:hint="eastAsia" w:ascii="宋体" w:hAnsi="宋体" w:eastAsia="宋体" w:cs="宋体"/>
          <w:color w:val="auto"/>
          <w:sz w:val="21"/>
          <w:szCs w:val="21"/>
          <w:highlight w:val="none"/>
          <w:u w:val="single"/>
        </w:rPr>
        <w:t>不超过14天。</w:t>
      </w:r>
    </w:p>
    <w:p w14:paraId="2EED4F08">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发包人审批承包人合理化建议的期限：</w:t>
      </w:r>
      <w:r>
        <w:rPr>
          <w:rFonts w:hint="eastAsia" w:ascii="宋体" w:hAnsi="宋体" w:eastAsia="宋体" w:cs="宋体"/>
          <w:color w:val="auto"/>
          <w:sz w:val="21"/>
          <w:szCs w:val="21"/>
          <w:highlight w:val="none"/>
          <w:u w:val="single"/>
        </w:rPr>
        <w:t>不超过14天。</w:t>
      </w:r>
    </w:p>
    <w:p w14:paraId="61FC61CD">
      <w:pPr>
        <w:snapToGrid w:val="0"/>
        <w:spacing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承</w:t>
      </w:r>
      <w:bookmarkStart w:id="480" w:name="_Toc304295571"/>
      <w:bookmarkStart w:id="481" w:name="_Toc297123546"/>
      <w:bookmarkStart w:id="482" w:name="_Toc292559409"/>
      <w:bookmarkStart w:id="483" w:name="_Toc296891244"/>
      <w:bookmarkStart w:id="484" w:name="_Toc296347203"/>
      <w:bookmarkStart w:id="485" w:name="_Toc303539152"/>
      <w:bookmarkStart w:id="486" w:name="_Toc300934995"/>
      <w:bookmarkStart w:id="487" w:name="_Toc297216205"/>
      <w:bookmarkStart w:id="488" w:name="_Toc296944543"/>
      <w:bookmarkStart w:id="489" w:name="_Toc297048390"/>
      <w:bookmarkStart w:id="490" w:name="_Toc318581175"/>
      <w:bookmarkStart w:id="491" w:name="_Toc312678030"/>
      <w:bookmarkStart w:id="492" w:name="_Toc297120504"/>
      <w:bookmarkStart w:id="493" w:name="_Toc296891032"/>
      <w:bookmarkStart w:id="494" w:name="_Toc312677504"/>
      <w:bookmarkStart w:id="495" w:name="_Toc292559914"/>
      <w:bookmarkStart w:id="496" w:name="_Toc296503204"/>
      <w:bookmarkStart w:id="497" w:name="_Toc296346705"/>
      <w:r>
        <w:rPr>
          <w:rFonts w:hint="eastAsia" w:ascii="宋体" w:hAnsi="宋体" w:eastAsia="宋体" w:cs="宋体"/>
          <w:color w:val="auto"/>
          <w:sz w:val="21"/>
          <w:szCs w:val="21"/>
          <w:highlight w:val="none"/>
        </w:rPr>
        <w:t>包人提出的合理化建议降低了合同价格或者提高了工程经济效益的奖励的方法和金额为：</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p w14:paraId="63CC6063">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bookmarkStart w:id="498" w:name="_Toc304295574"/>
      <w:bookmarkStart w:id="499" w:name="_Toc297120499"/>
      <w:bookmarkStart w:id="500" w:name="_Toc297216207"/>
      <w:bookmarkStart w:id="501" w:name="_Toc312678033"/>
      <w:bookmarkStart w:id="502" w:name="_Toc296891027"/>
      <w:bookmarkStart w:id="503" w:name="_Toc296503199"/>
      <w:bookmarkStart w:id="504" w:name="_Toc292559404"/>
      <w:bookmarkStart w:id="505" w:name="_Toc297123548"/>
      <w:bookmarkStart w:id="506" w:name="_Toc297048385"/>
      <w:bookmarkStart w:id="507" w:name="_Toc300934997"/>
      <w:bookmarkStart w:id="508" w:name="_Toc296891239"/>
      <w:bookmarkStart w:id="509" w:name="_Toc312677507"/>
      <w:bookmarkStart w:id="510" w:name="_Toc296347198"/>
      <w:bookmarkStart w:id="511" w:name="_Toc296346700"/>
      <w:bookmarkStart w:id="512" w:name="_Toc303539154"/>
      <w:bookmarkStart w:id="513" w:name="_Toc296944538"/>
      <w:bookmarkStart w:id="514" w:name="_Toc292559909"/>
      <w:r>
        <w:rPr>
          <w:rFonts w:hint="eastAsia" w:ascii="宋体" w:hAnsi="宋体" w:eastAsia="宋体" w:cs="宋体"/>
          <w:color w:val="auto"/>
          <w:sz w:val="21"/>
          <w:szCs w:val="21"/>
          <w:highlight w:val="none"/>
        </w:rPr>
        <w:t>0.7 暂估价</w:t>
      </w:r>
    </w:p>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p w14:paraId="0B603898">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暂</w:t>
      </w:r>
      <w:bookmarkStart w:id="515" w:name="_Toc318581176"/>
      <w:bookmarkStart w:id="516" w:name="_Toc312677508"/>
      <w:bookmarkStart w:id="517" w:name="_Toc312678034"/>
      <w:r>
        <w:rPr>
          <w:rFonts w:hint="eastAsia" w:ascii="宋体" w:hAnsi="宋体" w:eastAsia="宋体" w:cs="宋体"/>
          <w:color w:val="auto"/>
          <w:sz w:val="21"/>
          <w:szCs w:val="21"/>
          <w:highlight w:val="none"/>
        </w:rPr>
        <w:t>估价材料和工程设备的明细：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bookmarkEnd w:id="515"/>
    <w:bookmarkEnd w:id="516"/>
    <w:bookmarkEnd w:id="517"/>
    <w:p w14:paraId="0D22BFEF">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bookmarkStart w:id="518" w:name="_Toc312677509"/>
      <w:bookmarkStart w:id="519" w:name="_Toc312678035"/>
      <w:bookmarkStart w:id="520" w:name="_Toc318581177"/>
      <w:r>
        <w:rPr>
          <w:rFonts w:hint="eastAsia" w:ascii="宋体" w:hAnsi="宋体" w:eastAsia="宋体" w:cs="宋体"/>
          <w:color w:val="auto"/>
          <w:sz w:val="21"/>
          <w:szCs w:val="21"/>
          <w:highlight w:val="none"/>
        </w:rPr>
        <w:t>0.7.1 依法必须</w:t>
      </w:r>
      <w:r>
        <w:rPr>
          <w:rFonts w:hint="eastAsia" w:ascii="宋体" w:hAnsi="宋体" w:cs="宋体"/>
          <w:color w:val="auto"/>
          <w:sz w:val="21"/>
          <w:szCs w:val="21"/>
          <w:highlight w:val="none"/>
          <w:lang w:val="en-US" w:eastAsia="zh-CN"/>
        </w:rPr>
        <w:t>招标</w:t>
      </w:r>
      <w:r>
        <w:rPr>
          <w:rFonts w:hint="eastAsia" w:ascii="宋体" w:hAnsi="宋体" w:eastAsia="宋体" w:cs="宋体"/>
          <w:color w:val="auto"/>
          <w:sz w:val="21"/>
          <w:szCs w:val="21"/>
          <w:highlight w:val="none"/>
        </w:rPr>
        <w:t>的暂估价项目</w:t>
      </w:r>
    </w:p>
    <w:bookmarkEnd w:id="518"/>
    <w:bookmarkEnd w:id="519"/>
    <w:bookmarkEnd w:id="520"/>
    <w:p w14:paraId="4BF28CA0">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对于依法必须</w:t>
      </w:r>
      <w:r>
        <w:rPr>
          <w:rFonts w:hint="eastAsia" w:ascii="宋体" w:hAnsi="宋体" w:cs="宋体"/>
          <w:color w:val="auto"/>
          <w:sz w:val="21"/>
          <w:szCs w:val="21"/>
          <w:highlight w:val="none"/>
          <w:lang w:val="en-US" w:eastAsia="zh-CN"/>
        </w:rPr>
        <w:t>招标</w:t>
      </w:r>
      <w:r>
        <w:rPr>
          <w:rFonts w:hint="eastAsia" w:ascii="宋体" w:hAnsi="宋体" w:eastAsia="宋体" w:cs="宋体"/>
          <w:color w:val="auto"/>
          <w:sz w:val="21"/>
          <w:szCs w:val="21"/>
          <w:highlight w:val="none"/>
        </w:rPr>
        <w:t>的暂估价项目的确认和批准采取第</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种方式确定。</w:t>
      </w:r>
    </w:p>
    <w:p w14:paraId="4424AAAB">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10.7.2 不属于依法必须</w:t>
      </w:r>
      <w:r>
        <w:rPr>
          <w:rFonts w:hint="eastAsia" w:ascii="宋体" w:hAnsi="宋体" w:cs="宋体"/>
          <w:color w:val="auto"/>
          <w:sz w:val="21"/>
          <w:szCs w:val="21"/>
          <w:highlight w:val="none"/>
          <w:lang w:val="en-US" w:eastAsia="zh-CN"/>
        </w:rPr>
        <w:t>招标</w:t>
      </w:r>
      <w:r>
        <w:rPr>
          <w:rFonts w:hint="eastAsia" w:ascii="宋体" w:hAnsi="宋体" w:eastAsia="宋体" w:cs="宋体"/>
          <w:color w:val="auto"/>
          <w:sz w:val="21"/>
          <w:szCs w:val="21"/>
          <w:highlight w:val="none"/>
        </w:rPr>
        <w:t>的暂估价项目</w:t>
      </w:r>
    </w:p>
    <w:p w14:paraId="5991D358">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对于不属于依法必须</w:t>
      </w:r>
      <w:r>
        <w:rPr>
          <w:rFonts w:hint="eastAsia" w:ascii="宋体" w:hAnsi="宋体" w:cs="宋体"/>
          <w:color w:val="auto"/>
          <w:sz w:val="21"/>
          <w:szCs w:val="21"/>
          <w:highlight w:val="none"/>
          <w:lang w:eastAsia="zh-CN"/>
        </w:rPr>
        <w:t>招标</w:t>
      </w:r>
      <w:r>
        <w:rPr>
          <w:rFonts w:hint="eastAsia" w:ascii="宋体" w:hAnsi="宋体" w:eastAsia="宋体" w:cs="宋体"/>
          <w:color w:val="auto"/>
          <w:sz w:val="21"/>
          <w:szCs w:val="21"/>
          <w:highlight w:val="none"/>
        </w:rPr>
        <w:t>的暂估价项目的确认和批准采取第</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种方式确定。</w:t>
      </w:r>
    </w:p>
    <w:p w14:paraId="16E85460">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10.8 暂</w:t>
      </w:r>
      <w:r>
        <w:rPr>
          <w:rFonts w:hint="eastAsia" w:ascii="宋体" w:hAnsi="宋体" w:eastAsia="宋体" w:cs="宋体"/>
          <w:color w:val="auto"/>
          <w:kern w:val="0"/>
          <w:sz w:val="21"/>
          <w:szCs w:val="21"/>
          <w:highlight w:val="none"/>
        </w:rPr>
        <w:t>列</w:t>
      </w:r>
      <w:r>
        <w:rPr>
          <w:rFonts w:hint="eastAsia" w:ascii="宋体" w:hAnsi="宋体" w:eastAsia="宋体" w:cs="宋体"/>
          <w:color w:val="auto"/>
          <w:sz w:val="21"/>
          <w:szCs w:val="21"/>
          <w:highlight w:val="none"/>
        </w:rPr>
        <w:t>金额</w:t>
      </w:r>
    </w:p>
    <w:p w14:paraId="185C6F4B">
      <w:pPr>
        <w:snapToGri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合同当事人关于暂列金额使用的约定：</w:t>
      </w:r>
      <w:r>
        <w:rPr>
          <w:rFonts w:hint="eastAsia" w:ascii="宋体" w:hAnsi="宋体" w:eastAsia="宋体" w:cs="宋体"/>
          <w:color w:val="auto"/>
          <w:sz w:val="21"/>
          <w:szCs w:val="21"/>
          <w:highlight w:val="none"/>
          <w:u w:val="single"/>
        </w:rPr>
        <w:t xml:space="preserve">   由发包人、承包人、监理人共同确定，未得到发包人同意而由监理人发出的使用指令，承包人不得接受  </w:t>
      </w:r>
      <w:r>
        <w:rPr>
          <w:rFonts w:hint="eastAsia" w:ascii="宋体" w:hAnsi="宋体" w:eastAsia="宋体" w:cs="宋体"/>
          <w:color w:val="auto"/>
          <w:kern w:val="0"/>
          <w:sz w:val="21"/>
          <w:szCs w:val="21"/>
          <w:highlight w:val="none"/>
        </w:rPr>
        <w:t>。</w:t>
      </w:r>
    </w:p>
    <w:p w14:paraId="303551B0">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10.9计日工</w:t>
      </w:r>
    </w:p>
    <w:p w14:paraId="58FE5902">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10.9.1 发包人认为有必要时，由监理人通知承包人以计日工方式实施变更的零星工作。其价款按列入已标价工程量清单中的计日工计价子目及其单价进行计算． </w:t>
      </w:r>
    </w:p>
    <w:p w14:paraId="102C60C2">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10.9.2 采用计日工计价的任何一项变更工作，应从暂列金额中支付，承包人应在该项变更的实施过程中，每天提交以下报表和有关凭证报送监理人、发包人审批：</w:t>
      </w:r>
    </w:p>
    <w:p w14:paraId="73E2DFAF">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(l）工作名称、内容和数量；</w:t>
      </w:r>
    </w:p>
    <w:p w14:paraId="000A5780">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(2）投入该工作所有人员的姓名、工种、级别和耗用工时；</w:t>
      </w:r>
    </w:p>
    <w:p w14:paraId="428875C9">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(3）投入该工作的材料类别和数量；</w:t>
      </w:r>
    </w:p>
    <w:p w14:paraId="4AEC4F87">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(4）投入该工作的施工设备型号、台数和耗用台时；</w:t>
      </w:r>
    </w:p>
    <w:p w14:paraId="29B9A888">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(5）监理人要求提交的其他资料和凭证。</w:t>
      </w:r>
    </w:p>
    <w:p w14:paraId="567F7760">
      <w:pPr>
        <w:snapToGri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10.9.3 计日工由承包人汇总后，列入进度付款申请单，由监理人复核并经发包人同意后列入进度付款。</w:t>
      </w:r>
    </w:p>
    <w:p w14:paraId="2E8434C4">
      <w:pPr>
        <w:snapToGrid w:val="0"/>
        <w:spacing w:line="360" w:lineRule="auto"/>
        <w:rPr>
          <w:rFonts w:hint="eastAsia" w:ascii="宋体" w:hAnsi="宋体" w:eastAsia="宋体" w:cs="宋体"/>
          <w:b/>
          <w:color w:val="auto"/>
          <w:kern w:val="0"/>
          <w:sz w:val="21"/>
          <w:szCs w:val="21"/>
          <w:highlight w:val="none"/>
        </w:rPr>
      </w:pPr>
      <w:bookmarkStart w:id="521" w:name="_Toc518391419"/>
      <w:bookmarkStart w:id="522" w:name="_Toc516756968"/>
      <w:bookmarkStart w:id="523" w:name="_Toc351203643"/>
      <w:bookmarkStart w:id="524" w:name="_Toc485992744"/>
      <w:bookmarkStart w:id="525" w:name="_Toc433623113"/>
      <w:r>
        <w:rPr>
          <w:rFonts w:hint="eastAsia" w:ascii="宋体" w:hAnsi="宋体" w:eastAsia="宋体" w:cs="宋体"/>
          <w:b/>
          <w:color w:val="auto"/>
          <w:kern w:val="0"/>
          <w:sz w:val="21"/>
          <w:szCs w:val="21"/>
          <w:highlight w:val="none"/>
        </w:rPr>
        <w:t>11. 价格调整</w:t>
      </w:r>
      <w:bookmarkEnd w:id="521"/>
      <w:bookmarkEnd w:id="522"/>
      <w:bookmarkEnd w:id="523"/>
      <w:bookmarkEnd w:id="524"/>
      <w:bookmarkEnd w:id="525"/>
    </w:p>
    <w:p w14:paraId="6318F3DF">
      <w:pPr>
        <w:snapToGrid w:val="0"/>
        <w:spacing w:line="360" w:lineRule="auto"/>
        <w:ind w:firstLine="420" w:firstLineChars="200"/>
        <w:rPr>
          <w:rFonts w:hint="eastAsia" w:ascii="宋体" w:hAnsi="宋体" w:eastAsia="宋体" w:cs="宋体"/>
          <w:color w:val="auto"/>
          <w:sz w:val="21"/>
          <w:szCs w:val="21"/>
          <w:highlight w:val="none"/>
        </w:rPr>
      </w:pPr>
      <w:bookmarkStart w:id="526" w:name="_Toc297048387"/>
      <w:bookmarkStart w:id="527" w:name="_Toc312678039"/>
      <w:bookmarkStart w:id="528" w:name="_Toc296944540"/>
      <w:bookmarkStart w:id="529" w:name="_Toc296503201"/>
      <w:bookmarkStart w:id="530" w:name="_Toc296891241"/>
      <w:bookmarkStart w:id="531" w:name="_Toc296347200"/>
      <w:bookmarkStart w:id="532" w:name="_Toc296891029"/>
      <w:bookmarkStart w:id="533" w:name="_Toc296346702"/>
      <w:bookmarkStart w:id="534" w:name="_Toc292559406"/>
      <w:bookmarkStart w:id="535" w:name="_Toc297123550"/>
      <w:bookmarkStart w:id="536" w:name="_Toc300935000"/>
      <w:bookmarkStart w:id="537" w:name="_Toc303539157"/>
      <w:bookmarkStart w:id="538" w:name="_Toc297216209"/>
      <w:bookmarkStart w:id="539" w:name="_Toc297120501"/>
      <w:bookmarkStart w:id="540" w:name="_Toc304295577"/>
      <w:bookmarkStart w:id="541" w:name="_Toc292559911"/>
      <w:r>
        <w:rPr>
          <w:rFonts w:hint="eastAsia" w:ascii="宋体" w:hAnsi="宋体" w:eastAsia="宋体" w:cs="宋体"/>
          <w:color w:val="auto"/>
          <w:sz w:val="21"/>
          <w:szCs w:val="21"/>
          <w:highlight w:val="none"/>
        </w:rPr>
        <w:t>11.1 市场价格波动引起的调整</w:t>
      </w:r>
    </w:p>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p w14:paraId="0FE8BE37">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市场价格波动是否调整合同价格的约定：</w:t>
      </w:r>
      <w:r>
        <w:rPr>
          <w:rFonts w:hint="eastAsia" w:ascii="宋体" w:hAnsi="宋体" w:eastAsia="宋体" w:cs="宋体"/>
          <w:color w:val="auto"/>
          <w:sz w:val="21"/>
          <w:szCs w:val="21"/>
          <w:highlight w:val="none"/>
          <w:u w:val="single"/>
        </w:rPr>
        <w:t xml:space="preserve">         不调整        </w:t>
      </w:r>
      <w:r>
        <w:rPr>
          <w:rFonts w:hint="eastAsia" w:ascii="宋体" w:hAnsi="宋体" w:eastAsia="宋体" w:cs="宋体"/>
          <w:color w:val="auto"/>
          <w:sz w:val="21"/>
          <w:szCs w:val="21"/>
          <w:highlight w:val="none"/>
        </w:rPr>
        <w:t>。</w:t>
      </w:r>
    </w:p>
    <w:bookmarkEnd w:id="425"/>
    <w:bookmarkEnd w:id="426"/>
    <w:bookmarkEnd w:id="427"/>
    <w:bookmarkEnd w:id="428"/>
    <w:bookmarkEnd w:id="429"/>
    <w:bookmarkEnd w:id="430"/>
    <w:p w14:paraId="3E64C852">
      <w:pPr>
        <w:snapToGrid w:val="0"/>
        <w:spacing w:line="360" w:lineRule="auto"/>
        <w:rPr>
          <w:rFonts w:hint="eastAsia" w:ascii="宋体" w:hAnsi="宋体" w:eastAsia="宋体" w:cs="宋体"/>
          <w:b/>
          <w:color w:val="auto"/>
          <w:kern w:val="0"/>
          <w:sz w:val="21"/>
          <w:szCs w:val="21"/>
          <w:highlight w:val="none"/>
        </w:rPr>
      </w:pPr>
      <w:bookmarkStart w:id="542" w:name="_Toc296503205"/>
      <w:bookmarkStart w:id="543" w:name="_Toc296944544"/>
      <w:bookmarkStart w:id="544" w:name="_Toc296891245"/>
      <w:bookmarkStart w:id="545" w:name="_Toc296347204"/>
      <w:bookmarkStart w:id="546" w:name="_Toc296346706"/>
      <w:bookmarkStart w:id="547" w:name="_Toc297048391"/>
      <w:bookmarkStart w:id="548" w:name="_Toc296891033"/>
      <w:bookmarkStart w:id="549" w:name="_Toc292559915"/>
      <w:bookmarkStart w:id="550" w:name="_Toc292559410"/>
      <w:bookmarkStart w:id="551" w:name="_Toc297120505"/>
      <w:bookmarkStart w:id="552" w:name="_Toc351203644"/>
      <w:bookmarkStart w:id="553" w:name="_Toc485992745"/>
      <w:bookmarkStart w:id="554" w:name="_Toc518391420"/>
      <w:bookmarkStart w:id="555" w:name="_Toc516756969"/>
      <w:bookmarkStart w:id="556" w:name="_Toc433623114"/>
      <w:bookmarkStart w:id="557" w:name="_Toc312678040"/>
      <w:bookmarkStart w:id="558" w:name="_Toc303539159"/>
      <w:bookmarkStart w:id="559" w:name="_Toc304295579"/>
      <w:bookmarkStart w:id="560" w:name="_Toc297123552"/>
      <w:bookmarkStart w:id="561" w:name="_Toc297216211"/>
      <w:bookmarkStart w:id="562" w:name="_Toc300935002"/>
      <w:r>
        <w:rPr>
          <w:rFonts w:hint="eastAsia" w:ascii="宋体" w:hAnsi="宋体" w:eastAsia="宋体" w:cs="宋体"/>
          <w:b/>
          <w:color w:val="auto"/>
          <w:kern w:val="0"/>
          <w:sz w:val="21"/>
          <w:szCs w:val="21"/>
          <w:highlight w:val="none"/>
        </w:rPr>
        <w:t xml:space="preserve">12. </w:t>
      </w:r>
      <w:bookmarkEnd w:id="542"/>
      <w:bookmarkEnd w:id="543"/>
      <w:bookmarkEnd w:id="544"/>
      <w:bookmarkEnd w:id="545"/>
      <w:bookmarkEnd w:id="546"/>
      <w:bookmarkEnd w:id="547"/>
      <w:bookmarkEnd w:id="548"/>
      <w:bookmarkEnd w:id="549"/>
      <w:bookmarkEnd w:id="550"/>
      <w:bookmarkEnd w:id="551"/>
      <w:r>
        <w:rPr>
          <w:rFonts w:hint="eastAsia" w:ascii="宋体" w:hAnsi="宋体" w:eastAsia="宋体" w:cs="宋体"/>
          <w:b/>
          <w:color w:val="auto"/>
          <w:kern w:val="0"/>
          <w:sz w:val="21"/>
          <w:szCs w:val="21"/>
          <w:highlight w:val="none"/>
        </w:rPr>
        <w:t>合同价格、计量与支付</w:t>
      </w:r>
      <w:bookmarkEnd w:id="552"/>
      <w:bookmarkEnd w:id="553"/>
      <w:bookmarkEnd w:id="554"/>
      <w:bookmarkEnd w:id="555"/>
      <w:bookmarkEnd w:id="556"/>
    </w:p>
    <w:bookmarkEnd w:id="557"/>
    <w:bookmarkEnd w:id="558"/>
    <w:bookmarkEnd w:id="559"/>
    <w:bookmarkEnd w:id="560"/>
    <w:bookmarkEnd w:id="561"/>
    <w:bookmarkEnd w:id="562"/>
    <w:p w14:paraId="6BEBE152">
      <w:pPr>
        <w:snapToGrid w:val="0"/>
        <w:spacing w:line="360" w:lineRule="auto"/>
        <w:ind w:firstLine="420" w:firstLineChars="200"/>
        <w:rPr>
          <w:rFonts w:hint="eastAsia" w:ascii="宋体" w:hAnsi="宋体" w:eastAsia="宋体" w:cs="宋体"/>
          <w:color w:val="auto"/>
          <w:sz w:val="21"/>
          <w:szCs w:val="21"/>
          <w:highlight w:val="none"/>
        </w:rPr>
      </w:pPr>
      <w:bookmarkStart w:id="563" w:name="_Toc292559411"/>
      <w:bookmarkStart w:id="564" w:name="_Toc292559916"/>
      <w:bookmarkStart w:id="565" w:name="_Toc267251461"/>
      <w:bookmarkStart w:id="566" w:name="_Toc296944545"/>
      <w:bookmarkStart w:id="567" w:name="_Toc297048392"/>
      <w:bookmarkStart w:id="568" w:name="_Toc297120506"/>
      <w:bookmarkStart w:id="569" w:name="_Toc296347205"/>
      <w:bookmarkStart w:id="570" w:name="_Toc296891246"/>
      <w:bookmarkStart w:id="571" w:name="_Toc296346707"/>
      <w:bookmarkStart w:id="572" w:name="_Toc296891034"/>
      <w:bookmarkStart w:id="573" w:name="_Toc296503206"/>
      <w:bookmarkStart w:id="574" w:name="_Toc297216212"/>
      <w:bookmarkStart w:id="575" w:name="_Toc297123553"/>
      <w:bookmarkStart w:id="576" w:name="_Toc304295580"/>
      <w:bookmarkStart w:id="577" w:name="_Toc300935003"/>
      <w:bookmarkStart w:id="578" w:name="_Toc303539160"/>
      <w:bookmarkStart w:id="579" w:name="_Toc312678041"/>
      <w:r>
        <w:rPr>
          <w:rFonts w:hint="eastAsia" w:ascii="宋体" w:hAnsi="宋体" w:eastAsia="宋体" w:cs="宋体"/>
          <w:color w:val="auto"/>
          <w:sz w:val="21"/>
          <w:szCs w:val="21"/>
          <w:highlight w:val="none"/>
        </w:rPr>
        <w:t>12.1 合</w:t>
      </w:r>
      <w:bookmarkEnd w:id="563"/>
      <w:bookmarkEnd w:id="564"/>
      <w:bookmarkEnd w:id="565"/>
      <w:r>
        <w:rPr>
          <w:rFonts w:hint="eastAsia" w:ascii="宋体" w:hAnsi="宋体" w:eastAsia="宋体" w:cs="宋体"/>
          <w:color w:val="auto"/>
          <w:sz w:val="21"/>
          <w:szCs w:val="21"/>
          <w:highlight w:val="none"/>
        </w:rPr>
        <w:t>同价</w:t>
      </w:r>
      <w:bookmarkEnd w:id="566"/>
      <w:bookmarkEnd w:id="567"/>
      <w:bookmarkEnd w:id="568"/>
      <w:bookmarkEnd w:id="569"/>
      <w:bookmarkEnd w:id="570"/>
      <w:bookmarkEnd w:id="571"/>
      <w:bookmarkEnd w:id="572"/>
      <w:bookmarkEnd w:id="573"/>
      <w:r>
        <w:rPr>
          <w:rFonts w:hint="eastAsia" w:ascii="宋体" w:hAnsi="宋体" w:eastAsia="宋体" w:cs="宋体"/>
          <w:color w:val="auto"/>
          <w:sz w:val="21"/>
          <w:szCs w:val="21"/>
          <w:highlight w:val="none"/>
        </w:rPr>
        <w:t>格形式</w:t>
      </w:r>
    </w:p>
    <w:bookmarkEnd w:id="574"/>
    <w:bookmarkEnd w:id="575"/>
    <w:bookmarkEnd w:id="576"/>
    <w:bookmarkEnd w:id="577"/>
    <w:bookmarkEnd w:id="578"/>
    <w:bookmarkEnd w:id="579"/>
    <w:p w14:paraId="64EA3284">
      <w:pPr>
        <w:snapToGrid w:val="0"/>
        <w:spacing w:line="360" w:lineRule="auto"/>
        <w:ind w:firstLine="420" w:firstLineChars="200"/>
        <w:rPr>
          <w:rFonts w:hint="eastAsia" w:ascii="宋体" w:hAnsi="宋体" w:eastAsia="宋体" w:cs="宋体"/>
          <w:color w:val="auto"/>
          <w:sz w:val="21"/>
          <w:szCs w:val="21"/>
          <w:highlight w:val="none"/>
        </w:rPr>
      </w:pPr>
      <w:bookmarkStart w:id="580" w:name="_Toc303539161"/>
      <w:bookmarkStart w:id="581" w:name="_Toc304295581"/>
      <w:bookmarkStart w:id="582" w:name="_Toc296346708"/>
      <w:bookmarkStart w:id="583" w:name="_Toc312678042"/>
      <w:bookmarkStart w:id="584" w:name="_Toc300935004"/>
      <w:bookmarkStart w:id="585" w:name="_Toc296347206"/>
      <w:bookmarkStart w:id="586" w:name="_Toc297123554"/>
      <w:bookmarkStart w:id="587" w:name="_Toc296891035"/>
      <w:bookmarkStart w:id="588" w:name="_Toc292559412"/>
      <w:bookmarkStart w:id="589" w:name="_Toc297120507"/>
      <w:bookmarkStart w:id="590" w:name="_Toc296944546"/>
      <w:bookmarkStart w:id="591" w:name="_Toc296503207"/>
      <w:bookmarkStart w:id="592" w:name="_Toc292559917"/>
      <w:bookmarkStart w:id="593" w:name="_Toc297216213"/>
      <w:bookmarkStart w:id="594" w:name="_Toc297048393"/>
      <w:bookmarkStart w:id="595" w:name="_Toc296891247"/>
      <w:r>
        <w:rPr>
          <w:rFonts w:hint="eastAsia" w:ascii="宋体" w:hAnsi="宋体" w:eastAsia="宋体" w:cs="宋体"/>
          <w:color w:val="auto"/>
          <w:sz w:val="21"/>
          <w:szCs w:val="21"/>
          <w:highlight w:val="none"/>
        </w:rPr>
        <w:t>1、单价合同。</w:t>
      </w:r>
    </w:p>
    <w:p w14:paraId="2B789E6D">
      <w:pPr>
        <w:snapToGrid w:val="0"/>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综合单价包含的风险范围：</w:t>
      </w:r>
      <w:r>
        <w:rPr>
          <w:rFonts w:hint="eastAsia" w:ascii="宋体" w:hAnsi="宋体" w:eastAsia="宋体" w:cs="宋体"/>
          <w:color w:val="auto"/>
          <w:sz w:val="21"/>
          <w:szCs w:val="21"/>
          <w:highlight w:val="none"/>
          <w:u w:val="single"/>
        </w:rPr>
        <w:t>包括但不限于为实施和完成合同工程所需的人工费、材料费、施工机具使用费、企业管理费、利润、风险费、施工技术措施项目费、施工组织措施项目费、总承包服务费、规费和税金及缺陷修复等费用，以及</w:t>
      </w:r>
      <w:bookmarkStart w:id="596" w:name="_Hlk528508096"/>
      <w:r>
        <w:rPr>
          <w:rFonts w:hint="eastAsia" w:ascii="宋体" w:hAnsi="宋体" w:eastAsia="宋体" w:cs="宋体"/>
          <w:color w:val="auto"/>
          <w:sz w:val="21"/>
          <w:szCs w:val="21"/>
          <w:highlight w:val="none"/>
          <w:u w:val="single"/>
        </w:rPr>
        <w:t>第11.1款〔市场价格波动引起的调整〕约定范围内的市场价格波动风险、政策性文件规定的各项应有费用、</w:t>
      </w:r>
      <w:bookmarkEnd w:id="596"/>
      <w:r>
        <w:rPr>
          <w:rFonts w:hint="eastAsia" w:ascii="宋体" w:hAnsi="宋体" w:cs="宋体"/>
          <w:color w:val="auto"/>
          <w:sz w:val="21"/>
          <w:szCs w:val="21"/>
          <w:highlight w:val="none"/>
          <w:u w:val="single"/>
          <w:lang w:eastAsia="zh-CN"/>
        </w:rPr>
        <w:t>招标文件</w:t>
      </w:r>
      <w:r>
        <w:rPr>
          <w:rFonts w:hint="eastAsia" w:ascii="宋体" w:hAnsi="宋体" w:eastAsia="宋体" w:cs="宋体"/>
          <w:color w:val="auto"/>
          <w:sz w:val="21"/>
          <w:szCs w:val="21"/>
          <w:highlight w:val="none"/>
          <w:u w:val="single"/>
        </w:rPr>
        <w:t>和合同明示或暗示的应由承包人承担的所有责任、义务和风险等所需的费用。</w:t>
      </w:r>
    </w:p>
    <w:p w14:paraId="1DE85497">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风险费用的计算方法：</w:t>
      </w:r>
      <w:r>
        <w:rPr>
          <w:rFonts w:hint="eastAsia" w:ascii="宋体" w:hAnsi="宋体" w:eastAsia="宋体" w:cs="宋体"/>
          <w:color w:val="auto"/>
          <w:sz w:val="21"/>
          <w:szCs w:val="21"/>
          <w:highlight w:val="none"/>
          <w:u w:val="single"/>
        </w:rPr>
        <w:t>由承包人自行考虑并计入签约合同价格中，包干使用。</w:t>
      </w:r>
    </w:p>
    <w:p w14:paraId="7A7A92AE">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风险范围以外合同价格的调整方法：</w:t>
      </w:r>
      <w:r>
        <w:rPr>
          <w:rFonts w:hint="eastAsia" w:ascii="宋体" w:hAnsi="宋体" w:eastAsia="宋体" w:cs="宋体"/>
          <w:color w:val="auto"/>
          <w:sz w:val="21"/>
          <w:szCs w:val="21"/>
          <w:highlight w:val="none"/>
          <w:u w:val="single"/>
        </w:rPr>
        <w:t xml:space="preserve">  不调整  </w:t>
      </w:r>
      <w:r>
        <w:rPr>
          <w:rFonts w:hint="eastAsia" w:ascii="宋体" w:hAnsi="宋体" w:eastAsia="宋体" w:cs="宋体"/>
          <w:color w:val="auto"/>
          <w:sz w:val="21"/>
          <w:szCs w:val="21"/>
          <w:highlight w:val="none"/>
        </w:rPr>
        <w:t>。</w:t>
      </w:r>
    </w:p>
    <w:p w14:paraId="74429808">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12.2 预付款</w:t>
      </w:r>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u w:val="single"/>
          <w:lang w:val="en-US" w:eastAsia="zh-CN"/>
        </w:rPr>
        <w:t>无</w:t>
      </w:r>
      <w:r>
        <w:rPr>
          <w:rFonts w:hint="eastAsia" w:ascii="宋体" w:hAnsi="宋体" w:eastAsia="宋体" w:cs="宋体"/>
          <w:color w:val="auto"/>
          <w:sz w:val="21"/>
          <w:szCs w:val="21"/>
          <w:highlight w:val="none"/>
          <w:u w:val="single"/>
          <w:lang w:val="en-US" w:eastAsia="zh-CN"/>
        </w:rPr>
        <w:t>。</w:t>
      </w:r>
    </w:p>
    <w:p w14:paraId="31C775EC">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 计量</w:t>
      </w:r>
    </w:p>
    <w:p w14:paraId="4C115920">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12.3.1 计量原则</w:t>
      </w:r>
    </w:p>
    <w:p w14:paraId="0CDB6EE5">
      <w:pPr>
        <w:snapToGrid w:val="0"/>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工程量计算规则：</w:t>
      </w:r>
      <w:r>
        <w:rPr>
          <w:rFonts w:hint="eastAsia" w:ascii="宋体" w:hAnsi="宋体" w:eastAsia="宋体" w:cs="宋体"/>
          <w:color w:val="auto"/>
          <w:sz w:val="21"/>
          <w:szCs w:val="21"/>
          <w:highlight w:val="none"/>
          <w:u w:val="single"/>
        </w:rPr>
        <w:t>以施工图纸为依据，并经甲、乙双方和监理等单位共同现场收方测量签字认可的工程量作为本工程的最终结算工程量。</w:t>
      </w:r>
    </w:p>
    <w:p w14:paraId="620151E0">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12.3.2 计量周期</w:t>
      </w:r>
    </w:p>
    <w:p w14:paraId="402AAF5D">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关于计量周期的约定：</w:t>
      </w:r>
      <w:r>
        <w:rPr>
          <w:rFonts w:hint="eastAsia" w:ascii="宋体" w:hAnsi="宋体" w:eastAsia="宋体" w:cs="宋体"/>
          <w:color w:val="auto"/>
          <w:sz w:val="21"/>
          <w:szCs w:val="21"/>
          <w:highlight w:val="none"/>
          <w:u w:val="single"/>
        </w:rPr>
        <w:t>按工程进度计量。</w:t>
      </w:r>
    </w:p>
    <w:p w14:paraId="42C914B6">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12.3.3 单价合同的计量</w:t>
      </w:r>
    </w:p>
    <w:p w14:paraId="207701C3">
      <w:pPr>
        <w:snapToGrid w:val="0"/>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关于单价合同计量的约定：</w:t>
      </w:r>
      <w:r>
        <w:rPr>
          <w:rFonts w:hint="eastAsia" w:ascii="宋体" w:hAnsi="宋体" w:eastAsia="宋体" w:cs="宋体"/>
          <w:color w:val="auto"/>
          <w:sz w:val="21"/>
          <w:szCs w:val="21"/>
          <w:highlight w:val="none"/>
          <w:u w:val="single"/>
        </w:rPr>
        <w:t>按工程进度计量。</w:t>
      </w:r>
    </w:p>
    <w:p w14:paraId="3ADC6DB7">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12.4 工程进度款支付</w:t>
      </w:r>
    </w:p>
    <w:p w14:paraId="33A191ED">
      <w:pPr>
        <w:snapToGrid w:val="0"/>
        <w:spacing w:line="360" w:lineRule="auto"/>
        <w:ind w:firstLine="420" w:firstLineChars="200"/>
        <w:jc w:val="left"/>
        <w:rPr>
          <w:rFonts w:hint="eastAsia" w:ascii="宋体" w:hAnsi="宋体" w:eastAsia="宋体" w:cs="宋体"/>
          <w:color w:val="auto"/>
          <w:sz w:val="21"/>
          <w:szCs w:val="21"/>
          <w:highlight w:val="none"/>
        </w:rPr>
      </w:pPr>
      <w:bookmarkStart w:id="597" w:name="_Toc296346712"/>
      <w:bookmarkStart w:id="598" w:name="_Toc300935006"/>
      <w:bookmarkStart w:id="599" w:name="_Toc296944550"/>
      <w:bookmarkStart w:id="600" w:name="_Toc297048397"/>
      <w:bookmarkStart w:id="601" w:name="_Toc296503211"/>
      <w:bookmarkStart w:id="602" w:name="_Toc296891039"/>
      <w:bookmarkStart w:id="603" w:name="_Toc297120511"/>
      <w:bookmarkStart w:id="604" w:name="_Toc303539163"/>
      <w:bookmarkStart w:id="605" w:name="_Toc296347210"/>
      <w:bookmarkStart w:id="606" w:name="_Toc296891251"/>
      <w:bookmarkStart w:id="607" w:name="_Toc292559921"/>
      <w:bookmarkStart w:id="608" w:name="_Toc297216215"/>
      <w:bookmarkStart w:id="609" w:name="_Toc297123556"/>
      <w:bookmarkStart w:id="610" w:name="_Toc292559416"/>
      <w:r>
        <w:rPr>
          <w:rFonts w:hint="eastAsia" w:ascii="宋体" w:hAnsi="宋体" w:eastAsia="宋体" w:cs="宋体"/>
          <w:color w:val="auto"/>
          <w:sz w:val="21"/>
          <w:szCs w:val="21"/>
          <w:highlight w:val="none"/>
        </w:rPr>
        <w:t>12.4.1 付款周期</w:t>
      </w:r>
    </w:p>
    <w:p w14:paraId="58A0DD4B">
      <w:pPr>
        <w:snapToGrid w:val="0"/>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关于付款周期的约定：</w:t>
      </w:r>
      <w:r>
        <w:rPr>
          <w:rFonts w:hint="eastAsia" w:ascii="宋体" w:hAnsi="宋体" w:eastAsia="宋体" w:cs="宋体"/>
          <w:color w:val="auto"/>
          <w:sz w:val="21"/>
          <w:szCs w:val="21"/>
          <w:highlight w:val="none"/>
          <w:u w:val="single"/>
        </w:rPr>
        <w:t>项目完工验收合格后，经审核，支付至审定金额的97%,一年质保期满后支付剩余审定金额的3%。</w:t>
      </w:r>
    </w:p>
    <w:p w14:paraId="2FD9B24A">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12.4.2 进度付款申请单的编制</w:t>
      </w:r>
    </w:p>
    <w:p w14:paraId="292BB187">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关于进度付款申请单编制的约定：</w:t>
      </w:r>
      <w:r>
        <w:rPr>
          <w:rFonts w:hint="eastAsia" w:ascii="宋体" w:hAnsi="宋体" w:eastAsia="宋体" w:cs="宋体"/>
          <w:color w:val="auto"/>
          <w:sz w:val="21"/>
          <w:szCs w:val="21"/>
          <w:highlight w:val="none"/>
          <w:u w:val="single"/>
        </w:rPr>
        <w:t xml:space="preserve"> 按照发包人要求进行编制 </w:t>
      </w:r>
      <w:r>
        <w:rPr>
          <w:rFonts w:hint="eastAsia" w:ascii="宋体" w:hAnsi="宋体" w:eastAsia="宋体" w:cs="宋体"/>
          <w:color w:val="auto"/>
          <w:sz w:val="21"/>
          <w:szCs w:val="21"/>
          <w:highlight w:val="none"/>
        </w:rPr>
        <w:t>。</w:t>
      </w:r>
    </w:p>
    <w:p w14:paraId="657E375A">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r>
        <w:rPr>
          <w:rFonts w:hint="eastAsia" w:ascii="宋体" w:hAnsi="宋体" w:eastAsia="宋体" w:cs="宋体"/>
          <w:color w:val="auto"/>
          <w:sz w:val="21"/>
          <w:szCs w:val="21"/>
          <w:highlight w:val="none"/>
        </w:rPr>
        <w:t>2.4.3 进度付款申请单的提交</w:t>
      </w:r>
    </w:p>
    <w:p w14:paraId="56B9C0E7">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（2）总价合同进度付款申请单提交的约定：</w:t>
      </w:r>
      <w:r>
        <w:rPr>
          <w:rFonts w:hint="eastAsia" w:ascii="宋体" w:hAnsi="宋体" w:eastAsia="宋体" w:cs="宋体"/>
          <w:color w:val="auto"/>
          <w:sz w:val="21"/>
          <w:szCs w:val="21"/>
          <w:highlight w:val="none"/>
          <w:u w:val="single"/>
        </w:rPr>
        <w:t xml:space="preserve">    按照发包人要求进行编制   </w:t>
      </w:r>
      <w:r>
        <w:rPr>
          <w:rFonts w:hint="eastAsia" w:ascii="宋体" w:hAnsi="宋体" w:eastAsia="宋体" w:cs="宋体"/>
          <w:color w:val="auto"/>
          <w:sz w:val="21"/>
          <w:szCs w:val="21"/>
          <w:highlight w:val="none"/>
        </w:rPr>
        <w:t>。</w:t>
      </w:r>
    </w:p>
    <w:p w14:paraId="58FD33BA">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12.4.4 进度款审核和支付</w:t>
      </w:r>
    </w:p>
    <w:p w14:paraId="2CAA2F0F">
      <w:pPr>
        <w:snapToGrid w:val="0"/>
        <w:spacing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（1）监理人审查并报送发包人的期限：</w:t>
      </w:r>
      <w:r>
        <w:rPr>
          <w:rFonts w:hint="eastAsia" w:ascii="宋体" w:hAnsi="宋体" w:eastAsia="宋体" w:cs="宋体"/>
          <w:color w:val="auto"/>
          <w:sz w:val="21"/>
          <w:szCs w:val="21"/>
          <w:highlight w:val="none"/>
          <w:u w:val="single"/>
        </w:rPr>
        <w:t xml:space="preserve">     7日内     </w:t>
      </w:r>
      <w:r>
        <w:rPr>
          <w:rFonts w:hint="eastAsia" w:ascii="宋体" w:hAnsi="宋体" w:eastAsia="宋体" w:cs="宋体"/>
          <w:color w:val="auto"/>
          <w:sz w:val="21"/>
          <w:szCs w:val="21"/>
          <w:highlight w:val="none"/>
        </w:rPr>
        <w:t>。</w:t>
      </w:r>
    </w:p>
    <w:p w14:paraId="79A403B4">
      <w:pPr>
        <w:snapToGrid w:val="0"/>
        <w:spacing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发包人完成审批并签发进度款支付证书的期限：</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38D23B9B">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（2）发包人支付进度款的期限：</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5016A38A">
      <w:pPr>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发包人逾期支付进度款的违约金的计算方式：</w:t>
      </w:r>
      <w:r>
        <w:rPr>
          <w:rFonts w:hint="eastAsia" w:ascii="宋体" w:hAnsi="宋体" w:eastAsia="宋体" w:cs="宋体"/>
          <w:color w:val="auto"/>
          <w:sz w:val="21"/>
          <w:szCs w:val="21"/>
          <w:highlight w:val="none"/>
          <w:u w:val="single"/>
        </w:rPr>
        <w:t xml:space="preserve">   不执行     </w:t>
      </w:r>
      <w:r>
        <w:rPr>
          <w:rFonts w:hint="eastAsia" w:ascii="宋体" w:hAnsi="宋体" w:eastAsia="宋体" w:cs="宋体"/>
          <w:color w:val="auto"/>
          <w:sz w:val="21"/>
          <w:szCs w:val="21"/>
          <w:highlight w:val="none"/>
        </w:rPr>
        <w:t>。</w:t>
      </w:r>
    </w:p>
    <w:p w14:paraId="7FDC54E9">
      <w:pPr>
        <w:snapToGrid w:val="0"/>
        <w:spacing w:line="360" w:lineRule="auto"/>
        <w:ind w:firstLine="525" w:firstLineChars="25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12.4.6 支付分解表的编制</w:t>
      </w:r>
    </w:p>
    <w:p w14:paraId="2CC7A5C2">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单价合同的总价项目支付分解表的编制与审批：</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7C47B3C6">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工程款的支付方式：</w:t>
      </w:r>
    </w:p>
    <w:p w14:paraId="738A01F2">
      <w:pPr>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发包人逾期支付进度款时违约金的计算及支付方法：</w:t>
      </w:r>
      <w:r>
        <w:rPr>
          <w:rFonts w:hint="eastAsia" w:ascii="宋体" w:hAnsi="宋体" w:eastAsia="宋体" w:cs="宋体"/>
          <w:b/>
          <w:color w:val="auto"/>
          <w:sz w:val="21"/>
          <w:szCs w:val="21"/>
          <w:highlight w:val="none"/>
          <w:u w:val="single"/>
        </w:rPr>
        <w:t>无</w:t>
      </w:r>
      <w:r>
        <w:rPr>
          <w:rFonts w:hint="eastAsia" w:ascii="宋体" w:hAnsi="宋体" w:eastAsia="宋体" w:cs="宋体"/>
          <w:color w:val="auto"/>
          <w:sz w:val="21"/>
          <w:szCs w:val="21"/>
          <w:highlight w:val="none"/>
        </w:rPr>
        <w:t xml:space="preserve"> </w:t>
      </w:r>
    </w:p>
    <w:p w14:paraId="05347237">
      <w:pPr>
        <w:snapToGrid w:val="0"/>
        <w:spacing w:line="360" w:lineRule="auto"/>
        <w:ind w:firstLine="420"/>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rPr>
        <w:t>12.4.7</w:t>
      </w:r>
      <w:r>
        <w:rPr>
          <w:rFonts w:hint="eastAsia" w:ascii="宋体" w:hAnsi="宋体" w:eastAsia="宋体" w:cs="宋体"/>
          <w:b/>
          <w:bCs/>
          <w:color w:val="auto"/>
          <w:sz w:val="21"/>
          <w:szCs w:val="21"/>
          <w:highlight w:val="none"/>
          <w:lang w:eastAsia="zh-CN"/>
        </w:rPr>
        <w:t>付款方式：</w:t>
      </w:r>
    </w:p>
    <w:bookmarkEnd w:id="431"/>
    <w:p w14:paraId="179867E6">
      <w:pPr>
        <w:snapToGrid w:val="0"/>
        <w:spacing w:line="360" w:lineRule="auto"/>
        <w:ind w:firstLine="420" w:firstLineChars="200"/>
        <w:jc w:val="left"/>
        <w:rPr>
          <w:rFonts w:hint="eastAsia" w:ascii="宋体" w:hAnsi="宋体" w:eastAsia="宋体" w:cs="宋体"/>
          <w:color w:val="auto"/>
          <w:sz w:val="21"/>
          <w:szCs w:val="21"/>
          <w:highlight w:val="none"/>
          <w:lang w:eastAsia="zh-CN"/>
        </w:rPr>
      </w:pPr>
      <w:bookmarkStart w:id="611" w:name="_Toc485992746"/>
      <w:bookmarkStart w:id="612" w:name="_Toc516756970"/>
      <w:bookmarkStart w:id="613" w:name="_Toc518391421"/>
      <w:bookmarkStart w:id="614" w:name="_Toc433623115"/>
      <w:bookmarkStart w:id="615" w:name="_Toc351203645"/>
      <w:bookmarkStart w:id="616" w:name="_Toc297048405"/>
      <w:bookmarkStart w:id="617" w:name="_Toc296891259"/>
      <w:bookmarkStart w:id="618" w:name="_Toc296346720"/>
      <w:bookmarkStart w:id="619" w:name="_Toc292559424"/>
      <w:bookmarkStart w:id="620" w:name="_Toc296503219"/>
      <w:bookmarkStart w:id="621" w:name="_Toc304295593"/>
      <w:bookmarkStart w:id="622" w:name="_Toc296944558"/>
      <w:bookmarkStart w:id="623" w:name="_Toc296347218"/>
      <w:bookmarkStart w:id="624" w:name="_Toc292559929"/>
      <w:bookmarkStart w:id="625" w:name="_Toc297216223"/>
      <w:bookmarkStart w:id="626" w:name="_Toc297123564"/>
      <w:bookmarkStart w:id="627" w:name="_Toc296891047"/>
      <w:bookmarkStart w:id="628" w:name="_Toc312678053"/>
      <w:bookmarkStart w:id="629" w:name="_Toc303539172"/>
      <w:bookmarkStart w:id="630" w:name="_Toc297120519"/>
      <w:bookmarkStart w:id="631" w:name="_Toc300935015"/>
      <w:r>
        <w:rPr>
          <w:rFonts w:hint="eastAsia" w:ascii="宋体" w:hAnsi="宋体" w:eastAsia="宋体" w:cs="宋体"/>
          <w:color w:val="auto"/>
          <w:sz w:val="21"/>
          <w:szCs w:val="21"/>
          <w:highlight w:val="none"/>
          <w:lang w:val="en-US" w:eastAsia="zh-CN"/>
        </w:rPr>
        <w:t>（一）</w:t>
      </w:r>
      <w:r>
        <w:rPr>
          <w:rFonts w:hint="eastAsia" w:ascii="宋体" w:hAnsi="宋体" w:eastAsia="宋体" w:cs="宋体"/>
          <w:color w:val="auto"/>
          <w:sz w:val="21"/>
          <w:szCs w:val="21"/>
          <w:highlight w:val="none"/>
          <w:lang w:eastAsia="zh-CN"/>
        </w:rPr>
        <w:t>支付方式</w:t>
      </w:r>
    </w:p>
    <w:p w14:paraId="1D18A57F">
      <w:pPr>
        <w:snapToGrid w:val="0"/>
        <w:spacing w:line="360" w:lineRule="auto"/>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（1）项目完工验收合格后，经审核，支付至审定金额的97%,一年质保期满后支付剩余审定金额的3%。</w:t>
      </w:r>
    </w:p>
    <w:p w14:paraId="76C17347">
      <w:pPr>
        <w:snapToGrid w:val="0"/>
        <w:spacing w:line="360" w:lineRule="auto"/>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注:保函</w:t>
      </w:r>
      <w:r>
        <w:rPr>
          <w:rFonts w:hint="eastAsia" w:ascii="宋体" w:hAnsi="宋体" w:eastAsia="宋体" w:cs="宋体"/>
          <w:color w:val="auto"/>
          <w:sz w:val="21"/>
          <w:szCs w:val="21"/>
          <w:highlight w:val="none"/>
          <w:lang w:eastAsia="zh-CN"/>
        </w:rPr>
        <w:t>的开立人应当是具有相应资格的银行、保险机构、融资担保公司，其信用资质、履约能力、担保能力、赔付流程、安全保密等应符合履约保函业务条件。</w:t>
      </w:r>
      <w:r>
        <w:rPr>
          <w:rFonts w:hint="eastAsia" w:ascii="宋体" w:hAnsi="宋体" w:eastAsia="宋体" w:cs="宋体"/>
          <w:color w:val="auto"/>
          <w:sz w:val="21"/>
          <w:szCs w:val="21"/>
          <w:highlight w:val="none"/>
          <w:lang w:val="en-US" w:eastAsia="zh-CN"/>
        </w:rPr>
        <w:t>保函</w:t>
      </w:r>
      <w:r>
        <w:rPr>
          <w:rFonts w:hint="eastAsia" w:ascii="宋体" w:hAnsi="宋体" w:eastAsia="宋体" w:cs="宋体"/>
          <w:color w:val="auto"/>
          <w:sz w:val="21"/>
          <w:szCs w:val="21"/>
          <w:highlight w:val="none"/>
          <w:lang w:eastAsia="zh-CN"/>
        </w:rPr>
        <w:t>应合法合规，符合招投标行政监督部门、行业主管部门和金融监管部门的相关规定，满足</w:t>
      </w:r>
      <w:r>
        <w:rPr>
          <w:rFonts w:hint="eastAsia" w:ascii="宋体" w:hAnsi="宋体" w:cs="宋体"/>
          <w:color w:val="auto"/>
          <w:sz w:val="21"/>
          <w:szCs w:val="21"/>
          <w:highlight w:val="none"/>
          <w:lang w:val="en-US" w:eastAsia="zh-CN"/>
        </w:rPr>
        <w:t>招标文件</w:t>
      </w:r>
      <w:r>
        <w:rPr>
          <w:rFonts w:hint="eastAsia" w:ascii="宋体" w:hAnsi="宋体" w:eastAsia="宋体" w:cs="宋体"/>
          <w:color w:val="auto"/>
          <w:sz w:val="21"/>
          <w:szCs w:val="21"/>
          <w:highlight w:val="none"/>
          <w:lang w:eastAsia="zh-CN"/>
        </w:rPr>
        <w:t>约定要求。中标人应选择在渝依法设立总部或者设有分支机构的金融机构开具</w:t>
      </w:r>
      <w:r>
        <w:rPr>
          <w:rFonts w:hint="eastAsia" w:ascii="宋体" w:hAnsi="宋体" w:eastAsia="宋体" w:cs="宋体"/>
          <w:color w:val="auto"/>
          <w:sz w:val="21"/>
          <w:szCs w:val="21"/>
          <w:highlight w:val="none"/>
          <w:lang w:val="en-US" w:eastAsia="zh-CN"/>
        </w:rPr>
        <w:t>保函（包括纸质保函或电子保函）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保函为纸质保函的，纸质保函应注明在</w:t>
      </w:r>
      <w:r>
        <w:rPr>
          <w:rFonts w:hint="eastAsia" w:ascii="宋体" w:hAnsi="宋体" w:eastAsia="宋体" w:cs="宋体"/>
          <w:color w:val="auto"/>
          <w:sz w:val="21"/>
          <w:szCs w:val="21"/>
          <w:highlight w:val="none"/>
          <w:lang w:eastAsia="zh-CN"/>
        </w:rPr>
        <w:t>重庆市辖区范围内的核验地址和核验方式，并确保该纸质保函能在开立人在渝的总部或者分支机构进行核验。中标人</w:t>
      </w:r>
      <w:r>
        <w:rPr>
          <w:rFonts w:hint="eastAsia" w:ascii="宋体" w:hAnsi="宋体" w:eastAsia="宋体" w:cs="宋体"/>
          <w:color w:val="auto"/>
          <w:sz w:val="21"/>
          <w:szCs w:val="21"/>
          <w:highlight w:val="none"/>
          <w:lang w:val="en-US" w:eastAsia="zh-CN"/>
        </w:rPr>
        <w:t>对所提交的保函的真实性、合法性、有效性负责。</w:t>
      </w:r>
    </w:p>
    <w:p w14:paraId="29A0DE90">
      <w:pPr>
        <w:snapToGrid w:val="0"/>
        <w:spacing w:line="360" w:lineRule="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13. 验收</w:t>
      </w:r>
      <w:bookmarkEnd w:id="611"/>
      <w:bookmarkEnd w:id="612"/>
      <w:bookmarkEnd w:id="613"/>
      <w:bookmarkEnd w:id="614"/>
      <w:bookmarkEnd w:id="615"/>
    </w:p>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p w14:paraId="1C95CEB4">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13.1 </w:t>
      </w:r>
      <w:r>
        <w:rPr>
          <w:rFonts w:hint="eastAsia" w:ascii="宋体" w:hAnsi="宋体" w:eastAsia="宋体" w:cs="宋体"/>
          <w:color w:val="auto"/>
          <w:kern w:val="0"/>
          <w:sz w:val="21"/>
          <w:szCs w:val="21"/>
          <w:highlight w:val="none"/>
        </w:rPr>
        <w:t>分部分项工程验收</w:t>
      </w:r>
    </w:p>
    <w:p w14:paraId="12A91398">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13.1.2监理人不能按时进行验收时，应提前</w:t>
      </w:r>
      <w:r>
        <w:rPr>
          <w:rFonts w:hint="eastAsia" w:ascii="宋体" w:hAnsi="宋体" w:eastAsia="宋体" w:cs="宋体"/>
          <w:color w:val="auto"/>
          <w:sz w:val="21"/>
          <w:szCs w:val="21"/>
          <w:highlight w:val="none"/>
          <w:u w:val="single"/>
        </w:rPr>
        <w:t xml:space="preserve">  24  </w:t>
      </w:r>
      <w:r>
        <w:rPr>
          <w:rFonts w:hint="eastAsia" w:ascii="宋体" w:hAnsi="宋体" w:eastAsia="宋体" w:cs="宋体"/>
          <w:color w:val="auto"/>
          <w:sz w:val="21"/>
          <w:szCs w:val="21"/>
          <w:highlight w:val="none"/>
        </w:rPr>
        <w:t>小时提交书面延期要求。</w:t>
      </w:r>
    </w:p>
    <w:p w14:paraId="28ABA0E0">
      <w:pPr>
        <w:snapToGrid w:val="0"/>
        <w:spacing w:line="360" w:lineRule="auto"/>
        <w:ind w:firstLine="420" w:firstLineChars="200"/>
        <w:jc w:val="left"/>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关于延期最长不得超过：</w:t>
      </w:r>
      <w:r>
        <w:rPr>
          <w:rFonts w:hint="eastAsia" w:ascii="宋体" w:hAnsi="宋体" w:eastAsia="宋体" w:cs="宋体"/>
          <w:color w:val="auto"/>
          <w:sz w:val="21"/>
          <w:szCs w:val="21"/>
          <w:highlight w:val="none"/>
          <w:u w:val="single"/>
        </w:rPr>
        <w:t xml:space="preserve">   48  </w:t>
      </w:r>
      <w:r>
        <w:rPr>
          <w:rFonts w:hint="eastAsia" w:ascii="宋体" w:hAnsi="宋体" w:eastAsia="宋体" w:cs="宋体"/>
          <w:color w:val="auto"/>
          <w:sz w:val="21"/>
          <w:szCs w:val="21"/>
          <w:highlight w:val="none"/>
        </w:rPr>
        <w:t>小时。</w:t>
      </w:r>
    </w:p>
    <w:p w14:paraId="5996D95B">
      <w:pPr>
        <w:snapToGrid w:val="0"/>
        <w:spacing w:line="360" w:lineRule="auto"/>
        <w:ind w:firstLine="420" w:firstLineChars="200"/>
        <w:rPr>
          <w:rFonts w:hint="eastAsia" w:ascii="宋体" w:hAnsi="宋体" w:eastAsia="宋体" w:cs="宋体"/>
          <w:color w:val="auto"/>
          <w:sz w:val="21"/>
          <w:szCs w:val="21"/>
          <w:highlight w:val="none"/>
        </w:rPr>
      </w:pPr>
      <w:bookmarkStart w:id="632" w:name="_Toc296503223"/>
      <w:bookmarkStart w:id="633" w:name="_Toc304295596"/>
      <w:bookmarkStart w:id="634" w:name="_Toc297120523"/>
      <w:bookmarkStart w:id="635" w:name="_Toc292559428"/>
      <w:bookmarkStart w:id="636" w:name="_Toc303539173"/>
      <w:bookmarkStart w:id="637" w:name="_Toc296891263"/>
      <w:bookmarkStart w:id="638" w:name="_Toc297048409"/>
      <w:bookmarkStart w:id="639" w:name="_Toc297123565"/>
      <w:bookmarkStart w:id="640" w:name="_Toc312678056"/>
      <w:bookmarkStart w:id="641" w:name="_Toc292559933"/>
      <w:bookmarkStart w:id="642" w:name="_Toc297216224"/>
      <w:bookmarkStart w:id="643" w:name="_Toc300935016"/>
      <w:bookmarkStart w:id="644" w:name="_Toc296944562"/>
      <w:bookmarkStart w:id="645" w:name="_Toc296347222"/>
      <w:bookmarkStart w:id="646" w:name="_Toc296891051"/>
      <w:bookmarkStart w:id="647" w:name="_Toc296346724"/>
      <w:bookmarkStart w:id="648" w:name="_Toc267251473"/>
      <w:bookmarkStart w:id="649" w:name="_Toc267251470"/>
      <w:bookmarkStart w:id="650" w:name="_Toc267251471"/>
      <w:bookmarkStart w:id="651" w:name="_Toc267251474"/>
      <w:bookmarkStart w:id="652" w:name="_Toc267251472"/>
      <w:bookmarkStart w:id="653" w:name="_Toc267251476"/>
      <w:bookmarkStart w:id="654" w:name="_Toc267251475"/>
      <w:r>
        <w:rPr>
          <w:rFonts w:hint="eastAsia" w:ascii="宋体" w:hAnsi="宋体" w:eastAsia="宋体" w:cs="宋体"/>
          <w:color w:val="auto"/>
          <w:sz w:val="21"/>
          <w:szCs w:val="21"/>
          <w:highlight w:val="none"/>
        </w:rPr>
        <w:t xml:space="preserve">13.2 </w:t>
      </w:r>
      <w:r>
        <w:rPr>
          <w:rFonts w:hint="eastAsia" w:ascii="宋体" w:hAnsi="宋体" w:eastAsia="宋体" w:cs="宋体"/>
          <w:color w:val="auto"/>
          <w:kern w:val="0"/>
          <w:sz w:val="21"/>
          <w:szCs w:val="21"/>
          <w:highlight w:val="none"/>
        </w:rPr>
        <w:t>竣工验收</w:t>
      </w:r>
    </w:p>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p w14:paraId="08026B31">
      <w:pPr>
        <w:snapToGrid w:val="0"/>
        <w:spacing w:line="360" w:lineRule="auto"/>
        <w:ind w:firstLine="420" w:firstLineChars="200"/>
        <w:jc w:val="left"/>
        <w:rPr>
          <w:rFonts w:hint="eastAsia" w:ascii="宋体" w:hAnsi="宋体" w:eastAsia="宋体" w:cs="宋体"/>
          <w:color w:val="auto"/>
          <w:sz w:val="21"/>
          <w:szCs w:val="21"/>
          <w:highlight w:val="none"/>
        </w:rPr>
      </w:pPr>
      <w:bookmarkStart w:id="655" w:name="_Toc280868704"/>
      <w:bookmarkStart w:id="656" w:name="_Toc280868705"/>
      <w:bookmarkStart w:id="657" w:name="_Toc280868707"/>
      <w:bookmarkStart w:id="658" w:name="_Toc280868708"/>
      <w:bookmarkStart w:id="659" w:name="_Toc280868706"/>
      <w:bookmarkStart w:id="660" w:name="_Toc280868709"/>
      <w:r>
        <w:rPr>
          <w:rFonts w:hint="eastAsia" w:ascii="宋体" w:hAnsi="宋体" w:eastAsia="宋体" w:cs="宋体"/>
          <w:color w:val="auto"/>
          <w:sz w:val="21"/>
          <w:szCs w:val="21"/>
          <w:highlight w:val="none"/>
        </w:rPr>
        <w:t>13.2.2竣工验收程序</w:t>
      </w:r>
    </w:p>
    <w:bookmarkEnd w:id="655"/>
    <w:p w14:paraId="03B7E668">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关于竣工验收程序的约定：</w:t>
      </w:r>
      <w:r>
        <w:rPr>
          <w:rFonts w:hint="eastAsia" w:ascii="宋体" w:hAnsi="宋体" w:eastAsia="宋体" w:cs="宋体"/>
          <w:color w:val="auto"/>
          <w:sz w:val="21"/>
          <w:szCs w:val="21"/>
          <w:highlight w:val="none"/>
          <w:u w:val="single"/>
        </w:rPr>
        <w:t>执行通用条款</w:t>
      </w:r>
      <w:r>
        <w:rPr>
          <w:rFonts w:hint="eastAsia" w:ascii="宋体" w:hAnsi="宋体" w:eastAsia="宋体" w:cs="宋体"/>
          <w:color w:val="auto"/>
          <w:sz w:val="21"/>
          <w:szCs w:val="21"/>
          <w:highlight w:val="none"/>
        </w:rPr>
        <w:t>。</w:t>
      </w:r>
    </w:p>
    <w:p w14:paraId="7DF60D8E">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发包人不按照本项约定组织竣工验收、颁发工程接收证书的违约金的计算方法：</w:t>
      </w:r>
      <w:r>
        <w:rPr>
          <w:rFonts w:hint="eastAsia" w:ascii="宋体" w:hAnsi="宋体" w:eastAsia="宋体" w:cs="宋体"/>
          <w:color w:val="auto"/>
          <w:sz w:val="21"/>
          <w:szCs w:val="21"/>
          <w:highlight w:val="none"/>
          <w:u w:val="single"/>
        </w:rPr>
        <w:t>无</w:t>
      </w:r>
      <w:r>
        <w:rPr>
          <w:rFonts w:hint="eastAsia" w:ascii="宋体" w:hAnsi="宋体" w:eastAsia="宋体" w:cs="宋体"/>
          <w:color w:val="auto"/>
          <w:sz w:val="21"/>
          <w:szCs w:val="21"/>
          <w:highlight w:val="none"/>
        </w:rPr>
        <w:t>。</w:t>
      </w:r>
    </w:p>
    <w:bookmarkEnd w:id="656"/>
    <w:p w14:paraId="3CA76406">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13.2.5移交全部与部分工程</w:t>
      </w:r>
    </w:p>
    <w:bookmarkEnd w:id="657"/>
    <w:bookmarkEnd w:id="658"/>
    <w:bookmarkEnd w:id="659"/>
    <w:p w14:paraId="7ECF7DDE">
      <w:pPr>
        <w:snapToGrid w:val="0"/>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承包人向发包人移交工程的期限：</w:t>
      </w:r>
      <w:r>
        <w:rPr>
          <w:rFonts w:hint="eastAsia" w:ascii="宋体" w:hAnsi="宋体" w:eastAsia="宋体" w:cs="宋体"/>
          <w:color w:val="auto"/>
          <w:kern w:val="0"/>
          <w:sz w:val="21"/>
          <w:szCs w:val="21"/>
          <w:highlight w:val="none"/>
          <w:u w:val="single"/>
        </w:rPr>
        <w:t>按通用条款执行。</w:t>
      </w:r>
    </w:p>
    <w:p w14:paraId="3076EFAF">
      <w:pPr>
        <w:snapToGrid w:val="0"/>
        <w:spacing w:line="360" w:lineRule="auto"/>
        <w:ind w:firstLine="420" w:firstLineChars="200"/>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发包人未按本合同约定接收全部或部分工程的，违约金的计算方法为：</w:t>
      </w:r>
      <w:r>
        <w:rPr>
          <w:rFonts w:hint="eastAsia" w:ascii="宋体" w:hAnsi="宋体" w:eastAsia="宋体" w:cs="宋体"/>
          <w:color w:val="auto"/>
          <w:kern w:val="0"/>
          <w:sz w:val="21"/>
          <w:szCs w:val="21"/>
          <w:highlight w:val="none"/>
          <w:u w:val="single"/>
        </w:rPr>
        <w:t xml:space="preserve"> 无 </w:t>
      </w:r>
      <w:r>
        <w:rPr>
          <w:rFonts w:hint="eastAsia" w:ascii="宋体" w:hAnsi="宋体" w:eastAsia="宋体" w:cs="宋体"/>
          <w:color w:val="auto"/>
          <w:kern w:val="0"/>
          <w:sz w:val="21"/>
          <w:szCs w:val="21"/>
          <w:highlight w:val="none"/>
        </w:rPr>
        <w:t>。</w:t>
      </w:r>
    </w:p>
    <w:p w14:paraId="5D686AD4">
      <w:pPr>
        <w:snapToGrid w:val="0"/>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承包人未按时移交工程的，违约金的计算方法为：</w:t>
      </w:r>
      <w:r>
        <w:rPr>
          <w:rFonts w:hint="eastAsia" w:ascii="宋体" w:hAnsi="宋体" w:eastAsia="宋体" w:cs="宋体"/>
          <w:color w:val="auto"/>
          <w:kern w:val="0"/>
          <w:sz w:val="21"/>
          <w:szCs w:val="21"/>
          <w:highlight w:val="none"/>
          <w:u w:val="single"/>
        </w:rPr>
        <w:t xml:space="preserve">  每延后一天，发包人按2000元向承包人收取违约金 </w:t>
      </w:r>
      <w:r>
        <w:rPr>
          <w:rFonts w:hint="eastAsia" w:ascii="宋体" w:hAnsi="宋体" w:eastAsia="宋体" w:cs="宋体"/>
          <w:color w:val="auto"/>
          <w:kern w:val="0"/>
          <w:sz w:val="21"/>
          <w:szCs w:val="21"/>
          <w:highlight w:val="none"/>
        </w:rPr>
        <w:t>。</w:t>
      </w:r>
    </w:p>
    <w:p w14:paraId="3494C905">
      <w:pPr>
        <w:snapToGrid w:val="0"/>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13.3 工程试车</w:t>
      </w:r>
    </w:p>
    <w:p w14:paraId="0E2C8753">
      <w:pPr>
        <w:snapToGrid w:val="0"/>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13.3.1 试车程序</w:t>
      </w:r>
    </w:p>
    <w:p w14:paraId="5D1A42A3">
      <w:pPr>
        <w:snapToGrid w:val="0"/>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工程试车内容：</w:t>
      </w:r>
      <w:r>
        <w:rPr>
          <w:rFonts w:hint="eastAsia" w:ascii="宋体" w:hAnsi="宋体" w:eastAsia="宋体" w:cs="宋体"/>
          <w:color w:val="auto"/>
          <w:kern w:val="0"/>
          <w:sz w:val="21"/>
          <w:szCs w:val="21"/>
          <w:highlight w:val="none"/>
          <w:u w:val="single"/>
        </w:rPr>
        <w:t xml:space="preserve">  无   </w:t>
      </w:r>
      <w:r>
        <w:rPr>
          <w:rFonts w:hint="eastAsia" w:ascii="宋体" w:hAnsi="宋体" w:eastAsia="宋体" w:cs="宋体"/>
          <w:color w:val="auto"/>
          <w:kern w:val="0"/>
          <w:sz w:val="21"/>
          <w:szCs w:val="21"/>
          <w:highlight w:val="none"/>
        </w:rPr>
        <w:t>。</w:t>
      </w:r>
    </w:p>
    <w:p w14:paraId="66B04E70">
      <w:pPr>
        <w:snapToGrid w:val="0"/>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13.3.3 投料试车</w:t>
      </w:r>
    </w:p>
    <w:p w14:paraId="0D12ABE6">
      <w:pPr>
        <w:snapToGrid w:val="0"/>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关于投料试车相关事项的约定：</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7C9A1897">
      <w:pPr>
        <w:snapToGrid w:val="0"/>
        <w:spacing w:line="360" w:lineRule="auto"/>
        <w:ind w:firstLine="420" w:firstLineChars="200"/>
        <w:rPr>
          <w:rFonts w:hint="eastAsia" w:ascii="宋体" w:hAnsi="宋体" w:eastAsia="宋体" w:cs="宋体"/>
          <w:snapToGrid w:val="0"/>
          <w:color w:val="auto"/>
          <w:sz w:val="21"/>
          <w:szCs w:val="21"/>
          <w:highlight w:val="none"/>
        </w:rPr>
      </w:pPr>
      <w:bookmarkStart w:id="661" w:name="_Toc361673508"/>
      <w:r>
        <w:rPr>
          <w:rFonts w:hint="eastAsia" w:ascii="宋体" w:hAnsi="宋体" w:eastAsia="宋体" w:cs="宋体"/>
          <w:snapToGrid w:val="0"/>
          <w:color w:val="auto"/>
          <w:sz w:val="21"/>
          <w:szCs w:val="21"/>
          <w:highlight w:val="none"/>
        </w:rPr>
        <w:t>13.4  施工期运行</w:t>
      </w:r>
      <w:bookmarkEnd w:id="661"/>
    </w:p>
    <w:p w14:paraId="12DAE02F">
      <w:pPr>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需要施工期运行单位工程或工程设备：</w:t>
      </w:r>
      <w:r>
        <w:rPr>
          <w:rFonts w:hint="eastAsia" w:ascii="宋体" w:hAnsi="宋体" w:eastAsia="宋体" w:cs="宋体"/>
          <w:color w:val="auto"/>
          <w:sz w:val="21"/>
          <w:szCs w:val="21"/>
          <w:highlight w:val="none"/>
          <w:u w:val="single"/>
        </w:rPr>
        <w:t xml:space="preserve"> 如有，另行协商 </w:t>
      </w:r>
      <w:r>
        <w:rPr>
          <w:rFonts w:hint="eastAsia" w:ascii="宋体" w:hAnsi="宋体" w:eastAsia="宋体" w:cs="宋体"/>
          <w:color w:val="auto"/>
          <w:sz w:val="21"/>
          <w:szCs w:val="21"/>
          <w:highlight w:val="none"/>
        </w:rPr>
        <w:t xml:space="preserve">          </w:t>
      </w:r>
    </w:p>
    <w:p w14:paraId="2A525FBE">
      <w:pPr>
        <w:snapToGrid w:val="0"/>
        <w:spacing w:line="360" w:lineRule="auto"/>
        <w:ind w:firstLine="420" w:firstLineChars="200"/>
        <w:rPr>
          <w:rFonts w:hint="eastAsia" w:ascii="宋体" w:hAnsi="宋体" w:eastAsia="宋体" w:cs="宋体"/>
          <w:snapToGrid w:val="0"/>
          <w:color w:val="auto"/>
          <w:sz w:val="21"/>
          <w:szCs w:val="21"/>
          <w:highlight w:val="none"/>
        </w:rPr>
      </w:pPr>
      <w:bookmarkStart w:id="662" w:name="_Toc361673509"/>
      <w:r>
        <w:rPr>
          <w:rFonts w:hint="eastAsia" w:ascii="宋体" w:hAnsi="宋体" w:eastAsia="宋体" w:cs="宋体"/>
          <w:snapToGrid w:val="0"/>
          <w:color w:val="auto"/>
          <w:sz w:val="21"/>
          <w:szCs w:val="21"/>
          <w:highlight w:val="none"/>
        </w:rPr>
        <w:t>13.5  试运行</w:t>
      </w:r>
      <w:bookmarkEnd w:id="662"/>
    </w:p>
    <w:p w14:paraId="0C29A4AC">
      <w:pPr>
        <w:snapToGrid w:val="0"/>
        <w:spacing w:line="360" w:lineRule="auto"/>
        <w:ind w:firstLine="420" w:firstLineChars="200"/>
        <w:rPr>
          <w:rFonts w:hint="eastAsia" w:ascii="宋体" w:hAnsi="宋体" w:eastAsia="宋体" w:cs="宋体"/>
          <w:color w:val="auto"/>
          <w:kern w:val="0"/>
          <w:sz w:val="21"/>
          <w:szCs w:val="21"/>
          <w:highlight w:val="none"/>
        </w:rPr>
      </w:pPr>
      <w:bookmarkStart w:id="663" w:name="_Toc361673510"/>
      <w:r>
        <w:rPr>
          <w:rFonts w:hint="eastAsia" w:ascii="宋体" w:hAnsi="宋体" w:eastAsia="宋体" w:cs="宋体"/>
          <w:color w:val="auto"/>
          <w:sz w:val="21"/>
          <w:szCs w:val="21"/>
          <w:highlight w:val="none"/>
        </w:rPr>
        <w:t xml:space="preserve">试运行的组织及费用承担： </w:t>
      </w:r>
      <w:r>
        <w:rPr>
          <w:rFonts w:hint="eastAsia" w:ascii="宋体" w:hAnsi="宋体" w:eastAsia="宋体" w:cs="宋体"/>
          <w:color w:val="auto"/>
          <w:sz w:val="21"/>
          <w:szCs w:val="21"/>
          <w:highlight w:val="none"/>
          <w:u w:val="single"/>
        </w:rPr>
        <w:t>由承包单位负责，并包含在竞标总价中</w:t>
      </w:r>
      <w:bookmarkEnd w:id="663"/>
    </w:p>
    <w:p w14:paraId="770E5091">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13.6 </w:t>
      </w:r>
      <w:r>
        <w:rPr>
          <w:rFonts w:hint="eastAsia" w:ascii="宋体" w:hAnsi="宋体" w:eastAsia="宋体" w:cs="宋体"/>
          <w:color w:val="auto"/>
          <w:kern w:val="0"/>
          <w:sz w:val="21"/>
          <w:szCs w:val="21"/>
          <w:highlight w:val="none"/>
        </w:rPr>
        <w:t>竣工退场</w:t>
      </w:r>
    </w:p>
    <w:p w14:paraId="77F4BE20">
      <w:pPr>
        <w:snapToGrid w:val="0"/>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13.6.1 竣工退场</w:t>
      </w:r>
    </w:p>
    <w:p w14:paraId="45C786EB">
      <w:pPr>
        <w:snapToGri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承包人完成竣工退场的期限：</w:t>
      </w:r>
      <w:r>
        <w:rPr>
          <w:rFonts w:hint="eastAsia" w:ascii="宋体" w:hAnsi="宋体" w:eastAsia="宋体" w:cs="宋体"/>
          <w:color w:val="auto"/>
          <w:sz w:val="21"/>
          <w:szCs w:val="21"/>
          <w:highlight w:val="none"/>
          <w:u w:val="single"/>
        </w:rPr>
        <w:t>在签发交工证书时，承包人应从施工现场清除并运出承包人装备、剩余材料、垃圾和各种临时设施，并保持整个现场及工程整洁，达到监理工程师认为合理的使用状态，费用由承包人承担</w:t>
      </w:r>
      <w:r>
        <w:rPr>
          <w:rFonts w:hint="eastAsia" w:ascii="宋体" w:hAnsi="宋体" w:eastAsia="宋体" w:cs="宋体"/>
          <w:color w:val="auto"/>
          <w:kern w:val="0"/>
          <w:sz w:val="21"/>
          <w:szCs w:val="21"/>
          <w:highlight w:val="none"/>
        </w:rPr>
        <w:t>。</w:t>
      </w:r>
    </w:p>
    <w:p w14:paraId="4227B70F">
      <w:pPr>
        <w:snapToGrid w:val="0"/>
        <w:spacing w:line="360" w:lineRule="auto"/>
        <w:rPr>
          <w:rFonts w:hint="eastAsia" w:ascii="宋体" w:hAnsi="宋体" w:eastAsia="宋体" w:cs="宋体"/>
          <w:b/>
          <w:color w:val="auto"/>
          <w:kern w:val="0"/>
          <w:sz w:val="21"/>
          <w:szCs w:val="21"/>
          <w:highlight w:val="none"/>
        </w:rPr>
      </w:pPr>
      <w:bookmarkStart w:id="664" w:name="_Toc485992747"/>
      <w:bookmarkStart w:id="665" w:name="_Toc433623116"/>
      <w:bookmarkStart w:id="666" w:name="_Toc518391422"/>
      <w:bookmarkStart w:id="667" w:name="_Toc351203646"/>
      <w:bookmarkStart w:id="668" w:name="_Toc516756971"/>
      <w:r>
        <w:rPr>
          <w:rFonts w:hint="eastAsia" w:ascii="宋体" w:hAnsi="宋体" w:eastAsia="宋体" w:cs="宋体"/>
          <w:b/>
          <w:color w:val="auto"/>
          <w:kern w:val="0"/>
          <w:sz w:val="21"/>
          <w:szCs w:val="21"/>
          <w:highlight w:val="none"/>
        </w:rPr>
        <w:t>14. 竣工结算</w:t>
      </w:r>
      <w:bookmarkEnd w:id="664"/>
      <w:bookmarkEnd w:id="665"/>
      <w:bookmarkEnd w:id="666"/>
      <w:bookmarkEnd w:id="667"/>
      <w:bookmarkEnd w:id="668"/>
    </w:p>
    <w:p w14:paraId="7F674A8B">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14.1 竣工付款申请</w:t>
      </w:r>
    </w:p>
    <w:p w14:paraId="0298B3BC">
      <w:pPr>
        <w:snapToGrid w:val="0"/>
        <w:spacing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承包人提交竣工结算申请单的期限：</w:t>
      </w:r>
      <w:r>
        <w:rPr>
          <w:rFonts w:hint="eastAsia" w:ascii="宋体" w:hAnsi="宋体" w:eastAsia="宋体" w:cs="宋体"/>
          <w:color w:val="auto"/>
          <w:sz w:val="21"/>
          <w:szCs w:val="21"/>
          <w:highlight w:val="none"/>
          <w:u w:val="single"/>
        </w:rPr>
        <w:t>竣工报告批准后，承包人应在15个工作日内以书面方式向发包人提出结算程序。</w:t>
      </w:r>
    </w:p>
    <w:p w14:paraId="75D3A47D">
      <w:pPr>
        <w:snapToGrid w:val="0"/>
        <w:spacing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竣工结算申请单应包括的内容：</w:t>
      </w:r>
      <w:r>
        <w:rPr>
          <w:rFonts w:hint="eastAsia" w:ascii="宋体" w:hAnsi="宋体" w:eastAsia="宋体" w:cs="宋体"/>
          <w:color w:val="auto"/>
          <w:sz w:val="21"/>
          <w:szCs w:val="21"/>
          <w:highlight w:val="none"/>
          <w:u w:val="single"/>
        </w:rPr>
        <w:t>竣工结算总价、已支付的工程价款、应扣回的款项、应扣留的质量保证金、应支付的竣工付款金额等。</w:t>
      </w:r>
    </w:p>
    <w:p w14:paraId="338AD469">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xml:space="preserve"> </w:t>
      </w:r>
      <w:r>
        <w:rPr>
          <w:rFonts w:hint="eastAsia" w:ascii="宋体" w:hAnsi="宋体" w:eastAsia="宋体" w:cs="宋体"/>
          <w:color w:val="auto"/>
          <w:sz w:val="21"/>
          <w:szCs w:val="21"/>
          <w:highlight w:val="none"/>
        </w:rPr>
        <w:t>14.2 竣工结算审核</w:t>
      </w:r>
    </w:p>
    <w:p w14:paraId="726BE384">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发包人审批竣工付款申请单的期限：</w:t>
      </w:r>
      <w:r>
        <w:rPr>
          <w:rFonts w:hint="eastAsia" w:ascii="宋体" w:hAnsi="宋体" w:eastAsia="宋体" w:cs="宋体"/>
          <w:color w:val="auto"/>
          <w:sz w:val="21"/>
          <w:szCs w:val="21"/>
          <w:highlight w:val="none"/>
          <w:u w:val="single"/>
        </w:rPr>
        <w:t>结算审计审定后30日内。</w:t>
      </w:r>
    </w:p>
    <w:p w14:paraId="7E731DA1">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发包人完成竣工付款的期限：</w:t>
      </w:r>
      <w:r>
        <w:rPr>
          <w:rFonts w:hint="eastAsia" w:ascii="宋体" w:hAnsi="宋体" w:eastAsia="宋体" w:cs="宋体"/>
          <w:color w:val="auto"/>
          <w:sz w:val="21"/>
          <w:szCs w:val="21"/>
          <w:highlight w:val="none"/>
          <w:u w:val="single"/>
        </w:rPr>
        <w:t>结算审计审定后三个月内。</w:t>
      </w:r>
    </w:p>
    <w:p w14:paraId="51383E8D">
      <w:pPr>
        <w:snapToGrid w:val="0"/>
        <w:spacing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关于竣工付款证书异议部分复核的方式和程序：</w:t>
      </w:r>
      <w:r>
        <w:rPr>
          <w:rFonts w:hint="eastAsia" w:ascii="宋体" w:hAnsi="宋体" w:eastAsia="宋体" w:cs="宋体"/>
          <w:color w:val="auto"/>
          <w:sz w:val="21"/>
          <w:szCs w:val="21"/>
          <w:highlight w:val="none"/>
          <w:u w:val="single"/>
        </w:rPr>
        <w:t>以审计结论为准。</w:t>
      </w:r>
    </w:p>
    <w:p w14:paraId="6D758367">
      <w:pPr>
        <w:snapToGrid w:val="0"/>
        <w:spacing w:line="360" w:lineRule="auto"/>
        <w:ind w:firstLine="420" w:firstLineChars="200"/>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14.3工程结算：</w:t>
      </w:r>
    </w:p>
    <w:p w14:paraId="69B49A83">
      <w:pPr>
        <w:snapToGrid w:val="0"/>
        <w:spacing w:line="360" w:lineRule="auto"/>
        <w:ind w:firstLine="420" w:firstLineChars="200"/>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结算总造价计算方式：结算总造价＝∑中标单价×实际工程量±设计变更+招标清单漏项+材料价差调整（如有）+施工方案（如有）+合同约定的其它费用。</w:t>
      </w:r>
    </w:p>
    <w:p w14:paraId="3F9E64CE">
      <w:pPr>
        <w:snapToGrid w:val="0"/>
        <w:spacing w:line="360" w:lineRule="auto"/>
        <w:ind w:firstLine="420" w:firstLineChars="200"/>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子项工程量：计量规范：1、《建设工程工程量清单计价规范》（GB50500-2013）、《房屋建筑与装饰工程工程量计算规范》（GB50854-2013）、《通用安装工程工程量计算规范（GB50856-2013）、《重庆市建设工程工程量清单计价规则》（CQJJGZ-2013）、《重庆市建设工程工程量清单计算规则》（CQJLGZ-2013)。2、《重庆市房屋建筑与装饰工程计价定额》（CQJZZSDE-2018）、《重庆市通用安装工程计价定额》（CQAZDE-2018)、《重庆市房屋修工程计价定额》（CQXSDE-2018）、《重庆市绿色建筑工程计价定额》（CQLSJZDE-2018）、《重庆市建设工程费用定额》（CQFYDE-2018）及现行相关配套文件；</w:t>
      </w:r>
    </w:p>
    <w:p w14:paraId="7CB58878">
      <w:pPr>
        <w:snapToGrid w:val="0"/>
        <w:spacing w:line="360" w:lineRule="auto"/>
        <w:ind w:firstLine="420" w:firstLineChars="200"/>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2、子项综合单价以结算单价为结算依据。</w:t>
      </w:r>
    </w:p>
    <w:p w14:paraId="35387128">
      <w:pPr>
        <w:snapToGrid w:val="0"/>
        <w:spacing w:line="360" w:lineRule="auto"/>
        <w:ind w:firstLine="420" w:firstLineChars="200"/>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实际已完成工程量以建设单位、施工单位、监理单位、跟审单位（如有）等签署的签证计量单以及竣工图算量进行确认。</w:t>
      </w:r>
    </w:p>
    <w:p w14:paraId="193CAA78">
      <w:pPr>
        <w:snapToGrid w:val="0"/>
        <w:spacing w:line="360" w:lineRule="auto"/>
        <w:ind w:firstLine="420" w:firstLineChars="200"/>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3、设计变更、漏项及新增项目综合单价计算办法：</w:t>
      </w:r>
    </w:p>
    <w:p w14:paraId="4AB04BD0">
      <w:pPr>
        <w:snapToGrid w:val="0"/>
        <w:spacing w:line="360" w:lineRule="auto"/>
        <w:ind w:firstLine="420" w:firstLineChars="200"/>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工程设计变更必须经采购人按相关审批程序审批同意，确定后的工程设计变更，由成交供应商在工程设计变更确定后7天内向采购人提出设计变更、漏项及新增项目综合单价计算，上述情况均以采购人提供的设计图、工程量为基准进行比较。调整方法如下：</w:t>
      </w:r>
    </w:p>
    <w:p w14:paraId="64D17BDB">
      <w:pPr>
        <w:snapToGrid w:val="0"/>
        <w:spacing w:line="360" w:lineRule="auto"/>
        <w:ind w:firstLine="420" w:firstLineChars="200"/>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（1）变更工程与合同的工程量清单中有相同的子项或类似子项，则按合同的工程量清单中的相同子项或类似子项的综合结算单价执行；</w:t>
      </w:r>
    </w:p>
    <w:p w14:paraId="016E6CEE">
      <w:pPr>
        <w:snapToGrid w:val="0"/>
        <w:spacing w:line="360" w:lineRule="auto"/>
        <w:ind w:firstLine="420" w:firstLineChars="200"/>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变更工程与合同的工程量清单中无相同的子项或类似子项，按照计量规范：1、《建设工程工程量清单计价规范》（GB50500-2013）、《房屋建筑与装饰工程工程量计算规范》（GB50854-2013）、《通用安装工程工程量计算规范（GB50856-2013）、《重庆市建设工程工程量清单计价规则》（CQJJGZ-2013）、《重庆市建设工程工程量清单计算规则》（CQJLGZ-2013)。2、《重庆市房屋建筑与装饰工程计价定额》（CQJZZSDE-2018）、《重庆市通用安装工程计价定额》（CQAZDE-2018)、《重庆市房屋修工程计价定额》（CQXSDE-2018）、《重庆市绿色建筑工程计价定额》（CQLSJZDE-2018）、《重庆市建设工程费用定额》（CQFYDE-2018）及现行相关配套文件组价，组价原则为采用竞标清单报价中的人工、材料、机械、设备单价和有关竞标取费费率的基础上编制计算后按成交总价（扣除暂估价、暂列金额、安全文明施工费）与本工程最高限价（扣除暂估价、暂列金额、安全文明施工费）之间的下浮比例下浮，经监理、过控单位（如有）审核后报采购人按相关审批程序确定价格。当有材料缺项时，由采购人会同相关单位按市场行情认质核价。转运费、包干费、临时设施费等相关措施性费用不再计取；</w:t>
      </w:r>
    </w:p>
    <w:p w14:paraId="0E22D5E5">
      <w:pPr>
        <w:snapToGrid w:val="0"/>
        <w:spacing w:line="360" w:lineRule="auto"/>
        <w:ind w:firstLine="420" w:firstLineChars="200"/>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人工及材料价格：人工费参照2026年第一季度重庆市建设工程人工信息价渝东南片区计算。材料价格参照重庆市造价总站发布的2026年第四期《重庆工程造价信息》秀山片区信息价（不含税）以及结合现行市场价（不含税）计算。</w:t>
      </w:r>
    </w:p>
    <w:p w14:paraId="7DCA2C89">
      <w:pPr>
        <w:snapToGrid w:val="0"/>
        <w:spacing w:line="360" w:lineRule="auto"/>
        <w:ind w:firstLine="420" w:firstLineChars="200"/>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4.竣工结算价</w:t>
      </w:r>
    </w:p>
    <w:p w14:paraId="43A72A53">
      <w:pPr>
        <w:snapToGrid w:val="0"/>
        <w:spacing w:line="360" w:lineRule="auto"/>
        <w:ind w:firstLine="420" w:firstLineChars="200"/>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以采购人委托的第三方审计机构出具的审计报告作为竣工结算的依据。乙方在工程竣工验收合格起30天内向监理人、甲方提交竣工结算申请单，并报送完整的工程竣工资料。</w:t>
      </w:r>
    </w:p>
    <w:p w14:paraId="26417A0A">
      <w:pPr>
        <w:snapToGrid w:val="0"/>
        <w:spacing w:line="360" w:lineRule="auto"/>
        <w:ind w:firstLine="420" w:firstLineChars="200"/>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5.安全文明施工费：按《重庆市建设工程费用定额》（CQFYDE-2018）规定计取。税金按照渝建发〔2019〕143号《关于适用增值税新税率调整建设工程计价依据的通知》文件规定，本工程按一般计税法计价，税率按9%计取。</w:t>
      </w:r>
    </w:p>
    <w:p w14:paraId="5CD1E069">
      <w:pPr>
        <w:tabs>
          <w:tab w:val="left" w:pos="2580"/>
        </w:tabs>
        <w:snapToGrid w:val="0"/>
        <w:spacing w:line="360" w:lineRule="auto"/>
        <w:ind w:right="54"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14.4最终结清</w:t>
      </w:r>
    </w:p>
    <w:p w14:paraId="715AFE7E">
      <w:pPr>
        <w:snapToGri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14.4.1 最终结清申请单</w:t>
      </w:r>
    </w:p>
    <w:p w14:paraId="335EA8A3">
      <w:pPr>
        <w:snapToGri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承包人提交最终结清申请单的份数：</w:t>
      </w:r>
      <w:r>
        <w:rPr>
          <w:rFonts w:hint="eastAsia" w:ascii="宋体" w:hAnsi="宋体" w:eastAsia="宋体" w:cs="宋体"/>
          <w:color w:val="auto"/>
          <w:sz w:val="21"/>
          <w:szCs w:val="21"/>
          <w:highlight w:val="none"/>
          <w:u w:val="single"/>
        </w:rPr>
        <w:t xml:space="preserve">  提交5份最终结清申请书 </w:t>
      </w:r>
      <w:r>
        <w:rPr>
          <w:rFonts w:hint="eastAsia" w:ascii="宋体" w:hAnsi="宋体" w:eastAsia="宋体" w:cs="宋体"/>
          <w:color w:val="auto"/>
          <w:sz w:val="21"/>
          <w:szCs w:val="21"/>
          <w:highlight w:val="none"/>
        </w:rPr>
        <w:t>。</w:t>
      </w:r>
    </w:p>
    <w:p w14:paraId="12F492E0">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承包人提交最终结算申请单的期限：</w:t>
      </w:r>
      <w:r>
        <w:rPr>
          <w:rFonts w:hint="eastAsia" w:ascii="宋体" w:hAnsi="宋体" w:eastAsia="宋体" w:cs="宋体"/>
          <w:color w:val="auto"/>
          <w:sz w:val="21"/>
          <w:szCs w:val="21"/>
          <w:highlight w:val="none"/>
          <w:u w:val="single"/>
        </w:rPr>
        <w:t xml:space="preserve">  在缺陷责任期终止证书颁发后28天内</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w:t>
      </w:r>
    </w:p>
    <w:p w14:paraId="37A2A624">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14.4.2 最终结清证书和支付</w:t>
      </w:r>
    </w:p>
    <w:p w14:paraId="79078A3E">
      <w:pPr>
        <w:snapToGrid w:val="0"/>
        <w:spacing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（1）发包人完成最终结清申请单的审批并颁发最终结清证书的期限：</w:t>
      </w:r>
      <w:r>
        <w:rPr>
          <w:rFonts w:hint="eastAsia" w:ascii="宋体" w:hAnsi="宋体" w:eastAsia="宋体" w:cs="宋体"/>
          <w:color w:val="auto"/>
          <w:sz w:val="21"/>
          <w:szCs w:val="21"/>
          <w:highlight w:val="none"/>
          <w:u w:val="single"/>
        </w:rPr>
        <w:t>收到承包人提交的最终结清申请单后14天内 。</w:t>
      </w:r>
    </w:p>
    <w:p w14:paraId="4957FC7D">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（2）发包人完成支付的期限：</w:t>
      </w:r>
      <w:r>
        <w:rPr>
          <w:rFonts w:hint="eastAsia" w:ascii="宋体" w:hAnsi="宋体" w:eastAsia="宋体" w:cs="宋体"/>
          <w:color w:val="auto"/>
          <w:sz w:val="21"/>
          <w:szCs w:val="21"/>
          <w:highlight w:val="none"/>
          <w:u w:val="single"/>
        </w:rPr>
        <w:t>在最终结清证书颁发后28天内。</w:t>
      </w:r>
    </w:p>
    <w:bookmarkEnd w:id="648"/>
    <w:bookmarkEnd w:id="649"/>
    <w:bookmarkEnd w:id="650"/>
    <w:bookmarkEnd w:id="651"/>
    <w:bookmarkEnd w:id="652"/>
    <w:bookmarkEnd w:id="653"/>
    <w:bookmarkEnd w:id="654"/>
    <w:bookmarkEnd w:id="660"/>
    <w:p w14:paraId="7D0693E0">
      <w:pPr>
        <w:snapToGrid w:val="0"/>
        <w:spacing w:line="360" w:lineRule="auto"/>
        <w:rPr>
          <w:rFonts w:hint="eastAsia" w:ascii="宋体" w:hAnsi="宋体" w:eastAsia="宋体" w:cs="宋体"/>
          <w:b/>
          <w:color w:val="auto"/>
          <w:kern w:val="0"/>
          <w:sz w:val="21"/>
          <w:szCs w:val="21"/>
          <w:highlight w:val="none"/>
        </w:rPr>
      </w:pPr>
      <w:bookmarkStart w:id="669" w:name="_Toc516756972"/>
      <w:bookmarkStart w:id="670" w:name="_Toc518391423"/>
      <w:bookmarkStart w:id="671" w:name="_Toc351203647"/>
      <w:bookmarkStart w:id="672" w:name="_Toc485992748"/>
      <w:bookmarkStart w:id="673" w:name="_Toc433623117"/>
      <w:bookmarkStart w:id="674" w:name="_Toc267251483"/>
      <w:bookmarkStart w:id="675" w:name="_Toc267251484"/>
      <w:bookmarkStart w:id="676" w:name="_Toc267251482"/>
      <w:bookmarkStart w:id="677" w:name="_Toc267251485"/>
      <w:bookmarkStart w:id="678" w:name="_Toc267251486"/>
      <w:bookmarkStart w:id="679" w:name="_Toc267251489"/>
      <w:bookmarkStart w:id="680" w:name="_Toc267251490"/>
      <w:bookmarkStart w:id="681" w:name="_Toc267251488"/>
      <w:bookmarkStart w:id="682" w:name="_Toc267251495"/>
      <w:bookmarkStart w:id="683" w:name="_Toc267251496"/>
      <w:bookmarkStart w:id="684" w:name="_Toc267251499"/>
      <w:bookmarkStart w:id="685" w:name="_Toc267251491"/>
      <w:bookmarkStart w:id="686" w:name="_Toc267251493"/>
      <w:bookmarkStart w:id="687" w:name="_Toc267251501"/>
      <w:bookmarkStart w:id="688" w:name="_Toc267251494"/>
      <w:bookmarkStart w:id="689" w:name="_Toc267251502"/>
      <w:bookmarkStart w:id="690" w:name="_Toc267251497"/>
      <w:bookmarkStart w:id="691" w:name="_Toc267251498"/>
      <w:bookmarkStart w:id="692" w:name="_Toc267251503"/>
      <w:bookmarkStart w:id="693" w:name="_Toc267251492"/>
      <w:bookmarkStart w:id="694" w:name="_Toc267251506"/>
      <w:bookmarkStart w:id="695" w:name="_Toc267251504"/>
      <w:bookmarkStart w:id="696" w:name="_Toc267251507"/>
      <w:bookmarkStart w:id="697" w:name="_Toc267251508"/>
      <w:bookmarkStart w:id="698" w:name="_Toc267251513"/>
      <w:bookmarkStart w:id="699" w:name="_Toc267251514"/>
      <w:bookmarkStart w:id="700" w:name="_Toc267251515"/>
      <w:bookmarkStart w:id="701" w:name="_Toc267251511"/>
      <w:bookmarkStart w:id="702" w:name="_Toc267251510"/>
      <w:bookmarkStart w:id="703" w:name="_Toc267251509"/>
      <w:r>
        <w:rPr>
          <w:rFonts w:hint="eastAsia" w:ascii="宋体" w:hAnsi="宋体" w:eastAsia="宋体" w:cs="宋体"/>
          <w:b/>
          <w:color w:val="auto"/>
          <w:kern w:val="0"/>
          <w:sz w:val="21"/>
          <w:szCs w:val="21"/>
          <w:highlight w:val="none"/>
        </w:rPr>
        <w:t>15. 缺陷责任期与保修</w:t>
      </w:r>
      <w:bookmarkEnd w:id="669"/>
      <w:bookmarkEnd w:id="670"/>
      <w:bookmarkEnd w:id="671"/>
      <w:bookmarkEnd w:id="672"/>
      <w:bookmarkEnd w:id="673"/>
    </w:p>
    <w:p w14:paraId="15A14209">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15.2缺陷责任期</w:t>
      </w:r>
      <w:bookmarkEnd w:id="674"/>
    </w:p>
    <w:p w14:paraId="346E2CB3">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缺陷责任期的具体期限：</w:t>
      </w:r>
      <w:r>
        <w:rPr>
          <w:rFonts w:hint="eastAsia" w:ascii="宋体" w:hAnsi="宋体" w:eastAsia="宋体" w:cs="宋体"/>
          <w:color w:val="auto"/>
          <w:sz w:val="21"/>
          <w:szCs w:val="21"/>
          <w:highlight w:val="none"/>
          <w:u w:val="single"/>
        </w:rPr>
        <w:t xml:space="preserve">  按照《工程质量保修书》中要求执行 </w:t>
      </w:r>
      <w:r>
        <w:rPr>
          <w:rFonts w:hint="eastAsia" w:ascii="宋体" w:hAnsi="宋体" w:eastAsia="宋体" w:cs="宋体"/>
          <w:color w:val="auto"/>
          <w:sz w:val="21"/>
          <w:szCs w:val="21"/>
          <w:highlight w:val="none"/>
        </w:rPr>
        <w:t>。</w:t>
      </w:r>
    </w:p>
    <w:p w14:paraId="533F9358">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15.3 </w:t>
      </w:r>
      <w:r>
        <w:rPr>
          <w:rFonts w:hint="eastAsia" w:ascii="宋体" w:hAnsi="宋体" w:eastAsia="宋体" w:cs="宋体"/>
          <w:color w:val="auto"/>
          <w:kern w:val="0"/>
          <w:sz w:val="21"/>
          <w:szCs w:val="21"/>
          <w:highlight w:val="none"/>
        </w:rPr>
        <w:t>质量保证金</w:t>
      </w:r>
    </w:p>
    <w:p w14:paraId="588D71D4">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关于是否扣留质量保证金的约定：</w:t>
      </w:r>
      <w:r>
        <w:rPr>
          <w:rFonts w:hint="eastAsia" w:ascii="宋体" w:hAnsi="宋体" w:eastAsia="宋体" w:cs="宋体"/>
          <w:color w:val="auto"/>
          <w:sz w:val="21"/>
          <w:szCs w:val="21"/>
          <w:highlight w:val="none"/>
          <w:u w:val="single"/>
        </w:rPr>
        <w:t xml:space="preserve">      是       </w:t>
      </w:r>
      <w:r>
        <w:rPr>
          <w:rFonts w:hint="eastAsia" w:ascii="宋体" w:hAnsi="宋体" w:eastAsia="宋体" w:cs="宋体"/>
          <w:color w:val="auto"/>
          <w:sz w:val="21"/>
          <w:szCs w:val="21"/>
          <w:highlight w:val="none"/>
        </w:rPr>
        <w:t>。</w:t>
      </w:r>
    </w:p>
    <w:p w14:paraId="3E3CFB95">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15.3.1 承包人提供质量保证金的方式</w:t>
      </w:r>
    </w:p>
    <w:p w14:paraId="4AA89B2D">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质量保证金采用以下第</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2</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种方式：</w:t>
      </w:r>
    </w:p>
    <w:p w14:paraId="4635F382">
      <w:pPr>
        <w:autoSpaceDE w:val="0"/>
        <w:autoSpaceDN w:val="0"/>
        <w:adjustRightInd w:val="0"/>
        <w:snapToGri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（1）质量保证金保函，保证金额为：</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 xml:space="preserve">； </w:t>
      </w:r>
    </w:p>
    <w:p w14:paraId="021A8F25">
      <w:pPr>
        <w:autoSpaceDE w:val="0"/>
        <w:autoSpaceDN w:val="0"/>
        <w:adjustRightInd w:val="0"/>
        <w:snapToGri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3</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%的工程款；</w:t>
      </w:r>
    </w:p>
    <w:p w14:paraId="0EE8EE0D">
      <w:pPr>
        <w:autoSpaceDE w:val="0"/>
        <w:autoSpaceDN w:val="0"/>
        <w:adjustRightInd w:val="0"/>
        <w:snapToGri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（3）其他方式:</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cs="宋体"/>
          <w:color w:val="auto"/>
          <w:kern w:val="0"/>
          <w:sz w:val="21"/>
          <w:szCs w:val="21"/>
          <w:highlight w:val="none"/>
          <w:u w:val="single"/>
          <w:lang w:val="en-US" w:eastAsia="zh-CN"/>
        </w:rPr>
        <w:t>/</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rPr>
        <w:t>。</w:t>
      </w:r>
    </w:p>
    <w:p w14:paraId="4BB67349">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15.3.2 质量保证金的扣留 </w:t>
      </w:r>
    </w:p>
    <w:p w14:paraId="36DAEC02">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质量保证金的扣留采取以下第</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2</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种方式：</w:t>
      </w:r>
    </w:p>
    <w:bookmarkEnd w:id="675"/>
    <w:bookmarkEnd w:id="676"/>
    <w:p w14:paraId="6289D198">
      <w:pPr>
        <w:snapToGrid w:val="0"/>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（1）在支付工程进度款时逐次扣留，在此情形下，质量保证金的计算基数不包括预付款的支付、扣回以及价格调整的金额；</w:t>
      </w:r>
    </w:p>
    <w:p w14:paraId="0CB25970">
      <w:pPr>
        <w:snapToGrid w:val="0"/>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（2）工程竣工结算时一次性扣留质量保证金；</w:t>
      </w:r>
    </w:p>
    <w:p w14:paraId="5C1EEB36">
      <w:pPr>
        <w:snapToGrid w:val="0"/>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（3）其他扣留方式:</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cs="宋体"/>
          <w:color w:val="auto"/>
          <w:kern w:val="0"/>
          <w:sz w:val="21"/>
          <w:szCs w:val="21"/>
          <w:highlight w:val="none"/>
          <w:u w:val="single"/>
          <w:lang w:val="en-US" w:eastAsia="zh-CN"/>
        </w:rPr>
        <w:t>/</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rPr>
        <w:t>。</w:t>
      </w:r>
    </w:p>
    <w:p w14:paraId="5557B052">
      <w:pPr>
        <w:snapToGrid w:val="0"/>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关于质量保证金的补充约定：</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eastAsia="zh-CN"/>
        </w:rPr>
        <w:t>质保期满后，完成缺陷修复后</w:t>
      </w:r>
      <w:r>
        <w:rPr>
          <w:rFonts w:hint="eastAsia" w:ascii="宋体" w:hAnsi="宋体" w:eastAsia="宋体" w:cs="宋体"/>
          <w:color w:val="auto"/>
          <w:kern w:val="0"/>
          <w:sz w:val="21"/>
          <w:szCs w:val="21"/>
          <w:highlight w:val="none"/>
          <w:u w:val="single"/>
          <w:lang w:val="en-US" w:eastAsia="zh-CN"/>
        </w:rPr>
        <w:t>30</w:t>
      </w:r>
      <w:r>
        <w:rPr>
          <w:rFonts w:hint="eastAsia" w:ascii="宋体" w:hAnsi="宋体" w:eastAsia="宋体" w:cs="宋体"/>
          <w:color w:val="auto"/>
          <w:kern w:val="0"/>
          <w:sz w:val="21"/>
          <w:szCs w:val="21"/>
          <w:highlight w:val="none"/>
          <w:u w:val="single"/>
          <w:lang w:eastAsia="zh-CN"/>
        </w:rPr>
        <w:t>个工作日内一次性退还（不计利息）</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2A79C48F">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15.4保修</w:t>
      </w:r>
    </w:p>
    <w:bookmarkEnd w:id="677"/>
    <w:p w14:paraId="6A65655F">
      <w:pPr>
        <w:snapToGrid w:val="0"/>
        <w:spacing w:line="360" w:lineRule="auto"/>
        <w:ind w:firstLine="409" w:firstLineChars="19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15.4.1 保修责任</w:t>
      </w:r>
    </w:p>
    <w:p w14:paraId="72658112">
      <w:pPr>
        <w:snapToGrid w:val="0"/>
        <w:spacing w:line="360" w:lineRule="auto"/>
        <w:ind w:firstLine="409" w:firstLineChars="195"/>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工程保修期为：</w:t>
      </w:r>
      <w:r>
        <w:rPr>
          <w:rFonts w:hint="eastAsia" w:ascii="宋体" w:hAnsi="宋体" w:eastAsia="宋体" w:cs="宋体"/>
          <w:color w:val="auto"/>
          <w:sz w:val="21"/>
          <w:szCs w:val="21"/>
          <w:highlight w:val="none"/>
          <w:u w:val="single"/>
        </w:rPr>
        <w:t>保修期自竣工验收合格之日起计算</w:t>
      </w:r>
      <w:r>
        <w:rPr>
          <w:rFonts w:hint="eastAsia" w:ascii="宋体" w:hAnsi="宋体" w:eastAsia="宋体" w:cs="宋体"/>
          <w:color w:val="auto"/>
          <w:sz w:val="21"/>
          <w:szCs w:val="21"/>
          <w:highlight w:val="none"/>
          <w:u w:val="single"/>
          <w:lang w:val="en-US" w:eastAsia="zh-CN"/>
        </w:rPr>
        <w:t>2</w:t>
      </w:r>
      <w:r>
        <w:rPr>
          <w:rFonts w:hint="eastAsia" w:ascii="宋体" w:hAnsi="宋体" w:eastAsia="宋体" w:cs="宋体"/>
          <w:color w:val="auto"/>
          <w:sz w:val="21"/>
          <w:szCs w:val="21"/>
          <w:highlight w:val="none"/>
          <w:u w:val="single"/>
        </w:rPr>
        <w:t xml:space="preserve">年。本工程的质量保修范围和责任及保修期限按《建设工程质量管理条列》的规定执行。在保修期内承包人应对由于施工质量原因造成的损害进行自费修复。若承包人不履行义务和责任，发包人自行修复的，发包人有权直接从质保金中抵扣，同时承包人应当在发包人抵扣后十日内补足质保金，否则承包人应承担由于违约造成的法律后果。 </w:t>
      </w:r>
    </w:p>
    <w:p w14:paraId="4C95D835">
      <w:pPr>
        <w:snapToGrid w:val="0"/>
        <w:spacing w:line="360" w:lineRule="auto"/>
        <w:ind w:firstLine="409" w:firstLineChars="19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15.4.3 修复通知</w:t>
      </w:r>
    </w:p>
    <w:p w14:paraId="10BF3C4C">
      <w:pPr>
        <w:snapToGrid w:val="0"/>
        <w:spacing w:line="360" w:lineRule="auto"/>
        <w:ind w:firstLine="409" w:firstLineChars="195"/>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承包人收到保修通知并到达工程现场的合理时间：</w:t>
      </w:r>
      <w:r>
        <w:rPr>
          <w:rFonts w:hint="eastAsia" w:ascii="宋体" w:hAnsi="宋体" w:eastAsia="宋体" w:cs="宋体"/>
          <w:color w:val="auto"/>
          <w:kern w:val="0"/>
          <w:sz w:val="21"/>
          <w:szCs w:val="21"/>
          <w:highlight w:val="none"/>
          <w:u w:val="single"/>
        </w:rPr>
        <w:t xml:space="preserve">   48小时   </w:t>
      </w:r>
      <w:r>
        <w:rPr>
          <w:rFonts w:hint="eastAsia" w:ascii="宋体" w:hAnsi="宋体" w:eastAsia="宋体" w:cs="宋体"/>
          <w:color w:val="auto"/>
          <w:kern w:val="0"/>
          <w:sz w:val="21"/>
          <w:szCs w:val="21"/>
          <w:highlight w:val="none"/>
        </w:rPr>
        <w:t>。</w:t>
      </w:r>
    </w:p>
    <w:p w14:paraId="3A9407E8">
      <w:pPr>
        <w:snapToGrid w:val="0"/>
        <w:spacing w:line="360" w:lineRule="auto"/>
        <w:rPr>
          <w:rFonts w:hint="eastAsia" w:ascii="宋体" w:hAnsi="宋体" w:eastAsia="宋体" w:cs="宋体"/>
          <w:b/>
          <w:color w:val="auto"/>
          <w:kern w:val="0"/>
          <w:sz w:val="21"/>
          <w:szCs w:val="21"/>
          <w:highlight w:val="none"/>
        </w:rPr>
      </w:pPr>
      <w:bookmarkStart w:id="704" w:name="_Toc485992749"/>
      <w:bookmarkStart w:id="705" w:name="_Toc516756973"/>
      <w:bookmarkStart w:id="706" w:name="_Toc518391424"/>
      <w:bookmarkStart w:id="707" w:name="_Toc433623118"/>
      <w:r>
        <w:rPr>
          <w:rFonts w:hint="eastAsia" w:ascii="宋体" w:hAnsi="宋体" w:eastAsia="宋体" w:cs="宋体"/>
          <w:b/>
          <w:color w:val="auto"/>
          <w:kern w:val="0"/>
          <w:sz w:val="21"/>
          <w:szCs w:val="21"/>
          <w:highlight w:val="none"/>
        </w:rPr>
        <w:t>16. 违约</w:t>
      </w:r>
      <w:bookmarkEnd w:id="704"/>
      <w:bookmarkEnd w:id="705"/>
      <w:bookmarkEnd w:id="706"/>
      <w:bookmarkEnd w:id="707"/>
    </w:p>
    <w:p w14:paraId="3C1BE97E">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16.1 </w:t>
      </w:r>
      <w:r>
        <w:rPr>
          <w:rFonts w:hint="eastAsia" w:ascii="宋体" w:hAnsi="宋体" w:eastAsia="宋体" w:cs="宋体"/>
          <w:color w:val="auto"/>
          <w:kern w:val="0"/>
          <w:sz w:val="21"/>
          <w:szCs w:val="21"/>
          <w:highlight w:val="none"/>
        </w:rPr>
        <w:t>发包人违约</w:t>
      </w:r>
    </w:p>
    <w:p w14:paraId="1424D16F">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16.1.1</w:t>
      </w:r>
      <w:r>
        <w:rPr>
          <w:rFonts w:hint="eastAsia" w:ascii="宋体" w:hAnsi="宋体" w:eastAsia="宋体" w:cs="宋体"/>
          <w:color w:val="auto"/>
          <w:kern w:val="0"/>
          <w:sz w:val="21"/>
          <w:szCs w:val="21"/>
          <w:highlight w:val="none"/>
        </w:rPr>
        <w:t>发包人违约的情形</w:t>
      </w:r>
    </w:p>
    <w:p w14:paraId="04888343">
      <w:pPr>
        <w:snapToGrid w:val="0"/>
        <w:spacing w:line="360" w:lineRule="auto"/>
        <w:ind w:firstLine="409" w:firstLineChars="195"/>
        <w:jc w:val="left"/>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发包人违约的其他情形：</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1F23D904">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xml:space="preserve">   </w:t>
      </w:r>
      <w:r>
        <w:rPr>
          <w:rFonts w:hint="eastAsia" w:ascii="宋体" w:hAnsi="宋体" w:eastAsia="宋体" w:cs="宋体"/>
          <w:color w:val="auto"/>
          <w:sz w:val="21"/>
          <w:szCs w:val="21"/>
          <w:highlight w:val="none"/>
        </w:rPr>
        <w:t xml:space="preserve"> 16.1.2 </w:t>
      </w:r>
      <w:r>
        <w:rPr>
          <w:rFonts w:hint="eastAsia" w:ascii="宋体" w:hAnsi="宋体" w:eastAsia="宋体" w:cs="宋体"/>
          <w:color w:val="auto"/>
          <w:kern w:val="0"/>
          <w:sz w:val="21"/>
          <w:szCs w:val="21"/>
          <w:highlight w:val="none"/>
        </w:rPr>
        <w:t>发包人违约的责任</w:t>
      </w:r>
    </w:p>
    <w:p w14:paraId="35B39200">
      <w:pPr>
        <w:snapToGrid w:val="0"/>
        <w:spacing w:line="360" w:lineRule="auto"/>
        <w:ind w:firstLine="409" w:firstLineChars="19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发包人违约责任的承担方式和计算方法：</w:t>
      </w:r>
    </w:p>
    <w:p w14:paraId="2C76EB5E">
      <w:pPr>
        <w:snapToGrid w:val="0"/>
        <w:spacing w:line="360" w:lineRule="auto"/>
        <w:ind w:firstLine="409" w:firstLineChars="195"/>
        <w:jc w:val="left"/>
        <w:rPr>
          <w:rFonts w:hint="eastAsia" w:ascii="宋体" w:hAnsi="宋体" w:eastAsia="宋体" w:cs="宋体"/>
          <w:color w:val="auto"/>
          <w:kern w:val="0"/>
          <w:sz w:val="21"/>
          <w:szCs w:val="21"/>
          <w:highlight w:val="none"/>
          <w:u w:val="single"/>
        </w:rPr>
      </w:pPr>
      <w:r>
        <w:rPr>
          <w:rFonts w:hint="eastAsia" w:ascii="宋体" w:hAnsi="宋体" w:eastAsia="宋体" w:cs="宋体"/>
          <w:color w:val="auto"/>
          <w:sz w:val="21"/>
          <w:szCs w:val="21"/>
          <w:highlight w:val="none"/>
        </w:rPr>
        <w:t>（1）因发包人原因未能在计划开工日期前7天内下达开工通知的违约责任：</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6263C35B">
      <w:pPr>
        <w:snapToGri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（2）因发包人原因未能按合同约定支付合同价款的违约责任：</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053D4302">
      <w:pPr>
        <w:snapToGri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（3）发包人违反第10.1款〔变更的范围〕第（2）项约定，自行实施被取消的工作或转由他人实施的违约责任：</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73724D10">
      <w:pPr>
        <w:snapToGri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（4）发包人提供的材料、工程设备的规格、数量或质量不符合合同约定，或因发包人原因导致交货日期延误或交货地点变更等情况的违约责任：</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5DEBDEAA">
      <w:pPr>
        <w:snapToGri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（5）因发包人违反合同约定造成暂停施工的违约责任：</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15030FBA">
      <w:pPr>
        <w:snapToGri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（6）发包人无正当理由没有在约定期限内发出复工指示，导致承包人无法复工的违约责任：</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443B3406">
      <w:pPr>
        <w:snapToGri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（7）其他：</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37E54080">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16.1.3 因发包人违约解除合同</w:t>
      </w:r>
    </w:p>
    <w:p w14:paraId="240EF75A">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承包人按16.1.1项〔发包人违约的情形〕约定暂停施工满</w:t>
      </w:r>
      <w:r>
        <w:rPr>
          <w:rFonts w:hint="eastAsia" w:ascii="宋体" w:hAnsi="宋体" w:eastAsia="宋体" w:cs="宋体"/>
          <w:color w:val="auto"/>
          <w:sz w:val="21"/>
          <w:szCs w:val="21"/>
          <w:highlight w:val="none"/>
          <w:u w:val="single"/>
        </w:rPr>
        <w:t xml:space="preserve">  30  </w:t>
      </w:r>
      <w:r>
        <w:rPr>
          <w:rFonts w:hint="eastAsia" w:ascii="宋体" w:hAnsi="宋体" w:eastAsia="宋体" w:cs="宋体"/>
          <w:color w:val="auto"/>
          <w:sz w:val="21"/>
          <w:szCs w:val="21"/>
          <w:highlight w:val="none"/>
        </w:rPr>
        <w:t>天后发包人仍不纠正其违约行为并致使合同目的不能实现的，承包人有权解除合同。</w:t>
      </w:r>
    </w:p>
    <w:p w14:paraId="4F2C5ECC">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16.2 </w:t>
      </w:r>
      <w:r>
        <w:rPr>
          <w:rFonts w:hint="eastAsia" w:ascii="宋体" w:hAnsi="宋体" w:eastAsia="宋体" w:cs="宋体"/>
          <w:color w:val="auto"/>
          <w:kern w:val="0"/>
          <w:sz w:val="21"/>
          <w:szCs w:val="21"/>
          <w:highlight w:val="none"/>
        </w:rPr>
        <w:t>承包人违约</w:t>
      </w:r>
    </w:p>
    <w:p w14:paraId="63C6C408">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16.2.1 承包人违约的情形</w:t>
      </w:r>
    </w:p>
    <w:p w14:paraId="060E6187">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承包人违约的其他情形：</w:t>
      </w:r>
    </w:p>
    <w:p w14:paraId="13FC9822">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（1）承包人私自将合同的全部或部分权利转让给其他人，或私自将合同的全部或部分义务转移给其他人；</w:t>
      </w:r>
    </w:p>
    <w:p w14:paraId="4EECF84A">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（2）承包人未经监理人批准，私自将已按合同约定进入施工场地的施工设备、临时设施或材料撤离施工场地；</w:t>
      </w:r>
    </w:p>
    <w:p w14:paraId="7F7B51D9">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（3）承包人使用了不合格材料或工程设备，工程质量达不到标准要求，又拒绝清除不合格工程；</w:t>
      </w:r>
    </w:p>
    <w:p w14:paraId="67B62A9C">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（4）承包人未能按合同进度计划及时完成合同约定的工作，已造成或预期造成工期延误；</w:t>
      </w:r>
    </w:p>
    <w:p w14:paraId="648C1926">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（5）承包人在缺陷责任期内，未能对工程接收证书所列的缺陷清单的内容或缺陷责任期内发生的缺陷进行修复，而又拒绝按监理人指示再进行修补；</w:t>
      </w:r>
    </w:p>
    <w:p w14:paraId="00A83C17">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（6）承包人无法继续履行或明确表示不履行或实质上已停止履行合同；</w:t>
      </w:r>
    </w:p>
    <w:p w14:paraId="02BC6975">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（7）承包人不按合同约定履行义务的其他情况；</w:t>
      </w:r>
    </w:p>
    <w:p w14:paraId="633B7C68">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（8）因承包人主要原因，造成工程质量不符合国家相关评定、验收标准及相关图纸要求的； </w:t>
      </w:r>
    </w:p>
    <w:p w14:paraId="4F6ABE1D">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（9）项目管理机构不健全，施工现场管理人员不到岗或擅自离岗的；</w:t>
      </w:r>
    </w:p>
    <w:p w14:paraId="09E38316">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（10）承包人不服从发包人或监理人指令、不配合工作的。</w:t>
      </w:r>
    </w:p>
    <w:p w14:paraId="5601C62C">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（11）施工期间，承包人未按时足额支付人工工资和材料款。 </w:t>
      </w:r>
    </w:p>
    <w:p w14:paraId="7FB0D26F">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16.2.2承包人违约的责任</w:t>
      </w:r>
    </w:p>
    <w:p w14:paraId="161D85F0">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承包人违约责任的承担方式和计算方法：</w:t>
      </w:r>
    </w:p>
    <w:p w14:paraId="60A3B17A">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（1）承包人私自将合同的全部或部分权利转让给其他人的，施工现场管理人员不到岗或擅自离岗的的违约情况的，发包人可通知承包人立即单方面解除合同，并按有关法律处理，并拒绝给予任何费用。</w:t>
      </w:r>
    </w:p>
    <w:p w14:paraId="73CB37FE">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（2）承包人使用了不合格材料时，监理人可向承包人发出整改通知，要求其在指定的期限内改正。承包人应承担其违约所引起的费用增加和（或）工期延误。</w:t>
      </w:r>
    </w:p>
    <w:p w14:paraId="38DBC4A5">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（3）经检查证明承包人已采取了有效措施纠正违约行为，具备复工条件的，可由监理人签发复工通知复工。 </w:t>
      </w:r>
    </w:p>
    <w:p w14:paraId="41D85C21">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（4）承包人不服从发包人或监理人指令、不配合工作的，经通报后，处以承包人1000元/次的违约金。   </w:t>
      </w:r>
    </w:p>
    <w:p w14:paraId="5E97A720">
      <w:pPr>
        <w:snapToGrid w:val="0"/>
        <w:spacing w:line="360" w:lineRule="auto"/>
        <w:ind w:firstLine="315" w:firstLineChars="15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（5） </w:t>
      </w:r>
      <w:r>
        <w:rPr>
          <w:rFonts w:hint="eastAsia" w:ascii="宋体" w:hAnsi="宋体" w:eastAsia="宋体" w:cs="宋体"/>
          <w:color w:val="auto"/>
          <w:sz w:val="21"/>
          <w:szCs w:val="21"/>
          <w:highlight w:val="none"/>
          <w:u w:val="single"/>
        </w:rPr>
        <w:t>承包人在施工中没有领会发包人意图或不明确施工要求而又不向发包人求证明确,致使施工不能达到发包人要求的,发包人有权要求承包人返工并由承包人承担返工损失,工期不得顺延。</w:t>
      </w:r>
    </w:p>
    <w:p w14:paraId="777DC7FB">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16.2.3 因承包人违约解除合同</w:t>
      </w:r>
    </w:p>
    <w:p w14:paraId="462C9B10">
      <w:pPr>
        <w:snapToGri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关于承包人违约解除合同的特别约定：</w:t>
      </w:r>
      <w:r>
        <w:rPr>
          <w:rFonts w:hint="eastAsia" w:ascii="宋体" w:hAnsi="宋体" w:eastAsia="宋体" w:cs="宋体"/>
          <w:color w:val="auto"/>
          <w:sz w:val="21"/>
          <w:szCs w:val="21"/>
          <w:highlight w:val="none"/>
          <w:u w:val="single"/>
        </w:rPr>
        <w:t>监理人发出整改通知 28 天后，承包人仍不纠正违约行为的，发包人可向承包人发出解除合同通知。合同解除后，发包人可派员进驻施工场地，另行组织人员或委托其他承包人施工。发包人因继续完成该工程的需要，有权扣留使用承包人在现场的材料、设备和临时设施。 但发包人的这一行动不免除承包人应承担的违约责任，也不影响发包人根据合同约定享有的索赔权利</w:t>
      </w:r>
      <w:r>
        <w:rPr>
          <w:rFonts w:hint="eastAsia" w:ascii="宋体" w:hAnsi="宋体" w:eastAsia="宋体" w:cs="宋体"/>
          <w:color w:val="auto"/>
          <w:sz w:val="21"/>
          <w:szCs w:val="21"/>
          <w:highlight w:val="none"/>
        </w:rPr>
        <w:t>。</w:t>
      </w:r>
    </w:p>
    <w:p w14:paraId="28590FFF">
      <w:pPr>
        <w:snapToGrid w:val="0"/>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发包人继续使用承包人在施工现场的材料、设备、临时工程、承包人文件和由承包人或以其名义编制的其他文件的费用承担方式：</w:t>
      </w:r>
      <w:r>
        <w:rPr>
          <w:rFonts w:hint="eastAsia" w:ascii="宋体" w:hAnsi="宋体" w:eastAsia="宋体" w:cs="宋体"/>
          <w:color w:val="auto"/>
          <w:sz w:val="21"/>
          <w:szCs w:val="21"/>
          <w:highlight w:val="none"/>
          <w:u w:val="single"/>
        </w:rPr>
        <w:t xml:space="preserve">    执行通用条款      </w:t>
      </w:r>
      <w:r>
        <w:rPr>
          <w:rFonts w:hint="eastAsia" w:ascii="宋体" w:hAnsi="宋体" w:eastAsia="宋体" w:cs="宋体"/>
          <w:color w:val="auto"/>
          <w:kern w:val="0"/>
          <w:sz w:val="21"/>
          <w:szCs w:val="21"/>
          <w:highlight w:val="none"/>
        </w:rPr>
        <w:t>。</w:t>
      </w:r>
    </w:p>
    <w:p w14:paraId="089CC025">
      <w:pPr>
        <w:snapToGrid w:val="0"/>
        <w:spacing w:line="360" w:lineRule="auto"/>
        <w:rPr>
          <w:rFonts w:hint="eastAsia" w:ascii="宋体" w:hAnsi="宋体" w:eastAsia="宋体" w:cs="宋体"/>
          <w:b/>
          <w:color w:val="auto"/>
          <w:kern w:val="0"/>
          <w:sz w:val="21"/>
          <w:szCs w:val="21"/>
          <w:highlight w:val="none"/>
        </w:rPr>
      </w:pPr>
      <w:bookmarkStart w:id="708" w:name="_Toc433623119"/>
      <w:bookmarkStart w:id="709" w:name="_Toc518391425"/>
      <w:bookmarkStart w:id="710" w:name="_Toc516756974"/>
      <w:bookmarkStart w:id="711" w:name="_Toc485992750"/>
      <w:r>
        <w:rPr>
          <w:rFonts w:hint="eastAsia" w:ascii="宋体" w:hAnsi="宋体" w:eastAsia="宋体" w:cs="宋体"/>
          <w:b/>
          <w:color w:val="auto"/>
          <w:kern w:val="0"/>
          <w:sz w:val="21"/>
          <w:szCs w:val="21"/>
          <w:highlight w:val="none"/>
        </w:rPr>
        <w:t>17. 不可抗力</w:t>
      </w:r>
      <w:bookmarkEnd w:id="708"/>
      <w:bookmarkEnd w:id="709"/>
      <w:bookmarkEnd w:id="710"/>
      <w:bookmarkEnd w:id="711"/>
    </w:p>
    <w:p w14:paraId="28751261">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17.1 不可抗力的确认</w:t>
      </w:r>
    </w:p>
    <w:p w14:paraId="5CFA349E">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除通用合同条款约定的不可抗力事件之外，视为不可抗力的其他情形：</w:t>
      </w:r>
      <w:r>
        <w:rPr>
          <w:rFonts w:hint="eastAsia" w:ascii="宋体" w:hAnsi="宋体" w:eastAsia="宋体" w:cs="宋体"/>
          <w:color w:val="auto"/>
          <w:sz w:val="21"/>
          <w:szCs w:val="21"/>
          <w:highlight w:val="none"/>
          <w:u w:val="single"/>
        </w:rPr>
        <w:t xml:space="preserve">    按通用条款规定</w:t>
      </w:r>
      <w:r>
        <w:rPr>
          <w:rFonts w:hint="eastAsia" w:ascii="宋体" w:hAnsi="宋体" w:eastAsia="宋体" w:cs="宋体"/>
          <w:color w:val="auto"/>
          <w:sz w:val="21"/>
          <w:szCs w:val="21"/>
          <w:highlight w:val="none"/>
        </w:rPr>
        <w:t>。</w:t>
      </w:r>
    </w:p>
    <w:p w14:paraId="5496ECFD">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17.4 因不可抗力解除合同</w:t>
      </w:r>
    </w:p>
    <w:p w14:paraId="00128302">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合同解除后，发包人应在商定或确定发包人应支付款项后</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天内完成款项的支付。</w:t>
      </w:r>
    </w:p>
    <w:bookmarkEnd w:id="678"/>
    <w:bookmarkEnd w:id="679"/>
    <w:bookmarkEnd w:id="680"/>
    <w:bookmarkEnd w:id="681"/>
    <w:p w14:paraId="67333009">
      <w:pPr>
        <w:snapToGrid w:val="0"/>
        <w:spacing w:line="360" w:lineRule="auto"/>
        <w:rPr>
          <w:rFonts w:hint="eastAsia" w:ascii="宋体" w:hAnsi="宋体" w:eastAsia="宋体" w:cs="宋体"/>
          <w:b/>
          <w:color w:val="auto"/>
          <w:kern w:val="0"/>
          <w:sz w:val="21"/>
          <w:szCs w:val="21"/>
          <w:highlight w:val="none"/>
        </w:rPr>
      </w:pPr>
      <w:bookmarkStart w:id="712" w:name="_Toc433623120"/>
      <w:bookmarkStart w:id="713" w:name="_Toc485992751"/>
      <w:bookmarkStart w:id="714" w:name="_Toc351203650"/>
      <w:bookmarkStart w:id="715" w:name="_Toc516756975"/>
      <w:bookmarkStart w:id="716" w:name="_Toc518391426"/>
      <w:bookmarkStart w:id="717" w:name="_Toc280868718"/>
      <w:r>
        <w:rPr>
          <w:rFonts w:hint="eastAsia" w:ascii="宋体" w:hAnsi="宋体" w:eastAsia="宋体" w:cs="宋体"/>
          <w:b/>
          <w:color w:val="auto"/>
          <w:kern w:val="0"/>
          <w:sz w:val="21"/>
          <w:szCs w:val="21"/>
          <w:highlight w:val="none"/>
        </w:rPr>
        <w:t>18. 保险</w:t>
      </w:r>
      <w:bookmarkEnd w:id="712"/>
      <w:bookmarkEnd w:id="713"/>
      <w:bookmarkEnd w:id="714"/>
      <w:bookmarkEnd w:id="715"/>
      <w:bookmarkEnd w:id="716"/>
    </w:p>
    <w:bookmarkEnd w:id="717"/>
    <w:p w14:paraId="4CDD2BA5">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18.1 工程保险</w:t>
      </w:r>
    </w:p>
    <w:bookmarkEnd w:id="682"/>
    <w:bookmarkEnd w:id="683"/>
    <w:bookmarkEnd w:id="684"/>
    <w:bookmarkEnd w:id="685"/>
    <w:bookmarkEnd w:id="686"/>
    <w:bookmarkEnd w:id="687"/>
    <w:bookmarkEnd w:id="688"/>
    <w:bookmarkEnd w:id="689"/>
    <w:bookmarkEnd w:id="690"/>
    <w:bookmarkEnd w:id="691"/>
    <w:bookmarkEnd w:id="692"/>
    <w:bookmarkEnd w:id="693"/>
    <w:p w14:paraId="4098ADC3">
      <w:pPr>
        <w:snapToGrid w:val="0"/>
        <w:spacing w:line="360" w:lineRule="auto"/>
        <w:ind w:firstLine="480"/>
        <w:rPr>
          <w:rFonts w:hint="eastAsia" w:ascii="宋体" w:hAnsi="宋体" w:eastAsia="宋体" w:cs="宋体"/>
          <w:color w:val="auto"/>
          <w:sz w:val="21"/>
          <w:szCs w:val="21"/>
          <w:highlight w:val="none"/>
        </w:rPr>
      </w:pPr>
      <w:bookmarkStart w:id="718" w:name="_Toc351203651"/>
      <w:r>
        <w:rPr>
          <w:rFonts w:hint="eastAsia" w:ascii="宋体" w:hAnsi="宋体" w:eastAsia="宋体" w:cs="宋体"/>
          <w:color w:val="auto"/>
          <w:sz w:val="21"/>
          <w:szCs w:val="21"/>
          <w:highlight w:val="none"/>
        </w:rPr>
        <w:t>关于工程保险的特别约定：</w:t>
      </w:r>
      <w:r>
        <w:rPr>
          <w:rFonts w:hint="eastAsia" w:ascii="宋体" w:hAnsi="宋体" w:eastAsia="宋体" w:cs="宋体"/>
          <w:color w:val="auto"/>
          <w:sz w:val="21"/>
          <w:szCs w:val="21"/>
          <w:highlight w:val="none"/>
          <w:u w:val="single"/>
        </w:rPr>
        <w:t>建筑工程的工程一切险和第三方责任险。工程一切险是为永久工程、临时工程和设备及已运至施工工地用于永久工程的材料和设备所投的保险。第三方责任险是对因实施本合同工程而造成的财产（本工程除外）的损失或损害，或人员（发包人和承包人雇员除外）的死亡或伤残所负责任进行的保险</w:t>
      </w:r>
      <w:r>
        <w:rPr>
          <w:rFonts w:hint="eastAsia" w:ascii="宋体" w:hAnsi="宋体" w:eastAsia="宋体" w:cs="宋体"/>
          <w:color w:val="auto"/>
          <w:sz w:val="21"/>
          <w:szCs w:val="21"/>
          <w:highlight w:val="none"/>
        </w:rPr>
        <w:t xml:space="preserve">。 </w:t>
      </w:r>
    </w:p>
    <w:p w14:paraId="34308E9A">
      <w:pPr>
        <w:snapToGrid w:val="0"/>
        <w:spacing w:line="360" w:lineRule="auto"/>
        <w:ind w:firstLine="48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保险金额、保险费率和保险期限：</w:t>
      </w:r>
      <w:r>
        <w:rPr>
          <w:rFonts w:hint="eastAsia" w:ascii="宋体" w:hAnsi="宋体" w:eastAsia="宋体" w:cs="宋体"/>
          <w:color w:val="auto"/>
          <w:sz w:val="21"/>
          <w:szCs w:val="21"/>
          <w:highlight w:val="none"/>
          <w:u w:val="single"/>
        </w:rPr>
        <w:t>工程一切险的投保金额为竞标净标价，保险费率4‰，第三方责任险的保险费率为0.4‰。工程一切险及第三方责任险的保险范围应包括开工日直至本合同工程（或其单项工程）竣工颁发竣工接收证书为止</w:t>
      </w:r>
      <w:r>
        <w:rPr>
          <w:rFonts w:hint="eastAsia" w:ascii="宋体" w:hAnsi="宋体" w:eastAsia="宋体" w:cs="宋体"/>
          <w:color w:val="auto"/>
          <w:sz w:val="21"/>
          <w:szCs w:val="21"/>
          <w:highlight w:val="none"/>
        </w:rPr>
        <w:t>。</w:t>
      </w:r>
    </w:p>
    <w:p w14:paraId="7FCE3FF8">
      <w:pPr>
        <w:snapToGrid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办理本项保险一切费用均由承包人承担，在报价中已考虑，发包人不单独支付。</w:t>
      </w:r>
    </w:p>
    <w:p w14:paraId="5C482BE2">
      <w:pPr>
        <w:snapToGrid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18.3 其他保险</w:t>
      </w:r>
    </w:p>
    <w:p w14:paraId="0FB703B3">
      <w:pPr>
        <w:snapToGrid w:val="0"/>
        <w:spacing w:line="360" w:lineRule="auto"/>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关于其他保险的约定：</w:t>
      </w:r>
      <w:r>
        <w:rPr>
          <w:rFonts w:hint="eastAsia" w:ascii="宋体" w:hAnsi="宋体" w:eastAsia="宋体" w:cs="宋体"/>
          <w:color w:val="auto"/>
          <w:sz w:val="21"/>
          <w:szCs w:val="21"/>
          <w:highlight w:val="none"/>
          <w:u w:val="single"/>
        </w:rPr>
        <w:t>承包人应在整个施工期间（包括缺陷责任期）对其为本合同工程工作的雇员投保人身意外伤害险。承包人还应为已经运抵现场的承包人装备办理财产保险，其投保金额应足以现场重置。办理本项保险一切费用均由承包人承担，在报价中已考虑，发包人不单独支付</w:t>
      </w:r>
      <w:r>
        <w:rPr>
          <w:rFonts w:hint="eastAsia" w:ascii="宋体" w:hAnsi="宋体" w:eastAsia="宋体" w:cs="宋体"/>
          <w:color w:val="auto"/>
          <w:kern w:val="0"/>
          <w:sz w:val="21"/>
          <w:szCs w:val="21"/>
          <w:highlight w:val="none"/>
        </w:rPr>
        <w:t>。</w:t>
      </w:r>
    </w:p>
    <w:p w14:paraId="4D964BD7">
      <w:pPr>
        <w:snapToGrid w:val="0"/>
        <w:spacing w:line="360" w:lineRule="auto"/>
        <w:ind w:firstLine="420" w:firstLineChars="200"/>
        <w:jc w:val="left"/>
        <w:rPr>
          <w:rFonts w:hint="eastAsia" w:ascii="宋体" w:hAnsi="宋体" w:eastAsia="宋体" w:cs="宋体"/>
          <w:color w:val="auto"/>
          <w:kern w:val="0"/>
          <w:sz w:val="21"/>
          <w:szCs w:val="21"/>
          <w:highlight w:val="none"/>
          <w:u w:val="single"/>
        </w:rPr>
      </w:pPr>
      <w:r>
        <w:rPr>
          <w:rFonts w:hint="eastAsia" w:ascii="宋体" w:hAnsi="宋体" w:eastAsia="宋体" w:cs="宋体"/>
          <w:color w:val="auto"/>
          <w:sz w:val="21"/>
          <w:szCs w:val="21"/>
          <w:highlight w:val="none"/>
        </w:rPr>
        <w:t>承包人是否应为其施工设备等办理财产保险：</w:t>
      </w:r>
      <w:r>
        <w:rPr>
          <w:rFonts w:hint="eastAsia" w:ascii="宋体" w:hAnsi="宋体" w:eastAsia="宋体" w:cs="宋体"/>
          <w:color w:val="auto"/>
          <w:sz w:val="21"/>
          <w:szCs w:val="21"/>
          <w:highlight w:val="none"/>
          <w:u w:val="single"/>
        </w:rPr>
        <w:t>承包人还应为已经运抵现场的承包人装备办理财产保险，其投保金额应足以现场重置</w:t>
      </w:r>
      <w:r>
        <w:rPr>
          <w:rFonts w:hint="eastAsia" w:ascii="宋体" w:hAnsi="宋体" w:eastAsia="宋体" w:cs="宋体"/>
          <w:color w:val="auto"/>
          <w:sz w:val="21"/>
          <w:szCs w:val="21"/>
          <w:highlight w:val="none"/>
        </w:rPr>
        <w:t xml:space="preserve">。 </w:t>
      </w:r>
    </w:p>
    <w:p w14:paraId="092DCDBE">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18.7 通知义务</w:t>
      </w:r>
    </w:p>
    <w:p w14:paraId="01603CB2">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关于变更保险合同时的通知义务的约定：</w:t>
      </w:r>
      <w:r>
        <w:rPr>
          <w:rFonts w:hint="eastAsia" w:ascii="宋体" w:hAnsi="宋体" w:eastAsia="宋体" w:cs="宋体"/>
          <w:color w:val="auto"/>
          <w:sz w:val="21"/>
          <w:szCs w:val="21"/>
          <w:highlight w:val="none"/>
          <w:u w:val="single"/>
        </w:rPr>
        <w:t xml:space="preserve">    执行通用条款      </w:t>
      </w:r>
      <w:r>
        <w:rPr>
          <w:rFonts w:hint="eastAsia" w:ascii="宋体" w:hAnsi="宋体" w:eastAsia="宋体" w:cs="宋体"/>
          <w:color w:val="auto"/>
          <w:sz w:val="21"/>
          <w:szCs w:val="21"/>
          <w:highlight w:val="none"/>
        </w:rPr>
        <w:t>。</w:t>
      </w:r>
    </w:p>
    <w:p w14:paraId="371F13F6">
      <w:pPr>
        <w:snapToGrid w:val="0"/>
        <w:spacing w:line="360" w:lineRule="auto"/>
        <w:rPr>
          <w:rFonts w:hint="eastAsia" w:ascii="宋体" w:hAnsi="宋体" w:eastAsia="宋体" w:cs="宋体"/>
          <w:b/>
          <w:color w:val="auto"/>
          <w:kern w:val="0"/>
          <w:sz w:val="21"/>
          <w:szCs w:val="21"/>
          <w:highlight w:val="none"/>
        </w:rPr>
      </w:pPr>
      <w:bookmarkStart w:id="719" w:name="_Toc518391427"/>
      <w:bookmarkStart w:id="720" w:name="_Toc516756976"/>
      <w:bookmarkStart w:id="721" w:name="_Toc485992752"/>
      <w:bookmarkStart w:id="722" w:name="_Toc433623121"/>
      <w:r>
        <w:rPr>
          <w:rFonts w:hint="eastAsia" w:ascii="宋体" w:hAnsi="宋体" w:eastAsia="宋体" w:cs="宋体"/>
          <w:b/>
          <w:color w:val="auto"/>
          <w:kern w:val="0"/>
          <w:sz w:val="21"/>
          <w:szCs w:val="21"/>
          <w:highlight w:val="none"/>
        </w:rPr>
        <w:t>20. 争议解决</w:t>
      </w:r>
      <w:bookmarkEnd w:id="718"/>
      <w:bookmarkEnd w:id="719"/>
      <w:bookmarkEnd w:id="720"/>
      <w:bookmarkEnd w:id="721"/>
      <w:bookmarkEnd w:id="722"/>
    </w:p>
    <w:bookmarkEnd w:id="694"/>
    <w:bookmarkEnd w:id="695"/>
    <w:bookmarkEnd w:id="696"/>
    <w:p w14:paraId="43FC8628">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20.4仲裁或诉讼</w:t>
      </w:r>
      <w:bookmarkEnd w:id="697"/>
    </w:p>
    <w:bookmarkEnd w:id="698"/>
    <w:bookmarkEnd w:id="699"/>
    <w:bookmarkEnd w:id="700"/>
    <w:bookmarkEnd w:id="701"/>
    <w:bookmarkEnd w:id="702"/>
    <w:bookmarkEnd w:id="703"/>
    <w:p w14:paraId="06FD0E3C">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因合同及合同有关事项发生的争议，按下列第</w:t>
      </w:r>
      <w:r>
        <w:rPr>
          <w:rFonts w:hint="eastAsia" w:ascii="宋体" w:hAnsi="宋体" w:eastAsia="宋体" w:cs="宋体"/>
          <w:color w:val="auto"/>
          <w:sz w:val="21"/>
          <w:szCs w:val="21"/>
          <w:highlight w:val="none"/>
          <w:u w:val="single"/>
        </w:rPr>
        <w:t xml:space="preserve">   (2)  </w:t>
      </w:r>
      <w:r>
        <w:rPr>
          <w:rFonts w:hint="eastAsia" w:ascii="宋体" w:hAnsi="宋体" w:eastAsia="宋体" w:cs="宋体"/>
          <w:color w:val="auto"/>
          <w:sz w:val="21"/>
          <w:szCs w:val="21"/>
          <w:highlight w:val="none"/>
        </w:rPr>
        <w:t>种方式解决：</w:t>
      </w:r>
    </w:p>
    <w:p w14:paraId="7803CAA5">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（1）向</w:t>
      </w:r>
      <w:r>
        <w:rPr>
          <w:rFonts w:hint="eastAsia" w:ascii="宋体" w:hAnsi="宋体" w:eastAsia="宋体" w:cs="宋体"/>
          <w:color w:val="auto"/>
          <w:sz w:val="21"/>
          <w:szCs w:val="21"/>
          <w:highlight w:val="none"/>
          <w:u w:val="single"/>
        </w:rPr>
        <w:t>重庆仲裁委会员建设工程仲裁院</w:t>
      </w:r>
      <w:r>
        <w:rPr>
          <w:rFonts w:hint="eastAsia" w:ascii="宋体" w:hAnsi="宋体" w:eastAsia="宋体" w:cs="宋体"/>
          <w:color w:val="auto"/>
          <w:sz w:val="21"/>
          <w:szCs w:val="21"/>
          <w:highlight w:val="none"/>
        </w:rPr>
        <w:t>申请仲裁；</w:t>
      </w:r>
    </w:p>
    <w:p w14:paraId="6AB2E5CA">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（2）向</w:t>
      </w:r>
      <w:r>
        <w:rPr>
          <w:rFonts w:hint="eastAsia" w:ascii="宋体" w:hAnsi="宋体" w:eastAsia="宋体" w:cs="宋体"/>
          <w:color w:val="auto"/>
          <w:sz w:val="21"/>
          <w:szCs w:val="21"/>
          <w:highlight w:val="none"/>
          <w:u w:val="single"/>
        </w:rPr>
        <w:t xml:space="preserve">  重庆市</w:t>
      </w:r>
      <w:r>
        <w:rPr>
          <w:rFonts w:hint="eastAsia" w:ascii="宋体" w:hAnsi="宋体" w:eastAsia="宋体" w:cs="宋体"/>
          <w:color w:val="auto"/>
          <w:sz w:val="21"/>
          <w:szCs w:val="21"/>
          <w:highlight w:val="none"/>
          <w:u w:val="single"/>
          <w:lang w:eastAsia="zh-CN"/>
        </w:rPr>
        <w:t>秀山县</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人民法院起诉。</w:t>
      </w:r>
    </w:p>
    <w:p w14:paraId="2645E47D">
      <w:pPr>
        <w:snapToGrid w:val="0"/>
        <w:spacing w:line="360" w:lineRule="auto"/>
        <w:ind w:firstLine="422" w:firstLineChars="200"/>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补充条款：</w:t>
      </w:r>
    </w:p>
    <w:p w14:paraId="770BB5E1">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1、除通用条款约定的情况外，发生下述情况时发包人同样有权解除合同，并没收承包人的履约保证金，另行选择施工单位完成工程；</w:t>
      </w:r>
    </w:p>
    <w:p w14:paraId="51F26C5D">
      <w:pPr>
        <w:snapToGrid w:val="0"/>
        <w:spacing w:line="360" w:lineRule="auto"/>
        <w:ind w:firstLine="420" w:firstLineChars="200"/>
        <w:rPr>
          <w:rFonts w:hint="eastAsia" w:ascii="宋体" w:hAnsi="宋体" w:eastAsia="宋体" w:cs="宋体"/>
          <w:color w:val="auto"/>
          <w:sz w:val="21"/>
          <w:szCs w:val="21"/>
          <w:highlight w:val="none"/>
        </w:rPr>
      </w:pPr>
      <w:bookmarkStart w:id="723" w:name="_Toc361673527"/>
      <w:r>
        <w:rPr>
          <w:rFonts w:hint="eastAsia" w:ascii="宋体" w:hAnsi="宋体" w:eastAsia="宋体" w:cs="宋体"/>
          <w:color w:val="auto"/>
          <w:sz w:val="21"/>
          <w:szCs w:val="21"/>
          <w:highlight w:val="none"/>
        </w:rPr>
        <w:t>（1）承包人破产或宣告停业清理，且此清理不是出于重组、重建或合并之目的；</w:t>
      </w:r>
      <w:bookmarkEnd w:id="723"/>
    </w:p>
    <w:p w14:paraId="449E8A73">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（2）放弃或否认合同；</w:t>
      </w:r>
    </w:p>
    <w:p w14:paraId="0B039B3D">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（3）无正当理由而未能按约定开工；</w:t>
      </w:r>
    </w:p>
    <w:p w14:paraId="01891011">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（4）承包人的实际进度与经监理工程师确认的进度计划不符时，未按约定执行监理工程师发出的指示而采取必要措施加快进度；</w:t>
      </w:r>
    </w:p>
    <w:p w14:paraId="57DB92AE">
      <w:pPr>
        <w:snapToGrid w:val="0"/>
        <w:spacing w:line="360" w:lineRule="auto"/>
        <w:ind w:firstLine="420" w:firstLineChars="200"/>
        <w:rPr>
          <w:rFonts w:hint="eastAsia" w:ascii="宋体" w:hAnsi="宋体" w:eastAsia="宋体" w:cs="宋体"/>
          <w:color w:val="auto"/>
          <w:sz w:val="21"/>
          <w:szCs w:val="21"/>
          <w:highlight w:val="none"/>
        </w:rPr>
      </w:pPr>
      <w:bookmarkStart w:id="724" w:name="_Toc361673528"/>
      <w:r>
        <w:rPr>
          <w:rFonts w:hint="eastAsia" w:ascii="宋体" w:hAnsi="宋体" w:eastAsia="宋体" w:cs="宋体"/>
          <w:color w:val="auto"/>
          <w:sz w:val="21"/>
          <w:szCs w:val="21"/>
          <w:highlight w:val="none"/>
        </w:rPr>
        <w:t>（5）未遵守竞标承诺书的承诺，未能自行完成本工程的施工，分包或转让本工程；</w:t>
      </w:r>
      <w:bookmarkEnd w:id="724"/>
    </w:p>
    <w:p w14:paraId="7A482280">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（6）未按发包人要求变更项目经理或主要施工管理人员；</w:t>
      </w:r>
    </w:p>
    <w:p w14:paraId="50E1F72B">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（7）未经发包人同意，擅自变更竞标所拟派的项目经理或主要施工管理人员；或项目经理或主要施工管理人员驻工地时间平均一个月少于25天。</w:t>
      </w:r>
    </w:p>
    <w:p w14:paraId="64296D78">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（8）解除合同后承包人应在1月内退场。</w:t>
      </w:r>
    </w:p>
    <w:p w14:paraId="64F42CEF">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（9）发包人与承包人解除合同后，发包人依法确定的完成该工程的其他承包人可以随时进驻现场。</w:t>
      </w:r>
    </w:p>
    <w:p w14:paraId="440FE3F3">
      <w:pPr>
        <w:snapToGrid w:val="0"/>
        <w:spacing w:line="360" w:lineRule="auto"/>
        <w:ind w:firstLine="420" w:firstLineChars="200"/>
        <w:rPr>
          <w:rFonts w:hint="eastAsia" w:ascii="宋体" w:hAnsi="宋体" w:eastAsia="宋体" w:cs="宋体"/>
          <w:color w:val="auto"/>
          <w:sz w:val="21"/>
          <w:szCs w:val="21"/>
          <w:highlight w:val="none"/>
        </w:rPr>
      </w:pPr>
      <w:bookmarkStart w:id="725" w:name="_Toc361673529"/>
      <w:r>
        <w:rPr>
          <w:rFonts w:hint="eastAsia" w:ascii="宋体" w:hAnsi="宋体" w:eastAsia="宋体" w:cs="宋体"/>
          <w:color w:val="auto"/>
          <w:sz w:val="21"/>
          <w:szCs w:val="21"/>
          <w:highlight w:val="none"/>
        </w:rPr>
        <w:t>2、农民工工资</w:t>
      </w:r>
      <w:bookmarkEnd w:id="725"/>
    </w:p>
    <w:p w14:paraId="2BA901B8">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（1）承包人必须严格按照《劳动法》、《农民工工资支付暂行规定》和《最低工资规定》等有关规定支付农民工工资，不得拖欠或克扣。</w:t>
      </w:r>
    </w:p>
    <w:p w14:paraId="64B71E1B">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承包人应将工资按月直接发放给农民工本人，不得发放给“包工头”或其他不具备用工主体资格的组织和个人，否则将视为承包人拖欠或克扣农民工工资，发包人有权在承包人的工程进度款中扣除相当于农民工工资部分的金额，代承包人支付给农民工本人，承包人并因此承担工程结算总价的0.1%的违约责任。</w:t>
      </w:r>
    </w:p>
    <w:p w14:paraId="7B9D7702">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3、承包人若在施工期间如发包人发现</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有挂靠、转包及违法分包工程行为，发包人有权对承包人中止合同，取消</w:t>
      </w:r>
      <w:r>
        <w:rPr>
          <w:rFonts w:hint="eastAsia" w:ascii="宋体" w:hAnsi="宋体" w:eastAsia="宋体" w:cs="宋体"/>
          <w:color w:val="auto"/>
          <w:sz w:val="21"/>
          <w:szCs w:val="21"/>
          <w:highlight w:val="none"/>
          <w:lang w:eastAsia="zh-CN"/>
        </w:rPr>
        <w:t>成交</w:t>
      </w:r>
      <w:r>
        <w:rPr>
          <w:rFonts w:hint="eastAsia" w:ascii="宋体" w:hAnsi="宋体" w:eastAsia="宋体" w:cs="宋体"/>
          <w:color w:val="auto"/>
          <w:sz w:val="21"/>
          <w:szCs w:val="21"/>
          <w:highlight w:val="none"/>
        </w:rPr>
        <w:t>资格。</w:t>
      </w:r>
    </w:p>
    <w:p w14:paraId="6B1319E3">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承包人在施工过程中涉及的清单漏项、设计变更、签证与计量、材料价格核定、工程款支付，竣工结算审核等工作，应严格按发包人相关管理制度执行。若参建单位未严格按发包人管理制度办理，视其情节轻重，发包人有权对相关单位及人员进行追责。</w:t>
      </w:r>
    </w:p>
    <w:p w14:paraId="6FF9A657">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5、承包人的实际工程进度及质量与经监理工程师及发包人审批的工程进度及质量要求不符时，且在限期整改中又未按发包人和监理人要求完成的，处违约金</w:t>
      </w:r>
      <w:r>
        <w:rPr>
          <w:rFonts w:hint="eastAsia" w:ascii="宋体" w:hAnsi="宋体" w:eastAsia="宋体" w:cs="宋体"/>
          <w:b/>
          <w:color w:val="auto"/>
          <w:sz w:val="21"/>
          <w:szCs w:val="21"/>
          <w:highlight w:val="none"/>
        </w:rPr>
        <w:t>1000-3000</w:t>
      </w:r>
      <w:r>
        <w:rPr>
          <w:rFonts w:hint="eastAsia" w:ascii="宋体" w:hAnsi="宋体" w:eastAsia="宋体" w:cs="宋体"/>
          <w:color w:val="auto"/>
          <w:sz w:val="21"/>
          <w:szCs w:val="21"/>
          <w:highlight w:val="none"/>
        </w:rPr>
        <w:t>元/次或更多。</w:t>
      </w:r>
    </w:p>
    <w:p w14:paraId="18C408F3">
      <w:pPr>
        <w:snapToGrid w:val="0"/>
        <w:spacing w:line="360" w:lineRule="auto"/>
        <w:ind w:firstLine="420" w:firstLineChars="200"/>
        <w:rPr>
          <w:rFonts w:hint="eastAsia" w:ascii="宋体" w:hAnsi="宋体" w:eastAsia="宋体" w:cs="宋体"/>
          <w:color w:val="auto"/>
          <w:sz w:val="21"/>
          <w:szCs w:val="21"/>
          <w:highlight w:val="none"/>
        </w:rPr>
      </w:pPr>
      <w:bookmarkStart w:id="726" w:name="_Toc361673530"/>
      <w:r>
        <w:rPr>
          <w:rFonts w:hint="eastAsia" w:ascii="宋体" w:hAnsi="宋体" w:eastAsia="宋体" w:cs="宋体"/>
          <w:color w:val="auto"/>
          <w:sz w:val="21"/>
          <w:szCs w:val="21"/>
          <w:highlight w:val="none"/>
        </w:rPr>
        <w:t>6、承包人无条件接受发包人关于市政工程安全文明施工检查考核的相关制度（附考核制度）</w:t>
      </w:r>
      <w:bookmarkEnd w:id="726"/>
    </w:p>
    <w:p w14:paraId="2C83DEAD">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若在项目实施过程中，确需对项目经理调整，必须由承包人提前一个月提出有法律效力的申请（法人代表签字并加盖公章），经发包人同意后方可变更。</w:t>
      </w:r>
    </w:p>
    <w:p w14:paraId="31A7055E">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7、工程量增减：</w:t>
      </w:r>
    </w:p>
    <w:p w14:paraId="0B5EC06D">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因发包人要求及不可抗力因素等原因导致承包人在合同履行中所需要的工程量发生增减时，承包人无权因此提出索赔。</w:t>
      </w:r>
    </w:p>
    <w:p w14:paraId="7C93B36E">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实物工程量的实施由监理工程师和发包人现场代表按合同条款规定，结合工程具体情况，报经发包人批准后全部或部分实施，或者根本不予实施，承包人无权因此提出索赔。</w:t>
      </w:r>
    </w:p>
    <w:p w14:paraId="565E6EC2">
      <w:pPr>
        <w:widowControl/>
        <w:snapToGrid w:val="0"/>
        <w:spacing w:line="360" w:lineRule="auto"/>
        <w:ind w:firstLine="411" w:firstLineChars="196"/>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8、若</w:t>
      </w:r>
      <w:r>
        <w:rPr>
          <w:rFonts w:hint="eastAsia" w:ascii="宋体" w:hAnsi="宋体" w:eastAsia="宋体" w:cs="宋体"/>
          <w:color w:val="auto"/>
          <w:kern w:val="0"/>
          <w:sz w:val="21"/>
          <w:szCs w:val="21"/>
          <w:highlight w:val="none"/>
        </w:rPr>
        <w:t>因暂停施工导致的施工单位二次进场费、现场清理费、现场维护费等所有费用已包含在竞标总价中，不得调整。</w:t>
      </w:r>
    </w:p>
    <w:p w14:paraId="542DE449">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9、由于承包人原因未按合同要求工期完成本工程，则承包人必须承担本工程延期完成的各项监理费用。</w:t>
      </w:r>
    </w:p>
    <w:p w14:paraId="6989588F">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10、其他未尽事宜，经双方协商，以书面确认为准。</w:t>
      </w:r>
    </w:p>
    <w:p w14:paraId="42859F69">
      <w:pPr>
        <w:spacing w:line="360" w:lineRule="auto"/>
        <w:rPr>
          <w:rFonts w:hint="eastAsia" w:ascii="宋体" w:hAnsi="宋体" w:eastAsia="宋体" w:cs="宋体"/>
          <w:b/>
          <w:bCs/>
          <w:color w:val="auto"/>
          <w:kern w:val="0"/>
          <w:sz w:val="21"/>
          <w:szCs w:val="21"/>
          <w:highlight w:val="none"/>
        </w:rPr>
        <w:sectPr>
          <w:footerReference r:id="rId5" w:type="first"/>
          <w:pgSz w:w="11906" w:h="16838"/>
          <w:pgMar w:top="1134" w:right="1091" w:bottom="851" w:left="1134" w:header="851" w:footer="992" w:gutter="227"/>
          <w:cols w:space="720" w:num="1"/>
          <w:titlePg/>
          <w:docGrid w:type="lines" w:linePitch="312" w:charSpace="0"/>
        </w:sectPr>
      </w:pPr>
    </w:p>
    <w:p w14:paraId="240C6C2B">
      <w:pPr>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附件目录</w:t>
      </w:r>
    </w:p>
    <w:p w14:paraId="0C9BE0EF">
      <w:pPr>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附件1：工程质量保修书</w:t>
      </w:r>
    </w:p>
    <w:p w14:paraId="51667708">
      <w:pPr>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附件2：安全生产合同</w:t>
      </w:r>
    </w:p>
    <w:p w14:paraId="5042B04F">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附件3：廉洁协议</w:t>
      </w:r>
    </w:p>
    <w:p w14:paraId="6916D5C8">
      <w:pPr>
        <w:spacing w:line="360" w:lineRule="auto"/>
        <w:jc w:val="left"/>
        <w:rPr>
          <w:rFonts w:hint="eastAsia" w:ascii="宋体" w:hAnsi="宋体" w:eastAsia="宋体" w:cs="宋体"/>
          <w:color w:val="auto"/>
          <w:sz w:val="21"/>
          <w:szCs w:val="21"/>
          <w:highlight w:val="none"/>
        </w:rPr>
      </w:pPr>
    </w:p>
    <w:p w14:paraId="52FE6831">
      <w:pPr>
        <w:spacing w:line="360" w:lineRule="auto"/>
        <w:jc w:val="left"/>
        <w:rPr>
          <w:rFonts w:hint="eastAsia" w:ascii="宋体" w:hAnsi="宋体" w:eastAsia="宋体" w:cs="宋体"/>
          <w:color w:val="auto"/>
          <w:sz w:val="21"/>
          <w:szCs w:val="21"/>
          <w:highlight w:val="none"/>
        </w:rPr>
      </w:pPr>
    </w:p>
    <w:p w14:paraId="6BC12D66">
      <w:pPr>
        <w:spacing w:line="360" w:lineRule="auto"/>
        <w:jc w:val="left"/>
        <w:rPr>
          <w:rFonts w:hint="eastAsia" w:ascii="宋体" w:hAnsi="宋体" w:eastAsia="宋体" w:cs="宋体"/>
          <w:color w:val="auto"/>
          <w:sz w:val="21"/>
          <w:szCs w:val="21"/>
          <w:highlight w:val="none"/>
        </w:rPr>
      </w:pPr>
    </w:p>
    <w:p w14:paraId="73EECCA4">
      <w:pPr>
        <w:spacing w:line="360" w:lineRule="auto"/>
        <w:jc w:val="left"/>
        <w:rPr>
          <w:rFonts w:hint="eastAsia" w:ascii="宋体" w:hAnsi="宋体" w:eastAsia="宋体" w:cs="宋体"/>
          <w:color w:val="auto"/>
          <w:sz w:val="21"/>
          <w:szCs w:val="21"/>
          <w:highlight w:val="none"/>
        </w:rPr>
      </w:pPr>
    </w:p>
    <w:p w14:paraId="30EE5615">
      <w:pPr>
        <w:spacing w:line="360" w:lineRule="auto"/>
        <w:jc w:val="left"/>
        <w:rPr>
          <w:rFonts w:hint="eastAsia" w:ascii="宋体" w:hAnsi="宋体" w:eastAsia="宋体" w:cs="宋体"/>
          <w:color w:val="auto"/>
          <w:sz w:val="21"/>
          <w:szCs w:val="21"/>
          <w:highlight w:val="none"/>
        </w:rPr>
      </w:pPr>
    </w:p>
    <w:p w14:paraId="2ACE338C">
      <w:pPr>
        <w:snapToGrid w:val="0"/>
        <w:spacing w:line="33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r>
        <w:rPr>
          <w:rFonts w:hint="eastAsia" w:ascii="宋体" w:hAnsi="宋体" w:eastAsia="宋体" w:cs="宋体"/>
          <w:color w:val="auto"/>
          <w:sz w:val="21"/>
          <w:szCs w:val="21"/>
          <w:highlight w:val="none"/>
        </w:rPr>
        <w:t xml:space="preserve">附件1：    </w:t>
      </w:r>
    </w:p>
    <w:p w14:paraId="61D8A06C">
      <w:pPr>
        <w:snapToGrid w:val="0"/>
        <w:spacing w:line="336"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 xml:space="preserve">   工程质量保修书</w:t>
      </w:r>
    </w:p>
    <w:p w14:paraId="3A3F4CED">
      <w:pPr>
        <w:snapToGrid w:val="0"/>
        <w:spacing w:line="336"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发包人（全称）：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139984A0">
      <w:pPr>
        <w:snapToGrid w:val="0"/>
        <w:spacing w:line="33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承包人（全称）：</w:t>
      </w:r>
      <w:r>
        <w:rPr>
          <w:rFonts w:hint="eastAsia" w:ascii="宋体" w:hAnsi="宋体" w:eastAsia="宋体" w:cs="宋体"/>
          <w:b/>
          <w:color w:val="auto"/>
          <w:sz w:val="21"/>
          <w:szCs w:val="21"/>
          <w:highlight w:val="none"/>
          <w:u w:val="single"/>
        </w:rPr>
        <w:t xml:space="preserve">                  </w:t>
      </w:r>
    </w:p>
    <w:p w14:paraId="5EC9C656">
      <w:pPr>
        <w:snapToGrid w:val="0"/>
        <w:spacing w:line="33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发包人和承包人根据《中华人民共和国建筑法》和《建设工程质量管理条例》，经协商一致就</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（工程全称）签订工程质量保修书。</w:t>
      </w:r>
    </w:p>
    <w:p w14:paraId="7A5BA6BE">
      <w:pPr>
        <w:snapToGrid w:val="0"/>
        <w:spacing w:line="33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一、工程质量保修范围和内容</w:t>
      </w:r>
    </w:p>
    <w:p w14:paraId="6F5542FC">
      <w:pPr>
        <w:snapToGrid w:val="0"/>
        <w:spacing w:line="33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承包人在质量保修期内，按照有关法律规定和合同约定，承担工程质量保修责任。</w:t>
      </w:r>
    </w:p>
    <w:p w14:paraId="4A915ED7">
      <w:pPr>
        <w:snapToGrid w:val="0"/>
        <w:spacing w:line="336" w:lineRule="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　　质量保修范围包括</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，以及双方约定的其他项目。具体保修的内容，双方约定如下：</w:t>
      </w:r>
      <w:r>
        <w:rPr>
          <w:rFonts w:hint="eastAsia" w:ascii="宋体" w:hAnsi="宋体" w:cs="宋体"/>
          <w:color w:val="auto"/>
          <w:sz w:val="21"/>
          <w:szCs w:val="21"/>
          <w:highlight w:val="none"/>
          <w:u w:val="single"/>
          <w:lang w:eastAsia="zh-CN"/>
        </w:rPr>
        <w:t>招标文件</w:t>
      </w:r>
      <w:r>
        <w:rPr>
          <w:rFonts w:hint="eastAsia" w:ascii="宋体" w:hAnsi="宋体" w:eastAsia="宋体" w:cs="宋体"/>
          <w:color w:val="auto"/>
          <w:sz w:val="21"/>
          <w:szCs w:val="21"/>
          <w:highlight w:val="none"/>
          <w:u w:val="single"/>
        </w:rPr>
        <w:t>及施工合同范围内的全部内容</w:t>
      </w:r>
      <w:r>
        <w:rPr>
          <w:rFonts w:hint="eastAsia" w:ascii="宋体" w:hAnsi="宋体" w:eastAsia="宋体" w:cs="宋体"/>
          <w:color w:val="auto"/>
          <w:sz w:val="21"/>
          <w:szCs w:val="21"/>
          <w:highlight w:val="none"/>
        </w:rPr>
        <w:t>。</w:t>
      </w:r>
    </w:p>
    <w:p w14:paraId="54FC97CA">
      <w:pPr>
        <w:snapToGrid w:val="0"/>
        <w:spacing w:line="33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二、质量保修期</w:t>
      </w:r>
    </w:p>
    <w:p w14:paraId="44B18830">
      <w:pPr>
        <w:snapToGrid w:val="0"/>
        <w:spacing w:line="336"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根据《建设工程质量管理条例》及有关规定，工程的质量保修期如下：</w:t>
      </w:r>
    </w:p>
    <w:p w14:paraId="6AD85FF0">
      <w:pPr>
        <w:snapToGrid w:val="0"/>
        <w:spacing w:line="336"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1．项目保修期限约定：</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1</w:t>
      </w:r>
      <w:r>
        <w:rPr>
          <w:rFonts w:hint="eastAsia" w:ascii="宋体" w:hAnsi="宋体" w:eastAsia="宋体" w:cs="宋体"/>
          <w:color w:val="auto"/>
          <w:sz w:val="21"/>
          <w:szCs w:val="21"/>
          <w:highlight w:val="none"/>
          <w:u w:val="single"/>
        </w:rPr>
        <w:t xml:space="preserve">年  </w:t>
      </w:r>
      <w:r>
        <w:rPr>
          <w:rFonts w:hint="eastAsia" w:ascii="宋体" w:hAnsi="宋体" w:eastAsia="宋体" w:cs="宋体"/>
          <w:color w:val="auto"/>
          <w:sz w:val="21"/>
          <w:szCs w:val="21"/>
          <w:highlight w:val="none"/>
        </w:rPr>
        <w:t>。</w:t>
      </w:r>
    </w:p>
    <w:p w14:paraId="296FD9DD">
      <w:pPr>
        <w:snapToGrid w:val="0"/>
        <w:spacing w:line="336"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质量保修期自工程竣工验收合格之日起计算。</w:t>
      </w:r>
    </w:p>
    <w:p w14:paraId="37074A5A">
      <w:pPr>
        <w:snapToGrid w:val="0"/>
        <w:spacing w:line="336"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3.质量保修期满后，发包人应退还剩余的质量保证金。</w:t>
      </w:r>
    </w:p>
    <w:p w14:paraId="7D662B05">
      <w:pPr>
        <w:snapToGrid w:val="0"/>
        <w:spacing w:line="336" w:lineRule="auto"/>
        <w:ind w:firstLine="40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三、缺陷责任期</w:t>
      </w:r>
    </w:p>
    <w:p w14:paraId="32FE9B33">
      <w:pPr>
        <w:snapToGrid w:val="0"/>
        <w:spacing w:line="336" w:lineRule="auto"/>
        <w:ind w:left="140" w:leftChars="50" w:firstLine="430" w:firstLineChars="20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缺陷责任期自工程通过竣工验收之日起计算。单位工程先于全部工程进行验收，单位工程缺陷责任期自单位工程验收合格之日起算。</w:t>
      </w:r>
    </w:p>
    <w:p w14:paraId="305A3D1C">
      <w:pPr>
        <w:snapToGrid w:val="0"/>
        <w:spacing w:line="336" w:lineRule="auto"/>
        <w:ind w:left="140" w:leftChars="50" w:firstLine="430" w:firstLineChars="20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缺陷责任期终止后，发包人应退还剩余的质量保证金。</w:t>
      </w:r>
    </w:p>
    <w:p w14:paraId="587DEB46">
      <w:pPr>
        <w:snapToGrid w:val="0"/>
        <w:spacing w:line="336" w:lineRule="auto"/>
        <w:ind w:firstLine="40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四、质量保修责任</w:t>
      </w:r>
    </w:p>
    <w:p w14:paraId="445E8659">
      <w:pPr>
        <w:snapToGrid w:val="0"/>
        <w:spacing w:line="336" w:lineRule="auto"/>
        <w:ind w:left="140" w:leftChars="50" w:firstLine="430" w:firstLineChars="20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1．属于保修范围、内容的项目，承包人应当在接到保修通知之日起7天内派人保修。承包人不在约定期限内派人保修的，发包人可以委托他人修理。</w:t>
      </w:r>
    </w:p>
    <w:p w14:paraId="40565399">
      <w:pPr>
        <w:snapToGrid w:val="0"/>
        <w:spacing w:line="336" w:lineRule="auto"/>
        <w:ind w:left="140" w:leftChars="50" w:firstLine="430" w:firstLineChars="20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2．发生紧急事故需抢修的，承包人在接到事故通知后，应当立即到达事故现场抢修。</w:t>
      </w:r>
    </w:p>
    <w:p w14:paraId="285326FD">
      <w:pPr>
        <w:snapToGrid w:val="0"/>
        <w:spacing w:line="336" w:lineRule="auto"/>
        <w:ind w:left="140" w:leftChars="50" w:firstLine="430" w:firstLineChars="20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5E802DE3">
      <w:pPr>
        <w:snapToGrid w:val="0"/>
        <w:spacing w:line="336" w:lineRule="auto"/>
        <w:ind w:left="560" w:leftChars="200" w:firstLine="105" w:firstLine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4．质量保修完成后，由发包人组织验收。</w:t>
      </w:r>
    </w:p>
    <w:p w14:paraId="23B0C187">
      <w:pPr>
        <w:snapToGrid w:val="0"/>
        <w:spacing w:line="33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五、保修费用</w:t>
      </w:r>
    </w:p>
    <w:p w14:paraId="073B68FF">
      <w:pPr>
        <w:snapToGrid w:val="0"/>
        <w:spacing w:line="336"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保修费用由造成质量缺陷的责任方承担。</w:t>
      </w:r>
    </w:p>
    <w:p w14:paraId="488DB07C">
      <w:pPr>
        <w:snapToGrid w:val="0"/>
        <w:spacing w:line="336"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六、双方约定的其他工程质量保修事项：</w:t>
      </w:r>
      <w:r>
        <w:rPr>
          <w:rFonts w:hint="eastAsia" w:ascii="宋体" w:hAnsi="宋体" w:eastAsia="宋体" w:cs="宋体"/>
          <w:color w:val="auto"/>
          <w:sz w:val="21"/>
          <w:szCs w:val="21"/>
          <w:highlight w:val="none"/>
          <w:u w:val="single"/>
        </w:rPr>
        <w:t xml:space="preserve">        /         </w:t>
      </w:r>
    </w:p>
    <w:p w14:paraId="39628AB8">
      <w:pPr>
        <w:snapToGrid w:val="0"/>
        <w:spacing w:line="336" w:lineRule="auto"/>
        <w:ind w:firstLine="399" w:firstLineChars="19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质量保修书由发包人、承包人在工程竣工验收前共同签署，作为施工合同附件，一式十四份，发包人捌份，监理壹份，承包人伍份。由双方法定代表人或其授权的代理人签署并加盖公章后生效，其有效期限至保修期满。</w:t>
      </w:r>
    </w:p>
    <w:p w14:paraId="60CA2005">
      <w:pPr>
        <w:snapToGrid w:val="0"/>
        <w:spacing w:line="336"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发包人(公章)：                                承包人(公章)：</w:t>
      </w:r>
    </w:p>
    <w:p w14:paraId="100BC062">
      <w:pPr>
        <w:snapToGrid w:val="0"/>
        <w:spacing w:line="336"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 (签字)：                            法定代表人(签字)：</w:t>
      </w:r>
    </w:p>
    <w:p w14:paraId="5F6BBD3A">
      <w:pPr>
        <w:snapToGrid w:val="0"/>
        <w:spacing w:line="336" w:lineRule="auto"/>
        <w:ind w:firstLine="840" w:firstLineChars="4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    月    日                                年    月    日</w:t>
      </w:r>
    </w:p>
    <w:p w14:paraId="139E514D">
      <w:pPr>
        <w:widowControl/>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r>
        <w:rPr>
          <w:rFonts w:hint="eastAsia" w:ascii="宋体" w:hAnsi="宋体" w:eastAsia="宋体" w:cs="宋体"/>
          <w:color w:val="auto"/>
          <w:sz w:val="21"/>
          <w:szCs w:val="21"/>
          <w:highlight w:val="none"/>
        </w:rPr>
        <w:t>附件2：</w:t>
      </w:r>
    </w:p>
    <w:p w14:paraId="26C58A10">
      <w:pPr>
        <w:snapToGrid w:val="0"/>
        <w:spacing w:line="360" w:lineRule="auto"/>
        <w:ind w:firstLine="420" w:firstLineChars="20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安全生产合同</w:t>
      </w:r>
    </w:p>
    <w:p w14:paraId="4BE2B627">
      <w:pPr>
        <w:widowControl/>
        <w:snapToGrid w:val="0"/>
        <w:spacing w:line="360" w:lineRule="auto"/>
        <w:rPr>
          <w:rFonts w:hint="eastAsia" w:ascii="宋体" w:hAnsi="宋体" w:eastAsia="宋体" w:cs="宋体"/>
          <w:b/>
          <w:color w:val="auto"/>
          <w:kern w:val="0"/>
          <w:sz w:val="21"/>
          <w:szCs w:val="21"/>
          <w:highlight w:val="none"/>
          <w:u w:val="single"/>
        </w:rPr>
      </w:pPr>
      <w:r>
        <w:rPr>
          <w:rFonts w:hint="eastAsia" w:ascii="宋体" w:hAnsi="宋体" w:eastAsia="宋体" w:cs="宋体"/>
          <w:color w:val="auto"/>
          <w:sz w:val="21"/>
          <w:szCs w:val="21"/>
          <w:highlight w:val="none"/>
        </w:rPr>
        <w:t xml:space="preserve">    为在</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（项目名称）合同的实施过程中创造安全、高效的施工环境，切实搞好本项目的安全管理工作，本项目业主</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（以下简称“甲方”）与施工单位</w:t>
      </w:r>
      <w:r>
        <w:rPr>
          <w:rFonts w:hint="eastAsia" w:ascii="宋体" w:hAnsi="宋体" w:eastAsia="宋体" w:cs="宋体"/>
          <w:color w:val="auto"/>
          <w:sz w:val="21"/>
          <w:szCs w:val="21"/>
          <w:highlight w:val="none"/>
          <w:u w:val="single"/>
        </w:rPr>
        <w:t xml:space="preserve"> </w:t>
      </w:r>
      <w:r>
        <w:rPr>
          <w:rFonts w:hint="eastAsia" w:ascii="宋体" w:hAnsi="宋体" w:eastAsia="宋体" w:cs="宋体"/>
          <w:b/>
          <w:color w:val="auto"/>
          <w:sz w:val="21"/>
          <w:szCs w:val="21"/>
          <w:highlight w:val="none"/>
          <w:u w:val="single"/>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（以下简称“乙方”）特此签订安全生产合同：</w:t>
      </w:r>
    </w:p>
    <w:p w14:paraId="621CB909">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一、甲方职责</w:t>
      </w:r>
    </w:p>
    <w:p w14:paraId="001C6417">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1、严格遵守国家有关安全生产的法律法规，认真执行工程承包合同中的有关安全要求。</w:t>
      </w:r>
    </w:p>
    <w:p w14:paraId="2E468C59">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2、重要的安全设施必须坚持与主体工程“三同时”的原则，即：同时设计、审批，同时施工，同时验收，投入使用。</w:t>
      </w:r>
    </w:p>
    <w:p w14:paraId="1E8F0771">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3、传达中央及地方有关安全生产的精神。</w:t>
      </w:r>
    </w:p>
    <w:p w14:paraId="08907D04">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4、不定期组织对乙方施工现场安全生产检查，监督乙方及时处理发现的各种安全隐患。</w:t>
      </w:r>
    </w:p>
    <w:p w14:paraId="4E33453C">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二、乙方职责</w:t>
      </w:r>
    </w:p>
    <w:p w14:paraId="7C89CF0E">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1、严格遵守国家有关安全生产的法律法规，认真执行工程承包合同中的有关安全要求。</w:t>
      </w:r>
    </w:p>
    <w:p w14:paraId="0B673BBF">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坚持“安全第一、预防为主”和“管生产必须管安全”的原则，以《中华人民共和国安全生产法》和《国务院进一步加强安全生产的决定》为指南加强安全生产宣传教育，增强全员安全生产意识，健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14:paraId="6A093584">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乙方要建立健全安全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14:paraId="421999F7">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4、乙方在任何时候都应采取各种合理的预防措施，防止其员工发生任何违法、违禁、暴力或妨碍治安的行为。</w:t>
      </w:r>
    </w:p>
    <w:p w14:paraId="6B805E27">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乙方必须具有劳动安全管理部门颁发的安全生产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w:t>
      </w:r>
    </w:p>
    <w:p w14:paraId="25219FAF">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乙方单位对于易燃易爆的材料除应专门妥善保管之外，还应配备有足够的消防设施，所有施工人员都应熟悉消防设备的性能和使用方法；乙方不得将任何种类的爆炸物给予、易货或以其他方式转让给任何其他人，或允许、容忍上述同样行为。</w:t>
      </w:r>
    </w:p>
    <w:p w14:paraId="658FE28C">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7、乙方应随时检查并监督施工单位操作人员上岗必须按规定穿戴防护用品。不按规定穿戴防护用品的人员不得上岗。</w:t>
      </w:r>
    </w:p>
    <w:p w14:paraId="5B3AC869">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8、施工单位对所有施工机具设备和高空作业的设备均应定期检查，并有安全员的签字记录，保证其经常处于完好状态；不合格的机具、设备和劳动保护用品严禁使用。</w:t>
      </w:r>
    </w:p>
    <w:p w14:paraId="5AC0385C">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9、施工单位对施工中采用新技术、新工艺、新设备、新材料时，必须制定相应的安全技术措施，施工现场必须具有相关的安全标志牌。</w:t>
      </w:r>
    </w:p>
    <w:p w14:paraId="6CDE5FCD">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乙方必须按照本工种项目特点，施工单位组织制定本工种实施中的生产安全事故应急救援预案；如果发生安全事故，应按照《国务院关于特大安全事故行政责任追究的规定》以及其它有关规定，及时上报有关部门，并坚持“三不放过”的原则，严肃处理相关责任人。</w:t>
      </w:r>
    </w:p>
    <w:p w14:paraId="61C7ABD6">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11、承包人严格执行《建设工程安全生产管理条例》。若施工单位在工程施工过程中发生安全事故，由施工单位负全责；施工单位在工程施工过程中发生安全事故，监理单位负连带责任。</w:t>
      </w:r>
    </w:p>
    <w:p w14:paraId="50BBF9F6">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三、违约责任</w:t>
      </w:r>
    </w:p>
    <w:p w14:paraId="16A63D75">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如因甲方或乙方违约造成安全事故，将依法追究责任。</w:t>
      </w:r>
    </w:p>
    <w:p w14:paraId="68B8AAB8">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本合同正本肆份，合同双方各执贰份，副本捌份，发包人执陆份，承包人执贰份。由双方法定代表人或其授权的代理人签署与加盖公章后生效，全部工程竣工验收后失效。</w:t>
      </w:r>
    </w:p>
    <w:p w14:paraId="3D7BBFE7">
      <w:pPr>
        <w:snapToGrid w:val="0"/>
        <w:spacing w:line="360" w:lineRule="auto"/>
        <w:ind w:firstLine="420" w:firstLineChars="200"/>
        <w:rPr>
          <w:rFonts w:hint="eastAsia" w:ascii="宋体" w:hAnsi="宋体" w:eastAsia="宋体" w:cs="宋体"/>
          <w:color w:val="auto"/>
          <w:sz w:val="21"/>
          <w:szCs w:val="21"/>
          <w:highlight w:val="none"/>
        </w:rPr>
      </w:pPr>
    </w:p>
    <w:p w14:paraId="258DD1D8">
      <w:pPr>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甲    方：                   </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 xml:space="preserve">       乙   方：</w:t>
      </w:r>
    </w:p>
    <w:p w14:paraId="271D37D5">
      <w:pPr>
        <w:snapToGrid w:val="0"/>
        <w:spacing w:line="360" w:lineRule="auto"/>
        <w:rPr>
          <w:rFonts w:hint="eastAsia" w:ascii="宋体" w:hAnsi="宋体" w:eastAsia="宋体" w:cs="宋体"/>
          <w:color w:val="auto"/>
          <w:sz w:val="21"/>
          <w:szCs w:val="21"/>
          <w:highlight w:val="none"/>
        </w:rPr>
      </w:pPr>
    </w:p>
    <w:p w14:paraId="0978D877">
      <w:pPr>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法定代表人：　　　  　　　　　　</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 xml:space="preserve">                   法定代表人：</w:t>
      </w:r>
    </w:p>
    <w:p w14:paraId="5984472E">
      <w:pPr>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11FB84BA">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年    月    日　　　　　　　　  </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 xml:space="preserve">               年    月    日</w:t>
      </w:r>
    </w:p>
    <w:p w14:paraId="05D16E96">
      <w:pPr>
        <w:spacing w:line="360" w:lineRule="auto"/>
        <w:ind w:firstLine="420" w:firstLineChars="200"/>
        <w:rPr>
          <w:rFonts w:hint="eastAsia" w:ascii="宋体" w:hAnsi="宋体" w:eastAsia="宋体" w:cs="宋体"/>
          <w:color w:val="auto"/>
          <w:sz w:val="21"/>
          <w:szCs w:val="21"/>
          <w:highlight w:val="none"/>
        </w:rPr>
      </w:pPr>
    </w:p>
    <w:p w14:paraId="2FB7FEF5">
      <w:pPr>
        <w:spacing w:line="360" w:lineRule="auto"/>
        <w:ind w:firstLine="420" w:firstLineChars="200"/>
        <w:rPr>
          <w:rFonts w:hint="eastAsia" w:ascii="宋体" w:hAnsi="宋体" w:eastAsia="宋体" w:cs="宋体"/>
          <w:color w:val="auto"/>
          <w:sz w:val="21"/>
          <w:szCs w:val="21"/>
          <w:highlight w:val="none"/>
        </w:rPr>
      </w:pPr>
    </w:p>
    <w:p w14:paraId="7D99CD1A">
      <w:pPr>
        <w:widowControl/>
        <w:snapToGrid w:val="0"/>
        <w:spacing w:line="324"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r>
        <w:rPr>
          <w:rFonts w:hint="eastAsia" w:ascii="宋体" w:hAnsi="宋体" w:eastAsia="宋体" w:cs="宋体"/>
          <w:color w:val="auto"/>
          <w:sz w:val="21"/>
          <w:szCs w:val="21"/>
          <w:highlight w:val="none"/>
        </w:rPr>
        <w:t xml:space="preserve">附件3： </w:t>
      </w:r>
    </w:p>
    <w:p w14:paraId="7277C496">
      <w:pPr>
        <w:snapToGrid w:val="0"/>
        <w:spacing w:line="324"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廉洁协议</w:t>
      </w:r>
    </w:p>
    <w:p w14:paraId="556DDC66">
      <w:pPr>
        <w:snapToGrid w:val="0"/>
        <w:spacing w:line="324" w:lineRule="auto"/>
        <w:ind w:firstLine="56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发包人（甲方）：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7E4C0ADB">
      <w:pPr>
        <w:snapToGrid w:val="0"/>
        <w:spacing w:line="324" w:lineRule="auto"/>
        <w:ind w:firstLine="56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承包人（乙方）：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49938A88">
      <w:pPr>
        <w:snapToGrid w:val="0"/>
        <w:spacing w:line="324" w:lineRule="auto"/>
        <w:ind w:firstLine="56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为了在工程建设中防止各种不正当行为的发生，促进本单位的党风廉政建设，根据国家和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有关工程承发包和廉政建设的各项规定以及</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关于《</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》，特订立如下协议： </w:t>
      </w:r>
    </w:p>
    <w:p w14:paraId="65A966BA">
      <w:pPr>
        <w:snapToGrid w:val="0"/>
        <w:spacing w:line="324" w:lineRule="auto"/>
        <w:ind w:firstLine="56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一、甲乙双方应当共同自觉遵守国家和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关于党风廉政建设的各项规定和关于建设工程承发包的各项规定。 </w:t>
      </w:r>
    </w:p>
    <w:p w14:paraId="73FDAF95">
      <w:pPr>
        <w:snapToGrid w:val="0"/>
        <w:spacing w:line="324" w:lineRule="auto"/>
        <w:ind w:firstLine="56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二、甲方及其工作人员应做到 </w:t>
      </w:r>
    </w:p>
    <w:p w14:paraId="785E5F85">
      <w:pPr>
        <w:snapToGrid w:val="0"/>
        <w:spacing w:line="324" w:lineRule="auto"/>
        <w:ind w:firstLine="56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（一）甲方工作人员（含家属、子女，下同）不得以任何形式向乙方索要赞助和收受回扣等好处费。 </w:t>
      </w:r>
    </w:p>
    <w:p w14:paraId="4F004E15">
      <w:pPr>
        <w:snapToGrid w:val="0"/>
        <w:spacing w:line="324" w:lineRule="auto"/>
        <w:ind w:firstLine="56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二）甲方工作人员应当保持与乙方的正常业务交往，不得接受乙方的礼金、有价证券和贵重物品，不得向乙方索要（或接受）通讯工具、交通工具、家电及高档办公用品，不得在乙方报销任何应由单位或个人支付的费用。 </w:t>
      </w:r>
    </w:p>
    <w:p w14:paraId="73BFA0B1">
      <w:pPr>
        <w:snapToGrid w:val="0"/>
        <w:spacing w:line="324" w:lineRule="auto"/>
        <w:ind w:firstLine="56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（三）甲方工作人员不得参加可能影响公正执行公务的宴请和高消费的娱乐活动。 </w:t>
      </w:r>
    </w:p>
    <w:p w14:paraId="4A8CE1E8">
      <w:pPr>
        <w:snapToGrid w:val="0"/>
        <w:spacing w:line="324" w:lineRule="auto"/>
        <w:ind w:firstLine="56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（四）甲方工作人员不得要求或者接受乙方为其住房装修、婚丧嫁娶、家属和子女的工作安排，以及出国出境提供方便。 </w:t>
      </w:r>
    </w:p>
    <w:p w14:paraId="481CEDFE">
      <w:pPr>
        <w:snapToGrid w:val="0"/>
        <w:spacing w:line="324" w:lineRule="auto"/>
        <w:ind w:firstLine="56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（五）甲方工作人员不得以考察、参观等名义参加乙方安排的国内外旅游活动。 </w:t>
      </w:r>
    </w:p>
    <w:p w14:paraId="5FDA7C59">
      <w:pPr>
        <w:snapToGrid w:val="0"/>
        <w:spacing w:line="324" w:lineRule="auto"/>
        <w:ind w:firstLine="56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（六）甲方工作人员不得向乙方介绍家属或亲友从事与甲方工程有关的材料设备供应、工程分包等经济活动。 </w:t>
      </w:r>
    </w:p>
    <w:p w14:paraId="253B5F17">
      <w:pPr>
        <w:snapToGrid w:val="0"/>
        <w:spacing w:line="324" w:lineRule="auto"/>
        <w:ind w:firstLine="56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三、乙方及其工作人员应当做到 </w:t>
      </w:r>
    </w:p>
    <w:p w14:paraId="4FEB76EC">
      <w:pPr>
        <w:snapToGrid w:val="0"/>
        <w:spacing w:line="324" w:lineRule="auto"/>
        <w:ind w:firstLine="56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（一）乙方应当通过正常途径开展相对业务工作，不得为获取某些不正当利益而向甲方工作人员（含家属、子女，下同）赠送礼金、有价证券和贵重物品等。 </w:t>
      </w:r>
    </w:p>
    <w:p w14:paraId="67E9B962">
      <w:pPr>
        <w:snapToGrid w:val="0"/>
        <w:spacing w:line="324" w:lineRule="auto"/>
        <w:ind w:firstLine="56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（二）乙方工作人员不得为谋取私利擅自与甲方工作人员就工程承包、工程费用、材料设备供应、工程量变动、工程验收、工程质量问题处理等进行私下商谈或者达成默契。 </w:t>
      </w:r>
    </w:p>
    <w:p w14:paraId="19DC0335">
      <w:pPr>
        <w:snapToGrid w:val="0"/>
        <w:spacing w:line="324" w:lineRule="auto"/>
        <w:ind w:firstLine="56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（三）乙方不得以洽谈业务、签订经济协议等为借口，邀请甲方工作人员外出旅游或进入营业性高档娱乐场所。 </w:t>
      </w:r>
    </w:p>
    <w:p w14:paraId="7B68A95C">
      <w:pPr>
        <w:snapToGrid w:val="0"/>
        <w:spacing w:line="324" w:lineRule="auto"/>
        <w:ind w:firstLine="56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（四）乙方不得为甲方单位和个人购置或者提供通讯工具、交通工具、家电及高档办公用品等物品。 </w:t>
      </w:r>
    </w:p>
    <w:p w14:paraId="7E65DF25">
      <w:pPr>
        <w:snapToGrid w:val="0"/>
        <w:spacing w:line="324" w:lineRule="auto"/>
        <w:ind w:firstLine="56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四、乙方如发现甲方及其工作人员有违反上述协议者，应当向甲方领导或者甲方上级单位举报，甲方不得找任何借口对乙方进行报复或刁难、延误工作。 </w:t>
      </w:r>
    </w:p>
    <w:p w14:paraId="23F9BA6B">
      <w:pPr>
        <w:snapToGrid w:val="0"/>
        <w:spacing w:line="324" w:lineRule="auto"/>
        <w:ind w:firstLine="56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五、甲方发现乙方有违反本协议或者采用不正当的手段贿赂甲方工作人员，甲方应向乙方上级领导或有关部门举报，由此给甲方单位造成的损失均由乙方承担。 </w:t>
      </w:r>
    </w:p>
    <w:p w14:paraId="13A2ABC3">
      <w:pPr>
        <w:snapToGrid w:val="0"/>
        <w:spacing w:line="324" w:lineRule="auto"/>
        <w:ind w:firstLine="56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六、本协议作为工程承发包协议的附件，经协议双方签署后立即生效。 </w:t>
      </w:r>
    </w:p>
    <w:p w14:paraId="18272FDF">
      <w:pPr>
        <w:snapToGrid w:val="0"/>
        <w:spacing w:line="324" w:lineRule="auto"/>
        <w:ind w:firstLine="56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七、本协议一式四份，甲乙双方各执一份，送交见证部门和纪检监察机关各一份。 </w:t>
      </w:r>
    </w:p>
    <w:p w14:paraId="17883F30">
      <w:pPr>
        <w:snapToGrid w:val="0"/>
        <w:spacing w:line="324" w:lineRule="auto"/>
        <w:ind w:firstLine="56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甲方（盖章）：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乙方（盖章）：</w:t>
      </w:r>
      <w:r>
        <w:rPr>
          <w:rFonts w:hint="eastAsia" w:ascii="宋体" w:hAnsi="宋体" w:eastAsia="宋体" w:cs="宋体"/>
          <w:color w:val="auto"/>
          <w:sz w:val="21"/>
          <w:szCs w:val="21"/>
          <w:highlight w:val="none"/>
          <w:u w:val="single"/>
        </w:rPr>
        <w:t xml:space="preserve">               </w:t>
      </w:r>
    </w:p>
    <w:p w14:paraId="6C187B4A">
      <w:pPr>
        <w:snapToGrid w:val="0"/>
        <w:spacing w:line="324" w:lineRule="auto"/>
        <w:ind w:firstLine="56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法定代表人（签字）：</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法定代表人（签字）：</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4DC157A5">
      <w:pPr>
        <w:numPr>
          <w:ilvl w:val="0"/>
          <w:numId w:val="0"/>
        </w:numPr>
        <w:rPr>
          <w:rFonts w:hint="eastAsia"/>
          <w:color w:val="auto"/>
          <w:highlight w:val="none"/>
        </w:rPr>
      </w:pP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日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4B6BEB31">
      <w:pPr>
        <w:tabs>
          <w:tab w:val="left" w:pos="9000"/>
        </w:tabs>
        <w:spacing w:line="276" w:lineRule="auto"/>
        <w:jc w:val="center"/>
        <w:rPr>
          <w:rFonts w:hint="eastAsia" w:ascii="宋体" w:hAnsi="宋体" w:eastAsia="宋体" w:cs="宋体"/>
          <w:color w:val="auto"/>
          <w:sz w:val="21"/>
          <w:szCs w:val="21"/>
          <w:highlight w:val="none"/>
        </w:rPr>
        <w:sectPr>
          <w:pgSz w:w="11907" w:h="16840"/>
          <w:pgMar w:top="1134" w:right="1191" w:bottom="1134" w:left="1304" w:header="964" w:footer="992" w:gutter="0"/>
          <w:pgNumType w:fmt="numberInDash"/>
          <w:cols w:space="720" w:num="1"/>
          <w:docGrid w:linePitch="312" w:charSpace="0"/>
        </w:sectPr>
      </w:pPr>
    </w:p>
    <w:p w14:paraId="12A4EFA0">
      <w:pPr>
        <w:pStyle w:val="4"/>
        <w:spacing w:before="0" w:after="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2C3949A7">
      <w:pPr>
        <w:jc w:val="center"/>
        <w:rPr>
          <w:rFonts w:hint="eastAsia" w:ascii="宋体" w:hAnsi="宋体" w:eastAsia="宋体" w:cs="宋体"/>
          <w:bCs/>
          <w:color w:val="auto"/>
          <w:sz w:val="36"/>
          <w:szCs w:val="30"/>
          <w:highlight w:val="none"/>
        </w:rPr>
      </w:pPr>
      <w:r>
        <w:rPr>
          <w:rFonts w:hint="eastAsia" w:ascii="宋体" w:hAnsi="宋体" w:eastAsia="宋体" w:cs="宋体"/>
          <w:b/>
          <w:bCs/>
          <w:color w:val="auto"/>
          <w:sz w:val="36"/>
          <w:szCs w:val="30"/>
          <w:highlight w:val="none"/>
        </w:rPr>
        <w:t>第七篇响应文件编制要求</w:t>
      </w:r>
    </w:p>
    <w:p w14:paraId="1BF72253">
      <w:pPr>
        <w:spacing w:line="440" w:lineRule="exact"/>
        <w:ind w:firstLine="480" w:firstLineChars="200"/>
        <w:rPr>
          <w:rFonts w:hint="eastAsia" w:ascii="宋体" w:hAnsi="宋体" w:eastAsia="宋体" w:cs="宋体"/>
          <w:color w:val="auto"/>
          <w:sz w:val="24"/>
          <w:szCs w:val="24"/>
          <w:highlight w:val="none"/>
        </w:rPr>
      </w:pPr>
      <w:bookmarkStart w:id="727" w:name="_Toc283382454"/>
      <w:bookmarkStart w:id="728" w:name="_Toc313008356"/>
      <w:bookmarkStart w:id="729" w:name="_Toc342913419"/>
      <w:bookmarkStart w:id="730" w:name="_Toc313888360"/>
      <w:bookmarkStart w:id="731" w:name="_Toc12789073"/>
      <w:r>
        <w:rPr>
          <w:rFonts w:hint="eastAsia" w:ascii="宋体" w:hAnsi="宋体" w:eastAsia="宋体" w:cs="宋体"/>
          <w:color w:val="auto"/>
          <w:sz w:val="24"/>
          <w:szCs w:val="24"/>
          <w:highlight w:val="none"/>
        </w:rPr>
        <w:t>一、经济部分</w:t>
      </w:r>
    </w:p>
    <w:p w14:paraId="32D72FAF">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（一）网上竞采报价函</w:t>
      </w:r>
    </w:p>
    <w:p w14:paraId="36C82DD7">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w:t>
      </w:r>
      <w:r>
        <w:rPr>
          <w:rFonts w:hint="eastAsia" w:ascii="宋体" w:hAnsi="宋体" w:eastAsia="宋体" w:cs="宋体"/>
          <w:color w:val="auto"/>
          <w:sz w:val="24"/>
          <w:szCs w:val="24"/>
          <w:highlight w:val="none"/>
          <w:lang w:eastAsia="zh-CN"/>
        </w:rPr>
        <w:t>已标价工程量清单</w:t>
      </w:r>
    </w:p>
    <w:p w14:paraId="22D6CDD0">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二、技术部分</w:t>
      </w:r>
    </w:p>
    <w:p w14:paraId="106242A5">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（一）技术响应偏离表</w:t>
      </w:r>
    </w:p>
    <w:p w14:paraId="70445C24">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（二）技术部分其他资料</w:t>
      </w:r>
    </w:p>
    <w:p w14:paraId="19F39CF3">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三、商务部分</w:t>
      </w:r>
    </w:p>
    <w:p w14:paraId="71F9E8F2">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（一）商务响应偏离表</w:t>
      </w:r>
    </w:p>
    <w:p w14:paraId="1F1A3ECC">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（二）商务部分其他资料</w:t>
      </w:r>
    </w:p>
    <w:p w14:paraId="4220FC05">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四、资格条件及其他</w:t>
      </w:r>
    </w:p>
    <w:p w14:paraId="08F7E1E2">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（一）营业执照（副本）或事业单位法人证书（副本）复印件</w:t>
      </w:r>
    </w:p>
    <w:p w14:paraId="0CF63D01">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（二）法定代表人身份证明书（格式）</w:t>
      </w:r>
    </w:p>
    <w:p w14:paraId="2C0D69C8">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（三）法定代表人授权委托书（格式）</w:t>
      </w:r>
    </w:p>
    <w:p w14:paraId="6920B2F3">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（四）基本资格条件承诺函</w:t>
      </w:r>
    </w:p>
    <w:p w14:paraId="2756151A">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（五）特定资格条件证明文件（如有）</w:t>
      </w:r>
    </w:p>
    <w:p w14:paraId="4011EC7A">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五、其他应提供的资料</w:t>
      </w:r>
    </w:p>
    <w:p w14:paraId="1529284B">
      <w:pPr>
        <w:snapToGrid w:val="0"/>
        <w:spacing w:line="400" w:lineRule="exact"/>
        <w:ind w:firstLine="720" w:firstLineChars="3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其他与项目有关的资料（自附）</w:t>
      </w:r>
    </w:p>
    <w:p w14:paraId="5EA043E8">
      <w:pPr>
        <w:spacing w:line="440" w:lineRule="exact"/>
        <w:ind w:firstLine="480" w:firstLineChars="200"/>
        <w:rPr>
          <w:rFonts w:hint="eastAsia" w:ascii="宋体" w:hAnsi="宋体" w:eastAsia="宋体" w:cs="宋体"/>
          <w:color w:val="auto"/>
          <w:sz w:val="24"/>
          <w:szCs w:val="24"/>
          <w:highlight w:val="none"/>
        </w:rPr>
        <w:sectPr>
          <w:headerReference r:id="rId6" w:type="default"/>
          <w:footerReference r:id="rId7" w:type="default"/>
          <w:pgSz w:w="11907" w:h="16840"/>
          <w:pgMar w:top="1134" w:right="1191" w:bottom="1134" w:left="1304" w:header="851" w:footer="992" w:gutter="0"/>
          <w:pgNumType w:fmt="numberInDash"/>
          <w:cols w:space="720" w:num="1"/>
          <w:docGrid w:linePitch="380" w:charSpace="-5735"/>
        </w:sectPr>
      </w:pPr>
    </w:p>
    <w:bookmarkEnd w:id="727"/>
    <w:bookmarkEnd w:id="728"/>
    <w:bookmarkEnd w:id="729"/>
    <w:bookmarkEnd w:id="730"/>
    <w:bookmarkEnd w:id="731"/>
    <w:p w14:paraId="7341D25E">
      <w:pPr>
        <w:pStyle w:val="5"/>
        <w:spacing w:before="0" w:after="0" w:line="360" w:lineRule="auto"/>
        <w:rPr>
          <w:rFonts w:hint="eastAsia" w:ascii="宋体" w:hAnsi="宋体" w:eastAsia="宋体" w:cs="宋体"/>
          <w:color w:val="auto"/>
          <w:sz w:val="24"/>
          <w:szCs w:val="24"/>
          <w:highlight w:val="none"/>
        </w:rPr>
      </w:pPr>
      <w:bookmarkStart w:id="732" w:name="_Toc103679699"/>
      <w:bookmarkStart w:id="733" w:name="_Toc21017"/>
      <w:bookmarkStart w:id="734" w:name="_Toc23161"/>
      <w:r>
        <w:rPr>
          <w:rFonts w:hint="eastAsia" w:ascii="宋体" w:hAnsi="宋体" w:eastAsia="宋体" w:cs="宋体"/>
          <w:color w:val="auto"/>
          <w:sz w:val="24"/>
          <w:szCs w:val="24"/>
          <w:highlight w:val="none"/>
        </w:rPr>
        <w:t>一、经济部分</w:t>
      </w:r>
      <w:bookmarkEnd w:id="732"/>
      <w:bookmarkEnd w:id="733"/>
      <w:bookmarkEnd w:id="734"/>
    </w:p>
    <w:p w14:paraId="4E757218">
      <w:pPr>
        <w:tabs>
          <w:tab w:val="left" w:pos="6300"/>
        </w:tabs>
        <w:snapToGrid w:val="0"/>
        <w:spacing w:line="312" w:lineRule="auto"/>
        <w:jc w:val="left"/>
        <w:outlineLvl w:val="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（一）网上竞采报价函</w:t>
      </w:r>
    </w:p>
    <w:p w14:paraId="0D326ED8">
      <w:pPr>
        <w:tabs>
          <w:tab w:val="left" w:pos="6300"/>
        </w:tabs>
        <w:snapToGrid w:val="0"/>
        <w:spacing w:line="312" w:lineRule="auto"/>
        <w:jc w:val="center"/>
        <w:outlineLvl w:val="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网上竞采报价函</w:t>
      </w:r>
    </w:p>
    <w:p w14:paraId="7FCF17B9">
      <w:pPr>
        <w:tabs>
          <w:tab w:val="left" w:pos="6300"/>
        </w:tabs>
        <w:snapToGrid w:val="0"/>
        <w:spacing w:line="312"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w:t>
      </w:r>
      <w:r>
        <w:rPr>
          <w:rFonts w:hint="eastAsia" w:ascii="宋体" w:hAnsi="宋体" w:cs="宋体"/>
          <w:color w:val="auto"/>
          <w:sz w:val="24"/>
          <w:szCs w:val="24"/>
          <w:highlight w:val="none"/>
          <w:u w:val="single"/>
        </w:rPr>
        <w:t>采购人名称</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w:t>
      </w:r>
    </w:p>
    <w:p w14:paraId="2ECE5EBC">
      <w:pPr>
        <w:tabs>
          <w:tab w:val="left" w:pos="6300"/>
        </w:tabs>
        <w:snapToGrid w:val="0"/>
        <w:spacing w:line="312"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我方收到____________________________（项目名称）的网上竞采文件，经详细研究，决定参加该项目的网上竞采。</w:t>
      </w:r>
    </w:p>
    <w:p w14:paraId="782C44CF">
      <w:pPr>
        <w:tabs>
          <w:tab w:val="left" w:pos="6300"/>
        </w:tabs>
        <w:snapToGrid w:val="0"/>
        <w:spacing w:line="312"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rPr>
        <w:t>愿意按照</w:t>
      </w:r>
      <w:r>
        <w:rPr>
          <w:rFonts w:hint="eastAsia" w:ascii="宋体" w:hAnsi="宋体" w:cs="宋体"/>
          <w:color w:val="auto"/>
          <w:sz w:val="24"/>
          <w:szCs w:val="24"/>
          <w:highlight w:val="none"/>
          <w:lang w:val="en-US" w:eastAsia="zh-CN"/>
        </w:rPr>
        <w:t>竞采</w:t>
      </w:r>
      <w:r>
        <w:rPr>
          <w:rFonts w:hint="eastAsia" w:ascii="宋体" w:hAnsi="宋体" w:cs="宋体"/>
          <w:color w:val="auto"/>
          <w:sz w:val="24"/>
          <w:szCs w:val="24"/>
          <w:highlight w:val="none"/>
        </w:rPr>
        <w:t>文件中的一切要求，提供本项目的技术服务，</w:t>
      </w:r>
      <w:r>
        <w:rPr>
          <w:rFonts w:hint="eastAsia" w:ascii="宋体" w:hAnsi="宋体" w:cs="宋体"/>
          <w:color w:val="auto"/>
          <w:sz w:val="24"/>
          <w:szCs w:val="24"/>
          <w:highlight w:val="none"/>
          <w:lang w:eastAsia="zh-CN"/>
        </w:rPr>
        <w:t>投标</w:t>
      </w:r>
      <w:r>
        <w:rPr>
          <w:rFonts w:hint="eastAsia" w:ascii="宋体" w:hAnsi="宋体" w:cs="宋体"/>
          <w:color w:val="auto"/>
          <w:sz w:val="24"/>
          <w:szCs w:val="24"/>
          <w:highlight w:val="none"/>
        </w:rPr>
        <w:t>报价为人民币大写：</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；人民币小写：</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元。</w:t>
      </w:r>
      <w:r>
        <w:rPr>
          <w:rFonts w:ascii="宋体" w:hAnsi="宋体"/>
          <w:snapToGrid w:val="0"/>
          <w:color w:val="auto"/>
          <w:kern w:val="0"/>
          <w:sz w:val="24"/>
          <w:szCs w:val="24"/>
          <w:highlight w:val="none"/>
        </w:rPr>
        <w:t>其中安全</w:t>
      </w:r>
      <w:r>
        <w:rPr>
          <w:rFonts w:hint="eastAsia" w:ascii="宋体" w:hAnsi="宋体"/>
          <w:snapToGrid w:val="0"/>
          <w:color w:val="auto"/>
          <w:kern w:val="0"/>
          <w:sz w:val="24"/>
          <w:szCs w:val="24"/>
          <w:highlight w:val="none"/>
        </w:rPr>
        <w:t>文明施工</w:t>
      </w:r>
      <w:r>
        <w:rPr>
          <w:rFonts w:ascii="宋体" w:hAnsi="宋体"/>
          <w:snapToGrid w:val="0"/>
          <w:color w:val="auto"/>
          <w:kern w:val="0"/>
          <w:sz w:val="24"/>
          <w:szCs w:val="24"/>
          <w:highlight w:val="none"/>
        </w:rPr>
        <w:t>费暂定金额为人民币</w:t>
      </w:r>
      <w:r>
        <w:rPr>
          <w:rFonts w:ascii="宋体" w:hAnsi="宋体"/>
          <w:snapToGrid w:val="0"/>
          <w:color w:val="auto"/>
          <w:kern w:val="0"/>
          <w:sz w:val="24"/>
          <w:szCs w:val="24"/>
          <w:highlight w:val="none"/>
          <w:u w:val="single"/>
        </w:rPr>
        <w:t xml:space="preserve">        </w:t>
      </w:r>
      <w:r>
        <w:rPr>
          <w:rFonts w:ascii="宋体" w:hAnsi="宋体"/>
          <w:snapToGrid w:val="0"/>
          <w:color w:val="auto"/>
          <w:kern w:val="0"/>
          <w:sz w:val="24"/>
          <w:szCs w:val="24"/>
          <w:highlight w:val="none"/>
        </w:rPr>
        <w:t>元</w:t>
      </w:r>
      <w:r>
        <w:rPr>
          <w:rFonts w:hint="eastAsia" w:ascii="宋体" w:hAnsi="宋体"/>
          <w:snapToGrid w:val="0"/>
          <w:color w:val="auto"/>
          <w:kern w:val="0"/>
          <w:sz w:val="24"/>
          <w:szCs w:val="24"/>
          <w:highlight w:val="none"/>
        </w:rPr>
        <w:t>）</w:t>
      </w:r>
      <w:r>
        <w:rPr>
          <w:rFonts w:hint="eastAsia" w:ascii="宋体" w:hAnsi="宋体" w:eastAsia="宋体" w:cs="宋体"/>
          <w:color w:val="auto"/>
          <w:sz w:val="24"/>
          <w:szCs w:val="24"/>
          <w:highlight w:val="none"/>
        </w:rPr>
        <w:t>。</w:t>
      </w:r>
    </w:p>
    <w:p w14:paraId="7BFCC15E">
      <w:pPr>
        <w:tabs>
          <w:tab w:val="left" w:pos="6300"/>
        </w:tabs>
        <w:snapToGrid w:val="0"/>
        <w:spacing w:line="312"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2.我方现提交的响应文件为：响应文件正本  份，副本  份。</w:t>
      </w:r>
    </w:p>
    <w:p w14:paraId="316BC22C">
      <w:pPr>
        <w:tabs>
          <w:tab w:val="left" w:pos="6300"/>
        </w:tabs>
        <w:snapToGrid w:val="0"/>
        <w:spacing w:line="312"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3.我方承诺：本次网上竞采的有效期为90天。</w:t>
      </w:r>
    </w:p>
    <w:p w14:paraId="51586D78">
      <w:pPr>
        <w:tabs>
          <w:tab w:val="left" w:pos="6300"/>
        </w:tabs>
        <w:snapToGrid w:val="0"/>
        <w:spacing w:line="312"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4.我方完全理解和接受贵方网上竞采文件的一切规定和要求及评审办法。</w:t>
      </w:r>
    </w:p>
    <w:p w14:paraId="27877828">
      <w:pPr>
        <w:tabs>
          <w:tab w:val="left" w:pos="6300"/>
        </w:tabs>
        <w:snapToGrid w:val="0"/>
        <w:spacing w:line="312"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5.在整个网上竞采过程中，我方若有违规行为，接受按照《中华人民共和国政府采购法》和《网上竞采文件》之规定给予惩罚。</w:t>
      </w:r>
    </w:p>
    <w:p w14:paraId="4B6B63A6">
      <w:pPr>
        <w:tabs>
          <w:tab w:val="left" w:pos="6300"/>
        </w:tabs>
        <w:snapToGrid w:val="0"/>
        <w:spacing w:line="312"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6.我方若成为成交供应商，将按照最终网上竞采结果签订合同，并且严格履行合同义务。本承诺函将成为合同不可分割的一部分，与合同具有同等的法律效力。</w:t>
      </w:r>
    </w:p>
    <w:p w14:paraId="3B034F2D">
      <w:pPr>
        <w:tabs>
          <w:tab w:val="left" w:pos="6300"/>
        </w:tabs>
        <w:snapToGrid w:val="0"/>
        <w:spacing w:line="312"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7.我方同意按网上竞采文件规定。如果我方成为成交供应商，保证在接到成交通知书前，向采购代理机构缴纳网上竞采文件规定的采购代理服务费。</w:t>
      </w:r>
    </w:p>
    <w:p w14:paraId="26F7E54B">
      <w:pPr>
        <w:tabs>
          <w:tab w:val="left" w:pos="6300"/>
        </w:tabs>
        <w:snapToGrid w:val="0"/>
        <w:spacing w:line="312"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r>
        <w:rPr>
          <w:rFonts w:hint="eastAsia" w:ascii="宋体" w:hAnsi="宋体" w:eastAsia="宋体" w:cs="宋体"/>
          <w:color w:val="auto"/>
          <w:sz w:val="24"/>
          <w:szCs w:val="28"/>
          <w:highlight w:val="none"/>
        </w:rPr>
        <w:t>我方未</w:t>
      </w:r>
      <w:r>
        <w:rPr>
          <w:rFonts w:hint="eastAsia" w:ascii="宋体" w:hAnsi="宋体" w:eastAsia="宋体" w:cs="宋体"/>
          <w:color w:val="auto"/>
          <w:sz w:val="24"/>
          <w:szCs w:val="24"/>
          <w:highlight w:val="none"/>
        </w:rPr>
        <w:t>为采购项目提供整体设计、规范编制或者项目管理、监理、检测等服务。</w:t>
      </w:r>
    </w:p>
    <w:p w14:paraId="604EBD3B">
      <w:pPr>
        <w:tabs>
          <w:tab w:val="left" w:pos="6300"/>
        </w:tabs>
        <w:snapToGrid w:val="0"/>
        <w:spacing w:line="312" w:lineRule="auto"/>
        <w:ind w:firstLine="570"/>
        <w:rPr>
          <w:rFonts w:hint="eastAsia" w:ascii="宋体" w:hAnsi="宋体" w:eastAsia="宋体" w:cs="宋体"/>
          <w:color w:val="auto"/>
          <w:sz w:val="24"/>
          <w:szCs w:val="24"/>
          <w:highlight w:val="none"/>
        </w:rPr>
      </w:pPr>
    </w:p>
    <w:p w14:paraId="60E75EB8">
      <w:pPr>
        <w:tabs>
          <w:tab w:val="left" w:pos="6300"/>
        </w:tabs>
        <w:snapToGrid w:val="0"/>
        <w:spacing w:line="312" w:lineRule="auto"/>
        <w:ind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供应商（公章）：</w:t>
      </w:r>
    </w:p>
    <w:p w14:paraId="4A33A42F">
      <w:pPr>
        <w:tabs>
          <w:tab w:val="left" w:pos="6300"/>
        </w:tabs>
        <w:snapToGrid w:val="0"/>
        <w:spacing w:line="312" w:lineRule="auto"/>
        <w:ind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p>
    <w:p w14:paraId="382E98DD">
      <w:pPr>
        <w:tabs>
          <w:tab w:val="left" w:pos="6300"/>
        </w:tabs>
        <w:snapToGrid w:val="0"/>
        <w:spacing w:line="312" w:lineRule="auto"/>
        <w:ind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电话：               传真：</w:t>
      </w:r>
    </w:p>
    <w:p w14:paraId="2CF9C96C">
      <w:pPr>
        <w:tabs>
          <w:tab w:val="left" w:pos="6300"/>
        </w:tabs>
        <w:snapToGrid w:val="0"/>
        <w:spacing w:line="312" w:lineRule="auto"/>
        <w:ind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网址：               邮编：</w:t>
      </w:r>
    </w:p>
    <w:p w14:paraId="0F6C1496">
      <w:pPr>
        <w:tabs>
          <w:tab w:val="left" w:pos="6300"/>
        </w:tabs>
        <w:snapToGrid w:val="0"/>
        <w:spacing w:line="312" w:lineRule="auto"/>
        <w:ind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w:t>
      </w:r>
    </w:p>
    <w:p w14:paraId="3047364B">
      <w:pPr>
        <w:snapToGrid w:val="0"/>
        <w:spacing w:line="312" w:lineRule="auto"/>
        <w:ind w:firstLine="480" w:firstLineChars="200"/>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 月 日</w:t>
      </w:r>
    </w:p>
    <w:p w14:paraId="3BC5A346">
      <w:pPr>
        <w:pStyle w:val="127"/>
        <w:rPr>
          <w:rFonts w:hint="eastAsia" w:ascii="宋体" w:hAnsi="宋体" w:eastAsia="宋体" w:cs="宋体"/>
          <w:color w:val="auto"/>
          <w:highlight w:val="none"/>
        </w:rPr>
      </w:pPr>
    </w:p>
    <w:p w14:paraId="28CDDAAF">
      <w:pPr>
        <w:pStyle w:val="127"/>
        <w:rPr>
          <w:rFonts w:hint="eastAsia" w:ascii="宋体" w:hAnsi="宋体" w:eastAsia="宋体" w:cs="宋体"/>
          <w:color w:val="auto"/>
          <w:highlight w:val="none"/>
        </w:rPr>
      </w:pPr>
    </w:p>
    <w:p w14:paraId="5F531874">
      <w:pPr>
        <w:pStyle w:val="127"/>
        <w:rPr>
          <w:rFonts w:hint="eastAsia" w:ascii="宋体" w:hAnsi="宋体" w:eastAsia="宋体" w:cs="宋体"/>
          <w:color w:val="auto"/>
          <w:highlight w:val="none"/>
        </w:rPr>
      </w:pPr>
    </w:p>
    <w:p w14:paraId="03A12EAB">
      <w:pPr>
        <w:pStyle w:val="127"/>
        <w:rPr>
          <w:rFonts w:hint="eastAsia" w:ascii="宋体" w:hAnsi="宋体" w:eastAsia="宋体" w:cs="宋体"/>
          <w:color w:val="auto"/>
          <w:highlight w:val="none"/>
        </w:rPr>
      </w:pPr>
    </w:p>
    <w:p w14:paraId="455B5E0A">
      <w:pPr>
        <w:pStyle w:val="127"/>
        <w:rPr>
          <w:rFonts w:hint="eastAsia" w:ascii="宋体" w:hAnsi="宋体" w:eastAsia="宋体" w:cs="宋体"/>
          <w:color w:val="auto"/>
          <w:highlight w:val="none"/>
        </w:rPr>
      </w:pPr>
    </w:p>
    <w:p w14:paraId="0458AAB8">
      <w:pPr>
        <w:pStyle w:val="127"/>
        <w:rPr>
          <w:rFonts w:hint="eastAsia" w:ascii="宋体" w:hAnsi="宋体" w:eastAsia="宋体" w:cs="宋体"/>
          <w:color w:val="auto"/>
          <w:highlight w:val="none"/>
        </w:rPr>
      </w:pPr>
    </w:p>
    <w:p w14:paraId="58E0C36A">
      <w:pPr>
        <w:pStyle w:val="127"/>
        <w:rPr>
          <w:rFonts w:hint="eastAsia" w:ascii="宋体" w:hAnsi="宋体" w:eastAsia="宋体" w:cs="宋体"/>
          <w:color w:val="auto"/>
          <w:highlight w:val="none"/>
        </w:rPr>
      </w:pPr>
    </w:p>
    <w:p w14:paraId="59219B59">
      <w:pPr>
        <w:pStyle w:val="127"/>
        <w:rPr>
          <w:rFonts w:hint="eastAsia" w:ascii="宋体" w:hAnsi="宋体" w:eastAsia="宋体" w:cs="宋体"/>
          <w:color w:val="auto"/>
          <w:highlight w:val="none"/>
        </w:rPr>
      </w:pPr>
    </w:p>
    <w:p w14:paraId="58F7F8BA">
      <w:pPr>
        <w:pStyle w:val="127"/>
        <w:rPr>
          <w:rFonts w:hint="eastAsia" w:ascii="宋体" w:hAnsi="宋体" w:eastAsia="宋体" w:cs="宋体"/>
          <w:color w:val="auto"/>
          <w:highlight w:val="none"/>
        </w:rPr>
      </w:pPr>
    </w:p>
    <w:p w14:paraId="330C835D">
      <w:pPr>
        <w:pStyle w:val="127"/>
        <w:rPr>
          <w:rFonts w:hint="eastAsia" w:ascii="宋体" w:hAnsi="宋体" w:eastAsia="宋体" w:cs="宋体"/>
          <w:color w:val="auto"/>
          <w:highlight w:val="none"/>
        </w:rPr>
      </w:pPr>
    </w:p>
    <w:p w14:paraId="48B31A52">
      <w:pPr>
        <w:pStyle w:val="127"/>
        <w:rPr>
          <w:rFonts w:hint="eastAsia" w:ascii="宋体" w:hAnsi="宋体" w:eastAsia="宋体" w:cs="宋体"/>
          <w:color w:val="auto"/>
          <w:highlight w:val="none"/>
        </w:rPr>
      </w:pPr>
    </w:p>
    <w:p w14:paraId="054F1515">
      <w:pPr>
        <w:pStyle w:val="127"/>
        <w:rPr>
          <w:rFonts w:hint="eastAsia" w:ascii="宋体" w:hAnsi="宋体" w:eastAsia="宋体" w:cs="宋体"/>
          <w:color w:val="auto"/>
          <w:highlight w:val="none"/>
        </w:rPr>
      </w:pPr>
    </w:p>
    <w:p w14:paraId="5241C391">
      <w:pPr>
        <w:pStyle w:val="127"/>
        <w:rPr>
          <w:rFonts w:hint="eastAsia" w:ascii="宋体" w:hAnsi="宋体" w:eastAsia="宋体" w:cs="宋体"/>
          <w:color w:val="auto"/>
          <w:highlight w:val="none"/>
        </w:rPr>
      </w:pPr>
    </w:p>
    <w:p w14:paraId="1CD2931F">
      <w:pPr>
        <w:pStyle w:val="127"/>
        <w:rPr>
          <w:rFonts w:hint="eastAsia" w:ascii="宋体" w:hAnsi="宋体" w:eastAsia="宋体" w:cs="宋体"/>
          <w:color w:val="auto"/>
          <w:highlight w:val="none"/>
        </w:rPr>
      </w:pPr>
    </w:p>
    <w:p w14:paraId="3C63AA58">
      <w:pPr>
        <w:pStyle w:val="127"/>
        <w:rPr>
          <w:rFonts w:hint="eastAsia" w:ascii="宋体" w:hAnsi="宋体" w:eastAsia="宋体" w:cs="宋体"/>
          <w:color w:val="auto"/>
          <w:highlight w:val="none"/>
        </w:rPr>
      </w:pPr>
    </w:p>
    <w:p w14:paraId="30D63074">
      <w:pPr>
        <w:pStyle w:val="127"/>
        <w:rPr>
          <w:rFonts w:hint="eastAsia" w:ascii="宋体" w:hAnsi="宋体" w:eastAsia="宋体" w:cs="宋体"/>
          <w:color w:val="auto"/>
          <w:highlight w:val="none"/>
        </w:rPr>
      </w:pPr>
    </w:p>
    <w:p w14:paraId="0DD522F2">
      <w:pPr>
        <w:pStyle w:val="127"/>
        <w:rPr>
          <w:rFonts w:hint="eastAsia" w:ascii="宋体" w:hAnsi="宋体" w:eastAsia="宋体" w:cs="宋体"/>
          <w:color w:val="auto"/>
          <w:highlight w:val="none"/>
        </w:rPr>
      </w:pPr>
      <w:r>
        <w:rPr>
          <w:rFonts w:hint="eastAsia" w:ascii="宋体" w:hAnsi="宋体" w:eastAsia="宋体" w:cs="宋体"/>
          <w:color w:val="auto"/>
          <w:sz w:val="24"/>
          <w:szCs w:val="28"/>
          <w:highlight w:val="none"/>
        </w:rPr>
        <w:t>（二）</w:t>
      </w:r>
      <w:r>
        <w:rPr>
          <w:rFonts w:hint="eastAsia" w:ascii="宋体" w:hAnsi="宋体" w:eastAsia="宋体" w:cs="宋体"/>
          <w:color w:val="auto"/>
          <w:sz w:val="24"/>
          <w:szCs w:val="24"/>
          <w:highlight w:val="none"/>
          <w:lang w:eastAsia="zh-CN"/>
        </w:rPr>
        <w:t>已标价工程量清单</w:t>
      </w:r>
    </w:p>
    <w:p w14:paraId="5C3D7CB5">
      <w:pPr>
        <w:pStyle w:val="127"/>
        <w:rPr>
          <w:rFonts w:hint="eastAsia" w:ascii="宋体" w:hAnsi="宋体" w:eastAsia="宋体" w:cs="宋体"/>
          <w:color w:val="auto"/>
          <w:highlight w:val="none"/>
        </w:rPr>
      </w:pPr>
    </w:p>
    <w:p w14:paraId="54699307">
      <w:pPr>
        <w:pStyle w:val="127"/>
        <w:rPr>
          <w:rFonts w:hint="eastAsia" w:ascii="宋体" w:hAnsi="宋体" w:eastAsia="宋体" w:cs="宋体"/>
          <w:color w:val="auto"/>
          <w:highlight w:val="none"/>
        </w:rPr>
      </w:pPr>
    </w:p>
    <w:p w14:paraId="20514B07">
      <w:pPr>
        <w:pStyle w:val="127"/>
        <w:rPr>
          <w:rFonts w:hint="eastAsia" w:ascii="宋体" w:hAnsi="宋体" w:eastAsia="宋体" w:cs="宋体"/>
          <w:color w:val="auto"/>
          <w:highlight w:val="none"/>
        </w:rPr>
      </w:pPr>
    </w:p>
    <w:p w14:paraId="36465EF8">
      <w:pPr>
        <w:pStyle w:val="127"/>
        <w:rPr>
          <w:rFonts w:hint="eastAsia" w:ascii="宋体" w:hAnsi="宋体" w:eastAsia="宋体" w:cs="宋体"/>
          <w:color w:val="auto"/>
          <w:highlight w:val="none"/>
        </w:rPr>
      </w:pPr>
    </w:p>
    <w:p w14:paraId="78C0015A">
      <w:pPr>
        <w:pStyle w:val="127"/>
        <w:rPr>
          <w:rFonts w:hint="eastAsia" w:ascii="宋体" w:hAnsi="宋体" w:eastAsia="宋体" w:cs="宋体"/>
          <w:color w:val="auto"/>
          <w:highlight w:val="none"/>
        </w:rPr>
      </w:pPr>
    </w:p>
    <w:p w14:paraId="1C9AF3F7">
      <w:pPr>
        <w:pStyle w:val="127"/>
        <w:rPr>
          <w:rFonts w:hint="eastAsia" w:ascii="宋体" w:hAnsi="宋体" w:eastAsia="宋体" w:cs="宋体"/>
          <w:color w:val="auto"/>
          <w:highlight w:val="none"/>
        </w:rPr>
      </w:pPr>
    </w:p>
    <w:p w14:paraId="66280440">
      <w:pPr>
        <w:pStyle w:val="127"/>
        <w:rPr>
          <w:rFonts w:hint="eastAsia" w:ascii="宋体" w:hAnsi="宋体" w:eastAsia="宋体" w:cs="宋体"/>
          <w:color w:val="auto"/>
          <w:highlight w:val="none"/>
        </w:rPr>
      </w:pPr>
    </w:p>
    <w:p w14:paraId="17A9B951">
      <w:pPr>
        <w:pStyle w:val="277"/>
        <w:numPr>
          <w:ilvl w:val="0"/>
          <w:numId w:val="0"/>
        </w:numPr>
        <w:tabs>
          <w:tab w:val="left" w:pos="805"/>
        </w:tabs>
        <w:spacing w:before="43" w:after="0" w:line="240" w:lineRule="auto"/>
        <w:ind w:right="0" w:rightChars="0"/>
        <w:jc w:val="left"/>
        <w:rPr>
          <w:rFonts w:hint="eastAsia" w:ascii="宋体" w:hAnsi="宋体" w:eastAsia="宋体" w:cs="宋体"/>
          <w:color w:val="auto"/>
          <w:sz w:val="21"/>
          <w:szCs w:val="21"/>
          <w:highlight w:val="none"/>
          <w:lang w:eastAsia="zh-CN"/>
        </w:rPr>
      </w:pPr>
      <w:r>
        <w:rPr>
          <w:rFonts w:hint="eastAsia" w:ascii="宋体" w:hAnsi="宋体" w:cs="宋体"/>
          <w:color w:val="auto"/>
          <w:sz w:val="24"/>
          <w:szCs w:val="28"/>
          <w:highlight w:val="none"/>
        </w:rPr>
        <w:t>注：1.请投标人根据</w:t>
      </w:r>
      <w:r>
        <w:rPr>
          <w:rFonts w:hint="eastAsia" w:cs="宋体"/>
          <w:color w:val="auto"/>
          <w:sz w:val="24"/>
          <w:szCs w:val="28"/>
          <w:highlight w:val="none"/>
          <w:lang w:val="en-US" w:eastAsia="zh-CN"/>
        </w:rPr>
        <w:t>招标</w:t>
      </w:r>
      <w:r>
        <w:rPr>
          <w:rFonts w:hint="eastAsia" w:ascii="宋体" w:hAnsi="宋体" w:cs="宋体"/>
          <w:color w:val="auto"/>
          <w:sz w:val="24"/>
          <w:szCs w:val="28"/>
          <w:highlight w:val="none"/>
        </w:rPr>
        <w:t>人发布的工程量清单填写，不得修改</w:t>
      </w:r>
      <w:r>
        <w:rPr>
          <w:rFonts w:hint="eastAsia" w:cs="宋体"/>
          <w:color w:val="auto"/>
          <w:sz w:val="24"/>
          <w:szCs w:val="28"/>
          <w:highlight w:val="none"/>
          <w:lang w:val="en-US" w:eastAsia="zh-CN"/>
        </w:rPr>
        <w:t>招标</w:t>
      </w:r>
      <w:r>
        <w:rPr>
          <w:rFonts w:hint="eastAsia" w:ascii="宋体" w:hAnsi="宋体" w:cs="宋体"/>
          <w:color w:val="auto"/>
          <w:sz w:val="24"/>
          <w:szCs w:val="28"/>
          <w:highlight w:val="none"/>
        </w:rPr>
        <w:t>人发布的工程量清单中的实质性内容</w:t>
      </w:r>
      <w:r>
        <w:rPr>
          <w:rFonts w:hint="eastAsia" w:ascii="宋体" w:hAnsi="宋体" w:cs="宋体"/>
          <w:color w:val="auto"/>
          <w:sz w:val="24"/>
          <w:szCs w:val="28"/>
          <w:highlight w:val="none"/>
          <w:lang w:eastAsia="zh-CN"/>
        </w:rPr>
        <w:t>。</w:t>
      </w:r>
    </w:p>
    <w:p w14:paraId="716627B9">
      <w:pPr>
        <w:rPr>
          <w:rFonts w:hint="eastAsia" w:ascii="宋体" w:hAnsi="宋体" w:eastAsia="宋体" w:cs="宋体"/>
          <w:color w:val="auto"/>
          <w:highlight w:val="none"/>
        </w:rPr>
      </w:pPr>
    </w:p>
    <w:p w14:paraId="12F4882C">
      <w:pPr>
        <w:pStyle w:val="2"/>
        <w:rPr>
          <w:rFonts w:hint="eastAsia" w:ascii="宋体" w:hAnsi="宋体" w:eastAsia="宋体" w:cs="宋体"/>
          <w:color w:val="auto"/>
          <w:highlight w:val="none"/>
        </w:rPr>
      </w:pPr>
    </w:p>
    <w:p w14:paraId="565F4361">
      <w:pPr>
        <w:rPr>
          <w:rFonts w:hint="eastAsia" w:ascii="宋体" w:hAnsi="宋体" w:eastAsia="宋体" w:cs="宋体"/>
          <w:color w:val="auto"/>
          <w:highlight w:val="none"/>
        </w:rPr>
      </w:pPr>
    </w:p>
    <w:p w14:paraId="5767F67D">
      <w:pPr>
        <w:pStyle w:val="2"/>
        <w:rPr>
          <w:rFonts w:hint="eastAsia" w:ascii="宋体" w:hAnsi="宋体" w:eastAsia="宋体" w:cs="宋体"/>
          <w:color w:val="auto"/>
          <w:highlight w:val="none"/>
        </w:rPr>
      </w:pPr>
    </w:p>
    <w:p w14:paraId="5D25C9AF">
      <w:pPr>
        <w:rPr>
          <w:rFonts w:hint="eastAsia" w:ascii="宋体" w:hAnsi="宋体" w:eastAsia="宋体" w:cs="宋体"/>
          <w:color w:val="auto"/>
          <w:highlight w:val="none"/>
        </w:rPr>
      </w:pPr>
    </w:p>
    <w:p w14:paraId="45769A4D">
      <w:pPr>
        <w:pStyle w:val="2"/>
        <w:rPr>
          <w:rFonts w:hint="eastAsia" w:ascii="宋体" w:hAnsi="宋体" w:eastAsia="宋体" w:cs="宋体"/>
          <w:color w:val="auto"/>
          <w:highlight w:val="none"/>
        </w:rPr>
      </w:pPr>
    </w:p>
    <w:p w14:paraId="15A7B15A">
      <w:pPr>
        <w:rPr>
          <w:rFonts w:hint="eastAsia" w:ascii="宋体" w:hAnsi="宋体" w:eastAsia="宋体" w:cs="宋体"/>
          <w:color w:val="auto"/>
          <w:highlight w:val="none"/>
        </w:rPr>
      </w:pPr>
    </w:p>
    <w:p w14:paraId="72555FA0">
      <w:pPr>
        <w:pStyle w:val="2"/>
        <w:rPr>
          <w:rFonts w:hint="eastAsia" w:ascii="宋体" w:hAnsi="宋体" w:eastAsia="宋体" w:cs="宋体"/>
          <w:color w:val="auto"/>
          <w:highlight w:val="none"/>
        </w:rPr>
      </w:pPr>
    </w:p>
    <w:p w14:paraId="35682AF9">
      <w:pPr>
        <w:rPr>
          <w:rFonts w:hint="eastAsia" w:ascii="宋体" w:hAnsi="宋体" w:eastAsia="宋体" w:cs="宋体"/>
          <w:color w:val="auto"/>
          <w:highlight w:val="none"/>
        </w:rPr>
      </w:pPr>
    </w:p>
    <w:p w14:paraId="7239136B">
      <w:pPr>
        <w:pStyle w:val="2"/>
        <w:rPr>
          <w:rFonts w:hint="eastAsia" w:ascii="宋体" w:hAnsi="宋体" w:eastAsia="宋体" w:cs="宋体"/>
          <w:color w:val="auto"/>
          <w:highlight w:val="none"/>
        </w:rPr>
      </w:pPr>
    </w:p>
    <w:p w14:paraId="5EEB3DD9">
      <w:pPr>
        <w:rPr>
          <w:rFonts w:hint="eastAsia" w:ascii="宋体" w:hAnsi="宋体" w:eastAsia="宋体" w:cs="宋体"/>
          <w:color w:val="auto"/>
          <w:highlight w:val="none"/>
        </w:rPr>
      </w:pPr>
    </w:p>
    <w:p w14:paraId="408EBD45">
      <w:pPr>
        <w:pStyle w:val="2"/>
        <w:rPr>
          <w:rFonts w:hint="eastAsia" w:ascii="宋体" w:hAnsi="宋体" w:eastAsia="宋体" w:cs="宋体"/>
          <w:color w:val="auto"/>
          <w:highlight w:val="none"/>
        </w:rPr>
      </w:pPr>
    </w:p>
    <w:p w14:paraId="0E2B37CE">
      <w:pPr>
        <w:rPr>
          <w:rFonts w:hint="eastAsia" w:ascii="宋体" w:hAnsi="宋体" w:eastAsia="宋体" w:cs="宋体"/>
          <w:color w:val="auto"/>
          <w:highlight w:val="none"/>
        </w:rPr>
      </w:pPr>
    </w:p>
    <w:p w14:paraId="08F7400C">
      <w:pPr>
        <w:pStyle w:val="2"/>
        <w:rPr>
          <w:rFonts w:hint="eastAsia" w:ascii="宋体" w:hAnsi="宋体" w:eastAsia="宋体" w:cs="宋体"/>
          <w:color w:val="auto"/>
          <w:highlight w:val="none"/>
        </w:rPr>
      </w:pPr>
    </w:p>
    <w:p w14:paraId="70B0DF82">
      <w:pPr>
        <w:rPr>
          <w:rFonts w:hint="eastAsia" w:ascii="宋体" w:hAnsi="宋体" w:eastAsia="宋体" w:cs="宋体"/>
          <w:color w:val="auto"/>
          <w:highlight w:val="none"/>
        </w:rPr>
      </w:pPr>
    </w:p>
    <w:p w14:paraId="36FA0642">
      <w:pPr>
        <w:pStyle w:val="2"/>
        <w:rPr>
          <w:rFonts w:hint="eastAsia" w:ascii="宋体" w:hAnsi="宋体" w:eastAsia="宋体" w:cs="宋体"/>
          <w:color w:val="auto"/>
          <w:highlight w:val="none"/>
        </w:rPr>
      </w:pPr>
    </w:p>
    <w:p w14:paraId="155EBA1C">
      <w:pPr>
        <w:rPr>
          <w:rFonts w:hint="eastAsia" w:ascii="宋体" w:hAnsi="宋体" w:eastAsia="宋体" w:cs="宋体"/>
          <w:color w:val="auto"/>
          <w:highlight w:val="none"/>
        </w:rPr>
      </w:pPr>
    </w:p>
    <w:p w14:paraId="58144B83">
      <w:pPr>
        <w:pStyle w:val="2"/>
        <w:rPr>
          <w:rFonts w:hint="eastAsia" w:ascii="宋体" w:hAnsi="宋体" w:eastAsia="宋体" w:cs="宋体"/>
          <w:color w:val="auto"/>
          <w:highlight w:val="none"/>
        </w:rPr>
      </w:pPr>
    </w:p>
    <w:p w14:paraId="1C2ADE5D">
      <w:pPr>
        <w:rPr>
          <w:rFonts w:hint="eastAsia" w:ascii="宋体" w:hAnsi="宋体" w:eastAsia="宋体" w:cs="宋体"/>
          <w:color w:val="auto"/>
          <w:highlight w:val="none"/>
        </w:rPr>
      </w:pPr>
    </w:p>
    <w:p w14:paraId="79B89F66">
      <w:pPr>
        <w:pStyle w:val="2"/>
        <w:rPr>
          <w:rFonts w:hint="eastAsia" w:ascii="宋体" w:hAnsi="宋体" w:eastAsia="宋体" w:cs="宋体"/>
          <w:color w:val="auto"/>
          <w:highlight w:val="none"/>
        </w:rPr>
      </w:pPr>
    </w:p>
    <w:p w14:paraId="37BFCF6D">
      <w:pPr>
        <w:rPr>
          <w:rFonts w:hint="eastAsia" w:ascii="宋体" w:hAnsi="宋体" w:eastAsia="宋体" w:cs="宋体"/>
          <w:color w:val="auto"/>
          <w:highlight w:val="none"/>
        </w:rPr>
      </w:pPr>
    </w:p>
    <w:p w14:paraId="6700A965">
      <w:pPr>
        <w:pStyle w:val="2"/>
        <w:rPr>
          <w:rFonts w:hint="eastAsia" w:ascii="宋体" w:hAnsi="宋体" w:eastAsia="宋体" w:cs="宋体"/>
          <w:color w:val="auto"/>
          <w:highlight w:val="none"/>
        </w:rPr>
      </w:pPr>
    </w:p>
    <w:p w14:paraId="4FD305E6">
      <w:pPr>
        <w:rPr>
          <w:rFonts w:hint="eastAsia" w:ascii="宋体" w:hAnsi="宋体" w:eastAsia="宋体" w:cs="宋体"/>
          <w:color w:val="auto"/>
          <w:highlight w:val="none"/>
        </w:rPr>
      </w:pPr>
    </w:p>
    <w:p w14:paraId="5D87258A">
      <w:pPr>
        <w:pStyle w:val="2"/>
        <w:rPr>
          <w:rFonts w:hint="eastAsia" w:ascii="宋体" w:hAnsi="宋体" w:eastAsia="宋体" w:cs="宋体"/>
          <w:color w:val="auto"/>
          <w:highlight w:val="none"/>
        </w:rPr>
      </w:pPr>
    </w:p>
    <w:p w14:paraId="335F4F49">
      <w:pPr>
        <w:rPr>
          <w:rFonts w:hint="eastAsia" w:ascii="宋体" w:hAnsi="宋体" w:eastAsia="宋体" w:cs="宋体"/>
          <w:color w:val="auto"/>
          <w:highlight w:val="none"/>
        </w:rPr>
      </w:pPr>
    </w:p>
    <w:p w14:paraId="5CF1BB60">
      <w:pPr>
        <w:pStyle w:val="2"/>
        <w:rPr>
          <w:rFonts w:hint="eastAsia" w:ascii="宋体" w:hAnsi="宋体" w:eastAsia="宋体" w:cs="宋体"/>
          <w:color w:val="auto"/>
          <w:highlight w:val="none"/>
        </w:rPr>
      </w:pPr>
    </w:p>
    <w:p w14:paraId="45CCCA91">
      <w:pPr>
        <w:rPr>
          <w:rFonts w:hint="eastAsia" w:ascii="宋体" w:hAnsi="宋体" w:eastAsia="宋体" w:cs="宋体"/>
          <w:color w:val="auto"/>
          <w:highlight w:val="none"/>
        </w:rPr>
      </w:pPr>
    </w:p>
    <w:p w14:paraId="46D100F3">
      <w:pPr>
        <w:tabs>
          <w:tab w:val="left" w:pos="6300"/>
        </w:tabs>
        <w:snapToGrid w:val="0"/>
        <w:spacing w:line="312" w:lineRule="auto"/>
        <w:jc w:val="left"/>
        <w:outlineLvl w:val="0"/>
        <w:rPr>
          <w:rFonts w:hint="eastAsia" w:ascii="宋体" w:hAnsi="宋体" w:eastAsia="宋体" w:cs="宋体"/>
          <w:bCs/>
          <w:color w:val="auto"/>
          <w:sz w:val="24"/>
          <w:szCs w:val="24"/>
          <w:highlight w:val="none"/>
        </w:rPr>
      </w:pPr>
    </w:p>
    <w:p w14:paraId="04B89FD9">
      <w:pPr>
        <w:pStyle w:val="5"/>
        <w:spacing w:before="0" w:after="0" w:line="360" w:lineRule="auto"/>
        <w:rPr>
          <w:rFonts w:hint="eastAsia" w:ascii="宋体" w:hAnsi="宋体" w:eastAsia="宋体" w:cs="宋体"/>
          <w:color w:val="auto"/>
          <w:sz w:val="24"/>
          <w:szCs w:val="24"/>
          <w:highlight w:val="none"/>
        </w:rPr>
      </w:pPr>
      <w:bookmarkStart w:id="735" w:name="_Toc31257"/>
      <w:bookmarkStart w:id="736" w:name="_Toc11802"/>
      <w:bookmarkStart w:id="737" w:name="_Toc313888361"/>
      <w:bookmarkStart w:id="738" w:name="_Toc21048"/>
      <w:bookmarkStart w:id="739" w:name="_Toc313008357"/>
      <w:bookmarkStart w:id="740" w:name="_Toc342913420"/>
      <w:bookmarkStart w:id="741" w:name="_Toc7588"/>
      <w:bookmarkStart w:id="742" w:name="_Toc103679700"/>
      <w:r>
        <w:rPr>
          <w:rFonts w:hint="eastAsia" w:ascii="宋体" w:hAnsi="宋体" w:eastAsia="宋体" w:cs="宋体"/>
          <w:color w:val="auto"/>
          <w:sz w:val="24"/>
          <w:szCs w:val="24"/>
          <w:highlight w:val="none"/>
        </w:rPr>
        <w:t>二、技术部分</w:t>
      </w:r>
      <w:bookmarkEnd w:id="735"/>
      <w:bookmarkEnd w:id="736"/>
      <w:bookmarkEnd w:id="737"/>
      <w:bookmarkEnd w:id="738"/>
      <w:bookmarkEnd w:id="739"/>
      <w:bookmarkEnd w:id="740"/>
      <w:bookmarkEnd w:id="741"/>
      <w:bookmarkEnd w:id="742"/>
    </w:p>
    <w:p w14:paraId="11579860">
      <w:pPr>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（一）技术响应偏离表</w:t>
      </w:r>
    </w:p>
    <w:p w14:paraId="6DBCC73D">
      <w:pPr>
        <w:snapToGrid w:val="0"/>
        <w:spacing w:line="360" w:lineRule="auto"/>
        <w:jc w:val="center"/>
        <w:rPr>
          <w:rFonts w:hint="eastAsia" w:ascii="宋体" w:hAnsi="宋体" w:eastAsia="宋体" w:cs="宋体"/>
          <w:b/>
          <w:color w:val="auto"/>
          <w:szCs w:val="28"/>
          <w:highlight w:val="none"/>
        </w:rPr>
      </w:pPr>
      <w:r>
        <w:rPr>
          <w:rFonts w:hint="eastAsia" w:ascii="宋体" w:hAnsi="宋体" w:eastAsia="宋体" w:cs="宋体"/>
          <w:b/>
          <w:color w:val="auto"/>
          <w:szCs w:val="28"/>
          <w:highlight w:val="none"/>
        </w:rPr>
        <w:t>技术响应偏离表</w:t>
      </w:r>
    </w:p>
    <w:p w14:paraId="45EF5AD4">
      <w:pPr>
        <w:snapToGrid w:val="0"/>
        <w:spacing w:line="360" w:lineRule="auto"/>
        <w:ind w:firstLine="4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对于竞采文件的技术要求，如有任何偏离请如实填写下表：</w:t>
      </w:r>
    </w:p>
    <w:tbl>
      <w:tblPr>
        <w:tblStyle w:val="61"/>
        <w:tblW w:w="947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2DB90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510" w:type="dxa"/>
            <w:vAlign w:val="center"/>
          </w:tcPr>
          <w:p w14:paraId="1BCE93AD">
            <w:pPr>
              <w:tabs>
                <w:tab w:val="left" w:pos="6300"/>
              </w:tabs>
              <w:snapToGrid w:val="0"/>
              <w:spacing w:line="360" w:lineRule="auto"/>
              <w:jc w:val="center"/>
              <w:outlineLvl w:val="0"/>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序号</w:t>
            </w:r>
          </w:p>
        </w:tc>
        <w:tc>
          <w:tcPr>
            <w:tcW w:w="3179" w:type="dxa"/>
            <w:vAlign w:val="center"/>
          </w:tcPr>
          <w:p w14:paraId="6034156F">
            <w:pPr>
              <w:tabs>
                <w:tab w:val="left" w:pos="6300"/>
              </w:tabs>
              <w:snapToGrid w:val="0"/>
              <w:spacing w:line="360" w:lineRule="auto"/>
              <w:jc w:val="center"/>
              <w:outlineLvl w:val="0"/>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采购项目需求</w:t>
            </w:r>
          </w:p>
        </w:tc>
        <w:tc>
          <w:tcPr>
            <w:tcW w:w="2434" w:type="dxa"/>
            <w:vAlign w:val="center"/>
          </w:tcPr>
          <w:p w14:paraId="3B91CA26">
            <w:pPr>
              <w:tabs>
                <w:tab w:val="left" w:pos="6300"/>
              </w:tabs>
              <w:snapToGrid w:val="0"/>
              <w:spacing w:line="360" w:lineRule="auto"/>
              <w:jc w:val="center"/>
              <w:outlineLvl w:val="0"/>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响应情况</w:t>
            </w:r>
          </w:p>
        </w:tc>
        <w:tc>
          <w:tcPr>
            <w:tcW w:w="2355" w:type="dxa"/>
            <w:vAlign w:val="center"/>
          </w:tcPr>
          <w:p w14:paraId="23D543C3">
            <w:pPr>
              <w:tabs>
                <w:tab w:val="left" w:pos="6300"/>
              </w:tabs>
              <w:snapToGrid w:val="0"/>
              <w:spacing w:line="360" w:lineRule="auto"/>
              <w:jc w:val="center"/>
              <w:outlineLvl w:val="0"/>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差异说明</w:t>
            </w:r>
          </w:p>
        </w:tc>
      </w:tr>
      <w:tr w14:paraId="2999D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6A779082">
            <w:pPr>
              <w:tabs>
                <w:tab w:val="left" w:pos="6300"/>
              </w:tabs>
              <w:snapToGrid w:val="0"/>
              <w:spacing w:line="360" w:lineRule="auto"/>
              <w:jc w:val="center"/>
              <w:outlineLvl w:val="0"/>
              <w:rPr>
                <w:rFonts w:hint="eastAsia" w:ascii="宋体" w:hAnsi="宋体" w:eastAsia="宋体" w:cs="宋体"/>
                <w:color w:val="auto"/>
                <w:sz w:val="21"/>
                <w:szCs w:val="24"/>
                <w:highlight w:val="none"/>
              </w:rPr>
            </w:pPr>
          </w:p>
        </w:tc>
        <w:tc>
          <w:tcPr>
            <w:tcW w:w="3179" w:type="dxa"/>
            <w:vAlign w:val="center"/>
          </w:tcPr>
          <w:p w14:paraId="7917959D">
            <w:pPr>
              <w:tabs>
                <w:tab w:val="left" w:pos="6300"/>
              </w:tabs>
              <w:snapToGrid w:val="0"/>
              <w:spacing w:line="360" w:lineRule="auto"/>
              <w:jc w:val="center"/>
              <w:outlineLvl w:val="0"/>
              <w:rPr>
                <w:rFonts w:hint="eastAsia" w:ascii="宋体" w:hAnsi="宋体" w:eastAsia="宋体" w:cs="宋体"/>
                <w:color w:val="auto"/>
                <w:sz w:val="21"/>
                <w:szCs w:val="24"/>
                <w:highlight w:val="none"/>
              </w:rPr>
            </w:pPr>
          </w:p>
        </w:tc>
        <w:tc>
          <w:tcPr>
            <w:tcW w:w="2434" w:type="dxa"/>
            <w:vAlign w:val="center"/>
          </w:tcPr>
          <w:p w14:paraId="27622628">
            <w:pPr>
              <w:tabs>
                <w:tab w:val="left" w:pos="6300"/>
              </w:tabs>
              <w:snapToGrid w:val="0"/>
              <w:spacing w:line="360" w:lineRule="auto"/>
              <w:jc w:val="center"/>
              <w:outlineLvl w:val="0"/>
              <w:rPr>
                <w:rFonts w:hint="eastAsia" w:ascii="宋体" w:hAnsi="宋体" w:eastAsia="宋体" w:cs="宋体"/>
                <w:color w:val="auto"/>
                <w:sz w:val="21"/>
                <w:szCs w:val="24"/>
                <w:highlight w:val="none"/>
              </w:rPr>
            </w:pPr>
          </w:p>
        </w:tc>
        <w:tc>
          <w:tcPr>
            <w:tcW w:w="2355" w:type="dxa"/>
            <w:vAlign w:val="center"/>
          </w:tcPr>
          <w:p w14:paraId="2578195A">
            <w:pPr>
              <w:tabs>
                <w:tab w:val="left" w:pos="6300"/>
              </w:tabs>
              <w:snapToGrid w:val="0"/>
              <w:spacing w:line="360" w:lineRule="auto"/>
              <w:jc w:val="center"/>
              <w:outlineLvl w:val="0"/>
              <w:rPr>
                <w:rFonts w:hint="eastAsia" w:ascii="宋体" w:hAnsi="宋体" w:eastAsia="宋体" w:cs="宋体"/>
                <w:color w:val="auto"/>
                <w:sz w:val="21"/>
                <w:szCs w:val="24"/>
                <w:highlight w:val="none"/>
              </w:rPr>
            </w:pPr>
          </w:p>
        </w:tc>
      </w:tr>
      <w:tr w14:paraId="5A372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692BC6C8">
            <w:pPr>
              <w:tabs>
                <w:tab w:val="left" w:pos="6300"/>
              </w:tabs>
              <w:snapToGrid w:val="0"/>
              <w:spacing w:line="360" w:lineRule="auto"/>
              <w:jc w:val="center"/>
              <w:outlineLvl w:val="0"/>
              <w:rPr>
                <w:rFonts w:hint="eastAsia" w:ascii="宋体" w:hAnsi="宋体" w:eastAsia="宋体" w:cs="宋体"/>
                <w:color w:val="auto"/>
                <w:sz w:val="21"/>
                <w:szCs w:val="24"/>
                <w:highlight w:val="none"/>
              </w:rPr>
            </w:pPr>
          </w:p>
        </w:tc>
        <w:tc>
          <w:tcPr>
            <w:tcW w:w="3179" w:type="dxa"/>
            <w:vAlign w:val="center"/>
          </w:tcPr>
          <w:p w14:paraId="7FA3F2BF">
            <w:pPr>
              <w:tabs>
                <w:tab w:val="left" w:pos="6300"/>
              </w:tabs>
              <w:snapToGrid w:val="0"/>
              <w:spacing w:line="360" w:lineRule="auto"/>
              <w:jc w:val="center"/>
              <w:outlineLvl w:val="0"/>
              <w:rPr>
                <w:rFonts w:hint="eastAsia" w:ascii="宋体" w:hAnsi="宋体" w:eastAsia="宋体" w:cs="宋体"/>
                <w:color w:val="auto"/>
                <w:sz w:val="21"/>
                <w:szCs w:val="24"/>
                <w:highlight w:val="none"/>
              </w:rPr>
            </w:pPr>
          </w:p>
        </w:tc>
        <w:tc>
          <w:tcPr>
            <w:tcW w:w="2434" w:type="dxa"/>
            <w:vAlign w:val="center"/>
          </w:tcPr>
          <w:p w14:paraId="0DC3D90F">
            <w:pPr>
              <w:tabs>
                <w:tab w:val="left" w:pos="6300"/>
              </w:tabs>
              <w:snapToGrid w:val="0"/>
              <w:spacing w:line="360" w:lineRule="auto"/>
              <w:jc w:val="center"/>
              <w:outlineLvl w:val="0"/>
              <w:rPr>
                <w:rFonts w:hint="eastAsia" w:ascii="宋体" w:hAnsi="宋体" w:eastAsia="宋体" w:cs="宋体"/>
                <w:color w:val="auto"/>
                <w:sz w:val="21"/>
                <w:szCs w:val="24"/>
                <w:highlight w:val="none"/>
              </w:rPr>
            </w:pPr>
          </w:p>
        </w:tc>
        <w:tc>
          <w:tcPr>
            <w:tcW w:w="2355" w:type="dxa"/>
            <w:vAlign w:val="center"/>
          </w:tcPr>
          <w:p w14:paraId="5C63CCDB">
            <w:pPr>
              <w:tabs>
                <w:tab w:val="left" w:pos="6300"/>
              </w:tabs>
              <w:snapToGrid w:val="0"/>
              <w:spacing w:line="360" w:lineRule="auto"/>
              <w:jc w:val="center"/>
              <w:outlineLvl w:val="0"/>
              <w:rPr>
                <w:rFonts w:hint="eastAsia" w:ascii="宋体" w:hAnsi="宋体" w:eastAsia="宋体" w:cs="宋体"/>
                <w:color w:val="auto"/>
                <w:sz w:val="21"/>
                <w:szCs w:val="24"/>
                <w:highlight w:val="none"/>
              </w:rPr>
            </w:pPr>
          </w:p>
        </w:tc>
      </w:tr>
      <w:tr w14:paraId="322DD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7111DDA9">
            <w:pPr>
              <w:tabs>
                <w:tab w:val="left" w:pos="6300"/>
              </w:tabs>
              <w:snapToGrid w:val="0"/>
              <w:spacing w:line="360" w:lineRule="auto"/>
              <w:jc w:val="center"/>
              <w:outlineLvl w:val="0"/>
              <w:rPr>
                <w:rFonts w:hint="eastAsia" w:ascii="宋体" w:hAnsi="宋体" w:eastAsia="宋体" w:cs="宋体"/>
                <w:color w:val="auto"/>
                <w:sz w:val="21"/>
                <w:szCs w:val="24"/>
                <w:highlight w:val="none"/>
              </w:rPr>
            </w:pPr>
          </w:p>
        </w:tc>
        <w:tc>
          <w:tcPr>
            <w:tcW w:w="3179" w:type="dxa"/>
            <w:vAlign w:val="center"/>
          </w:tcPr>
          <w:p w14:paraId="6F53BF8D">
            <w:pPr>
              <w:tabs>
                <w:tab w:val="left" w:pos="6300"/>
              </w:tabs>
              <w:snapToGrid w:val="0"/>
              <w:spacing w:line="360" w:lineRule="auto"/>
              <w:jc w:val="center"/>
              <w:outlineLvl w:val="0"/>
              <w:rPr>
                <w:rFonts w:hint="eastAsia" w:ascii="宋体" w:hAnsi="宋体" w:eastAsia="宋体" w:cs="宋体"/>
                <w:color w:val="auto"/>
                <w:sz w:val="21"/>
                <w:szCs w:val="24"/>
                <w:highlight w:val="none"/>
              </w:rPr>
            </w:pPr>
          </w:p>
        </w:tc>
        <w:tc>
          <w:tcPr>
            <w:tcW w:w="2434" w:type="dxa"/>
            <w:vAlign w:val="center"/>
          </w:tcPr>
          <w:p w14:paraId="5E13992D">
            <w:pPr>
              <w:tabs>
                <w:tab w:val="left" w:pos="6300"/>
              </w:tabs>
              <w:snapToGrid w:val="0"/>
              <w:spacing w:line="360" w:lineRule="auto"/>
              <w:jc w:val="center"/>
              <w:outlineLvl w:val="0"/>
              <w:rPr>
                <w:rFonts w:hint="eastAsia" w:ascii="宋体" w:hAnsi="宋体" w:eastAsia="宋体" w:cs="宋体"/>
                <w:color w:val="auto"/>
                <w:sz w:val="21"/>
                <w:szCs w:val="24"/>
                <w:highlight w:val="none"/>
              </w:rPr>
            </w:pPr>
          </w:p>
        </w:tc>
        <w:tc>
          <w:tcPr>
            <w:tcW w:w="2355" w:type="dxa"/>
            <w:vAlign w:val="center"/>
          </w:tcPr>
          <w:p w14:paraId="3B59C2F4">
            <w:pPr>
              <w:tabs>
                <w:tab w:val="left" w:pos="6300"/>
              </w:tabs>
              <w:snapToGrid w:val="0"/>
              <w:spacing w:line="360" w:lineRule="auto"/>
              <w:jc w:val="center"/>
              <w:outlineLvl w:val="0"/>
              <w:rPr>
                <w:rFonts w:hint="eastAsia" w:ascii="宋体" w:hAnsi="宋体" w:eastAsia="宋体" w:cs="宋体"/>
                <w:color w:val="auto"/>
                <w:sz w:val="21"/>
                <w:szCs w:val="24"/>
                <w:highlight w:val="none"/>
              </w:rPr>
            </w:pPr>
          </w:p>
        </w:tc>
      </w:tr>
      <w:tr w14:paraId="07DEE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7081D6AE">
            <w:pPr>
              <w:tabs>
                <w:tab w:val="left" w:pos="6300"/>
              </w:tabs>
              <w:snapToGrid w:val="0"/>
              <w:spacing w:line="360" w:lineRule="auto"/>
              <w:jc w:val="center"/>
              <w:outlineLvl w:val="0"/>
              <w:rPr>
                <w:rFonts w:hint="eastAsia" w:ascii="宋体" w:hAnsi="宋体" w:eastAsia="宋体" w:cs="宋体"/>
                <w:color w:val="auto"/>
                <w:sz w:val="21"/>
                <w:szCs w:val="24"/>
                <w:highlight w:val="none"/>
              </w:rPr>
            </w:pPr>
          </w:p>
        </w:tc>
        <w:tc>
          <w:tcPr>
            <w:tcW w:w="3179" w:type="dxa"/>
            <w:vAlign w:val="center"/>
          </w:tcPr>
          <w:p w14:paraId="18985DA1">
            <w:pPr>
              <w:tabs>
                <w:tab w:val="left" w:pos="6300"/>
              </w:tabs>
              <w:snapToGrid w:val="0"/>
              <w:spacing w:line="360" w:lineRule="auto"/>
              <w:jc w:val="center"/>
              <w:outlineLvl w:val="0"/>
              <w:rPr>
                <w:rFonts w:hint="eastAsia" w:ascii="宋体" w:hAnsi="宋体" w:eastAsia="宋体" w:cs="宋体"/>
                <w:color w:val="auto"/>
                <w:sz w:val="21"/>
                <w:szCs w:val="24"/>
                <w:highlight w:val="none"/>
              </w:rPr>
            </w:pPr>
          </w:p>
        </w:tc>
        <w:tc>
          <w:tcPr>
            <w:tcW w:w="2434" w:type="dxa"/>
            <w:vAlign w:val="center"/>
          </w:tcPr>
          <w:p w14:paraId="451A7E9C">
            <w:pPr>
              <w:tabs>
                <w:tab w:val="left" w:pos="6300"/>
              </w:tabs>
              <w:snapToGrid w:val="0"/>
              <w:spacing w:line="360" w:lineRule="auto"/>
              <w:jc w:val="center"/>
              <w:outlineLvl w:val="0"/>
              <w:rPr>
                <w:rFonts w:hint="eastAsia" w:ascii="宋体" w:hAnsi="宋体" w:eastAsia="宋体" w:cs="宋体"/>
                <w:color w:val="auto"/>
                <w:sz w:val="21"/>
                <w:szCs w:val="24"/>
                <w:highlight w:val="none"/>
              </w:rPr>
            </w:pPr>
          </w:p>
        </w:tc>
        <w:tc>
          <w:tcPr>
            <w:tcW w:w="2355" w:type="dxa"/>
            <w:vAlign w:val="center"/>
          </w:tcPr>
          <w:p w14:paraId="2F9AEC93">
            <w:pPr>
              <w:tabs>
                <w:tab w:val="left" w:pos="6300"/>
              </w:tabs>
              <w:snapToGrid w:val="0"/>
              <w:spacing w:line="360" w:lineRule="auto"/>
              <w:jc w:val="center"/>
              <w:outlineLvl w:val="0"/>
              <w:rPr>
                <w:rFonts w:hint="eastAsia" w:ascii="宋体" w:hAnsi="宋体" w:eastAsia="宋体" w:cs="宋体"/>
                <w:color w:val="auto"/>
                <w:sz w:val="21"/>
                <w:szCs w:val="24"/>
                <w:highlight w:val="none"/>
              </w:rPr>
            </w:pPr>
          </w:p>
        </w:tc>
      </w:tr>
      <w:tr w14:paraId="650A7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4A1F516F">
            <w:pPr>
              <w:tabs>
                <w:tab w:val="left" w:pos="6300"/>
              </w:tabs>
              <w:snapToGrid w:val="0"/>
              <w:spacing w:line="360" w:lineRule="auto"/>
              <w:jc w:val="center"/>
              <w:outlineLvl w:val="0"/>
              <w:rPr>
                <w:rFonts w:hint="eastAsia" w:ascii="宋体" w:hAnsi="宋体" w:eastAsia="宋体" w:cs="宋体"/>
                <w:color w:val="auto"/>
                <w:sz w:val="21"/>
                <w:szCs w:val="24"/>
                <w:highlight w:val="none"/>
              </w:rPr>
            </w:pPr>
          </w:p>
        </w:tc>
        <w:tc>
          <w:tcPr>
            <w:tcW w:w="3179" w:type="dxa"/>
            <w:vAlign w:val="center"/>
          </w:tcPr>
          <w:p w14:paraId="18BFE177">
            <w:pPr>
              <w:tabs>
                <w:tab w:val="left" w:pos="6300"/>
              </w:tabs>
              <w:snapToGrid w:val="0"/>
              <w:spacing w:line="360" w:lineRule="auto"/>
              <w:jc w:val="center"/>
              <w:outlineLvl w:val="0"/>
              <w:rPr>
                <w:rFonts w:hint="eastAsia" w:ascii="宋体" w:hAnsi="宋体" w:eastAsia="宋体" w:cs="宋体"/>
                <w:color w:val="auto"/>
                <w:sz w:val="21"/>
                <w:szCs w:val="24"/>
                <w:highlight w:val="none"/>
              </w:rPr>
            </w:pPr>
          </w:p>
        </w:tc>
        <w:tc>
          <w:tcPr>
            <w:tcW w:w="2434" w:type="dxa"/>
            <w:vAlign w:val="center"/>
          </w:tcPr>
          <w:p w14:paraId="27906A29">
            <w:pPr>
              <w:tabs>
                <w:tab w:val="left" w:pos="6300"/>
              </w:tabs>
              <w:snapToGrid w:val="0"/>
              <w:spacing w:line="360" w:lineRule="auto"/>
              <w:jc w:val="center"/>
              <w:outlineLvl w:val="0"/>
              <w:rPr>
                <w:rFonts w:hint="eastAsia" w:ascii="宋体" w:hAnsi="宋体" w:eastAsia="宋体" w:cs="宋体"/>
                <w:color w:val="auto"/>
                <w:sz w:val="21"/>
                <w:szCs w:val="24"/>
                <w:highlight w:val="none"/>
              </w:rPr>
            </w:pPr>
          </w:p>
        </w:tc>
        <w:tc>
          <w:tcPr>
            <w:tcW w:w="2355" w:type="dxa"/>
            <w:vAlign w:val="center"/>
          </w:tcPr>
          <w:p w14:paraId="671389EC">
            <w:pPr>
              <w:tabs>
                <w:tab w:val="left" w:pos="6300"/>
              </w:tabs>
              <w:snapToGrid w:val="0"/>
              <w:spacing w:line="360" w:lineRule="auto"/>
              <w:jc w:val="center"/>
              <w:outlineLvl w:val="0"/>
              <w:rPr>
                <w:rFonts w:hint="eastAsia" w:ascii="宋体" w:hAnsi="宋体" w:eastAsia="宋体" w:cs="宋体"/>
                <w:color w:val="auto"/>
                <w:sz w:val="21"/>
                <w:szCs w:val="24"/>
                <w:highlight w:val="none"/>
              </w:rPr>
            </w:pPr>
          </w:p>
        </w:tc>
      </w:tr>
      <w:tr w14:paraId="26808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14C4FB72">
            <w:pPr>
              <w:tabs>
                <w:tab w:val="left" w:pos="6300"/>
              </w:tabs>
              <w:snapToGrid w:val="0"/>
              <w:spacing w:line="360" w:lineRule="auto"/>
              <w:jc w:val="center"/>
              <w:outlineLvl w:val="0"/>
              <w:rPr>
                <w:rFonts w:hint="eastAsia" w:ascii="宋体" w:hAnsi="宋体" w:eastAsia="宋体" w:cs="宋体"/>
                <w:color w:val="auto"/>
                <w:sz w:val="21"/>
                <w:szCs w:val="24"/>
                <w:highlight w:val="none"/>
              </w:rPr>
            </w:pPr>
          </w:p>
        </w:tc>
        <w:tc>
          <w:tcPr>
            <w:tcW w:w="3179" w:type="dxa"/>
            <w:vAlign w:val="center"/>
          </w:tcPr>
          <w:p w14:paraId="70C62532">
            <w:pPr>
              <w:tabs>
                <w:tab w:val="left" w:pos="6300"/>
              </w:tabs>
              <w:snapToGrid w:val="0"/>
              <w:spacing w:line="360" w:lineRule="auto"/>
              <w:jc w:val="center"/>
              <w:outlineLvl w:val="0"/>
              <w:rPr>
                <w:rFonts w:hint="eastAsia" w:ascii="宋体" w:hAnsi="宋体" w:eastAsia="宋体" w:cs="宋体"/>
                <w:color w:val="auto"/>
                <w:sz w:val="21"/>
                <w:szCs w:val="24"/>
                <w:highlight w:val="none"/>
              </w:rPr>
            </w:pPr>
          </w:p>
        </w:tc>
        <w:tc>
          <w:tcPr>
            <w:tcW w:w="2434" w:type="dxa"/>
            <w:vAlign w:val="center"/>
          </w:tcPr>
          <w:p w14:paraId="708A28F1">
            <w:pPr>
              <w:tabs>
                <w:tab w:val="left" w:pos="6300"/>
              </w:tabs>
              <w:snapToGrid w:val="0"/>
              <w:spacing w:line="360" w:lineRule="auto"/>
              <w:jc w:val="center"/>
              <w:outlineLvl w:val="0"/>
              <w:rPr>
                <w:rFonts w:hint="eastAsia" w:ascii="宋体" w:hAnsi="宋体" w:eastAsia="宋体" w:cs="宋体"/>
                <w:color w:val="auto"/>
                <w:sz w:val="21"/>
                <w:szCs w:val="24"/>
                <w:highlight w:val="none"/>
              </w:rPr>
            </w:pPr>
          </w:p>
        </w:tc>
        <w:tc>
          <w:tcPr>
            <w:tcW w:w="2355" w:type="dxa"/>
            <w:vAlign w:val="center"/>
          </w:tcPr>
          <w:p w14:paraId="276502DC">
            <w:pPr>
              <w:tabs>
                <w:tab w:val="left" w:pos="6300"/>
              </w:tabs>
              <w:snapToGrid w:val="0"/>
              <w:spacing w:line="360" w:lineRule="auto"/>
              <w:jc w:val="center"/>
              <w:outlineLvl w:val="0"/>
              <w:rPr>
                <w:rFonts w:hint="eastAsia" w:ascii="宋体" w:hAnsi="宋体" w:eastAsia="宋体" w:cs="宋体"/>
                <w:color w:val="auto"/>
                <w:sz w:val="21"/>
                <w:szCs w:val="24"/>
                <w:highlight w:val="none"/>
              </w:rPr>
            </w:pPr>
          </w:p>
        </w:tc>
      </w:tr>
    </w:tbl>
    <w:p w14:paraId="75783349">
      <w:pPr>
        <w:snapToGrid w:val="0"/>
        <w:spacing w:line="360" w:lineRule="auto"/>
        <w:ind w:firstLine="465"/>
        <w:rPr>
          <w:rFonts w:hint="eastAsia" w:ascii="宋体" w:hAnsi="宋体" w:eastAsia="宋体" w:cs="宋体"/>
          <w:color w:val="auto"/>
          <w:sz w:val="24"/>
          <w:szCs w:val="24"/>
          <w:highlight w:val="none"/>
        </w:rPr>
      </w:pPr>
    </w:p>
    <w:p w14:paraId="03A3A166">
      <w:pPr>
        <w:spacing w:line="500" w:lineRule="exact"/>
        <w:ind w:firstLine="600" w:firstLineChars="250"/>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供应商：                                  法定代表人授权代表：</w:t>
      </w:r>
    </w:p>
    <w:p w14:paraId="57BFEE54">
      <w:pPr>
        <w:spacing w:line="500" w:lineRule="exact"/>
        <w:rPr>
          <w:rFonts w:hint="eastAsia" w:ascii="宋体" w:hAnsi="宋体" w:eastAsia="宋体" w:cs="宋体"/>
          <w:color w:val="auto"/>
          <w:sz w:val="24"/>
          <w:szCs w:val="28"/>
          <w:highlight w:val="none"/>
        </w:rPr>
      </w:pPr>
    </w:p>
    <w:p w14:paraId="277F1A4C">
      <w:pPr>
        <w:spacing w:line="500" w:lineRule="exact"/>
        <w:ind w:firstLine="840" w:firstLineChars="350"/>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（供应商公章）                                 （签字或盖章）</w:t>
      </w:r>
    </w:p>
    <w:p w14:paraId="137E1C48">
      <w:pPr>
        <w:tabs>
          <w:tab w:val="left" w:pos="6300"/>
        </w:tabs>
        <w:snapToGrid w:val="0"/>
        <w:spacing w:line="500" w:lineRule="exact"/>
        <w:ind w:firstLine="570"/>
        <w:jc w:val="right"/>
        <w:rPr>
          <w:rFonts w:hint="eastAsia" w:ascii="宋体" w:hAnsi="宋体" w:eastAsia="宋体" w:cs="宋体"/>
          <w:color w:val="auto"/>
          <w:sz w:val="24"/>
          <w:highlight w:val="none"/>
        </w:rPr>
      </w:pPr>
      <w:r>
        <w:rPr>
          <w:rFonts w:hint="eastAsia" w:ascii="宋体" w:hAnsi="宋体" w:eastAsia="宋体" w:cs="宋体"/>
          <w:color w:val="auto"/>
          <w:sz w:val="24"/>
          <w:szCs w:val="28"/>
          <w:highlight w:val="none"/>
        </w:rPr>
        <w:t>年  月  日</w:t>
      </w:r>
    </w:p>
    <w:p w14:paraId="78E57020">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注：</w:t>
      </w:r>
    </w:p>
    <w:p w14:paraId="12B53566">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1.本表即为对本项目“第二篇</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项目技术需求”中所列条款进行比较和响应；</w:t>
      </w:r>
    </w:p>
    <w:p w14:paraId="00ABD2EB">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2.本表可扩展。</w:t>
      </w:r>
    </w:p>
    <w:p w14:paraId="5086D7DD">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p>
    <w:p w14:paraId="0BD99AED">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5D8D1905">
      <w:pPr>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（二）技术部分其他资料（格式自定）</w:t>
      </w:r>
    </w:p>
    <w:p w14:paraId="509C6440">
      <w:pPr>
        <w:pStyle w:val="5"/>
        <w:rPr>
          <w:rFonts w:hint="eastAsia" w:ascii="宋体" w:hAnsi="宋体" w:eastAsia="宋体" w:cs="宋体"/>
          <w:color w:val="auto"/>
          <w:sz w:val="24"/>
          <w:szCs w:val="24"/>
          <w:highlight w:val="none"/>
        </w:rPr>
      </w:pPr>
      <w:r>
        <w:rPr>
          <w:rFonts w:hint="eastAsia" w:ascii="宋体" w:hAnsi="宋体" w:eastAsia="宋体" w:cs="宋体"/>
          <w:color w:val="auto"/>
          <w:highlight w:val="none"/>
        </w:rPr>
        <w:br w:type="page"/>
      </w:r>
      <w:bookmarkStart w:id="743" w:name="_Toc28935"/>
      <w:bookmarkStart w:id="744" w:name="_Toc313888362"/>
      <w:bookmarkStart w:id="745" w:name="_Toc18617"/>
      <w:bookmarkStart w:id="746" w:name="_Toc313008358"/>
      <w:bookmarkStart w:id="747" w:name="_Toc29626"/>
      <w:bookmarkStart w:id="748" w:name="_Toc342913421"/>
      <w:bookmarkStart w:id="749" w:name="_Toc30551"/>
      <w:bookmarkStart w:id="750" w:name="_Toc103679701"/>
      <w:r>
        <w:rPr>
          <w:rFonts w:hint="eastAsia" w:ascii="宋体" w:hAnsi="宋体" w:eastAsia="宋体" w:cs="宋体"/>
          <w:color w:val="auto"/>
          <w:sz w:val="24"/>
          <w:szCs w:val="24"/>
          <w:highlight w:val="none"/>
        </w:rPr>
        <w:t>三、商务部分</w:t>
      </w:r>
      <w:bookmarkEnd w:id="743"/>
      <w:bookmarkEnd w:id="744"/>
      <w:bookmarkEnd w:id="745"/>
      <w:bookmarkEnd w:id="746"/>
      <w:bookmarkEnd w:id="747"/>
      <w:bookmarkEnd w:id="748"/>
      <w:bookmarkEnd w:id="749"/>
      <w:bookmarkEnd w:id="750"/>
    </w:p>
    <w:p w14:paraId="25C687BE">
      <w:pPr>
        <w:snapToGrid w:val="0"/>
        <w:spacing w:line="360" w:lineRule="auto"/>
        <w:rPr>
          <w:rFonts w:hint="eastAsia" w:ascii="宋体" w:hAnsi="宋体" w:eastAsia="宋体" w:cs="宋体"/>
          <w:color w:val="auto"/>
          <w:sz w:val="24"/>
          <w:szCs w:val="24"/>
          <w:highlight w:val="none"/>
        </w:rPr>
      </w:pPr>
      <w:bookmarkStart w:id="751" w:name="_Toc283382459"/>
      <w:r>
        <w:rPr>
          <w:rFonts w:hint="eastAsia" w:ascii="宋体" w:hAnsi="宋体" w:eastAsia="宋体" w:cs="宋体"/>
          <w:color w:val="auto"/>
          <w:sz w:val="24"/>
          <w:szCs w:val="24"/>
          <w:highlight w:val="none"/>
        </w:rPr>
        <w:t>（一）商务响应偏离表</w:t>
      </w:r>
    </w:p>
    <w:p w14:paraId="7B0F726A">
      <w:pPr>
        <w:snapToGrid w:val="0"/>
        <w:spacing w:line="360" w:lineRule="auto"/>
        <w:jc w:val="center"/>
        <w:rPr>
          <w:rFonts w:hint="eastAsia" w:ascii="宋体" w:hAnsi="宋体" w:eastAsia="宋体" w:cs="宋体"/>
          <w:b/>
          <w:color w:val="auto"/>
          <w:szCs w:val="28"/>
          <w:highlight w:val="none"/>
        </w:rPr>
      </w:pPr>
      <w:r>
        <w:rPr>
          <w:rFonts w:hint="eastAsia" w:ascii="宋体" w:hAnsi="宋体" w:eastAsia="宋体" w:cs="宋体"/>
          <w:b/>
          <w:color w:val="auto"/>
          <w:szCs w:val="28"/>
          <w:highlight w:val="none"/>
        </w:rPr>
        <w:t>商务响应偏离表</w:t>
      </w:r>
    </w:p>
    <w:p w14:paraId="4C95BB55">
      <w:pPr>
        <w:snapToGrid w:val="0"/>
        <w:spacing w:line="360" w:lineRule="auto"/>
        <w:ind w:firstLine="4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对于网上竞采文件的商务要求，如有任何偏离请如实填写下表：</w:t>
      </w:r>
    </w:p>
    <w:tbl>
      <w:tblPr>
        <w:tblStyle w:val="61"/>
        <w:tblW w:w="947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26E64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510" w:type="dxa"/>
            <w:vAlign w:val="center"/>
          </w:tcPr>
          <w:p w14:paraId="5CA92512">
            <w:pPr>
              <w:tabs>
                <w:tab w:val="left" w:pos="6300"/>
              </w:tabs>
              <w:snapToGrid w:val="0"/>
              <w:spacing w:line="360" w:lineRule="auto"/>
              <w:jc w:val="center"/>
              <w:outlineLvl w:val="0"/>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序号</w:t>
            </w:r>
          </w:p>
        </w:tc>
        <w:tc>
          <w:tcPr>
            <w:tcW w:w="3179" w:type="dxa"/>
            <w:vAlign w:val="center"/>
          </w:tcPr>
          <w:p w14:paraId="3E981A1D">
            <w:pPr>
              <w:tabs>
                <w:tab w:val="left" w:pos="6300"/>
              </w:tabs>
              <w:snapToGrid w:val="0"/>
              <w:spacing w:line="360" w:lineRule="auto"/>
              <w:jc w:val="center"/>
              <w:outlineLvl w:val="0"/>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采购项目需求</w:t>
            </w:r>
          </w:p>
        </w:tc>
        <w:tc>
          <w:tcPr>
            <w:tcW w:w="2434" w:type="dxa"/>
            <w:vAlign w:val="center"/>
          </w:tcPr>
          <w:p w14:paraId="241E498A">
            <w:pPr>
              <w:tabs>
                <w:tab w:val="left" w:pos="6300"/>
              </w:tabs>
              <w:snapToGrid w:val="0"/>
              <w:spacing w:line="360" w:lineRule="auto"/>
              <w:jc w:val="center"/>
              <w:outlineLvl w:val="0"/>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响应情况</w:t>
            </w:r>
          </w:p>
        </w:tc>
        <w:tc>
          <w:tcPr>
            <w:tcW w:w="2355" w:type="dxa"/>
            <w:vAlign w:val="center"/>
          </w:tcPr>
          <w:p w14:paraId="21B504F5">
            <w:pPr>
              <w:tabs>
                <w:tab w:val="left" w:pos="6300"/>
              </w:tabs>
              <w:snapToGrid w:val="0"/>
              <w:spacing w:line="360" w:lineRule="auto"/>
              <w:jc w:val="center"/>
              <w:outlineLvl w:val="0"/>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差异说明</w:t>
            </w:r>
          </w:p>
        </w:tc>
      </w:tr>
      <w:tr w14:paraId="387F6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F5D12B5">
            <w:pPr>
              <w:tabs>
                <w:tab w:val="left" w:pos="6300"/>
              </w:tabs>
              <w:snapToGrid w:val="0"/>
              <w:spacing w:line="360" w:lineRule="auto"/>
              <w:jc w:val="center"/>
              <w:outlineLvl w:val="0"/>
              <w:rPr>
                <w:rFonts w:hint="eastAsia" w:ascii="宋体" w:hAnsi="宋体" w:eastAsia="宋体" w:cs="宋体"/>
                <w:color w:val="auto"/>
                <w:sz w:val="21"/>
                <w:szCs w:val="24"/>
                <w:highlight w:val="none"/>
              </w:rPr>
            </w:pPr>
          </w:p>
        </w:tc>
        <w:tc>
          <w:tcPr>
            <w:tcW w:w="3179" w:type="dxa"/>
            <w:vAlign w:val="center"/>
          </w:tcPr>
          <w:p w14:paraId="19CF43AB">
            <w:pPr>
              <w:tabs>
                <w:tab w:val="left" w:pos="6300"/>
              </w:tabs>
              <w:snapToGrid w:val="0"/>
              <w:spacing w:line="360" w:lineRule="auto"/>
              <w:jc w:val="center"/>
              <w:outlineLvl w:val="0"/>
              <w:rPr>
                <w:rFonts w:hint="eastAsia" w:ascii="宋体" w:hAnsi="宋体" w:eastAsia="宋体" w:cs="宋体"/>
                <w:color w:val="auto"/>
                <w:sz w:val="21"/>
                <w:szCs w:val="24"/>
                <w:highlight w:val="none"/>
              </w:rPr>
            </w:pPr>
          </w:p>
        </w:tc>
        <w:tc>
          <w:tcPr>
            <w:tcW w:w="2434" w:type="dxa"/>
            <w:vAlign w:val="center"/>
          </w:tcPr>
          <w:p w14:paraId="54573BF1">
            <w:pPr>
              <w:tabs>
                <w:tab w:val="left" w:pos="6300"/>
              </w:tabs>
              <w:snapToGrid w:val="0"/>
              <w:spacing w:line="360" w:lineRule="auto"/>
              <w:jc w:val="center"/>
              <w:outlineLvl w:val="0"/>
              <w:rPr>
                <w:rFonts w:hint="eastAsia" w:ascii="宋体" w:hAnsi="宋体" w:eastAsia="宋体" w:cs="宋体"/>
                <w:color w:val="auto"/>
                <w:sz w:val="21"/>
                <w:szCs w:val="24"/>
                <w:highlight w:val="none"/>
              </w:rPr>
            </w:pPr>
          </w:p>
        </w:tc>
        <w:tc>
          <w:tcPr>
            <w:tcW w:w="2355" w:type="dxa"/>
            <w:vAlign w:val="center"/>
          </w:tcPr>
          <w:p w14:paraId="42DCFAC7">
            <w:pPr>
              <w:tabs>
                <w:tab w:val="left" w:pos="6300"/>
              </w:tabs>
              <w:snapToGrid w:val="0"/>
              <w:spacing w:line="360" w:lineRule="auto"/>
              <w:jc w:val="center"/>
              <w:outlineLvl w:val="0"/>
              <w:rPr>
                <w:rFonts w:hint="eastAsia" w:ascii="宋体" w:hAnsi="宋体" w:eastAsia="宋体" w:cs="宋体"/>
                <w:color w:val="auto"/>
                <w:sz w:val="21"/>
                <w:szCs w:val="24"/>
                <w:highlight w:val="none"/>
              </w:rPr>
            </w:pPr>
          </w:p>
        </w:tc>
      </w:tr>
      <w:tr w14:paraId="197A0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2F89BA69">
            <w:pPr>
              <w:tabs>
                <w:tab w:val="left" w:pos="6300"/>
              </w:tabs>
              <w:snapToGrid w:val="0"/>
              <w:spacing w:line="360" w:lineRule="auto"/>
              <w:jc w:val="center"/>
              <w:outlineLvl w:val="0"/>
              <w:rPr>
                <w:rFonts w:hint="eastAsia" w:ascii="宋体" w:hAnsi="宋体" w:eastAsia="宋体" w:cs="宋体"/>
                <w:color w:val="auto"/>
                <w:sz w:val="21"/>
                <w:szCs w:val="24"/>
                <w:highlight w:val="none"/>
              </w:rPr>
            </w:pPr>
          </w:p>
        </w:tc>
        <w:tc>
          <w:tcPr>
            <w:tcW w:w="3179" w:type="dxa"/>
            <w:vAlign w:val="center"/>
          </w:tcPr>
          <w:p w14:paraId="4476F58E">
            <w:pPr>
              <w:tabs>
                <w:tab w:val="left" w:pos="6300"/>
              </w:tabs>
              <w:snapToGrid w:val="0"/>
              <w:spacing w:line="360" w:lineRule="auto"/>
              <w:jc w:val="center"/>
              <w:outlineLvl w:val="0"/>
              <w:rPr>
                <w:rFonts w:hint="eastAsia" w:ascii="宋体" w:hAnsi="宋体" w:eastAsia="宋体" w:cs="宋体"/>
                <w:color w:val="auto"/>
                <w:sz w:val="21"/>
                <w:szCs w:val="24"/>
                <w:highlight w:val="none"/>
              </w:rPr>
            </w:pPr>
          </w:p>
        </w:tc>
        <w:tc>
          <w:tcPr>
            <w:tcW w:w="2434" w:type="dxa"/>
            <w:vAlign w:val="center"/>
          </w:tcPr>
          <w:p w14:paraId="1CBF501B">
            <w:pPr>
              <w:tabs>
                <w:tab w:val="left" w:pos="6300"/>
              </w:tabs>
              <w:snapToGrid w:val="0"/>
              <w:spacing w:line="360" w:lineRule="auto"/>
              <w:jc w:val="center"/>
              <w:outlineLvl w:val="0"/>
              <w:rPr>
                <w:rFonts w:hint="eastAsia" w:ascii="宋体" w:hAnsi="宋体" w:eastAsia="宋体" w:cs="宋体"/>
                <w:color w:val="auto"/>
                <w:sz w:val="21"/>
                <w:szCs w:val="24"/>
                <w:highlight w:val="none"/>
              </w:rPr>
            </w:pPr>
          </w:p>
        </w:tc>
        <w:tc>
          <w:tcPr>
            <w:tcW w:w="2355" w:type="dxa"/>
            <w:vAlign w:val="center"/>
          </w:tcPr>
          <w:p w14:paraId="26C915A2">
            <w:pPr>
              <w:tabs>
                <w:tab w:val="left" w:pos="6300"/>
              </w:tabs>
              <w:snapToGrid w:val="0"/>
              <w:spacing w:line="360" w:lineRule="auto"/>
              <w:jc w:val="center"/>
              <w:outlineLvl w:val="0"/>
              <w:rPr>
                <w:rFonts w:hint="eastAsia" w:ascii="宋体" w:hAnsi="宋体" w:eastAsia="宋体" w:cs="宋体"/>
                <w:color w:val="auto"/>
                <w:sz w:val="21"/>
                <w:szCs w:val="24"/>
                <w:highlight w:val="none"/>
              </w:rPr>
            </w:pPr>
          </w:p>
        </w:tc>
      </w:tr>
      <w:tr w14:paraId="6EEE5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68326CD6">
            <w:pPr>
              <w:tabs>
                <w:tab w:val="left" w:pos="6300"/>
              </w:tabs>
              <w:snapToGrid w:val="0"/>
              <w:spacing w:line="360" w:lineRule="auto"/>
              <w:jc w:val="center"/>
              <w:outlineLvl w:val="0"/>
              <w:rPr>
                <w:rFonts w:hint="eastAsia" w:ascii="宋体" w:hAnsi="宋体" w:eastAsia="宋体" w:cs="宋体"/>
                <w:color w:val="auto"/>
                <w:sz w:val="21"/>
                <w:szCs w:val="24"/>
                <w:highlight w:val="none"/>
              </w:rPr>
            </w:pPr>
          </w:p>
        </w:tc>
        <w:tc>
          <w:tcPr>
            <w:tcW w:w="3179" w:type="dxa"/>
            <w:vAlign w:val="center"/>
          </w:tcPr>
          <w:p w14:paraId="053E7271">
            <w:pPr>
              <w:tabs>
                <w:tab w:val="left" w:pos="6300"/>
              </w:tabs>
              <w:snapToGrid w:val="0"/>
              <w:spacing w:line="360" w:lineRule="auto"/>
              <w:jc w:val="center"/>
              <w:outlineLvl w:val="0"/>
              <w:rPr>
                <w:rFonts w:hint="eastAsia" w:ascii="宋体" w:hAnsi="宋体" w:eastAsia="宋体" w:cs="宋体"/>
                <w:color w:val="auto"/>
                <w:sz w:val="21"/>
                <w:szCs w:val="24"/>
                <w:highlight w:val="none"/>
              </w:rPr>
            </w:pPr>
          </w:p>
        </w:tc>
        <w:tc>
          <w:tcPr>
            <w:tcW w:w="2434" w:type="dxa"/>
            <w:vAlign w:val="center"/>
          </w:tcPr>
          <w:p w14:paraId="09DEBB53">
            <w:pPr>
              <w:tabs>
                <w:tab w:val="left" w:pos="6300"/>
              </w:tabs>
              <w:snapToGrid w:val="0"/>
              <w:spacing w:line="360" w:lineRule="auto"/>
              <w:jc w:val="center"/>
              <w:outlineLvl w:val="0"/>
              <w:rPr>
                <w:rFonts w:hint="eastAsia" w:ascii="宋体" w:hAnsi="宋体" w:eastAsia="宋体" w:cs="宋体"/>
                <w:color w:val="auto"/>
                <w:sz w:val="21"/>
                <w:szCs w:val="24"/>
                <w:highlight w:val="none"/>
              </w:rPr>
            </w:pPr>
          </w:p>
        </w:tc>
        <w:tc>
          <w:tcPr>
            <w:tcW w:w="2355" w:type="dxa"/>
            <w:vAlign w:val="center"/>
          </w:tcPr>
          <w:p w14:paraId="439C0D9F">
            <w:pPr>
              <w:tabs>
                <w:tab w:val="left" w:pos="6300"/>
              </w:tabs>
              <w:snapToGrid w:val="0"/>
              <w:spacing w:line="360" w:lineRule="auto"/>
              <w:jc w:val="center"/>
              <w:outlineLvl w:val="0"/>
              <w:rPr>
                <w:rFonts w:hint="eastAsia" w:ascii="宋体" w:hAnsi="宋体" w:eastAsia="宋体" w:cs="宋体"/>
                <w:color w:val="auto"/>
                <w:sz w:val="21"/>
                <w:szCs w:val="24"/>
                <w:highlight w:val="none"/>
              </w:rPr>
            </w:pPr>
          </w:p>
        </w:tc>
      </w:tr>
      <w:tr w14:paraId="78B3D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7EDA1B69">
            <w:pPr>
              <w:tabs>
                <w:tab w:val="left" w:pos="6300"/>
              </w:tabs>
              <w:snapToGrid w:val="0"/>
              <w:spacing w:line="360" w:lineRule="auto"/>
              <w:jc w:val="center"/>
              <w:outlineLvl w:val="0"/>
              <w:rPr>
                <w:rFonts w:hint="eastAsia" w:ascii="宋体" w:hAnsi="宋体" w:eastAsia="宋体" w:cs="宋体"/>
                <w:color w:val="auto"/>
                <w:sz w:val="21"/>
                <w:szCs w:val="24"/>
                <w:highlight w:val="none"/>
              </w:rPr>
            </w:pPr>
          </w:p>
        </w:tc>
        <w:tc>
          <w:tcPr>
            <w:tcW w:w="3179" w:type="dxa"/>
            <w:vAlign w:val="center"/>
          </w:tcPr>
          <w:p w14:paraId="3ACC95FB">
            <w:pPr>
              <w:tabs>
                <w:tab w:val="left" w:pos="6300"/>
              </w:tabs>
              <w:snapToGrid w:val="0"/>
              <w:spacing w:line="360" w:lineRule="auto"/>
              <w:jc w:val="center"/>
              <w:outlineLvl w:val="0"/>
              <w:rPr>
                <w:rFonts w:hint="eastAsia" w:ascii="宋体" w:hAnsi="宋体" w:eastAsia="宋体" w:cs="宋体"/>
                <w:color w:val="auto"/>
                <w:sz w:val="21"/>
                <w:szCs w:val="24"/>
                <w:highlight w:val="none"/>
              </w:rPr>
            </w:pPr>
          </w:p>
        </w:tc>
        <w:tc>
          <w:tcPr>
            <w:tcW w:w="2434" w:type="dxa"/>
            <w:vAlign w:val="center"/>
          </w:tcPr>
          <w:p w14:paraId="075595CB">
            <w:pPr>
              <w:tabs>
                <w:tab w:val="left" w:pos="6300"/>
              </w:tabs>
              <w:snapToGrid w:val="0"/>
              <w:spacing w:line="360" w:lineRule="auto"/>
              <w:jc w:val="center"/>
              <w:outlineLvl w:val="0"/>
              <w:rPr>
                <w:rFonts w:hint="eastAsia" w:ascii="宋体" w:hAnsi="宋体" w:eastAsia="宋体" w:cs="宋体"/>
                <w:color w:val="auto"/>
                <w:sz w:val="21"/>
                <w:szCs w:val="24"/>
                <w:highlight w:val="none"/>
              </w:rPr>
            </w:pPr>
          </w:p>
        </w:tc>
        <w:tc>
          <w:tcPr>
            <w:tcW w:w="2355" w:type="dxa"/>
            <w:vAlign w:val="center"/>
          </w:tcPr>
          <w:p w14:paraId="7954121D">
            <w:pPr>
              <w:tabs>
                <w:tab w:val="left" w:pos="6300"/>
              </w:tabs>
              <w:snapToGrid w:val="0"/>
              <w:spacing w:line="360" w:lineRule="auto"/>
              <w:jc w:val="center"/>
              <w:outlineLvl w:val="0"/>
              <w:rPr>
                <w:rFonts w:hint="eastAsia" w:ascii="宋体" w:hAnsi="宋体" w:eastAsia="宋体" w:cs="宋体"/>
                <w:color w:val="auto"/>
                <w:sz w:val="21"/>
                <w:szCs w:val="24"/>
                <w:highlight w:val="none"/>
              </w:rPr>
            </w:pPr>
          </w:p>
        </w:tc>
      </w:tr>
      <w:tr w14:paraId="7DCD3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2F7EC5E5">
            <w:pPr>
              <w:tabs>
                <w:tab w:val="left" w:pos="6300"/>
              </w:tabs>
              <w:snapToGrid w:val="0"/>
              <w:spacing w:line="360" w:lineRule="auto"/>
              <w:jc w:val="center"/>
              <w:outlineLvl w:val="0"/>
              <w:rPr>
                <w:rFonts w:hint="eastAsia" w:ascii="宋体" w:hAnsi="宋体" w:eastAsia="宋体" w:cs="宋体"/>
                <w:color w:val="auto"/>
                <w:sz w:val="21"/>
                <w:szCs w:val="24"/>
                <w:highlight w:val="none"/>
              </w:rPr>
            </w:pPr>
          </w:p>
        </w:tc>
        <w:tc>
          <w:tcPr>
            <w:tcW w:w="3179" w:type="dxa"/>
            <w:vAlign w:val="center"/>
          </w:tcPr>
          <w:p w14:paraId="3C5CAA82">
            <w:pPr>
              <w:tabs>
                <w:tab w:val="left" w:pos="6300"/>
              </w:tabs>
              <w:snapToGrid w:val="0"/>
              <w:spacing w:line="360" w:lineRule="auto"/>
              <w:jc w:val="center"/>
              <w:outlineLvl w:val="0"/>
              <w:rPr>
                <w:rFonts w:hint="eastAsia" w:ascii="宋体" w:hAnsi="宋体" w:eastAsia="宋体" w:cs="宋体"/>
                <w:color w:val="auto"/>
                <w:sz w:val="21"/>
                <w:szCs w:val="24"/>
                <w:highlight w:val="none"/>
              </w:rPr>
            </w:pPr>
          </w:p>
        </w:tc>
        <w:tc>
          <w:tcPr>
            <w:tcW w:w="2434" w:type="dxa"/>
            <w:vAlign w:val="center"/>
          </w:tcPr>
          <w:p w14:paraId="29878145">
            <w:pPr>
              <w:tabs>
                <w:tab w:val="left" w:pos="6300"/>
              </w:tabs>
              <w:snapToGrid w:val="0"/>
              <w:spacing w:line="360" w:lineRule="auto"/>
              <w:jc w:val="center"/>
              <w:outlineLvl w:val="0"/>
              <w:rPr>
                <w:rFonts w:hint="eastAsia" w:ascii="宋体" w:hAnsi="宋体" w:eastAsia="宋体" w:cs="宋体"/>
                <w:color w:val="auto"/>
                <w:sz w:val="21"/>
                <w:szCs w:val="24"/>
                <w:highlight w:val="none"/>
              </w:rPr>
            </w:pPr>
          </w:p>
        </w:tc>
        <w:tc>
          <w:tcPr>
            <w:tcW w:w="2355" w:type="dxa"/>
            <w:vAlign w:val="center"/>
          </w:tcPr>
          <w:p w14:paraId="17B7A05C">
            <w:pPr>
              <w:tabs>
                <w:tab w:val="left" w:pos="6300"/>
              </w:tabs>
              <w:snapToGrid w:val="0"/>
              <w:spacing w:line="360" w:lineRule="auto"/>
              <w:jc w:val="center"/>
              <w:outlineLvl w:val="0"/>
              <w:rPr>
                <w:rFonts w:hint="eastAsia" w:ascii="宋体" w:hAnsi="宋体" w:eastAsia="宋体" w:cs="宋体"/>
                <w:color w:val="auto"/>
                <w:sz w:val="21"/>
                <w:szCs w:val="24"/>
                <w:highlight w:val="none"/>
              </w:rPr>
            </w:pPr>
          </w:p>
        </w:tc>
      </w:tr>
      <w:tr w14:paraId="089EE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1A00567">
            <w:pPr>
              <w:tabs>
                <w:tab w:val="left" w:pos="6300"/>
              </w:tabs>
              <w:snapToGrid w:val="0"/>
              <w:spacing w:line="360" w:lineRule="auto"/>
              <w:jc w:val="center"/>
              <w:outlineLvl w:val="0"/>
              <w:rPr>
                <w:rFonts w:hint="eastAsia" w:ascii="宋体" w:hAnsi="宋体" w:eastAsia="宋体" w:cs="宋体"/>
                <w:color w:val="auto"/>
                <w:sz w:val="21"/>
                <w:szCs w:val="24"/>
                <w:highlight w:val="none"/>
              </w:rPr>
            </w:pPr>
          </w:p>
        </w:tc>
        <w:tc>
          <w:tcPr>
            <w:tcW w:w="3179" w:type="dxa"/>
            <w:vAlign w:val="center"/>
          </w:tcPr>
          <w:p w14:paraId="0A00D556">
            <w:pPr>
              <w:tabs>
                <w:tab w:val="left" w:pos="6300"/>
              </w:tabs>
              <w:snapToGrid w:val="0"/>
              <w:spacing w:line="360" w:lineRule="auto"/>
              <w:jc w:val="center"/>
              <w:outlineLvl w:val="0"/>
              <w:rPr>
                <w:rFonts w:hint="eastAsia" w:ascii="宋体" w:hAnsi="宋体" w:eastAsia="宋体" w:cs="宋体"/>
                <w:color w:val="auto"/>
                <w:sz w:val="21"/>
                <w:szCs w:val="24"/>
                <w:highlight w:val="none"/>
              </w:rPr>
            </w:pPr>
          </w:p>
        </w:tc>
        <w:tc>
          <w:tcPr>
            <w:tcW w:w="2434" w:type="dxa"/>
            <w:vAlign w:val="center"/>
          </w:tcPr>
          <w:p w14:paraId="636B032E">
            <w:pPr>
              <w:tabs>
                <w:tab w:val="left" w:pos="6300"/>
              </w:tabs>
              <w:snapToGrid w:val="0"/>
              <w:spacing w:line="360" w:lineRule="auto"/>
              <w:jc w:val="center"/>
              <w:outlineLvl w:val="0"/>
              <w:rPr>
                <w:rFonts w:hint="eastAsia" w:ascii="宋体" w:hAnsi="宋体" w:eastAsia="宋体" w:cs="宋体"/>
                <w:color w:val="auto"/>
                <w:sz w:val="21"/>
                <w:szCs w:val="24"/>
                <w:highlight w:val="none"/>
              </w:rPr>
            </w:pPr>
          </w:p>
        </w:tc>
        <w:tc>
          <w:tcPr>
            <w:tcW w:w="2355" w:type="dxa"/>
            <w:vAlign w:val="center"/>
          </w:tcPr>
          <w:p w14:paraId="5B5B0CC0">
            <w:pPr>
              <w:tabs>
                <w:tab w:val="left" w:pos="6300"/>
              </w:tabs>
              <w:snapToGrid w:val="0"/>
              <w:spacing w:line="360" w:lineRule="auto"/>
              <w:jc w:val="center"/>
              <w:outlineLvl w:val="0"/>
              <w:rPr>
                <w:rFonts w:hint="eastAsia" w:ascii="宋体" w:hAnsi="宋体" w:eastAsia="宋体" w:cs="宋体"/>
                <w:color w:val="auto"/>
                <w:sz w:val="21"/>
                <w:szCs w:val="24"/>
                <w:highlight w:val="none"/>
              </w:rPr>
            </w:pPr>
          </w:p>
        </w:tc>
      </w:tr>
    </w:tbl>
    <w:p w14:paraId="475B9DEC">
      <w:pPr>
        <w:snapToGrid w:val="0"/>
        <w:spacing w:line="360" w:lineRule="auto"/>
        <w:ind w:firstLine="465"/>
        <w:rPr>
          <w:rFonts w:hint="eastAsia" w:ascii="宋体" w:hAnsi="宋体" w:eastAsia="宋体" w:cs="宋体"/>
          <w:color w:val="auto"/>
          <w:sz w:val="24"/>
          <w:szCs w:val="24"/>
          <w:highlight w:val="none"/>
        </w:rPr>
      </w:pPr>
    </w:p>
    <w:p w14:paraId="75F38E30">
      <w:pPr>
        <w:spacing w:line="500" w:lineRule="exact"/>
        <w:ind w:firstLine="600" w:firstLineChars="250"/>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供应商：                                     法定代表人授权代表：</w:t>
      </w:r>
    </w:p>
    <w:p w14:paraId="34B09BC2">
      <w:pPr>
        <w:spacing w:line="500" w:lineRule="exact"/>
        <w:rPr>
          <w:rFonts w:hint="eastAsia" w:ascii="宋体" w:hAnsi="宋体" w:eastAsia="宋体" w:cs="宋体"/>
          <w:color w:val="auto"/>
          <w:sz w:val="24"/>
          <w:szCs w:val="28"/>
          <w:highlight w:val="none"/>
        </w:rPr>
      </w:pPr>
    </w:p>
    <w:p w14:paraId="349EB6A8">
      <w:pPr>
        <w:spacing w:line="500" w:lineRule="exact"/>
        <w:ind w:firstLine="600" w:firstLineChars="250"/>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（供应商公章）                                   （签字或盖章）</w:t>
      </w:r>
    </w:p>
    <w:p w14:paraId="3C92850B">
      <w:pPr>
        <w:tabs>
          <w:tab w:val="left" w:pos="6300"/>
        </w:tabs>
        <w:snapToGrid w:val="0"/>
        <w:spacing w:line="500" w:lineRule="exact"/>
        <w:ind w:firstLine="570"/>
        <w:jc w:val="right"/>
        <w:rPr>
          <w:rFonts w:hint="eastAsia" w:ascii="宋体" w:hAnsi="宋体" w:eastAsia="宋体" w:cs="宋体"/>
          <w:color w:val="auto"/>
          <w:sz w:val="24"/>
          <w:highlight w:val="none"/>
        </w:rPr>
      </w:pPr>
      <w:r>
        <w:rPr>
          <w:rFonts w:hint="eastAsia" w:ascii="宋体" w:hAnsi="宋体" w:eastAsia="宋体" w:cs="宋体"/>
          <w:color w:val="auto"/>
          <w:sz w:val="24"/>
          <w:szCs w:val="28"/>
          <w:highlight w:val="none"/>
        </w:rPr>
        <w:t>年 月  日</w:t>
      </w:r>
    </w:p>
    <w:p w14:paraId="5F9827FB">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注：</w:t>
      </w:r>
    </w:p>
    <w:p w14:paraId="6C8CEFE3">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1.本表即为对本项目“第三篇</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项目商务需求”中所列条款进行比较和响应；</w:t>
      </w:r>
    </w:p>
    <w:p w14:paraId="67608849">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rPr>
        <w:t>2.本表可扩展</w:t>
      </w:r>
      <w:r>
        <w:rPr>
          <w:rFonts w:hint="eastAsia" w:ascii="宋体" w:hAnsi="宋体" w:eastAsia="宋体" w:cs="宋体"/>
          <w:color w:val="auto"/>
          <w:sz w:val="24"/>
          <w:highlight w:val="none"/>
        </w:rPr>
        <w:t>。</w:t>
      </w:r>
    </w:p>
    <w:p w14:paraId="418C9207">
      <w:pPr>
        <w:pStyle w:val="24"/>
        <w:ind w:left="560" w:firstLine="880"/>
        <w:rPr>
          <w:rFonts w:hint="eastAsia" w:ascii="宋体" w:hAnsi="宋体" w:eastAsia="宋体" w:cs="宋体"/>
          <w:color w:val="auto"/>
          <w:highlight w:val="none"/>
        </w:rPr>
      </w:pPr>
    </w:p>
    <w:p w14:paraId="618F1D6A">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1A819507">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（二）商务部分其他资料</w:t>
      </w:r>
    </w:p>
    <w:p w14:paraId="02DFFEAA">
      <w:pPr>
        <w:pStyle w:val="5"/>
        <w:spacing w:before="0" w:after="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bookmarkEnd w:id="751"/>
      <w:bookmarkStart w:id="752" w:name="_Toc19396"/>
      <w:bookmarkStart w:id="753" w:name="_Toc30310"/>
      <w:bookmarkStart w:id="754" w:name="_Toc16819"/>
      <w:bookmarkStart w:id="755" w:name="_Toc26076"/>
      <w:bookmarkStart w:id="756" w:name="_Toc342913422"/>
      <w:bookmarkStart w:id="757" w:name="_Toc103679702"/>
      <w:bookmarkStart w:id="758" w:name="_Toc313008359"/>
      <w:bookmarkStart w:id="759" w:name="_Toc313888363"/>
      <w:r>
        <w:rPr>
          <w:rFonts w:hint="eastAsia" w:ascii="宋体" w:hAnsi="宋体" w:eastAsia="宋体" w:cs="宋体"/>
          <w:color w:val="auto"/>
          <w:sz w:val="24"/>
          <w:szCs w:val="24"/>
          <w:highlight w:val="none"/>
        </w:rPr>
        <w:t>四、资格条件及其他</w:t>
      </w:r>
      <w:bookmarkEnd w:id="752"/>
      <w:bookmarkEnd w:id="753"/>
      <w:bookmarkEnd w:id="754"/>
      <w:bookmarkEnd w:id="755"/>
      <w:bookmarkEnd w:id="756"/>
      <w:bookmarkEnd w:id="757"/>
      <w:bookmarkEnd w:id="758"/>
      <w:bookmarkEnd w:id="759"/>
    </w:p>
    <w:p w14:paraId="726DD716">
      <w:pPr>
        <w:tabs>
          <w:tab w:val="left" w:pos="6300"/>
        </w:tabs>
        <w:snapToGrid w:val="0"/>
        <w:spacing w:line="500" w:lineRule="exact"/>
        <w:ind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（一）法人营业执照（副本）或事业单位法人证书（副本）或个体工商户营业执照或有效的自然人身份证明或社会团体法人登记证书</w:t>
      </w:r>
    </w:p>
    <w:p w14:paraId="4D1B4B65">
      <w:pPr>
        <w:pStyle w:val="24"/>
        <w:ind w:left="560" w:firstLine="880"/>
        <w:rPr>
          <w:rFonts w:hint="eastAsia" w:ascii="宋体" w:hAnsi="宋体" w:eastAsia="宋体" w:cs="宋体"/>
          <w:color w:val="auto"/>
          <w:highlight w:val="none"/>
        </w:rPr>
      </w:pPr>
    </w:p>
    <w:p w14:paraId="02672DD8">
      <w:pPr>
        <w:pStyle w:val="24"/>
        <w:ind w:left="560" w:firstLine="880"/>
        <w:rPr>
          <w:rFonts w:hint="eastAsia" w:ascii="宋体" w:hAnsi="宋体" w:eastAsia="宋体" w:cs="宋体"/>
          <w:color w:val="auto"/>
          <w:highlight w:val="none"/>
        </w:rPr>
      </w:pPr>
    </w:p>
    <w:p w14:paraId="0830E6B9">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7F828AB3">
      <w:pPr>
        <w:widowControl/>
        <w:ind w:firstLine="480" w:firstLineChars="200"/>
        <w:jc w:val="left"/>
        <w:rPr>
          <w:rFonts w:hint="eastAsia" w:ascii="宋体" w:hAnsi="宋体" w:eastAsia="宋体" w:cs="宋体"/>
          <w:color w:val="auto"/>
          <w:highlight w:val="none"/>
        </w:rPr>
      </w:pPr>
      <w:r>
        <w:rPr>
          <w:rFonts w:hint="eastAsia" w:ascii="宋体" w:hAnsi="宋体" w:eastAsia="宋体" w:cs="宋体"/>
          <w:color w:val="auto"/>
          <w:sz w:val="24"/>
          <w:szCs w:val="24"/>
          <w:highlight w:val="none"/>
        </w:rPr>
        <w:t>（二）法定代表人身份证明书（格式）</w:t>
      </w:r>
    </w:p>
    <w:p w14:paraId="17C2B803">
      <w:pPr>
        <w:tabs>
          <w:tab w:val="left" w:pos="6300"/>
        </w:tabs>
        <w:snapToGrid w:val="0"/>
        <w:spacing w:line="500" w:lineRule="exact"/>
        <w:ind w:firstLine="570"/>
        <w:rPr>
          <w:rFonts w:hint="eastAsia" w:ascii="宋体" w:hAnsi="宋体" w:eastAsia="宋体" w:cs="宋体"/>
          <w:color w:val="auto"/>
          <w:sz w:val="24"/>
          <w:highlight w:val="none"/>
        </w:rPr>
      </w:pPr>
    </w:p>
    <w:p w14:paraId="675AF747">
      <w:pPr>
        <w:tabs>
          <w:tab w:val="left" w:pos="6300"/>
        </w:tabs>
        <w:snapToGrid w:val="0"/>
        <w:spacing w:line="500" w:lineRule="exact"/>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采购项目名称：</w:t>
      </w:r>
    </w:p>
    <w:p w14:paraId="7A0473E9">
      <w:pPr>
        <w:tabs>
          <w:tab w:val="left" w:pos="6300"/>
        </w:tabs>
        <w:snapToGrid w:val="0"/>
        <w:spacing w:line="500" w:lineRule="exact"/>
        <w:ind w:firstLine="570"/>
        <w:rPr>
          <w:rFonts w:hint="eastAsia" w:ascii="宋体" w:hAnsi="宋体" w:eastAsia="宋体" w:cs="宋体"/>
          <w:color w:val="auto"/>
          <w:sz w:val="24"/>
          <w:highlight w:val="none"/>
        </w:rPr>
      </w:pPr>
    </w:p>
    <w:p w14:paraId="0FA7229B">
      <w:pPr>
        <w:tabs>
          <w:tab w:val="left" w:pos="6300"/>
        </w:tabs>
        <w:snapToGrid w:val="0"/>
        <w:spacing w:line="500" w:lineRule="exact"/>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（采购人名称）：</w:t>
      </w:r>
    </w:p>
    <w:p w14:paraId="01B2377B">
      <w:pPr>
        <w:tabs>
          <w:tab w:val="left" w:pos="6300"/>
        </w:tabs>
        <w:snapToGrid w:val="0"/>
        <w:spacing w:line="500" w:lineRule="exact"/>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（法定代表人姓名）在</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（供应商名称）任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（职务名称）职务，是</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（供应商名称）的法定代表人。</w:t>
      </w:r>
    </w:p>
    <w:p w14:paraId="5A4E4C7B">
      <w:pPr>
        <w:tabs>
          <w:tab w:val="left" w:pos="6300"/>
        </w:tabs>
        <w:snapToGrid w:val="0"/>
        <w:spacing w:line="500" w:lineRule="exact"/>
        <w:ind w:firstLine="570"/>
        <w:rPr>
          <w:rFonts w:hint="eastAsia" w:ascii="宋体" w:hAnsi="宋体" w:eastAsia="宋体" w:cs="宋体"/>
          <w:color w:val="auto"/>
          <w:sz w:val="24"/>
          <w:highlight w:val="none"/>
        </w:rPr>
      </w:pPr>
    </w:p>
    <w:p w14:paraId="3E64AF95">
      <w:pPr>
        <w:tabs>
          <w:tab w:val="left" w:pos="6300"/>
        </w:tabs>
        <w:snapToGrid w:val="0"/>
        <w:spacing w:line="500" w:lineRule="exact"/>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14:paraId="13B6FE1E">
      <w:pPr>
        <w:tabs>
          <w:tab w:val="left" w:pos="6300"/>
        </w:tabs>
        <w:snapToGrid w:val="0"/>
        <w:spacing w:line="500" w:lineRule="exact"/>
        <w:ind w:firstLine="570"/>
        <w:rPr>
          <w:rFonts w:hint="eastAsia" w:ascii="宋体" w:hAnsi="宋体" w:eastAsia="宋体" w:cs="宋体"/>
          <w:color w:val="auto"/>
          <w:sz w:val="24"/>
          <w:highlight w:val="none"/>
        </w:rPr>
      </w:pPr>
    </w:p>
    <w:p w14:paraId="235D8E29">
      <w:pPr>
        <w:tabs>
          <w:tab w:val="left" w:pos="6300"/>
        </w:tabs>
        <w:snapToGrid w:val="0"/>
        <w:spacing w:line="500" w:lineRule="exact"/>
        <w:ind w:firstLine="570"/>
        <w:rPr>
          <w:rFonts w:hint="eastAsia" w:ascii="宋体" w:hAnsi="宋体" w:eastAsia="宋体" w:cs="宋体"/>
          <w:color w:val="auto"/>
          <w:sz w:val="24"/>
          <w:highlight w:val="none"/>
        </w:rPr>
      </w:pPr>
    </w:p>
    <w:p w14:paraId="2A0BB684">
      <w:pPr>
        <w:tabs>
          <w:tab w:val="left" w:pos="6300"/>
        </w:tabs>
        <w:snapToGrid w:val="0"/>
        <w:spacing w:line="500" w:lineRule="exact"/>
        <w:ind w:firstLine="570"/>
        <w:rPr>
          <w:rFonts w:hint="eastAsia" w:ascii="宋体" w:hAnsi="宋体" w:eastAsia="宋体" w:cs="宋体"/>
          <w:color w:val="auto"/>
          <w:sz w:val="24"/>
          <w:highlight w:val="none"/>
        </w:rPr>
      </w:pPr>
    </w:p>
    <w:p w14:paraId="3E9FB510">
      <w:pPr>
        <w:tabs>
          <w:tab w:val="left" w:pos="6300"/>
        </w:tabs>
        <w:snapToGrid w:val="0"/>
        <w:spacing w:line="500" w:lineRule="exact"/>
        <w:ind w:firstLine="570"/>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（供应商公章）</w:t>
      </w:r>
    </w:p>
    <w:p w14:paraId="3AA7DE38">
      <w:pPr>
        <w:tabs>
          <w:tab w:val="left" w:pos="6300"/>
        </w:tabs>
        <w:snapToGrid w:val="0"/>
        <w:spacing w:line="500" w:lineRule="exact"/>
        <w:ind w:firstLine="570"/>
        <w:rPr>
          <w:rFonts w:hint="eastAsia" w:ascii="宋体" w:hAnsi="宋体" w:eastAsia="宋体" w:cs="宋体"/>
          <w:color w:val="auto"/>
          <w:sz w:val="24"/>
          <w:highlight w:val="none"/>
        </w:rPr>
      </w:pPr>
    </w:p>
    <w:p w14:paraId="3A0C1483">
      <w:pPr>
        <w:tabs>
          <w:tab w:val="left" w:pos="6300"/>
        </w:tabs>
        <w:snapToGrid w:val="0"/>
        <w:spacing w:line="500" w:lineRule="exact"/>
        <w:ind w:firstLine="570"/>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年  月  日</w:t>
      </w:r>
    </w:p>
    <w:p w14:paraId="677AA812">
      <w:pPr>
        <w:tabs>
          <w:tab w:val="left" w:pos="6300"/>
        </w:tabs>
        <w:snapToGrid w:val="0"/>
        <w:spacing w:line="500" w:lineRule="exact"/>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（附：法定代表人身份证正反面复印件）</w:t>
      </w:r>
    </w:p>
    <w:p w14:paraId="5AADEC71">
      <w:pPr>
        <w:tabs>
          <w:tab w:val="left" w:pos="6300"/>
        </w:tabs>
        <w:snapToGrid w:val="0"/>
        <w:spacing w:line="500" w:lineRule="exact"/>
        <w:ind w:firstLine="570"/>
        <w:rPr>
          <w:rFonts w:hint="eastAsia" w:ascii="宋体" w:hAnsi="宋体" w:eastAsia="宋体" w:cs="宋体"/>
          <w:color w:val="auto"/>
          <w:sz w:val="24"/>
          <w:highlight w:val="none"/>
        </w:rPr>
      </w:pPr>
    </w:p>
    <w:p w14:paraId="6CD9289C">
      <w:pPr>
        <w:tabs>
          <w:tab w:val="left" w:pos="6300"/>
        </w:tabs>
        <w:snapToGrid w:val="0"/>
        <w:spacing w:line="500" w:lineRule="exact"/>
        <w:ind w:firstLine="570"/>
        <w:rPr>
          <w:rFonts w:hint="eastAsia" w:ascii="宋体" w:hAnsi="宋体" w:eastAsia="宋体" w:cs="宋体"/>
          <w:color w:val="auto"/>
          <w:sz w:val="24"/>
          <w:highlight w:val="none"/>
        </w:rPr>
      </w:pPr>
    </w:p>
    <w:p w14:paraId="565FFC9D">
      <w:pPr>
        <w:tabs>
          <w:tab w:val="left" w:pos="6300"/>
        </w:tabs>
        <w:snapToGrid w:val="0"/>
        <w:spacing w:line="500" w:lineRule="exact"/>
        <w:ind w:firstLine="570"/>
        <w:rPr>
          <w:rFonts w:hint="eastAsia" w:ascii="宋体" w:hAnsi="宋体" w:eastAsia="宋体" w:cs="宋体"/>
          <w:color w:val="auto"/>
          <w:sz w:val="24"/>
          <w:highlight w:val="none"/>
        </w:rPr>
      </w:pPr>
    </w:p>
    <w:p w14:paraId="7B0DBDBC">
      <w:pPr>
        <w:tabs>
          <w:tab w:val="left" w:pos="6300"/>
        </w:tabs>
        <w:snapToGrid w:val="0"/>
        <w:spacing w:line="500" w:lineRule="exact"/>
        <w:ind w:firstLine="570"/>
        <w:rPr>
          <w:rFonts w:hint="eastAsia" w:ascii="宋体" w:hAnsi="宋体" w:eastAsia="宋体" w:cs="宋体"/>
          <w:color w:val="auto"/>
          <w:sz w:val="24"/>
          <w:highlight w:val="none"/>
        </w:rPr>
      </w:pPr>
    </w:p>
    <w:p w14:paraId="79435B01">
      <w:pPr>
        <w:tabs>
          <w:tab w:val="left" w:pos="6300"/>
        </w:tabs>
        <w:snapToGrid w:val="0"/>
        <w:spacing w:line="500" w:lineRule="exact"/>
        <w:ind w:firstLine="570"/>
        <w:rPr>
          <w:rFonts w:hint="eastAsia" w:ascii="宋体" w:hAnsi="宋体" w:eastAsia="宋体" w:cs="宋体"/>
          <w:color w:val="auto"/>
          <w:sz w:val="24"/>
          <w:highlight w:val="none"/>
        </w:rPr>
      </w:pPr>
    </w:p>
    <w:p w14:paraId="192B7490">
      <w:pPr>
        <w:tabs>
          <w:tab w:val="left" w:pos="6300"/>
        </w:tabs>
        <w:snapToGrid w:val="0"/>
        <w:spacing w:line="500" w:lineRule="exact"/>
        <w:ind w:firstLine="570"/>
        <w:rPr>
          <w:rFonts w:hint="eastAsia" w:ascii="宋体" w:hAnsi="宋体" w:eastAsia="宋体" w:cs="宋体"/>
          <w:color w:val="auto"/>
          <w:sz w:val="24"/>
          <w:highlight w:val="none"/>
        </w:rPr>
      </w:pPr>
    </w:p>
    <w:p w14:paraId="728DD2FD">
      <w:pPr>
        <w:tabs>
          <w:tab w:val="left" w:pos="6300"/>
        </w:tabs>
        <w:snapToGrid w:val="0"/>
        <w:spacing w:line="500" w:lineRule="exact"/>
        <w:ind w:firstLine="570"/>
        <w:rPr>
          <w:rFonts w:hint="eastAsia" w:ascii="宋体" w:hAnsi="宋体" w:eastAsia="宋体" w:cs="宋体"/>
          <w:color w:val="auto"/>
          <w:highlight w:val="none"/>
        </w:rPr>
      </w:pPr>
      <w:r>
        <w:rPr>
          <w:rFonts w:hint="eastAsia" w:ascii="宋体" w:hAnsi="宋体" w:eastAsia="宋体" w:cs="宋体"/>
          <w:color w:val="auto"/>
          <w:highlight w:val="none"/>
        </w:rPr>
        <w:br w:type="column"/>
      </w:r>
      <w:r>
        <w:rPr>
          <w:rFonts w:hint="eastAsia" w:ascii="宋体" w:hAnsi="宋体" w:eastAsia="宋体" w:cs="宋体"/>
          <w:color w:val="auto"/>
          <w:sz w:val="24"/>
          <w:szCs w:val="24"/>
          <w:highlight w:val="none"/>
        </w:rPr>
        <w:t>（三）法定代表人授权委托书（格式）</w:t>
      </w:r>
    </w:p>
    <w:p w14:paraId="43957AF9">
      <w:pPr>
        <w:tabs>
          <w:tab w:val="left" w:pos="6300"/>
        </w:tabs>
        <w:snapToGrid w:val="0"/>
        <w:spacing w:line="500" w:lineRule="exact"/>
        <w:ind w:firstLine="570"/>
        <w:rPr>
          <w:rFonts w:hint="eastAsia" w:ascii="宋体" w:hAnsi="宋体" w:eastAsia="宋体" w:cs="宋体"/>
          <w:color w:val="auto"/>
          <w:sz w:val="24"/>
          <w:highlight w:val="none"/>
        </w:rPr>
      </w:pPr>
    </w:p>
    <w:p w14:paraId="57256A6D">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szCs w:val="28"/>
          <w:highlight w:val="none"/>
        </w:rPr>
        <w:t>采购项目名称</w:t>
      </w:r>
      <w:r>
        <w:rPr>
          <w:rFonts w:hint="eastAsia" w:ascii="宋体" w:hAnsi="宋体" w:eastAsia="宋体" w:cs="宋体"/>
          <w:color w:val="auto"/>
          <w:sz w:val="24"/>
          <w:highlight w:val="none"/>
        </w:rPr>
        <w:t>：</w:t>
      </w:r>
    </w:p>
    <w:p w14:paraId="02B750A0">
      <w:pPr>
        <w:tabs>
          <w:tab w:val="left" w:pos="6300"/>
        </w:tabs>
        <w:snapToGrid w:val="0"/>
        <w:spacing w:line="500" w:lineRule="exact"/>
        <w:ind w:firstLine="570"/>
        <w:rPr>
          <w:rFonts w:hint="eastAsia" w:ascii="宋体" w:hAnsi="宋体" w:eastAsia="宋体" w:cs="宋体"/>
          <w:color w:val="auto"/>
          <w:sz w:val="24"/>
          <w:highlight w:val="none"/>
        </w:rPr>
      </w:pPr>
    </w:p>
    <w:p w14:paraId="266EEF58">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（采购人名称）：</w:t>
      </w:r>
    </w:p>
    <w:p w14:paraId="3D293F08">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（供应商法定代表人名称）是</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（供应商名称）的法定代表人，特授权</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（被授权人姓名及身份证号码）代表我单位全权办理上述项目的谈判采购、签约等具体工作，并签署全部有关文件、协议及合同。</w:t>
      </w:r>
    </w:p>
    <w:p w14:paraId="63B2E9F0">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我单位对被授权人的签字负全部责任。</w:t>
      </w:r>
    </w:p>
    <w:p w14:paraId="6156B6C7">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在撤消授权的书面通知以前，本授权书一直有效。被授权人在授权书有效期内签署的所有文件不因授权的撤消而失效。</w:t>
      </w:r>
    </w:p>
    <w:p w14:paraId="6C2A0E19">
      <w:pPr>
        <w:tabs>
          <w:tab w:val="left" w:pos="6300"/>
        </w:tabs>
        <w:snapToGrid w:val="0"/>
        <w:spacing w:line="500" w:lineRule="exact"/>
        <w:ind w:firstLine="570"/>
        <w:rPr>
          <w:rFonts w:hint="eastAsia" w:ascii="宋体" w:hAnsi="宋体" w:eastAsia="宋体" w:cs="宋体"/>
          <w:color w:val="auto"/>
          <w:sz w:val="24"/>
          <w:highlight w:val="none"/>
        </w:rPr>
      </w:pPr>
    </w:p>
    <w:p w14:paraId="07B06B08">
      <w:pPr>
        <w:tabs>
          <w:tab w:val="left" w:pos="6300"/>
        </w:tabs>
        <w:snapToGrid w:val="0"/>
        <w:spacing w:line="500" w:lineRule="exact"/>
        <w:ind w:firstLine="570"/>
        <w:rPr>
          <w:rFonts w:hint="eastAsia" w:ascii="宋体" w:hAnsi="宋体" w:eastAsia="宋体" w:cs="宋体"/>
          <w:color w:val="auto"/>
          <w:sz w:val="24"/>
          <w:highlight w:val="none"/>
        </w:rPr>
      </w:pPr>
    </w:p>
    <w:p w14:paraId="3BF0A345">
      <w:pPr>
        <w:tabs>
          <w:tab w:val="left" w:pos="6300"/>
        </w:tabs>
        <w:snapToGrid w:val="0"/>
        <w:spacing w:line="500" w:lineRule="exact"/>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被授权人：                                   供应商法定代表人：</w:t>
      </w:r>
    </w:p>
    <w:p w14:paraId="7589BE65">
      <w:pPr>
        <w:tabs>
          <w:tab w:val="left" w:pos="6300"/>
        </w:tabs>
        <w:snapToGrid w:val="0"/>
        <w:spacing w:line="500" w:lineRule="exact"/>
        <w:ind w:firstLine="570"/>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（签字或盖章）                                （签字或盖章）</w:t>
      </w:r>
    </w:p>
    <w:p w14:paraId="4BE40611">
      <w:pPr>
        <w:tabs>
          <w:tab w:val="left" w:pos="6300"/>
        </w:tabs>
        <w:snapToGrid w:val="0"/>
        <w:spacing w:line="500" w:lineRule="exact"/>
        <w:ind w:firstLine="570"/>
        <w:rPr>
          <w:rFonts w:hint="eastAsia" w:ascii="宋体" w:hAnsi="宋体" w:eastAsia="宋体" w:cs="宋体"/>
          <w:color w:val="auto"/>
          <w:sz w:val="24"/>
          <w:szCs w:val="28"/>
          <w:highlight w:val="none"/>
        </w:rPr>
      </w:pPr>
    </w:p>
    <w:p w14:paraId="6D54516F">
      <w:pPr>
        <w:tabs>
          <w:tab w:val="left" w:pos="6300"/>
        </w:tabs>
        <w:snapToGrid w:val="0"/>
        <w:spacing w:line="500" w:lineRule="exact"/>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（附：被授权人身份证正反面复印件）</w:t>
      </w:r>
    </w:p>
    <w:p w14:paraId="7889AFD1">
      <w:pPr>
        <w:tabs>
          <w:tab w:val="left" w:pos="6300"/>
        </w:tabs>
        <w:snapToGrid w:val="0"/>
        <w:spacing w:line="500" w:lineRule="exact"/>
        <w:ind w:firstLine="570"/>
        <w:rPr>
          <w:rFonts w:hint="eastAsia" w:ascii="宋体" w:hAnsi="宋体" w:eastAsia="宋体" w:cs="宋体"/>
          <w:color w:val="auto"/>
          <w:sz w:val="24"/>
          <w:highlight w:val="none"/>
        </w:rPr>
      </w:pPr>
    </w:p>
    <w:p w14:paraId="47B9E60D">
      <w:pPr>
        <w:tabs>
          <w:tab w:val="left" w:pos="6300"/>
        </w:tabs>
        <w:snapToGrid w:val="0"/>
        <w:spacing w:line="500" w:lineRule="exact"/>
        <w:ind w:firstLine="570"/>
        <w:rPr>
          <w:rFonts w:hint="eastAsia" w:ascii="宋体" w:hAnsi="宋体" w:eastAsia="宋体" w:cs="宋体"/>
          <w:color w:val="auto"/>
          <w:sz w:val="24"/>
          <w:highlight w:val="none"/>
        </w:rPr>
      </w:pPr>
    </w:p>
    <w:p w14:paraId="54E51B97">
      <w:pPr>
        <w:tabs>
          <w:tab w:val="left" w:pos="6300"/>
        </w:tabs>
        <w:snapToGrid w:val="0"/>
        <w:spacing w:line="500" w:lineRule="exact"/>
        <w:ind w:firstLine="570"/>
        <w:rPr>
          <w:rFonts w:hint="eastAsia" w:ascii="宋体" w:hAnsi="宋体" w:eastAsia="宋体" w:cs="宋体"/>
          <w:color w:val="auto"/>
          <w:sz w:val="24"/>
          <w:highlight w:val="none"/>
        </w:rPr>
      </w:pPr>
    </w:p>
    <w:p w14:paraId="3EA1DE15">
      <w:pPr>
        <w:tabs>
          <w:tab w:val="left" w:pos="6300"/>
        </w:tabs>
        <w:snapToGrid w:val="0"/>
        <w:spacing w:line="500" w:lineRule="exact"/>
        <w:ind w:right="480" w:firstLine="570"/>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（供应商公章）</w:t>
      </w:r>
    </w:p>
    <w:p w14:paraId="3443A7CE">
      <w:pPr>
        <w:tabs>
          <w:tab w:val="left" w:pos="6300"/>
        </w:tabs>
        <w:snapToGrid w:val="0"/>
        <w:spacing w:line="500" w:lineRule="exact"/>
        <w:ind w:right="480" w:firstLine="570"/>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年 月 日</w:t>
      </w:r>
    </w:p>
    <w:p w14:paraId="2F9FBD56">
      <w:pPr>
        <w:tabs>
          <w:tab w:val="left" w:pos="6300"/>
        </w:tabs>
        <w:snapToGrid w:val="0"/>
        <w:spacing w:line="500" w:lineRule="exact"/>
        <w:ind w:right="480" w:firstLine="570"/>
        <w:jc w:val="right"/>
        <w:rPr>
          <w:rFonts w:hint="eastAsia" w:ascii="宋体" w:hAnsi="宋体" w:eastAsia="宋体" w:cs="宋体"/>
          <w:color w:val="auto"/>
          <w:sz w:val="24"/>
          <w:highlight w:val="none"/>
        </w:rPr>
      </w:pPr>
    </w:p>
    <w:p w14:paraId="5F7F3F7A">
      <w:pPr>
        <w:widowControl/>
        <w:spacing w:line="400" w:lineRule="exact"/>
        <w:ind w:firstLine="56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highlight w:val="none"/>
        </w:rPr>
        <w:br w:type="column"/>
      </w:r>
      <w:bookmarkStart w:id="760" w:name="_Toc14422"/>
      <w:r>
        <w:rPr>
          <w:rFonts w:hint="eastAsia" w:ascii="宋体" w:hAnsi="宋体" w:eastAsia="宋体" w:cs="宋体"/>
          <w:color w:val="auto"/>
          <w:sz w:val="24"/>
          <w:szCs w:val="24"/>
          <w:highlight w:val="none"/>
        </w:rPr>
        <w:t>（四）基本资格条件承诺函（格式）</w:t>
      </w:r>
    </w:p>
    <w:p w14:paraId="39335FFD">
      <w:pPr>
        <w:tabs>
          <w:tab w:val="left" w:pos="6300"/>
        </w:tabs>
        <w:snapToGrid w:val="0"/>
        <w:spacing w:line="530" w:lineRule="exact"/>
        <w:rPr>
          <w:rFonts w:hint="eastAsia" w:ascii="宋体" w:hAnsi="宋体" w:eastAsia="宋体" w:cs="宋体"/>
          <w:color w:val="auto"/>
          <w:sz w:val="24"/>
          <w:highlight w:val="none"/>
        </w:rPr>
      </w:pPr>
    </w:p>
    <w:p w14:paraId="04B62CFA">
      <w:pPr>
        <w:tabs>
          <w:tab w:val="left" w:pos="6300"/>
        </w:tabs>
        <w:snapToGrid w:val="0"/>
        <w:spacing w:line="5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（采购人名称）：</w:t>
      </w:r>
    </w:p>
    <w:p w14:paraId="5C7EA286">
      <w:pPr>
        <w:tabs>
          <w:tab w:val="left" w:pos="6300"/>
        </w:tabs>
        <w:snapToGrid w:val="0"/>
        <w:spacing w:line="5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（供应商名称）郑重承诺：</w:t>
      </w:r>
    </w:p>
    <w:p w14:paraId="694F57EA">
      <w:pPr>
        <w:tabs>
          <w:tab w:val="left" w:pos="6300"/>
        </w:tabs>
        <w:snapToGrid w:val="0"/>
        <w:spacing w:line="500" w:lineRule="exact"/>
        <w:ind w:right="480" w:firstLine="57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1.我方具有良好的商业信誉和健全的财务会计制度，具有履行合同所必需的设备和专业技术能力，具</w:t>
      </w:r>
      <w:r>
        <w:rPr>
          <w:rFonts w:hint="eastAsia" w:ascii="宋体" w:hAnsi="宋体" w:eastAsia="宋体" w:cs="宋体"/>
          <w:color w:val="auto"/>
          <w:sz w:val="24"/>
          <w:highlight w:val="none"/>
          <w:lang w:val="zh-CN"/>
        </w:rPr>
        <w:t>有依法缴纳税收和社会保障金的良好记录</w:t>
      </w:r>
      <w:r>
        <w:rPr>
          <w:rFonts w:hint="eastAsia" w:ascii="宋体" w:hAnsi="宋体" w:eastAsia="宋体" w:cs="宋体"/>
          <w:color w:val="auto"/>
          <w:sz w:val="24"/>
          <w:highlight w:val="none"/>
        </w:rPr>
        <w:t>，参加本项目采购活动前三年内无重大违法活动记录。</w:t>
      </w:r>
    </w:p>
    <w:p w14:paraId="3894B6AF">
      <w:pPr>
        <w:tabs>
          <w:tab w:val="left" w:pos="6300"/>
        </w:tabs>
        <w:snapToGrid w:val="0"/>
        <w:spacing w:line="500" w:lineRule="exact"/>
        <w:ind w:right="480" w:firstLine="57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2.我方未列入在信用中国网站（www.creditchina.gov.cn）“失信被执行人”、“重大税收违法案件当事人名单”中，也未列入中国政府采购网（www.ccgp.gov.cn）“政府采购严重违法失信行为记录名单”中。</w:t>
      </w:r>
    </w:p>
    <w:p w14:paraId="39F7800D">
      <w:pPr>
        <w:tabs>
          <w:tab w:val="left" w:pos="6300"/>
        </w:tabs>
        <w:snapToGrid w:val="0"/>
        <w:spacing w:line="500" w:lineRule="exact"/>
        <w:ind w:right="480" w:firstLine="57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3.我方在采购项目评审（评标）环节结束后，随时接受采购人、采购代理机构的检查验证，配合提供相关证明材料，证明符合《中华人民共和国政府采购法》规定的供应商基本资格条件。</w:t>
      </w:r>
    </w:p>
    <w:p w14:paraId="72B27466">
      <w:pPr>
        <w:tabs>
          <w:tab w:val="left" w:pos="6300"/>
        </w:tabs>
        <w:snapToGrid w:val="0"/>
        <w:spacing w:line="500" w:lineRule="exact"/>
        <w:ind w:right="480" w:firstLine="57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我方对以上承诺负全部法律责任。</w:t>
      </w:r>
    </w:p>
    <w:p w14:paraId="415DA01F">
      <w:pPr>
        <w:tabs>
          <w:tab w:val="left" w:pos="6300"/>
        </w:tabs>
        <w:snapToGrid w:val="0"/>
        <w:spacing w:line="500" w:lineRule="exact"/>
        <w:ind w:right="480" w:firstLine="57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特此承诺。</w:t>
      </w:r>
    </w:p>
    <w:p w14:paraId="1D78B906">
      <w:pPr>
        <w:tabs>
          <w:tab w:val="left" w:pos="6300"/>
        </w:tabs>
        <w:snapToGrid w:val="0"/>
        <w:spacing w:line="530" w:lineRule="exact"/>
        <w:rPr>
          <w:rFonts w:hint="eastAsia" w:ascii="宋体" w:hAnsi="宋体" w:eastAsia="宋体" w:cs="宋体"/>
          <w:color w:val="auto"/>
          <w:sz w:val="24"/>
          <w:szCs w:val="24"/>
          <w:highlight w:val="none"/>
        </w:rPr>
      </w:pPr>
    </w:p>
    <w:p w14:paraId="4B63E22C">
      <w:pPr>
        <w:tabs>
          <w:tab w:val="left" w:pos="6300"/>
        </w:tabs>
        <w:snapToGrid w:val="0"/>
        <w:spacing w:line="500" w:lineRule="exact"/>
        <w:ind w:right="480" w:firstLine="570"/>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（供应商公章）</w:t>
      </w:r>
    </w:p>
    <w:p w14:paraId="604073E0">
      <w:pPr>
        <w:tabs>
          <w:tab w:val="left" w:pos="6300"/>
        </w:tabs>
        <w:snapToGrid w:val="0"/>
        <w:spacing w:line="500" w:lineRule="exact"/>
        <w:ind w:right="480" w:firstLine="570"/>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年 月 日</w:t>
      </w:r>
    </w:p>
    <w:p w14:paraId="05D5EFBC">
      <w:pPr>
        <w:tabs>
          <w:tab w:val="left" w:pos="6300"/>
        </w:tabs>
        <w:snapToGrid w:val="0"/>
        <w:spacing w:line="500" w:lineRule="exact"/>
        <w:ind w:firstLine="570"/>
        <w:rPr>
          <w:rFonts w:hint="eastAsia" w:ascii="宋体" w:hAnsi="宋体" w:eastAsia="宋体" w:cs="宋体"/>
          <w:color w:val="auto"/>
          <w:sz w:val="24"/>
          <w:szCs w:val="24"/>
          <w:highlight w:val="none"/>
        </w:rPr>
      </w:pPr>
    </w:p>
    <w:p w14:paraId="343BE521">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p>
    <w:p w14:paraId="475088EB">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p>
    <w:p w14:paraId="69885FC2">
      <w:pPr>
        <w:pStyle w:val="5"/>
        <w:rPr>
          <w:rFonts w:hint="eastAsia" w:ascii="宋体" w:hAnsi="宋体" w:eastAsia="宋体" w:cs="宋体"/>
          <w:color w:val="auto"/>
          <w:sz w:val="24"/>
          <w:szCs w:val="24"/>
          <w:highlight w:val="none"/>
        </w:rPr>
      </w:pPr>
    </w:p>
    <w:p w14:paraId="5870AAC7">
      <w:pPr>
        <w:rPr>
          <w:rFonts w:hint="eastAsia" w:ascii="宋体" w:hAnsi="宋体" w:eastAsia="宋体" w:cs="宋体"/>
          <w:color w:val="auto"/>
          <w:sz w:val="24"/>
          <w:szCs w:val="24"/>
          <w:highlight w:val="none"/>
        </w:rPr>
      </w:pPr>
    </w:p>
    <w:p w14:paraId="434BECEA">
      <w:pPr>
        <w:pStyle w:val="5"/>
        <w:rPr>
          <w:rFonts w:hint="eastAsia" w:ascii="宋体" w:hAnsi="宋体" w:eastAsia="宋体" w:cs="宋体"/>
          <w:color w:val="auto"/>
          <w:sz w:val="24"/>
          <w:szCs w:val="24"/>
          <w:highlight w:val="none"/>
        </w:rPr>
      </w:pPr>
    </w:p>
    <w:p w14:paraId="467F9A33">
      <w:pPr>
        <w:rPr>
          <w:rFonts w:hint="eastAsia" w:ascii="宋体" w:hAnsi="宋体" w:eastAsia="宋体" w:cs="宋体"/>
          <w:color w:val="auto"/>
          <w:sz w:val="24"/>
          <w:szCs w:val="24"/>
          <w:highlight w:val="none"/>
        </w:rPr>
      </w:pPr>
    </w:p>
    <w:p w14:paraId="7684E42C">
      <w:pPr>
        <w:tabs>
          <w:tab w:val="left" w:pos="6300"/>
        </w:tabs>
        <w:snapToGrid w:val="0"/>
        <w:spacing w:line="500" w:lineRule="exact"/>
        <w:ind w:firstLine="570"/>
        <w:rPr>
          <w:rFonts w:hint="eastAsia" w:ascii="宋体" w:hAnsi="宋体" w:eastAsia="宋体" w:cs="宋体"/>
          <w:color w:val="auto"/>
          <w:sz w:val="24"/>
          <w:szCs w:val="24"/>
          <w:highlight w:val="none"/>
        </w:rPr>
      </w:pPr>
    </w:p>
    <w:p w14:paraId="03381F10">
      <w:pPr>
        <w:tabs>
          <w:tab w:val="left" w:pos="6300"/>
        </w:tabs>
        <w:snapToGrid w:val="0"/>
        <w:spacing w:line="500" w:lineRule="exact"/>
        <w:ind w:firstLine="570"/>
        <w:rPr>
          <w:rFonts w:hint="eastAsia" w:ascii="宋体" w:hAnsi="宋体" w:eastAsia="宋体" w:cs="宋体"/>
          <w:color w:val="auto"/>
          <w:sz w:val="24"/>
          <w:szCs w:val="24"/>
          <w:highlight w:val="none"/>
        </w:rPr>
      </w:pPr>
    </w:p>
    <w:p w14:paraId="451ED3D6">
      <w:pPr>
        <w:tabs>
          <w:tab w:val="left" w:pos="6300"/>
        </w:tabs>
        <w:snapToGrid w:val="0"/>
        <w:spacing w:line="500" w:lineRule="exact"/>
        <w:ind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（五）特定资格条件证明文件（如果有）</w:t>
      </w:r>
    </w:p>
    <w:p w14:paraId="7CFED3C6">
      <w:pPr>
        <w:pStyle w:val="5"/>
        <w:spacing w:before="0" w:after="0" w:line="360" w:lineRule="auto"/>
        <w:rPr>
          <w:rFonts w:hint="eastAsia" w:ascii="宋体" w:hAnsi="宋体" w:eastAsia="宋体" w:cs="宋体"/>
          <w:color w:val="auto"/>
          <w:highlight w:val="none"/>
        </w:rPr>
      </w:pPr>
      <w:r>
        <w:rPr>
          <w:rFonts w:hint="eastAsia" w:ascii="宋体" w:hAnsi="宋体" w:eastAsia="宋体" w:cs="宋体"/>
          <w:b w:val="0"/>
          <w:color w:val="auto"/>
          <w:sz w:val="28"/>
          <w:highlight w:val="none"/>
        </w:rPr>
        <w:br w:type="page"/>
      </w:r>
      <w:bookmarkStart w:id="761" w:name="_Toc26481"/>
      <w:bookmarkStart w:id="762" w:name="_Toc5951"/>
      <w:bookmarkStart w:id="763" w:name="_Toc15318"/>
      <w:bookmarkStart w:id="764" w:name="_Toc17417"/>
      <w:r>
        <w:rPr>
          <w:rFonts w:hint="eastAsia" w:ascii="宋体" w:hAnsi="宋体" w:eastAsia="宋体" w:cs="宋体"/>
          <w:color w:val="auto"/>
          <w:sz w:val="24"/>
          <w:szCs w:val="24"/>
          <w:highlight w:val="none"/>
        </w:rPr>
        <w:t>五、其他应提供的资料</w:t>
      </w:r>
      <w:bookmarkEnd w:id="760"/>
      <w:bookmarkEnd w:id="761"/>
      <w:bookmarkEnd w:id="762"/>
      <w:bookmarkEnd w:id="763"/>
      <w:bookmarkEnd w:id="764"/>
    </w:p>
    <w:p w14:paraId="7CCE14E2">
      <w:pPr>
        <w:tabs>
          <w:tab w:val="left" w:pos="6300"/>
        </w:tabs>
        <w:snapToGrid w:val="0"/>
        <w:spacing w:line="500" w:lineRule="exact"/>
        <w:ind w:firstLine="570"/>
        <w:rPr>
          <w:rFonts w:hint="eastAsia" w:ascii="宋体" w:hAnsi="宋体" w:eastAsia="宋体" w:cs="宋体"/>
          <w:color w:val="auto"/>
          <w:sz w:val="24"/>
          <w:szCs w:val="24"/>
          <w:highlight w:val="none"/>
        </w:rPr>
      </w:pPr>
      <w:bookmarkStart w:id="765" w:name="_Toc27041"/>
      <w:bookmarkStart w:id="766" w:name="_Toc136879718"/>
      <w:bookmarkStart w:id="767" w:name="_Toc136880175"/>
      <w:bookmarkStart w:id="768" w:name="_Toc10494"/>
    </w:p>
    <w:p w14:paraId="3C2E90EA">
      <w:pPr>
        <w:tabs>
          <w:tab w:val="left" w:pos="6300"/>
        </w:tabs>
        <w:snapToGrid w:val="0"/>
        <w:spacing w:line="500" w:lineRule="exact"/>
        <w:ind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其他与项目有关的资料（自附）</w:t>
      </w:r>
      <w:bookmarkEnd w:id="765"/>
      <w:bookmarkEnd w:id="766"/>
      <w:bookmarkEnd w:id="767"/>
      <w:bookmarkEnd w:id="768"/>
    </w:p>
    <w:p w14:paraId="0DCBFBE7">
      <w:pPr>
        <w:spacing w:line="360" w:lineRule="auto"/>
        <w:ind w:firstLine="480" w:firstLineChars="200"/>
        <w:jc w:val="center"/>
        <w:rPr>
          <w:rFonts w:hint="eastAsia" w:ascii="宋体" w:hAnsi="宋体" w:eastAsia="宋体" w:cs="宋体"/>
          <w:color w:val="auto"/>
          <w:sz w:val="24"/>
          <w:szCs w:val="24"/>
          <w:highlight w:val="none"/>
        </w:rPr>
      </w:pPr>
    </w:p>
    <w:p w14:paraId="7FE6B2AF">
      <w:pPr>
        <w:spacing w:line="400" w:lineRule="exact"/>
        <w:ind w:firstLine="480" w:firstLineChars="200"/>
        <w:jc w:val="center"/>
        <w:rPr>
          <w:rFonts w:hint="eastAsia" w:ascii="宋体" w:hAnsi="宋体" w:eastAsia="宋体" w:cs="宋体"/>
          <w:color w:val="auto"/>
          <w:sz w:val="24"/>
          <w:szCs w:val="24"/>
          <w:highlight w:val="none"/>
        </w:rPr>
      </w:pPr>
    </w:p>
    <w:p w14:paraId="53A0AFAE">
      <w:pPr>
        <w:spacing w:line="400" w:lineRule="exact"/>
        <w:ind w:firstLine="480" w:firstLineChars="200"/>
        <w:jc w:val="center"/>
        <w:rPr>
          <w:rFonts w:hint="eastAsia" w:ascii="宋体" w:hAnsi="宋体" w:eastAsia="宋体" w:cs="宋体"/>
          <w:color w:val="auto"/>
          <w:sz w:val="24"/>
          <w:szCs w:val="24"/>
          <w:highlight w:val="none"/>
        </w:rPr>
      </w:pPr>
    </w:p>
    <w:p w14:paraId="491BB385">
      <w:pPr>
        <w:spacing w:line="400" w:lineRule="exact"/>
        <w:ind w:firstLine="480" w:firstLineChars="200"/>
        <w:jc w:val="center"/>
        <w:rPr>
          <w:rFonts w:hint="eastAsia" w:ascii="宋体" w:hAnsi="宋体" w:eastAsia="宋体" w:cs="宋体"/>
          <w:color w:val="auto"/>
          <w:sz w:val="24"/>
          <w:szCs w:val="24"/>
          <w:highlight w:val="none"/>
        </w:rPr>
      </w:pPr>
    </w:p>
    <w:p w14:paraId="462FC71B">
      <w:pPr>
        <w:spacing w:line="400" w:lineRule="exact"/>
        <w:ind w:firstLine="480" w:firstLineChars="2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（结束）</w:t>
      </w:r>
    </w:p>
    <w:p w14:paraId="07053FBA">
      <w:pPr>
        <w:spacing w:line="360" w:lineRule="auto"/>
        <w:ind w:firstLine="480" w:firstLineChars="200"/>
        <w:rPr>
          <w:rFonts w:hint="eastAsia" w:ascii="宋体" w:hAnsi="宋体" w:eastAsia="宋体" w:cs="宋体"/>
          <w:color w:val="auto"/>
          <w:sz w:val="24"/>
          <w:szCs w:val="24"/>
          <w:highlight w:val="none"/>
        </w:rPr>
      </w:pPr>
    </w:p>
    <w:p w14:paraId="294A79F7">
      <w:pPr>
        <w:spacing w:line="360" w:lineRule="auto"/>
        <w:ind w:firstLine="480" w:firstLineChars="200"/>
        <w:jc w:val="center"/>
        <w:rPr>
          <w:rFonts w:hint="eastAsia" w:ascii="宋体" w:hAnsi="宋体" w:eastAsia="宋体" w:cs="宋体"/>
          <w:color w:val="auto"/>
          <w:sz w:val="24"/>
          <w:szCs w:val="24"/>
          <w:highlight w:val="none"/>
        </w:rPr>
      </w:pPr>
    </w:p>
    <w:p w14:paraId="670F69F9">
      <w:pPr>
        <w:spacing w:line="360" w:lineRule="auto"/>
        <w:ind w:firstLine="480" w:firstLineChars="200"/>
        <w:jc w:val="center"/>
        <w:rPr>
          <w:rFonts w:hint="eastAsia" w:ascii="宋体" w:hAnsi="宋体" w:eastAsia="宋体" w:cs="宋体"/>
          <w:color w:val="auto"/>
          <w:sz w:val="24"/>
          <w:szCs w:val="24"/>
          <w:highlight w:val="none"/>
        </w:rPr>
      </w:pPr>
    </w:p>
    <w:p w14:paraId="37021EAF">
      <w:pPr>
        <w:spacing w:line="360" w:lineRule="auto"/>
        <w:ind w:firstLine="480" w:firstLineChars="200"/>
        <w:jc w:val="center"/>
        <w:rPr>
          <w:rFonts w:hint="eastAsia" w:ascii="宋体" w:hAnsi="宋体" w:eastAsia="宋体" w:cs="宋体"/>
          <w:color w:val="auto"/>
          <w:sz w:val="24"/>
          <w:szCs w:val="24"/>
          <w:highlight w:val="none"/>
        </w:rPr>
      </w:pPr>
    </w:p>
    <w:p w14:paraId="53645CDB">
      <w:pPr>
        <w:spacing w:line="360" w:lineRule="auto"/>
        <w:ind w:firstLine="480" w:firstLineChars="200"/>
        <w:jc w:val="center"/>
        <w:rPr>
          <w:rFonts w:hint="eastAsia" w:ascii="宋体" w:hAnsi="宋体" w:eastAsia="宋体" w:cs="宋体"/>
          <w:color w:val="auto"/>
          <w:sz w:val="24"/>
          <w:szCs w:val="24"/>
          <w:highlight w:val="none"/>
        </w:rPr>
      </w:pPr>
    </w:p>
    <w:p w14:paraId="4CD473C9">
      <w:pPr>
        <w:spacing w:line="360" w:lineRule="auto"/>
        <w:ind w:firstLine="480" w:firstLineChars="200"/>
        <w:jc w:val="center"/>
        <w:rPr>
          <w:rFonts w:hint="eastAsia" w:ascii="宋体" w:hAnsi="宋体" w:eastAsia="宋体" w:cs="宋体"/>
          <w:color w:val="auto"/>
          <w:sz w:val="24"/>
          <w:szCs w:val="24"/>
          <w:highlight w:val="none"/>
        </w:rPr>
      </w:pPr>
    </w:p>
    <w:p w14:paraId="02EF968C">
      <w:pPr>
        <w:pStyle w:val="127"/>
        <w:spacing w:line="20" w:lineRule="atLeast"/>
        <w:jc w:val="center"/>
        <w:rPr>
          <w:rFonts w:hint="eastAsia" w:ascii="宋体" w:hAnsi="宋体" w:eastAsia="宋体" w:cs="宋体"/>
          <w:color w:val="auto"/>
          <w:highlight w:val="none"/>
        </w:rPr>
      </w:pPr>
    </w:p>
    <w:p w14:paraId="087C2583">
      <w:pPr>
        <w:pStyle w:val="127"/>
        <w:spacing w:line="20" w:lineRule="atLeast"/>
        <w:jc w:val="center"/>
        <w:rPr>
          <w:rFonts w:hint="eastAsia" w:ascii="宋体" w:hAnsi="宋体" w:eastAsia="宋体" w:cs="宋体"/>
          <w:color w:val="auto"/>
          <w:highlight w:val="none"/>
        </w:rPr>
      </w:pPr>
    </w:p>
    <w:sectPr>
      <w:headerReference r:id="rId8" w:type="default"/>
      <w:footerReference r:id="rId9" w:type="default"/>
      <w:pgSz w:w="11907" w:h="16840"/>
      <w:pgMar w:top="1134" w:right="1191" w:bottom="1134" w:left="1304" w:header="624" w:footer="992" w:gutter="0"/>
      <w:pgNumType w:fmt="numberInDash"/>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1" w:fontKey="{4851DD7D-ED80-4A1F-AAD8-D211916AEC27}"/>
  </w:font>
  <w:font w:name="Calibri Light">
    <w:panose1 w:val="020F0302020204030204"/>
    <w:charset w:val="00"/>
    <w:family w:val="swiss"/>
    <w:pitch w:val="default"/>
    <w:sig w:usb0="E4002EFF" w:usb1="C000247B" w:usb2="00000009" w:usb3="00000000" w:csb0="200001FF" w:csb1="00000000"/>
  </w:font>
  <w:font w:name="Helvetica">
    <w:altName w:val="Arial"/>
    <w:panose1 w:val="020B0604020202020204"/>
    <w:charset w:val="00"/>
    <w:family w:val="auto"/>
    <w:pitch w:val="default"/>
    <w:sig w:usb0="00000000" w:usb1="00000000" w:usb2="00000000" w:usb3="00000000" w:csb0="00000001" w:csb1="00000000"/>
  </w:font>
  <w:font w:name="昆仑楷体">
    <w:altName w:val="宋体"/>
    <w:panose1 w:val="00000000000000000000"/>
    <w:charset w:val="86"/>
    <w:family w:val="auto"/>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 w:name="文鼎粗黑">
    <w:altName w:val="黑体"/>
    <w:panose1 w:val="00000000000000000000"/>
    <w:charset w:val="86"/>
    <w:family w:val="auto"/>
    <w:pitch w:val="default"/>
    <w:sig w:usb0="00000000" w:usb1="00000000" w:usb2="00000010" w:usb3="00000000" w:csb0="00040000" w:csb1="00000000"/>
  </w:font>
  <w:font w:name="方正仿宋_GBK">
    <w:panose1 w:val="02000000000000000000"/>
    <w:charset w:val="86"/>
    <w:family w:val="script"/>
    <w:pitch w:val="default"/>
    <w:sig w:usb0="A00002BF" w:usb1="38CF7CFA" w:usb2="00082016" w:usb3="00000000" w:csb0="00040001" w:csb1="00000000"/>
    <w:embedRegular r:id="rId2" w:fontKey="{02656630-6BF5-4B49-A164-2359FCAA262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5E182C">
    <w:pPr>
      <w:pStyle w:val="37"/>
      <w:framePr w:wrap="around" w:vAnchor="text" w:hAnchor="margin" w:xAlign="center" w:y="1"/>
      <w:jc w:val="center"/>
      <w:rPr>
        <w:rStyle w:val="65"/>
        <w:rFonts w:ascii="宋体"/>
        <w:sz w:val="21"/>
        <w:szCs w:val="21"/>
      </w:rPr>
    </w:pPr>
    <w:r>
      <w:rPr>
        <w:rFonts w:ascii="宋体"/>
        <w:sz w:val="21"/>
        <w:szCs w:val="21"/>
      </w:rPr>
      <w:fldChar w:fldCharType="begin"/>
    </w:r>
    <w:r>
      <w:rPr>
        <w:rStyle w:val="65"/>
        <w:rFonts w:ascii="宋体"/>
        <w:sz w:val="21"/>
        <w:szCs w:val="21"/>
      </w:rPr>
      <w:instrText xml:space="preserve">PAGE  </w:instrText>
    </w:r>
    <w:r>
      <w:rPr>
        <w:rFonts w:ascii="宋体"/>
        <w:sz w:val="21"/>
        <w:szCs w:val="21"/>
      </w:rPr>
      <w:fldChar w:fldCharType="separate"/>
    </w:r>
    <w:r>
      <w:rPr>
        <w:rStyle w:val="65"/>
        <w:rFonts w:ascii="宋体"/>
        <w:sz w:val="21"/>
        <w:szCs w:val="21"/>
      </w:rPr>
      <w:t>- 6 -</w:t>
    </w:r>
    <w:r>
      <w:rPr>
        <w:rFonts w:ascii="宋体"/>
        <w:sz w:val="21"/>
        <w:szCs w:val="21"/>
      </w:rPr>
      <w:fldChar w:fldCharType="end"/>
    </w:r>
  </w:p>
  <w:p w14:paraId="14C725FA">
    <w:pPr>
      <w:pStyle w:val="3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E4C7B">
    <w:pPr>
      <w:pStyle w:val="37"/>
      <w:jc w:val="center"/>
    </w:pPr>
    <w:r>
      <w:fldChar w:fldCharType="begin"/>
    </w:r>
    <w:r>
      <w:instrText xml:space="preserve"> PAGE   \* MERGEFORMAT </w:instrText>
    </w:r>
    <w:r>
      <w:fldChar w:fldCharType="separate"/>
    </w:r>
    <w:r>
      <w:rPr>
        <w:lang w:val="zh-CN"/>
      </w:rPr>
      <w:t>56</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36296A">
    <w:pPr>
      <w:pStyle w:val="37"/>
      <w:ind w:right="360"/>
      <w:jc w:val="center"/>
    </w:pPr>
    <w:r>
      <w:fldChar w:fldCharType="begin"/>
    </w:r>
    <w:r>
      <w:rPr>
        <w:rStyle w:val="65"/>
      </w:rPr>
      <w:instrText xml:space="preserve"> PAGE </w:instrText>
    </w:r>
    <w:r>
      <w:fldChar w:fldCharType="separate"/>
    </w:r>
    <w:r>
      <w:rPr>
        <w:rStyle w:val="65"/>
      </w:rPr>
      <w:t>- 31 -</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58A552">
    <w:pPr>
      <w:pStyle w:val="37"/>
      <w:jc w:val="center"/>
      <w:rPr>
        <w:rFonts w:ascii="宋体" w:hAnsi="宋体"/>
        <w:sz w:val="21"/>
        <w:szCs w:val="21"/>
      </w:rPr>
    </w:pPr>
    <w:r>
      <w:rPr>
        <w:rFonts w:ascii="宋体" w:hAnsi="宋体"/>
        <w:sz w:val="21"/>
        <w:szCs w:val="21"/>
      </w:rPr>
      <w:fldChar w:fldCharType="begin"/>
    </w:r>
    <w:r>
      <w:rPr>
        <w:rStyle w:val="65"/>
        <w:rFonts w:ascii="宋体" w:hAnsi="宋体"/>
        <w:sz w:val="21"/>
        <w:szCs w:val="21"/>
      </w:rPr>
      <w:instrText xml:space="preserve"> PAGE </w:instrText>
    </w:r>
    <w:r>
      <w:rPr>
        <w:rFonts w:ascii="宋体" w:hAnsi="宋体"/>
        <w:sz w:val="21"/>
        <w:szCs w:val="21"/>
      </w:rPr>
      <w:fldChar w:fldCharType="separate"/>
    </w:r>
    <w:r>
      <w:rPr>
        <w:rStyle w:val="65"/>
        <w:rFonts w:ascii="宋体" w:hAnsi="宋体"/>
        <w:sz w:val="21"/>
        <w:szCs w:val="21"/>
      </w:rPr>
      <w:t>- 65 -</w:t>
    </w:r>
    <w:r>
      <w:rPr>
        <w:rFonts w:ascii="宋体" w:hAnsi="宋体"/>
        <w:sz w:val="21"/>
        <w:szCs w:val="21"/>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420DA1">
    <w:pPr>
      <w:pStyle w:val="39"/>
      <w:jc w:val="both"/>
      <w:rPr>
        <w:rFonts w:ascii="仿宋" w:hAnsi="仿宋" w:eastAsia="仿宋" w:cs="仿宋"/>
        <w:sz w:val="24"/>
        <w:szCs w:val="24"/>
      </w:rPr>
    </w:pPr>
    <w:r>
      <w:rPr>
        <w:rFonts w:hint="eastAsia" w:ascii="仿宋" w:hAnsi="仿宋" w:eastAsia="仿宋" w:cs="仿宋"/>
        <w:sz w:val="24"/>
        <w:szCs w:val="24"/>
        <w:lang w:eastAsia="zh-CN"/>
      </w:rPr>
      <w:t>重庆睿采通招标代理有限公司</w:t>
    </w:r>
    <w:r>
      <w:rPr>
        <w:rFonts w:hint="eastAsia" w:ascii="仿宋" w:hAnsi="仿宋" w:eastAsia="仿宋" w:cs="仿宋"/>
        <w:sz w:val="24"/>
        <w:szCs w:val="24"/>
      </w:rPr>
      <w:t xml:space="preserve">                                   网上竞采文件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FF23C">
    <w:pPr>
      <w:pStyle w:val="39"/>
      <w:jc w:val="both"/>
      <w:rPr>
        <w:rFonts w:ascii="仿宋" w:hAnsi="仿宋" w:eastAsia="仿宋" w:cs="仿宋"/>
        <w:sz w:val="24"/>
        <w:szCs w:val="24"/>
      </w:rPr>
    </w:pPr>
    <w:r>
      <w:rPr>
        <w:rFonts w:hint="eastAsia" w:ascii="仿宋" w:hAnsi="仿宋" w:eastAsia="仿宋" w:cs="仿宋"/>
        <w:sz w:val="24"/>
        <w:szCs w:val="24"/>
        <w:lang w:eastAsia="zh-CN"/>
      </w:rPr>
      <w:t>重庆睿采通招标代理有限公司</w:t>
    </w:r>
    <w:r>
      <w:rPr>
        <w:rFonts w:hint="eastAsia" w:ascii="仿宋" w:hAnsi="仿宋" w:eastAsia="仿宋" w:cs="仿宋"/>
        <w:sz w:val="24"/>
        <w:szCs w:val="24"/>
      </w:rPr>
      <w:t xml:space="preserve">                                     网上竞采文件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157420">
    <w:pPr>
      <w:pStyle w:val="39"/>
      <w:jc w:val="both"/>
    </w:pPr>
    <w:r>
      <w:rPr>
        <w:rFonts w:hint="eastAsia" w:ascii="方正仿宋_GBK" w:eastAsia="方正仿宋_GBK"/>
        <w:sz w:val="21"/>
        <w:szCs w:val="21"/>
        <w:lang w:eastAsia="zh-CN"/>
      </w:rPr>
      <w:t>重庆睿采通招标代理有限公司</w:t>
    </w:r>
    <w:r>
      <w:rPr>
        <w:rFonts w:hint="eastAsia" w:ascii="方正仿宋_GBK" w:eastAsia="方正仿宋_GBK"/>
        <w:sz w:val="21"/>
        <w:szCs w:val="21"/>
      </w:rPr>
      <w:t xml:space="preserve">                                               网上竞采文件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CF5DDE"/>
    <w:multiLevelType w:val="singleLevel"/>
    <w:tmpl w:val="D5CF5DDE"/>
    <w:lvl w:ilvl="0" w:tentative="0">
      <w:start w:val="1"/>
      <w:numFmt w:val="chineseCounting"/>
      <w:suff w:val="nothing"/>
      <w:lvlText w:val="%1、"/>
      <w:lvlJc w:val="left"/>
      <w:rPr>
        <w:rFonts w:hint="eastAsia"/>
      </w:rPr>
    </w:lvl>
  </w:abstractNum>
  <w:abstractNum w:abstractNumId="1">
    <w:nsid w:val="FAA715AA"/>
    <w:multiLevelType w:val="singleLevel"/>
    <w:tmpl w:val="FAA715AA"/>
    <w:lvl w:ilvl="0" w:tentative="0">
      <w:start w:val="2"/>
      <w:numFmt w:val="decimal"/>
      <w:lvlText w:val="%1."/>
      <w:lvlJc w:val="left"/>
      <w:pPr>
        <w:tabs>
          <w:tab w:val="left" w:pos="312"/>
        </w:tabs>
      </w:pPr>
    </w:lvl>
  </w:abstractNum>
  <w:abstractNum w:abstractNumId="2">
    <w:nsid w:val="00000009"/>
    <w:multiLevelType w:val="multilevel"/>
    <w:tmpl w:val="00000009"/>
    <w:lvl w:ilvl="0" w:tentative="0">
      <w:start w:val="1"/>
      <w:numFmt w:val="upperLetter"/>
      <w:pStyle w:val="178"/>
      <w:suff w:val="nothing"/>
      <w:lvlText w:val="附　录　%1"/>
      <w:lvlJc w:val="left"/>
      <w:pPr>
        <w:ind w:left="0" w:firstLine="0"/>
      </w:pPr>
      <w:rPr>
        <w:rFonts w:hint="eastAsia" w:ascii="黑体" w:hAnsi="Times New Roman" w:eastAsia="黑体"/>
        <w:b w:val="0"/>
        <w:i w:val="0"/>
        <w:sz w:val="21"/>
      </w:rPr>
    </w:lvl>
    <w:lvl w:ilvl="1" w:tentative="0">
      <w:start w:val="1"/>
      <w:numFmt w:val="decimal"/>
      <w:pStyle w:val="196"/>
      <w:suff w:val="nothing"/>
      <w:lvlText w:val="%1.%2　"/>
      <w:lvlJc w:val="left"/>
      <w:pPr>
        <w:ind w:left="210" w:firstLine="0"/>
      </w:pPr>
      <w:rPr>
        <w:rFonts w:hint="eastAsia" w:ascii="黑体" w:hAnsi="Times New Roman" w:eastAsia="黑体"/>
        <w:b w:val="0"/>
        <w:i w:val="0"/>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0000000A"/>
    <w:multiLevelType w:val="multilevel"/>
    <w:tmpl w:val="0000000A"/>
    <w:lvl w:ilvl="0" w:tentative="0">
      <w:start w:val="1"/>
      <w:numFmt w:val="bullet"/>
      <w:pStyle w:val="169"/>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00000B"/>
    <w:multiLevelType w:val="singleLevel"/>
    <w:tmpl w:val="0000000B"/>
    <w:lvl w:ilvl="0" w:tentative="0">
      <w:start w:val="1"/>
      <w:numFmt w:val="bullet"/>
      <w:pStyle w:val="185"/>
      <w:lvlText w:val=""/>
      <w:lvlJc w:val="left"/>
      <w:pPr>
        <w:tabs>
          <w:tab w:val="left" w:pos="360"/>
        </w:tabs>
        <w:ind w:left="360" w:hanging="360"/>
      </w:pPr>
      <w:rPr>
        <w:rFonts w:hint="default" w:ascii="Wingdings" w:hAnsi="Wingdings"/>
      </w:rPr>
    </w:lvl>
  </w:abstractNum>
  <w:abstractNum w:abstractNumId="5">
    <w:nsid w:val="0000000D"/>
    <w:multiLevelType w:val="singleLevel"/>
    <w:tmpl w:val="0000000D"/>
    <w:lvl w:ilvl="0" w:tentative="0">
      <w:start w:val="1"/>
      <w:numFmt w:val="bullet"/>
      <w:pStyle w:val="243"/>
      <w:lvlText w:val=""/>
      <w:lvlJc w:val="left"/>
      <w:pPr>
        <w:tabs>
          <w:tab w:val="left" w:pos="1200"/>
        </w:tabs>
        <w:ind w:left="1200" w:hanging="360"/>
      </w:pPr>
      <w:rPr>
        <w:rFonts w:hint="default" w:ascii="Wingdings" w:hAnsi="Wingdings"/>
      </w:rPr>
    </w:lvl>
  </w:abstractNum>
  <w:abstractNum w:abstractNumId="6">
    <w:nsid w:val="0000000E"/>
    <w:multiLevelType w:val="multilevel"/>
    <w:tmpl w:val="0000000E"/>
    <w:lvl w:ilvl="0" w:tentative="0">
      <w:start w:val="1"/>
      <w:numFmt w:val="bullet"/>
      <w:pStyle w:val="147"/>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7">
    <w:nsid w:val="00000010"/>
    <w:multiLevelType w:val="singleLevel"/>
    <w:tmpl w:val="00000010"/>
    <w:lvl w:ilvl="0" w:tentative="0">
      <w:start w:val="1"/>
      <w:numFmt w:val="bullet"/>
      <w:pStyle w:val="177"/>
      <w:lvlText w:val=""/>
      <w:lvlJc w:val="left"/>
      <w:pPr>
        <w:tabs>
          <w:tab w:val="left" w:pos="1620"/>
        </w:tabs>
        <w:ind w:left="1620" w:hanging="360"/>
      </w:pPr>
      <w:rPr>
        <w:rFonts w:hint="default" w:ascii="Wingdings" w:hAnsi="Wingdings"/>
      </w:rPr>
    </w:lvl>
  </w:abstractNum>
  <w:abstractNum w:abstractNumId="8">
    <w:nsid w:val="00000011"/>
    <w:multiLevelType w:val="multilevel"/>
    <w:tmpl w:val="00000011"/>
    <w:lvl w:ilvl="0" w:tentative="0">
      <w:start w:val="1"/>
      <w:numFmt w:val="decimal"/>
      <w:pStyle w:val="207"/>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00000012"/>
    <w:multiLevelType w:val="multilevel"/>
    <w:tmpl w:val="00000012"/>
    <w:lvl w:ilvl="0" w:tentative="0">
      <w:start w:val="1"/>
      <w:numFmt w:val="bullet"/>
      <w:pStyle w:val="223"/>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0">
    <w:nsid w:val="00000013"/>
    <w:multiLevelType w:val="singleLevel"/>
    <w:tmpl w:val="00000013"/>
    <w:lvl w:ilvl="0" w:tentative="0">
      <w:start w:val="1"/>
      <w:numFmt w:val="decimal"/>
      <w:pStyle w:val="14"/>
      <w:lvlText w:val="%1."/>
      <w:lvlJc w:val="left"/>
      <w:pPr>
        <w:tabs>
          <w:tab w:val="left" w:pos="425"/>
        </w:tabs>
        <w:ind w:left="425" w:hanging="425"/>
      </w:pPr>
      <w:rPr>
        <w:rFonts w:hint="default"/>
      </w:rPr>
    </w:lvl>
  </w:abstractNum>
  <w:abstractNum w:abstractNumId="11">
    <w:nsid w:val="00000014"/>
    <w:multiLevelType w:val="singleLevel"/>
    <w:tmpl w:val="00000014"/>
    <w:lvl w:ilvl="0" w:tentative="0">
      <w:start w:val="1"/>
      <w:numFmt w:val="bullet"/>
      <w:pStyle w:val="29"/>
      <w:lvlText w:val=""/>
      <w:lvlJc w:val="left"/>
      <w:pPr>
        <w:tabs>
          <w:tab w:val="left" w:pos="780"/>
        </w:tabs>
        <w:ind w:left="780" w:hanging="360"/>
      </w:pPr>
      <w:rPr>
        <w:rFonts w:hint="default" w:ascii="Wingdings" w:hAnsi="Wingdings"/>
      </w:rPr>
    </w:lvl>
  </w:abstractNum>
  <w:abstractNum w:abstractNumId="12">
    <w:nsid w:val="00000016"/>
    <w:multiLevelType w:val="singleLevel"/>
    <w:tmpl w:val="00000016"/>
    <w:lvl w:ilvl="0" w:tentative="0">
      <w:start w:val="1"/>
      <w:numFmt w:val="decimal"/>
      <w:pStyle w:val="128"/>
      <w:lvlText w:val="%1)"/>
      <w:lvlJc w:val="left"/>
      <w:pPr>
        <w:tabs>
          <w:tab w:val="left" w:pos="425"/>
        </w:tabs>
        <w:ind w:left="425" w:hanging="425"/>
      </w:pPr>
      <w:rPr>
        <w:rFonts w:hint="eastAsia"/>
      </w:rPr>
    </w:lvl>
  </w:abstractNum>
  <w:abstractNum w:abstractNumId="13">
    <w:nsid w:val="00000017"/>
    <w:multiLevelType w:val="multilevel"/>
    <w:tmpl w:val="00000017"/>
    <w:lvl w:ilvl="0" w:tentative="0">
      <w:start w:val="1"/>
      <w:numFmt w:val="chineseCountingThousand"/>
      <w:pStyle w:val="253"/>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lvl>
    <w:lvl w:ilvl="3" w:tentative="0">
      <w:start w:val="0"/>
      <w:numFmt w:val="none"/>
      <w:lvlText w:val=""/>
      <w:lvlJc w:val="left"/>
      <w:pPr>
        <w:tabs>
          <w:tab w:val="left" w:pos="360"/>
        </w:tabs>
      </w:pPr>
    </w:lvl>
    <w:lvl w:ilvl="4" w:tentative="0">
      <w:start w:val="0"/>
      <w:numFmt w:val="decimal"/>
      <w:pStyle w:val="199"/>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10"/>
  </w:num>
  <w:num w:numId="2">
    <w:abstractNumId w:val="11"/>
  </w:num>
  <w:num w:numId="3">
    <w:abstractNumId w:val="12"/>
  </w:num>
  <w:num w:numId="4">
    <w:abstractNumId w:val="6"/>
  </w:num>
  <w:num w:numId="5">
    <w:abstractNumId w:val="3"/>
  </w:num>
  <w:num w:numId="6">
    <w:abstractNumId w:val="7"/>
  </w:num>
  <w:num w:numId="7">
    <w:abstractNumId w:val="2"/>
  </w:num>
  <w:num w:numId="8">
    <w:abstractNumId w:val="4"/>
  </w:num>
  <w:num w:numId="9">
    <w:abstractNumId w:val="14"/>
  </w:num>
  <w:num w:numId="10">
    <w:abstractNumId w:val="8"/>
  </w:num>
  <w:num w:numId="11">
    <w:abstractNumId w:val="9"/>
  </w:num>
  <w:num w:numId="12">
    <w:abstractNumId w:val="5"/>
  </w:num>
  <w:num w:numId="13">
    <w:abstractNumId w:val="13"/>
  </w:num>
  <w:num w:numId="14">
    <w:abstractNumId w:val="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QwYmQ2ODdkODY0MWZmYmNiZTI0MTExYjEzNDhjNmEifQ=="/>
  </w:docVars>
  <w:rsids>
    <w:rsidRoot w:val="00B50FC0"/>
    <w:rsid w:val="000661D3"/>
    <w:rsid w:val="0006680A"/>
    <w:rsid w:val="000851E6"/>
    <w:rsid w:val="000E7F13"/>
    <w:rsid w:val="0016285F"/>
    <w:rsid w:val="00166E1F"/>
    <w:rsid w:val="0019222D"/>
    <w:rsid w:val="002D3BA6"/>
    <w:rsid w:val="003222D6"/>
    <w:rsid w:val="0055698A"/>
    <w:rsid w:val="0060114B"/>
    <w:rsid w:val="00601ABD"/>
    <w:rsid w:val="0061627F"/>
    <w:rsid w:val="00632475"/>
    <w:rsid w:val="006E15F2"/>
    <w:rsid w:val="00760250"/>
    <w:rsid w:val="008214F7"/>
    <w:rsid w:val="00877DFA"/>
    <w:rsid w:val="0089674D"/>
    <w:rsid w:val="00985640"/>
    <w:rsid w:val="0099707F"/>
    <w:rsid w:val="009A721B"/>
    <w:rsid w:val="009B50C5"/>
    <w:rsid w:val="00A6769A"/>
    <w:rsid w:val="00AC1D8C"/>
    <w:rsid w:val="00AF7683"/>
    <w:rsid w:val="00B50FC0"/>
    <w:rsid w:val="00CB6E3A"/>
    <w:rsid w:val="00CC09AC"/>
    <w:rsid w:val="00CD75C2"/>
    <w:rsid w:val="00E42B9F"/>
    <w:rsid w:val="00E60A79"/>
    <w:rsid w:val="00F05E08"/>
    <w:rsid w:val="00F340E6"/>
    <w:rsid w:val="00F96D4B"/>
    <w:rsid w:val="011A5340"/>
    <w:rsid w:val="01891B53"/>
    <w:rsid w:val="01C21457"/>
    <w:rsid w:val="02005A7B"/>
    <w:rsid w:val="0221276B"/>
    <w:rsid w:val="026D64DC"/>
    <w:rsid w:val="0317318F"/>
    <w:rsid w:val="037000D6"/>
    <w:rsid w:val="03724869"/>
    <w:rsid w:val="04676E77"/>
    <w:rsid w:val="050E411D"/>
    <w:rsid w:val="053C512E"/>
    <w:rsid w:val="05BB42A5"/>
    <w:rsid w:val="066A4EB6"/>
    <w:rsid w:val="075C1AB8"/>
    <w:rsid w:val="07D478A0"/>
    <w:rsid w:val="07ED235A"/>
    <w:rsid w:val="08830C2D"/>
    <w:rsid w:val="088B55C9"/>
    <w:rsid w:val="09D1609A"/>
    <w:rsid w:val="0A82564E"/>
    <w:rsid w:val="0CEC11E8"/>
    <w:rsid w:val="0D233659"/>
    <w:rsid w:val="0D7731A8"/>
    <w:rsid w:val="0EAD5CB9"/>
    <w:rsid w:val="0F167D68"/>
    <w:rsid w:val="0F672DA8"/>
    <w:rsid w:val="0FE91A0F"/>
    <w:rsid w:val="100038E3"/>
    <w:rsid w:val="101271B8"/>
    <w:rsid w:val="1059352E"/>
    <w:rsid w:val="10D23E14"/>
    <w:rsid w:val="118C42A1"/>
    <w:rsid w:val="11AE2F4A"/>
    <w:rsid w:val="11B31A46"/>
    <w:rsid w:val="12227F59"/>
    <w:rsid w:val="12516E6E"/>
    <w:rsid w:val="12F701A3"/>
    <w:rsid w:val="130744C5"/>
    <w:rsid w:val="132412C3"/>
    <w:rsid w:val="133D2E2F"/>
    <w:rsid w:val="138623EB"/>
    <w:rsid w:val="13E73C4E"/>
    <w:rsid w:val="14A33DD8"/>
    <w:rsid w:val="14AA20B4"/>
    <w:rsid w:val="14E60C13"/>
    <w:rsid w:val="16640530"/>
    <w:rsid w:val="16755E9F"/>
    <w:rsid w:val="17492F0E"/>
    <w:rsid w:val="18785439"/>
    <w:rsid w:val="18F37025"/>
    <w:rsid w:val="19F95FF3"/>
    <w:rsid w:val="19FC4286"/>
    <w:rsid w:val="1AD22E28"/>
    <w:rsid w:val="1B98237C"/>
    <w:rsid w:val="1BCE2BAE"/>
    <w:rsid w:val="1BF83465"/>
    <w:rsid w:val="1CA058E9"/>
    <w:rsid w:val="1D855146"/>
    <w:rsid w:val="1DF0369E"/>
    <w:rsid w:val="1F417171"/>
    <w:rsid w:val="20D90162"/>
    <w:rsid w:val="211B1C44"/>
    <w:rsid w:val="21C226F3"/>
    <w:rsid w:val="224D6BE9"/>
    <w:rsid w:val="24247062"/>
    <w:rsid w:val="25CA4181"/>
    <w:rsid w:val="26601F2A"/>
    <w:rsid w:val="26B20955"/>
    <w:rsid w:val="27420045"/>
    <w:rsid w:val="278A4A2C"/>
    <w:rsid w:val="27D376BE"/>
    <w:rsid w:val="27FF7937"/>
    <w:rsid w:val="28456613"/>
    <w:rsid w:val="2860721B"/>
    <w:rsid w:val="292567E1"/>
    <w:rsid w:val="29730C25"/>
    <w:rsid w:val="2AB56C65"/>
    <w:rsid w:val="2B05230C"/>
    <w:rsid w:val="2B8D330E"/>
    <w:rsid w:val="2C426408"/>
    <w:rsid w:val="2CAD3314"/>
    <w:rsid w:val="2CED0673"/>
    <w:rsid w:val="2D3F79D7"/>
    <w:rsid w:val="2D9E007B"/>
    <w:rsid w:val="2E2A546B"/>
    <w:rsid w:val="2F5E2951"/>
    <w:rsid w:val="300761B5"/>
    <w:rsid w:val="30FB789A"/>
    <w:rsid w:val="31182C94"/>
    <w:rsid w:val="313F4470"/>
    <w:rsid w:val="338B4A07"/>
    <w:rsid w:val="34E174BF"/>
    <w:rsid w:val="35886381"/>
    <w:rsid w:val="362C2E4A"/>
    <w:rsid w:val="369062CC"/>
    <w:rsid w:val="36A15F47"/>
    <w:rsid w:val="36E14B30"/>
    <w:rsid w:val="36E33724"/>
    <w:rsid w:val="37411742"/>
    <w:rsid w:val="37485A5D"/>
    <w:rsid w:val="386D0B7F"/>
    <w:rsid w:val="38705A0B"/>
    <w:rsid w:val="39C74C55"/>
    <w:rsid w:val="39F43377"/>
    <w:rsid w:val="3A170959"/>
    <w:rsid w:val="3A196A3B"/>
    <w:rsid w:val="3A1C1BAF"/>
    <w:rsid w:val="3A570589"/>
    <w:rsid w:val="3AC0143A"/>
    <w:rsid w:val="3B00217F"/>
    <w:rsid w:val="3B31460B"/>
    <w:rsid w:val="3B5B6A00"/>
    <w:rsid w:val="3BB80457"/>
    <w:rsid w:val="3C82163B"/>
    <w:rsid w:val="3D183C25"/>
    <w:rsid w:val="3D5640D5"/>
    <w:rsid w:val="3D9170BE"/>
    <w:rsid w:val="3E595E2E"/>
    <w:rsid w:val="3E6D08CC"/>
    <w:rsid w:val="3F7841B5"/>
    <w:rsid w:val="3F852AA5"/>
    <w:rsid w:val="3FB65C45"/>
    <w:rsid w:val="401270D9"/>
    <w:rsid w:val="40CE016E"/>
    <w:rsid w:val="40CE3973"/>
    <w:rsid w:val="41560CC1"/>
    <w:rsid w:val="41E158E5"/>
    <w:rsid w:val="41FB36A0"/>
    <w:rsid w:val="426B4971"/>
    <w:rsid w:val="43651721"/>
    <w:rsid w:val="44605159"/>
    <w:rsid w:val="45144193"/>
    <w:rsid w:val="45231ACE"/>
    <w:rsid w:val="465D46FF"/>
    <w:rsid w:val="466924B3"/>
    <w:rsid w:val="46B767FC"/>
    <w:rsid w:val="46CB09CA"/>
    <w:rsid w:val="48167282"/>
    <w:rsid w:val="4843113A"/>
    <w:rsid w:val="48457423"/>
    <w:rsid w:val="48582566"/>
    <w:rsid w:val="498B05EA"/>
    <w:rsid w:val="4AB12CDE"/>
    <w:rsid w:val="4C2048B8"/>
    <w:rsid w:val="4CBD1D60"/>
    <w:rsid w:val="4D461C92"/>
    <w:rsid w:val="4DA4699A"/>
    <w:rsid w:val="4DE81FCA"/>
    <w:rsid w:val="4E3444B6"/>
    <w:rsid w:val="4EA70ED0"/>
    <w:rsid w:val="4EFA2326"/>
    <w:rsid w:val="4F5663A6"/>
    <w:rsid w:val="4F807FCA"/>
    <w:rsid w:val="4FAC5072"/>
    <w:rsid w:val="4FCC3BAF"/>
    <w:rsid w:val="4FCF212F"/>
    <w:rsid w:val="51750D79"/>
    <w:rsid w:val="51F7263B"/>
    <w:rsid w:val="5293012E"/>
    <w:rsid w:val="53C108BF"/>
    <w:rsid w:val="54D63934"/>
    <w:rsid w:val="556D1537"/>
    <w:rsid w:val="562904EF"/>
    <w:rsid w:val="5682571F"/>
    <w:rsid w:val="57DC09D1"/>
    <w:rsid w:val="58196DAC"/>
    <w:rsid w:val="59017D1E"/>
    <w:rsid w:val="59594AC9"/>
    <w:rsid w:val="596A402B"/>
    <w:rsid w:val="599975CF"/>
    <w:rsid w:val="59CE316E"/>
    <w:rsid w:val="5A3F2E3A"/>
    <w:rsid w:val="5A932270"/>
    <w:rsid w:val="5AEF69F8"/>
    <w:rsid w:val="5B9F0763"/>
    <w:rsid w:val="5BE062A4"/>
    <w:rsid w:val="5C814A76"/>
    <w:rsid w:val="5DFF0E1E"/>
    <w:rsid w:val="5E503D20"/>
    <w:rsid w:val="60D5460C"/>
    <w:rsid w:val="61326225"/>
    <w:rsid w:val="61702D01"/>
    <w:rsid w:val="61CF7750"/>
    <w:rsid w:val="61F72DEE"/>
    <w:rsid w:val="62B61E66"/>
    <w:rsid w:val="63644F37"/>
    <w:rsid w:val="643050EE"/>
    <w:rsid w:val="643248A8"/>
    <w:rsid w:val="648A46E4"/>
    <w:rsid w:val="6645421B"/>
    <w:rsid w:val="669929BC"/>
    <w:rsid w:val="66B56861"/>
    <w:rsid w:val="66F7101E"/>
    <w:rsid w:val="67CC5F51"/>
    <w:rsid w:val="67E46396"/>
    <w:rsid w:val="69320EA6"/>
    <w:rsid w:val="694B7F8B"/>
    <w:rsid w:val="69AC6EAA"/>
    <w:rsid w:val="6A1F2429"/>
    <w:rsid w:val="6ACF4B26"/>
    <w:rsid w:val="6ADD55FC"/>
    <w:rsid w:val="6B625A72"/>
    <w:rsid w:val="6BE61D2D"/>
    <w:rsid w:val="6C414C07"/>
    <w:rsid w:val="6CF52602"/>
    <w:rsid w:val="6DC26C9C"/>
    <w:rsid w:val="6E2A648C"/>
    <w:rsid w:val="6E445903"/>
    <w:rsid w:val="6F3027C1"/>
    <w:rsid w:val="6F5558EE"/>
    <w:rsid w:val="6FED580B"/>
    <w:rsid w:val="70117A67"/>
    <w:rsid w:val="701D465E"/>
    <w:rsid w:val="712B426F"/>
    <w:rsid w:val="71D770C3"/>
    <w:rsid w:val="72830B08"/>
    <w:rsid w:val="73DF3770"/>
    <w:rsid w:val="74AF129E"/>
    <w:rsid w:val="755F306E"/>
    <w:rsid w:val="7579537C"/>
    <w:rsid w:val="758119C2"/>
    <w:rsid w:val="75BA5833"/>
    <w:rsid w:val="76872172"/>
    <w:rsid w:val="76B659D2"/>
    <w:rsid w:val="77272285"/>
    <w:rsid w:val="77E37F3B"/>
    <w:rsid w:val="782347DB"/>
    <w:rsid w:val="78702739"/>
    <w:rsid w:val="78970D25"/>
    <w:rsid w:val="78A44C3B"/>
    <w:rsid w:val="793F5645"/>
    <w:rsid w:val="7A200710"/>
    <w:rsid w:val="7A4637FB"/>
    <w:rsid w:val="7A744676"/>
    <w:rsid w:val="7AD91D9F"/>
    <w:rsid w:val="7B2127B7"/>
    <w:rsid w:val="7BDC213F"/>
    <w:rsid w:val="7C0F2651"/>
    <w:rsid w:val="7DBC3708"/>
    <w:rsid w:val="7DF54524"/>
    <w:rsid w:val="7E464D80"/>
    <w:rsid w:val="7E5751DF"/>
    <w:rsid w:val="7FC956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qFormat="1" w:unhideWhenUsed="0" w:uiPriority="0" w:semiHidden="0" w:name="table of figures"/>
    <w:lsdException w:uiPriority="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qFormat="1" w:unhideWhenUsed="0" w:uiPriority="0" w:semiHidden="0" w:name="toa heading"/>
    <w:lsdException w:uiPriority="0" w:name="List"/>
    <w:lsdException w:uiPriority="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0" w:name="List Bullet 5"/>
    <w:lsdException w:qFormat="1" w:unhideWhenUsed="0" w:uiPriority="0" w:semiHidden="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0" w:name="List Continue 5"/>
    <w:lsdException w:uiPriority="0" w:name="Message Header"/>
    <w:lsdException w:qFormat="1" w:unhideWhenUsed="0" w:uiPriority="99"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8"/>
      <w:lang w:val="en-US" w:eastAsia="zh-CN" w:bidi="ar-SA"/>
    </w:rPr>
  </w:style>
  <w:style w:type="paragraph" w:styleId="3">
    <w:name w:val="heading 1"/>
    <w:basedOn w:val="1"/>
    <w:next w:val="1"/>
    <w:qFormat/>
    <w:uiPriority w:val="0"/>
    <w:pPr>
      <w:keepNext/>
      <w:snapToGrid w:val="0"/>
      <w:spacing w:line="360" w:lineRule="atLeast"/>
      <w:outlineLvl w:val="0"/>
    </w:pPr>
    <w:rPr>
      <w:rFonts w:ascii="宋体"/>
    </w:rPr>
  </w:style>
  <w:style w:type="paragraph" w:styleId="4">
    <w:name w:val="heading 2"/>
    <w:basedOn w:val="1"/>
    <w:next w:val="1"/>
    <w:link w:val="104"/>
    <w:qFormat/>
    <w:uiPriority w:val="0"/>
    <w:pPr>
      <w:keepNext/>
      <w:keepLines/>
      <w:spacing w:before="260" w:after="260" w:line="413" w:lineRule="auto"/>
      <w:outlineLvl w:val="1"/>
    </w:pPr>
    <w:rPr>
      <w:rFonts w:ascii="Arial" w:hAnsi="Arial" w:eastAsia="黑体"/>
      <w:b/>
      <w:sz w:val="32"/>
    </w:rPr>
  </w:style>
  <w:style w:type="paragraph" w:styleId="5">
    <w:name w:val="heading 3"/>
    <w:basedOn w:val="1"/>
    <w:next w:val="1"/>
    <w:link w:val="108"/>
    <w:qFormat/>
    <w:uiPriority w:val="0"/>
    <w:pPr>
      <w:keepNext/>
      <w:keepLines/>
      <w:spacing w:before="260" w:after="260" w:line="413" w:lineRule="auto"/>
      <w:outlineLvl w:val="2"/>
    </w:pPr>
    <w:rPr>
      <w:b/>
      <w:sz w:val="32"/>
    </w:rPr>
  </w:style>
  <w:style w:type="paragraph" w:styleId="6">
    <w:name w:val="heading 4"/>
    <w:basedOn w:val="1"/>
    <w:next w:val="1"/>
    <w:qFormat/>
    <w:uiPriority w:val="0"/>
    <w:pPr>
      <w:spacing w:before="280" w:after="290" w:line="372" w:lineRule="auto"/>
      <w:outlineLvl w:val="3"/>
    </w:pPr>
  </w:style>
  <w:style w:type="paragraph" w:styleId="7">
    <w:name w:val="heading 5"/>
    <w:basedOn w:val="1"/>
    <w:next w:val="1"/>
    <w:qFormat/>
    <w:uiPriority w:val="0"/>
    <w:pPr>
      <w:keepNext/>
      <w:keepLines/>
      <w:tabs>
        <w:tab w:val="left" w:pos="2551"/>
      </w:tabs>
      <w:spacing w:before="280" w:after="290" w:line="372" w:lineRule="auto"/>
      <w:ind w:left="2551" w:hanging="850"/>
      <w:outlineLvl w:val="4"/>
    </w:pPr>
    <w:rPr>
      <w:b/>
    </w:rPr>
  </w:style>
  <w:style w:type="paragraph" w:styleId="8">
    <w:name w:val="heading 6"/>
    <w:basedOn w:val="1"/>
    <w:next w:val="1"/>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b/>
      <w:sz w:val="24"/>
    </w:rPr>
  </w:style>
  <w:style w:type="paragraph" w:styleId="9">
    <w:name w:val="heading 7"/>
    <w:basedOn w:val="1"/>
    <w:next w:val="1"/>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b/>
      <w:sz w:val="24"/>
    </w:rPr>
  </w:style>
  <w:style w:type="paragraph" w:styleId="10">
    <w:name w:val="heading 8"/>
    <w:basedOn w:val="1"/>
    <w:next w:val="1"/>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b/>
      <w:sz w:val="24"/>
    </w:rPr>
  </w:style>
  <w:style w:type="paragraph" w:styleId="11">
    <w:name w:val="heading 9"/>
    <w:basedOn w:val="1"/>
    <w:next w:val="1"/>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b/>
      <w:sz w:val="24"/>
    </w:rPr>
  </w:style>
  <w:style w:type="character" w:default="1" w:styleId="63">
    <w:name w:val="Default Paragraph Font"/>
    <w:semiHidden/>
    <w:unhideWhenUsed/>
    <w:qFormat/>
    <w:uiPriority w:val="1"/>
  </w:style>
  <w:style w:type="table" w:default="1" w:styleId="6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rPr>
      <w:rFonts w:ascii="仿宋_GB2312" w:eastAsia="仿宋_GB2312"/>
      <w:sz w:val="32"/>
    </w:rPr>
  </w:style>
  <w:style w:type="paragraph" w:styleId="12">
    <w:name w:val="List 3"/>
    <w:basedOn w:val="1"/>
    <w:qFormat/>
    <w:uiPriority w:val="0"/>
    <w:pPr>
      <w:adjustRightInd w:val="0"/>
      <w:snapToGrid w:val="0"/>
      <w:spacing w:line="360" w:lineRule="auto"/>
      <w:ind w:left="100" w:leftChars="400" w:hanging="200" w:hangingChars="200"/>
    </w:pPr>
    <w:rPr>
      <w:sz w:val="24"/>
    </w:rPr>
  </w:style>
  <w:style w:type="paragraph" w:styleId="13">
    <w:name w:val="toc 7"/>
    <w:basedOn w:val="1"/>
    <w:next w:val="1"/>
    <w:qFormat/>
    <w:uiPriority w:val="0"/>
    <w:pPr>
      <w:ind w:left="2520" w:leftChars="1200"/>
    </w:pPr>
  </w:style>
  <w:style w:type="paragraph" w:styleId="14">
    <w:name w:val="List Number 2"/>
    <w:basedOn w:val="1"/>
    <w:qFormat/>
    <w:uiPriority w:val="0"/>
    <w:pPr>
      <w:numPr>
        <w:ilvl w:val="0"/>
        <w:numId w:val="1"/>
      </w:numPr>
      <w:tabs>
        <w:tab w:val="left" w:pos="780"/>
        <w:tab w:val="clear" w:pos="425"/>
      </w:tabs>
      <w:spacing w:line="360" w:lineRule="auto"/>
    </w:pPr>
    <w:rPr>
      <w:sz w:val="24"/>
    </w:rPr>
  </w:style>
  <w:style w:type="paragraph" w:styleId="15">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6">
    <w:name w:val="Normal Indent"/>
    <w:basedOn w:val="1"/>
    <w:qFormat/>
    <w:uiPriority w:val="0"/>
    <w:pPr>
      <w:adjustRightInd w:val="0"/>
      <w:snapToGrid w:val="0"/>
      <w:spacing w:line="360" w:lineRule="auto"/>
      <w:ind w:firstLine="420"/>
    </w:pPr>
    <w:rPr>
      <w:sz w:val="24"/>
    </w:rPr>
  </w:style>
  <w:style w:type="paragraph" w:styleId="17">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8">
    <w:name w:val="Document Map"/>
    <w:basedOn w:val="1"/>
    <w:qFormat/>
    <w:uiPriority w:val="0"/>
    <w:pPr>
      <w:shd w:val="clear" w:color="auto" w:fill="000080"/>
    </w:pPr>
  </w:style>
  <w:style w:type="paragraph" w:styleId="19">
    <w:name w:val="toa heading"/>
    <w:basedOn w:val="1"/>
    <w:next w:val="1"/>
    <w:qFormat/>
    <w:uiPriority w:val="0"/>
    <w:pPr>
      <w:spacing w:before="120"/>
    </w:pPr>
    <w:rPr>
      <w:rFonts w:ascii="Arial" w:hAnsi="Arial"/>
      <w:sz w:val="24"/>
    </w:rPr>
  </w:style>
  <w:style w:type="paragraph" w:styleId="20">
    <w:name w:val="annotation text"/>
    <w:basedOn w:val="1"/>
    <w:link w:val="85"/>
    <w:qFormat/>
    <w:uiPriority w:val="0"/>
    <w:pPr>
      <w:adjustRightInd w:val="0"/>
      <w:spacing w:line="360" w:lineRule="atLeast"/>
      <w:jc w:val="left"/>
      <w:textAlignment w:val="baseline"/>
    </w:pPr>
    <w:rPr>
      <w:kern w:val="0"/>
      <w:sz w:val="24"/>
    </w:rPr>
  </w:style>
  <w:style w:type="paragraph" w:styleId="21">
    <w:name w:val="Body Text 3"/>
    <w:basedOn w:val="1"/>
    <w:qFormat/>
    <w:uiPriority w:val="0"/>
    <w:pPr>
      <w:adjustRightInd w:val="0"/>
      <w:snapToGrid w:val="0"/>
      <w:spacing w:after="120" w:line="360" w:lineRule="auto"/>
    </w:pPr>
    <w:rPr>
      <w:sz w:val="16"/>
    </w:rPr>
  </w:style>
  <w:style w:type="paragraph" w:styleId="22">
    <w:name w:val="List Bullet 3"/>
    <w:basedOn w:val="1"/>
    <w:qFormat/>
    <w:uiPriority w:val="0"/>
    <w:pPr>
      <w:tabs>
        <w:tab w:val="left" w:pos="1200"/>
      </w:tabs>
      <w:adjustRightInd w:val="0"/>
      <w:snapToGrid w:val="0"/>
      <w:spacing w:line="360" w:lineRule="auto"/>
      <w:ind w:left="1200" w:hanging="360"/>
    </w:pPr>
    <w:rPr>
      <w:sz w:val="24"/>
    </w:rPr>
  </w:style>
  <w:style w:type="paragraph" w:styleId="23">
    <w:name w:val="Body Text Indent"/>
    <w:basedOn w:val="1"/>
    <w:next w:val="24"/>
    <w:link w:val="87"/>
    <w:qFormat/>
    <w:uiPriority w:val="0"/>
    <w:pPr>
      <w:spacing w:line="700" w:lineRule="exact"/>
      <w:ind w:left="960"/>
    </w:pPr>
    <w:rPr>
      <w:sz w:val="44"/>
    </w:rPr>
  </w:style>
  <w:style w:type="paragraph" w:styleId="24">
    <w:name w:val="Body Text First Indent 2"/>
    <w:basedOn w:val="23"/>
    <w:next w:val="1"/>
    <w:link w:val="111"/>
    <w:qFormat/>
    <w:uiPriority w:val="0"/>
    <w:pPr>
      <w:spacing w:after="120" w:line="240" w:lineRule="auto"/>
      <w:ind w:left="420" w:leftChars="200" w:firstLine="420" w:firstLineChars="200"/>
    </w:p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line="360" w:lineRule="auto"/>
      <w:ind w:left="420" w:leftChars="200"/>
    </w:pPr>
    <w:rPr>
      <w:sz w:val="24"/>
    </w:rPr>
  </w:style>
  <w:style w:type="paragraph" w:styleId="28">
    <w:name w:val="Block Text"/>
    <w:basedOn w:val="1"/>
    <w:qFormat/>
    <w:uiPriority w:val="0"/>
    <w:pPr>
      <w:spacing w:after="120"/>
      <w:ind w:left="1440" w:leftChars="700" w:right="1440" w:rightChars="700"/>
    </w:pPr>
  </w:style>
  <w:style w:type="paragraph" w:styleId="29">
    <w:name w:val="List Bullet 2"/>
    <w:basedOn w:val="1"/>
    <w:qFormat/>
    <w:uiPriority w:val="0"/>
    <w:pPr>
      <w:numPr>
        <w:ilvl w:val="0"/>
        <w:numId w:val="2"/>
      </w:numPr>
      <w:adjustRightInd w:val="0"/>
      <w:snapToGrid w:val="0"/>
      <w:spacing w:line="360" w:lineRule="auto"/>
    </w:pPr>
    <w:rPr>
      <w:sz w:val="24"/>
    </w:rPr>
  </w:style>
  <w:style w:type="paragraph" w:styleId="30">
    <w:name w:val="toc 5"/>
    <w:basedOn w:val="1"/>
    <w:next w:val="1"/>
    <w:qFormat/>
    <w:uiPriority w:val="0"/>
    <w:pPr>
      <w:ind w:left="1680" w:leftChars="800"/>
    </w:pPr>
  </w:style>
  <w:style w:type="paragraph" w:styleId="31">
    <w:name w:val="toc 3"/>
    <w:basedOn w:val="1"/>
    <w:next w:val="1"/>
    <w:qFormat/>
    <w:uiPriority w:val="39"/>
    <w:pPr>
      <w:ind w:left="840" w:leftChars="400"/>
    </w:pPr>
  </w:style>
  <w:style w:type="paragraph" w:styleId="32">
    <w:name w:val="Plain Text"/>
    <w:basedOn w:val="1"/>
    <w:qFormat/>
    <w:uiPriority w:val="0"/>
    <w:rPr>
      <w:rFonts w:ascii="宋体" w:hAnsi="Courier New"/>
      <w:sz w:val="21"/>
    </w:rPr>
  </w:style>
  <w:style w:type="paragraph" w:styleId="33">
    <w:name w:val="toc 8"/>
    <w:basedOn w:val="1"/>
    <w:next w:val="1"/>
    <w:qFormat/>
    <w:uiPriority w:val="0"/>
    <w:pPr>
      <w:ind w:left="2940" w:leftChars="1400"/>
    </w:pPr>
  </w:style>
  <w:style w:type="paragraph" w:styleId="34">
    <w:name w:val="Date"/>
    <w:basedOn w:val="1"/>
    <w:next w:val="1"/>
    <w:link w:val="113"/>
    <w:qFormat/>
    <w:uiPriority w:val="0"/>
  </w:style>
  <w:style w:type="paragraph" w:styleId="35">
    <w:name w:val="Body Text Indent 2"/>
    <w:basedOn w:val="1"/>
    <w:link w:val="82"/>
    <w:qFormat/>
    <w:uiPriority w:val="0"/>
    <w:pPr>
      <w:snapToGrid w:val="0"/>
      <w:spacing w:line="560" w:lineRule="atLeast"/>
      <w:ind w:firstLine="540"/>
    </w:pPr>
  </w:style>
  <w:style w:type="paragraph" w:styleId="36">
    <w:name w:val="Balloon Text"/>
    <w:basedOn w:val="1"/>
    <w:qFormat/>
    <w:uiPriority w:val="0"/>
    <w:rPr>
      <w:sz w:val="18"/>
    </w:rPr>
  </w:style>
  <w:style w:type="paragraph" w:styleId="37">
    <w:name w:val="footer"/>
    <w:basedOn w:val="1"/>
    <w:link w:val="120"/>
    <w:qFormat/>
    <w:uiPriority w:val="99"/>
    <w:pPr>
      <w:tabs>
        <w:tab w:val="center" w:pos="4153"/>
        <w:tab w:val="right" w:pos="8306"/>
      </w:tabs>
      <w:snapToGrid w:val="0"/>
      <w:jc w:val="left"/>
    </w:pPr>
    <w:rPr>
      <w:sz w:val="18"/>
    </w:rPr>
  </w:style>
  <w:style w:type="paragraph" w:styleId="38">
    <w:name w:val="envelope return"/>
    <w:basedOn w:val="1"/>
    <w:qFormat/>
    <w:uiPriority w:val="0"/>
    <w:pPr>
      <w:snapToGrid w:val="0"/>
    </w:pPr>
    <w:rPr>
      <w:rFonts w:ascii="Arial" w:hAnsi="Arial"/>
    </w:rPr>
  </w:style>
  <w:style w:type="paragraph" w:styleId="39">
    <w:name w:val="header"/>
    <w:basedOn w:val="1"/>
    <w:qFormat/>
    <w:uiPriority w:val="0"/>
    <w:pPr>
      <w:pBdr>
        <w:bottom w:val="single" w:color="auto" w:sz="6" w:space="1"/>
      </w:pBdr>
      <w:tabs>
        <w:tab w:val="center" w:pos="4153"/>
        <w:tab w:val="right" w:pos="8306"/>
      </w:tabs>
      <w:snapToGrid w:val="0"/>
      <w:jc w:val="center"/>
    </w:pPr>
    <w:rPr>
      <w:sz w:val="18"/>
    </w:rPr>
  </w:style>
  <w:style w:type="paragraph" w:styleId="40">
    <w:name w:val="toc 1"/>
    <w:basedOn w:val="1"/>
    <w:next w:val="1"/>
    <w:qFormat/>
    <w:uiPriority w:val="0"/>
    <w:pPr>
      <w:spacing w:line="180" w:lineRule="auto"/>
      <w:jc w:val="center"/>
    </w:pPr>
    <w:rPr>
      <w:sz w:val="30"/>
    </w:rPr>
  </w:style>
  <w:style w:type="paragraph" w:styleId="41">
    <w:name w:val="List Continue 4"/>
    <w:basedOn w:val="1"/>
    <w:qFormat/>
    <w:uiPriority w:val="0"/>
    <w:pPr>
      <w:adjustRightInd w:val="0"/>
      <w:snapToGrid w:val="0"/>
      <w:spacing w:after="120" w:line="360" w:lineRule="auto"/>
      <w:ind w:left="1680" w:leftChars="800"/>
    </w:pPr>
    <w:rPr>
      <w:sz w:val="24"/>
    </w:rPr>
  </w:style>
  <w:style w:type="paragraph" w:styleId="42">
    <w:name w:val="toc 4"/>
    <w:basedOn w:val="1"/>
    <w:next w:val="1"/>
    <w:qFormat/>
    <w:uiPriority w:val="0"/>
    <w:pPr>
      <w:ind w:left="1260" w:leftChars="600"/>
    </w:pPr>
  </w:style>
  <w:style w:type="paragraph" w:styleId="43">
    <w:name w:val="Subtitle"/>
    <w:basedOn w:val="1"/>
    <w:next w:val="1"/>
    <w:qFormat/>
    <w:uiPriority w:val="99"/>
    <w:pPr>
      <w:spacing w:before="240" w:after="60" w:line="312" w:lineRule="auto"/>
      <w:jc w:val="center"/>
      <w:outlineLvl w:val="1"/>
    </w:pPr>
    <w:rPr>
      <w:rFonts w:ascii="Calibri Light" w:hAnsi="Calibri Light"/>
      <w:b/>
      <w:bCs/>
      <w:kern w:val="28"/>
      <w:sz w:val="32"/>
      <w:szCs w:val="32"/>
    </w:rPr>
  </w:style>
  <w:style w:type="paragraph" w:styleId="44">
    <w:name w:val="footnote text"/>
    <w:basedOn w:val="1"/>
    <w:link w:val="93"/>
    <w:qFormat/>
    <w:uiPriority w:val="0"/>
    <w:pPr>
      <w:spacing w:line="360" w:lineRule="auto"/>
    </w:pPr>
    <w:rPr>
      <w:sz w:val="18"/>
    </w:rPr>
  </w:style>
  <w:style w:type="paragraph" w:styleId="45">
    <w:name w:val="toc 6"/>
    <w:basedOn w:val="1"/>
    <w:next w:val="1"/>
    <w:qFormat/>
    <w:uiPriority w:val="0"/>
    <w:pPr>
      <w:ind w:left="2100" w:leftChars="1000"/>
    </w:pPr>
  </w:style>
  <w:style w:type="paragraph" w:styleId="46">
    <w:name w:val="List 5"/>
    <w:basedOn w:val="1"/>
    <w:qFormat/>
    <w:uiPriority w:val="0"/>
    <w:pPr>
      <w:adjustRightInd w:val="0"/>
      <w:snapToGrid w:val="0"/>
      <w:spacing w:line="360" w:lineRule="auto"/>
      <w:ind w:left="100" w:leftChars="800" w:hanging="200" w:hangingChars="200"/>
    </w:pPr>
    <w:rPr>
      <w:sz w:val="24"/>
    </w:rPr>
  </w:style>
  <w:style w:type="paragraph" w:styleId="47">
    <w:name w:val="Body Text Indent 3"/>
    <w:basedOn w:val="1"/>
    <w:qFormat/>
    <w:uiPriority w:val="0"/>
    <w:pPr>
      <w:spacing w:line="360" w:lineRule="auto"/>
      <w:ind w:firstLine="632"/>
    </w:pPr>
    <w:rPr>
      <w:rFonts w:ascii="黑体" w:eastAsia="黑体"/>
    </w:rPr>
  </w:style>
  <w:style w:type="paragraph" w:styleId="48">
    <w:name w:val="table of figures"/>
    <w:basedOn w:val="1"/>
    <w:next w:val="1"/>
    <w:qFormat/>
    <w:uiPriority w:val="0"/>
    <w:pPr>
      <w:tabs>
        <w:tab w:val="right" w:leader="dot" w:pos="8640"/>
      </w:tabs>
      <w:spacing w:line="360" w:lineRule="auto"/>
      <w:ind w:left="400" w:hanging="400"/>
    </w:pPr>
    <w:rPr>
      <w:sz w:val="24"/>
    </w:rPr>
  </w:style>
  <w:style w:type="paragraph" w:styleId="49">
    <w:name w:val="toc 2"/>
    <w:basedOn w:val="1"/>
    <w:next w:val="1"/>
    <w:qFormat/>
    <w:uiPriority w:val="39"/>
    <w:pPr>
      <w:ind w:left="420" w:leftChars="200"/>
    </w:pPr>
  </w:style>
  <w:style w:type="paragraph" w:styleId="50">
    <w:name w:val="toc 9"/>
    <w:basedOn w:val="1"/>
    <w:next w:val="1"/>
    <w:qFormat/>
    <w:uiPriority w:val="0"/>
    <w:pPr>
      <w:ind w:left="3360" w:leftChars="1600"/>
    </w:pPr>
  </w:style>
  <w:style w:type="paragraph" w:styleId="51">
    <w:name w:val="Body Text 2"/>
    <w:basedOn w:val="1"/>
    <w:qFormat/>
    <w:uiPriority w:val="0"/>
    <w:pPr>
      <w:adjustRightInd w:val="0"/>
      <w:snapToGrid w:val="0"/>
      <w:spacing w:after="120" w:line="480" w:lineRule="auto"/>
    </w:pPr>
    <w:rPr>
      <w:sz w:val="24"/>
    </w:rPr>
  </w:style>
  <w:style w:type="paragraph" w:styleId="52">
    <w:name w:val="List 4"/>
    <w:basedOn w:val="1"/>
    <w:qFormat/>
    <w:uiPriority w:val="0"/>
    <w:pPr>
      <w:adjustRightInd w:val="0"/>
      <w:snapToGrid w:val="0"/>
      <w:spacing w:line="360" w:lineRule="auto"/>
      <w:ind w:left="100" w:leftChars="600" w:hanging="200" w:hangingChars="200"/>
    </w:pPr>
    <w:rPr>
      <w:sz w:val="24"/>
    </w:rPr>
  </w:style>
  <w:style w:type="paragraph" w:styleId="53">
    <w:name w:val="List Continue 2"/>
    <w:basedOn w:val="1"/>
    <w:qFormat/>
    <w:uiPriority w:val="0"/>
    <w:pPr>
      <w:adjustRightInd w:val="0"/>
      <w:snapToGrid w:val="0"/>
      <w:spacing w:after="120" w:line="360" w:lineRule="auto"/>
      <w:ind w:left="840" w:leftChars="400"/>
    </w:pPr>
    <w:rPr>
      <w:sz w:val="24"/>
    </w:rPr>
  </w:style>
  <w:style w:type="paragraph" w:styleId="54">
    <w:name w:val="HTML Preformatted"/>
    <w:basedOn w:val="1"/>
    <w:qFormat/>
    <w:uiPriority w:val="0"/>
    <w:rPr>
      <w:rFonts w:ascii="Courier New" w:hAnsi="Courier New"/>
      <w:sz w:val="20"/>
    </w:rPr>
  </w:style>
  <w:style w:type="paragraph" w:styleId="55">
    <w:name w:val="Normal (Web)"/>
    <w:basedOn w:val="1"/>
    <w:qFormat/>
    <w:uiPriority w:val="0"/>
    <w:pPr>
      <w:widowControl/>
      <w:spacing w:before="100" w:beforeAutospacing="1" w:after="100" w:afterAutospacing="1"/>
      <w:jc w:val="left"/>
    </w:pPr>
    <w:rPr>
      <w:rFonts w:ascii="宋体" w:hAnsi="宋体"/>
      <w:kern w:val="0"/>
      <w:sz w:val="24"/>
    </w:rPr>
  </w:style>
  <w:style w:type="paragraph" w:styleId="56">
    <w:name w:val="List Continue 3"/>
    <w:basedOn w:val="1"/>
    <w:qFormat/>
    <w:uiPriority w:val="0"/>
    <w:pPr>
      <w:adjustRightInd w:val="0"/>
      <w:snapToGrid w:val="0"/>
      <w:spacing w:after="120" w:line="360" w:lineRule="auto"/>
      <w:ind w:left="1260" w:leftChars="600"/>
    </w:pPr>
    <w:rPr>
      <w:sz w:val="24"/>
    </w:rPr>
  </w:style>
  <w:style w:type="paragraph" w:styleId="57">
    <w:name w:val="index 1"/>
    <w:basedOn w:val="1"/>
    <w:next w:val="1"/>
    <w:qFormat/>
    <w:uiPriority w:val="0"/>
    <w:pPr>
      <w:adjustRightInd w:val="0"/>
      <w:spacing w:line="240" w:lineRule="atLeast"/>
      <w:textAlignment w:val="baseline"/>
    </w:pPr>
    <w:rPr>
      <w:rFonts w:ascii="宋体"/>
      <w:kern w:val="0"/>
      <w:sz w:val="21"/>
    </w:rPr>
  </w:style>
  <w:style w:type="paragraph" w:styleId="58">
    <w:name w:val="Title"/>
    <w:basedOn w:val="1"/>
    <w:qFormat/>
    <w:uiPriority w:val="0"/>
    <w:pPr>
      <w:widowControl/>
      <w:spacing w:after="240" w:line="360" w:lineRule="auto"/>
      <w:jc w:val="center"/>
    </w:pPr>
    <w:rPr>
      <w:rFonts w:ascii="Arial" w:hAnsi="Arial"/>
      <w:b/>
      <w:smallCaps/>
      <w:kern w:val="28"/>
      <w:sz w:val="36"/>
      <w:lang w:eastAsia="en-US"/>
    </w:rPr>
  </w:style>
  <w:style w:type="paragraph" w:styleId="59">
    <w:name w:val="annotation subject"/>
    <w:basedOn w:val="20"/>
    <w:next w:val="20"/>
    <w:link w:val="84"/>
    <w:qFormat/>
    <w:uiPriority w:val="0"/>
    <w:pPr>
      <w:adjustRightInd/>
      <w:spacing w:line="240" w:lineRule="auto"/>
      <w:textAlignment w:val="auto"/>
    </w:pPr>
  </w:style>
  <w:style w:type="paragraph" w:styleId="60">
    <w:name w:val="Body Text First Indent"/>
    <w:basedOn w:val="2"/>
    <w:next w:val="24"/>
    <w:qFormat/>
    <w:uiPriority w:val="0"/>
    <w:pPr>
      <w:spacing w:line="360" w:lineRule="auto"/>
      <w:ind w:firstLine="420"/>
    </w:pPr>
    <w:rPr>
      <w:rFonts w:ascii="宋体" w:hAnsi="宋体"/>
      <w:sz w:val="24"/>
    </w:rPr>
  </w:style>
  <w:style w:type="table" w:styleId="62">
    <w:name w:val="Table Grid"/>
    <w:basedOn w:val="6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4">
    <w:name w:val="Strong"/>
    <w:qFormat/>
    <w:uiPriority w:val="0"/>
    <w:rPr>
      <w:b/>
    </w:rPr>
  </w:style>
  <w:style w:type="character" w:styleId="65">
    <w:name w:val="page number"/>
    <w:basedOn w:val="63"/>
    <w:qFormat/>
    <w:uiPriority w:val="0"/>
  </w:style>
  <w:style w:type="character" w:styleId="66">
    <w:name w:val="FollowedHyperlink"/>
    <w:qFormat/>
    <w:uiPriority w:val="0"/>
    <w:rPr>
      <w:color w:val="800080"/>
      <w:u w:val="single"/>
    </w:rPr>
  </w:style>
  <w:style w:type="character" w:styleId="67">
    <w:name w:val="Emphasis"/>
    <w:qFormat/>
    <w:uiPriority w:val="0"/>
    <w:rPr>
      <w:i/>
    </w:rPr>
  </w:style>
  <w:style w:type="character" w:styleId="68">
    <w:name w:val="Hyperlink"/>
    <w:qFormat/>
    <w:uiPriority w:val="99"/>
    <w:rPr>
      <w:color w:val="0000FF"/>
      <w:u w:val="single"/>
    </w:rPr>
  </w:style>
  <w:style w:type="character" w:styleId="69">
    <w:name w:val="annotation reference"/>
    <w:qFormat/>
    <w:uiPriority w:val="0"/>
    <w:rPr>
      <w:sz w:val="21"/>
      <w:szCs w:val="21"/>
    </w:rPr>
  </w:style>
  <w:style w:type="character" w:styleId="70">
    <w:name w:val="footnote reference"/>
    <w:qFormat/>
    <w:uiPriority w:val="0"/>
    <w:rPr>
      <w:position w:val="6"/>
      <w:sz w:val="14"/>
      <w:vertAlign w:val="superscript"/>
    </w:rPr>
  </w:style>
  <w:style w:type="paragraph" w:customStyle="1" w:styleId="71">
    <w:name w:val="BodyText"/>
    <w:basedOn w:val="1"/>
    <w:next w:val="1"/>
    <w:qFormat/>
    <w:uiPriority w:val="99"/>
    <w:pPr>
      <w:spacing w:line="500" w:lineRule="exact"/>
      <w:textAlignment w:val="baseline"/>
    </w:pPr>
    <w:rPr>
      <w:rFonts w:ascii="宋体" w:hAnsi="宋体" w:cs="宋体"/>
      <w:kern w:val="0"/>
    </w:rPr>
  </w:style>
  <w:style w:type="paragraph" w:customStyle="1" w:styleId="72">
    <w:name w:val="默认"/>
    <w:qFormat/>
    <w:uiPriority w:val="99"/>
    <w:rPr>
      <w:rFonts w:ascii="Helvetica" w:hAnsi="Helvetica" w:eastAsia="宋体" w:cs="Times New Roman"/>
      <w:color w:val="000000"/>
      <w:sz w:val="22"/>
      <w:szCs w:val="22"/>
      <w:lang w:val="en-US" w:eastAsia="zh-CN" w:bidi="ar-SA"/>
    </w:rPr>
  </w:style>
  <w:style w:type="paragraph" w:customStyle="1" w:styleId="73">
    <w:name w:val="目录 53"/>
    <w:next w:val="1"/>
    <w:qFormat/>
    <w:uiPriority w:val="0"/>
    <w:pPr>
      <w:wordWrap w:val="0"/>
      <w:ind w:left="1275"/>
      <w:jc w:val="both"/>
    </w:pPr>
    <w:rPr>
      <w:rFonts w:ascii="Times New Roman" w:hAnsi="Times New Roman" w:eastAsia="宋体" w:cs="Times New Roman"/>
      <w:sz w:val="21"/>
      <w:lang w:val="en-US" w:eastAsia="zh-CN" w:bidi="ar-SA"/>
    </w:rPr>
  </w:style>
  <w:style w:type="paragraph" w:customStyle="1" w:styleId="74">
    <w:name w:val="正文1"/>
    <w:basedOn w:val="1"/>
    <w:next w:val="1"/>
    <w:qFormat/>
    <w:uiPriority w:val="0"/>
    <w:pPr>
      <w:spacing w:line="300" w:lineRule="auto"/>
      <w:ind w:firstLine="200" w:firstLineChars="200"/>
    </w:pPr>
    <w:rPr>
      <w:sz w:val="24"/>
    </w:rPr>
  </w:style>
  <w:style w:type="paragraph" w:customStyle="1" w:styleId="75">
    <w:name w:val="标书正文1"/>
    <w:basedOn w:val="1"/>
    <w:qFormat/>
    <w:uiPriority w:val="0"/>
    <w:pPr>
      <w:spacing w:line="520" w:lineRule="exact"/>
      <w:ind w:firstLine="640" w:firstLineChars="200"/>
    </w:pPr>
    <w:rPr>
      <w:rFonts w:ascii="Times New Roman" w:hAnsi="Times New Roman"/>
    </w:rPr>
  </w:style>
  <w:style w:type="paragraph" w:customStyle="1" w:styleId="76">
    <w:name w:val="Default"/>
    <w:qFormat/>
    <w:uiPriority w:val="0"/>
    <w:pPr>
      <w:widowControl w:val="0"/>
      <w:autoSpaceDE w:val="0"/>
      <w:autoSpaceDN w:val="0"/>
      <w:adjustRightInd w:val="0"/>
    </w:pPr>
    <w:rPr>
      <w:rFonts w:ascii="宋体" w:hAnsi="Calibri" w:eastAsia="宋体" w:cs="Times New Roman"/>
      <w:color w:val="000000"/>
      <w:sz w:val="24"/>
      <w:lang w:val="en-US" w:eastAsia="zh-CN" w:bidi="ar-SA"/>
    </w:rPr>
  </w:style>
  <w:style w:type="character" w:customStyle="1" w:styleId="77">
    <w:name w:val="Char Char7"/>
    <w:qFormat/>
    <w:uiPriority w:val="0"/>
    <w:rPr>
      <w:rFonts w:ascii="宋体" w:hAnsi="宋体" w:eastAsia="宋体"/>
      <w:kern w:val="2"/>
      <w:sz w:val="28"/>
    </w:rPr>
  </w:style>
  <w:style w:type="character" w:customStyle="1" w:styleId="78">
    <w:name w:val="font91"/>
    <w:qFormat/>
    <w:uiPriority w:val="0"/>
    <w:rPr>
      <w:rFonts w:hint="eastAsia" w:ascii="宋体" w:hAnsi="宋体" w:eastAsia="宋体" w:cs="宋体"/>
      <w:color w:val="000000"/>
      <w:sz w:val="20"/>
      <w:szCs w:val="20"/>
      <w:u w:val="none"/>
    </w:rPr>
  </w:style>
  <w:style w:type="character" w:customStyle="1" w:styleId="79">
    <w:name w:val="未命名11"/>
    <w:qFormat/>
    <w:uiPriority w:val="0"/>
    <w:rPr>
      <w:color w:val="77FFFF"/>
      <w:sz w:val="24"/>
    </w:rPr>
  </w:style>
  <w:style w:type="character" w:customStyle="1" w:styleId="80">
    <w:name w:val="font51"/>
    <w:qFormat/>
    <w:uiPriority w:val="0"/>
    <w:rPr>
      <w:rFonts w:hint="eastAsia" w:ascii="宋体" w:hAnsi="宋体" w:eastAsia="宋体" w:cs="宋体"/>
      <w:color w:val="000000"/>
      <w:sz w:val="20"/>
      <w:szCs w:val="20"/>
      <w:u w:val="none"/>
      <w:vertAlign w:val="superscript"/>
    </w:rPr>
  </w:style>
  <w:style w:type="character" w:customStyle="1" w:styleId="81">
    <w:name w:val="content-white1"/>
    <w:qFormat/>
    <w:uiPriority w:val="0"/>
    <w:rPr>
      <w:color w:val="auto"/>
      <w:sz w:val="18"/>
      <w:u w:val="none"/>
    </w:rPr>
  </w:style>
  <w:style w:type="character" w:customStyle="1" w:styleId="82">
    <w:name w:val="正文文本缩进 2 字符"/>
    <w:link w:val="35"/>
    <w:qFormat/>
    <w:uiPriority w:val="0"/>
    <w:rPr>
      <w:kern w:val="2"/>
      <w:sz w:val="28"/>
    </w:rPr>
  </w:style>
  <w:style w:type="character" w:customStyle="1" w:styleId="83">
    <w:name w:val="Char Char11"/>
    <w:qFormat/>
    <w:uiPriority w:val="0"/>
    <w:rPr>
      <w:rFonts w:ascii="宋体"/>
      <w:kern w:val="2"/>
      <w:sz w:val="28"/>
    </w:rPr>
  </w:style>
  <w:style w:type="character" w:customStyle="1" w:styleId="84">
    <w:name w:val="批注主题 字符"/>
    <w:basedOn w:val="85"/>
    <w:link w:val="59"/>
    <w:qFormat/>
    <w:uiPriority w:val="0"/>
    <w:rPr>
      <w:sz w:val="24"/>
    </w:rPr>
  </w:style>
  <w:style w:type="character" w:customStyle="1" w:styleId="85">
    <w:name w:val="批注文字 字符"/>
    <w:link w:val="20"/>
    <w:qFormat/>
    <w:uiPriority w:val="0"/>
    <w:rPr>
      <w:sz w:val="24"/>
    </w:rPr>
  </w:style>
  <w:style w:type="character" w:customStyle="1" w:styleId="86">
    <w:name w:val="font41"/>
    <w:qFormat/>
    <w:uiPriority w:val="0"/>
    <w:rPr>
      <w:rFonts w:hint="eastAsia" w:ascii="宋体" w:hAnsi="宋体" w:eastAsia="宋体" w:cs="宋体"/>
      <w:color w:val="000000"/>
      <w:sz w:val="20"/>
      <w:szCs w:val="20"/>
      <w:u w:val="none"/>
    </w:rPr>
  </w:style>
  <w:style w:type="character" w:customStyle="1" w:styleId="87">
    <w:name w:val="正文文本缩进 字符"/>
    <w:link w:val="23"/>
    <w:qFormat/>
    <w:uiPriority w:val="0"/>
    <w:rPr>
      <w:kern w:val="2"/>
      <w:sz w:val="44"/>
    </w:rPr>
  </w:style>
  <w:style w:type="character" w:customStyle="1" w:styleId="88">
    <w:name w:val="Table Text Char"/>
    <w:link w:val="89"/>
    <w:qFormat/>
    <w:uiPriority w:val="0"/>
    <w:rPr>
      <w:rFonts w:ascii="Arial" w:hAnsi="Arial"/>
      <w:kern w:val="2"/>
      <w:sz w:val="18"/>
      <w:lang w:val="en-US" w:eastAsia="zh-CN" w:bidi="ar-SA"/>
    </w:rPr>
  </w:style>
  <w:style w:type="paragraph" w:customStyle="1" w:styleId="89">
    <w:name w:val="Table Text"/>
    <w:link w:val="88"/>
    <w:qFormat/>
    <w:uiPriority w:val="0"/>
    <w:pPr>
      <w:snapToGrid w:val="0"/>
      <w:spacing w:before="80" w:after="80"/>
    </w:pPr>
    <w:rPr>
      <w:rFonts w:ascii="Arial" w:hAnsi="Arial" w:eastAsia="宋体" w:cs="Times New Roman"/>
      <w:kern w:val="2"/>
      <w:sz w:val="18"/>
      <w:lang w:val="en-US" w:eastAsia="zh-CN" w:bidi="ar-SA"/>
    </w:rPr>
  </w:style>
  <w:style w:type="character" w:customStyle="1" w:styleId="90">
    <w:name w:val="v151"/>
    <w:qFormat/>
    <w:uiPriority w:val="0"/>
    <w:rPr>
      <w:sz w:val="18"/>
    </w:rPr>
  </w:style>
  <w:style w:type="character" w:customStyle="1" w:styleId="91">
    <w:name w:val="样式 宋体"/>
    <w:qFormat/>
    <w:uiPriority w:val="0"/>
    <w:rPr>
      <w:rFonts w:ascii="宋体" w:hAnsi="宋体" w:eastAsia="宋体"/>
      <w:sz w:val="28"/>
    </w:rPr>
  </w:style>
  <w:style w:type="character" w:customStyle="1" w:styleId="92">
    <w:name w:val="title_emph1"/>
    <w:qFormat/>
    <w:uiPriority w:val="0"/>
    <w:rPr>
      <w:rFonts w:hint="default" w:ascii="Arial" w:hAnsi="Arial"/>
      <w:b/>
      <w:sz w:val="20"/>
    </w:rPr>
  </w:style>
  <w:style w:type="character" w:customStyle="1" w:styleId="93">
    <w:name w:val="脚注文本 字符"/>
    <w:link w:val="44"/>
    <w:qFormat/>
    <w:uiPriority w:val="0"/>
    <w:rPr>
      <w:kern w:val="2"/>
      <w:sz w:val="18"/>
    </w:rPr>
  </w:style>
  <w:style w:type="character" w:customStyle="1" w:styleId="94">
    <w:name w:val="Char Char"/>
    <w:qFormat/>
    <w:uiPriority w:val="0"/>
    <w:rPr>
      <w:rFonts w:ascii="宋体" w:hAnsi="宋体" w:eastAsia="宋体"/>
      <w:kern w:val="2"/>
      <w:sz w:val="24"/>
      <w:lang w:val="en-US" w:eastAsia="zh-CN" w:bidi="ar-SA"/>
    </w:rPr>
  </w:style>
  <w:style w:type="character" w:customStyle="1" w:styleId="95">
    <w:name w:val="Table Heading Char Char"/>
    <w:qFormat/>
    <w:uiPriority w:val="0"/>
    <w:rPr>
      <w:rFonts w:ascii="Arial" w:hAnsi="Arial" w:eastAsia="黑体"/>
      <w:kern w:val="2"/>
      <w:sz w:val="18"/>
      <w:lang w:val="en-US" w:eastAsia="zh-CN"/>
    </w:rPr>
  </w:style>
  <w:style w:type="character" w:customStyle="1" w:styleId="96">
    <w:name w:val="正文 + 三号 Char"/>
    <w:qFormat/>
    <w:uiPriority w:val="0"/>
    <w:rPr>
      <w:rFonts w:eastAsia="宋体"/>
      <w:kern w:val="2"/>
      <w:sz w:val="21"/>
      <w:lang w:val="en-US" w:eastAsia="zh-CN"/>
    </w:rPr>
  </w:style>
  <w:style w:type="character" w:customStyle="1" w:styleId="97">
    <w:name w:val="Char Char5"/>
    <w:qFormat/>
    <w:uiPriority w:val="0"/>
    <w:rPr>
      <w:rFonts w:ascii="Arial" w:hAnsi="Arial" w:eastAsia="宋体"/>
      <w:b/>
      <w:smallCaps/>
      <w:kern w:val="28"/>
      <w:sz w:val="36"/>
      <w:lang w:val="en-US" w:eastAsia="en-US"/>
    </w:rPr>
  </w:style>
  <w:style w:type="character" w:customStyle="1" w:styleId="98">
    <w:name w:val="Table Text Char Char Char Char"/>
    <w:link w:val="99"/>
    <w:qFormat/>
    <w:uiPriority w:val="0"/>
    <w:rPr>
      <w:rFonts w:ascii="Arial" w:hAnsi="Arial"/>
      <w:kern w:val="2"/>
      <w:sz w:val="18"/>
      <w:lang w:val="en-US" w:eastAsia="zh-CN" w:bidi="ar-SA"/>
    </w:rPr>
  </w:style>
  <w:style w:type="paragraph" w:customStyle="1" w:styleId="99">
    <w:name w:val="Table Text Char Char Char"/>
    <w:link w:val="98"/>
    <w:qFormat/>
    <w:uiPriority w:val="0"/>
    <w:pPr>
      <w:snapToGrid w:val="0"/>
      <w:spacing w:before="80" w:after="80"/>
    </w:pPr>
    <w:rPr>
      <w:rFonts w:ascii="Arial" w:hAnsi="Arial" w:eastAsia="宋体" w:cs="Times New Roman"/>
      <w:kern w:val="2"/>
      <w:sz w:val="18"/>
      <w:lang w:val="en-US" w:eastAsia="zh-CN" w:bidi="ar-SA"/>
    </w:rPr>
  </w:style>
  <w:style w:type="character" w:customStyle="1" w:styleId="100">
    <w:name w:val="font01"/>
    <w:basedOn w:val="63"/>
    <w:qFormat/>
    <w:uiPriority w:val="0"/>
    <w:rPr>
      <w:rFonts w:hint="default" w:ascii="Times New Roman" w:hAnsi="Times New Roman" w:cs="Times New Roman"/>
      <w:color w:val="000000"/>
      <w:sz w:val="20"/>
      <w:szCs w:val="20"/>
      <w:u w:val="none"/>
    </w:rPr>
  </w:style>
  <w:style w:type="character" w:customStyle="1" w:styleId="101">
    <w:name w:val="font101"/>
    <w:qFormat/>
    <w:uiPriority w:val="0"/>
    <w:rPr>
      <w:rFonts w:hint="default" w:ascii="Times New Roman" w:hAnsi="Times New Roman" w:cs="Times New Roman"/>
      <w:color w:val="000000"/>
      <w:sz w:val="20"/>
      <w:szCs w:val="20"/>
      <w:u w:val="none"/>
    </w:rPr>
  </w:style>
  <w:style w:type="character" w:customStyle="1" w:styleId="102">
    <w:name w:val="Table Text Char1 Char"/>
    <w:qFormat/>
    <w:uiPriority w:val="0"/>
    <w:rPr>
      <w:rFonts w:ascii="Arial" w:hAnsi="Arial"/>
      <w:kern w:val="2"/>
      <w:sz w:val="18"/>
      <w:lang w:val="en-US" w:eastAsia="zh-CN" w:bidi="ar-SA"/>
    </w:rPr>
  </w:style>
  <w:style w:type="character" w:customStyle="1" w:styleId="103">
    <w:name w:val="Char Char2"/>
    <w:qFormat/>
    <w:uiPriority w:val="0"/>
    <w:rPr>
      <w:rFonts w:eastAsia="宋体"/>
      <w:kern w:val="2"/>
      <w:sz w:val="18"/>
      <w:lang w:val="en-US" w:eastAsia="zh-CN"/>
    </w:rPr>
  </w:style>
  <w:style w:type="character" w:customStyle="1" w:styleId="104">
    <w:name w:val="标题 2 字符"/>
    <w:link w:val="4"/>
    <w:qFormat/>
    <w:uiPriority w:val="0"/>
    <w:rPr>
      <w:rFonts w:ascii="Arial" w:hAnsi="Arial" w:eastAsia="黑体"/>
      <w:b/>
      <w:kern w:val="2"/>
      <w:sz w:val="32"/>
    </w:rPr>
  </w:style>
  <w:style w:type="character" w:customStyle="1" w:styleId="105">
    <w:name w:val="font31"/>
    <w:qFormat/>
    <w:uiPriority w:val="0"/>
    <w:rPr>
      <w:rFonts w:hint="eastAsia" w:ascii="宋体" w:hAnsi="宋体" w:eastAsia="宋体" w:cs="宋体"/>
      <w:b/>
      <w:color w:val="000000"/>
      <w:sz w:val="20"/>
      <w:szCs w:val="20"/>
      <w:u w:val="none"/>
    </w:rPr>
  </w:style>
  <w:style w:type="character" w:customStyle="1" w:styleId="106">
    <w:name w:val="文字 Char"/>
    <w:link w:val="107"/>
    <w:qFormat/>
    <w:uiPriority w:val="0"/>
    <w:rPr>
      <w:rFonts w:ascii="宋体"/>
      <w:kern w:val="2"/>
      <w:sz w:val="28"/>
    </w:rPr>
  </w:style>
  <w:style w:type="paragraph" w:customStyle="1" w:styleId="107">
    <w:name w:val="文字"/>
    <w:basedOn w:val="1"/>
    <w:link w:val="106"/>
    <w:qFormat/>
    <w:uiPriority w:val="0"/>
    <w:pPr>
      <w:tabs>
        <w:tab w:val="left" w:pos="8520"/>
      </w:tabs>
      <w:spacing w:line="312" w:lineRule="auto"/>
      <w:ind w:right="-210" w:firstLine="556"/>
    </w:pPr>
    <w:rPr>
      <w:rFonts w:ascii="宋体"/>
    </w:rPr>
  </w:style>
  <w:style w:type="character" w:customStyle="1" w:styleId="108">
    <w:name w:val="标题 3 字符"/>
    <w:link w:val="5"/>
    <w:qFormat/>
    <w:uiPriority w:val="0"/>
    <w:rPr>
      <w:rFonts w:eastAsia="宋体"/>
      <w:b/>
      <w:kern w:val="2"/>
      <w:sz w:val="32"/>
      <w:lang w:val="en-US" w:eastAsia="zh-CN"/>
    </w:rPr>
  </w:style>
  <w:style w:type="character" w:customStyle="1" w:styleId="109">
    <w:name w:val="Char Char6"/>
    <w:qFormat/>
    <w:uiPriority w:val="0"/>
    <w:rPr>
      <w:rFonts w:ascii="仿宋_GB2312" w:eastAsia="仿宋_GB2312"/>
      <w:kern w:val="2"/>
      <w:sz w:val="32"/>
    </w:rPr>
  </w:style>
  <w:style w:type="character" w:customStyle="1" w:styleId="110">
    <w:name w:val="Char Char3"/>
    <w:qFormat/>
    <w:uiPriority w:val="0"/>
    <w:rPr>
      <w:rFonts w:eastAsia="宋体"/>
      <w:kern w:val="2"/>
      <w:sz w:val="18"/>
      <w:lang w:val="en-US" w:eastAsia="zh-CN"/>
    </w:rPr>
  </w:style>
  <w:style w:type="character" w:customStyle="1" w:styleId="111">
    <w:name w:val="正文文本首行缩进 2 字符"/>
    <w:basedOn w:val="87"/>
    <w:link w:val="24"/>
    <w:qFormat/>
    <w:uiPriority w:val="0"/>
    <w:rPr>
      <w:kern w:val="2"/>
      <w:sz w:val="44"/>
    </w:rPr>
  </w:style>
  <w:style w:type="character" w:customStyle="1" w:styleId="112">
    <w:name w:val="标书正文:  0.74 厘米 Char1"/>
    <w:qFormat/>
    <w:uiPriority w:val="0"/>
    <w:rPr>
      <w:rFonts w:eastAsia="宋体"/>
      <w:kern w:val="2"/>
      <w:sz w:val="24"/>
      <w:lang w:val="en-US" w:eastAsia="zh-CN"/>
    </w:rPr>
  </w:style>
  <w:style w:type="character" w:customStyle="1" w:styleId="113">
    <w:name w:val="日期 字符"/>
    <w:link w:val="34"/>
    <w:qFormat/>
    <w:uiPriority w:val="0"/>
    <w:rPr>
      <w:kern w:val="2"/>
      <w:sz w:val="28"/>
    </w:rPr>
  </w:style>
  <w:style w:type="character" w:customStyle="1" w:styleId="114">
    <w:name w:val="font1"/>
    <w:qFormat/>
    <w:uiPriority w:val="0"/>
    <w:rPr>
      <w:color w:val="000000"/>
      <w:sz w:val="18"/>
    </w:rPr>
  </w:style>
  <w:style w:type="character" w:customStyle="1" w:styleId="115">
    <w:name w:val="Char Char4"/>
    <w:qFormat/>
    <w:uiPriority w:val="0"/>
    <w:rPr>
      <w:rFonts w:eastAsia="宋体"/>
      <w:b/>
      <w:kern w:val="2"/>
      <w:sz w:val="21"/>
      <w:lang w:val="en-US" w:eastAsia="zh-CN"/>
    </w:rPr>
  </w:style>
  <w:style w:type="character" w:customStyle="1" w:styleId="116">
    <w:name w:val="top-det1"/>
    <w:qFormat/>
    <w:uiPriority w:val="0"/>
    <w:rPr>
      <w:b/>
      <w:color w:val="000000"/>
    </w:rPr>
  </w:style>
  <w:style w:type="character" w:customStyle="1" w:styleId="117">
    <w:name w:val="crowed11"/>
    <w:qFormat/>
    <w:uiPriority w:val="0"/>
    <w:rPr>
      <w:rFonts w:hint="default"/>
      <w:sz w:val="24"/>
    </w:rPr>
  </w:style>
  <w:style w:type="character" w:customStyle="1" w:styleId="118">
    <w:name w:val="H2 Char"/>
    <w:qFormat/>
    <w:uiPriority w:val="0"/>
    <w:rPr>
      <w:rFonts w:ascii="Arial" w:hAnsi="Arial" w:eastAsia="宋体"/>
      <w:kern w:val="2"/>
      <w:sz w:val="28"/>
      <w:lang w:val="en-US" w:eastAsia="zh-CN"/>
    </w:rPr>
  </w:style>
  <w:style w:type="character" w:customStyle="1" w:styleId="119">
    <w:name w:val="小 Char"/>
    <w:qFormat/>
    <w:uiPriority w:val="0"/>
    <w:rPr>
      <w:rFonts w:ascii="宋体" w:hAnsi="Courier New" w:eastAsia="宋体"/>
      <w:kern w:val="2"/>
      <w:sz w:val="21"/>
      <w:lang w:val="en-US" w:eastAsia="zh-CN" w:bidi="ar-SA"/>
    </w:rPr>
  </w:style>
  <w:style w:type="character" w:customStyle="1" w:styleId="120">
    <w:name w:val="页脚 字符"/>
    <w:link w:val="37"/>
    <w:qFormat/>
    <w:uiPriority w:val="99"/>
    <w:rPr>
      <w:kern w:val="2"/>
      <w:sz w:val="18"/>
    </w:rPr>
  </w:style>
  <w:style w:type="character" w:customStyle="1" w:styleId="121">
    <w:name w:val="font11"/>
    <w:qFormat/>
    <w:uiPriority w:val="0"/>
    <w:rPr>
      <w:rFonts w:hint="eastAsia" w:ascii="宋体" w:hAnsi="宋体" w:eastAsia="宋体" w:cs="宋体"/>
      <w:color w:val="000000"/>
      <w:sz w:val="20"/>
      <w:szCs w:val="20"/>
      <w:u w:val="none"/>
      <w:vertAlign w:val="superscript"/>
    </w:rPr>
  </w:style>
  <w:style w:type="paragraph" w:customStyle="1" w:styleId="122">
    <w:name w:val="样式 正文缩进正文（首行缩进两字）表正文正文非缩进特点标题4段1 + 首行缩进:  2 字符"/>
    <w:basedOn w:val="16"/>
    <w:qFormat/>
    <w:uiPriority w:val="0"/>
    <w:pPr>
      <w:ind w:firstLine="480" w:firstLineChars="200"/>
    </w:pPr>
  </w:style>
  <w:style w:type="paragraph" w:customStyle="1" w:styleId="123">
    <w:name w:val="xl53"/>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kern w:val="0"/>
      <w:sz w:val="24"/>
    </w:rPr>
  </w:style>
  <w:style w:type="paragraph" w:customStyle="1" w:styleId="124">
    <w:name w:val="修订1"/>
    <w:qFormat/>
    <w:uiPriority w:val="0"/>
    <w:rPr>
      <w:rFonts w:ascii="Calibri" w:hAnsi="Calibri" w:eastAsia="宋体" w:cs="Times New Roman"/>
      <w:kern w:val="2"/>
      <w:sz w:val="21"/>
      <w:lang w:val="en-US" w:eastAsia="zh-CN" w:bidi="ar-SA"/>
    </w:rPr>
  </w:style>
  <w:style w:type="paragraph" w:customStyle="1" w:styleId="125">
    <w:name w:val="正文（首行不缩进）"/>
    <w:basedOn w:val="1"/>
    <w:qFormat/>
    <w:uiPriority w:val="0"/>
    <w:pPr>
      <w:autoSpaceDE w:val="0"/>
      <w:autoSpaceDN w:val="0"/>
      <w:adjustRightInd w:val="0"/>
      <w:spacing w:line="360" w:lineRule="auto"/>
      <w:jc w:val="left"/>
    </w:pPr>
    <w:rPr>
      <w:kern w:val="0"/>
      <w:sz w:val="21"/>
    </w:rPr>
  </w:style>
  <w:style w:type="paragraph" w:customStyle="1" w:styleId="126">
    <w:name w:val="content"/>
    <w:basedOn w:val="1"/>
    <w:qFormat/>
    <w:uiPriority w:val="0"/>
    <w:pPr>
      <w:widowControl/>
      <w:spacing w:before="100" w:beforeAutospacing="1" w:after="100" w:afterAutospacing="1" w:line="280" w:lineRule="atLeast"/>
      <w:ind w:firstLine="375"/>
      <w:jc w:val="left"/>
    </w:pPr>
    <w:rPr>
      <w:rFonts w:ascii="宋体" w:hAnsi="宋体"/>
      <w:color w:val="000000"/>
      <w:kern w:val="0"/>
      <w:sz w:val="18"/>
    </w:rPr>
  </w:style>
  <w:style w:type="paragraph" w:customStyle="1" w:styleId="127">
    <w:name w:val="无间隔1"/>
    <w:qFormat/>
    <w:uiPriority w:val="1"/>
    <w:pPr>
      <w:jc w:val="both"/>
    </w:pPr>
    <w:rPr>
      <w:rFonts w:ascii="Calibri" w:hAnsi="Calibri" w:eastAsia="Times New Roman" w:cs="Times New Roman"/>
      <w:lang w:val="en-US" w:eastAsia="zh-CN" w:bidi="ar-SA"/>
    </w:rPr>
  </w:style>
  <w:style w:type="paragraph" w:customStyle="1" w:styleId="128">
    <w:name w:val="操作步骤"/>
    <w:basedOn w:val="1"/>
    <w:qFormat/>
    <w:uiPriority w:val="0"/>
    <w:pPr>
      <w:numPr>
        <w:ilvl w:val="0"/>
        <w:numId w:val="3"/>
      </w:numPr>
      <w:autoSpaceDE w:val="0"/>
      <w:autoSpaceDN w:val="0"/>
      <w:adjustRightInd w:val="0"/>
      <w:snapToGrid w:val="0"/>
      <w:spacing w:line="40" w:lineRule="atLeast"/>
      <w:textAlignment w:val="bottom"/>
    </w:pPr>
    <w:rPr>
      <w:rFonts w:ascii="昆仑楷体" w:eastAsia="楷体_GB2312"/>
      <w:kern w:val="0"/>
      <w:sz w:val="21"/>
    </w:rPr>
  </w:style>
  <w:style w:type="paragraph" w:customStyle="1" w:styleId="129">
    <w:name w:val="Table Paragraph"/>
    <w:basedOn w:val="1"/>
    <w:qFormat/>
    <w:uiPriority w:val="1"/>
    <w:pPr>
      <w:autoSpaceDE w:val="0"/>
      <w:autoSpaceDN w:val="0"/>
      <w:adjustRightInd w:val="0"/>
    </w:pPr>
    <w:rPr>
      <w:sz w:val="24"/>
    </w:rPr>
  </w:style>
  <w:style w:type="paragraph" w:customStyle="1" w:styleId="130">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31">
    <w:name w:val="样式5"/>
    <w:basedOn w:val="132"/>
    <w:next w:val="1"/>
    <w:qFormat/>
    <w:uiPriority w:val="0"/>
  </w:style>
  <w:style w:type="paragraph" w:customStyle="1" w:styleId="132">
    <w:name w:val="编号正文"/>
    <w:basedOn w:val="133"/>
    <w:qFormat/>
    <w:uiPriority w:val="0"/>
    <w:pPr>
      <w:snapToGrid/>
      <w:spacing w:line="360" w:lineRule="auto"/>
      <w:ind w:left="1407" w:hanging="1047"/>
      <w:jc w:val="left"/>
    </w:pPr>
    <w:rPr>
      <w:rFonts w:eastAsia="仿宋_GB2312"/>
    </w:rPr>
  </w:style>
  <w:style w:type="paragraph" w:customStyle="1" w:styleId="133">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34">
    <w:name w:val="样式10"/>
    <w:basedOn w:val="1"/>
    <w:next w:val="1"/>
    <w:qFormat/>
    <w:uiPriority w:val="0"/>
    <w:rPr>
      <w:rFonts w:ascii="Times New Roman" w:hAnsi="Times New Roman" w:eastAsia="仿宋"/>
      <w:sz w:val="24"/>
    </w:rPr>
  </w:style>
  <w:style w:type="paragraph" w:customStyle="1" w:styleId="135">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136">
    <w:name w:val="Char Char1 Char"/>
    <w:basedOn w:val="1"/>
    <w:qFormat/>
    <w:uiPriority w:val="0"/>
    <w:rPr>
      <w:rFonts w:ascii="Tahoma" w:hAnsi="Tahoma"/>
      <w:sz w:val="24"/>
      <w:szCs w:val="24"/>
    </w:rPr>
  </w:style>
  <w:style w:type="paragraph" w:customStyle="1" w:styleId="137">
    <w:name w:val="样式1xz"/>
    <w:basedOn w:val="1"/>
    <w:qFormat/>
    <w:uiPriority w:val="0"/>
    <w:pPr>
      <w:tabs>
        <w:tab w:val="left" w:pos="1050"/>
        <w:tab w:val="right" w:leader="dot" w:pos="8296"/>
      </w:tabs>
    </w:pPr>
    <w:rPr>
      <w:caps/>
      <w:spacing w:val="20"/>
      <w:sz w:val="24"/>
    </w:rPr>
  </w:style>
  <w:style w:type="paragraph" w:customStyle="1" w:styleId="138">
    <w:name w:val="_Style 19"/>
    <w:basedOn w:val="1"/>
    <w:next w:val="139"/>
    <w:qFormat/>
    <w:uiPriority w:val="0"/>
    <w:pPr>
      <w:ind w:firstLine="420" w:firstLineChars="200"/>
    </w:pPr>
    <w:rPr>
      <w:sz w:val="21"/>
      <w:szCs w:val="22"/>
    </w:rPr>
  </w:style>
  <w:style w:type="paragraph" w:customStyle="1" w:styleId="139">
    <w:name w:val="列表段落1"/>
    <w:basedOn w:val="1"/>
    <w:qFormat/>
    <w:uiPriority w:val="0"/>
    <w:pPr>
      <w:ind w:firstLine="420" w:firstLineChars="200"/>
    </w:pPr>
  </w:style>
  <w:style w:type="paragraph" w:customStyle="1" w:styleId="140">
    <w:name w:val="段 Char"/>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customStyle="1" w:styleId="141">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42">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司法正文"/>
    <w:qFormat/>
    <w:uiPriority w:val="0"/>
    <w:pPr>
      <w:widowControl w:val="0"/>
      <w:ind w:firstLine="200" w:firstLineChars="200"/>
      <w:jc w:val="both"/>
    </w:pPr>
    <w:rPr>
      <w:rFonts w:ascii="Calibri" w:hAnsi="Calibri" w:eastAsia="仿宋_GB2312" w:cs="Times New Roman"/>
      <w:sz w:val="32"/>
      <w:lang w:val="en-US" w:eastAsia="zh-CN" w:bidi="ar-SA"/>
    </w:rPr>
  </w:style>
  <w:style w:type="paragraph" w:customStyle="1" w:styleId="145">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46">
    <w:name w:val="正文文本 21"/>
    <w:basedOn w:val="1"/>
    <w:qFormat/>
    <w:uiPriority w:val="0"/>
    <w:pPr>
      <w:adjustRightInd w:val="0"/>
      <w:spacing w:before="120" w:line="360" w:lineRule="auto"/>
      <w:ind w:firstLine="480"/>
      <w:textAlignment w:val="baseline"/>
    </w:pPr>
    <w:rPr>
      <w:sz w:val="24"/>
    </w:rPr>
  </w:style>
  <w:style w:type="paragraph" w:customStyle="1" w:styleId="147">
    <w:name w:val="首行缩进"/>
    <w:basedOn w:val="1"/>
    <w:qFormat/>
    <w:uiPriority w:val="0"/>
    <w:pPr>
      <w:numPr>
        <w:ilvl w:val="0"/>
        <w:numId w:val="4"/>
      </w:numPr>
      <w:spacing w:line="360" w:lineRule="auto"/>
    </w:pPr>
    <w:rPr>
      <w:rFonts w:eastAsia="仿宋_GB2312"/>
    </w:rPr>
  </w:style>
  <w:style w:type="paragraph" w:customStyle="1" w:styleId="148">
    <w:name w:val="简单回函地址"/>
    <w:basedOn w:val="1"/>
    <w:qFormat/>
    <w:uiPriority w:val="0"/>
    <w:pPr>
      <w:adjustRightInd w:val="0"/>
      <w:snapToGrid w:val="0"/>
      <w:spacing w:line="360" w:lineRule="auto"/>
    </w:pPr>
    <w:rPr>
      <w:sz w:val="24"/>
    </w:rPr>
  </w:style>
  <w:style w:type="paragraph" w:customStyle="1" w:styleId="149">
    <w:name w:val="二级列表"/>
    <w:basedOn w:val="150"/>
    <w:next w:val="150"/>
    <w:qFormat/>
    <w:uiPriority w:val="0"/>
    <w:pPr>
      <w:tabs>
        <w:tab w:val="left" w:pos="2120"/>
      </w:tabs>
      <w:ind w:firstLine="0" w:firstLineChars="0"/>
    </w:pPr>
    <w:rPr>
      <w:b/>
    </w:rPr>
  </w:style>
  <w:style w:type="paragraph" w:customStyle="1" w:styleId="150">
    <w:name w:val="段落正文"/>
    <w:basedOn w:val="1"/>
    <w:qFormat/>
    <w:uiPriority w:val="0"/>
    <w:pPr>
      <w:spacing w:beforeLines="50" w:line="360" w:lineRule="auto"/>
      <w:ind w:firstLine="200" w:firstLineChars="200"/>
    </w:pPr>
    <w:rPr>
      <w:spacing w:val="2"/>
      <w:sz w:val="24"/>
    </w:rPr>
  </w:style>
  <w:style w:type="paragraph" w:customStyle="1" w:styleId="151">
    <w:name w:val="标题无"/>
    <w:basedOn w:val="1"/>
    <w:qFormat/>
    <w:uiPriority w:val="0"/>
    <w:pPr>
      <w:spacing w:line="360" w:lineRule="auto"/>
    </w:pPr>
    <w:rPr>
      <w:sz w:val="24"/>
    </w:rPr>
  </w:style>
  <w:style w:type="paragraph" w:customStyle="1" w:styleId="152">
    <w:name w:val="没有缩进（为图形使用）"/>
    <w:basedOn w:val="1"/>
    <w:qFormat/>
    <w:uiPriority w:val="0"/>
    <w:pPr>
      <w:spacing w:before="120" w:after="120" w:line="360" w:lineRule="auto"/>
    </w:pPr>
    <w:rPr>
      <w:sz w:val="24"/>
    </w:rPr>
  </w:style>
  <w:style w:type="paragraph" w:customStyle="1" w:styleId="153">
    <w:name w:val="正文（绿盟科技）"/>
    <w:qFormat/>
    <w:uiPriority w:val="0"/>
    <w:pPr>
      <w:spacing w:line="300" w:lineRule="auto"/>
    </w:pPr>
    <w:rPr>
      <w:rFonts w:ascii="Arial" w:hAnsi="Arial" w:eastAsia="宋体" w:cs="Times New Roman"/>
      <w:sz w:val="21"/>
      <w:szCs w:val="21"/>
      <w:lang w:val="en-US" w:eastAsia="zh-CN" w:bidi="ar-SA"/>
    </w:rPr>
  </w:style>
  <w:style w:type="paragraph" w:customStyle="1" w:styleId="154">
    <w:name w:val="正文表格"/>
    <w:basedOn w:val="1"/>
    <w:qFormat/>
    <w:uiPriority w:val="0"/>
    <w:pPr>
      <w:adjustRightInd w:val="0"/>
      <w:spacing w:before="40" w:after="40"/>
    </w:pPr>
    <w:rPr>
      <w:sz w:val="24"/>
    </w:rPr>
  </w:style>
  <w:style w:type="paragraph" w:customStyle="1" w:styleId="15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56">
    <w:name w:val="标书正文:  0.74 厘米"/>
    <w:basedOn w:val="1"/>
    <w:qFormat/>
    <w:uiPriority w:val="0"/>
    <w:pPr>
      <w:snapToGrid w:val="0"/>
      <w:spacing w:line="360" w:lineRule="auto"/>
      <w:ind w:firstLine="420"/>
    </w:pPr>
    <w:rPr>
      <w:sz w:val="24"/>
    </w:rPr>
  </w:style>
  <w:style w:type="paragraph" w:customStyle="1" w:styleId="157">
    <w:name w:val="Title - Date"/>
    <w:basedOn w:val="58"/>
    <w:next w:val="1"/>
    <w:qFormat/>
    <w:uiPriority w:val="0"/>
    <w:pPr>
      <w:spacing w:before="240" w:after="720"/>
    </w:pPr>
    <w:rPr>
      <w:sz w:val="28"/>
    </w:rPr>
  </w:style>
  <w:style w:type="paragraph" w:customStyle="1" w:styleId="158">
    <w:name w:val="样式 标题 6第五层条 + 三号 段前: 0.5 行"/>
    <w:basedOn w:val="8"/>
    <w:qFormat/>
    <w:uiPriority w:val="0"/>
    <w:pPr>
      <w:widowControl/>
      <w:adjustRightInd/>
      <w:snapToGrid/>
      <w:spacing w:beforeLines="50"/>
      <w:jc w:val="left"/>
    </w:pPr>
    <w:rPr>
      <w:snapToGrid w:val="0"/>
      <w:kern w:val="24"/>
      <w:sz w:val="28"/>
    </w:rPr>
  </w:style>
  <w:style w:type="paragraph" w:customStyle="1" w:styleId="159">
    <w:name w:val="样式11"/>
    <w:basedOn w:val="1"/>
    <w:next w:val="1"/>
    <w:qFormat/>
    <w:uiPriority w:val="0"/>
    <w:rPr>
      <w:rFonts w:ascii="Times New Roman" w:hAnsi="Times New Roman"/>
    </w:rPr>
  </w:style>
  <w:style w:type="paragraph" w:customStyle="1" w:styleId="160">
    <w:name w:val="Char Char14 Char Char"/>
    <w:basedOn w:val="1"/>
    <w:qFormat/>
    <w:uiPriority w:val="0"/>
    <w:rPr>
      <w:sz w:val="21"/>
      <w:szCs w:val="24"/>
    </w:rPr>
  </w:style>
  <w:style w:type="paragraph" w:customStyle="1" w:styleId="161">
    <w:name w:val="表头文本"/>
    <w:qFormat/>
    <w:uiPriority w:val="0"/>
    <w:pPr>
      <w:jc w:val="center"/>
    </w:pPr>
    <w:rPr>
      <w:rFonts w:ascii="Arial" w:hAnsi="Arial" w:eastAsia="宋体" w:cs="Times New Roman"/>
      <w:b/>
      <w:sz w:val="21"/>
      <w:lang w:val="en-US" w:eastAsia="zh-CN" w:bidi="ar-SA"/>
    </w:rPr>
  </w:style>
  <w:style w:type="paragraph" w:customStyle="1" w:styleId="162">
    <w:name w:val="Char Char Char Char Char Char Char"/>
    <w:basedOn w:val="1"/>
    <w:qFormat/>
    <w:uiPriority w:val="0"/>
    <w:rPr>
      <w:rFonts w:ascii="Tahoma" w:hAnsi="Tahoma"/>
      <w:sz w:val="24"/>
    </w:rPr>
  </w:style>
  <w:style w:type="paragraph" w:customStyle="1" w:styleId="163">
    <w:name w:val="xl40"/>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64">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 w:val="21"/>
    </w:rPr>
  </w:style>
  <w:style w:type="paragraph" w:customStyle="1" w:styleId="165">
    <w:name w:val="Char Char Char1 Char Char Char Char Char Char Char Char Char Char Char Char Char"/>
    <w:basedOn w:val="1"/>
    <w:qFormat/>
    <w:uiPriority w:val="0"/>
    <w:pPr>
      <w:widowControl/>
      <w:spacing w:after="160" w:line="240" w:lineRule="exact"/>
      <w:jc w:val="left"/>
    </w:pPr>
    <w:rPr>
      <w:rFonts w:ascii="Verdana" w:hAnsi="Verdana"/>
      <w:kern w:val="0"/>
      <w:sz w:val="18"/>
      <w:lang w:eastAsia="en-US"/>
    </w:rPr>
  </w:style>
  <w:style w:type="paragraph" w:customStyle="1" w:styleId="166">
    <w:name w:val="正文文本缩进 21"/>
    <w:basedOn w:val="1"/>
    <w:qFormat/>
    <w:uiPriority w:val="0"/>
    <w:pPr>
      <w:adjustRightInd w:val="0"/>
      <w:spacing w:before="120"/>
      <w:ind w:firstLine="420"/>
      <w:textAlignment w:val="baseline"/>
    </w:pPr>
    <w:rPr>
      <w:sz w:val="24"/>
    </w:rPr>
  </w:style>
  <w:style w:type="paragraph" w:customStyle="1" w:styleId="167">
    <w:name w:val="tabletex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68">
    <w:name w:val="Char Char Char Char Char Char Char Char Char Char Char Char Char"/>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169">
    <w:name w:val="样式 正文首行缩进 2 + 首行缩进:  2 字符"/>
    <w:basedOn w:val="1"/>
    <w:qFormat/>
    <w:uiPriority w:val="0"/>
    <w:pPr>
      <w:numPr>
        <w:ilvl w:val="0"/>
        <w:numId w:val="5"/>
      </w:numPr>
      <w:adjustRightInd w:val="0"/>
      <w:snapToGrid w:val="0"/>
      <w:spacing w:line="360" w:lineRule="auto"/>
    </w:pPr>
    <w:rPr>
      <w:rFonts w:ascii="Arial" w:hAnsi="Arial"/>
      <w:b/>
      <w:sz w:val="24"/>
    </w:rPr>
  </w:style>
  <w:style w:type="paragraph" w:customStyle="1" w:styleId="170">
    <w:name w:val="样式 首行缩进:  0.74 厘米"/>
    <w:basedOn w:val="1"/>
    <w:qFormat/>
    <w:uiPriority w:val="0"/>
    <w:pPr>
      <w:spacing w:line="360" w:lineRule="auto"/>
      <w:ind w:firstLine="420"/>
    </w:pPr>
    <w:rPr>
      <w:sz w:val="24"/>
    </w:rPr>
  </w:style>
  <w:style w:type="paragraph" w:customStyle="1" w:styleId="171">
    <w:name w:val="表格文本"/>
    <w:qFormat/>
    <w:uiPriority w:val="0"/>
    <w:pPr>
      <w:tabs>
        <w:tab w:val="decimal" w:pos="0"/>
      </w:tabs>
    </w:pPr>
    <w:rPr>
      <w:rFonts w:ascii="Arial" w:hAnsi="Arial" w:eastAsia="宋体" w:cs="Times New Roman"/>
      <w:sz w:val="21"/>
      <w:lang w:val="en-US" w:eastAsia="zh-CN" w:bidi="ar-SA"/>
    </w:rPr>
  </w:style>
  <w:style w:type="paragraph" w:customStyle="1" w:styleId="172">
    <w:name w:val="默认段落字体 Para Char Char Char Char Char Char Char"/>
    <w:basedOn w:val="1"/>
    <w:qFormat/>
    <w:uiPriority w:val="0"/>
    <w:rPr>
      <w:rFonts w:ascii="Tahoma" w:hAnsi="Tahoma"/>
      <w:sz w:val="24"/>
    </w:rPr>
  </w:style>
  <w:style w:type="paragraph" w:customStyle="1" w:styleId="173">
    <w:name w:val="正文格式"/>
    <w:basedOn w:val="1"/>
    <w:qFormat/>
    <w:uiPriority w:val="0"/>
    <w:pPr>
      <w:widowControl/>
      <w:adjustRightInd w:val="0"/>
      <w:snapToGrid w:val="0"/>
      <w:spacing w:before="60" w:line="360" w:lineRule="auto"/>
      <w:ind w:firstLine="480" w:firstLineChars="200"/>
      <w:jc w:val="left"/>
      <w:textAlignment w:val="baseline"/>
    </w:pPr>
    <w:rPr>
      <w:rFonts w:ascii="宋体" w:hAnsi="宋体"/>
      <w:color w:val="000000"/>
      <w:kern w:val="0"/>
      <w:sz w:val="24"/>
    </w:rPr>
  </w:style>
  <w:style w:type="paragraph" w:customStyle="1" w:styleId="174">
    <w:name w:val="Char1"/>
    <w:basedOn w:val="1"/>
    <w:qFormat/>
    <w:uiPriority w:val="0"/>
    <w:rPr>
      <w:sz w:val="21"/>
    </w:rPr>
  </w:style>
  <w:style w:type="paragraph" w:customStyle="1" w:styleId="175">
    <w:name w:val="样式 标题 1 + 居中 段前: 6 磅 段后: 6 磅 行距: 1.5 倍行距"/>
    <w:basedOn w:val="3"/>
    <w:qFormat/>
    <w:uiPriority w:val="0"/>
    <w:pPr>
      <w:keepLines/>
      <w:adjustRightInd w:val="0"/>
      <w:spacing w:before="120" w:after="120" w:line="360" w:lineRule="auto"/>
      <w:jc w:val="center"/>
    </w:pPr>
    <w:rPr>
      <w:rFonts w:ascii="Times New Roman"/>
      <w:b/>
      <w:kern w:val="44"/>
      <w:sz w:val="32"/>
    </w:rPr>
  </w:style>
  <w:style w:type="paragraph" w:customStyle="1" w:styleId="176">
    <w:name w:val="Char1 Char Char Char"/>
    <w:basedOn w:val="1"/>
    <w:qFormat/>
    <w:uiPriority w:val="0"/>
    <w:rPr>
      <w:rFonts w:ascii="Tahoma" w:hAnsi="Tahoma"/>
      <w:sz w:val="30"/>
    </w:rPr>
  </w:style>
  <w:style w:type="paragraph" w:customStyle="1" w:styleId="177">
    <w:name w:val="Char Char Char Char Char"/>
    <w:basedOn w:val="1"/>
    <w:qFormat/>
    <w:uiPriority w:val="0"/>
    <w:pPr>
      <w:numPr>
        <w:ilvl w:val="0"/>
        <w:numId w:val="6"/>
      </w:numPr>
      <w:tabs>
        <w:tab w:val="left" w:pos="425"/>
        <w:tab w:val="clear" w:pos="1620"/>
      </w:tabs>
    </w:pPr>
    <w:rPr>
      <w:rFonts w:ascii="Tahoma" w:hAnsi="Tahoma"/>
      <w:sz w:val="24"/>
    </w:rPr>
  </w:style>
  <w:style w:type="paragraph" w:customStyle="1" w:styleId="178">
    <w:name w:val="Item Step in Table"/>
    <w:qFormat/>
    <w:uiPriority w:val="0"/>
    <w:pPr>
      <w:numPr>
        <w:ilvl w:val="0"/>
        <w:numId w:val="7"/>
      </w:numPr>
      <w:tabs>
        <w:tab w:val="left" w:pos="397"/>
      </w:tabs>
      <w:spacing w:before="40" w:after="40"/>
      <w:jc w:val="both"/>
    </w:pPr>
    <w:rPr>
      <w:rFonts w:ascii="Arial" w:hAnsi="Arial" w:eastAsia="宋体" w:cs="Times New Roman"/>
      <w:sz w:val="18"/>
      <w:lang w:val="en-US" w:eastAsia="zh-CN" w:bidi="ar-SA"/>
    </w:rPr>
  </w:style>
  <w:style w:type="paragraph" w:customStyle="1" w:styleId="179">
    <w:name w:val="Table Contents"/>
    <w:basedOn w:val="2"/>
    <w:qFormat/>
    <w:uiPriority w:val="0"/>
    <w:pPr>
      <w:suppressAutoHyphens/>
      <w:jc w:val="left"/>
    </w:pPr>
    <w:rPr>
      <w:rFonts w:ascii="Times New Roman" w:eastAsia="Times New Roman"/>
      <w:kern w:val="0"/>
      <w:sz w:val="24"/>
    </w:rPr>
  </w:style>
  <w:style w:type="paragraph" w:customStyle="1" w:styleId="180">
    <w:name w:val="标题2"/>
    <w:basedOn w:val="4"/>
    <w:qFormat/>
    <w:uiPriority w:val="0"/>
    <w:pPr>
      <w:keepNext w:val="0"/>
      <w:keepLines w:val="0"/>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181">
    <w:name w:val="List Paragraph11"/>
    <w:basedOn w:val="1"/>
    <w:qFormat/>
    <w:uiPriority w:val="0"/>
    <w:pPr>
      <w:ind w:firstLine="420" w:firstLineChars="200"/>
    </w:pPr>
    <w:rPr>
      <w:rFonts w:ascii="等线" w:hAnsi="等线" w:eastAsia="等线"/>
      <w:sz w:val="21"/>
      <w:szCs w:val="22"/>
    </w:rPr>
  </w:style>
  <w:style w:type="paragraph" w:customStyle="1" w:styleId="182">
    <w:name w:val="附录3"/>
    <w:basedOn w:val="1"/>
    <w:next w:val="1"/>
    <w:qFormat/>
    <w:uiPriority w:val="0"/>
    <w:pPr>
      <w:tabs>
        <w:tab w:val="left" w:pos="851"/>
      </w:tabs>
      <w:ind w:left="425" w:hanging="425"/>
      <w:outlineLvl w:val="2"/>
    </w:pPr>
    <w:rPr>
      <w:rFonts w:eastAsia="黑体"/>
      <w:b/>
      <w:sz w:val="32"/>
    </w:rPr>
  </w:style>
  <w:style w:type="paragraph" w:customStyle="1" w:styleId="183">
    <w:name w:val="标题3——2"/>
    <w:basedOn w:val="5"/>
    <w:next w:val="60"/>
    <w:qFormat/>
    <w:uiPriority w:val="0"/>
    <w:pPr>
      <w:tabs>
        <w:tab w:val="left" w:pos="1280"/>
        <w:tab w:val="right" w:leader="dot" w:pos="8777"/>
      </w:tabs>
      <w:spacing w:beforeLines="100" w:after="0" w:line="240" w:lineRule="auto"/>
      <w:ind w:left="851" w:hanging="851"/>
      <w:outlineLvl w:val="9"/>
    </w:pPr>
    <w:rPr>
      <w:rFonts w:ascii="黑体" w:hAnsi="宋体" w:eastAsia="黑体"/>
      <w:sz w:val="30"/>
    </w:rPr>
  </w:style>
  <w:style w:type="paragraph" w:customStyle="1" w:styleId="184">
    <w:name w:val="项目"/>
    <w:basedOn w:val="1"/>
    <w:qFormat/>
    <w:uiPriority w:val="0"/>
    <w:pPr>
      <w:tabs>
        <w:tab w:val="left" w:pos="1280"/>
      </w:tabs>
      <w:spacing w:before="120" w:after="120" w:line="360" w:lineRule="auto"/>
      <w:ind w:left="-7" w:firstLine="567"/>
      <w:jc w:val="left"/>
      <w:textAlignment w:val="baseline"/>
    </w:pPr>
    <w:rPr>
      <w:rFonts w:ascii="宋体"/>
      <w:kern w:val="0"/>
      <w:sz w:val="24"/>
    </w:rPr>
  </w:style>
  <w:style w:type="paragraph" w:customStyle="1" w:styleId="185">
    <w:name w:val="表号"/>
    <w:basedOn w:val="1"/>
    <w:qFormat/>
    <w:uiPriority w:val="0"/>
    <w:pPr>
      <w:numPr>
        <w:ilvl w:val="0"/>
        <w:numId w:val="8"/>
      </w:numPr>
      <w:tabs>
        <w:tab w:val="left" w:pos="648"/>
        <w:tab w:val="clear" w:pos="360"/>
      </w:tabs>
      <w:autoSpaceDE w:val="0"/>
      <w:autoSpaceDN w:val="0"/>
      <w:adjustRightInd w:val="0"/>
      <w:spacing w:before="210" w:after="210"/>
      <w:ind w:left="425" w:hanging="137"/>
      <w:jc w:val="center"/>
    </w:pPr>
    <w:rPr>
      <w:kern w:val="0"/>
      <w:sz w:val="21"/>
      <w:lang w:eastAsia="en-US"/>
    </w:rPr>
  </w:style>
  <w:style w:type="paragraph" w:customStyle="1" w:styleId="186">
    <w:name w:val="List Paragraph1"/>
    <w:basedOn w:val="1"/>
    <w:qFormat/>
    <w:uiPriority w:val="0"/>
    <w:pPr>
      <w:ind w:firstLine="420" w:firstLineChars="200"/>
    </w:pPr>
    <w:rPr>
      <w:sz w:val="21"/>
      <w:szCs w:val="22"/>
    </w:rPr>
  </w:style>
  <w:style w:type="paragraph" w:customStyle="1" w:styleId="187">
    <w:name w:val="af"/>
    <w:basedOn w:val="1"/>
    <w:qFormat/>
    <w:uiPriority w:val="0"/>
    <w:pPr>
      <w:widowControl/>
      <w:spacing w:line="300" w:lineRule="atLeast"/>
      <w:jc w:val="left"/>
    </w:pPr>
    <w:rPr>
      <w:rFonts w:ascii="宋体" w:hAnsi="宋体"/>
      <w:kern w:val="0"/>
      <w:sz w:val="18"/>
    </w:rPr>
  </w:style>
  <w:style w:type="paragraph" w:customStyle="1" w:styleId="188">
    <w:name w:val="样式8"/>
    <w:basedOn w:val="1"/>
    <w:next w:val="1"/>
    <w:qFormat/>
    <w:uiPriority w:val="0"/>
    <w:rPr>
      <w:rFonts w:ascii="Times New Roman" w:hAnsi="Times New Roman" w:eastAsia="仿宋"/>
      <w:sz w:val="24"/>
    </w:rPr>
  </w:style>
  <w:style w:type="paragraph" w:customStyle="1" w:styleId="189">
    <w:name w:val="bt"/>
    <w:basedOn w:val="1"/>
    <w:next w:val="2"/>
    <w:qFormat/>
    <w:uiPriority w:val="0"/>
    <w:pPr>
      <w:overflowPunct w:val="0"/>
      <w:autoSpaceDE w:val="0"/>
      <w:autoSpaceDN w:val="0"/>
      <w:adjustRightInd w:val="0"/>
      <w:snapToGrid w:val="0"/>
      <w:spacing w:before="100" w:after="100" w:line="240" w:lineRule="atLeast"/>
      <w:ind w:left="2880" w:hanging="360"/>
      <w:textAlignment w:val="baseline"/>
    </w:pPr>
    <w:rPr>
      <w:rFonts w:ascii="宋体"/>
      <w:kern w:val="0"/>
      <w:sz w:val="20"/>
    </w:rPr>
  </w:style>
  <w:style w:type="paragraph" w:customStyle="1" w:styleId="190">
    <w:name w:val="style1"/>
    <w:basedOn w:val="1"/>
    <w:qFormat/>
    <w:uiPriority w:val="0"/>
    <w:pPr>
      <w:widowControl/>
      <w:spacing w:before="100" w:beforeAutospacing="1" w:after="100" w:afterAutospacing="1"/>
      <w:jc w:val="left"/>
    </w:pPr>
    <w:rPr>
      <w:rFonts w:ascii="宋体" w:hAnsi="宋体"/>
      <w:kern w:val="0"/>
      <w:sz w:val="21"/>
    </w:rPr>
  </w:style>
  <w:style w:type="paragraph" w:customStyle="1" w:styleId="191">
    <w:name w:val="样式 标题 1章标题Heading 0Section HeadPIM 1H1h11st levell11H1..."/>
    <w:basedOn w:val="3"/>
    <w:qFormat/>
    <w:uiPriority w:val="0"/>
    <w:pPr>
      <w:keepLines/>
      <w:pageBreakBefore/>
      <w:tabs>
        <w:tab w:val="left" w:pos="432"/>
      </w:tabs>
      <w:autoSpaceDE w:val="0"/>
      <w:autoSpaceDN w:val="0"/>
      <w:adjustRightInd w:val="0"/>
      <w:spacing w:before="340" w:after="330" w:line="578" w:lineRule="atLeast"/>
      <w:textAlignment w:val="bottom"/>
    </w:pPr>
    <w:rPr>
      <w:rFonts w:hAnsi="宋体" w:eastAsia="黑体"/>
      <w:b/>
      <w:kern w:val="44"/>
      <w:sz w:val="36"/>
    </w:rPr>
  </w:style>
  <w:style w:type="paragraph" w:customStyle="1" w:styleId="192">
    <w:name w:val="图片文字"/>
    <w:basedOn w:val="1"/>
    <w:qFormat/>
    <w:uiPriority w:val="0"/>
    <w:pPr>
      <w:spacing w:line="240" w:lineRule="atLeast"/>
      <w:jc w:val="center"/>
    </w:pPr>
    <w:rPr>
      <w:sz w:val="21"/>
    </w:rPr>
  </w:style>
  <w:style w:type="paragraph" w:customStyle="1" w:styleId="193">
    <w:name w:val="表格内文字"/>
    <w:basedOn w:val="32"/>
    <w:qFormat/>
    <w:uiPriority w:val="0"/>
    <w:pPr>
      <w:adjustRightInd w:val="0"/>
    </w:pPr>
    <w:rPr>
      <w:color w:val="000000"/>
      <w:lang w:val="en-GB"/>
    </w:rPr>
  </w:style>
  <w:style w:type="paragraph" w:customStyle="1" w:styleId="194">
    <w:name w:val="二级条标题"/>
    <w:basedOn w:val="195"/>
    <w:next w:val="197"/>
    <w:qFormat/>
    <w:uiPriority w:val="0"/>
    <w:pPr>
      <w:ind w:left="840"/>
      <w:outlineLvl w:val="3"/>
    </w:pPr>
  </w:style>
  <w:style w:type="paragraph" w:customStyle="1" w:styleId="195">
    <w:name w:val="一级条标题"/>
    <w:basedOn w:val="196"/>
    <w:next w:val="197"/>
    <w:qFormat/>
    <w:uiPriority w:val="0"/>
    <w:pPr>
      <w:numPr>
        <w:numId w:val="0"/>
      </w:numPr>
      <w:spacing w:beforeLines="0" w:afterLines="0"/>
      <w:ind w:left="525"/>
      <w:outlineLvl w:val="2"/>
    </w:pPr>
    <w:rPr>
      <w:sz w:val="21"/>
    </w:rPr>
  </w:style>
  <w:style w:type="paragraph" w:customStyle="1" w:styleId="196">
    <w:name w:val="章标题"/>
    <w:next w:val="1"/>
    <w:qFormat/>
    <w:uiPriority w:val="0"/>
    <w:pPr>
      <w:numPr>
        <w:ilvl w:val="1"/>
        <w:numId w:val="7"/>
      </w:numPr>
      <w:spacing w:beforeLines="50" w:afterLines="50"/>
      <w:ind w:left="0"/>
      <w:jc w:val="both"/>
      <w:outlineLvl w:val="1"/>
    </w:pPr>
    <w:rPr>
      <w:rFonts w:ascii="黑体" w:hAnsi="Calibri" w:eastAsia="宋体" w:cs="Times New Roman"/>
      <w:sz w:val="24"/>
      <w:lang w:val="en-US" w:eastAsia="zh-CN" w:bidi="ar-SA"/>
    </w:rPr>
  </w:style>
  <w:style w:type="paragraph" w:customStyle="1" w:styleId="197">
    <w:name w:val="段"/>
    <w:next w:val="1"/>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customStyle="1" w:styleId="198">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199">
    <w:name w:val="标题 5（有编号）（绿盟科技）"/>
    <w:basedOn w:val="1"/>
    <w:next w:val="153"/>
    <w:qFormat/>
    <w:uiPriority w:val="0"/>
    <w:pPr>
      <w:keepNext/>
      <w:keepLines/>
      <w:numPr>
        <w:ilvl w:val="4"/>
        <w:numId w:val="9"/>
      </w:numPr>
      <w:spacing w:before="280" w:after="156" w:line="377" w:lineRule="auto"/>
      <w:jc w:val="left"/>
      <w:outlineLvl w:val="4"/>
    </w:pPr>
    <w:rPr>
      <w:rFonts w:ascii="Arial" w:hAnsi="Arial" w:eastAsia="黑体"/>
      <w:b/>
      <w:kern w:val="0"/>
      <w:sz w:val="24"/>
      <w:szCs w:val="28"/>
    </w:rPr>
  </w:style>
  <w:style w:type="paragraph" w:customStyle="1" w:styleId="200">
    <w:name w:val="Char2 Char Char Char Char Char Char"/>
    <w:basedOn w:val="1"/>
    <w:qFormat/>
    <w:uiPriority w:val="0"/>
    <w:rPr>
      <w:rFonts w:ascii="仿宋_GB2312"/>
      <w:b/>
      <w:sz w:val="30"/>
    </w:rPr>
  </w:style>
  <w:style w:type="paragraph" w:customStyle="1" w:styleId="201">
    <w:name w:val="表头样式"/>
    <w:basedOn w:val="1"/>
    <w:qFormat/>
    <w:uiPriority w:val="0"/>
    <w:pPr>
      <w:autoSpaceDE w:val="0"/>
      <w:autoSpaceDN w:val="0"/>
      <w:adjustRightInd w:val="0"/>
      <w:spacing w:line="360" w:lineRule="auto"/>
      <w:jc w:val="left"/>
    </w:pPr>
    <w:rPr>
      <w:b/>
      <w:kern w:val="0"/>
      <w:sz w:val="21"/>
    </w:rPr>
  </w:style>
  <w:style w:type="paragraph" w:customStyle="1" w:styleId="202">
    <w:name w:val="文本框样式1"/>
    <w:basedOn w:val="1"/>
    <w:qFormat/>
    <w:uiPriority w:val="0"/>
    <w:pPr>
      <w:adjustRightInd w:val="0"/>
      <w:snapToGrid w:val="0"/>
      <w:spacing w:before="60" w:line="180" w:lineRule="exact"/>
      <w:jc w:val="center"/>
    </w:pPr>
    <w:rPr>
      <w:sz w:val="21"/>
    </w:rPr>
  </w:style>
  <w:style w:type="paragraph" w:customStyle="1" w:styleId="203">
    <w:name w:val="样式6"/>
    <w:basedOn w:val="1"/>
    <w:next w:val="1"/>
    <w:qFormat/>
    <w:uiPriority w:val="0"/>
    <w:rPr>
      <w:rFonts w:ascii="Times New Roman" w:hAnsi="Times New Roman"/>
    </w:rPr>
  </w:style>
  <w:style w:type="paragraph" w:customStyle="1" w:styleId="204">
    <w:name w:val="_"/>
    <w:basedOn w:val="1"/>
    <w:qFormat/>
    <w:uiPriority w:val="0"/>
    <w:pPr>
      <w:adjustRightInd w:val="0"/>
      <w:spacing w:line="360" w:lineRule="auto"/>
      <w:ind w:left="480" w:firstLine="200" w:firstLineChars="200"/>
      <w:textAlignment w:val="baseline"/>
    </w:pPr>
    <w:rPr>
      <w:kern w:val="0"/>
      <w:sz w:val="24"/>
    </w:rPr>
  </w:style>
  <w:style w:type="paragraph" w:customStyle="1" w:styleId="205">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b/>
      <w:i/>
      <w:sz w:val="24"/>
    </w:rPr>
  </w:style>
  <w:style w:type="paragraph" w:customStyle="1" w:styleId="206">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207">
    <w:name w:val="样式 样式 首行缩进:  2 字符 + 首行缩进:  2 字符"/>
    <w:basedOn w:val="1"/>
    <w:qFormat/>
    <w:uiPriority w:val="0"/>
    <w:pPr>
      <w:numPr>
        <w:ilvl w:val="0"/>
        <w:numId w:val="10"/>
      </w:numPr>
      <w:tabs>
        <w:tab w:val="clear" w:pos="1230"/>
      </w:tabs>
      <w:spacing w:line="360" w:lineRule="auto"/>
      <w:ind w:firstLine="480" w:firstLineChars="200"/>
    </w:pPr>
    <w:rPr>
      <w:sz w:val="24"/>
    </w:rPr>
  </w:style>
  <w:style w:type="paragraph" w:customStyle="1" w:styleId="208">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209">
    <w:name w:val="Table Heading"/>
    <w:qFormat/>
    <w:uiPriority w:val="0"/>
    <w:pPr>
      <w:keepNext/>
      <w:snapToGrid w:val="0"/>
      <w:spacing w:before="80" w:after="80"/>
      <w:jc w:val="center"/>
    </w:pPr>
    <w:rPr>
      <w:rFonts w:ascii="Arial" w:hAnsi="Arial" w:eastAsia="宋体" w:cs="Times New Roman"/>
      <w:sz w:val="18"/>
      <w:lang w:val="en-US" w:eastAsia="zh-CN" w:bidi="ar-SA"/>
    </w:rPr>
  </w:style>
  <w:style w:type="paragraph" w:customStyle="1" w:styleId="210">
    <w:name w:val="文本1"/>
    <w:basedOn w:val="1"/>
    <w:qFormat/>
    <w:uiPriority w:val="0"/>
    <w:pPr>
      <w:adjustRightInd w:val="0"/>
      <w:spacing w:line="312" w:lineRule="atLeast"/>
      <w:jc w:val="center"/>
      <w:textAlignment w:val="baseline"/>
    </w:pPr>
    <w:rPr>
      <w:kern w:val="0"/>
      <w:sz w:val="18"/>
    </w:rPr>
  </w:style>
  <w:style w:type="paragraph" w:customStyle="1" w:styleId="211">
    <w:name w:val="IN Feature"/>
    <w:next w:val="212"/>
    <w:qFormat/>
    <w:uiPriority w:val="0"/>
    <w:pPr>
      <w:keepNext/>
      <w:keepLines/>
      <w:spacing w:before="240" w:after="240"/>
      <w:outlineLvl w:val="7"/>
    </w:pPr>
    <w:rPr>
      <w:rFonts w:ascii="Arial" w:hAnsi="Arial" w:eastAsia="宋体" w:cs="Times New Roman"/>
      <w:sz w:val="21"/>
      <w:lang w:val="en-US" w:eastAsia="zh-CN" w:bidi="ar-SA"/>
    </w:rPr>
  </w:style>
  <w:style w:type="paragraph" w:customStyle="1" w:styleId="212">
    <w:name w:val="IN Step"/>
    <w:basedOn w:val="1"/>
    <w:qFormat/>
    <w:uiPriority w:val="0"/>
    <w:pPr>
      <w:keepLines/>
      <w:widowControl/>
      <w:tabs>
        <w:tab w:val="left" w:pos="1134"/>
      </w:tabs>
      <w:spacing w:before="80" w:after="80" w:line="300" w:lineRule="auto"/>
      <w:ind w:left="1134" w:hanging="907"/>
      <w:outlineLvl w:val="8"/>
    </w:pPr>
    <w:rPr>
      <w:rFonts w:ascii="Arial" w:hAnsi="Arial"/>
      <w:kern w:val="0"/>
      <w:sz w:val="21"/>
    </w:rPr>
  </w:style>
  <w:style w:type="paragraph" w:customStyle="1" w:styleId="213">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214">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215">
    <w:name w:val="正文字缩2字"/>
    <w:basedOn w:val="1"/>
    <w:qFormat/>
    <w:uiPriority w:val="0"/>
    <w:pPr>
      <w:spacing w:before="60" w:after="60" w:line="360" w:lineRule="auto"/>
      <w:ind w:left="200" w:leftChars="200" w:firstLine="200" w:firstLineChars="200"/>
    </w:pPr>
    <w:rPr>
      <w:sz w:val="24"/>
    </w:rPr>
  </w:style>
  <w:style w:type="paragraph" w:customStyle="1" w:styleId="216">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217">
    <w:name w:val="样式4"/>
    <w:basedOn w:val="6"/>
    <w:qFormat/>
    <w:uiPriority w:val="0"/>
    <w:pPr>
      <w:adjustRightInd w:val="0"/>
      <w:snapToGrid w:val="0"/>
    </w:pPr>
  </w:style>
  <w:style w:type="paragraph" w:customStyle="1" w:styleId="218">
    <w:name w:val="样式 行距: 1.5 倍行距1"/>
    <w:basedOn w:val="1"/>
    <w:qFormat/>
    <w:uiPriority w:val="0"/>
    <w:pPr>
      <w:snapToGrid w:val="0"/>
    </w:pPr>
    <w:rPr>
      <w:sz w:val="21"/>
    </w:rPr>
  </w:style>
  <w:style w:type="paragraph" w:customStyle="1" w:styleId="219">
    <w:name w:val="Char"/>
    <w:basedOn w:val="1"/>
    <w:qFormat/>
    <w:uiPriority w:val="0"/>
    <w:pPr>
      <w:spacing w:line="240" w:lineRule="atLeast"/>
      <w:ind w:left="420" w:firstLine="420"/>
    </w:pPr>
    <w:rPr>
      <w:kern w:val="0"/>
      <w:sz w:val="21"/>
    </w:rPr>
  </w:style>
  <w:style w:type="paragraph" w:customStyle="1" w:styleId="220">
    <w:name w:val="样式1"/>
    <w:basedOn w:val="6"/>
    <w:qFormat/>
    <w:uiPriority w:val="0"/>
    <w:pPr>
      <w:tabs>
        <w:tab w:val="left" w:pos="720"/>
      </w:tabs>
      <w:spacing w:before="500" w:after="260" w:line="560" w:lineRule="atLeast"/>
      <w:ind w:left="420" w:hanging="420"/>
    </w:pPr>
  </w:style>
  <w:style w:type="paragraph" w:customStyle="1" w:styleId="221">
    <w:name w:val="标准正文"/>
    <w:basedOn w:val="23"/>
    <w:qFormat/>
    <w:uiPriority w:val="0"/>
    <w:pPr>
      <w:spacing w:before="60" w:after="60" w:line="360" w:lineRule="auto"/>
      <w:ind w:left="0" w:firstLine="482"/>
    </w:pPr>
    <w:rPr>
      <w:rFonts w:ascii="Arial" w:hAnsi="Arial"/>
      <w:sz w:val="24"/>
    </w:rPr>
  </w:style>
  <w:style w:type="paragraph" w:customStyle="1" w:styleId="222">
    <w:name w:val="Char Char Char Char"/>
    <w:basedOn w:val="1"/>
    <w:qFormat/>
    <w:uiPriority w:val="0"/>
    <w:pPr>
      <w:pageBreakBefore/>
      <w:widowControl/>
      <w:spacing w:after="160" w:line="240" w:lineRule="exact"/>
      <w:jc w:val="left"/>
    </w:pPr>
    <w:rPr>
      <w:rFonts w:ascii="Verdana" w:hAnsi="Verdana"/>
      <w:kern w:val="0"/>
      <w:sz w:val="20"/>
      <w:lang w:eastAsia="en-US"/>
    </w:rPr>
  </w:style>
  <w:style w:type="paragraph" w:customStyle="1" w:styleId="223">
    <w:name w:val="Item List"/>
    <w:qFormat/>
    <w:uiPriority w:val="0"/>
    <w:pPr>
      <w:numPr>
        <w:ilvl w:val="0"/>
        <w:numId w:val="11"/>
      </w:numPr>
      <w:spacing w:line="300" w:lineRule="auto"/>
      <w:jc w:val="both"/>
    </w:pPr>
    <w:rPr>
      <w:rFonts w:ascii="Arial" w:hAnsi="Arial" w:eastAsia="宋体" w:cs="Times New Roman"/>
      <w:sz w:val="21"/>
      <w:lang w:val="en-US" w:eastAsia="zh-CN" w:bidi="ar-SA"/>
    </w:rPr>
  </w:style>
  <w:style w:type="paragraph" w:customStyle="1" w:styleId="224">
    <w:name w:val="Figure Description"/>
    <w:next w:val="1"/>
    <w:qFormat/>
    <w:uiPriority w:val="0"/>
    <w:pPr>
      <w:snapToGrid w:val="0"/>
      <w:spacing w:before="80" w:after="320"/>
      <w:ind w:left="1134"/>
      <w:jc w:val="center"/>
    </w:pPr>
    <w:rPr>
      <w:rFonts w:ascii="Arial" w:hAnsi="Arial" w:eastAsia="宋体" w:cs="Times New Roman"/>
      <w:sz w:val="18"/>
      <w:lang w:val="en-US" w:eastAsia="zh-CN" w:bidi="ar-SA"/>
    </w:rPr>
  </w:style>
  <w:style w:type="paragraph" w:customStyle="1" w:styleId="225">
    <w:name w:val="样式7"/>
    <w:basedOn w:val="1"/>
    <w:next w:val="1"/>
    <w:qFormat/>
    <w:uiPriority w:val="0"/>
    <w:rPr>
      <w:rFonts w:ascii="Times New Roman" w:hAnsi="Times New Roman"/>
    </w:rPr>
  </w:style>
  <w:style w:type="paragraph" w:customStyle="1" w:styleId="226">
    <w:name w:val="正文 A"/>
    <w:qFormat/>
    <w:uiPriority w:val="0"/>
    <w:pPr>
      <w:framePr w:wrap="around" w:vAnchor="margin" w:hAnchor="text" w:y="1"/>
      <w:widowControl w:val="0"/>
      <w:jc w:val="both"/>
    </w:pPr>
    <w:rPr>
      <w:rFonts w:ascii="Calibri" w:hAnsi="Calibri" w:eastAsia="Times New Roman" w:cs="Times New Roman"/>
      <w:color w:val="000000"/>
      <w:kern w:val="2"/>
      <w:sz w:val="28"/>
      <w:szCs w:val="28"/>
      <w:lang w:val="en-US" w:eastAsia="zh-CN" w:bidi="ar-SA"/>
    </w:rPr>
  </w:style>
  <w:style w:type="paragraph" w:customStyle="1" w:styleId="227">
    <w:name w:val="样式 宋体 五号 行距: 单倍行距"/>
    <w:basedOn w:val="1"/>
    <w:qFormat/>
    <w:uiPriority w:val="0"/>
    <w:pPr>
      <w:adjustRightInd w:val="0"/>
      <w:jc w:val="left"/>
    </w:pPr>
    <w:rPr>
      <w:rFonts w:ascii="宋体" w:hAnsi="宋体"/>
      <w:kern w:val="0"/>
      <w:sz w:val="21"/>
    </w:rPr>
  </w:style>
  <w:style w:type="paragraph" w:customStyle="1" w:styleId="228">
    <w:name w:val="Table Description"/>
    <w:next w:val="1"/>
    <w:qFormat/>
    <w:uiPriority w:val="0"/>
    <w:pPr>
      <w:keepNext/>
      <w:snapToGrid w:val="0"/>
      <w:spacing w:before="160" w:after="80"/>
      <w:ind w:left="1134"/>
      <w:jc w:val="center"/>
    </w:pPr>
    <w:rPr>
      <w:rFonts w:ascii="Arial" w:hAnsi="Arial" w:eastAsia="宋体" w:cs="Times New Roman"/>
      <w:sz w:val="18"/>
      <w:lang w:val="en-US" w:eastAsia="zh-CN" w:bidi="ar-SA"/>
    </w:rPr>
  </w:style>
  <w:style w:type="paragraph" w:customStyle="1" w:styleId="229">
    <w:name w:val="Char Char 字元 字元 字元 Char Char Char Char"/>
    <w:basedOn w:val="1"/>
    <w:qFormat/>
    <w:uiPriority w:val="0"/>
    <w:pPr>
      <w:adjustRightInd w:val="0"/>
      <w:spacing w:line="360" w:lineRule="auto"/>
    </w:pPr>
    <w:rPr>
      <w:kern w:val="0"/>
      <w:sz w:val="24"/>
    </w:rPr>
  </w:style>
  <w:style w:type="paragraph" w:customStyle="1" w:styleId="230">
    <w:name w:val="内容标题"/>
    <w:basedOn w:val="18"/>
    <w:qFormat/>
    <w:uiPriority w:val="0"/>
    <w:rPr>
      <w:rFonts w:ascii="Tahoma" w:hAnsi="Tahoma"/>
      <w:sz w:val="24"/>
    </w:rPr>
  </w:style>
  <w:style w:type="paragraph" w:customStyle="1" w:styleId="231">
    <w:name w:val="Char Char Char Char Char Char Char Char Char Char Char Char Char Char Char Char"/>
    <w:basedOn w:val="1"/>
    <w:qFormat/>
    <w:uiPriority w:val="0"/>
    <w:pPr>
      <w:tabs>
        <w:tab w:val="left" w:pos="360"/>
      </w:tabs>
    </w:pPr>
    <w:rPr>
      <w:sz w:val="24"/>
    </w:rPr>
  </w:style>
  <w:style w:type="paragraph" w:customStyle="1" w:styleId="232">
    <w:name w:val="附录4"/>
    <w:basedOn w:val="1"/>
    <w:next w:val="1"/>
    <w:qFormat/>
    <w:uiPriority w:val="0"/>
    <w:pPr>
      <w:widowControl/>
      <w:tabs>
        <w:tab w:val="left" w:pos="1134"/>
      </w:tabs>
      <w:spacing w:line="300" w:lineRule="auto"/>
      <w:ind w:left="1361" w:hanging="1361"/>
      <w:outlineLvl w:val="3"/>
    </w:pPr>
    <w:rPr>
      <w:rFonts w:ascii="Arial" w:hAnsi="Arial" w:eastAsia="黑体"/>
      <w:kern w:val="0"/>
    </w:rPr>
  </w:style>
  <w:style w:type="paragraph" w:customStyle="1" w:styleId="233">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34">
    <w:name w:val="图例"/>
    <w:basedOn w:val="1"/>
    <w:qFormat/>
    <w:uiPriority w:val="0"/>
    <w:pPr>
      <w:spacing w:before="120" w:after="120" w:line="360" w:lineRule="auto"/>
      <w:jc w:val="center"/>
    </w:pPr>
    <w:rPr>
      <w:rFonts w:eastAsia="仿宋_GB2312"/>
      <w:b/>
      <w:sz w:val="24"/>
    </w:rPr>
  </w:style>
  <w:style w:type="paragraph" w:customStyle="1" w:styleId="235">
    <w:name w:val="00"/>
    <w:basedOn w:val="1"/>
    <w:qFormat/>
    <w:uiPriority w:val="0"/>
    <w:pPr>
      <w:autoSpaceDE w:val="0"/>
      <w:autoSpaceDN w:val="0"/>
      <w:adjustRightInd w:val="0"/>
      <w:jc w:val="left"/>
    </w:pPr>
    <w:rPr>
      <w:rFonts w:ascii="黑体" w:eastAsia="黑体"/>
      <w:b/>
      <w:kern w:val="0"/>
      <w:sz w:val="20"/>
    </w:rPr>
  </w:style>
  <w:style w:type="paragraph" w:customStyle="1" w:styleId="236">
    <w:name w:val="Char1 Char Char Char1"/>
    <w:basedOn w:val="1"/>
    <w:qFormat/>
    <w:uiPriority w:val="0"/>
    <w:rPr>
      <w:rFonts w:ascii="Tahoma" w:hAnsi="Tahoma"/>
      <w:sz w:val="24"/>
    </w:rPr>
  </w:style>
  <w:style w:type="paragraph" w:customStyle="1" w:styleId="237">
    <w:name w:val="表文字"/>
    <w:qFormat/>
    <w:uiPriority w:val="0"/>
    <w:rPr>
      <w:rFonts w:ascii="宋体" w:hAnsi="Calibri" w:eastAsia="宋体" w:cs="Times New Roman"/>
      <w:kern w:val="2"/>
      <w:lang w:val="en-US" w:eastAsia="zh-CN" w:bidi="ar-SA"/>
    </w:rPr>
  </w:style>
  <w:style w:type="paragraph" w:customStyle="1" w:styleId="238">
    <w:name w:val="正文4"/>
    <w:basedOn w:val="1"/>
    <w:qFormat/>
    <w:uiPriority w:val="0"/>
    <w:pPr>
      <w:tabs>
        <w:tab w:val="left" w:pos="1275"/>
      </w:tabs>
      <w:spacing w:before="60" w:after="60" w:line="360" w:lineRule="auto"/>
      <w:ind w:left="820" w:leftChars="400" w:hanging="705"/>
    </w:pPr>
    <w:rPr>
      <w:sz w:val="24"/>
    </w:rPr>
  </w:style>
  <w:style w:type="paragraph" w:customStyle="1" w:styleId="239">
    <w:name w:val="可研正文"/>
    <w:basedOn w:val="2"/>
    <w:qFormat/>
    <w:uiPriority w:val="0"/>
    <w:pPr>
      <w:adjustRightInd w:val="0"/>
      <w:snapToGrid w:val="0"/>
      <w:spacing w:line="440" w:lineRule="exact"/>
      <w:ind w:firstLine="567"/>
    </w:pPr>
    <w:rPr>
      <w:sz w:val="28"/>
    </w:rPr>
  </w:style>
  <w:style w:type="paragraph" w:customStyle="1" w:styleId="240">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241">
    <w:name w:val="正文 + 三号"/>
    <w:basedOn w:val="1"/>
    <w:qFormat/>
    <w:uiPriority w:val="0"/>
    <w:rPr>
      <w:sz w:val="21"/>
    </w:rPr>
  </w:style>
  <w:style w:type="paragraph" w:customStyle="1" w:styleId="242">
    <w:name w:val="样式3"/>
    <w:basedOn w:val="3"/>
    <w:next w:val="3"/>
    <w:qFormat/>
    <w:uiPriority w:val="0"/>
    <w:pPr>
      <w:keepLines/>
      <w:adjustRightInd w:val="0"/>
      <w:spacing w:before="340" w:after="330" w:line="576" w:lineRule="auto"/>
    </w:pPr>
    <w:rPr>
      <w:rFonts w:ascii="Times New Roman" w:eastAsia="黑体"/>
      <w:b/>
      <w:kern w:val="44"/>
      <w:sz w:val="44"/>
    </w:rPr>
  </w:style>
  <w:style w:type="paragraph" w:customStyle="1" w:styleId="243">
    <w:name w:val="列表项目"/>
    <w:basedOn w:val="1"/>
    <w:qFormat/>
    <w:uiPriority w:val="0"/>
    <w:pPr>
      <w:numPr>
        <w:ilvl w:val="0"/>
        <w:numId w:val="12"/>
      </w:numPr>
      <w:tabs>
        <w:tab w:val="left" w:pos="420"/>
        <w:tab w:val="clear" w:pos="1200"/>
      </w:tabs>
      <w:spacing w:line="288" w:lineRule="auto"/>
      <w:ind w:left="840" w:leftChars="200" w:hanging="420" w:hangingChars="200"/>
    </w:pPr>
    <w:rPr>
      <w:sz w:val="21"/>
    </w:rPr>
  </w:style>
  <w:style w:type="paragraph" w:customStyle="1" w:styleId="244">
    <w:name w:val="标题1"/>
    <w:basedOn w:val="1"/>
    <w:next w:val="1"/>
    <w:qFormat/>
    <w:uiPriority w:val="0"/>
    <w:rPr>
      <w:rFonts w:ascii="Times New Roman" w:hAnsi="Times New Roman"/>
    </w:rPr>
  </w:style>
  <w:style w:type="paragraph" w:customStyle="1" w:styleId="245">
    <w:name w:val="xl23"/>
    <w:basedOn w:val="1"/>
    <w:qFormat/>
    <w:uiPriority w:val="0"/>
    <w:pPr>
      <w:widowControl/>
      <w:spacing w:before="100" w:beforeAutospacing="1" w:after="100" w:afterAutospacing="1" w:line="360" w:lineRule="auto"/>
      <w:textAlignment w:val="top"/>
    </w:pPr>
    <w:rPr>
      <w:kern w:val="0"/>
      <w:sz w:val="24"/>
    </w:rPr>
  </w:style>
  <w:style w:type="paragraph" w:customStyle="1" w:styleId="246">
    <w:name w:val="关键词"/>
    <w:basedOn w:val="1"/>
    <w:next w:val="1"/>
    <w:qFormat/>
    <w:uiPriority w:val="0"/>
    <w:pPr>
      <w:spacing w:line="360" w:lineRule="auto"/>
    </w:pPr>
    <w:rPr>
      <w:rFonts w:eastAsia="黑体"/>
      <w:sz w:val="20"/>
    </w:rPr>
  </w:style>
  <w:style w:type="paragraph" w:customStyle="1" w:styleId="247">
    <w:name w:val="Char Char Char Char Char Char Char1"/>
    <w:basedOn w:val="18"/>
    <w:qFormat/>
    <w:uiPriority w:val="0"/>
    <w:rPr>
      <w:rFonts w:ascii="宋体" w:hAnsi="Tahoma"/>
    </w:rPr>
  </w:style>
  <w:style w:type="paragraph" w:customStyle="1" w:styleId="248">
    <w:name w:val="普通(网站)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49">
    <w:name w:val="Char Char Char Char Char Char1 Char"/>
    <w:basedOn w:val="1"/>
    <w:qFormat/>
    <w:uiPriority w:val="0"/>
    <w:pPr>
      <w:widowControl/>
      <w:spacing w:after="160" w:line="240" w:lineRule="exact"/>
      <w:jc w:val="left"/>
    </w:pPr>
    <w:rPr>
      <w:rFonts w:ascii="Verdana" w:hAnsi="Verdana"/>
      <w:kern w:val="0"/>
      <w:sz w:val="21"/>
      <w:lang w:eastAsia="en-US"/>
    </w:rPr>
  </w:style>
  <w:style w:type="paragraph" w:customStyle="1" w:styleId="250">
    <w:name w:val="Char Char1"/>
    <w:basedOn w:val="1"/>
    <w:qFormat/>
    <w:uiPriority w:val="0"/>
    <w:pPr>
      <w:widowControl/>
      <w:spacing w:after="160" w:line="240" w:lineRule="exact"/>
      <w:jc w:val="left"/>
    </w:pPr>
    <w:rPr>
      <w:rFonts w:ascii="Verdana" w:hAnsi="Verdana"/>
      <w:kern w:val="0"/>
      <w:sz w:val="20"/>
      <w:lang w:eastAsia="en-US"/>
    </w:rPr>
  </w:style>
  <w:style w:type="paragraph" w:customStyle="1" w:styleId="251">
    <w:name w:val="Char2"/>
    <w:basedOn w:val="1"/>
    <w:qFormat/>
    <w:uiPriority w:val="0"/>
    <w:pPr>
      <w:spacing w:line="240" w:lineRule="atLeast"/>
      <w:ind w:left="420" w:firstLine="420"/>
    </w:pPr>
    <w:rPr>
      <w:kern w:val="0"/>
      <w:sz w:val="21"/>
    </w:rPr>
  </w:style>
  <w:style w:type="paragraph" w:customStyle="1" w:styleId="252">
    <w:name w:val="样式12"/>
    <w:basedOn w:val="1"/>
    <w:next w:val="1"/>
    <w:qFormat/>
    <w:uiPriority w:val="0"/>
    <w:rPr>
      <w:rFonts w:ascii="Times New Roman" w:hAnsi="Times New Roman" w:eastAsia="仿宋"/>
      <w:sz w:val="24"/>
    </w:rPr>
  </w:style>
  <w:style w:type="paragraph" w:customStyle="1" w:styleId="253">
    <w:name w:val="样式2"/>
    <w:basedOn w:val="6"/>
    <w:qFormat/>
    <w:uiPriority w:val="0"/>
    <w:pPr>
      <w:numPr>
        <w:ilvl w:val="0"/>
        <w:numId w:val="13"/>
      </w:numPr>
      <w:spacing w:before="560" w:line="400" w:lineRule="exact"/>
      <w:jc w:val="center"/>
      <w:outlineLvl w:val="0"/>
    </w:pPr>
    <w:rPr>
      <w:sz w:val="44"/>
    </w:rPr>
  </w:style>
  <w:style w:type="paragraph" w:customStyle="1" w:styleId="254">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255">
    <w:name w:val="列出段落1"/>
    <w:qFormat/>
    <w:uiPriority w:val="0"/>
    <w:pPr>
      <w:framePr w:wrap="around" w:vAnchor="margin" w:hAnchor="text" w:y="1"/>
      <w:widowControl w:val="0"/>
      <w:ind w:firstLine="420"/>
      <w:jc w:val="both"/>
    </w:pPr>
    <w:rPr>
      <w:rFonts w:ascii="Calibri" w:hAnsi="Calibri" w:eastAsia="Times New Roman" w:cs="Calibri"/>
      <w:color w:val="000000"/>
      <w:kern w:val="2"/>
      <w:sz w:val="21"/>
      <w:szCs w:val="21"/>
      <w:u w:color="000000"/>
      <w:lang w:val="en-US" w:eastAsia="zh-CN" w:bidi="ar-SA"/>
    </w:rPr>
  </w:style>
  <w:style w:type="paragraph" w:customStyle="1" w:styleId="256">
    <w:name w:val="文章正文"/>
    <w:basedOn w:val="1"/>
    <w:qFormat/>
    <w:uiPriority w:val="0"/>
    <w:pPr>
      <w:ind w:firstLine="560" w:firstLineChars="200"/>
    </w:pPr>
    <w:rPr>
      <w:rFonts w:ascii="仿宋_GB2312" w:hAnsi="宋体" w:eastAsia="仿宋_GB2312"/>
      <w:color w:val="000000"/>
    </w:rPr>
  </w:style>
  <w:style w:type="paragraph" w:customStyle="1" w:styleId="257">
    <w:name w:val="默认段落字体 Para Char Char Char Char Char Char Char Char Char1 Char Char Char Char"/>
    <w:basedOn w:val="1"/>
    <w:qFormat/>
    <w:uiPriority w:val="0"/>
    <w:rPr>
      <w:rFonts w:ascii="Tahoma" w:hAnsi="Tahoma"/>
      <w:sz w:val="24"/>
    </w:rPr>
  </w:style>
  <w:style w:type="paragraph" w:customStyle="1" w:styleId="258">
    <w:name w:val="图标"/>
    <w:basedOn w:val="1"/>
    <w:next w:val="1"/>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rPr>
  </w:style>
  <w:style w:type="paragraph" w:customStyle="1" w:styleId="259">
    <w:name w:val="Title - Revision"/>
    <w:basedOn w:val="58"/>
    <w:qFormat/>
    <w:uiPriority w:val="0"/>
    <w:pPr>
      <w:spacing w:before="720"/>
    </w:pPr>
  </w:style>
  <w:style w:type="paragraph" w:customStyle="1" w:styleId="260">
    <w:name w:val="样式 仿宋_GB2312 首行缩进:  2 字符"/>
    <w:basedOn w:val="1"/>
    <w:qFormat/>
    <w:uiPriority w:val="0"/>
    <w:pPr>
      <w:spacing w:line="600" w:lineRule="exact"/>
      <w:ind w:firstLine="420" w:firstLineChars="150"/>
      <w:jc w:val="left"/>
    </w:pPr>
    <w:rPr>
      <w:rFonts w:ascii="仿宋_GB2312" w:hAnsi="Arial" w:eastAsia="仿宋_GB2312"/>
      <w:color w:val="000000"/>
      <w:kern w:val="0"/>
      <w:lang w:val="zh-CN"/>
    </w:rPr>
  </w:style>
  <w:style w:type="paragraph" w:customStyle="1" w:styleId="261">
    <w:name w:val="样式 样式 正文首行缩进 2 + 左  0 字符 + 首行缩进:  2.57 字符"/>
    <w:basedOn w:val="1"/>
    <w:next w:val="1"/>
    <w:qFormat/>
    <w:uiPriority w:val="0"/>
    <w:pPr>
      <w:adjustRightInd w:val="0"/>
      <w:snapToGrid w:val="0"/>
      <w:spacing w:after="120"/>
      <w:ind w:firstLine="540" w:firstLineChars="257"/>
    </w:pPr>
    <w:rPr>
      <w:sz w:val="21"/>
    </w:rPr>
  </w:style>
  <w:style w:type="paragraph" w:customStyle="1" w:styleId="262">
    <w:name w:val="Note"/>
    <w:basedOn w:val="1"/>
    <w:qFormat/>
    <w:uiPriority w:val="0"/>
    <w:pPr>
      <w:pBdr>
        <w:top w:val="single" w:color="auto" w:sz="12" w:space="3"/>
        <w:bottom w:val="single" w:color="auto" w:sz="12" w:space="3"/>
      </w:pBdr>
      <w:spacing w:line="360" w:lineRule="auto"/>
    </w:pPr>
    <w:rPr>
      <w:sz w:val="24"/>
    </w:rPr>
  </w:style>
  <w:style w:type="paragraph" w:customStyle="1" w:styleId="263">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264">
    <w:name w:val="Char Char1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265">
    <w:name w:val="样式9"/>
    <w:basedOn w:val="1"/>
    <w:next w:val="1"/>
    <w:qFormat/>
    <w:uiPriority w:val="0"/>
    <w:rPr>
      <w:rFonts w:ascii="Times New Roman" w:hAnsi="Times New Roman" w:eastAsia="仿宋"/>
      <w:sz w:val="24"/>
    </w:rPr>
  </w:style>
  <w:style w:type="paragraph" w:customStyle="1" w:styleId="266">
    <w:name w:val="首行缩进 1"/>
    <w:basedOn w:val="1"/>
    <w:qFormat/>
    <w:uiPriority w:val="0"/>
    <w:pPr>
      <w:spacing w:after="120" w:line="360" w:lineRule="auto"/>
      <w:ind w:firstLine="200" w:firstLineChars="200"/>
    </w:pPr>
    <w:rPr>
      <w:sz w:val="24"/>
    </w:rPr>
  </w:style>
  <w:style w:type="paragraph" w:customStyle="1" w:styleId="267">
    <w:name w:val="1"/>
    <w:basedOn w:val="1"/>
    <w:next w:val="32"/>
    <w:qFormat/>
    <w:uiPriority w:val="0"/>
    <w:rPr>
      <w:rFonts w:ascii="宋体" w:hAnsi="Courier New"/>
      <w:sz w:val="21"/>
    </w:rPr>
  </w:style>
  <w:style w:type="paragraph" w:customStyle="1" w:styleId="268">
    <w:name w:val="1.正文"/>
    <w:basedOn w:val="1"/>
    <w:qFormat/>
    <w:uiPriority w:val="0"/>
    <w:pPr>
      <w:spacing w:line="360" w:lineRule="auto"/>
      <w:ind w:left="540" w:leftChars="225" w:firstLine="540" w:firstLineChars="225"/>
    </w:pPr>
    <w:rPr>
      <w:sz w:val="24"/>
    </w:rPr>
  </w:style>
  <w:style w:type="paragraph" w:customStyle="1" w:styleId="269">
    <w:name w:val="Style Heading 3h3Heading 3 - oldLevel 3 HeadH3level_3PIM 3se..."/>
    <w:basedOn w:val="5"/>
    <w:qFormat/>
    <w:uiPriority w:val="0"/>
    <w:pPr>
      <w:tabs>
        <w:tab w:val="left" w:pos="709"/>
        <w:tab w:val="left" w:pos="1620"/>
      </w:tabs>
      <w:ind w:left="1620" w:hanging="360"/>
    </w:pPr>
  </w:style>
  <w:style w:type="paragraph" w:customStyle="1" w:styleId="270">
    <w:name w:val="摘要"/>
    <w:basedOn w:val="1"/>
    <w:next w:val="4"/>
    <w:qFormat/>
    <w:uiPriority w:val="0"/>
    <w:pPr>
      <w:spacing w:line="360" w:lineRule="auto"/>
    </w:pPr>
    <w:rPr>
      <w:rFonts w:eastAsia="黑体"/>
      <w:sz w:val="20"/>
    </w:rPr>
  </w:style>
  <w:style w:type="paragraph" w:customStyle="1" w:styleId="271">
    <w:name w:val="Char Char Char"/>
    <w:basedOn w:val="1"/>
    <w:qFormat/>
    <w:uiPriority w:val="0"/>
    <w:rPr>
      <w:rFonts w:ascii="Tahoma" w:hAnsi="Tahoma"/>
      <w:sz w:val="24"/>
    </w:rPr>
  </w:style>
  <w:style w:type="character" w:customStyle="1" w:styleId="272">
    <w:name w:val="font61"/>
    <w:basedOn w:val="63"/>
    <w:qFormat/>
    <w:uiPriority w:val="0"/>
    <w:rPr>
      <w:rFonts w:hint="default" w:ascii="Times New Roman" w:hAnsi="Times New Roman" w:cs="Times New Roman"/>
      <w:color w:val="000000"/>
      <w:sz w:val="18"/>
      <w:szCs w:val="18"/>
      <w:u w:val="none"/>
    </w:rPr>
  </w:style>
  <w:style w:type="character" w:customStyle="1" w:styleId="273">
    <w:name w:val="font21"/>
    <w:basedOn w:val="63"/>
    <w:qFormat/>
    <w:uiPriority w:val="0"/>
    <w:rPr>
      <w:rFonts w:hint="eastAsia" w:ascii="宋体" w:hAnsi="宋体" w:eastAsia="宋体" w:cs="宋体"/>
      <w:color w:val="000000"/>
      <w:sz w:val="18"/>
      <w:szCs w:val="18"/>
      <w:u w:val="none"/>
    </w:rPr>
  </w:style>
  <w:style w:type="character" w:customStyle="1" w:styleId="274">
    <w:name w:val="NormalCharacter"/>
    <w:qFormat/>
    <w:uiPriority w:val="0"/>
    <w:rPr>
      <w:rFonts w:ascii="宋体" w:hAnsi="Tahoma"/>
    </w:rPr>
  </w:style>
  <w:style w:type="character" w:customStyle="1" w:styleId="275">
    <w:name w:val="font71"/>
    <w:basedOn w:val="63"/>
    <w:qFormat/>
    <w:uiPriority w:val="0"/>
    <w:rPr>
      <w:rFonts w:hint="eastAsia" w:ascii="宋体" w:hAnsi="宋体" w:eastAsia="宋体" w:cs="宋体"/>
      <w:color w:val="000000"/>
      <w:sz w:val="20"/>
      <w:szCs w:val="20"/>
      <w:u w:val="none"/>
    </w:rPr>
  </w:style>
  <w:style w:type="paragraph" w:customStyle="1" w:styleId="276">
    <w:name w:val="BodyTextIndent"/>
    <w:basedOn w:val="1"/>
    <w:qFormat/>
    <w:uiPriority w:val="0"/>
    <w:pPr>
      <w:spacing w:line="700" w:lineRule="exact"/>
      <w:ind w:left="960"/>
      <w:jc w:val="both"/>
      <w:textAlignment w:val="baseline"/>
    </w:pPr>
    <w:rPr>
      <w:rFonts w:ascii="Times New Roman" w:hAnsi="Times New Roman"/>
      <w:kern w:val="2"/>
      <w:sz w:val="44"/>
      <w:lang w:val="en-US" w:eastAsia="zh-CN" w:bidi="ar-SA"/>
    </w:rPr>
  </w:style>
  <w:style w:type="paragraph" w:styleId="277">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 Company</Company>
  <Pages>62</Pages>
  <Words>5424</Words>
  <Characters>6079</Characters>
  <Lines>133</Lines>
  <Paragraphs>37</Paragraphs>
  <TotalTime>0</TotalTime>
  <ScaleCrop>false</ScaleCrop>
  <LinksUpToDate>false</LinksUpToDate>
  <CharactersWithSpaces>6175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2023-08-01T10:12:00Z</dcterms:created>
  <dc:creator>刘胜仲</dc:creator>
  <cp:lastModifiedBy>WPS_1640659495</cp:lastModifiedBy>
  <cp:lastPrinted>2023-10-20T03:01:00Z</cp:lastPrinted>
  <dcterms:modified xsi:type="dcterms:W3CDTF">2026-06-16T07:59:33Z</dcterms:modified>
  <dc:title>竞争性谈判文件</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SaveFontToCloudKey">
    <vt:lpwstr>7990579_cloud</vt:lpwstr>
  </property>
  <property fmtid="{D5CDD505-2E9C-101B-9397-08002B2CF9AE}" pid="4" name="ICV">
    <vt:lpwstr>2C786EC283E7467A84BC550CB3E8D08C_13</vt:lpwstr>
  </property>
  <property fmtid="{D5CDD505-2E9C-101B-9397-08002B2CF9AE}" pid="5" name="KSOTemplateDocerSaveRecord">
    <vt:lpwstr>eyJoZGlkIjoiMDhjNmU2MzVjZDFjOTgxMTIzNzQ1Nzg2ZTEwMDcwZTgiLCJ1c2VySWQiOiIxMzA3MTMwNDA3In0=</vt:lpwstr>
  </property>
</Properties>
</file>