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CDE4">
      <w:pPr>
        <w:spacing w:line="700" w:lineRule="exact"/>
        <w:jc w:val="center"/>
        <w:rPr>
          <w:rFonts w:ascii="宋体" w:hAnsi="宋体" w:cs="宋体"/>
          <w:b/>
          <w:color w:val="auto"/>
          <w:sz w:val="32"/>
          <w:szCs w:val="32"/>
          <w:highlight w:val="none"/>
        </w:rPr>
      </w:pPr>
    </w:p>
    <w:p w14:paraId="1EEEE9E5">
      <w:pPr>
        <w:pStyle w:val="9"/>
        <w:jc w:val="center"/>
        <w:rPr>
          <w:rFonts w:hint="eastAsia" w:ascii="微软雅黑" w:hAnsi="微软雅黑" w:eastAsia="微软雅黑" w:cs="微软雅黑"/>
          <w:b/>
          <w:color w:val="auto"/>
          <w:sz w:val="56"/>
          <w:szCs w:val="56"/>
          <w:highlight w:val="none"/>
        </w:rPr>
      </w:pPr>
      <w:r>
        <w:rPr>
          <w:rFonts w:hint="eastAsia" w:ascii="微软雅黑" w:hAnsi="微软雅黑" w:eastAsia="微软雅黑" w:cs="微软雅黑"/>
          <w:b/>
          <w:color w:val="auto"/>
          <w:sz w:val="64"/>
          <w:szCs w:val="64"/>
          <w:highlight w:val="none"/>
          <w:lang w:val="en-US" w:eastAsia="zh-CN"/>
        </w:rPr>
        <w:t>电子</w:t>
      </w:r>
      <w:r>
        <w:rPr>
          <w:rFonts w:hint="eastAsia" w:ascii="微软雅黑" w:hAnsi="微软雅黑" w:eastAsia="微软雅黑" w:cs="微软雅黑"/>
          <w:b/>
          <w:color w:val="auto"/>
          <w:sz w:val="64"/>
          <w:szCs w:val="64"/>
          <w:highlight w:val="none"/>
        </w:rPr>
        <w:t>竞采</w:t>
      </w:r>
    </w:p>
    <w:p w14:paraId="1D19013A">
      <w:pPr>
        <w:pStyle w:val="9"/>
        <w:jc w:val="center"/>
        <w:rPr>
          <w:rFonts w:hint="eastAsia" w:ascii="微软雅黑" w:hAnsi="微软雅黑" w:eastAsia="微软雅黑" w:cs="微软雅黑"/>
          <w:b/>
          <w:color w:val="auto"/>
          <w:sz w:val="64"/>
          <w:szCs w:val="64"/>
          <w:highlight w:val="none"/>
          <w:lang w:eastAsia="zh-CN"/>
        </w:rPr>
      </w:pPr>
      <w:r>
        <w:rPr>
          <w:rFonts w:hint="eastAsia" w:ascii="微软雅黑" w:hAnsi="微软雅黑" w:eastAsia="微软雅黑" w:cs="微软雅黑"/>
          <w:b/>
          <w:color w:val="auto"/>
          <w:sz w:val="96"/>
          <w:szCs w:val="96"/>
          <w:highlight w:val="none"/>
          <w:lang w:val="en-US" w:eastAsia="zh-CN"/>
        </w:rPr>
        <w:t>采购</w:t>
      </w:r>
      <w:r>
        <w:rPr>
          <w:rFonts w:hint="eastAsia" w:ascii="微软雅黑" w:hAnsi="微软雅黑" w:eastAsia="微软雅黑" w:cs="微软雅黑"/>
          <w:b/>
          <w:color w:val="auto"/>
          <w:sz w:val="96"/>
          <w:szCs w:val="96"/>
          <w:highlight w:val="none"/>
          <w:lang w:eastAsia="zh-CN"/>
        </w:rPr>
        <w:t>文件</w:t>
      </w:r>
    </w:p>
    <w:p w14:paraId="74E0AD2A">
      <w:pPr>
        <w:pStyle w:val="9"/>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（综 合 评 分 法）</w:t>
      </w:r>
    </w:p>
    <w:p w14:paraId="05AA5A7D">
      <w:pPr>
        <w:pStyle w:val="9"/>
        <w:rPr>
          <w:rFonts w:hint="eastAsia" w:ascii="微软雅黑" w:hAnsi="微软雅黑" w:eastAsia="微软雅黑" w:cs="微软雅黑"/>
          <w:b/>
          <w:color w:val="auto"/>
          <w:sz w:val="36"/>
          <w:szCs w:val="36"/>
          <w:highlight w:val="none"/>
        </w:rPr>
      </w:pPr>
    </w:p>
    <w:p w14:paraId="560AF5D7">
      <w:pPr>
        <w:rPr>
          <w:rFonts w:hint="eastAsia" w:ascii="微软雅黑" w:hAnsi="微软雅黑" w:eastAsia="微软雅黑" w:cs="微软雅黑"/>
          <w:color w:val="auto"/>
          <w:highlight w:val="none"/>
        </w:rPr>
      </w:pPr>
    </w:p>
    <w:p w14:paraId="495E5BB2">
      <w:pPr>
        <w:jc w:val="center"/>
        <w:rPr>
          <w:rFonts w:hint="eastAsia" w:ascii="微软雅黑" w:hAnsi="微软雅黑" w:eastAsia="微软雅黑" w:cs="微软雅黑"/>
          <w:b/>
          <w:color w:val="auto"/>
          <w:sz w:val="32"/>
          <w:szCs w:val="32"/>
          <w:highlight w:val="none"/>
        </w:rPr>
      </w:pPr>
    </w:p>
    <w:p w14:paraId="3E902DA5">
      <w:pPr>
        <w:jc w:val="center"/>
        <w:rPr>
          <w:rFonts w:hint="eastAsia" w:ascii="微软雅黑" w:hAnsi="微软雅黑" w:eastAsia="微软雅黑" w:cs="微软雅黑"/>
          <w:b/>
          <w:color w:val="auto"/>
          <w:sz w:val="32"/>
          <w:szCs w:val="32"/>
          <w:highlight w:val="none"/>
          <w:lang w:val="en-US" w:eastAsia="zh-CN"/>
        </w:rPr>
      </w:pPr>
      <w:r>
        <w:rPr>
          <w:rFonts w:hint="eastAsia" w:ascii="微软雅黑" w:hAnsi="微软雅黑" w:eastAsia="微软雅黑" w:cs="微软雅黑"/>
          <w:b/>
          <w:color w:val="auto"/>
          <w:sz w:val="32"/>
          <w:szCs w:val="32"/>
          <w:highlight w:val="none"/>
        </w:rPr>
        <w:t>项目名称：</w:t>
      </w:r>
      <w:r>
        <w:rPr>
          <w:rFonts w:hint="eastAsia" w:ascii="微软雅黑" w:hAnsi="微软雅黑" w:eastAsia="微软雅黑" w:cs="微软雅黑"/>
          <w:b/>
          <w:color w:val="auto"/>
          <w:sz w:val="32"/>
          <w:szCs w:val="32"/>
          <w:highlight w:val="none"/>
          <w:lang w:eastAsia="zh-CN"/>
        </w:rPr>
        <w:t>重庆市渝中区养老服务指导中心（重庆市渝中区福利院、重庆市渝中区社会福利中心）食材采购配送</w:t>
      </w:r>
    </w:p>
    <w:p w14:paraId="7033C58F">
      <w:pPr>
        <w:rPr>
          <w:rFonts w:hint="eastAsia" w:ascii="微软雅黑" w:hAnsi="微软雅黑" w:eastAsia="微软雅黑" w:cs="微软雅黑"/>
          <w:b/>
          <w:color w:val="auto"/>
          <w:sz w:val="36"/>
          <w:szCs w:val="36"/>
          <w:highlight w:val="none"/>
        </w:rPr>
      </w:pPr>
    </w:p>
    <w:p w14:paraId="38DF47A7">
      <w:pPr>
        <w:pStyle w:val="9"/>
        <w:rPr>
          <w:rFonts w:hint="eastAsia" w:ascii="微软雅黑" w:hAnsi="微软雅黑" w:eastAsia="微软雅黑" w:cs="微软雅黑"/>
          <w:color w:val="auto"/>
          <w:highlight w:val="none"/>
        </w:rPr>
      </w:pPr>
    </w:p>
    <w:p w14:paraId="3740A5AA">
      <w:pPr>
        <w:spacing w:line="700" w:lineRule="exact"/>
        <w:ind w:firstLine="960" w:firstLineChars="300"/>
        <w:jc w:val="center"/>
        <w:rPr>
          <w:rFonts w:hint="eastAsia" w:ascii="微软雅黑" w:hAnsi="微软雅黑" w:eastAsia="微软雅黑" w:cs="微软雅黑"/>
          <w:b/>
          <w:color w:val="auto"/>
          <w:sz w:val="32"/>
          <w:szCs w:val="32"/>
          <w:highlight w:val="none"/>
          <w:lang w:val="en-US" w:eastAsia="zh-CN"/>
        </w:rPr>
      </w:pPr>
    </w:p>
    <w:p w14:paraId="78E6095A">
      <w:pPr>
        <w:spacing w:line="700" w:lineRule="exact"/>
        <w:ind w:firstLine="960" w:firstLineChars="300"/>
        <w:jc w:val="center"/>
        <w:rPr>
          <w:rFonts w:hint="eastAsia" w:ascii="微软雅黑" w:hAnsi="微软雅黑" w:eastAsia="微软雅黑" w:cs="微软雅黑"/>
          <w:b/>
          <w:color w:val="auto"/>
          <w:sz w:val="32"/>
          <w:szCs w:val="32"/>
          <w:highlight w:val="none"/>
          <w:lang w:val="en-US" w:eastAsia="zh-CN"/>
        </w:rPr>
      </w:pPr>
      <w:r>
        <w:rPr>
          <w:rFonts w:hint="eastAsia" w:ascii="微软雅黑" w:hAnsi="微软雅黑" w:eastAsia="微软雅黑" w:cs="微软雅黑"/>
          <w:b/>
          <w:color w:val="auto"/>
          <w:sz w:val="32"/>
          <w:szCs w:val="32"/>
          <w:highlight w:val="none"/>
          <w:lang w:val="en-US" w:eastAsia="zh-CN"/>
        </w:rPr>
        <w:t xml:space="preserve">                                                    </w:t>
      </w:r>
    </w:p>
    <w:p w14:paraId="5122F785">
      <w:pPr>
        <w:spacing w:line="700" w:lineRule="exact"/>
        <w:ind w:firstLine="960" w:firstLineChars="300"/>
        <w:jc w:val="center"/>
        <w:rPr>
          <w:rFonts w:hint="eastAsia" w:ascii="微软雅黑" w:hAnsi="微软雅黑" w:eastAsia="微软雅黑" w:cs="微软雅黑"/>
          <w:b w:val="0"/>
          <w:bCs/>
          <w:color w:val="auto"/>
          <w:sz w:val="32"/>
          <w:szCs w:val="32"/>
          <w:highlight w:val="none"/>
          <w:lang w:eastAsia="zh-CN"/>
        </w:rPr>
      </w:pPr>
      <w:r>
        <w:rPr>
          <w:rFonts w:hint="eastAsia" w:ascii="微软雅黑" w:hAnsi="微软雅黑" w:eastAsia="微软雅黑" w:cs="微软雅黑"/>
          <w:b w:val="0"/>
          <w:bCs/>
          <w:color w:val="auto"/>
          <w:sz w:val="32"/>
          <w:szCs w:val="32"/>
          <w:highlight w:val="none"/>
        </w:rPr>
        <w:t>采   购   人：</w:t>
      </w:r>
      <w:r>
        <w:rPr>
          <w:rFonts w:hint="eastAsia" w:ascii="微软雅黑" w:hAnsi="微软雅黑" w:eastAsia="微软雅黑" w:cs="微软雅黑"/>
          <w:b w:val="0"/>
          <w:bCs/>
          <w:color w:val="auto"/>
          <w:sz w:val="32"/>
          <w:szCs w:val="32"/>
          <w:highlight w:val="none"/>
          <w:lang w:eastAsia="zh-CN"/>
        </w:rPr>
        <w:t>重庆市渝中区养老服务指导中心（重庆市渝</w:t>
      </w:r>
      <w:r>
        <w:rPr>
          <w:rFonts w:hint="eastAsia" w:ascii="微软雅黑" w:hAnsi="微软雅黑" w:eastAsia="微软雅黑" w:cs="微软雅黑"/>
          <w:b w:val="0"/>
          <w:bCs/>
          <w:color w:val="auto"/>
          <w:sz w:val="32"/>
          <w:szCs w:val="32"/>
          <w:highlight w:val="none"/>
          <w:lang w:val="en-US" w:eastAsia="zh-CN"/>
        </w:rPr>
        <w:t xml:space="preserve">  </w:t>
      </w:r>
      <w:r>
        <w:rPr>
          <w:rFonts w:hint="eastAsia" w:ascii="微软雅黑" w:hAnsi="微软雅黑" w:eastAsia="微软雅黑" w:cs="微软雅黑"/>
          <w:b w:val="0"/>
          <w:bCs/>
          <w:color w:val="auto"/>
          <w:sz w:val="32"/>
          <w:szCs w:val="32"/>
          <w:highlight w:val="none"/>
          <w:lang w:eastAsia="zh-CN"/>
        </w:rPr>
        <w:t>中区福利院、重庆市渝中区社会福利中心）</w:t>
      </w:r>
    </w:p>
    <w:p w14:paraId="1F616753">
      <w:pPr>
        <w:spacing w:line="700" w:lineRule="exact"/>
        <w:ind w:firstLine="960" w:firstLineChars="300"/>
        <w:jc w:val="center"/>
        <w:rPr>
          <w:rFonts w:hint="eastAsia" w:ascii="微软雅黑" w:hAnsi="微软雅黑" w:eastAsia="微软雅黑" w:cs="微软雅黑"/>
          <w:b w:val="0"/>
          <w:bCs/>
          <w:color w:val="auto"/>
          <w:sz w:val="32"/>
          <w:szCs w:val="32"/>
          <w:highlight w:val="none"/>
          <w:lang w:eastAsia="zh-CN"/>
        </w:rPr>
      </w:pPr>
      <w:r>
        <w:rPr>
          <w:rFonts w:hint="eastAsia" w:ascii="微软雅黑" w:hAnsi="微软雅黑" w:eastAsia="微软雅黑" w:cs="微软雅黑"/>
          <w:b w:val="0"/>
          <w:bCs/>
          <w:color w:val="auto"/>
          <w:sz w:val="32"/>
          <w:szCs w:val="32"/>
          <w:highlight w:val="none"/>
        </w:rPr>
        <w:t>采购代理机构：</w:t>
      </w:r>
      <w:r>
        <w:rPr>
          <w:rFonts w:hint="eastAsia" w:ascii="微软雅黑" w:hAnsi="微软雅黑" w:eastAsia="微软雅黑" w:cs="微软雅黑"/>
          <w:b w:val="0"/>
          <w:bCs/>
          <w:color w:val="auto"/>
          <w:sz w:val="32"/>
          <w:szCs w:val="32"/>
          <w:highlight w:val="none"/>
          <w:lang w:eastAsia="zh-CN"/>
        </w:rPr>
        <w:t>重庆中祥科达工程项目管理咨询有限公司</w:t>
      </w:r>
    </w:p>
    <w:p w14:paraId="2F2F8E19">
      <w:pPr>
        <w:spacing w:line="700" w:lineRule="exact"/>
        <w:jc w:val="center"/>
        <w:rPr>
          <w:rFonts w:hint="eastAsia" w:ascii="微软雅黑" w:hAnsi="微软雅黑" w:eastAsia="微软雅黑" w:cs="微软雅黑"/>
          <w:b/>
          <w:color w:val="auto"/>
          <w:sz w:val="32"/>
          <w:szCs w:val="32"/>
          <w:highlight w:val="none"/>
        </w:rPr>
      </w:pPr>
    </w:p>
    <w:p w14:paraId="4AB52B5B">
      <w:pPr>
        <w:spacing w:line="700" w:lineRule="exact"/>
        <w:jc w:val="center"/>
        <w:rPr>
          <w:rFonts w:hint="eastAsia" w:ascii="微软雅黑" w:hAnsi="微软雅黑" w:eastAsia="微软雅黑" w:cs="微软雅黑"/>
          <w:color w:val="auto"/>
          <w:highlight w:val="none"/>
          <w:lang w:val="en-US" w:eastAsia="zh-CN"/>
        </w:rPr>
        <w:sectPr>
          <w:pgSz w:w="11907" w:h="16840"/>
          <w:pgMar w:top="1134" w:right="1191" w:bottom="1134" w:left="1304" w:header="851" w:footer="992" w:gutter="0"/>
          <w:pgNumType w:start="1"/>
          <w:cols w:space="720" w:num="1"/>
          <w:docGrid w:linePitch="381" w:charSpace="-5735"/>
        </w:sectPr>
      </w:pPr>
      <w:r>
        <w:rPr>
          <w:rFonts w:hint="eastAsia" w:ascii="微软雅黑" w:hAnsi="微软雅黑" w:eastAsia="微软雅黑" w:cs="微软雅黑"/>
          <w:b w:val="0"/>
          <w:bCs/>
          <w:color w:val="auto"/>
          <w:sz w:val="32"/>
          <w:szCs w:val="32"/>
          <w:highlight w:val="none"/>
        </w:rPr>
        <w:t>二〇二</w:t>
      </w:r>
      <w:r>
        <w:rPr>
          <w:rFonts w:hint="eastAsia" w:ascii="微软雅黑" w:hAnsi="微软雅黑" w:eastAsia="微软雅黑" w:cs="微软雅黑"/>
          <w:b w:val="0"/>
          <w:bCs/>
          <w:color w:val="auto"/>
          <w:sz w:val="32"/>
          <w:szCs w:val="32"/>
          <w:highlight w:val="none"/>
          <w:lang w:val="en-US" w:eastAsia="zh-CN"/>
        </w:rPr>
        <w:t>六</w:t>
      </w:r>
      <w:r>
        <w:rPr>
          <w:rFonts w:hint="eastAsia" w:ascii="微软雅黑" w:hAnsi="微软雅黑" w:eastAsia="微软雅黑" w:cs="微软雅黑"/>
          <w:b w:val="0"/>
          <w:bCs/>
          <w:color w:val="auto"/>
          <w:sz w:val="32"/>
          <w:szCs w:val="32"/>
          <w:highlight w:val="none"/>
        </w:rPr>
        <w:t>年</w:t>
      </w:r>
      <w:r>
        <w:rPr>
          <w:rFonts w:hint="eastAsia" w:ascii="微软雅黑" w:hAnsi="微软雅黑" w:eastAsia="微软雅黑" w:cs="微软雅黑"/>
          <w:b w:val="0"/>
          <w:bCs/>
          <w:color w:val="auto"/>
          <w:sz w:val="32"/>
          <w:szCs w:val="32"/>
          <w:highlight w:val="none"/>
          <w:lang w:val="en-US" w:eastAsia="zh-CN"/>
        </w:rPr>
        <w:t>六</w:t>
      </w:r>
      <w:r>
        <w:rPr>
          <w:rFonts w:hint="eastAsia" w:ascii="微软雅黑" w:hAnsi="微软雅黑" w:eastAsia="微软雅黑" w:cs="微软雅黑"/>
          <w:b w:val="0"/>
          <w:bCs/>
          <w:color w:val="auto"/>
          <w:sz w:val="32"/>
          <w:szCs w:val="32"/>
          <w:highlight w:val="none"/>
        </w:rPr>
        <w:t>月</w:t>
      </w:r>
      <w:r>
        <w:rPr>
          <w:rFonts w:hint="eastAsia" w:ascii="微软雅黑" w:hAnsi="微软雅黑" w:eastAsia="微软雅黑" w:cs="微软雅黑"/>
          <w:b/>
          <w:color w:val="auto"/>
          <w:sz w:val="32"/>
          <w:szCs w:val="32"/>
          <w:highlight w:val="none"/>
          <w:lang w:val="en-US" w:eastAsia="zh-CN"/>
        </w:rPr>
        <w:t xml:space="preserve"> </w:t>
      </w:r>
    </w:p>
    <w:p w14:paraId="6F92156C">
      <w:pPr>
        <w:tabs>
          <w:tab w:val="left" w:pos="1185"/>
          <w:tab w:val="center" w:pos="4156"/>
          <w:tab w:val="left" w:pos="7095"/>
        </w:tabs>
        <w:spacing w:line="700" w:lineRule="exact"/>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目  录</w:t>
      </w:r>
    </w:p>
    <w:p w14:paraId="37CB278B">
      <w:pPr>
        <w:pStyle w:val="20"/>
        <w:tabs>
          <w:tab w:val="right" w:leader="dot" w:pos="8313"/>
          <w:tab w:val="clear" w:pos="8300"/>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_Toc11052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第一篇  采购公告</w:t>
      </w:r>
      <w:r>
        <w:rPr>
          <w:color w:val="auto"/>
          <w:highlight w:val="none"/>
        </w:rPr>
        <w:tab/>
      </w:r>
      <w:r>
        <w:rPr>
          <w:color w:val="auto"/>
          <w:highlight w:val="none"/>
        </w:rPr>
        <w:fldChar w:fldCharType="begin"/>
      </w:r>
      <w:r>
        <w:rPr>
          <w:color w:val="auto"/>
          <w:highlight w:val="none"/>
        </w:rPr>
        <w:instrText xml:space="preserve"> PAGEREF _Toc11052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7B70D028">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_Toc14842 </w:instrText>
      </w:r>
      <w:r>
        <w:rPr>
          <w:rFonts w:hint="eastAsia" w:ascii="宋体" w:hAnsi="宋体" w:cs="宋体"/>
          <w:bCs/>
          <w:color w:val="auto"/>
          <w:szCs w:val="24"/>
          <w:highlight w:val="none"/>
        </w:rPr>
        <w:fldChar w:fldCharType="separate"/>
      </w:r>
      <w:r>
        <w:rPr>
          <w:rFonts w:hint="eastAsia" w:ascii="宋体" w:hAnsi="宋体" w:eastAsia="宋体" w:cs="宋体"/>
          <w:bCs/>
          <w:color w:val="auto"/>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_Toc14842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bCs/>
          <w:color w:val="auto"/>
          <w:szCs w:val="24"/>
          <w:highlight w:val="none"/>
        </w:rPr>
        <w:fldChar w:fldCharType="end"/>
      </w:r>
    </w:p>
    <w:p w14:paraId="5B7155A1">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_Toc28228 </w:instrText>
      </w:r>
      <w:r>
        <w:rPr>
          <w:rFonts w:hint="eastAsia" w:ascii="宋体" w:hAnsi="宋体" w:cs="宋体"/>
          <w:bCs/>
          <w:color w:val="auto"/>
          <w:szCs w:val="24"/>
          <w:highlight w:val="none"/>
        </w:rPr>
        <w:fldChar w:fldCharType="separate"/>
      </w:r>
      <w:r>
        <w:rPr>
          <w:rFonts w:hint="eastAsia" w:ascii="宋体" w:hAnsi="宋体" w:eastAsia="宋体" w:cs="宋体"/>
          <w:bCs/>
          <w:color w:val="auto"/>
          <w:highlight w:val="none"/>
        </w:rPr>
        <w:t>第三篇  项目商务要求</w:t>
      </w:r>
      <w:r>
        <w:rPr>
          <w:color w:val="auto"/>
          <w:highlight w:val="none"/>
        </w:rPr>
        <w:tab/>
      </w:r>
      <w:r>
        <w:rPr>
          <w:color w:val="auto"/>
          <w:highlight w:val="none"/>
        </w:rPr>
        <w:fldChar w:fldCharType="begin"/>
      </w:r>
      <w:r>
        <w:rPr>
          <w:color w:val="auto"/>
          <w:highlight w:val="none"/>
        </w:rPr>
        <w:instrText xml:space="preserve"> PAGEREF _Toc28228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olor w:val="auto"/>
          <w:szCs w:val="24"/>
          <w:highlight w:val="none"/>
        </w:rPr>
        <w:fldChar w:fldCharType="end"/>
      </w:r>
    </w:p>
    <w:p w14:paraId="7354D20B">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_Toc24365 </w:instrText>
      </w:r>
      <w:r>
        <w:rPr>
          <w:rFonts w:hint="eastAsia" w:ascii="宋体" w:hAnsi="宋体" w:cs="宋体"/>
          <w:bCs/>
          <w:color w:val="auto"/>
          <w:szCs w:val="24"/>
          <w:highlight w:val="none"/>
        </w:rPr>
        <w:fldChar w:fldCharType="separate"/>
      </w:r>
      <w:r>
        <w:rPr>
          <w:rFonts w:hint="eastAsia" w:ascii="Times New Roman" w:hAnsi="Times New Roman" w:eastAsia="宋体" w:cs="宋体"/>
          <w:color w:val="auto"/>
          <w:spacing w:val="-11"/>
          <w:szCs w:val="30"/>
          <w:highlight w:val="none"/>
        </w:rPr>
        <w:t>第四篇  网上竞采程序及方法、评审标准、响应无效和</w:t>
      </w:r>
      <w:r>
        <w:rPr>
          <w:rFonts w:hint="eastAsia" w:ascii="Times New Roman" w:hAnsi="Times New Roman" w:eastAsia="宋体" w:cs="宋体"/>
          <w:color w:val="auto"/>
          <w:spacing w:val="-11"/>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_Toc24365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bCs/>
          <w:color w:val="auto"/>
          <w:szCs w:val="24"/>
          <w:highlight w:val="none"/>
        </w:rPr>
        <w:fldChar w:fldCharType="end"/>
      </w:r>
    </w:p>
    <w:p w14:paraId="213E8D9D">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_Toc24624 </w:instrText>
      </w:r>
      <w:r>
        <w:rPr>
          <w:rFonts w:hint="eastAsia" w:ascii="宋体" w:hAnsi="宋体" w:cs="宋体"/>
          <w:bCs/>
          <w:color w:val="auto"/>
          <w:szCs w:val="24"/>
          <w:highlight w:val="none"/>
        </w:rPr>
        <w:fldChar w:fldCharType="separate"/>
      </w:r>
      <w:r>
        <w:rPr>
          <w:rFonts w:hint="eastAsia" w:ascii="宋体" w:hAnsi="宋体" w:eastAsia="宋体" w:cs="宋体"/>
          <w:bCs/>
          <w:color w:val="auto"/>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_Toc24624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olor w:val="auto"/>
          <w:szCs w:val="24"/>
          <w:highlight w:val="none"/>
        </w:rPr>
        <w:fldChar w:fldCharType="end"/>
      </w:r>
    </w:p>
    <w:p w14:paraId="20E255BD">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_Toc25397 </w:instrText>
      </w:r>
      <w:r>
        <w:rPr>
          <w:rFonts w:hint="eastAsia" w:ascii="宋体" w:hAnsi="宋体" w:cs="宋体"/>
          <w:bCs/>
          <w:color w:val="auto"/>
          <w:szCs w:val="24"/>
          <w:highlight w:val="none"/>
        </w:rPr>
        <w:fldChar w:fldCharType="separate"/>
      </w:r>
      <w:r>
        <w:rPr>
          <w:rFonts w:hint="eastAsia" w:ascii="宋体" w:hAnsi="宋体" w:eastAsia="宋体" w:cs="宋体"/>
          <w:bCs/>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_Toc25397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olor w:val="auto"/>
          <w:szCs w:val="24"/>
          <w:highlight w:val="none"/>
        </w:rPr>
        <w:fldChar w:fldCharType="end"/>
      </w:r>
    </w:p>
    <w:p w14:paraId="673D1514">
      <w:pPr>
        <w:pStyle w:val="20"/>
        <w:tabs>
          <w:tab w:val="right" w:leader="dot" w:pos="8313"/>
          <w:tab w:val="clear" w:pos="8300"/>
        </w:tabs>
        <w:rPr>
          <w:color w:val="auto"/>
          <w:highlight w:val="none"/>
        </w:rPr>
      </w:pPr>
      <w:r>
        <w:rPr>
          <w:rFonts w:hint="eastAsia" w:ascii="宋体" w:hAnsi="宋体" w:cs="宋体"/>
          <w:bCs/>
          <w:color w:val="auto"/>
          <w:szCs w:val="24"/>
          <w:highlight w:val="none"/>
        </w:rPr>
        <w:fldChar w:fldCharType="begin"/>
      </w:r>
      <w:r>
        <w:rPr>
          <w:rFonts w:hint="eastAsia" w:ascii="宋体" w:hAnsi="宋体" w:cs="宋体"/>
          <w:bCs/>
          <w:color w:val="auto"/>
          <w:szCs w:val="24"/>
          <w:highlight w:val="none"/>
        </w:rPr>
        <w:instrText xml:space="preserve"> HYPERLINK \l _Toc27008 </w:instrText>
      </w:r>
      <w:r>
        <w:rPr>
          <w:rFonts w:hint="eastAsia" w:ascii="宋体" w:hAnsi="宋体" w:cs="宋体"/>
          <w:bCs/>
          <w:color w:val="auto"/>
          <w:szCs w:val="24"/>
          <w:highlight w:val="none"/>
        </w:rPr>
        <w:fldChar w:fldCharType="separate"/>
      </w:r>
      <w:r>
        <w:rPr>
          <w:rFonts w:hint="eastAsia" w:ascii="宋体" w:hAnsi="宋体" w:eastAsia="宋体" w:cs="宋体"/>
          <w:bCs/>
          <w:color w:val="auto"/>
          <w:szCs w:val="28"/>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_Toc27008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bCs/>
          <w:color w:val="auto"/>
          <w:szCs w:val="24"/>
          <w:highlight w:val="none"/>
        </w:rPr>
        <w:fldChar w:fldCharType="end"/>
      </w:r>
    </w:p>
    <w:p w14:paraId="44D1EEE1">
      <w:pPr>
        <w:spacing w:line="380" w:lineRule="exact"/>
        <w:rPr>
          <w:rFonts w:ascii="宋体" w:hAnsi="宋体" w:cs="宋体"/>
          <w:color w:val="auto"/>
          <w:sz w:val="24"/>
          <w:szCs w:val="24"/>
          <w:highlight w:val="none"/>
        </w:rPr>
        <w:sectPr>
          <w:headerReference r:id="rId4" w:type="first"/>
          <w:footerReference r:id="rId6" w:type="first"/>
          <w:headerReference r:id="rId3" w:type="default"/>
          <w:footerReference r:id="rId5"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宋体" w:hAnsi="宋体" w:cs="宋体"/>
          <w:bCs/>
          <w:color w:val="auto"/>
          <w:szCs w:val="24"/>
          <w:highlight w:val="none"/>
        </w:rPr>
        <w:fldChar w:fldCharType="end"/>
      </w:r>
    </w:p>
    <w:p w14:paraId="22650438">
      <w:pPr>
        <w:pStyle w:val="4"/>
        <w:spacing w:line="360" w:lineRule="auto"/>
        <w:jc w:val="center"/>
        <w:rPr>
          <w:rFonts w:ascii="宋体" w:hAnsi="宋体" w:eastAsia="宋体" w:cs="宋体"/>
          <w:color w:val="auto"/>
          <w:highlight w:val="none"/>
        </w:rPr>
      </w:pPr>
      <w:bookmarkStart w:id="0" w:name="_Toc152480139"/>
      <w:bookmarkStart w:id="1" w:name="_Toc11052"/>
      <w:bookmarkStart w:id="2" w:name="_Toc12789052"/>
      <w:bookmarkStart w:id="3" w:name="_Toc128744981"/>
      <w:bookmarkStart w:id="4" w:name="_Toc11641050"/>
      <w:r>
        <w:rPr>
          <w:rStyle w:val="32"/>
          <w:rFonts w:hint="eastAsia" w:ascii="宋体" w:hAnsi="宋体" w:eastAsia="宋体" w:cs="宋体"/>
          <w:b/>
          <w:bCs/>
          <w:color w:val="auto"/>
          <w:highlight w:val="none"/>
        </w:rPr>
        <w:t xml:space="preserve">第一篇  </w:t>
      </w:r>
      <w:bookmarkEnd w:id="0"/>
      <w:r>
        <w:rPr>
          <w:rStyle w:val="32"/>
          <w:rFonts w:hint="eastAsia" w:ascii="宋体" w:hAnsi="宋体" w:eastAsia="宋体" w:cs="宋体"/>
          <w:b/>
          <w:bCs/>
          <w:color w:val="auto"/>
          <w:highlight w:val="none"/>
        </w:rPr>
        <w:t>采购公告</w:t>
      </w:r>
      <w:bookmarkEnd w:id="1"/>
    </w:p>
    <w:p w14:paraId="75C4433D">
      <w:pPr>
        <w:snapToGrid w:val="0"/>
        <w:spacing w:line="360" w:lineRule="auto"/>
        <w:ind w:firstLine="480" w:firstLineChars="200"/>
        <w:rPr>
          <w:rFonts w:ascii="宋体" w:hAnsi="宋体" w:cs="宋体"/>
          <w:color w:val="auto"/>
          <w:sz w:val="24"/>
          <w:szCs w:val="24"/>
          <w:highlight w:val="none"/>
        </w:rPr>
      </w:pPr>
      <w:bookmarkStart w:id="5" w:name="_Toc379619850"/>
      <w:r>
        <w:rPr>
          <w:rFonts w:hint="eastAsia" w:ascii="宋体" w:hAnsi="宋体" w:cs="宋体"/>
          <w:color w:val="auto"/>
          <w:sz w:val="24"/>
          <w:szCs w:val="24"/>
          <w:highlight w:val="none"/>
          <w:u w:val="single"/>
          <w:lang w:eastAsia="zh-CN"/>
        </w:rPr>
        <w:t>重庆中祥科达工程项目管理咨询有限公司</w:t>
      </w:r>
      <w:r>
        <w:rPr>
          <w:rFonts w:hint="eastAsia" w:ascii="宋体" w:hAnsi="宋体" w:cs="宋体"/>
          <w:color w:val="auto"/>
          <w:sz w:val="24"/>
          <w:szCs w:val="24"/>
          <w:highlight w:val="none"/>
        </w:rPr>
        <w:t>受</w:t>
      </w:r>
      <w:r>
        <w:rPr>
          <w:rFonts w:hint="eastAsia" w:ascii="宋体" w:hAnsi="宋体" w:cs="宋体"/>
          <w:color w:val="auto"/>
          <w:sz w:val="24"/>
          <w:szCs w:val="24"/>
          <w:highlight w:val="none"/>
          <w:u w:val="single"/>
          <w:lang w:eastAsia="zh-CN"/>
        </w:rPr>
        <w:t>重庆市渝中区养老服务指导中心（重庆市渝中区福利院、重庆市渝中区社会福利中心）</w:t>
      </w:r>
      <w:r>
        <w:rPr>
          <w:rFonts w:hint="eastAsia" w:ascii="宋体" w:hAnsi="宋体" w:cs="宋体"/>
          <w:color w:val="auto"/>
          <w:sz w:val="24"/>
          <w:szCs w:val="24"/>
          <w:highlight w:val="none"/>
        </w:rPr>
        <w:t>的委托，对</w:t>
      </w:r>
      <w:r>
        <w:rPr>
          <w:rFonts w:hint="eastAsia" w:ascii="宋体" w:hAnsi="宋体" w:cs="宋体"/>
          <w:color w:val="auto"/>
          <w:sz w:val="24"/>
          <w:szCs w:val="24"/>
          <w:highlight w:val="none"/>
          <w:u w:val="single"/>
          <w:lang w:eastAsia="zh-CN"/>
        </w:rPr>
        <w:t>重庆市渝中区养老服务指导中心（重庆市渝中区福利院、重庆市渝中区社会福利中心）食材采购配送</w:t>
      </w:r>
      <w:r>
        <w:rPr>
          <w:rFonts w:hint="eastAsia" w:ascii="宋体" w:hAnsi="宋体" w:cs="宋体"/>
          <w:color w:val="auto"/>
          <w:sz w:val="24"/>
          <w:szCs w:val="24"/>
          <w:highlight w:val="none"/>
        </w:rPr>
        <w:t>项目进行采购。欢迎具备相关资质的供应商参加采购。</w:t>
      </w:r>
    </w:p>
    <w:p w14:paraId="38A41EF1">
      <w:pPr>
        <w:pStyle w:val="5"/>
        <w:numPr>
          <w:ilvl w:val="0"/>
          <w:numId w:val="2"/>
        </w:numPr>
        <w:spacing w:before="0" w:after="0" w:line="360" w:lineRule="auto"/>
        <w:rPr>
          <w:rFonts w:ascii="宋体" w:hAnsi="宋体" w:cs="宋体"/>
          <w:color w:val="auto"/>
          <w:sz w:val="24"/>
          <w:szCs w:val="24"/>
          <w:highlight w:val="none"/>
        </w:rPr>
      </w:pPr>
      <w:bookmarkStart w:id="6" w:name="_Toc24133"/>
      <w:bookmarkStart w:id="7" w:name="_Toc30804"/>
      <w:r>
        <w:rPr>
          <w:rFonts w:hint="eastAsia" w:ascii="宋体" w:hAnsi="宋体" w:cs="宋体"/>
          <w:color w:val="auto"/>
          <w:sz w:val="24"/>
          <w:szCs w:val="24"/>
          <w:highlight w:val="none"/>
        </w:rPr>
        <w:t>采购项目内容</w:t>
      </w:r>
      <w:bookmarkEnd w:id="5"/>
      <w:bookmarkEnd w:id="6"/>
      <w:bookmarkEnd w:id="7"/>
    </w:p>
    <w:tbl>
      <w:tblPr>
        <w:tblStyle w:val="23"/>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1643"/>
        <w:gridCol w:w="1739"/>
        <w:gridCol w:w="1356"/>
        <w:gridCol w:w="944"/>
        <w:gridCol w:w="2010"/>
      </w:tblGrid>
      <w:tr w14:paraId="0C3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86" w:type="dxa"/>
            <w:vAlign w:val="center"/>
          </w:tcPr>
          <w:p w14:paraId="1911B1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项目</w:t>
            </w:r>
            <w:r>
              <w:rPr>
                <w:rFonts w:hint="eastAsia" w:ascii="宋体" w:hAnsi="宋体" w:cs="宋体"/>
                <w:b/>
                <w:bCs/>
                <w:color w:val="auto"/>
                <w:kern w:val="0"/>
                <w:sz w:val="24"/>
                <w:szCs w:val="24"/>
                <w:highlight w:val="none"/>
              </w:rPr>
              <w:t>名称</w:t>
            </w:r>
          </w:p>
        </w:tc>
        <w:tc>
          <w:tcPr>
            <w:tcW w:w="1643" w:type="dxa"/>
            <w:vAlign w:val="center"/>
          </w:tcPr>
          <w:p w14:paraId="7D2660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最高限价</w:t>
            </w:r>
          </w:p>
        </w:tc>
        <w:tc>
          <w:tcPr>
            <w:tcW w:w="1739" w:type="dxa"/>
            <w:vAlign w:val="center"/>
          </w:tcPr>
          <w:p w14:paraId="08143F66">
            <w:pPr>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p w14:paraId="21DD443E">
            <w:pPr>
              <w:spacing w:line="276" w:lineRule="auto"/>
              <w:jc w:val="center"/>
              <w:rPr>
                <w:rFonts w:hint="eastAsia" w:ascii="宋体" w:hAnsi="宋体" w:cs="宋体"/>
                <w:b/>
                <w:bCs/>
                <w:color w:val="auto"/>
                <w:kern w:val="0"/>
                <w:sz w:val="24"/>
                <w:szCs w:val="24"/>
                <w:highlight w:val="none"/>
              </w:rPr>
            </w:pPr>
            <w:r>
              <w:rPr>
                <w:rFonts w:hint="eastAsia" w:ascii="宋体" w:hAnsi="宋体" w:eastAsia="宋体" w:cs="宋体"/>
                <w:b/>
                <w:bCs/>
                <w:color w:val="auto"/>
                <w:sz w:val="24"/>
                <w:szCs w:val="24"/>
                <w:highlight w:val="none"/>
              </w:rPr>
              <w:t>（折扣比例）</w:t>
            </w:r>
          </w:p>
        </w:tc>
        <w:tc>
          <w:tcPr>
            <w:tcW w:w="1356" w:type="dxa"/>
            <w:vAlign w:val="center"/>
          </w:tcPr>
          <w:p w14:paraId="1DBF4A6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成交供应商</w:t>
            </w:r>
          </w:p>
          <w:p w14:paraId="51BF1FD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944" w:type="dxa"/>
            <w:vAlign w:val="center"/>
          </w:tcPr>
          <w:p w14:paraId="0529BD0F">
            <w:pPr>
              <w:pStyle w:val="11"/>
              <w:keepNext w:val="0"/>
              <w:keepLines w:val="0"/>
              <w:pageBreakBefore w:val="0"/>
              <w:kinsoku/>
              <w:wordWrap/>
              <w:overflowPunct/>
              <w:topLinePunct w:val="0"/>
              <w:autoSpaceDE/>
              <w:autoSpaceDN/>
              <w:bidi w:val="0"/>
              <w:adjustRightInd/>
              <w:snapToGrid/>
              <w:spacing w:line="240" w:lineRule="auto"/>
              <w:ind w:left="0"/>
              <w:jc w:val="center"/>
              <w:textAlignment w:val="auto"/>
              <w:outlineLvl w:val="0"/>
              <w:rPr>
                <w:rFonts w:hint="default" w:ascii="宋体" w:hAnsi="宋体" w:eastAsia="宋体" w:cs="宋体"/>
                <w:b/>
                <w:bCs/>
                <w:color w:val="auto"/>
                <w:kern w:val="0"/>
                <w:sz w:val="24"/>
                <w:szCs w:val="24"/>
                <w:highlight w:val="none"/>
                <w:lang w:val="en-US" w:eastAsia="zh-CN"/>
              </w:rPr>
            </w:pPr>
            <w:bookmarkStart w:id="8" w:name="_Toc29667"/>
            <w:r>
              <w:rPr>
                <w:rFonts w:hint="eastAsia" w:ascii="宋体" w:hAnsi="宋体" w:cs="宋体"/>
                <w:b/>
                <w:bCs/>
                <w:color w:val="auto"/>
                <w:kern w:val="0"/>
                <w:sz w:val="24"/>
                <w:szCs w:val="24"/>
                <w:highlight w:val="none"/>
                <w:lang w:val="en-US" w:eastAsia="zh-CN"/>
              </w:rPr>
              <w:t>服务期限</w:t>
            </w:r>
            <w:bookmarkEnd w:id="8"/>
          </w:p>
        </w:tc>
        <w:tc>
          <w:tcPr>
            <w:tcW w:w="2010" w:type="dxa"/>
            <w:vAlign w:val="center"/>
          </w:tcPr>
          <w:p w14:paraId="23DBE58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采购标的对应的</w:t>
            </w:r>
          </w:p>
          <w:p w14:paraId="0CF2B7E4">
            <w:pPr>
              <w:pStyle w:val="11"/>
              <w:keepNext w:val="0"/>
              <w:keepLines w:val="0"/>
              <w:pageBreakBefore w:val="0"/>
              <w:kinsoku/>
              <w:wordWrap/>
              <w:overflowPunct/>
              <w:topLinePunct w:val="0"/>
              <w:autoSpaceDE/>
              <w:autoSpaceDN/>
              <w:bidi w:val="0"/>
              <w:adjustRightInd/>
              <w:snapToGrid/>
              <w:spacing w:line="240" w:lineRule="auto"/>
              <w:ind w:left="0"/>
              <w:jc w:val="center"/>
              <w:textAlignment w:val="auto"/>
              <w:outlineLvl w:val="0"/>
              <w:rPr>
                <w:rFonts w:ascii="宋体" w:hAnsi="宋体" w:cs="宋体"/>
                <w:b/>
                <w:bCs/>
                <w:color w:val="auto"/>
                <w:kern w:val="0"/>
                <w:sz w:val="24"/>
                <w:szCs w:val="24"/>
                <w:highlight w:val="none"/>
              </w:rPr>
            </w:pPr>
            <w:bookmarkStart w:id="9" w:name="_Toc5329"/>
            <w:r>
              <w:rPr>
                <w:rFonts w:hint="eastAsia" w:ascii="宋体" w:hAnsi="宋体" w:cs="宋体"/>
                <w:b/>
                <w:bCs/>
                <w:color w:val="auto"/>
                <w:kern w:val="0"/>
                <w:sz w:val="24"/>
                <w:szCs w:val="24"/>
                <w:highlight w:val="none"/>
              </w:rPr>
              <w:t>中小企业划分标准所属行业</w:t>
            </w:r>
            <w:bookmarkEnd w:id="9"/>
          </w:p>
        </w:tc>
      </w:tr>
      <w:tr w14:paraId="0CF9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386" w:type="dxa"/>
            <w:vAlign w:val="center"/>
          </w:tcPr>
          <w:p w14:paraId="258C8317">
            <w:pPr>
              <w:widowControl/>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重庆市渝中区养老服务指导中心（重庆市渝中区福利院、重庆市渝中区社会福利中心）食材采购配送</w:t>
            </w:r>
          </w:p>
        </w:tc>
        <w:tc>
          <w:tcPr>
            <w:tcW w:w="1643" w:type="dxa"/>
            <w:vAlign w:val="center"/>
          </w:tcPr>
          <w:p w14:paraId="0B660EEC">
            <w:pPr>
              <w:widowControl/>
              <w:spacing w:line="360" w:lineRule="auto"/>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10万元/月</w:t>
            </w:r>
          </w:p>
        </w:tc>
        <w:tc>
          <w:tcPr>
            <w:tcW w:w="1739" w:type="dxa"/>
            <w:vAlign w:val="center"/>
          </w:tcPr>
          <w:p w14:paraId="1A3BE916">
            <w:pPr>
              <w:spacing w:line="276" w:lineRule="auto"/>
              <w:jc w:val="center"/>
              <w:rPr>
                <w:rFonts w:hint="eastAsia" w:ascii="宋体" w:hAnsi="宋体" w:cs="宋体"/>
                <w:color w:val="auto"/>
                <w:kern w:val="0"/>
                <w:sz w:val="24"/>
                <w:szCs w:val="24"/>
                <w:highlight w:val="none"/>
              </w:rPr>
            </w:pPr>
            <w:r>
              <w:rPr>
                <w:rFonts w:hint="eastAsia" w:ascii="新宋体" w:hAnsi="新宋体" w:eastAsia="新宋体" w:cs="新宋体"/>
                <w:b/>
                <w:bCs/>
                <w:color w:val="auto"/>
                <w:sz w:val="24"/>
                <w:szCs w:val="24"/>
                <w:highlight w:val="none"/>
                <w:lang w:val="en-US" w:eastAsia="zh-CN"/>
              </w:rPr>
              <w:t>9</w:t>
            </w:r>
            <w:r>
              <w:rPr>
                <w:rFonts w:hint="eastAsia" w:ascii="新宋体" w:hAnsi="新宋体" w:eastAsia="新宋体" w:cs="新宋体"/>
                <w:b/>
                <w:bCs/>
                <w:color w:val="auto"/>
                <w:sz w:val="24"/>
                <w:szCs w:val="24"/>
                <w:highlight w:val="none"/>
              </w:rPr>
              <w:t>0%</w:t>
            </w:r>
            <w:r>
              <w:rPr>
                <w:rFonts w:hint="eastAsia" w:ascii="新宋体" w:hAnsi="新宋体" w:eastAsia="新宋体" w:cs="新宋体"/>
                <w:color w:val="auto"/>
                <w:sz w:val="24"/>
                <w:szCs w:val="24"/>
                <w:highlight w:val="none"/>
              </w:rPr>
              <w:t>（折扣比例在</w:t>
            </w:r>
            <w:r>
              <w:rPr>
                <w:rFonts w:hint="eastAsia" w:ascii="新宋体" w:hAnsi="新宋体" w:eastAsia="新宋体" w:cs="新宋体"/>
                <w:color w:val="auto"/>
                <w:sz w:val="24"/>
                <w:szCs w:val="24"/>
                <w:highlight w:val="none"/>
                <w:lang w:val="en-US" w:eastAsia="zh-CN"/>
              </w:rPr>
              <w:t>90</w:t>
            </w:r>
            <w:r>
              <w:rPr>
                <w:rFonts w:hint="eastAsia" w:ascii="新宋体" w:hAnsi="新宋体" w:eastAsia="新宋体" w:cs="新宋体"/>
                <w:color w:val="auto"/>
                <w:sz w:val="24"/>
                <w:szCs w:val="24"/>
                <w:highlight w:val="none"/>
              </w:rPr>
              <w:t>%以内的报价为有效报价）</w:t>
            </w:r>
          </w:p>
        </w:tc>
        <w:tc>
          <w:tcPr>
            <w:tcW w:w="1356" w:type="dxa"/>
            <w:vAlign w:val="center"/>
          </w:tcPr>
          <w:p w14:paraId="05ED4409">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名</w:t>
            </w:r>
          </w:p>
        </w:tc>
        <w:tc>
          <w:tcPr>
            <w:tcW w:w="944" w:type="dxa"/>
            <w:vAlign w:val="center"/>
          </w:tcPr>
          <w:p w14:paraId="7FC86BC7">
            <w:pPr>
              <w:pStyle w:val="7"/>
              <w:ind w:firstLine="0"/>
              <w:jc w:val="center"/>
              <w:outlineLvl w:val="0"/>
              <w:rPr>
                <w:rFonts w:hint="default" w:ascii="宋体" w:hAnsi="宋体" w:eastAsia="宋体" w:cs="宋体"/>
                <w:color w:val="auto"/>
                <w:sz w:val="24"/>
                <w:szCs w:val="24"/>
                <w:highlight w:val="none"/>
                <w:lang w:val="en-US" w:eastAsia="zh-CN"/>
              </w:rPr>
            </w:pPr>
            <w:bookmarkStart w:id="10" w:name="_Toc295"/>
            <w:r>
              <w:rPr>
                <w:rFonts w:hint="eastAsia" w:ascii="宋体" w:hAnsi="宋体" w:cs="宋体"/>
                <w:color w:val="auto"/>
                <w:sz w:val="24"/>
                <w:szCs w:val="24"/>
                <w:highlight w:val="none"/>
                <w:lang w:val="en-US" w:eastAsia="zh-CN"/>
              </w:rPr>
              <w:t>1年</w:t>
            </w:r>
            <w:bookmarkEnd w:id="10"/>
          </w:p>
        </w:tc>
        <w:tc>
          <w:tcPr>
            <w:tcW w:w="2010" w:type="dxa"/>
            <w:vAlign w:val="center"/>
          </w:tcPr>
          <w:p w14:paraId="5B89E180">
            <w:pPr>
              <w:pStyle w:val="7"/>
              <w:ind w:firstLine="0"/>
              <w:jc w:val="center"/>
              <w:outlineLvl w:val="0"/>
              <w:rPr>
                <w:rFonts w:ascii="宋体" w:hAnsi="宋体" w:cs="宋体"/>
                <w:color w:val="auto"/>
                <w:sz w:val="24"/>
                <w:szCs w:val="24"/>
                <w:highlight w:val="none"/>
              </w:rPr>
            </w:pPr>
            <w:bookmarkStart w:id="11" w:name="_Toc28909"/>
            <w:r>
              <w:rPr>
                <w:rFonts w:hint="eastAsia" w:ascii="宋体" w:hAnsi="宋体" w:cs="宋体"/>
                <w:color w:val="auto"/>
                <w:sz w:val="24"/>
                <w:szCs w:val="24"/>
                <w:highlight w:val="none"/>
              </w:rPr>
              <w:t>零售业或批发业</w:t>
            </w:r>
            <w:bookmarkEnd w:id="11"/>
          </w:p>
        </w:tc>
      </w:tr>
    </w:tbl>
    <w:p w14:paraId="34D5CB66">
      <w:pPr>
        <w:pStyle w:val="5"/>
        <w:spacing w:before="0" w:after="0" w:line="360" w:lineRule="auto"/>
        <w:rPr>
          <w:rFonts w:ascii="宋体" w:hAnsi="宋体" w:cs="宋体"/>
          <w:color w:val="auto"/>
          <w:sz w:val="24"/>
          <w:szCs w:val="24"/>
          <w:highlight w:val="none"/>
        </w:rPr>
      </w:pPr>
      <w:bookmarkStart w:id="12" w:name="_Toc378251877"/>
      <w:bookmarkStart w:id="13" w:name="_Toc27760"/>
      <w:bookmarkStart w:id="14" w:name="_Toc23733"/>
      <w:bookmarkStart w:id="15" w:name="_Toc152480140"/>
      <w:r>
        <w:rPr>
          <w:rFonts w:hint="eastAsia" w:ascii="宋体" w:hAnsi="宋体" w:cs="宋体"/>
          <w:color w:val="auto"/>
          <w:sz w:val="24"/>
          <w:szCs w:val="24"/>
          <w:highlight w:val="none"/>
        </w:rPr>
        <w:t>二、资金来源</w:t>
      </w:r>
      <w:bookmarkEnd w:id="12"/>
      <w:bookmarkEnd w:id="13"/>
      <w:bookmarkEnd w:id="14"/>
    </w:p>
    <w:p w14:paraId="5736627A">
      <w:pPr>
        <w:snapToGrid w:val="0"/>
        <w:spacing w:line="360" w:lineRule="auto"/>
        <w:ind w:firstLine="480" w:firstLineChars="200"/>
        <w:rPr>
          <w:rFonts w:hint="default" w:ascii="宋体" w:hAnsi="宋体" w:eastAsia="宋体" w:cs="宋体"/>
          <w:color w:val="auto"/>
          <w:sz w:val="24"/>
          <w:szCs w:val="24"/>
          <w:highlight w:val="none"/>
          <w:lang w:val="en-US" w:eastAsia="zh-CN"/>
        </w:rPr>
      </w:pPr>
      <w:bookmarkStart w:id="16" w:name="_Toc27485"/>
      <w:r>
        <w:rPr>
          <w:rFonts w:hint="eastAsia" w:ascii="宋体" w:hAnsi="宋体" w:eastAsia="宋体" w:cs="宋体"/>
          <w:color w:val="auto"/>
          <w:sz w:val="24"/>
          <w:szCs w:val="24"/>
          <w:highlight w:val="none"/>
        </w:rPr>
        <w:t>财政预算资金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120</w:t>
      </w:r>
      <w:r>
        <w:rPr>
          <w:rFonts w:hint="eastAsia" w:ascii="宋体" w:hAnsi="宋体" w:eastAsia="宋体" w:cs="宋体"/>
          <w:color w:val="auto"/>
          <w:sz w:val="24"/>
          <w:szCs w:val="24"/>
          <w:highlight w:val="none"/>
          <w:lang w:val="en-US" w:eastAsia="zh-CN"/>
        </w:rPr>
        <w:t>万元</w:t>
      </w:r>
      <w:r>
        <w:rPr>
          <w:rFonts w:hint="eastAsia" w:ascii="宋体" w:hAnsi="宋体" w:cs="宋体"/>
          <w:color w:val="auto"/>
          <w:sz w:val="24"/>
          <w:szCs w:val="24"/>
          <w:highlight w:val="none"/>
          <w:lang w:val="en-US" w:eastAsia="zh-CN"/>
        </w:rPr>
        <w:t>，10万元/每月</w:t>
      </w:r>
      <w:r>
        <w:rPr>
          <w:rFonts w:hint="eastAsia" w:ascii="宋体" w:hAnsi="宋体" w:eastAsia="宋体" w:cs="宋体"/>
          <w:color w:val="auto"/>
          <w:sz w:val="24"/>
          <w:szCs w:val="24"/>
          <w:highlight w:val="none"/>
          <w:lang w:val="en-US" w:eastAsia="zh-CN"/>
        </w:rPr>
        <w:t>。</w:t>
      </w:r>
    </w:p>
    <w:p w14:paraId="2C5E4945">
      <w:pPr>
        <w:pStyle w:val="5"/>
        <w:spacing w:before="0" w:after="0" w:line="360" w:lineRule="auto"/>
        <w:rPr>
          <w:rFonts w:ascii="宋体" w:hAnsi="宋体" w:cs="宋体"/>
          <w:color w:val="auto"/>
          <w:sz w:val="24"/>
          <w:szCs w:val="24"/>
          <w:highlight w:val="none"/>
        </w:rPr>
      </w:pPr>
      <w:bookmarkStart w:id="17" w:name="_Toc7106"/>
      <w:r>
        <w:rPr>
          <w:rFonts w:hint="eastAsia" w:ascii="宋体" w:hAnsi="宋体" w:cs="宋体"/>
          <w:color w:val="auto"/>
          <w:sz w:val="24"/>
          <w:szCs w:val="24"/>
          <w:highlight w:val="none"/>
        </w:rPr>
        <w:t>三、资格要求</w:t>
      </w:r>
      <w:bookmarkEnd w:id="16"/>
      <w:bookmarkEnd w:id="17"/>
    </w:p>
    <w:p w14:paraId="5747774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符合</w:t>
      </w:r>
      <w:r>
        <w:rPr>
          <w:rFonts w:hint="eastAsia" w:ascii="宋体" w:hAnsi="宋体" w:cs="宋体"/>
          <w:color w:val="auto"/>
          <w:sz w:val="24"/>
          <w:szCs w:val="24"/>
          <w:highlight w:val="none"/>
        </w:rPr>
        <w:t>落实政府采购政策</w:t>
      </w:r>
      <w:r>
        <w:rPr>
          <w:rFonts w:hint="eastAsia" w:ascii="宋体" w:hAnsi="宋体" w:cs="宋体"/>
          <w:color w:val="auto"/>
          <w:sz w:val="24"/>
          <w:szCs w:val="24"/>
          <w:highlight w:val="none"/>
          <w:lang w:val="en-US" w:eastAsia="zh-CN"/>
        </w:rPr>
        <w:t>条件</w:t>
      </w:r>
      <w:r>
        <w:rPr>
          <w:rFonts w:hint="eastAsia" w:ascii="宋体" w:hAnsi="宋体" w:cs="宋体"/>
          <w:color w:val="auto"/>
          <w:sz w:val="24"/>
          <w:szCs w:val="24"/>
          <w:highlight w:val="none"/>
        </w:rPr>
        <w:t>和采购方设置的特定资格条件。</w:t>
      </w:r>
    </w:p>
    <w:p w14:paraId="223E9441">
      <w:pPr>
        <w:snapToGrid w:val="0"/>
        <w:spacing w:line="360" w:lineRule="auto"/>
        <w:ind w:firstLine="480" w:firstLineChars="200"/>
        <w:rPr>
          <w:rFonts w:ascii="宋体" w:hAnsi="宋体" w:cs="宋体"/>
          <w:color w:val="auto"/>
          <w:sz w:val="24"/>
          <w:szCs w:val="24"/>
          <w:highlight w:val="none"/>
        </w:rPr>
      </w:pPr>
      <w:bookmarkStart w:id="18" w:name="_Toc1359"/>
      <w:bookmarkStart w:id="19" w:name="_Toc487204774"/>
      <w:r>
        <w:rPr>
          <w:rFonts w:hint="eastAsia" w:ascii="宋体" w:hAnsi="宋体" w:cs="宋体"/>
          <w:color w:val="auto"/>
          <w:sz w:val="24"/>
          <w:szCs w:val="24"/>
          <w:highlight w:val="none"/>
        </w:rPr>
        <w:t>（一）基本资格条件</w:t>
      </w:r>
    </w:p>
    <w:p w14:paraId="66A41B4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73552D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5B36726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487C5EF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06E385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569E965C">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62D93DC">
      <w:pPr>
        <w:tabs>
          <w:tab w:val="left" w:pos="6300"/>
        </w:tabs>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（二）落实政府采购政策需满足的资格要求：</w:t>
      </w:r>
      <w:r>
        <w:rPr>
          <w:rFonts w:hint="eastAsia" w:ascii="宋体" w:hAnsi="宋体" w:cs="宋体"/>
          <w:color w:val="auto"/>
          <w:sz w:val="24"/>
          <w:szCs w:val="24"/>
          <w:highlight w:val="none"/>
          <w:lang w:val="en-US" w:eastAsia="zh-CN"/>
        </w:rPr>
        <w:t>无</w:t>
      </w:r>
    </w:p>
    <w:p w14:paraId="129CC107">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（三）本项目的特定资格要求：</w:t>
      </w:r>
    </w:p>
    <w:p w14:paraId="24B0C400">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供应商应具备行业主管部门颁发的有效的《食品经营许可证》或《食品流通许可证》，提供证书复印件加盖供应商公章。</w:t>
      </w:r>
    </w:p>
    <w:p w14:paraId="0CE64F66">
      <w:pPr>
        <w:pStyle w:val="5"/>
        <w:spacing w:before="0" w:after="0" w:line="360" w:lineRule="auto"/>
        <w:rPr>
          <w:rFonts w:ascii="宋体" w:hAnsi="宋体" w:cs="宋体"/>
          <w:color w:val="auto"/>
          <w:sz w:val="24"/>
          <w:szCs w:val="24"/>
          <w:highlight w:val="none"/>
        </w:rPr>
      </w:pPr>
      <w:bookmarkStart w:id="20" w:name="_Toc7308"/>
      <w:bookmarkStart w:id="21" w:name="_Toc31839"/>
      <w:r>
        <w:rPr>
          <w:rFonts w:hint="eastAsia" w:ascii="宋体" w:hAnsi="宋体" w:cs="宋体"/>
          <w:color w:val="auto"/>
          <w:sz w:val="24"/>
          <w:szCs w:val="24"/>
          <w:highlight w:val="none"/>
        </w:rPr>
        <w:t>四、采购有关说明</w:t>
      </w:r>
      <w:bookmarkEnd w:id="18"/>
      <w:bookmarkEnd w:id="19"/>
      <w:bookmarkEnd w:id="20"/>
      <w:bookmarkEnd w:id="21"/>
    </w:p>
    <w:p w14:paraId="05BCDB45">
      <w:pPr>
        <w:snapToGrid w:val="0"/>
        <w:spacing w:beforeAutospacing="0" w:afterAutospacing="0" w:line="440" w:lineRule="exact"/>
        <w:ind w:firstLine="480" w:firstLineChars="200"/>
        <w:rPr>
          <w:rFonts w:hint="eastAsia" w:ascii="宋体" w:hAnsi="宋体" w:eastAsia="宋体"/>
          <w:color w:val="auto"/>
          <w:sz w:val="24"/>
          <w:szCs w:val="24"/>
          <w:highlight w:val="none"/>
          <w:lang w:val="en-US" w:eastAsia="zh-CN"/>
        </w:rPr>
      </w:pPr>
      <w:bookmarkStart w:id="22" w:name="_Toc24666"/>
      <w:bookmarkStart w:id="23" w:name="_Toc487204776"/>
      <w:bookmarkStart w:id="24" w:name="_Toc8911"/>
      <w:r>
        <w:rPr>
          <w:rFonts w:hint="eastAsia" w:ascii="宋体" w:hAnsi="宋体" w:cs="宋体"/>
          <w:color w:val="auto"/>
          <w:sz w:val="24"/>
          <w:szCs w:val="24"/>
          <w:highlight w:val="none"/>
        </w:rPr>
        <w:t>（一）</w:t>
      </w:r>
      <w:r>
        <w:rPr>
          <w:rFonts w:hint="eastAsia" w:ascii="宋体" w:hAnsi="宋体" w:eastAsia="宋体"/>
          <w:color w:val="auto"/>
          <w:sz w:val="24"/>
          <w:szCs w:val="24"/>
          <w:highlight w:val="none"/>
          <w:lang w:val="en-US" w:eastAsia="zh-CN"/>
        </w:rPr>
        <w:t>供应商应通过“行采家”平台（https://www.gec123.com）进行注册，成为行采家平台供应商。</w:t>
      </w:r>
    </w:p>
    <w:p w14:paraId="74343446">
      <w:pPr>
        <w:snapToGrid w:val="0"/>
        <w:spacing w:beforeAutospacing="0" w:afterAutospacing="0" w:line="440" w:lineRule="exact"/>
        <w:ind w:firstLine="480" w:firstLineChars="200"/>
        <w:rPr>
          <w:rFonts w:hint="eastAsia" w:ascii="宋体" w:hAnsi="宋体" w:cs="宋体"/>
          <w:color w:val="auto"/>
          <w:sz w:val="24"/>
          <w:szCs w:val="24"/>
          <w:highlight w:val="none"/>
        </w:rPr>
      </w:pPr>
      <w:r>
        <w:rPr>
          <w:rFonts w:hint="eastAsia" w:ascii="宋体" w:hAnsi="宋体" w:eastAsia="宋体"/>
          <w:color w:val="auto"/>
          <w:sz w:val="24"/>
          <w:szCs w:val="24"/>
          <w:highlight w:val="none"/>
          <w:lang w:val="en-US" w:eastAsia="zh-CN"/>
        </w:rPr>
        <w:t>（二）凡有意参加比选的供应商，请于公告发布之日起至报名截止时间之前，在重庆市“行采家”网站（https://www.gec123.com/）网上下载查看本项目需求文件以及变更公告等采购前公布的所有项目资料，无论供应商下载查看与否，均视为已知晓所有采购实质性要求内容。</w:t>
      </w:r>
    </w:p>
    <w:p w14:paraId="213EED2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）供应商须</w:t>
      </w:r>
      <w:r>
        <w:rPr>
          <w:rFonts w:hint="eastAsia" w:ascii="宋体" w:hAnsi="宋体" w:cs="宋体"/>
          <w:color w:val="auto"/>
          <w:sz w:val="24"/>
          <w:szCs w:val="24"/>
          <w:highlight w:val="none"/>
          <w:lang w:val="en-US" w:eastAsia="zh-CN"/>
        </w:rPr>
        <w:t>按网上</w:t>
      </w:r>
      <w:r>
        <w:rPr>
          <w:rFonts w:hint="eastAsia" w:ascii="宋体" w:hAnsi="宋体" w:eastAsia="宋体"/>
          <w:color w:val="auto"/>
          <w:sz w:val="24"/>
          <w:szCs w:val="24"/>
          <w:highlight w:val="none"/>
          <w:lang w:val="en-US" w:eastAsia="zh-CN"/>
        </w:rPr>
        <w:t>规定时间在“行采家”（https://www.gec123.com/）</w:t>
      </w:r>
      <w:r>
        <w:rPr>
          <w:rFonts w:hint="eastAsia" w:ascii="宋体" w:hAnsi="宋体" w:cs="宋体"/>
          <w:color w:val="auto"/>
          <w:sz w:val="24"/>
          <w:szCs w:val="24"/>
          <w:highlight w:val="none"/>
        </w:rPr>
        <w:t>平台上报名并按时上传响应文件，未按要求提供的为无效供应商。</w:t>
      </w:r>
    </w:p>
    <w:p w14:paraId="741D7AE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）线上报名截止时间：以</w:t>
      </w:r>
      <w:r>
        <w:rPr>
          <w:rFonts w:hint="eastAsia" w:ascii="宋体" w:hAnsi="宋体" w:eastAsia="宋体"/>
          <w:color w:val="auto"/>
          <w:sz w:val="24"/>
          <w:szCs w:val="24"/>
          <w:highlight w:val="none"/>
          <w:lang w:val="en-US" w:eastAsia="zh-CN"/>
        </w:rPr>
        <w:t>“行采家”（https://www.gec123.com/）</w:t>
      </w:r>
      <w:r>
        <w:rPr>
          <w:rFonts w:hint="eastAsia" w:ascii="宋体" w:hAnsi="宋体" w:cs="宋体"/>
          <w:color w:val="auto"/>
          <w:sz w:val="24"/>
          <w:szCs w:val="24"/>
          <w:highlight w:val="none"/>
        </w:rPr>
        <w:t>平台</w:t>
      </w:r>
      <w:r>
        <w:rPr>
          <w:rFonts w:hint="eastAsia" w:ascii="宋体" w:hAnsi="宋体" w:cs="宋体"/>
          <w:color w:val="auto"/>
          <w:sz w:val="24"/>
          <w:szCs w:val="24"/>
          <w:highlight w:val="none"/>
          <w:lang w:val="en-US" w:eastAsia="zh-CN"/>
        </w:rPr>
        <w:t>-电子竞采规定</w:t>
      </w:r>
      <w:r>
        <w:rPr>
          <w:rFonts w:hint="eastAsia" w:ascii="宋体" w:hAnsi="宋体" w:cs="宋体"/>
          <w:color w:val="auto"/>
          <w:sz w:val="24"/>
          <w:szCs w:val="24"/>
          <w:highlight w:val="none"/>
        </w:rPr>
        <w:t>的截止时间为准。</w:t>
      </w:r>
    </w:p>
    <w:p w14:paraId="0D6B811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）供应商线上报名、报价时需上传盖章后的电子文档一份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PDF格式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7E490DD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）供应商制作的响应文件电子文档，须按照要求制作，规定签字、盖章的地方必须按其规定签字、盖章，未按要求制作响应文件的进行废标处理。</w:t>
      </w:r>
    </w:p>
    <w:p w14:paraId="0092515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种要件，其响应文件才被接受：</w:t>
      </w:r>
    </w:p>
    <w:p w14:paraId="37CBEFBF">
      <w:pPr>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1.按时在</w:t>
      </w:r>
      <w:r>
        <w:rPr>
          <w:rFonts w:hint="eastAsia" w:ascii="宋体" w:hAnsi="宋体" w:eastAsia="宋体"/>
          <w:color w:val="auto"/>
          <w:sz w:val="24"/>
          <w:szCs w:val="24"/>
          <w:highlight w:val="none"/>
          <w:lang w:val="en-US" w:eastAsia="zh-CN"/>
        </w:rPr>
        <w:t>“行采家”（https://www.gec123.com/）</w:t>
      </w:r>
      <w:r>
        <w:rPr>
          <w:rFonts w:hint="eastAsia" w:ascii="宋体" w:hAnsi="宋体" w:cs="宋体"/>
          <w:color w:val="auto"/>
          <w:sz w:val="24"/>
          <w:szCs w:val="24"/>
          <w:highlight w:val="none"/>
        </w:rPr>
        <w:t>平台进行网上报价</w:t>
      </w:r>
      <w:r>
        <w:rPr>
          <w:rFonts w:hint="eastAsia" w:ascii="宋体" w:hAnsi="宋体" w:cs="宋体"/>
          <w:color w:val="auto"/>
          <w:sz w:val="24"/>
          <w:szCs w:val="24"/>
          <w:highlight w:val="none"/>
          <w:lang w:val="en-US" w:eastAsia="zh-CN"/>
        </w:rPr>
        <w:t>并上传响应文件电子文档</w:t>
      </w:r>
      <w:r>
        <w:rPr>
          <w:rFonts w:hint="eastAsia" w:ascii="宋体" w:hAnsi="宋体" w:cs="宋体"/>
          <w:color w:val="auto"/>
          <w:sz w:val="24"/>
          <w:szCs w:val="24"/>
          <w:highlight w:val="none"/>
        </w:rPr>
        <w:t>。</w:t>
      </w:r>
    </w:p>
    <w:p w14:paraId="21443195">
      <w:pPr>
        <w:pStyle w:val="21"/>
        <w:rPr>
          <w:rFonts w:hint="eastAsia"/>
          <w:color w:val="auto"/>
          <w:highlight w:val="none"/>
        </w:rPr>
      </w:pPr>
      <w:r>
        <w:rPr>
          <w:rFonts w:hint="eastAsia" w:ascii="宋体" w:hAnsi="宋体" w:cs="宋体"/>
          <w:color w:val="auto"/>
          <w:sz w:val="24"/>
          <w:szCs w:val="24"/>
          <w:highlight w:val="none"/>
        </w:rPr>
        <w:t>2.按时递交</w:t>
      </w:r>
      <w:r>
        <w:rPr>
          <w:rFonts w:hint="eastAsia" w:ascii="宋体" w:hAnsi="宋体" w:cs="宋体"/>
          <w:color w:val="auto"/>
          <w:sz w:val="24"/>
          <w:szCs w:val="24"/>
          <w:highlight w:val="none"/>
          <w:lang w:val="en-US" w:eastAsia="zh-CN"/>
        </w:rPr>
        <w:t>纸质</w:t>
      </w:r>
      <w:r>
        <w:rPr>
          <w:rFonts w:hint="eastAsia" w:ascii="宋体" w:hAnsi="宋体" w:cs="宋体"/>
          <w:color w:val="auto"/>
          <w:sz w:val="24"/>
          <w:szCs w:val="24"/>
          <w:highlight w:val="none"/>
        </w:rPr>
        <w:t>响应文件。</w:t>
      </w:r>
    </w:p>
    <w:p w14:paraId="228860E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线下</w:t>
      </w: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纸质）递交</w:t>
      </w:r>
      <w:r>
        <w:rPr>
          <w:rFonts w:hint="eastAsia" w:ascii="宋体" w:hAnsi="宋体" w:cs="宋体"/>
          <w:color w:val="auto"/>
          <w:sz w:val="24"/>
          <w:szCs w:val="24"/>
          <w:highlight w:val="none"/>
        </w:rPr>
        <w:t>地</w:t>
      </w:r>
      <w:r>
        <w:rPr>
          <w:rFonts w:hint="eastAsia" w:ascii="宋体" w:hAnsi="宋体" w:cs="宋体"/>
          <w:color w:val="auto"/>
          <w:sz w:val="24"/>
          <w:szCs w:val="24"/>
          <w:highlight w:val="none"/>
          <w:lang w:val="en-US" w:eastAsia="zh-CN"/>
        </w:rPr>
        <w:t>点</w:t>
      </w:r>
      <w:r>
        <w:rPr>
          <w:rFonts w:hint="eastAsia" w:ascii="宋体" w:hAnsi="宋体" w:cs="宋体"/>
          <w:color w:val="auto"/>
          <w:sz w:val="24"/>
          <w:szCs w:val="24"/>
          <w:highlight w:val="none"/>
        </w:rPr>
        <w:t>：重庆市渝中区</w:t>
      </w:r>
      <w:r>
        <w:rPr>
          <w:rFonts w:hint="eastAsia" w:ascii="宋体" w:hAnsi="宋体" w:cs="宋体"/>
          <w:color w:val="auto"/>
          <w:sz w:val="24"/>
          <w:szCs w:val="24"/>
          <w:highlight w:val="none"/>
          <w:lang w:val="en-US" w:eastAsia="zh-CN"/>
        </w:rPr>
        <w:t>和平路211号5栋2楼会议室</w:t>
      </w:r>
    </w:p>
    <w:p w14:paraId="5337488F">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九</w:t>
      </w:r>
      <w:r>
        <w:rPr>
          <w:rFonts w:hint="eastAsia" w:ascii="宋体" w:hAnsi="宋体" w:cs="宋体"/>
          <w:color w:val="auto"/>
          <w:sz w:val="24"/>
          <w:szCs w:val="24"/>
          <w:highlight w:val="none"/>
        </w:rPr>
        <w:t>）线下响应文件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纸质）</w:t>
      </w:r>
      <w:r>
        <w:rPr>
          <w:rFonts w:hint="eastAsia" w:ascii="宋体" w:hAnsi="宋体" w:cs="宋体"/>
          <w:color w:val="auto"/>
          <w:sz w:val="24"/>
          <w:szCs w:val="24"/>
          <w:highlight w:val="none"/>
        </w:rPr>
        <w:t>递交开始时间：202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p>
    <w:p w14:paraId="139143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十</w:t>
      </w:r>
      <w:r>
        <w:rPr>
          <w:rFonts w:hint="eastAsia" w:ascii="宋体" w:hAnsi="宋体" w:cs="宋体"/>
          <w:color w:val="auto"/>
          <w:sz w:val="24"/>
          <w:szCs w:val="24"/>
          <w:highlight w:val="none"/>
        </w:rPr>
        <w:t>）线下响应文件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纸质）</w:t>
      </w:r>
      <w:r>
        <w:rPr>
          <w:rFonts w:hint="eastAsia" w:ascii="宋体" w:hAnsi="宋体" w:cs="宋体"/>
          <w:color w:val="auto"/>
          <w:sz w:val="24"/>
          <w:szCs w:val="24"/>
          <w:highlight w:val="none"/>
        </w:rPr>
        <w:t>递交截止时间：202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日北京时间</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w:t>
      </w:r>
    </w:p>
    <w:p w14:paraId="502F11AB">
      <w:pPr>
        <w:pStyle w:val="5"/>
        <w:spacing w:before="0" w:after="0" w:line="360" w:lineRule="auto"/>
        <w:rPr>
          <w:rFonts w:ascii="宋体" w:hAnsi="宋体" w:cs="宋体"/>
          <w:color w:val="auto"/>
          <w:sz w:val="24"/>
          <w:szCs w:val="24"/>
          <w:highlight w:val="none"/>
        </w:rPr>
      </w:pPr>
      <w:bookmarkStart w:id="25" w:name="_Toc21105"/>
      <w:r>
        <w:rPr>
          <w:rFonts w:hint="eastAsia" w:ascii="宋体" w:hAnsi="宋体" w:cs="宋体"/>
          <w:color w:val="auto"/>
          <w:sz w:val="24"/>
          <w:szCs w:val="24"/>
          <w:highlight w:val="none"/>
        </w:rPr>
        <w:t>五、采购有关规定</w:t>
      </w:r>
      <w:bookmarkEnd w:id="22"/>
      <w:bookmarkEnd w:id="23"/>
      <w:bookmarkEnd w:id="24"/>
      <w:bookmarkEnd w:id="25"/>
    </w:p>
    <w:p w14:paraId="7560BD4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（一）单位负责人为同一人或者存在直接控股、管理关系的不同供应商，不得参加同一合同项下的政府采购活动，否则均为无效响应。</w:t>
      </w:r>
    </w:p>
    <w:p w14:paraId="4F3484F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（二）为采购项目提供整体设计、规范编制或者项目管理、监理、检测等服务的供应商，不得再参加该采购项目的其他采购活动，否则均为无效响应。</w:t>
      </w:r>
      <w:bookmarkStart w:id="367" w:name="_GoBack"/>
      <w:bookmarkEnd w:id="367"/>
    </w:p>
    <w:p w14:paraId="42CDE1E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（三）本项目的补遗文件（如果有）一律在</w:t>
      </w:r>
      <w:r>
        <w:rPr>
          <w:rFonts w:hint="eastAsia" w:ascii="宋体" w:hAnsi="宋体" w:eastAsia="宋体"/>
          <w:color w:val="auto"/>
          <w:sz w:val="24"/>
          <w:szCs w:val="24"/>
          <w:highlight w:val="none"/>
          <w:lang w:val="en-US" w:eastAsia="zh-CN"/>
        </w:rPr>
        <w:t>“行采家”（https://www.gec123.com/）</w:t>
      </w:r>
      <w:r>
        <w:rPr>
          <w:rFonts w:hint="eastAsia" w:ascii="宋体" w:hAnsi="宋体" w:cs="宋体"/>
          <w:color w:val="auto"/>
          <w:sz w:val="24"/>
          <w:szCs w:val="24"/>
          <w:highlight w:val="none"/>
        </w:rPr>
        <w:t>平台上发布，请各供应商注意下载；无论供应商下载与否，均视同供应商已知晓本项目补遗文件（如果有）的内容。</w:t>
      </w:r>
    </w:p>
    <w:p w14:paraId="1545305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（四）供应商未在规定的时间上传响应文件电子文档，视为弃权。</w:t>
      </w:r>
    </w:p>
    <w:p w14:paraId="17DE5A3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（五）投标费用：无论采购结果如何，供应商参与本项目投标的所有费用均应由供应商自行承担。</w:t>
      </w:r>
    </w:p>
    <w:p w14:paraId="469DA67A">
      <w:pPr>
        <w:snapToGrid w:val="0"/>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color w:val="auto"/>
          <w:sz w:val="24"/>
          <w:szCs w:val="24"/>
          <w:highlight w:val="none"/>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宋体" w:hAnsi="宋体" w:cs="宋体"/>
          <w:b w:val="0"/>
          <w:bCs w:val="0"/>
          <w:color w:val="auto"/>
          <w:sz w:val="24"/>
          <w:szCs w:val="24"/>
          <w:highlight w:val="none"/>
        </w:rPr>
        <w:t>。</w:t>
      </w:r>
    </w:p>
    <w:p w14:paraId="663D8AD5">
      <w:pPr>
        <w:pStyle w:val="5"/>
        <w:spacing w:before="0" w:after="0" w:line="360" w:lineRule="auto"/>
        <w:rPr>
          <w:rFonts w:ascii="宋体" w:hAnsi="宋体" w:cs="宋体"/>
          <w:color w:val="auto"/>
          <w:sz w:val="24"/>
          <w:szCs w:val="24"/>
          <w:highlight w:val="none"/>
        </w:rPr>
      </w:pPr>
      <w:bookmarkStart w:id="26" w:name="_Toc6018"/>
      <w:bookmarkStart w:id="27" w:name="_Toc13553"/>
      <w:r>
        <w:rPr>
          <w:rFonts w:hint="eastAsia" w:ascii="宋体" w:hAnsi="宋体" w:cs="宋体"/>
          <w:color w:val="auto"/>
          <w:sz w:val="24"/>
          <w:szCs w:val="24"/>
          <w:highlight w:val="none"/>
        </w:rPr>
        <w:t>六、联系方式</w:t>
      </w:r>
      <w:bookmarkEnd w:id="26"/>
      <w:bookmarkEnd w:id="27"/>
    </w:p>
    <w:p w14:paraId="4820C8D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hint="eastAsia" w:ascii="宋体" w:hAnsi="宋体" w:cs="宋体"/>
          <w:color w:val="auto"/>
          <w:sz w:val="24"/>
          <w:szCs w:val="24"/>
          <w:highlight w:val="none"/>
          <w:lang w:eastAsia="zh-CN"/>
        </w:rPr>
        <w:t>重庆市渝中区养老服务指导中心（重庆市渝中区福利院、重庆市渝中区社会福利中心）</w:t>
      </w:r>
    </w:p>
    <w:p w14:paraId="3C285F3D">
      <w:pPr>
        <w:snapToGrid w:val="0"/>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王</w:t>
      </w:r>
      <w:r>
        <w:rPr>
          <w:rFonts w:hint="eastAsia" w:ascii="宋体" w:hAnsi="宋体" w:cs="宋体"/>
          <w:color w:val="auto"/>
          <w:sz w:val="24"/>
          <w:szCs w:val="24"/>
          <w:highlight w:val="none"/>
        </w:rPr>
        <w:t>老师</w:t>
      </w:r>
    </w:p>
    <w:p w14:paraId="33042AE0">
      <w:pPr>
        <w:snapToGrid w:val="0"/>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023-63615677</w:t>
      </w:r>
    </w:p>
    <w:p w14:paraId="14934236">
      <w:pPr>
        <w:snapToGrid w:val="0"/>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  址：重庆市渝中区</w:t>
      </w:r>
      <w:r>
        <w:rPr>
          <w:rFonts w:hint="eastAsia" w:ascii="宋体" w:hAnsi="宋体" w:cs="宋体"/>
          <w:color w:val="auto"/>
          <w:sz w:val="24"/>
          <w:szCs w:val="24"/>
          <w:highlight w:val="none"/>
          <w:lang w:val="en-US" w:eastAsia="zh-CN"/>
        </w:rPr>
        <w:t>和平路211号5栋</w:t>
      </w:r>
    </w:p>
    <w:p w14:paraId="16D271C3">
      <w:pPr>
        <w:snapToGrid w:val="0"/>
        <w:spacing w:line="360" w:lineRule="auto"/>
        <w:ind w:firstLine="480" w:firstLineChars="200"/>
        <w:rPr>
          <w:rFonts w:ascii="宋体" w:hAnsi="宋体" w:cs="宋体"/>
          <w:color w:val="auto"/>
          <w:sz w:val="24"/>
          <w:szCs w:val="24"/>
          <w:highlight w:val="none"/>
        </w:rPr>
      </w:pPr>
    </w:p>
    <w:p w14:paraId="3E86C3F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eastAsia="zh-CN"/>
        </w:rPr>
        <w:t>重庆中祥科达工程项目管理咨询有限公司</w:t>
      </w:r>
    </w:p>
    <w:bookmarkEnd w:id="15"/>
    <w:p w14:paraId="5B3F9279">
      <w:pPr>
        <w:snapToGrid w:val="0"/>
        <w:spacing w:line="360" w:lineRule="auto"/>
        <w:ind w:firstLine="1200" w:firstLineChars="500"/>
        <w:rPr>
          <w:rFonts w:hint="eastAsia" w:ascii="宋体" w:hAnsi="宋体" w:cs="宋体"/>
          <w:color w:val="auto"/>
          <w:sz w:val="24"/>
          <w:szCs w:val="24"/>
          <w:highlight w:val="none"/>
        </w:rPr>
      </w:pPr>
      <w:bookmarkStart w:id="28" w:name="_Toc102227313"/>
      <w:bookmarkStart w:id="29" w:name="_Toc152480141"/>
      <w:bookmarkStart w:id="30" w:name="_Toc376349875"/>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兰</w:t>
      </w:r>
      <w:r>
        <w:rPr>
          <w:rFonts w:hint="eastAsia" w:ascii="宋体" w:hAnsi="宋体" w:cs="宋体"/>
          <w:color w:val="auto"/>
          <w:sz w:val="24"/>
          <w:szCs w:val="24"/>
          <w:highlight w:val="none"/>
        </w:rPr>
        <w:t>老师</w:t>
      </w:r>
    </w:p>
    <w:p w14:paraId="405B2764">
      <w:pPr>
        <w:snapToGrid w:val="0"/>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023-60368557</w:t>
      </w:r>
    </w:p>
    <w:p w14:paraId="1975B5D6">
      <w:pPr>
        <w:snapToGrid w:val="0"/>
        <w:spacing w:line="360" w:lineRule="auto"/>
        <w:ind w:firstLine="1200" w:firstLineChars="500"/>
        <w:rPr>
          <w:rFonts w:ascii="宋体" w:hAnsi="宋体" w:cs="宋体"/>
          <w:color w:val="auto"/>
          <w:sz w:val="24"/>
          <w:szCs w:val="24"/>
          <w:highlight w:val="none"/>
        </w:rPr>
        <w:sectPr>
          <w:footerReference r:id="rId7" w:type="default"/>
          <w:pgSz w:w="11907" w:h="16840"/>
          <w:pgMar w:top="1440" w:right="1080" w:bottom="1440" w:left="1080" w:header="964" w:footer="992" w:gutter="0"/>
          <w:pgNumType w:start="1"/>
          <w:cols w:space="720" w:num="1"/>
          <w:docGrid w:type="linesAndChars" w:linePitch="312" w:charSpace="0"/>
        </w:sectPr>
      </w:pPr>
      <w:r>
        <w:rPr>
          <w:rFonts w:hint="eastAsia" w:ascii="宋体" w:hAnsi="宋体" w:cs="宋体"/>
          <w:color w:val="auto"/>
          <w:sz w:val="24"/>
          <w:szCs w:val="24"/>
          <w:highlight w:val="none"/>
        </w:rPr>
        <w:t>地  址：</w:t>
      </w:r>
      <w:r>
        <w:rPr>
          <w:rFonts w:hint="eastAsia" w:ascii="Times New Roman" w:hAnsi="Times New Roman" w:eastAsia="宋体" w:cs="宋体"/>
          <w:color w:val="auto"/>
          <w:sz w:val="24"/>
          <w:szCs w:val="24"/>
          <w:highlight w:val="none"/>
          <w:u w:val="none"/>
        </w:rPr>
        <w:t>重庆市大渡口区思源路32号1-2幢裙楼负2-2(32号)</w:t>
      </w:r>
    </w:p>
    <w:bookmarkEnd w:id="2"/>
    <w:bookmarkEnd w:id="3"/>
    <w:bookmarkEnd w:id="4"/>
    <w:bookmarkEnd w:id="28"/>
    <w:bookmarkEnd w:id="29"/>
    <w:bookmarkEnd w:id="30"/>
    <w:p w14:paraId="15E79E91">
      <w:pPr>
        <w:pStyle w:val="4"/>
        <w:spacing w:line="440" w:lineRule="exact"/>
        <w:jc w:val="center"/>
        <w:rPr>
          <w:rStyle w:val="32"/>
          <w:rFonts w:ascii="宋体" w:hAnsi="宋体" w:eastAsia="宋体" w:cs="宋体"/>
          <w:b/>
          <w:bCs/>
          <w:color w:val="auto"/>
          <w:sz w:val="28"/>
          <w:szCs w:val="28"/>
          <w:highlight w:val="none"/>
        </w:rPr>
      </w:pPr>
      <w:bookmarkStart w:id="31" w:name="_Toc14842"/>
      <w:bookmarkStart w:id="32" w:name="_Toc487204778"/>
      <w:bookmarkStart w:id="33" w:name="_Toc6453"/>
      <w:bookmarkStart w:id="34" w:name="_Toc128744991"/>
      <w:r>
        <w:rPr>
          <w:rStyle w:val="32"/>
          <w:rFonts w:hint="eastAsia" w:ascii="宋体" w:hAnsi="宋体" w:eastAsia="宋体" w:cs="宋体"/>
          <w:b/>
          <w:bCs/>
          <w:color w:val="auto"/>
          <w:highlight w:val="none"/>
        </w:rPr>
        <w:t>第二篇  项目服务需求</w:t>
      </w:r>
      <w:bookmarkEnd w:id="31"/>
    </w:p>
    <w:p w14:paraId="7A0E8D25">
      <w:pPr>
        <w:pageBreakBefore w:val="0"/>
        <w:widowControl w:val="0"/>
        <w:kinsoku/>
        <w:wordWrap/>
        <w:overflowPunct/>
        <w:topLinePunct w:val="0"/>
        <w:autoSpaceDE/>
        <w:autoSpaceDN/>
        <w:bidi w:val="0"/>
        <w:snapToGrid w:val="0"/>
        <w:spacing w:beforeLines="0" w:afterLines="0" w:line="360" w:lineRule="auto"/>
        <w:ind w:firstLine="482" w:firstLineChars="200"/>
        <w:jc w:val="left"/>
        <w:textAlignment w:val="auto"/>
        <w:rPr>
          <w:rFonts w:hint="eastAsia" w:ascii="宋体" w:hAnsi="宋体" w:eastAsia="宋体" w:cs="宋体"/>
          <w:color w:val="auto"/>
          <w:sz w:val="24"/>
          <w:szCs w:val="24"/>
          <w:highlight w:val="none"/>
        </w:rPr>
      </w:pPr>
      <w:bookmarkStart w:id="35" w:name="_Toc24780"/>
      <w:bookmarkStart w:id="36" w:name="_Toc23878"/>
      <w:bookmarkStart w:id="37" w:name="_Toc16917"/>
      <w:bookmarkStart w:id="38" w:name="_Toc20215"/>
      <w:bookmarkStart w:id="39" w:name="_Toc26063"/>
      <w:bookmarkStart w:id="40" w:name="_Toc13386"/>
      <w:bookmarkStart w:id="41" w:name="_Toc1487"/>
      <w:bookmarkStart w:id="42" w:name="_Toc7526"/>
      <w:bookmarkStart w:id="43" w:name="_Toc7670"/>
      <w:bookmarkStart w:id="44" w:name="_Toc31707"/>
      <w:bookmarkStart w:id="45" w:name="_Toc27523"/>
      <w:bookmarkStart w:id="46" w:name="_Toc18257"/>
      <w:bookmarkStart w:id="47" w:name="_Toc10529"/>
      <w:bookmarkStart w:id="48" w:name="_Toc18705"/>
      <w:bookmarkStart w:id="49" w:name="_Toc31903"/>
      <w:bookmarkStart w:id="50" w:name="_Toc23620"/>
      <w:bookmarkStart w:id="51" w:name="_Toc15198"/>
      <w:bookmarkStart w:id="52" w:name="_Toc10622"/>
      <w:bookmarkStart w:id="53" w:name="_Toc28269"/>
      <w:bookmarkStart w:id="54" w:name="_Toc1718"/>
      <w:bookmarkStart w:id="55" w:name="_Toc623"/>
      <w:bookmarkStart w:id="56" w:name="_Toc13652"/>
      <w:bookmarkStart w:id="57" w:name="_Toc30113"/>
      <w:bookmarkStart w:id="58" w:name="_Toc10507"/>
      <w:bookmarkStart w:id="59" w:name="_Toc19556"/>
      <w:bookmarkStart w:id="60" w:name="_Toc16739"/>
      <w:bookmarkStart w:id="61" w:name="_Toc11842"/>
      <w:bookmarkStart w:id="62" w:name="_Toc76462325"/>
      <w:r>
        <w:rPr>
          <w:rFonts w:hint="eastAsia" w:ascii="宋体" w:hAnsi="宋体" w:eastAsia="宋体" w:cs="宋体"/>
          <w:b/>
          <w:bCs/>
          <w:color w:val="auto"/>
          <w:sz w:val="24"/>
          <w:szCs w:val="24"/>
          <w:highlight w:val="none"/>
        </w:rPr>
        <w:t>注：</w:t>
      </w:r>
      <w:r>
        <w:rPr>
          <w:rFonts w:hint="eastAsia" w:ascii="宋体" w:hAnsi="宋体" w:eastAsia="宋体" w:cs="宋体"/>
          <w:color w:val="auto"/>
          <w:kern w:val="0"/>
          <w:sz w:val="24"/>
          <w:szCs w:val="24"/>
          <w:highlight w:val="none"/>
        </w:rPr>
        <w:t>本篇的</w:t>
      </w:r>
      <w:r>
        <w:rPr>
          <w:rFonts w:hint="eastAsia" w:ascii="宋体" w:hAnsi="宋体" w:eastAsia="宋体" w:cs="宋体"/>
          <w:color w:val="auto"/>
          <w:kern w:val="0"/>
          <w:sz w:val="24"/>
          <w:szCs w:val="24"/>
          <w:highlight w:val="none"/>
          <w:lang w:eastAsia="zh-CN"/>
        </w:rPr>
        <w:t>项目服务需求</w:t>
      </w:r>
      <w:r>
        <w:rPr>
          <w:rFonts w:hint="eastAsia" w:ascii="宋体" w:hAnsi="宋体" w:eastAsia="宋体" w:cs="宋体"/>
          <w:color w:val="auto"/>
          <w:kern w:val="0"/>
          <w:sz w:val="24"/>
          <w:szCs w:val="24"/>
          <w:highlight w:val="none"/>
        </w:rPr>
        <w:t>为符合性审查中的实质性要求，</w:t>
      </w:r>
      <w:r>
        <w:rPr>
          <w:rFonts w:hint="eastAsia" w:ascii="宋体" w:hAnsi="宋体" w:eastAsia="宋体" w:cs="宋体"/>
          <w:color w:val="auto"/>
          <w:sz w:val="24"/>
          <w:szCs w:val="24"/>
          <w:highlight w:val="none"/>
        </w:rPr>
        <w:t>响应文件</w:t>
      </w:r>
      <w:r>
        <w:rPr>
          <w:rFonts w:hint="eastAsia" w:ascii="宋体" w:hAnsi="宋体" w:eastAsia="宋体" w:cs="宋体"/>
          <w:color w:val="auto"/>
          <w:kern w:val="0"/>
          <w:sz w:val="24"/>
          <w:szCs w:val="24"/>
          <w:highlight w:val="none"/>
        </w:rPr>
        <w:t>若不满足按</w:t>
      </w:r>
      <w:r>
        <w:rPr>
          <w:rFonts w:hint="eastAsia" w:ascii="宋体" w:hAnsi="宋体" w:eastAsia="宋体" w:cs="宋体"/>
          <w:color w:val="auto"/>
          <w:kern w:val="0"/>
          <w:sz w:val="24"/>
          <w:szCs w:val="24"/>
          <w:highlight w:val="none"/>
          <w:lang w:eastAsia="zh-CN"/>
        </w:rPr>
        <w:t>无效响应</w:t>
      </w:r>
      <w:r>
        <w:rPr>
          <w:rFonts w:hint="eastAsia" w:ascii="宋体" w:hAnsi="宋体" w:eastAsia="宋体" w:cs="宋体"/>
          <w:color w:val="auto"/>
          <w:kern w:val="0"/>
          <w:sz w:val="24"/>
          <w:szCs w:val="24"/>
          <w:highlight w:val="none"/>
        </w:rPr>
        <w:t>处理。</w:t>
      </w:r>
    </w:p>
    <w:bookmarkEnd w:id="35"/>
    <w:p w14:paraId="10AC7732">
      <w:pPr>
        <w:pStyle w:val="5"/>
        <w:spacing w:before="0" w:after="0" w:line="360" w:lineRule="auto"/>
        <w:ind w:firstLine="480"/>
        <w:outlineLvl w:val="2"/>
        <w:rPr>
          <w:rFonts w:hint="eastAsia" w:ascii="宋体" w:hAnsi="宋体" w:eastAsia="宋体" w:cs="宋体"/>
          <w:color w:val="auto"/>
          <w:sz w:val="24"/>
          <w:szCs w:val="24"/>
          <w:highlight w:val="none"/>
        </w:rPr>
      </w:pPr>
      <w:bookmarkStart w:id="63" w:name="_Toc7319"/>
      <w:bookmarkStart w:id="64" w:name="_Toc5370"/>
      <w:bookmarkStart w:id="65" w:name="_Toc18091"/>
      <w:bookmarkStart w:id="66" w:name="_Toc9735"/>
      <w:bookmarkStart w:id="67" w:name="_Toc15059"/>
      <w:bookmarkStart w:id="68" w:name="_Toc15981"/>
      <w:bookmarkStart w:id="69" w:name="_Toc10339"/>
      <w:bookmarkStart w:id="70" w:name="_Toc14754"/>
      <w:bookmarkStart w:id="71" w:name="_Toc3277"/>
      <w:bookmarkStart w:id="72" w:name="_Toc29848"/>
      <w:bookmarkStart w:id="73" w:name="_Toc16480"/>
      <w:bookmarkStart w:id="74" w:name="_Toc23940"/>
      <w:bookmarkStart w:id="75" w:name="_Toc21022"/>
      <w:r>
        <w:rPr>
          <w:rFonts w:hint="eastAsia" w:ascii="宋体" w:hAnsi="宋体" w:eastAsia="宋体" w:cs="宋体"/>
          <w:color w:val="auto"/>
          <w:sz w:val="24"/>
          <w:szCs w:val="24"/>
          <w:highlight w:val="none"/>
        </w:rPr>
        <w:t>一、项目</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olor w:val="auto"/>
          <w:sz w:val="24"/>
          <w:szCs w:val="24"/>
          <w:highlight w:val="none"/>
          <w:lang w:val="en-US" w:eastAsia="zh-CN"/>
        </w:rPr>
        <w:t>服务内容</w:t>
      </w:r>
      <w:bookmarkEnd w:id="63"/>
      <w:bookmarkEnd w:id="64"/>
      <w:bookmarkEnd w:id="65"/>
      <w:bookmarkEnd w:id="66"/>
      <w:bookmarkEnd w:id="67"/>
      <w:bookmarkEnd w:id="68"/>
      <w:bookmarkEnd w:id="69"/>
      <w:bookmarkEnd w:id="70"/>
      <w:bookmarkEnd w:id="71"/>
      <w:bookmarkEnd w:id="72"/>
      <w:bookmarkEnd w:id="73"/>
      <w:bookmarkEnd w:id="74"/>
      <w:bookmarkEnd w:id="75"/>
    </w:p>
    <w:p w14:paraId="5B12E1C3">
      <w:pPr>
        <w:keepNext w:val="0"/>
        <w:keepLines w:val="0"/>
        <w:numPr>
          <w:ilvl w:val="0"/>
          <w:numId w:val="0"/>
        </w:numPr>
        <w:adjustRightInd/>
        <w:snapToGrid/>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庆市渝中区养老服务指导中心食材采购配送服务共有七个养老服务机构配送站点：①重庆市渝中区福利院竹园分院（重庆市渝中区交通街35号）②重庆市渝中区福利院桂花园（重庆市渝中区桂花园新村10号）③重庆市渝中区福利院玫瑰湾（重庆市渝中区长江一路52号钱塘玫瑰湾）④重庆市渝中区福利院李子坝（重庆市渝中区李子坝正街99号江山华庭）⑤重庆市渝中区福利院化龙桥（重庆市渝中区李子坝正街168号2单元）⑥兴隆街社区养老服务站（重庆市渝中区兴隆街132号）⑦珊瑚湾社区养老服务站（重庆市渝中区南区路114号143-6）。</w:t>
      </w:r>
    </w:p>
    <w:p w14:paraId="76305946">
      <w:pPr>
        <w:pStyle w:val="5"/>
        <w:spacing w:before="0" w:beforeLines="0" w:after="0" w:afterLines="0" w:line="360" w:lineRule="auto"/>
        <w:ind w:firstLineChars="200"/>
        <w:rPr>
          <w:rFonts w:hint="eastAsia" w:ascii="宋体" w:hAnsi="宋体" w:eastAsia="宋体" w:cs="宋体"/>
          <w:b/>
          <w:color w:val="auto"/>
          <w:sz w:val="24"/>
          <w:szCs w:val="24"/>
          <w:highlight w:val="none"/>
          <w:lang w:val="en-US" w:eastAsia="zh-CN"/>
        </w:rPr>
      </w:pPr>
      <w:bookmarkStart w:id="76" w:name="_Toc177"/>
      <w:bookmarkStart w:id="77" w:name="_Toc9199"/>
      <w:bookmarkStart w:id="78" w:name="_Toc22476"/>
      <w:bookmarkStart w:id="79" w:name="_Toc13162"/>
      <w:bookmarkStart w:id="80" w:name="_Toc24051"/>
      <w:bookmarkStart w:id="81" w:name="_Toc4944"/>
      <w:bookmarkStart w:id="82" w:name="_Toc1968"/>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Start w:id="83" w:name="_Toc29681"/>
      <w:bookmarkStart w:id="84" w:name="_Toc18345"/>
      <w:bookmarkStart w:id="85" w:name="_Toc14757"/>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服务</w:t>
      </w:r>
      <w:bookmarkEnd w:id="83"/>
      <w:bookmarkEnd w:id="84"/>
      <w:r>
        <w:rPr>
          <w:rFonts w:hint="eastAsia" w:ascii="宋体" w:hAnsi="宋体" w:eastAsia="宋体" w:cs="宋体"/>
          <w:b/>
          <w:color w:val="auto"/>
          <w:sz w:val="24"/>
          <w:szCs w:val="24"/>
          <w:highlight w:val="none"/>
          <w:lang w:val="en-US" w:eastAsia="zh-CN"/>
        </w:rPr>
        <w:t>及质量要求</w:t>
      </w:r>
      <w:bookmarkEnd w:id="76"/>
      <w:bookmarkEnd w:id="77"/>
      <w:bookmarkEnd w:id="78"/>
      <w:bookmarkEnd w:id="79"/>
      <w:bookmarkEnd w:id="80"/>
      <w:bookmarkEnd w:id="81"/>
      <w:bookmarkEnd w:id="82"/>
      <w:bookmarkEnd w:id="85"/>
    </w:p>
    <w:p w14:paraId="00224D6E">
      <w:pPr>
        <w:keepNext w:val="0"/>
        <w:keepLines w:val="0"/>
        <w:pageBreakBefore w:val="0"/>
        <w:widowControl w:val="0"/>
        <w:kinsoku/>
        <w:wordWrap/>
        <w:overflowPunct/>
        <w:topLinePunct w:val="0"/>
        <w:autoSpaceDE/>
        <w:autoSpaceDN/>
        <w:bidi w:val="0"/>
        <w:adjustRightInd/>
        <w:spacing w:beforeLines="0" w:afterLines="0"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color w:val="auto"/>
          <w:kern w:val="2"/>
          <w:sz w:val="24"/>
          <w:szCs w:val="24"/>
          <w:highlight w:val="none"/>
          <w:lang w:val="en-US" w:eastAsia="zh-CN" w:bidi="ar-SA"/>
        </w:rPr>
        <w:t>蔬菜类</w:t>
      </w:r>
    </w:p>
    <w:p w14:paraId="2BBA160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蔬菜全部采用国产无毒无公害非转基因新鲜蔬菜。蔬菜类产品包括但不限于根菜类、白菜类、绿叶菜类、葱蒜类、茄果类、瓜类、豆类、薯芋类、多年生蔬菜类、水生蔬菜类、食用菌类、其他蔬菜类等。所有蔬菜必须符合GB2763-2019质量标准，农残检测符合国家标准。具体品质要求如下：</w:t>
      </w:r>
    </w:p>
    <w:p w14:paraId="6B1BE5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1.叶菜类：鲜嫩，无枯黄叶，无花斑叶，无烂叶；叶茎完整无折断，基部不老化， 干爽无水；无裂口损伤，表面无泥土及其它杂物，无明显机械伤和病虫害伤，无烧心焦边、腐烂等现象，无抽薹（菜心除外），无畸形、异味，结球叶菜要结球适度，花椰菜应新鲜洁白，不带叶麸，无畸形花。 </w:t>
      </w:r>
    </w:p>
    <w:p w14:paraId="2B1FC4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2.根茎类：个体均匀，根形完整，无畸形，无泥土，无虫蛀和机械伤，无腐烂， 无断折断裂，不萎蔫变软，不发芽，不变绿，不空心，不糠心，不黑心，弹击有实心感。 </w:t>
      </w:r>
    </w:p>
    <w:p w14:paraId="200391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3.果菜类：外观良好，个体整齐，色泽正常，瓜肉坚实，表皮无损伤、无病斑或烂斑，无裂口，无折断，无压痕，无异味，不发软皱缩。 </w:t>
      </w:r>
    </w:p>
    <w:p w14:paraId="4B12144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4.芽苗类：鲜嫩、无老叶、无花斑黄叶，根部切口新鲜，茎叶完整，无腐烂现象。 </w:t>
      </w:r>
    </w:p>
    <w:p w14:paraId="7C24289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5.菌类：色泽与其品种相适应，气味正常；无腐烂及虫蛀株，无毒、无发霉，无失水枯萎，朵片完整，手轻捏不能有水渗出为宜。</w:t>
      </w:r>
    </w:p>
    <w:p w14:paraId="33723CB4">
      <w:pPr>
        <w:keepNext w:val="0"/>
        <w:keepLines w:val="0"/>
        <w:pageBreakBefore w:val="0"/>
        <w:widowControl w:val="0"/>
        <w:kinsoku/>
        <w:wordWrap/>
        <w:overflowPunct/>
        <w:topLinePunct w:val="0"/>
        <w:autoSpaceDE/>
        <w:autoSpaceDN/>
        <w:bidi w:val="0"/>
        <w:adjustRightInd/>
        <w:spacing w:beforeLines="0" w:afterLines="0" w:line="360" w:lineRule="auto"/>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（二）肉类</w:t>
      </w:r>
    </w:p>
    <w:p w14:paraId="5429BA3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肉质有弹性，手指轻按，凹陷地方马上恢复，脂肪为白色或乳白色，整体色泽光润，切面红色、微微湿润但不粘手；具有猪（牛、羊等）肉固有气味，无异味；无淤血、无注水，无寄生虫。配送的鲜肉类必须在定点屠宰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或宰杀店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宰杀加工，并经动物卫生检疫机构检疫合格，加盖检疫合格印章和屠宰场印章，附有《动物产品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检疫合格证明》（供货时由成交人提供检疫证明复印件）。</w:t>
      </w:r>
    </w:p>
    <w:p w14:paraId="6A28A572">
      <w:pPr>
        <w:keepNext w:val="0"/>
        <w:keepLines w:val="0"/>
        <w:pageBreakBefore w:val="0"/>
        <w:widowControl w:val="0"/>
        <w:kinsoku/>
        <w:wordWrap/>
        <w:overflowPunct/>
        <w:topLinePunct w:val="0"/>
        <w:autoSpaceDE/>
        <w:autoSpaceDN/>
        <w:bidi w:val="0"/>
        <w:adjustRightInd/>
        <w:spacing w:beforeLines="0" w:afterLines="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（三）禽肉（蛋）类</w:t>
      </w:r>
    </w:p>
    <w:p w14:paraId="60FB20C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鲜鸡肉类眼球饱满，皮肤有光泽，淡黄或灰白色，肌肉切而发亮。外表微干或微湿，不粘手，弹性良好，指压后凹陷立即恢复，正常气味。无长毛及毛、毛根、口腔及宰杀刀口无血污杂质，无紫斑瘀血净腔禽腹内无过多脂肪，腹下刀口，不过长刀口整齐，重量≥0.85KG鲜鸡当天杀当天送，并附有《动物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检疫合格证明》（供货时由成交人提供疫证明复印件）。</w:t>
      </w:r>
    </w:p>
    <w:p w14:paraId="6DC6B2F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鹅眼球平坦，皮肤有光泽，乳白或淡红色，肌肉切而有光泽。外表稍湿润，不粘手，指压后凹陷立即恢复。鸭固有的正常气味，无长毛及绒毛，毛根口腔及宰杀刀口失血污、无紫斑瘀血、净膛、腹内无过多脂肪、腹下刀口，不过长，刀口齐整，土番鸭重5-6斤左右，当天杀当天送并附有《动物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检疫合格证明》（供货时由成交人提供疫证明复印件）。</w:t>
      </w:r>
    </w:p>
    <w:p w14:paraId="7434CC1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禽蛋类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14:paraId="13672082">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（四）水产类</w:t>
      </w:r>
    </w:p>
    <w:p w14:paraId="5E57AA5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鱼类：游水生猛，对外界刺激敏感，无翻肚；无嘴烂及其它外表损伤。鱼鳞完整有光泽，不易脱落，眼隔膜有光泽、透明，眼球突出；腹部坚实不膨胀，肛门内部洁净无异常红尾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大小均匀。</w:t>
      </w:r>
    </w:p>
    <w:p w14:paraId="697BB91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虾类：游水快，对外界刺激敏感；头尾完整，有一定弯曲度；虾眼突起，虾身较挺，肉质坚实；虾壳发亮、发硬，呈青绿色或青白色。</w:t>
      </w:r>
    </w:p>
    <w:p w14:paraId="2B67EB7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蛙类：大小均匀，没有伤痕，没有异味，表皮光滑，有较强的跳动活力。</w:t>
      </w:r>
    </w:p>
    <w:p w14:paraId="54148A2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黄鳝：体色正常，体态完整，在水中头朝上直立，捞离水后，挣扎有力，身上黏度较多，个体较大。</w:t>
      </w:r>
    </w:p>
    <w:p w14:paraId="3698AE5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贝类：肉质新鲜，无臭味，两贝壳相碰发出实响，且响声均匀，在静水中会伸出触角；表面清洁完整，无寄生物，外观完美，有光泽。</w:t>
      </w:r>
    </w:p>
    <w:p w14:paraId="3DACA41A">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（五）冻品类</w:t>
      </w:r>
    </w:p>
    <w:p w14:paraId="4B75AF47">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无杂质、异味，冻品物资包装完整，生产日期、保质期、生产厂家和</w:t>
      </w:r>
      <w:r>
        <w:rPr>
          <w:rFonts w:hint="eastAsia" w:ascii="宋体" w:hAnsi="宋体" w:eastAsia="宋体" w:cs="宋体"/>
          <w:color w:val="auto"/>
          <w:sz w:val="24"/>
          <w:szCs w:val="24"/>
          <w:highlight w:val="none"/>
          <w:lang w:eastAsia="zh-CN"/>
        </w:rPr>
        <w:t>SC</w:t>
      </w:r>
      <w:r>
        <w:rPr>
          <w:rFonts w:hint="eastAsia" w:ascii="宋体" w:hAnsi="宋体" w:eastAsia="宋体" w:cs="宋体"/>
          <w:color w:val="auto"/>
          <w:sz w:val="24"/>
          <w:szCs w:val="24"/>
          <w:highlight w:val="none"/>
        </w:rPr>
        <w:t>标识齐全明晰。符合国家及行业相关标准，符合GB 16869-2005</w:t>
      </w:r>
      <w:r>
        <w:rPr>
          <w:rFonts w:hint="eastAsia" w:ascii="宋体" w:hAnsi="宋体" w:eastAsia="宋体" w:cs="宋体"/>
          <w:color w:val="auto"/>
          <w:sz w:val="24"/>
          <w:szCs w:val="24"/>
          <w:highlight w:val="none"/>
          <w:lang w:eastAsia="zh-CN"/>
        </w:rPr>
        <w:t>《鲜、冻禽产品》</w:t>
      </w:r>
      <w:r>
        <w:rPr>
          <w:rFonts w:hint="eastAsia" w:ascii="宋体" w:hAnsi="宋体" w:eastAsia="宋体" w:cs="宋体"/>
          <w:color w:val="auto"/>
          <w:sz w:val="24"/>
          <w:szCs w:val="24"/>
          <w:highlight w:val="none"/>
        </w:rPr>
        <w:t>相关检查标准：</w:t>
      </w:r>
    </w:p>
    <w:tbl>
      <w:tblPr>
        <w:tblStyle w:val="23"/>
        <w:tblW w:w="7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9"/>
        <w:gridCol w:w="3041"/>
      </w:tblGrid>
      <w:tr w14:paraId="0AD6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4009" w:type="dxa"/>
            <w:noWrap w:val="0"/>
            <w:vAlign w:val="center"/>
          </w:tcPr>
          <w:p w14:paraId="41B130E6">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p>
        </w:tc>
        <w:tc>
          <w:tcPr>
            <w:tcW w:w="3041" w:type="dxa"/>
            <w:noWrap w:val="0"/>
            <w:vAlign w:val="center"/>
          </w:tcPr>
          <w:p w14:paraId="39DE92AD">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指标</w:t>
            </w:r>
          </w:p>
        </w:tc>
      </w:tr>
      <w:tr w14:paraId="680E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0288AC19">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冻禽产品解冻失水率/（％）</w:t>
            </w:r>
          </w:p>
        </w:tc>
        <w:tc>
          <w:tcPr>
            <w:tcW w:w="3041" w:type="dxa"/>
            <w:shd w:val="clear" w:color="000000" w:fill="FFFFFF"/>
            <w:noWrap w:val="0"/>
            <w:vAlign w:val="center"/>
          </w:tcPr>
          <w:p w14:paraId="1BF24945">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7D6D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1141FBF1">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挥发性盐基氮/（mg/100g</w:t>
            </w:r>
            <w:r>
              <w:rPr>
                <w:rFonts w:hint="eastAsia" w:ascii="宋体" w:hAnsi="宋体" w:eastAsia="宋体" w:cs="宋体"/>
                <w:color w:val="auto"/>
                <w:sz w:val="24"/>
                <w:szCs w:val="24"/>
                <w:highlight w:val="none"/>
                <w:lang w:eastAsia="zh-CN"/>
              </w:rPr>
              <w:t>）</w:t>
            </w:r>
          </w:p>
        </w:tc>
        <w:tc>
          <w:tcPr>
            <w:tcW w:w="3041" w:type="dxa"/>
            <w:shd w:val="clear" w:color="000000" w:fill="FFFFFF"/>
            <w:noWrap w:val="0"/>
            <w:vAlign w:val="center"/>
          </w:tcPr>
          <w:p w14:paraId="29303E9F">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33C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7E46330B">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汞/（mg/kg</w:t>
            </w:r>
            <w:r>
              <w:rPr>
                <w:rFonts w:hint="eastAsia" w:ascii="宋体" w:hAnsi="宋体" w:eastAsia="宋体" w:cs="宋体"/>
                <w:color w:val="auto"/>
                <w:sz w:val="24"/>
                <w:szCs w:val="24"/>
                <w:highlight w:val="none"/>
                <w:lang w:eastAsia="zh-CN"/>
              </w:rPr>
              <w:t>）</w:t>
            </w:r>
          </w:p>
        </w:tc>
        <w:tc>
          <w:tcPr>
            <w:tcW w:w="3041" w:type="dxa"/>
            <w:shd w:val="clear" w:color="000000" w:fill="FFFFFF"/>
            <w:noWrap w:val="0"/>
            <w:vAlign w:val="center"/>
          </w:tcPr>
          <w:p w14:paraId="623C26D2">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14:paraId="147D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4CC5F093">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菌落总数/cfu/g</w:t>
            </w:r>
          </w:p>
        </w:tc>
        <w:tc>
          <w:tcPr>
            <w:tcW w:w="3041" w:type="dxa"/>
            <w:shd w:val="clear" w:color="000000" w:fill="FFFFFF"/>
            <w:noWrap w:val="0"/>
            <w:vAlign w:val="center"/>
          </w:tcPr>
          <w:p w14:paraId="5B5DDD22">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≤5×105</w:t>
            </w:r>
          </w:p>
        </w:tc>
      </w:tr>
      <w:tr w14:paraId="0D8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261A18BC">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大肠菌群/MPN/100g</w:t>
            </w:r>
          </w:p>
        </w:tc>
        <w:tc>
          <w:tcPr>
            <w:tcW w:w="3041" w:type="dxa"/>
            <w:shd w:val="clear" w:color="000000" w:fill="FFFFFF"/>
            <w:noWrap w:val="0"/>
            <w:vAlign w:val="center"/>
          </w:tcPr>
          <w:p w14:paraId="3D186818">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≤5×103</w:t>
            </w:r>
          </w:p>
        </w:tc>
      </w:tr>
      <w:tr w14:paraId="2321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1C7EFFB3">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沙门氏菌</w:t>
            </w:r>
          </w:p>
        </w:tc>
        <w:tc>
          <w:tcPr>
            <w:tcW w:w="3041" w:type="dxa"/>
            <w:shd w:val="clear" w:color="000000" w:fill="FFFFFF"/>
            <w:noWrap w:val="0"/>
            <w:vAlign w:val="center"/>
          </w:tcPr>
          <w:p w14:paraId="535FFB08">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0/25ga</w:t>
            </w:r>
          </w:p>
        </w:tc>
      </w:tr>
      <w:tr w14:paraId="37BC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center"/>
          </w:tcPr>
          <w:p w14:paraId="3CF922FA">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出血性大肠埃希氏菌</w:t>
            </w:r>
          </w:p>
        </w:tc>
        <w:tc>
          <w:tcPr>
            <w:tcW w:w="3041" w:type="dxa"/>
            <w:shd w:val="clear" w:color="000000" w:fill="FFFFFF"/>
            <w:noWrap w:val="0"/>
            <w:vAlign w:val="center"/>
          </w:tcPr>
          <w:p w14:paraId="1E3D4EC0">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0/25ga</w:t>
            </w:r>
          </w:p>
        </w:tc>
      </w:tr>
      <w:tr w14:paraId="3E0C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9" w:type="dxa"/>
            <w:shd w:val="clear" w:color="000000" w:fill="FFFFFF"/>
            <w:noWrap w:val="0"/>
            <w:vAlign w:val="bottom"/>
          </w:tcPr>
          <w:p w14:paraId="646ED25C">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致病菌（志贺氏菌、金黄色葡萄球菌）</w:t>
            </w:r>
          </w:p>
        </w:tc>
        <w:tc>
          <w:tcPr>
            <w:tcW w:w="3041" w:type="dxa"/>
            <w:shd w:val="clear" w:color="000000" w:fill="FFFFFF"/>
            <w:noWrap w:val="0"/>
            <w:vAlign w:val="center"/>
          </w:tcPr>
          <w:p w14:paraId="6FC722EF">
            <w:pPr>
              <w:pStyle w:val="52"/>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不得检出</w:t>
            </w:r>
          </w:p>
        </w:tc>
      </w:tr>
    </w:tbl>
    <w:p w14:paraId="10B00A04">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（六）米面油类</w:t>
      </w:r>
    </w:p>
    <w:p w14:paraId="354279D9">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大米为优质粳米，包装上必须注明生产日期、保质期、最佳食用期、规格、生产地等相关内容，外观应颗粒饱满，完整，大小均匀，无虫害及霉变，无杂质，无陈米、酸败及其它异味，口感好。符合GB/T 1354-2018</w:t>
      </w:r>
      <w:r>
        <w:rPr>
          <w:rFonts w:hint="eastAsia" w:ascii="宋体" w:hAnsi="宋体" w:eastAsia="宋体" w:cs="宋体"/>
          <w:color w:val="auto"/>
          <w:sz w:val="24"/>
          <w:szCs w:val="24"/>
          <w:highlight w:val="none"/>
          <w:lang w:eastAsia="zh-CN"/>
        </w:rPr>
        <w:t>《大米》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供货时提供大米检验报告复印件</w:t>
      </w:r>
      <w:r>
        <w:rPr>
          <w:rFonts w:hint="eastAsia" w:ascii="宋体" w:hAnsi="宋体" w:eastAsia="宋体" w:cs="宋体"/>
          <w:color w:val="auto"/>
          <w:sz w:val="24"/>
          <w:szCs w:val="24"/>
          <w:highlight w:val="none"/>
          <w:lang w:eastAsia="zh-CN"/>
        </w:rPr>
        <w:t>）。</w:t>
      </w:r>
    </w:p>
    <w:p w14:paraId="036385F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面粉为优质特制一等（精制级）小麦粉，包装上必须注明生产日期、保质期、规格、生产地等相关内容。符合</w:t>
      </w:r>
      <w:r>
        <w:rPr>
          <w:rFonts w:hint="eastAsia" w:ascii="宋体" w:hAnsi="宋体" w:eastAsia="宋体" w:cs="宋体"/>
          <w:color w:val="auto"/>
          <w:sz w:val="24"/>
          <w:szCs w:val="24"/>
          <w:highlight w:val="none"/>
          <w:lang w:val="en-US" w:eastAsia="zh-CN"/>
        </w:rPr>
        <w:t>GB/T 1355-1986《小麦粉》、</w:t>
      </w:r>
      <w:r>
        <w:rPr>
          <w:rFonts w:hint="eastAsia" w:ascii="宋体" w:hAnsi="宋体" w:eastAsia="宋体" w:cs="宋体"/>
          <w:color w:val="auto"/>
          <w:sz w:val="24"/>
          <w:szCs w:val="24"/>
          <w:highlight w:val="none"/>
        </w:rPr>
        <w:t>符合GB 2715《粮食卫生标准》</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供货时提供面粉检验报告复印件</w:t>
      </w:r>
      <w:r>
        <w:rPr>
          <w:rFonts w:hint="eastAsia" w:ascii="宋体" w:hAnsi="宋体" w:eastAsia="宋体" w:cs="宋体"/>
          <w:color w:val="auto"/>
          <w:sz w:val="24"/>
          <w:szCs w:val="24"/>
          <w:highlight w:val="none"/>
          <w:lang w:val="en-US" w:eastAsia="zh-CN"/>
        </w:rPr>
        <w:t>）。</w:t>
      </w:r>
    </w:p>
    <w:p w14:paraId="02D73C2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食用油为非转基因加工食用植物油，包装上必须注明生产日期、保质期、规格、生产地址等相关内容，产品应具有色泽及透明度、气味，无焦臭、酸败及其他异味状态，无正常视力可见的异物杂质、残渣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lang w:eastAsia="zh-CN"/>
        </w:rPr>
        <w:t>GB 2716-2018《</w:t>
      </w:r>
      <w:r>
        <w:rPr>
          <w:rFonts w:hint="eastAsia" w:ascii="宋体" w:hAnsi="宋体" w:eastAsia="宋体" w:cs="宋体"/>
          <w:color w:val="auto"/>
          <w:sz w:val="24"/>
          <w:szCs w:val="24"/>
          <w:highlight w:val="none"/>
        </w:rPr>
        <w:t>食品安全国家标准 植物油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供货时提供植物油检验报告复印件</w:t>
      </w:r>
      <w:r>
        <w:rPr>
          <w:rFonts w:hint="eastAsia" w:ascii="宋体" w:hAnsi="宋体" w:eastAsia="宋体" w:cs="宋体"/>
          <w:color w:val="auto"/>
          <w:sz w:val="24"/>
          <w:szCs w:val="24"/>
          <w:highlight w:val="none"/>
          <w:lang w:val="en-US" w:eastAsia="zh-CN"/>
        </w:rPr>
        <w:t>）。</w:t>
      </w:r>
    </w:p>
    <w:p w14:paraId="5F2D0AF1">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（七）干副调料（含干货）类</w:t>
      </w:r>
    </w:p>
    <w:p w14:paraId="1B5DCE40">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干货调料品主要检查包装上注明的生产日期、保质期、规格、生产地等相关内容。干菜、大料、干货等散装的料品是否有发霉、变质的现象。</w:t>
      </w:r>
    </w:p>
    <w:p w14:paraId="2F4260B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干货调料、生粉豆制品、半成品、调味品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食盐、味精、酱油、醋、糖等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等有</w:t>
      </w:r>
      <w:r>
        <w:rPr>
          <w:rFonts w:hint="eastAsia" w:ascii="宋体" w:hAnsi="宋体" w:eastAsia="宋体" w:cs="宋体"/>
          <w:color w:val="auto"/>
          <w:sz w:val="24"/>
          <w:szCs w:val="24"/>
          <w:highlight w:val="none"/>
          <w:lang w:eastAsia="zh-CN"/>
        </w:rPr>
        <w:t>SC</w:t>
      </w:r>
      <w:r>
        <w:rPr>
          <w:rFonts w:hint="eastAsia" w:ascii="宋体" w:hAnsi="宋体" w:eastAsia="宋体" w:cs="宋体"/>
          <w:color w:val="auto"/>
          <w:sz w:val="24"/>
          <w:szCs w:val="24"/>
          <w:highlight w:val="none"/>
        </w:rPr>
        <w:t>标志。散装的料品在验收时注意检查里面是否含有杂质，有无烂的、碎的、小石子、干燥度、色泽，是否有异味等。</w:t>
      </w:r>
    </w:p>
    <w:p w14:paraId="1D64F3EA">
      <w:pPr>
        <w:pStyle w:val="5"/>
        <w:spacing w:before="0" w:after="0" w:line="360" w:lineRule="auto"/>
        <w:ind w:firstLine="482" w:firstLineChars="200"/>
        <w:rPr>
          <w:rFonts w:hint="eastAsia" w:ascii="宋体" w:hAnsi="宋体" w:eastAsia="宋体" w:cs="宋体"/>
          <w:b/>
          <w:bCs w:val="0"/>
          <w:color w:val="auto"/>
          <w:sz w:val="24"/>
          <w:szCs w:val="24"/>
          <w:highlight w:val="none"/>
          <w:lang w:val="zh-CN" w:eastAsia="zh-CN"/>
        </w:rPr>
      </w:pPr>
      <w:bookmarkStart w:id="86" w:name="_Toc12123"/>
      <w:bookmarkStart w:id="87" w:name="_Toc29707"/>
      <w:bookmarkStart w:id="88" w:name="_Toc23161"/>
      <w:bookmarkStart w:id="89" w:name="_Toc1026"/>
      <w:bookmarkStart w:id="90" w:name="_Toc15617"/>
      <w:bookmarkStart w:id="91" w:name="_Toc16349"/>
      <w:bookmarkStart w:id="92" w:name="_Toc23885"/>
      <w:bookmarkStart w:id="93" w:name="_Toc12134"/>
      <w:bookmarkStart w:id="94" w:name="_Toc16038"/>
      <w:bookmarkStart w:id="95" w:name="_Toc29132"/>
      <w:bookmarkStart w:id="96" w:name="_Toc15853"/>
      <w:bookmarkStart w:id="97" w:name="_Toc30150"/>
      <w:bookmarkStart w:id="98" w:name="_Toc24585"/>
      <w:bookmarkStart w:id="99" w:name="_Toc17183"/>
      <w:bookmarkStart w:id="100" w:name="_Toc20357"/>
      <w:bookmarkStart w:id="101" w:name="_Toc7949"/>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lang w:val="zh-CN" w:eastAsia="zh-CN"/>
        </w:rPr>
        <w:t>考核办法</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4CD26F4">
      <w:pPr>
        <w:pStyle w:val="9"/>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月度考核情况表</w:t>
      </w:r>
    </w:p>
    <w:p w14:paraId="1AC14DBD">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w:t>
      </w:r>
    </w:p>
    <w:tbl>
      <w:tblPr>
        <w:tblStyle w:val="23"/>
        <w:tblW w:w="9544" w:type="dxa"/>
        <w:jc w:val="center"/>
        <w:tblLayout w:type="fixed"/>
        <w:tblCellMar>
          <w:top w:w="0" w:type="dxa"/>
          <w:left w:w="108" w:type="dxa"/>
          <w:bottom w:w="0" w:type="dxa"/>
          <w:right w:w="108" w:type="dxa"/>
        </w:tblCellMar>
      </w:tblPr>
      <w:tblGrid>
        <w:gridCol w:w="1133"/>
        <w:gridCol w:w="2099"/>
        <w:gridCol w:w="5047"/>
        <w:gridCol w:w="1265"/>
      </w:tblGrid>
      <w:tr w14:paraId="67642FF6">
        <w:tblPrEx>
          <w:tblCellMar>
            <w:top w:w="0" w:type="dxa"/>
            <w:left w:w="108" w:type="dxa"/>
            <w:bottom w:w="0" w:type="dxa"/>
            <w:right w:w="108" w:type="dxa"/>
          </w:tblCellMar>
        </w:tblPrEx>
        <w:trPr>
          <w:trHeight w:val="597"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14:paraId="432E249B">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w:t>
            </w:r>
          </w:p>
        </w:tc>
        <w:tc>
          <w:tcPr>
            <w:tcW w:w="2099" w:type="dxa"/>
            <w:tcBorders>
              <w:top w:val="single" w:color="auto" w:sz="4" w:space="0"/>
              <w:left w:val="nil"/>
              <w:bottom w:val="single" w:color="auto" w:sz="4" w:space="0"/>
              <w:right w:val="single" w:color="auto" w:sz="4" w:space="0"/>
            </w:tcBorders>
            <w:noWrap w:val="0"/>
            <w:vAlign w:val="center"/>
          </w:tcPr>
          <w:p w14:paraId="2B1BF833">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考核指标</w:t>
            </w:r>
          </w:p>
        </w:tc>
        <w:tc>
          <w:tcPr>
            <w:tcW w:w="5047" w:type="dxa"/>
            <w:tcBorders>
              <w:top w:val="single" w:color="auto" w:sz="4" w:space="0"/>
              <w:left w:val="nil"/>
              <w:bottom w:val="single" w:color="auto" w:sz="4" w:space="0"/>
              <w:right w:val="single" w:color="auto" w:sz="4" w:space="0"/>
            </w:tcBorders>
            <w:noWrap w:val="0"/>
            <w:vAlign w:val="center"/>
          </w:tcPr>
          <w:p w14:paraId="7EA3B380">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考核说明</w:t>
            </w:r>
          </w:p>
        </w:tc>
        <w:tc>
          <w:tcPr>
            <w:tcW w:w="1265" w:type="dxa"/>
            <w:tcBorders>
              <w:top w:val="single" w:color="auto" w:sz="4" w:space="0"/>
              <w:left w:val="nil"/>
              <w:bottom w:val="single" w:color="auto" w:sz="4" w:space="0"/>
              <w:right w:val="single" w:color="auto" w:sz="4" w:space="0"/>
            </w:tcBorders>
            <w:noWrap w:val="0"/>
            <w:vAlign w:val="center"/>
          </w:tcPr>
          <w:p w14:paraId="46D59CFD">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考核得分</w:t>
            </w:r>
          </w:p>
        </w:tc>
      </w:tr>
      <w:tr w14:paraId="0937305B">
        <w:tblPrEx>
          <w:tblCellMar>
            <w:top w:w="0" w:type="dxa"/>
            <w:left w:w="108" w:type="dxa"/>
            <w:bottom w:w="0" w:type="dxa"/>
            <w:right w:w="108" w:type="dxa"/>
          </w:tblCellMar>
        </w:tblPrEx>
        <w:trPr>
          <w:trHeight w:val="1012"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14:paraId="37462180">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货品质量</w:t>
            </w:r>
          </w:p>
          <w:p w14:paraId="2A9443B7">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（20分）</w:t>
            </w:r>
          </w:p>
        </w:tc>
        <w:tc>
          <w:tcPr>
            <w:tcW w:w="2099" w:type="dxa"/>
            <w:tcBorders>
              <w:top w:val="nil"/>
              <w:left w:val="nil"/>
              <w:bottom w:val="single" w:color="auto" w:sz="4" w:space="0"/>
              <w:right w:val="single" w:color="auto" w:sz="4" w:space="0"/>
            </w:tcBorders>
            <w:noWrap w:val="0"/>
            <w:vAlign w:val="center"/>
          </w:tcPr>
          <w:p w14:paraId="41CD652F">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配送货物质量合格（4分）</w:t>
            </w:r>
          </w:p>
        </w:tc>
        <w:tc>
          <w:tcPr>
            <w:tcW w:w="5047" w:type="dxa"/>
            <w:tcBorders>
              <w:top w:val="nil"/>
              <w:left w:val="nil"/>
              <w:bottom w:val="single" w:color="auto" w:sz="4" w:space="0"/>
              <w:right w:val="single" w:color="auto" w:sz="4" w:space="0"/>
            </w:tcBorders>
            <w:noWrap w:val="0"/>
            <w:vAlign w:val="center"/>
          </w:tcPr>
          <w:p w14:paraId="42DB4B6A">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出现货物腐烂变质，霉变等质量问题的，每个单品一次扣1分；出现以次充好、夹带等情况每个单品一次扣1分；出现其他货品质量不符合标书、合同约定要求等问题的，每个单品一次扣1分。</w:t>
            </w:r>
          </w:p>
        </w:tc>
        <w:tc>
          <w:tcPr>
            <w:tcW w:w="1265" w:type="dxa"/>
            <w:tcBorders>
              <w:top w:val="nil"/>
              <w:left w:val="nil"/>
              <w:bottom w:val="single" w:color="auto" w:sz="4" w:space="0"/>
              <w:right w:val="single" w:color="auto" w:sz="4" w:space="0"/>
            </w:tcBorders>
            <w:noWrap w:val="0"/>
            <w:vAlign w:val="center"/>
          </w:tcPr>
          <w:p w14:paraId="12C6F195">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362FEC9C">
        <w:tblPrEx>
          <w:tblCellMar>
            <w:top w:w="0" w:type="dxa"/>
            <w:left w:w="108" w:type="dxa"/>
            <w:bottom w:w="0" w:type="dxa"/>
            <w:right w:w="108" w:type="dxa"/>
          </w:tblCellMar>
        </w:tblPrEx>
        <w:trPr>
          <w:trHeight w:val="1128"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6B394BDA">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4465F0E5">
            <w:pPr>
              <w:pStyle w:val="9"/>
              <w:spacing w:beforeLines="0" w:afterLines="0"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配送品种、品牌、规格、品质等符合约定标准的货物(4分）</w:t>
            </w:r>
          </w:p>
        </w:tc>
        <w:tc>
          <w:tcPr>
            <w:tcW w:w="5047" w:type="dxa"/>
            <w:tcBorders>
              <w:top w:val="nil"/>
              <w:left w:val="nil"/>
              <w:bottom w:val="single" w:color="auto" w:sz="4" w:space="0"/>
              <w:right w:val="single" w:color="auto" w:sz="4" w:space="0"/>
            </w:tcBorders>
            <w:noWrap w:val="0"/>
            <w:vAlign w:val="center"/>
          </w:tcPr>
          <w:p w14:paraId="649D6786">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未经同意不得随意更换货物的品牌、品种，随意更换的，每个单品一次扣0.5分并做退货处理。</w:t>
            </w:r>
          </w:p>
        </w:tc>
        <w:tc>
          <w:tcPr>
            <w:tcW w:w="1265" w:type="dxa"/>
            <w:tcBorders>
              <w:top w:val="nil"/>
              <w:left w:val="nil"/>
              <w:bottom w:val="single" w:color="auto" w:sz="4" w:space="0"/>
              <w:right w:val="single" w:color="auto" w:sz="4" w:space="0"/>
            </w:tcBorders>
            <w:noWrap w:val="0"/>
            <w:vAlign w:val="center"/>
          </w:tcPr>
          <w:p w14:paraId="35F56C97">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7FF70E66">
        <w:tblPrEx>
          <w:tblCellMar>
            <w:top w:w="0" w:type="dxa"/>
            <w:left w:w="108" w:type="dxa"/>
            <w:bottom w:w="0" w:type="dxa"/>
            <w:right w:w="108" w:type="dxa"/>
          </w:tblCellMar>
        </w:tblPrEx>
        <w:trPr>
          <w:trHeight w:val="846"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6AAEB5C1">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558909C8">
            <w:pPr>
              <w:pStyle w:val="9"/>
              <w:spacing w:beforeLines="0" w:afterLines="0"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配送具备相关产品信息的货物(4分）</w:t>
            </w:r>
          </w:p>
        </w:tc>
        <w:tc>
          <w:tcPr>
            <w:tcW w:w="5047" w:type="dxa"/>
            <w:tcBorders>
              <w:top w:val="nil"/>
              <w:left w:val="nil"/>
              <w:bottom w:val="single" w:color="auto" w:sz="4" w:space="0"/>
              <w:right w:val="single" w:color="auto" w:sz="4" w:space="0"/>
            </w:tcBorders>
            <w:noWrap w:val="0"/>
            <w:vAlign w:val="center"/>
          </w:tcPr>
          <w:p w14:paraId="50B83276">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货物应有相关产品信息（包括生产厂家、生产日期、保质期、SC标识等），如没有，每个单品每次扣1分。                </w:t>
            </w:r>
          </w:p>
        </w:tc>
        <w:tc>
          <w:tcPr>
            <w:tcW w:w="1265" w:type="dxa"/>
            <w:tcBorders>
              <w:top w:val="nil"/>
              <w:left w:val="nil"/>
              <w:bottom w:val="single" w:color="auto" w:sz="4" w:space="0"/>
              <w:right w:val="single" w:color="auto" w:sz="4" w:space="0"/>
            </w:tcBorders>
            <w:noWrap w:val="0"/>
            <w:vAlign w:val="center"/>
          </w:tcPr>
          <w:p w14:paraId="60D803DC">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315D0A3F">
        <w:tblPrEx>
          <w:tblCellMar>
            <w:top w:w="0" w:type="dxa"/>
            <w:left w:w="108" w:type="dxa"/>
            <w:bottom w:w="0" w:type="dxa"/>
            <w:right w:w="108" w:type="dxa"/>
          </w:tblCellMar>
        </w:tblPrEx>
        <w:trPr>
          <w:trHeight w:val="1128"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1B0E0C34">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3F853847">
            <w:pPr>
              <w:pStyle w:val="9"/>
              <w:spacing w:beforeLines="0" w:afterLines="0"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配送数量浮动标准(4分）</w:t>
            </w:r>
          </w:p>
        </w:tc>
        <w:tc>
          <w:tcPr>
            <w:tcW w:w="5047" w:type="dxa"/>
            <w:tcBorders>
              <w:top w:val="nil"/>
              <w:left w:val="nil"/>
              <w:bottom w:val="single" w:color="auto" w:sz="4" w:space="0"/>
              <w:right w:val="single" w:color="auto" w:sz="4" w:space="0"/>
            </w:tcBorders>
            <w:noWrap w:val="0"/>
            <w:vAlign w:val="center"/>
          </w:tcPr>
          <w:p w14:paraId="7ABBCCBA">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般货物实际供应量以计划数量基础上下浮动不得超过10%，整件类货物上下浮动不得超过10%，货物计划数量在10斤以上的，上下浮动不得超过5%，如超过相应比例，每个单品一次扣0.5分（特殊情况，商请采购人同意的，除外）。</w:t>
            </w:r>
          </w:p>
        </w:tc>
        <w:tc>
          <w:tcPr>
            <w:tcW w:w="1265" w:type="dxa"/>
            <w:tcBorders>
              <w:top w:val="nil"/>
              <w:left w:val="nil"/>
              <w:bottom w:val="single" w:color="auto" w:sz="4" w:space="0"/>
              <w:right w:val="single" w:color="auto" w:sz="4" w:space="0"/>
            </w:tcBorders>
            <w:noWrap w:val="0"/>
            <w:vAlign w:val="center"/>
          </w:tcPr>
          <w:p w14:paraId="026DFDA2">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58D6B8A9">
        <w:tblPrEx>
          <w:tblCellMar>
            <w:top w:w="0" w:type="dxa"/>
            <w:left w:w="108" w:type="dxa"/>
            <w:bottom w:w="0" w:type="dxa"/>
            <w:right w:w="108" w:type="dxa"/>
          </w:tblCellMar>
        </w:tblPrEx>
        <w:trPr>
          <w:trHeight w:val="975"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3DC0CCAB">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22CCAAE1">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抽检管理(4分）</w:t>
            </w:r>
          </w:p>
        </w:tc>
        <w:tc>
          <w:tcPr>
            <w:tcW w:w="5047" w:type="dxa"/>
            <w:tcBorders>
              <w:top w:val="nil"/>
              <w:left w:val="nil"/>
              <w:bottom w:val="single" w:color="auto" w:sz="4" w:space="0"/>
              <w:right w:val="single" w:color="auto" w:sz="4" w:space="0"/>
            </w:tcBorders>
            <w:noWrap w:val="0"/>
            <w:vAlign w:val="center"/>
          </w:tcPr>
          <w:p w14:paraId="24132152">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配送商应按要求对配送的蔬菜类货品进行农残抽检，抽检结果及时报送采购人，缺少一次扣1分；采购人每月对蔬菜类货品进行农残抽检，如不合格，一次扣2分。</w:t>
            </w:r>
          </w:p>
        </w:tc>
        <w:tc>
          <w:tcPr>
            <w:tcW w:w="1265" w:type="dxa"/>
            <w:tcBorders>
              <w:top w:val="nil"/>
              <w:left w:val="nil"/>
              <w:bottom w:val="single" w:color="auto" w:sz="4" w:space="0"/>
              <w:right w:val="single" w:color="auto" w:sz="4" w:space="0"/>
            </w:tcBorders>
            <w:noWrap w:val="0"/>
            <w:vAlign w:val="center"/>
          </w:tcPr>
          <w:p w14:paraId="370A6E5D">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5D659BF2">
        <w:tblPrEx>
          <w:tblCellMar>
            <w:top w:w="0" w:type="dxa"/>
            <w:left w:w="108" w:type="dxa"/>
            <w:bottom w:w="0" w:type="dxa"/>
            <w:right w:w="108" w:type="dxa"/>
          </w:tblCellMar>
        </w:tblPrEx>
        <w:trPr>
          <w:trHeight w:val="881"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14:paraId="29AAF531">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服务质量（20分）</w:t>
            </w:r>
          </w:p>
        </w:tc>
        <w:tc>
          <w:tcPr>
            <w:tcW w:w="2099" w:type="dxa"/>
            <w:vMerge w:val="restart"/>
            <w:tcBorders>
              <w:top w:val="nil"/>
              <w:left w:val="single" w:color="auto" w:sz="4" w:space="0"/>
              <w:bottom w:val="single" w:color="auto" w:sz="4" w:space="0"/>
              <w:right w:val="single" w:color="auto" w:sz="4" w:space="0"/>
            </w:tcBorders>
            <w:noWrap w:val="0"/>
            <w:vAlign w:val="center"/>
          </w:tcPr>
          <w:p w14:paraId="0A7C6834">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配送时间（10分）</w:t>
            </w:r>
          </w:p>
        </w:tc>
        <w:tc>
          <w:tcPr>
            <w:tcW w:w="5047" w:type="dxa"/>
            <w:tcBorders>
              <w:top w:val="nil"/>
              <w:left w:val="nil"/>
              <w:bottom w:val="single" w:color="auto" w:sz="4" w:space="0"/>
              <w:right w:val="single" w:color="auto" w:sz="4" w:space="0"/>
            </w:tcBorders>
            <w:noWrap w:val="0"/>
            <w:vAlign w:val="top"/>
          </w:tcPr>
          <w:p w14:paraId="2C39B328">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每日所需物资中的蔬菜类、干副调料等须于当日早上7：00前送达。延时1小时之前送达的，一次扣1分；延时1小时之后送达的，一次扣2分；影响开餐的，一次扣5分，超过2次的取消供货资格。</w:t>
            </w:r>
          </w:p>
        </w:tc>
        <w:tc>
          <w:tcPr>
            <w:tcW w:w="1265" w:type="dxa"/>
            <w:tcBorders>
              <w:top w:val="nil"/>
              <w:left w:val="nil"/>
              <w:bottom w:val="single" w:color="auto" w:sz="4" w:space="0"/>
              <w:right w:val="single" w:color="auto" w:sz="4" w:space="0"/>
            </w:tcBorders>
            <w:noWrap w:val="0"/>
            <w:vAlign w:val="top"/>
          </w:tcPr>
          <w:p w14:paraId="69D86C2D">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6E9F185A">
        <w:tblPrEx>
          <w:tblCellMar>
            <w:top w:w="0" w:type="dxa"/>
            <w:left w:w="108" w:type="dxa"/>
            <w:bottom w:w="0" w:type="dxa"/>
            <w:right w:w="108" w:type="dxa"/>
          </w:tblCellMar>
        </w:tblPrEx>
        <w:trPr>
          <w:trHeight w:val="892"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2CCBAD4F">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vMerge w:val="continue"/>
            <w:tcBorders>
              <w:top w:val="nil"/>
              <w:left w:val="single" w:color="auto" w:sz="4" w:space="0"/>
              <w:bottom w:val="single" w:color="auto" w:sz="4" w:space="0"/>
              <w:right w:val="single" w:color="auto" w:sz="4" w:space="0"/>
            </w:tcBorders>
            <w:noWrap w:val="0"/>
            <w:vAlign w:val="center"/>
          </w:tcPr>
          <w:p w14:paraId="56A1CCBA">
            <w:pPr>
              <w:pStyle w:val="9"/>
              <w:keepNext w:val="0"/>
              <w:keepLines w:val="0"/>
              <w:pageBreakBefore w:val="0"/>
              <w:kinsoku/>
              <w:wordWrap/>
              <w:overflowPunct/>
              <w:topLinePunct w:val="0"/>
              <w:bidi w:val="0"/>
              <w:spacing w:beforeLines="0" w:afterLines="0" w:line="240" w:lineRule="auto"/>
              <w:ind w:firstLine="480" w:firstLineChars="200"/>
              <w:jc w:val="center"/>
              <w:textAlignment w:val="auto"/>
              <w:rPr>
                <w:rFonts w:hint="eastAsia" w:ascii="宋体" w:hAnsi="宋体" w:eastAsia="宋体" w:cs="宋体"/>
                <w:color w:val="auto"/>
                <w:sz w:val="24"/>
                <w:szCs w:val="24"/>
                <w:highlight w:val="none"/>
                <w:lang w:val="en-US" w:eastAsia="zh-CN"/>
              </w:rPr>
            </w:pPr>
          </w:p>
        </w:tc>
        <w:tc>
          <w:tcPr>
            <w:tcW w:w="5047" w:type="dxa"/>
            <w:tcBorders>
              <w:top w:val="nil"/>
              <w:left w:val="nil"/>
              <w:bottom w:val="single" w:color="auto" w:sz="4" w:space="0"/>
              <w:right w:val="single" w:color="auto" w:sz="4" w:space="0"/>
            </w:tcBorders>
            <w:noWrap w:val="0"/>
            <w:vAlign w:val="top"/>
          </w:tcPr>
          <w:p w14:paraId="1F9C958C">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应急（特别）保障任务应按照约定时间送达。延时1小时之内送达的，一次扣2分；延时1小时之后送达的，一次扣3分；影响开餐的，一次扣5分，超过2次的取消供货资格。</w:t>
            </w:r>
          </w:p>
        </w:tc>
        <w:tc>
          <w:tcPr>
            <w:tcW w:w="1265" w:type="dxa"/>
            <w:tcBorders>
              <w:top w:val="nil"/>
              <w:left w:val="nil"/>
              <w:bottom w:val="single" w:color="auto" w:sz="4" w:space="0"/>
              <w:right w:val="single" w:color="auto" w:sz="4" w:space="0"/>
            </w:tcBorders>
            <w:noWrap w:val="0"/>
            <w:vAlign w:val="top"/>
          </w:tcPr>
          <w:p w14:paraId="2075C1D3">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1BD5FB6D">
        <w:tblPrEx>
          <w:tblCellMar>
            <w:top w:w="0" w:type="dxa"/>
            <w:left w:w="108" w:type="dxa"/>
            <w:bottom w:w="0" w:type="dxa"/>
            <w:right w:w="108" w:type="dxa"/>
          </w:tblCellMar>
        </w:tblPrEx>
        <w:trPr>
          <w:trHeight w:val="908"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7C7A2B8B">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639F8F10">
            <w:pPr>
              <w:pStyle w:val="9"/>
              <w:spacing w:beforeLines="0" w:afterLines="0" w:line="24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退换、补货情况（10分）</w:t>
            </w:r>
          </w:p>
        </w:tc>
        <w:tc>
          <w:tcPr>
            <w:tcW w:w="5047" w:type="dxa"/>
            <w:tcBorders>
              <w:top w:val="nil"/>
              <w:left w:val="nil"/>
              <w:bottom w:val="single" w:color="auto" w:sz="4" w:space="0"/>
              <w:right w:val="single" w:color="auto" w:sz="4" w:space="0"/>
            </w:tcBorders>
            <w:noWrap w:val="0"/>
            <w:vAlign w:val="center"/>
          </w:tcPr>
          <w:p w14:paraId="42F004CC">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因送货错漏等原因导致货物数量不足的，应及时补足。非采购人原因，货物延迟送达30分钟以上60分钟以内的，一次扣0.5分；延迟送达60分钟以上的，一次扣1分；影响开餐的一次扣10分，超过2次的取消供货资格。</w:t>
            </w:r>
          </w:p>
        </w:tc>
        <w:tc>
          <w:tcPr>
            <w:tcW w:w="1265" w:type="dxa"/>
            <w:tcBorders>
              <w:top w:val="nil"/>
              <w:left w:val="nil"/>
              <w:bottom w:val="single" w:color="auto" w:sz="4" w:space="0"/>
              <w:right w:val="single" w:color="auto" w:sz="4" w:space="0"/>
            </w:tcBorders>
            <w:noWrap w:val="0"/>
            <w:vAlign w:val="center"/>
          </w:tcPr>
          <w:p w14:paraId="2A3A3D3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16650542">
        <w:tblPrEx>
          <w:tblCellMar>
            <w:top w:w="0" w:type="dxa"/>
            <w:left w:w="108" w:type="dxa"/>
            <w:bottom w:w="0" w:type="dxa"/>
            <w:right w:w="108" w:type="dxa"/>
          </w:tblCellMar>
        </w:tblPrEx>
        <w:trPr>
          <w:trHeight w:val="959"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14:paraId="526EBA8D">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订单处理配合（20分）</w:t>
            </w:r>
          </w:p>
        </w:tc>
        <w:tc>
          <w:tcPr>
            <w:tcW w:w="2099" w:type="dxa"/>
            <w:tcBorders>
              <w:top w:val="nil"/>
              <w:left w:val="nil"/>
              <w:bottom w:val="single" w:color="auto" w:sz="4" w:space="0"/>
              <w:right w:val="single" w:color="auto" w:sz="4" w:space="0"/>
            </w:tcBorders>
            <w:noWrap w:val="0"/>
            <w:vAlign w:val="center"/>
          </w:tcPr>
          <w:p w14:paraId="23F3809A">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市场采价（10分）</w:t>
            </w:r>
          </w:p>
        </w:tc>
        <w:tc>
          <w:tcPr>
            <w:tcW w:w="5047" w:type="dxa"/>
            <w:tcBorders>
              <w:top w:val="nil"/>
              <w:left w:val="nil"/>
              <w:bottom w:val="single" w:color="auto" w:sz="4" w:space="0"/>
              <w:right w:val="single" w:color="auto" w:sz="4" w:space="0"/>
            </w:tcBorders>
            <w:noWrap w:val="0"/>
            <w:vAlign w:val="center"/>
          </w:tcPr>
          <w:p w14:paraId="04C32985">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每月供应商应配合采购人到</w:t>
            </w:r>
            <w:r>
              <w:rPr>
                <w:rFonts w:hint="eastAsia" w:ascii="宋体" w:hAnsi="宋体" w:eastAsia="宋体" w:cs="宋体"/>
                <w:color w:val="auto"/>
                <w:kern w:val="0"/>
                <w:sz w:val="24"/>
                <w:szCs w:val="24"/>
                <w:highlight w:val="none"/>
              </w:rPr>
              <w:t>永辉超市</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新世纪</w:t>
            </w:r>
            <w:r>
              <w:rPr>
                <w:rFonts w:hint="eastAsia" w:ascii="宋体" w:hAnsi="宋体" w:eastAsia="宋体" w:cs="宋体"/>
                <w:color w:val="auto"/>
                <w:kern w:val="0"/>
                <w:sz w:val="24"/>
                <w:szCs w:val="24"/>
                <w:highlight w:val="none"/>
                <w:lang w:val="en-US" w:eastAsia="zh-CN"/>
              </w:rPr>
              <w:t>超市的</w:t>
            </w:r>
            <w:r>
              <w:rPr>
                <w:rFonts w:hint="eastAsia" w:ascii="宋体" w:hAnsi="宋体" w:eastAsia="宋体" w:cs="宋体"/>
                <w:color w:val="auto"/>
                <w:sz w:val="24"/>
                <w:szCs w:val="24"/>
                <w:highlight w:val="none"/>
                <w:lang w:val="en-US" w:eastAsia="zh-CN"/>
              </w:rPr>
              <w:t>市场采价活动，未参加的一次扣1分；如遇节假日，采价时间按照约定提前进行。</w:t>
            </w:r>
          </w:p>
        </w:tc>
        <w:tc>
          <w:tcPr>
            <w:tcW w:w="1265" w:type="dxa"/>
            <w:tcBorders>
              <w:top w:val="nil"/>
              <w:left w:val="nil"/>
              <w:bottom w:val="single" w:color="auto" w:sz="4" w:space="0"/>
              <w:right w:val="single" w:color="auto" w:sz="4" w:space="0"/>
            </w:tcBorders>
            <w:noWrap w:val="0"/>
            <w:vAlign w:val="center"/>
          </w:tcPr>
          <w:p w14:paraId="6D7E7446">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0E9D765A">
        <w:tblPrEx>
          <w:tblCellMar>
            <w:top w:w="0" w:type="dxa"/>
            <w:left w:w="108" w:type="dxa"/>
            <w:bottom w:w="0" w:type="dxa"/>
            <w:right w:w="108" w:type="dxa"/>
          </w:tblCellMar>
        </w:tblPrEx>
        <w:trPr>
          <w:trHeight w:val="627"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57A4FBD5">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554F2E2C">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价格确认（5分）</w:t>
            </w:r>
          </w:p>
        </w:tc>
        <w:tc>
          <w:tcPr>
            <w:tcW w:w="5047" w:type="dxa"/>
            <w:tcBorders>
              <w:top w:val="nil"/>
              <w:left w:val="nil"/>
              <w:bottom w:val="single" w:color="auto" w:sz="4" w:space="0"/>
              <w:right w:val="single" w:color="auto" w:sz="4" w:space="0"/>
            </w:tcBorders>
            <w:noWrap w:val="0"/>
            <w:vAlign w:val="center"/>
          </w:tcPr>
          <w:p w14:paraId="30CADD24">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如果采购人对定价有异议的，须于24小时内按约定格式回复，不按照规定时间回复的，视为无异议。</w:t>
            </w:r>
          </w:p>
        </w:tc>
        <w:tc>
          <w:tcPr>
            <w:tcW w:w="1265" w:type="dxa"/>
            <w:tcBorders>
              <w:top w:val="nil"/>
              <w:left w:val="nil"/>
              <w:bottom w:val="single" w:color="auto" w:sz="4" w:space="0"/>
              <w:right w:val="single" w:color="auto" w:sz="4" w:space="0"/>
            </w:tcBorders>
            <w:noWrap w:val="0"/>
            <w:vAlign w:val="center"/>
          </w:tcPr>
          <w:p w14:paraId="3D36291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4B219ECA">
        <w:tblPrEx>
          <w:tblCellMar>
            <w:top w:w="0" w:type="dxa"/>
            <w:left w:w="108" w:type="dxa"/>
            <w:bottom w:w="0" w:type="dxa"/>
            <w:right w:w="108" w:type="dxa"/>
          </w:tblCellMar>
        </w:tblPrEx>
        <w:trPr>
          <w:trHeight w:val="776"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4619FC8A">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72FD8E4B">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对账及结算（5分）</w:t>
            </w:r>
          </w:p>
        </w:tc>
        <w:tc>
          <w:tcPr>
            <w:tcW w:w="5047" w:type="dxa"/>
            <w:tcBorders>
              <w:top w:val="nil"/>
              <w:left w:val="nil"/>
              <w:bottom w:val="single" w:color="auto" w:sz="4" w:space="0"/>
              <w:right w:val="single" w:color="auto" w:sz="4" w:space="0"/>
            </w:tcBorders>
            <w:noWrap w:val="0"/>
            <w:vAlign w:val="center"/>
          </w:tcPr>
          <w:p w14:paraId="296A1F85">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对账及时准确，每月1-5日内核对清楚上月半月账目，15-20日核对当月上半月账目。因供应商原因延误的，一天扣0.2分。对账后，供应商应在3个工作日内开具发票，每逾期一个工作日，一天扣0.1分。</w:t>
            </w:r>
          </w:p>
        </w:tc>
        <w:tc>
          <w:tcPr>
            <w:tcW w:w="1265" w:type="dxa"/>
            <w:tcBorders>
              <w:top w:val="nil"/>
              <w:left w:val="nil"/>
              <w:bottom w:val="single" w:color="auto" w:sz="4" w:space="0"/>
              <w:right w:val="single" w:color="auto" w:sz="4" w:space="0"/>
            </w:tcBorders>
            <w:noWrap w:val="0"/>
            <w:vAlign w:val="center"/>
          </w:tcPr>
          <w:p w14:paraId="6A37206B">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2BDD7E8B">
        <w:tblPrEx>
          <w:tblCellMar>
            <w:top w:w="0" w:type="dxa"/>
            <w:left w:w="108" w:type="dxa"/>
            <w:bottom w:w="0" w:type="dxa"/>
            <w:right w:w="108" w:type="dxa"/>
          </w:tblCellMar>
        </w:tblPrEx>
        <w:trPr>
          <w:trHeight w:val="540"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14:paraId="3C76BA1F">
            <w:pPr>
              <w:pStyle w:val="9"/>
              <w:spacing w:beforeLines="0" w:afterLines="0"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人员车辆管理（20分）</w:t>
            </w:r>
          </w:p>
        </w:tc>
        <w:tc>
          <w:tcPr>
            <w:tcW w:w="2099" w:type="dxa"/>
            <w:tcBorders>
              <w:top w:val="nil"/>
              <w:left w:val="nil"/>
              <w:bottom w:val="single" w:color="auto" w:sz="4" w:space="0"/>
              <w:right w:val="single" w:color="auto" w:sz="4" w:space="0"/>
            </w:tcBorders>
            <w:noWrap w:val="0"/>
            <w:vAlign w:val="center"/>
          </w:tcPr>
          <w:p w14:paraId="13748DFC">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员工健康、个人卫生管理（10分）</w:t>
            </w:r>
          </w:p>
        </w:tc>
        <w:tc>
          <w:tcPr>
            <w:tcW w:w="5047" w:type="dxa"/>
            <w:tcBorders>
              <w:top w:val="nil"/>
              <w:left w:val="nil"/>
              <w:bottom w:val="single" w:color="auto" w:sz="4" w:space="0"/>
              <w:right w:val="single" w:color="auto" w:sz="4" w:space="0"/>
            </w:tcBorders>
            <w:noWrap w:val="0"/>
            <w:vAlign w:val="center"/>
          </w:tcPr>
          <w:p w14:paraId="7CFF31B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员工需衣着整洁，个人清洁卫生干净，明显不符合要求的，一人次扣0.5分。配送员工应持《健康证》，发现没有的，一人次扣2分。</w:t>
            </w:r>
          </w:p>
        </w:tc>
        <w:tc>
          <w:tcPr>
            <w:tcW w:w="1265" w:type="dxa"/>
            <w:tcBorders>
              <w:top w:val="nil"/>
              <w:left w:val="nil"/>
              <w:bottom w:val="single" w:color="auto" w:sz="4" w:space="0"/>
              <w:right w:val="single" w:color="auto" w:sz="4" w:space="0"/>
            </w:tcBorders>
            <w:noWrap w:val="0"/>
            <w:vAlign w:val="center"/>
          </w:tcPr>
          <w:p w14:paraId="0BF83BB2">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310BA300">
        <w:tblPrEx>
          <w:tblCellMar>
            <w:top w:w="0" w:type="dxa"/>
            <w:left w:w="108" w:type="dxa"/>
            <w:bottom w:w="0" w:type="dxa"/>
            <w:right w:w="108" w:type="dxa"/>
          </w:tblCellMar>
        </w:tblPrEx>
        <w:trPr>
          <w:trHeight w:val="517"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0C4675A5">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51122F48">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出入管理规定</w:t>
            </w:r>
          </w:p>
          <w:p w14:paraId="55394ECB">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047" w:type="dxa"/>
            <w:tcBorders>
              <w:top w:val="nil"/>
              <w:left w:val="nil"/>
              <w:bottom w:val="single" w:color="auto" w:sz="4" w:space="0"/>
              <w:right w:val="single" w:color="auto" w:sz="4" w:space="0"/>
            </w:tcBorders>
            <w:noWrap w:val="0"/>
            <w:vAlign w:val="center"/>
          </w:tcPr>
          <w:p w14:paraId="41907558">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配送车辆未经允许，不得进入采购人管理场所。否则，每次扣2分。</w:t>
            </w:r>
          </w:p>
        </w:tc>
        <w:tc>
          <w:tcPr>
            <w:tcW w:w="1265" w:type="dxa"/>
            <w:tcBorders>
              <w:top w:val="nil"/>
              <w:left w:val="nil"/>
              <w:bottom w:val="single" w:color="auto" w:sz="4" w:space="0"/>
              <w:right w:val="single" w:color="auto" w:sz="4" w:space="0"/>
            </w:tcBorders>
            <w:noWrap w:val="0"/>
            <w:vAlign w:val="center"/>
          </w:tcPr>
          <w:p w14:paraId="7BFBD260">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7893994D">
        <w:tblPrEx>
          <w:tblCellMar>
            <w:top w:w="0" w:type="dxa"/>
            <w:left w:w="108" w:type="dxa"/>
            <w:bottom w:w="0" w:type="dxa"/>
            <w:right w:w="108" w:type="dxa"/>
          </w:tblCellMar>
        </w:tblPrEx>
        <w:trPr>
          <w:trHeight w:val="312"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105E6C70">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727085D1">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配送车辆管理</w:t>
            </w:r>
          </w:p>
          <w:p w14:paraId="66A70164">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047" w:type="dxa"/>
            <w:tcBorders>
              <w:top w:val="nil"/>
              <w:left w:val="nil"/>
              <w:bottom w:val="single" w:color="auto" w:sz="4" w:space="0"/>
              <w:right w:val="single" w:color="auto" w:sz="4" w:space="0"/>
            </w:tcBorders>
            <w:noWrap w:val="0"/>
            <w:vAlign w:val="center"/>
          </w:tcPr>
          <w:p w14:paraId="1C6F1C6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配送物流车必须干净整洁，外观明显破损或车内有明显异味的，一次扣1分。</w:t>
            </w:r>
          </w:p>
        </w:tc>
        <w:tc>
          <w:tcPr>
            <w:tcW w:w="1265" w:type="dxa"/>
            <w:tcBorders>
              <w:top w:val="nil"/>
              <w:left w:val="nil"/>
              <w:bottom w:val="single" w:color="auto" w:sz="4" w:space="0"/>
              <w:right w:val="single" w:color="auto" w:sz="4" w:space="0"/>
            </w:tcBorders>
            <w:noWrap w:val="0"/>
            <w:vAlign w:val="center"/>
          </w:tcPr>
          <w:p w14:paraId="29AE2D28">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4A805289">
        <w:tblPrEx>
          <w:tblCellMar>
            <w:top w:w="0" w:type="dxa"/>
            <w:left w:w="108" w:type="dxa"/>
            <w:bottom w:w="0" w:type="dxa"/>
            <w:right w:w="108" w:type="dxa"/>
          </w:tblCellMar>
        </w:tblPrEx>
        <w:trPr>
          <w:trHeight w:val="497" w:hRule="atLeast"/>
          <w:jc w:val="center"/>
        </w:trPr>
        <w:tc>
          <w:tcPr>
            <w:tcW w:w="1133" w:type="dxa"/>
            <w:vMerge w:val="restart"/>
            <w:tcBorders>
              <w:top w:val="nil"/>
              <w:left w:val="single" w:color="auto" w:sz="4" w:space="0"/>
              <w:bottom w:val="single" w:color="auto" w:sz="4" w:space="0"/>
              <w:right w:val="single" w:color="auto" w:sz="4" w:space="0"/>
            </w:tcBorders>
            <w:noWrap w:val="0"/>
            <w:vAlign w:val="center"/>
          </w:tcPr>
          <w:p w14:paraId="5ED917DD">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其他（20分 ）</w:t>
            </w:r>
          </w:p>
        </w:tc>
        <w:tc>
          <w:tcPr>
            <w:tcW w:w="2099" w:type="dxa"/>
            <w:tcBorders>
              <w:top w:val="single" w:color="auto" w:sz="4" w:space="0"/>
              <w:left w:val="nil"/>
              <w:bottom w:val="single" w:color="auto" w:sz="4" w:space="0"/>
              <w:right w:val="single" w:color="auto" w:sz="4" w:space="0"/>
            </w:tcBorders>
            <w:noWrap w:val="0"/>
            <w:vAlign w:val="center"/>
          </w:tcPr>
          <w:p w14:paraId="3ED0DFA8">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代购物资（5分 ）</w:t>
            </w:r>
          </w:p>
        </w:tc>
        <w:tc>
          <w:tcPr>
            <w:tcW w:w="5047" w:type="dxa"/>
            <w:tcBorders>
              <w:top w:val="single" w:color="auto" w:sz="4" w:space="0"/>
              <w:left w:val="nil"/>
              <w:bottom w:val="single" w:color="auto" w:sz="4" w:space="0"/>
              <w:right w:val="single" w:color="auto" w:sz="4" w:space="0"/>
            </w:tcBorders>
            <w:noWrap w:val="0"/>
            <w:vAlign w:val="center"/>
          </w:tcPr>
          <w:p w14:paraId="736DD076">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采购人要求代购物资的，按采购人要求在约定时间内采购到位。每逾期一天，扣0.2分。</w:t>
            </w:r>
          </w:p>
        </w:tc>
        <w:tc>
          <w:tcPr>
            <w:tcW w:w="1265" w:type="dxa"/>
            <w:tcBorders>
              <w:top w:val="single" w:color="auto" w:sz="4" w:space="0"/>
              <w:left w:val="nil"/>
              <w:bottom w:val="single" w:color="auto" w:sz="4" w:space="0"/>
              <w:right w:val="single" w:color="auto" w:sz="4" w:space="0"/>
            </w:tcBorders>
            <w:noWrap w:val="0"/>
            <w:vAlign w:val="center"/>
          </w:tcPr>
          <w:p w14:paraId="2B8CC4D0">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169CB9F6">
        <w:tblPrEx>
          <w:tblCellMar>
            <w:top w:w="0" w:type="dxa"/>
            <w:left w:w="108" w:type="dxa"/>
            <w:bottom w:w="0" w:type="dxa"/>
            <w:right w:w="108" w:type="dxa"/>
          </w:tblCellMar>
        </w:tblPrEx>
        <w:trPr>
          <w:trHeight w:val="498"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13A77912">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19E838F6">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履行合同约定情况（10分）</w:t>
            </w:r>
          </w:p>
        </w:tc>
        <w:tc>
          <w:tcPr>
            <w:tcW w:w="5047" w:type="dxa"/>
            <w:tcBorders>
              <w:top w:val="nil"/>
              <w:left w:val="nil"/>
              <w:bottom w:val="single" w:color="auto" w:sz="4" w:space="0"/>
              <w:right w:val="single" w:color="auto" w:sz="4" w:space="0"/>
            </w:tcBorders>
            <w:noWrap w:val="0"/>
            <w:vAlign w:val="center"/>
          </w:tcPr>
          <w:p w14:paraId="19EDA22B">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合同约定或承诺的相关事项，未履行的，一项每次扣1分。</w:t>
            </w:r>
          </w:p>
        </w:tc>
        <w:tc>
          <w:tcPr>
            <w:tcW w:w="1265" w:type="dxa"/>
            <w:tcBorders>
              <w:top w:val="nil"/>
              <w:left w:val="nil"/>
              <w:bottom w:val="single" w:color="auto" w:sz="4" w:space="0"/>
              <w:right w:val="single" w:color="auto" w:sz="4" w:space="0"/>
            </w:tcBorders>
            <w:noWrap w:val="0"/>
            <w:vAlign w:val="center"/>
          </w:tcPr>
          <w:p w14:paraId="07896B19">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554BEBAA">
        <w:tblPrEx>
          <w:tblCellMar>
            <w:top w:w="0" w:type="dxa"/>
            <w:left w:w="108" w:type="dxa"/>
            <w:bottom w:w="0" w:type="dxa"/>
            <w:right w:w="108" w:type="dxa"/>
          </w:tblCellMar>
        </w:tblPrEx>
        <w:trPr>
          <w:trHeight w:val="459" w:hRule="atLeast"/>
          <w:jc w:val="center"/>
        </w:trPr>
        <w:tc>
          <w:tcPr>
            <w:tcW w:w="1133" w:type="dxa"/>
            <w:vMerge w:val="continue"/>
            <w:tcBorders>
              <w:top w:val="nil"/>
              <w:left w:val="single" w:color="auto" w:sz="4" w:space="0"/>
              <w:bottom w:val="single" w:color="auto" w:sz="4" w:space="0"/>
              <w:right w:val="single" w:color="auto" w:sz="4" w:space="0"/>
            </w:tcBorders>
            <w:noWrap w:val="0"/>
            <w:vAlign w:val="center"/>
          </w:tcPr>
          <w:p w14:paraId="6D1314F7">
            <w:pPr>
              <w:pStyle w:val="9"/>
              <w:keepNext w:val="0"/>
              <w:keepLines w:val="0"/>
              <w:pageBreakBefore w:val="0"/>
              <w:kinsoku/>
              <w:wordWrap/>
              <w:overflowPunct/>
              <w:topLinePunct w:val="0"/>
              <w:bidi w:val="0"/>
              <w:spacing w:beforeLines="0" w:afterLines="0" w:line="240" w:lineRule="auto"/>
              <w:ind w:firstLine="482" w:firstLineChars="200"/>
              <w:jc w:val="center"/>
              <w:textAlignment w:val="auto"/>
              <w:rPr>
                <w:rFonts w:hint="eastAsia" w:ascii="宋体" w:hAnsi="宋体" w:eastAsia="宋体" w:cs="宋体"/>
                <w:b/>
                <w:bCs/>
                <w:color w:val="auto"/>
                <w:sz w:val="24"/>
                <w:szCs w:val="24"/>
                <w:highlight w:val="none"/>
                <w:lang w:val="en-US" w:eastAsia="zh-CN"/>
              </w:rPr>
            </w:pPr>
          </w:p>
        </w:tc>
        <w:tc>
          <w:tcPr>
            <w:tcW w:w="2099" w:type="dxa"/>
            <w:tcBorders>
              <w:top w:val="nil"/>
              <w:left w:val="nil"/>
              <w:bottom w:val="single" w:color="auto" w:sz="4" w:space="0"/>
              <w:right w:val="single" w:color="auto" w:sz="4" w:space="0"/>
            </w:tcBorders>
            <w:noWrap w:val="0"/>
            <w:vAlign w:val="center"/>
          </w:tcPr>
          <w:p w14:paraId="73FAB583">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其他（5分）</w:t>
            </w:r>
          </w:p>
        </w:tc>
        <w:tc>
          <w:tcPr>
            <w:tcW w:w="5047" w:type="dxa"/>
            <w:tcBorders>
              <w:top w:val="nil"/>
              <w:left w:val="nil"/>
              <w:bottom w:val="single" w:color="auto" w:sz="4" w:space="0"/>
              <w:right w:val="single" w:color="auto" w:sz="4" w:space="0"/>
            </w:tcBorders>
            <w:noWrap w:val="0"/>
            <w:vAlign w:val="center"/>
          </w:tcPr>
          <w:p w14:paraId="0E8FDB79">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违反相关管理规定，被公开通报批评的，一次扣1分。</w:t>
            </w:r>
          </w:p>
        </w:tc>
        <w:tc>
          <w:tcPr>
            <w:tcW w:w="1265" w:type="dxa"/>
            <w:tcBorders>
              <w:top w:val="nil"/>
              <w:left w:val="nil"/>
              <w:bottom w:val="single" w:color="auto" w:sz="4" w:space="0"/>
              <w:right w:val="single" w:color="auto" w:sz="4" w:space="0"/>
            </w:tcBorders>
            <w:noWrap w:val="0"/>
            <w:vAlign w:val="center"/>
          </w:tcPr>
          <w:p w14:paraId="1A7A428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13508F5D">
        <w:tblPrEx>
          <w:tblCellMar>
            <w:top w:w="0" w:type="dxa"/>
            <w:left w:w="108" w:type="dxa"/>
            <w:bottom w:w="0" w:type="dxa"/>
            <w:right w:w="108" w:type="dxa"/>
          </w:tblCellMar>
        </w:tblPrEx>
        <w:trPr>
          <w:trHeight w:val="675"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14:paraId="649501AD">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加分项目</w:t>
            </w:r>
          </w:p>
        </w:tc>
        <w:tc>
          <w:tcPr>
            <w:tcW w:w="2099" w:type="dxa"/>
            <w:tcBorders>
              <w:top w:val="single" w:color="auto" w:sz="4" w:space="0"/>
              <w:left w:val="single" w:color="auto" w:sz="4" w:space="0"/>
              <w:bottom w:val="single" w:color="auto" w:sz="4" w:space="0"/>
              <w:right w:val="single" w:color="auto" w:sz="4" w:space="0"/>
            </w:tcBorders>
            <w:noWrap w:val="0"/>
            <w:vAlign w:val="center"/>
          </w:tcPr>
          <w:p w14:paraId="62DA2EB2">
            <w:pPr>
              <w:pStyle w:val="9"/>
              <w:keepNext w:val="0"/>
              <w:keepLines w:val="0"/>
              <w:pageBreakBefore w:val="0"/>
              <w:kinsoku/>
              <w:wordWrap/>
              <w:overflowPunct/>
              <w:topLinePunct w:val="0"/>
              <w:bidi w:val="0"/>
              <w:spacing w:beforeLines="0" w:afterLines="0" w:line="240" w:lineRule="auto"/>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应急任务</w:t>
            </w:r>
          </w:p>
        </w:tc>
        <w:tc>
          <w:tcPr>
            <w:tcW w:w="5047" w:type="dxa"/>
            <w:tcBorders>
              <w:top w:val="single" w:color="auto" w:sz="4" w:space="0"/>
              <w:left w:val="single" w:color="auto" w:sz="4" w:space="0"/>
              <w:bottom w:val="single" w:color="auto" w:sz="4" w:space="0"/>
              <w:right w:val="single" w:color="auto" w:sz="4" w:space="0"/>
            </w:tcBorders>
            <w:noWrap w:val="0"/>
            <w:vAlign w:val="center"/>
          </w:tcPr>
          <w:p w14:paraId="3DB21550">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顺利完成应急保障任务，每次加5分；完成综合（大型、伴随）保障任务每次加8分；2.推荐新食材被采用，每个单品加1分。</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1CFB62F">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r w14:paraId="68715584">
        <w:tblPrEx>
          <w:tblCellMar>
            <w:top w:w="0" w:type="dxa"/>
            <w:left w:w="108" w:type="dxa"/>
            <w:bottom w:w="0" w:type="dxa"/>
            <w:right w:w="108" w:type="dxa"/>
          </w:tblCellMar>
        </w:tblPrEx>
        <w:trPr>
          <w:trHeight w:val="675" w:hRule="atLeast"/>
          <w:jc w:val="center"/>
        </w:trPr>
        <w:tc>
          <w:tcPr>
            <w:tcW w:w="3232" w:type="dxa"/>
            <w:gridSpan w:val="2"/>
            <w:tcBorders>
              <w:top w:val="single" w:color="auto" w:sz="4" w:space="0"/>
              <w:left w:val="single" w:color="auto" w:sz="4" w:space="0"/>
              <w:bottom w:val="single" w:color="auto" w:sz="4" w:space="0"/>
              <w:right w:val="single" w:color="auto" w:sz="4" w:space="0"/>
            </w:tcBorders>
            <w:noWrap w:val="0"/>
            <w:vAlign w:val="center"/>
          </w:tcPr>
          <w:p w14:paraId="30AB7066">
            <w:pPr>
              <w:pStyle w:val="9"/>
              <w:keepNext w:val="0"/>
              <w:keepLines w:val="0"/>
              <w:pageBreakBefore w:val="0"/>
              <w:kinsoku/>
              <w:wordWrap/>
              <w:overflowPunct/>
              <w:topLinePunct w:val="0"/>
              <w:bidi w:val="0"/>
              <w:spacing w:beforeLines="0" w:afterLines="0" w:line="240" w:lineRule="auto"/>
              <w:ind w:left="0" w:leftChars="0" w:firstLine="482"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考核得分汇总</w:t>
            </w:r>
          </w:p>
        </w:tc>
        <w:tc>
          <w:tcPr>
            <w:tcW w:w="6312" w:type="dxa"/>
            <w:gridSpan w:val="2"/>
            <w:tcBorders>
              <w:top w:val="single" w:color="auto" w:sz="4" w:space="0"/>
              <w:left w:val="single" w:color="auto" w:sz="4" w:space="0"/>
              <w:bottom w:val="single" w:color="auto" w:sz="4" w:space="0"/>
              <w:right w:val="single" w:color="auto" w:sz="4" w:space="0"/>
            </w:tcBorders>
            <w:noWrap w:val="0"/>
            <w:vAlign w:val="center"/>
          </w:tcPr>
          <w:p w14:paraId="2CB2B18E">
            <w:pPr>
              <w:pStyle w:val="9"/>
              <w:keepNext w:val="0"/>
              <w:keepLines w:val="0"/>
              <w:pageBreakBefore w:val="0"/>
              <w:kinsoku/>
              <w:wordWrap/>
              <w:overflowPunct/>
              <w:topLinePunct w:val="0"/>
              <w:bidi w:val="0"/>
              <w:spacing w:beforeLines="0" w:afterLines="0" w:line="240" w:lineRule="auto"/>
              <w:ind w:firstLine="480" w:firstLineChars="200"/>
              <w:jc w:val="left"/>
              <w:textAlignment w:val="auto"/>
              <w:rPr>
                <w:rFonts w:hint="eastAsia" w:ascii="宋体" w:hAnsi="宋体" w:eastAsia="宋体" w:cs="宋体"/>
                <w:color w:val="auto"/>
                <w:sz w:val="24"/>
                <w:szCs w:val="24"/>
                <w:highlight w:val="none"/>
                <w:lang w:val="en-US" w:eastAsia="zh-CN"/>
              </w:rPr>
            </w:pPr>
          </w:p>
        </w:tc>
      </w:tr>
    </w:tbl>
    <w:p w14:paraId="4A230C42">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60E60C68">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1.以月为单位进行考核，考核基准分为100分，80分（含80分）以上为“合格”等级（小数点后数字四舍五入,下同）；</w:t>
      </w:r>
    </w:p>
    <w:p w14:paraId="669BDBEA">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2.达到70分（含70分）以上且低于80分的为“基本合格”等级，提出警告；</w:t>
      </w:r>
    </w:p>
    <w:p w14:paraId="1363C2CA">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3.达到60分（含60分）以上且低于70分的为“较差”等级，以65分为基准分值，低于65分（不含），缓付货款1个月，每差一分扣</w:t>
      </w:r>
      <w:r>
        <w:rPr>
          <w:rFonts w:hint="eastAsia" w:ascii="宋体" w:hAnsi="宋体" w:eastAsia="宋体" w:cs="宋体"/>
          <w:color w:val="auto"/>
          <w:sz w:val="24"/>
          <w:szCs w:val="24"/>
          <w:highlight w:val="none"/>
          <w:lang w:val="en-US" w:eastAsia="zh-CN"/>
        </w:rPr>
        <w:t>除货款</w:t>
      </w:r>
      <w:r>
        <w:rPr>
          <w:rFonts w:hint="eastAsia" w:ascii="宋体" w:hAnsi="宋体" w:eastAsia="宋体" w:cs="宋体"/>
          <w:color w:val="auto"/>
          <w:sz w:val="24"/>
          <w:szCs w:val="24"/>
          <w:highlight w:val="none"/>
        </w:rPr>
        <w:t>1000元，最多扣5000元；</w:t>
      </w:r>
    </w:p>
    <w:p w14:paraId="34BED88F">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4.低于60分(不含)或者累计三次低于70分的，取消供应商供货资格，解除合同，</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重新招标。</w:t>
      </w:r>
      <w:bookmarkEnd w:id="51"/>
      <w:bookmarkEnd w:id="52"/>
      <w:bookmarkEnd w:id="53"/>
      <w:bookmarkEnd w:id="54"/>
      <w:bookmarkEnd w:id="55"/>
      <w:bookmarkEnd w:id="56"/>
      <w:bookmarkEnd w:id="57"/>
      <w:bookmarkEnd w:id="58"/>
      <w:bookmarkEnd w:id="59"/>
      <w:bookmarkEnd w:id="60"/>
      <w:bookmarkEnd w:id="61"/>
    </w:p>
    <w:p w14:paraId="4D925990">
      <w:pPr>
        <w:pStyle w:val="22"/>
        <w:rPr>
          <w:rFonts w:hint="eastAsia" w:ascii="宋体" w:hAnsi="宋体" w:eastAsia="宋体" w:cs="宋体"/>
          <w:color w:val="auto"/>
          <w:sz w:val="24"/>
          <w:szCs w:val="24"/>
          <w:highlight w:val="none"/>
        </w:rPr>
      </w:pPr>
    </w:p>
    <w:p w14:paraId="74CDF557">
      <w:pPr>
        <w:rPr>
          <w:rFonts w:hint="eastAsia" w:ascii="宋体" w:hAnsi="宋体" w:eastAsia="宋体" w:cs="宋体"/>
          <w:color w:val="auto"/>
          <w:sz w:val="24"/>
          <w:szCs w:val="24"/>
          <w:highlight w:val="none"/>
        </w:rPr>
      </w:pPr>
    </w:p>
    <w:p w14:paraId="129C46FE">
      <w:pPr>
        <w:rPr>
          <w:rFonts w:hint="eastAsia" w:ascii="宋体" w:hAnsi="宋体" w:eastAsia="宋体" w:cs="宋体"/>
          <w:color w:val="auto"/>
          <w:sz w:val="24"/>
          <w:szCs w:val="24"/>
          <w:highlight w:val="none"/>
        </w:rPr>
      </w:pPr>
    </w:p>
    <w:p w14:paraId="1905C49A">
      <w:pPr>
        <w:rPr>
          <w:rFonts w:hint="eastAsia" w:ascii="宋体" w:hAnsi="宋体" w:eastAsia="宋体" w:cs="宋体"/>
          <w:color w:val="auto"/>
          <w:sz w:val="24"/>
          <w:szCs w:val="24"/>
          <w:highlight w:val="none"/>
        </w:rPr>
      </w:pPr>
    </w:p>
    <w:p w14:paraId="62FC98AD">
      <w:pPr>
        <w:rPr>
          <w:rFonts w:hint="eastAsia" w:ascii="宋体" w:hAnsi="宋体" w:eastAsia="宋体" w:cs="宋体"/>
          <w:color w:val="auto"/>
          <w:sz w:val="24"/>
          <w:szCs w:val="24"/>
          <w:highlight w:val="none"/>
        </w:rPr>
      </w:pPr>
    </w:p>
    <w:p w14:paraId="18DDC4E2">
      <w:pPr>
        <w:rPr>
          <w:rFonts w:hint="eastAsia" w:ascii="宋体" w:hAnsi="宋体" w:eastAsia="宋体" w:cs="宋体"/>
          <w:color w:val="auto"/>
          <w:sz w:val="24"/>
          <w:szCs w:val="24"/>
          <w:highlight w:val="none"/>
        </w:rPr>
      </w:pPr>
    </w:p>
    <w:p w14:paraId="0BBD1112">
      <w:pPr>
        <w:rPr>
          <w:rFonts w:hint="eastAsia" w:ascii="宋体" w:hAnsi="宋体" w:eastAsia="宋体" w:cs="宋体"/>
          <w:color w:val="auto"/>
          <w:sz w:val="24"/>
          <w:szCs w:val="24"/>
          <w:highlight w:val="none"/>
        </w:rPr>
      </w:pPr>
    </w:p>
    <w:p w14:paraId="7E6F61BC">
      <w:pPr>
        <w:rPr>
          <w:rFonts w:hint="eastAsia" w:ascii="宋体" w:hAnsi="宋体" w:eastAsia="宋体" w:cs="宋体"/>
          <w:color w:val="auto"/>
          <w:sz w:val="24"/>
          <w:szCs w:val="24"/>
          <w:highlight w:val="none"/>
        </w:rPr>
      </w:pPr>
    </w:p>
    <w:p w14:paraId="52EFEF3F">
      <w:pPr>
        <w:rPr>
          <w:rFonts w:hint="eastAsia" w:ascii="宋体" w:hAnsi="宋体" w:eastAsia="宋体" w:cs="宋体"/>
          <w:color w:val="auto"/>
          <w:sz w:val="24"/>
          <w:szCs w:val="24"/>
          <w:highlight w:val="none"/>
        </w:rPr>
      </w:pPr>
    </w:p>
    <w:p w14:paraId="309D39E2">
      <w:pPr>
        <w:rPr>
          <w:rFonts w:hint="eastAsia" w:ascii="宋体" w:hAnsi="宋体" w:eastAsia="宋体" w:cs="宋体"/>
          <w:color w:val="auto"/>
          <w:sz w:val="24"/>
          <w:szCs w:val="24"/>
          <w:highlight w:val="none"/>
        </w:rPr>
      </w:pPr>
    </w:p>
    <w:p w14:paraId="4A150AA0">
      <w:pPr>
        <w:rPr>
          <w:rFonts w:hint="eastAsia" w:ascii="宋体" w:hAnsi="宋体" w:eastAsia="宋体" w:cs="宋体"/>
          <w:color w:val="auto"/>
          <w:sz w:val="24"/>
          <w:szCs w:val="24"/>
          <w:highlight w:val="none"/>
        </w:rPr>
      </w:pPr>
    </w:p>
    <w:p w14:paraId="2468E246">
      <w:pPr>
        <w:rPr>
          <w:rFonts w:hint="eastAsia" w:ascii="宋体" w:hAnsi="宋体" w:eastAsia="宋体" w:cs="宋体"/>
          <w:color w:val="auto"/>
          <w:sz w:val="24"/>
          <w:szCs w:val="24"/>
          <w:highlight w:val="none"/>
        </w:rPr>
      </w:pPr>
    </w:p>
    <w:p w14:paraId="59E4EB9D">
      <w:pPr>
        <w:rPr>
          <w:rFonts w:hint="eastAsia" w:ascii="宋体" w:hAnsi="宋体" w:eastAsia="宋体" w:cs="宋体"/>
          <w:color w:val="auto"/>
          <w:sz w:val="24"/>
          <w:szCs w:val="24"/>
          <w:highlight w:val="none"/>
        </w:rPr>
      </w:pPr>
    </w:p>
    <w:p w14:paraId="6467C17A">
      <w:pPr>
        <w:rPr>
          <w:rFonts w:hint="eastAsia" w:ascii="宋体" w:hAnsi="宋体" w:eastAsia="宋体" w:cs="宋体"/>
          <w:color w:val="auto"/>
          <w:sz w:val="24"/>
          <w:szCs w:val="24"/>
          <w:highlight w:val="none"/>
        </w:rPr>
      </w:pPr>
    </w:p>
    <w:p w14:paraId="756203B2">
      <w:pPr>
        <w:rPr>
          <w:rFonts w:hint="eastAsia" w:ascii="宋体" w:hAnsi="宋体" w:eastAsia="宋体" w:cs="宋体"/>
          <w:color w:val="auto"/>
          <w:sz w:val="24"/>
          <w:szCs w:val="24"/>
          <w:highlight w:val="none"/>
        </w:rPr>
      </w:pPr>
    </w:p>
    <w:p w14:paraId="3A82894D">
      <w:pPr>
        <w:rPr>
          <w:rFonts w:hint="eastAsia" w:ascii="宋体" w:hAnsi="宋体" w:eastAsia="宋体" w:cs="宋体"/>
          <w:color w:val="auto"/>
          <w:sz w:val="24"/>
          <w:szCs w:val="24"/>
          <w:highlight w:val="none"/>
        </w:rPr>
      </w:pPr>
    </w:p>
    <w:p w14:paraId="46F96FC5">
      <w:pPr>
        <w:rPr>
          <w:rFonts w:hint="eastAsia" w:ascii="宋体" w:hAnsi="宋体" w:eastAsia="宋体" w:cs="宋体"/>
          <w:color w:val="auto"/>
          <w:sz w:val="24"/>
          <w:szCs w:val="24"/>
          <w:highlight w:val="none"/>
        </w:rPr>
      </w:pPr>
    </w:p>
    <w:p w14:paraId="4692F8E4">
      <w:pPr>
        <w:rPr>
          <w:rFonts w:hint="eastAsia" w:ascii="宋体" w:hAnsi="宋体" w:eastAsia="宋体" w:cs="宋体"/>
          <w:color w:val="auto"/>
          <w:sz w:val="24"/>
          <w:szCs w:val="24"/>
          <w:highlight w:val="none"/>
        </w:rPr>
      </w:pPr>
    </w:p>
    <w:p w14:paraId="1C372949">
      <w:pPr>
        <w:rPr>
          <w:rFonts w:hint="eastAsia" w:ascii="宋体" w:hAnsi="宋体" w:eastAsia="宋体" w:cs="宋体"/>
          <w:color w:val="auto"/>
          <w:sz w:val="24"/>
          <w:szCs w:val="24"/>
          <w:highlight w:val="none"/>
        </w:rPr>
      </w:pPr>
    </w:p>
    <w:p w14:paraId="20A35003">
      <w:pPr>
        <w:rPr>
          <w:rFonts w:hint="eastAsia" w:ascii="宋体" w:hAnsi="宋体" w:eastAsia="宋体" w:cs="宋体"/>
          <w:color w:val="auto"/>
          <w:sz w:val="24"/>
          <w:szCs w:val="24"/>
          <w:highlight w:val="none"/>
        </w:rPr>
      </w:pPr>
    </w:p>
    <w:p w14:paraId="13CA20A8">
      <w:pPr>
        <w:rPr>
          <w:rFonts w:hint="eastAsia" w:ascii="宋体" w:hAnsi="宋体" w:eastAsia="宋体" w:cs="宋体"/>
          <w:color w:val="auto"/>
          <w:sz w:val="24"/>
          <w:szCs w:val="24"/>
          <w:highlight w:val="none"/>
        </w:rPr>
      </w:pPr>
    </w:p>
    <w:p w14:paraId="1287CD5D">
      <w:pPr>
        <w:rPr>
          <w:rFonts w:hint="eastAsia" w:ascii="宋体" w:hAnsi="宋体" w:eastAsia="宋体" w:cs="宋体"/>
          <w:color w:val="auto"/>
          <w:sz w:val="24"/>
          <w:szCs w:val="24"/>
          <w:highlight w:val="none"/>
        </w:rPr>
      </w:pPr>
    </w:p>
    <w:p w14:paraId="2A6F5410">
      <w:pPr>
        <w:rPr>
          <w:rFonts w:hint="eastAsia" w:ascii="宋体" w:hAnsi="宋体" w:eastAsia="宋体" w:cs="宋体"/>
          <w:color w:val="auto"/>
          <w:sz w:val="24"/>
          <w:szCs w:val="24"/>
          <w:highlight w:val="none"/>
        </w:rPr>
      </w:pPr>
    </w:p>
    <w:p w14:paraId="4ADCD8B9">
      <w:pPr>
        <w:rPr>
          <w:rFonts w:hint="eastAsia" w:ascii="宋体" w:hAnsi="宋体" w:eastAsia="宋体" w:cs="宋体"/>
          <w:color w:val="auto"/>
          <w:sz w:val="24"/>
          <w:szCs w:val="24"/>
          <w:highlight w:val="none"/>
        </w:rPr>
      </w:pPr>
    </w:p>
    <w:p w14:paraId="7137CA7B">
      <w:pPr>
        <w:rPr>
          <w:rFonts w:hint="eastAsia" w:ascii="宋体" w:hAnsi="宋体" w:eastAsia="宋体" w:cs="宋体"/>
          <w:color w:val="auto"/>
          <w:sz w:val="24"/>
          <w:szCs w:val="24"/>
          <w:highlight w:val="none"/>
        </w:rPr>
      </w:pPr>
    </w:p>
    <w:p w14:paraId="592BA92D">
      <w:pPr>
        <w:rPr>
          <w:rFonts w:hint="eastAsia" w:ascii="宋体" w:hAnsi="宋体" w:eastAsia="宋体" w:cs="宋体"/>
          <w:color w:val="auto"/>
          <w:sz w:val="24"/>
          <w:szCs w:val="24"/>
          <w:highlight w:val="none"/>
        </w:rPr>
      </w:pPr>
    </w:p>
    <w:p w14:paraId="6205386F">
      <w:pPr>
        <w:rPr>
          <w:rFonts w:hint="eastAsia" w:ascii="宋体" w:hAnsi="宋体" w:eastAsia="宋体" w:cs="宋体"/>
          <w:color w:val="auto"/>
          <w:sz w:val="24"/>
          <w:szCs w:val="24"/>
          <w:highlight w:val="none"/>
        </w:rPr>
      </w:pPr>
    </w:p>
    <w:p w14:paraId="0AE8D349">
      <w:pPr>
        <w:rPr>
          <w:rFonts w:hint="eastAsia" w:ascii="宋体" w:hAnsi="宋体" w:eastAsia="宋体" w:cs="宋体"/>
          <w:color w:val="auto"/>
          <w:sz w:val="24"/>
          <w:szCs w:val="24"/>
          <w:highlight w:val="none"/>
        </w:rPr>
      </w:pPr>
    </w:p>
    <w:p w14:paraId="22B7D086">
      <w:pPr>
        <w:rPr>
          <w:rFonts w:hint="eastAsia" w:ascii="宋体" w:hAnsi="宋体" w:eastAsia="宋体" w:cs="宋体"/>
          <w:color w:val="auto"/>
          <w:sz w:val="24"/>
          <w:szCs w:val="24"/>
          <w:highlight w:val="none"/>
        </w:rPr>
      </w:pPr>
    </w:p>
    <w:p w14:paraId="3C0758DD">
      <w:pPr>
        <w:rPr>
          <w:rFonts w:hint="eastAsia" w:ascii="宋体" w:hAnsi="宋体" w:eastAsia="宋体" w:cs="宋体"/>
          <w:color w:val="auto"/>
          <w:sz w:val="24"/>
          <w:szCs w:val="24"/>
          <w:highlight w:val="none"/>
        </w:rPr>
      </w:pPr>
    </w:p>
    <w:p w14:paraId="2FDA21E0">
      <w:pPr>
        <w:rPr>
          <w:rFonts w:hint="eastAsia" w:ascii="宋体" w:hAnsi="宋体" w:eastAsia="宋体" w:cs="宋体"/>
          <w:color w:val="auto"/>
          <w:sz w:val="24"/>
          <w:szCs w:val="24"/>
          <w:highlight w:val="none"/>
        </w:rPr>
      </w:pPr>
    </w:p>
    <w:p w14:paraId="4F660965">
      <w:pPr>
        <w:rPr>
          <w:rFonts w:hint="eastAsia" w:ascii="宋体" w:hAnsi="宋体" w:eastAsia="宋体" w:cs="宋体"/>
          <w:color w:val="auto"/>
          <w:sz w:val="24"/>
          <w:szCs w:val="24"/>
          <w:highlight w:val="none"/>
        </w:rPr>
      </w:pPr>
    </w:p>
    <w:p w14:paraId="1005FD82">
      <w:pPr>
        <w:rPr>
          <w:rFonts w:hint="eastAsia" w:ascii="宋体" w:hAnsi="宋体" w:eastAsia="宋体" w:cs="宋体"/>
          <w:color w:val="auto"/>
          <w:sz w:val="24"/>
          <w:szCs w:val="24"/>
          <w:highlight w:val="none"/>
        </w:rPr>
      </w:pPr>
    </w:p>
    <w:p w14:paraId="4371AE5D">
      <w:pPr>
        <w:rPr>
          <w:rFonts w:hint="eastAsia" w:ascii="宋体" w:hAnsi="宋体" w:eastAsia="宋体" w:cs="宋体"/>
          <w:color w:val="auto"/>
          <w:sz w:val="24"/>
          <w:szCs w:val="24"/>
          <w:highlight w:val="none"/>
        </w:rPr>
      </w:pPr>
    </w:p>
    <w:p w14:paraId="5EC104AC">
      <w:pPr>
        <w:rPr>
          <w:rFonts w:hint="eastAsia" w:ascii="宋体" w:hAnsi="宋体" w:eastAsia="宋体" w:cs="宋体"/>
          <w:color w:val="auto"/>
          <w:sz w:val="24"/>
          <w:szCs w:val="24"/>
          <w:highlight w:val="none"/>
        </w:rPr>
      </w:pPr>
    </w:p>
    <w:p w14:paraId="29297186">
      <w:pPr>
        <w:rPr>
          <w:rFonts w:hint="eastAsia" w:ascii="宋体" w:hAnsi="宋体" w:eastAsia="宋体" w:cs="宋体"/>
          <w:color w:val="auto"/>
          <w:sz w:val="24"/>
          <w:szCs w:val="24"/>
          <w:highlight w:val="none"/>
        </w:rPr>
      </w:pPr>
    </w:p>
    <w:p w14:paraId="379B221A">
      <w:pPr>
        <w:rPr>
          <w:rFonts w:hint="eastAsia" w:ascii="宋体" w:hAnsi="宋体" w:eastAsia="宋体" w:cs="宋体"/>
          <w:color w:val="auto"/>
          <w:sz w:val="24"/>
          <w:szCs w:val="24"/>
          <w:highlight w:val="none"/>
        </w:rPr>
      </w:pPr>
    </w:p>
    <w:p w14:paraId="4A0ADB23">
      <w:pPr>
        <w:rPr>
          <w:rFonts w:hint="eastAsia" w:ascii="宋体" w:hAnsi="宋体" w:eastAsia="宋体" w:cs="宋体"/>
          <w:color w:val="auto"/>
          <w:sz w:val="24"/>
          <w:szCs w:val="24"/>
          <w:highlight w:val="none"/>
        </w:rPr>
      </w:pPr>
    </w:p>
    <w:bookmarkEnd w:id="62"/>
    <w:p w14:paraId="551CA5DA">
      <w:pPr>
        <w:pStyle w:val="4"/>
        <w:spacing w:line="440" w:lineRule="exact"/>
        <w:jc w:val="center"/>
        <w:rPr>
          <w:rStyle w:val="32"/>
          <w:rFonts w:ascii="宋体" w:hAnsi="宋体" w:eastAsia="宋体" w:cs="宋体"/>
          <w:b/>
          <w:bCs/>
          <w:color w:val="auto"/>
          <w:highlight w:val="none"/>
        </w:rPr>
      </w:pPr>
      <w:bookmarkStart w:id="102" w:name="_Toc28228"/>
      <w:r>
        <w:rPr>
          <w:rStyle w:val="32"/>
          <w:rFonts w:hint="eastAsia" w:ascii="宋体" w:hAnsi="宋体" w:eastAsia="宋体" w:cs="宋体"/>
          <w:b/>
          <w:bCs/>
          <w:color w:val="auto"/>
          <w:highlight w:val="none"/>
        </w:rPr>
        <w:t>第三篇  项目商务</w:t>
      </w:r>
      <w:r>
        <w:rPr>
          <w:rStyle w:val="32"/>
          <w:rFonts w:hint="eastAsia" w:ascii="宋体" w:hAnsi="宋体" w:eastAsia="宋体" w:cs="宋体"/>
          <w:b/>
          <w:bCs/>
          <w:color w:val="auto"/>
          <w:highlight w:val="none"/>
          <w:lang w:val="en-US" w:eastAsia="zh-CN"/>
        </w:rPr>
        <w:t>需</w:t>
      </w:r>
      <w:r>
        <w:rPr>
          <w:rStyle w:val="32"/>
          <w:rFonts w:hint="eastAsia" w:ascii="宋体" w:hAnsi="宋体" w:eastAsia="宋体" w:cs="宋体"/>
          <w:b/>
          <w:bCs/>
          <w:color w:val="auto"/>
          <w:highlight w:val="none"/>
        </w:rPr>
        <w:t>求</w:t>
      </w:r>
      <w:bookmarkEnd w:id="102"/>
    </w:p>
    <w:p w14:paraId="1C04E5BE">
      <w:pPr>
        <w:spacing w:line="360" w:lineRule="auto"/>
        <w:ind w:firstLine="480" w:firstLineChars="200"/>
        <w:rPr>
          <w:rFonts w:hint="eastAsia" w:ascii="宋体" w:hAnsi="宋体" w:eastAsia="宋体" w:cs="宋体"/>
          <w:color w:val="auto"/>
          <w:sz w:val="24"/>
          <w:szCs w:val="24"/>
          <w:highlight w:val="none"/>
        </w:rPr>
      </w:pPr>
      <w:bookmarkStart w:id="103" w:name="_Toc344475120"/>
      <w:bookmarkStart w:id="104" w:name="_Toc76462328"/>
      <w:r>
        <w:rPr>
          <w:rFonts w:hint="eastAsia" w:ascii="宋体" w:hAnsi="宋体" w:cs="宋体"/>
          <w:color w:val="auto"/>
          <w:sz w:val="24"/>
          <w:szCs w:val="24"/>
          <w:highlight w:val="none"/>
          <w:lang w:val="en-US" w:eastAsia="zh-CN"/>
        </w:rPr>
        <w:t>注：项目商务需</w:t>
      </w:r>
      <w:r>
        <w:rPr>
          <w:rFonts w:hint="eastAsia" w:ascii="宋体" w:hAnsi="宋体" w:eastAsia="宋体" w:cs="宋体"/>
          <w:color w:val="auto"/>
          <w:sz w:val="24"/>
          <w:szCs w:val="24"/>
          <w:highlight w:val="none"/>
        </w:rPr>
        <w:t>求为符合性审查中的实质性要求，响应文件若不满足按无效响应处理。</w:t>
      </w:r>
    </w:p>
    <w:p w14:paraId="0C278A05">
      <w:pPr>
        <w:pStyle w:val="5"/>
        <w:pageBreakBefore w:val="0"/>
        <w:widowControl w:val="0"/>
        <w:kinsoku/>
        <w:wordWrap/>
        <w:overflowPunct/>
        <w:topLinePunct w:val="0"/>
        <w:autoSpaceDE/>
        <w:autoSpaceDN/>
        <w:bidi w:val="0"/>
        <w:adjustRightInd/>
        <w:snapToGrid w:val="0"/>
        <w:spacing w:before="0" w:after="0" w:line="360" w:lineRule="auto"/>
        <w:ind w:firstLine="482" w:firstLineChars="200"/>
        <w:textAlignment w:val="auto"/>
        <w:rPr>
          <w:rFonts w:hint="eastAsia" w:ascii="宋体" w:hAnsi="宋体" w:eastAsia="宋体" w:cs="宋体"/>
          <w:color w:val="auto"/>
          <w:sz w:val="24"/>
          <w:szCs w:val="24"/>
          <w:highlight w:val="none"/>
          <w:lang w:val="en-US" w:eastAsia="zh-CN"/>
        </w:rPr>
      </w:pPr>
      <w:bookmarkStart w:id="105" w:name="_Toc377042757"/>
      <w:bookmarkStart w:id="106" w:name="_Toc267320049"/>
      <w:bookmarkStart w:id="107" w:name="_Toc17407344"/>
      <w:bookmarkStart w:id="108" w:name="_Toc21838"/>
      <w:bookmarkStart w:id="109" w:name="_Toc29283"/>
      <w:bookmarkStart w:id="110" w:name="_Toc5121"/>
      <w:bookmarkStart w:id="111" w:name="_Toc19719"/>
      <w:bookmarkStart w:id="112" w:name="_Toc29079"/>
      <w:bookmarkStart w:id="113" w:name="_Toc28427"/>
      <w:bookmarkStart w:id="114" w:name="_Toc26795"/>
      <w:bookmarkStart w:id="115" w:name="_Toc20475"/>
      <w:bookmarkStart w:id="116" w:name="_Toc1592"/>
      <w:bookmarkStart w:id="117" w:name="_Toc14089"/>
      <w:bookmarkStart w:id="118" w:name="_Toc1815"/>
      <w:bookmarkStart w:id="119" w:name="_Toc2565"/>
      <w:bookmarkStart w:id="120" w:name="_Toc14381"/>
      <w:bookmarkStart w:id="121" w:name="_Toc13060"/>
      <w:bookmarkStart w:id="122" w:name="_Toc28664"/>
      <w:bookmarkStart w:id="123" w:name="_Toc27626"/>
      <w:bookmarkStart w:id="124" w:name="_Toc8767"/>
      <w:bookmarkStart w:id="125" w:name="_Toc26265"/>
      <w:bookmarkStart w:id="126" w:name="_Toc8918"/>
      <w:bookmarkStart w:id="127" w:name="_Toc3645"/>
      <w:bookmarkStart w:id="128" w:name="_Toc27520"/>
      <w:bookmarkStart w:id="129" w:name="_Toc15106"/>
      <w:bookmarkStart w:id="130" w:name="_Toc9974"/>
      <w:r>
        <w:rPr>
          <w:rFonts w:hint="eastAsia" w:ascii="宋体" w:hAnsi="宋体" w:eastAsia="宋体" w:cs="宋体"/>
          <w:color w:val="auto"/>
          <w:sz w:val="24"/>
          <w:szCs w:val="24"/>
          <w:highlight w:val="none"/>
        </w:rPr>
        <w:t>一、服务时间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地点</w:t>
      </w:r>
      <w:bookmarkEnd w:id="105"/>
      <w:bookmarkEnd w:id="106"/>
      <w:bookmarkEnd w:id="107"/>
      <w:r>
        <w:rPr>
          <w:rFonts w:hint="eastAsia" w:ascii="宋体" w:hAnsi="宋体" w:eastAsia="宋体" w:cs="宋体"/>
          <w:color w:val="auto"/>
          <w:sz w:val="24"/>
          <w:szCs w:val="24"/>
          <w:highlight w:val="none"/>
          <w:lang w:val="en-US" w:eastAsia="zh-CN"/>
        </w:rPr>
        <w:t>及验收方式等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C44A2C5">
      <w:pPr>
        <w:pageBreakBefore w:val="0"/>
        <w:widowControl w:val="0"/>
        <w:kinsoku/>
        <w:wordWrap/>
        <w:overflowPunct/>
        <w:topLinePunct w:val="0"/>
        <w:autoSpaceDE/>
        <w:autoSpaceDN/>
        <w:bidi w:val="0"/>
        <w:adjustRightInd/>
        <w:spacing w:beforeLines="0" w:afterLines="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（一）服务时间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本项目服务期限为一年，具体以合同签订时间为准。（服务期限内，若采购人无需</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人提供服务，可随时终止合同，且无需承担任何违约责任）。</w:t>
      </w:r>
    </w:p>
    <w:p w14:paraId="5A7897D0">
      <w:pPr>
        <w:pageBreakBefore w:val="0"/>
        <w:widowControl w:val="0"/>
        <w:kinsoku/>
        <w:wordWrap/>
        <w:overflowPunct/>
        <w:topLinePunct w:val="0"/>
        <w:autoSpaceDE/>
        <w:autoSpaceDN/>
        <w:bidi w:val="0"/>
        <w:adjustRightInd/>
        <w:spacing w:beforeLines="0" w:afterLines="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（二）服务地点</w:t>
      </w:r>
      <w:r>
        <w:rPr>
          <w:rFonts w:hint="eastAsia" w:ascii="宋体" w:hAnsi="宋体" w:eastAsia="宋体" w:cs="宋体"/>
          <w:color w:val="auto"/>
          <w:sz w:val="24"/>
          <w:szCs w:val="24"/>
          <w:highlight w:val="none"/>
        </w:rPr>
        <w:t>：</w:t>
      </w:r>
      <w:bookmarkStart w:id="131" w:name="OLE_LINK1"/>
      <w:r>
        <w:rPr>
          <w:rFonts w:hint="eastAsia" w:ascii="宋体" w:hAnsi="宋体" w:eastAsia="宋体" w:cs="宋体"/>
          <w:color w:val="auto"/>
          <w:sz w:val="24"/>
          <w:szCs w:val="24"/>
          <w:highlight w:val="none"/>
        </w:rPr>
        <w:t>①重庆市渝中区福利院竹园分院（重庆市渝中区交通街35号）②重庆市渝中区福利院桂花园（重庆市渝中区桂花园新村10号）③重庆市渝中区福利院玫瑰湾（重庆市渝中区长江一路52号钱塘玫瑰湾）④重庆市渝中区福利院李子坝（重庆市渝中区李子坝正街99号江山华庭）⑤重庆市渝中区福利院化龙桥（重庆市渝中区李子坝正街168号2单元）⑥兴隆街社区养老服务站（重庆市渝中区兴隆街132号）⑦珊瑚湾社区养老服务站（重庆市渝中区南区路114号143-6）。</w:t>
      </w:r>
      <w:bookmarkEnd w:id="131"/>
    </w:p>
    <w:p w14:paraId="6036F0E6">
      <w:pPr>
        <w:pageBreakBefore w:val="0"/>
        <w:widowControl w:val="0"/>
        <w:kinsoku/>
        <w:wordWrap/>
        <w:overflowPunct/>
        <w:topLinePunct w:val="0"/>
        <w:autoSpaceDE/>
        <w:autoSpaceDN/>
        <w:bidi w:val="0"/>
        <w:adjustRightInd/>
        <w:spacing w:beforeLines="0" w:afterLines="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验收</w:t>
      </w:r>
      <w:r>
        <w:rPr>
          <w:rFonts w:hint="eastAsia" w:ascii="宋体" w:hAnsi="宋体" w:eastAsia="宋体" w:cs="宋体"/>
          <w:b/>
          <w:bCs/>
          <w:color w:val="auto"/>
          <w:sz w:val="24"/>
          <w:szCs w:val="24"/>
          <w:highlight w:val="none"/>
          <w:lang w:val="en-US" w:eastAsia="zh-CN"/>
        </w:rPr>
        <w:t>方式</w:t>
      </w:r>
    </w:p>
    <w:p w14:paraId="0351941F">
      <w:pPr>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到达现场后，由采购人相关工作人员（至少2名）在成交供应商在场情况下当面进行感官检验、外观检验或试用检验，若产品外观、包装、质量不能达到收货标准，采购人拒收配送物资，成交供应商应无条件迅速补充合格产品，不得影响正常开餐。对符合要求的产品当场作出记录，双方签字确认。</w:t>
      </w:r>
    </w:p>
    <w:p w14:paraId="2BBCFB66">
      <w:pPr>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2.提供货物未达到磋商文件规定要求，且对采购人造成损失的，由成交供应商承担一切责任，并赔偿所造成损失。</w:t>
      </w:r>
    </w:p>
    <w:p w14:paraId="67800C11">
      <w:pPr>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3.对检验不合格产品无条件退、换货外需按双方约定予以处理。</w:t>
      </w:r>
    </w:p>
    <w:p w14:paraId="333EE6C6">
      <w:p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4.因验收货物时不能直接判断质量的在使用过程中发现不合格商品成交供应商应作退换货处理。</w:t>
      </w:r>
    </w:p>
    <w:p w14:paraId="5711594A">
      <w:pPr>
        <w:snapToGrid/>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5.按双方约定的结算价，分品牌、品种、规格、型号、单价，计量、计价结算。      </w:t>
      </w:r>
    </w:p>
    <w:p w14:paraId="776746B0">
      <w:pPr>
        <w:pStyle w:val="5"/>
        <w:adjustRightInd/>
        <w:spacing w:before="0" w:after="0" w:line="360" w:lineRule="auto"/>
        <w:ind w:firstLine="482" w:firstLineChars="200"/>
        <w:rPr>
          <w:rFonts w:hint="eastAsia" w:ascii="宋体" w:hAnsi="宋体" w:eastAsia="宋体" w:cs="宋体"/>
          <w:b/>
          <w:color w:val="auto"/>
          <w:sz w:val="24"/>
          <w:szCs w:val="24"/>
          <w:highlight w:val="none"/>
        </w:rPr>
      </w:pPr>
      <w:bookmarkStart w:id="132" w:name="_Toc29111"/>
      <w:bookmarkStart w:id="133" w:name="_Toc26415"/>
      <w:bookmarkStart w:id="134" w:name="_Toc11837"/>
      <w:bookmarkStart w:id="135" w:name="_Toc18210"/>
      <w:bookmarkStart w:id="136" w:name="_Toc127"/>
      <w:bookmarkStart w:id="137" w:name="_Toc22191"/>
      <w:bookmarkStart w:id="138" w:name="_Toc13350"/>
      <w:bookmarkStart w:id="139" w:name="_Toc32283"/>
      <w:r>
        <w:rPr>
          <w:rFonts w:hint="eastAsia" w:ascii="宋体" w:hAnsi="宋体" w:eastAsia="宋体" w:cs="宋体"/>
          <w:b/>
          <w:color w:val="auto"/>
          <w:sz w:val="24"/>
          <w:szCs w:val="24"/>
          <w:highlight w:val="none"/>
        </w:rPr>
        <w:t>二、报价要求</w:t>
      </w:r>
      <w:bookmarkEnd w:id="132"/>
      <w:bookmarkEnd w:id="133"/>
      <w:bookmarkEnd w:id="134"/>
      <w:bookmarkEnd w:id="135"/>
      <w:bookmarkEnd w:id="136"/>
      <w:bookmarkEnd w:id="137"/>
      <w:bookmarkEnd w:id="138"/>
      <w:bookmarkEnd w:id="139"/>
    </w:p>
    <w:p w14:paraId="6EE4159F">
      <w:pPr>
        <w:adjustRightInd w:val="0"/>
        <w:snapToGrid w:val="0"/>
        <w:spacing w:beforeLines="0" w:afterLines="0" w:line="360" w:lineRule="auto"/>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本项目最高限价为</w:t>
      </w:r>
      <w:r>
        <w:rPr>
          <w:rFonts w:hint="eastAsia" w:ascii="宋体" w:hAnsi="宋体" w:cs="宋体"/>
          <w:color w:val="auto"/>
          <w:sz w:val="24"/>
          <w:szCs w:val="24"/>
          <w:highlight w:val="none"/>
          <w:lang w:val="en-US" w:eastAsia="zh-CN"/>
        </w:rPr>
        <w:t>100,000</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折扣比例限价90%（折扣比例在90%以内的报价为有效报价）】</w:t>
      </w:r>
      <w:r>
        <w:rPr>
          <w:rFonts w:hint="eastAsia" w:ascii="宋体" w:hAnsi="宋体" w:eastAsia="宋体" w:cs="宋体"/>
          <w:color w:val="auto"/>
          <w:sz w:val="24"/>
          <w:szCs w:val="24"/>
          <w:highlight w:val="none"/>
        </w:rPr>
        <w:t>，供应商根据填报的折扣</w:t>
      </w:r>
      <w:r>
        <w:rPr>
          <w:rFonts w:hint="eastAsia" w:ascii="宋体" w:hAnsi="宋体" w:eastAsia="宋体" w:cs="宋体"/>
          <w:color w:val="auto"/>
          <w:sz w:val="24"/>
          <w:szCs w:val="24"/>
          <w:highlight w:val="none"/>
          <w:lang w:val="en-US" w:eastAsia="zh-CN"/>
        </w:rPr>
        <w:t>比例</w:t>
      </w:r>
      <w:r>
        <w:rPr>
          <w:rFonts w:hint="eastAsia" w:ascii="宋体" w:hAnsi="宋体" w:eastAsia="宋体" w:cs="宋体"/>
          <w:color w:val="auto"/>
          <w:sz w:val="24"/>
          <w:szCs w:val="24"/>
          <w:highlight w:val="none"/>
        </w:rPr>
        <w:t>计算本项目</w:t>
      </w:r>
      <w:r>
        <w:rPr>
          <w:rFonts w:hint="eastAsia" w:ascii="宋体" w:hAnsi="宋体" w:eastAsia="宋体" w:cs="宋体"/>
          <w:color w:val="auto"/>
          <w:sz w:val="24"/>
          <w:szCs w:val="24"/>
          <w:highlight w:val="none"/>
          <w:lang w:val="en-US" w:eastAsia="zh-CN"/>
        </w:rPr>
        <w:t>每月的</w:t>
      </w:r>
      <w:r>
        <w:rPr>
          <w:rFonts w:hint="eastAsia" w:ascii="宋体" w:hAnsi="宋体" w:eastAsia="宋体" w:cs="宋体"/>
          <w:color w:val="auto"/>
          <w:sz w:val="24"/>
          <w:szCs w:val="24"/>
          <w:highlight w:val="none"/>
        </w:rPr>
        <w:t>竞采报价，供应商填报的暂定竞采报价=本项目最高限价×折扣比例，各供应商填报的折扣</w:t>
      </w:r>
      <w:r>
        <w:rPr>
          <w:rFonts w:hint="eastAsia" w:ascii="宋体" w:hAnsi="宋体" w:eastAsia="宋体" w:cs="宋体"/>
          <w:color w:val="auto"/>
          <w:sz w:val="24"/>
          <w:szCs w:val="24"/>
          <w:highlight w:val="none"/>
          <w:lang w:val="en-US" w:eastAsia="zh-CN"/>
        </w:rPr>
        <w:t>比例</w:t>
      </w:r>
      <w:r>
        <w:rPr>
          <w:rFonts w:hint="eastAsia" w:ascii="宋体" w:hAnsi="宋体" w:eastAsia="宋体" w:cs="宋体"/>
          <w:color w:val="auto"/>
          <w:sz w:val="24"/>
          <w:szCs w:val="24"/>
          <w:highlight w:val="none"/>
        </w:rPr>
        <w:t>最多可保留至小数点后两位，且不得超过采购人公布的最高限价，供应商填报的暂定竞采报价大写金额应与小写金额一致，否则按无效响应处理。供应商填报的暂定竞采报价只作为投标评审的依据，不作为结算依据。折扣</w:t>
      </w:r>
      <w:r>
        <w:rPr>
          <w:rFonts w:hint="eastAsia" w:ascii="宋体" w:hAnsi="宋体" w:eastAsia="宋体" w:cs="宋体"/>
          <w:color w:val="auto"/>
          <w:sz w:val="24"/>
          <w:szCs w:val="24"/>
          <w:highlight w:val="none"/>
          <w:lang w:val="en-US" w:eastAsia="zh-CN"/>
        </w:rPr>
        <w:t>比例</w:t>
      </w:r>
      <w:r>
        <w:rPr>
          <w:rFonts w:hint="eastAsia" w:ascii="宋体" w:hAnsi="宋体" w:eastAsia="宋体" w:cs="宋体"/>
          <w:color w:val="auto"/>
          <w:sz w:val="24"/>
          <w:szCs w:val="24"/>
          <w:highlight w:val="none"/>
        </w:rPr>
        <w:t>一经确定，不得调整。（本项目最高限价为暂定金额，具体以实际结算单价和实际供货数量据实结算）</w:t>
      </w:r>
    </w:p>
    <w:p w14:paraId="7EC44E35">
      <w:pPr>
        <w:adjustRightInd w:val="0"/>
        <w:snapToGrid w:val="0"/>
        <w:spacing w:beforeLines="0" w:afterLines="0"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二）</w:t>
      </w:r>
      <w:r>
        <w:rPr>
          <w:rFonts w:hint="eastAsia" w:ascii="宋体" w:hAnsi="宋体" w:eastAsia="宋体" w:cs="宋体"/>
          <w:b w:val="0"/>
          <w:bCs/>
          <w:color w:val="auto"/>
          <w:kern w:val="0"/>
          <w:sz w:val="24"/>
          <w:szCs w:val="24"/>
          <w:highlight w:val="none"/>
        </w:rPr>
        <w:t>本次报价须为</w:t>
      </w:r>
      <w:r>
        <w:rPr>
          <w:rFonts w:hint="eastAsia" w:ascii="宋体" w:hAnsi="宋体" w:eastAsia="宋体" w:cs="宋体"/>
          <w:b w:val="0"/>
          <w:bCs/>
          <w:color w:val="auto"/>
          <w:kern w:val="0"/>
          <w:sz w:val="24"/>
          <w:szCs w:val="24"/>
          <w:highlight w:val="none"/>
          <w:lang w:val="en-US" w:eastAsia="zh-CN"/>
        </w:rPr>
        <w:t>折扣</w:t>
      </w:r>
      <w:r>
        <w:rPr>
          <w:rFonts w:hint="eastAsia" w:ascii="宋体" w:hAnsi="宋体" w:eastAsia="宋体" w:cs="宋体"/>
          <w:b w:val="0"/>
          <w:bCs/>
          <w:color w:val="auto"/>
          <w:kern w:val="0"/>
          <w:sz w:val="24"/>
          <w:szCs w:val="24"/>
          <w:highlight w:val="none"/>
        </w:rPr>
        <w:t>报价</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最高折扣比例为90%）</w:t>
      </w:r>
      <w:r>
        <w:rPr>
          <w:rFonts w:hint="eastAsia" w:ascii="宋体" w:hAnsi="宋体" w:eastAsia="宋体" w:cs="宋体"/>
          <w:color w:val="auto"/>
          <w:sz w:val="24"/>
          <w:szCs w:val="24"/>
          <w:highlight w:val="none"/>
        </w:rPr>
        <w:t>。</w:t>
      </w:r>
      <w:r>
        <w:rPr>
          <w:rFonts w:hint="eastAsia" w:ascii="宋体" w:hAnsi="宋体" w:eastAsia="宋体" w:cs="宋体"/>
          <w:b w:val="0"/>
          <w:bCs/>
          <w:color w:val="auto"/>
          <w:kern w:val="0"/>
          <w:sz w:val="24"/>
          <w:szCs w:val="24"/>
          <w:highlight w:val="none"/>
          <w:lang w:val="en-US" w:eastAsia="zh-CN"/>
        </w:rPr>
        <w:t>包括所有的</w:t>
      </w:r>
      <w:r>
        <w:rPr>
          <w:rFonts w:hint="eastAsia" w:ascii="宋体" w:hAnsi="宋体" w:eastAsia="宋体" w:cs="宋体"/>
          <w:b w:val="0"/>
          <w:bCs/>
          <w:color w:val="auto"/>
          <w:kern w:val="0"/>
          <w:sz w:val="24"/>
          <w:szCs w:val="24"/>
          <w:highlight w:val="none"/>
        </w:rPr>
        <w:t>物资价（含税</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、物资的包装费、运费、装卸费、搬运、人工、分拣、仓储费、</w:t>
      </w:r>
      <w:r>
        <w:rPr>
          <w:rFonts w:hint="eastAsia" w:ascii="宋体" w:hAnsi="宋体" w:eastAsia="宋体" w:cs="宋体"/>
          <w:b w:val="0"/>
          <w:bCs/>
          <w:color w:val="auto"/>
          <w:kern w:val="0"/>
          <w:sz w:val="24"/>
          <w:szCs w:val="24"/>
          <w:highlight w:val="none"/>
          <w:lang w:val="en-US" w:eastAsia="zh-CN"/>
        </w:rPr>
        <w:t>检验</w:t>
      </w:r>
      <w:r>
        <w:rPr>
          <w:rFonts w:hint="eastAsia" w:ascii="宋体" w:hAnsi="宋体" w:eastAsia="宋体" w:cs="宋体"/>
          <w:b w:val="0"/>
          <w:bCs/>
          <w:color w:val="auto"/>
          <w:kern w:val="0"/>
          <w:sz w:val="24"/>
          <w:szCs w:val="24"/>
          <w:highlight w:val="none"/>
        </w:rPr>
        <w:t>费、保险费、税费等货到实际使用方指定地点的所有费用。因</w:t>
      </w:r>
      <w:r>
        <w:rPr>
          <w:rFonts w:hint="eastAsia" w:ascii="宋体" w:hAnsi="宋体" w:eastAsia="宋体" w:cs="宋体"/>
          <w:b w:val="0"/>
          <w:bCs/>
          <w:color w:val="auto"/>
          <w:kern w:val="0"/>
          <w:sz w:val="24"/>
          <w:szCs w:val="24"/>
          <w:highlight w:val="none"/>
          <w:lang w:eastAsia="zh-CN"/>
        </w:rPr>
        <w:t>供</w:t>
      </w:r>
      <w:r>
        <w:rPr>
          <w:rFonts w:hint="eastAsia" w:ascii="宋体" w:hAnsi="宋体" w:eastAsia="宋体" w:cs="宋体"/>
          <w:b w:val="0"/>
          <w:bCs w:val="0"/>
          <w:color w:val="auto"/>
          <w:kern w:val="0"/>
          <w:sz w:val="24"/>
          <w:szCs w:val="24"/>
          <w:highlight w:val="none"/>
          <w:lang w:eastAsia="zh-CN"/>
        </w:rPr>
        <w:t>应商</w:t>
      </w:r>
      <w:r>
        <w:rPr>
          <w:rFonts w:hint="eastAsia" w:ascii="宋体" w:hAnsi="宋体" w:eastAsia="宋体" w:cs="宋体"/>
          <w:b w:val="0"/>
          <w:bCs w:val="0"/>
          <w:color w:val="auto"/>
          <w:kern w:val="0"/>
          <w:sz w:val="24"/>
          <w:szCs w:val="24"/>
          <w:highlight w:val="none"/>
        </w:rPr>
        <w:t>自身原因造成漏报、少报皆由其自行承担责任，采购人不再补偿。</w:t>
      </w:r>
    </w:p>
    <w:p w14:paraId="6AE06749">
      <w:pPr>
        <w:adjustRightInd w:val="0"/>
        <w:snapToGrid w:val="0"/>
        <w:spacing w:line="360" w:lineRule="auto"/>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（例：若供应商填报的折扣比例为85%，某种食材询价基准价格为10元/斤，则该种品目的结算单价为10×85%=8.5元/斤）。</w:t>
      </w:r>
    </w:p>
    <w:p w14:paraId="4C088127">
      <w:pPr>
        <w:pStyle w:val="5"/>
        <w:spacing w:before="0" w:after="0" w:line="360" w:lineRule="auto"/>
        <w:ind w:firstLine="482" w:firstLineChars="200"/>
        <w:rPr>
          <w:rFonts w:hint="eastAsia" w:ascii="宋体" w:hAnsi="宋体" w:eastAsia="宋体" w:cs="宋体"/>
          <w:color w:val="auto"/>
          <w:sz w:val="24"/>
          <w:szCs w:val="24"/>
          <w:highlight w:val="none"/>
          <w:lang w:val="en-US" w:eastAsia="zh-CN"/>
        </w:rPr>
      </w:pPr>
      <w:bookmarkStart w:id="140" w:name="_Toc24270"/>
      <w:bookmarkStart w:id="141" w:name="_Toc18934"/>
      <w:bookmarkStart w:id="142" w:name="_Toc908"/>
      <w:bookmarkStart w:id="143" w:name="_Toc11105"/>
      <w:bookmarkStart w:id="144" w:name="_Toc29051"/>
      <w:bookmarkStart w:id="145" w:name="_Toc4601"/>
      <w:bookmarkStart w:id="146" w:name="_Toc26002"/>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付款方式</w:t>
      </w:r>
      <w:bookmarkEnd w:id="140"/>
      <w:bookmarkEnd w:id="141"/>
      <w:bookmarkEnd w:id="142"/>
      <w:bookmarkEnd w:id="143"/>
      <w:bookmarkEnd w:id="144"/>
      <w:bookmarkEnd w:id="145"/>
      <w:bookmarkEnd w:id="146"/>
    </w:p>
    <w:p w14:paraId="3574DBAB">
      <w:pPr>
        <w:numPr>
          <w:ilvl w:val="0"/>
          <w:numId w:val="0"/>
        </w:numPr>
        <w:snapToGrid/>
        <w:spacing w:beforeLines="0" w:afterLines="0"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（一）询定价：</w:t>
      </w:r>
    </w:p>
    <w:p w14:paraId="290620A5">
      <w:pPr>
        <w:spacing w:beforeLines="0" w:afterLines="0" w:line="360"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1.询价周期及时间：每月至少进行1次询价，选择采购人所在就近地区内的新世纪超市、永辉超市等大型超市中任选</w:t>
      </w:r>
      <w:r>
        <w:rPr>
          <w:rFonts w:hint="eastAsia" w:ascii="宋体" w:hAnsi="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en-US" w:eastAsia="zh-CN"/>
        </w:rPr>
        <w:t>家超市门店对当月采购的食材进行询价，出现市场行情波动较大的情况，根据实际情况可调增市场询价频率。</w:t>
      </w:r>
    </w:p>
    <w:p w14:paraId="3F9A8DB4">
      <w:pPr>
        <w:spacing w:beforeLines="0" w:afterLines="0" w:line="360"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2.询价成员：每次询价人员至少2人，采购人牵头组织询价，其中采购方拟派人员至少1名，供应商拟派人员1名。</w:t>
      </w:r>
    </w:p>
    <w:p w14:paraId="597497E3">
      <w:pPr>
        <w:spacing w:beforeLines="0" w:afterLines="0" w:line="360"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3.询价方式：采购人根据需求提出采购询价清单，采购人、供应商安排人员到超市进行实地询价，询价工作应在12:00以前完成，询价结果由所有询价成员签字确认。</w:t>
      </w:r>
    </w:p>
    <w:p w14:paraId="07EE25D6">
      <w:pPr>
        <w:spacing w:beforeLines="0" w:afterLines="0" w:line="360" w:lineRule="auto"/>
        <w:ind w:firstLine="480" w:firstLineChars="200"/>
        <w:rPr>
          <w:rFonts w:hint="eastAsia" w:ascii="宋体" w:hAnsi="宋体" w:eastAsia="宋体" w:cs="宋体"/>
          <w:b w:val="0"/>
          <w:bCs w:val="0"/>
          <w:color w:val="auto"/>
          <w:kern w:val="2"/>
          <w:sz w:val="24"/>
          <w:szCs w:val="24"/>
          <w:highlight w:val="none"/>
          <w:lang w:val="en-US" w:eastAsia="zh-CN"/>
        </w:rPr>
      </w:pPr>
      <w:bookmarkStart w:id="147" w:name="_Toc2525"/>
      <w:r>
        <w:rPr>
          <w:rFonts w:hint="eastAsia" w:ascii="宋体" w:hAnsi="宋体" w:eastAsia="宋体" w:cs="宋体"/>
          <w:b w:val="0"/>
          <w:bCs w:val="0"/>
          <w:color w:val="auto"/>
          <w:kern w:val="2"/>
          <w:sz w:val="24"/>
          <w:szCs w:val="24"/>
          <w:highlight w:val="none"/>
          <w:lang w:val="en-US" w:eastAsia="zh-CN"/>
        </w:rPr>
        <w:t>4.定价询价应遵循同品同质的原则，以新世纪超市、永辉超市等大型超市中任选</w:t>
      </w:r>
      <w:r>
        <w:rPr>
          <w:rFonts w:hint="eastAsia" w:ascii="宋体" w:hAnsi="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en-US" w:eastAsia="zh-CN"/>
        </w:rPr>
        <w:t>家超市门店的单价平均价作为结算基价（“特价”“精品”等特殊货品除外），并按照结算基价的折扣比例进行结算。个别在超市无法询定价的品种或采购人有特殊要求的货物，可参照其他市场售价，双方协商定价。</w:t>
      </w:r>
      <w:bookmarkEnd w:id="147"/>
    </w:p>
    <w:p w14:paraId="4DA0491A">
      <w:pPr>
        <w:spacing w:beforeLines="0" w:afterLines="0" w:line="360" w:lineRule="auto"/>
        <w:ind w:firstLine="482" w:firstLineChars="200"/>
        <w:outlineLvl w:val="9"/>
        <w:rPr>
          <w:rFonts w:hint="eastAsia" w:ascii="宋体" w:hAnsi="宋体" w:eastAsia="宋体" w:cs="宋体"/>
          <w:b/>
          <w:bCs/>
          <w:color w:val="auto"/>
          <w:kern w:val="0"/>
          <w:sz w:val="24"/>
          <w:szCs w:val="24"/>
          <w:highlight w:val="none"/>
          <w:lang w:val="en-US" w:eastAsia="zh-CN"/>
        </w:rPr>
      </w:pPr>
      <w:bookmarkStart w:id="148" w:name="_Toc7770"/>
      <w:r>
        <w:rPr>
          <w:rFonts w:hint="eastAsia" w:ascii="宋体" w:hAnsi="宋体" w:eastAsia="宋体" w:cs="宋体"/>
          <w:b/>
          <w:bCs/>
          <w:color w:val="auto"/>
          <w:kern w:val="0"/>
          <w:sz w:val="24"/>
          <w:szCs w:val="24"/>
          <w:highlight w:val="none"/>
          <w:lang w:val="en-US" w:eastAsia="zh-CN"/>
        </w:rPr>
        <w:t>（二）付款方式：</w:t>
      </w:r>
      <w:bookmarkEnd w:id="148"/>
    </w:p>
    <w:p w14:paraId="779C6735">
      <w:pPr>
        <w:snapToGrid/>
        <w:spacing w:beforeLines="0" w:afterLines="0" w:line="360" w:lineRule="auto"/>
        <w:ind w:firstLine="480" w:firstLineChars="200"/>
        <w:outlineLvl w:val="9"/>
        <w:rPr>
          <w:rFonts w:hint="eastAsia" w:ascii="宋体" w:hAnsi="宋体" w:eastAsia="宋体" w:cs="宋体"/>
          <w:b w:val="0"/>
          <w:bCs w:val="0"/>
          <w:color w:val="auto"/>
          <w:kern w:val="0"/>
          <w:sz w:val="24"/>
          <w:szCs w:val="24"/>
          <w:highlight w:val="none"/>
          <w:lang w:val="en-US" w:eastAsia="zh-CN"/>
        </w:rPr>
      </w:pPr>
      <w:bookmarkStart w:id="149" w:name="_Toc29784"/>
      <w:r>
        <w:rPr>
          <w:rFonts w:hint="eastAsia" w:ascii="宋体" w:hAnsi="宋体" w:eastAsia="宋体" w:cs="宋体"/>
          <w:b w:val="0"/>
          <w:bCs w:val="0"/>
          <w:color w:val="auto"/>
          <w:kern w:val="0"/>
          <w:sz w:val="24"/>
          <w:szCs w:val="24"/>
          <w:highlight w:val="none"/>
          <w:lang w:val="en-US" w:eastAsia="zh-CN"/>
        </w:rPr>
        <w:t>1.付款方式：无预付款，采取月结方式，即次月月初按月结算上月，具体结算方式，以采购人要求的为准。</w:t>
      </w:r>
      <w:bookmarkEnd w:id="149"/>
    </w:p>
    <w:p w14:paraId="46ABCB0A">
      <w:pPr>
        <w:snapToGrid/>
        <w:spacing w:beforeLines="0" w:afterLines="0" w:line="360" w:lineRule="auto"/>
        <w:ind w:firstLine="480" w:firstLineChars="200"/>
        <w:outlineLvl w:val="9"/>
        <w:rPr>
          <w:rFonts w:hint="eastAsia" w:ascii="宋体" w:hAnsi="宋体" w:eastAsia="宋体" w:cs="宋体"/>
          <w:b w:val="0"/>
          <w:bCs w:val="0"/>
          <w:color w:val="auto"/>
          <w:kern w:val="0"/>
          <w:sz w:val="24"/>
          <w:szCs w:val="24"/>
          <w:highlight w:val="none"/>
          <w:lang w:val="en-US" w:eastAsia="zh-CN"/>
        </w:rPr>
      </w:pPr>
      <w:bookmarkStart w:id="150" w:name="_Toc20840"/>
      <w:r>
        <w:rPr>
          <w:rFonts w:hint="eastAsia" w:ascii="宋体" w:hAnsi="宋体" w:eastAsia="宋体" w:cs="宋体"/>
          <w:b w:val="0"/>
          <w:bCs w:val="0"/>
          <w:color w:val="auto"/>
          <w:kern w:val="0"/>
          <w:sz w:val="24"/>
          <w:szCs w:val="24"/>
          <w:highlight w:val="none"/>
          <w:lang w:val="en-US" w:eastAsia="zh-CN"/>
        </w:rPr>
        <w:t>2.在服务期结束后，若有剩余货物，在不影响销售的情况下，应无条件退货。</w:t>
      </w:r>
      <w:bookmarkEnd w:id="150"/>
    </w:p>
    <w:p w14:paraId="5772CD21">
      <w:pPr>
        <w:snapToGrid/>
        <w:spacing w:beforeLines="0" w:afterLines="0" w:line="360" w:lineRule="auto"/>
        <w:ind w:firstLine="480" w:firstLineChars="200"/>
        <w:outlineLvl w:val="9"/>
        <w:rPr>
          <w:rFonts w:hint="eastAsia" w:ascii="宋体" w:hAnsi="宋体" w:eastAsia="宋体" w:cs="宋体"/>
          <w:b w:val="0"/>
          <w:bCs w:val="0"/>
          <w:color w:val="auto"/>
          <w:kern w:val="0"/>
          <w:sz w:val="24"/>
          <w:szCs w:val="24"/>
          <w:highlight w:val="none"/>
          <w:lang w:val="en-US" w:eastAsia="zh-CN"/>
        </w:rPr>
      </w:pPr>
      <w:bookmarkStart w:id="151" w:name="_Toc4302"/>
      <w:r>
        <w:rPr>
          <w:rFonts w:hint="eastAsia" w:ascii="宋体" w:hAnsi="宋体" w:eastAsia="宋体" w:cs="宋体"/>
          <w:b w:val="0"/>
          <w:bCs w:val="0"/>
          <w:color w:val="auto"/>
          <w:kern w:val="0"/>
          <w:sz w:val="24"/>
          <w:szCs w:val="24"/>
          <w:highlight w:val="none"/>
          <w:lang w:val="en-US" w:eastAsia="zh-CN"/>
        </w:rPr>
        <w:t>3.特别说明：送货单位、开具发票单位、发票上加盖印章单位、接收货款单位必须与成交签订的合同单位一致，经审核无误后方可付款。</w:t>
      </w:r>
      <w:bookmarkEnd w:id="151"/>
    </w:p>
    <w:p w14:paraId="69A9D6E5">
      <w:pPr>
        <w:spacing w:beforeLines="0" w:afterLines="0" w:line="360" w:lineRule="auto"/>
        <w:ind w:firstLine="482" w:firstLineChars="200"/>
        <w:outlineLvl w:val="9"/>
        <w:rPr>
          <w:rFonts w:hint="eastAsia" w:ascii="宋体" w:hAnsi="宋体" w:eastAsia="宋体" w:cs="宋体"/>
          <w:b/>
          <w:bCs/>
          <w:color w:val="auto"/>
          <w:kern w:val="0"/>
          <w:sz w:val="24"/>
          <w:szCs w:val="24"/>
          <w:highlight w:val="none"/>
          <w:lang w:val="en-US" w:eastAsia="zh-CN"/>
        </w:rPr>
      </w:pPr>
      <w:bookmarkStart w:id="152" w:name="_Toc13261"/>
      <w:r>
        <w:rPr>
          <w:rFonts w:hint="eastAsia" w:ascii="宋体" w:hAnsi="宋体" w:eastAsia="宋体" w:cs="宋体"/>
          <w:b/>
          <w:bCs/>
          <w:color w:val="auto"/>
          <w:kern w:val="0"/>
          <w:sz w:val="24"/>
          <w:szCs w:val="24"/>
          <w:highlight w:val="none"/>
          <w:lang w:val="en-US" w:eastAsia="zh-CN"/>
        </w:rPr>
        <w:t>（三）结算：</w:t>
      </w:r>
      <w:bookmarkEnd w:id="152"/>
    </w:p>
    <w:p w14:paraId="2B3E34F7">
      <w:pPr>
        <w:spacing w:beforeLines="0" w:afterLines="0" w:line="360" w:lineRule="auto"/>
        <w:ind w:firstLine="480" w:firstLineChars="200"/>
        <w:outlineLvl w:val="9"/>
        <w:rPr>
          <w:rFonts w:hint="eastAsia" w:ascii="宋体" w:hAnsi="宋体" w:eastAsia="宋体" w:cs="宋体"/>
          <w:b w:val="0"/>
          <w:bCs w:val="0"/>
          <w:color w:val="auto"/>
          <w:kern w:val="0"/>
          <w:sz w:val="24"/>
          <w:szCs w:val="24"/>
          <w:highlight w:val="none"/>
          <w:lang w:val="en-US" w:eastAsia="zh-CN"/>
        </w:rPr>
      </w:pPr>
      <w:bookmarkStart w:id="153" w:name="_Toc14442"/>
      <w:r>
        <w:rPr>
          <w:rFonts w:hint="eastAsia" w:ascii="宋体" w:hAnsi="宋体" w:eastAsia="宋体" w:cs="宋体"/>
          <w:b w:val="0"/>
          <w:bCs w:val="0"/>
          <w:color w:val="auto"/>
          <w:kern w:val="0"/>
          <w:sz w:val="24"/>
          <w:szCs w:val="24"/>
          <w:highlight w:val="none"/>
          <w:lang w:val="en-US" w:eastAsia="zh-CN"/>
        </w:rPr>
        <w:t>1.以供应商和采购人双方确认的各货物的结算基价乘以成交折扣比例作为“结算单价”；</w:t>
      </w:r>
      <w:bookmarkEnd w:id="153"/>
    </w:p>
    <w:p w14:paraId="30245C74">
      <w:pPr>
        <w:spacing w:beforeLines="0" w:afterLines="0" w:line="360" w:lineRule="auto"/>
        <w:ind w:firstLine="480" w:firstLineChars="200"/>
        <w:outlineLvl w:val="9"/>
        <w:rPr>
          <w:rFonts w:hint="eastAsia" w:ascii="宋体" w:hAnsi="宋体" w:eastAsia="宋体" w:cs="宋体"/>
          <w:b w:val="0"/>
          <w:bCs w:val="0"/>
          <w:color w:val="auto"/>
          <w:kern w:val="0"/>
          <w:sz w:val="24"/>
          <w:szCs w:val="24"/>
          <w:highlight w:val="none"/>
          <w:lang w:val="en-US" w:eastAsia="zh-CN"/>
        </w:rPr>
      </w:pPr>
      <w:bookmarkStart w:id="154" w:name="_Toc28218"/>
      <w:r>
        <w:rPr>
          <w:rFonts w:hint="eastAsia" w:ascii="宋体" w:hAnsi="宋体" w:eastAsia="宋体" w:cs="宋体"/>
          <w:b w:val="0"/>
          <w:bCs w:val="0"/>
          <w:color w:val="auto"/>
          <w:kern w:val="0"/>
          <w:sz w:val="24"/>
          <w:szCs w:val="24"/>
          <w:highlight w:val="none"/>
          <w:lang w:val="en-US" w:eastAsia="zh-CN"/>
        </w:rPr>
        <w:t>2.最终结算金额=结算单价*实际采购数量+其他金额-扣除金额（如有）进行据实结算。</w:t>
      </w:r>
      <w:bookmarkEnd w:id="154"/>
    </w:p>
    <w:p w14:paraId="6A28D8BB">
      <w:pPr>
        <w:pStyle w:val="5"/>
        <w:adjustRightInd/>
        <w:spacing w:before="0" w:after="0" w:line="360" w:lineRule="auto"/>
        <w:ind w:firstLine="482" w:firstLineChars="200"/>
        <w:rPr>
          <w:rFonts w:hint="eastAsia" w:ascii="宋体" w:hAnsi="宋体" w:eastAsia="宋体" w:cs="宋体"/>
          <w:b/>
          <w:color w:val="auto"/>
          <w:sz w:val="24"/>
          <w:szCs w:val="24"/>
          <w:highlight w:val="none"/>
        </w:rPr>
      </w:pPr>
      <w:bookmarkStart w:id="155" w:name="_Toc7301"/>
      <w:bookmarkStart w:id="156" w:name="_Toc30202"/>
      <w:bookmarkStart w:id="157" w:name="_Toc108"/>
      <w:bookmarkStart w:id="158" w:name="_Toc8642"/>
      <w:bookmarkStart w:id="159" w:name="_Toc10457"/>
      <w:bookmarkStart w:id="160" w:name="_Toc25785"/>
      <w:bookmarkStart w:id="161" w:name="_Toc10029"/>
      <w:bookmarkStart w:id="162" w:name="_Toc18798"/>
      <w:bookmarkStart w:id="163" w:name="_Toc5299"/>
      <w:bookmarkStart w:id="164" w:name="_Toc16381"/>
      <w:bookmarkStart w:id="165" w:name="_Toc18842"/>
      <w:bookmarkStart w:id="166" w:name="_Toc13640"/>
      <w:bookmarkStart w:id="167" w:name="_Toc30171"/>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质量保证及售后服务</w:t>
      </w:r>
      <w:r>
        <w:rPr>
          <w:rFonts w:hint="eastAsia" w:ascii="宋体" w:hAnsi="宋体" w:eastAsia="宋体" w:cs="宋体"/>
          <w:b/>
          <w:color w:val="auto"/>
          <w:sz w:val="24"/>
          <w:szCs w:val="24"/>
          <w:highlight w:val="none"/>
          <w:lang w:val="en-US" w:eastAsia="zh-CN"/>
        </w:rPr>
        <w:t>措施</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135BB2E5">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产品质量保证期</w:t>
      </w:r>
    </w:p>
    <w:p w14:paraId="286C314A">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所有</w:t>
      </w:r>
      <w:r>
        <w:rPr>
          <w:rFonts w:hint="eastAsia" w:ascii="宋体" w:hAnsi="宋体" w:eastAsia="宋体" w:cs="宋体"/>
          <w:b w:val="0"/>
          <w:bCs/>
          <w:color w:val="auto"/>
          <w:sz w:val="24"/>
          <w:szCs w:val="24"/>
          <w:highlight w:val="none"/>
        </w:rPr>
        <w:t>商品</w:t>
      </w:r>
      <w:r>
        <w:rPr>
          <w:rFonts w:hint="eastAsia" w:ascii="宋体" w:hAnsi="宋体" w:eastAsia="宋体" w:cs="宋体"/>
          <w:color w:val="auto"/>
          <w:sz w:val="24"/>
          <w:szCs w:val="24"/>
          <w:highlight w:val="none"/>
        </w:rPr>
        <w:t>因验收货物时不能直接判断质量的，在使用过程中发现不合格商品，</w:t>
      </w:r>
      <w:r>
        <w:rPr>
          <w:rFonts w:hint="eastAsia" w:ascii="宋体" w:hAnsi="宋体" w:eastAsia="宋体" w:cs="宋体"/>
          <w:color w:val="auto"/>
          <w:kern w:val="0"/>
          <w:sz w:val="24"/>
          <w:szCs w:val="24"/>
          <w:highlight w:val="none"/>
        </w:rPr>
        <w:t>成交供应商</w:t>
      </w:r>
      <w:r>
        <w:rPr>
          <w:rFonts w:hint="eastAsia" w:ascii="宋体" w:hAnsi="宋体" w:eastAsia="宋体" w:cs="宋体"/>
          <w:color w:val="auto"/>
          <w:sz w:val="24"/>
          <w:szCs w:val="24"/>
          <w:highlight w:val="none"/>
        </w:rPr>
        <w:t>应作退货处理。</w:t>
      </w:r>
    </w:p>
    <w:p w14:paraId="69ECAE3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因质量问题发生的食物中毒等事故，由</w:t>
      </w:r>
      <w:r>
        <w:rPr>
          <w:rFonts w:hint="eastAsia" w:ascii="宋体" w:hAnsi="宋体" w:eastAsia="宋体" w:cs="宋体"/>
          <w:color w:val="auto"/>
          <w:kern w:val="0"/>
          <w:sz w:val="24"/>
          <w:szCs w:val="24"/>
          <w:highlight w:val="none"/>
        </w:rPr>
        <w:t>成交供应商</w:t>
      </w:r>
      <w:r>
        <w:rPr>
          <w:rFonts w:hint="eastAsia" w:ascii="宋体" w:hAnsi="宋体" w:eastAsia="宋体" w:cs="宋体"/>
          <w:b w:val="0"/>
          <w:bCs/>
          <w:color w:val="auto"/>
          <w:sz w:val="24"/>
          <w:szCs w:val="24"/>
          <w:highlight w:val="none"/>
        </w:rPr>
        <w:t>承担经济赔偿责任以及全部法律责任。</w:t>
      </w:r>
    </w:p>
    <w:p w14:paraId="02F0D8AC">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因</w:t>
      </w:r>
      <w:r>
        <w:rPr>
          <w:rFonts w:hint="eastAsia" w:ascii="宋体" w:hAnsi="宋体" w:eastAsia="宋体" w:cs="宋体"/>
          <w:color w:val="auto"/>
          <w:kern w:val="0"/>
          <w:sz w:val="24"/>
          <w:szCs w:val="24"/>
          <w:highlight w:val="none"/>
        </w:rPr>
        <w:t>成交供应商</w:t>
      </w:r>
      <w:r>
        <w:rPr>
          <w:rFonts w:hint="eastAsia" w:ascii="宋体" w:hAnsi="宋体" w:eastAsia="宋体" w:cs="宋体"/>
          <w:b w:val="0"/>
          <w:bCs/>
          <w:color w:val="auto"/>
          <w:sz w:val="24"/>
          <w:szCs w:val="24"/>
          <w:highlight w:val="none"/>
        </w:rPr>
        <w:t>原因，造成监管安全事故，食品安全事故、食物中毒、违规违纪的，</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有权解除合同，拒付货款，造成的损失和后果一律由</w:t>
      </w:r>
      <w:r>
        <w:rPr>
          <w:rFonts w:hint="eastAsia" w:ascii="宋体" w:hAnsi="宋体" w:eastAsia="宋体" w:cs="宋体"/>
          <w:color w:val="auto"/>
          <w:kern w:val="0"/>
          <w:sz w:val="24"/>
          <w:szCs w:val="24"/>
          <w:highlight w:val="none"/>
        </w:rPr>
        <w:t>成交供应商</w:t>
      </w:r>
      <w:r>
        <w:rPr>
          <w:rFonts w:hint="eastAsia" w:ascii="宋体" w:hAnsi="宋体" w:eastAsia="宋体" w:cs="宋体"/>
          <w:b w:val="0"/>
          <w:bCs/>
          <w:color w:val="auto"/>
          <w:sz w:val="24"/>
          <w:szCs w:val="24"/>
          <w:highlight w:val="none"/>
        </w:rPr>
        <w:t>承担。</w:t>
      </w:r>
    </w:p>
    <w:p w14:paraId="665D3908">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售后服务内容</w:t>
      </w:r>
    </w:p>
    <w:p w14:paraId="2050D7B3">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因</w:t>
      </w:r>
      <w:r>
        <w:rPr>
          <w:rFonts w:hint="eastAsia" w:ascii="宋体" w:hAnsi="宋体" w:eastAsia="宋体" w:cs="宋体"/>
          <w:b w:val="0"/>
          <w:bCs/>
          <w:color w:val="auto"/>
          <w:sz w:val="24"/>
          <w:szCs w:val="24"/>
          <w:highlight w:val="none"/>
        </w:rPr>
        <w:t>市场</w:t>
      </w:r>
      <w:r>
        <w:rPr>
          <w:rFonts w:hint="eastAsia" w:ascii="宋体" w:hAnsi="宋体" w:eastAsia="宋体" w:cs="宋体"/>
          <w:color w:val="auto"/>
          <w:sz w:val="24"/>
          <w:szCs w:val="24"/>
          <w:highlight w:val="none"/>
        </w:rPr>
        <w:t>特殊原因，个别食材品种不能及时提供，</w:t>
      </w:r>
      <w:r>
        <w:rPr>
          <w:rFonts w:hint="eastAsia" w:ascii="宋体" w:hAnsi="宋体" w:eastAsia="宋体" w:cs="宋体"/>
          <w:color w:val="auto"/>
          <w:kern w:val="0"/>
          <w:sz w:val="24"/>
          <w:szCs w:val="24"/>
          <w:highlight w:val="none"/>
        </w:rPr>
        <w:t>成交供应商</w:t>
      </w:r>
      <w:r>
        <w:rPr>
          <w:rFonts w:hint="eastAsia" w:ascii="宋体" w:hAnsi="宋体" w:eastAsia="宋体" w:cs="宋体"/>
          <w:color w:val="auto"/>
          <w:sz w:val="24"/>
          <w:szCs w:val="24"/>
          <w:highlight w:val="none"/>
        </w:rPr>
        <w:t>应主动与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沟通协调，更换品种，满足需要。</w:t>
      </w:r>
    </w:p>
    <w:p w14:paraId="50ABB057">
      <w:pPr>
        <w:keepNext w:val="0"/>
        <w:keepLines w:val="0"/>
        <w:pageBreakBefore w:val="0"/>
        <w:kinsoku/>
        <w:wordWrap/>
        <w:overflowPunct/>
        <w:topLinePunct w:val="0"/>
        <w:bidi w:val="0"/>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物资验收中不合格产品，</w:t>
      </w:r>
      <w:r>
        <w:rPr>
          <w:rFonts w:hint="eastAsia" w:ascii="宋体" w:hAnsi="宋体" w:eastAsia="宋体" w:cs="宋体"/>
          <w:color w:val="auto"/>
          <w:kern w:val="0"/>
          <w:sz w:val="24"/>
          <w:szCs w:val="24"/>
          <w:highlight w:val="none"/>
        </w:rPr>
        <w:t>成交供应商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规定时间内调换，应不影响正常工作。</w:t>
      </w:r>
    </w:p>
    <w:p w14:paraId="11A308E4">
      <w:pPr>
        <w:pStyle w:val="5"/>
        <w:adjustRightInd/>
        <w:spacing w:before="0" w:after="0" w:line="360" w:lineRule="auto"/>
        <w:ind w:firstLine="482" w:firstLineChars="200"/>
        <w:rPr>
          <w:rFonts w:hint="eastAsia" w:ascii="宋体" w:hAnsi="宋体" w:eastAsia="宋体" w:cs="宋体"/>
          <w:b/>
          <w:color w:val="auto"/>
          <w:sz w:val="24"/>
          <w:szCs w:val="24"/>
          <w:highlight w:val="none"/>
        </w:rPr>
      </w:pPr>
      <w:bookmarkStart w:id="168" w:name="_Toc5632"/>
      <w:bookmarkStart w:id="169" w:name="_Toc4705"/>
      <w:bookmarkStart w:id="170" w:name="_Toc26649"/>
      <w:bookmarkStart w:id="171" w:name="_Toc996"/>
      <w:bookmarkStart w:id="172" w:name="_Toc8917"/>
      <w:bookmarkStart w:id="173" w:name="_Toc12713"/>
      <w:bookmarkStart w:id="174" w:name="_Toc14942"/>
      <w:bookmarkStart w:id="175" w:name="_Toc13717"/>
      <w:bookmarkStart w:id="176" w:name="_Toc26643"/>
      <w:bookmarkStart w:id="177" w:name="_Toc11058"/>
      <w:bookmarkStart w:id="178" w:name="_Toc15950"/>
      <w:bookmarkStart w:id="179" w:name="_Toc22807"/>
      <w:bookmarkStart w:id="180" w:name="_Toc19466"/>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、其他</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6D928FE2">
      <w:pPr>
        <w:pageBreakBefore w:val="0"/>
        <w:widowControl w:val="0"/>
        <w:kinsoku/>
        <w:wordWrap w:val="0"/>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一）供应商</w:t>
      </w:r>
      <w:r>
        <w:rPr>
          <w:rFonts w:hint="eastAsia" w:ascii="宋体" w:hAnsi="宋体" w:eastAsia="宋体" w:cs="宋体"/>
          <w:color w:val="auto"/>
          <w:sz w:val="24"/>
          <w:szCs w:val="24"/>
          <w:highlight w:val="none"/>
        </w:rPr>
        <w:t>必须在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中对以上条款和服务承诺明确列出，承诺内容必须达到本篇及采购文件其他条款的要求。</w:t>
      </w:r>
    </w:p>
    <w:p w14:paraId="2C96BD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14:paraId="5E6E3503">
      <w:pPr>
        <w:spacing w:line="360" w:lineRule="auto"/>
        <w:ind w:firstLine="480" w:firstLineChars="200"/>
        <w:rPr>
          <w:rFonts w:hint="eastAsia" w:ascii="宋体" w:hAnsi="宋体" w:eastAsia="宋体" w:cs="宋体"/>
          <w:color w:val="auto"/>
          <w:sz w:val="24"/>
          <w:szCs w:val="24"/>
          <w:highlight w:val="none"/>
        </w:rPr>
      </w:pPr>
    </w:p>
    <w:bookmarkEnd w:id="103"/>
    <w:bookmarkEnd w:id="104"/>
    <w:p w14:paraId="2AC340EB">
      <w:pPr>
        <w:spacing w:line="360" w:lineRule="auto"/>
        <w:ind w:firstLine="562" w:firstLineChars="200"/>
        <w:rPr>
          <w:rStyle w:val="32"/>
          <w:rFonts w:ascii="宋体" w:hAnsi="宋体" w:eastAsia="宋体" w:cs="宋体"/>
          <w:b/>
          <w:bCs/>
          <w:color w:val="auto"/>
          <w:sz w:val="28"/>
          <w:szCs w:val="28"/>
          <w:highlight w:val="none"/>
        </w:rPr>
      </w:pPr>
      <w:r>
        <w:rPr>
          <w:rStyle w:val="32"/>
          <w:rFonts w:hint="eastAsia" w:ascii="宋体" w:hAnsi="宋体" w:eastAsia="宋体" w:cs="宋体"/>
          <w:b/>
          <w:bCs/>
          <w:color w:val="auto"/>
          <w:sz w:val="28"/>
          <w:szCs w:val="28"/>
          <w:highlight w:val="none"/>
        </w:rPr>
        <w:br w:type="page"/>
      </w:r>
    </w:p>
    <w:p w14:paraId="51694129">
      <w:pPr>
        <w:pStyle w:val="4"/>
        <w:pageBreakBefore/>
        <w:spacing w:before="0" w:after="0" w:line="360" w:lineRule="auto"/>
        <w:jc w:val="center"/>
        <w:rPr>
          <w:rFonts w:hint="eastAsia" w:ascii="Times New Roman" w:hAnsi="Times New Roman" w:eastAsia="宋体" w:cs="宋体"/>
          <w:b w:val="0"/>
          <w:color w:val="auto"/>
          <w:spacing w:val="-11"/>
          <w:sz w:val="36"/>
          <w:szCs w:val="30"/>
          <w:highlight w:val="none"/>
        </w:rPr>
      </w:pPr>
      <w:bookmarkStart w:id="181" w:name="_Toc30008"/>
      <w:bookmarkStart w:id="182" w:name="_Toc389"/>
      <w:bookmarkStart w:id="183" w:name="_Toc18726"/>
      <w:bookmarkStart w:id="184" w:name="_Toc24365"/>
      <w:bookmarkStart w:id="185" w:name="_Toc27873"/>
      <w:bookmarkStart w:id="186" w:name="_Toc17440"/>
      <w:r>
        <w:rPr>
          <w:rFonts w:hint="eastAsia" w:ascii="Times New Roman" w:hAnsi="Times New Roman" w:eastAsia="宋体" w:cs="宋体"/>
          <w:b w:val="0"/>
          <w:color w:val="auto"/>
          <w:spacing w:val="-11"/>
          <w:sz w:val="36"/>
          <w:szCs w:val="30"/>
          <w:highlight w:val="none"/>
        </w:rPr>
        <w:t>第四篇  网上竞采程序及方法、评审标准、响应无效和</w:t>
      </w:r>
      <w:r>
        <w:rPr>
          <w:rFonts w:hint="eastAsia" w:ascii="Times New Roman" w:hAnsi="Times New Roman" w:eastAsia="宋体" w:cs="宋体"/>
          <w:b w:val="0"/>
          <w:color w:val="auto"/>
          <w:spacing w:val="-11"/>
          <w:sz w:val="36"/>
          <w:szCs w:val="36"/>
          <w:highlight w:val="none"/>
        </w:rPr>
        <w:t>采购终止</w:t>
      </w:r>
      <w:bookmarkEnd w:id="181"/>
      <w:bookmarkEnd w:id="182"/>
      <w:bookmarkEnd w:id="183"/>
      <w:bookmarkEnd w:id="184"/>
      <w:bookmarkEnd w:id="185"/>
      <w:bookmarkEnd w:id="186"/>
    </w:p>
    <w:p w14:paraId="3B2C0E82">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187" w:name="_Toc49"/>
      <w:bookmarkStart w:id="188" w:name="_Toc27196"/>
      <w:bookmarkStart w:id="189" w:name="_Toc13797"/>
      <w:bookmarkStart w:id="190" w:name="_Toc23871"/>
      <w:bookmarkStart w:id="191" w:name="_Toc3949"/>
      <w:bookmarkStart w:id="192" w:name="_Toc23817"/>
      <w:bookmarkStart w:id="193" w:name="_Toc15569"/>
      <w:r>
        <w:rPr>
          <w:rFonts w:hint="eastAsia" w:ascii="Times New Roman" w:hAnsi="Times New Roman" w:eastAsia="宋体" w:cs="宋体"/>
          <w:color w:val="auto"/>
          <w:sz w:val="24"/>
          <w:szCs w:val="24"/>
          <w:highlight w:val="none"/>
        </w:rPr>
        <w:t>一、网上竞采程序及方法</w:t>
      </w:r>
      <w:bookmarkEnd w:id="187"/>
      <w:bookmarkEnd w:id="188"/>
      <w:bookmarkEnd w:id="189"/>
      <w:bookmarkEnd w:id="190"/>
      <w:bookmarkEnd w:id="191"/>
      <w:bookmarkEnd w:id="192"/>
      <w:bookmarkEnd w:id="193"/>
    </w:p>
    <w:p w14:paraId="57E878BE">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（一）网上竞采按</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规定的开标时间和地点进行，竞采由本项目依法组建的评审小组进行评审。</w:t>
      </w:r>
    </w:p>
    <w:p w14:paraId="5E061A5B">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（二）评审小组对各供应商的资格条件、响应文件的有效性、完整性和响应程度进行审查。各供应商只有在完全符合要求的前提下，才能参与正式网上竞采。</w:t>
      </w:r>
    </w:p>
    <w:p w14:paraId="1EC85BDD">
      <w:pPr>
        <w:snapToGrid w:val="0"/>
        <w:spacing w:line="360" w:lineRule="auto"/>
        <w:ind w:firstLine="480" w:firstLineChars="200"/>
        <w:rPr>
          <w:rFonts w:ascii="宋体" w:hAnsi="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kern w:val="0"/>
          <w:sz w:val="24"/>
          <w:szCs w:val="24"/>
          <w:highlight w:val="none"/>
        </w:rPr>
        <w:t>资格性检查。依据法律法规和</w:t>
      </w:r>
      <w:r>
        <w:rPr>
          <w:rFonts w:hint="eastAsia" w:ascii="Times New Roman" w:hAnsi="Times New Roman" w:eastAsia="宋体" w:cs="宋体"/>
          <w:color w:val="auto"/>
          <w:kern w:val="0"/>
          <w:sz w:val="24"/>
          <w:szCs w:val="24"/>
          <w:highlight w:val="none"/>
          <w:lang w:eastAsia="zh-CN"/>
        </w:rPr>
        <w:t>网上竞采采购文件</w:t>
      </w:r>
      <w:r>
        <w:rPr>
          <w:rFonts w:hint="eastAsia" w:ascii="Times New Roman" w:hAnsi="Times New Roman" w:eastAsia="宋体" w:cs="宋体"/>
          <w:color w:val="auto"/>
          <w:kern w:val="0"/>
          <w:sz w:val="24"/>
          <w:szCs w:val="24"/>
          <w:highlight w:val="none"/>
        </w:rPr>
        <w:t>的规定，对响应文件中的资格证明、进行审查，以确定供应商是否具备网上竞采资格。资格性检查资料表如下：</w:t>
      </w:r>
    </w:p>
    <w:tbl>
      <w:tblPr>
        <w:tblStyle w:val="2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3493"/>
        <w:gridCol w:w="5154"/>
      </w:tblGrid>
      <w:tr w14:paraId="20F7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28D1B44">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458" w:type="dxa"/>
            <w:gridSpan w:val="2"/>
            <w:vAlign w:val="center"/>
          </w:tcPr>
          <w:p w14:paraId="04127974">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5154" w:type="dxa"/>
            <w:vAlign w:val="center"/>
          </w:tcPr>
          <w:p w14:paraId="4C08CE06">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2F72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067854FD">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65" w:type="dxa"/>
            <w:vMerge w:val="restart"/>
            <w:vAlign w:val="center"/>
          </w:tcPr>
          <w:p w14:paraId="756F7A72">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zh-CN"/>
              </w:rPr>
              <w:t>应符合的基本资格条件</w:t>
            </w:r>
          </w:p>
        </w:tc>
        <w:tc>
          <w:tcPr>
            <w:tcW w:w="3493" w:type="dxa"/>
            <w:vAlign w:val="center"/>
          </w:tcPr>
          <w:p w14:paraId="5F11A29B">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5154" w:type="dxa"/>
            <w:vAlign w:val="center"/>
          </w:tcPr>
          <w:p w14:paraId="3166FF15">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供应商法人营业执照（副本）或事业单位法人证书（副本）或个体工商户营业执照或有效的自然人身份证明、组织机构代码证复印件（注</w:t>
            </w:r>
            <w:r>
              <w:rPr>
                <w:rFonts w:hint="eastAsia" w:ascii="宋体" w:hAnsi="宋体" w:cs="宋体"/>
                <w:color w:val="auto"/>
                <w:kern w:val="0"/>
                <w:sz w:val="24"/>
                <w:szCs w:val="24"/>
                <w:highlight w:val="none"/>
              </w:rPr>
              <w:sym w:font="Wingdings" w:char="F081"/>
            </w:r>
            <w:r>
              <w:rPr>
                <w:rFonts w:hint="eastAsia" w:ascii="宋体" w:hAnsi="宋体" w:cs="宋体"/>
                <w:color w:val="auto"/>
                <w:sz w:val="24"/>
                <w:szCs w:val="24"/>
                <w:highlight w:val="none"/>
              </w:rPr>
              <w:t xml:space="preserve">）； </w:t>
            </w:r>
          </w:p>
          <w:p w14:paraId="6C8C1525">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供应商法定代表人身份证明和法定代表人授权代表委托书。</w:t>
            </w:r>
          </w:p>
        </w:tc>
      </w:tr>
      <w:tr w14:paraId="5685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69726B5F">
            <w:pPr>
              <w:keepNext/>
              <w:keepLines/>
              <w:spacing w:before="260" w:after="260" w:line="420" w:lineRule="exact"/>
              <w:jc w:val="center"/>
              <w:outlineLvl w:val="2"/>
              <w:rPr>
                <w:rFonts w:ascii="宋体" w:hAnsi="宋体" w:cs="宋体"/>
                <w:color w:val="auto"/>
                <w:sz w:val="24"/>
                <w:szCs w:val="24"/>
                <w:highlight w:val="none"/>
              </w:rPr>
            </w:pPr>
          </w:p>
        </w:tc>
        <w:tc>
          <w:tcPr>
            <w:tcW w:w="965" w:type="dxa"/>
            <w:vMerge w:val="continue"/>
            <w:vAlign w:val="center"/>
          </w:tcPr>
          <w:p w14:paraId="4C853BFD">
            <w:pPr>
              <w:keepNext/>
              <w:keepLines/>
              <w:spacing w:before="260" w:after="260" w:line="420" w:lineRule="exact"/>
              <w:outlineLvl w:val="2"/>
              <w:rPr>
                <w:rFonts w:ascii="宋体" w:hAnsi="宋体" w:cs="宋体"/>
                <w:color w:val="auto"/>
                <w:sz w:val="24"/>
                <w:szCs w:val="24"/>
                <w:highlight w:val="none"/>
                <w:lang w:val="zh-CN"/>
              </w:rPr>
            </w:pPr>
          </w:p>
        </w:tc>
        <w:tc>
          <w:tcPr>
            <w:tcW w:w="3493" w:type="dxa"/>
            <w:vAlign w:val="center"/>
          </w:tcPr>
          <w:p w14:paraId="05FBF0A2">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5154" w:type="dxa"/>
            <w:vMerge w:val="restart"/>
            <w:vAlign w:val="center"/>
          </w:tcPr>
          <w:p w14:paraId="71035FA9">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供应商提供书面声明（见格式文件）</w:t>
            </w:r>
          </w:p>
        </w:tc>
      </w:tr>
      <w:tr w14:paraId="0FD7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540FE012">
            <w:pPr>
              <w:keepNext/>
              <w:keepLines/>
              <w:spacing w:before="260" w:after="260" w:line="420" w:lineRule="exact"/>
              <w:jc w:val="center"/>
              <w:outlineLvl w:val="2"/>
              <w:rPr>
                <w:rFonts w:ascii="宋体" w:hAnsi="宋体" w:cs="宋体"/>
                <w:color w:val="auto"/>
                <w:sz w:val="24"/>
                <w:szCs w:val="24"/>
                <w:highlight w:val="none"/>
              </w:rPr>
            </w:pPr>
          </w:p>
        </w:tc>
        <w:tc>
          <w:tcPr>
            <w:tcW w:w="965" w:type="dxa"/>
            <w:vMerge w:val="continue"/>
            <w:vAlign w:val="center"/>
          </w:tcPr>
          <w:p w14:paraId="14A8F471">
            <w:pPr>
              <w:keepNext/>
              <w:keepLines/>
              <w:spacing w:before="260" w:after="260" w:line="420" w:lineRule="exact"/>
              <w:outlineLvl w:val="2"/>
              <w:rPr>
                <w:rFonts w:ascii="宋体" w:hAnsi="宋体" w:cs="宋体"/>
                <w:color w:val="auto"/>
                <w:sz w:val="24"/>
                <w:szCs w:val="24"/>
                <w:highlight w:val="none"/>
                <w:lang w:val="zh-CN"/>
              </w:rPr>
            </w:pPr>
          </w:p>
        </w:tc>
        <w:tc>
          <w:tcPr>
            <w:tcW w:w="3493" w:type="dxa"/>
            <w:vAlign w:val="center"/>
          </w:tcPr>
          <w:p w14:paraId="6D8F05AA">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5154" w:type="dxa"/>
            <w:vMerge w:val="continue"/>
            <w:vAlign w:val="center"/>
          </w:tcPr>
          <w:p w14:paraId="414DC120">
            <w:pPr>
              <w:spacing w:line="420" w:lineRule="exact"/>
              <w:rPr>
                <w:rFonts w:ascii="宋体" w:hAnsi="宋体" w:cs="宋体"/>
                <w:color w:val="auto"/>
                <w:sz w:val="24"/>
                <w:szCs w:val="24"/>
                <w:highlight w:val="none"/>
              </w:rPr>
            </w:pPr>
          </w:p>
        </w:tc>
      </w:tr>
      <w:tr w14:paraId="0D6C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C53C2B6">
            <w:pPr>
              <w:keepNext/>
              <w:keepLines/>
              <w:spacing w:before="260" w:after="260" w:line="420" w:lineRule="exact"/>
              <w:jc w:val="center"/>
              <w:outlineLvl w:val="2"/>
              <w:rPr>
                <w:rFonts w:ascii="宋体" w:hAnsi="宋体" w:cs="宋体"/>
                <w:color w:val="auto"/>
                <w:sz w:val="24"/>
                <w:szCs w:val="24"/>
                <w:highlight w:val="none"/>
              </w:rPr>
            </w:pPr>
          </w:p>
        </w:tc>
        <w:tc>
          <w:tcPr>
            <w:tcW w:w="965" w:type="dxa"/>
            <w:vMerge w:val="continue"/>
            <w:vAlign w:val="center"/>
          </w:tcPr>
          <w:p w14:paraId="7BB8C8F8">
            <w:pPr>
              <w:keepNext/>
              <w:keepLines/>
              <w:spacing w:before="260" w:after="260" w:line="420" w:lineRule="exact"/>
              <w:outlineLvl w:val="2"/>
              <w:rPr>
                <w:rFonts w:ascii="宋体" w:hAnsi="宋体" w:cs="宋体"/>
                <w:color w:val="auto"/>
                <w:sz w:val="24"/>
                <w:szCs w:val="24"/>
                <w:highlight w:val="none"/>
                <w:lang w:val="zh-CN"/>
              </w:rPr>
            </w:pPr>
          </w:p>
        </w:tc>
        <w:tc>
          <w:tcPr>
            <w:tcW w:w="3493" w:type="dxa"/>
            <w:vAlign w:val="center"/>
          </w:tcPr>
          <w:p w14:paraId="38E36EC8">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5154" w:type="dxa"/>
            <w:vMerge w:val="continue"/>
            <w:vAlign w:val="center"/>
          </w:tcPr>
          <w:p w14:paraId="64A473CE">
            <w:pPr>
              <w:spacing w:line="420" w:lineRule="exact"/>
              <w:rPr>
                <w:rFonts w:ascii="宋体" w:hAnsi="宋体" w:cs="宋体"/>
                <w:color w:val="auto"/>
                <w:sz w:val="24"/>
                <w:szCs w:val="24"/>
                <w:highlight w:val="none"/>
              </w:rPr>
            </w:pPr>
          </w:p>
        </w:tc>
      </w:tr>
      <w:tr w14:paraId="1777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8636DE1">
            <w:pPr>
              <w:spacing w:line="420" w:lineRule="exact"/>
              <w:jc w:val="center"/>
              <w:rPr>
                <w:rFonts w:ascii="宋体" w:hAnsi="宋体" w:cs="宋体"/>
                <w:color w:val="auto"/>
                <w:sz w:val="24"/>
                <w:szCs w:val="24"/>
                <w:highlight w:val="none"/>
              </w:rPr>
            </w:pPr>
          </w:p>
        </w:tc>
        <w:tc>
          <w:tcPr>
            <w:tcW w:w="965" w:type="dxa"/>
            <w:vMerge w:val="continue"/>
            <w:vAlign w:val="center"/>
          </w:tcPr>
          <w:p w14:paraId="018660D8">
            <w:pPr>
              <w:spacing w:line="420" w:lineRule="exact"/>
              <w:rPr>
                <w:rFonts w:ascii="宋体" w:hAnsi="宋体" w:cs="宋体"/>
                <w:color w:val="auto"/>
                <w:sz w:val="24"/>
                <w:szCs w:val="24"/>
                <w:highlight w:val="none"/>
                <w:lang w:val="zh-CN"/>
              </w:rPr>
            </w:pPr>
          </w:p>
        </w:tc>
        <w:tc>
          <w:tcPr>
            <w:tcW w:w="3493" w:type="dxa"/>
            <w:vAlign w:val="center"/>
          </w:tcPr>
          <w:p w14:paraId="0C1E50D7">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（5）参加政府采购活动前三年内，在经营活动中没有重大违法记录（注②）</w:t>
            </w:r>
          </w:p>
        </w:tc>
        <w:tc>
          <w:tcPr>
            <w:tcW w:w="5154" w:type="dxa"/>
            <w:vMerge w:val="continue"/>
            <w:vAlign w:val="center"/>
          </w:tcPr>
          <w:p w14:paraId="40BCDD84">
            <w:pPr>
              <w:spacing w:line="420" w:lineRule="exact"/>
              <w:rPr>
                <w:rFonts w:ascii="宋体" w:hAnsi="宋体" w:cs="宋体"/>
                <w:color w:val="auto"/>
                <w:sz w:val="24"/>
                <w:szCs w:val="24"/>
                <w:highlight w:val="none"/>
              </w:rPr>
            </w:pPr>
          </w:p>
        </w:tc>
      </w:tr>
      <w:tr w14:paraId="5519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086FEDB3">
            <w:pPr>
              <w:keepNext/>
              <w:keepLines/>
              <w:spacing w:before="260" w:after="260" w:line="420" w:lineRule="exact"/>
              <w:jc w:val="center"/>
              <w:outlineLvl w:val="2"/>
              <w:rPr>
                <w:rFonts w:ascii="宋体" w:hAnsi="宋体" w:cs="宋体"/>
                <w:color w:val="auto"/>
                <w:sz w:val="24"/>
                <w:szCs w:val="24"/>
                <w:highlight w:val="none"/>
              </w:rPr>
            </w:pPr>
          </w:p>
        </w:tc>
        <w:tc>
          <w:tcPr>
            <w:tcW w:w="965" w:type="dxa"/>
            <w:vMerge w:val="continue"/>
            <w:vAlign w:val="center"/>
          </w:tcPr>
          <w:p w14:paraId="491E8E58">
            <w:pPr>
              <w:keepNext/>
              <w:keepLines/>
              <w:spacing w:before="260" w:after="260" w:line="420" w:lineRule="exact"/>
              <w:outlineLvl w:val="2"/>
              <w:rPr>
                <w:rFonts w:ascii="宋体" w:hAnsi="宋体" w:cs="宋体"/>
                <w:color w:val="auto"/>
                <w:sz w:val="24"/>
                <w:szCs w:val="24"/>
                <w:highlight w:val="none"/>
                <w:lang w:val="zh-CN"/>
              </w:rPr>
            </w:pPr>
          </w:p>
        </w:tc>
        <w:tc>
          <w:tcPr>
            <w:tcW w:w="3493" w:type="dxa"/>
            <w:vAlign w:val="center"/>
          </w:tcPr>
          <w:p w14:paraId="295667B6">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5154" w:type="dxa"/>
            <w:vAlign w:val="center"/>
          </w:tcPr>
          <w:p w14:paraId="2651C3A2">
            <w:pPr>
              <w:keepNext/>
              <w:keepLines/>
              <w:spacing w:before="260" w:after="260" w:line="420" w:lineRule="exact"/>
              <w:jc w:val="left"/>
              <w:outlineLvl w:val="2"/>
              <w:rPr>
                <w:rFonts w:ascii="宋体" w:hAnsi="宋体" w:cs="宋体"/>
                <w:color w:val="auto"/>
                <w:sz w:val="24"/>
                <w:szCs w:val="24"/>
                <w:highlight w:val="none"/>
              </w:rPr>
            </w:pPr>
          </w:p>
        </w:tc>
      </w:tr>
      <w:tr w14:paraId="389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8885F31">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458" w:type="dxa"/>
            <w:gridSpan w:val="2"/>
            <w:vAlign w:val="center"/>
          </w:tcPr>
          <w:p w14:paraId="2329333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5154" w:type="dxa"/>
            <w:vAlign w:val="center"/>
          </w:tcPr>
          <w:p w14:paraId="3E9DC80B">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w:t>
            </w:r>
            <w:r>
              <w:rPr>
                <w:rFonts w:hint="eastAsia" w:ascii="宋体" w:hAnsi="宋体" w:cs="宋体"/>
                <w:color w:val="auto"/>
                <w:sz w:val="24"/>
                <w:szCs w:val="24"/>
                <w:highlight w:val="none"/>
              </w:rPr>
              <w:t>资格要求</w:t>
            </w:r>
            <w:r>
              <w:rPr>
                <w:rFonts w:hint="eastAsia" w:ascii="宋体" w:hAnsi="宋体" w:eastAsia="宋体" w:cs="宋体"/>
                <w:color w:val="auto"/>
                <w:sz w:val="24"/>
                <w:szCs w:val="24"/>
                <w:highlight w:val="none"/>
              </w:rPr>
              <w:t>（二）落实政府采购政策需满足的资格要求”的要求提交（如果有）。</w:t>
            </w:r>
          </w:p>
        </w:tc>
      </w:tr>
      <w:tr w14:paraId="633B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61154D6C">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458" w:type="dxa"/>
            <w:gridSpan w:val="2"/>
            <w:vAlign w:val="center"/>
          </w:tcPr>
          <w:p w14:paraId="4DB06B86">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特定资格条件</w:t>
            </w:r>
          </w:p>
        </w:tc>
        <w:tc>
          <w:tcPr>
            <w:tcW w:w="5154" w:type="dxa"/>
            <w:vAlign w:val="center"/>
          </w:tcPr>
          <w:p w14:paraId="2A1E7B03">
            <w:pPr>
              <w:spacing w:line="42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按第一篇“资格要求（</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rPr>
              <w:t>。</w:t>
            </w:r>
          </w:p>
        </w:tc>
      </w:tr>
    </w:tbl>
    <w:p w14:paraId="676C5CE0">
      <w:pPr>
        <w:snapToGrid w:val="0"/>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4A4F2235">
      <w:pPr>
        <w:snapToGrid w:val="0"/>
        <w:spacing w:line="4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F081"/>
      </w:r>
      <w:r>
        <w:rPr>
          <w:rFonts w:hint="eastAsia" w:ascii="宋体" w:hAnsi="宋体" w:cs="宋体"/>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7DDC1D9F">
      <w:pPr>
        <w:snapToGrid w:val="0"/>
        <w:spacing w:line="4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F082"/>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A75418">
      <w:pPr>
        <w:snapToGrid w:val="0"/>
        <w:spacing w:line="42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2.符合性检查。依据网上竞采采购文件的规定，从响应文件的有效性、完整性和对网上竞采采购文件的响应程度进行审查，以确定是否对网上竞采采购文件的实质性要求作出响应。符合性检查资料表如下：</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F2B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93D67D8">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037CAE3">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21255B51">
            <w:pPr>
              <w:spacing w:line="42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009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B4EEC53">
            <w:pPr>
              <w:spacing w:line="4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427FDA4">
            <w:pPr>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9F76BD5">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DC17385">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响应文件上法定代表人或其授权代表人的签字齐全。</w:t>
            </w:r>
          </w:p>
        </w:tc>
      </w:tr>
      <w:tr w14:paraId="36CA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B0ECA5">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F62A10E">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206B39A">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6F2B4382">
            <w:pPr>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竞采文件</w:t>
            </w:r>
            <w:r>
              <w:rPr>
                <w:rFonts w:hint="eastAsia" w:ascii="宋体" w:hAnsi="宋体" w:cs="宋体"/>
                <w:color w:val="auto"/>
                <w:sz w:val="24"/>
                <w:szCs w:val="24"/>
                <w:highlight w:val="none"/>
              </w:rPr>
              <w:t>规定的格式，签字或盖章齐全。</w:t>
            </w:r>
          </w:p>
        </w:tc>
      </w:tr>
      <w:tr w14:paraId="6B70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8526D61">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8464B31">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848FEED">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AC7FCF8">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7E9F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3C63FE6">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C022CB0">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D1E154A">
            <w:pPr>
              <w:spacing w:line="42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8B6AA9">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682D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4CAC057B">
            <w:pPr>
              <w:spacing w:line="4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DD56D3B">
            <w:pPr>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7962018">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57C7B2B5">
            <w:pPr>
              <w:spacing w:line="42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lang w:eastAsia="zh-CN"/>
              </w:rPr>
              <w:t>竞采文件</w:t>
            </w:r>
            <w:r>
              <w:rPr>
                <w:rFonts w:hint="eastAsia" w:ascii="宋体" w:hAnsi="宋体" w:cs="宋体"/>
                <w:color w:val="auto"/>
                <w:sz w:val="24"/>
                <w:szCs w:val="24"/>
                <w:highlight w:val="none"/>
                <w:lang w:val="zh-CN"/>
              </w:rPr>
              <w:t>要求。</w:t>
            </w:r>
          </w:p>
        </w:tc>
      </w:tr>
      <w:tr w14:paraId="127F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4F87F57F">
            <w:pPr>
              <w:spacing w:line="4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374B1EA">
            <w:pPr>
              <w:spacing w:line="42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lang w:eastAsia="zh-CN"/>
              </w:rPr>
              <w:t>竞采文件</w:t>
            </w:r>
            <w:r>
              <w:rPr>
                <w:rFonts w:hint="eastAsia" w:ascii="宋体" w:hAnsi="宋体" w:cs="宋体"/>
                <w:color w:val="auto"/>
                <w:kern w:val="0"/>
                <w:sz w:val="24"/>
                <w:szCs w:val="24"/>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AF12D6F">
            <w:pPr>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23E06F21">
            <w:pPr>
              <w:pStyle w:val="14"/>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竞采文件</w:t>
            </w:r>
            <w:r>
              <w:rPr>
                <w:rFonts w:hint="eastAsia" w:ascii="宋体" w:hAnsi="宋体" w:cs="宋体"/>
                <w:color w:val="auto"/>
                <w:sz w:val="24"/>
                <w:szCs w:val="24"/>
                <w:highlight w:val="none"/>
              </w:rPr>
              <w:t>第二篇、第三篇规定的内容作出响应。</w:t>
            </w:r>
          </w:p>
        </w:tc>
      </w:tr>
      <w:tr w14:paraId="0435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3DF8C73">
            <w:pPr>
              <w:keepNext/>
              <w:keepLines/>
              <w:widowControl/>
              <w:spacing w:before="260" w:after="260" w:line="420" w:lineRule="exact"/>
              <w:jc w:val="left"/>
              <w:outlineLvl w:val="2"/>
              <w:rPr>
                <w:rFonts w:ascii="宋体" w:hAnsi="宋体" w:cs="宋体"/>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0FF9FF0">
            <w:pPr>
              <w:keepNext/>
              <w:keepLines/>
              <w:widowControl/>
              <w:spacing w:before="260" w:after="260" w:line="420" w:lineRule="exact"/>
              <w:jc w:val="left"/>
              <w:outlineLvl w:val="2"/>
              <w:rPr>
                <w:rFonts w:ascii="宋体" w:hAnsi="宋体" w:cs="宋体"/>
                <w:color w:val="auto"/>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07B7B60E">
            <w:pPr>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竞采</w:t>
            </w:r>
            <w:r>
              <w:rPr>
                <w:rFonts w:hint="eastAsia" w:ascii="宋体" w:hAnsi="宋体" w:cs="宋体"/>
                <w:color w:val="auto"/>
                <w:kern w:val="0"/>
                <w:sz w:val="24"/>
                <w:szCs w:val="24"/>
                <w:highlight w:val="none"/>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BCBC45F">
            <w:pPr>
              <w:spacing w:line="4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w:t>
            </w:r>
            <w:r>
              <w:rPr>
                <w:rFonts w:hint="eastAsia" w:ascii="宋体" w:hAnsi="宋体" w:cs="宋体"/>
                <w:color w:val="auto"/>
                <w:kern w:val="0"/>
                <w:sz w:val="24"/>
                <w:szCs w:val="24"/>
                <w:highlight w:val="none"/>
                <w:lang w:eastAsia="zh-CN"/>
              </w:rPr>
              <w:t>竞采文件</w:t>
            </w:r>
            <w:r>
              <w:rPr>
                <w:rFonts w:hint="eastAsia" w:ascii="宋体" w:hAnsi="宋体" w:cs="宋体"/>
                <w:color w:val="auto"/>
                <w:sz w:val="24"/>
                <w:szCs w:val="24"/>
                <w:highlight w:val="none"/>
                <w:lang w:val="zh-CN"/>
              </w:rPr>
              <w:t>规定。</w:t>
            </w:r>
          </w:p>
        </w:tc>
      </w:tr>
    </w:tbl>
    <w:p w14:paraId="733ECE01">
      <w:pPr>
        <w:spacing w:line="360" w:lineRule="auto"/>
        <w:ind w:firstLine="480" w:firstLineChars="200"/>
        <w:rPr>
          <w:rFonts w:hint="eastAsia" w:ascii="Times New Roman" w:hAnsi="Times New Roman" w:eastAsia="宋体" w:cs="宋体"/>
          <w:color w:val="auto"/>
          <w:sz w:val="24"/>
          <w:szCs w:val="24"/>
          <w:highlight w:val="none"/>
        </w:rPr>
      </w:pPr>
      <w:bookmarkStart w:id="194" w:name="_Toc11790"/>
      <w:r>
        <w:rPr>
          <w:rFonts w:hint="eastAsia" w:ascii="Times New Roman" w:hAnsi="Times New Roman"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69CAACA">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8E30A1">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（五）在网上竞采过程中网上竞采的任何一方不得向他人透露与网上竞采有关的服务资料、价格或其他信息。</w:t>
      </w:r>
    </w:p>
    <w:p w14:paraId="2D2F4257">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（六）在网上竞采过程中，评审小组可以根据</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和网上竞采情况实质性变动采购需求中的</w:t>
      </w:r>
      <w:r>
        <w:rPr>
          <w:rFonts w:hint="eastAsia"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rPr>
        <w:t>、商务要求以及合同草案条款，但不得变动</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中的其他内容。实质性变动的内容，须经采购人代表确认。对</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作出的实质性变动是</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的有效组成部分，评审小组应当及时以书面形式同时通知所有参加网上竞采的供应商。</w:t>
      </w:r>
    </w:p>
    <w:p w14:paraId="157B1A21">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cs="宋体"/>
          <w:color w:val="auto"/>
          <w:sz w:val="24"/>
          <w:szCs w:val="24"/>
          <w:highlight w:val="none"/>
          <w:lang w:val="en-US" w:eastAsia="zh-CN"/>
        </w:rPr>
        <w:t>七</w:t>
      </w:r>
      <w:r>
        <w:rPr>
          <w:rFonts w:hint="eastAsia" w:ascii="Times New Roman" w:hAnsi="Times New Roman" w:eastAsia="宋体" w:cs="宋体"/>
          <w:color w:val="auto"/>
          <w:sz w:val="24"/>
          <w:szCs w:val="24"/>
          <w:highlight w:val="none"/>
        </w:rPr>
        <w:t>）评审小组采用综合评分法对合格的供应商的响应文件进行综合评分。</w:t>
      </w:r>
      <w:r>
        <w:rPr>
          <w:rFonts w:hint="eastAsia" w:ascii="Times New Roman" w:hAnsi="Times New Roman" w:eastAsia="宋体" w:cs="宋体"/>
          <w:color w:val="auto"/>
          <w:kern w:val="0"/>
          <w:sz w:val="24"/>
          <w:szCs w:val="24"/>
          <w:highlight w:val="none"/>
        </w:rPr>
        <w:t>综合评分法，是指响应文件满足</w:t>
      </w:r>
      <w:r>
        <w:rPr>
          <w:rFonts w:hint="eastAsia" w:ascii="Times New Roman" w:hAnsi="Times New Roman" w:eastAsia="宋体" w:cs="宋体"/>
          <w:color w:val="auto"/>
          <w:kern w:val="0"/>
          <w:sz w:val="24"/>
          <w:szCs w:val="24"/>
          <w:highlight w:val="none"/>
          <w:lang w:eastAsia="zh-CN"/>
        </w:rPr>
        <w:t>网上竞采采购文件</w:t>
      </w:r>
      <w:r>
        <w:rPr>
          <w:rFonts w:hint="eastAsia" w:ascii="Times New Roman" w:hAnsi="Times New Roman" w:eastAsia="宋体" w:cs="宋体"/>
          <w:color w:val="auto"/>
          <w:kern w:val="0"/>
          <w:sz w:val="24"/>
          <w:szCs w:val="24"/>
          <w:highlight w:val="none"/>
        </w:rPr>
        <w:t>全部实质性要求且按照评审因素的量化指标评审得分最高的供应商为成交候选供应商的评审方法。供应商总得分为价格、</w:t>
      </w:r>
      <w:r>
        <w:rPr>
          <w:rFonts w:hint="eastAsia" w:cs="宋体"/>
          <w:color w:val="auto"/>
          <w:kern w:val="0"/>
          <w:sz w:val="24"/>
          <w:szCs w:val="24"/>
          <w:highlight w:val="none"/>
          <w:lang w:val="en-US" w:eastAsia="zh-CN"/>
        </w:rPr>
        <w:t>服务</w:t>
      </w:r>
      <w:r>
        <w:rPr>
          <w:rFonts w:hint="eastAsia" w:ascii="Times New Roman" w:hAnsi="Times New Roman" w:eastAsia="宋体" w:cs="宋体"/>
          <w:color w:val="auto"/>
          <w:kern w:val="0"/>
          <w:sz w:val="24"/>
          <w:szCs w:val="24"/>
          <w:highlight w:val="none"/>
        </w:rPr>
        <w:t>、商务等评定因素分别按照相应权重值计算分项得分后相加，满分为100分</w:t>
      </w:r>
      <w:r>
        <w:rPr>
          <w:rFonts w:hint="eastAsia" w:ascii="Times New Roman" w:hAnsi="Times New Roman" w:eastAsia="宋体" w:cs="宋体"/>
          <w:color w:val="auto"/>
          <w:sz w:val="24"/>
          <w:szCs w:val="24"/>
          <w:highlight w:val="none"/>
        </w:rPr>
        <w:t>。</w:t>
      </w:r>
    </w:p>
    <w:p w14:paraId="4C44FF8A">
      <w:pPr>
        <w:spacing w:line="360" w:lineRule="auto"/>
        <w:ind w:firstLine="480" w:firstLineChars="200"/>
        <w:rPr>
          <w:rFonts w:ascii="宋体" w:hAnsi="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）评审小组各成员独立对每个有效响应（通过资格性检查、</w:t>
      </w:r>
      <w:r>
        <w:rPr>
          <w:rFonts w:hint="eastAsia" w:ascii="Times New Roman" w:hAnsi="Times New Roman" w:eastAsia="宋体" w:cs="宋体"/>
          <w:color w:val="auto"/>
          <w:kern w:val="0"/>
          <w:sz w:val="24"/>
          <w:szCs w:val="24"/>
          <w:highlight w:val="none"/>
        </w:rPr>
        <w:t>符合性检查的供应商</w:t>
      </w:r>
      <w:r>
        <w:rPr>
          <w:rFonts w:hint="eastAsia" w:ascii="Times New Roman" w:hAnsi="Times New Roman" w:eastAsia="宋体" w:cs="宋体"/>
          <w:color w:val="auto"/>
          <w:sz w:val="24"/>
          <w:szCs w:val="24"/>
          <w:highlight w:val="none"/>
        </w:rPr>
        <w:t>）的文件进行评价、打分，然后汇总每个供应商每项评分因素的得分，并根据综合评分情况按照评审得分由高到低顺序推荐</w:t>
      </w:r>
      <w:r>
        <w:rPr>
          <w:rFonts w:hint="eastAsia"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名</w:t>
      </w:r>
      <w:r>
        <w:rPr>
          <w:rFonts w:hint="eastAsia" w:ascii="Times New Roman" w:hAnsi="Times New Roman" w:cs="宋体"/>
          <w:color w:val="auto"/>
          <w:sz w:val="24"/>
          <w:szCs w:val="24"/>
          <w:highlight w:val="none"/>
          <w:lang w:val="en-US" w:eastAsia="zh-CN"/>
        </w:rPr>
        <w:t>及</w:t>
      </w:r>
      <w:r>
        <w:rPr>
          <w:rFonts w:hint="eastAsia" w:ascii="Times New Roman" w:hAnsi="Times New Roman" w:eastAsia="宋体" w:cs="宋体"/>
          <w:color w:val="auto"/>
          <w:sz w:val="24"/>
          <w:szCs w:val="24"/>
          <w:highlight w:val="none"/>
        </w:rPr>
        <w:t>以上成交候选供应商，并编写评审报告。若供应商的评审得分相同的，按照竞采报价由低到高的顺序排列推荐。评审得分且竞采报价相同的，按照</w:t>
      </w:r>
      <w:r>
        <w:rPr>
          <w:rFonts w:hint="eastAsia"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rPr>
        <w:t>部分得分高低顺序排列推荐。以上都相同的，按商务部分得分高低顺序排列推荐。</w:t>
      </w:r>
    </w:p>
    <w:p w14:paraId="1B8A69B2">
      <w:pPr>
        <w:pStyle w:val="5"/>
        <w:spacing w:before="0" w:after="0" w:line="440" w:lineRule="exact"/>
        <w:rPr>
          <w:rFonts w:hint="eastAsia" w:ascii="宋体" w:hAnsi="宋体" w:cs="微软雅黑"/>
          <w:color w:val="auto"/>
          <w:sz w:val="24"/>
          <w:szCs w:val="24"/>
          <w:highlight w:val="none"/>
        </w:rPr>
      </w:pPr>
      <w:bookmarkStart w:id="195" w:name="_Toc15605"/>
      <w:bookmarkStart w:id="196" w:name="_Toc23834"/>
      <w:r>
        <w:rPr>
          <w:rFonts w:hint="eastAsia" w:ascii="宋体" w:hAnsi="宋体" w:cs="微软雅黑"/>
          <w:color w:val="auto"/>
          <w:sz w:val="24"/>
          <w:szCs w:val="24"/>
          <w:highlight w:val="none"/>
        </w:rPr>
        <w:t>二、</w:t>
      </w:r>
      <w:bookmarkStart w:id="197" w:name="_Toc512590180"/>
      <w:r>
        <w:rPr>
          <w:rFonts w:hint="eastAsia" w:ascii="宋体" w:hAnsi="宋体" w:cs="微软雅黑"/>
          <w:color w:val="auto"/>
          <w:sz w:val="24"/>
          <w:szCs w:val="24"/>
          <w:highlight w:val="none"/>
        </w:rPr>
        <w:t>评审标准</w:t>
      </w:r>
      <w:bookmarkEnd w:id="195"/>
      <w:bookmarkEnd w:id="196"/>
      <w:bookmarkEnd w:id="197"/>
    </w:p>
    <w:p w14:paraId="34AE7463">
      <w:pPr>
        <w:snapToGrid w:val="0"/>
        <w:spacing w:line="400" w:lineRule="exact"/>
        <w:ind w:firstLine="480" w:firstLineChars="200"/>
        <w:rPr>
          <w:rFonts w:hint="eastAsia" w:ascii="宋体" w:hAnsi="宋体" w:cs="微软雅黑"/>
          <w:color w:val="auto"/>
          <w:sz w:val="24"/>
          <w:szCs w:val="24"/>
          <w:highlight w:val="none"/>
        </w:rPr>
      </w:pPr>
      <w:r>
        <w:rPr>
          <w:rFonts w:hint="eastAsia" w:ascii="宋体" w:hAnsi="宋体" w:cs="微软雅黑"/>
          <w:color w:val="auto"/>
          <w:sz w:val="24"/>
          <w:szCs w:val="24"/>
          <w:highlight w:val="none"/>
        </w:rPr>
        <w:t>（一）评审因素</w:t>
      </w:r>
    </w:p>
    <w:tbl>
      <w:tblPr>
        <w:tblStyle w:val="24"/>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072"/>
        <w:gridCol w:w="1025"/>
        <w:gridCol w:w="3948"/>
        <w:gridCol w:w="2761"/>
      </w:tblGrid>
      <w:tr w14:paraId="6644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noWrap w:val="0"/>
            <w:vAlign w:val="center"/>
          </w:tcPr>
          <w:p w14:paraId="3E1B682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072" w:type="dxa"/>
            <w:noWrap w:val="0"/>
            <w:vAlign w:val="center"/>
          </w:tcPr>
          <w:p w14:paraId="3172186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评分因素及权重</w:t>
            </w:r>
          </w:p>
        </w:tc>
        <w:tc>
          <w:tcPr>
            <w:tcW w:w="1025" w:type="dxa"/>
            <w:noWrap w:val="0"/>
            <w:vAlign w:val="center"/>
          </w:tcPr>
          <w:p w14:paraId="4DF0CDA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分值</w:t>
            </w:r>
          </w:p>
        </w:tc>
        <w:tc>
          <w:tcPr>
            <w:tcW w:w="3948" w:type="dxa"/>
            <w:noWrap w:val="0"/>
            <w:vAlign w:val="center"/>
          </w:tcPr>
          <w:p w14:paraId="53D7B57B">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评分标准</w:t>
            </w:r>
          </w:p>
        </w:tc>
        <w:tc>
          <w:tcPr>
            <w:tcW w:w="2761" w:type="dxa"/>
            <w:noWrap w:val="0"/>
            <w:vAlign w:val="center"/>
          </w:tcPr>
          <w:p w14:paraId="28C1B74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tc>
      </w:tr>
      <w:tr w14:paraId="6608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noWrap w:val="0"/>
            <w:vAlign w:val="center"/>
          </w:tcPr>
          <w:p w14:paraId="3A8169EC">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072" w:type="dxa"/>
            <w:noWrap w:val="0"/>
            <w:vAlign w:val="center"/>
          </w:tcPr>
          <w:p w14:paraId="50C035F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竞采报价</w:t>
            </w:r>
          </w:p>
          <w:p w14:paraId="15000C2C">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w:t>
            </w:r>
          </w:p>
        </w:tc>
        <w:tc>
          <w:tcPr>
            <w:tcW w:w="1025" w:type="dxa"/>
            <w:noWrap w:val="0"/>
            <w:vAlign w:val="center"/>
          </w:tcPr>
          <w:p w14:paraId="4E94DC38">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w:t>
            </w:r>
          </w:p>
        </w:tc>
        <w:tc>
          <w:tcPr>
            <w:tcW w:w="3948" w:type="dxa"/>
            <w:noWrap w:val="0"/>
            <w:vAlign w:val="center"/>
          </w:tcPr>
          <w:p w14:paraId="0B1BE30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满足采购文件要求且投标折扣最低的价格折扣为评标基准价，按照下列公式计算每个供应商的竞采报价得分。</w:t>
            </w:r>
          </w:p>
          <w:p w14:paraId="69587B3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竞采报价得分＝（基准报价折扣/竞采报价折扣）×15分。</w:t>
            </w:r>
          </w:p>
        </w:tc>
        <w:tc>
          <w:tcPr>
            <w:tcW w:w="2761" w:type="dxa"/>
            <w:noWrap w:val="0"/>
            <w:vAlign w:val="center"/>
          </w:tcPr>
          <w:p w14:paraId="3816141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投标报价得分四舍五入，并取小数点后两位，第三位四舍五入。</w:t>
            </w:r>
          </w:p>
        </w:tc>
      </w:tr>
      <w:tr w14:paraId="379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restart"/>
            <w:noWrap w:val="0"/>
            <w:vAlign w:val="center"/>
          </w:tcPr>
          <w:p w14:paraId="40F61DCD">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072" w:type="dxa"/>
            <w:vMerge w:val="restart"/>
            <w:noWrap w:val="0"/>
            <w:vAlign w:val="center"/>
          </w:tcPr>
          <w:p w14:paraId="7430C60F">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服务部分(50%)</w:t>
            </w:r>
          </w:p>
        </w:tc>
        <w:tc>
          <w:tcPr>
            <w:tcW w:w="1025" w:type="dxa"/>
            <w:noWrap w:val="0"/>
            <w:vAlign w:val="center"/>
          </w:tcPr>
          <w:p w14:paraId="3A72343A">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配送服务方案（20分）</w:t>
            </w:r>
          </w:p>
        </w:tc>
        <w:tc>
          <w:tcPr>
            <w:tcW w:w="3948" w:type="dxa"/>
            <w:noWrap w:val="0"/>
            <w:vAlign w:val="center"/>
          </w:tcPr>
          <w:p w14:paraId="01F7B4E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供应商提供本项目配送服务方案，包括且不限于：①送货时效②所供应食材保质期及新鲜程度③食材足量的保证方案④退换货方案⑤日常规章制度</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送货人员管理等。根据方案的合理性、条理性、可操作性、实用性进行打分。</w:t>
            </w:r>
          </w:p>
          <w:p w14:paraId="47E7DF68">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本方案共20分，每缺1项扣4分、每有一项不足或有缺陷或与本项目不符或内容不完整或不够详尽之处的或描述不清晰、不合理或可实施性差的一处扣2分，扣完为止。</w:t>
            </w:r>
          </w:p>
        </w:tc>
        <w:tc>
          <w:tcPr>
            <w:tcW w:w="2761" w:type="dxa"/>
            <w:vMerge w:val="restart"/>
            <w:noWrap w:val="0"/>
            <w:vAlign w:val="center"/>
          </w:tcPr>
          <w:p w14:paraId="4BD42E4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根据供应商提供的方案进行评审，提供相关方案，格式自定。</w:t>
            </w:r>
          </w:p>
          <w:p w14:paraId="7A14C1C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注：本项内容中所称的“每有一项不足或有缺陷或与本项目不符或内容不完整或不够详尽之处的或描述不清晰、不合理或可实施性差的”：</w:t>
            </w:r>
          </w:p>
          <w:p w14:paraId="7A02741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①内容表述不完整或缺少关键分析点；</w:t>
            </w:r>
          </w:p>
          <w:p w14:paraId="41E2FC1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②计划及措施不科学合理方案；</w:t>
            </w:r>
          </w:p>
          <w:p w14:paraId="7A4C1BA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③内容表述前后矛盾、无连贯性、内容存在逻辑漏洞；</w:t>
            </w:r>
          </w:p>
          <w:p w14:paraId="789A207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④常识性错误；</w:t>
            </w:r>
          </w:p>
          <w:p w14:paraId="7C83830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w:t>
            </w:r>
            <w:r>
              <w:rPr>
                <w:rFonts w:hint="eastAsia" w:ascii="宋体" w:hAnsi="宋体" w:cs="宋体"/>
                <w:color w:val="auto"/>
                <w:kern w:val="2"/>
                <w:sz w:val="24"/>
                <w:szCs w:val="24"/>
                <w:highlight w:val="none"/>
                <w:lang w:val="en-US" w:eastAsia="zh-CN" w:bidi="ar-SA"/>
              </w:rPr>
              <w:t>服务</w:t>
            </w:r>
            <w:r>
              <w:rPr>
                <w:rFonts w:hint="eastAsia" w:ascii="宋体" w:hAnsi="宋体" w:eastAsia="宋体" w:cs="宋体"/>
                <w:color w:val="auto"/>
                <w:kern w:val="2"/>
                <w:sz w:val="24"/>
                <w:szCs w:val="24"/>
                <w:highlight w:val="none"/>
                <w:lang w:val="en-US" w:eastAsia="zh-CN" w:bidi="ar-SA"/>
              </w:rPr>
              <w:t>方案并不适用本项目特性或非专门针对本项目制定；</w:t>
            </w:r>
          </w:p>
          <w:p w14:paraId="4353334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⑥方案中提出的措施举措不利于本项目目标的实现；</w:t>
            </w:r>
          </w:p>
          <w:p w14:paraId="7782C4B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⑦现有技术条件下不可能实现的目标；</w:t>
            </w:r>
          </w:p>
          <w:p w14:paraId="608068B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上述任意一种情形为1处“描述不够清晰或针对性不够强”</w:t>
            </w:r>
          </w:p>
        </w:tc>
      </w:tr>
      <w:tr w14:paraId="5FA7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continue"/>
            <w:noWrap w:val="0"/>
            <w:vAlign w:val="center"/>
          </w:tcPr>
          <w:p w14:paraId="40794C2F">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3398B07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3B478E84">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质量安全方案（10分）</w:t>
            </w:r>
          </w:p>
          <w:p w14:paraId="3B584B99">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3948" w:type="dxa"/>
            <w:noWrap w:val="0"/>
            <w:vAlign w:val="center"/>
          </w:tcPr>
          <w:p w14:paraId="48C1819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根据货物的来源、加工、包装、保存、运输（混装或分类方式）以及质量追溯系统等各环节的质量保证措施，食品的来源可追溯，包含但不限于：①食品卫生安全保障措施②食品安全培训计划等有关内容，须提供文字版方案说明，及现行的追溯来源流程图片示例等证明材料佐证，根据方案内容进行打分。</w:t>
            </w:r>
          </w:p>
          <w:p w14:paraId="5CA5CA9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本方案共10分，每缺1项扣5分、每有一项不足或有缺陷或与本项目不符或内容不完整或不够详尽之处的或描述不清晰、不合理或可实施性差的一处扣1分，扣完为止。</w:t>
            </w:r>
          </w:p>
        </w:tc>
        <w:tc>
          <w:tcPr>
            <w:tcW w:w="2761" w:type="dxa"/>
            <w:vMerge w:val="continue"/>
            <w:noWrap w:val="0"/>
            <w:vAlign w:val="center"/>
          </w:tcPr>
          <w:p w14:paraId="112DF50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r>
      <w:tr w14:paraId="76B0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continue"/>
            <w:noWrap w:val="0"/>
            <w:vAlign w:val="center"/>
          </w:tcPr>
          <w:p w14:paraId="0F3FEB5F">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4FECEBA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2502B6E1">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应急供应方案（10分）</w:t>
            </w:r>
          </w:p>
        </w:tc>
        <w:tc>
          <w:tcPr>
            <w:tcW w:w="3948" w:type="dxa"/>
            <w:noWrap w:val="0"/>
            <w:vAlign w:val="center"/>
          </w:tcPr>
          <w:p w14:paraId="0C7496E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依据本项目实际情况，提供应急处理方案，包含但不限于：①供应商发生突发事件需要增援时，能安排人员组织货源并及时送货；②发生因食品质量安全问题导致的食物中毒等情况的应对措施等内容。根据方案的合理性、条理性、可操作性、实用性进行打分。</w:t>
            </w:r>
          </w:p>
          <w:p w14:paraId="4652C53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本方案共10分，每缺1项扣5分、每有一项不足或有缺陷或与本项目不符或内容不完整或不够详尽之处的或描述不清晰、不合理或可实施性差的一处扣1分，扣完为止。</w:t>
            </w:r>
          </w:p>
        </w:tc>
        <w:tc>
          <w:tcPr>
            <w:tcW w:w="2761" w:type="dxa"/>
            <w:vMerge w:val="continue"/>
            <w:noWrap w:val="0"/>
            <w:vAlign w:val="center"/>
          </w:tcPr>
          <w:p w14:paraId="7C7C302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r>
      <w:tr w14:paraId="469C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continue"/>
            <w:noWrap w:val="0"/>
            <w:vAlign w:val="center"/>
          </w:tcPr>
          <w:p w14:paraId="6F925195">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5A58E1FD">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12A7902D">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售后服务（10分）</w:t>
            </w:r>
          </w:p>
          <w:p w14:paraId="6397E29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3948" w:type="dxa"/>
            <w:noWrap w:val="0"/>
            <w:vAlign w:val="center"/>
          </w:tcPr>
          <w:p w14:paraId="62BBC68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供应商需制定售后服务方案，包括且不限于①保证配送物资出现问题后的处理措施②提供征求意见的方式及渠道等，根据方案的合理性、条理性、可操作性、实用性进行打分。</w:t>
            </w:r>
          </w:p>
          <w:p w14:paraId="51E6A5C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本方案共10分，每缺1项扣5分、每有一项不足或有缺陷或与本项目不符或内容不完整或不够详尽之处的或描述不清晰、不合理或可实施性差的一处扣1分，扣完为止。</w:t>
            </w:r>
          </w:p>
        </w:tc>
        <w:tc>
          <w:tcPr>
            <w:tcW w:w="2761" w:type="dxa"/>
            <w:vMerge w:val="continue"/>
            <w:noWrap w:val="0"/>
            <w:vAlign w:val="center"/>
          </w:tcPr>
          <w:p w14:paraId="53F44F3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r>
      <w:tr w14:paraId="1BA6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restart"/>
            <w:noWrap w:val="0"/>
            <w:vAlign w:val="center"/>
          </w:tcPr>
          <w:p w14:paraId="63277AB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072" w:type="dxa"/>
            <w:vMerge w:val="restart"/>
            <w:noWrap w:val="0"/>
            <w:vAlign w:val="center"/>
          </w:tcPr>
          <w:p w14:paraId="5F77D20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商务部分(35%)</w:t>
            </w:r>
          </w:p>
        </w:tc>
        <w:tc>
          <w:tcPr>
            <w:tcW w:w="1025" w:type="dxa"/>
            <w:noWrap w:val="0"/>
            <w:vAlign w:val="center"/>
          </w:tcPr>
          <w:p w14:paraId="46C81FDF">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1.货源保障能力（5分）</w:t>
            </w:r>
          </w:p>
          <w:p w14:paraId="299CF14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3948" w:type="dxa"/>
            <w:noWrap w:val="0"/>
            <w:vAlign w:val="center"/>
          </w:tcPr>
          <w:p w14:paraId="238A7F1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①“鲜肉类”产品供应能力</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1420AA5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供应商与重庆市范围内“鲜肉类”屠宰单位签订的供货协议的，且屠宰单位具有生猪屠宰证得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分，具有动物防疫条件合格证得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分，本项最多得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分。</w:t>
            </w:r>
          </w:p>
          <w:p w14:paraId="41FE05E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②“蔬菜类”产品供应能力2分：</w:t>
            </w:r>
          </w:p>
          <w:p w14:paraId="7C902716">
            <w:pPr>
              <w:pStyle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供</w:t>
            </w:r>
            <w:r>
              <w:rPr>
                <w:rFonts w:hint="eastAsia" w:ascii="宋体" w:hAnsi="宋体" w:cs="宋体"/>
                <w:sz w:val="24"/>
                <w:szCs w:val="24"/>
                <w:highlight w:val="none"/>
                <w:shd w:val="clear"/>
              </w:rPr>
              <w:t>应商在重庆市范围内，蔬菜种植基地有供货合作关系</w:t>
            </w:r>
            <w:r>
              <w:rPr>
                <w:rFonts w:hint="eastAsia" w:ascii="宋体" w:hAnsi="宋体" w:cs="宋体"/>
                <w:sz w:val="24"/>
                <w:szCs w:val="24"/>
                <w:highlight w:val="none"/>
                <w:shd w:val="clear"/>
                <w:lang w:val="en-US" w:eastAsia="zh-CN"/>
              </w:rPr>
              <w:t>一个</w:t>
            </w:r>
            <w:r>
              <w:rPr>
                <w:rFonts w:hint="eastAsia" w:ascii="宋体" w:hAnsi="宋体" w:cs="宋体"/>
                <w:sz w:val="24"/>
                <w:szCs w:val="24"/>
                <w:highlight w:val="none"/>
                <w:shd w:val="clear"/>
              </w:rPr>
              <w:t>得</w:t>
            </w:r>
            <w:r>
              <w:rPr>
                <w:rFonts w:hint="eastAsia" w:ascii="宋体" w:hAnsi="宋体" w:cs="宋体"/>
                <w:sz w:val="24"/>
                <w:szCs w:val="24"/>
                <w:highlight w:val="none"/>
                <w:shd w:val="clear"/>
                <w:lang w:val="en-US" w:eastAsia="zh-CN"/>
              </w:rPr>
              <w:t>1</w:t>
            </w:r>
            <w:r>
              <w:rPr>
                <w:rFonts w:hint="eastAsia" w:ascii="宋体" w:hAnsi="宋体" w:cs="宋体"/>
                <w:sz w:val="24"/>
                <w:szCs w:val="24"/>
                <w:highlight w:val="none"/>
                <w:shd w:val="clear"/>
              </w:rPr>
              <w:t>分，本项最多得</w:t>
            </w:r>
            <w:r>
              <w:rPr>
                <w:rFonts w:hint="eastAsia" w:ascii="宋体" w:hAnsi="宋体" w:cs="宋体"/>
                <w:sz w:val="24"/>
                <w:szCs w:val="24"/>
                <w:highlight w:val="none"/>
                <w:shd w:val="clear"/>
                <w:lang w:val="en-US" w:eastAsia="zh-CN"/>
              </w:rPr>
              <w:t>2</w:t>
            </w:r>
            <w:r>
              <w:rPr>
                <w:rFonts w:hint="eastAsia" w:ascii="宋体" w:hAnsi="宋体" w:cs="宋体"/>
                <w:sz w:val="24"/>
                <w:szCs w:val="24"/>
                <w:highlight w:val="none"/>
                <w:shd w:val="clear"/>
              </w:rPr>
              <w:t>分。</w:t>
            </w:r>
          </w:p>
          <w:p w14:paraId="73B7ACA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③提供供应商食品进货来源的有效证明材料，若供应商为食品生产商也需提供相关生产说明，每提供一个食品类进货来源的证明材料得0.5分，本项最多得1分；品目中同一食品类进货来源不重复计分。</w:t>
            </w:r>
          </w:p>
        </w:tc>
        <w:tc>
          <w:tcPr>
            <w:tcW w:w="2761" w:type="dxa"/>
            <w:noWrap w:val="0"/>
            <w:vAlign w:val="center"/>
          </w:tcPr>
          <w:p w14:paraId="70E5C16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（一）鲜肉类：</w:t>
            </w:r>
          </w:p>
          <w:p w14:paraId="6DA0A4A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1、提供与“鲜肉类”屠宰单位签订的有效供货协议复印件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196E0A4D">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2、提供屠宰单位有效的营业执照复印件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43C7B7C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3、提供屠宰单位有效的屠宰证复印件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4EB87F9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4.提动物防疫条件合格证复印件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5921DA2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（二）合作基地提供：</w:t>
            </w:r>
          </w:p>
          <w:p w14:paraId="3D695F3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1、有效的合作协议书复印件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0E17798A">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2、合作单位有效的土地流转合同或土地使用证明材料复印件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55ECFB1D">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3、基地图片；</w:t>
            </w:r>
          </w:p>
          <w:p w14:paraId="228B7D1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（三）食品类：</w:t>
            </w:r>
          </w:p>
          <w:p w14:paraId="54C1FEB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1、提供食品的进货来源的有效证明材料，如进货发票复印件或供货协议复印件或购买合同复印件等证明材料，证明材料复印件需加盖供应商公章。</w:t>
            </w:r>
          </w:p>
        </w:tc>
      </w:tr>
      <w:tr w14:paraId="0B8B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continue"/>
            <w:noWrap w:val="0"/>
            <w:vAlign w:val="center"/>
          </w:tcPr>
          <w:p w14:paraId="132F25D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6246352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548879C2">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2.仓储能力（5 分）</w:t>
            </w:r>
          </w:p>
        </w:tc>
        <w:tc>
          <w:tcPr>
            <w:tcW w:w="3948" w:type="dxa"/>
            <w:noWrap w:val="0"/>
            <w:vAlign w:val="center"/>
          </w:tcPr>
          <w:p w14:paraId="6BD79BB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供应商在重庆市内配置有仓库（须含冷藏冷冻库），仓库面积：</w:t>
            </w:r>
          </w:p>
          <w:p w14:paraId="7473944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自有或租赁仓库面积在5000㎡（含）以上得5分；</w:t>
            </w:r>
          </w:p>
          <w:p w14:paraId="222EB4F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自有或租赁仓库面积在3000㎡（含3000㎡）至5000㎡（不含），得3分；</w:t>
            </w:r>
          </w:p>
          <w:p w14:paraId="70B864E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自有或租赁仓库面积在1500㎡（含1500㎡）至3000㎡（不含），得1分；</w:t>
            </w:r>
          </w:p>
          <w:p w14:paraId="54A0F6B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自有或租赁仓库面积在1500㎡（不含1500㎡）以下得0分。   </w:t>
            </w:r>
          </w:p>
          <w:p w14:paraId="0EF2B78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本项最高得5分，未按要求提供不得分。</w:t>
            </w:r>
            <w:r>
              <w:rPr>
                <w:rFonts w:hint="eastAsia" w:ascii="宋体" w:hAnsi="宋体" w:eastAsia="宋体" w:cs="宋体"/>
                <w:color w:val="auto"/>
                <w:kern w:val="2"/>
                <w:sz w:val="24"/>
                <w:szCs w:val="24"/>
                <w:highlight w:val="none"/>
                <w:lang w:val="en-US" w:eastAsia="zh-CN" w:bidi="ar-SA"/>
              </w:rPr>
              <w:t xml:space="preserve">  </w:t>
            </w:r>
          </w:p>
        </w:tc>
        <w:tc>
          <w:tcPr>
            <w:tcW w:w="2761" w:type="dxa"/>
            <w:noWrap w:val="0"/>
            <w:vAlign w:val="center"/>
          </w:tcPr>
          <w:p w14:paraId="1CB2AD4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w:t>
            </w:r>
            <w:r>
              <w:rPr>
                <w:rFonts w:hint="eastAsia" w:ascii="宋体" w:hAnsi="宋体" w:cs="宋体"/>
                <w:color w:val="auto"/>
                <w:sz w:val="24"/>
                <w:szCs w:val="24"/>
                <w:highlight w:val="none"/>
              </w:rPr>
              <w:t>供仓库、冷藏（冻）库照片（不少于3张）、</w:t>
            </w:r>
            <w:r>
              <w:rPr>
                <w:rFonts w:hint="eastAsia" w:ascii="宋体" w:hAnsi="宋体" w:cs="宋体"/>
                <w:color w:val="auto"/>
                <w:sz w:val="24"/>
                <w:szCs w:val="24"/>
                <w:highlight w:val="none"/>
                <w:lang w:val="en-US" w:eastAsia="zh-CN"/>
              </w:rPr>
              <w:t>冷库安装或施工合同</w:t>
            </w:r>
            <w:r>
              <w:rPr>
                <w:rFonts w:hint="eastAsia" w:ascii="宋体" w:hAnsi="宋体" w:cs="宋体"/>
                <w:color w:val="auto"/>
                <w:sz w:val="24"/>
                <w:szCs w:val="24"/>
                <w:highlight w:val="none"/>
              </w:rPr>
              <w:t>；</w:t>
            </w:r>
          </w:p>
          <w:p w14:paraId="6FC486E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2、提供仓库或冷藏（冻）库租赁合同或产权证明或土地使用证明复印件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tc>
      </w:tr>
      <w:tr w14:paraId="74CA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dxa"/>
            <w:vMerge w:val="continue"/>
            <w:noWrap w:val="0"/>
            <w:vAlign w:val="center"/>
          </w:tcPr>
          <w:p w14:paraId="1E929048">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0DD95F2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0C40478C">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3.配送能力（5分）</w:t>
            </w:r>
          </w:p>
        </w:tc>
        <w:tc>
          <w:tcPr>
            <w:tcW w:w="3948" w:type="dxa"/>
            <w:noWrap w:val="0"/>
            <w:vAlign w:val="center"/>
          </w:tcPr>
          <w:p w14:paraId="2204C96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供应商在满足为本项目配置配送车至少2辆的基础上，为达成完全保障能力，供应商有两用两备应急车辆配置的，每增加冷藏（冻）车一辆得2.5分（最多得5分）。</w:t>
            </w:r>
          </w:p>
          <w:p w14:paraId="5C8C90F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2761" w:type="dxa"/>
            <w:noWrap w:val="0"/>
            <w:vAlign w:val="center"/>
          </w:tcPr>
          <w:p w14:paraId="64573B75">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自有车辆提供：</w:t>
            </w:r>
          </w:p>
          <w:p w14:paraId="18BB2F0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1、相应的车辆行驶证复印件或车辆登记证复印件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7710F555">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2、车辆照片（车辆行驶证或车辆登记证复印件上标注的“车辆所有人”须为供应商或供应商的法定代表人）。</w:t>
            </w:r>
          </w:p>
          <w:p w14:paraId="6FD4AFB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租赁车辆提供：</w:t>
            </w:r>
          </w:p>
          <w:p w14:paraId="60D5FBB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1、车辆租赁合同复印件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2FDB76D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2、租赁车辆相应的车辆行驶证复印件或车辆登记证复印件（租赁车辆的行驶证或车辆登记证复印件上标注的“车辆所有人”须为租赁合同中的车辆出租方或车辆出租方的法定代表人）</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1F5E61A8">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3、租赁车辆照片不少于2张</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tc>
      </w:tr>
      <w:tr w14:paraId="3777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0" w:hRule="atLeast"/>
          <w:jc w:val="center"/>
        </w:trPr>
        <w:tc>
          <w:tcPr>
            <w:tcW w:w="505" w:type="dxa"/>
            <w:vMerge w:val="continue"/>
            <w:noWrap w:val="0"/>
            <w:vAlign w:val="center"/>
          </w:tcPr>
          <w:p w14:paraId="5A8C415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79C4FDF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26FA1DB8">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供应商实力（8分）</w:t>
            </w:r>
          </w:p>
        </w:tc>
        <w:tc>
          <w:tcPr>
            <w:tcW w:w="3948" w:type="dxa"/>
            <w:noWrap w:val="0"/>
            <w:vAlign w:val="center"/>
          </w:tcPr>
          <w:p w14:paraId="428C34B0">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1、供应商具有有效食品安全管理体系认证(ISO22000)得1分 。</w:t>
            </w:r>
          </w:p>
          <w:p w14:paraId="46D46A77">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2、具有有效的质量管理体系认证（ISO9001）得1分；</w:t>
            </w:r>
          </w:p>
          <w:p w14:paraId="0386EA5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3、具有有效环境管理体系认证(ISO14001)得1分；</w:t>
            </w:r>
          </w:p>
          <w:p w14:paraId="5CAF27D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4、具有有效职业健康安全管理体系认证得1分；</w:t>
            </w:r>
          </w:p>
          <w:p w14:paraId="240E812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5、具备有效期内的售后服务认证证书得1分；</w:t>
            </w:r>
          </w:p>
          <w:p w14:paraId="256BDCF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6、具备有效期内的绿色供应链认证证书得1分；</w:t>
            </w:r>
          </w:p>
          <w:p w14:paraId="76257955">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7、具备有效期内的危害分析与关键控制点“HACCP”证证书得1分；</w:t>
            </w:r>
          </w:p>
          <w:p w14:paraId="2A66E9D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8、具备有效期内的供应链安全管理体系认证证书得1分；</w:t>
            </w:r>
          </w:p>
          <w:p w14:paraId="7B2D3578">
            <w:pPr>
              <w:rPr>
                <w:rFonts w:hint="default"/>
                <w:color w:val="auto"/>
                <w:highlight w:val="none"/>
                <w:lang w:val="en-US" w:eastAsia="zh-CN"/>
              </w:rPr>
            </w:pPr>
            <w:r>
              <w:rPr>
                <w:rFonts w:hint="eastAsia" w:ascii="宋体" w:hAnsi="宋体" w:cs="宋体"/>
                <w:color w:val="auto"/>
                <w:kern w:val="2"/>
                <w:sz w:val="24"/>
                <w:szCs w:val="24"/>
                <w:highlight w:val="none"/>
                <w:lang w:val="en-US" w:eastAsia="zh-CN" w:bidi="ar-SA"/>
              </w:rPr>
              <w:t>本项最高得8分，未按要求提供不得分。</w:t>
            </w:r>
          </w:p>
        </w:tc>
        <w:tc>
          <w:tcPr>
            <w:tcW w:w="2761" w:type="dxa"/>
            <w:noWrap w:val="0"/>
            <w:vAlign w:val="center"/>
          </w:tcPr>
          <w:p w14:paraId="4BEA1BC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1、提供证书复印件或扫描件和在国家认证认可监督管理委员会网站查询结果截图(查询网址： http://www.cnca.gov.cn/)</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p w14:paraId="5FC1F07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2、证书颁证日期或首次颁证日期为</w:t>
            </w:r>
            <w:r>
              <w:rPr>
                <w:rFonts w:hint="eastAsia" w:ascii="宋体" w:hAnsi="宋体"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公告发布日之后的不得分。</w:t>
            </w:r>
          </w:p>
        </w:tc>
      </w:tr>
      <w:tr w14:paraId="5E83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05" w:type="dxa"/>
            <w:vMerge w:val="continue"/>
            <w:noWrap w:val="0"/>
            <w:vAlign w:val="center"/>
          </w:tcPr>
          <w:p w14:paraId="1E9DECBF">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7A111898">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25347BAC">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食品追溯（2分）</w:t>
            </w:r>
          </w:p>
        </w:tc>
        <w:tc>
          <w:tcPr>
            <w:tcW w:w="3948" w:type="dxa"/>
            <w:noWrap w:val="0"/>
            <w:vAlign w:val="center"/>
          </w:tcPr>
          <w:p w14:paraId="36EB11C9">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供应商使用食品（或果蔬农产品）追溯体系电子平台，所有配送食材来源可追溯</w:t>
            </w:r>
            <w:r>
              <w:rPr>
                <w:rFonts w:hint="eastAsia" w:ascii="宋体" w:hAnsi="宋体" w:cs="宋体"/>
                <w:color w:val="auto"/>
                <w:kern w:val="2"/>
                <w:sz w:val="24"/>
                <w:szCs w:val="24"/>
                <w:highlight w:val="none"/>
                <w:lang w:val="en-US" w:eastAsia="zh-CN" w:bidi="ar-SA"/>
              </w:rPr>
              <w:t>，满足得2分，本项最高得2分。</w:t>
            </w:r>
          </w:p>
        </w:tc>
        <w:tc>
          <w:tcPr>
            <w:tcW w:w="2761" w:type="dxa"/>
            <w:noWrap w:val="0"/>
            <w:vAlign w:val="center"/>
          </w:tcPr>
          <w:p w14:paraId="45978BAC">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自行开发追溯平台，提供软著证书复印件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；购买或租用提供合作协议复印件</w:t>
            </w:r>
            <w:r>
              <w:rPr>
                <w:rFonts w:hint="eastAsia" w:ascii="宋体" w:hAnsi="宋体" w:cs="宋体"/>
                <w:color w:val="auto"/>
                <w:kern w:val="2"/>
                <w:sz w:val="24"/>
                <w:szCs w:val="24"/>
                <w:highlight w:val="none"/>
                <w:lang w:val="en-US" w:eastAsia="zh-CN" w:bidi="ar-SA"/>
              </w:rPr>
              <w:t>加盖供应商公章</w:t>
            </w:r>
            <w:r>
              <w:rPr>
                <w:rFonts w:hint="eastAsia" w:ascii="宋体" w:hAnsi="宋体" w:eastAsia="宋体" w:cs="宋体"/>
                <w:color w:val="auto"/>
                <w:kern w:val="2"/>
                <w:sz w:val="24"/>
                <w:szCs w:val="24"/>
                <w:highlight w:val="none"/>
                <w:lang w:val="en-US" w:eastAsia="zh-CN" w:bidi="ar-SA"/>
              </w:rPr>
              <w:t>。</w:t>
            </w:r>
          </w:p>
        </w:tc>
      </w:tr>
      <w:tr w14:paraId="6CEA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05" w:type="dxa"/>
            <w:vMerge w:val="continue"/>
            <w:noWrap w:val="0"/>
            <w:vAlign w:val="center"/>
          </w:tcPr>
          <w:p w14:paraId="1A21ACB6">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5C0A2C9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12CDCA45">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安全保障（4分）</w:t>
            </w:r>
          </w:p>
        </w:tc>
        <w:tc>
          <w:tcPr>
            <w:tcW w:w="3948" w:type="dxa"/>
            <w:noWrap w:val="0"/>
            <w:vAlign w:val="center"/>
          </w:tcPr>
          <w:p w14:paraId="2C7678DC">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2.食品供应商购买了食品安全责任险且在有效期内（有效期至少覆盖投标截止时间）并承诺在本项目合同服务期内无条件续保：</w:t>
            </w:r>
          </w:p>
          <w:p w14:paraId="021DF53C">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1亿元（含）以上的得4分；</w:t>
            </w:r>
          </w:p>
          <w:p w14:paraId="440590FF">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5000万元（含）-1亿元（不含）的得2分；</w:t>
            </w:r>
          </w:p>
          <w:p w14:paraId="0445B7E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5000万元以下得0分</w:t>
            </w:r>
            <w:r>
              <w:rPr>
                <w:rFonts w:hint="eastAsia" w:ascii="宋体" w:hAnsi="宋体" w:cs="宋体"/>
                <w:color w:val="auto"/>
                <w:kern w:val="2"/>
                <w:sz w:val="24"/>
                <w:szCs w:val="24"/>
                <w:highlight w:val="none"/>
                <w:lang w:val="en-US" w:eastAsia="zh-CN" w:bidi="ar-SA"/>
              </w:rPr>
              <w:t>。</w:t>
            </w:r>
          </w:p>
        </w:tc>
        <w:tc>
          <w:tcPr>
            <w:tcW w:w="2761" w:type="dxa"/>
            <w:noWrap w:val="0"/>
            <w:vAlign w:val="center"/>
          </w:tcPr>
          <w:p w14:paraId="3D5F3C5B">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①提供有效期内的食品安全保险单（需体现保额）及发票复印件，加盖供应商公章。</w:t>
            </w:r>
          </w:p>
          <w:p w14:paraId="42C51EE2">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②书面承诺在本项目合同服务期内无条件续保(格式自拟，加盖供应商公章)</w:t>
            </w:r>
          </w:p>
        </w:tc>
      </w:tr>
      <w:tr w14:paraId="27C5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505" w:type="dxa"/>
            <w:vMerge w:val="continue"/>
            <w:noWrap w:val="0"/>
            <w:vAlign w:val="center"/>
          </w:tcPr>
          <w:p w14:paraId="6D229971">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72" w:type="dxa"/>
            <w:vMerge w:val="continue"/>
            <w:noWrap w:val="0"/>
            <w:vAlign w:val="center"/>
          </w:tcPr>
          <w:p w14:paraId="78391C1E">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p>
        </w:tc>
        <w:tc>
          <w:tcPr>
            <w:tcW w:w="1025" w:type="dxa"/>
            <w:noWrap w:val="0"/>
            <w:vAlign w:val="center"/>
          </w:tcPr>
          <w:p w14:paraId="08426CC9">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业绩</w:t>
            </w:r>
          </w:p>
          <w:p w14:paraId="0ED0D3B8">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（6分）</w:t>
            </w:r>
          </w:p>
        </w:tc>
        <w:tc>
          <w:tcPr>
            <w:tcW w:w="3948" w:type="dxa"/>
            <w:noWrap w:val="0"/>
            <w:vAlign w:val="center"/>
          </w:tcPr>
          <w:p w14:paraId="1DBAE124">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自2022年1月1日至响应截止日，供应商具有与本此项目类似的食材配送合同，每个合同得1分，最多高6分。</w:t>
            </w:r>
          </w:p>
        </w:tc>
        <w:tc>
          <w:tcPr>
            <w:tcW w:w="2761" w:type="dxa"/>
            <w:noWrap w:val="0"/>
            <w:vAlign w:val="center"/>
          </w:tcPr>
          <w:p w14:paraId="2A8B10E3">
            <w:pPr>
              <w:pStyle w:val="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除提供合同关键页复印件外，还须提供合同期内任意1个月的发票复印件或银行往来款明细等作为合作证明材料</w:t>
            </w:r>
            <w:r>
              <w:rPr>
                <w:rFonts w:hint="eastAsia" w:ascii="宋体" w:hAnsi="宋体" w:cs="宋体"/>
                <w:color w:val="auto"/>
                <w:kern w:val="2"/>
                <w:sz w:val="24"/>
                <w:szCs w:val="24"/>
                <w:highlight w:val="none"/>
                <w:lang w:val="en-US" w:eastAsia="zh-CN" w:bidi="ar-SA"/>
              </w:rPr>
              <w:t>复印件加盖供应商公章</w:t>
            </w:r>
            <w:r>
              <w:rPr>
                <w:rFonts w:hint="eastAsia" w:ascii="宋体" w:hAnsi="宋体" w:eastAsia="宋体" w:cs="宋体"/>
                <w:color w:val="auto"/>
                <w:kern w:val="2"/>
                <w:sz w:val="24"/>
                <w:szCs w:val="24"/>
                <w:highlight w:val="none"/>
                <w:lang w:val="en-US" w:eastAsia="zh-CN" w:bidi="ar-SA"/>
              </w:rPr>
              <w:t>。</w:t>
            </w:r>
          </w:p>
        </w:tc>
      </w:tr>
    </w:tbl>
    <w:p w14:paraId="69CD76BB">
      <w:pPr>
        <w:snapToGrid w:val="0"/>
        <w:spacing w:line="400" w:lineRule="exact"/>
        <w:ind w:firstLine="480" w:firstLineChars="200"/>
        <w:rPr>
          <w:rFonts w:hint="eastAsia" w:ascii="宋体" w:hAnsi="宋体" w:cs="微软雅黑"/>
          <w:color w:val="auto"/>
          <w:sz w:val="24"/>
          <w:szCs w:val="24"/>
          <w:highlight w:val="none"/>
        </w:rPr>
      </w:pPr>
    </w:p>
    <w:p w14:paraId="64017E11">
      <w:pPr>
        <w:snapToGrid w:val="0"/>
        <w:spacing w:line="400" w:lineRule="exact"/>
        <w:ind w:firstLine="480" w:firstLineChars="200"/>
        <w:rPr>
          <w:rFonts w:hint="eastAsia" w:ascii="宋体" w:hAnsi="宋体" w:cs="微软雅黑"/>
          <w:color w:val="auto"/>
          <w:sz w:val="24"/>
          <w:szCs w:val="24"/>
          <w:highlight w:val="none"/>
        </w:rPr>
      </w:pPr>
    </w:p>
    <w:p w14:paraId="0420B5CF">
      <w:pPr>
        <w:snapToGrid w:val="0"/>
        <w:spacing w:line="400" w:lineRule="exact"/>
        <w:ind w:firstLine="465"/>
        <w:rPr>
          <w:rFonts w:hint="eastAsia" w:ascii="宋体" w:hAnsi="宋体" w:eastAsia="宋体" w:cs="宋体"/>
          <w:b/>
          <w:bCs/>
          <w:color w:val="auto"/>
          <w:sz w:val="24"/>
          <w:szCs w:val="24"/>
          <w:highlight w:val="none"/>
        </w:rPr>
      </w:pPr>
      <w:bookmarkStart w:id="198" w:name="_Toc18087"/>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关于启动异常低价投标(响应)审查程序:</w:t>
      </w:r>
    </w:p>
    <w:p w14:paraId="3C56FC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1.根据《关于推动解决政府采购异常低价问题的通知》财库〔2026〕2号文件规定，政府采购评审中出现下列情形之一的，评审委员会应当启动异常低价投标（响应）审查程序：</w:t>
      </w:r>
    </w:p>
    <w:p w14:paraId="4655E590">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1.1投标（响应）报价低于全部通过符合性审查供应商投标（响应）报价平均值50%的，即投标（响应）报价&lt;全部通过符合性审查供应商投标（响应）报价平均值×50%；</w:t>
      </w:r>
    </w:p>
    <w:p w14:paraId="5D39C14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1.2投标（响应）报价低于通过符合性审查的次低报价供应商投标（响应）报价50%的，即投标（响应）报价&lt;通过符合性审查的次低报价供应商投标（响应）报价×50%；</w:t>
      </w:r>
    </w:p>
    <w:p w14:paraId="34BBEF6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1.3投标（响应）报价低于采购项目最高限价45%的，即投标（响应）报价&lt;采购项目最高限价×45%；</w:t>
      </w:r>
    </w:p>
    <w:p w14:paraId="4FF47CA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1.4评审委员会基于专业判断，认为供应商报价过低，有可能影响产品质量或者不能诚信履约的其他情形。</w:t>
      </w:r>
    </w:p>
    <w:p w14:paraId="72B9672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ACC884A">
      <w:pPr>
        <w:pStyle w:val="5"/>
        <w:spacing w:before="0" w:after="0" w:line="440" w:lineRule="exact"/>
        <w:ind w:firstLine="482"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End w:id="198"/>
    </w:p>
    <w:bookmarkEnd w:id="194"/>
    <w:p w14:paraId="46FB27B0">
      <w:pPr>
        <w:snapToGrid w:val="0"/>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（二）</w:t>
      </w:r>
      <w:r>
        <w:rPr>
          <w:rFonts w:hint="eastAsia" w:ascii="Times New Roman" w:hAnsi="Times New Roman" w:eastAsia="宋体" w:cs="宋体"/>
          <w:color w:val="auto"/>
          <w:kern w:val="0"/>
          <w:sz w:val="24"/>
          <w:szCs w:val="24"/>
          <w:highlight w:val="none"/>
          <w:lang w:val="en-US" w:eastAsia="zh-CN"/>
        </w:rPr>
        <w:t>关于小微企业报价扣除比例说明</w:t>
      </w:r>
    </w:p>
    <w:p w14:paraId="1D458AC9">
      <w:pPr>
        <w:snapToGrid w:val="0"/>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本项目专门面向中小微企业采购，不再执行报价扣除。</w:t>
      </w:r>
    </w:p>
    <w:p w14:paraId="4C9792EF">
      <w:pPr>
        <w:spacing w:line="360" w:lineRule="auto"/>
        <w:ind w:firstLine="480" w:firstLineChars="200"/>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监狱企业、残疾人福利性单位视同小型、微型企业。</w:t>
      </w:r>
    </w:p>
    <w:p w14:paraId="292BC04E">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199" w:name="_Toc21210"/>
      <w:bookmarkStart w:id="200" w:name="_Toc16032"/>
      <w:bookmarkStart w:id="201" w:name="_Toc25478"/>
      <w:bookmarkStart w:id="202" w:name="_Toc32110"/>
      <w:bookmarkStart w:id="203" w:name="_Toc9409"/>
      <w:bookmarkStart w:id="204" w:name="_Toc417"/>
      <w:bookmarkStart w:id="205" w:name="_Toc2230"/>
      <w:bookmarkStart w:id="206" w:name="_Toc102227320"/>
      <w:bookmarkStart w:id="207" w:name="_Toc342913394"/>
      <w:r>
        <w:rPr>
          <w:rFonts w:hint="eastAsia" w:ascii="Times New Roman" w:hAnsi="Times New Roman" w:eastAsia="宋体" w:cs="宋体"/>
          <w:color w:val="auto"/>
          <w:sz w:val="24"/>
          <w:szCs w:val="24"/>
          <w:highlight w:val="none"/>
        </w:rPr>
        <w:t>三、响应无效</w:t>
      </w:r>
      <w:bookmarkEnd w:id="199"/>
      <w:bookmarkEnd w:id="200"/>
      <w:bookmarkEnd w:id="201"/>
      <w:bookmarkEnd w:id="202"/>
      <w:bookmarkEnd w:id="203"/>
      <w:bookmarkEnd w:id="204"/>
      <w:bookmarkEnd w:id="205"/>
    </w:p>
    <w:p w14:paraId="321F9FFA">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供应商发生以下条款情况之一者，视为响应无效，其响应文件将被拒绝：</w:t>
      </w:r>
    </w:p>
    <w:p w14:paraId="78B40613">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（一）供应商不符合规定的基本资格条件或特定资格条件的。</w:t>
      </w:r>
    </w:p>
    <w:p w14:paraId="673549DB">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（二）供应商的法定代表人或其授权代表未参加网上竞采。</w:t>
      </w:r>
    </w:p>
    <w:p w14:paraId="52602A93">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（三）供应商所提交的响应文件不按第七篇“响应文件编制要求”规定签字、盖章。</w:t>
      </w:r>
    </w:p>
    <w:p w14:paraId="1D7FFA26">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（四）供应商的报价超过采购预算金额或</w:t>
      </w:r>
      <w:r>
        <w:rPr>
          <w:rFonts w:hint="eastAsia" w:ascii="Times New Roman" w:hAnsi="Times New Roman" w:cs="宋体"/>
          <w:color w:val="auto"/>
          <w:sz w:val="24"/>
          <w:szCs w:val="24"/>
          <w:highlight w:val="none"/>
          <w:lang w:val="en-US" w:eastAsia="zh-CN"/>
        </w:rPr>
        <w:t>总价</w:t>
      </w:r>
      <w:r>
        <w:rPr>
          <w:rFonts w:hint="eastAsia" w:ascii="Times New Roman" w:hAnsi="Times New Roman" w:eastAsia="宋体" w:cs="宋体"/>
          <w:color w:val="auto"/>
          <w:sz w:val="24"/>
          <w:szCs w:val="24"/>
          <w:highlight w:val="none"/>
        </w:rPr>
        <w:t>最高限价</w:t>
      </w:r>
      <w:r>
        <w:rPr>
          <w:rFonts w:hint="eastAsia" w:ascii="Times New Roman" w:hAnsi="Times New Roman" w:cs="宋体"/>
          <w:color w:val="auto"/>
          <w:sz w:val="24"/>
          <w:szCs w:val="24"/>
          <w:highlight w:val="none"/>
          <w:lang w:val="en-US" w:eastAsia="zh-CN"/>
        </w:rPr>
        <w:t>或最高限价（折扣比例）</w:t>
      </w:r>
      <w:r>
        <w:rPr>
          <w:rFonts w:hint="eastAsia" w:ascii="Times New Roman" w:hAnsi="Times New Roman" w:eastAsia="宋体" w:cs="宋体"/>
          <w:color w:val="auto"/>
          <w:sz w:val="24"/>
          <w:szCs w:val="24"/>
          <w:highlight w:val="none"/>
        </w:rPr>
        <w:t>的。</w:t>
      </w:r>
    </w:p>
    <w:p w14:paraId="31855747">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（五）供应商的平台报价与网上电子文档网上竞采报价函中的报价不一致的。</w:t>
      </w:r>
    </w:p>
    <w:p w14:paraId="19D5779E">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（六）法定代表人为同一个人的两个及两个以上法人，母公司、全资子公司及其控股公司，在同一分包采购中同时参与网上竞采。</w:t>
      </w:r>
    </w:p>
    <w:p w14:paraId="4EDD0A80">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（七）单位负责人为同一人或者存在直接控股、管理关系的不同供应商，参加同一合同项下的采购活动的。</w:t>
      </w:r>
    </w:p>
    <w:p w14:paraId="412CF55E">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（八）为采购项目提供整体设计、规范编制或者项目管理、监理、检测等服务的供应商，再参加该采购项目的其他采购活动。</w:t>
      </w:r>
    </w:p>
    <w:p w14:paraId="568310A2">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（九）供应商的服务期、质量保证期及网上竞采有效期不满足</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要求的。</w:t>
      </w:r>
    </w:p>
    <w:p w14:paraId="5DDFA09A">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（十）供应商响应文件内容有与国家现行法律法规相违背的内容，或附有采购人无法接受的条件。</w:t>
      </w:r>
    </w:p>
    <w:p w14:paraId="15BFFB27">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1C930D8">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5EB0974A">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08" w:name="_Toc6831"/>
      <w:bookmarkStart w:id="209" w:name="_Toc21144"/>
      <w:bookmarkStart w:id="210" w:name="_Toc21107"/>
      <w:bookmarkStart w:id="211" w:name="_Toc14772"/>
      <w:bookmarkStart w:id="212" w:name="_Toc399"/>
      <w:bookmarkStart w:id="213" w:name="_Toc24475"/>
      <w:bookmarkStart w:id="214" w:name="_Toc18788"/>
      <w:r>
        <w:rPr>
          <w:rFonts w:hint="eastAsia" w:ascii="Times New Roman" w:hAnsi="Times New Roman" w:eastAsia="宋体" w:cs="宋体"/>
          <w:color w:val="auto"/>
          <w:sz w:val="24"/>
          <w:szCs w:val="24"/>
          <w:highlight w:val="none"/>
        </w:rPr>
        <w:t>四、</w:t>
      </w:r>
      <w:bookmarkEnd w:id="206"/>
      <w:bookmarkEnd w:id="207"/>
      <w:r>
        <w:rPr>
          <w:rFonts w:hint="eastAsia" w:ascii="Times New Roman" w:hAnsi="Times New Roman" w:eastAsia="宋体" w:cs="宋体"/>
          <w:color w:val="auto"/>
          <w:sz w:val="24"/>
          <w:szCs w:val="24"/>
          <w:highlight w:val="none"/>
        </w:rPr>
        <w:t>采购终止</w:t>
      </w:r>
      <w:bookmarkEnd w:id="208"/>
      <w:bookmarkEnd w:id="209"/>
      <w:bookmarkEnd w:id="210"/>
      <w:bookmarkEnd w:id="211"/>
      <w:bookmarkEnd w:id="212"/>
      <w:bookmarkEnd w:id="213"/>
      <w:bookmarkEnd w:id="214"/>
    </w:p>
    <w:p w14:paraId="310B2E46">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出现下列情形之一的，采购人或者采购代理机构应当终止网上竞采活动，发布项目终止公告并说明原因，重新开展采购活动：</w:t>
      </w:r>
    </w:p>
    <w:p w14:paraId="3A8B42CF">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（一）因情况变化，不再符合规定的网上竞采采购方式适用情形的。</w:t>
      </w:r>
    </w:p>
    <w:p w14:paraId="604667D9">
      <w:pPr>
        <w:snapToGrid w:val="0"/>
        <w:spacing w:line="360" w:lineRule="auto"/>
        <w:ind w:firstLine="465"/>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（二）出现影响采购公正的违法、违规行为的。</w:t>
      </w:r>
    </w:p>
    <w:p w14:paraId="10F155C1">
      <w:pPr>
        <w:snapToGrid w:val="0"/>
        <w:spacing w:line="360" w:lineRule="auto"/>
        <w:ind w:firstLine="465"/>
        <w:rPr>
          <w:rFonts w:hint="eastAsia" w:ascii="Times New Roman" w:hAnsi="Times New Roman" w:eastAsia="宋体" w:cs="宋体"/>
          <w:color w:val="auto"/>
          <w:highlight w:val="none"/>
        </w:rPr>
      </w:pPr>
      <w:r>
        <w:rPr>
          <w:rFonts w:hint="eastAsia" w:ascii="Times New Roman" w:hAnsi="Times New Roman" w:eastAsia="宋体" w:cs="宋体"/>
          <w:color w:val="auto"/>
          <w:sz w:val="24"/>
          <w:szCs w:val="24"/>
          <w:highlight w:val="none"/>
        </w:rPr>
        <w:t>（三）通过资格性审查的供应商不足</w:t>
      </w:r>
      <w:r>
        <w:rPr>
          <w:rFonts w:hint="eastAsia" w:cs="宋体"/>
          <w:color w:val="auto"/>
          <w:sz w:val="24"/>
          <w:szCs w:val="24"/>
          <w:highlight w:val="none"/>
          <w:lang w:val="en-US" w:eastAsia="zh-CN"/>
        </w:rPr>
        <w:t>3</w:t>
      </w:r>
      <w:r>
        <w:rPr>
          <w:rFonts w:hint="eastAsia" w:ascii="Times New Roman" w:hAnsi="Times New Roman" w:eastAsia="宋体" w:cs="宋体"/>
          <w:color w:val="auto"/>
          <w:sz w:val="24"/>
          <w:szCs w:val="24"/>
          <w:highlight w:val="none"/>
        </w:rPr>
        <w:t>家的，终止本次采购活动，并发布终止采购活动公告。</w:t>
      </w:r>
    </w:p>
    <w:p w14:paraId="3F500BCF">
      <w:pPr>
        <w:rPr>
          <w:rStyle w:val="32"/>
          <w:rFonts w:hint="eastAsia" w:ascii="宋体" w:hAnsi="宋体" w:eastAsia="宋体" w:cs="宋体"/>
          <w:b/>
          <w:bCs/>
          <w:color w:val="auto"/>
          <w:highlight w:val="none"/>
        </w:rPr>
      </w:pPr>
      <w:r>
        <w:rPr>
          <w:rStyle w:val="32"/>
          <w:rFonts w:hint="eastAsia" w:ascii="宋体" w:hAnsi="宋体" w:eastAsia="宋体" w:cs="宋体"/>
          <w:b/>
          <w:bCs/>
          <w:color w:val="auto"/>
          <w:highlight w:val="none"/>
        </w:rPr>
        <w:br w:type="page"/>
      </w:r>
    </w:p>
    <w:p w14:paraId="5E2589EA">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highlight w:val="none"/>
        </w:rPr>
      </w:pPr>
      <w:bookmarkStart w:id="215" w:name="_Toc24624"/>
      <w:r>
        <w:rPr>
          <w:rStyle w:val="32"/>
          <w:rFonts w:hint="eastAsia" w:ascii="宋体" w:hAnsi="宋体" w:eastAsia="宋体" w:cs="宋体"/>
          <w:b/>
          <w:bCs/>
          <w:color w:val="auto"/>
          <w:highlight w:val="none"/>
        </w:rPr>
        <w:t>第五篇  供应商须知</w:t>
      </w:r>
      <w:bookmarkEnd w:id="32"/>
      <w:bookmarkEnd w:id="33"/>
      <w:bookmarkEnd w:id="215"/>
    </w:p>
    <w:bookmarkEnd w:id="34"/>
    <w:p w14:paraId="6C8BC8AA">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16" w:name="_Toc342913389"/>
      <w:bookmarkStart w:id="217" w:name="_Toc22859"/>
      <w:bookmarkStart w:id="218" w:name="_Toc9355"/>
      <w:bookmarkStart w:id="219" w:name="_Toc25434"/>
      <w:bookmarkStart w:id="220" w:name="_Toc18927"/>
      <w:bookmarkStart w:id="221" w:name="_Toc9127"/>
      <w:bookmarkStart w:id="222" w:name="_Toc5038"/>
      <w:bookmarkStart w:id="223" w:name="_Toc15402"/>
      <w:r>
        <w:rPr>
          <w:rFonts w:hint="eastAsia" w:ascii="Times New Roman" w:hAnsi="Times New Roman" w:eastAsia="宋体" w:cs="宋体"/>
          <w:color w:val="auto"/>
          <w:sz w:val="24"/>
          <w:szCs w:val="24"/>
          <w:highlight w:val="none"/>
        </w:rPr>
        <w:t>一、网上竞采费用</w:t>
      </w:r>
      <w:bookmarkEnd w:id="216"/>
      <w:bookmarkEnd w:id="217"/>
      <w:bookmarkEnd w:id="218"/>
      <w:bookmarkEnd w:id="219"/>
      <w:bookmarkEnd w:id="220"/>
      <w:bookmarkEnd w:id="221"/>
      <w:bookmarkEnd w:id="222"/>
      <w:bookmarkEnd w:id="223"/>
    </w:p>
    <w:p w14:paraId="3746FAA3">
      <w:pPr>
        <w:pStyle w:val="33"/>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参与网上竞采的供应商应承担其编制响应文件与递交响应文件所涉及的一切费用，不论网上竞采结果如何，采购人和采购代理机构在任何情况下无义务也无责任承担这些费用。</w:t>
      </w:r>
    </w:p>
    <w:p w14:paraId="4E9F20C1">
      <w:pPr>
        <w:pStyle w:val="5"/>
        <w:tabs>
          <w:tab w:val="left" w:pos="2640"/>
        </w:tabs>
        <w:spacing w:before="0" w:after="0" w:line="360" w:lineRule="auto"/>
        <w:ind w:firstLine="482" w:firstLineChars="200"/>
        <w:rPr>
          <w:rFonts w:hint="eastAsia" w:ascii="Times New Roman" w:hAnsi="Times New Roman" w:eastAsia="宋体" w:cs="宋体"/>
          <w:color w:val="auto"/>
          <w:sz w:val="24"/>
          <w:szCs w:val="24"/>
          <w:highlight w:val="none"/>
          <w:lang w:eastAsia="zh-CN"/>
        </w:rPr>
      </w:pPr>
      <w:bookmarkStart w:id="224" w:name="_Toc25299"/>
      <w:bookmarkStart w:id="225" w:name="_Toc342913391"/>
      <w:bookmarkStart w:id="226" w:name="_Toc6349"/>
      <w:bookmarkStart w:id="227" w:name="_Toc19707"/>
      <w:bookmarkStart w:id="228" w:name="_Toc27679"/>
      <w:bookmarkStart w:id="229" w:name="_Toc29314"/>
      <w:bookmarkStart w:id="230" w:name="_Toc13168"/>
      <w:bookmarkStart w:id="231" w:name="_Toc18466"/>
      <w:r>
        <w:rPr>
          <w:rFonts w:hint="eastAsia" w:ascii="Times New Roman" w:hAnsi="Times New Roman" w:eastAsia="宋体" w:cs="宋体"/>
          <w:color w:val="auto"/>
          <w:sz w:val="24"/>
          <w:szCs w:val="24"/>
          <w:highlight w:val="none"/>
        </w:rPr>
        <w:t>二、</w:t>
      </w:r>
      <w:bookmarkEnd w:id="224"/>
      <w:bookmarkEnd w:id="225"/>
      <w:r>
        <w:rPr>
          <w:rFonts w:hint="eastAsia" w:ascii="Times New Roman" w:hAnsi="Times New Roman" w:eastAsia="宋体" w:cs="宋体"/>
          <w:color w:val="auto"/>
          <w:sz w:val="24"/>
          <w:szCs w:val="24"/>
          <w:highlight w:val="none"/>
          <w:lang w:eastAsia="zh-CN"/>
        </w:rPr>
        <w:t>网上竞采采购文件</w:t>
      </w:r>
      <w:bookmarkEnd w:id="226"/>
      <w:bookmarkEnd w:id="227"/>
      <w:bookmarkEnd w:id="228"/>
      <w:bookmarkEnd w:id="229"/>
      <w:bookmarkEnd w:id="230"/>
      <w:bookmarkEnd w:id="231"/>
    </w:p>
    <w:p w14:paraId="456F0359">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由采购邀请书、项目</w:t>
      </w:r>
      <w:r>
        <w:rPr>
          <w:rFonts w:hint="eastAsia" w:cs="宋体"/>
          <w:color w:val="auto"/>
          <w:sz w:val="24"/>
          <w:szCs w:val="24"/>
          <w:highlight w:val="none"/>
          <w:lang w:val="en-US" w:eastAsia="zh-CN"/>
        </w:rPr>
        <w:t>服务</w:t>
      </w:r>
      <w:r>
        <w:rPr>
          <w:rFonts w:hint="eastAsia" w:ascii="Times New Roman" w:hAnsi="Times New Roman" w:eastAsia="宋体" w:cs="宋体"/>
          <w:color w:val="auto"/>
          <w:sz w:val="24"/>
          <w:szCs w:val="24"/>
          <w:highlight w:val="none"/>
        </w:rPr>
        <w:t>需求、项目商务需求、网上竞采程序及方法、评审标准、响应无效和采购终止、供应商须知</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color w:val="auto"/>
          <w:sz w:val="24"/>
          <w:szCs w:val="24"/>
          <w:highlight w:val="none"/>
        </w:rPr>
        <w:t>合同主要条款和格式合同</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color w:val="auto"/>
          <w:sz w:val="24"/>
          <w:szCs w:val="24"/>
          <w:highlight w:val="none"/>
        </w:rPr>
        <w:t>响应文件编制要求七部分组成。</w:t>
      </w:r>
    </w:p>
    <w:p w14:paraId="4BB50FB7">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（二）采购人（或采购代理机构）所作的一切有效的书面通知、修改及补充，都是</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不可分割的部分。</w:t>
      </w:r>
    </w:p>
    <w:p w14:paraId="5C0258EE">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的解释</w:t>
      </w:r>
    </w:p>
    <w:p w14:paraId="5568E336">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供应商如对</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。一经进入网上竞采程序，即视为供应商已详细阅读全部文件资料，完全理解</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所有条款内容并同意放弃对这方面有不明白及误解的权利。</w:t>
      </w:r>
      <w:bookmarkStart w:id="232" w:name="_Toc318159349"/>
      <w:bookmarkStart w:id="233" w:name="_Toc318166429"/>
      <w:bookmarkStart w:id="234" w:name="_Toc318159160"/>
      <w:bookmarkStart w:id="235" w:name="_Toc318159780"/>
    </w:p>
    <w:p w14:paraId="4064B056">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（四）本</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中，评审小组根据与供应商进行网上竞采可能实质性变动的内容为</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第二、三、四篇全部内容。</w:t>
      </w:r>
    </w:p>
    <w:p w14:paraId="4ADF6716">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（五）评审的依据为</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和响应文件（含有效的书面承诺）。评审小组判断响应文件对</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的响应，仅基于响应文件本身而不靠外部证据。</w:t>
      </w:r>
    </w:p>
    <w:bookmarkEnd w:id="232"/>
    <w:bookmarkEnd w:id="233"/>
    <w:bookmarkEnd w:id="234"/>
    <w:bookmarkEnd w:id="235"/>
    <w:p w14:paraId="1A33A83B">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36" w:name="_Toc29642"/>
      <w:bookmarkStart w:id="237" w:name="_Toc3365"/>
      <w:bookmarkStart w:id="238" w:name="_Toc342913392"/>
      <w:bookmarkStart w:id="239" w:name="_Toc4591"/>
      <w:bookmarkStart w:id="240" w:name="_Toc813"/>
      <w:bookmarkStart w:id="241" w:name="_Toc22069"/>
      <w:bookmarkStart w:id="242" w:name="_Toc11697"/>
      <w:bookmarkStart w:id="243" w:name="_Toc102227318"/>
      <w:bookmarkStart w:id="244" w:name="_Toc13364"/>
      <w:bookmarkStart w:id="245" w:name="_Toc179714297"/>
      <w:r>
        <w:rPr>
          <w:rFonts w:hint="eastAsia" w:ascii="Times New Roman" w:hAnsi="Times New Roman" w:eastAsia="宋体" w:cs="宋体"/>
          <w:color w:val="auto"/>
          <w:sz w:val="24"/>
          <w:szCs w:val="24"/>
          <w:highlight w:val="none"/>
        </w:rPr>
        <w:t>三、网上竞采要求</w:t>
      </w:r>
      <w:bookmarkEnd w:id="236"/>
      <w:bookmarkEnd w:id="237"/>
      <w:bookmarkEnd w:id="238"/>
      <w:bookmarkEnd w:id="239"/>
      <w:bookmarkEnd w:id="240"/>
      <w:bookmarkEnd w:id="241"/>
      <w:bookmarkEnd w:id="242"/>
      <w:bookmarkEnd w:id="243"/>
      <w:bookmarkEnd w:id="244"/>
      <w:bookmarkEnd w:id="245"/>
    </w:p>
    <w:p w14:paraId="08306F3C">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（一）响应文件</w:t>
      </w:r>
    </w:p>
    <w:p w14:paraId="5DAD1D49">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1.供应商应当按照</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的要求编制响应文件，并对</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提出的要求和条件作出实质性响应，同时应编制完整的页码、目录。</w:t>
      </w: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eastAsia="zh-CN"/>
        </w:rPr>
        <w:t>（</w:t>
      </w:r>
      <w:r>
        <w:rPr>
          <w:rFonts w:hint="eastAsia" w:cs="宋体"/>
          <w:color w:val="auto"/>
          <w:sz w:val="24"/>
          <w:szCs w:val="24"/>
          <w:highlight w:val="none"/>
          <w:lang w:val="en-US" w:eastAsia="zh-CN"/>
        </w:rPr>
        <w:t>纸质文档）</w:t>
      </w:r>
      <w:r>
        <w:rPr>
          <w:rFonts w:hint="eastAsia" w:ascii="宋体" w:hAnsi="宋体" w:cs="宋体"/>
          <w:color w:val="auto"/>
          <w:sz w:val="24"/>
          <w:szCs w:val="24"/>
          <w:highlight w:val="none"/>
        </w:rPr>
        <w:t>原则上采用软面订本</w:t>
      </w:r>
      <w:r>
        <w:rPr>
          <w:rFonts w:hint="eastAsia" w:ascii="宋体" w:hAnsi="宋体" w:cs="宋体"/>
          <w:color w:val="auto"/>
          <w:sz w:val="24"/>
          <w:szCs w:val="24"/>
          <w:highlight w:val="none"/>
          <w:lang w:eastAsia="zh-CN"/>
        </w:rPr>
        <w:t>。</w:t>
      </w:r>
    </w:p>
    <w:p w14:paraId="5740C068">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2.响应文件组成</w:t>
      </w:r>
    </w:p>
    <w:p w14:paraId="163DD315">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B0142EC">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（二）联合体</w:t>
      </w:r>
    </w:p>
    <w:p w14:paraId="1EBACF3B">
      <w:pPr>
        <w:spacing w:line="360" w:lineRule="auto"/>
        <w:ind w:firstLine="482" w:firstLineChars="200"/>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本项目不接受联合体竞标。</w:t>
      </w:r>
    </w:p>
    <w:p w14:paraId="7CA5B600">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（三）网上竞采有效期：响应文件及有关承诺文件有效期为提交响应文件截止时间起90天。</w:t>
      </w:r>
    </w:p>
    <w:p w14:paraId="6904894F">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（四）修正错误</w:t>
      </w:r>
    </w:p>
    <w:p w14:paraId="5DE6D70D">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1.若供应商所递交的响应文件中的价格出现大写金额和小写金额不一致的错误，以大写金额修正为准。</w:t>
      </w:r>
    </w:p>
    <w:p w14:paraId="650EB3F3">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6A98EA17">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（五）提交响应文件的份数和签署</w:t>
      </w:r>
    </w:p>
    <w:p w14:paraId="5924807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1.供应商须在平台报价并上传盖章后的响应文件电子文档一份，线下提供响应文件一式</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份（网上</w:t>
      </w:r>
      <w:r>
        <w:rPr>
          <w:rFonts w:hint="eastAsia" w:ascii="宋体" w:hAnsi="宋体" w:cs="宋体"/>
          <w:color w:val="auto"/>
          <w:sz w:val="24"/>
          <w:szCs w:val="24"/>
          <w:highlight w:val="none"/>
          <w:lang w:val="en-US" w:eastAsia="zh-CN"/>
        </w:rPr>
        <w:t>响应文件电子文档内容</w:t>
      </w:r>
      <w:r>
        <w:rPr>
          <w:rFonts w:hint="eastAsia" w:ascii="宋体" w:hAnsi="宋体" w:cs="宋体"/>
          <w:color w:val="auto"/>
          <w:sz w:val="24"/>
          <w:szCs w:val="24"/>
          <w:highlight w:val="none"/>
        </w:rPr>
        <w:t>应与纸质文件正本、副本一致，如不一致以</w:t>
      </w:r>
      <w:r>
        <w:rPr>
          <w:rFonts w:hint="eastAsia" w:ascii="宋体" w:hAnsi="宋体" w:cs="宋体"/>
          <w:color w:val="auto"/>
          <w:sz w:val="24"/>
          <w:szCs w:val="24"/>
          <w:highlight w:val="none"/>
          <w:lang w:val="en-US" w:eastAsia="zh-CN"/>
        </w:rPr>
        <w:t>线下递交的响应文件</w:t>
      </w:r>
      <w:r>
        <w:rPr>
          <w:rFonts w:hint="eastAsia" w:ascii="宋体" w:hAnsi="宋体" w:cs="宋体"/>
          <w:color w:val="auto"/>
          <w:sz w:val="24"/>
          <w:szCs w:val="24"/>
          <w:highlight w:val="none"/>
        </w:rPr>
        <w:t>为准，副本可为正本的复印件。）</w:t>
      </w:r>
    </w:p>
    <w:p w14:paraId="540CE230">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注：若供应商的平台报价与网上电子文档网上竞采报价函中的报价不一致，按响应无效处理。</w:t>
      </w:r>
    </w:p>
    <w:p w14:paraId="3366C460">
      <w:pPr>
        <w:numPr>
          <w:ilvl w:val="0"/>
          <w:numId w:val="3"/>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在网上</w:t>
      </w:r>
      <w:r>
        <w:rPr>
          <w:rFonts w:hint="eastAsia" w:ascii="宋体" w:hAnsi="宋体" w:cs="宋体"/>
          <w:color w:val="auto"/>
          <w:sz w:val="24"/>
          <w:highlight w:val="none"/>
          <w:lang w:val="en-US" w:eastAsia="zh-CN"/>
        </w:rPr>
        <w:t>响应文件</w:t>
      </w:r>
      <w:r>
        <w:rPr>
          <w:rFonts w:hint="eastAsia" w:ascii="宋体" w:hAnsi="宋体" w:cs="宋体"/>
          <w:color w:val="auto"/>
          <w:sz w:val="24"/>
          <w:highlight w:val="none"/>
        </w:rPr>
        <w:t>电子文档及响应文件正本中，</w:t>
      </w:r>
      <w:r>
        <w:rPr>
          <w:rFonts w:hint="eastAsia" w:ascii="宋体" w:hAnsi="宋体" w:cs="宋体"/>
          <w:color w:val="auto"/>
          <w:sz w:val="24"/>
          <w:highlight w:val="none"/>
          <w:lang w:eastAsia="zh-CN"/>
        </w:rPr>
        <w:t>网上竞采采购文件</w:t>
      </w:r>
      <w:r>
        <w:rPr>
          <w:rFonts w:hint="eastAsia" w:ascii="宋体" w:hAnsi="宋体" w:cs="宋体"/>
          <w:color w:val="auto"/>
          <w:sz w:val="24"/>
          <w:highlight w:val="none"/>
        </w:rPr>
        <w:t>第七篇响应文件编制要求中规定签字、盖章的地方必须按其规定签字、盖章。</w:t>
      </w:r>
    </w:p>
    <w:p w14:paraId="76B7A1B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纸质）</w:t>
      </w:r>
      <w:r>
        <w:rPr>
          <w:rFonts w:hint="eastAsia" w:ascii="宋体" w:hAnsi="宋体" w:cs="宋体"/>
          <w:color w:val="auto"/>
          <w:sz w:val="24"/>
          <w:szCs w:val="24"/>
          <w:highlight w:val="none"/>
        </w:rPr>
        <w:t>的递交</w:t>
      </w:r>
    </w:p>
    <w:p w14:paraId="231E82B9">
      <w:pPr>
        <w:pStyle w:val="13"/>
        <w:spacing w:line="360" w:lineRule="auto"/>
        <w:ind w:firstLine="480" w:firstLineChars="200"/>
        <w:rPr>
          <w:rFonts w:hAnsi="宋体" w:cs="宋体"/>
          <w:color w:val="auto"/>
          <w:sz w:val="24"/>
          <w:highlight w:val="none"/>
        </w:rPr>
      </w:pPr>
      <w:r>
        <w:rPr>
          <w:rFonts w:hint="eastAsia" w:hAnsi="宋体" w:cs="宋体"/>
          <w:color w:val="auto"/>
          <w:sz w:val="24"/>
          <w:highlight w:val="none"/>
        </w:rPr>
        <w:t>1.响应文件的密封与标记</w:t>
      </w:r>
    </w:p>
    <w:p w14:paraId="52D7B2AA">
      <w:pPr>
        <w:pStyle w:val="13"/>
        <w:spacing w:line="360" w:lineRule="auto"/>
        <w:ind w:firstLine="480" w:firstLineChars="200"/>
        <w:rPr>
          <w:rFonts w:hAnsi="宋体" w:cs="宋体"/>
          <w:color w:val="auto"/>
          <w:sz w:val="24"/>
          <w:highlight w:val="none"/>
        </w:rPr>
      </w:pPr>
      <w:r>
        <w:rPr>
          <w:rFonts w:hint="eastAsia" w:hAnsi="宋体" w:cs="宋体"/>
          <w:color w:val="auto"/>
          <w:sz w:val="24"/>
          <w:highlight w:val="none"/>
        </w:rPr>
        <w:t>1.1响应文件的正本、副本均应密封送达线下</w:t>
      </w:r>
      <w:r>
        <w:rPr>
          <w:rFonts w:hint="eastAsia" w:hAnsi="宋体" w:cs="宋体"/>
          <w:color w:val="auto"/>
          <w:sz w:val="24"/>
          <w:highlight w:val="none"/>
          <w:lang w:val="en-US" w:eastAsia="zh-CN"/>
        </w:rPr>
        <w:t>评审</w:t>
      </w:r>
      <w:r>
        <w:rPr>
          <w:rFonts w:hint="eastAsia" w:hAnsi="宋体" w:cs="宋体"/>
          <w:color w:val="auto"/>
          <w:sz w:val="24"/>
          <w:highlight w:val="none"/>
        </w:rPr>
        <w:t>地点，应在封套上注明采购项目名称、供应商名称。若正本、副本分别进行密封的，还应在封套上注明“正本”、“副本”字样。</w:t>
      </w:r>
    </w:p>
    <w:p w14:paraId="31272244">
      <w:pPr>
        <w:pStyle w:val="13"/>
        <w:spacing w:line="360" w:lineRule="auto"/>
        <w:ind w:firstLine="480" w:firstLineChars="200"/>
        <w:rPr>
          <w:rFonts w:hAnsi="宋体" w:cs="宋体"/>
          <w:color w:val="auto"/>
          <w:sz w:val="24"/>
          <w:highlight w:val="none"/>
        </w:rPr>
      </w:pPr>
      <w:r>
        <w:rPr>
          <w:rFonts w:hint="eastAsia" w:hAnsi="宋体" w:cs="宋体"/>
          <w:color w:val="auto"/>
          <w:sz w:val="24"/>
          <w:highlight w:val="none"/>
        </w:rPr>
        <w:t>1.2封套的封口处应加盖供应商公章或由法定代表人授权代表签字。</w:t>
      </w:r>
    </w:p>
    <w:p w14:paraId="71710C8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2.如果未按上述规定进行密封和标记，采购代理机构对响应文件误投、丢失或提前拆封不负责任。</w:t>
      </w:r>
    </w:p>
    <w:p w14:paraId="4663101D">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46" w:name="_Toc20400"/>
      <w:bookmarkStart w:id="247" w:name="_Toc7876"/>
      <w:bookmarkStart w:id="248" w:name="_Toc13132"/>
      <w:bookmarkStart w:id="249" w:name="_Toc5003"/>
      <w:bookmarkStart w:id="250" w:name="_Toc27928"/>
      <w:bookmarkStart w:id="251" w:name="_Toc27640"/>
      <w:bookmarkStart w:id="252" w:name="_Toc22553"/>
      <w:r>
        <w:rPr>
          <w:rFonts w:hint="eastAsia" w:ascii="Times New Roman" w:hAnsi="Times New Roman" w:eastAsia="宋体" w:cs="宋体"/>
          <w:color w:val="auto"/>
          <w:sz w:val="24"/>
          <w:szCs w:val="24"/>
          <w:highlight w:val="none"/>
        </w:rPr>
        <w:t>四、成交供应商的确认和变更</w:t>
      </w:r>
      <w:bookmarkEnd w:id="246"/>
      <w:bookmarkEnd w:id="247"/>
      <w:bookmarkEnd w:id="248"/>
      <w:bookmarkEnd w:id="249"/>
      <w:bookmarkEnd w:id="250"/>
      <w:bookmarkEnd w:id="251"/>
      <w:bookmarkEnd w:id="252"/>
    </w:p>
    <w:p w14:paraId="3C719E8A">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（一）成交供应商的确认</w:t>
      </w:r>
    </w:p>
    <w:p w14:paraId="6CF63416">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6B7E738C">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（二）成交供应商的变更</w:t>
      </w:r>
    </w:p>
    <w:p w14:paraId="7E403483">
      <w:pPr>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2D87A221">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53" w:name="_Toc18024"/>
      <w:bookmarkStart w:id="254" w:name="_Toc8128"/>
      <w:bookmarkStart w:id="255" w:name="_Toc6282"/>
      <w:bookmarkStart w:id="256" w:name="_Toc342913395"/>
      <w:bookmarkStart w:id="257" w:name="_Toc17697"/>
      <w:bookmarkStart w:id="258" w:name="_Toc102227321"/>
      <w:bookmarkStart w:id="259" w:name="_Toc6110"/>
      <w:bookmarkStart w:id="260" w:name="_Toc23059"/>
      <w:bookmarkStart w:id="261" w:name="_Toc4760"/>
      <w:r>
        <w:rPr>
          <w:rFonts w:hint="eastAsia" w:ascii="Times New Roman" w:hAnsi="Times New Roman" w:eastAsia="宋体" w:cs="宋体"/>
          <w:color w:val="auto"/>
          <w:sz w:val="24"/>
          <w:szCs w:val="24"/>
          <w:highlight w:val="none"/>
        </w:rPr>
        <w:t>五、成交通知</w:t>
      </w:r>
      <w:bookmarkEnd w:id="253"/>
      <w:bookmarkEnd w:id="254"/>
      <w:bookmarkEnd w:id="255"/>
      <w:bookmarkEnd w:id="256"/>
      <w:bookmarkEnd w:id="257"/>
      <w:bookmarkEnd w:id="258"/>
      <w:bookmarkEnd w:id="259"/>
      <w:bookmarkEnd w:id="260"/>
      <w:bookmarkEnd w:id="261"/>
    </w:p>
    <w:p w14:paraId="642286C9">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（一）成交供应商确定后，采购人或采购代理机构将在</w:t>
      </w:r>
      <w:r>
        <w:rPr>
          <w:rFonts w:hint="eastAsia" w:ascii="宋体" w:hAnsi="宋体" w:eastAsia="宋体"/>
          <w:color w:val="auto"/>
          <w:sz w:val="24"/>
          <w:szCs w:val="24"/>
          <w:highlight w:val="none"/>
          <w:lang w:val="en-US" w:eastAsia="zh-CN"/>
        </w:rPr>
        <w:t>“行采家”（https://www.gec123.com/）</w:t>
      </w:r>
      <w:r>
        <w:rPr>
          <w:rFonts w:hint="eastAsia" w:ascii="宋体" w:hAnsi="宋体" w:cs="宋体"/>
          <w:color w:val="auto"/>
          <w:sz w:val="24"/>
          <w:szCs w:val="24"/>
          <w:highlight w:val="none"/>
        </w:rPr>
        <w:t>平台</w:t>
      </w:r>
      <w:r>
        <w:rPr>
          <w:rFonts w:hint="eastAsia" w:ascii="Times New Roman" w:hAnsi="Times New Roman" w:eastAsia="宋体" w:cs="宋体"/>
          <w:color w:val="auto"/>
          <w:sz w:val="24"/>
          <w:szCs w:val="24"/>
          <w:highlight w:val="none"/>
        </w:rPr>
        <w:t>上发布成交结果公告。</w:t>
      </w:r>
    </w:p>
    <w:p w14:paraId="20A7F04A">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（二）结果公告发出同时，采购代理机构将以书面形式发出《成交通知书》。《成交通知书》一经发出即发生法律效力。</w:t>
      </w:r>
    </w:p>
    <w:p w14:paraId="4EAEF288">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（三）《成交通知书》将作为签订合同的依据。</w:t>
      </w:r>
    </w:p>
    <w:p w14:paraId="01715165">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（四）如有供应商对成交结果提出质疑的，在质疑处理完毕后发出成交通知书。</w:t>
      </w:r>
    </w:p>
    <w:p w14:paraId="7593012B">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62" w:name="_Toc16617"/>
      <w:bookmarkStart w:id="263" w:name="_Toc5162"/>
      <w:bookmarkStart w:id="264" w:name="_Toc32511"/>
      <w:bookmarkStart w:id="265" w:name="_Toc25786"/>
      <w:bookmarkStart w:id="266" w:name="_Toc7210"/>
      <w:bookmarkStart w:id="267" w:name="_Toc31861"/>
      <w:r>
        <w:rPr>
          <w:rFonts w:hint="eastAsia" w:ascii="Times New Roman" w:hAnsi="Times New Roman" w:eastAsia="宋体" w:cs="宋体"/>
          <w:color w:val="auto"/>
          <w:sz w:val="24"/>
          <w:szCs w:val="24"/>
          <w:highlight w:val="none"/>
        </w:rPr>
        <w:t>六、采购代理服务费</w:t>
      </w:r>
      <w:bookmarkEnd w:id="262"/>
      <w:bookmarkEnd w:id="263"/>
      <w:bookmarkEnd w:id="264"/>
      <w:bookmarkEnd w:id="265"/>
      <w:bookmarkEnd w:id="266"/>
      <w:bookmarkEnd w:id="267"/>
    </w:p>
    <w:p w14:paraId="03525AC8">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本项目采购代理服务费由成交供应商支付，</w:t>
      </w:r>
      <w:r>
        <w:rPr>
          <w:rFonts w:hint="eastAsia" w:ascii="Times New Roman" w:hAnsi="Times New Roman"/>
          <w:color w:val="auto"/>
          <w:sz w:val="24"/>
          <w:szCs w:val="24"/>
          <w:highlight w:val="none"/>
          <w:lang w:val="en-US" w:eastAsia="zh-CN"/>
        </w:rPr>
        <w:t>参照《招标代理服务收费管理暂行办法》（计价格〔2002〕1980号）招标代理服务收费标准计取，代理服务费不足4000元时按4000元计取，由成交供应商在领取成交通知书时一次性支付给采购代理机构。</w:t>
      </w:r>
    </w:p>
    <w:p w14:paraId="6789F2C6">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采购代理服务费</w:t>
      </w:r>
      <w:r>
        <w:rPr>
          <w:rFonts w:hint="eastAsia" w:ascii="Times New Roman" w:hAnsi="Times New Roman" w:eastAsia="宋体" w:cs="宋体"/>
          <w:color w:val="auto"/>
          <w:sz w:val="24"/>
          <w:szCs w:val="24"/>
          <w:highlight w:val="none"/>
          <w:lang w:val="en-US" w:eastAsia="zh-CN"/>
        </w:rPr>
        <w:t>收款信息：</w:t>
      </w:r>
    </w:p>
    <w:p w14:paraId="3E77815A">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账户名称：重庆中祥科达工程项目管理咨询有限公司</w:t>
      </w:r>
    </w:p>
    <w:p w14:paraId="521A328F">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账户号码：651070638300015</w:t>
      </w:r>
    </w:p>
    <w:p w14:paraId="71A73627">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开户银行：重庆渝北银座村镇银行有限责任公司人和支行</w:t>
      </w:r>
    </w:p>
    <w:p w14:paraId="4C211090">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行号：320653000442</w:t>
      </w:r>
    </w:p>
    <w:p w14:paraId="1423993C">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68" w:name="_Toc2077"/>
      <w:bookmarkStart w:id="269" w:name="_Toc9077"/>
      <w:bookmarkStart w:id="270" w:name="_Toc23845"/>
      <w:bookmarkStart w:id="271" w:name="_Toc8778"/>
      <w:bookmarkStart w:id="272" w:name="_Toc17051"/>
      <w:bookmarkStart w:id="273" w:name="_Toc13596"/>
      <w:bookmarkStart w:id="274" w:name="_Toc28999"/>
      <w:r>
        <w:rPr>
          <w:rFonts w:hint="eastAsia" w:cs="宋体"/>
          <w:color w:val="auto"/>
          <w:sz w:val="24"/>
          <w:szCs w:val="24"/>
          <w:highlight w:val="none"/>
          <w:lang w:val="en-US" w:eastAsia="zh-CN"/>
        </w:rPr>
        <w:t>七</w:t>
      </w:r>
      <w:r>
        <w:rPr>
          <w:rFonts w:hint="eastAsia" w:ascii="Times New Roman" w:hAnsi="Times New Roman" w:eastAsia="宋体" w:cs="宋体"/>
          <w:color w:val="auto"/>
          <w:sz w:val="24"/>
          <w:szCs w:val="24"/>
          <w:highlight w:val="none"/>
        </w:rPr>
        <w:t>、关于质疑和投诉</w:t>
      </w:r>
      <w:bookmarkEnd w:id="268"/>
      <w:bookmarkEnd w:id="269"/>
      <w:bookmarkEnd w:id="270"/>
      <w:bookmarkEnd w:id="271"/>
      <w:bookmarkEnd w:id="272"/>
      <w:bookmarkEnd w:id="273"/>
      <w:bookmarkEnd w:id="274"/>
    </w:p>
    <w:p w14:paraId="1688A03C">
      <w:pPr>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（一）质疑</w:t>
      </w:r>
    </w:p>
    <w:p w14:paraId="6418FEED">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供应商认为采购文件、采购过程和成交结果使自己的权益受到伤害的，可向采购人或采购代理机构以书面形式提出质疑。</w:t>
      </w:r>
    </w:p>
    <w:p w14:paraId="21E7B265">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 xml:space="preserve">提出质疑的应当是参与所质疑项目采购活动的供应商。 </w:t>
      </w:r>
    </w:p>
    <w:p w14:paraId="795F4CB5">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1.质疑时限、内容</w:t>
      </w:r>
    </w:p>
    <w:p w14:paraId="3E5415B3">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7915EB19">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1.2 供应商对采购过程提出质疑的，应在各采购程序环节结束之日起七个工作日内提出。</w:t>
      </w:r>
    </w:p>
    <w:p w14:paraId="52F8D2E4">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1.3供应商对成交结果提出质疑的，应当在成交结果公告期限届满之日起七个工作日内提出。</w:t>
      </w:r>
    </w:p>
    <w:p w14:paraId="27FEB881">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1.4供应商提出质疑应当提交质疑函和必要的证明材料，质疑函应当包括下列内容：</w:t>
      </w:r>
    </w:p>
    <w:p w14:paraId="27E32D9D">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1.4.1供应商的姓名或者名称、地址、邮编、联系人及联系电话；</w:t>
      </w:r>
    </w:p>
    <w:p w14:paraId="083507B4">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1.4.2质疑项目的名称、项目号以及采购项目编号；</w:t>
      </w:r>
    </w:p>
    <w:p w14:paraId="06418BB8">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1.4.3具体、明确的质疑事项和与质疑事项相关的请求；</w:t>
      </w:r>
    </w:p>
    <w:p w14:paraId="50689ED2">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1.4.4事实依据；</w:t>
      </w:r>
    </w:p>
    <w:p w14:paraId="3DF78A5A">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1.4.5必要的法律依据；</w:t>
      </w:r>
    </w:p>
    <w:p w14:paraId="0E47A40D">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1.4.6提出质疑的日期；</w:t>
      </w:r>
    </w:p>
    <w:p w14:paraId="0A1E4EF7">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1.4.7</w:t>
      </w:r>
      <w:r>
        <w:rPr>
          <w:rFonts w:hint="eastAsia" w:ascii="Times New Roman" w:hAnsi="Times New Roman" w:eastAsia="宋体" w:cs="宋体"/>
          <w:color w:val="auto"/>
          <w:sz w:val="24"/>
          <w:szCs w:val="24"/>
          <w:highlight w:val="none"/>
        </w:rPr>
        <w:t>供应商法人营业执照（副本）或事业单位法人证书（副本）或个体工商户营业执照或有效的自然人身份证明或社会团体法人登记证书</w:t>
      </w:r>
      <w:r>
        <w:rPr>
          <w:rFonts w:hint="eastAsia" w:ascii="Times New Roman" w:hAnsi="Times New Roman" w:eastAsia="宋体" w:cs="宋体"/>
          <w:color w:val="auto"/>
          <w:sz w:val="24"/>
          <w:highlight w:val="none"/>
        </w:rPr>
        <w:t>复印件；</w:t>
      </w:r>
    </w:p>
    <w:p w14:paraId="22F26464">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1.4.8法定代表人授权委托书原件、法定代表人身份证复印件和其授权代表的身份证复印件（供应商为自然人的提供自然人身份证复印件）；</w:t>
      </w:r>
    </w:p>
    <w:p w14:paraId="43A70B98">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2DFE3F32">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2.质疑答复</w:t>
      </w:r>
    </w:p>
    <w:p w14:paraId="45B8EFE3">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采购人、采购代理机构应当在收到供应商的书面质疑后七个工作日内作出答复，并以书面形式通知质疑供应商和其他有关供应商。</w:t>
      </w:r>
    </w:p>
    <w:p w14:paraId="3816BB35">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3.其他</w:t>
      </w:r>
    </w:p>
    <w:p w14:paraId="7C954196">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3.1供应商应按照《政府采购质疑和投诉办法》（财政部令第94号）及相关法律法规要求，在法定质疑期内一次性提出针对同一采购程序环节的质疑。</w:t>
      </w:r>
    </w:p>
    <w:p w14:paraId="1AF20003">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3.2质疑函范本可在财政部门户网站和中国政府采购网下载。</w:t>
      </w:r>
    </w:p>
    <w:p w14:paraId="20B9585F">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（二）投诉</w:t>
      </w:r>
    </w:p>
    <w:p w14:paraId="0D3D0B9B">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57984F35">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F8C6117">
      <w:pPr>
        <w:spacing w:line="360" w:lineRule="auto"/>
        <w:ind w:right="12" w:firstLine="48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0C5448E">
      <w:pPr>
        <w:spacing w:line="360" w:lineRule="auto"/>
        <w:ind w:firstLine="480" w:firstLineChars="200"/>
        <w:rPr>
          <w:rFonts w:hint="eastAsia"/>
          <w:color w:val="auto"/>
          <w:highlight w:val="none"/>
        </w:rPr>
      </w:pPr>
      <w:r>
        <w:rPr>
          <w:rFonts w:hint="eastAsia" w:ascii="Times New Roman" w:hAnsi="Times New Roman"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743F68C2">
      <w:pPr>
        <w:pStyle w:val="5"/>
        <w:spacing w:before="0" w:after="0" w:line="360" w:lineRule="auto"/>
        <w:ind w:firstLine="482" w:firstLineChars="200"/>
        <w:rPr>
          <w:rFonts w:hint="eastAsia" w:ascii="Times New Roman" w:hAnsi="Times New Roman" w:eastAsia="宋体" w:cs="宋体"/>
          <w:color w:val="auto"/>
          <w:sz w:val="24"/>
          <w:szCs w:val="24"/>
          <w:highlight w:val="none"/>
        </w:rPr>
      </w:pPr>
      <w:bookmarkStart w:id="275" w:name="_Toc102227322"/>
      <w:bookmarkStart w:id="276" w:name="_Toc14365"/>
      <w:bookmarkStart w:id="277" w:name="_Toc28625"/>
      <w:bookmarkStart w:id="278" w:name="_Toc25236"/>
      <w:bookmarkStart w:id="279" w:name="_Toc12132"/>
      <w:bookmarkStart w:id="280" w:name="_Toc8997"/>
      <w:bookmarkStart w:id="281" w:name="_Toc13757"/>
      <w:bookmarkStart w:id="282" w:name="_Toc342913396"/>
      <w:bookmarkStart w:id="283" w:name="_Toc2976"/>
      <w:r>
        <w:rPr>
          <w:rFonts w:hint="eastAsia"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、签订</w:t>
      </w:r>
      <w:bookmarkEnd w:id="275"/>
      <w:r>
        <w:rPr>
          <w:rFonts w:hint="eastAsia" w:ascii="Times New Roman" w:hAnsi="Times New Roman" w:eastAsia="宋体" w:cs="宋体"/>
          <w:color w:val="auto"/>
          <w:sz w:val="24"/>
          <w:szCs w:val="24"/>
          <w:highlight w:val="none"/>
        </w:rPr>
        <w:t>合同</w:t>
      </w:r>
      <w:bookmarkEnd w:id="276"/>
      <w:bookmarkEnd w:id="277"/>
      <w:bookmarkEnd w:id="278"/>
      <w:bookmarkEnd w:id="279"/>
      <w:bookmarkEnd w:id="280"/>
      <w:bookmarkEnd w:id="281"/>
      <w:bookmarkEnd w:id="282"/>
      <w:bookmarkEnd w:id="283"/>
    </w:p>
    <w:p w14:paraId="3A5CC22D">
      <w:pPr>
        <w:spacing w:line="360" w:lineRule="auto"/>
        <w:ind w:firstLine="360" w:firstLineChars="15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（一）采购人应当自成交通知书发出之日起</w:t>
      </w:r>
      <w:r>
        <w:rPr>
          <w:rFonts w:hint="eastAsia" w:ascii="Times New Roman" w:hAnsi="Times New Roman" w:eastAsia="宋体" w:cs="宋体"/>
          <w:color w:val="auto"/>
          <w:sz w:val="24"/>
          <w:szCs w:val="24"/>
          <w:highlight w:val="none"/>
          <w:lang w:eastAsia="zh-CN"/>
        </w:rPr>
        <w:t>二</w:t>
      </w:r>
      <w:r>
        <w:rPr>
          <w:rFonts w:hint="eastAsia" w:ascii="Times New Roman" w:hAnsi="Times New Roman" w:eastAsia="宋体" w:cs="宋体"/>
          <w:color w:val="auto"/>
          <w:sz w:val="24"/>
          <w:szCs w:val="24"/>
          <w:highlight w:val="none"/>
        </w:rPr>
        <w:t>十日内，按照</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和成交供应商响应文件的约定，与成交供应商签订书面合同。所签订的合同不得对</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和供应商的响应文件作实质性修改。</w:t>
      </w:r>
    </w:p>
    <w:p w14:paraId="3AEF4D61">
      <w:pPr>
        <w:spacing w:line="360" w:lineRule="auto"/>
        <w:ind w:firstLine="360" w:firstLineChars="15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（二）</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、供应商的响应文件及澄清文件等，均为签订采购合同的依据。</w:t>
      </w:r>
    </w:p>
    <w:p w14:paraId="3782B62D">
      <w:pPr>
        <w:spacing w:line="360" w:lineRule="auto"/>
        <w:ind w:firstLine="360" w:firstLineChars="15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（三）合同生效条款由供需双方约定，法律、行政法规规定应当办理批准、登记等手续后生效的合同，依照其规定。</w:t>
      </w:r>
    </w:p>
    <w:p w14:paraId="58C8B8F2">
      <w:pPr>
        <w:spacing w:line="360" w:lineRule="auto"/>
        <w:ind w:firstLine="360" w:firstLineChars="15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（四）合同原则上应按照《采购合同》签订，相关单位要求适用合同通用格式版本的，应按其要求另行签订其他合同。</w:t>
      </w:r>
    </w:p>
    <w:p w14:paraId="1AB1FBE7">
      <w:pPr>
        <w:spacing w:line="360" w:lineRule="auto"/>
        <w:ind w:firstLine="360" w:firstLineChars="150"/>
        <w:rPr>
          <w:rStyle w:val="32"/>
          <w:rFonts w:ascii="宋体" w:hAnsi="宋体" w:eastAsia="宋体" w:cs="宋体"/>
          <w:color w:val="auto"/>
          <w:sz w:val="36"/>
          <w:szCs w:val="36"/>
          <w:highlight w:val="none"/>
        </w:rPr>
      </w:pPr>
      <w:r>
        <w:rPr>
          <w:rFonts w:hint="eastAsia" w:ascii="Times New Roman" w:hAnsi="Times New Roman" w:eastAsia="宋体" w:cs="宋体"/>
          <w:color w:val="auto"/>
          <w:sz w:val="24"/>
          <w:szCs w:val="24"/>
          <w:highlight w:val="none"/>
        </w:rPr>
        <w:t>（五）采购人要求成交供应商提供履约保证金的，应当在</w:t>
      </w:r>
      <w:r>
        <w:rPr>
          <w:rFonts w:hint="eastAsia" w:ascii="Times New Roman" w:hAnsi="Times New Roman" w:eastAsia="宋体" w:cs="宋体"/>
          <w:color w:val="auto"/>
          <w:sz w:val="24"/>
          <w:szCs w:val="24"/>
          <w:highlight w:val="none"/>
          <w:lang w:eastAsia="zh-CN"/>
        </w:rPr>
        <w:t>网上竞采采购文件</w:t>
      </w:r>
      <w:r>
        <w:rPr>
          <w:rFonts w:hint="eastAsia" w:ascii="Times New Roman" w:hAnsi="Times New Roman" w:eastAsia="宋体" w:cs="宋体"/>
          <w:color w:val="auto"/>
          <w:sz w:val="24"/>
          <w:szCs w:val="24"/>
          <w:highlight w:val="none"/>
        </w:rPr>
        <w:t>中予以约定。成交供应商履约完毕后，采购人应于五日内无息退还其履约保证金</w:t>
      </w:r>
      <w:r>
        <w:rPr>
          <w:rStyle w:val="32"/>
          <w:rFonts w:hint="eastAsia" w:ascii="宋体" w:hAnsi="宋体" w:eastAsia="宋体" w:cs="宋体"/>
          <w:color w:val="auto"/>
          <w:sz w:val="36"/>
          <w:szCs w:val="36"/>
          <w:highlight w:val="none"/>
        </w:rPr>
        <w:br w:type="page"/>
      </w:r>
    </w:p>
    <w:p w14:paraId="4D3FC48F">
      <w:pPr>
        <w:pStyle w:val="4"/>
        <w:jc w:val="center"/>
        <w:rPr>
          <w:rStyle w:val="32"/>
          <w:rFonts w:ascii="宋体" w:hAnsi="宋体" w:eastAsia="宋体" w:cs="宋体"/>
          <w:b/>
          <w:bCs/>
          <w:color w:val="auto"/>
          <w:highlight w:val="none"/>
        </w:rPr>
      </w:pPr>
      <w:bookmarkStart w:id="284" w:name="_Toc25397"/>
      <w:r>
        <w:rPr>
          <w:rStyle w:val="32"/>
          <w:rFonts w:hint="eastAsia" w:ascii="宋体" w:hAnsi="宋体" w:eastAsia="宋体" w:cs="宋体"/>
          <w:b/>
          <w:bCs/>
          <w:color w:val="auto"/>
          <w:highlight w:val="none"/>
        </w:rPr>
        <w:t>第六篇  合同主要条款和格式合同（样本）</w:t>
      </w:r>
      <w:bookmarkEnd w:id="284"/>
    </w:p>
    <w:p w14:paraId="58E48B46">
      <w:pPr>
        <w:snapToGrid w:val="0"/>
        <w:spacing w:line="360" w:lineRule="auto"/>
        <w:ind w:firstLine="600" w:firstLineChars="250"/>
        <w:outlineLvl w:val="0"/>
        <w:rPr>
          <w:rFonts w:hint="eastAsia" w:ascii="Times New Roman" w:hAnsi="Times New Roman" w:eastAsia="宋体" w:cs="宋体"/>
          <w:bCs/>
          <w:color w:val="auto"/>
          <w:sz w:val="24"/>
          <w:highlight w:val="none"/>
        </w:rPr>
      </w:pPr>
      <w:bookmarkStart w:id="285" w:name="_Toc25461"/>
      <w:bookmarkStart w:id="286" w:name="_Toc21191"/>
      <w:bookmarkStart w:id="287" w:name="_Toc8404"/>
      <w:bookmarkStart w:id="288" w:name="_Toc277084871"/>
      <w:bookmarkStart w:id="289" w:name="_Toc285722713"/>
      <w:r>
        <w:rPr>
          <w:rFonts w:hint="eastAsia" w:ascii="Times New Roman" w:hAnsi="Times New Roman" w:eastAsia="宋体" w:cs="宋体"/>
          <w:bCs/>
          <w:color w:val="auto"/>
          <w:sz w:val="24"/>
          <w:highlight w:val="none"/>
        </w:rPr>
        <w:t>一、定义</w:t>
      </w:r>
      <w:bookmarkEnd w:id="285"/>
    </w:p>
    <w:p w14:paraId="49E26E71">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0" w:name="_Toc1446"/>
      <w:r>
        <w:rPr>
          <w:rFonts w:hint="eastAsia" w:ascii="Times New Roman" w:hAnsi="Times New Roman" w:eastAsia="宋体" w:cs="宋体"/>
          <w:bCs/>
          <w:color w:val="auto"/>
          <w:sz w:val="24"/>
          <w:highlight w:val="none"/>
        </w:rPr>
        <w:t>（一）甲方（需方）即采购人，是指通过网上竞采，接受合同货物和服务的各级国家机关、事业单位和团体组织。</w:t>
      </w:r>
      <w:bookmarkEnd w:id="290"/>
    </w:p>
    <w:p w14:paraId="4C596DD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1" w:name="_Toc16243"/>
      <w:r>
        <w:rPr>
          <w:rFonts w:hint="eastAsia" w:ascii="Times New Roman" w:hAnsi="Times New Roman" w:eastAsia="宋体" w:cs="宋体"/>
          <w:bCs/>
          <w:color w:val="auto"/>
          <w:sz w:val="24"/>
          <w:highlight w:val="none"/>
        </w:rPr>
        <w:t>（二）乙方（供方）即成交供应商，是指成交后提供合同货物和服务的自然人、法人及其他组织。</w:t>
      </w:r>
      <w:bookmarkEnd w:id="291"/>
    </w:p>
    <w:p w14:paraId="6BBC353A">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2" w:name="_Toc21857"/>
      <w:r>
        <w:rPr>
          <w:rFonts w:hint="eastAsia" w:ascii="Times New Roman" w:hAnsi="Times New Roman" w:eastAsia="宋体" w:cs="宋体"/>
          <w:bCs/>
          <w:color w:val="auto"/>
          <w:sz w:val="24"/>
          <w:highlight w:val="none"/>
        </w:rPr>
        <w:t>（三）合同是指由甲乙双方按照</w:t>
      </w:r>
      <w:r>
        <w:rPr>
          <w:rFonts w:hint="eastAsia" w:ascii="Times New Roman" w:hAnsi="Times New Roman" w:eastAsia="宋体" w:cs="宋体"/>
          <w:bCs/>
          <w:color w:val="auto"/>
          <w:sz w:val="24"/>
          <w:highlight w:val="none"/>
          <w:lang w:eastAsia="zh-CN"/>
        </w:rPr>
        <w:t>网上竞采采购文件</w:t>
      </w:r>
      <w:r>
        <w:rPr>
          <w:rFonts w:hint="eastAsia" w:ascii="Times New Roman" w:hAnsi="Times New Roman" w:eastAsia="宋体" w:cs="宋体"/>
          <w:bCs/>
          <w:color w:val="auto"/>
          <w:sz w:val="24"/>
          <w:highlight w:val="none"/>
        </w:rPr>
        <w:t>和响应文件的实质性内容，通过协商一致达成的书面协议。</w:t>
      </w:r>
      <w:bookmarkEnd w:id="292"/>
    </w:p>
    <w:p w14:paraId="290FC194">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3" w:name="_Toc7241"/>
      <w:r>
        <w:rPr>
          <w:rFonts w:hint="eastAsia" w:ascii="Times New Roman" w:hAnsi="Times New Roman" w:eastAsia="宋体" w:cs="宋体"/>
          <w:bCs/>
          <w:color w:val="auto"/>
          <w:sz w:val="24"/>
          <w:highlight w:val="none"/>
        </w:rPr>
        <w:t>（四）合同价格指以成交价格为依据，在供方全面履行合同义务后，需方应支付给供方的金额。</w:t>
      </w:r>
      <w:bookmarkEnd w:id="293"/>
    </w:p>
    <w:p w14:paraId="73322EBF">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4" w:name="_Toc30060"/>
      <w:r>
        <w:rPr>
          <w:rFonts w:hint="eastAsia" w:ascii="Times New Roman" w:hAnsi="Times New Roman" w:eastAsia="宋体" w:cs="宋体"/>
          <w:bCs/>
          <w:color w:val="auto"/>
          <w:sz w:val="24"/>
          <w:highlight w:val="none"/>
        </w:rPr>
        <w:t>二、服务内容</w:t>
      </w:r>
      <w:bookmarkEnd w:id="294"/>
    </w:p>
    <w:p w14:paraId="6581BDD3">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5" w:name="_Toc18589"/>
      <w:r>
        <w:rPr>
          <w:rFonts w:hint="eastAsia" w:ascii="Times New Roman" w:hAnsi="Times New Roman" w:eastAsia="宋体" w:cs="宋体"/>
          <w:bCs/>
          <w:color w:val="auto"/>
          <w:sz w:val="24"/>
          <w:highlight w:val="none"/>
        </w:rPr>
        <w:t>合同包括以下内容</w:t>
      </w:r>
      <w:r>
        <w:rPr>
          <w:rFonts w:hint="eastAsia" w:ascii="Times New Roman" w:hAnsi="Times New Roman" w:eastAsia="宋体" w:cs="宋体"/>
          <w:bCs/>
          <w:color w:val="auto"/>
          <w:sz w:val="24"/>
          <w:szCs w:val="22"/>
          <w:highlight w:val="none"/>
        </w:rPr>
        <w:t>：服务名称、服务时间、服务地点、质量要求、服务要求等内容。</w:t>
      </w:r>
      <w:bookmarkEnd w:id="295"/>
    </w:p>
    <w:p w14:paraId="24A16137">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6" w:name="_Toc15017"/>
      <w:r>
        <w:rPr>
          <w:rFonts w:hint="eastAsia" w:ascii="Times New Roman" w:hAnsi="Times New Roman" w:eastAsia="宋体" w:cs="宋体"/>
          <w:bCs/>
          <w:color w:val="auto"/>
          <w:sz w:val="24"/>
          <w:highlight w:val="none"/>
        </w:rPr>
        <w:t>三、合同价格</w:t>
      </w:r>
      <w:bookmarkEnd w:id="296"/>
    </w:p>
    <w:p w14:paraId="25A7B260">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297" w:name="_Toc19291"/>
      <w:r>
        <w:rPr>
          <w:rFonts w:hint="eastAsia" w:ascii="Times New Roman" w:hAnsi="Times New Roman" w:eastAsia="宋体" w:cs="宋体"/>
          <w:bCs/>
          <w:color w:val="auto"/>
          <w:sz w:val="24"/>
          <w:szCs w:val="22"/>
          <w:highlight w:val="none"/>
        </w:rPr>
        <w:t>（一）合同价格即合同总价。</w:t>
      </w:r>
      <w:bookmarkEnd w:id="297"/>
    </w:p>
    <w:p w14:paraId="3BFEB90A">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8" w:name="_Toc10169"/>
      <w:r>
        <w:rPr>
          <w:rFonts w:hint="eastAsia" w:ascii="Times New Roman" w:hAnsi="Times New Roman" w:eastAsia="宋体" w:cs="宋体"/>
          <w:bCs/>
          <w:color w:val="auto"/>
          <w:sz w:val="24"/>
          <w:szCs w:val="22"/>
          <w:highlight w:val="none"/>
        </w:rPr>
        <w:t>（二）合同价格包括提供服务所需提供的所有人、财、物、税费等一切费用，所有税费由乙方负担。</w:t>
      </w:r>
      <w:bookmarkEnd w:id="298"/>
    </w:p>
    <w:p w14:paraId="182874CE">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299" w:name="_Toc24179"/>
      <w:r>
        <w:rPr>
          <w:rFonts w:hint="eastAsia" w:ascii="Times New Roman" w:hAnsi="Times New Roman" w:eastAsia="宋体" w:cs="宋体"/>
          <w:bCs/>
          <w:color w:val="auto"/>
          <w:sz w:val="24"/>
          <w:highlight w:val="none"/>
        </w:rPr>
        <w:t>（三）合同价格为不变价。</w:t>
      </w:r>
      <w:bookmarkEnd w:id="299"/>
    </w:p>
    <w:p w14:paraId="474E66F6">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0" w:name="_Toc12600"/>
      <w:r>
        <w:rPr>
          <w:rFonts w:hint="eastAsia" w:ascii="Times New Roman" w:hAnsi="Times New Roman" w:eastAsia="宋体" w:cs="宋体"/>
          <w:bCs/>
          <w:color w:val="auto"/>
          <w:sz w:val="24"/>
          <w:highlight w:val="none"/>
        </w:rPr>
        <w:t>四、转包或分包</w:t>
      </w:r>
      <w:bookmarkEnd w:id="300"/>
    </w:p>
    <w:p w14:paraId="62AC9450">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1" w:name="_Toc1212"/>
      <w:r>
        <w:rPr>
          <w:rFonts w:hint="eastAsia" w:ascii="Times New Roman" w:hAnsi="Times New Roman" w:eastAsia="宋体" w:cs="宋体"/>
          <w:bCs/>
          <w:color w:val="auto"/>
          <w:sz w:val="24"/>
          <w:highlight w:val="none"/>
        </w:rPr>
        <w:t>（一）本合同范围的服务，应由乙方直接供应，不得转让他人供应；</w:t>
      </w:r>
      <w:bookmarkEnd w:id="301"/>
    </w:p>
    <w:p w14:paraId="262783C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2" w:name="_Toc21672"/>
      <w:r>
        <w:rPr>
          <w:rFonts w:hint="eastAsia" w:ascii="Times New Roman" w:hAnsi="Times New Roman" w:eastAsia="宋体" w:cs="宋体"/>
          <w:bCs/>
          <w:color w:val="auto"/>
          <w:sz w:val="24"/>
          <w:highlight w:val="none"/>
        </w:rPr>
        <w:t>（二）非经甲方书面同意，乙方不得将本合同范围的服务全部或部分分包给他人供应；</w:t>
      </w:r>
      <w:bookmarkEnd w:id="302"/>
    </w:p>
    <w:p w14:paraId="0A916F5D">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3" w:name="_Toc15275"/>
      <w:r>
        <w:rPr>
          <w:rFonts w:hint="eastAsia" w:ascii="Times New Roman" w:hAnsi="Times New Roman" w:eastAsia="宋体" w:cs="宋体"/>
          <w:bCs/>
          <w:color w:val="auto"/>
          <w:sz w:val="24"/>
          <w:highlight w:val="none"/>
        </w:rPr>
        <w:t>（三）如有转让和未经甲方同意的分包行为，甲方有权解除合同，没收履约保证金并追究乙方的违约责任。</w:t>
      </w:r>
      <w:bookmarkEnd w:id="303"/>
    </w:p>
    <w:p w14:paraId="6E37AC4F">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4" w:name="_Toc8120"/>
      <w:r>
        <w:rPr>
          <w:rFonts w:hint="eastAsia" w:ascii="Times New Roman" w:hAnsi="Times New Roman" w:eastAsia="宋体" w:cs="宋体"/>
          <w:bCs/>
          <w:color w:val="auto"/>
          <w:sz w:val="24"/>
          <w:highlight w:val="none"/>
        </w:rPr>
        <w:t>五、质量保证及售后服务</w:t>
      </w:r>
      <w:bookmarkEnd w:id="304"/>
    </w:p>
    <w:p w14:paraId="35BD4770">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05" w:name="_Toc4095"/>
      <w:r>
        <w:rPr>
          <w:rFonts w:hint="eastAsia" w:ascii="Times New Roman" w:hAnsi="Times New Roman" w:eastAsia="宋体" w:cs="宋体"/>
          <w:bCs/>
          <w:color w:val="auto"/>
          <w:sz w:val="24"/>
          <w:szCs w:val="22"/>
          <w:highlight w:val="none"/>
        </w:rPr>
        <w:t>（一）乙方应按</w:t>
      </w:r>
      <w:r>
        <w:rPr>
          <w:rFonts w:hint="eastAsia" w:ascii="Times New Roman" w:hAnsi="Times New Roman" w:eastAsia="宋体" w:cs="宋体"/>
          <w:bCs/>
          <w:color w:val="auto"/>
          <w:sz w:val="24"/>
          <w:szCs w:val="22"/>
          <w:highlight w:val="none"/>
          <w:lang w:eastAsia="zh-CN"/>
        </w:rPr>
        <w:t>网上竞采采购文件</w:t>
      </w:r>
      <w:r>
        <w:rPr>
          <w:rFonts w:hint="eastAsia" w:ascii="Times New Roman" w:hAnsi="Times New Roman" w:eastAsia="宋体" w:cs="宋体"/>
          <w:bCs/>
          <w:color w:val="auto"/>
          <w:sz w:val="24"/>
          <w:szCs w:val="22"/>
          <w:highlight w:val="none"/>
        </w:rPr>
        <w:t>规定的服务要求、质量标准向甲方保质保量的提供服务。</w:t>
      </w:r>
      <w:bookmarkEnd w:id="305"/>
    </w:p>
    <w:p w14:paraId="49CD6355">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06" w:name="_Toc29394"/>
      <w:r>
        <w:rPr>
          <w:rFonts w:hint="eastAsia" w:ascii="Times New Roman" w:hAnsi="Times New Roman" w:eastAsia="宋体" w:cs="宋体"/>
          <w:bCs/>
          <w:color w:val="auto"/>
          <w:sz w:val="24"/>
          <w:szCs w:val="22"/>
          <w:highlight w:val="none"/>
        </w:rPr>
        <w:t>（二）乙方提供的服务如果存在质量问题，乙方应负责更正。对达不到服务要求者，根据实际情况，经双方协商，可按以下办法处理：</w:t>
      </w:r>
      <w:bookmarkEnd w:id="306"/>
    </w:p>
    <w:p w14:paraId="038D8E46">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07" w:name="_Toc21650"/>
      <w:r>
        <w:rPr>
          <w:rFonts w:hint="eastAsia" w:ascii="Times New Roman" w:hAnsi="Times New Roman" w:eastAsia="宋体" w:cs="宋体"/>
          <w:bCs/>
          <w:color w:val="auto"/>
          <w:sz w:val="24"/>
          <w:szCs w:val="22"/>
          <w:highlight w:val="none"/>
        </w:rPr>
        <w:t>1.重做：由乙方承担所发生的全部费用。</w:t>
      </w:r>
      <w:bookmarkEnd w:id="307"/>
    </w:p>
    <w:p w14:paraId="0B0E8C08">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08" w:name="_Toc24854"/>
      <w:r>
        <w:rPr>
          <w:rFonts w:hint="eastAsia" w:ascii="Times New Roman" w:hAnsi="Times New Roman" w:eastAsia="宋体" w:cs="宋体"/>
          <w:bCs/>
          <w:color w:val="auto"/>
          <w:sz w:val="24"/>
          <w:szCs w:val="22"/>
          <w:highlight w:val="none"/>
        </w:rPr>
        <w:t>2.乙方应对服务过程中出现的安全问题负责处理解决并承担一切费用。</w:t>
      </w:r>
      <w:bookmarkEnd w:id="308"/>
    </w:p>
    <w:p w14:paraId="12E01A1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09" w:name="_Toc29934"/>
      <w:r>
        <w:rPr>
          <w:rFonts w:hint="eastAsia" w:ascii="Times New Roman" w:hAnsi="Times New Roman" w:eastAsia="宋体" w:cs="宋体"/>
          <w:bCs/>
          <w:color w:val="auto"/>
          <w:sz w:val="24"/>
          <w:highlight w:val="none"/>
        </w:rPr>
        <w:t>（三）如在使用过程中发生质量问题，乙方应同本项目“第三篇 采购项目商务需求”对</w:t>
      </w:r>
      <w:r>
        <w:rPr>
          <w:rFonts w:hint="eastAsia" w:ascii="Times New Roman" w:hAnsi="Times New Roman" w:eastAsia="宋体" w:cs="宋体"/>
          <w:color w:val="auto"/>
          <w:sz w:val="24"/>
          <w:szCs w:val="24"/>
          <w:highlight w:val="none"/>
        </w:rPr>
        <w:t>质量保证期及售后服务</w:t>
      </w:r>
      <w:r>
        <w:rPr>
          <w:rFonts w:hint="eastAsia" w:ascii="Times New Roman" w:hAnsi="Times New Roman" w:eastAsia="宋体" w:cs="宋体"/>
          <w:bCs/>
          <w:color w:val="auto"/>
          <w:sz w:val="24"/>
          <w:highlight w:val="none"/>
        </w:rPr>
        <w:t>内容的约定。</w:t>
      </w:r>
      <w:bookmarkEnd w:id="309"/>
    </w:p>
    <w:p w14:paraId="7E627143">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0" w:name="_Toc24874"/>
      <w:r>
        <w:rPr>
          <w:rFonts w:hint="eastAsia" w:ascii="Times New Roman" w:hAnsi="Times New Roman" w:eastAsia="宋体" w:cs="宋体"/>
          <w:bCs/>
          <w:color w:val="auto"/>
          <w:sz w:val="24"/>
          <w:highlight w:val="none"/>
        </w:rPr>
        <w:t>（四）在质保期内，乙方应对货物或服务出现的质量及安全问题负责处理解决并承担一切费用。</w:t>
      </w:r>
      <w:bookmarkEnd w:id="310"/>
    </w:p>
    <w:p w14:paraId="165D9EAE">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1" w:name="_Toc26971"/>
      <w:r>
        <w:rPr>
          <w:rFonts w:hint="eastAsia" w:ascii="Times New Roman" w:hAnsi="Times New Roman" w:eastAsia="宋体" w:cs="宋体"/>
          <w:bCs/>
          <w:color w:val="auto"/>
          <w:sz w:val="24"/>
          <w:highlight w:val="none"/>
        </w:rPr>
        <w:t>六、付款</w:t>
      </w:r>
      <w:bookmarkEnd w:id="311"/>
    </w:p>
    <w:p w14:paraId="3F123264">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2" w:name="_Toc23942"/>
      <w:r>
        <w:rPr>
          <w:rFonts w:hint="eastAsia" w:ascii="Times New Roman" w:hAnsi="Times New Roman" w:eastAsia="宋体" w:cs="宋体"/>
          <w:bCs/>
          <w:color w:val="auto"/>
          <w:sz w:val="24"/>
          <w:highlight w:val="none"/>
        </w:rPr>
        <w:t>（一）本合同使用货币币制如未作特别说明均为人民币。</w:t>
      </w:r>
      <w:bookmarkEnd w:id="312"/>
    </w:p>
    <w:p w14:paraId="0DCF9724">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3" w:name="_Toc16508"/>
      <w:r>
        <w:rPr>
          <w:rFonts w:hint="eastAsia" w:ascii="Times New Roman" w:hAnsi="Times New Roman" w:eastAsia="宋体" w:cs="宋体"/>
          <w:bCs/>
          <w:color w:val="auto"/>
          <w:sz w:val="24"/>
          <w:highlight w:val="none"/>
        </w:rPr>
        <w:t>（二）付款方式：银行转账、现金支票。</w:t>
      </w:r>
      <w:bookmarkEnd w:id="313"/>
    </w:p>
    <w:p w14:paraId="276A7461">
      <w:pPr>
        <w:snapToGrid w:val="0"/>
        <w:spacing w:line="360" w:lineRule="auto"/>
        <w:ind w:firstLine="360" w:firstLineChars="150"/>
        <w:jc w:val="left"/>
        <w:outlineLvl w:val="0"/>
        <w:rPr>
          <w:rFonts w:hint="eastAsia" w:ascii="Times New Roman" w:hAnsi="Times New Roman" w:eastAsia="宋体" w:cs="宋体"/>
          <w:bCs/>
          <w:color w:val="auto"/>
          <w:sz w:val="24"/>
          <w:highlight w:val="none"/>
        </w:rPr>
      </w:pPr>
      <w:bookmarkStart w:id="314" w:name="_Toc26662"/>
      <w:r>
        <w:rPr>
          <w:rFonts w:hint="eastAsia" w:ascii="Times New Roman" w:hAnsi="Times New Roman" w:eastAsia="宋体" w:cs="宋体"/>
          <w:bCs/>
          <w:color w:val="auto"/>
          <w:sz w:val="24"/>
          <w:highlight w:val="none"/>
        </w:rPr>
        <w:t>（三）付款方法：同本项目“第三篇 采购项目商务需求”中关于付款方式的约定。</w:t>
      </w:r>
      <w:bookmarkEnd w:id="314"/>
    </w:p>
    <w:p w14:paraId="0BAC189C">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5" w:name="_Toc4791"/>
      <w:r>
        <w:rPr>
          <w:rFonts w:hint="eastAsia" w:ascii="Times New Roman" w:hAnsi="Times New Roman" w:eastAsia="宋体" w:cs="宋体"/>
          <w:bCs/>
          <w:color w:val="auto"/>
          <w:sz w:val="24"/>
          <w:highlight w:val="none"/>
        </w:rPr>
        <w:t>七、检查验收</w:t>
      </w:r>
      <w:bookmarkEnd w:id="315"/>
    </w:p>
    <w:p w14:paraId="344807E1">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16" w:name="_Toc13512"/>
      <w:r>
        <w:rPr>
          <w:rFonts w:hint="eastAsia" w:ascii="Times New Roman" w:hAnsi="Times New Roman" w:eastAsia="宋体" w:cs="宋体"/>
          <w:bCs/>
          <w:color w:val="auto"/>
          <w:sz w:val="24"/>
          <w:szCs w:val="22"/>
          <w:highlight w:val="none"/>
        </w:rPr>
        <w:t>（一）供方所供服务的各种指标不得低于</w:t>
      </w:r>
      <w:r>
        <w:rPr>
          <w:rFonts w:hint="eastAsia" w:ascii="Times New Roman" w:hAnsi="Times New Roman" w:eastAsia="宋体" w:cs="宋体"/>
          <w:bCs/>
          <w:color w:val="auto"/>
          <w:sz w:val="24"/>
          <w:szCs w:val="22"/>
          <w:highlight w:val="none"/>
          <w:lang w:eastAsia="zh-CN"/>
        </w:rPr>
        <w:t>网上竞采采购文件</w:t>
      </w:r>
      <w:r>
        <w:rPr>
          <w:rFonts w:hint="eastAsia" w:ascii="Times New Roman" w:hAnsi="Times New Roman" w:eastAsia="宋体" w:cs="宋体"/>
          <w:bCs/>
          <w:color w:val="auto"/>
          <w:sz w:val="24"/>
          <w:szCs w:val="22"/>
          <w:highlight w:val="none"/>
        </w:rPr>
        <w:t>和响应文件的约定，服务质量要求按照</w:t>
      </w:r>
      <w:r>
        <w:rPr>
          <w:rFonts w:hint="eastAsia" w:ascii="Times New Roman" w:hAnsi="Times New Roman" w:eastAsia="宋体" w:cs="宋体"/>
          <w:bCs/>
          <w:color w:val="auto"/>
          <w:sz w:val="24"/>
          <w:szCs w:val="22"/>
          <w:highlight w:val="none"/>
          <w:lang w:eastAsia="zh-CN"/>
        </w:rPr>
        <w:t>网上竞采采购文件</w:t>
      </w:r>
      <w:r>
        <w:rPr>
          <w:rFonts w:hint="eastAsia" w:ascii="Times New Roman" w:hAnsi="Times New Roman" w:eastAsia="宋体" w:cs="宋体"/>
          <w:bCs/>
          <w:color w:val="auto"/>
          <w:sz w:val="24"/>
          <w:szCs w:val="22"/>
          <w:highlight w:val="none"/>
        </w:rPr>
        <w:t>和响应文件的内容执行。</w:t>
      </w:r>
      <w:bookmarkEnd w:id="316"/>
    </w:p>
    <w:p w14:paraId="0E2FB1A8">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7" w:name="_Toc5627"/>
      <w:r>
        <w:rPr>
          <w:rFonts w:hint="eastAsia" w:ascii="Times New Roman" w:hAnsi="Times New Roman" w:eastAsia="宋体" w:cs="宋体"/>
          <w:bCs/>
          <w:color w:val="auto"/>
          <w:sz w:val="24"/>
          <w:highlight w:val="none"/>
        </w:rPr>
        <w:t>（二）验收报告应由需方、供方经办人签字，并加盖双方公章，以此作为支付凭据。</w:t>
      </w:r>
      <w:bookmarkEnd w:id="317"/>
    </w:p>
    <w:p w14:paraId="79EFB53D">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18" w:name="_Toc22048"/>
      <w:r>
        <w:rPr>
          <w:rFonts w:hint="eastAsia" w:ascii="Times New Roman" w:hAnsi="Times New Roman" w:eastAsia="宋体" w:cs="宋体"/>
          <w:bCs/>
          <w:color w:val="auto"/>
          <w:sz w:val="24"/>
          <w:highlight w:val="none"/>
        </w:rPr>
        <w:t>八、索赔</w:t>
      </w:r>
      <w:bookmarkEnd w:id="318"/>
    </w:p>
    <w:p w14:paraId="7E48BA82">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19" w:name="_Toc31910"/>
      <w:r>
        <w:rPr>
          <w:rFonts w:hint="eastAsia" w:ascii="Times New Roman" w:hAnsi="Times New Roman" w:eastAsia="宋体" w:cs="宋体"/>
          <w:bCs/>
          <w:color w:val="auto"/>
          <w:sz w:val="24"/>
          <w:szCs w:val="22"/>
          <w:highlight w:val="none"/>
        </w:rPr>
        <w:t>供方对所提供服务与合同要求不符负有责任，并且需方提出索赔，供方应按需方同意的下述一种或多种方法解决索赔事宜。</w:t>
      </w:r>
      <w:bookmarkEnd w:id="319"/>
    </w:p>
    <w:p w14:paraId="36244DED">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20" w:name="_Toc23977"/>
      <w:r>
        <w:rPr>
          <w:rFonts w:hint="eastAsia" w:ascii="Times New Roman" w:hAnsi="Times New Roman" w:eastAsia="宋体" w:cs="宋体"/>
          <w:bCs/>
          <w:color w:val="auto"/>
          <w:sz w:val="24"/>
          <w:szCs w:val="22"/>
          <w:highlight w:val="none"/>
        </w:rPr>
        <w:t>（一）供方同意需方拒绝服务并把拒绝部分的金额以合同规定的同类货币付给需方，供方负担发生的一切损失和费用。</w:t>
      </w:r>
      <w:bookmarkEnd w:id="320"/>
    </w:p>
    <w:p w14:paraId="1756CBDA">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21" w:name="_Toc24719"/>
      <w:r>
        <w:rPr>
          <w:rFonts w:hint="eastAsia" w:ascii="Times New Roman" w:hAnsi="Times New Roman" w:eastAsia="宋体" w:cs="宋体"/>
          <w:bCs/>
          <w:color w:val="auto"/>
          <w:sz w:val="24"/>
          <w:szCs w:val="22"/>
          <w:highlight w:val="none"/>
        </w:rPr>
        <w:t>（二）根据服务的疵劣和受损程度以及需方遭受损失的金额，经双方同意降低服务价格。</w:t>
      </w:r>
      <w:bookmarkEnd w:id="321"/>
    </w:p>
    <w:p w14:paraId="2DDBC425">
      <w:pPr>
        <w:snapToGrid w:val="0"/>
        <w:spacing w:line="360" w:lineRule="auto"/>
        <w:ind w:firstLine="360" w:firstLineChars="150"/>
        <w:outlineLvl w:val="0"/>
        <w:rPr>
          <w:rFonts w:hint="eastAsia" w:ascii="Times New Roman" w:hAnsi="Times New Roman" w:eastAsia="宋体" w:cs="宋体"/>
          <w:bCs/>
          <w:color w:val="auto"/>
          <w:sz w:val="24"/>
          <w:szCs w:val="22"/>
          <w:highlight w:val="none"/>
        </w:rPr>
      </w:pPr>
      <w:bookmarkStart w:id="322" w:name="_Toc15099"/>
      <w:r>
        <w:rPr>
          <w:rFonts w:hint="eastAsia" w:ascii="Times New Roman" w:hAnsi="Times New Roman" w:eastAsia="宋体" w:cs="宋体"/>
          <w:bCs/>
          <w:color w:val="auto"/>
          <w:sz w:val="24"/>
          <w:szCs w:val="22"/>
          <w:highlight w:val="none"/>
        </w:rPr>
        <w:t>九、知识产权</w:t>
      </w:r>
      <w:bookmarkEnd w:id="322"/>
    </w:p>
    <w:p w14:paraId="22C17867">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3" w:name="_Toc17292"/>
      <w:r>
        <w:rPr>
          <w:rFonts w:hint="eastAsia" w:ascii="Times New Roman" w:hAnsi="Times New Roman" w:eastAsia="宋体" w:cs="宋体"/>
          <w:bCs/>
          <w:color w:val="auto"/>
          <w:sz w:val="24"/>
          <w:szCs w:val="22"/>
          <w:highlight w:val="none"/>
        </w:rPr>
        <w:t>（一）甲方在中华人民共和国境内使用</w:t>
      </w:r>
      <w:r>
        <w:rPr>
          <w:rFonts w:hint="eastAsia" w:ascii="Times New Roman" w:hAnsi="Times New Roman" w:eastAsia="宋体" w:cs="宋体"/>
          <w:bCs/>
          <w:color w:val="auto"/>
          <w:sz w:val="24"/>
          <w:highlight w:val="none"/>
        </w:rPr>
        <w:t>乙方提供的货物及服务时免受第三方提出的侵犯其专利权或其它知识产权的起诉。如果第三方提出侵权指控，乙方承担由此而引起的一切法律责任和费用。</w:t>
      </w:r>
      <w:bookmarkEnd w:id="323"/>
    </w:p>
    <w:p w14:paraId="7169419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4" w:name="_Toc24268"/>
      <w:r>
        <w:rPr>
          <w:rFonts w:hint="eastAsia" w:ascii="Times New Roman" w:hAnsi="Times New Roman" w:eastAsia="宋体" w:cs="宋体"/>
          <w:bCs/>
          <w:color w:val="auto"/>
          <w:sz w:val="24"/>
          <w:highlight w:val="none"/>
        </w:rPr>
        <w:t>（二）若涉及软件开发等服务类项目知识产权的，知识产权归采购人所有。</w:t>
      </w:r>
      <w:bookmarkEnd w:id="324"/>
    </w:p>
    <w:p w14:paraId="7B118F41">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5" w:name="_Toc14563"/>
      <w:r>
        <w:rPr>
          <w:rFonts w:hint="eastAsia" w:ascii="Times New Roman" w:hAnsi="Times New Roman" w:eastAsia="宋体" w:cs="宋体"/>
          <w:bCs/>
          <w:color w:val="auto"/>
          <w:sz w:val="24"/>
          <w:highlight w:val="none"/>
        </w:rPr>
        <w:t>十、合同争议的解决</w:t>
      </w:r>
      <w:bookmarkEnd w:id="325"/>
    </w:p>
    <w:p w14:paraId="2EA1FE9D">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6" w:name="_Toc1801"/>
      <w:r>
        <w:rPr>
          <w:rFonts w:hint="eastAsia" w:ascii="Times New Roman" w:hAnsi="Times New Roman" w:eastAsia="宋体" w:cs="宋体"/>
          <w:bCs/>
          <w:color w:val="auto"/>
          <w:sz w:val="24"/>
          <w:highlight w:val="none"/>
        </w:rPr>
        <w:t>（一）当事人友好协商达成一致</w:t>
      </w:r>
      <w:bookmarkEnd w:id="326"/>
    </w:p>
    <w:p w14:paraId="33BD3CF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7" w:name="_Toc10119"/>
      <w:r>
        <w:rPr>
          <w:rFonts w:hint="eastAsia" w:ascii="Times New Roman" w:hAnsi="Times New Roman" w:eastAsia="宋体" w:cs="宋体"/>
          <w:bCs/>
          <w:color w:val="auto"/>
          <w:sz w:val="24"/>
          <w:highlight w:val="none"/>
        </w:rPr>
        <w:t>（二）在60天内当事人协商不能达成协议的，可提请采购人当地仲裁机构仲裁。</w:t>
      </w:r>
      <w:bookmarkEnd w:id="327"/>
    </w:p>
    <w:p w14:paraId="79460DC9">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8" w:name="_Toc1194"/>
      <w:r>
        <w:rPr>
          <w:rFonts w:hint="eastAsia" w:ascii="Times New Roman" w:hAnsi="Times New Roman" w:eastAsia="宋体" w:cs="宋体"/>
          <w:bCs/>
          <w:color w:val="auto"/>
          <w:sz w:val="24"/>
          <w:highlight w:val="none"/>
        </w:rPr>
        <w:t>十一、违约责任</w:t>
      </w:r>
      <w:bookmarkEnd w:id="328"/>
    </w:p>
    <w:p w14:paraId="7B3E6425">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29" w:name="_Toc21274"/>
      <w:r>
        <w:rPr>
          <w:rFonts w:hint="eastAsia" w:ascii="Times New Roman" w:hAnsi="Times New Roman" w:eastAsia="宋体" w:cs="宋体"/>
          <w:bCs/>
          <w:color w:val="auto"/>
          <w:sz w:val="24"/>
          <w:highlight w:val="none"/>
        </w:rPr>
        <w:t>按《中华人民共和国民法典》、《中华人民共和国政府采购法》有关条款，或由供需双方约定。</w:t>
      </w:r>
      <w:bookmarkEnd w:id="329"/>
    </w:p>
    <w:p w14:paraId="0619F732">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30" w:name="_Toc4396"/>
      <w:r>
        <w:rPr>
          <w:rFonts w:hint="eastAsia" w:ascii="Times New Roman" w:hAnsi="Times New Roman" w:eastAsia="宋体" w:cs="宋体"/>
          <w:bCs/>
          <w:color w:val="auto"/>
          <w:sz w:val="24"/>
          <w:highlight w:val="none"/>
        </w:rPr>
        <w:t>十二、合同生效及其它</w:t>
      </w:r>
      <w:bookmarkEnd w:id="330"/>
    </w:p>
    <w:p w14:paraId="00004292">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31" w:name="_Toc2560"/>
      <w:r>
        <w:rPr>
          <w:rFonts w:hint="eastAsia" w:ascii="Times New Roman" w:hAnsi="Times New Roman" w:eastAsia="宋体" w:cs="宋体"/>
          <w:bCs/>
          <w:color w:val="auto"/>
          <w:sz w:val="24"/>
          <w:highlight w:val="none"/>
        </w:rPr>
        <w:t>（一）合同生效及其效力应符合《中华人民共和国民法典》有关规定。</w:t>
      </w:r>
      <w:bookmarkEnd w:id="331"/>
    </w:p>
    <w:p w14:paraId="5BE7467B">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32" w:name="_Toc14552"/>
      <w:r>
        <w:rPr>
          <w:rFonts w:hint="eastAsia" w:ascii="Times New Roman" w:hAnsi="Times New Roman" w:eastAsia="宋体" w:cs="宋体"/>
          <w:bCs/>
          <w:color w:val="auto"/>
          <w:sz w:val="24"/>
          <w:highlight w:val="none"/>
        </w:rPr>
        <w:t>（二）合同应经当事人法定代表人或委托代理人签字，加盖双方合同专用章或公章。</w:t>
      </w:r>
      <w:bookmarkEnd w:id="332"/>
    </w:p>
    <w:p w14:paraId="6DE19E49">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33" w:name="_Toc2313"/>
      <w:r>
        <w:rPr>
          <w:rFonts w:hint="eastAsia" w:ascii="Times New Roman" w:hAnsi="Times New Roman" w:eastAsia="宋体" w:cs="宋体"/>
          <w:bCs/>
          <w:color w:val="auto"/>
          <w:sz w:val="24"/>
          <w:highlight w:val="none"/>
        </w:rPr>
        <w:t>（三）合同所包括附件，是合同不可分割的一部分，具有同等法法律效力。</w:t>
      </w:r>
      <w:bookmarkEnd w:id="333"/>
    </w:p>
    <w:p w14:paraId="5BDE61CF">
      <w:pPr>
        <w:snapToGrid w:val="0"/>
        <w:spacing w:line="360" w:lineRule="auto"/>
        <w:ind w:firstLine="360" w:firstLineChars="150"/>
        <w:outlineLvl w:val="0"/>
        <w:rPr>
          <w:rFonts w:hint="eastAsia" w:ascii="Times New Roman" w:hAnsi="Times New Roman" w:eastAsia="宋体" w:cs="宋体"/>
          <w:bCs/>
          <w:color w:val="auto"/>
          <w:sz w:val="24"/>
          <w:highlight w:val="none"/>
        </w:rPr>
      </w:pPr>
      <w:bookmarkStart w:id="334" w:name="_Toc18492"/>
      <w:r>
        <w:rPr>
          <w:rFonts w:hint="eastAsia" w:ascii="Times New Roman" w:hAnsi="Times New Roman" w:eastAsia="宋体" w:cs="宋体"/>
          <w:bCs/>
          <w:color w:val="auto"/>
          <w:sz w:val="24"/>
          <w:highlight w:val="none"/>
        </w:rPr>
        <w:t>（四）合同需提供担保的，按《中华人民共和国民法典》规定执行。</w:t>
      </w:r>
      <w:bookmarkEnd w:id="334"/>
    </w:p>
    <w:p w14:paraId="44D6C00B">
      <w:pPr>
        <w:spacing w:line="360" w:lineRule="auto"/>
        <w:jc w:val="center"/>
        <w:rPr>
          <w:rFonts w:hint="eastAsia" w:ascii="Times New Roman" w:hAnsi="Times New Roman" w:eastAsia="宋体" w:cs="宋体"/>
          <w:b/>
          <w:color w:val="auto"/>
          <w:sz w:val="32"/>
          <w:szCs w:val="32"/>
          <w:highlight w:val="none"/>
        </w:rPr>
      </w:pPr>
      <w:r>
        <w:rPr>
          <w:rFonts w:hint="eastAsia" w:ascii="Times New Roman" w:hAnsi="Times New Roman" w:eastAsia="宋体" w:cs="宋体"/>
          <w:bCs/>
          <w:color w:val="auto"/>
          <w:sz w:val="24"/>
          <w:highlight w:val="none"/>
        </w:rPr>
        <w:t xml:space="preserve">   （五）本合同条件未尽事宜依照《中华人民共和国民法典》，由供需双方共同协商确定。</w:t>
      </w:r>
    </w:p>
    <w:p w14:paraId="6C7FDA28">
      <w:pPr>
        <w:pStyle w:val="5"/>
        <w:spacing w:before="0" w:after="0" w:line="360" w:lineRule="exact"/>
        <w:rPr>
          <w:rFonts w:hint="eastAsia" w:ascii="宋体" w:hAnsi="宋体" w:cs="宋体"/>
          <w:color w:val="auto"/>
          <w:sz w:val="28"/>
          <w:highlight w:val="none"/>
        </w:rPr>
      </w:pPr>
    </w:p>
    <w:p w14:paraId="218FC5BC">
      <w:pPr>
        <w:rPr>
          <w:rFonts w:hint="eastAsia" w:ascii="宋体" w:hAnsi="宋体" w:cs="宋体"/>
          <w:color w:val="auto"/>
          <w:sz w:val="28"/>
          <w:highlight w:val="none"/>
        </w:rPr>
      </w:pPr>
    </w:p>
    <w:p w14:paraId="36C9E9E8">
      <w:pPr>
        <w:pStyle w:val="21"/>
        <w:rPr>
          <w:rFonts w:hint="eastAsia" w:ascii="宋体" w:hAnsi="宋体" w:cs="宋体"/>
          <w:color w:val="auto"/>
          <w:sz w:val="28"/>
          <w:highlight w:val="none"/>
        </w:rPr>
      </w:pPr>
    </w:p>
    <w:p w14:paraId="5A31D9BE">
      <w:pPr>
        <w:rPr>
          <w:rFonts w:hint="eastAsia" w:ascii="宋体" w:hAnsi="宋体" w:cs="宋体"/>
          <w:color w:val="auto"/>
          <w:sz w:val="28"/>
          <w:highlight w:val="none"/>
        </w:rPr>
      </w:pPr>
    </w:p>
    <w:p w14:paraId="5D3B696F">
      <w:pPr>
        <w:pStyle w:val="21"/>
        <w:rPr>
          <w:rFonts w:hint="eastAsia" w:ascii="宋体" w:hAnsi="宋体" w:cs="宋体"/>
          <w:color w:val="auto"/>
          <w:sz w:val="28"/>
          <w:highlight w:val="none"/>
        </w:rPr>
      </w:pPr>
    </w:p>
    <w:p w14:paraId="33279F7C">
      <w:pPr>
        <w:rPr>
          <w:rFonts w:hint="eastAsia" w:ascii="宋体" w:hAnsi="宋体" w:cs="宋体"/>
          <w:color w:val="auto"/>
          <w:sz w:val="28"/>
          <w:highlight w:val="none"/>
        </w:rPr>
      </w:pPr>
    </w:p>
    <w:p w14:paraId="5A71AEC0">
      <w:pPr>
        <w:pStyle w:val="21"/>
        <w:rPr>
          <w:rFonts w:hint="eastAsia" w:ascii="宋体" w:hAnsi="宋体" w:cs="宋体"/>
          <w:color w:val="auto"/>
          <w:sz w:val="28"/>
          <w:highlight w:val="none"/>
        </w:rPr>
      </w:pPr>
    </w:p>
    <w:p w14:paraId="1DF8DA02">
      <w:pPr>
        <w:rPr>
          <w:rFonts w:hint="eastAsia" w:ascii="宋体" w:hAnsi="宋体" w:cs="宋体"/>
          <w:color w:val="auto"/>
          <w:sz w:val="28"/>
          <w:highlight w:val="none"/>
        </w:rPr>
      </w:pPr>
    </w:p>
    <w:p w14:paraId="30C39653">
      <w:pPr>
        <w:pStyle w:val="21"/>
        <w:rPr>
          <w:rFonts w:hint="eastAsia" w:ascii="宋体" w:hAnsi="宋体" w:cs="宋体"/>
          <w:color w:val="auto"/>
          <w:sz w:val="28"/>
          <w:highlight w:val="none"/>
        </w:rPr>
      </w:pPr>
    </w:p>
    <w:p w14:paraId="1E78A566">
      <w:pPr>
        <w:rPr>
          <w:rFonts w:hint="eastAsia" w:ascii="宋体" w:hAnsi="宋体" w:cs="宋体"/>
          <w:color w:val="auto"/>
          <w:sz w:val="28"/>
          <w:highlight w:val="none"/>
        </w:rPr>
      </w:pPr>
    </w:p>
    <w:p w14:paraId="2D35E918">
      <w:pPr>
        <w:pStyle w:val="21"/>
        <w:rPr>
          <w:rFonts w:hint="eastAsia" w:ascii="宋体" w:hAnsi="宋体" w:cs="宋体"/>
          <w:color w:val="auto"/>
          <w:sz w:val="28"/>
          <w:highlight w:val="none"/>
        </w:rPr>
      </w:pPr>
    </w:p>
    <w:p w14:paraId="690DA8F9">
      <w:pPr>
        <w:rPr>
          <w:rFonts w:hint="eastAsia" w:ascii="宋体" w:hAnsi="宋体" w:cs="宋体"/>
          <w:color w:val="auto"/>
          <w:sz w:val="28"/>
          <w:highlight w:val="none"/>
        </w:rPr>
      </w:pPr>
    </w:p>
    <w:p w14:paraId="3A2382D7">
      <w:pPr>
        <w:pStyle w:val="21"/>
        <w:rPr>
          <w:rFonts w:hint="eastAsia" w:ascii="宋体" w:hAnsi="宋体" w:cs="宋体"/>
          <w:color w:val="auto"/>
          <w:sz w:val="28"/>
          <w:highlight w:val="none"/>
        </w:rPr>
      </w:pPr>
    </w:p>
    <w:p w14:paraId="5CDF7936">
      <w:pPr>
        <w:rPr>
          <w:rFonts w:hint="eastAsia" w:ascii="宋体" w:hAnsi="宋体" w:cs="宋体"/>
          <w:color w:val="auto"/>
          <w:sz w:val="28"/>
          <w:highlight w:val="none"/>
        </w:rPr>
      </w:pPr>
    </w:p>
    <w:p w14:paraId="670E0A46">
      <w:pPr>
        <w:pStyle w:val="21"/>
        <w:rPr>
          <w:rFonts w:hint="eastAsia" w:ascii="宋体" w:hAnsi="宋体" w:cs="宋体"/>
          <w:color w:val="auto"/>
          <w:sz w:val="28"/>
          <w:highlight w:val="none"/>
        </w:rPr>
      </w:pPr>
    </w:p>
    <w:p w14:paraId="5AAD87B5">
      <w:pPr>
        <w:rPr>
          <w:rFonts w:hint="eastAsia" w:ascii="宋体" w:hAnsi="宋体" w:cs="宋体"/>
          <w:color w:val="auto"/>
          <w:sz w:val="28"/>
          <w:highlight w:val="none"/>
        </w:rPr>
      </w:pPr>
    </w:p>
    <w:p w14:paraId="62E64353">
      <w:pPr>
        <w:pStyle w:val="21"/>
        <w:rPr>
          <w:rFonts w:hint="eastAsia" w:ascii="宋体" w:hAnsi="宋体" w:cs="宋体"/>
          <w:color w:val="auto"/>
          <w:sz w:val="28"/>
          <w:highlight w:val="none"/>
        </w:rPr>
      </w:pPr>
    </w:p>
    <w:p w14:paraId="04C076E8">
      <w:pPr>
        <w:rPr>
          <w:rFonts w:hint="eastAsia" w:ascii="宋体" w:hAnsi="宋体" w:cs="宋体"/>
          <w:color w:val="auto"/>
          <w:sz w:val="28"/>
          <w:highlight w:val="none"/>
        </w:rPr>
      </w:pPr>
    </w:p>
    <w:p w14:paraId="2CAADCEF">
      <w:pPr>
        <w:pStyle w:val="21"/>
        <w:rPr>
          <w:rFonts w:hint="eastAsia" w:ascii="宋体" w:hAnsi="宋体" w:cs="宋体"/>
          <w:color w:val="auto"/>
          <w:sz w:val="28"/>
          <w:highlight w:val="none"/>
        </w:rPr>
      </w:pPr>
    </w:p>
    <w:p w14:paraId="5EFA0F18">
      <w:pPr>
        <w:rPr>
          <w:rFonts w:hint="eastAsia" w:ascii="宋体" w:hAnsi="宋体" w:cs="宋体"/>
          <w:color w:val="auto"/>
          <w:sz w:val="28"/>
          <w:highlight w:val="none"/>
        </w:rPr>
      </w:pPr>
    </w:p>
    <w:p w14:paraId="3719688F">
      <w:pPr>
        <w:pStyle w:val="21"/>
        <w:rPr>
          <w:rFonts w:hint="eastAsia" w:ascii="宋体" w:hAnsi="宋体" w:cs="宋体"/>
          <w:color w:val="auto"/>
          <w:sz w:val="28"/>
          <w:highlight w:val="none"/>
        </w:rPr>
      </w:pPr>
    </w:p>
    <w:p w14:paraId="612D32AE">
      <w:pPr>
        <w:rPr>
          <w:rFonts w:hint="eastAsia"/>
          <w:color w:val="auto"/>
          <w:highlight w:val="none"/>
        </w:rPr>
      </w:pPr>
    </w:p>
    <w:p w14:paraId="35DDDB0A">
      <w:pPr>
        <w:rPr>
          <w:rFonts w:hint="eastAsia"/>
          <w:color w:val="auto"/>
          <w:highlight w:val="none"/>
        </w:rPr>
      </w:pPr>
    </w:p>
    <w:p w14:paraId="27173F3F">
      <w:pPr>
        <w:pStyle w:val="2"/>
        <w:rPr>
          <w:rFonts w:hint="eastAsia"/>
          <w:color w:val="auto"/>
          <w:highlight w:val="none"/>
        </w:rPr>
      </w:pPr>
    </w:p>
    <w:p w14:paraId="03D3AF48">
      <w:pPr>
        <w:pStyle w:val="2"/>
        <w:rPr>
          <w:rFonts w:hint="eastAsia"/>
          <w:color w:val="auto"/>
          <w:highlight w:val="none"/>
        </w:rPr>
      </w:pPr>
    </w:p>
    <w:p w14:paraId="574C146F">
      <w:pPr>
        <w:pStyle w:val="2"/>
        <w:rPr>
          <w:rFonts w:hint="eastAsia"/>
          <w:color w:val="auto"/>
          <w:highlight w:val="none"/>
        </w:rPr>
      </w:pPr>
    </w:p>
    <w:p w14:paraId="66568564">
      <w:pPr>
        <w:pStyle w:val="9"/>
        <w:rPr>
          <w:rFonts w:hint="eastAsia"/>
          <w:color w:val="auto"/>
          <w:highlight w:val="none"/>
        </w:rPr>
      </w:pPr>
    </w:p>
    <w:bookmarkEnd w:id="286"/>
    <w:bookmarkEnd w:id="287"/>
    <w:bookmarkEnd w:id="288"/>
    <w:bookmarkEnd w:id="289"/>
    <w:p w14:paraId="6F27680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附件1：重庆市政府采购合同（注：可根据项目具体情况调整和修改，也可附详细的补充合同）</w:t>
      </w:r>
    </w:p>
    <w:p w14:paraId="32B35279">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重庆市政府采购合同</w:t>
      </w:r>
    </w:p>
    <w:p w14:paraId="11204BA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（项目号：     ）</w:t>
      </w:r>
    </w:p>
    <w:p w14:paraId="04FEE67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甲方（采购人）：_________________________      计价单位：____________</w:t>
      </w:r>
    </w:p>
    <w:p w14:paraId="0D6DCCD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乙方（供应商）：_________________________      计量单位：_____________</w:t>
      </w:r>
    </w:p>
    <w:p w14:paraId="049E9E8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82"/>
      </w:tblGrid>
      <w:tr w14:paraId="52A4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7F3D06F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984" w:type="dxa"/>
            <w:noWrap w:val="0"/>
            <w:vAlign w:val="center"/>
          </w:tcPr>
          <w:p w14:paraId="4C56187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8" w:type="dxa"/>
            <w:gridSpan w:val="2"/>
            <w:noWrap w:val="0"/>
            <w:vAlign w:val="center"/>
          </w:tcPr>
          <w:p w14:paraId="74A658D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1134" w:type="dxa"/>
            <w:noWrap w:val="0"/>
            <w:vAlign w:val="center"/>
          </w:tcPr>
          <w:p w14:paraId="5D3A954A">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59" w:type="dxa"/>
            <w:noWrap w:val="0"/>
            <w:vAlign w:val="center"/>
          </w:tcPr>
          <w:p w14:paraId="41DEAE0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7" w:type="dxa"/>
            <w:noWrap w:val="0"/>
            <w:vAlign w:val="center"/>
          </w:tcPr>
          <w:p w14:paraId="16B3101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104F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4FB86052">
            <w:pPr>
              <w:spacing w:line="240" w:lineRule="auto"/>
              <w:jc w:val="center"/>
              <w:rPr>
                <w:rFonts w:hint="eastAsia" w:ascii="宋体" w:hAnsi="宋体" w:eastAsia="宋体" w:cs="宋体"/>
                <w:color w:val="auto"/>
                <w:sz w:val="24"/>
                <w:szCs w:val="24"/>
                <w:highlight w:val="none"/>
              </w:rPr>
            </w:pPr>
          </w:p>
        </w:tc>
        <w:tc>
          <w:tcPr>
            <w:tcW w:w="984" w:type="dxa"/>
            <w:noWrap w:val="0"/>
            <w:vAlign w:val="center"/>
          </w:tcPr>
          <w:p w14:paraId="08738830">
            <w:pPr>
              <w:spacing w:line="240" w:lineRule="auto"/>
              <w:jc w:val="center"/>
              <w:rPr>
                <w:rFonts w:hint="eastAsia" w:ascii="宋体" w:hAnsi="宋体" w:eastAsia="宋体" w:cs="宋体"/>
                <w:color w:val="auto"/>
                <w:sz w:val="24"/>
                <w:szCs w:val="24"/>
                <w:highlight w:val="none"/>
              </w:rPr>
            </w:pPr>
          </w:p>
        </w:tc>
        <w:tc>
          <w:tcPr>
            <w:tcW w:w="1298" w:type="dxa"/>
            <w:gridSpan w:val="2"/>
            <w:noWrap w:val="0"/>
            <w:vAlign w:val="center"/>
          </w:tcPr>
          <w:p w14:paraId="486234EF">
            <w:pPr>
              <w:spacing w:line="240" w:lineRule="auto"/>
              <w:jc w:val="center"/>
              <w:rPr>
                <w:rFonts w:hint="eastAsia" w:ascii="宋体" w:hAnsi="宋体" w:eastAsia="宋体" w:cs="宋体"/>
                <w:color w:val="auto"/>
                <w:sz w:val="24"/>
                <w:szCs w:val="24"/>
                <w:highlight w:val="none"/>
              </w:rPr>
            </w:pPr>
          </w:p>
        </w:tc>
        <w:tc>
          <w:tcPr>
            <w:tcW w:w="1134" w:type="dxa"/>
            <w:noWrap w:val="0"/>
            <w:vAlign w:val="center"/>
          </w:tcPr>
          <w:p w14:paraId="174FA43D">
            <w:pPr>
              <w:spacing w:line="240" w:lineRule="auto"/>
              <w:jc w:val="center"/>
              <w:rPr>
                <w:rFonts w:hint="eastAsia" w:ascii="宋体" w:hAnsi="宋体" w:eastAsia="宋体" w:cs="宋体"/>
                <w:color w:val="auto"/>
                <w:sz w:val="24"/>
                <w:szCs w:val="24"/>
                <w:highlight w:val="none"/>
              </w:rPr>
            </w:pPr>
          </w:p>
        </w:tc>
        <w:tc>
          <w:tcPr>
            <w:tcW w:w="1559" w:type="dxa"/>
            <w:noWrap w:val="0"/>
            <w:vAlign w:val="center"/>
          </w:tcPr>
          <w:p w14:paraId="496A9A3F">
            <w:pPr>
              <w:spacing w:line="240" w:lineRule="auto"/>
              <w:jc w:val="center"/>
              <w:rPr>
                <w:rFonts w:hint="eastAsia" w:ascii="宋体" w:hAnsi="宋体" w:eastAsia="宋体" w:cs="宋体"/>
                <w:color w:val="auto"/>
                <w:sz w:val="24"/>
                <w:szCs w:val="24"/>
                <w:highlight w:val="none"/>
              </w:rPr>
            </w:pPr>
          </w:p>
        </w:tc>
        <w:tc>
          <w:tcPr>
            <w:tcW w:w="1567" w:type="dxa"/>
            <w:noWrap w:val="0"/>
            <w:vAlign w:val="center"/>
          </w:tcPr>
          <w:p w14:paraId="4AC73034">
            <w:pPr>
              <w:spacing w:line="240" w:lineRule="auto"/>
              <w:jc w:val="center"/>
              <w:rPr>
                <w:rFonts w:hint="eastAsia" w:ascii="宋体" w:hAnsi="宋体" w:eastAsia="宋体" w:cs="宋体"/>
                <w:color w:val="auto"/>
                <w:sz w:val="24"/>
                <w:szCs w:val="24"/>
                <w:highlight w:val="none"/>
              </w:rPr>
            </w:pPr>
          </w:p>
        </w:tc>
      </w:tr>
      <w:tr w14:paraId="5E1B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72434044">
            <w:pPr>
              <w:spacing w:line="240" w:lineRule="auto"/>
              <w:jc w:val="center"/>
              <w:rPr>
                <w:rFonts w:hint="eastAsia" w:ascii="宋体" w:hAnsi="宋体" w:eastAsia="宋体" w:cs="宋体"/>
                <w:color w:val="auto"/>
                <w:sz w:val="24"/>
                <w:szCs w:val="24"/>
                <w:highlight w:val="none"/>
              </w:rPr>
            </w:pPr>
          </w:p>
        </w:tc>
        <w:tc>
          <w:tcPr>
            <w:tcW w:w="984" w:type="dxa"/>
            <w:noWrap w:val="0"/>
            <w:vAlign w:val="center"/>
          </w:tcPr>
          <w:p w14:paraId="6EB46D66">
            <w:pPr>
              <w:spacing w:line="240" w:lineRule="auto"/>
              <w:jc w:val="center"/>
              <w:rPr>
                <w:rFonts w:hint="eastAsia" w:ascii="宋体" w:hAnsi="宋体" w:eastAsia="宋体" w:cs="宋体"/>
                <w:color w:val="auto"/>
                <w:sz w:val="24"/>
                <w:szCs w:val="24"/>
                <w:highlight w:val="none"/>
              </w:rPr>
            </w:pPr>
          </w:p>
        </w:tc>
        <w:tc>
          <w:tcPr>
            <w:tcW w:w="1298" w:type="dxa"/>
            <w:gridSpan w:val="2"/>
            <w:noWrap w:val="0"/>
            <w:vAlign w:val="center"/>
          </w:tcPr>
          <w:p w14:paraId="74FADB97">
            <w:pPr>
              <w:spacing w:line="240" w:lineRule="auto"/>
              <w:jc w:val="center"/>
              <w:rPr>
                <w:rFonts w:hint="eastAsia" w:ascii="宋体" w:hAnsi="宋体" w:eastAsia="宋体" w:cs="宋体"/>
                <w:color w:val="auto"/>
                <w:sz w:val="24"/>
                <w:szCs w:val="24"/>
                <w:highlight w:val="none"/>
              </w:rPr>
            </w:pPr>
          </w:p>
        </w:tc>
        <w:tc>
          <w:tcPr>
            <w:tcW w:w="1134" w:type="dxa"/>
            <w:noWrap w:val="0"/>
            <w:vAlign w:val="center"/>
          </w:tcPr>
          <w:p w14:paraId="325F18BA">
            <w:pPr>
              <w:spacing w:line="240" w:lineRule="auto"/>
              <w:jc w:val="center"/>
              <w:rPr>
                <w:rFonts w:hint="eastAsia" w:ascii="宋体" w:hAnsi="宋体" w:eastAsia="宋体" w:cs="宋体"/>
                <w:color w:val="auto"/>
                <w:sz w:val="24"/>
                <w:szCs w:val="24"/>
                <w:highlight w:val="none"/>
              </w:rPr>
            </w:pPr>
          </w:p>
        </w:tc>
        <w:tc>
          <w:tcPr>
            <w:tcW w:w="1559" w:type="dxa"/>
            <w:noWrap w:val="0"/>
            <w:vAlign w:val="center"/>
          </w:tcPr>
          <w:p w14:paraId="13064379">
            <w:pPr>
              <w:spacing w:line="240" w:lineRule="auto"/>
              <w:jc w:val="center"/>
              <w:rPr>
                <w:rFonts w:hint="eastAsia" w:ascii="宋体" w:hAnsi="宋体" w:eastAsia="宋体" w:cs="宋体"/>
                <w:color w:val="auto"/>
                <w:sz w:val="24"/>
                <w:szCs w:val="24"/>
                <w:highlight w:val="none"/>
              </w:rPr>
            </w:pPr>
          </w:p>
        </w:tc>
        <w:tc>
          <w:tcPr>
            <w:tcW w:w="1567" w:type="dxa"/>
            <w:noWrap w:val="0"/>
            <w:vAlign w:val="center"/>
          </w:tcPr>
          <w:p w14:paraId="4F03F703">
            <w:pPr>
              <w:spacing w:line="240" w:lineRule="auto"/>
              <w:jc w:val="center"/>
              <w:rPr>
                <w:rFonts w:hint="eastAsia" w:ascii="宋体" w:hAnsi="宋体" w:eastAsia="宋体" w:cs="宋体"/>
                <w:color w:val="auto"/>
                <w:sz w:val="24"/>
                <w:szCs w:val="24"/>
                <w:highlight w:val="none"/>
              </w:rPr>
            </w:pPr>
          </w:p>
        </w:tc>
      </w:tr>
      <w:tr w14:paraId="1B6D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687AFB3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1561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62A10BB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3801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613" w:type="dxa"/>
            <w:gridSpan w:val="7"/>
            <w:noWrap w:val="0"/>
            <w:vAlign w:val="top"/>
          </w:tcPr>
          <w:p w14:paraId="731CAEA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w:t>
            </w:r>
          </w:p>
        </w:tc>
      </w:tr>
      <w:tr w14:paraId="66BE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28" w:type="dxa"/>
            <w:gridSpan w:val="7"/>
            <w:noWrap w:val="0"/>
            <w:vAlign w:val="top"/>
          </w:tcPr>
          <w:p w14:paraId="3C2B2B6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二、考核方式</w:t>
            </w:r>
          </w:p>
        </w:tc>
      </w:tr>
      <w:tr w14:paraId="4876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8" w:type="dxa"/>
            <w:gridSpan w:val="7"/>
            <w:noWrap w:val="0"/>
            <w:vAlign w:val="top"/>
          </w:tcPr>
          <w:p w14:paraId="187D2F7E">
            <w:pPr>
              <w:spacing w:line="24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三、验收要求</w:t>
            </w:r>
          </w:p>
        </w:tc>
      </w:tr>
      <w:tr w14:paraId="7CED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28" w:type="dxa"/>
            <w:gridSpan w:val="7"/>
            <w:noWrap w:val="0"/>
            <w:vAlign w:val="top"/>
          </w:tcPr>
          <w:p w14:paraId="397838C8">
            <w:pPr>
              <w:spacing w:line="240" w:lineRule="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四、询价与结算</w:t>
            </w:r>
          </w:p>
        </w:tc>
      </w:tr>
      <w:tr w14:paraId="2AAD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8" w:type="dxa"/>
            <w:gridSpan w:val="7"/>
            <w:noWrap w:val="0"/>
            <w:vAlign w:val="top"/>
          </w:tcPr>
          <w:p w14:paraId="655DDCCC">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p>
        </w:tc>
      </w:tr>
      <w:tr w14:paraId="75FA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7"/>
            <w:noWrap w:val="0"/>
            <w:vAlign w:val="top"/>
          </w:tcPr>
          <w:p w14:paraId="49C762B9">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、履约保证金：</w:t>
            </w:r>
          </w:p>
        </w:tc>
      </w:tr>
      <w:tr w14:paraId="7843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14:paraId="4EEF11AB">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、违约责任：按《中华人民共和国民法典》、《中华人民共和国政府采购法》执行，或按双方约定。</w:t>
            </w:r>
          </w:p>
        </w:tc>
      </w:tr>
      <w:tr w14:paraId="67E4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14:paraId="26724628">
            <w:pPr>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、其他约定事项：</w:t>
            </w:r>
          </w:p>
          <w:p w14:paraId="64E6BA0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1.采购文件及其澄清文件、响应文件和承诺是本合同不可分割的部分。</w:t>
            </w:r>
          </w:p>
          <w:p w14:paraId="729AFA0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4CC31CC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需方__份，供方__份，具同等法律效力。</w:t>
            </w:r>
          </w:p>
          <w:p w14:paraId="5C9CCEE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4DF6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2ED26ED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7471631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0A672E21">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B025D1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984" w:type="dxa"/>
            <w:gridSpan w:val="4"/>
            <w:noWrap w:val="0"/>
            <w:vAlign w:val="top"/>
          </w:tcPr>
          <w:p w14:paraId="3F50E52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46FFAC4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473CB4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58D4F04B">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14:paraId="0C6376D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60D9F2D">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45BC49D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2430EDFD">
            <w:pPr>
              <w:widowControl/>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603A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noWrap w:val="0"/>
            <w:vAlign w:val="top"/>
          </w:tcPr>
          <w:p w14:paraId="35E898DA">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030986A6">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甲方（盖公章）：                        乙方（盖公章）：</w:t>
      </w:r>
    </w:p>
    <w:p w14:paraId="4FE6404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甲方负责人（签字或盖章）：            甲方负责人（签字或盖章）：</w:t>
      </w:r>
    </w:p>
    <w:p w14:paraId="5CF6A014">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甲方经办人（签字或盖章）：            乙方经办人（签字或盖章）：</w:t>
      </w:r>
    </w:p>
    <w:p w14:paraId="5729B01E">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14:paraId="6CE8BE0F">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                             通讯地址：</w:t>
      </w:r>
    </w:p>
    <w:p w14:paraId="640AEAD4">
      <w:pPr>
        <w:spacing w:line="240" w:lineRule="auto"/>
        <w:rPr>
          <w:rFonts w:hint="eastAsia" w:ascii="宋体" w:hAnsi="宋体" w:eastAsia="宋体" w:cs="宋体"/>
          <w:color w:val="auto"/>
          <w:sz w:val="24"/>
          <w:szCs w:val="24"/>
          <w:highlight w:val="none"/>
        </w:rPr>
        <w:sectPr>
          <w:footerReference r:id="rId8" w:type="default"/>
          <w:footerReference r:id="rId9" w:type="even"/>
          <w:pgSz w:w="11907" w:h="16840"/>
          <w:pgMar w:top="1134" w:right="1191" w:bottom="1134" w:left="1304" w:header="964" w:footer="992" w:gutter="0"/>
          <w:cols w:space="720" w:num="1"/>
          <w:docGrid w:linePitch="312" w:charSpace="0"/>
        </w:sectPr>
      </w:pPr>
      <w:r>
        <w:rPr>
          <w:rFonts w:hint="eastAsia" w:ascii="宋体" w:hAnsi="宋体" w:eastAsia="宋体" w:cs="宋体"/>
          <w:color w:val="auto"/>
          <w:sz w:val="24"/>
          <w:szCs w:val="24"/>
          <w:highlight w:val="none"/>
        </w:rPr>
        <w:t>签约时间：    年   月   日            签约地点：</w:t>
      </w:r>
    </w:p>
    <w:p w14:paraId="0A38E7D0">
      <w:pPr>
        <w:pStyle w:val="4"/>
        <w:numPr>
          <w:ilvl w:val="0"/>
          <w:numId w:val="4"/>
        </w:numPr>
        <w:jc w:val="center"/>
        <w:rPr>
          <w:rStyle w:val="32"/>
          <w:rFonts w:hint="eastAsia" w:ascii="宋体" w:hAnsi="宋体" w:eastAsia="宋体" w:cs="宋体"/>
          <w:b/>
          <w:bCs/>
          <w:color w:val="auto"/>
          <w:sz w:val="28"/>
          <w:szCs w:val="28"/>
          <w:highlight w:val="none"/>
        </w:rPr>
      </w:pPr>
      <w:r>
        <w:rPr>
          <w:rStyle w:val="32"/>
          <w:rFonts w:hint="eastAsia" w:ascii="宋体" w:hAnsi="宋体" w:eastAsia="宋体" w:cs="宋体"/>
          <w:b/>
          <w:bCs/>
          <w:color w:val="auto"/>
          <w:sz w:val="28"/>
          <w:szCs w:val="28"/>
          <w:highlight w:val="none"/>
        </w:rPr>
        <w:t xml:space="preserve"> </w:t>
      </w:r>
      <w:bookmarkStart w:id="335" w:name="_Toc27008"/>
      <w:r>
        <w:rPr>
          <w:rStyle w:val="32"/>
          <w:rFonts w:hint="eastAsia" w:ascii="宋体" w:hAnsi="宋体" w:eastAsia="宋体" w:cs="宋体"/>
          <w:b/>
          <w:bCs/>
          <w:color w:val="auto"/>
          <w:sz w:val="28"/>
          <w:szCs w:val="28"/>
          <w:highlight w:val="none"/>
        </w:rPr>
        <w:t>响应文件格式要求</w:t>
      </w:r>
      <w:bookmarkEnd w:id="335"/>
    </w:p>
    <w:p w14:paraId="1718C742">
      <w:pPr>
        <w:rPr>
          <w:rFonts w:hint="eastAsia"/>
          <w:color w:val="auto"/>
          <w:highlight w:val="none"/>
        </w:rPr>
      </w:pPr>
      <w:r>
        <w:rPr>
          <w:rFonts w:hint="eastAsia"/>
          <w:color w:val="auto"/>
          <w:highlight w:val="none"/>
        </w:rPr>
        <w:t>封面：</w:t>
      </w:r>
    </w:p>
    <w:p w14:paraId="3F2CB171">
      <w:pPr>
        <w:autoSpaceDE w:val="0"/>
        <w:autoSpaceDN w:val="0"/>
        <w:snapToGrid w:val="0"/>
        <w:spacing w:line="360" w:lineRule="auto"/>
        <w:jc w:val="left"/>
        <w:rPr>
          <w:rFonts w:ascii="宋体" w:hAnsi="宋体"/>
          <w:b/>
          <w:color w:val="auto"/>
          <w:szCs w:val="28"/>
          <w:highlight w:val="none"/>
          <w:u w:val="single"/>
        </w:rPr>
      </w:pPr>
    </w:p>
    <w:p w14:paraId="0B4DFDC6">
      <w:pPr>
        <w:autoSpaceDE w:val="0"/>
        <w:autoSpaceDN w:val="0"/>
        <w:snapToGrid w:val="0"/>
        <w:spacing w:line="360" w:lineRule="auto"/>
        <w:ind w:firstLine="2530" w:firstLineChars="900"/>
        <w:jc w:val="left"/>
        <w:rPr>
          <w:rFonts w:hint="eastAsia" w:ascii="宋体" w:hAnsi="宋体"/>
          <w:b/>
          <w:color w:val="auto"/>
          <w:szCs w:val="28"/>
          <w:highlight w:val="none"/>
        </w:rPr>
      </w:pPr>
      <w:r>
        <w:rPr>
          <w:rFonts w:hint="eastAsia" w:ascii="宋体" w:hAnsi="宋体"/>
          <w:b/>
          <w:color w:val="auto"/>
          <w:szCs w:val="28"/>
          <w:highlight w:val="none"/>
          <w:u w:val="single"/>
        </w:rPr>
        <w:tab/>
      </w:r>
      <w:r>
        <w:rPr>
          <w:rFonts w:hint="eastAsia" w:ascii="宋体" w:hAnsi="宋体"/>
          <w:b/>
          <w:color w:val="auto"/>
          <w:szCs w:val="28"/>
          <w:highlight w:val="none"/>
          <w:u w:val="single"/>
        </w:rPr>
        <w:t xml:space="preserve">       （项目名称</w:t>
      </w:r>
      <w:r>
        <w:rPr>
          <w:rFonts w:hint="eastAsia" w:ascii="宋体" w:hAnsi="宋体"/>
          <w:b/>
          <w:color w:val="auto"/>
          <w:spacing w:val="1"/>
          <w:szCs w:val="28"/>
          <w:highlight w:val="none"/>
          <w:u w:val="single"/>
        </w:rPr>
        <w:t>）</w:t>
      </w:r>
      <w:r>
        <w:rPr>
          <w:rFonts w:hint="eastAsia" w:ascii="宋体" w:hAnsi="宋体"/>
          <w:b/>
          <w:color w:val="auto"/>
          <w:szCs w:val="28"/>
          <w:highlight w:val="none"/>
          <w:u w:val="single"/>
        </w:rPr>
        <w:t xml:space="preserve">        </w:t>
      </w:r>
    </w:p>
    <w:p w14:paraId="73C32CD5">
      <w:pPr>
        <w:autoSpaceDE w:val="0"/>
        <w:autoSpaceDN w:val="0"/>
        <w:snapToGrid w:val="0"/>
        <w:spacing w:line="360" w:lineRule="auto"/>
        <w:jc w:val="left"/>
        <w:rPr>
          <w:rFonts w:hint="eastAsia" w:ascii="宋体" w:hAnsi="宋体"/>
          <w:color w:val="auto"/>
          <w:sz w:val="44"/>
          <w:szCs w:val="44"/>
          <w:highlight w:val="none"/>
        </w:rPr>
      </w:pPr>
      <w:r>
        <w:rPr>
          <w:rFonts w:hint="eastAsia" w:ascii="宋体" w:hAnsi="宋体"/>
          <w:color w:val="auto"/>
          <w:sz w:val="44"/>
          <w:szCs w:val="44"/>
          <w:highlight w:val="none"/>
        </w:rPr>
        <w:t xml:space="preserve">      </w:t>
      </w:r>
    </w:p>
    <w:p w14:paraId="77A6D994">
      <w:pPr>
        <w:autoSpaceDE w:val="0"/>
        <w:autoSpaceDN w:val="0"/>
        <w:snapToGrid w:val="0"/>
        <w:spacing w:line="360" w:lineRule="auto"/>
        <w:jc w:val="left"/>
        <w:rPr>
          <w:rFonts w:hint="eastAsia" w:ascii="宋体" w:hAnsi="宋体"/>
          <w:color w:val="auto"/>
          <w:sz w:val="44"/>
          <w:szCs w:val="44"/>
          <w:highlight w:val="none"/>
        </w:rPr>
      </w:pPr>
      <w:r>
        <w:rPr>
          <w:rFonts w:hint="eastAsia" w:ascii="宋体" w:hAnsi="宋体"/>
          <w:color w:val="auto"/>
          <w:sz w:val="44"/>
          <w:szCs w:val="44"/>
          <w:highlight w:val="none"/>
        </w:rPr>
        <w:t xml:space="preserve">  </w:t>
      </w:r>
    </w:p>
    <w:p w14:paraId="65E66E07">
      <w:pPr>
        <w:autoSpaceDE w:val="0"/>
        <w:autoSpaceDN w:val="0"/>
        <w:snapToGrid w:val="0"/>
        <w:spacing w:line="360" w:lineRule="auto"/>
        <w:jc w:val="left"/>
        <w:rPr>
          <w:rFonts w:hint="eastAsia" w:ascii="宋体" w:hAnsi="宋体"/>
          <w:color w:val="auto"/>
          <w:sz w:val="44"/>
          <w:szCs w:val="44"/>
          <w:highlight w:val="none"/>
        </w:rPr>
      </w:pPr>
      <w:r>
        <w:rPr>
          <w:rFonts w:hint="eastAsia" w:ascii="宋体" w:hAnsi="宋体"/>
          <w:color w:val="auto"/>
          <w:sz w:val="44"/>
          <w:szCs w:val="44"/>
          <w:highlight w:val="none"/>
        </w:rPr>
        <w:t xml:space="preserve">    </w:t>
      </w:r>
    </w:p>
    <w:p w14:paraId="190DA18B">
      <w:pPr>
        <w:autoSpaceDE w:val="0"/>
        <w:autoSpaceDN w:val="0"/>
        <w:snapToGrid w:val="0"/>
        <w:spacing w:line="36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3B93E15">
      <w:pPr>
        <w:autoSpaceDE w:val="0"/>
        <w:autoSpaceDN w:val="0"/>
        <w:snapToGrid w:val="0"/>
        <w:spacing w:line="360" w:lineRule="auto"/>
        <w:jc w:val="left"/>
        <w:rPr>
          <w:rFonts w:hint="eastAsia" w:ascii="宋体" w:hAnsi="宋体"/>
          <w:color w:val="auto"/>
          <w:sz w:val="16"/>
          <w:szCs w:val="16"/>
          <w:highlight w:val="none"/>
        </w:rPr>
      </w:pPr>
      <w:r>
        <w:rPr>
          <w:rFonts w:hint="eastAsia" w:ascii="宋体" w:hAnsi="宋体"/>
          <w:color w:val="auto"/>
          <w:sz w:val="16"/>
          <w:szCs w:val="16"/>
          <w:highlight w:val="none"/>
        </w:rPr>
        <w:t xml:space="preserve"> </w:t>
      </w:r>
    </w:p>
    <w:p w14:paraId="5938E95D">
      <w:pPr>
        <w:autoSpaceDE w:val="0"/>
        <w:autoSpaceDN w:val="0"/>
        <w:snapToGrid w:val="0"/>
        <w:spacing w:line="360" w:lineRule="auto"/>
        <w:jc w:val="left"/>
        <w:rPr>
          <w:rFonts w:hint="eastAsia" w:ascii="宋体" w:hAnsi="宋体"/>
          <w:color w:val="auto"/>
          <w:sz w:val="36"/>
          <w:szCs w:val="36"/>
          <w:highlight w:val="none"/>
        </w:rPr>
      </w:pPr>
      <w:r>
        <w:rPr>
          <w:rFonts w:hint="eastAsia" w:ascii="宋体" w:hAnsi="宋体"/>
          <w:color w:val="auto"/>
          <w:sz w:val="20"/>
          <w:highlight w:val="none"/>
        </w:rPr>
        <w:t xml:space="preserve">                           </w:t>
      </w:r>
      <w:r>
        <w:rPr>
          <w:rFonts w:hint="eastAsia" w:ascii="宋体" w:hAnsi="宋体"/>
          <w:color w:val="auto"/>
          <w:sz w:val="36"/>
          <w:szCs w:val="36"/>
          <w:highlight w:val="none"/>
        </w:rPr>
        <w:t xml:space="preserve">     </w:t>
      </w:r>
    </w:p>
    <w:p w14:paraId="32C4B15D">
      <w:pPr>
        <w:pStyle w:val="21"/>
        <w:rPr>
          <w:rFonts w:hint="eastAsia" w:ascii="宋体" w:hAnsi="宋体"/>
          <w:color w:val="auto"/>
          <w:sz w:val="36"/>
          <w:szCs w:val="36"/>
          <w:highlight w:val="none"/>
        </w:rPr>
      </w:pPr>
    </w:p>
    <w:p w14:paraId="060421B6">
      <w:pPr>
        <w:autoSpaceDE w:val="0"/>
        <w:autoSpaceDN w:val="0"/>
        <w:snapToGrid w:val="0"/>
        <w:spacing w:line="360" w:lineRule="auto"/>
        <w:jc w:val="left"/>
        <w:rPr>
          <w:rFonts w:hint="eastAsia" w:ascii="宋体" w:hAnsi="宋体"/>
          <w:color w:val="auto"/>
          <w:sz w:val="32"/>
          <w:szCs w:val="32"/>
          <w:highlight w:val="none"/>
        </w:rPr>
      </w:pPr>
      <w:r>
        <w:rPr>
          <w:rFonts w:hint="eastAsia" w:ascii="宋体" w:hAnsi="宋体"/>
          <w:color w:val="auto"/>
          <w:sz w:val="20"/>
          <w:highlight w:val="none"/>
        </w:rPr>
        <w:t xml:space="preserve"> </w:t>
      </w:r>
      <w:r>
        <w:rPr>
          <w:rFonts w:hint="eastAsia" w:ascii="宋体" w:hAnsi="宋体"/>
          <w:color w:val="auto"/>
          <w:highlight w:val="none"/>
        </w:rPr>
        <w:t xml:space="preserve"> </w:t>
      </w:r>
    </w:p>
    <w:p w14:paraId="4FDBB9C4">
      <w:pPr>
        <w:autoSpaceDE w:val="0"/>
        <w:autoSpaceDN w:val="0"/>
        <w:snapToGrid w:val="0"/>
        <w:spacing w:line="360" w:lineRule="auto"/>
        <w:jc w:val="left"/>
        <w:rPr>
          <w:rFonts w:hint="eastAsia" w:ascii="宋体" w:hAnsi="宋体"/>
          <w:color w:val="auto"/>
          <w:sz w:val="20"/>
          <w:highlight w:val="none"/>
        </w:rPr>
      </w:pPr>
      <w:r>
        <w:rPr>
          <w:rFonts w:hint="eastAsia" w:ascii="宋体" w:hAnsi="宋体"/>
          <w:color w:val="auto"/>
          <w:sz w:val="20"/>
          <w:highlight w:val="none"/>
        </w:rPr>
        <w:t xml:space="preserve">    </w:t>
      </w:r>
    </w:p>
    <w:p w14:paraId="622D7F4C">
      <w:pPr>
        <w:autoSpaceDE w:val="0"/>
        <w:autoSpaceDN w:val="0"/>
        <w:snapToGrid w:val="0"/>
        <w:spacing w:line="360" w:lineRule="auto"/>
        <w:jc w:val="left"/>
        <w:rPr>
          <w:rFonts w:hint="eastAsia" w:ascii="宋体" w:hAnsi="宋体"/>
          <w:color w:val="auto"/>
          <w:sz w:val="20"/>
          <w:highlight w:val="none"/>
        </w:rPr>
      </w:pPr>
      <w:r>
        <w:rPr>
          <w:rFonts w:hint="eastAsia" w:ascii="宋体" w:hAnsi="宋体"/>
          <w:color w:val="auto"/>
          <w:sz w:val="20"/>
          <w:highlight w:val="none"/>
        </w:rPr>
        <w:t xml:space="preserve">  </w:t>
      </w:r>
    </w:p>
    <w:p w14:paraId="047062F8">
      <w:pPr>
        <w:autoSpaceDE w:val="0"/>
        <w:autoSpaceDN w:val="0"/>
        <w:snapToGrid w:val="0"/>
        <w:spacing w:line="360" w:lineRule="auto"/>
        <w:jc w:val="left"/>
        <w:rPr>
          <w:rFonts w:hint="eastAsia" w:ascii="宋体" w:hAnsi="宋体"/>
          <w:color w:val="auto"/>
          <w:sz w:val="20"/>
          <w:highlight w:val="none"/>
        </w:rPr>
      </w:pPr>
      <w:r>
        <w:rPr>
          <w:rFonts w:hint="eastAsia" w:ascii="宋体" w:hAnsi="宋体"/>
          <w:color w:val="auto"/>
          <w:sz w:val="20"/>
          <w:highlight w:val="none"/>
        </w:rPr>
        <w:t xml:space="preserve"> </w:t>
      </w:r>
    </w:p>
    <w:p w14:paraId="0D260229">
      <w:pPr>
        <w:autoSpaceDE w:val="0"/>
        <w:autoSpaceDN w:val="0"/>
        <w:snapToGrid w:val="0"/>
        <w:spacing w:line="360" w:lineRule="auto"/>
        <w:ind w:firstLine="1124" w:firstLineChars="400"/>
        <w:rPr>
          <w:rFonts w:hint="eastAsia" w:ascii="宋体" w:hAnsi="宋体"/>
          <w:b/>
          <w:color w:val="auto"/>
          <w:szCs w:val="28"/>
          <w:highlight w:val="none"/>
        </w:rPr>
      </w:pPr>
      <w:r>
        <w:rPr>
          <w:rFonts w:hint="eastAsia" w:ascii="宋体" w:hAnsi="宋体"/>
          <w:b/>
          <w:color w:val="auto"/>
          <w:szCs w:val="28"/>
          <w:highlight w:val="none"/>
        </w:rPr>
        <w:t>响应供应商</w:t>
      </w:r>
      <w:r>
        <w:rPr>
          <w:rFonts w:hint="eastAsia" w:ascii="宋体" w:hAnsi="宋体"/>
          <w:b/>
          <w:color w:val="auto"/>
          <w:spacing w:val="1"/>
          <w:szCs w:val="28"/>
          <w:highlight w:val="none"/>
        </w:rPr>
        <w:t>：</w:t>
      </w:r>
      <w:r>
        <w:rPr>
          <w:rFonts w:hint="eastAsia" w:ascii="宋体" w:hAnsi="宋体"/>
          <w:b/>
          <w:color w:val="auto"/>
          <w:szCs w:val="28"/>
          <w:highlight w:val="none"/>
          <w:u w:val="single"/>
        </w:rPr>
        <w:t xml:space="preserve"> </w:t>
      </w:r>
      <w:r>
        <w:rPr>
          <w:rFonts w:ascii="宋体" w:hAnsi="宋体"/>
          <w:b/>
          <w:color w:val="auto"/>
          <w:szCs w:val="28"/>
          <w:highlight w:val="none"/>
          <w:u w:val="single"/>
        </w:rPr>
        <w:t xml:space="preserve">          </w:t>
      </w:r>
      <w:r>
        <w:rPr>
          <w:rFonts w:hint="eastAsia" w:ascii="宋体" w:hAnsi="宋体"/>
          <w:b/>
          <w:color w:val="auto"/>
          <w:szCs w:val="28"/>
          <w:highlight w:val="none"/>
          <w:u w:val="single"/>
        </w:rPr>
        <w:t xml:space="preserve">      </w:t>
      </w:r>
      <w:r>
        <w:rPr>
          <w:rFonts w:hint="eastAsia" w:ascii="宋体" w:hAnsi="宋体"/>
          <w:b/>
          <w:color w:val="auto"/>
          <w:szCs w:val="28"/>
          <w:highlight w:val="none"/>
        </w:rPr>
        <w:t>（盖单位法人章）</w:t>
      </w:r>
    </w:p>
    <w:p w14:paraId="2FD7E2B1">
      <w:pPr>
        <w:autoSpaceDE w:val="0"/>
        <w:autoSpaceDN w:val="0"/>
        <w:snapToGrid w:val="0"/>
        <w:spacing w:line="360" w:lineRule="auto"/>
        <w:ind w:firstLine="1124" w:firstLineChars="400"/>
        <w:rPr>
          <w:rFonts w:ascii="宋体" w:hAnsi="宋体"/>
          <w:b/>
          <w:color w:val="auto"/>
          <w:szCs w:val="28"/>
          <w:highlight w:val="none"/>
        </w:rPr>
      </w:pPr>
    </w:p>
    <w:p w14:paraId="143F8265">
      <w:pPr>
        <w:autoSpaceDE w:val="0"/>
        <w:autoSpaceDN w:val="0"/>
        <w:snapToGrid w:val="0"/>
        <w:spacing w:line="360" w:lineRule="auto"/>
        <w:ind w:firstLine="1124" w:firstLineChars="400"/>
        <w:rPr>
          <w:rFonts w:hint="eastAsia" w:ascii="宋体" w:hAnsi="宋体"/>
          <w:b/>
          <w:color w:val="auto"/>
          <w:szCs w:val="28"/>
          <w:highlight w:val="none"/>
        </w:rPr>
      </w:pPr>
      <w:r>
        <w:rPr>
          <w:rFonts w:hint="eastAsia" w:ascii="宋体" w:hAnsi="宋体"/>
          <w:b/>
          <w:color w:val="auto"/>
          <w:szCs w:val="28"/>
          <w:highlight w:val="none"/>
        </w:rPr>
        <w:t>法定代表人或其委托代理人：</w:t>
      </w:r>
      <w:r>
        <w:rPr>
          <w:rFonts w:hint="eastAsia" w:ascii="宋体" w:hAnsi="宋体"/>
          <w:b/>
          <w:color w:val="auto"/>
          <w:szCs w:val="28"/>
          <w:highlight w:val="none"/>
          <w:u w:val="single"/>
        </w:rPr>
        <w:t xml:space="preserve">    </w:t>
      </w:r>
      <w:r>
        <w:rPr>
          <w:rFonts w:ascii="宋体" w:hAnsi="宋体"/>
          <w:b/>
          <w:color w:val="auto"/>
          <w:szCs w:val="28"/>
          <w:highlight w:val="none"/>
          <w:u w:val="single"/>
        </w:rPr>
        <w:t xml:space="preserve">          </w:t>
      </w:r>
      <w:r>
        <w:rPr>
          <w:rFonts w:hint="eastAsia" w:ascii="宋体" w:hAnsi="宋体"/>
          <w:b/>
          <w:color w:val="auto"/>
          <w:szCs w:val="28"/>
          <w:highlight w:val="none"/>
          <w:u w:val="single"/>
        </w:rPr>
        <w:t xml:space="preserve"> </w:t>
      </w:r>
      <w:r>
        <w:rPr>
          <w:rFonts w:hint="eastAsia" w:ascii="宋体" w:hAnsi="宋体"/>
          <w:b/>
          <w:color w:val="auto"/>
          <w:szCs w:val="28"/>
          <w:highlight w:val="none"/>
        </w:rPr>
        <w:t>（签字或盖章）</w:t>
      </w:r>
    </w:p>
    <w:p w14:paraId="125CA1BC">
      <w:pPr>
        <w:autoSpaceDE w:val="0"/>
        <w:autoSpaceDN w:val="0"/>
        <w:snapToGrid w:val="0"/>
        <w:spacing w:line="360" w:lineRule="auto"/>
        <w:jc w:val="center"/>
        <w:rPr>
          <w:rFonts w:ascii="宋体" w:hAnsi="宋体"/>
          <w:b/>
          <w:color w:val="auto"/>
          <w:szCs w:val="28"/>
          <w:highlight w:val="none"/>
          <w:u w:val="single"/>
        </w:rPr>
      </w:pPr>
    </w:p>
    <w:p w14:paraId="4FDD656D">
      <w:pPr>
        <w:autoSpaceDE w:val="0"/>
        <w:autoSpaceDN w:val="0"/>
        <w:snapToGrid w:val="0"/>
        <w:spacing w:line="360" w:lineRule="auto"/>
        <w:jc w:val="center"/>
        <w:rPr>
          <w:rFonts w:hint="eastAsia" w:ascii="宋体" w:hAnsi="宋体"/>
          <w:b/>
          <w:color w:val="auto"/>
          <w:szCs w:val="28"/>
          <w:highlight w:val="none"/>
        </w:rPr>
      </w:pPr>
      <w:r>
        <w:rPr>
          <w:rFonts w:hint="eastAsia" w:ascii="宋体" w:hAnsi="宋体"/>
          <w:b/>
          <w:color w:val="auto"/>
          <w:szCs w:val="28"/>
          <w:highlight w:val="none"/>
          <w:u w:val="single"/>
        </w:rPr>
        <w:t xml:space="preserve">       </w:t>
      </w:r>
      <w:r>
        <w:rPr>
          <w:rFonts w:hint="eastAsia" w:ascii="宋体" w:hAnsi="宋体"/>
          <w:b/>
          <w:color w:val="auto"/>
          <w:szCs w:val="28"/>
          <w:highlight w:val="none"/>
        </w:rPr>
        <w:t>年</w:t>
      </w:r>
      <w:r>
        <w:rPr>
          <w:rFonts w:hint="eastAsia" w:ascii="宋体" w:hAnsi="宋体"/>
          <w:b/>
          <w:color w:val="auto"/>
          <w:szCs w:val="28"/>
          <w:highlight w:val="none"/>
          <w:u w:val="single"/>
        </w:rPr>
        <w:t xml:space="preserve">  </w:t>
      </w:r>
      <w:r>
        <w:rPr>
          <w:rFonts w:hint="eastAsia" w:ascii="宋体" w:hAnsi="宋体"/>
          <w:b/>
          <w:color w:val="auto"/>
          <w:szCs w:val="28"/>
          <w:highlight w:val="none"/>
        </w:rPr>
        <w:t>月</w:t>
      </w:r>
      <w:r>
        <w:rPr>
          <w:rFonts w:hint="eastAsia" w:ascii="宋体" w:hAnsi="宋体"/>
          <w:b/>
          <w:color w:val="auto"/>
          <w:szCs w:val="28"/>
          <w:highlight w:val="none"/>
          <w:u w:val="single"/>
        </w:rPr>
        <w:t xml:space="preserve">  </w:t>
      </w:r>
      <w:r>
        <w:rPr>
          <w:rFonts w:hint="eastAsia" w:ascii="宋体" w:hAnsi="宋体"/>
          <w:b/>
          <w:color w:val="auto"/>
          <w:szCs w:val="28"/>
          <w:highlight w:val="none"/>
        </w:rPr>
        <w:t>日</w:t>
      </w:r>
    </w:p>
    <w:p w14:paraId="184E089C">
      <w:pPr>
        <w:pStyle w:val="21"/>
        <w:rPr>
          <w:rFonts w:hint="eastAsia" w:ascii="宋体" w:hAnsi="宋体"/>
          <w:b/>
          <w:color w:val="auto"/>
          <w:szCs w:val="28"/>
          <w:highlight w:val="none"/>
        </w:rPr>
      </w:pPr>
    </w:p>
    <w:p w14:paraId="09C1C23B">
      <w:pPr>
        <w:pStyle w:val="22"/>
        <w:rPr>
          <w:rFonts w:hint="eastAsia"/>
          <w:color w:val="auto"/>
          <w:highlight w:val="none"/>
        </w:rPr>
      </w:pPr>
    </w:p>
    <w:p w14:paraId="49A11483">
      <w:pPr>
        <w:widowControl w:val="0"/>
        <w:numPr>
          <w:ilvl w:val="0"/>
          <w:numId w:val="0"/>
        </w:numPr>
        <w:jc w:val="both"/>
        <w:rPr>
          <w:color w:val="auto"/>
          <w:sz w:val="24"/>
          <w:szCs w:val="24"/>
          <w:highlight w:val="none"/>
        </w:rPr>
      </w:pPr>
    </w:p>
    <w:p w14:paraId="635D6980">
      <w:pPr>
        <w:pStyle w:val="2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目录</w:t>
      </w:r>
    </w:p>
    <w:p w14:paraId="2CA63F1B">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一、经济部分</w:t>
      </w:r>
    </w:p>
    <w:p w14:paraId="41432F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（一）投标报价函</w:t>
      </w:r>
    </w:p>
    <w:p w14:paraId="3C56043A">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服务</w:t>
      </w:r>
      <w:r>
        <w:rPr>
          <w:rFonts w:hint="eastAsia" w:ascii="宋体" w:hAnsi="宋体" w:cs="宋体"/>
          <w:b/>
          <w:bCs/>
          <w:color w:val="auto"/>
          <w:sz w:val="24"/>
          <w:szCs w:val="24"/>
          <w:highlight w:val="none"/>
        </w:rPr>
        <w:t>部分</w:t>
      </w:r>
    </w:p>
    <w:p w14:paraId="447B7D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46DF1FD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（二）服务方案</w:t>
      </w:r>
    </w:p>
    <w:p w14:paraId="5256665E">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三、商务部分</w:t>
      </w:r>
    </w:p>
    <w:p w14:paraId="108CFC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1E0A31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（二）商务部分相关证明材料</w:t>
      </w:r>
    </w:p>
    <w:p w14:paraId="2DF80B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（三）其它优惠承诺</w:t>
      </w:r>
    </w:p>
    <w:p w14:paraId="2440D0ED">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四、资格条件及其他</w:t>
      </w:r>
    </w:p>
    <w:p w14:paraId="06B0F80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14:paraId="1B4D911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（二）组织机构代码证复印件</w:t>
      </w:r>
    </w:p>
    <w:p w14:paraId="364FDE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（三）法定代表人身份证明书（格式）</w:t>
      </w:r>
    </w:p>
    <w:p w14:paraId="2474693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（四）法定代表人授权委托书（格式）</w:t>
      </w:r>
    </w:p>
    <w:p w14:paraId="0F8FB3CE">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（五）基本资格条件承诺函</w:t>
      </w:r>
    </w:p>
    <w:p w14:paraId="28498E1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（六）特定资格条件证明文件</w:t>
      </w:r>
    </w:p>
    <w:p w14:paraId="56134678">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五、其他应提供的资料</w:t>
      </w:r>
    </w:p>
    <w:p w14:paraId="4E8540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151DAD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（二）中小企业声明函、监狱企业证明文件、残疾人福利性单位声明函</w:t>
      </w:r>
    </w:p>
    <w:p w14:paraId="3554B947">
      <w:pPr>
        <w:pStyle w:val="9"/>
        <w:rPr>
          <w:rFonts w:ascii="宋体" w:hAnsi="宋体" w:cs="宋体"/>
          <w:color w:val="auto"/>
          <w:sz w:val="24"/>
          <w:szCs w:val="24"/>
          <w:highlight w:val="none"/>
        </w:rPr>
      </w:pPr>
    </w:p>
    <w:p w14:paraId="52347ED2">
      <w:pPr>
        <w:pStyle w:val="36"/>
        <w:ind w:left="0"/>
        <w:jc w:val="both"/>
        <w:rPr>
          <w:rFonts w:ascii="宋体" w:hAnsi="宋体" w:cs="宋体"/>
          <w:color w:val="auto"/>
          <w:sz w:val="20"/>
          <w:szCs w:val="18"/>
          <w:highlight w:val="none"/>
        </w:rPr>
        <w:sectPr>
          <w:headerReference r:id="rId10" w:type="default"/>
          <w:footerReference r:id="rId11" w:type="default"/>
          <w:pgSz w:w="11907" w:h="16840"/>
          <w:pgMar w:top="1134" w:right="1191" w:bottom="1134" w:left="1304" w:header="851" w:footer="992" w:gutter="0"/>
          <w:cols w:space="720" w:num="1"/>
        </w:sectPr>
      </w:pPr>
    </w:p>
    <w:p w14:paraId="4960558B">
      <w:pPr>
        <w:pStyle w:val="5"/>
        <w:spacing w:before="0" w:after="0" w:line="360" w:lineRule="auto"/>
        <w:rPr>
          <w:rFonts w:ascii="宋体" w:hAnsi="宋体" w:cs="宋体"/>
          <w:color w:val="auto"/>
          <w:sz w:val="24"/>
          <w:szCs w:val="24"/>
          <w:highlight w:val="none"/>
        </w:rPr>
      </w:pPr>
      <w:bookmarkStart w:id="336" w:name="_Toc487204797"/>
      <w:bookmarkStart w:id="337" w:name="_Toc24201"/>
      <w:bookmarkStart w:id="338" w:name="_Toc14854"/>
      <w:bookmarkStart w:id="339" w:name="_Toc486585240"/>
      <w:bookmarkStart w:id="340" w:name="_Toc486608277"/>
      <w:bookmarkStart w:id="341" w:name="_Toc9358"/>
      <w:r>
        <w:rPr>
          <w:rFonts w:hint="eastAsia" w:ascii="宋体" w:hAnsi="宋体" w:cs="宋体"/>
          <w:color w:val="auto"/>
          <w:sz w:val="24"/>
          <w:szCs w:val="24"/>
          <w:highlight w:val="none"/>
        </w:rPr>
        <w:t>一、经济部分</w:t>
      </w:r>
      <w:bookmarkEnd w:id="336"/>
      <w:bookmarkEnd w:id="337"/>
      <w:bookmarkEnd w:id="338"/>
      <w:bookmarkEnd w:id="339"/>
      <w:bookmarkEnd w:id="340"/>
      <w:bookmarkEnd w:id="341"/>
    </w:p>
    <w:p w14:paraId="349971DC">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（一）投标报价函</w:t>
      </w:r>
    </w:p>
    <w:p w14:paraId="5E5925AE">
      <w:pPr>
        <w:tabs>
          <w:tab w:val="left" w:pos="6300"/>
        </w:tabs>
        <w:snapToGrid w:val="0"/>
        <w:spacing w:line="360" w:lineRule="auto"/>
        <w:ind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t>报价函</w:t>
      </w:r>
    </w:p>
    <w:p w14:paraId="2B35094A">
      <w:pPr>
        <w:tabs>
          <w:tab w:val="left" w:pos="6300"/>
        </w:tabs>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526BDEFB">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我方收到</w:t>
      </w:r>
      <w:r>
        <w:rPr>
          <w:rFonts w:hint="eastAsia" w:ascii="宋体" w:hAnsi="宋体" w:cs="宋体"/>
          <w:color w:val="auto"/>
          <w:sz w:val="21"/>
          <w:szCs w:val="21"/>
          <w:highlight w:val="none"/>
          <w:u w:val="none"/>
        </w:rPr>
        <w:t>____________________________</w:t>
      </w:r>
      <w:r>
        <w:rPr>
          <w:rFonts w:hint="eastAsia" w:ascii="宋体" w:hAnsi="宋体" w:cs="宋体"/>
          <w:color w:val="auto"/>
          <w:sz w:val="21"/>
          <w:szCs w:val="21"/>
          <w:highlight w:val="none"/>
        </w:rPr>
        <w:t>（采购项目名称）的</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，经详细研究，决定参加该项目的网上竞采。</w:t>
      </w:r>
    </w:p>
    <w:p w14:paraId="3AF644C2">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1.愿意按照</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中的一切要求，提供本项目的采购内容及相关服务，项目报价以¥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/月</w:t>
      </w:r>
      <w:r>
        <w:rPr>
          <w:rFonts w:hint="eastAsia" w:ascii="宋体" w:hAnsi="宋体" w:cs="宋体"/>
          <w:color w:val="auto"/>
          <w:sz w:val="21"/>
          <w:szCs w:val="21"/>
          <w:highlight w:val="none"/>
        </w:rPr>
        <w:t>（大写：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/月</w:t>
      </w:r>
      <w:r>
        <w:rPr>
          <w:rFonts w:hint="eastAsia" w:ascii="宋体" w:hAnsi="宋体" w:cs="宋体"/>
          <w:color w:val="auto"/>
          <w:sz w:val="21"/>
          <w:szCs w:val="21"/>
          <w:highlight w:val="none"/>
        </w:rPr>
        <w:t>作为本项目的暂定竞采报价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折扣比例</w:t>
      </w:r>
      <w:r>
        <w:rPr>
          <w:rFonts w:hint="eastAsia" w:ascii="宋体" w:hAnsi="宋体" w:cs="宋体"/>
          <w:color w:val="auto"/>
          <w:sz w:val="21"/>
          <w:szCs w:val="21"/>
          <w:highlight w:val="none"/>
        </w:rPr>
        <w:t>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大写：</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5D8BA757">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2.我方现提交的响应文件为：</w:t>
      </w:r>
      <w:r>
        <w:rPr>
          <w:rFonts w:hint="eastAsia" w:ascii="宋体" w:hAnsi="宋体" w:cs="宋体"/>
          <w:color w:val="auto"/>
          <w:sz w:val="21"/>
          <w:szCs w:val="21"/>
          <w:highlight w:val="none"/>
          <w:lang w:val="en-US" w:eastAsia="zh-CN"/>
        </w:rPr>
        <w:t>网上上传</w:t>
      </w:r>
      <w:r>
        <w:rPr>
          <w:rFonts w:hint="eastAsia" w:ascii="宋体" w:hAnsi="宋体" w:cs="宋体"/>
          <w:color w:val="auto"/>
          <w:sz w:val="21"/>
          <w:szCs w:val="21"/>
          <w:highlight w:val="none"/>
        </w:rPr>
        <w:t>响应文件电子文档</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纸质响应文件</w:t>
      </w:r>
      <w:r>
        <w:rPr>
          <w:rFonts w:hint="eastAsia" w:ascii="宋体" w:hAnsi="宋体" w:cs="宋体"/>
          <w:color w:val="auto"/>
          <w:sz w:val="21"/>
          <w:szCs w:val="21"/>
          <w:highlight w:val="none"/>
          <w:u w:val="single"/>
          <w:lang w:val="en-US" w:eastAsia="zh-CN"/>
        </w:rPr>
        <w:t xml:space="preserve"> 2 </w:t>
      </w:r>
      <w:r>
        <w:rPr>
          <w:rFonts w:hint="eastAsia" w:ascii="宋体" w:hAnsi="宋体" w:cs="宋体"/>
          <w:color w:val="auto"/>
          <w:sz w:val="21"/>
          <w:szCs w:val="21"/>
          <w:highlight w:val="none"/>
        </w:rPr>
        <w:t>份（其中正本1份，副本</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份）。</w:t>
      </w:r>
    </w:p>
    <w:p w14:paraId="6A97877F">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3.我方承诺：本次</w:t>
      </w:r>
      <w:r>
        <w:rPr>
          <w:rFonts w:hint="eastAsia" w:ascii="宋体" w:hAnsi="宋体" w:cs="宋体"/>
          <w:color w:val="auto"/>
          <w:sz w:val="21"/>
          <w:szCs w:val="21"/>
          <w:highlight w:val="none"/>
          <w:lang w:val="en-US" w:eastAsia="zh-CN"/>
        </w:rPr>
        <w:t>竞采</w:t>
      </w:r>
      <w:r>
        <w:rPr>
          <w:rFonts w:hint="eastAsia" w:ascii="宋体" w:hAnsi="宋体" w:cs="宋体"/>
          <w:color w:val="auto"/>
          <w:sz w:val="21"/>
          <w:szCs w:val="21"/>
          <w:highlight w:val="none"/>
        </w:rPr>
        <w:t>的有效期为90天。</w:t>
      </w:r>
    </w:p>
    <w:p w14:paraId="142B8F17">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4.我方完全理解和接受贵方</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的一切规定和要求及评审办法。</w:t>
      </w:r>
    </w:p>
    <w:p w14:paraId="22DA9E5F">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5.在整个投标过程中，我方若有违规行为，接受按照《中华人民共和国政府采购法》和《</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》之规定给予惩罚。</w:t>
      </w:r>
    </w:p>
    <w:p w14:paraId="4F0CD996">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6.我方若成为成交供应商，将按照最终采购结果签订合同，并且严格履行合同义务。本承诺函将成为合同不可分割的一部分，与合同具有同等的法律效力。</w:t>
      </w:r>
    </w:p>
    <w:p w14:paraId="11F8ED01">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7.我方未为采购项目提供整体设计、规范编制或者项目管理、监理、检测等服务。</w:t>
      </w:r>
    </w:p>
    <w:p w14:paraId="5BC50C60">
      <w:pPr>
        <w:pStyle w:val="21"/>
        <w:ind w:firstLine="420" w:firstLineChars="200"/>
        <w:rPr>
          <w:rFonts w:cs="宋体"/>
          <w:color w:val="auto"/>
          <w:sz w:val="21"/>
          <w:szCs w:val="16"/>
          <w:highlight w:val="none"/>
        </w:rPr>
      </w:pPr>
      <w:r>
        <w:rPr>
          <w:rFonts w:hint="eastAsia" w:cs="宋体"/>
          <w:color w:val="auto"/>
          <w:sz w:val="21"/>
          <w:szCs w:val="21"/>
          <w:highlight w:val="none"/>
        </w:rPr>
        <w:t>8.我方同意按</w:t>
      </w:r>
      <w:r>
        <w:rPr>
          <w:rFonts w:hint="eastAsia" w:cs="宋体"/>
          <w:color w:val="auto"/>
          <w:sz w:val="21"/>
          <w:szCs w:val="21"/>
          <w:highlight w:val="none"/>
          <w:lang w:eastAsia="zh-CN"/>
        </w:rPr>
        <w:t>竞采文件</w:t>
      </w:r>
      <w:r>
        <w:rPr>
          <w:rFonts w:hint="eastAsia" w:cs="宋体"/>
          <w:color w:val="auto"/>
          <w:sz w:val="21"/>
          <w:szCs w:val="21"/>
          <w:highlight w:val="none"/>
        </w:rPr>
        <w:t>规定，如果我方成为成交供应商，保证在接到成交通知书前，向采购代理机构缴纳</w:t>
      </w:r>
      <w:r>
        <w:rPr>
          <w:rFonts w:hint="eastAsia" w:cs="宋体"/>
          <w:color w:val="auto"/>
          <w:sz w:val="21"/>
          <w:szCs w:val="21"/>
          <w:highlight w:val="none"/>
          <w:lang w:eastAsia="zh-CN"/>
        </w:rPr>
        <w:t>竞采文件</w:t>
      </w:r>
      <w:r>
        <w:rPr>
          <w:rFonts w:hint="eastAsia" w:cs="宋体"/>
          <w:color w:val="auto"/>
          <w:sz w:val="21"/>
          <w:szCs w:val="21"/>
          <w:highlight w:val="none"/>
        </w:rPr>
        <w:t>规定的采购代理服务费。</w:t>
      </w:r>
    </w:p>
    <w:p w14:paraId="6196D302">
      <w:pPr>
        <w:tabs>
          <w:tab w:val="left" w:pos="6300"/>
        </w:tabs>
        <w:snapToGrid w:val="0"/>
        <w:spacing w:line="360" w:lineRule="auto"/>
        <w:ind w:firstLine="570"/>
        <w:rPr>
          <w:rFonts w:ascii="宋体" w:hAnsi="宋体" w:cs="宋体"/>
          <w:color w:val="auto"/>
          <w:sz w:val="21"/>
          <w:szCs w:val="21"/>
          <w:highlight w:val="none"/>
        </w:rPr>
      </w:pPr>
    </w:p>
    <w:p w14:paraId="08A0772F">
      <w:pPr>
        <w:tabs>
          <w:tab w:val="left" w:pos="6300"/>
        </w:tabs>
        <w:snapToGrid w:val="0"/>
        <w:spacing w:line="360" w:lineRule="auto"/>
        <w:ind w:firstLine="570"/>
        <w:rPr>
          <w:rFonts w:ascii="宋体" w:hAnsi="宋体" w:cs="宋体"/>
          <w:color w:val="auto"/>
          <w:sz w:val="21"/>
          <w:szCs w:val="21"/>
          <w:highlight w:val="none"/>
        </w:rPr>
      </w:pPr>
    </w:p>
    <w:p w14:paraId="21418BDF">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6F538CD3">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72DFD4AE">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628CECA5">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邮编：</w:t>
      </w:r>
    </w:p>
    <w:p w14:paraId="1823AE4D">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联系人：</w:t>
      </w:r>
    </w:p>
    <w:p w14:paraId="39D3C0EC">
      <w:pPr>
        <w:snapToGrid w:val="0"/>
        <w:spacing w:line="360" w:lineRule="auto"/>
        <w:ind w:firstLine="420" w:firstLineChars="20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47AB15ED">
      <w:pPr>
        <w:snapToGrid w:val="0"/>
        <w:spacing w:line="360" w:lineRule="auto"/>
        <w:ind w:firstLine="420" w:firstLineChars="200"/>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79ACCC7C">
      <w:pPr>
        <w:widowControl/>
        <w:spacing w:line="380" w:lineRule="exact"/>
        <w:jc w:val="left"/>
        <w:rPr>
          <w:rFonts w:ascii="宋体" w:hAnsi="宋体" w:cs="宋体"/>
          <w:color w:val="auto"/>
          <w:sz w:val="21"/>
          <w:szCs w:val="21"/>
          <w:highlight w:val="none"/>
        </w:rPr>
        <w:sectPr>
          <w:pgSz w:w="11907" w:h="16840"/>
          <w:pgMar w:top="1134" w:right="1191" w:bottom="1134" w:left="1304" w:header="851" w:footer="992" w:gutter="0"/>
          <w:cols w:space="720" w:num="1"/>
        </w:sectPr>
      </w:pPr>
    </w:p>
    <w:p w14:paraId="75022D42">
      <w:pPr>
        <w:pStyle w:val="5"/>
        <w:spacing w:before="0" w:after="0" w:line="360" w:lineRule="auto"/>
        <w:rPr>
          <w:rFonts w:ascii="宋体" w:hAnsi="宋体" w:cs="宋体"/>
          <w:color w:val="auto"/>
          <w:sz w:val="24"/>
          <w:szCs w:val="24"/>
          <w:highlight w:val="none"/>
        </w:rPr>
      </w:pPr>
      <w:bookmarkStart w:id="342" w:name="_Toc24658"/>
      <w:bookmarkStart w:id="343" w:name="_Toc486585241"/>
      <w:bookmarkStart w:id="344" w:name="_Toc21667"/>
      <w:bookmarkStart w:id="345" w:name="_Toc3192"/>
      <w:bookmarkStart w:id="346" w:name="_Toc486608278"/>
      <w:bookmarkStart w:id="347" w:name="_Toc487204798"/>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342"/>
      <w:bookmarkEnd w:id="343"/>
      <w:bookmarkEnd w:id="344"/>
      <w:bookmarkEnd w:id="345"/>
      <w:bookmarkEnd w:id="346"/>
      <w:bookmarkEnd w:id="347"/>
    </w:p>
    <w:p w14:paraId="16329602">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响应偏离表</w:t>
      </w:r>
    </w:p>
    <w:p w14:paraId="70569547">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BDE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66C5C33">
            <w:pPr>
              <w:tabs>
                <w:tab w:val="left" w:pos="6300"/>
              </w:tabs>
              <w:snapToGrid w:val="0"/>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2658" w:type="dxa"/>
            <w:vAlign w:val="center"/>
          </w:tcPr>
          <w:p w14:paraId="4C692904">
            <w:pPr>
              <w:tabs>
                <w:tab w:val="left" w:pos="6300"/>
              </w:tabs>
              <w:snapToGrid w:val="0"/>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2759" w:type="dxa"/>
            <w:vAlign w:val="center"/>
          </w:tcPr>
          <w:p w14:paraId="7752D675">
            <w:pPr>
              <w:tabs>
                <w:tab w:val="left" w:pos="6300"/>
              </w:tabs>
              <w:snapToGrid w:val="0"/>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067" w:type="dxa"/>
            <w:vAlign w:val="center"/>
          </w:tcPr>
          <w:p w14:paraId="2D91EA81">
            <w:pPr>
              <w:tabs>
                <w:tab w:val="left" w:pos="6300"/>
              </w:tabs>
              <w:snapToGrid w:val="0"/>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2E8D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625EAA">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1EC46A54">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7058A7FA">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7CED80DE">
            <w:pPr>
              <w:tabs>
                <w:tab w:val="left" w:pos="6300"/>
              </w:tabs>
              <w:snapToGrid w:val="0"/>
              <w:spacing w:line="500" w:lineRule="exact"/>
              <w:jc w:val="center"/>
              <w:outlineLvl w:val="0"/>
              <w:rPr>
                <w:rFonts w:ascii="宋体" w:hAnsi="宋体" w:cs="宋体"/>
                <w:color w:val="auto"/>
                <w:sz w:val="21"/>
                <w:szCs w:val="21"/>
                <w:highlight w:val="none"/>
              </w:rPr>
            </w:pPr>
          </w:p>
        </w:tc>
      </w:tr>
      <w:tr w14:paraId="29AE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7D6F7B">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1268AC98">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43053B93">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29F8A4BA">
            <w:pPr>
              <w:tabs>
                <w:tab w:val="left" w:pos="6300"/>
              </w:tabs>
              <w:snapToGrid w:val="0"/>
              <w:spacing w:line="500" w:lineRule="exact"/>
              <w:jc w:val="center"/>
              <w:outlineLvl w:val="0"/>
              <w:rPr>
                <w:rFonts w:ascii="宋体" w:hAnsi="宋体" w:cs="宋体"/>
                <w:color w:val="auto"/>
                <w:sz w:val="21"/>
                <w:szCs w:val="21"/>
                <w:highlight w:val="none"/>
              </w:rPr>
            </w:pPr>
          </w:p>
        </w:tc>
      </w:tr>
      <w:tr w14:paraId="507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A8A0C1">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3AAF499F">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475F372B">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3BC85C3C">
            <w:pPr>
              <w:tabs>
                <w:tab w:val="left" w:pos="6300"/>
              </w:tabs>
              <w:snapToGrid w:val="0"/>
              <w:spacing w:line="500" w:lineRule="exact"/>
              <w:jc w:val="center"/>
              <w:outlineLvl w:val="0"/>
              <w:rPr>
                <w:rFonts w:ascii="宋体" w:hAnsi="宋体" w:cs="宋体"/>
                <w:color w:val="auto"/>
                <w:sz w:val="21"/>
                <w:szCs w:val="21"/>
                <w:highlight w:val="none"/>
              </w:rPr>
            </w:pPr>
          </w:p>
        </w:tc>
      </w:tr>
      <w:tr w14:paraId="376F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A3C294">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6035A05">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3A1DDA42">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325D0492">
            <w:pPr>
              <w:tabs>
                <w:tab w:val="left" w:pos="6300"/>
              </w:tabs>
              <w:snapToGrid w:val="0"/>
              <w:spacing w:line="500" w:lineRule="exact"/>
              <w:jc w:val="center"/>
              <w:outlineLvl w:val="0"/>
              <w:rPr>
                <w:rFonts w:ascii="宋体" w:hAnsi="宋体" w:cs="宋体"/>
                <w:color w:val="auto"/>
                <w:sz w:val="21"/>
                <w:szCs w:val="21"/>
                <w:highlight w:val="none"/>
              </w:rPr>
            </w:pPr>
          </w:p>
        </w:tc>
      </w:tr>
      <w:tr w14:paraId="7B3C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D32804F">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4FE4A526">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97874B6">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5CEBB288">
            <w:pPr>
              <w:tabs>
                <w:tab w:val="left" w:pos="6300"/>
              </w:tabs>
              <w:snapToGrid w:val="0"/>
              <w:spacing w:line="500" w:lineRule="exact"/>
              <w:jc w:val="center"/>
              <w:outlineLvl w:val="0"/>
              <w:rPr>
                <w:rFonts w:ascii="宋体" w:hAnsi="宋体" w:cs="宋体"/>
                <w:color w:val="auto"/>
                <w:sz w:val="21"/>
                <w:szCs w:val="21"/>
                <w:highlight w:val="none"/>
              </w:rPr>
            </w:pPr>
          </w:p>
        </w:tc>
      </w:tr>
      <w:tr w14:paraId="0FEB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1022F4">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7BFAC7A7">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4265E23">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6EA3CC63">
            <w:pPr>
              <w:tabs>
                <w:tab w:val="left" w:pos="6300"/>
              </w:tabs>
              <w:snapToGrid w:val="0"/>
              <w:spacing w:line="500" w:lineRule="exact"/>
              <w:jc w:val="center"/>
              <w:outlineLvl w:val="0"/>
              <w:rPr>
                <w:rFonts w:ascii="宋体" w:hAnsi="宋体" w:cs="宋体"/>
                <w:color w:val="auto"/>
                <w:sz w:val="21"/>
                <w:szCs w:val="21"/>
                <w:highlight w:val="none"/>
              </w:rPr>
            </w:pPr>
          </w:p>
        </w:tc>
      </w:tr>
      <w:tr w14:paraId="558D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86AB81">
            <w:pPr>
              <w:tabs>
                <w:tab w:val="left" w:pos="6300"/>
              </w:tabs>
              <w:snapToGrid w:val="0"/>
              <w:spacing w:line="500" w:lineRule="exact"/>
              <w:jc w:val="center"/>
              <w:outlineLvl w:val="0"/>
              <w:rPr>
                <w:rFonts w:ascii="宋体" w:hAnsi="宋体" w:cs="宋体"/>
                <w:color w:val="auto"/>
                <w:sz w:val="21"/>
                <w:szCs w:val="21"/>
                <w:highlight w:val="none"/>
              </w:rPr>
            </w:pPr>
          </w:p>
        </w:tc>
        <w:tc>
          <w:tcPr>
            <w:tcW w:w="2658" w:type="dxa"/>
            <w:vAlign w:val="center"/>
          </w:tcPr>
          <w:p w14:paraId="08F75E4F">
            <w:pPr>
              <w:tabs>
                <w:tab w:val="left" w:pos="6300"/>
              </w:tabs>
              <w:snapToGrid w:val="0"/>
              <w:spacing w:line="500" w:lineRule="exact"/>
              <w:jc w:val="center"/>
              <w:outlineLvl w:val="0"/>
              <w:rPr>
                <w:rFonts w:ascii="宋体" w:hAnsi="宋体" w:cs="宋体"/>
                <w:color w:val="auto"/>
                <w:sz w:val="21"/>
                <w:szCs w:val="21"/>
                <w:highlight w:val="none"/>
              </w:rPr>
            </w:pPr>
          </w:p>
        </w:tc>
        <w:tc>
          <w:tcPr>
            <w:tcW w:w="2759" w:type="dxa"/>
            <w:vAlign w:val="center"/>
          </w:tcPr>
          <w:p w14:paraId="56B391D7">
            <w:pPr>
              <w:tabs>
                <w:tab w:val="left" w:pos="6300"/>
              </w:tabs>
              <w:snapToGrid w:val="0"/>
              <w:spacing w:line="500" w:lineRule="exact"/>
              <w:jc w:val="center"/>
              <w:outlineLvl w:val="0"/>
              <w:rPr>
                <w:rFonts w:ascii="宋体" w:hAnsi="宋体" w:cs="宋体"/>
                <w:color w:val="auto"/>
                <w:sz w:val="21"/>
                <w:szCs w:val="21"/>
                <w:highlight w:val="none"/>
              </w:rPr>
            </w:pPr>
          </w:p>
        </w:tc>
        <w:tc>
          <w:tcPr>
            <w:tcW w:w="2067" w:type="dxa"/>
            <w:vAlign w:val="center"/>
          </w:tcPr>
          <w:p w14:paraId="2CA0EAF6">
            <w:pPr>
              <w:tabs>
                <w:tab w:val="left" w:pos="6300"/>
              </w:tabs>
              <w:snapToGrid w:val="0"/>
              <w:spacing w:line="500" w:lineRule="exact"/>
              <w:jc w:val="center"/>
              <w:outlineLvl w:val="0"/>
              <w:rPr>
                <w:rFonts w:ascii="宋体" w:hAnsi="宋体" w:cs="宋体"/>
                <w:color w:val="auto"/>
                <w:sz w:val="21"/>
                <w:szCs w:val="21"/>
                <w:highlight w:val="none"/>
              </w:rPr>
            </w:pPr>
          </w:p>
        </w:tc>
      </w:tr>
    </w:tbl>
    <w:p w14:paraId="5C7F42FB">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法定代表人授权代表：</w:t>
      </w:r>
    </w:p>
    <w:p w14:paraId="63BA3C32">
      <w:pPr>
        <w:spacing w:line="500" w:lineRule="exact"/>
        <w:rPr>
          <w:rFonts w:ascii="宋体" w:hAnsi="宋体" w:cs="宋体"/>
          <w:color w:val="auto"/>
          <w:sz w:val="21"/>
          <w:szCs w:val="21"/>
          <w:highlight w:val="none"/>
        </w:rPr>
      </w:pPr>
    </w:p>
    <w:p w14:paraId="017814A1">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（供应商公章）                              （签字或盖章）</w:t>
      </w:r>
    </w:p>
    <w:p w14:paraId="4BE689B5">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41836D43">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7EF8CD67">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1.本表即为对本项目“第二篇  项目服务需求”中所列</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要求进行比较和响应；</w:t>
      </w:r>
    </w:p>
    <w:p w14:paraId="1AF235A5">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2.该表必须按照</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要求逐条如实填写，根据响应情况在“差异说明”项填写正偏离或负偏离及原因，完全符合的填写“无差异”；</w:t>
      </w:r>
    </w:p>
    <w:p w14:paraId="1C2FF9A2">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3.该表可扩展，并逐页签字或盖章；</w:t>
      </w:r>
    </w:p>
    <w:p w14:paraId="558B996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4.可附相关技术支撑材料。（格式自定）</w:t>
      </w:r>
    </w:p>
    <w:p w14:paraId="7F9CF0D0">
      <w:pPr>
        <w:rPr>
          <w:rFonts w:ascii="宋体" w:hAnsi="宋体" w:cs="宋体"/>
          <w:color w:val="auto"/>
          <w:sz w:val="21"/>
          <w:szCs w:val="21"/>
          <w:highlight w:val="none"/>
        </w:rPr>
      </w:pPr>
      <w:r>
        <w:rPr>
          <w:rFonts w:hint="eastAsia" w:ascii="宋体" w:hAnsi="宋体" w:cs="宋体"/>
          <w:color w:val="auto"/>
          <w:sz w:val="21"/>
          <w:szCs w:val="21"/>
          <w:highlight w:val="none"/>
        </w:rPr>
        <w:br w:type="page"/>
      </w:r>
    </w:p>
    <w:p w14:paraId="07C554C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（二）服务方案</w:t>
      </w:r>
    </w:p>
    <w:p w14:paraId="35812344">
      <w:pPr>
        <w:spacing w:line="360" w:lineRule="auto"/>
        <w:ind w:firstLine="420" w:firstLineChars="200"/>
        <w:rPr>
          <w:rFonts w:ascii="宋体" w:hAnsi="宋体" w:cs="宋体"/>
          <w:color w:val="auto"/>
          <w:sz w:val="22"/>
          <w:szCs w:val="22"/>
          <w:highlight w:val="none"/>
        </w:rPr>
      </w:pPr>
      <w:r>
        <w:rPr>
          <w:rFonts w:hint="eastAsia" w:ascii="宋体" w:hAnsi="宋体" w:cs="宋体"/>
          <w:color w:val="auto"/>
          <w:sz w:val="21"/>
          <w:szCs w:val="21"/>
          <w:highlight w:val="none"/>
        </w:rPr>
        <w:t>供应商根据</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“第四篇 资格审查及评标办法”中服务部分的评审标准编制服务方案，格式自拟。</w:t>
      </w:r>
    </w:p>
    <w:p w14:paraId="06631E6C">
      <w:pPr>
        <w:snapToGrid w:val="0"/>
        <w:spacing w:line="360" w:lineRule="auto"/>
        <w:jc w:val="center"/>
        <w:rPr>
          <w:rFonts w:ascii="宋体" w:hAnsi="宋体" w:cs="宋体"/>
          <w:color w:val="auto"/>
          <w:sz w:val="24"/>
          <w:szCs w:val="24"/>
          <w:highlight w:val="none"/>
        </w:rPr>
      </w:pPr>
    </w:p>
    <w:p w14:paraId="1640213E">
      <w:pPr>
        <w:snapToGrid w:val="0"/>
        <w:spacing w:line="360" w:lineRule="auto"/>
        <w:jc w:val="center"/>
        <w:rPr>
          <w:rFonts w:ascii="宋体" w:hAnsi="宋体" w:cs="宋体"/>
          <w:color w:val="auto"/>
          <w:sz w:val="24"/>
          <w:szCs w:val="24"/>
          <w:highlight w:val="none"/>
        </w:rPr>
      </w:pPr>
    </w:p>
    <w:p w14:paraId="72ACFC5F">
      <w:pPr>
        <w:snapToGrid w:val="0"/>
        <w:spacing w:line="360" w:lineRule="auto"/>
        <w:jc w:val="center"/>
        <w:rPr>
          <w:rFonts w:ascii="宋体" w:hAnsi="宋体" w:cs="宋体"/>
          <w:color w:val="auto"/>
          <w:sz w:val="24"/>
          <w:szCs w:val="24"/>
          <w:highlight w:val="none"/>
        </w:rPr>
      </w:pPr>
    </w:p>
    <w:p w14:paraId="6007A638">
      <w:pPr>
        <w:snapToGrid w:val="0"/>
        <w:spacing w:line="360" w:lineRule="auto"/>
        <w:jc w:val="center"/>
        <w:rPr>
          <w:rFonts w:ascii="宋体" w:hAnsi="宋体" w:cs="宋体"/>
          <w:color w:val="auto"/>
          <w:sz w:val="24"/>
          <w:szCs w:val="24"/>
          <w:highlight w:val="none"/>
        </w:rPr>
      </w:pPr>
    </w:p>
    <w:p w14:paraId="36B8D44B">
      <w:pPr>
        <w:snapToGrid w:val="0"/>
        <w:spacing w:line="360" w:lineRule="auto"/>
        <w:jc w:val="center"/>
        <w:rPr>
          <w:rFonts w:ascii="宋体" w:hAnsi="宋体" w:cs="宋体"/>
          <w:color w:val="auto"/>
          <w:sz w:val="24"/>
          <w:szCs w:val="24"/>
          <w:highlight w:val="none"/>
        </w:rPr>
      </w:pPr>
    </w:p>
    <w:p w14:paraId="6B980ADD">
      <w:pPr>
        <w:snapToGrid w:val="0"/>
        <w:spacing w:line="360" w:lineRule="auto"/>
        <w:jc w:val="center"/>
        <w:rPr>
          <w:rFonts w:ascii="宋体" w:hAnsi="宋体" w:cs="宋体"/>
          <w:color w:val="auto"/>
          <w:sz w:val="24"/>
          <w:szCs w:val="24"/>
          <w:highlight w:val="none"/>
        </w:rPr>
      </w:pPr>
    </w:p>
    <w:p w14:paraId="126C9999">
      <w:pPr>
        <w:snapToGrid w:val="0"/>
        <w:spacing w:line="360" w:lineRule="auto"/>
        <w:jc w:val="center"/>
        <w:rPr>
          <w:rFonts w:ascii="宋体" w:hAnsi="宋体" w:cs="宋体"/>
          <w:color w:val="auto"/>
          <w:sz w:val="24"/>
          <w:szCs w:val="24"/>
          <w:highlight w:val="none"/>
        </w:rPr>
      </w:pPr>
    </w:p>
    <w:p w14:paraId="472D24EA">
      <w:pPr>
        <w:snapToGrid w:val="0"/>
        <w:spacing w:line="360" w:lineRule="auto"/>
        <w:jc w:val="center"/>
        <w:rPr>
          <w:rFonts w:ascii="宋体" w:hAnsi="宋体" w:cs="宋体"/>
          <w:color w:val="auto"/>
          <w:sz w:val="24"/>
          <w:szCs w:val="24"/>
          <w:highlight w:val="none"/>
        </w:rPr>
      </w:pPr>
    </w:p>
    <w:p w14:paraId="19FB31A6">
      <w:pPr>
        <w:snapToGrid w:val="0"/>
        <w:spacing w:line="360" w:lineRule="auto"/>
        <w:jc w:val="center"/>
        <w:rPr>
          <w:rFonts w:ascii="宋体" w:hAnsi="宋体" w:cs="宋体"/>
          <w:color w:val="auto"/>
          <w:sz w:val="24"/>
          <w:szCs w:val="24"/>
          <w:highlight w:val="none"/>
        </w:rPr>
      </w:pPr>
    </w:p>
    <w:p w14:paraId="0DBFCB74">
      <w:pPr>
        <w:snapToGrid w:val="0"/>
        <w:spacing w:line="360" w:lineRule="auto"/>
        <w:jc w:val="center"/>
        <w:rPr>
          <w:rFonts w:ascii="宋体" w:hAnsi="宋体" w:cs="宋体"/>
          <w:color w:val="auto"/>
          <w:sz w:val="24"/>
          <w:szCs w:val="24"/>
          <w:highlight w:val="none"/>
        </w:rPr>
      </w:pPr>
    </w:p>
    <w:p w14:paraId="0AD3F0A3">
      <w:pPr>
        <w:snapToGrid w:val="0"/>
        <w:spacing w:line="360" w:lineRule="auto"/>
        <w:jc w:val="center"/>
        <w:rPr>
          <w:rFonts w:ascii="宋体" w:hAnsi="宋体" w:cs="宋体"/>
          <w:color w:val="auto"/>
          <w:sz w:val="24"/>
          <w:szCs w:val="24"/>
          <w:highlight w:val="none"/>
        </w:rPr>
      </w:pPr>
    </w:p>
    <w:p w14:paraId="1FED8EEB">
      <w:pPr>
        <w:snapToGrid w:val="0"/>
        <w:spacing w:line="360" w:lineRule="auto"/>
        <w:jc w:val="center"/>
        <w:rPr>
          <w:rFonts w:ascii="宋体" w:hAnsi="宋体" w:cs="宋体"/>
          <w:color w:val="auto"/>
          <w:sz w:val="24"/>
          <w:szCs w:val="24"/>
          <w:highlight w:val="none"/>
        </w:rPr>
      </w:pPr>
    </w:p>
    <w:p w14:paraId="1B3FB5FE">
      <w:pPr>
        <w:snapToGrid w:val="0"/>
        <w:spacing w:line="360" w:lineRule="auto"/>
        <w:jc w:val="center"/>
        <w:rPr>
          <w:rFonts w:ascii="宋体" w:hAnsi="宋体" w:cs="宋体"/>
          <w:color w:val="auto"/>
          <w:sz w:val="24"/>
          <w:szCs w:val="24"/>
          <w:highlight w:val="none"/>
        </w:rPr>
      </w:pPr>
    </w:p>
    <w:p w14:paraId="6EBAC984">
      <w:pPr>
        <w:snapToGrid w:val="0"/>
        <w:spacing w:line="360" w:lineRule="auto"/>
        <w:jc w:val="center"/>
        <w:rPr>
          <w:rFonts w:ascii="宋体" w:hAnsi="宋体" w:cs="宋体"/>
          <w:color w:val="auto"/>
          <w:sz w:val="24"/>
          <w:szCs w:val="24"/>
          <w:highlight w:val="none"/>
        </w:rPr>
      </w:pPr>
    </w:p>
    <w:p w14:paraId="1AC836B8">
      <w:pPr>
        <w:snapToGrid w:val="0"/>
        <w:spacing w:line="360" w:lineRule="auto"/>
        <w:jc w:val="center"/>
        <w:rPr>
          <w:rFonts w:ascii="宋体" w:hAnsi="宋体" w:cs="宋体"/>
          <w:color w:val="auto"/>
          <w:sz w:val="24"/>
          <w:szCs w:val="24"/>
          <w:highlight w:val="none"/>
        </w:rPr>
      </w:pPr>
    </w:p>
    <w:p w14:paraId="1879F065">
      <w:pPr>
        <w:snapToGrid w:val="0"/>
        <w:spacing w:line="360" w:lineRule="auto"/>
        <w:jc w:val="center"/>
        <w:rPr>
          <w:rFonts w:ascii="宋体" w:hAnsi="宋体" w:cs="宋体"/>
          <w:color w:val="auto"/>
          <w:sz w:val="24"/>
          <w:szCs w:val="24"/>
          <w:highlight w:val="none"/>
        </w:rPr>
      </w:pPr>
    </w:p>
    <w:p w14:paraId="72ECCCFF">
      <w:pPr>
        <w:snapToGrid w:val="0"/>
        <w:spacing w:line="360" w:lineRule="auto"/>
        <w:jc w:val="center"/>
        <w:rPr>
          <w:rFonts w:ascii="宋体" w:hAnsi="宋体" w:cs="宋体"/>
          <w:color w:val="auto"/>
          <w:sz w:val="24"/>
          <w:szCs w:val="24"/>
          <w:highlight w:val="none"/>
        </w:rPr>
      </w:pPr>
    </w:p>
    <w:p w14:paraId="62430B7E">
      <w:pPr>
        <w:snapToGrid w:val="0"/>
        <w:spacing w:line="360" w:lineRule="auto"/>
        <w:jc w:val="center"/>
        <w:rPr>
          <w:rFonts w:ascii="宋体" w:hAnsi="宋体" w:cs="宋体"/>
          <w:color w:val="auto"/>
          <w:sz w:val="24"/>
          <w:szCs w:val="24"/>
          <w:highlight w:val="none"/>
        </w:rPr>
      </w:pPr>
    </w:p>
    <w:p w14:paraId="271FDD3E">
      <w:pPr>
        <w:snapToGrid w:val="0"/>
        <w:spacing w:line="360" w:lineRule="auto"/>
        <w:jc w:val="center"/>
        <w:rPr>
          <w:rFonts w:ascii="宋体" w:hAnsi="宋体" w:cs="宋体"/>
          <w:color w:val="auto"/>
          <w:sz w:val="24"/>
          <w:szCs w:val="24"/>
          <w:highlight w:val="none"/>
        </w:rPr>
      </w:pPr>
    </w:p>
    <w:p w14:paraId="0BA84111">
      <w:pPr>
        <w:snapToGrid w:val="0"/>
        <w:spacing w:line="360" w:lineRule="auto"/>
        <w:jc w:val="center"/>
        <w:rPr>
          <w:rFonts w:ascii="宋体" w:hAnsi="宋体" w:cs="宋体"/>
          <w:color w:val="auto"/>
          <w:sz w:val="24"/>
          <w:szCs w:val="24"/>
          <w:highlight w:val="none"/>
        </w:rPr>
      </w:pPr>
    </w:p>
    <w:p w14:paraId="56FBCB72">
      <w:pPr>
        <w:snapToGrid w:val="0"/>
        <w:spacing w:line="360" w:lineRule="auto"/>
        <w:jc w:val="center"/>
        <w:rPr>
          <w:rFonts w:ascii="宋体" w:hAnsi="宋体" w:cs="宋体"/>
          <w:color w:val="auto"/>
          <w:sz w:val="24"/>
          <w:szCs w:val="24"/>
          <w:highlight w:val="none"/>
        </w:rPr>
      </w:pPr>
    </w:p>
    <w:p w14:paraId="747B41DD">
      <w:pPr>
        <w:snapToGrid w:val="0"/>
        <w:spacing w:line="360" w:lineRule="auto"/>
        <w:jc w:val="center"/>
        <w:rPr>
          <w:rFonts w:ascii="宋体" w:hAnsi="宋体" w:cs="宋体"/>
          <w:color w:val="auto"/>
          <w:sz w:val="24"/>
          <w:szCs w:val="24"/>
          <w:highlight w:val="none"/>
        </w:rPr>
      </w:pPr>
    </w:p>
    <w:p w14:paraId="1FC1261F">
      <w:pPr>
        <w:snapToGrid w:val="0"/>
        <w:spacing w:line="360" w:lineRule="auto"/>
        <w:rPr>
          <w:rFonts w:ascii="宋体" w:hAnsi="宋体" w:cs="宋体"/>
          <w:color w:val="auto"/>
          <w:sz w:val="24"/>
          <w:szCs w:val="24"/>
          <w:highlight w:val="none"/>
        </w:rPr>
      </w:pPr>
    </w:p>
    <w:p w14:paraId="297FE67D">
      <w:pPr>
        <w:pStyle w:val="5"/>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Start w:id="348" w:name="_Toc7672"/>
      <w:bookmarkStart w:id="349" w:name="_Toc486608279"/>
      <w:bookmarkStart w:id="350" w:name="_Toc487204799"/>
      <w:bookmarkStart w:id="351" w:name="_Toc17029"/>
      <w:bookmarkStart w:id="352" w:name="_Toc486585242"/>
      <w:bookmarkStart w:id="353" w:name="_Toc5033"/>
      <w:r>
        <w:rPr>
          <w:rFonts w:hint="eastAsia" w:ascii="宋体" w:hAnsi="宋体" w:cs="宋体"/>
          <w:color w:val="auto"/>
          <w:sz w:val="24"/>
          <w:szCs w:val="24"/>
          <w:highlight w:val="none"/>
        </w:rPr>
        <w:t>三、商务部分</w:t>
      </w:r>
      <w:bookmarkEnd w:id="348"/>
      <w:bookmarkEnd w:id="349"/>
      <w:bookmarkEnd w:id="350"/>
      <w:bookmarkEnd w:id="351"/>
      <w:bookmarkEnd w:id="352"/>
      <w:bookmarkEnd w:id="353"/>
    </w:p>
    <w:p w14:paraId="6244EFF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（一）商务响应偏离表</w:t>
      </w:r>
    </w:p>
    <w:p w14:paraId="526AB18F">
      <w:pPr>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商务响应偏离表</w:t>
      </w:r>
    </w:p>
    <w:p w14:paraId="3C0B4DF3">
      <w:pPr>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对于</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的商务要求，如有任何偏离请如实填写下表：</w:t>
      </w:r>
    </w:p>
    <w:tbl>
      <w:tblPr>
        <w:tblStyle w:val="23"/>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E6A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D18A2B6">
            <w:pPr>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179" w:type="dxa"/>
            <w:vAlign w:val="center"/>
          </w:tcPr>
          <w:p w14:paraId="24A6E2D7">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项目商务需求</w:t>
            </w:r>
          </w:p>
        </w:tc>
        <w:tc>
          <w:tcPr>
            <w:tcW w:w="2434" w:type="dxa"/>
            <w:vAlign w:val="center"/>
          </w:tcPr>
          <w:p w14:paraId="40BE7356">
            <w:pPr>
              <w:jc w:val="center"/>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55" w:type="dxa"/>
            <w:vAlign w:val="center"/>
          </w:tcPr>
          <w:p w14:paraId="23B3FA02">
            <w:pPr>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差异</w:t>
            </w:r>
            <w:r>
              <w:rPr>
                <w:rFonts w:hint="eastAsia" w:ascii="宋体" w:hAnsi="宋体" w:cs="宋体"/>
                <w:color w:val="auto"/>
                <w:sz w:val="21"/>
                <w:szCs w:val="21"/>
                <w:highlight w:val="none"/>
              </w:rPr>
              <w:t>说明</w:t>
            </w:r>
          </w:p>
        </w:tc>
      </w:tr>
      <w:tr w14:paraId="4DB9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5F1047">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7E593807">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07349E07">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4FFE0EE8">
            <w:pPr>
              <w:tabs>
                <w:tab w:val="left" w:pos="6300"/>
              </w:tabs>
              <w:snapToGrid w:val="0"/>
              <w:spacing w:line="360" w:lineRule="auto"/>
              <w:jc w:val="center"/>
              <w:outlineLvl w:val="0"/>
              <w:rPr>
                <w:rFonts w:ascii="宋体" w:hAnsi="宋体" w:cs="宋体"/>
                <w:color w:val="auto"/>
                <w:sz w:val="21"/>
                <w:szCs w:val="21"/>
                <w:highlight w:val="none"/>
              </w:rPr>
            </w:pPr>
          </w:p>
        </w:tc>
      </w:tr>
      <w:tr w14:paraId="0999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A23BD6">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5D321F6A">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55B1384E">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0B40DDD7">
            <w:pPr>
              <w:tabs>
                <w:tab w:val="left" w:pos="6300"/>
              </w:tabs>
              <w:snapToGrid w:val="0"/>
              <w:spacing w:line="360" w:lineRule="auto"/>
              <w:jc w:val="center"/>
              <w:outlineLvl w:val="0"/>
              <w:rPr>
                <w:rFonts w:ascii="宋体" w:hAnsi="宋体" w:cs="宋体"/>
                <w:color w:val="auto"/>
                <w:sz w:val="21"/>
                <w:szCs w:val="21"/>
                <w:highlight w:val="none"/>
              </w:rPr>
            </w:pPr>
          </w:p>
        </w:tc>
      </w:tr>
      <w:tr w14:paraId="25F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AEFC7B">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526B3665">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004B9F7F">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7FB268BF">
            <w:pPr>
              <w:tabs>
                <w:tab w:val="left" w:pos="6300"/>
              </w:tabs>
              <w:snapToGrid w:val="0"/>
              <w:spacing w:line="360" w:lineRule="auto"/>
              <w:jc w:val="center"/>
              <w:outlineLvl w:val="0"/>
              <w:rPr>
                <w:rFonts w:ascii="宋体" w:hAnsi="宋体" w:cs="宋体"/>
                <w:color w:val="auto"/>
                <w:sz w:val="21"/>
                <w:szCs w:val="21"/>
                <w:highlight w:val="none"/>
              </w:rPr>
            </w:pPr>
          </w:p>
        </w:tc>
      </w:tr>
      <w:tr w14:paraId="0834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BEA98C">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36B28965">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567805E8">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4AAAF7CA">
            <w:pPr>
              <w:tabs>
                <w:tab w:val="left" w:pos="6300"/>
              </w:tabs>
              <w:snapToGrid w:val="0"/>
              <w:spacing w:line="360" w:lineRule="auto"/>
              <w:jc w:val="center"/>
              <w:outlineLvl w:val="0"/>
              <w:rPr>
                <w:rFonts w:ascii="宋体" w:hAnsi="宋体" w:cs="宋体"/>
                <w:color w:val="auto"/>
                <w:sz w:val="21"/>
                <w:szCs w:val="21"/>
                <w:highlight w:val="none"/>
              </w:rPr>
            </w:pPr>
          </w:p>
        </w:tc>
      </w:tr>
      <w:tr w14:paraId="7F98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EB184F">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6909DC78">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4155C592">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6E67A8D0">
            <w:pPr>
              <w:tabs>
                <w:tab w:val="left" w:pos="6300"/>
              </w:tabs>
              <w:snapToGrid w:val="0"/>
              <w:spacing w:line="360" w:lineRule="auto"/>
              <w:jc w:val="center"/>
              <w:outlineLvl w:val="0"/>
              <w:rPr>
                <w:rFonts w:ascii="宋体" w:hAnsi="宋体" w:cs="宋体"/>
                <w:color w:val="auto"/>
                <w:sz w:val="21"/>
                <w:szCs w:val="21"/>
                <w:highlight w:val="none"/>
              </w:rPr>
            </w:pPr>
          </w:p>
        </w:tc>
      </w:tr>
      <w:tr w14:paraId="35C5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2F6C088">
            <w:pPr>
              <w:tabs>
                <w:tab w:val="left" w:pos="6300"/>
              </w:tabs>
              <w:snapToGrid w:val="0"/>
              <w:spacing w:line="360" w:lineRule="auto"/>
              <w:jc w:val="center"/>
              <w:outlineLvl w:val="0"/>
              <w:rPr>
                <w:rFonts w:ascii="宋体" w:hAnsi="宋体" w:cs="宋体"/>
                <w:color w:val="auto"/>
                <w:sz w:val="21"/>
                <w:szCs w:val="21"/>
                <w:highlight w:val="none"/>
              </w:rPr>
            </w:pPr>
          </w:p>
        </w:tc>
        <w:tc>
          <w:tcPr>
            <w:tcW w:w="3179" w:type="dxa"/>
            <w:vAlign w:val="center"/>
          </w:tcPr>
          <w:p w14:paraId="7EDA64CD">
            <w:pPr>
              <w:tabs>
                <w:tab w:val="left" w:pos="6300"/>
              </w:tabs>
              <w:snapToGrid w:val="0"/>
              <w:spacing w:line="360" w:lineRule="auto"/>
              <w:jc w:val="center"/>
              <w:outlineLvl w:val="0"/>
              <w:rPr>
                <w:rFonts w:ascii="宋体" w:hAnsi="宋体" w:cs="宋体"/>
                <w:color w:val="auto"/>
                <w:sz w:val="21"/>
                <w:szCs w:val="21"/>
                <w:highlight w:val="none"/>
              </w:rPr>
            </w:pPr>
          </w:p>
        </w:tc>
        <w:tc>
          <w:tcPr>
            <w:tcW w:w="2434" w:type="dxa"/>
            <w:vAlign w:val="center"/>
          </w:tcPr>
          <w:p w14:paraId="0481EAE7">
            <w:pPr>
              <w:tabs>
                <w:tab w:val="left" w:pos="6300"/>
              </w:tabs>
              <w:snapToGrid w:val="0"/>
              <w:spacing w:line="360" w:lineRule="auto"/>
              <w:jc w:val="center"/>
              <w:outlineLvl w:val="0"/>
              <w:rPr>
                <w:rFonts w:ascii="宋体" w:hAnsi="宋体" w:cs="宋体"/>
                <w:color w:val="auto"/>
                <w:sz w:val="21"/>
                <w:szCs w:val="21"/>
                <w:highlight w:val="none"/>
              </w:rPr>
            </w:pPr>
          </w:p>
        </w:tc>
        <w:tc>
          <w:tcPr>
            <w:tcW w:w="2355" w:type="dxa"/>
            <w:vAlign w:val="center"/>
          </w:tcPr>
          <w:p w14:paraId="7BDDDC63">
            <w:pPr>
              <w:tabs>
                <w:tab w:val="left" w:pos="6300"/>
              </w:tabs>
              <w:snapToGrid w:val="0"/>
              <w:spacing w:line="360" w:lineRule="auto"/>
              <w:jc w:val="center"/>
              <w:outlineLvl w:val="0"/>
              <w:rPr>
                <w:rFonts w:ascii="宋体" w:hAnsi="宋体" w:cs="宋体"/>
                <w:color w:val="auto"/>
                <w:sz w:val="21"/>
                <w:szCs w:val="21"/>
                <w:highlight w:val="none"/>
              </w:rPr>
            </w:pPr>
          </w:p>
        </w:tc>
      </w:tr>
    </w:tbl>
    <w:p w14:paraId="39259C57">
      <w:pPr>
        <w:spacing w:line="500" w:lineRule="exact"/>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供应商：                                   法定代表人授权代表：</w:t>
      </w:r>
    </w:p>
    <w:p w14:paraId="21B24C2A">
      <w:pPr>
        <w:spacing w:line="500" w:lineRule="exact"/>
        <w:ind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（供应商公章）                                 （签字或盖章）</w:t>
      </w:r>
    </w:p>
    <w:p w14:paraId="206540FA">
      <w:pPr>
        <w:tabs>
          <w:tab w:val="left" w:pos="6300"/>
        </w:tabs>
        <w:snapToGrid w:val="0"/>
        <w:spacing w:line="500" w:lineRule="exact"/>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7C5CBFC5">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14:paraId="356651C9">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1.本表即为对本项目“第三篇 项目商务要求”中所列服务要求进行比较和响应；</w:t>
      </w:r>
    </w:p>
    <w:p w14:paraId="01F5F6EC">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2.该表必须按照</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要求逐条如实填写，根据响应情况在“差异说明”项填写正偏离或负偏离及原因，完全符合的填写“无差异”；</w:t>
      </w:r>
    </w:p>
    <w:p w14:paraId="6001F0F1">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3.该表可扩展，并逐页签字或盖章；</w:t>
      </w:r>
    </w:p>
    <w:p w14:paraId="713B0550">
      <w:pPr>
        <w:spacing w:line="360" w:lineRule="auto"/>
        <w:rPr>
          <w:rFonts w:ascii="宋体" w:hAnsi="宋体" w:cs="宋体"/>
          <w:color w:val="auto"/>
          <w:sz w:val="21"/>
          <w:szCs w:val="21"/>
          <w:highlight w:val="none"/>
        </w:rPr>
      </w:pPr>
      <w:r>
        <w:rPr>
          <w:rFonts w:hint="eastAsia" w:ascii="宋体" w:hAnsi="宋体" w:cs="宋体"/>
          <w:color w:val="auto"/>
          <w:sz w:val="22"/>
          <w:szCs w:val="22"/>
          <w:highlight w:val="none"/>
        </w:rPr>
        <w:br w:type="page"/>
      </w:r>
      <w:r>
        <w:rPr>
          <w:rFonts w:hint="eastAsia" w:ascii="宋体" w:hAnsi="宋体" w:cs="宋体"/>
          <w:color w:val="auto"/>
          <w:sz w:val="22"/>
          <w:szCs w:val="22"/>
          <w:highlight w:val="none"/>
        </w:rPr>
        <w:t xml:space="preserve">  </w:t>
      </w:r>
      <w:r>
        <w:rPr>
          <w:rFonts w:hint="eastAsia" w:ascii="宋体" w:hAnsi="宋体" w:cs="宋体"/>
          <w:color w:val="auto"/>
          <w:sz w:val="21"/>
          <w:szCs w:val="21"/>
          <w:highlight w:val="none"/>
        </w:rPr>
        <w:t>（二）商务部分相关证明材料</w:t>
      </w:r>
    </w:p>
    <w:p w14:paraId="7659D8EC">
      <w:pPr>
        <w:pStyle w:val="9"/>
        <w:spacing w:line="360" w:lineRule="auto"/>
        <w:ind w:firstLine="420" w:firstLineChars="200"/>
        <w:rPr>
          <w:rFonts w:ascii="宋体" w:hAnsi="宋体" w:cs="宋体"/>
          <w:color w:val="auto"/>
          <w:sz w:val="22"/>
          <w:szCs w:val="22"/>
          <w:highlight w:val="none"/>
        </w:rPr>
      </w:pPr>
      <w:r>
        <w:rPr>
          <w:rFonts w:hint="eastAsia" w:ascii="宋体" w:hAnsi="宋体" w:cs="宋体"/>
          <w:color w:val="auto"/>
          <w:sz w:val="21"/>
          <w:szCs w:val="21"/>
          <w:highlight w:val="none"/>
        </w:rPr>
        <w:t>供应商根据</w:t>
      </w:r>
      <w:r>
        <w:rPr>
          <w:rFonts w:hint="eastAsia" w:ascii="宋体" w:hAnsi="宋体" w:cs="宋体"/>
          <w:color w:val="auto"/>
          <w:sz w:val="21"/>
          <w:szCs w:val="21"/>
          <w:highlight w:val="none"/>
          <w:lang w:eastAsia="zh-CN"/>
        </w:rPr>
        <w:t>竞采文件</w:t>
      </w:r>
      <w:r>
        <w:rPr>
          <w:rFonts w:hint="eastAsia" w:ascii="宋体" w:hAnsi="宋体" w:cs="宋体"/>
          <w:color w:val="auto"/>
          <w:sz w:val="21"/>
          <w:szCs w:val="21"/>
          <w:highlight w:val="none"/>
        </w:rPr>
        <w:t>“第四篇 资格审查及评标办法”中商务部分的评审标准编制，格式自拟。</w:t>
      </w:r>
    </w:p>
    <w:p w14:paraId="4EB74B5B">
      <w:pPr>
        <w:spacing w:line="380" w:lineRule="exact"/>
        <w:ind w:firstLine="210" w:firstLineChars="100"/>
        <w:rPr>
          <w:rFonts w:ascii="宋体" w:hAnsi="宋体" w:cs="宋体"/>
          <w:color w:val="auto"/>
          <w:sz w:val="21"/>
          <w:szCs w:val="21"/>
          <w:highlight w:val="none"/>
        </w:rPr>
      </w:pPr>
    </w:p>
    <w:p w14:paraId="16964C40">
      <w:pPr>
        <w:pStyle w:val="21"/>
        <w:rPr>
          <w:rFonts w:cs="宋体"/>
          <w:color w:val="auto"/>
          <w:sz w:val="21"/>
          <w:szCs w:val="21"/>
          <w:highlight w:val="none"/>
        </w:rPr>
      </w:pPr>
    </w:p>
    <w:p w14:paraId="678B2A56">
      <w:pPr>
        <w:rPr>
          <w:rFonts w:ascii="宋体" w:hAnsi="宋体" w:cs="宋体"/>
          <w:color w:val="auto"/>
          <w:sz w:val="22"/>
          <w:szCs w:val="22"/>
          <w:highlight w:val="none"/>
        </w:rPr>
      </w:pPr>
    </w:p>
    <w:p w14:paraId="3AD3825D">
      <w:pPr>
        <w:spacing w:line="380" w:lineRule="exact"/>
        <w:ind w:firstLine="210" w:firstLineChars="100"/>
        <w:rPr>
          <w:rFonts w:ascii="宋体" w:hAnsi="宋体" w:cs="宋体"/>
          <w:color w:val="auto"/>
          <w:sz w:val="21"/>
          <w:szCs w:val="21"/>
          <w:highlight w:val="none"/>
        </w:rPr>
      </w:pPr>
      <w:r>
        <w:rPr>
          <w:rFonts w:hint="eastAsia" w:ascii="宋体" w:hAnsi="宋体" w:cs="宋体"/>
          <w:color w:val="auto"/>
          <w:sz w:val="21"/>
          <w:szCs w:val="21"/>
          <w:highlight w:val="none"/>
        </w:rPr>
        <w:t>（三）其它优惠承诺（格式自定）</w:t>
      </w:r>
    </w:p>
    <w:p w14:paraId="45C46199">
      <w:pPr>
        <w:pStyle w:val="5"/>
        <w:spacing w:before="0" w:after="0" w:line="360" w:lineRule="auto"/>
        <w:rPr>
          <w:rFonts w:ascii="宋体" w:hAnsi="宋体" w:cs="宋体"/>
          <w:color w:val="auto"/>
          <w:sz w:val="24"/>
          <w:szCs w:val="24"/>
          <w:highlight w:val="none"/>
        </w:rPr>
      </w:pPr>
      <w:r>
        <w:rPr>
          <w:rFonts w:hint="eastAsia" w:ascii="宋体" w:hAnsi="宋体" w:cs="宋体"/>
          <w:b w:val="0"/>
          <w:color w:val="auto"/>
          <w:sz w:val="22"/>
          <w:szCs w:val="22"/>
          <w:highlight w:val="none"/>
        </w:rPr>
        <w:br w:type="page"/>
      </w:r>
      <w:bookmarkStart w:id="354" w:name="_Toc486608280"/>
      <w:bookmarkStart w:id="355" w:name="_Toc23557"/>
      <w:bookmarkStart w:id="356" w:name="_Toc8290"/>
      <w:bookmarkStart w:id="357" w:name="_Toc486585243"/>
      <w:bookmarkStart w:id="358" w:name="_Toc21733"/>
      <w:bookmarkStart w:id="359" w:name="_Toc487204800"/>
      <w:bookmarkStart w:id="360" w:name="_Toc20421"/>
      <w:r>
        <w:rPr>
          <w:rFonts w:hint="eastAsia" w:ascii="宋体" w:hAnsi="宋体" w:cs="宋体"/>
          <w:color w:val="auto"/>
          <w:sz w:val="24"/>
          <w:szCs w:val="24"/>
          <w:highlight w:val="none"/>
        </w:rPr>
        <w:t>四、资格条件及其他</w:t>
      </w:r>
      <w:bookmarkEnd w:id="354"/>
      <w:bookmarkEnd w:id="355"/>
      <w:bookmarkEnd w:id="356"/>
      <w:bookmarkEnd w:id="357"/>
      <w:bookmarkEnd w:id="358"/>
      <w:bookmarkEnd w:id="359"/>
      <w:bookmarkEnd w:id="360"/>
    </w:p>
    <w:p w14:paraId="478B0EA7">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（一）营业执照（副本）或事业单位法人证书（副本）复印件</w:t>
      </w:r>
    </w:p>
    <w:p w14:paraId="3E9BDAB2">
      <w:pPr>
        <w:tabs>
          <w:tab w:val="left" w:pos="6300"/>
        </w:tabs>
        <w:snapToGrid w:val="0"/>
        <w:spacing w:line="360" w:lineRule="auto"/>
        <w:ind w:firstLine="570"/>
        <w:rPr>
          <w:rFonts w:ascii="宋体" w:hAnsi="宋体" w:cs="宋体"/>
          <w:color w:val="auto"/>
          <w:sz w:val="21"/>
          <w:szCs w:val="21"/>
          <w:highlight w:val="none"/>
        </w:rPr>
      </w:pPr>
    </w:p>
    <w:p w14:paraId="7126B091">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（二）组织机构代码证复印件</w:t>
      </w:r>
    </w:p>
    <w:p w14:paraId="0CC12CFC">
      <w:pPr>
        <w:tabs>
          <w:tab w:val="left" w:pos="6300"/>
        </w:tabs>
        <w:snapToGrid w:val="0"/>
        <w:spacing w:line="380" w:lineRule="exact"/>
        <w:ind w:firstLine="570"/>
        <w:rPr>
          <w:rFonts w:ascii="宋体" w:hAnsi="宋体" w:cs="宋体"/>
          <w:color w:val="auto"/>
          <w:sz w:val="21"/>
          <w:szCs w:val="21"/>
          <w:highlight w:val="none"/>
        </w:rPr>
      </w:pPr>
    </w:p>
    <w:p w14:paraId="1FA474D9">
      <w:pPr>
        <w:widowControl/>
        <w:spacing w:line="360" w:lineRule="auto"/>
        <w:ind w:firstLine="440" w:firstLineChars="200"/>
        <w:jc w:val="left"/>
        <w:rPr>
          <w:rFonts w:ascii="宋体" w:hAnsi="宋体" w:cs="宋体"/>
          <w:color w:val="auto"/>
          <w:sz w:val="21"/>
          <w:szCs w:val="21"/>
          <w:highlight w:val="none"/>
        </w:rPr>
      </w:pPr>
      <w:r>
        <w:rPr>
          <w:rFonts w:hint="eastAsia" w:ascii="宋体" w:hAnsi="宋体" w:cs="宋体"/>
          <w:color w:val="auto"/>
          <w:sz w:val="22"/>
          <w:szCs w:val="22"/>
          <w:highlight w:val="none"/>
        </w:rPr>
        <w:br w:type="page"/>
      </w:r>
      <w:r>
        <w:rPr>
          <w:rFonts w:hint="eastAsia" w:ascii="宋体" w:hAnsi="宋体" w:cs="宋体"/>
          <w:color w:val="auto"/>
          <w:sz w:val="21"/>
          <w:szCs w:val="21"/>
          <w:highlight w:val="none"/>
        </w:rPr>
        <w:t>（三）法定代表人身份证明书（格式）</w:t>
      </w:r>
    </w:p>
    <w:p w14:paraId="08C25FCF">
      <w:pPr>
        <w:tabs>
          <w:tab w:val="left" w:pos="6300"/>
        </w:tabs>
        <w:snapToGrid w:val="0"/>
        <w:spacing w:line="360" w:lineRule="auto"/>
        <w:ind w:firstLine="570"/>
        <w:rPr>
          <w:rFonts w:ascii="宋体" w:hAnsi="宋体" w:cs="宋体"/>
          <w:color w:val="auto"/>
          <w:sz w:val="21"/>
          <w:szCs w:val="21"/>
          <w:highlight w:val="none"/>
        </w:rPr>
      </w:pPr>
    </w:p>
    <w:p w14:paraId="35CEEA75">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项目名称：</w:t>
      </w:r>
    </w:p>
    <w:p w14:paraId="758EC252">
      <w:pPr>
        <w:tabs>
          <w:tab w:val="left" w:pos="6300"/>
        </w:tabs>
        <w:snapToGrid w:val="0"/>
        <w:spacing w:line="360" w:lineRule="auto"/>
        <w:ind w:firstLine="570"/>
        <w:rPr>
          <w:rFonts w:ascii="宋体" w:hAnsi="宋体" w:cs="宋体"/>
          <w:color w:val="auto"/>
          <w:sz w:val="21"/>
          <w:szCs w:val="21"/>
          <w:highlight w:val="none"/>
        </w:rPr>
      </w:pPr>
    </w:p>
    <w:p w14:paraId="37E3C590">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2FB6C7D1">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u w:val="single"/>
        </w:rPr>
        <w:t>（法定代表人姓名）</w:t>
      </w:r>
      <w:r>
        <w:rPr>
          <w:rFonts w:hint="eastAsia" w:ascii="宋体" w:hAnsi="宋体" w:cs="宋体"/>
          <w:color w:val="auto"/>
          <w:sz w:val="21"/>
          <w:szCs w:val="21"/>
          <w:highlight w:val="none"/>
        </w:rPr>
        <w:t>在</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任</w:t>
      </w:r>
      <w:r>
        <w:rPr>
          <w:rFonts w:hint="eastAsia" w:ascii="宋体" w:hAnsi="宋体" w:cs="宋体"/>
          <w:color w:val="auto"/>
          <w:sz w:val="21"/>
          <w:szCs w:val="21"/>
          <w:highlight w:val="none"/>
          <w:u w:val="single"/>
        </w:rPr>
        <w:t>（职务名称）</w:t>
      </w:r>
      <w:r>
        <w:rPr>
          <w:rFonts w:hint="eastAsia" w:ascii="宋体" w:hAnsi="宋体" w:cs="宋体"/>
          <w:color w:val="auto"/>
          <w:sz w:val="21"/>
          <w:szCs w:val="21"/>
          <w:highlight w:val="none"/>
        </w:rPr>
        <w:t>职务，是</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的法定代表人。</w:t>
      </w:r>
    </w:p>
    <w:p w14:paraId="5CFE8216">
      <w:pPr>
        <w:tabs>
          <w:tab w:val="left" w:pos="6300"/>
        </w:tabs>
        <w:snapToGrid w:val="0"/>
        <w:spacing w:line="360" w:lineRule="auto"/>
        <w:ind w:firstLine="570"/>
        <w:rPr>
          <w:rFonts w:ascii="宋体" w:hAnsi="宋体" w:cs="宋体"/>
          <w:color w:val="auto"/>
          <w:sz w:val="21"/>
          <w:szCs w:val="21"/>
          <w:highlight w:val="none"/>
        </w:rPr>
      </w:pPr>
    </w:p>
    <w:p w14:paraId="23717F7D">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4AB5F5F8">
      <w:pPr>
        <w:tabs>
          <w:tab w:val="left" w:pos="6300"/>
        </w:tabs>
        <w:snapToGrid w:val="0"/>
        <w:spacing w:line="360" w:lineRule="auto"/>
        <w:ind w:firstLine="570"/>
        <w:rPr>
          <w:rFonts w:ascii="宋体" w:hAnsi="宋体" w:cs="宋体"/>
          <w:color w:val="auto"/>
          <w:sz w:val="21"/>
          <w:szCs w:val="21"/>
          <w:highlight w:val="none"/>
        </w:rPr>
      </w:pPr>
    </w:p>
    <w:p w14:paraId="141903FB">
      <w:pPr>
        <w:tabs>
          <w:tab w:val="left" w:pos="6300"/>
        </w:tabs>
        <w:snapToGrid w:val="0"/>
        <w:spacing w:line="360" w:lineRule="auto"/>
        <w:ind w:firstLine="570"/>
        <w:rPr>
          <w:rFonts w:ascii="宋体" w:hAnsi="宋体" w:cs="宋体"/>
          <w:color w:val="auto"/>
          <w:sz w:val="21"/>
          <w:szCs w:val="21"/>
          <w:highlight w:val="none"/>
        </w:rPr>
      </w:pPr>
    </w:p>
    <w:p w14:paraId="1FA465AA">
      <w:pPr>
        <w:tabs>
          <w:tab w:val="left" w:pos="6300"/>
        </w:tabs>
        <w:snapToGrid w:val="0"/>
        <w:spacing w:line="360" w:lineRule="auto"/>
        <w:ind w:firstLine="570"/>
        <w:rPr>
          <w:rFonts w:ascii="宋体" w:hAnsi="宋体" w:cs="宋体"/>
          <w:color w:val="auto"/>
          <w:sz w:val="21"/>
          <w:szCs w:val="21"/>
          <w:highlight w:val="none"/>
        </w:rPr>
      </w:pPr>
    </w:p>
    <w:p w14:paraId="669027D8">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（供应商公章）</w:t>
      </w:r>
    </w:p>
    <w:p w14:paraId="3C1D8CE1">
      <w:pPr>
        <w:tabs>
          <w:tab w:val="left" w:pos="6300"/>
        </w:tabs>
        <w:snapToGrid w:val="0"/>
        <w:spacing w:line="360" w:lineRule="auto"/>
        <w:ind w:firstLine="570"/>
        <w:rPr>
          <w:rFonts w:ascii="宋体" w:hAnsi="宋体" w:cs="宋体"/>
          <w:color w:val="auto"/>
          <w:sz w:val="21"/>
          <w:szCs w:val="21"/>
          <w:highlight w:val="none"/>
        </w:rPr>
      </w:pPr>
    </w:p>
    <w:p w14:paraId="43544C42">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6630F1CB">
      <w:pPr>
        <w:tabs>
          <w:tab w:val="left" w:pos="6300"/>
        </w:tabs>
        <w:snapToGrid w:val="0"/>
        <w:spacing w:line="360" w:lineRule="auto"/>
        <w:ind w:firstLine="570"/>
        <w:rPr>
          <w:rFonts w:ascii="宋体" w:hAnsi="宋体" w:cs="宋体"/>
          <w:color w:val="auto"/>
          <w:sz w:val="21"/>
          <w:szCs w:val="21"/>
          <w:highlight w:val="none"/>
        </w:rPr>
      </w:pPr>
    </w:p>
    <w:p w14:paraId="0373313D">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（附：法定代表人身份证双面复印件）</w:t>
      </w:r>
    </w:p>
    <w:p w14:paraId="04667D24">
      <w:pPr>
        <w:tabs>
          <w:tab w:val="left" w:pos="6300"/>
        </w:tabs>
        <w:snapToGrid w:val="0"/>
        <w:spacing w:line="360" w:lineRule="auto"/>
        <w:ind w:firstLine="570"/>
        <w:rPr>
          <w:rFonts w:ascii="宋体" w:hAnsi="宋体" w:cs="宋体"/>
          <w:color w:val="auto"/>
          <w:sz w:val="22"/>
          <w:szCs w:val="22"/>
          <w:highlight w:val="none"/>
        </w:rPr>
      </w:pPr>
    </w:p>
    <w:p w14:paraId="6F2D1310">
      <w:pPr>
        <w:tabs>
          <w:tab w:val="left" w:pos="6300"/>
        </w:tabs>
        <w:snapToGrid w:val="0"/>
        <w:spacing w:line="380" w:lineRule="exact"/>
        <w:ind w:firstLine="570"/>
        <w:rPr>
          <w:rFonts w:ascii="宋体" w:hAnsi="宋体" w:cs="宋体"/>
          <w:color w:val="auto"/>
          <w:sz w:val="24"/>
          <w:szCs w:val="24"/>
          <w:highlight w:val="none"/>
        </w:rPr>
      </w:pPr>
    </w:p>
    <w:p w14:paraId="001D5480">
      <w:pPr>
        <w:tabs>
          <w:tab w:val="left" w:pos="6300"/>
        </w:tabs>
        <w:snapToGrid w:val="0"/>
        <w:spacing w:line="380" w:lineRule="exact"/>
        <w:ind w:firstLine="570"/>
        <w:rPr>
          <w:rFonts w:ascii="宋体" w:hAnsi="宋体" w:cs="宋体"/>
          <w:color w:val="auto"/>
          <w:sz w:val="24"/>
          <w:szCs w:val="24"/>
          <w:highlight w:val="none"/>
        </w:rPr>
      </w:pPr>
    </w:p>
    <w:p w14:paraId="05F44FAB">
      <w:pPr>
        <w:tabs>
          <w:tab w:val="left" w:pos="6300"/>
        </w:tabs>
        <w:snapToGrid w:val="0"/>
        <w:spacing w:line="380" w:lineRule="exact"/>
        <w:ind w:firstLine="570"/>
        <w:rPr>
          <w:rFonts w:ascii="宋体" w:hAnsi="宋体" w:cs="宋体"/>
          <w:color w:val="auto"/>
          <w:sz w:val="24"/>
          <w:szCs w:val="24"/>
          <w:highlight w:val="none"/>
        </w:rPr>
      </w:pPr>
    </w:p>
    <w:p w14:paraId="49BD33AE">
      <w:pPr>
        <w:tabs>
          <w:tab w:val="left" w:pos="6300"/>
        </w:tabs>
        <w:snapToGrid w:val="0"/>
        <w:spacing w:line="380" w:lineRule="exact"/>
        <w:ind w:firstLine="570"/>
        <w:rPr>
          <w:rFonts w:ascii="宋体" w:hAnsi="宋体" w:cs="宋体"/>
          <w:color w:val="auto"/>
          <w:sz w:val="24"/>
          <w:szCs w:val="24"/>
          <w:highlight w:val="none"/>
        </w:rPr>
      </w:pPr>
    </w:p>
    <w:p w14:paraId="0A7CA986">
      <w:pPr>
        <w:tabs>
          <w:tab w:val="left" w:pos="6300"/>
        </w:tabs>
        <w:snapToGrid w:val="0"/>
        <w:spacing w:line="380" w:lineRule="exact"/>
        <w:ind w:firstLine="570"/>
        <w:rPr>
          <w:rFonts w:ascii="宋体" w:hAnsi="宋体" w:cs="宋体"/>
          <w:color w:val="auto"/>
          <w:sz w:val="24"/>
          <w:szCs w:val="24"/>
          <w:highlight w:val="none"/>
        </w:rPr>
      </w:pPr>
    </w:p>
    <w:p w14:paraId="58A523DE">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4"/>
          <w:szCs w:val="24"/>
          <w:highlight w:val="none"/>
        </w:rPr>
        <w:br w:type="column"/>
      </w:r>
      <w:r>
        <w:rPr>
          <w:rFonts w:hint="eastAsia" w:ascii="宋体" w:hAnsi="宋体" w:cs="宋体"/>
          <w:color w:val="auto"/>
          <w:sz w:val="21"/>
          <w:szCs w:val="21"/>
          <w:highlight w:val="none"/>
        </w:rPr>
        <w:t>（四）法定代表人授权委托书（格式）</w:t>
      </w:r>
    </w:p>
    <w:p w14:paraId="4D954BBB">
      <w:pPr>
        <w:tabs>
          <w:tab w:val="left" w:pos="6300"/>
        </w:tabs>
        <w:snapToGrid w:val="0"/>
        <w:spacing w:line="360" w:lineRule="auto"/>
        <w:ind w:firstLine="570"/>
        <w:rPr>
          <w:rFonts w:ascii="宋体" w:hAnsi="宋体" w:cs="宋体"/>
          <w:color w:val="auto"/>
          <w:sz w:val="21"/>
          <w:szCs w:val="21"/>
          <w:highlight w:val="none"/>
        </w:rPr>
      </w:pPr>
    </w:p>
    <w:p w14:paraId="53705864">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p>
    <w:p w14:paraId="3E4497E2">
      <w:pPr>
        <w:tabs>
          <w:tab w:val="left" w:pos="6300"/>
        </w:tabs>
        <w:snapToGrid w:val="0"/>
        <w:spacing w:line="360" w:lineRule="auto"/>
        <w:ind w:firstLine="570"/>
        <w:rPr>
          <w:rFonts w:ascii="宋体" w:hAnsi="宋体" w:cs="宋体"/>
          <w:color w:val="auto"/>
          <w:sz w:val="21"/>
          <w:szCs w:val="21"/>
          <w:highlight w:val="none"/>
        </w:rPr>
      </w:pPr>
    </w:p>
    <w:p w14:paraId="2CC72AF8">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（采购人名称）</w:t>
      </w:r>
      <w:r>
        <w:rPr>
          <w:rFonts w:hint="eastAsia" w:ascii="宋体" w:hAnsi="宋体" w:cs="宋体"/>
          <w:color w:val="auto"/>
          <w:sz w:val="21"/>
          <w:szCs w:val="21"/>
          <w:highlight w:val="none"/>
        </w:rPr>
        <w:t>：</w:t>
      </w:r>
    </w:p>
    <w:p w14:paraId="4179F831">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rPr>
        <w:t>（供应商法定代表人名称）</w:t>
      </w:r>
      <w:r>
        <w:rPr>
          <w:rFonts w:hint="eastAsia" w:ascii="宋体" w:hAnsi="宋体" w:cs="宋体"/>
          <w:color w:val="auto"/>
          <w:sz w:val="21"/>
          <w:szCs w:val="21"/>
          <w:highlight w:val="none"/>
        </w:rPr>
        <w:t>是</w:t>
      </w:r>
      <w:r>
        <w:rPr>
          <w:rFonts w:hint="eastAsia" w:ascii="宋体" w:hAnsi="宋体" w:cs="宋体"/>
          <w:color w:val="auto"/>
          <w:sz w:val="21"/>
          <w:szCs w:val="21"/>
          <w:highlight w:val="none"/>
          <w:u w:val="single"/>
        </w:rPr>
        <w:t>（供应商名称）</w:t>
      </w:r>
      <w:r>
        <w:rPr>
          <w:rFonts w:hint="eastAsia" w:ascii="宋体" w:hAnsi="宋体" w:cs="宋体"/>
          <w:color w:val="auto"/>
          <w:sz w:val="21"/>
          <w:szCs w:val="21"/>
          <w:highlight w:val="none"/>
        </w:rPr>
        <w:t>的法定代表人，特授权</w:t>
      </w:r>
      <w:r>
        <w:rPr>
          <w:rFonts w:hint="eastAsia" w:ascii="宋体" w:hAnsi="宋体" w:cs="宋体"/>
          <w:color w:val="auto"/>
          <w:sz w:val="21"/>
          <w:szCs w:val="21"/>
          <w:highlight w:val="none"/>
          <w:u w:val="single"/>
        </w:rPr>
        <w:t>（被授权人姓名及身份证代码）</w:t>
      </w:r>
      <w:r>
        <w:rPr>
          <w:rFonts w:hint="eastAsia" w:ascii="宋体" w:hAnsi="宋体" w:cs="宋体"/>
          <w:color w:val="auto"/>
          <w:sz w:val="21"/>
          <w:szCs w:val="21"/>
          <w:highlight w:val="none"/>
        </w:rPr>
        <w:t>代表我单位全权办理上述项目的投标、签约等具体工作，并签署全部有关文件、协议及合同。</w:t>
      </w:r>
    </w:p>
    <w:p w14:paraId="15A8921E">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我单位对被授权人的签字负全部责任。</w:t>
      </w:r>
    </w:p>
    <w:p w14:paraId="0373B591">
      <w:pPr>
        <w:tabs>
          <w:tab w:val="left" w:pos="6300"/>
        </w:tabs>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在撤消授权的书面通知以前，本授权书一直有效。被授权人在授权书有效期内签署的所有文件不因授权的撤消而失效。</w:t>
      </w:r>
    </w:p>
    <w:p w14:paraId="3B60D853">
      <w:pPr>
        <w:tabs>
          <w:tab w:val="left" w:pos="6300"/>
        </w:tabs>
        <w:snapToGrid w:val="0"/>
        <w:spacing w:line="360" w:lineRule="auto"/>
        <w:ind w:firstLine="570"/>
        <w:rPr>
          <w:rFonts w:ascii="宋体" w:hAnsi="宋体" w:cs="宋体"/>
          <w:color w:val="auto"/>
          <w:sz w:val="21"/>
          <w:szCs w:val="21"/>
          <w:highlight w:val="none"/>
        </w:rPr>
      </w:pPr>
    </w:p>
    <w:p w14:paraId="073E6492">
      <w:pPr>
        <w:tabs>
          <w:tab w:val="left" w:pos="6300"/>
        </w:tabs>
        <w:snapToGrid w:val="0"/>
        <w:spacing w:line="360" w:lineRule="auto"/>
        <w:ind w:firstLine="570"/>
        <w:rPr>
          <w:rFonts w:ascii="宋体" w:hAnsi="宋体" w:cs="宋体"/>
          <w:color w:val="auto"/>
          <w:sz w:val="21"/>
          <w:szCs w:val="21"/>
          <w:highlight w:val="none"/>
        </w:rPr>
      </w:pPr>
    </w:p>
    <w:p w14:paraId="2655B18F">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被授权人：                                   供应商法定代表人：</w:t>
      </w:r>
    </w:p>
    <w:p w14:paraId="008DE669">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（签字或盖章）                              （签字或盖章）</w:t>
      </w:r>
    </w:p>
    <w:p w14:paraId="750DD2F7">
      <w:pPr>
        <w:tabs>
          <w:tab w:val="left" w:pos="6300"/>
        </w:tabs>
        <w:snapToGrid w:val="0"/>
        <w:spacing w:line="360" w:lineRule="auto"/>
        <w:ind w:firstLine="570"/>
        <w:rPr>
          <w:rFonts w:ascii="宋体" w:hAnsi="宋体" w:cs="宋体"/>
          <w:color w:val="auto"/>
          <w:sz w:val="21"/>
          <w:szCs w:val="21"/>
          <w:highlight w:val="none"/>
        </w:rPr>
      </w:pPr>
    </w:p>
    <w:p w14:paraId="5DF54A4E">
      <w:pPr>
        <w:tabs>
          <w:tab w:val="left" w:pos="6300"/>
        </w:tabs>
        <w:snapToGrid w:val="0"/>
        <w:spacing w:line="360" w:lineRule="auto"/>
        <w:ind w:firstLine="570"/>
        <w:rPr>
          <w:rFonts w:ascii="宋体" w:hAnsi="宋体" w:cs="宋体"/>
          <w:color w:val="auto"/>
          <w:sz w:val="21"/>
          <w:szCs w:val="21"/>
          <w:highlight w:val="none"/>
        </w:rPr>
      </w:pPr>
    </w:p>
    <w:p w14:paraId="11A8F4AC">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（附：被授权人身份证双面复印件）</w:t>
      </w:r>
    </w:p>
    <w:p w14:paraId="346EBA16">
      <w:pPr>
        <w:tabs>
          <w:tab w:val="left" w:pos="6300"/>
        </w:tabs>
        <w:snapToGrid w:val="0"/>
        <w:spacing w:line="360" w:lineRule="auto"/>
        <w:ind w:firstLine="570"/>
        <w:rPr>
          <w:rFonts w:ascii="宋体" w:hAnsi="宋体" w:cs="宋体"/>
          <w:color w:val="auto"/>
          <w:sz w:val="21"/>
          <w:szCs w:val="21"/>
          <w:highlight w:val="none"/>
        </w:rPr>
      </w:pPr>
    </w:p>
    <w:p w14:paraId="516E83E3">
      <w:pPr>
        <w:tabs>
          <w:tab w:val="left" w:pos="6300"/>
        </w:tabs>
        <w:snapToGrid w:val="0"/>
        <w:spacing w:line="360" w:lineRule="auto"/>
        <w:ind w:firstLine="570"/>
        <w:rPr>
          <w:rFonts w:ascii="宋体" w:hAnsi="宋体" w:cs="宋体"/>
          <w:color w:val="auto"/>
          <w:sz w:val="21"/>
          <w:szCs w:val="21"/>
          <w:highlight w:val="none"/>
        </w:rPr>
      </w:pPr>
    </w:p>
    <w:p w14:paraId="18D69C1C">
      <w:pPr>
        <w:tabs>
          <w:tab w:val="left" w:pos="6300"/>
        </w:tabs>
        <w:snapToGrid w:val="0"/>
        <w:spacing w:line="360" w:lineRule="auto"/>
        <w:ind w:firstLine="570"/>
        <w:rPr>
          <w:rFonts w:ascii="宋体" w:hAnsi="宋体" w:cs="宋体"/>
          <w:color w:val="auto"/>
          <w:sz w:val="21"/>
          <w:szCs w:val="21"/>
          <w:highlight w:val="none"/>
        </w:rPr>
      </w:pPr>
    </w:p>
    <w:p w14:paraId="1D6D2A0F">
      <w:pPr>
        <w:tabs>
          <w:tab w:val="left" w:pos="6300"/>
        </w:tabs>
        <w:snapToGrid w:val="0"/>
        <w:spacing w:line="360" w:lineRule="auto"/>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（供应商公章）</w:t>
      </w:r>
    </w:p>
    <w:p w14:paraId="24CCA951">
      <w:pPr>
        <w:tabs>
          <w:tab w:val="left" w:pos="6300"/>
        </w:tabs>
        <w:snapToGrid w:val="0"/>
        <w:spacing w:line="360" w:lineRule="auto"/>
        <w:ind w:right="480" w:firstLine="570"/>
        <w:jc w:val="right"/>
        <w:rPr>
          <w:rFonts w:ascii="宋体" w:hAnsi="宋体" w:cs="宋体"/>
          <w:color w:val="auto"/>
          <w:sz w:val="21"/>
          <w:szCs w:val="21"/>
          <w:highlight w:val="none"/>
        </w:rPr>
      </w:pPr>
      <w:r>
        <w:rPr>
          <w:rFonts w:hint="eastAsia" w:ascii="宋体" w:hAnsi="宋体" w:cs="宋体"/>
          <w:color w:val="auto"/>
          <w:sz w:val="21"/>
          <w:szCs w:val="21"/>
          <w:highlight w:val="none"/>
        </w:rPr>
        <w:t>年   月   日</w:t>
      </w:r>
    </w:p>
    <w:p w14:paraId="24E237EE">
      <w:pPr>
        <w:pStyle w:val="9"/>
        <w:rPr>
          <w:rFonts w:ascii="宋体" w:hAnsi="宋体" w:cs="宋体"/>
          <w:color w:val="auto"/>
          <w:sz w:val="22"/>
          <w:szCs w:val="22"/>
          <w:highlight w:val="none"/>
        </w:rPr>
      </w:pPr>
    </w:p>
    <w:p w14:paraId="0F4B75FB">
      <w:pPr>
        <w:pStyle w:val="9"/>
        <w:rPr>
          <w:rFonts w:ascii="宋体" w:hAnsi="宋体" w:cs="宋体"/>
          <w:color w:val="auto"/>
          <w:sz w:val="22"/>
          <w:szCs w:val="22"/>
          <w:highlight w:val="none"/>
        </w:rPr>
      </w:pPr>
    </w:p>
    <w:p w14:paraId="7EC7155F">
      <w:pPr>
        <w:pStyle w:val="9"/>
        <w:rPr>
          <w:rFonts w:ascii="宋体" w:hAnsi="宋体" w:cs="宋体"/>
          <w:color w:val="auto"/>
          <w:sz w:val="22"/>
          <w:szCs w:val="22"/>
          <w:highlight w:val="none"/>
        </w:rPr>
      </w:pPr>
    </w:p>
    <w:p w14:paraId="1A3EFD1B">
      <w:pPr>
        <w:pStyle w:val="9"/>
        <w:rPr>
          <w:rFonts w:ascii="宋体" w:hAnsi="宋体" w:cs="宋体"/>
          <w:color w:val="auto"/>
          <w:sz w:val="22"/>
          <w:szCs w:val="22"/>
          <w:highlight w:val="none"/>
        </w:rPr>
      </w:pPr>
    </w:p>
    <w:p w14:paraId="3A9DBA8D">
      <w:pPr>
        <w:tabs>
          <w:tab w:val="left" w:pos="6300"/>
        </w:tabs>
        <w:snapToGrid w:val="0"/>
        <w:spacing w:line="360" w:lineRule="auto"/>
        <w:ind w:firstLine="570"/>
        <w:rPr>
          <w:rFonts w:ascii="宋体" w:hAnsi="宋体" w:cs="宋体"/>
          <w:color w:val="auto"/>
          <w:sz w:val="22"/>
          <w:szCs w:val="22"/>
          <w:highlight w:val="none"/>
        </w:rPr>
      </w:pPr>
    </w:p>
    <w:p w14:paraId="15840F04">
      <w:pPr>
        <w:tabs>
          <w:tab w:val="left" w:pos="6300"/>
        </w:tabs>
        <w:snapToGrid w:val="0"/>
        <w:spacing w:line="360" w:lineRule="auto"/>
        <w:ind w:firstLine="570"/>
        <w:rPr>
          <w:rFonts w:ascii="宋体" w:hAnsi="宋体" w:cs="宋体"/>
          <w:color w:val="auto"/>
          <w:sz w:val="22"/>
          <w:szCs w:val="22"/>
          <w:highlight w:val="none"/>
        </w:rPr>
      </w:pPr>
    </w:p>
    <w:p w14:paraId="0E90E414">
      <w:pPr>
        <w:tabs>
          <w:tab w:val="left" w:pos="6300"/>
        </w:tabs>
        <w:snapToGrid w:val="0"/>
        <w:spacing w:line="360" w:lineRule="auto"/>
        <w:ind w:firstLine="570"/>
        <w:rPr>
          <w:rFonts w:ascii="宋体" w:hAnsi="宋体" w:cs="宋体"/>
          <w:color w:val="auto"/>
          <w:sz w:val="22"/>
          <w:szCs w:val="22"/>
          <w:highlight w:val="none"/>
        </w:rPr>
      </w:pPr>
    </w:p>
    <w:p w14:paraId="10EF1CB0">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4787FF8C">
      <w:pPr>
        <w:tabs>
          <w:tab w:val="left" w:pos="6300"/>
        </w:tabs>
        <w:snapToGrid w:val="0"/>
        <w:spacing w:line="360" w:lineRule="auto"/>
        <w:ind w:firstLine="420" w:firstLineChars="200"/>
        <w:jc w:val="center"/>
        <w:outlineLvl w:val="2"/>
        <w:rPr>
          <w:rFonts w:ascii="宋体" w:hAnsi="宋体" w:cs="宋体"/>
          <w:color w:val="auto"/>
          <w:sz w:val="21"/>
          <w:szCs w:val="22"/>
          <w:highlight w:val="none"/>
        </w:rPr>
      </w:pPr>
      <w:bookmarkStart w:id="361" w:name="_Toc22611"/>
      <w:r>
        <w:rPr>
          <w:rFonts w:hint="eastAsia" w:ascii="宋体" w:hAnsi="宋体" w:cs="宋体"/>
          <w:color w:val="auto"/>
          <w:sz w:val="21"/>
          <w:szCs w:val="21"/>
          <w:highlight w:val="none"/>
        </w:rPr>
        <w:t>（五）基本资格条件承诺函</w:t>
      </w:r>
      <w:bookmarkEnd w:id="361"/>
    </w:p>
    <w:p w14:paraId="7A1D6A52">
      <w:pPr>
        <w:tabs>
          <w:tab w:val="left" w:pos="6300"/>
        </w:tabs>
        <w:snapToGrid w:val="0"/>
        <w:spacing w:line="360" w:lineRule="auto"/>
        <w:rPr>
          <w:rFonts w:ascii="宋体" w:hAnsi="宋体" w:cs="宋体"/>
          <w:color w:val="auto"/>
          <w:sz w:val="21"/>
          <w:szCs w:val="22"/>
          <w:highlight w:val="none"/>
          <w:u w:val="single"/>
        </w:rPr>
      </w:pPr>
      <w:r>
        <w:rPr>
          <w:rFonts w:hint="eastAsia" w:ascii="宋体" w:hAnsi="宋体" w:cs="宋体"/>
          <w:color w:val="auto"/>
          <w:sz w:val="21"/>
          <w:szCs w:val="22"/>
          <w:highlight w:val="none"/>
        </w:rPr>
        <w:t>项目名称：</w:t>
      </w:r>
      <w:r>
        <w:rPr>
          <w:rFonts w:hint="eastAsia" w:ascii="宋体" w:hAnsi="宋体" w:cs="宋体"/>
          <w:color w:val="auto"/>
          <w:sz w:val="21"/>
          <w:szCs w:val="22"/>
          <w:highlight w:val="none"/>
          <w:u w:val="single"/>
        </w:rPr>
        <w:t xml:space="preserve">                                 </w:t>
      </w:r>
    </w:p>
    <w:p w14:paraId="3EA9B204">
      <w:pPr>
        <w:tabs>
          <w:tab w:val="left" w:pos="6300"/>
        </w:tabs>
        <w:snapToGrid w:val="0"/>
        <w:spacing w:line="360" w:lineRule="auto"/>
        <w:rPr>
          <w:rFonts w:ascii="宋体" w:hAnsi="宋体" w:cs="宋体"/>
          <w:color w:val="auto"/>
          <w:sz w:val="21"/>
          <w:szCs w:val="22"/>
          <w:highlight w:val="none"/>
        </w:rPr>
      </w:pPr>
      <w:r>
        <w:rPr>
          <w:rFonts w:hint="eastAsia" w:ascii="宋体" w:hAnsi="宋体" w:cs="宋体"/>
          <w:color w:val="auto"/>
          <w:sz w:val="21"/>
          <w:szCs w:val="22"/>
          <w:highlight w:val="none"/>
        </w:rPr>
        <w:t>致：</w:t>
      </w:r>
      <w:r>
        <w:rPr>
          <w:rFonts w:hint="eastAsia" w:ascii="宋体" w:hAnsi="宋体" w:cs="宋体"/>
          <w:color w:val="auto"/>
          <w:sz w:val="21"/>
          <w:szCs w:val="22"/>
          <w:highlight w:val="none"/>
          <w:u w:val="single"/>
        </w:rPr>
        <w:t xml:space="preserve">          （采购人名称）</w:t>
      </w:r>
      <w:r>
        <w:rPr>
          <w:rFonts w:hint="eastAsia" w:ascii="宋体" w:hAnsi="宋体" w:cs="宋体"/>
          <w:color w:val="auto"/>
          <w:sz w:val="21"/>
          <w:szCs w:val="22"/>
          <w:highlight w:val="none"/>
        </w:rPr>
        <w:t>：</w:t>
      </w:r>
    </w:p>
    <w:p w14:paraId="390A96C9">
      <w:pPr>
        <w:tabs>
          <w:tab w:val="left" w:pos="6300"/>
        </w:tabs>
        <w:snapToGrid w:val="0"/>
        <w:spacing w:line="360" w:lineRule="auto"/>
        <w:ind w:firstLine="420" w:firstLineChars="200"/>
        <w:rPr>
          <w:rFonts w:hint="eastAsia" w:ascii="宋体" w:hAnsi="宋体" w:cs="宋体"/>
          <w:color w:val="auto"/>
          <w:sz w:val="21"/>
          <w:szCs w:val="22"/>
          <w:highlight w:val="none"/>
          <w:lang w:eastAsia="zh-CN"/>
        </w:rPr>
      </w:pPr>
      <w:r>
        <w:rPr>
          <w:rFonts w:hint="eastAsia" w:ascii="宋体" w:hAnsi="宋体" w:cs="宋体"/>
          <w:color w:val="auto"/>
          <w:sz w:val="21"/>
          <w:szCs w:val="22"/>
          <w:highlight w:val="none"/>
          <w:u w:val="single"/>
        </w:rPr>
        <w:t xml:space="preserve">（供应商名称）    </w:t>
      </w:r>
      <w:r>
        <w:rPr>
          <w:rFonts w:hint="eastAsia" w:ascii="宋体" w:hAnsi="宋体" w:cs="宋体"/>
          <w:color w:val="auto"/>
          <w:sz w:val="21"/>
          <w:szCs w:val="22"/>
          <w:highlight w:val="none"/>
        </w:rPr>
        <w:t>郑重承诺</w:t>
      </w:r>
      <w:r>
        <w:rPr>
          <w:rFonts w:hint="eastAsia" w:ascii="宋体" w:hAnsi="宋体" w:cs="宋体"/>
          <w:color w:val="auto"/>
          <w:sz w:val="21"/>
          <w:szCs w:val="22"/>
          <w:highlight w:val="none"/>
          <w:lang w:eastAsia="zh-CN"/>
        </w:rPr>
        <w:t>：</w:t>
      </w:r>
    </w:p>
    <w:p w14:paraId="686536AD">
      <w:pPr>
        <w:tabs>
          <w:tab w:val="left" w:pos="6300"/>
        </w:tabs>
        <w:snapToGrid w:val="0"/>
        <w:spacing w:line="360" w:lineRule="auto"/>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3C0E6CF">
      <w:pPr>
        <w:tabs>
          <w:tab w:val="left" w:pos="6300"/>
        </w:tabs>
        <w:snapToGrid w:val="0"/>
        <w:spacing w:line="360" w:lineRule="auto"/>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2.我方未列入在信用中国网站（www.creditchina.gov.cn）“失信被执行人”、“重大税收违法案件当事人名单”中，也未列入中国政府采购网（www.ccgp.gov.cn）“政府采购严重违法失信行为记录名单”中。</w:t>
      </w:r>
    </w:p>
    <w:p w14:paraId="2BDDD006">
      <w:pPr>
        <w:tabs>
          <w:tab w:val="left" w:pos="6300"/>
        </w:tabs>
        <w:snapToGrid w:val="0"/>
        <w:spacing w:line="360" w:lineRule="auto"/>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3.我方在采购项目评审（评标）环节结束后，随时接受采购人、采购代理机构的检查验证，配合提供相关证明材料，证明符合《中华人民共和国政府采购法》规定的供应商基本资格条件。</w:t>
      </w:r>
    </w:p>
    <w:p w14:paraId="07A0C5E3">
      <w:pPr>
        <w:tabs>
          <w:tab w:val="left" w:pos="6300"/>
        </w:tabs>
        <w:snapToGrid w:val="0"/>
        <w:spacing w:line="360" w:lineRule="auto"/>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我方对以上承诺负全部法律责任。</w:t>
      </w:r>
    </w:p>
    <w:p w14:paraId="0322C040">
      <w:pPr>
        <w:tabs>
          <w:tab w:val="left" w:pos="6300"/>
        </w:tabs>
        <w:snapToGrid w:val="0"/>
        <w:spacing w:line="360" w:lineRule="auto"/>
        <w:ind w:firstLine="420" w:firstLineChars="200"/>
        <w:rPr>
          <w:rFonts w:ascii="宋体" w:hAnsi="宋体" w:cs="宋体"/>
          <w:color w:val="auto"/>
          <w:sz w:val="21"/>
          <w:szCs w:val="22"/>
          <w:highlight w:val="none"/>
        </w:rPr>
      </w:pPr>
      <w:r>
        <w:rPr>
          <w:rFonts w:hint="eastAsia" w:ascii="宋体" w:hAnsi="宋体" w:cs="宋体"/>
          <w:color w:val="auto"/>
          <w:sz w:val="21"/>
          <w:szCs w:val="22"/>
          <w:highlight w:val="none"/>
        </w:rPr>
        <w:t>特此承诺。</w:t>
      </w:r>
    </w:p>
    <w:p w14:paraId="73E51E10">
      <w:pPr>
        <w:snapToGrid w:val="0"/>
        <w:spacing w:line="360" w:lineRule="auto"/>
        <w:rPr>
          <w:rFonts w:ascii="宋体" w:hAnsi="宋体" w:cs="宋体"/>
          <w:color w:val="auto"/>
          <w:sz w:val="21"/>
          <w:szCs w:val="21"/>
          <w:highlight w:val="none"/>
        </w:rPr>
      </w:pPr>
    </w:p>
    <w:p w14:paraId="1BFD7815">
      <w:pPr>
        <w:tabs>
          <w:tab w:val="left" w:pos="6300"/>
        </w:tabs>
        <w:snapToGrid w:val="0"/>
        <w:spacing w:line="360" w:lineRule="auto"/>
        <w:rPr>
          <w:rFonts w:ascii="宋体" w:hAnsi="宋体" w:cs="宋体"/>
          <w:color w:val="auto"/>
          <w:sz w:val="21"/>
          <w:szCs w:val="22"/>
          <w:highlight w:val="none"/>
        </w:rPr>
      </w:pPr>
    </w:p>
    <w:p w14:paraId="5E09B615">
      <w:pPr>
        <w:tabs>
          <w:tab w:val="left" w:pos="6300"/>
        </w:tabs>
        <w:snapToGrid w:val="0"/>
        <w:spacing w:line="360" w:lineRule="auto"/>
        <w:ind w:firstLine="570"/>
        <w:rPr>
          <w:rFonts w:ascii="宋体" w:hAnsi="宋体" w:cs="宋体"/>
          <w:color w:val="auto"/>
          <w:sz w:val="21"/>
          <w:szCs w:val="22"/>
          <w:highlight w:val="none"/>
        </w:rPr>
      </w:pPr>
    </w:p>
    <w:p w14:paraId="7C564B47">
      <w:pPr>
        <w:tabs>
          <w:tab w:val="left" w:pos="6300"/>
        </w:tabs>
        <w:snapToGrid w:val="0"/>
        <w:spacing w:line="360" w:lineRule="auto"/>
        <w:ind w:right="424" w:firstLine="570"/>
        <w:jc w:val="right"/>
        <w:rPr>
          <w:rFonts w:ascii="宋体" w:hAnsi="宋体" w:cs="宋体"/>
          <w:color w:val="auto"/>
          <w:sz w:val="21"/>
          <w:szCs w:val="22"/>
          <w:highlight w:val="none"/>
        </w:rPr>
      </w:pPr>
      <w:r>
        <w:rPr>
          <w:rFonts w:hint="eastAsia" w:ascii="宋体" w:hAnsi="宋体" w:cs="宋体"/>
          <w:color w:val="auto"/>
          <w:sz w:val="21"/>
          <w:szCs w:val="22"/>
          <w:highlight w:val="none"/>
        </w:rPr>
        <w:t xml:space="preserve"> （供应商公章）</w:t>
      </w:r>
    </w:p>
    <w:p w14:paraId="182E00F7">
      <w:pPr>
        <w:tabs>
          <w:tab w:val="left" w:pos="6300"/>
        </w:tabs>
        <w:snapToGrid w:val="0"/>
        <w:spacing w:line="360" w:lineRule="auto"/>
        <w:ind w:firstLine="570"/>
        <w:jc w:val="center"/>
        <w:rPr>
          <w:rFonts w:ascii="宋体" w:hAnsi="宋体" w:cs="宋体"/>
          <w:color w:val="auto"/>
          <w:sz w:val="22"/>
          <w:szCs w:val="22"/>
          <w:highlight w:val="none"/>
        </w:rPr>
      </w:pPr>
      <w:r>
        <w:rPr>
          <w:rFonts w:hint="eastAsia" w:ascii="宋体" w:hAnsi="宋体" w:cs="宋体"/>
          <w:color w:val="auto"/>
          <w:sz w:val="21"/>
          <w:szCs w:val="22"/>
          <w:highlight w:val="none"/>
        </w:rPr>
        <w:t xml:space="preserve">                                                      年   月   日</w:t>
      </w:r>
    </w:p>
    <w:p w14:paraId="790C9245">
      <w:pPr>
        <w:pStyle w:val="37"/>
        <w:spacing w:line="360" w:lineRule="auto"/>
        <w:ind w:firstLine="420"/>
        <w:jc w:val="center"/>
        <w:rPr>
          <w:rFonts w:ascii="宋体" w:hAnsi="宋体" w:eastAsia="宋体" w:cs="宋体"/>
          <w:color w:val="auto"/>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1"/>
          <w:szCs w:val="16"/>
          <w:highlight w:val="none"/>
        </w:rPr>
        <w:t>（六）</w:t>
      </w:r>
      <w:r>
        <w:rPr>
          <w:rFonts w:hint="eastAsia" w:ascii="宋体" w:hAnsi="宋体" w:eastAsia="宋体" w:cs="宋体"/>
          <w:color w:val="auto"/>
          <w:sz w:val="21"/>
          <w:szCs w:val="21"/>
          <w:highlight w:val="none"/>
        </w:rPr>
        <w:t>特定资格条件证明材料</w:t>
      </w:r>
    </w:p>
    <w:p w14:paraId="1C942604">
      <w:pPr>
        <w:tabs>
          <w:tab w:val="left" w:pos="6300"/>
        </w:tabs>
        <w:snapToGrid w:val="0"/>
        <w:spacing w:line="360" w:lineRule="auto"/>
        <w:ind w:right="480" w:firstLine="570"/>
        <w:jc w:val="right"/>
        <w:rPr>
          <w:rFonts w:ascii="宋体" w:hAnsi="宋体" w:cs="宋体"/>
          <w:color w:val="auto"/>
          <w:sz w:val="24"/>
          <w:highlight w:val="none"/>
        </w:rPr>
      </w:pPr>
    </w:p>
    <w:p w14:paraId="3D56EA7E">
      <w:pPr>
        <w:pStyle w:val="4"/>
        <w:spacing w:before="0" w:after="0" w:line="360" w:lineRule="auto"/>
        <w:rPr>
          <w:rFonts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362" w:name="_Toc7818"/>
      <w:bookmarkStart w:id="363" w:name="_Toc17116"/>
      <w:bookmarkStart w:id="364" w:name="_Toc20148"/>
      <w:bookmarkStart w:id="365" w:name="_Toc2794"/>
      <w:bookmarkStart w:id="366" w:name="_Toc11861"/>
      <w:r>
        <w:rPr>
          <w:rFonts w:hint="eastAsia" w:ascii="宋体" w:hAnsi="宋体" w:eastAsia="宋体" w:cs="宋体"/>
          <w:color w:val="auto"/>
          <w:sz w:val="24"/>
          <w:szCs w:val="24"/>
          <w:highlight w:val="none"/>
        </w:rPr>
        <w:t>五、其他应提供的资料</w:t>
      </w:r>
      <w:bookmarkEnd w:id="362"/>
      <w:bookmarkEnd w:id="363"/>
      <w:bookmarkEnd w:id="364"/>
      <w:bookmarkEnd w:id="365"/>
      <w:bookmarkEnd w:id="366"/>
    </w:p>
    <w:p w14:paraId="23F2F1A8">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（一）其他与项目有关的资料</w:t>
      </w:r>
    </w:p>
    <w:p w14:paraId="4185D155">
      <w:pPr>
        <w:tabs>
          <w:tab w:val="left" w:pos="6300"/>
        </w:tabs>
        <w:snapToGrid w:val="0"/>
        <w:spacing w:line="360" w:lineRule="auto"/>
        <w:ind w:firstLine="570"/>
        <w:rPr>
          <w:rFonts w:ascii="宋体" w:hAnsi="宋体" w:cs="宋体"/>
          <w:color w:val="auto"/>
          <w:sz w:val="21"/>
          <w:szCs w:val="21"/>
          <w:highlight w:val="none"/>
        </w:rPr>
      </w:pPr>
      <w:r>
        <w:rPr>
          <w:rFonts w:hint="eastAsia" w:ascii="宋体" w:hAnsi="宋体" w:cs="宋体"/>
          <w:color w:val="auto"/>
          <w:sz w:val="21"/>
          <w:szCs w:val="21"/>
          <w:highlight w:val="none"/>
        </w:rPr>
        <w:t>其他与项目有关的资料（自附）：供应商总体情况介绍、其他与本项目有关的资料等。</w:t>
      </w:r>
    </w:p>
    <w:p w14:paraId="1EF9A566">
      <w:pPr>
        <w:snapToGrid w:val="0"/>
        <w:spacing w:line="400" w:lineRule="exact"/>
        <w:ind w:firstLine="440" w:firstLineChars="200"/>
        <w:rPr>
          <w:rFonts w:ascii="宋体" w:hAnsi="宋体" w:cs="宋体"/>
          <w:color w:val="auto"/>
          <w:sz w:val="22"/>
          <w:szCs w:val="22"/>
          <w:highlight w:val="none"/>
        </w:rPr>
      </w:pPr>
    </w:p>
    <w:p w14:paraId="199317E5">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14:paraId="3E79CF68">
      <w:pPr>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（二）中小企业声明函、监狱企业证明文件、残疾人福利性单位声明函</w:t>
      </w:r>
    </w:p>
    <w:p w14:paraId="196EDECF">
      <w:pPr>
        <w:tabs>
          <w:tab w:val="left" w:pos="6300"/>
        </w:tabs>
        <w:snapToGrid w:val="0"/>
        <w:spacing w:line="5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中小企业声明函（服务类）</w:t>
      </w:r>
    </w:p>
    <w:p w14:paraId="3016CFD0">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本公司（联合体）郑重声明，根据《政府采购促进中小企业发展管理办法》（</w:t>
      </w:r>
      <w:r>
        <w:rPr>
          <w:rFonts w:hint="eastAsia" w:ascii="宋体" w:hAnsi="宋体" w:eastAsia="宋体" w:cs="宋体"/>
          <w:color w:val="auto"/>
          <w:sz w:val="21"/>
          <w:szCs w:val="21"/>
          <w:highlight w:val="none"/>
        </w:rPr>
        <w:t>财库〔2020〕46号</w:t>
      </w:r>
      <w:r>
        <w:rPr>
          <w:rFonts w:hint="eastAsia" w:ascii="宋体" w:hAnsi="宋体" w:eastAsia="宋体" w:cs="宋体"/>
          <w:color w:val="auto"/>
          <w:sz w:val="21"/>
          <w:szCs w:val="22"/>
          <w:highlight w:val="none"/>
        </w:rPr>
        <w:t>）的规定，本公司（联合体）参加</w:t>
      </w:r>
      <w:r>
        <w:rPr>
          <w:rFonts w:hint="eastAsia" w:ascii="宋体" w:hAnsi="宋体" w:eastAsia="宋体" w:cs="宋体"/>
          <w:i/>
          <w:color w:val="auto"/>
          <w:sz w:val="21"/>
          <w:szCs w:val="22"/>
          <w:highlight w:val="none"/>
          <w:u w:val="single"/>
        </w:rPr>
        <w:t>（单位名称）</w:t>
      </w:r>
      <w:r>
        <w:rPr>
          <w:rFonts w:hint="eastAsia" w:ascii="宋体" w:hAnsi="宋体" w:eastAsia="宋体" w:cs="宋体"/>
          <w:color w:val="auto"/>
          <w:sz w:val="21"/>
          <w:szCs w:val="22"/>
          <w:highlight w:val="none"/>
        </w:rPr>
        <w:t>的</w:t>
      </w:r>
      <w:r>
        <w:rPr>
          <w:rFonts w:hint="eastAsia" w:ascii="宋体" w:hAnsi="宋体" w:eastAsia="宋体" w:cs="宋体"/>
          <w:i/>
          <w:color w:val="auto"/>
          <w:sz w:val="21"/>
          <w:szCs w:val="22"/>
          <w:highlight w:val="none"/>
          <w:u w:val="single"/>
        </w:rPr>
        <w:t>（项目名称）</w:t>
      </w:r>
      <w:r>
        <w:rPr>
          <w:rFonts w:hint="eastAsia" w:ascii="宋体" w:hAnsi="宋体" w:eastAsia="宋体" w:cs="宋体"/>
          <w:color w:val="auto"/>
          <w:sz w:val="21"/>
          <w:szCs w:val="22"/>
          <w:highlight w:val="none"/>
        </w:rPr>
        <w:t>采购活动，服务全部由符合政策要求的中小企业承接。相关企业（含联合体中的中小企业、签订分包意向协议的中小企业）的具体情况如下：</w:t>
      </w:r>
    </w:p>
    <w:p w14:paraId="2DCE614E">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w:t>
      </w:r>
      <w:r>
        <w:rPr>
          <w:rFonts w:hint="eastAsia" w:ascii="宋体" w:hAnsi="宋体" w:eastAsia="宋体" w:cs="宋体"/>
          <w:color w:val="auto"/>
          <w:sz w:val="21"/>
          <w:szCs w:val="22"/>
          <w:highlight w:val="none"/>
          <w:u w:val="single"/>
        </w:rPr>
        <w:t>（标的名称）</w:t>
      </w:r>
      <w:r>
        <w:rPr>
          <w:rFonts w:hint="eastAsia" w:ascii="宋体" w:hAnsi="宋体" w:eastAsia="宋体" w:cs="宋体"/>
          <w:color w:val="auto"/>
          <w:sz w:val="21"/>
          <w:szCs w:val="22"/>
          <w:highlight w:val="none"/>
        </w:rPr>
        <w:t>，属于</w:t>
      </w:r>
      <w:r>
        <w:rPr>
          <w:rFonts w:hint="eastAsia" w:ascii="宋体" w:hAnsi="宋体" w:eastAsia="宋体" w:cs="宋体"/>
          <w:color w:val="auto"/>
          <w:sz w:val="21"/>
          <w:szCs w:val="22"/>
          <w:highlight w:val="none"/>
          <w:u w:val="single"/>
        </w:rPr>
        <w:t>（</w:t>
      </w:r>
      <w:r>
        <w:rPr>
          <w:rFonts w:hint="eastAsia" w:ascii="宋体" w:hAnsi="宋体" w:cs="宋体"/>
          <w:color w:val="auto"/>
          <w:sz w:val="21"/>
          <w:szCs w:val="22"/>
          <w:highlight w:val="none"/>
          <w:u w:val="single"/>
          <w:lang w:eastAsia="zh-CN"/>
        </w:rPr>
        <w:t>竞采文件</w:t>
      </w:r>
      <w:r>
        <w:rPr>
          <w:rFonts w:hint="eastAsia" w:ascii="宋体" w:hAnsi="宋体" w:eastAsia="宋体" w:cs="宋体"/>
          <w:color w:val="auto"/>
          <w:sz w:val="21"/>
          <w:szCs w:val="22"/>
          <w:highlight w:val="none"/>
          <w:u w:val="single"/>
        </w:rPr>
        <w:t>中明确的所属行业）</w:t>
      </w:r>
      <w:r>
        <w:rPr>
          <w:rFonts w:hint="eastAsia" w:ascii="宋体" w:hAnsi="宋体" w:eastAsia="宋体" w:cs="宋体"/>
          <w:color w:val="auto"/>
          <w:sz w:val="21"/>
          <w:szCs w:val="22"/>
          <w:highlight w:val="none"/>
        </w:rPr>
        <w:t>；承接企业为</w:t>
      </w:r>
      <w:r>
        <w:rPr>
          <w:rFonts w:hint="eastAsia" w:ascii="宋体" w:hAnsi="宋体" w:eastAsia="宋体" w:cs="宋体"/>
          <w:color w:val="auto"/>
          <w:sz w:val="21"/>
          <w:szCs w:val="22"/>
          <w:highlight w:val="none"/>
          <w:u w:val="single"/>
        </w:rPr>
        <w:t>（企业名称）</w:t>
      </w:r>
      <w:r>
        <w:rPr>
          <w:rFonts w:hint="eastAsia" w:ascii="宋体" w:hAnsi="宋体" w:eastAsia="宋体" w:cs="宋体"/>
          <w:color w:val="auto"/>
          <w:sz w:val="21"/>
          <w:szCs w:val="22"/>
          <w:highlight w:val="none"/>
        </w:rPr>
        <w:t>，从业人员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人，营业收入为</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万元，资产总额为</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万元，属于</w:t>
      </w:r>
      <w:r>
        <w:rPr>
          <w:rFonts w:hint="eastAsia" w:ascii="宋体" w:hAnsi="宋体" w:eastAsia="宋体" w:cs="宋体"/>
          <w:color w:val="auto"/>
          <w:sz w:val="21"/>
          <w:szCs w:val="22"/>
          <w:highlight w:val="none"/>
          <w:u w:val="single"/>
        </w:rPr>
        <w:t>（中型企业、小型企业、微型企业）</w:t>
      </w:r>
      <w:r>
        <w:rPr>
          <w:rFonts w:hint="eastAsia" w:ascii="宋体" w:hAnsi="宋体" w:eastAsia="宋体" w:cs="宋体"/>
          <w:color w:val="auto"/>
          <w:sz w:val="21"/>
          <w:szCs w:val="22"/>
          <w:highlight w:val="none"/>
        </w:rPr>
        <w:t>；</w:t>
      </w:r>
    </w:p>
    <w:p w14:paraId="3EA9C83F">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为本标的提供的服务人员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人，其中与本企业签订劳动合同</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人，其他人员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人。有其他人员的不符合中小企业扶持政策;</w:t>
      </w:r>
    </w:p>
    <w:p w14:paraId="0E89D5E4">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w:t>
      </w:r>
      <w:r>
        <w:rPr>
          <w:rFonts w:hint="eastAsia" w:ascii="宋体" w:hAnsi="宋体" w:eastAsia="宋体" w:cs="宋体"/>
          <w:color w:val="auto"/>
          <w:sz w:val="21"/>
          <w:szCs w:val="22"/>
          <w:highlight w:val="none"/>
          <w:u w:val="single"/>
        </w:rPr>
        <w:t xml:space="preserve"> （标的名称）</w:t>
      </w:r>
      <w:r>
        <w:rPr>
          <w:rFonts w:hint="eastAsia" w:ascii="宋体" w:hAnsi="宋体" w:eastAsia="宋体" w:cs="宋体"/>
          <w:color w:val="auto"/>
          <w:sz w:val="21"/>
          <w:szCs w:val="22"/>
          <w:highlight w:val="none"/>
        </w:rPr>
        <w:t>，属于</w:t>
      </w:r>
      <w:r>
        <w:rPr>
          <w:rFonts w:hint="eastAsia" w:ascii="宋体" w:hAnsi="宋体" w:eastAsia="宋体" w:cs="宋体"/>
          <w:color w:val="auto"/>
          <w:sz w:val="21"/>
          <w:szCs w:val="22"/>
          <w:highlight w:val="none"/>
          <w:u w:val="single"/>
        </w:rPr>
        <w:t>（</w:t>
      </w:r>
      <w:r>
        <w:rPr>
          <w:rFonts w:hint="eastAsia" w:ascii="宋体" w:hAnsi="宋体" w:cs="宋体"/>
          <w:color w:val="auto"/>
          <w:sz w:val="21"/>
          <w:szCs w:val="22"/>
          <w:highlight w:val="none"/>
          <w:u w:val="single"/>
          <w:lang w:eastAsia="zh-CN"/>
        </w:rPr>
        <w:t>竞采文件</w:t>
      </w:r>
      <w:r>
        <w:rPr>
          <w:rFonts w:hint="eastAsia" w:ascii="宋体" w:hAnsi="宋体" w:eastAsia="宋体" w:cs="宋体"/>
          <w:color w:val="auto"/>
          <w:sz w:val="21"/>
          <w:szCs w:val="22"/>
          <w:highlight w:val="none"/>
          <w:u w:val="single"/>
        </w:rPr>
        <w:t>中明确的所属行业）</w:t>
      </w:r>
      <w:r>
        <w:rPr>
          <w:rFonts w:hint="eastAsia" w:ascii="宋体" w:hAnsi="宋体" w:eastAsia="宋体" w:cs="宋体"/>
          <w:color w:val="auto"/>
          <w:sz w:val="21"/>
          <w:szCs w:val="22"/>
          <w:highlight w:val="none"/>
        </w:rPr>
        <w:t>；承接企业为</w:t>
      </w:r>
      <w:r>
        <w:rPr>
          <w:rFonts w:hint="eastAsia" w:ascii="宋体" w:hAnsi="宋体" w:eastAsia="宋体" w:cs="宋体"/>
          <w:color w:val="auto"/>
          <w:sz w:val="21"/>
          <w:szCs w:val="22"/>
          <w:highlight w:val="none"/>
          <w:u w:val="single"/>
        </w:rPr>
        <w:t>（企业名称）</w:t>
      </w:r>
      <w:r>
        <w:rPr>
          <w:rFonts w:hint="eastAsia" w:ascii="宋体" w:hAnsi="宋体" w:eastAsia="宋体" w:cs="宋体"/>
          <w:color w:val="auto"/>
          <w:sz w:val="21"/>
          <w:szCs w:val="22"/>
          <w:highlight w:val="none"/>
        </w:rPr>
        <w:t>，从业人员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人，营业收入为</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万元，资产总额为</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万元，属于</w:t>
      </w:r>
      <w:r>
        <w:rPr>
          <w:rFonts w:hint="eastAsia" w:ascii="宋体" w:hAnsi="宋体" w:eastAsia="宋体" w:cs="宋体"/>
          <w:color w:val="auto"/>
          <w:sz w:val="21"/>
          <w:szCs w:val="22"/>
          <w:highlight w:val="none"/>
          <w:u w:val="single"/>
        </w:rPr>
        <w:t>（中型企业、小型企业、微型企业）</w:t>
      </w:r>
      <w:r>
        <w:rPr>
          <w:rFonts w:hint="eastAsia" w:ascii="宋体" w:hAnsi="宋体" w:eastAsia="宋体" w:cs="宋体"/>
          <w:color w:val="auto"/>
          <w:sz w:val="21"/>
          <w:szCs w:val="22"/>
          <w:highlight w:val="none"/>
        </w:rPr>
        <w:t>；</w:t>
      </w:r>
    </w:p>
    <w:p w14:paraId="43CF5F88">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为本标的提供的服务人员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人，其中与本企业签订劳动合同</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人，其他人员</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人。有其他人员的不符合中小企业扶持政策;</w:t>
      </w:r>
    </w:p>
    <w:p w14:paraId="70965AD4">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w:t>
      </w:r>
    </w:p>
    <w:p w14:paraId="190BACBA">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以上企业，不属于大企业的分支机构，不存在控股股东为大企业的情形，也不存在与大企业的负责人为同一人的情形。</w:t>
      </w:r>
    </w:p>
    <w:p w14:paraId="111AA65D">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本企业对上述声明内容的真实性负责。如有虚假，将依法承担相应责任。</w:t>
      </w:r>
    </w:p>
    <w:p w14:paraId="3C96C39C">
      <w:pPr>
        <w:tabs>
          <w:tab w:val="left" w:pos="6300"/>
        </w:tabs>
        <w:snapToGrid w:val="0"/>
        <w:spacing w:line="5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                                                    </w:t>
      </w:r>
    </w:p>
    <w:p w14:paraId="3D9EE781">
      <w:pPr>
        <w:tabs>
          <w:tab w:val="left" w:pos="6300"/>
        </w:tabs>
        <w:snapToGrid w:val="0"/>
        <w:spacing w:line="500" w:lineRule="exact"/>
        <w:ind w:firstLine="5355" w:firstLineChars="25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 xml:space="preserve">企业名称（盖章）： </w:t>
      </w:r>
    </w:p>
    <w:p w14:paraId="5F09A852">
      <w:pPr>
        <w:tabs>
          <w:tab w:val="left" w:pos="6300"/>
        </w:tabs>
        <w:snapToGrid w:val="0"/>
        <w:spacing w:line="500" w:lineRule="exact"/>
        <w:ind w:firstLine="5355" w:firstLineChars="255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日期：</w:t>
      </w:r>
    </w:p>
    <w:p w14:paraId="390FE426">
      <w:pPr>
        <w:tabs>
          <w:tab w:val="left" w:pos="6300"/>
        </w:tabs>
        <w:snapToGrid w:val="0"/>
        <w:spacing w:line="420" w:lineRule="exact"/>
        <w:jc w:val="left"/>
        <w:rPr>
          <w:rFonts w:hint="eastAsia" w:ascii="宋体" w:hAnsi="宋体" w:eastAsia="宋体" w:cs="宋体"/>
          <w:color w:val="auto"/>
          <w:kern w:val="0"/>
          <w:sz w:val="18"/>
          <w:szCs w:val="18"/>
          <w:highlight w:val="none"/>
        </w:rPr>
      </w:pPr>
    </w:p>
    <w:p w14:paraId="1572AA90">
      <w:pPr>
        <w:tabs>
          <w:tab w:val="left" w:pos="6300"/>
        </w:tabs>
        <w:snapToGrid w:val="0"/>
        <w:spacing w:line="420" w:lineRule="exact"/>
        <w:jc w:val="left"/>
        <w:rPr>
          <w:rFonts w:hint="eastAsia" w:ascii="宋体" w:hAnsi="宋体" w:eastAsia="宋体" w:cs="宋体"/>
          <w:color w:val="auto"/>
          <w:kern w:val="0"/>
          <w:sz w:val="18"/>
          <w:szCs w:val="18"/>
          <w:highlight w:val="none"/>
        </w:rPr>
      </w:pPr>
    </w:p>
    <w:p w14:paraId="61DAD161">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填写时应注意以下事项：</w:t>
      </w:r>
    </w:p>
    <w:p w14:paraId="172C983E">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1.从业人员、营业收入、资产总额填报上一年度数据，无上一年度数据的新成立企业可不填报。</w:t>
      </w:r>
    </w:p>
    <w:p w14:paraId="6E545C30">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2.中小企业应当按照《中小企业划型标准规定》（工信部联企业〔2011〕300号），如实填写并提交《中小企业声明函》。</w:t>
      </w:r>
    </w:p>
    <w:p w14:paraId="3A6FA22E">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3.</w:t>
      </w:r>
      <w:r>
        <w:rPr>
          <w:rFonts w:hint="eastAsia" w:ascii="宋体" w:hAnsi="宋体" w:eastAsia="宋体" w:cs="宋体"/>
          <w:color w:val="auto"/>
          <w:sz w:val="21"/>
          <w:szCs w:val="22"/>
          <w:highlight w:val="none"/>
          <w:lang w:eastAsia="zh-CN"/>
        </w:rPr>
        <w:t>供应商</w:t>
      </w:r>
      <w:r>
        <w:rPr>
          <w:rFonts w:hint="eastAsia" w:ascii="宋体" w:hAnsi="宋体" w:eastAsia="宋体" w:cs="宋体"/>
          <w:color w:val="auto"/>
          <w:sz w:val="21"/>
          <w:szCs w:val="22"/>
          <w:highlight w:val="none"/>
        </w:rPr>
        <w:t>填写《中小企业声明函》中所属行业时，应与</w:t>
      </w:r>
      <w:r>
        <w:rPr>
          <w:rFonts w:hint="eastAsia" w:ascii="宋体" w:hAnsi="宋体" w:cs="宋体"/>
          <w:color w:val="auto"/>
          <w:sz w:val="21"/>
          <w:szCs w:val="22"/>
          <w:highlight w:val="none"/>
          <w:lang w:eastAsia="zh-CN"/>
        </w:rPr>
        <w:t>竞采文件</w:t>
      </w:r>
      <w:r>
        <w:rPr>
          <w:rFonts w:hint="eastAsia" w:ascii="宋体" w:hAnsi="宋体" w:eastAsia="宋体" w:cs="宋体"/>
          <w:color w:val="auto"/>
          <w:sz w:val="21"/>
          <w:szCs w:val="22"/>
          <w:highlight w:val="none"/>
        </w:rPr>
        <w:t>第一篇“采购标的对应的中小企业划分标准所属行业”中填写的所属行业一致。</w:t>
      </w:r>
    </w:p>
    <w:p w14:paraId="0678A0E9">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4.本声明函“企业名称（盖章）”处为</w:t>
      </w:r>
      <w:r>
        <w:rPr>
          <w:rFonts w:hint="eastAsia" w:ascii="宋体" w:hAnsi="宋体" w:eastAsia="宋体" w:cs="宋体"/>
          <w:color w:val="auto"/>
          <w:sz w:val="21"/>
          <w:szCs w:val="22"/>
          <w:highlight w:val="none"/>
          <w:lang w:eastAsia="zh-CN"/>
        </w:rPr>
        <w:t>供应商</w:t>
      </w:r>
      <w:r>
        <w:rPr>
          <w:rFonts w:hint="eastAsia" w:ascii="宋体" w:hAnsi="宋体" w:eastAsia="宋体" w:cs="宋体"/>
          <w:color w:val="auto"/>
          <w:sz w:val="21"/>
          <w:szCs w:val="22"/>
          <w:highlight w:val="none"/>
        </w:rPr>
        <w:t>盖章。</w:t>
      </w:r>
    </w:p>
    <w:p w14:paraId="23C4CAC9">
      <w:pPr>
        <w:tabs>
          <w:tab w:val="left" w:pos="6300"/>
        </w:tabs>
        <w:snapToGrid w:val="0"/>
        <w:spacing w:line="240" w:lineRule="auto"/>
        <w:ind w:firstLine="570"/>
        <w:jc w:val="left"/>
        <w:rPr>
          <w:rFonts w:hint="eastAsia" w:ascii="宋体" w:hAnsi="宋体" w:eastAsia="宋体" w:cs="宋体"/>
          <w:color w:val="auto"/>
          <w:sz w:val="21"/>
          <w:szCs w:val="22"/>
          <w:highlight w:val="none"/>
        </w:rPr>
      </w:pPr>
    </w:p>
    <w:p w14:paraId="7D28647B">
      <w:pPr>
        <w:tabs>
          <w:tab w:val="left" w:pos="6300"/>
        </w:tabs>
        <w:snapToGrid w:val="0"/>
        <w:spacing w:line="240" w:lineRule="auto"/>
        <w:ind w:firstLine="525" w:firstLineChars="25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注：各行业划型标准：</w:t>
      </w:r>
    </w:p>
    <w:p w14:paraId="21EABA8B">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（一）农、林、牧、渔业。营业收入20000万元以下的为中小微型企业。其中，营业收入500万元及以上的为中型企业，营业收入50万元及以上的为小型企业，营业收入50万元以下的为微型企业。</w:t>
      </w:r>
    </w:p>
    <w:p w14:paraId="29D7F6D4">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FF8823">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00B276">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7CC976">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AD45EDA">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6B6F68">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B786AEE">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6098127">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BC225C">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574495">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195C19">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90DC2F">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15ECF1">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DDE133">
      <w:pPr>
        <w:tabs>
          <w:tab w:val="left" w:pos="6300"/>
        </w:tabs>
        <w:snapToGrid w:val="0"/>
        <w:spacing w:line="240" w:lineRule="auto"/>
        <w:ind w:firstLine="57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85FF2AC">
      <w:pPr>
        <w:tabs>
          <w:tab w:val="left" w:pos="6300"/>
        </w:tabs>
        <w:snapToGrid w:val="0"/>
        <w:ind w:firstLine="42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sz w:val="21"/>
          <w:szCs w:val="22"/>
          <w:highlight w:val="none"/>
        </w:rPr>
        <w:t>（十六）其他未列明行业。从业人员300人以下的为中小微型企业。其中，从业人员100人及以上的为中型企业；从业人员10人及以上的为小型企业；从业人员10人以下的为微型企业。</w:t>
      </w:r>
    </w:p>
    <w:p w14:paraId="1C4A1AEE">
      <w:pPr>
        <w:tabs>
          <w:tab w:val="left" w:pos="6300"/>
        </w:tabs>
        <w:snapToGrid w:val="0"/>
        <w:ind w:firstLine="400" w:firstLineChars="200"/>
        <w:jc w:val="left"/>
        <w:rPr>
          <w:rFonts w:ascii="宋体" w:hAnsi="宋体" w:cs="宋体"/>
          <w:color w:val="auto"/>
          <w:kern w:val="0"/>
          <w:sz w:val="20"/>
          <w:szCs w:val="20"/>
          <w:highlight w:val="none"/>
        </w:rPr>
      </w:pPr>
    </w:p>
    <w:p w14:paraId="35AD98BC">
      <w:pPr>
        <w:tabs>
          <w:tab w:val="left" w:pos="6300"/>
        </w:tabs>
        <w:snapToGrid w:val="0"/>
        <w:spacing w:line="400" w:lineRule="exact"/>
        <w:ind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监狱企业证明文件</w:t>
      </w:r>
    </w:p>
    <w:p w14:paraId="36AE3F1A">
      <w:pPr>
        <w:tabs>
          <w:tab w:val="left" w:pos="6300"/>
        </w:tabs>
        <w:snapToGrid w:val="0"/>
        <w:spacing w:line="4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以省级以上监狱管理局、戒毒管理局（含新疆生产建设兵团）出具的属于监狱企业的证明文件为准。</w:t>
      </w:r>
    </w:p>
    <w:p w14:paraId="1BAEF591">
      <w:pPr>
        <w:tabs>
          <w:tab w:val="left" w:pos="6300"/>
        </w:tabs>
        <w:snapToGrid w:val="0"/>
        <w:spacing w:line="500" w:lineRule="exact"/>
        <w:ind w:firstLine="420" w:firstLineChars="200"/>
        <w:jc w:val="center"/>
        <w:rPr>
          <w:rFonts w:ascii="宋体" w:hAnsi="宋体" w:cs="宋体"/>
          <w:color w:val="auto"/>
          <w:sz w:val="21"/>
          <w:szCs w:val="21"/>
          <w:highlight w:val="none"/>
        </w:rPr>
      </w:pPr>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残疾人福利性单位声明函</w:t>
      </w:r>
    </w:p>
    <w:p w14:paraId="644CC9FA">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D35D79">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26A6BAB3">
      <w:pPr>
        <w:tabs>
          <w:tab w:val="left" w:pos="6300"/>
        </w:tabs>
        <w:snapToGrid w:val="0"/>
        <w:spacing w:line="500" w:lineRule="exact"/>
        <w:ind w:firstLine="420" w:firstLineChars="200"/>
        <w:rPr>
          <w:rFonts w:ascii="宋体" w:hAnsi="宋体" w:cs="宋体"/>
          <w:color w:val="auto"/>
          <w:sz w:val="21"/>
          <w:szCs w:val="21"/>
          <w:highlight w:val="none"/>
        </w:rPr>
      </w:pPr>
    </w:p>
    <w:p w14:paraId="105BD361">
      <w:pPr>
        <w:tabs>
          <w:tab w:val="left" w:pos="6300"/>
        </w:tabs>
        <w:snapToGrid w:val="0"/>
        <w:spacing w:line="500" w:lineRule="exact"/>
        <w:ind w:firstLine="420" w:firstLineChars="200"/>
        <w:rPr>
          <w:rFonts w:ascii="宋体" w:hAnsi="宋体" w:cs="宋体"/>
          <w:color w:val="auto"/>
          <w:sz w:val="21"/>
          <w:szCs w:val="21"/>
          <w:highlight w:val="none"/>
        </w:rPr>
      </w:pPr>
    </w:p>
    <w:p w14:paraId="776DD0FF">
      <w:pPr>
        <w:tabs>
          <w:tab w:val="left" w:pos="6300"/>
        </w:tabs>
        <w:snapToGrid w:val="0"/>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供应商名称（盖章）：</w:t>
      </w:r>
    </w:p>
    <w:p w14:paraId="6F88BA76">
      <w:pPr>
        <w:snapToGrid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 xml:space="preserve">                                                  日  期：</w:t>
      </w:r>
    </w:p>
    <w:p w14:paraId="120D1B7E">
      <w:pPr>
        <w:snapToGrid w:val="0"/>
        <w:spacing w:line="440" w:lineRule="exact"/>
        <w:ind w:firstLine="420" w:firstLineChars="200"/>
        <w:rPr>
          <w:rFonts w:ascii="宋体" w:hAnsi="宋体" w:cs="宋体"/>
          <w:color w:val="auto"/>
          <w:sz w:val="21"/>
          <w:szCs w:val="21"/>
          <w:highlight w:val="none"/>
        </w:rPr>
      </w:pPr>
    </w:p>
    <w:p w14:paraId="11F185C8">
      <w:pPr>
        <w:snapToGrid w:val="0"/>
        <w:spacing w:line="440" w:lineRule="exact"/>
        <w:ind w:firstLine="420" w:firstLineChars="200"/>
        <w:rPr>
          <w:rFonts w:ascii="宋体" w:hAnsi="宋体" w:cs="宋体"/>
          <w:color w:val="auto"/>
          <w:sz w:val="21"/>
          <w:szCs w:val="21"/>
          <w:highlight w:val="none"/>
        </w:rPr>
      </w:pPr>
    </w:p>
    <w:p w14:paraId="3960C066">
      <w:pPr>
        <w:snapToGrid w:val="0"/>
        <w:spacing w:line="440" w:lineRule="exact"/>
        <w:ind w:firstLine="420" w:firstLineChars="200"/>
        <w:rPr>
          <w:rFonts w:ascii="宋体" w:hAnsi="宋体" w:cs="宋体"/>
          <w:color w:val="auto"/>
          <w:sz w:val="21"/>
          <w:szCs w:val="21"/>
          <w:highlight w:val="none"/>
        </w:rPr>
      </w:pPr>
    </w:p>
    <w:p w14:paraId="469FBE55">
      <w:pPr>
        <w:snapToGrid w:val="0"/>
        <w:spacing w:line="440" w:lineRule="exact"/>
        <w:ind w:firstLine="420" w:firstLineChars="200"/>
        <w:rPr>
          <w:rFonts w:ascii="宋体" w:hAnsi="宋体" w:cs="宋体"/>
          <w:color w:val="auto"/>
          <w:sz w:val="21"/>
          <w:szCs w:val="21"/>
          <w:highlight w:val="none"/>
        </w:rPr>
      </w:pPr>
    </w:p>
    <w:p w14:paraId="00E203C6">
      <w:pPr>
        <w:snapToGrid w:val="0"/>
        <w:spacing w:line="440" w:lineRule="exact"/>
        <w:ind w:firstLine="420" w:firstLineChars="200"/>
        <w:rPr>
          <w:rFonts w:ascii="宋体" w:hAnsi="宋体" w:cs="宋体"/>
          <w:color w:val="auto"/>
          <w:sz w:val="21"/>
          <w:szCs w:val="21"/>
          <w:highlight w:val="none"/>
        </w:rPr>
      </w:pPr>
    </w:p>
    <w:p w14:paraId="1FD3A97B">
      <w:pPr>
        <w:snapToGrid w:val="0"/>
        <w:spacing w:line="440" w:lineRule="exact"/>
        <w:ind w:firstLine="420" w:firstLineChars="200"/>
        <w:rPr>
          <w:rFonts w:ascii="宋体" w:hAnsi="宋体" w:cs="宋体"/>
          <w:color w:val="auto"/>
          <w:sz w:val="21"/>
          <w:szCs w:val="21"/>
          <w:highlight w:val="none"/>
        </w:rPr>
      </w:pPr>
    </w:p>
    <w:p w14:paraId="2383040D">
      <w:pPr>
        <w:snapToGrid w:val="0"/>
        <w:spacing w:line="440" w:lineRule="exact"/>
        <w:ind w:firstLine="420" w:firstLineChars="200"/>
        <w:rPr>
          <w:rFonts w:ascii="宋体" w:hAnsi="宋体" w:cs="宋体"/>
          <w:color w:val="auto"/>
          <w:sz w:val="21"/>
          <w:szCs w:val="21"/>
          <w:highlight w:val="none"/>
        </w:rPr>
      </w:pPr>
    </w:p>
    <w:p w14:paraId="5A174284">
      <w:pPr>
        <w:snapToGrid w:val="0"/>
        <w:spacing w:line="440" w:lineRule="exact"/>
        <w:ind w:firstLine="420" w:firstLineChars="200"/>
        <w:rPr>
          <w:rFonts w:ascii="宋体" w:hAnsi="宋体" w:cs="宋体"/>
          <w:color w:val="auto"/>
          <w:sz w:val="21"/>
          <w:szCs w:val="21"/>
          <w:highlight w:val="none"/>
        </w:rPr>
      </w:pPr>
    </w:p>
    <w:p w14:paraId="20734F4F">
      <w:pPr>
        <w:snapToGrid w:val="0"/>
        <w:spacing w:line="440" w:lineRule="exact"/>
        <w:ind w:firstLine="420" w:firstLineChars="200"/>
        <w:rPr>
          <w:rFonts w:ascii="宋体" w:hAnsi="宋体" w:cs="宋体"/>
          <w:color w:val="auto"/>
          <w:sz w:val="21"/>
          <w:szCs w:val="21"/>
          <w:highlight w:val="none"/>
        </w:rPr>
      </w:pPr>
    </w:p>
    <w:p w14:paraId="3AD02369">
      <w:pPr>
        <w:snapToGrid w:val="0"/>
        <w:spacing w:line="440" w:lineRule="exact"/>
        <w:rPr>
          <w:rFonts w:ascii="宋体" w:hAnsi="宋体" w:cs="宋体"/>
          <w:color w:val="auto"/>
          <w:sz w:val="21"/>
          <w:szCs w:val="21"/>
          <w:highlight w:val="none"/>
        </w:rPr>
      </w:pPr>
    </w:p>
    <w:p w14:paraId="6A6DFF31">
      <w:pPr>
        <w:snapToGrid w:val="0"/>
        <w:spacing w:line="440" w:lineRule="exact"/>
        <w:ind w:firstLine="420" w:firstLineChars="200"/>
        <w:rPr>
          <w:rFonts w:ascii="宋体" w:hAnsi="宋体" w:cs="宋体"/>
          <w:color w:val="auto"/>
          <w:sz w:val="21"/>
          <w:szCs w:val="21"/>
          <w:highlight w:val="none"/>
        </w:rPr>
      </w:pPr>
    </w:p>
    <w:p w14:paraId="35549129">
      <w:pPr>
        <w:snapToGrid w:val="0"/>
        <w:spacing w:line="440" w:lineRule="exact"/>
        <w:ind w:firstLine="420" w:firstLineChars="200"/>
        <w:rPr>
          <w:rFonts w:ascii="宋体" w:hAnsi="宋体" w:cs="宋体"/>
          <w:color w:val="auto"/>
          <w:sz w:val="21"/>
          <w:szCs w:val="21"/>
          <w:highlight w:val="none"/>
        </w:rPr>
      </w:pPr>
    </w:p>
    <w:p w14:paraId="514FBD52">
      <w:pPr>
        <w:snapToGrid w:val="0"/>
        <w:spacing w:line="440" w:lineRule="exact"/>
        <w:ind w:firstLine="420" w:firstLineChars="200"/>
        <w:rPr>
          <w:rFonts w:ascii="宋体" w:hAnsi="宋体" w:cs="宋体"/>
          <w:color w:val="auto"/>
          <w:sz w:val="21"/>
          <w:szCs w:val="21"/>
          <w:highlight w:val="none"/>
        </w:rPr>
      </w:pPr>
      <w:r>
        <w:rPr>
          <w:rFonts w:hint="eastAsia" w:ascii="宋体" w:hAnsi="宋体" w:cs="宋体"/>
          <w:color w:val="auto"/>
          <w:kern w:val="0"/>
          <w:sz w:val="21"/>
          <w:szCs w:val="21"/>
          <w:highlight w:val="none"/>
        </w:rPr>
        <w:t>若成交供应商为残疾人福利性单位的，将在结果公告时公告其《残疾人福利性单位声明函》。</w:t>
      </w:r>
    </w:p>
    <w:p w14:paraId="0B4B901B">
      <w:pPr>
        <w:tabs>
          <w:tab w:val="left" w:pos="6300"/>
        </w:tabs>
        <w:snapToGrid w:val="0"/>
        <w:spacing w:line="500" w:lineRule="exact"/>
        <w:jc w:val="left"/>
        <w:rPr>
          <w:rFonts w:ascii="宋体" w:hAnsi="宋体" w:cs="宋体"/>
          <w:color w:val="auto"/>
          <w:sz w:val="24"/>
          <w:szCs w:val="24"/>
          <w:highlight w:val="none"/>
        </w:rPr>
      </w:pPr>
    </w:p>
    <w:p w14:paraId="1BCE7B93">
      <w:pPr>
        <w:pStyle w:val="21"/>
        <w:rPr>
          <w:rFonts w:cs="宋体"/>
          <w:color w:val="auto"/>
          <w:sz w:val="22"/>
          <w:szCs w:val="18"/>
          <w:highlight w:val="none"/>
        </w:rPr>
      </w:pPr>
    </w:p>
    <w:p w14:paraId="62250D02">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（结束）</w:t>
      </w:r>
    </w:p>
    <w:p w14:paraId="54C7BF76">
      <w:pPr>
        <w:pStyle w:val="9"/>
        <w:rPr>
          <w:rFonts w:ascii="宋体" w:hAnsi="宋体" w:cs="宋体"/>
          <w:color w:val="auto"/>
          <w:highlight w:val="none"/>
        </w:rPr>
      </w:pPr>
    </w:p>
    <w:p w14:paraId="59FD7651">
      <w:pPr>
        <w:pStyle w:val="9"/>
        <w:rPr>
          <w:rFonts w:ascii="宋体" w:hAnsi="宋体" w:cs="宋体"/>
          <w:color w:val="auto"/>
          <w:highlight w:val="none"/>
        </w:rPr>
      </w:pPr>
    </w:p>
    <w:p w14:paraId="2595A8E7">
      <w:pPr>
        <w:rPr>
          <w:rFonts w:ascii="宋体" w:hAnsi="宋体" w:cs="宋体"/>
          <w:color w:val="auto"/>
          <w:highlight w:val="none"/>
        </w:rPr>
      </w:pPr>
    </w:p>
    <w:sectPr>
      <w:headerReference r:id="rId12" w:type="default"/>
      <w:footerReference r:id="rId13"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508A3DE-0064-4C4B-B1AB-E8D05FF1D25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F3EFEDAF-4A9E-47F6-95A9-CD41BD073C2B}"/>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embedRegular r:id="rId3" w:fontKey="{0F5D75AF-89AC-422C-AA16-932916B417B1}"/>
  </w:font>
  <w:font w:name="新宋体">
    <w:panose1 w:val="02010609030101010101"/>
    <w:charset w:val="86"/>
    <w:family w:val="auto"/>
    <w:pitch w:val="default"/>
    <w:sig w:usb0="00000203" w:usb1="288F0000" w:usb2="00000006" w:usb3="00000000" w:csb0="00040001" w:csb1="00000000"/>
    <w:embedRegular r:id="rId4" w:fontKey="{DEA23365-DE50-4C9B-8041-7B11BD75E42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0021">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CB57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91F9D">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D0FCE">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0D0FCE">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4C00">
    <w:pPr>
      <w:pStyle w:val="16"/>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CCA7E">
                          <w:pPr>
                            <w:pStyle w:val="1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1CCA7E">
                    <w:pPr>
                      <w:pStyle w:val="1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5DCE">
    <w:pPr>
      <w:pStyle w:val="16"/>
      <w:framePr w:wrap="around" w:vAnchor="text" w:hAnchor="margin" w:xAlign="center" w:y="1"/>
      <w:rPr>
        <w:rStyle w:val="26"/>
      </w:rPr>
    </w:pPr>
    <w:r>
      <w:fldChar w:fldCharType="begin"/>
    </w:r>
    <w:r>
      <w:rPr>
        <w:rStyle w:val="26"/>
      </w:rPr>
      <w:instrText xml:space="preserve">PAGE  </w:instrText>
    </w:r>
    <w:r>
      <w:fldChar w:fldCharType="end"/>
    </w:r>
  </w:p>
  <w:p w14:paraId="2CCD19C3">
    <w:pPr>
      <w:pStyle w:val="1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86FDA">
    <w:pPr>
      <w:pStyle w:val="16"/>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A10AA">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EFA10AA">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E9CD">
    <w:pPr>
      <w:pStyle w:val="16"/>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5F03D">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95F03D">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E874">
    <w:pPr>
      <w:pStyle w:val="17"/>
      <w:pBdr>
        <w:bottom w:val="single" w:color="auto" w:sz="4" w:space="1"/>
      </w:pBdr>
      <w:jc w:val="both"/>
    </w:pPr>
    <w:r>
      <w:rPr>
        <w:rFonts w:hint="eastAsia" w:eastAsiaTheme="minorEastAsia"/>
        <w:color w:val="FF0000"/>
        <w:highlight w:val="none"/>
        <w:lang w:val="en-US" w:eastAsia="zh-CN"/>
      </w:rPr>
      <w:t xml:space="preserve"> </w:t>
    </w:r>
    <w:r>
      <w:rPr>
        <w:rFonts w:hint="eastAsia" w:ascii="宋体" w:hAnsi="宋体" w:cs="宋体"/>
        <w:lang w:eastAsia="zh-CN"/>
      </w:rPr>
      <w:t>重庆中祥科达工程项目管理咨询有限公司</w:t>
    </w:r>
    <w:r>
      <w:rPr>
        <w:rFonts w:hint="eastAsia" w:ascii="宋体" w:hAnsi="宋体" w:cs="宋体"/>
        <w:lang w:val="en-US" w:eastAsia="zh-CN"/>
      </w:rPr>
      <w:t xml:space="preserve">                                                       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68C6">
    <w:pPr>
      <w:pStyle w:val="17"/>
      <w:pBdr>
        <w:bottom w:val="single" w:color="auto" w:sz="4" w:space="1"/>
      </w:pBdr>
      <w:jc w:val="both"/>
      <w:rPr>
        <w:rFonts w:hint="default"/>
        <w:lang w:val="en-US"/>
      </w:rPr>
    </w:pPr>
    <w:r>
      <w:rPr>
        <w:rFonts w:hint="eastAsia" w:eastAsiaTheme="minorEastAsia"/>
        <w:color w:val="FF0000"/>
        <w:highlight w:val="none"/>
        <w:lang w:val="en-US" w:eastAsia="zh-CN"/>
      </w:rPr>
      <w:t xml:space="preserve"> </w:t>
    </w:r>
    <w:r>
      <w:rPr>
        <w:rFonts w:hint="eastAsia" w:ascii="宋体" w:hAnsi="宋体" w:cs="宋体"/>
        <w:lang w:eastAsia="zh-CN"/>
      </w:rPr>
      <w:t>重庆中祥科达工程项目管理咨询有限公司</w:t>
    </w:r>
    <w:r>
      <w:rPr>
        <w:rFonts w:hint="eastAsia" w:ascii="宋体" w:hAnsi="宋体" w:cs="宋体"/>
        <w:lang w:val="en-US" w:eastAsia="zh-CN"/>
      </w:rPr>
      <w:t xml:space="preserve">                                          竞采文件</w:t>
    </w:r>
  </w:p>
  <w:p w14:paraId="37096964">
    <w:pPr>
      <w:pStyle w:val="17"/>
      <w:pBdr>
        <w:bottom w:val="none" w:color="auto" w:sz="0" w:space="1"/>
      </w:pBdr>
      <w:jc w:val="center"/>
      <w:rPr>
        <w:rFonts w:ascii="方正仿宋_GBK" w:eastAsia="方正仿宋_GBK"/>
        <w:sz w:val="21"/>
        <w:szCs w:val="21"/>
      </w:rPr>
    </w:pPr>
    <w:r>
      <w:rPr>
        <w:rFonts w:hint="eastAsia" w:eastAsiaTheme="minorEastAsia"/>
        <w:color w:val="FF0000"/>
        <w:highlight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4DBF">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C8A4">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8CD0D"/>
    <w:multiLevelType w:val="singleLevel"/>
    <w:tmpl w:val="EA08CD0D"/>
    <w:lvl w:ilvl="0" w:tentative="0">
      <w:start w:val="1"/>
      <w:numFmt w:val="chineseCounting"/>
      <w:suff w:val="nothing"/>
      <w:lvlText w:val="%1、"/>
      <w:lvlJc w:val="left"/>
      <w:rPr>
        <w:rFonts w:hint="eastAsia"/>
      </w:rPr>
    </w:lvl>
  </w:abstractNum>
  <w:abstractNum w:abstractNumId="1">
    <w:nsid w:val="ED06011D"/>
    <w:multiLevelType w:val="singleLevel"/>
    <w:tmpl w:val="ED06011D"/>
    <w:lvl w:ilvl="0" w:tentative="0">
      <w:start w:val="7"/>
      <w:numFmt w:val="chineseCounting"/>
      <w:suff w:val="space"/>
      <w:lvlText w:val="第%1篇"/>
      <w:lvlJc w:val="left"/>
      <w:rPr>
        <w:rFonts w:hint="eastAsia"/>
      </w:rPr>
    </w:lvl>
  </w:abstractNum>
  <w:abstractNum w:abstractNumId="2">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2F2E74D"/>
    <w:multiLevelType w:val="singleLevel"/>
    <w:tmpl w:val="72F2E74D"/>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MWMwMDBhOWZiZjNmN2RiODk3ZWY2ZmI5MzFjMWEifQ=="/>
  </w:docVars>
  <w:rsids>
    <w:rsidRoot w:val="15F27B3D"/>
    <w:rsid w:val="00073EEB"/>
    <w:rsid w:val="003752C8"/>
    <w:rsid w:val="00462CD0"/>
    <w:rsid w:val="00597D1D"/>
    <w:rsid w:val="00622A3C"/>
    <w:rsid w:val="009A5200"/>
    <w:rsid w:val="00CF6F61"/>
    <w:rsid w:val="00EB058F"/>
    <w:rsid w:val="00F12B55"/>
    <w:rsid w:val="01734856"/>
    <w:rsid w:val="018F44F7"/>
    <w:rsid w:val="021D673F"/>
    <w:rsid w:val="03C11353"/>
    <w:rsid w:val="04126199"/>
    <w:rsid w:val="05737D1E"/>
    <w:rsid w:val="06FD1B7F"/>
    <w:rsid w:val="07C57E8F"/>
    <w:rsid w:val="08183C31"/>
    <w:rsid w:val="08957AB3"/>
    <w:rsid w:val="08CC2C08"/>
    <w:rsid w:val="09886980"/>
    <w:rsid w:val="09AA4D5C"/>
    <w:rsid w:val="09CF47C3"/>
    <w:rsid w:val="09ED0DD1"/>
    <w:rsid w:val="09EE5E47"/>
    <w:rsid w:val="09F71624"/>
    <w:rsid w:val="09F96A8D"/>
    <w:rsid w:val="0A055623"/>
    <w:rsid w:val="0AD100C7"/>
    <w:rsid w:val="0AE62162"/>
    <w:rsid w:val="0C605BA6"/>
    <w:rsid w:val="0D1D0A20"/>
    <w:rsid w:val="0D4736AA"/>
    <w:rsid w:val="0E4C574A"/>
    <w:rsid w:val="0F62529A"/>
    <w:rsid w:val="0F784FB5"/>
    <w:rsid w:val="103D0C49"/>
    <w:rsid w:val="117143B2"/>
    <w:rsid w:val="118E135E"/>
    <w:rsid w:val="11A9707E"/>
    <w:rsid w:val="11D65957"/>
    <w:rsid w:val="127B4FA4"/>
    <w:rsid w:val="12B70E27"/>
    <w:rsid w:val="12FB2A0C"/>
    <w:rsid w:val="136376CF"/>
    <w:rsid w:val="138008DC"/>
    <w:rsid w:val="13A1479C"/>
    <w:rsid w:val="13AE75A1"/>
    <w:rsid w:val="13F02A4E"/>
    <w:rsid w:val="14447B5C"/>
    <w:rsid w:val="14CB202B"/>
    <w:rsid w:val="14D26F15"/>
    <w:rsid w:val="14DC4CFC"/>
    <w:rsid w:val="15331294"/>
    <w:rsid w:val="154C316C"/>
    <w:rsid w:val="15F27B3D"/>
    <w:rsid w:val="16726DFE"/>
    <w:rsid w:val="16B8566E"/>
    <w:rsid w:val="17800047"/>
    <w:rsid w:val="189267C2"/>
    <w:rsid w:val="1A037B71"/>
    <w:rsid w:val="1A3213E3"/>
    <w:rsid w:val="1B3044CB"/>
    <w:rsid w:val="1BBD4109"/>
    <w:rsid w:val="1BD42CAB"/>
    <w:rsid w:val="1C8256C5"/>
    <w:rsid w:val="1CD04E42"/>
    <w:rsid w:val="1D405CD5"/>
    <w:rsid w:val="1E4074B9"/>
    <w:rsid w:val="1E6A4663"/>
    <w:rsid w:val="1E953952"/>
    <w:rsid w:val="1EA72C4A"/>
    <w:rsid w:val="1EB678A8"/>
    <w:rsid w:val="1F4C0FAE"/>
    <w:rsid w:val="1F974FE3"/>
    <w:rsid w:val="1FFD7305"/>
    <w:rsid w:val="21AD1486"/>
    <w:rsid w:val="21C852EF"/>
    <w:rsid w:val="21F55F42"/>
    <w:rsid w:val="223059BB"/>
    <w:rsid w:val="22D749B9"/>
    <w:rsid w:val="23E672A5"/>
    <w:rsid w:val="23EB5E45"/>
    <w:rsid w:val="23F92298"/>
    <w:rsid w:val="24550027"/>
    <w:rsid w:val="24D740D4"/>
    <w:rsid w:val="2670658E"/>
    <w:rsid w:val="26C37006"/>
    <w:rsid w:val="277D34B8"/>
    <w:rsid w:val="28136501"/>
    <w:rsid w:val="297F091D"/>
    <w:rsid w:val="2ABF315F"/>
    <w:rsid w:val="2AC80737"/>
    <w:rsid w:val="2B0A15D2"/>
    <w:rsid w:val="2B69480F"/>
    <w:rsid w:val="2BDD0222"/>
    <w:rsid w:val="2C356098"/>
    <w:rsid w:val="2C58268E"/>
    <w:rsid w:val="2CC96F76"/>
    <w:rsid w:val="2D32459D"/>
    <w:rsid w:val="2E223ED4"/>
    <w:rsid w:val="2FA2116F"/>
    <w:rsid w:val="2FF65D56"/>
    <w:rsid w:val="303357B2"/>
    <w:rsid w:val="31244B45"/>
    <w:rsid w:val="31293F09"/>
    <w:rsid w:val="31F34FCD"/>
    <w:rsid w:val="328A51AB"/>
    <w:rsid w:val="336E20A7"/>
    <w:rsid w:val="33F702EF"/>
    <w:rsid w:val="346534AA"/>
    <w:rsid w:val="34F560B8"/>
    <w:rsid w:val="34F914A0"/>
    <w:rsid w:val="35C42B20"/>
    <w:rsid w:val="35FF348B"/>
    <w:rsid w:val="37021BF9"/>
    <w:rsid w:val="3762765E"/>
    <w:rsid w:val="377F774B"/>
    <w:rsid w:val="381F1BC2"/>
    <w:rsid w:val="38D9069D"/>
    <w:rsid w:val="3AC07B33"/>
    <w:rsid w:val="3B05356F"/>
    <w:rsid w:val="3C352564"/>
    <w:rsid w:val="3C597C36"/>
    <w:rsid w:val="3CEC22A2"/>
    <w:rsid w:val="3CFB075B"/>
    <w:rsid w:val="3D1D2B74"/>
    <w:rsid w:val="3D6B154D"/>
    <w:rsid w:val="3D844117"/>
    <w:rsid w:val="3D944C5D"/>
    <w:rsid w:val="3DD21629"/>
    <w:rsid w:val="3E9D7DAE"/>
    <w:rsid w:val="3F057D64"/>
    <w:rsid w:val="3F7B4B07"/>
    <w:rsid w:val="3F7D61AB"/>
    <w:rsid w:val="3F951006"/>
    <w:rsid w:val="3FC86191"/>
    <w:rsid w:val="40093884"/>
    <w:rsid w:val="40E87E13"/>
    <w:rsid w:val="4144417F"/>
    <w:rsid w:val="428F66A9"/>
    <w:rsid w:val="4327279F"/>
    <w:rsid w:val="441D6FCB"/>
    <w:rsid w:val="44A548B2"/>
    <w:rsid w:val="4585575A"/>
    <w:rsid w:val="45C04A77"/>
    <w:rsid w:val="45F50266"/>
    <w:rsid w:val="46003110"/>
    <w:rsid w:val="46343802"/>
    <w:rsid w:val="46E14C12"/>
    <w:rsid w:val="479A5E18"/>
    <w:rsid w:val="47A62E54"/>
    <w:rsid w:val="49103D93"/>
    <w:rsid w:val="4ACB3EF4"/>
    <w:rsid w:val="4B5115A4"/>
    <w:rsid w:val="4B5F07FC"/>
    <w:rsid w:val="4B693428"/>
    <w:rsid w:val="4BD910AC"/>
    <w:rsid w:val="4C404189"/>
    <w:rsid w:val="4C6562E6"/>
    <w:rsid w:val="4D397978"/>
    <w:rsid w:val="4E2C4BF8"/>
    <w:rsid w:val="4E9C2FF1"/>
    <w:rsid w:val="51B44E19"/>
    <w:rsid w:val="52E85C8C"/>
    <w:rsid w:val="53B06098"/>
    <w:rsid w:val="54461DC7"/>
    <w:rsid w:val="54684619"/>
    <w:rsid w:val="5482682D"/>
    <w:rsid w:val="568C27AB"/>
    <w:rsid w:val="570D55B0"/>
    <w:rsid w:val="576B6ED0"/>
    <w:rsid w:val="57710EBA"/>
    <w:rsid w:val="57932730"/>
    <w:rsid w:val="587F428B"/>
    <w:rsid w:val="58D634B3"/>
    <w:rsid w:val="59111814"/>
    <w:rsid w:val="59760866"/>
    <w:rsid w:val="598D68D5"/>
    <w:rsid w:val="59B14918"/>
    <w:rsid w:val="5A876EE9"/>
    <w:rsid w:val="5ADC263D"/>
    <w:rsid w:val="5B70435F"/>
    <w:rsid w:val="5C9F01C9"/>
    <w:rsid w:val="5D493A6C"/>
    <w:rsid w:val="5DAD3869"/>
    <w:rsid w:val="5E802B0B"/>
    <w:rsid w:val="5EC616D9"/>
    <w:rsid w:val="60505500"/>
    <w:rsid w:val="607132EF"/>
    <w:rsid w:val="60A61919"/>
    <w:rsid w:val="62A14300"/>
    <w:rsid w:val="62CA7EC8"/>
    <w:rsid w:val="62E629CB"/>
    <w:rsid w:val="635079A4"/>
    <w:rsid w:val="638B1439"/>
    <w:rsid w:val="640454E1"/>
    <w:rsid w:val="6449730B"/>
    <w:rsid w:val="647A07BF"/>
    <w:rsid w:val="6573215F"/>
    <w:rsid w:val="659A0956"/>
    <w:rsid w:val="666239FC"/>
    <w:rsid w:val="67601D56"/>
    <w:rsid w:val="67C42D8A"/>
    <w:rsid w:val="6918476D"/>
    <w:rsid w:val="696279DD"/>
    <w:rsid w:val="697138A5"/>
    <w:rsid w:val="69872FA0"/>
    <w:rsid w:val="69885F49"/>
    <w:rsid w:val="69BE3DE0"/>
    <w:rsid w:val="6A087881"/>
    <w:rsid w:val="6B1A261E"/>
    <w:rsid w:val="6B1B260E"/>
    <w:rsid w:val="6DEF55B7"/>
    <w:rsid w:val="6E2434B3"/>
    <w:rsid w:val="6E500DAD"/>
    <w:rsid w:val="6F216171"/>
    <w:rsid w:val="6FD138E7"/>
    <w:rsid w:val="71E13469"/>
    <w:rsid w:val="7218332F"/>
    <w:rsid w:val="72365635"/>
    <w:rsid w:val="736477B6"/>
    <w:rsid w:val="73D239B1"/>
    <w:rsid w:val="73E01C2A"/>
    <w:rsid w:val="73F833B2"/>
    <w:rsid w:val="741D48A8"/>
    <w:rsid w:val="74B333E0"/>
    <w:rsid w:val="74E120FE"/>
    <w:rsid w:val="75220F16"/>
    <w:rsid w:val="754B3A1B"/>
    <w:rsid w:val="75734D20"/>
    <w:rsid w:val="75A629FF"/>
    <w:rsid w:val="76036D80"/>
    <w:rsid w:val="76200A04"/>
    <w:rsid w:val="76D57F2A"/>
    <w:rsid w:val="76EF2E90"/>
    <w:rsid w:val="773007A9"/>
    <w:rsid w:val="77715DD1"/>
    <w:rsid w:val="77EF1307"/>
    <w:rsid w:val="79166AA4"/>
    <w:rsid w:val="79C142AC"/>
    <w:rsid w:val="7A28257D"/>
    <w:rsid w:val="7A392094"/>
    <w:rsid w:val="7A6D7F90"/>
    <w:rsid w:val="7B1211B1"/>
    <w:rsid w:val="7B311A28"/>
    <w:rsid w:val="7C161852"/>
    <w:rsid w:val="7C2E6B6F"/>
    <w:rsid w:val="7C8147C7"/>
    <w:rsid w:val="7CE2540A"/>
    <w:rsid w:val="7D500D0E"/>
    <w:rsid w:val="7DD01E22"/>
    <w:rsid w:val="7E3F279F"/>
    <w:rsid w:val="7E573431"/>
    <w:rsid w:val="7F4A78BC"/>
    <w:rsid w:val="7F8871F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link w:val="50"/>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spacing w:before="280" w:after="290" w:line="372" w:lineRule="auto"/>
      <w:outlineLvl w:val="3"/>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
    <w:name w:val="Normal Indent"/>
    <w:basedOn w:val="8"/>
    <w:next w:val="9"/>
    <w:qFormat/>
    <w:uiPriority w:val="0"/>
    <w:pPr>
      <w:adjustRightInd w:val="0"/>
      <w:snapToGrid w:val="0"/>
      <w:spacing w:line="360" w:lineRule="auto"/>
      <w:ind w:firstLine="420"/>
    </w:pPr>
    <w:rPr>
      <w:sz w:val="24"/>
      <w:szCs w:val="20"/>
    </w:rPr>
  </w:style>
  <w:style w:type="paragraph" w:styleId="8">
    <w:name w:val="Balloon Text"/>
    <w:basedOn w:val="1"/>
    <w:qFormat/>
    <w:uiPriority w:val="0"/>
    <w:rPr>
      <w:kern w:val="0"/>
      <w:sz w:val="18"/>
      <w:szCs w:val="18"/>
    </w:rPr>
  </w:style>
  <w:style w:type="paragraph" w:styleId="9">
    <w:name w:val="Body Text"/>
    <w:basedOn w:val="1"/>
    <w:next w:val="1"/>
    <w:qFormat/>
    <w:uiPriority w:val="0"/>
    <w:pPr>
      <w:spacing w:after="120"/>
    </w:pPr>
  </w:style>
  <w:style w:type="paragraph" w:styleId="10">
    <w:name w:val="annotation text"/>
    <w:basedOn w:val="1"/>
    <w:qFormat/>
    <w:uiPriority w:val="0"/>
    <w:pPr>
      <w:jc w:val="left"/>
    </w:pPr>
  </w:style>
  <w:style w:type="paragraph" w:styleId="11">
    <w:name w:val="Body Text Indent"/>
    <w:basedOn w:val="1"/>
    <w:qFormat/>
    <w:uiPriority w:val="0"/>
    <w:pPr>
      <w:spacing w:line="700" w:lineRule="exact"/>
      <w:ind w:left="960"/>
    </w:pPr>
    <w:rPr>
      <w:sz w:val="44"/>
      <w:szCs w:val="44"/>
    </w:rPr>
  </w:style>
  <w:style w:type="paragraph" w:styleId="12">
    <w:name w:val="toc 3"/>
    <w:basedOn w:val="1"/>
    <w:next w:val="1"/>
    <w:qFormat/>
    <w:uiPriority w:val="0"/>
    <w:pPr>
      <w:tabs>
        <w:tab w:val="right" w:leader="dot" w:pos="8300"/>
      </w:tabs>
      <w:spacing w:line="540" w:lineRule="atLeast"/>
      <w:ind w:left="1120" w:leftChars="400"/>
    </w:pPr>
    <w:rPr>
      <w:rFonts w:ascii="宋体" w:hAnsi="宋体" w:cs="宋体"/>
    </w:rPr>
  </w:style>
  <w:style w:type="paragraph" w:styleId="13">
    <w:name w:val="Plain Text"/>
    <w:basedOn w:val="1"/>
    <w:qFormat/>
    <w:uiPriority w:val="0"/>
    <w:rPr>
      <w:rFonts w:ascii="宋体" w:hAnsi="Courier New" w:cs="宋体"/>
      <w:sz w:val="21"/>
      <w:szCs w:val="21"/>
    </w:rPr>
  </w:style>
  <w:style w:type="paragraph" w:styleId="14">
    <w:name w:val="Date"/>
    <w:basedOn w:val="1"/>
    <w:next w:val="1"/>
    <w:qFormat/>
    <w:uiPriority w:val="0"/>
    <w:rPr>
      <w:sz w:val="24"/>
      <w:szCs w:val="24"/>
    </w:rPr>
  </w:style>
  <w:style w:type="paragraph" w:styleId="15">
    <w:name w:val="Body Text Indent 2"/>
    <w:basedOn w:val="1"/>
    <w:qFormat/>
    <w:uiPriority w:val="0"/>
    <w:pPr>
      <w:spacing w:after="12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8300"/>
      </w:tabs>
      <w:spacing w:line="300" w:lineRule="atLeast"/>
    </w:pPr>
    <w:rPr>
      <w:rFonts w:ascii="仿宋_GB2312" w:hAnsi="华文中宋" w:eastAsia="仿宋_GB2312" w:cs="仿宋_GB2312"/>
      <w:b/>
      <w:bCs/>
    </w:rPr>
  </w:style>
  <w:style w:type="paragraph" w:styleId="19">
    <w:name w:val="List"/>
    <w:basedOn w:val="1"/>
    <w:semiHidden/>
    <w:qFormat/>
    <w:uiPriority w:val="0"/>
    <w:pPr>
      <w:ind w:left="200" w:hanging="200" w:hangingChars="200"/>
    </w:pPr>
  </w:style>
  <w:style w:type="paragraph" w:styleId="20">
    <w:name w:val="toc 2"/>
    <w:basedOn w:val="1"/>
    <w:next w:val="1"/>
    <w:qFormat/>
    <w:uiPriority w:val="0"/>
    <w:pPr>
      <w:tabs>
        <w:tab w:val="right" w:leader="dot" w:pos="8300"/>
      </w:tabs>
      <w:spacing w:line="360" w:lineRule="auto"/>
      <w:ind w:left="278"/>
      <w:jc w:val="left"/>
    </w:pPr>
    <w:rPr>
      <w:rFonts w:ascii="仿宋_GB2312" w:hAnsi="华文中宋" w:eastAsia="仿宋_GB2312" w:cs="仿宋_GB2312"/>
    </w:rPr>
  </w:style>
  <w:style w:type="paragraph" w:styleId="21">
    <w:name w:val="Body Text First Indent"/>
    <w:basedOn w:val="9"/>
    <w:next w:val="22"/>
    <w:qFormat/>
    <w:uiPriority w:val="0"/>
    <w:pPr>
      <w:spacing w:line="360" w:lineRule="auto"/>
      <w:ind w:firstLine="420"/>
    </w:pPr>
    <w:rPr>
      <w:rFonts w:ascii="宋体" w:hAnsi="宋体"/>
      <w:sz w:val="24"/>
      <w:szCs w:val="20"/>
    </w:rPr>
  </w:style>
  <w:style w:type="paragraph" w:styleId="22">
    <w:name w:val="Body Text First Indent 2"/>
    <w:basedOn w:val="11"/>
    <w:next w:val="1"/>
    <w:qFormat/>
    <w:uiPriority w:val="99"/>
    <w:pPr>
      <w:adjustRightInd w:val="0"/>
      <w:spacing w:after="120" w:line="520" w:lineRule="exact"/>
      <w:ind w:firstLine="210" w:firstLineChars="0"/>
      <w:textAlignment w:val="baseline"/>
    </w:pPr>
    <w:rPr>
      <w:rFonts w:ascii="黑体" w:hAnsi="Arial" w:eastAsia="黑体"/>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qFormat/>
    <w:uiPriority w:val="0"/>
    <w:rPr>
      <w:rFonts w:ascii="Times New Roman" w:hAnsi="Times New Roman" w:eastAsia="宋体" w:cs="Times New Roman"/>
    </w:rPr>
  </w:style>
  <w:style w:type="character" w:styleId="27">
    <w:name w:val="Hyperlink"/>
    <w:basedOn w:val="25"/>
    <w:qFormat/>
    <w:uiPriority w:val="0"/>
    <w:rPr>
      <w:color w:val="0000FF"/>
      <w:u w:val="single"/>
    </w:rPr>
  </w:style>
  <w:style w:type="character" w:styleId="28">
    <w:name w:val="annotation reference"/>
    <w:qFormat/>
    <w:uiPriority w:val="0"/>
    <w:rPr>
      <w:sz w:val="21"/>
    </w:rPr>
  </w:style>
  <w:style w:type="paragraph" w:customStyle="1" w:styleId="29">
    <w:name w:val="正文1"/>
    <w:basedOn w:val="1"/>
    <w:next w:val="1"/>
    <w:qFormat/>
    <w:uiPriority w:val="0"/>
    <w:pPr>
      <w:spacing w:beforeAutospacing="0" w:afterAutospacing="0" w:line="300" w:lineRule="auto"/>
      <w:ind w:firstLine="200" w:firstLineChars="200"/>
    </w:pPr>
    <w:rPr>
      <w:rFonts w:ascii="Times New Roman" w:hAnsi="Times New Roman" w:eastAsia="宋体"/>
      <w:sz w:val="24"/>
    </w:rPr>
  </w:style>
  <w:style w:type="paragraph" w:customStyle="1" w:styleId="30">
    <w:name w:val="正文（缩进）"/>
    <w:basedOn w:val="1"/>
    <w:qFormat/>
    <w:uiPriority w:val="0"/>
    <w:pPr>
      <w:spacing w:beforeLines="50" w:afterLines="50"/>
      <w:ind w:firstLine="480" w:firstLineChars="200"/>
    </w:pPr>
    <w:rPr>
      <w:rFonts w:ascii="Calibri" w:hAnsi="Calibri"/>
      <w:sz w:val="21"/>
    </w:rPr>
  </w:style>
  <w:style w:type="paragraph" w:customStyle="1" w:styleId="31">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2">
    <w:name w:val="标题 2 Char"/>
    <w:link w:val="4"/>
    <w:qFormat/>
    <w:uiPriority w:val="0"/>
    <w:rPr>
      <w:rFonts w:ascii="Arial" w:hAnsi="Arial" w:eastAsia="黑体" w:cs="Arial"/>
      <w:b/>
      <w:bCs/>
      <w:sz w:val="32"/>
      <w:szCs w:val="32"/>
    </w:rPr>
  </w:style>
  <w:style w:type="paragraph" w:customStyle="1" w:styleId="33">
    <w:name w:val="1"/>
    <w:basedOn w:val="1"/>
    <w:next w:val="13"/>
    <w:qFormat/>
    <w:uiPriority w:val="0"/>
    <w:rPr>
      <w:rFonts w:ascii="宋体" w:hAnsi="Courier New" w:cs="宋体"/>
      <w:sz w:val="21"/>
      <w:szCs w:val="21"/>
    </w:rPr>
  </w:style>
  <w:style w:type="paragraph" w:customStyle="1" w:styleId="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7">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3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9">
    <w:name w:val="标书正文1"/>
    <w:basedOn w:val="1"/>
    <w:qFormat/>
    <w:uiPriority w:val="0"/>
    <w:pPr>
      <w:spacing w:line="520" w:lineRule="exact"/>
      <w:ind w:firstLine="640" w:firstLineChars="200"/>
    </w:pPr>
  </w:style>
  <w:style w:type="paragraph" w:customStyle="1" w:styleId="40">
    <w:name w:val="电建正文"/>
    <w:basedOn w:val="41"/>
    <w:qFormat/>
    <w:uiPriority w:val="0"/>
    <w:pPr>
      <w:tabs>
        <w:tab w:val="left" w:pos="720"/>
      </w:tabs>
      <w:spacing w:line="360" w:lineRule="auto"/>
      <w:ind w:firstLine="200" w:firstLineChars="200"/>
    </w:pPr>
    <w:rPr>
      <w:rFonts w:ascii="Tahoma" w:hAnsi="Tahoma"/>
      <w:sz w:val="24"/>
    </w:rPr>
  </w:style>
  <w:style w:type="paragraph" w:customStyle="1" w:styleId="41">
    <w:name w:val="List First"/>
    <w:basedOn w:val="19"/>
    <w:next w:val="19"/>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kern w:val="0"/>
    </w:rPr>
  </w:style>
  <w:style w:type="paragraph" w:customStyle="1" w:styleId="4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44">
    <w:name w:val="NormalCharacter"/>
    <w:qFormat/>
    <w:uiPriority w:val="0"/>
  </w:style>
  <w:style w:type="paragraph" w:customStyle="1" w:styleId="45">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46">
    <w:name w:val="BodyText"/>
    <w:basedOn w:val="1"/>
    <w:next w:val="47"/>
    <w:qFormat/>
    <w:uiPriority w:val="0"/>
    <w:rPr>
      <w:rFonts w:ascii="仿宋_GB2312" w:hAnsi="Times New Roman" w:eastAsia="仿宋_GB2312" w:cs="Times New Roman"/>
      <w:sz w:val="32"/>
    </w:rPr>
  </w:style>
  <w:style w:type="paragraph" w:customStyle="1" w:styleId="47">
    <w:name w:val="BodyTextIndent"/>
    <w:basedOn w:val="1"/>
    <w:qFormat/>
    <w:uiPriority w:val="0"/>
    <w:pPr>
      <w:spacing w:line="700" w:lineRule="exact"/>
      <w:ind w:left="960"/>
      <w:jc w:val="both"/>
      <w:textAlignment w:val="baseline"/>
    </w:pPr>
    <w:rPr>
      <w:rFonts w:ascii="Times New Roman" w:hAnsi="Times New Roman" w:eastAsia="宋体" w:cs="Times New Roman"/>
      <w:kern w:val="2"/>
      <w:sz w:val="44"/>
      <w:lang w:val="en-US" w:eastAsia="zh-CN" w:bidi="ar-SA"/>
    </w:rPr>
  </w:style>
  <w:style w:type="paragraph" w:customStyle="1" w:styleId="4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49">
    <w:name w:val="List Paragraph"/>
    <w:basedOn w:val="1"/>
    <w:qFormat/>
    <w:uiPriority w:val="34"/>
    <w:pPr>
      <w:widowControl/>
      <w:ind w:firstLine="420" w:firstLineChars="200"/>
      <w:jc w:val="left"/>
    </w:pPr>
    <w:rPr>
      <w:sz w:val="21"/>
      <w:szCs w:val="24"/>
    </w:rPr>
  </w:style>
  <w:style w:type="character" w:customStyle="1" w:styleId="50">
    <w:name w:val="标题 2 字符"/>
    <w:link w:val="4"/>
    <w:qFormat/>
    <w:uiPriority w:val="0"/>
    <w:rPr>
      <w:rFonts w:ascii="Arial" w:hAnsi="Arial" w:eastAsia="黑体"/>
      <w:b/>
      <w:kern w:val="2"/>
      <w:sz w:val="32"/>
    </w:r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表内"/>
    <w:basedOn w:val="1"/>
    <w:next w:val="1"/>
    <w:qFormat/>
    <w:uiPriority w:val="0"/>
    <w:pPr>
      <w:spacing w:line="300" w:lineRule="exact"/>
      <w:ind w:firstLine="0" w:firstLineChars="0"/>
    </w:pPr>
  </w:style>
  <w:style w:type="paragraph" w:customStyle="1" w:styleId="53">
    <w:name w:val="Table Text"/>
    <w:qFormat/>
    <w:uiPriority w:val="0"/>
    <w:pPr>
      <w:snapToGrid w:val="0"/>
      <w:spacing w:before="80" w:after="80"/>
    </w:pPr>
    <w:rPr>
      <w:rFonts w:ascii="Arial" w:hAnsi="Arial"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12831</Words>
  <Characters>13435</Characters>
  <Lines>27</Lines>
  <Paragraphs>41</Paragraphs>
  <TotalTime>22</TotalTime>
  <ScaleCrop>false</ScaleCrop>
  <LinksUpToDate>false</LinksUpToDate>
  <CharactersWithSpaces>13588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1</cp:lastModifiedBy>
  <cp:lastPrinted>2024-07-03T04:05:00Z</cp:lastPrinted>
  <dcterms:modified xsi:type="dcterms:W3CDTF">2026-06-02T06:38:13Z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F10438107FE74100AFE6CC02466F5F49_13</vt:lpwstr>
  </property>
  <property fmtid="{D5CDD505-2E9C-101B-9397-08002B2CF9AE}" pid="4" name="KSOTemplateDocerSaveRecord">
    <vt:lpwstr>eyJoZGlkIjoiYmFiMmE3NDJmYjI1NDBjMzc4ZGU2MTc3N2YzODRjMWYiLCJ1c2VySWQiOiI1NDY2NjExMTcifQ==</vt:lpwstr>
  </property>
</Properties>
</file>