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96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重庆市渝北区专业市场现状及发展对策</w:t>
      </w:r>
    </w:p>
    <w:p w14:paraId="71DE1E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调研项目采购公告</w:t>
      </w:r>
    </w:p>
    <w:p w14:paraId="09235262">
      <w:pPr>
        <w:rPr>
          <w:rFonts w:hint="eastAsia"/>
        </w:rPr>
      </w:pPr>
    </w:p>
    <w:p w14:paraId="0654835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方正仿宋_GBK" w:hAnsi="Times New Roman" w:eastAsia="方正仿宋_GBK" w:cs="Times New Roman"/>
          <w:color w:val="auto"/>
          <w:sz w:val="24"/>
          <w:szCs w:val="24"/>
          <w:highlight w:val="none"/>
        </w:rPr>
      </w:pPr>
      <w:bookmarkStart w:id="0" w:name="_Toc317775175"/>
      <w:bookmarkStart w:id="1" w:name="_Toc313893526"/>
      <w:bookmarkStart w:id="2" w:name="_Toc27351"/>
      <w:r>
        <w:rPr>
          <w:rFonts w:hint="eastAsia" w:ascii="方正仿宋_GBK" w:hAnsi="方正仿宋_GBK" w:eastAsia="方正仿宋_GBK" w:cs="方正仿宋_GBK"/>
          <w:sz w:val="24"/>
          <w:szCs w:val="24"/>
        </w:rPr>
        <w:t>重庆市渝北区市场</w:t>
      </w:r>
      <w:r>
        <w:rPr>
          <w:rFonts w:hint="eastAsia" w:ascii="方正仿宋_GBK" w:hAnsi="方正仿宋_GBK" w:eastAsia="方正仿宋_GBK" w:cs="方正仿宋_GBK"/>
          <w:sz w:val="24"/>
          <w:szCs w:val="24"/>
          <w:lang w:val="en-US" w:eastAsia="zh-CN"/>
        </w:rPr>
        <w:t>物业</w:t>
      </w:r>
      <w:r>
        <w:rPr>
          <w:rFonts w:hint="eastAsia" w:ascii="方正仿宋_GBK" w:hAnsi="方正仿宋_GBK" w:eastAsia="方正仿宋_GBK" w:cs="方正仿宋_GBK"/>
          <w:sz w:val="24"/>
          <w:szCs w:val="24"/>
        </w:rPr>
        <w:t>管理服务所（以下简称：采购人）对</w:t>
      </w:r>
      <w:r>
        <w:rPr>
          <w:rFonts w:hint="eastAsia" w:ascii="方正仿宋_GBK" w:hAnsi="方正仿宋_GBK" w:eastAsia="方正仿宋_GBK" w:cs="方正仿宋_GBK"/>
          <w:sz w:val="24"/>
          <w:szCs w:val="24"/>
          <w:lang w:eastAsia="zh-CN"/>
        </w:rPr>
        <w:t>重庆市渝北区专业市场现状及发展对策调研项目</w:t>
      </w:r>
      <w:r>
        <w:rPr>
          <w:rFonts w:hint="eastAsia" w:ascii="方正仿宋_GBK" w:hAnsi="方正仿宋_GBK" w:eastAsia="方正仿宋_GBK" w:cs="方正仿宋_GBK"/>
          <w:sz w:val="24"/>
          <w:szCs w:val="24"/>
        </w:rPr>
        <w:t>进行竞争性</w:t>
      </w:r>
      <w:r>
        <w:rPr>
          <w:rFonts w:hint="eastAsia" w:ascii="方正仿宋_GBK" w:hAnsi="方正仿宋_GBK" w:eastAsia="方正仿宋_GBK" w:cs="方正仿宋_GBK"/>
          <w:sz w:val="24"/>
          <w:szCs w:val="24"/>
          <w:lang w:val="en-US" w:eastAsia="zh-CN"/>
        </w:rPr>
        <w:t>磋商</w:t>
      </w:r>
      <w:r>
        <w:rPr>
          <w:rFonts w:hint="eastAsia" w:ascii="方正仿宋_GBK" w:hAnsi="方正仿宋_GBK" w:eastAsia="方正仿宋_GBK" w:cs="方正仿宋_GBK"/>
          <w:sz w:val="24"/>
          <w:szCs w:val="24"/>
        </w:rPr>
        <w:t>采购。欢迎有资格的供应商前来参加</w:t>
      </w:r>
      <w:r>
        <w:rPr>
          <w:rFonts w:hint="eastAsia" w:ascii="方正仿宋_GBK" w:hAnsi="方正仿宋_GBK" w:eastAsia="方正仿宋_GBK" w:cs="方正仿宋_GBK"/>
          <w:sz w:val="24"/>
          <w:szCs w:val="24"/>
          <w:lang w:val="en-US" w:eastAsia="zh-CN"/>
        </w:rPr>
        <w:t>磋商</w:t>
      </w:r>
      <w:r>
        <w:rPr>
          <w:rFonts w:hint="eastAsia" w:ascii="方正仿宋_GBK" w:hAnsi="方正仿宋_GBK" w:eastAsia="方正仿宋_GBK" w:cs="方正仿宋_GBK"/>
          <w:sz w:val="24"/>
          <w:szCs w:val="24"/>
        </w:rPr>
        <w:t>。</w:t>
      </w:r>
    </w:p>
    <w:p w14:paraId="316FA889">
      <w:pPr>
        <w:pStyle w:val="4"/>
        <w:spacing w:before="0" w:after="0" w:line="400" w:lineRule="exact"/>
        <w:ind w:firstLine="480" w:firstLineChars="200"/>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一、竞争性磋商内容</w:t>
      </w:r>
      <w:bookmarkEnd w:id="0"/>
      <w:bookmarkEnd w:id="1"/>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1272"/>
        <w:gridCol w:w="1540"/>
        <w:gridCol w:w="1396"/>
      </w:tblGrid>
      <w:tr w14:paraId="66E4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noWrap w:val="0"/>
            <w:vAlign w:val="center"/>
          </w:tcPr>
          <w:p w14:paraId="75F7DFC0">
            <w:pPr>
              <w:pStyle w:val="7"/>
              <w:spacing w:line="240" w:lineRule="atLeast"/>
              <w:ind w:left="0"/>
              <w:jc w:val="center"/>
              <w:outlineLvl w:val="0"/>
              <w:rPr>
                <w:rFonts w:hint="eastAsia" w:ascii="方正仿宋_GBK" w:hAnsi="宋体" w:eastAsia="方正仿宋_GBK" w:cs="Times New Roman"/>
                <w:b/>
                <w:bCs/>
                <w:color w:val="auto"/>
                <w:sz w:val="24"/>
                <w:szCs w:val="24"/>
                <w:highlight w:val="none"/>
              </w:rPr>
            </w:pPr>
            <w:bookmarkStart w:id="3" w:name="_Toc373860293"/>
            <w:bookmarkStart w:id="4" w:name="_Toc317775178"/>
            <w:r>
              <w:rPr>
                <w:rFonts w:hint="eastAsia" w:ascii="方正仿宋_GBK" w:hAnsi="宋体" w:eastAsia="方正仿宋_GBK" w:cs="Times New Roman"/>
                <w:b/>
                <w:bCs/>
                <w:color w:val="auto"/>
                <w:sz w:val="24"/>
                <w:szCs w:val="24"/>
                <w:highlight w:val="none"/>
              </w:rPr>
              <w:t>项目名称</w:t>
            </w:r>
          </w:p>
        </w:tc>
        <w:tc>
          <w:tcPr>
            <w:tcW w:w="1272" w:type="dxa"/>
            <w:noWrap w:val="0"/>
            <w:vAlign w:val="center"/>
          </w:tcPr>
          <w:p w14:paraId="2B39AED7">
            <w:pPr>
              <w:pStyle w:val="7"/>
              <w:spacing w:line="240" w:lineRule="atLeast"/>
              <w:ind w:left="0"/>
              <w:jc w:val="center"/>
              <w:outlineLvl w:val="0"/>
              <w:rPr>
                <w:rFonts w:hint="eastAsia" w:ascii="方正仿宋_GBK" w:hAnsi="宋体" w:eastAsia="方正仿宋_GBK" w:cs="Times New Roman"/>
                <w:b/>
                <w:bCs/>
                <w:color w:val="auto"/>
                <w:sz w:val="24"/>
                <w:szCs w:val="24"/>
                <w:highlight w:val="none"/>
              </w:rPr>
            </w:pPr>
            <w:r>
              <w:rPr>
                <w:rFonts w:hint="eastAsia" w:ascii="方正仿宋_GBK" w:hAnsi="宋体" w:eastAsia="方正仿宋_GBK" w:cs="Times New Roman"/>
                <w:b/>
                <w:bCs/>
                <w:color w:val="auto"/>
                <w:sz w:val="24"/>
                <w:szCs w:val="24"/>
                <w:highlight w:val="none"/>
              </w:rPr>
              <w:t>采购预算</w:t>
            </w:r>
          </w:p>
          <w:p w14:paraId="13870A66">
            <w:pPr>
              <w:pStyle w:val="7"/>
              <w:spacing w:line="240" w:lineRule="atLeast"/>
              <w:ind w:left="0"/>
              <w:jc w:val="center"/>
              <w:outlineLvl w:val="0"/>
              <w:rPr>
                <w:rFonts w:hint="eastAsia" w:ascii="方正仿宋_GBK" w:hAnsi="宋体" w:eastAsia="方正仿宋_GBK" w:cs="Times New Roman"/>
                <w:b/>
                <w:bCs/>
                <w:color w:val="auto"/>
                <w:sz w:val="24"/>
                <w:szCs w:val="24"/>
                <w:highlight w:val="none"/>
              </w:rPr>
            </w:pPr>
            <w:r>
              <w:rPr>
                <w:rFonts w:hint="eastAsia" w:ascii="方正仿宋_GBK" w:hAnsi="宋体" w:eastAsia="方正仿宋_GBK" w:cs="Times New Roman"/>
                <w:b/>
                <w:bCs/>
                <w:color w:val="auto"/>
                <w:sz w:val="24"/>
                <w:szCs w:val="24"/>
                <w:highlight w:val="none"/>
              </w:rPr>
              <w:t>（万元）</w:t>
            </w:r>
          </w:p>
        </w:tc>
        <w:tc>
          <w:tcPr>
            <w:tcW w:w="1540" w:type="dxa"/>
            <w:noWrap w:val="0"/>
            <w:vAlign w:val="center"/>
          </w:tcPr>
          <w:p w14:paraId="08E8BA41">
            <w:pPr>
              <w:widowControl/>
              <w:jc w:val="center"/>
              <w:rPr>
                <w:rFonts w:hint="eastAsia" w:ascii="方正仿宋_GBK" w:hAnsi="宋体" w:eastAsia="方正仿宋_GBK" w:cs="Times New Roman"/>
                <w:b/>
                <w:bCs/>
                <w:color w:val="auto"/>
                <w:sz w:val="24"/>
                <w:szCs w:val="24"/>
                <w:highlight w:val="none"/>
              </w:rPr>
            </w:pPr>
            <w:r>
              <w:rPr>
                <w:rFonts w:hint="eastAsia" w:ascii="方正仿宋_GBK" w:hAnsi="宋体" w:eastAsia="方正仿宋_GBK" w:cs="Times New Roman"/>
                <w:b/>
                <w:bCs/>
                <w:color w:val="auto"/>
                <w:sz w:val="24"/>
                <w:szCs w:val="24"/>
                <w:highlight w:val="none"/>
              </w:rPr>
              <w:t>磋商保证金</w:t>
            </w:r>
          </w:p>
          <w:p w14:paraId="6DF6AD93">
            <w:pPr>
              <w:pStyle w:val="7"/>
              <w:spacing w:line="240" w:lineRule="atLeast"/>
              <w:ind w:left="0"/>
              <w:jc w:val="center"/>
              <w:outlineLvl w:val="0"/>
              <w:rPr>
                <w:rFonts w:hint="eastAsia" w:ascii="方正仿宋_GBK" w:hAnsi="宋体" w:eastAsia="方正仿宋_GBK" w:cs="Times New Roman"/>
                <w:b/>
                <w:bCs/>
                <w:color w:val="auto"/>
                <w:sz w:val="24"/>
                <w:szCs w:val="24"/>
                <w:highlight w:val="none"/>
              </w:rPr>
            </w:pPr>
            <w:r>
              <w:rPr>
                <w:rFonts w:hint="eastAsia" w:ascii="方正仿宋_GBK" w:hAnsi="宋体" w:eastAsia="方正仿宋_GBK" w:cs="Times New Roman"/>
                <w:b/>
                <w:bCs/>
                <w:color w:val="auto"/>
                <w:sz w:val="24"/>
                <w:szCs w:val="24"/>
                <w:highlight w:val="none"/>
              </w:rPr>
              <w:t>（万元）</w:t>
            </w:r>
          </w:p>
        </w:tc>
        <w:tc>
          <w:tcPr>
            <w:tcW w:w="1396" w:type="dxa"/>
            <w:noWrap w:val="0"/>
            <w:vAlign w:val="center"/>
          </w:tcPr>
          <w:p w14:paraId="3A387451">
            <w:pPr>
              <w:pStyle w:val="7"/>
              <w:spacing w:line="240" w:lineRule="atLeast"/>
              <w:ind w:left="0"/>
              <w:jc w:val="center"/>
              <w:outlineLvl w:val="0"/>
              <w:rPr>
                <w:rFonts w:hint="eastAsia" w:ascii="方正仿宋_GBK" w:hAnsi="宋体" w:eastAsia="方正仿宋_GBK" w:cs="Times New Roman"/>
                <w:b/>
                <w:bCs/>
                <w:color w:val="auto"/>
                <w:sz w:val="24"/>
                <w:szCs w:val="24"/>
                <w:highlight w:val="none"/>
              </w:rPr>
            </w:pPr>
            <w:r>
              <w:rPr>
                <w:rFonts w:hint="eastAsia" w:ascii="方正仿宋_GBK" w:hAnsi="宋体" w:eastAsia="方正仿宋_GBK" w:cs="Times New Roman"/>
                <w:b/>
                <w:bCs/>
                <w:color w:val="auto"/>
                <w:sz w:val="24"/>
                <w:szCs w:val="24"/>
                <w:highlight w:val="none"/>
              </w:rPr>
              <w:t>成交供应商数量</w:t>
            </w:r>
          </w:p>
        </w:tc>
      </w:tr>
      <w:tr w14:paraId="5B40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750" w:type="dxa"/>
            <w:noWrap w:val="0"/>
            <w:vAlign w:val="center"/>
          </w:tcPr>
          <w:p w14:paraId="095780CE">
            <w:pPr>
              <w:keepNext w:val="0"/>
              <w:keepLines w:val="0"/>
              <w:pageBreakBefore w:val="0"/>
              <w:kinsoku/>
              <w:wordWrap/>
              <w:overflowPunct/>
              <w:topLinePunct w:val="0"/>
              <w:autoSpaceDE/>
              <w:autoSpaceDN/>
              <w:bidi w:val="0"/>
              <w:adjustRightInd/>
              <w:snapToGrid/>
              <w:spacing w:line="360" w:lineRule="exact"/>
              <w:ind w:firstLine="482" w:firstLineChars="200"/>
              <w:jc w:val="both"/>
              <w:textAlignment w:val="auto"/>
              <w:rPr>
                <w:rFonts w:hint="eastAsia" w:ascii="方正仿宋_GBK" w:hAnsi="宋体" w:eastAsia="方正仿宋_GBK" w:cs="Times New Roman"/>
                <w:b/>
                <w:bCs/>
                <w:color w:val="auto"/>
                <w:kern w:val="2"/>
                <w:sz w:val="24"/>
                <w:szCs w:val="24"/>
                <w:highlight w:val="none"/>
                <w:lang w:val="en-US" w:eastAsia="zh-CN" w:bidi="ar-SA"/>
              </w:rPr>
            </w:pPr>
            <w:r>
              <w:rPr>
                <w:rFonts w:hint="eastAsia" w:ascii="方正仿宋_GBK" w:hAnsi="宋体" w:eastAsia="方正仿宋_GBK" w:cs="Times New Roman"/>
                <w:b/>
                <w:bCs/>
                <w:color w:val="auto"/>
                <w:kern w:val="2"/>
                <w:sz w:val="24"/>
                <w:szCs w:val="24"/>
                <w:highlight w:val="none"/>
                <w:lang w:val="en-US" w:eastAsia="zh-CN" w:bidi="ar-SA"/>
              </w:rPr>
              <w:t>重庆市渝北区专业市场</w:t>
            </w:r>
          </w:p>
          <w:p w14:paraId="5760FE28">
            <w:pPr>
              <w:keepNext w:val="0"/>
              <w:keepLines w:val="0"/>
              <w:pageBreakBefore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Times New Roman"/>
                <w:color w:val="auto"/>
                <w:sz w:val="24"/>
                <w:szCs w:val="24"/>
                <w:highlight w:val="none"/>
              </w:rPr>
            </w:pPr>
            <w:r>
              <w:rPr>
                <w:rFonts w:hint="eastAsia" w:ascii="方正仿宋_GBK" w:hAnsi="宋体" w:eastAsia="方正仿宋_GBK" w:cs="Times New Roman"/>
                <w:b/>
                <w:bCs/>
                <w:color w:val="auto"/>
                <w:kern w:val="2"/>
                <w:sz w:val="24"/>
                <w:szCs w:val="24"/>
                <w:highlight w:val="none"/>
                <w:lang w:val="en-US" w:eastAsia="zh-CN" w:bidi="ar-SA"/>
              </w:rPr>
              <w:t>现状及发展对策调研项目</w:t>
            </w:r>
          </w:p>
        </w:tc>
        <w:tc>
          <w:tcPr>
            <w:tcW w:w="1272" w:type="dxa"/>
            <w:noWrap w:val="0"/>
            <w:vAlign w:val="center"/>
          </w:tcPr>
          <w:p w14:paraId="0FA46D89">
            <w:pPr>
              <w:pStyle w:val="7"/>
              <w:spacing w:line="400" w:lineRule="exact"/>
              <w:ind w:left="0"/>
              <w:jc w:val="center"/>
              <w:outlineLvl w:val="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14</w:t>
            </w:r>
          </w:p>
        </w:tc>
        <w:tc>
          <w:tcPr>
            <w:tcW w:w="1540" w:type="dxa"/>
            <w:noWrap w:val="0"/>
            <w:vAlign w:val="center"/>
          </w:tcPr>
          <w:p w14:paraId="58F9A705">
            <w:pPr>
              <w:pStyle w:val="7"/>
              <w:spacing w:line="400" w:lineRule="exact"/>
              <w:ind w:left="0"/>
              <w:jc w:val="center"/>
              <w:outlineLvl w:val="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0</w:t>
            </w:r>
          </w:p>
        </w:tc>
        <w:tc>
          <w:tcPr>
            <w:tcW w:w="1396" w:type="dxa"/>
            <w:noWrap w:val="0"/>
            <w:vAlign w:val="center"/>
          </w:tcPr>
          <w:p w14:paraId="24E722B0">
            <w:pPr>
              <w:pStyle w:val="6"/>
              <w:spacing w:line="400" w:lineRule="exact"/>
              <w:ind w:firstLine="0"/>
              <w:jc w:val="center"/>
              <w:outlineLvl w:val="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w:t>
            </w:r>
          </w:p>
        </w:tc>
      </w:tr>
    </w:tbl>
    <w:p w14:paraId="0023AF34">
      <w:pPr>
        <w:pStyle w:val="4"/>
        <w:spacing w:before="0" w:after="0" w:line="400" w:lineRule="exact"/>
        <w:ind w:firstLine="480" w:firstLineChars="200"/>
        <w:rPr>
          <w:rFonts w:hint="eastAsia" w:ascii="方正黑体_GBK" w:hAnsi="方正黑体_GBK" w:eastAsia="方正黑体_GBK" w:cs="方正黑体_GBK"/>
          <w:b w:val="0"/>
          <w:bCs/>
          <w:color w:val="auto"/>
          <w:sz w:val="24"/>
          <w:szCs w:val="24"/>
          <w:highlight w:val="none"/>
        </w:rPr>
      </w:pPr>
      <w:bookmarkStart w:id="5" w:name="_Toc27693"/>
      <w:r>
        <w:rPr>
          <w:rFonts w:hint="eastAsia" w:ascii="方正黑体_GBK" w:hAnsi="方正黑体_GBK" w:eastAsia="方正黑体_GBK" w:cs="方正黑体_GBK"/>
          <w:b w:val="0"/>
          <w:bCs/>
          <w:color w:val="auto"/>
          <w:sz w:val="24"/>
          <w:szCs w:val="24"/>
          <w:highlight w:val="none"/>
        </w:rPr>
        <w:t>二、资金来源</w:t>
      </w:r>
      <w:bookmarkEnd w:id="5"/>
    </w:p>
    <w:p w14:paraId="33187D03">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财政预算资金</w:t>
      </w:r>
    </w:p>
    <w:p w14:paraId="58A51663">
      <w:pPr>
        <w:pStyle w:val="4"/>
        <w:spacing w:before="0" w:after="0" w:line="400" w:lineRule="exact"/>
        <w:ind w:firstLine="480" w:firstLineChars="200"/>
        <w:rPr>
          <w:rFonts w:hint="eastAsia" w:ascii="方正黑体_GBK" w:hAnsi="方正黑体_GBK" w:eastAsia="方正黑体_GBK" w:cs="方正黑体_GBK"/>
          <w:b w:val="0"/>
          <w:bCs/>
          <w:color w:val="auto"/>
          <w:sz w:val="24"/>
          <w:szCs w:val="24"/>
          <w:highlight w:val="none"/>
        </w:rPr>
      </w:pPr>
      <w:bookmarkStart w:id="6" w:name="_Toc1846"/>
      <w:r>
        <w:rPr>
          <w:rFonts w:hint="eastAsia" w:ascii="方正黑体_GBK" w:hAnsi="方正黑体_GBK" w:eastAsia="方正黑体_GBK" w:cs="方正黑体_GBK"/>
          <w:b w:val="0"/>
          <w:bCs/>
          <w:color w:val="auto"/>
          <w:sz w:val="24"/>
          <w:szCs w:val="24"/>
          <w:highlight w:val="none"/>
        </w:rPr>
        <w:t>三、供应商资格条件</w:t>
      </w:r>
      <w:bookmarkEnd w:id="6"/>
    </w:p>
    <w:p w14:paraId="671EFBB2">
      <w:pPr>
        <w:spacing w:line="48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rPr>
        <w:t>供应商是指向采购人提供服务或者货物的法人、其他组织或者自然人。合格的供应商应首先符合政府采购法第二十二条规定的基本资格条件</w:t>
      </w:r>
      <w:r>
        <w:rPr>
          <w:rFonts w:hint="eastAsia" w:ascii="方正仿宋_GBK" w:hAnsi="宋体" w:eastAsia="方正仿宋_GBK" w:cs="Times New Roman"/>
          <w:color w:val="auto"/>
          <w:sz w:val="24"/>
          <w:szCs w:val="24"/>
          <w:highlight w:val="none"/>
          <w:lang w:eastAsia="zh-CN"/>
        </w:rPr>
        <w:t>。</w:t>
      </w:r>
    </w:p>
    <w:p w14:paraId="227F979B">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1、具有独立承担民事责任的能力；</w:t>
      </w:r>
    </w:p>
    <w:p w14:paraId="6923111F">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2、具有良好的商业信誉和健全的财务会计制度；</w:t>
      </w:r>
    </w:p>
    <w:p w14:paraId="543FC86F">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3、具有履行合同所必需的设备和专业技术能力；</w:t>
      </w:r>
    </w:p>
    <w:p w14:paraId="4E1BE499">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4、有依法缴纳税收和社会保障资金的良好记录；</w:t>
      </w:r>
    </w:p>
    <w:p w14:paraId="5DFBFC68">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5、参加政府采购活动前三年内，在经营活动中没有重大违法记录；</w:t>
      </w:r>
    </w:p>
    <w:p w14:paraId="55D2193D">
      <w:pPr>
        <w:spacing w:line="4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6、法律、行政法规规定的其他条件。</w:t>
      </w:r>
    </w:p>
    <w:p w14:paraId="4FDE5644">
      <w:pPr>
        <w:pStyle w:val="4"/>
        <w:spacing w:before="0" w:after="0" w:line="480" w:lineRule="exact"/>
        <w:ind w:firstLine="480" w:firstLineChars="200"/>
        <w:rPr>
          <w:rFonts w:hint="eastAsia" w:ascii="方正黑体_GBK" w:hAnsi="方正黑体_GBK" w:eastAsia="方正黑体_GBK" w:cs="方正黑体_GBK"/>
          <w:b w:val="0"/>
          <w:bCs/>
          <w:color w:val="auto"/>
          <w:sz w:val="24"/>
          <w:szCs w:val="24"/>
          <w:highlight w:val="none"/>
        </w:rPr>
      </w:pPr>
      <w:bookmarkStart w:id="7" w:name="_Toc14314"/>
      <w:r>
        <w:rPr>
          <w:rFonts w:hint="eastAsia" w:ascii="方正黑体_GBK" w:hAnsi="方正黑体_GBK" w:eastAsia="方正黑体_GBK" w:cs="方正黑体_GBK"/>
          <w:b w:val="0"/>
          <w:bCs/>
          <w:color w:val="auto"/>
          <w:sz w:val="24"/>
          <w:szCs w:val="24"/>
          <w:highlight w:val="none"/>
        </w:rPr>
        <w:t>四、磋商有关说明</w:t>
      </w:r>
      <w:bookmarkEnd w:id="3"/>
      <w:bookmarkEnd w:id="7"/>
    </w:p>
    <w:bookmarkEnd w:id="4"/>
    <w:p w14:paraId="5A4DA4BF">
      <w:pPr>
        <w:spacing w:line="380" w:lineRule="exact"/>
        <w:ind w:firstLine="480" w:firstLineChars="200"/>
        <w:rPr>
          <w:rFonts w:hint="eastAsia" w:ascii="方正仿宋_GBK" w:hAnsi="宋体" w:eastAsia="方正仿宋_GBK" w:cs="Times New Roman"/>
          <w:color w:val="auto"/>
          <w:sz w:val="24"/>
          <w:szCs w:val="24"/>
          <w:highlight w:val="none"/>
        </w:rPr>
      </w:pPr>
      <w:bookmarkStart w:id="8" w:name="_Toc499131150"/>
      <w:bookmarkStart w:id="9" w:name="_Toc373860294"/>
      <w:bookmarkStart w:id="10" w:name="_Toc460146763"/>
      <w:bookmarkStart w:id="11" w:name="_Toc499216279"/>
      <w:r>
        <w:rPr>
          <w:rFonts w:hint="eastAsia" w:ascii="方正仿宋_GBK" w:hAnsi="宋体" w:eastAsia="方正仿宋_GBK" w:cs="Times New Roman"/>
          <w:color w:val="auto"/>
          <w:sz w:val="24"/>
          <w:szCs w:val="24"/>
          <w:highlight w:val="none"/>
        </w:rPr>
        <w:t>（一）凡有意参加磋商的供应商，请于报名及文件发售期到采购人处领取本项目竞争性磋商文件的所有项目资料，无论供应商领取与否，均视为已知晓所有磋商内容。</w:t>
      </w:r>
    </w:p>
    <w:p w14:paraId="2780119F">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（二）报名及磋商文件发售</w:t>
      </w:r>
    </w:p>
    <w:p w14:paraId="0F19A790">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1.报名和磋商文件发售期：2025年</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8</w:t>
      </w:r>
      <w:r>
        <w:rPr>
          <w:rFonts w:hint="eastAsia" w:ascii="方正仿宋_GBK" w:hAnsi="宋体" w:eastAsia="方正仿宋_GBK" w:cs="Times New Roman"/>
          <w:color w:val="auto"/>
          <w:sz w:val="24"/>
          <w:szCs w:val="24"/>
          <w:highlight w:val="none"/>
        </w:rPr>
        <w:t>日-2025年</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日（9:00-12:00，14:00-17:00）。</w:t>
      </w:r>
    </w:p>
    <w:p w14:paraId="33E806D9">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2.磋商文件售价：0元。</w:t>
      </w:r>
    </w:p>
    <w:p w14:paraId="35A261D7">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3.在磋商文件发售期内，报名供应商在报名现场递交营业执照（加盖公章的复印件）、法定代表人委托书以及代理人身份证明（加盖公章的复印件）、供应商认为有必要提供的资质文件、证明、其他材料给采购人。</w:t>
      </w:r>
    </w:p>
    <w:p w14:paraId="78A4DBF7">
      <w:pPr>
        <w:spacing w:line="380" w:lineRule="exact"/>
        <w:ind w:left="357" w:leftChars="170" w:firstLine="0" w:firstLineChars="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4.报名地址：</w:t>
      </w:r>
      <w:r>
        <w:rPr>
          <w:rFonts w:hint="eastAsia" w:ascii="方正仿宋_GBK" w:hAnsi="宋体" w:eastAsia="方正仿宋_GBK" w:cs="Times New Roman"/>
          <w:color w:val="auto"/>
          <w:sz w:val="24"/>
          <w:szCs w:val="24"/>
          <w:highlight w:val="none"/>
          <w:lang w:val="en-US" w:eastAsia="zh-CN"/>
        </w:rPr>
        <w:t>重庆市</w:t>
      </w:r>
      <w:r>
        <w:rPr>
          <w:rFonts w:hint="eastAsia" w:ascii="方正仿宋_GBK" w:hAnsi="宋体" w:eastAsia="方正仿宋_GBK" w:cs="Times New Roman"/>
          <w:color w:val="auto"/>
          <w:sz w:val="24"/>
          <w:szCs w:val="24"/>
          <w:highlight w:val="none"/>
        </w:rPr>
        <w:t>渝北区市场物业管理服务所（渝北区两路街道胜利路71号2楼办公室）</w:t>
      </w:r>
    </w:p>
    <w:p w14:paraId="7C9EF3ED">
      <w:pPr>
        <w:spacing w:line="380" w:lineRule="exact"/>
        <w:ind w:left="357" w:leftChars="170" w:firstLine="0" w:firstLineChars="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三</w:t>
      </w:r>
      <w:r>
        <w:rPr>
          <w:rFonts w:hint="eastAsia" w:ascii="方正仿宋_GBK" w:hAnsi="宋体" w:eastAsia="方正仿宋_GBK" w:cs="Times New Roman"/>
          <w:color w:val="auto"/>
          <w:sz w:val="24"/>
          <w:szCs w:val="24"/>
          <w:highlight w:val="none"/>
        </w:rPr>
        <w:t>）供应商须满足以下两种要件，其响应文件才被接受：</w:t>
      </w:r>
    </w:p>
    <w:p w14:paraId="2277F74D">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1、按时递交了响应文件；</w:t>
      </w:r>
    </w:p>
    <w:p w14:paraId="3CC5526F">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2、按时报名签到。</w:t>
      </w:r>
    </w:p>
    <w:p w14:paraId="2F0D0255">
      <w:pPr>
        <w:spacing w:line="380" w:lineRule="exact"/>
        <w:ind w:firstLine="480" w:firstLineChars="200"/>
        <w:rPr>
          <w:rFonts w:hint="eastAsia" w:ascii="方正仿宋_GBK" w:hAnsi="宋体" w:eastAsia="方正仿宋_GBK" w:cs="Times New Roman"/>
          <w:color w:val="auto"/>
          <w:sz w:val="24"/>
          <w:szCs w:val="24"/>
          <w:highlight w:val="none"/>
        </w:rPr>
      </w:pPr>
      <w:bookmarkStart w:id="17" w:name="_GoBack"/>
      <w:bookmarkEnd w:id="17"/>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四</w:t>
      </w:r>
      <w:r>
        <w:rPr>
          <w:rFonts w:hint="eastAsia" w:ascii="方正仿宋_GBK" w:hAnsi="宋体" w:eastAsia="方正仿宋_GBK" w:cs="Times New Roman"/>
          <w:color w:val="auto"/>
          <w:sz w:val="24"/>
          <w:szCs w:val="24"/>
          <w:highlight w:val="none"/>
        </w:rPr>
        <w:t xml:space="preserve">）递交响应文件地点：重庆市渝北区商务委6楼会议室（重庆市渝北区双龙大道156号） </w:t>
      </w:r>
    </w:p>
    <w:p w14:paraId="258283C7">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五</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磋商</w:t>
      </w:r>
      <w:r>
        <w:rPr>
          <w:rFonts w:hint="eastAsia" w:ascii="方正仿宋_GBK" w:hAnsi="宋体" w:eastAsia="方正仿宋_GBK" w:cs="Times New Roman"/>
          <w:color w:val="auto"/>
          <w:sz w:val="24"/>
          <w:szCs w:val="24"/>
          <w:highlight w:val="none"/>
        </w:rPr>
        <w:t>响应文件递交</w:t>
      </w:r>
      <w:r>
        <w:rPr>
          <w:rFonts w:hint="eastAsia" w:ascii="方正仿宋_GBK" w:hAnsi="宋体" w:eastAsia="方正仿宋_GBK" w:cs="Times New Roman"/>
          <w:color w:val="auto"/>
          <w:sz w:val="24"/>
          <w:szCs w:val="24"/>
          <w:highlight w:val="none"/>
          <w:lang w:val="en-US" w:eastAsia="zh-CN"/>
        </w:rPr>
        <w:t>开始</w:t>
      </w:r>
      <w:r>
        <w:rPr>
          <w:rFonts w:hint="eastAsia" w:ascii="方正仿宋_GBK" w:hAnsi="宋体" w:eastAsia="方正仿宋_GBK" w:cs="Times New Roman"/>
          <w:color w:val="auto"/>
          <w:sz w:val="24"/>
          <w:szCs w:val="24"/>
          <w:highlight w:val="none"/>
        </w:rPr>
        <w:t>时间：202</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15</w:t>
      </w:r>
      <w:r>
        <w:rPr>
          <w:rFonts w:hint="eastAsia" w:ascii="方正仿宋_GBK" w:hAnsi="宋体" w:eastAsia="方正仿宋_GBK" w:cs="Times New Roman"/>
          <w:color w:val="auto"/>
          <w:sz w:val="24"/>
          <w:szCs w:val="24"/>
          <w:highlight w:val="none"/>
        </w:rPr>
        <w:t>日北京时间</w:t>
      </w:r>
      <w:r>
        <w:rPr>
          <w:rFonts w:hint="eastAsia" w:ascii="方正仿宋_GBK" w:hAnsi="宋体" w:eastAsia="方正仿宋_GBK" w:cs="Times New Roman"/>
          <w:color w:val="auto"/>
          <w:sz w:val="24"/>
          <w:szCs w:val="24"/>
          <w:highlight w:val="none"/>
          <w:lang w:val="en-US" w:eastAsia="zh-CN"/>
        </w:rPr>
        <w:t>14</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3</w:t>
      </w:r>
      <w:r>
        <w:rPr>
          <w:rFonts w:hint="eastAsia" w:ascii="方正仿宋_GBK" w:hAnsi="宋体" w:eastAsia="方正仿宋_GBK" w:cs="Times New Roman"/>
          <w:color w:val="auto"/>
          <w:sz w:val="24"/>
          <w:szCs w:val="24"/>
          <w:highlight w:val="none"/>
        </w:rPr>
        <w:t>0</w:t>
      </w:r>
    </w:p>
    <w:p w14:paraId="460A6A0C">
      <w:pPr>
        <w:spacing w:line="38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六</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磋商</w:t>
      </w:r>
      <w:r>
        <w:rPr>
          <w:rFonts w:hint="eastAsia" w:ascii="方正仿宋_GBK" w:hAnsi="宋体" w:eastAsia="方正仿宋_GBK" w:cs="Times New Roman"/>
          <w:color w:val="auto"/>
          <w:sz w:val="24"/>
          <w:szCs w:val="24"/>
          <w:highlight w:val="none"/>
        </w:rPr>
        <w:t>响应文件</w:t>
      </w:r>
      <w:r>
        <w:rPr>
          <w:rFonts w:hint="eastAsia" w:ascii="方正仿宋_GBK" w:hAnsi="宋体" w:eastAsia="方正仿宋_GBK" w:cs="Times New Roman"/>
          <w:color w:val="auto"/>
          <w:sz w:val="24"/>
          <w:szCs w:val="24"/>
          <w:highlight w:val="none"/>
          <w:lang w:val="en-US" w:eastAsia="zh-CN"/>
        </w:rPr>
        <w:t>递交结束</w:t>
      </w:r>
      <w:r>
        <w:rPr>
          <w:rFonts w:hint="eastAsia" w:ascii="方正仿宋_GBK" w:hAnsi="宋体" w:eastAsia="方正仿宋_GBK" w:cs="Times New Roman"/>
          <w:color w:val="auto"/>
          <w:sz w:val="24"/>
          <w:szCs w:val="24"/>
          <w:highlight w:val="none"/>
        </w:rPr>
        <w:t>时间：202</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15</w:t>
      </w:r>
      <w:r>
        <w:rPr>
          <w:rFonts w:hint="eastAsia" w:ascii="方正仿宋_GBK" w:hAnsi="宋体" w:eastAsia="方正仿宋_GBK" w:cs="Times New Roman"/>
          <w:color w:val="auto"/>
          <w:sz w:val="24"/>
          <w:szCs w:val="24"/>
          <w:highlight w:val="none"/>
        </w:rPr>
        <w:t>日北京时间</w:t>
      </w:r>
      <w:r>
        <w:rPr>
          <w:rFonts w:hint="eastAsia" w:ascii="方正仿宋_GBK" w:hAnsi="宋体" w:eastAsia="方正仿宋_GBK" w:cs="Times New Roman"/>
          <w:color w:val="auto"/>
          <w:sz w:val="24"/>
          <w:szCs w:val="24"/>
          <w:highlight w:val="none"/>
          <w:lang w:val="en-US" w:eastAsia="zh-CN"/>
        </w:rPr>
        <w:t>15</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0</w:t>
      </w:r>
      <w:r>
        <w:rPr>
          <w:rFonts w:hint="eastAsia" w:ascii="方正仿宋_GBK" w:hAnsi="宋体" w:eastAsia="方正仿宋_GBK" w:cs="Times New Roman"/>
          <w:color w:val="auto"/>
          <w:sz w:val="24"/>
          <w:szCs w:val="24"/>
          <w:highlight w:val="none"/>
        </w:rPr>
        <w:t>0</w:t>
      </w:r>
    </w:p>
    <w:bookmarkEnd w:id="8"/>
    <w:bookmarkEnd w:id="9"/>
    <w:bookmarkEnd w:id="10"/>
    <w:bookmarkEnd w:id="11"/>
    <w:p w14:paraId="31CACEA8">
      <w:pPr>
        <w:pStyle w:val="2"/>
        <w:ind w:firstLine="480" w:firstLineChars="200"/>
        <w:rPr>
          <w:rFonts w:hint="eastAsia" w:ascii="方正黑体_GBK" w:hAnsi="方正黑体_GBK" w:eastAsia="方正黑体_GBK" w:cs="方正黑体_GBK"/>
          <w:b w:val="0"/>
          <w:bCs/>
          <w:color w:val="auto"/>
          <w:sz w:val="24"/>
          <w:szCs w:val="24"/>
          <w:highlight w:val="none"/>
        </w:rPr>
      </w:pPr>
      <w:bookmarkStart w:id="12" w:name="_Toc7616"/>
      <w:bookmarkStart w:id="13" w:name="_Toc17290279"/>
      <w:r>
        <w:rPr>
          <w:rFonts w:hint="eastAsia" w:ascii="方正黑体_GBK" w:hAnsi="方正黑体_GBK" w:eastAsia="方正黑体_GBK" w:cs="方正黑体_GBK"/>
          <w:b w:val="0"/>
          <w:bCs/>
          <w:color w:val="auto"/>
          <w:sz w:val="24"/>
          <w:szCs w:val="24"/>
          <w:highlight w:val="none"/>
          <w:lang w:val="en-US" w:eastAsia="zh-CN"/>
        </w:rPr>
        <w:t>五</w:t>
      </w:r>
      <w:r>
        <w:rPr>
          <w:rFonts w:hint="eastAsia" w:ascii="方正黑体_GBK" w:hAnsi="方正黑体_GBK" w:eastAsia="方正黑体_GBK" w:cs="方正黑体_GBK"/>
          <w:b w:val="0"/>
          <w:bCs/>
          <w:color w:val="auto"/>
          <w:sz w:val="24"/>
          <w:szCs w:val="24"/>
          <w:highlight w:val="none"/>
        </w:rPr>
        <w:t>、</w:t>
      </w:r>
      <w:bookmarkEnd w:id="12"/>
      <w:bookmarkEnd w:id="13"/>
      <w:r>
        <w:rPr>
          <w:rFonts w:hint="eastAsia" w:ascii="方正黑体_GBK" w:hAnsi="方正黑体_GBK" w:eastAsia="方正黑体_GBK" w:cs="方正黑体_GBK"/>
          <w:b w:val="0"/>
          <w:bCs/>
          <w:color w:val="auto"/>
          <w:sz w:val="24"/>
          <w:szCs w:val="24"/>
          <w:highlight w:val="none"/>
        </w:rPr>
        <w:t>评审信息</w:t>
      </w:r>
    </w:p>
    <w:p w14:paraId="764918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磋商时间： 2025年</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日北京时间 1</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02F3CF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磋商地点：重庆市渝北区商务委6楼会议室（重庆市渝北区双龙大道156号） </w:t>
      </w:r>
    </w:p>
    <w:p w14:paraId="058EC241">
      <w:pPr>
        <w:pStyle w:val="4"/>
        <w:spacing w:before="0" w:after="0" w:line="380" w:lineRule="exact"/>
        <w:ind w:firstLine="480" w:firstLineChars="200"/>
        <w:rPr>
          <w:rFonts w:hint="eastAsia" w:ascii="方正黑体_GBK" w:hAnsi="方正黑体_GBK" w:eastAsia="方正黑体_GBK" w:cs="方正黑体_GBK"/>
          <w:b w:val="0"/>
          <w:bCs/>
          <w:color w:val="auto"/>
          <w:sz w:val="24"/>
          <w:szCs w:val="24"/>
          <w:highlight w:val="none"/>
        </w:rPr>
      </w:pPr>
      <w:bookmarkStart w:id="14" w:name="_Toc499216281"/>
      <w:bookmarkStart w:id="15" w:name="_Toc27301"/>
      <w:bookmarkStart w:id="16" w:name="_Toc499131152"/>
      <w:r>
        <w:rPr>
          <w:rFonts w:hint="eastAsia" w:ascii="方正黑体_GBK" w:hAnsi="方正黑体_GBK" w:eastAsia="方正黑体_GBK" w:cs="方正黑体_GBK"/>
          <w:b w:val="0"/>
          <w:bCs/>
          <w:color w:val="auto"/>
          <w:sz w:val="24"/>
          <w:szCs w:val="24"/>
          <w:highlight w:val="none"/>
          <w:lang w:val="en-US" w:eastAsia="zh-CN"/>
        </w:rPr>
        <w:t>六</w:t>
      </w:r>
      <w:r>
        <w:rPr>
          <w:rFonts w:hint="eastAsia" w:ascii="方正黑体_GBK" w:hAnsi="方正黑体_GBK" w:eastAsia="方正黑体_GBK" w:cs="方正黑体_GBK"/>
          <w:b w:val="0"/>
          <w:bCs/>
          <w:color w:val="auto"/>
          <w:sz w:val="24"/>
          <w:szCs w:val="24"/>
          <w:highlight w:val="none"/>
        </w:rPr>
        <w:t>、联系方式</w:t>
      </w:r>
      <w:bookmarkEnd w:id="14"/>
      <w:bookmarkEnd w:id="15"/>
      <w:bookmarkEnd w:id="16"/>
    </w:p>
    <w:p w14:paraId="4E9560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采购人：重庆市渝北区市场</w:t>
      </w:r>
      <w:r>
        <w:rPr>
          <w:rFonts w:hint="eastAsia" w:ascii="方正仿宋_GBK" w:hAnsi="方正仿宋_GBK" w:eastAsia="方正仿宋_GBK" w:cs="方正仿宋_GBK"/>
          <w:sz w:val="24"/>
          <w:szCs w:val="24"/>
          <w:lang w:val="en-US" w:eastAsia="zh-CN"/>
        </w:rPr>
        <w:t>物业</w:t>
      </w:r>
      <w:r>
        <w:rPr>
          <w:rFonts w:hint="eastAsia" w:ascii="方正仿宋_GBK" w:hAnsi="方正仿宋_GBK" w:eastAsia="方正仿宋_GBK" w:cs="方正仿宋_GBK"/>
          <w:sz w:val="24"/>
          <w:szCs w:val="24"/>
        </w:rPr>
        <w:t>管理服务所</w:t>
      </w:r>
    </w:p>
    <w:p w14:paraId="52BEA0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采购经办人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田</w:t>
      </w:r>
      <w:r>
        <w:rPr>
          <w:rFonts w:hint="eastAsia" w:ascii="方正仿宋_GBK" w:hAnsi="方正仿宋_GBK" w:eastAsia="方正仿宋_GBK" w:cs="方正仿宋_GBK"/>
          <w:sz w:val="24"/>
          <w:szCs w:val="24"/>
        </w:rPr>
        <w:t>老师</w:t>
      </w:r>
    </w:p>
    <w:p w14:paraId="6C18FE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采购人电话：023-6</w:t>
      </w:r>
      <w:r>
        <w:rPr>
          <w:rFonts w:hint="eastAsia" w:ascii="方正仿宋_GBK" w:hAnsi="方正仿宋_GBK" w:eastAsia="方正仿宋_GBK" w:cs="方正仿宋_GBK"/>
          <w:sz w:val="24"/>
          <w:szCs w:val="24"/>
          <w:lang w:val="en-US" w:eastAsia="zh-CN"/>
        </w:rPr>
        <w:t>7818722</w:t>
      </w:r>
    </w:p>
    <w:p w14:paraId="67DCD1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b/>
          <w:color w:val="auto"/>
          <w:sz w:val="24"/>
          <w:szCs w:val="24"/>
          <w:highlight w:val="none"/>
        </w:rPr>
        <w:sectPr>
          <w:headerReference r:id="rId3" w:type="default"/>
          <w:footerReference r:id="rId4" w:type="default"/>
          <w:pgSz w:w="11907" w:h="16840"/>
          <w:pgMar w:top="1134" w:right="1418" w:bottom="1134" w:left="1418" w:header="964" w:footer="992" w:gutter="0"/>
          <w:pgBorders w:offsetFrom="page">
            <w:top w:val="none" w:sz="0" w:space="0"/>
            <w:left w:val="none" w:sz="0" w:space="0"/>
            <w:bottom w:val="none" w:sz="0" w:space="0"/>
            <w:right w:val="none" w:sz="0" w:space="0"/>
          </w:pgBorders>
          <w:pgNumType w:fmt="numberInDash" w:start="1"/>
          <w:cols w:space="720" w:num="1"/>
          <w:docGrid w:linePitch="312" w:charSpace="0"/>
        </w:sectPr>
      </w:pPr>
      <w:r>
        <w:rPr>
          <w:rFonts w:hint="eastAsia" w:ascii="方正仿宋_GBK" w:hAnsi="方正仿宋_GBK" w:eastAsia="方正仿宋_GBK" w:cs="方正仿宋_GBK"/>
          <w:sz w:val="24"/>
          <w:szCs w:val="24"/>
        </w:rPr>
        <w:t>采购人地址：重庆市渝北区</w:t>
      </w:r>
      <w:r>
        <w:rPr>
          <w:rFonts w:hint="eastAsia" w:ascii="方正仿宋_GBK" w:hAnsi="方正仿宋_GBK" w:eastAsia="方正仿宋_GBK" w:cs="方正仿宋_GBK"/>
          <w:sz w:val="24"/>
          <w:szCs w:val="24"/>
          <w:lang w:val="en-US" w:eastAsia="zh-CN"/>
        </w:rPr>
        <w:t>两路街道胜利路71号2楼办公室</w:t>
      </w:r>
    </w:p>
    <w:p w14:paraId="4C6D2F96">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85C8">
    <w:pPr>
      <w:pStyle w:val="8"/>
      <w:framePr w:wrap="around" w:vAnchor="text" w:hAnchor="margin" w:xAlign="center" w:y="1"/>
      <w:jc w:val="center"/>
      <w:rPr>
        <w:rStyle w:val="12"/>
        <w:rFonts w:hint="eastAsia" w:ascii="宋体" w:hAnsi="Times New Roman" w:eastAsia="宋体" w:cs="Times New Roman"/>
        <w:sz w:val="21"/>
        <w:szCs w:val="21"/>
      </w:rPr>
    </w:pPr>
    <w:r>
      <w:rPr>
        <w:rFonts w:ascii="宋体" w:hAnsi="Times New Roman" w:eastAsia="宋体" w:cs="Times New Roman"/>
        <w:sz w:val="21"/>
        <w:szCs w:val="21"/>
      </w:rPr>
      <w:fldChar w:fldCharType="begin"/>
    </w:r>
    <w:r>
      <w:rPr>
        <w:rStyle w:val="12"/>
        <w:rFonts w:ascii="宋体" w:hAnsi="Times New Roman" w:eastAsia="宋体" w:cs="Times New Roman"/>
        <w:sz w:val="21"/>
        <w:szCs w:val="21"/>
      </w:rPr>
      <w:instrText xml:space="preserve">PAGE  </w:instrText>
    </w:r>
    <w:r>
      <w:rPr>
        <w:rFonts w:ascii="宋体" w:hAnsi="Times New Roman" w:eastAsia="宋体" w:cs="Times New Roman"/>
        <w:sz w:val="21"/>
        <w:szCs w:val="21"/>
      </w:rPr>
      <w:fldChar w:fldCharType="separate"/>
    </w:r>
    <w:r>
      <w:rPr>
        <w:rStyle w:val="12"/>
        <w:rFonts w:ascii="宋体" w:hAnsi="Times New Roman" w:eastAsia="宋体" w:cs="Times New Roman"/>
        <w:sz w:val="21"/>
        <w:szCs w:val="21"/>
      </w:rPr>
      <w:t>- 3 -</w:t>
    </w:r>
    <w:r>
      <w:rPr>
        <w:rFonts w:ascii="宋体" w:hAnsi="Times New Roman" w:eastAsia="宋体" w:cs="Times New Roman"/>
        <w:sz w:val="21"/>
        <w:szCs w:val="21"/>
      </w:rPr>
      <w:fldChar w:fldCharType="end"/>
    </w:r>
  </w:p>
  <w:p w14:paraId="3B6E44C0">
    <w:pPr>
      <w:pStyle w:val="8"/>
      <w:rPr>
        <w:rFonts w:ascii="Times New Roman" w:hAnsi="Times New Roman" w:eastAsia="宋体" w:cs="Times New Roman"/>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7173">
    <w:pPr>
      <w:pStyle w:val="9"/>
      <w:pBdr>
        <w:bottom w:val="none" w:color="auto" w:sz="0" w:space="1"/>
      </w:pBdr>
      <w:jc w:val="both"/>
      <w:rPr>
        <w:rFonts w:hint="eastAsia" w:ascii="Times New Roman" w:hAnsi="Times New Roman" w:eastAsia="宋体"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E7777"/>
    <w:rsid w:val="00CE2C5E"/>
    <w:rsid w:val="07CD02C0"/>
    <w:rsid w:val="0B10002D"/>
    <w:rsid w:val="0E527771"/>
    <w:rsid w:val="1176097D"/>
    <w:rsid w:val="12FA2F9D"/>
    <w:rsid w:val="15677E17"/>
    <w:rsid w:val="1761236E"/>
    <w:rsid w:val="198D7236"/>
    <w:rsid w:val="19A04B7D"/>
    <w:rsid w:val="1DFB7BD2"/>
    <w:rsid w:val="21EA2429"/>
    <w:rsid w:val="27F27A78"/>
    <w:rsid w:val="2C8903AA"/>
    <w:rsid w:val="3C34554B"/>
    <w:rsid w:val="3DBE7777"/>
    <w:rsid w:val="3DFF30DB"/>
    <w:rsid w:val="452B51D3"/>
    <w:rsid w:val="45B33B9B"/>
    <w:rsid w:val="54335A18"/>
    <w:rsid w:val="57C42DA3"/>
    <w:rsid w:val="60995615"/>
    <w:rsid w:val="61783AE7"/>
    <w:rsid w:val="7AAC1DAC"/>
    <w:rsid w:val="7D172435"/>
    <w:rsid w:val="7E094067"/>
    <w:rsid w:val="7F46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仿宋_GB2312" w:hAnsi="Times New Roman" w:eastAsia="仿宋_GB2312" w:cs="Times New Roman"/>
      <w:kern w:val="2"/>
      <w:sz w:val="32"/>
      <w:lang w:val="en-US" w:eastAsia="zh-CN" w:bidi="ar-SA"/>
    </w:rPr>
  </w:style>
  <w:style w:type="paragraph" w:styleId="3">
    <w:name w:val="index 7"/>
    <w:next w:val="1"/>
    <w:qFormat/>
    <w:uiPriority w:val="0"/>
    <w:pPr>
      <w:widowControl w:val="0"/>
      <w:ind w:left="2520"/>
      <w:jc w:val="both"/>
    </w:pPr>
    <w:rPr>
      <w:rFonts w:ascii="Times New Roman" w:hAnsi="Times New Roman" w:eastAsia="宋体" w:cs="Times New Roman"/>
      <w:kern w:val="2"/>
      <w:sz w:val="28"/>
      <w:lang w:val="en-US" w:eastAsia="zh-CN" w:bidi="ar-SA"/>
    </w:rPr>
  </w:style>
  <w:style w:type="paragraph" w:styleId="5">
    <w:name w:val="index 8"/>
    <w:next w:val="1"/>
    <w:unhideWhenUsed/>
    <w:qFormat/>
    <w:uiPriority w:val="99"/>
    <w:pPr>
      <w:widowControl w:val="0"/>
      <w:ind w:left="1400" w:leftChars="1400"/>
      <w:jc w:val="both"/>
    </w:pPr>
    <w:rPr>
      <w:rFonts w:ascii="Times New Roman" w:hAnsi="Times New Roman" w:eastAsia="宋体" w:cs="Times New Roman"/>
      <w:kern w:val="2"/>
      <w:sz w:val="28"/>
      <w:lang w:val="en-US" w:eastAsia="zh-CN" w:bidi="ar-SA"/>
    </w:rPr>
  </w:style>
  <w:style w:type="paragraph" w:styleId="6">
    <w:name w:val="Normal Indent"/>
    <w:qFormat/>
    <w:uiPriority w:val="0"/>
    <w:pPr>
      <w:widowControl w:val="0"/>
      <w:adjustRightInd w:val="0"/>
      <w:snapToGrid w:val="0"/>
      <w:spacing w:line="360" w:lineRule="auto"/>
      <w:ind w:firstLine="420"/>
      <w:jc w:val="both"/>
    </w:pPr>
    <w:rPr>
      <w:rFonts w:ascii="Times New Roman" w:hAnsi="Times New Roman" w:eastAsia="宋体" w:cs="Times New Roman"/>
      <w:kern w:val="2"/>
      <w:sz w:val="24"/>
      <w:lang w:val="en-US" w:eastAsia="zh-CN" w:bidi="ar-SA"/>
    </w:rPr>
  </w:style>
  <w:style w:type="paragraph" w:styleId="7">
    <w:name w:val="Body Text Indent"/>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8">
    <w:name w:val="footer"/>
    <w:next w:val="5"/>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1688</Words>
  <Characters>1816</Characters>
  <Lines>0</Lines>
  <Paragraphs>0</Paragraphs>
  <TotalTime>6</TotalTime>
  <ScaleCrop>false</ScaleCrop>
  <LinksUpToDate>false</LinksUpToDate>
  <CharactersWithSpaces>1822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2025-04-03T09:33:00Z</dcterms:created>
  <dc:creator>王萍</dc:creator>
  <cp:lastModifiedBy>王萍</cp:lastModifiedBy>
  <cp:lastPrinted>2025-04-07T07:42:00Z</cp:lastPrinted>
  <dcterms:modified xsi:type="dcterms:W3CDTF">2025-04-08T04:56:10Z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E157A6AC406C4174B06399454C58C79F_11</vt:lpwstr>
  </property>
  <property fmtid="{D5CDD505-2E9C-101B-9397-08002B2CF9AE}" pid="4" name="KSOTemplateDocerSaveRecord">
    <vt:lpwstr>eyJoZGlkIjoiZGZlNGFkY2Q1NGQ4ZTEwMWNkMzFiNjgyZjdkYTQxNDUiLCJ1c2VySWQiOiI1MDAzNTcxNDEifQ==</vt:lpwstr>
  </property>
</Properties>
</file>