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ind w:left="0" w:leftChars="0" w:firstLine="400"/>
        <w:rPr>
          <w:rFonts w:ascii="仿宋" w:hAnsi="仿宋" w:eastAsia="仿宋"/>
        </w:rPr>
      </w:pPr>
    </w:p>
    <w:p>
      <w:pPr>
        <w:pStyle w:val="2"/>
        <w:spacing w:after="0"/>
        <w:ind w:left="0" w:leftChars="0" w:firstLine="400"/>
        <w:rPr>
          <w:rFonts w:ascii="仿宋" w:hAnsi="仿宋" w:eastAsia="仿宋"/>
        </w:rPr>
      </w:pPr>
    </w:p>
    <w:p>
      <w:pPr>
        <w:jc w:val="center"/>
        <w:outlineLvl w:val="0"/>
        <w:rPr>
          <w:rFonts w:ascii="仿宋" w:hAnsi="仿宋" w:eastAsia="仿宋"/>
          <w:b/>
          <w:bCs/>
          <w:sz w:val="112"/>
          <w:szCs w:val="112"/>
        </w:rPr>
      </w:pPr>
      <w:bookmarkStart w:id="0" w:name="_Toc195108725"/>
      <w:r>
        <w:rPr>
          <w:rFonts w:hint="eastAsia" w:ascii="仿宋" w:hAnsi="仿宋" w:eastAsia="仿宋"/>
          <w:b/>
          <w:bCs/>
          <w:sz w:val="112"/>
          <w:szCs w:val="112"/>
        </w:rPr>
        <w:t>网上竞采文件</w:t>
      </w:r>
      <w:bookmarkEnd w:id="0"/>
    </w:p>
    <w:p>
      <w:pPr>
        <w:jc w:val="center"/>
        <w:rPr>
          <w:rFonts w:ascii="仿宋" w:hAnsi="仿宋" w:eastAsia="仿宋"/>
          <w:b/>
          <w:bCs/>
        </w:rPr>
      </w:pPr>
      <w:r>
        <w:rPr>
          <w:rFonts w:hint="eastAsia" w:ascii="仿宋" w:hAnsi="仿宋" w:eastAsia="仿宋"/>
          <w:b/>
          <w:bCs/>
          <w:spacing w:val="80"/>
          <w:sz w:val="48"/>
          <w:szCs w:val="48"/>
        </w:rPr>
        <w:t>（综合评分法）</w:t>
      </w:r>
    </w:p>
    <w:p>
      <w:pPr>
        <w:rPr>
          <w:rFonts w:ascii="仿宋" w:hAnsi="仿宋" w:eastAsia="仿宋"/>
          <w:b/>
          <w:bCs/>
          <w:sz w:val="21"/>
          <w:szCs w:val="21"/>
        </w:rPr>
      </w:pPr>
    </w:p>
    <w:p>
      <w:pPr>
        <w:rPr>
          <w:rFonts w:ascii="仿宋" w:hAnsi="仿宋" w:eastAsia="仿宋"/>
          <w:b/>
          <w:bCs/>
          <w:sz w:val="21"/>
          <w:szCs w:val="21"/>
        </w:rPr>
      </w:pPr>
    </w:p>
    <w:p>
      <w:pPr>
        <w:pStyle w:val="2"/>
        <w:ind w:left="480" w:firstLine="400"/>
      </w:pPr>
    </w:p>
    <w:p>
      <w:pPr>
        <w:pStyle w:val="16"/>
        <w:ind w:left="0" w:leftChars="0" w:firstLine="0" w:firstLineChars="0"/>
        <w:rPr>
          <w:rFonts w:ascii="仿宋" w:hAnsi="仿宋" w:eastAsia="仿宋"/>
          <w:b/>
          <w:bCs/>
          <w:sz w:val="21"/>
          <w:szCs w:val="21"/>
        </w:rPr>
      </w:pPr>
      <w:r>
        <w:rPr>
          <w:rFonts w:hint="eastAsia" w:ascii="仿宋" w:hAnsi="仿宋" w:eastAsia="仿宋" w:cs="宋体"/>
          <w:b/>
          <w:bCs/>
          <w:sz w:val="36"/>
          <w:szCs w:val="36"/>
          <w:lang w:val="en-US" w:eastAsia="zh-CN" w:bidi="ar-SA"/>
        </w:rPr>
        <w:t>项目号：HH-20250538</w:t>
      </w:r>
    </w:p>
    <w:p>
      <w:pPr>
        <w:ind w:left="1835" w:hanging="1807" w:hangingChars="500"/>
        <w:rPr>
          <w:rFonts w:ascii="仿宋" w:hAnsi="仿宋" w:eastAsia="仿宋"/>
          <w:b/>
          <w:bCs/>
          <w:sz w:val="36"/>
          <w:szCs w:val="36"/>
        </w:rPr>
      </w:pPr>
      <w:r>
        <w:rPr>
          <w:rFonts w:hint="eastAsia" w:ascii="仿宋" w:hAnsi="仿宋" w:eastAsia="仿宋"/>
          <w:b/>
          <w:bCs/>
          <w:sz w:val="36"/>
          <w:szCs w:val="36"/>
        </w:rPr>
        <w:t>项目名称：“奔跑吧·少年”“中国体育彩票”2025年重庆市青少年陆地冰壶联赛（第二站）</w:t>
      </w:r>
    </w:p>
    <w:p>
      <w:pPr>
        <w:rPr>
          <w:rFonts w:ascii="仿宋" w:hAnsi="仿宋" w:eastAsia="仿宋"/>
          <w:b/>
          <w:bCs/>
          <w:sz w:val="21"/>
          <w:szCs w:val="21"/>
        </w:rPr>
      </w:pPr>
    </w:p>
    <w:p>
      <w:pPr>
        <w:rPr>
          <w:rFonts w:ascii="仿宋" w:hAnsi="仿宋" w:eastAsia="仿宋"/>
          <w:b/>
          <w:bCs/>
          <w:sz w:val="21"/>
          <w:szCs w:val="21"/>
        </w:rPr>
      </w:pPr>
    </w:p>
    <w:p>
      <w:pPr>
        <w:rPr>
          <w:rFonts w:ascii="仿宋" w:hAnsi="仿宋" w:eastAsia="仿宋"/>
          <w:b/>
          <w:bCs/>
          <w:sz w:val="21"/>
          <w:szCs w:val="21"/>
        </w:rPr>
      </w:pPr>
    </w:p>
    <w:p>
      <w:pPr>
        <w:rPr>
          <w:rFonts w:ascii="仿宋" w:hAnsi="仿宋" w:eastAsia="仿宋"/>
          <w:b/>
          <w:bCs/>
          <w:sz w:val="21"/>
          <w:szCs w:val="21"/>
        </w:rPr>
      </w:pPr>
    </w:p>
    <w:p>
      <w:pPr>
        <w:jc w:val="center"/>
        <w:rPr>
          <w:rFonts w:ascii="仿宋" w:hAnsi="仿宋" w:eastAsia="仿宋"/>
          <w:b/>
          <w:bCs/>
          <w:sz w:val="36"/>
          <w:szCs w:val="36"/>
        </w:rPr>
      </w:pPr>
      <w:r>
        <w:rPr>
          <w:rFonts w:hint="eastAsia" w:ascii="仿宋" w:hAnsi="仿宋" w:eastAsia="仿宋"/>
          <w:b/>
          <w:bCs/>
          <w:sz w:val="36"/>
          <w:szCs w:val="36"/>
        </w:rPr>
        <w:t>采购人：</w:t>
      </w:r>
      <w:bookmarkStart w:id="1" w:name="OLE_LINK3"/>
      <w:r>
        <w:rPr>
          <w:rFonts w:hint="eastAsia" w:ascii="仿宋" w:hAnsi="仿宋" w:eastAsia="仿宋"/>
          <w:b/>
          <w:bCs/>
          <w:sz w:val="36"/>
          <w:szCs w:val="36"/>
        </w:rPr>
        <w:t>重庆市梁平区体育事业发展中心</w:t>
      </w:r>
      <w:bookmarkEnd w:id="1"/>
    </w:p>
    <w:p>
      <w:pPr>
        <w:spacing w:line="360" w:lineRule="auto"/>
        <w:jc w:val="center"/>
        <w:rPr>
          <w:rFonts w:ascii="仿宋" w:hAnsi="仿宋" w:eastAsia="仿宋"/>
          <w:b/>
          <w:bCs/>
          <w:sz w:val="36"/>
          <w:szCs w:val="36"/>
        </w:rPr>
      </w:pPr>
      <w:r>
        <w:rPr>
          <w:rFonts w:hint="eastAsia" w:ascii="仿宋" w:hAnsi="仿宋" w:eastAsia="仿宋"/>
          <w:b/>
          <w:bCs/>
          <w:sz w:val="36"/>
          <w:szCs w:val="36"/>
        </w:rPr>
        <w:t>采购代理机构：重庆市汇昊招标代理有限公司</w:t>
      </w:r>
    </w:p>
    <w:p>
      <w:pPr>
        <w:rPr>
          <w:rFonts w:ascii="仿宋" w:hAnsi="仿宋" w:eastAsia="仿宋"/>
          <w:b/>
          <w:bCs/>
          <w:sz w:val="21"/>
          <w:szCs w:val="21"/>
        </w:rPr>
      </w:pPr>
    </w:p>
    <w:p>
      <w:pPr>
        <w:spacing w:line="360" w:lineRule="auto"/>
        <w:jc w:val="center"/>
        <w:rPr>
          <w:rFonts w:ascii="仿宋" w:hAnsi="仿宋" w:eastAsia="仿宋"/>
          <w:b/>
          <w:bCs/>
          <w:sz w:val="36"/>
          <w:szCs w:val="36"/>
        </w:rPr>
      </w:pPr>
      <w:r>
        <w:rPr>
          <w:rFonts w:hint="eastAsia" w:ascii="仿宋" w:hAnsi="仿宋" w:eastAsia="仿宋"/>
          <w:b/>
          <w:bCs/>
          <w:sz w:val="36"/>
          <w:szCs w:val="36"/>
        </w:rPr>
        <w:t>二〇二五年</w:t>
      </w:r>
      <w:r>
        <w:rPr>
          <w:rFonts w:hint="eastAsia" w:ascii="仿宋" w:hAnsi="仿宋" w:eastAsia="仿宋"/>
          <w:b/>
          <w:bCs/>
          <w:sz w:val="36"/>
          <w:szCs w:val="36"/>
          <w:lang w:val="en-US" w:eastAsia="zh-CN"/>
        </w:rPr>
        <w:t>六</w:t>
      </w:r>
      <w:r>
        <w:rPr>
          <w:rFonts w:hint="eastAsia" w:ascii="仿宋" w:hAnsi="仿宋" w:eastAsia="仿宋"/>
          <w:b/>
          <w:bCs/>
          <w:sz w:val="36"/>
          <w:szCs w:val="36"/>
        </w:rPr>
        <w:t>月</w:t>
      </w:r>
    </w:p>
    <w:p>
      <w:pPr>
        <w:tabs>
          <w:tab w:val="left" w:pos="1185"/>
          <w:tab w:val="center" w:pos="4156"/>
          <w:tab w:val="left" w:pos="7095"/>
        </w:tabs>
        <w:spacing w:line="700" w:lineRule="exact"/>
        <w:rPr>
          <w:rFonts w:ascii="仿宋" w:hAnsi="仿宋" w:eastAsia="仿宋"/>
        </w:rPr>
        <w:sectPr>
          <w:headerReference r:id="rId4" w:type="first"/>
          <w:headerReference r:id="rId3" w:type="default"/>
          <w:footerReference r:id="rId5" w:type="default"/>
          <w:pgSz w:w="11907" w:h="16840"/>
          <w:pgMar w:top="1440" w:right="1797" w:bottom="1440" w:left="1797" w:header="454" w:footer="567" w:gutter="0"/>
          <w:pgNumType w:fmt="numberInDash" w:start="1"/>
          <w:cols w:space="720" w:num="1"/>
          <w:titlePg/>
          <w:docGrid w:type="lines" w:linePitch="381" w:charSpace="-5735"/>
        </w:sectPr>
      </w:pPr>
    </w:p>
    <w:p>
      <w:pPr>
        <w:tabs>
          <w:tab w:val="left" w:pos="1185"/>
          <w:tab w:val="center" w:pos="4156"/>
          <w:tab w:val="left" w:pos="7095"/>
        </w:tabs>
        <w:spacing w:line="700" w:lineRule="exact"/>
        <w:rPr>
          <w:rFonts w:ascii="仿宋" w:hAnsi="仿宋" w:eastAsia="仿宋"/>
          <w:bCs/>
          <w:sz w:val="40"/>
          <w:szCs w:val="40"/>
        </w:rPr>
      </w:pPr>
      <w:r>
        <w:rPr>
          <w:rFonts w:hint="eastAsia" w:ascii="仿宋" w:hAnsi="仿宋" w:eastAsia="仿宋"/>
        </w:rPr>
        <w:tab/>
      </w:r>
      <w:r>
        <w:rPr>
          <w:rFonts w:hint="eastAsia" w:ascii="仿宋" w:hAnsi="仿宋" w:eastAsia="仿宋"/>
        </w:rPr>
        <w:tab/>
      </w:r>
      <w:r>
        <w:rPr>
          <w:rFonts w:hint="eastAsia" w:ascii="仿宋" w:hAnsi="仿宋" w:eastAsia="仿宋" w:cs="仿宋_GB2312"/>
          <w:bCs/>
          <w:sz w:val="40"/>
          <w:szCs w:val="40"/>
        </w:rPr>
        <w:t>目  录</w:t>
      </w:r>
    </w:p>
    <w:p>
      <w:pPr>
        <w:pStyle w:val="11"/>
        <w:rPr>
          <w:rFonts w:asciiTheme="minorHAnsi" w:hAnsiTheme="minorHAnsi" w:eastAsiaTheme="minorEastAsia" w:cstheme="minorBidi"/>
          <w:b w:val="0"/>
          <w:bCs w:val="0"/>
          <w:kern w:val="2"/>
          <w:sz w:val="22"/>
        </w:rPr>
      </w:pPr>
      <w:r>
        <w:rPr>
          <w:rFonts w:hint="eastAsia" w:ascii="仿宋" w:hAnsi="仿宋" w:eastAsia="仿宋"/>
          <w:b w:val="0"/>
          <w:bCs w:val="0"/>
        </w:rPr>
        <w:fldChar w:fldCharType="begin"/>
      </w:r>
      <w:r>
        <w:rPr>
          <w:rFonts w:hint="eastAsia" w:ascii="仿宋" w:hAnsi="仿宋" w:eastAsia="仿宋"/>
          <w:b w:val="0"/>
          <w:bCs w:val="0"/>
        </w:rPr>
        <w:instrText xml:space="preserve"> TOC \o "1-3" \h \z \u </w:instrText>
      </w:r>
      <w:r>
        <w:rPr>
          <w:rFonts w:hint="eastAsia" w:ascii="仿宋" w:hAnsi="仿宋" w:eastAsia="仿宋"/>
          <w:b w:val="0"/>
          <w:bCs w:val="0"/>
        </w:rPr>
        <w:fldChar w:fldCharType="separate"/>
      </w:r>
      <w:r>
        <w:fldChar w:fldCharType="begin"/>
      </w:r>
      <w:r>
        <w:instrText xml:space="preserve"> HYPERLINK \l "_Toc195108725" </w:instrText>
      </w:r>
      <w:r>
        <w:fldChar w:fldCharType="separate"/>
      </w:r>
      <w:r>
        <w:rPr>
          <w:rStyle w:val="15"/>
          <w:rFonts w:ascii="仿宋" w:hAnsi="仿宋" w:eastAsia="仿宋"/>
        </w:rPr>
        <w:t>网上竞采文件</w:t>
      </w:r>
      <w:r>
        <w:tab/>
      </w:r>
      <w:r>
        <w:fldChar w:fldCharType="begin"/>
      </w:r>
      <w:r>
        <w:instrText xml:space="preserve"> PAGEREF _Toc195108725 \h </w:instrText>
      </w:r>
      <w:r>
        <w:fldChar w:fldCharType="separate"/>
      </w:r>
      <w:r>
        <w:t>- 1 -</w:t>
      </w:r>
      <w:r>
        <w:fldChar w:fldCharType="end"/>
      </w:r>
      <w:r>
        <w:fldChar w:fldCharType="end"/>
      </w:r>
    </w:p>
    <w:p>
      <w:pPr>
        <w:pStyle w:val="12"/>
        <w:rPr>
          <w:rFonts w:asciiTheme="minorHAnsi" w:hAnsiTheme="minorHAnsi" w:eastAsiaTheme="minorEastAsia" w:cstheme="minorBidi"/>
          <w:kern w:val="2"/>
          <w:sz w:val="22"/>
        </w:rPr>
      </w:pPr>
      <w:r>
        <w:fldChar w:fldCharType="begin"/>
      </w:r>
      <w:r>
        <w:instrText xml:space="preserve"> HYPERLINK \l "_Toc195108726" </w:instrText>
      </w:r>
      <w:r>
        <w:fldChar w:fldCharType="separate"/>
      </w:r>
      <w:r>
        <w:rPr>
          <w:rStyle w:val="15"/>
          <w:rFonts w:ascii="仿宋" w:hAnsi="仿宋" w:eastAsia="仿宋" w:cs="宋体"/>
        </w:rPr>
        <w:t>第一篇  竞采邀请书</w:t>
      </w:r>
      <w:r>
        <w:tab/>
      </w:r>
      <w:r>
        <w:fldChar w:fldCharType="begin"/>
      </w:r>
      <w:r>
        <w:instrText xml:space="preserve"> PAGEREF _Toc195108726 \h </w:instrText>
      </w:r>
      <w:r>
        <w:fldChar w:fldCharType="separate"/>
      </w:r>
      <w:r>
        <w:t>- 3 -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"_Toc195108727" </w:instrText>
      </w:r>
      <w:r>
        <w:fldChar w:fldCharType="separate"/>
      </w:r>
      <w:r>
        <w:rPr>
          <w:rStyle w:val="15"/>
          <w:rFonts w:ascii="仿宋" w:hAnsi="仿宋" w:eastAsia="仿宋"/>
        </w:rPr>
        <w:t>一、竞采项目内容</w:t>
      </w:r>
      <w:r>
        <w:tab/>
      </w:r>
      <w:r>
        <w:fldChar w:fldCharType="begin"/>
      </w:r>
      <w:r>
        <w:instrText xml:space="preserve"> PAGEREF _Toc195108727 \h </w:instrText>
      </w:r>
      <w:r>
        <w:fldChar w:fldCharType="separate"/>
      </w:r>
      <w:r>
        <w:t>- 3 -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"_Toc195108728" </w:instrText>
      </w:r>
      <w:r>
        <w:fldChar w:fldCharType="separate"/>
      </w:r>
      <w:r>
        <w:rPr>
          <w:rStyle w:val="15"/>
          <w:rFonts w:ascii="仿宋" w:hAnsi="仿宋" w:eastAsia="仿宋"/>
        </w:rPr>
        <w:t>二、资金来源</w:t>
      </w:r>
      <w:r>
        <w:tab/>
      </w:r>
      <w:r>
        <w:fldChar w:fldCharType="begin"/>
      </w:r>
      <w:r>
        <w:instrText xml:space="preserve"> PAGEREF _Toc195108728 \h </w:instrText>
      </w:r>
      <w:r>
        <w:fldChar w:fldCharType="separate"/>
      </w:r>
      <w:r>
        <w:t>- 3 -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"_Toc195108729" </w:instrText>
      </w:r>
      <w:r>
        <w:fldChar w:fldCharType="separate"/>
      </w:r>
      <w:r>
        <w:rPr>
          <w:rStyle w:val="15"/>
          <w:rFonts w:ascii="仿宋" w:hAnsi="仿宋" w:eastAsia="仿宋"/>
        </w:rPr>
        <w:t>三、资格要求</w:t>
      </w:r>
      <w:r>
        <w:tab/>
      </w:r>
      <w:r>
        <w:fldChar w:fldCharType="begin"/>
      </w:r>
      <w:r>
        <w:instrText xml:space="preserve"> PAGEREF _Toc195108729 \h </w:instrText>
      </w:r>
      <w:r>
        <w:fldChar w:fldCharType="separate"/>
      </w:r>
      <w:r>
        <w:t>- 3 -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"_Toc195108730" </w:instrText>
      </w:r>
      <w:r>
        <w:fldChar w:fldCharType="separate"/>
      </w:r>
      <w:r>
        <w:rPr>
          <w:rStyle w:val="15"/>
          <w:rFonts w:ascii="仿宋" w:hAnsi="仿宋" w:eastAsia="仿宋"/>
        </w:rPr>
        <w:t>四、竞采有关说明</w:t>
      </w:r>
      <w:r>
        <w:tab/>
      </w:r>
      <w:r>
        <w:fldChar w:fldCharType="begin"/>
      </w:r>
      <w:r>
        <w:instrText xml:space="preserve"> PAGEREF _Toc195108730 \h </w:instrText>
      </w:r>
      <w:r>
        <w:fldChar w:fldCharType="separate"/>
      </w:r>
      <w:r>
        <w:t>- 3 -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"_Toc195108731" </w:instrText>
      </w:r>
      <w:r>
        <w:fldChar w:fldCharType="separate"/>
      </w:r>
      <w:r>
        <w:rPr>
          <w:rStyle w:val="15"/>
          <w:rFonts w:ascii="仿宋" w:hAnsi="仿宋" w:eastAsia="仿宋"/>
        </w:rPr>
        <w:t>五、竞采保证金</w:t>
      </w:r>
      <w:r>
        <w:tab/>
      </w:r>
      <w:r>
        <w:fldChar w:fldCharType="begin"/>
      </w:r>
      <w:r>
        <w:instrText xml:space="preserve"> PAGEREF _Toc195108731 \h </w:instrText>
      </w:r>
      <w:r>
        <w:fldChar w:fldCharType="separate"/>
      </w:r>
      <w:r>
        <w:t>- 4 -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"_Toc195108732" </w:instrText>
      </w:r>
      <w:r>
        <w:fldChar w:fldCharType="separate"/>
      </w:r>
      <w:r>
        <w:rPr>
          <w:rStyle w:val="15"/>
          <w:rFonts w:ascii="仿宋" w:hAnsi="仿宋" w:eastAsia="仿宋"/>
        </w:rPr>
        <w:t>六、竞采有关规定</w:t>
      </w:r>
      <w:r>
        <w:tab/>
      </w:r>
      <w:r>
        <w:fldChar w:fldCharType="begin"/>
      </w:r>
      <w:r>
        <w:instrText xml:space="preserve"> PAGEREF _Toc195108732 \h </w:instrText>
      </w:r>
      <w:r>
        <w:fldChar w:fldCharType="separate"/>
      </w:r>
      <w:r>
        <w:t>- 4 -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"_Toc195108733" </w:instrText>
      </w:r>
      <w:r>
        <w:fldChar w:fldCharType="separate"/>
      </w:r>
      <w:r>
        <w:rPr>
          <w:rStyle w:val="15"/>
          <w:rFonts w:ascii="仿宋" w:hAnsi="仿宋" w:eastAsia="仿宋"/>
        </w:rPr>
        <w:t>七、联系方式</w:t>
      </w:r>
      <w:r>
        <w:tab/>
      </w:r>
      <w:r>
        <w:fldChar w:fldCharType="begin"/>
      </w:r>
      <w:r>
        <w:instrText xml:space="preserve"> PAGEREF _Toc195108733 \h </w:instrText>
      </w:r>
      <w:r>
        <w:fldChar w:fldCharType="separate"/>
      </w:r>
      <w:r>
        <w:t>- 5 -</w:t>
      </w:r>
      <w:r>
        <w:fldChar w:fldCharType="end"/>
      </w:r>
      <w:r>
        <w:fldChar w:fldCharType="end"/>
      </w:r>
    </w:p>
    <w:p>
      <w:pPr>
        <w:pStyle w:val="12"/>
        <w:rPr>
          <w:rFonts w:asciiTheme="minorHAnsi" w:hAnsiTheme="minorHAnsi" w:eastAsiaTheme="minorEastAsia" w:cstheme="minorBidi"/>
          <w:kern w:val="2"/>
          <w:sz w:val="22"/>
        </w:rPr>
      </w:pPr>
      <w:r>
        <w:fldChar w:fldCharType="begin"/>
      </w:r>
      <w:r>
        <w:instrText xml:space="preserve"> HYPERLINK \l "_Toc195108734" </w:instrText>
      </w:r>
      <w:r>
        <w:fldChar w:fldCharType="separate"/>
      </w:r>
      <w:r>
        <w:rPr>
          <w:rStyle w:val="15"/>
          <w:rFonts w:ascii="仿宋" w:hAnsi="仿宋" w:eastAsia="仿宋" w:cs="宋体"/>
        </w:rPr>
        <w:t>第二篇  供应商须知</w:t>
      </w:r>
      <w:r>
        <w:tab/>
      </w:r>
      <w:r>
        <w:fldChar w:fldCharType="begin"/>
      </w:r>
      <w:r>
        <w:instrText xml:space="preserve"> PAGEREF _Toc195108734 \h </w:instrText>
      </w:r>
      <w:r>
        <w:fldChar w:fldCharType="separate"/>
      </w:r>
      <w:r>
        <w:t>- 6 -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"_Toc195108735" </w:instrText>
      </w:r>
      <w:r>
        <w:fldChar w:fldCharType="separate"/>
      </w:r>
      <w:r>
        <w:rPr>
          <w:rStyle w:val="15"/>
          <w:rFonts w:ascii="仿宋" w:hAnsi="仿宋" w:eastAsia="仿宋"/>
        </w:rPr>
        <w:t>一、竞采费用</w:t>
      </w:r>
      <w:r>
        <w:tab/>
      </w:r>
      <w:r>
        <w:fldChar w:fldCharType="begin"/>
      </w:r>
      <w:r>
        <w:instrText xml:space="preserve"> PAGEREF _Toc195108735 \h </w:instrText>
      </w:r>
      <w:r>
        <w:fldChar w:fldCharType="separate"/>
      </w:r>
      <w:r>
        <w:t>- 6 -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"_Toc195108736" </w:instrText>
      </w:r>
      <w:r>
        <w:fldChar w:fldCharType="separate"/>
      </w:r>
      <w:r>
        <w:rPr>
          <w:rStyle w:val="15"/>
          <w:rFonts w:ascii="仿宋" w:hAnsi="仿宋" w:eastAsia="仿宋"/>
        </w:rPr>
        <w:t>二、竞采文件</w:t>
      </w:r>
      <w:r>
        <w:tab/>
      </w:r>
      <w:r>
        <w:fldChar w:fldCharType="begin"/>
      </w:r>
      <w:r>
        <w:instrText xml:space="preserve"> PAGEREF _Toc195108736 \h </w:instrText>
      </w:r>
      <w:r>
        <w:fldChar w:fldCharType="separate"/>
      </w:r>
      <w:r>
        <w:t>- 6 -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"_Toc195108737" </w:instrText>
      </w:r>
      <w:r>
        <w:fldChar w:fldCharType="separate"/>
      </w:r>
      <w:r>
        <w:rPr>
          <w:rStyle w:val="15"/>
          <w:rFonts w:ascii="仿宋" w:hAnsi="仿宋" w:eastAsia="仿宋"/>
        </w:rPr>
        <w:t>三、竞采要求</w:t>
      </w:r>
      <w:r>
        <w:tab/>
      </w:r>
      <w:r>
        <w:fldChar w:fldCharType="begin"/>
      </w:r>
      <w:r>
        <w:instrText xml:space="preserve"> PAGEREF _Toc195108737 \h </w:instrText>
      </w:r>
      <w:r>
        <w:fldChar w:fldCharType="separate"/>
      </w:r>
      <w:r>
        <w:t>- 6 -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"_Toc195108738" </w:instrText>
      </w:r>
      <w:r>
        <w:fldChar w:fldCharType="separate"/>
      </w:r>
      <w:r>
        <w:rPr>
          <w:rStyle w:val="15"/>
          <w:rFonts w:ascii="仿宋" w:hAnsi="仿宋" w:eastAsia="仿宋"/>
        </w:rPr>
        <w:t>四、竞采程序及成交标准</w:t>
      </w:r>
      <w:r>
        <w:tab/>
      </w:r>
      <w:r>
        <w:fldChar w:fldCharType="begin"/>
      </w:r>
      <w:r>
        <w:instrText xml:space="preserve"> PAGEREF _Toc195108738 \h </w:instrText>
      </w:r>
      <w:r>
        <w:fldChar w:fldCharType="separate"/>
      </w:r>
      <w:r>
        <w:t>- 9 -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"_Toc195108739" </w:instrText>
      </w:r>
      <w:r>
        <w:fldChar w:fldCharType="separate"/>
      </w:r>
      <w:r>
        <w:rPr>
          <w:rStyle w:val="15"/>
          <w:rFonts w:ascii="仿宋" w:hAnsi="仿宋" w:eastAsia="仿宋"/>
        </w:rPr>
        <w:t>五、评审标准</w:t>
      </w:r>
      <w:r>
        <w:tab/>
      </w:r>
      <w:r>
        <w:fldChar w:fldCharType="begin"/>
      </w:r>
      <w:r>
        <w:instrText xml:space="preserve"> PAGEREF _Toc195108739 \h </w:instrText>
      </w:r>
      <w:r>
        <w:fldChar w:fldCharType="separate"/>
      </w:r>
      <w:r>
        <w:t>- 11 -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"_Toc195108740" </w:instrText>
      </w:r>
      <w:r>
        <w:fldChar w:fldCharType="separate"/>
      </w:r>
      <w:r>
        <w:rPr>
          <w:rStyle w:val="15"/>
          <w:rFonts w:ascii="仿宋" w:hAnsi="仿宋" w:eastAsia="仿宋"/>
        </w:rPr>
        <w:t>六、评审依据</w:t>
      </w:r>
      <w:r>
        <w:tab/>
      </w:r>
      <w:r>
        <w:fldChar w:fldCharType="begin"/>
      </w:r>
      <w:r>
        <w:instrText xml:space="preserve"> PAGEREF _Toc195108740 \h </w:instrText>
      </w:r>
      <w:r>
        <w:fldChar w:fldCharType="separate"/>
      </w:r>
      <w:r>
        <w:t>- 13 -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"_Toc195108741" </w:instrText>
      </w:r>
      <w:r>
        <w:fldChar w:fldCharType="separate"/>
      </w:r>
      <w:r>
        <w:rPr>
          <w:rStyle w:val="15"/>
          <w:rFonts w:ascii="仿宋" w:hAnsi="仿宋" w:eastAsia="仿宋"/>
        </w:rPr>
        <w:t>七、成交通知</w:t>
      </w:r>
      <w:r>
        <w:tab/>
      </w:r>
      <w:r>
        <w:fldChar w:fldCharType="begin"/>
      </w:r>
      <w:r>
        <w:instrText xml:space="preserve"> PAGEREF _Toc195108741 \h </w:instrText>
      </w:r>
      <w:r>
        <w:fldChar w:fldCharType="separate"/>
      </w:r>
      <w:r>
        <w:t>- 14 -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"_Toc195108742" </w:instrText>
      </w:r>
      <w:r>
        <w:fldChar w:fldCharType="separate"/>
      </w:r>
      <w:r>
        <w:rPr>
          <w:rStyle w:val="15"/>
          <w:rFonts w:ascii="仿宋" w:hAnsi="仿宋" w:eastAsia="仿宋"/>
        </w:rPr>
        <w:t>八、签订合同</w:t>
      </w:r>
      <w:r>
        <w:tab/>
      </w:r>
      <w:r>
        <w:fldChar w:fldCharType="begin"/>
      </w:r>
      <w:r>
        <w:instrText xml:space="preserve"> PAGEREF _Toc195108742 \h </w:instrText>
      </w:r>
      <w:r>
        <w:fldChar w:fldCharType="separate"/>
      </w:r>
      <w:r>
        <w:t>- 14 -</w:t>
      </w:r>
      <w:r>
        <w:fldChar w:fldCharType="end"/>
      </w:r>
      <w:r>
        <w:fldChar w:fldCharType="end"/>
      </w:r>
    </w:p>
    <w:p>
      <w:pPr>
        <w:pStyle w:val="12"/>
        <w:rPr>
          <w:rFonts w:asciiTheme="minorHAnsi" w:hAnsiTheme="minorHAnsi" w:eastAsiaTheme="minorEastAsia" w:cstheme="minorBidi"/>
          <w:kern w:val="2"/>
          <w:sz w:val="22"/>
        </w:rPr>
      </w:pPr>
      <w:r>
        <w:fldChar w:fldCharType="begin"/>
      </w:r>
      <w:r>
        <w:instrText xml:space="preserve"> HYPERLINK \l "_Toc195108743" </w:instrText>
      </w:r>
      <w:r>
        <w:fldChar w:fldCharType="separate"/>
      </w:r>
      <w:r>
        <w:rPr>
          <w:rStyle w:val="15"/>
          <w:rFonts w:ascii="仿宋" w:hAnsi="仿宋" w:eastAsia="仿宋" w:cs="宋体"/>
        </w:rPr>
        <w:t>第三篇  竞采采购服务需求</w:t>
      </w:r>
      <w:r>
        <w:tab/>
      </w:r>
      <w:r>
        <w:fldChar w:fldCharType="begin"/>
      </w:r>
      <w:r>
        <w:instrText xml:space="preserve"> PAGEREF _Toc195108743 \h </w:instrText>
      </w:r>
      <w:r>
        <w:fldChar w:fldCharType="separate"/>
      </w:r>
      <w:r>
        <w:t>- 15 -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"_Toc195108744" </w:instrText>
      </w:r>
      <w:r>
        <w:fldChar w:fldCharType="separate"/>
      </w:r>
      <w:r>
        <w:rPr>
          <w:rStyle w:val="15"/>
          <w:rFonts w:ascii="仿宋" w:hAnsi="仿宋" w:eastAsia="仿宋"/>
        </w:rPr>
        <w:t>※一、项目概况</w:t>
      </w:r>
      <w:r>
        <w:tab/>
      </w:r>
      <w:r>
        <w:fldChar w:fldCharType="begin"/>
      </w:r>
      <w:r>
        <w:instrText xml:space="preserve"> PAGEREF _Toc195108744 \h </w:instrText>
      </w:r>
      <w:r>
        <w:fldChar w:fldCharType="separate"/>
      </w:r>
      <w:r>
        <w:t>- 15 -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"_Toc195108745" </w:instrText>
      </w:r>
      <w:r>
        <w:fldChar w:fldCharType="separate"/>
      </w:r>
      <w:r>
        <w:rPr>
          <w:rStyle w:val="15"/>
          <w:rFonts w:ascii="仿宋" w:hAnsi="仿宋" w:eastAsia="仿宋"/>
        </w:rPr>
        <w:t>※二、服务内容及质量要求</w:t>
      </w:r>
      <w:r>
        <w:tab/>
      </w:r>
      <w:r>
        <w:fldChar w:fldCharType="begin"/>
      </w:r>
      <w:r>
        <w:instrText xml:space="preserve"> PAGEREF _Toc195108745 \h </w:instrText>
      </w:r>
      <w:r>
        <w:fldChar w:fldCharType="separate"/>
      </w:r>
      <w:r>
        <w:t>- 15 -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"_Toc195108746" </w:instrText>
      </w:r>
      <w:r>
        <w:fldChar w:fldCharType="separate"/>
      </w:r>
      <w:r>
        <w:rPr>
          <w:rStyle w:val="15"/>
          <w:rFonts w:ascii="仿宋" w:hAnsi="仿宋" w:eastAsia="仿宋"/>
        </w:rPr>
        <w:t>※四、踏勘现场</w:t>
      </w:r>
      <w:r>
        <w:tab/>
      </w:r>
      <w:r>
        <w:fldChar w:fldCharType="begin"/>
      </w:r>
      <w:r>
        <w:instrText xml:space="preserve"> PAGEREF _Toc195108746 \h </w:instrText>
      </w:r>
      <w:r>
        <w:fldChar w:fldCharType="separate"/>
      </w:r>
      <w:r>
        <w:t>- 28 -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"_Toc195108747" </w:instrText>
      </w:r>
      <w:r>
        <w:fldChar w:fldCharType="separate"/>
      </w:r>
      <w:r>
        <w:rPr>
          <w:rStyle w:val="15"/>
          <w:rFonts w:ascii="仿宋" w:hAnsi="仿宋" w:eastAsia="仿宋"/>
        </w:rPr>
        <w:t>※五、其他要求</w:t>
      </w:r>
      <w:r>
        <w:tab/>
      </w:r>
      <w:r>
        <w:fldChar w:fldCharType="begin"/>
      </w:r>
      <w:r>
        <w:instrText xml:space="preserve"> PAGEREF _Toc195108747 \h </w:instrText>
      </w:r>
      <w:r>
        <w:fldChar w:fldCharType="separate"/>
      </w:r>
      <w:r>
        <w:t>- 28 -</w:t>
      </w:r>
      <w:r>
        <w:fldChar w:fldCharType="end"/>
      </w:r>
      <w:r>
        <w:fldChar w:fldCharType="end"/>
      </w:r>
    </w:p>
    <w:p>
      <w:pPr>
        <w:pStyle w:val="12"/>
        <w:rPr>
          <w:rFonts w:asciiTheme="minorHAnsi" w:hAnsiTheme="minorHAnsi" w:eastAsiaTheme="minorEastAsia" w:cstheme="minorBidi"/>
          <w:kern w:val="2"/>
          <w:sz w:val="22"/>
        </w:rPr>
      </w:pPr>
      <w:r>
        <w:fldChar w:fldCharType="begin"/>
      </w:r>
      <w:r>
        <w:instrText xml:space="preserve"> HYPERLINK \l "_Toc195108748" </w:instrText>
      </w:r>
      <w:r>
        <w:fldChar w:fldCharType="separate"/>
      </w:r>
      <w:r>
        <w:rPr>
          <w:rStyle w:val="15"/>
          <w:rFonts w:ascii="仿宋" w:hAnsi="仿宋" w:eastAsia="仿宋" w:cs="宋体"/>
        </w:rPr>
        <w:t>第四篇  商务要求</w:t>
      </w:r>
      <w:r>
        <w:tab/>
      </w:r>
      <w:r>
        <w:fldChar w:fldCharType="begin"/>
      </w:r>
      <w:r>
        <w:instrText xml:space="preserve"> PAGEREF _Toc195108748 \h </w:instrText>
      </w:r>
      <w:r>
        <w:fldChar w:fldCharType="separate"/>
      </w:r>
      <w:r>
        <w:t>- 29 -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"_Toc195108749" </w:instrText>
      </w:r>
      <w:r>
        <w:fldChar w:fldCharType="separate"/>
      </w:r>
      <w:r>
        <w:rPr>
          <w:rStyle w:val="15"/>
          <w:rFonts w:ascii="仿宋" w:hAnsi="仿宋" w:eastAsia="仿宋"/>
        </w:rPr>
        <w:t>※一、服务时间、地点及验收方式</w:t>
      </w:r>
      <w:r>
        <w:tab/>
      </w:r>
      <w:r>
        <w:fldChar w:fldCharType="begin"/>
      </w:r>
      <w:r>
        <w:instrText xml:space="preserve"> PAGEREF _Toc195108749 \h </w:instrText>
      </w:r>
      <w:r>
        <w:fldChar w:fldCharType="separate"/>
      </w:r>
      <w:r>
        <w:t>- 29 -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"_Toc195108750" </w:instrText>
      </w:r>
      <w:r>
        <w:fldChar w:fldCharType="separate"/>
      </w:r>
      <w:r>
        <w:rPr>
          <w:rStyle w:val="15"/>
          <w:rFonts w:ascii="仿宋" w:hAnsi="仿宋" w:eastAsia="仿宋"/>
        </w:rPr>
        <w:t>※二、报价要求</w:t>
      </w:r>
      <w:r>
        <w:tab/>
      </w:r>
      <w:r>
        <w:fldChar w:fldCharType="begin"/>
      </w:r>
      <w:r>
        <w:instrText xml:space="preserve"> PAGEREF _Toc195108750 \h </w:instrText>
      </w:r>
      <w:r>
        <w:fldChar w:fldCharType="separate"/>
      </w:r>
      <w:r>
        <w:t>- 29 -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"_Toc195108751" </w:instrText>
      </w:r>
      <w:r>
        <w:fldChar w:fldCharType="separate"/>
      </w:r>
      <w:r>
        <w:rPr>
          <w:rStyle w:val="15"/>
          <w:rFonts w:ascii="仿宋" w:hAnsi="仿宋" w:eastAsia="仿宋"/>
        </w:rPr>
        <w:t>※三、付款方式</w:t>
      </w:r>
      <w:r>
        <w:tab/>
      </w:r>
      <w:r>
        <w:fldChar w:fldCharType="begin"/>
      </w:r>
      <w:r>
        <w:instrText xml:space="preserve"> PAGEREF _Toc195108751 \h </w:instrText>
      </w:r>
      <w:r>
        <w:fldChar w:fldCharType="separate"/>
      </w:r>
      <w:r>
        <w:t>- 29 -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"_Toc195108752" </w:instrText>
      </w:r>
      <w:r>
        <w:fldChar w:fldCharType="separate"/>
      </w:r>
      <w:r>
        <w:rPr>
          <w:rStyle w:val="15"/>
          <w:rFonts w:ascii="仿宋" w:hAnsi="仿宋" w:eastAsia="仿宋"/>
        </w:rPr>
        <w:t>※四、违约责任</w:t>
      </w:r>
      <w:r>
        <w:tab/>
      </w:r>
      <w:r>
        <w:fldChar w:fldCharType="begin"/>
      </w:r>
      <w:r>
        <w:instrText xml:space="preserve"> PAGEREF _Toc195108752 \h </w:instrText>
      </w:r>
      <w:r>
        <w:fldChar w:fldCharType="separate"/>
      </w:r>
      <w:r>
        <w:t>- 29 -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"_Toc195108753" </w:instrText>
      </w:r>
      <w:r>
        <w:fldChar w:fldCharType="separate"/>
      </w:r>
      <w:r>
        <w:rPr>
          <w:rStyle w:val="15"/>
          <w:rFonts w:ascii="仿宋" w:hAnsi="仿宋" w:eastAsia="仿宋"/>
        </w:rPr>
        <w:t>※五、知识产权</w:t>
      </w:r>
      <w:r>
        <w:tab/>
      </w:r>
      <w:r>
        <w:fldChar w:fldCharType="begin"/>
      </w:r>
      <w:r>
        <w:instrText xml:space="preserve"> PAGEREF _Toc195108753 \h </w:instrText>
      </w:r>
      <w:r>
        <w:fldChar w:fldCharType="separate"/>
      </w:r>
      <w:r>
        <w:t>- 29 -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"_Toc195108754" </w:instrText>
      </w:r>
      <w:r>
        <w:fldChar w:fldCharType="separate"/>
      </w:r>
      <w:r>
        <w:rPr>
          <w:rStyle w:val="15"/>
          <w:rFonts w:ascii="仿宋" w:hAnsi="仿宋" w:eastAsia="仿宋"/>
        </w:rPr>
        <w:t>※六、转包、分包</w:t>
      </w:r>
      <w:r>
        <w:tab/>
      </w:r>
      <w:r>
        <w:fldChar w:fldCharType="begin"/>
      </w:r>
      <w:r>
        <w:instrText xml:space="preserve"> PAGEREF _Toc195108754 \h </w:instrText>
      </w:r>
      <w:r>
        <w:fldChar w:fldCharType="separate"/>
      </w:r>
      <w:r>
        <w:t>- 30 -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"_Toc195108755" </w:instrText>
      </w:r>
      <w:r>
        <w:fldChar w:fldCharType="separate"/>
      </w:r>
      <w:r>
        <w:rPr>
          <w:rStyle w:val="15"/>
          <w:rFonts w:ascii="仿宋" w:hAnsi="仿宋" w:eastAsia="仿宋"/>
        </w:rPr>
        <w:t>※七、其他</w:t>
      </w:r>
      <w:r>
        <w:tab/>
      </w:r>
      <w:r>
        <w:fldChar w:fldCharType="begin"/>
      </w:r>
      <w:r>
        <w:instrText xml:space="preserve"> PAGEREF _Toc195108755 \h </w:instrText>
      </w:r>
      <w:r>
        <w:fldChar w:fldCharType="separate"/>
      </w:r>
      <w:r>
        <w:t>- 30 -</w:t>
      </w:r>
      <w:r>
        <w:fldChar w:fldCharType="end"/>
      </w:r>
      <w:r>
        <w:fldChar w:fldCharType="end"/>
      </w:r>
    </w:p>
    <w:p>
      <w:pPr>
        <w:pStyle w:val="12"/>
        <w:rPr>
          <w:rFonts w:asciiTheme="minorHAnsi" w:hAnsiTheme="minorHAnsi" w:eastAsiaTheme="minorEastAsia" w:cstheme="minorBidi"/>
          <w:kern w:val="2"/>
          <w:sz w:val="22"/>
        </w:rPr>
      </w:pPr>
      <w:r>
        <w:fldChar w:fldCharType="begin"/>
      </w:r>
      <w:r>
        <w:instrText xml:space="preserve"> HYPERLINK \l "_Toc195108756" </w:instrText>
      </w:r>
      <w:r>
        <w:fldChar w:fldCharType="separate"/>
      </w:r>
      <w:r>
        <w:rPr>
          <w:rStyle w:val="15"/>
          <w:rFonts w:ascii="仿宋" w:hAnsi="仿宋" w:eastAsia="仿宋" w:cs="宋体"/>
        </w:rPr>
        <w:t>第五篇  合同草案</w:t>
      </w:r>
      <w:r>
        <w:tab/>
      </w:r>
      <w:r>
        <w:fldChar w:fldCharType="begin"/>
      </w:r>
      <w:r>
        <w:instrText xml:space="preserve"> PAGEREF _Toc195108756 \h </w:instrText>
      </w:r>
      <w:r>
        <w:fldChar w:fldCharType="separate"/>
      </w:r>
      <w:r>
        <w:t>- 31 -</w:t>
      </w:r>
      <w:r>
        <w:fldChar w:fldCharType="end"/>
      </w:r>
      <w:r>
        <w:fldChar w:fldCharType="end"/>
      </w:r>
    </w:p>
    <w:p>
      <w:pPr>
        <w:pStyle w:val="12"/>
        <w:rPr>
          <w:rFonts w:asciiTheme="minorHAnsi" w:hAnsiTheme="minorHAnsi" w:eastAsiaTheme="minorEastAsia" w:cstheme="minorBidi"/>
          <w:kern w:val="2"/>
          <w:sz w:val="22"/>
        </w:rPr>
      </w:pPr>
      <w:r>
        <w:fldChar w:fldCharType="begin"/>
      </w:r>
      <w:r>
        <w:instrText xml:space="preserve"> HYPERLINK \l "_Toc195108757" </w:instrText>
      </w:r>
      <w:r>
        <w:fldChar w:fldCharType="separate"/>
      </w:r>
      <w:r>
        <w:rPr>
          <w:rStyle w:val="15"/>
          <w:rFonts w:ascii="仿宋" w:hAnsi="仿宋" w:eastAsia="仿宋" w:cs="宋体"/>
        </w:rPr>
        <w:t>第六篇  响应文件格式要求</w:t>
      </w:r>
      <w:r>
        <w:tab/>
      </w:r>
      <w:r>
        <w:fldChar w:fldCharType="begin"/>
      </w:r>
      <w:r>
        <w:instrText xml:space="preserve"> PAGEREF _Toc195108757 \h </w:instrText>
      </w:r>
      <w:r>
        <w:fldChar w:fldCharType="separate"/>
      </w:r>
      <w:r>
        <w:t>- 32 -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"_Toc195108758" </w:instrText>
      </w:r>
      <w:r>
        <w:fldChar w:fldCharType="separate"/>
      </w:r>
      <w:r>
        <w:rPr>
          <w:rStyle w:val="15"/>
          <w:rFonts w:ascii="仿宋" w:hAnsi="仿宋" w:eastAsia="仿宋"/>
        </w:rPr>
        <w:t>一、经济部分</w:t>
      </w:r>
      <w:r>
        <w:tab/>
      </w:r>
      <w:r>
        <w:fldChar w:fldCharType="begin"/>
      </w:r>
      <w:r>
        <w:instrText xml:space="preserve"> PAGEREF _Toc195108758 \h </w:instrText>
      </w:r>
      <w:r>
        <w:fldChar w:fldCharType="separate"/>
      </w:r>
      <w:r>
        <w:t>- 33 -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"_Toc195108759" </w:instrText>
      </w:r>
      <w:r>
        <w:fldChar w:fldCharType="separate"/>
      </w:r>
      <w:r>
        <w:rPr>
          <w:rStyle w:val="15"/>
          <w:rFonts w:ascii="仿宋" w:hAnsi="仿宋" w:eastAsia="仿宋"/>
        </w:rPr>
        <w:t>二、技术部分</w:t>
      </w:r>
      <w:r>
        <w:tab/>
      </w:r>
      <w:r>
        <w:fldChar w:fldCharType="begin"/>
      </w:r>
      <w:r>
        <w:instrText xml:space="preserve"> PAGEREF _Toc195108759 \h </w:instrText>
      </w:r>
      <w:r>
        <w:fldChar w:fldCharType="separate"/>
      </w:r>
      <w:r>
        <w:t>- 35 -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"_Toc195108760" </w:instrText>
      </w:r>
      <w:r>
        <w:fldChar w:fldCharType="separate"/>
      </w:r>
      <w:r>
        <w:rPr>
          <w:rStyle w:val="15"/>
          <w:rFonts w:ascii="仿宋" w:hAnsi="仿宋" w:eastAsia="仿宋"/>
        </w:rPr>
        <w:t>三、商务部分</w:t>
      </w:r>
      <w:r>
        <w:tab/>
      </w:r>
      <w:r>
        <w:fldChar w:fldCharType="begin"/>
      </w:r>
      <w:r>
        <w:instrText xml:space="preserve"> PAGEREF _Toc195108760 \h </w:instrText>
      </w:r>
      <w:r>
        <w:fldChar w:fldCharType="separate"/>
      </w:r>
      <w:r>
        <w:t>- 37 -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"_Toc195108761" </w:instrText>
      </w:r>
      <w:r>
        <w:fldChar w:fldCharType="separate"/>
      </w:r>
      <w:r>
        <w:rPr>
          <w:rStyle w:val="15"/>
          <w:rFonts w:ascii="仿宋" w:hAnsi="仿宋" w:eastAsia="仿宋"/>
        </w:rPr>
        <w:t>四、资格条件及其他</w:t>
      </w:r>
      <w:r>
        <w:tab/>
      </w:r>
      <w:r>
        <w:fldChar w:fldCharType="begin"/>
      </w:r>
      <w:r>
        <w:instrText xml:space="preserve"> PAGEREF _Toc195108761 \h </w:instrText>
      </w:r>
      <w:r>
        <w:fldChar w:fldCharType="separate"/>
      </w:r>
      <w:r>
        <w:t>- 40 -</w:t>
      </w:r>
      <w:r>
        <w:fldChar w:fldCharType="end"/>
      </w:r>
      <w:r>
        <w:fldChar w:fldCharType="end"/>
      </w:r>
    </w:p>
    <w:p>
      <w:pPr>
        <w:pStyle w:val="7"/>
        <w:ind w:left="960"/>
        <w:rPr>
          <w:rFonts w:asciiTheme="minorHAnsi" w:hAnsiTheme="minorHAnsi" w:eastAsiaTheme="minorEastAsia" w:cstheme="minorBidi"/>
          <w:kern w:val="2"/>
          <w:sz w:val="22"/>
        </w:rPr>
      </w:pPr>
      <w:r>
        <w:fldChar w:fldCharType="begin"/>
      </w:r>
      <w:r>
        <w:instrText xml:space="preserve"> HYPERLINK \l "_Toc195108762" </w:instrText>
      </w:r>
      <w:r>
        <w:fldChar w:fldCharType="separate"/>
      </w:r>
      <w:r>
        <w:rPr>
          <w:rStyle w:val="15"/>
          <w:rFonts w:ascii="仿宋" w:hAnsi="仿宋" w:eastAsia="仿宋"/>
        </w:rPr>
        <w:t>五、其他应提供的资料</w:t>
      </w:r>
      <w:r>
        <w:tab/>
      </w:r>
      <w:r>
        <w:fldChar w:fldCharType="begin"/>
      </w:r>
      <w:r>
        <w:instrText xml:space="preserve"> PAGEREF _Toc195108762 \h </w:instrText>
      </w:r>
      <w:r>
        <w:fldChar w:fldCharType="separate"/>
      </w:r>
      <w:r>
        <w:t>- 45 -</w:t>
      </w:r>
      <w:r>
        <w:fldChar w:fldCharType="end"/>
      </w:r>
      <w:r>
        <w:fldChar w:fldCharType="end"/>
      </w:r>
    </w:p>
    <w:p>
      <w:pPr>
        <w:spacing w:line="360" w:lineRule="exact"/>
        <w:rPr>
          <w:rFonts w:ascii="仿宋" w:hAnsi="仿宋" w:eastAsia="仿宋"/>
        </w:rPr>
        <w:sectPr>
          <w:footerReference r:id="rId8" w:type="first"/>
          <w:headerReference r:id="rId6" w:type="default"/>
          <w:footerReference r:id="rId7" w:type="default"/>
          <w:pgSz w:w="11907" w:h="16840"/>
          <w:pgMar w:top="1440" w:right="1797" w:bottom="1440" w:left="1797" w:header="454" w:footer="567" w:gutter="0"/>
          <w:pgNumType w:fmt="numberInDash" w:start="1"/>
          <w:cols w:space="720" w:num="1"/>
          <w:titlePg/>
          <w:docGrid w:type="lines" w:linePitch="381" w:charSpace="-5735"/>
        </w:sectPr>
      </w:pPr>
      <w:r>
        <w:rPr>
          <w:rFonts w:hint="eastAsia" w:ascii="仿宋" w:hAnsi="仿宋" w:eastAsia="仿宋"/>
          <w:bCs/>
        </w:rPr>
        <w:fldChar w:fldCharType="end"/>
      </w:r>
    </w:p>
    <w:p>
      <w:pPr>
        <w:pStyle w:val="4"/>
        <w:spacing w:before="0" w:after="0"/>
        <w:jc w:val="center"/>
        <w:rPr>
          <w:rStyle w:val="18"/>
          <w:rFonts w:ascii="仿宋" w:hAnsi="仿宋" w:eastAsia="仿宋" w:cs="宋体"/>
          <w:b w:val="0"/>
          <w:bCs/>
          <w:sz w:val="36"/>
          <w:szCs w:val="36"/>
        </w:rPr>
      </w:pPr>
      <w:bookmarkStart w:id="2" w:name="_Toc195108726"/>
      <w:bookmarkStart w:id="3" w:name="_Toc152480139"/>
      <w:bookmarkStart w:id="4" w:name="_Toc128744981"/>
      <w:bookmarkStart w:id="5" w:name="_Toc12789052"/>
      <w:bookmarkStart w:id="6" w:name="_Toc11641050"/>
      <w:r>
        <w:rPr>
          <w:rStyle w:val="18"/>
          <w:rFonts w:hint="eastAsia" w:ascii="仿宋" w:hAnsi="仿宋" w:eastAsia="仿宋" w:cs="宋体"/>
          <w:b w:val="0"/>
          <w:bCs/>
          <w:sz w:val="36"/>
          <w:szCs w:val="36"/>
        </w:rPr>
        <w:t>第一篇  竞采邀请书</w:t>
      </w:r>
      <w:bookmarkEnd w:id="2"/>
      <w:bookmarkEnd w:id="3"/>
    </w:p>
    <w:p>
      <w:pPr>
        <w:snapToGrid w:val="0"/>
        <w:spacing w:line="360" w:lineRule="auto"/>
        <w:ind w:firstLine="480" w:firstLineChars="200"/>
        <w:rPr>
          <w:rFonts w:ascii="仿宋" w:hAnsi="仿宋" w:eastAsia="仿宋" w:cs="仿宋_GB2312"/>
        </w:rPr>
      </w:pPr>
      <w:bookmarkStart w:id="7" w:name="_Toc379619850"/>
      <w:r>
        <w:rPr>
          <w:rFonts w:hint="eastAsia" w:ascii="仿宋" w:hAnsi="仿宋" w:eastAsia="仿宋" w:cs="仿宋_GB2312"/>
        </w:rPr>
        <w:t>受</w:t>
      </w:r>
      <w:r>
        <w:rPr>
          <w:rFonts w:hint="eastAsia" w:ascii="仿宋" w:hAnsi="仿宋" w:eastAsia="仿宋" w:cs="仿宋_GB2312"/>
          <w:u w:val="single"/>
        </w:rPr>
        <w:t>重庆市梁平区体育事业发展中心</w:t>
      </w:r>
      <w:r>
        <w:rPr>
          <w:rFonts w:hint="eastAsia" w:ascii="仿宋" w:hAnsi="仿宋" w:eastAsia="仿宋" w:cs="仿宋_GB2312"/>
        </w:rPr>
        <w:t>的委托，我公司组织对</w:t>
      </w:r>
      <w:r>
        <w:rPr>
          <w:rFonts w:hint="eastAsia" w:ascii="仿宋" w:hAnsi="仿宋" w:eastAsia="仿宋" w:cs="仿宋_GB2312"/>
          <w:u w:val="single"/>
        </w:rPr>
        <w:t>“奔跑吧·少年”“中国体育彩票”2025年重庆市青少年陆地冰壶联赛（第二站）</w:t>
      </w:r>
      <w:r>
        <w:rPr>
          <w:rFonts w:hint="eastAsia" w:ascii="仿宋" w:hAnsi="仿宋" w:eastAsia="仿宋" w:cs="仿宋_GB2312"/>
        </w:rPr>
        <w:t>项目进行采购。欢迎具备相关资质的供应商参加网上竞采活动。</w:t>
      </w:r>
    </w:p>
    <w:p>
      <w:pPr>
        <w:pStyle w:val="5"/>
        <w:spacing w:before="0" w:after="0" w:line="240" w:lineRule="auto"/>
        <w:rPr>
          <w:rFonts w:ascii="仿宋" w:hAnsi="仿宋" w:eastAsia="仿宋"/>
          <w:sz w:val="24"/>
          <w:szCs w:val="24"/>
        </w:rPr>
      </w:pPr>
      <w:bookmarkStart w:id="8" w:name="_Toc195108727"/>
      <w:r>
        <w:rPr>
          <w:rFonts w:hint="eastAsia" w:ascii="仿宋" w:hAnsi="仿宋" w:eastAsia="仿宋"/>
          <w:sz w:val="24"/>
          <w:szCs w:val="24"/>
        </w:rPr>
        <w:t>一、竞采项目内容</w:t>
      </w:r>
      <w:bookmarkEnd w:id="7"/>
      <w:bookmarkEnd w:id="8"/>
    </w:p>
    <w:tbl>
      <w:tblPr>
        <w:tblStyle w:val="13"/>
        <w:tblW w:w="992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03"/>
        <w:gridCol w:w="2594"/>
        <w:gridCol w:w="3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9" w:hRule="atLeast"/>
          <w:jc w:val="center"/>
        </w:trPr>
        <w:tc>
          <w:tcPr>
            <w:tcW w:w="4003" w:type="dxa"/>
            <w:vAlign w:val="center"/>
          </w:tcPr>
          <w:p>
            <w:pPr>
              <w:spacing w:line="380" w:lineRule="exact"/>
              <w:jc w:val="center"/>
              <w:rPr>
                <w:rFonts w:ascii="仿宋" w:hAnsi="仿宋" w:eastAsia="仿宋"/>
                <w:b/>
                <w:bCs/>
              </w:rPr>
            </w:pPr>
            <w:bookmarkStart w:id="9" w:name="_Toc378251877"/>
            <w:bookmarkStart w:id="10" w:name="_Toc152480140"/>
            <w:r>
              <w:rPr>
                <w:rFonts w:hint="eastAsia" w:ascii="仿宋" w:hAnsi="仿宋" w:eastAsia="仿宋"/>
                <w:b/>
                <w:bCs/>
              </w:rPr>
              <w:t>项目名称</w:t>
            </w:r>
          </w:p>
        </w:tc>
        <w:tc>
          <w:tcPr>
            <w:tcW w:w="2594" w:type="dxa"/>
            <w:vAlign w:val="center"/>
          </w:tcPr>
          <w:p>
            <w:pPr>
              <w:spacing w:line="380" w:lineRule="exact"/>
              <w:jc w:val="center"/>
              <w:rPr>
                <w:rFonts w:ascii="仿宋" w:hAnsi="仿宋" w:eastAsia="仿宋"/>
                <w:b/>
                <w:bCs/>
              </w:rPr>
            </w:pPr>
            <w:r>
              <w:rPr>
                <w:rFonts w:hint="eastAsia" w:ascii="仿宋" w:hAnsi="仿宋" w:eastAsia="仿宋"/>
                <w:b/>
                <w:bCs/>
              </w:rPr>
              <w:t>最高限价</w:t>
            </w:r>
          </w:p>
          <w:p>
            <w:pPr>
              <w:spacing w:line="380" w:lineRule="exact"/>
              <w:jc w:val="center"/>
              <w:rPr>
                <w:rFonts w:ascii="仿宋" w:hAnsi="仿宋" w:eastAsia="仿宋"/>
                <w:b/>
                <w:bCs/>
              </w:rPr>
            </w:pPr>
            <w:r>
              <w:rPr>
                <w:rFonts w:hint="eastAsia" w:ascii="仿宋" w:hAnsi="仿宋" w:eastAsia="仿宋"/>
                <w:b/>
                <w:bCs/>
              </w:rPr>
              <w:t>（元）</w:t>
            </w:r>
          </w:p>
        </w:tc>
        <w:tc>
          <w:tcPr>
            <w:tcW w:w="3326" w:type="dxa"/>
            <w:vAlign w:val="center"/>
          </w:tcPr>
          <w:p>
            <w:pPr>
              <w:jc w:val="center"/>
              <w:rPr>
                <w:rFonts w:ascii="仿宋" w:hAnsi="仿宋" w:eastAsia="仿宋"/>
                <w:b/>
                <w:bCs/>
              </w:rPr>
            </w:pPr>
            <w:r>
              <w:rPr>
                <w:rFonts w:hint="eastAsia" w:ascii="仿宋" w:hAnsi="仿宋" w:eastAsia="仿宋"/>
                <w:b/>
                <w:bCs/>
              </w:rPr>
              <w:t>成交供应商数量（名）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0" w:hRule="atLeast"/>
          <w:jc w:val="center"/>
        </w:trPr>
        <w:tc>
          <w:tcPr>
            <w:tcW w:w="4003" w:type="dxa"/>
            <w:vAlign w:val="center"/>
          </w:tcPr>
          <w:p>
            <w:pPr>
              <w:spacing w:line="380" w:lineRule="exact"/>
              <w:jc w:val="center"/>
              <w:rPr>
                <w:rFonts w:ascii="仿宋" w:hAnsi="仿宋" w:eastAsia="仿宋"/>
              </w:rPr>
            </w:pPr>
            <w:r>
              <w:rPr>
                <w:rFonts w:hint="eastAsia" w:ascii="仿宋" w:hAnsi="仿宋" w:eastAsia="仿宋"/>
              </w:rPr>
              <w:t>“奔跑吧·少年”“中国体育彩票”2025年重庆市青少年陆地冰壶联赛（第二站）</w:t>
            </w:r>
          </w:p>
        </w:tc>
        <w:tc>
          <w:tcPr>
            <w:tcW w:w="2594" w:type="dxa"/>
            <w:vAlign w:val="center"/>
          </w:tcPr>
          <w:p>
            <w:pPr>
              <w:spacing w:line="380" w:lineRule="exact"/>
              <w:jc w:val="center"/>
              <w:rPr>
                <w:rFonts w:ascii="仿宋" w:hAnsi="仿宋" w:eastAsia="仿宋"/>
              </w:rPr>
            </w:pPr>
            <w:r>
              <w:rPr>
                <w:rFonts w:hint="eastAsia" w:ascii="仿宋" w:hAnsi="仿宋" w:eastAsia="仿宋"/>
              </w:rPr>
              <w:t>160000</w:t>
            </w:r>
            <w:r>
              <w:rPr>
                <w:rFonts w:ascii="仿宋" w:hAnsi="仿宋" w:eastAsia="仿宋"/>
              </w:rPr>
              <w:t>.00</w:t>
            </w:r>
          </w:p>
        </w:tc>
        <w:tc>
          <w:tcPr>
            <w:tcW w:w="3326" w:type="dxa"/>
            <w:vAlign w:val="center"/>
          </w:tcPr>
          <w:p>
            <w:pPr>
              <w:jc w:val="center"/>
              <w:rPr>
                <w:rFonts w:ascii="仿宋" w:hAnsi="仿宋" w:eastAsia="仿宋"/>
              </w:rPr>
            </w:pPr>
            <w:r>
              <w:rPr>
                <w:rFonts w:hint="eastAsia" w:ascii="仿宋" w:hAnsi="仿宋" w:eastAsia="仿宋"/>
              </w:rPr>
              <w:t>1</w:t>
            </w:r>
          </w:p>
        </w:tc>
      </w:tr>
    </w:tbl>
    <w:p>
      <w:pPr>
        <w:pStyle w:val="5"/>
        <w:spacing w:before="0" w:after="0" w:line="240" w:lineRule="auto"/>
        <w:rPr>
          <w:rFonts w:ascii="仿宋" w:hAnsi="仿宋" w:eastAsia="仿宋"/>
          <w:sz w:val="24"/>
          <w:szCs w:val="24"/>
        </w:rPr>
      </w:pPr>
      <w:bookmarkStart w:id="11" w:name="_Toc195108728"/>
      <w:r>
        <w:rPr>
          <w:rFonts w:hint="eastAsia" w:ascii="仿宋" w:hAnsi="仿宋" w:eastAsia="仿宋"/>
          <w:sz w:val="24"/>
          <w:szCs w:val="24"/>
        </w:rPr>
        <w:t>二、资金来源</w:t>
      </w:r>
      <w:bookmarkEnd w:id="9"/>
      <w:bookmarkEnd w:id="11"/>
    </w:p>
    <w:p>
      <w:pPr>
        <w:snapToGrid w:val="0"/>
        <w:spacing w:line="360" w:lineRule="auto"/>
        <w:ind w:firstLine="480" w:firstLineChars="200"/>
        <w:rPr>
          <w:rFonts w:ascii="仿宋" w:hAnsi="仿宋" w:eastAsia="仿宋" w:cs="仿宋_GB2312"/>
        </w:rPr>
      </w:pPr>
      <w:r>
        <w:rPr>
          <w:rFonts w:hint="eastAsia" w:ascii="仿宋" w:hAnsi="仿宋" w:eastAsia="仿宋" w:cs="仿宋_GB2312"/>
        </w:rPr>
        <w:t>财政性资金，预算金额为</w:t>
      </w:r>
      <w:r>
        <w:rPr>
          <w:rFonts w:hint="eastAsia" w:ascii="仿宋" w:hAnsi="仿宋" w:eastAsia="仿宋"/>
        </w:rPr>
        <w:t>160000</w:t>
      </w:r>
      <w:r>
        <w:rPr>
          <w:rFonts w:ascii="仿宋" w:hAnsi="仿宋" w:eastAsia="仿宋"/>
        </w:rPr>
        <w:t>.00</w:t>
      </w:r>
      <w:r>
        <w:rPr>
          <w:rFonts w:hint="eastAsia" w:ascii="仿宋" w:hAnsi="仿宋" w:eastAsia="仿宋" w:cs="仿宋_GB2312"/>
        </w:rPr>
        <w:t>元。</w:t>
      </w:r>
    </w:p>
    <w:p>
      <w:pPr>
        <w:pStyle w:val="5"/>
        <w:spacing w:before="0" w:after="0" w:line="240" w:lineRule="auto"/>
        <w:rPr>
          <w:rFonts w:ascii="仿宋" w:hAnsi="仿宋" w:eastAsia="仿宋"/>
          <w:sz w:val="24"/>
          <w:szCs w:val="24"/>
        </w:rPr>
      </w:pPr>
      <w:bookmarkStart w:id="12" w:name="_Toc195108729"/>
      <w:r>
        <w:rPr>
          <w:rFonts w:hint="eastAsia" w:ascii="仿宋" w:hAnsi="仿宋" w:eastAsia="仿宋"/>
          <w:sz w:val="24"/>
          <w:szCs w:val="24"/>
        </w:rPr>
        <w:t>三、资格要求</w:t>
      </w:r>
      <w:bookmarkEnd w:id="12"/>
    </w:p>
    <w:p>
      <w:pPr>
        <w:snapToGrid w:val="0"/>
        <w:spacing w:line="360" w:lineRule="auto"/>
        <w:ind w:firstLine="480" w:firstLineChars="200"/>
        <w:rPr>
          <w:rFonts w:ascii="仿宋" w:hAnsi="仿宋" w:eastAsia="仿宋" w:cs="仿宋_GB2312"/>
        </w:rPr>
      </w:pPr>
      <w:r>
        <w:rPr>
          <w:rFonts w:hint="eastAsia" w:ascii="仿宋" w:hAnsi="仿宋" w:eastAsia="仿宋" w:cs="仿宋_GB2312"/>
        </w:rPr>
        <w:t>竞采供应商是指向采购人提供货物、工程或者服务的法人、其他组织或者自然人。以下简称供应商。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合格的供应商应符合下列条件：</w:t>
      </w:r>
    </w:p>
    <w:p>
      <w:pPr>
        <w:snapToGrid w:val="0"/>
        <w:spacing w:line="360" w:lineRule="auto"/>
        <w:ind w:firstLine="480" w:firstLineChars="200"/>
        <w:rPr>
          <w:rFonts w:ascii="仿宋" w:hAnsi="仿宋" w:eastAsia="仿宋" w:cs="仿宋_GB2312"/>
        </w:rPr>
      </w:pPr>
      <w:bookmarkStart w:id="13" w:name="_Toc1359"/>
      <w:bookmarkStart w:id="14" w:name="_Toc487204774"/>
      <w:r>
        <w:rPr>
          <w:rFonts w:hint="eastAsia" w:ascii="仿宋" w:hAnsi="仿宋" w:eastAsia="仿宋" w:cs="仿宋_GB2312"/>
        </w:rPr>
        <w:t>（一）基本条件</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1、具有独立承担民事责任的能力；</w:t>
      </w:r>
    </w:p>
    <w:p>
      <w:pPr>
        <w:snapToGrid w:val="0"/>
        <w:spacing w:line="360" w:lineRule="auto"/>
        <w:ind w:firstLine="480" w:firstLineChars="200"/>
        <w:rPr>
          <w:rFonts w:ascii="仿宋" w:hAnsi="仿宋" w:eastAsia="仿宋" w:cs="仿宋_GB2312"/>
        </w:rPr>
      </w:pPr>
      <w:r>
        <w:rPr>
          <w:rFonts w:ascii="仿宋" w:hAnsi="仿宋" w:eastAsia="仿宋" w:cs="仿宋_GB2312"/>
        </w:rPr>
        <w:t>2</w:t>
      </w:r>
      <w:r>
        <w:rPr>
          <w:rFonts w:hint="eastAsia" w:ascii="仿宋" w:hAnsi="仿宋" w:eastAsia="仿宋" w:cs="仿宋_GB2312"/>
        </w:rPr>
        <w:t>、具有良好的商业信誉和健全的财务会计制度；</w:t>
      </w:r>
    </w:p>
    <w:p>
      <w:pPr>
        <w:snapToGrid w:val="0"/>
        <w:spacing w:line="360" w:lineRule="auto"/>
        <w:ind w:firstLine="480" w:firstLineChars="200"/>
        <w:rPr>
          <w:rFonts w:ascii="仿宋" w:hAnsi="仿宋" w:eastAsia="仿宋" w:cs="仿宋_GB2312"/>
        </w:rPr>
      </w:pPr>
      <w:r>
        <w:rPr>
          <w:rFonts w:ascii="仿宋" w:hAnsi="仿宋" w:eastAsia="仿宋" w:cs="仿宋_GB2312"/>
        </w:rPr>
        <w:t>3</w:t>
      </w:r>
      <w:r>
        <w:rPr>
          <w:rFonts w:hint="eastAsia" w:ascii="仿宋" w:hAnsi="仿宋" w:eastAsia="仿宋" w:cs="仿宋_GB2312"/>
        </w:rPr>
        <w:t>、具有履行合同所必需的设备和专业技术能力；</w:t>
      </w:r>
    </w:p>
    <w:p>
      <w:pPr>
        <w:snapToGrid w:val="0"/>
        <w:spacing w:line="360" w:lineRule="auto"/>
        <w:ind w:firstLine="480" w:firstLineChars="200"/>
        <w:rPr>
          <w:rFonts w:ascii="仿宋" w:hAnsi="仿宋" w:eastAsia="仿宋" w:cs="仿宋_GB2312"/>
        </w:rPr>
      </w:pPr>
      <w:r>
        <w:rPr>
          <w:rFonts w:ascii="仿宋" w:hAnsi="仿宋" w:eastAsia="仿宋" w:cs="仿宋_GB2312"/>
        </w:rPr>
        <w:t>4</w:t>
      </w:r>
      <w:r>
        <w:rPr>
          <w:rFonts w:hint="eastAsia" w:ascii="仿宋" w:hAnsi="仿宋" w:eastAsia="仿宋" w:cs="仿宋_GB2312"/>
        </w:rPr>
        <w:t>、有依法缴纳税收和社会保障资金的良好记录；</w:t>
      </w:r>
    </w:p>
    <w:p>
      <w:pPr>
        <w:snapToGrid w:val="0"/>
        <w:spacing w:line="360" w:lineRule="auto"/>
        <w:ind w:firstLine="480" w:firstLineChars="200"/>
        <w:rPr>
          <w:rFonts w:ascii="仿宋" w:hAnsi="仿宋" w:eastAsia="仿宋" w:cs="仿宋_GB2312"/>
        </w:rPr>
      </w:pPr>
      <w:r>
        <w:rPr>
          <w:rFonts w:ascii="仿宋" w:hAnsi="仿宋" w:eastAsia="仿宋" w:cs="仿宋_GB2312"/>
        </w:rPr>
        <w:t>5</w:t>
      </w:r>
      <w:r>
        <w:rPr>
          <w:rFonts w:hint="eastAsia" w:ascii="仿宋" w:hAnsi="仿宋" w:eastAsia="仿宋" w:cs="仿宋_GB2312"/>
        </w:rPr>
        <w:t>、参加政府采购活动前三年内，在经营活动中没有重大违法记录。</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（二）特定资格条件</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无。</w:t>
      </w:r>
    </w:p>
    <w:p>
      <w:pPr>
        <w:pStyle w:val="5"/>
        <w:spacing w:before="0" w:after="0" w:line="240" w:lineRule="auto"/>
        <w:rPr>
          <w:rFonts w:ascii="仿宋" w:hAnsi="仿宋" w:eastAsia="仿宋"/>
          <w:sz w:val="24"/>
          <w:szCs w:val="24"/>
        </w:rPr>
      </w:pPr>
      <w:bookmarkStart w:id="15" w:name="_Toc195108730"/>
      <w:r>
        <w:rPr>
          <w:rFonts w:hint="eastAsia" w:ascii="仿宋" w:hAnsi="仿宋" w:eastAsia="仿宋"/>
          <w:sz w:val="24"/>
          <w:szCs w:val="24"/>
        </w:rPr>
        <w:t>四、竞采有关说明</w:t>
      </w:r>
      <w:bookmarkEnd w:id="13"/>
      <w:bookmarkEnd w:id="14"/>
      <w:bookmarkEnd w:id="15"/>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一）凡有意参加竞采的供应商，请于公告发布之日起至提交首次响应文件截止时间之前，在“重庆市政府采购云平台网上竞采平台(https://xj.ccgp-chongqing.gov.cn/ge/）”上下载或到采购代理机构领取本项目竞采文件以及图纸、补遗等竞采前公布的所有项目资料，无论供应商下载或领取与否，均视为已知晓所有竞采实质性要求内容。</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（二）竞采文件公告期限：</w:t>
      </w:r>
      <w:r>
        <w:rPr>
          <w:rFonts w:hint="eastAsia" w:ascii="仿宋" w:hAnsi="仿宋" w:eastAsia="仿宋" w:cs="仿宋_GB2312"/>
          <w:color w:val="FF0000"/>
          <w:lang w:val="en-US" w:eastAsia="zh-CN"/>
        </w:rPr>
        <w:t>2025</w:t>
      </w:r>
      <w:r>
        <w:rPr>
          <w:rFonts w:hint="eastAsia" w:ascii="仿宋" w:hAnsi="仿宋" w:eastAsia="仿宋" w:cs="仿宋_GB2312"/>
          <w:color w:val="FF0000"/>
        </w:rPr>
        <w:t>年</w:t>
      </w:r>
      <w:r>
        <w:rPr>
          <w:rFonts w:hint="eastAsia" w:ascii="仿宋" w:hAnsi="仿宋" w:eastAsia="仿宋" w:cs="仿宋_GB2312"/>
          <w:color w:val="FF0000"/>
          <w:lang w:val="en-US" w:eastAsia="zh-CN"/>
        </w:rPr>
        <w:t>6</w:t>
      </w:r>
      <w:r>
        <w:rPr>
          <w:rFonts w:hint="eastAsia" w:ascii="仿宋" w:hAnsi="仿宋" w:eastAsia="仿宋" w:cs="仿宋_GB2312"/>
          <w:color w:val="FF0000"/>
        </w:rPr>
        <w:t>月</w:t>
      </w:r>
      <w:r>
        <w:rPr>
          <w:rFonts w:hint="eastAsia" w:ascii="仿宋" w:hAnsi="仿宋" w:eastAsia="仿宋" w:cs="仿宋_GB2312"/>
          <w:color w:val="FF0000"/>
          <w:lang w:val="en-US" w:eastAsia="zh-CN"/>
        </w:rPr>
        <w:t>18</w:t>
      </w:r>
      <w:r>
        <w:rPr>
          <w:rFonts w:hint="eastAsia" w:ascii="仿宋" w:hAnsi="仿宋" w:eastAsia="仿宋" w:cs="仿宋_GB2312"/>
          <w:color w:val="FF0000"/>
        </w:rPr>
        <w:t>日-</w:t>
      </w:r>
      <w:bookmarkStart w:id="16" w:name="OLE_LINK4"/>
      <w:r>
        <w:rPr>
          <w:rFonts w:hint="eastAsia" w:ascii="仿宋" w:hAnsi="仿宋" w:eastAsia="仿宋" w:cs="仿宋_GB2312"/>
          <w:color w:val="FF0000"/>
          <w:lang w:val="en-US" w:eastAsia="zh-CN"/>
        </w:rPr>
        <w:t>2025</w:t>
      </w:r>
      <w:r>
        <w:rPr>
          <w:rFonts w:hint="eastAsia" w:ascii="仿宋" w:hAnsi="仿宋" w:eastAsia="仿宋" w:cs="仿宋_GB2312"/>
          <w:color w:val="FF0000"/>
        </w:rPr>
        <w:t>年</w:t>
      </w:r>
      <w:r>
        <w:rPr>
          <w:rFonts w:hint="eastAsia" w:ascii="仿宋" w:hAnsi="仿宋" w:eastAsia="仿宋" w:cs="仿宋_GB2312"/>
          <w:color w:val="FF0000"/>
          <w:lang w:val="en-US" w:eastAsia="zh-CN"/>
        </w:rPr>
        <w:t>6</w:t>
      </w:r>
      <w:r>
        <w:rPr>
          <w:rFonts w:hint="eastAsia" w:ascii="仿宋" w:hAnsi="仿宋" w:eastAsia="仿宋" w:cs="仿宋_GB2312"/>
          <w:color w:val="FF0000"/>
        </w:rPr>
        <w:t>月</w:t>
      </w:r>
      <w:r>
        <w:rPr>
          <w:rFonts w:hint="eastAsia" w:ascii="仿宋" w:hAnsi="仿宋" w:eastAsia="仿宋" w:cs="仿宋_GB2312"/>
          <w:color w:val="FF0000"/>
          <w:lang w:val="en-US" w:eastAsia="zh-CN"/>
        </w:rPr>
        <w:t>24</w:t>
      </w:r>
      <w:r>
        <w:rPr>
          <w:rFonts w:hint="eastAsia" w:ascii="仿宋" w:hAnsi="仿宋" w:eastAsia="仿宋" w:cs="仿宋_GB2312"/>
          <w:color w:val="FF0000"/>
        </w:rPr>
        <w:t>日</w:t>
      </w:r>
      <w:bookmarkEnd w:id="16"/>
      <w:r>
        <w:rPr>
          <w:rFonts w:hint="eastAsia" w:ascii="仿宋" w:hAnsi="仿宋" w:eastAsia="仿宋" w:cs="仿宋_GB2312"/>
        </w:rPr>
        <w:t>（开标前，工作时间）。</w:t>
      </w:r>
    </w:p>
    <w:p>
      <w:pPr>
        <w:snapToGrid w:val="0"/>
        <w:spacing w:line="360" w:lineRule="auto"/>
        <w:ind w:firstLine="480" w:firstLineChars="200"/>
        <w:rPr>
          <w:rFonts w:ascii="仿宋" w:hAnsi="仿宋" w:eastAsia="仿宋" w:cs="仿宋_GB2312"/>
        </w:rPr>
      </w:pPr>
      <w:bookmarkStart w:id="17" w:name="_Toc487204775"/>
      <w:bookmarkStart w:id="18" w:name="_Toc22356"/>
      <w:r>
        <w:rPr>
          <w:rFonts w:hint="eastAsia" w:ascii="仿宋" w:hAnsi="仿宋" w:eastAsia="仿宋" w:cs="仿宋_GB2312"/>
        </w:rPr>
        <w:t>（三）文件购买费：0元/分包</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（四）供应商须满足以下二种要件，其响应文件才被接受：</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1.按时上传了签字盖章完毕的PDF格式响应文件；</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w:t>
      </w:r>
      <w:r>
        <w:rPr>
          <w:rFonts w:ascii="仿宋" w:hAnsi="仿宋" w:eastAsia="仿宋" w:cs="仿宋_GB2312"/>
        </w:rPr>
        <w:t>.</w:t>
      </w:r>
      <w:r>
        <w:rPr>
          <w:rFonts w:hint="eastAsia" w:ascii="仿宋" w:hAnsi="仿宋" w:eastAsia="仿宋" w:cs="仿宋"/>
          <w:color w:val="auto"/>
          <w:sz w:val="24"/>
          <w:szCs w:val="24"/>
          <w:highlight w:val="none"/>
          <w:lang w:val="en-US" w:eastAsia="zh-CN"/>
        </w:rPr>
        <w:t>规定时间内参与报价</w:t>
      </w:r>
      <w:r>
        <w:rPr>
          <w:rFonts w:hint="eastAsia" w:ascii="仿宋" w:hAnsi="仿宋" w:eastAsia="仿宋" w:cs="仿宋_GB2312"/>
        </w:rPr>
        <w:t>。</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（五）网上报价开始时间：</w:t>
      </w:r>
      <w:r>
        <w:rPr>
          <w:rFonts w:hint="eastAsia" w:ascii="仿宋" w:hAnsi="仿宋" w:eastAsia="仿宋" w:cs="仿宋_GB2312"/>
          <w:color w:val="FF0000"/>
          <w:lang w:val="en-US" w:eastAsia="zh-CN"/>
        </w:rPr>
        <w:t>2025</w:t>
      </w:r>
      <w:r>
        <w:rPr>
          <w:rFonts w:hint="eastAsia" w:ascii="仿宋" w:hAnsi="仿宋" w:eastAsia="仿宋" w:cs="仿宋_GB2312"/>
          <w:color w:val="FF0000"/>
        </w:rPr>
        <w:t>年</w:t>
      </w:r>
      <w:r>
        <w:rPr>
          <w:rFonts w:hint="eastAsia" w:ascii="仿宋" w:hAnsi="仿宋" w:eastAsia="仿宋" w:cs="仿宋_GB2312"/>
          <w:color w:val="FF0000"/>
          <w:lang w:val="en-US" w:eastAsia="zh-CN"/>
        </w:rPr>
        <w:t>6</w:t>
      </w:r>
      <w:r>
        <w:rPr>
          <w:rFonts w:hint="eastAsia" w:ascii="仿宋" w:hAnsi="仿宋" w:eastAsia="仿宋" w:cs="仿宋_GB2312"/>
          <w:color w:val="FF0000"/>
        </w:rPr>
        <w:t>月</w:t>
      </w:r>
      <w:r>
        <w:rPr>
          <w:rFonts w:hint="eastAsia" w:ascii="仿宋" w:hAnsi="仿宋" w:eastAsia="仿宋" w:cs="仿宋_GB2312"/>
          <w:color w:val="FF0000"/>
          <w:lang w:val="en-US" w:eastAsia="zh-CN"/>
        </w:rPr>
        <w:t>24</w:t>
      </w:r>
      <w:r>
        <w:rPr>
          <w:rFonts w:hint="eastAsia" w:ascii="仿宋" w:hAnsi="仿宋" w:eastAsia="仿宋" w:cs="仿宋_GB2312"/>
          <w:color w:val="FF0000"/>
        </w:rPr>
        <w:t>日北京时间</w:t>
      </w:r>
      <w:r>
        <w:rPr>
          <w:rFonts w:hint="eastAsia" w:ascii="仿宋" w:hAnsi="仿宋" w:eastAsia="仿宋" w:cs="仿宋_GB2312"/>
          <w:color w:val="FF0000"/>
          <w:lang w:val="en-US" w:eastAsia="zh-CN"/>
        </w:rPr>
        <w:t>9</w:t>
      </w:r>
      <w:r>
        <w:rPr>
          <w:rFonts w:hint="eastAsia" w:ascii="仿宋" w:hAnsi="仿宋" w:eastAsia="仿宋" w:cs="仿宋_GB2312"/>
          <w:color w:val="FF0000"/>
        </w:rPr>
        <w:t>:</w:t>
      </w:r>
      <w:r>
        <w:rPr>
          <w:rFonts w:ascii="仿宋" w:hAnsi="仿宋" w:eastAsia="仿宋" w:cs="仿宋_GB2312"/>
          <w:color w:val="FF0000"/>
        </w:rPr>
        <w:t>00</w:t>
      </w:r>
    </w:p>
    <w:p>
      <w:pPr>
        <w:snapToGrid w:val="0"/>
        <w:spacing w:line="360" w:lineRule="auto"/>
        <w:ind w:firstLine="480" w:firstLineChars="200"/>
        <w:rPr>
          <w:rFonts w:ascii="仿宋" w:hAnsi="仿宋" w:eastAsia="仿宋" w:cs="仿宋_GB2312"/>
          <w:color w:val="FF0000"/>
        </w:rPr>
      </w:pPr>
      <w:r>
        <w:rPr>
          <w:rFonts w:hint="eastAsia" w:ascii="仿宋" w:hAnsi="仿宋" w:eastAsia="仿宋" w:cs="仿宋_GB2312"/>
        </w:rPr>
        <w:t>（六）网上报价截止时间：</w:t>
      </w:r>
      <w:r>
        <w:rPr>
          <w:rFonts w:hint="eastAsia" w:ascii="仿宋" w:hAnsi="仿宋" w:eastAsia="仿宋" w:cs="仿宋_GB2312"/>
          <w:color w:val="FF0000"/>
          <w:lang w:val="en-US" w:eastAsia="zh-CN"/>
        </w:rPr>
        <w:t>2025</w:t>
      </w:r>
      <w:r>
        <w:rPr>
          <w:rFonts w:hint="eastAsia" w:ascii="仿宋" w:hAnsi="仿宋" w:eastAsia="仿宋" w:cs="仿宋_GB2312"/>
          <w:color w:val="FF0000"/>
        </w:rPr>
        <w:t>年</w:t>
      </w:r>
      <w:r>
        <w:rPr>
          <w:rFonts w:hint="eastAsia" w:ascii="仿宋" w:hAnsi="仿宋" w:eastAsia="仿宋" w:cs="仿宋_GB2312"/>
          <w:color w:val="FF0000"/>
          <w:lang w:val="en-US" w:eastAsia="zh-CN"/>
        </w:rPr>
        <w:t>6</w:t>
      </w:r>
      <w:r>
        <w:rPr>
          <w:rFonts w:hint="eastAsia" w:ascii="仿宋" w:hAnsi="仿宋" w:eastAsia="仿宋" w:cs="仿宋_GB2312"/>
          <w:color w:val="FF0000"/>
        </w:rPr>
        <w:t>月</w:t>
      </w:r>
      <w:r>
        <w:rPr>
          <w:rFonts w:hint="eastAsia" w:ascii="仿宋" w:hAnsi="仿宋" w:eastAsia="仿宋" w:cs="仿宋_GB2312"/>
          <w:color w:val="FF0000"/>
          <w:lang w:val="en-US" w:eastAsia="zh-CN"/>
        </w:rPr>
        <w:t>24</w:t>
      </w:r>
      <w:r>
        <w:rPr>
          <w:rFonts w:hint="eastAsia" w:ascii="仿宋" w:hAnsi="仿宋" w:eastAsia="仿宋" w:cs="仿宋_GB2312"/>
          <w:color w:val="FF0000"/>
        </w:rPr>
        <w:t>日北京时间</w:t>
      </w:r>
      <w:r>
        <w:rPr>
          <w:rFonts w:hint="eastAsia" w:ascii="仿宋" w:hAnsi="仿宋" w:eastAsia="仿宋" w:cs="仿宋_GB2312"/>
          <w:color w:val="FF0000"/>
          <w:lang w:val="en-US" w:eastAsia="zh-CN"/>
        </w:rPr>
        <w:t>11</w:t>
      </w:r>
      <w:r>
        <w:rPr>
          <w:rFonts w:hint="eastAsia" w:ascii="仿宋" w:hAnsi="仿宋" w:eastAsia="仿宋" w:cs="仿宋_GB2312"/>
          <w:color w:val="FF0000"/>
        </w:rPr>
        <w:t>:</w:t>
      </w:r>
      <w:r>
        <w:rPr>
          <w:rFonts w:hint="eastAsia" w:ascii="仿宋" w:hAnsi="仿宋" w:eastAsia="仿宋" w:cs="仿宋_GB2312"/>
          <w:color w:val="FF0000"/>
          <w:lang w:val="en-US" w:eastAsia="zh-CN"/>
        </w:rPr>
        <w:t>0</w:t>
      </w:r>
      <w:r>
        <w:rPr>
          <w:rFonts w:ascii="仿宋" w:hAnsi="仿宋" w:eastAsia="仿宋" w:cs="仿宋_GB2312"/>
          <w:color w:val="FF0000"/>
        </w:rPr>
        <w:t>0</w:t>
      </w:r>
    </w:p>
    <w:p>
      <w:pPr>
        <w:snapToGrid w:val="0"/>
        <w:spacing w:line="360" w:lineRule="auto"/>
        <w:ind w:firstLine="480" w:firstLineChars="200"/>
        <w:rPr>
          <w:rFonts w:ascii="仿宋" w:hAnsi="仿宋" w:eastAsia="仿宋" w:cs="仿宋_GB2312"/>
          <w:color w:val="FF0000"/>
        </w:rPr>
      </w:pPr>
      <w:r>
        <w:rPr>
          <w:rFonts w:hint="eastAsia" w:ascii="仿宋" w:hAnsi="仿宋" w:eastAsia="仿宋" w:cs="仿宋_GB2312"/>
        </w:rPr>
        <w:t>（</w:t>
      </w:r>
      <w:r>
        <w:rPr>
          <w:rFonts w:hint="eastAsia" w:ascii="仿宋" w:hAnsi="仿宋" w:eastAsia="仿宋" w:cs="仿宋_GB2312"/>
          <w:lang w:val="en-US" w:eastAsia="zh-CN"/>
        </w:rPr>
        <w:t>七</w:t>
      </w:r>
      <w:r>
        <w:rPr>
          <w:rFonts w:hint="eastAsia" w:ascii="仿宋" w:hAnsi="仿宋" w:eastAsia="仿宋" w:cs="仿宋_GB2312"/>
        </w:rPr>
        <w:t>）评审时间：</w:t>
      </w:r>
      <w:r>
        <w:rPr>
          <w:rFonts w:hint="eastAsia" w:ascii="仿宋" w:hAnsi="仿宋" w:eastAsia="仿宋" w:cs="仿宋_GB2312"/>
          <w:color w:val="FF0000"/>
          <w:lang w:val="en-US" w:eastAsia="zh-CN"/>
        </w:rPr>
        <w:t>2025</w:t>
      </w:r>
      <w:r>
        <w:rPr>
          <w:rFonts w:hint="eastAsia" w:ascii="仿宋" w:hAnsi="仿宋" w:eastAsia="仿宋" w:cs="仿宋_GB2312"/>
          <w:color w:val="FF0000"/>
        </w:rPr>
        <w:t>年</w:t>
      </w:r>
      <w:r>
        <w:rPr>
          <w:rFonts w:hint="eastAsia" w:ascii="仿宋" w:hAnsi="仿宋" w:eastAsia="仿宋" w:cs="仿宋_GB2312"/>
          <w:color w:val="FF0000"/>
          <w:lang w:val="en-US" w:eastAsia="zh-CN"/>
        </w:rPr>
        <w:t>6</w:t>
      </w:r>
      <w:r>
        <w:rPr>
          <w:rFonts w:hint="eastAsia" w:ascii="仿宋" w:hAnsi="仿宋" w:eastAsia="仿宋" w:cs="仿宋_GB2312"/>
          <w:color w:val="FF0000"/>
        </w:rPr>
        <w:t>月</w:t>
      </w:r>
      <w:r>
        <w:rPr>
          <w:rFonts w:hint="eastAsia" w:ascii="仿宋" w:hAnsi="仿宋" w:eastAsia="仿宋" w:cs="仿宋_GB2312"/>
          <w:color w:val="FF0000"/>
          <w:lang w:val="en-US" w:eastAsia="zh-CN"/>
        </w:rPr>
        <w:t>24</w:t>
      </w:r>
      <w:r>
        <w:rPr>
          <w:rFonts w:hint="eastAsia" w:ascii="仿宋" w:hAnsi="仿宋" w:eastAsia="仿宋" w:cs="仿宋_GB2312"/>
          <w:color w:val="FF0000"/>
        </w:rPr>
        <w:t>日北京时间</w:t>
      </w:r>
      <w:r>
        <w:rPr>
          <w:rFonts w:hint="eastAsia" w:ascii="仿宋" w:hAnsi="仿宋" w:eastAsia="仿宋" w:cs="仿宋_GB2312"/>
          <w:color w:val="FF0000"/>
          <w:lang w:val="en-US" w:eastAsia="zh-CN"/>
        </w:rPr>
        <w:t>17</w:t>
      </w:r>
      <w:r>
        <w:rPr>
          <w:rFonts w:hint="eastAsia" w:ascii="仿宋" w:hAnsi="仿宋" w:eastAsia="仿宋" w:cs="仿宋_GB2312"/>
          <w:color w:val="FF0000"/>
        </w:rPr>
        <w:t>:</w:t>
      </w:r>
      <w:r>
        <w:rPr>
          <w:rFonts w:hint="eastAsia" w:ascii="仿宋" w:hAnsi="仿宋" w:eastAsia="仿宋" w:cs="仿宋_GB2312"/>
          <w:color w:val="FF0000"/>
          <w:lang w:val="en-US" w:eastAsia="zh-CN"/>
        </w:rPr>
        <w:t>0</w:t>
      </w:r>
      <w:r>
        <w:rPr>
          <w:rFonts w:ascii="仿宋" w:hAnsi="仿宋" w:eastAsia="仿宋" w:cs="仿宋_GB2312"/>
          <w:color w:val="FF0000"/>
        </w:rPr>
        <w:t>0</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w:t>
      </w:r>
      <w:r>
        <w:rPr>
          <w:rFonts w:hint="eastAsia" w:ascii="仿宋" w:hAnsi="仿宋" w:eastAsia="仿宋" w:cs="仿宋_GB2312"/>
          <w:lang w:val="en-US" w:eastAsia="zh-CN"/>
        </w:rPr>
        <w:t>八</w:t>
      </w:r>
      <w:r>
        <w:rPr>
          <w:rFonts w:hint="eastAsia" w:ascii="仿宋" w:hAnsi="仿宋" w:eastAsia="仿宋" w:cs="仿宋_GB2312"/>
        </w:rPr>
        <w:t>）特别说明：供应商应按规定的时间在“重庆市政府采购</w:t>
      </w:r>
      <w:bookmarkStart w:id="207" w:name="_GoBack"/>
      <w:bookmarkEnd w:id="207"/>
      <w:r>
        <w:rPr>
          <w:rFonts w:hint="eastAsia" w:ascii="仿宋" w:hAnsi="仿宋" w:eastAsia="仿宋" w:cs="仿宋_GB2312"/>
        </w:rPr>
        <w:t>云平台网上竞采平台(https://xj.ccgp-chongqing.gov.cn/ge/）”进行网上报价，并上传签字盖章后的投标文件电子文档PDF格式一份。</w:t>
      </w:r>
    </w:p>
    <w:p>
      <w:pPr>
        <w:pStyle w:val="5"/>
        <w:spacing w:before="0" w:after="0" w:line="240" w:lineRule="auto"/>
        <w:rPr>
          <w:rFonts w:ascii="仿宋" w:hAnsi="仿宋" w:eastAsia="仿宋"/>
          <w:sz w:val="24"/>
          <w:szCs w:val="24"/>
        </w:rPr>
      </w:pPr>
      <w:bookmarkStart w:id="19" w:name="_Toc195108731"/>
      <w:r>
        <w:rPr>
          <w:rFonts w:hint="eastAsia" w:ascii="仿宋" w:hAnsi="仿宋" w:eastAsia="仿宋"/>
          <w:sz w:val="24"/>
          <w:szCs w:val="24"/>
        </w:rPr>
        <w:t>五、竞采保证金</w:t>
      </w:r>
      <w:bookmarkEnd w:id="17"/>
      <w:bookmarkEnd w:id="18"/>
      <w:bookmarkEnd w:id="19"/>
    </w:p>
    <w:p>
      <w:pPr>
        <w:snapToGrid w:val="0"/>
        <w:spacing w:line="360" w:lineRule="auto"/>
        <w:ind w:firstLine="480" w:firstLineChars="200"/>
        <w:rPr>
          <w:rFonts w:ascii="仿宋" w:hAnsi="仿宋" w:eastAsia="仿宋" w:cs="仿宋_GB2312"/>
        </w:rPr>
      </w:pPr>
      <w:bookmarkStart w:id="20" w:name="_Toc24666"/>
      <w:bookmarkStart w:id="21" w:name="_Toc487204776"/>
      <w:r>
        <w:rPr>
          <w:rFonts w:hint="eastAsia" w:ascii="仿宋" w:hAnsi="仿宋" w:eastAsia="仿宋" w:cs="仿宋_GB2312"/>
        </w:rPr>
        <w:t>本次采购不设置。</w:t>
      </w:r>
    </w:p>
    <w:p>
      <w:pPr>
        <w:pStyle w:val="5"/>
        <w:spacing w:before="0" w:after="0" w:line="240" w:lineRule="auto"/>
        <w:rPr>
          <w:rFonts w:ascii="仿宋" w:hAnsi="仿宋" w:eastAsia="仿宋"/>
          <w:sz w:val="24"/>
          <w:szCs w:val="24"/>
        </w:rPr>
      </w:pPr>
      <w:bookmarkStart w:id="22" w:name="_Toc195108732"/>
      <w:r>
        <w:rPr>
          <w:rFonts w:hint="eastAsia" w:ascii="仿宋" w:hAnsi="仿宋" w:eastAsia="仿宋"/>
          <w:sz w:val="24"/>
          <w:szCs w:val="24"/>
        </w:rPr>
        <w:t>六、竞采有关规定</w:t>
      </w:r>
      <w:bookmarkEnd w:id="20"/>
      <w:bookmarkEnd w:id="21"/>
      <w:bookmarkEnd w:id="22"/>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（一）单位负责人为同一人或者存在直接控股、管理关系的不同供应商，不得参加同一合同项下的采购活动，否则均为无效响应。</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（二）为采购项目提供整体设计、规范编制或者项目管理、监理、检测等服务的供应商，不得再参加该采购项目的其他采购活动，否则均为无效响应。</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（三）同一项目的货物，制造商参与竞采的，不得再委托代理商参与竞采，否则均为无效响应。</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四）本项目的补遗文件（如果有）一律在“重庆市政府采购云平台网上竞采平台(https://xj.ccgp-chongqing.gov.cn/ge/）”上发布，请各供应商注意下载或到代理机构处领取；无论供应商下载或领取与否，均视同供应商已知晓本项目补遗文件（如果有）的内容。</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（五）超过响应文件截止时间递交的响应文件，恕不接收。</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（六）竞采费用：无论竞采结果如何，供应商参与本项目竞采的所有费用均应由供应商自行承担。</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七）供应商有下列情况之一的，将拒绝其参与采购活动：在本项目投标截止日前三年内被列入失信被执行人、重大税收违法案件当事人名单的；被列入政府采购严重违法失信名单且在处罚期内的；被列入政府采购严重违法失信行为记录名单且在处罚期内的；其他不符合《中华人民共和国政府采购法》第二十二条规定条件的。</w:t>
      </w:r>
    </w:p>
    <w:p>
      <w:pPr>
        <w:pStyle w:val="5"/>
        <w:spacing w:before="0" w:after="0" w:line="240" w:lineRule="auto"/>
        <w:rPr>
          <w:rFonts w:ascii="仿宋" w:hAnsi="仿宋" w:eastAsia="仿宋"/>
          <w:sz w:val="24"/>
          <w:szCs w:val="24"/>
        </w:rPr>
      </w:pPr>
      <w:bookmarkStart w:id="23" w:name="_Toc76462321"/>
      <w:bookmarkStart w:id="24" w:name="_Toc373860294"/>
      <w:bookmarkStart w:id="25" w:name="_Toc195108733"/>
      <w:r>
        <w:rPr>
          <w:rFonts w:hint="eastAsia" w:ascii="仿宋" w:hAnsi="仿宋" w:eastAsia="仿宋"/>
          <w:sz w:val="24"/>
          <w:szCs w:val="24"/>
        </w:rPr>
        <w:t>七</w:t>
      </w:r>
      <w:bookmarkEnd w:id="23"/>
      <w:bookmarkEnd w:id="24"/>
      <w:r>
        <w:rPr>
          <w:rFonts w:hint="eastAsia" w:ascii="仿宋" w:hAnsi="仿宋" w:eastAsia="仿宋"/>
          <w:sz w:val="24"/>
          <w:szCs w:val="24"/>
        </w:rPr>
        <w:t>、联系方式</w:t>
      </w:r>
      <w:bookmarkEnd w:id="25"/>
    </w:p>
    <w:p>
      <w:pPr>
        <w:snapToGrid w:val="0"/>
        <w:spacing w:line="360" w:lineRule="auto"/>
        <w:ind w:firstLine="480" w:firstLineChars="200"/>
        <w:rPr>
          <w:rFonts w:ascii="仿宋" w:hAnsi="仿宋" w:eastAsia="仿宋" w:cs="仿宋_GB2312"/>
          <w:lang w:val="zh-CN"/>
        </w:rPr>
      </w:pPr>
      <w:r>
        <w:rPr>
          <w:rFonts w:hint="eastAsia" w:ascii="仿宋" w:hAnsi="仿宋" w:eastAsia="仿宋" w:cs="仿宋_GB2312"/>
        </w:rPr>
        <w:t>（一）采购人：</w:t>
      </w:r>
      <w:r>
        <w:rPr>
          <w:rFonts w:hint="eastAsia" w:ascii="仿宋" w:hAnsi="仿宋" w:eastAsia="仿宋" w:cs="仿宋_GB2312"/>
          <w:lang w:val="zh-CN"/>
        </w:rPr>
        <w:t>重庆市梁平区体育事业发展中心</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联系人：唐老师</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手  机：18166390058</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地  址：</w:t>
      </w:r>
      <w:r>
        <w:rPr>
          <w:rFonts w:ascii="仿宋" w:hAnsi="仿宋" w:eastAsia="仿宋" w:cs="仿宋_GB2312"/>
        </w:rPr>
        <w:t>重庆市梁平区双桂街道青桂路</w:t>
      </w:r>
      <w:bookmarkEnd w:id="4"/>
      <w:bookmarkEnd w:id="5"/>
      <w:bookmarkEnd w:id="6"/>
      <w:bookmarkEnd w:id="10"/>
      <w:bookmarkStart w:id="26" w:name="_Toc487204778"/>
      <w:bookmarkStart w:id="27" w:name="_Toc6453"/>
      <w:bookmarkStart w:id="28" w:name="_Toc128744991"/>
    </w:p>
    <w:p>
      <w:pPr>
        <w:snapToGrid w:val="0"/>
        <w:spacing w:line="360" w:lineRule="auto"/>
        <w:rPr>
          <w:rFonts w:ascii="仿宋" w:hAnsi="仿宋" w:eastAsia="仿宋" w:cs="仿宋_GB2312"/>
        </w:rPr>
      </w:pP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（二）采购代理机构：重庆市汇昊招标代理有限公司</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联系人：张老师</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电  话：</w:t>
      </w:r>
      <w:r>
        <w:rPr>
          <w:rFonts w:ascii="仿宋" w:hAnsi="仿宋" w:eastAsia="仿宋" w:cs="仿宋_GB2312"/>
        </w:rPr>
        <w:t>1</w:t>
      </w:r>
      <w:r>
        <w:rPr>
          <w:rFonts w:hint="eastAsia" w:ascii="仿宋" w:hAnsi="仿宋" w:eastAsia="仿宋" w:cs="仿宋_GB2312"/>
        </w:rPr>
        <w:t>5123690194</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地  址：重庆市南川区金川路1</w:t>
      </w:r>
      <w:r>
        <w:rPr>
          <w:rFonts w:ascii="仿宋" w:hAnsi="仿宋" w:eastAsia="仿宋" w:cs="仿宋_GB2312"/>
        </w:rPr>
        <w:t>68</w:t>
      </w:r>
      <w:r>
        <w:rPr>
          <w:rFonts w:hint="eastAsia" w:ascii="仿宋" w:hAnsi="仿宋" w:eastAsia="仿宋" w:cs="仿宋_GB2312"/>
        </w:rPr>
        <w:t>号</w:t>
      </w:r>
    </w:p>
    <w:p>
      <w:pPr>
        <w:pStyle w:val="4"/>
        <w:spacing w:before="0" w:after="0"/>
        <w:rPr>
          <w:rFonts w:ascii="仿宋" w:hAnsi="仿宋" w:eastAsia="仿宋"/>
        </w:rPr>
      </w:pPr>
      <w:r>
        <w:rPr>
          <w:rFonts w:ascii="仿宋" w:hAnsi="仿宋" w:eastAsia="仿宋"/>
        </w:rPr>
        <w:br w:type="page"/>
      </w:r>
    </w:p>
    <w:p>
      <w:pPr>
        <w:pStyle w:val="4"/>
        <w:spacing w:before="0" w:after="0"/>
        <w:jc w:val="center"/>
        <w:rPr>
          <w:rStyle w:val="18"/>
          <w:rFonts w:ascii="仿宋" w:hAnsi="仿宋" w:eastAsia="仿宋" w:cs="宋体"/>
          <w:b w:val="0"/>
          <w:bCs/>
          <w:sz w:val="36"/>
          <w:szCs w:val="36"/>
        </w:rPr>
      </w:pPr>
      <w:bookmarkStart w:id="29" w:name="_Toc195108734"/>
      <w:r>
        <w:rPr>
          <w:rStyle w:val="18"/>
          <w:rFonts w:hint="eastAsia" w:ascii="仿宋" w:hAnsi="仿宋" w:eastAsia="仿宋" w:cs="宋体"/>
          <w:b w:val="0"/>
          <w:bCs/>
          <w:sz w:val="36"/>
          <w:szCs w:val="36"/>
        </w:rPr>
        <w:t>第二篇  供应商须知</w:t>
      </w:r>
      <w:bookmarkEnd w:id="26"/>
      <w:bookmarkEnd w:id="27"/>
      <w:bookmarkEnd w:id="29"/>
    </w:p>
    <w:p>
      <w:pPr>
        <w:pStyle w:val="5"/>
        <w:spacing w:before="0" w:after="0" w:line="240" w:lineRule="auto"/>
        <w:rPr>
          <w:rFonts w:ascii="仿宋" w:hAnsi="仿宋" w:eastAsia="仿宋"/>
          <w:sz w:val="24"/>
          <w:szCs w:val="24"/>
        </w:rPr>
      </w:pPr>
      <w:bookmarkStart w:id="30" w:name="_Toc20643"/>
      <w:bookmarkStart w:id="31" w:name="_Toc426965630"/>
      <w:bookmarkStart w:id="32" w:name="_Toc487204779"/>
      <w:bookmarkStart w:id="33" w:name="_Toc342913389"/>
      <w:bookmarkStart w:id="34" w:name="_Toc195108735"/>
      <w:r>
        <w:rPr>
          <w:rFonts w:hint="eastAsia" w:ascii="仿宋" w:hAnsi="仿宋" w:eastAsia="仿宋"/>
          <w:sz w:val="24"/>
          <w:szCs w:val="24"/>
        </w:rPr>
        <w:t>一、竞采费用</w:t>
      </w:r>
      <w:bookmarkEnd w:id="30"/>
      <w:bookmarkEnd w:id="31"/>
      <w:bookmarkEnd w:id="32"/>
      <w:bookmarkEnd w:id="33"/>
      <w:bookmarkEnd w:id="34"/>
    </w:p>
    <w:p>
      <w:pPr>
        <w:snapToGrid w:val="0"/>
        <w:spacing w:line="360" w:lineRule="auto"/>
        <w:ind w:firstLine="480" w:firstLineChars="200"/>
        <w:rPr>
          <w:rFonts w:ascii="仿宋" w:hAnsi="仿宋" w:eastAsia="仿宋"/>
        </w:rPr>
      </w:pPr>
      <w:r>
        <w:rPr>
          <w:rFonts w:hint="eastAsia" w:ascii="仿宋" w:hAnsi="仿宋" w:eastAsia="仿宋"/>
        </w:rPr>
        <w:t>参与竞采的供应商应承担其编制响应文件与递交响应文件所涉及的一切费用，不论竞采结果如何，采购人和采购代理机构在任何情况下无义务也无责任承担这些费用。</w:t>
      </w:r>
    </w:p>
    <w:p>
      <w:pPr>
        <w:pStyle w:val="5"/>
        <w:tabs>
          <w:tab w:val="left" w:pos="2640"/>
        </w:tabs>
        <w:spacing w:before="0" w:after="0" w:line="240" w:lineRule="auto"/>
        <w:rPr>
          <w:rFonts w:ascii="仿宋" w:hAnsi="仿宋" w:eastAsia="仿宋"/>
          <w:sz w:val="24"/>
          <w:szCs w:val="24"/>
        </w:rPr>
      </w:pPr>
      <w:bookmarkStart w:id="35" w:name="_Toc426965631"/>
      <w:bookmarkStart w:id="36" w:name="_Toc342913391"/>
      <w:bookmarkStart w:id="37" w:name="_Toc7850"/>
      <w:bookmarkStart w:id="38" w:name="_Toc487204780"/>
      <w:bookmarkStart w:id="39" w:name="_Toc195108736"/>
      <w:r>
        <w:rPr>
          <w:rFonts w:hint="eastAsia" w:ascii="仿宋" w:hAnsi="仿宋" w:eastAsia="仿宋"/>
          <w:sz w:val="24"/>
          <w:szCs w:val="24"/>
        </w:rPr>
        <w:t>二、</w:t>
      </w:r>
      <w:bookmarkEnd w:id="35"/>
      <w:bookmarkEnd w:id="36"/>
      <w:bookmarkEnd w:id="37"/>
      <w:bookmarkEnd w:id="38"/>
      <w:r>
        <w:rPr>
          <w:rFonts w:hint="eastAsia" w:ascii="仿宋" w:hAnsi="仿宋" w:eastAsia="仿宋"/>
          <w:sz w:val="24"/>
          <w:szCs w:val="24"/>
        </w:rPr>
        <w:t>竞采文件</w:t>
      </w:r>
      <w:bookmarkEnd w:id="39"/>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（一）</w:t>
      </w:r>
      <w:r>
        <w:rPr>
          <w:rFonts w:hint="eastAsia" w:ascii="仿宋" w:hAnsi="仿宋" w:eastAsia="仿宋"/>
        </w:rPr>
        <w:t>竞采文件</w:t>
      </w:r>
      <w:r>
        <w:rPr>
          <w:rFonts w:hint="eastAsia" w:ascii="仿宋" w:hAnsi="仿宋" w:eastAsia="仿宋" w:cs="仿宋_GB2312"/>
        </w:rPr>
        <w:t>由竞采邀请书、供应商须知、竞采采购服务需求、商务需求、合同草案、响应文件格式要求六部分组成。</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（二）采购人（或采购代理机构）所作的一切有效的书面通知、修改及补充，都是竞采文件不可分割的部分。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（三）</w:t>
      </w:r>
      <w:r>
        <w:rPr>
          <w:rFonts w:hint="eastAsia" w:ascii="仿宋" w:hAnsi="仿宋" w:eastAsia="仿宋"/>
        </w:rPr>
        <w:t>竞采文件</w:t>
      </w:r>
      <w:r>
        <w:rPr>
          <w:rFonts w:hint="eastAsia" w:ascii="仿宋" w:hAnsi="仿宋" w:eastAsia="仿宋" w:cs="仿宋_GB2312"/>
        </w:rPr>
        <w:t>的解释</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供应商如对竞采文件有疑问，必须以书面形式在提交响应文件截止时间1个工作日前向采购人（或采购代理机构）要求澄清，采购人（或采购代理机构）可视具体情况做出处理或答复。如供应商未提出疑问，视为完全理解并同意本竞采文件。一经进入竞采程序，即视为供应商已详细阅读全部文件资料，完全理解竞采文件所有条款内容并同意放弃对这方面有不明白及误解的权利。</w:t>
      </w:r>
      <w:bookmarkStart w:id="40" w:name="_Toc318159349"/>
      <w:bookmarkStart w:id="41" w:name="_Toc318159780"/>
      <w:bookmarkStart w:id="42" w:name="_Toc318159160"/>
      <w:bookmarkStart w:id="43" w:name="_Toc318166429"/>
    </w:p>
    <w:bookmarkEnd w:id="40"/>
    <w:bookmarkEnd w:id="41"/>
    <w:bookmarkEnd w:id="42"/>
    <w:bookmarkEnd w:id="43"/>
    <w:p>
      <w:pPr>
        <w:pStyle w:val="5"/>
        <w:spacing w:before="0" w:after="0" w:line="240" w:lineRule="auto"/>
        <w:rPr>
          <w:rFonts w:ascii="仿宋" w:hAnsi="仿宋" w:eastAsia="仿宋"/>
          <w:sz w:val="24"/>
          <w:szCs w:val="24"/>
        </w:rPr>
      </w:pPr>
      <w:bookmarkStart w:id="44" w:name="_Toc342913392"/>
      <w:bookmarkStart w:id="45" w:name="_Toc426965632"/>
      <w:bookmarkStart w:id="46" w:name="_Toc179714297"/>
      <w:bookmarkStart w:id="47" w:name="_Toc487204781"/>
      <w:bookmarkStart w:id="48" w:name="_Toc102227318"/>
      <w:bookmarkStart w:id="49" w:name="_Toc26774"/>
      <w:bookmarkStart w:id="50" w:name="_Toc195108737"/>
      <w:r>
        <w:rPr>
          <w:rFonts w:hint="eastAsia" w:ascii="仿宋" w:hAnsi="仿宋" w:eastAsia="仿宋"/>
          <w:sz w:val="24"/>
          <w:szCs w:val="24"/>
        </w:rPr>
        <w:t>三、竞采要求</w:t>
      </w:r>
      <w:bookmarkEnd w:id="44"/>
      <w:bookmarkEnd w:id="45"/>
      <w:bookmarkEnd w:id="46"/>
      <w:bookmarkEnd w:id="47"/>
      <w:bookmarkEnd w:id="48"/>
      <w:bookmarkEnd w:id="49"/>
      <w:bookmarkEnd w:id="50"/>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（一）响应文件</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供应商应当按照竞采文件的要求编制响应文件，并对竞采文件提出的要求和条件作出实质性响应，响应文件应编制完整的页码、目录。</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1、响应文件组成</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响应文件由第六篇“响应文件格式要求”规定的部分和供应商所作的一切有效补充、修改和承诺等文件组成，供应商应按照</w:t>
      </w:r>
      <w:r>
        <w:rPr>
          <w:rFonts w:ascii="仿宋" w:hAnsi="仿宋" w:eastAsia="仿宋" w:cs="仿宋_GB2312"/>
        </w:rPr>
        <w:t>第六篇“响应文件格式要求”</w:t>
      </w:r>
      <w:r>
        <w:rPr>
          <w:rFonts w:hint="eastAsia" w:ascii="仿宋" w:hAnsi="仿宋" w:eastAsia="仿宋" w:cs="仿宋_GB2312"/>
        </w:rPr>
        <w:t>规定的目录顺序组织编写和装订，也可在基本格式基础上对表格进行扩展，未规定格式的由供应商自定格式。</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2、联合体</w:t>
      </w:r>
    </w:p>
    <w:p>
      <w:pPr>
        <w:snapToGrid w:val="0"/>
        <w:spacing w:line="360" w:lineRule="auto"/>
        <w:ind w:firstLine="480" w:firstLineChars="200"/>
        <w:rPr>
          <w:rFonts w:ascii="仿宋" w:hAnsi="仿宋" w:eastAsia="仿宋" w:cs="仿宋_GB2312"/>
          <w:b/>
          <w:bCs/>
        </w:rPr>
      </w:pPr>
      <w:r>
        <w:rPr>
          <w:rFonts w:hint="eastAsia" w:ascii="仿宋" w:hAnsi="仿宋" w:eastAsia="仿宋" w:cs="仿宋_GB2312"/>
          <w:b/>
          <w:bCs/>
        </w:rPr>
        <w:t>本项目不接受联合体竞标。</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3、竞采有效期：响应文件及有关承诺文件有效期为竞采开始时间起90天。</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（二）保证金（如果有）：</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1、供应商提交保证金金额和方式详见“</w:t>
      </w:r>
      <w:r>
        <w:rPr>
          <w:rFonts w:hint="eastAsia" w:ascii="仿宋" w:hAnsi="仿宋" w:eastAsia="仿宋" w:cs="仿宋_GB2312"/>
          <w:b/>
        </w:rPr>
        <w:t>第一篇</w:t>
      </w:r>
      <w:r>
        <w:rPr>
          <w:rFonts w:hint="eastAsia" w:ascii="仿宋" w:hAnsi="仿宋" w:eastAsia="仿宋" w:cs="仿宋_GB2312"/>
        </w:rPr>
        <w:t>”；</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2、发生以下情况之一者，保证金不予退还：</w:t>
      </w:r>
    </w:p>
    <w:p>
      <w:pPr>
        <w:snapToGrid w:val="0"/>
        <w:spacing w:line="360" w:lineRule="auto"/>
        <w:rPr>
          <w:rFonts w:ascii="仿宋" w:hAnsi="仿宋" w:eastAsia="仿宋" w:cs="仿宋_GB2312"/>
        </w:rPr>
      </w:pPr>
      <w:r>
        <w:rPr>
          <w:rFonts w:hint="eastAsia" w:ascii="仿宋" w:hAnsi="仿宋" w:eastAsia="仿宋" w:cs="仿宋_GB2312"/>
        </w:rPr>
        <w:t>2.1供应商在提交响应文件截止时间后撤回响应文件的；</w:t>
      </w:r>
    </w:p>
    <w:p>
      <w:pPr>
        <w:snapToGrid w:val="0"/>
        <w:spacing w:line="360" w:lineRule="auto"/>
        <w:rPr>
          <w:rFonts w:ascii="仿宋" w:hAnsi="仿宋" w:eastAsia="仿宋" w:cs="仿宋_GB2312"/>
        </w:rPr>
      </w:pPr>
      <w:r>
        <w:rPr>
          <w:rFonts w:hint="eastAsia" w:ascii="仿宋" w:hAnsi="仿宋" w:eastAsia="仿宋" w:cs="仿宋_GB2312"/>
        </w:rPr>
        <w:t>2.2供应商在响应文件中提供虚假材料的；</w:t>
      </w:r>
    </w:p>
    <w:p>
      <w:pPr>
        <w:snapToGrid w:val="0"/>
        <w:spacing w:line="360" w:lineRule="auto"/>
        <w:rPr>
          <w:rFonts w:ascii="仿宋" w:hAnsi="仿宋" w:eastAsia="仿宋" w:cs="仿宋_GB2312"/>
        </w:rPr>
      </w:pPr>
      <w:r>
        <w:rPr>
          <w:rFonts w:hint="eastAsia" w:ascii="仿宋" w:hAnsi="仿宋" w:eastAsia="仿宋" w:cs="仿宋_GB2312"/>
        </w:rPr>
        <w:t>2.3除因不可抗力或竞采文件认可的情形以外，成交供应商不与采购人签订合同的；</w:t>
      </w:r>
    </w:p>
    <w:p>
      <w:pPr>
        <w:snapToGrid w:val="0"/>
        <w:spacing w:line="360" w:lineRule="auto"/>
        <w:rPr>
          <w:rFonts w:ascii="仿宋" w:hAnsi="仿宋" w:eastAsia="仿宋" w:cs="仿宋_GB2312"/>
        </w:rPr>
      </w:pPr>
      <w:r>
        <w:rPr>
          <w:rFonts w:hint="eastAsia" w:ascii="仿宋" w:hAnsi="仿宋" w:eastAsia="仿宋" w:cs="仿宋_GB2312"/>
        </w:rPr>
        <w:t>2.4供应商与采购人、其他供应商或者采购代理机构恶意串通的；</w:t>
      </w:r>
    </w:p>
    <w:p>
      <w:pPr>
        <w:snapToGrid w:val="0"/>
        <w:spacing w:line="360" w:lineRule="auto"/>
        <w:rPr>
          <w:rFonts w:ascii="仿宋" w:hAnsi="仿宋" w:eastAsia="仿宋" w:cs="仿宋_GB2312"/>
        </w:rPr>
      </w:pPr>
      <w:r>
        <w:rPr>
          <w:rFonts w:hint="eastAsia" w:ascii="仿宋" w:hAnsi="仿宋" w:eastAsia="仿宋" w:cs="仿宋_GB2312"/>
        </w:rPr>
        <w:t>2.5竞采文件规定的其他情形。</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（三）修正错误</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若响应文件出现计算或表达上的错误，修正错误的原则如下：</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1.响应文件中报价函的内容与响应文件中相应内容不一致的，以报价函为准；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2.大写金额和小写金额不一致的，以大写金额为准；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3.单价金额小数点或者百分比有明显错位的，以报价函总价为准，并修改单价；</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4.总价金额与按单价汇总金额不一致的，以单价金额计算结果为准。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竞采小组按上述修正错误的原则及方法调整或修正供应商报价，若同时出现两种以上不一致的，按照前款规定的顺序修正，调整后的报价对供应商具有约束作用。如果供应商不接受修正后的报价，则其投标将作为无效投标处理。</w:t>
      </w:r>
    </w:p>
    <w:p>
      <w:pPr>
        <w:pStyle w:val="2"/>
        <w:ind w:left="0" w:leftChars="0" w:firstLine="240" w:firstLineChars="100"/>
        <w:rPr>
          <w:rFonts w:hint="eastAsia" w:ascii="仿宋" w:hAnsi="仿宋" w:eastAsia="仿宋" w:cs="仿宋_GB2312"/>
          <w:sz w:val="24"/>
          <w:szCs w:val="24"/>
          <w:lang w:val="en-US" w:eastAsia="zh-CN" w:bidi="ar-SA"/>
        </w:rPr>
      </w:pPr>
      <w:bookmarkStart w:id="51" w:name="_Toc493506302"/>
      <w:bookmarkStart w:id="52" w:name="_Toc492721019"/>
      <w:r>
        <w:rPr>
          <w:rFonts w:hint="eastAsia" w:ascii="仿宋" w:hAnsi="仿宋" w:eastAsia="仿宋" w:cs="仿宋_GB2312"/>
          <w:sz w:val="24"/>
          <w:szCs w:val="24"/>
          <w:lang w:val="en-US" w:eastAsia="zh-CN" w:bidi="ar-SA"/>
        </w:rPr>
        <w:t>（四）提交响应文件的份数和签署和递交</w:t>
      </w:r>
    </w:p>
    <w:p>
      <w:pPr>
        <w:pStyle w:val="6"/>
        <w:spacing w:after="0"/>
        <w:ind w:firstLine="360" w:firstLineChars="150"/>
        <w:rPr>
          <w:rFonts w:ascii="仿宋" w:hAnsi="仿宋" w:eastAsia="仿宋"/>
        </w:rPr>
      </w:pPr>
      <w:r>
        <w:rPr>
          <w:rFonts w:hint="eastAsia" w:ascii="仿宋" w:hAnsi="仿宋" w:eastAsia="仿宋" w:cs="仿宋_GB2312"/>
          <w:b/>
          <w:bCs/>
          <w:sz w:val="24"/>
          <w:szCs w:val="24"/>
        </w:rPr>
        <w:t>线上（重庆市政府采购云平台网上竞采平台）响应文件提交规则：</w:t>
      </w:r>
    </w:p>
    <w:p>
      <w:pPr>
        <w:snapToGrid w:val="0"/>
        <w:spacing w:line="360" w:lineRule="auto"/>
        <w:ind w:firstLine="480" w:firstLineChars="200"/>
        <w:rPr>
          <w:rFonts w:hint="eastAsia" w:ascii="仿宋" w:hAnsi="仿宋" w:eastAsia="仿宋"/>
          <w:u w:val="single"/>
          <w:lang w:eastAsia="zh-CN"/>
        </w:rPr>
      </w:pPr>
      <w:r>
        <w:rPr>
          <w:rFonts w:hint="eastAsia" w:ascii="仿宋" w:hAnsi="仿宋" w:eastAsia="仿宋"/>
          <w:u w:val="single"/>
        </w:rPr>
        <w:t>供应商须同时在</w:t>
      </w:r>
      <w:r>
        <w:rPr>
          <w:rFonts w:ascii="仿宋" w:hAnsi="仿宋" w:eastAsia="仿宋"/>
          <w:u w:val="single"/>
        </w:rPr>
        <w:t>网上竞采平台</w:t>
      </w:r>
      <w:r>
        <w:rPr>
          <w:rFonts w:hint="eastAsia" w:ascii="仿宋" w:hAnsi="仿宋" w:eastAsia="仿宋"/>
          <w:u w:val="single"/>
        </w:rPr>
        <w:t>上传签字盖章后的电子文档一份，格式为</w:t>
      </w:r>
      <w:r>
        <w:rPr>
          <w:rFonts w:ascii="仿宋" w:hAnsi="仿宋" w:eastAsia="仿宋"/>
          <w:u w:val="single"/>
        </w:rPr>
        <w:t>PDF</w:t>
      </w:r>
      <w:r>
        <w:rPr>
          <w:rFonts w:hint="eastAsia" w:ascii="仿宋" w:hAnsi="仿宋" w:eastAsia="仿宋"/>
          <w:u w:val="single"/>
          <w:lang w:eastAsia="zh-CN"/>
        </w:rPr>
        <w:t>。</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（五）响应文件语言：简体中文</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（六）供应商参与人员</w:t>
      </w:r>
    </w:p>
    <w:p>
      <w:pPr>
        <w:snapToGrid w:val="0"/>
        <w:spacing w:line="360" w:lineRule="auto"/>
        <w:ind w:firstLine="480" w:firstLineChars="200"/>
        <w:rPr>
          <w:rFonts w:ascii="仿宋" w:hAnsi="仿宋" w:eastAsia="仿宋" w:cs="仿宋_GB2312"/>
        </w:rPr>
      </w:pPr>
      <w:r>
        <w:rPr>
          <w:rFonts w:hint="eastAsia" w:ascii="仿宋" w:hAnsi="仿宋" w:eastAsia="仿宋" w:cs="仿宋_GB2312"/>
          <w:b/>
          <w:bCs/>
          <w:color w:val="auto"/>
          <w:highlight w:val="none"/>
          <w:u w:val="single"/>
        </w:rPr>
        <w:t>本项目为线上评审，供应商无需到现场参与。</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（七）无效响应</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供应商发生以下条款情况之一者，视为无效响应，其响应文件将被拒绝：</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1、供应商不符合资格要求的；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2、供应商未按照竞采采购文件的要求缴纳保证金的；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3、供应商所提交的响应文件不按规定签字、盖章的；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4、供应商的报价超过采购预算（若有采购预算单价，则含采购预算单价）的；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5、供应商响应文件附有采购人无法接受的条件的；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6、供应商串通投标的；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7、供应商组成联合体投标的；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8、供应商网上报价和纸质投标文件报价不一致的；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9、法律、法规和竞采采购文件规定的其他无效情形。</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（八）废标条款</w:t>
      </w:r>
      <w:bookmarkEnd w:id="51"/>
      <w:bookmarkEnd w:id="52"/>
    </w:p>
    <w:p>
      <w:pPr>
        <w:snapToGrid w:val="0"/>
        <w:spacing w:line="360" w:lineRule="auto"/>
        <w:ind w:firstLine="480" w:firstLineChars="200"/>
        <w:rPr>
          <w:rFonts w:ascii="仿宋" w:hAnsi="仿宋" w:eastAsia="仿宋" w:cs="仿宋_GB2312"/>
        </w:rPr>
      </w:pPr>
      <w:r>
        <w:rPr>
          <w:rFonts w:hint="eastAsia" w:ascii="仿宋" w:hAnsi="仿宋" w:eastAsia="仿宋" w:cs="仿宋_GB2312"/>
        </w:rPr>
        <w:t>出现下列情形之一的，采购人或者采购代理机构应当终止采购活动，发布项目终止公告并说明原因，重新开展采购活动：</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1、因情况变化，不再符合规定的竞采采购方式适用情形的；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2、出现影响采购公正的违法、违规行为的；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3、在采购过程中符合竞争要求的供应商或者报价未超过采购预算的供应商不足2家的。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（九）采购代理服务费</w:t>
      </w:r>
      <w:bookmarkStart w:id="53" w:name="_Toc426965633"/>
      <w:bookmarkStart w:id="54" w:name="_Toc179714298"/>
      <w:bookmarkStart w:id="55" w:name="_Toc342913393"/>
      <w:bookmarkStart w:id="56" w:name="_Toc102227319"/>
      <w:bookmarkStart w:id="57" w:name="_Toc487204782"/>
      <w:bookmarkStart w:id="58" w:name="_Toc31741"/>
    </w:p>
    <w:p>
      <w:pPr>
        <w:snapToGrid w:val="0"/>
        <w:spacing w:line="360" w:lineRule="auto"/>
        <w:ind w:firstLine="480" w:firstLineChars="200"/>
        <w:rPr>
          <w:rFonts w:ascii="仿宋" w:hAnsi="仿宋" w:eastAsia="仿宋" w:cs="仿宋_GB2312"/>
        </w:rPr>
      </w:pPr>
      <w:r>
        <w:rPr>
          <w:rFonts w:hint="eastAsia" w:ascii="仿宋" w:hAnsi="仿宋" w:eastAsia="仿宋" w:cs="仿宋_GB2312"/>
        </w:rPr>
        <w:t>1．</w:t>
      </w:r>
      <w:r>
        <w:rPr>
          <w:rFonts w:ascii="仿宋" w:hAnsi="仿宋" w:eastAsia="仿宋" w:cs="仿宋_GB2312"/>
        </w:rPr>
        <w:t>成交供应商需向采购代理机构缴纳采购代理服务费，具体收费标准参照以下</w:t>
      </w:r>
      <w:r>
        <w:rPr>
          <w:rFonts w:hint="eastAsia" w:ascii="仿宋" w:hAnsi="仿宋" w:eastAsia="仿宋" w:cs="仿宋_GB2312"/>
        </w:rPr>
        <w:t>服务</w:t>
      </w:r>
      <w:r>
        <w:rPr>
          <w:rFonts w:ascii="仿宋" w:hAnsi="仿宋" w:eastAsia="仿宋" w:cs="仿宋_GB2312"/>
        </w:rPr>
        <w:t>类标准执行。若计算金额</w:t>
      </w:r>
      <w:r>
        <w:rPr>
          <w:rFonts w:hint="eastAsia" w:ascii="仿宋" w:hAnsi="仿宋" w:eastAsia="仿宋" w:cs="仿宋_GB2312"/>
        </w:rPr>
        <w:t>不足</w:t>
      </w:r>
      <w:r>
        <w:rPr>
          <w:rFonts w:hint="eastAsia" w:ascii="仿宋" w:hAnsi="仿宋" w:eastAsia="仿宋" w:cs="仿宋_GB2312"/>
          <w:lang w:val="en-US" w:eastAsia="zh-CN"/>
        </w:rPr>
        <w:t>3</w:t>
      </w:r>
      <w:r>
        <w:rPr>
          <w:rFonts w:hint="eastAsia" w:ascii="仿宋" w:hAnsi="仿宋" w:eastAsia="仿宋" w:cs="仿宋_GB2312"/>
        </w:rPr>
        <w:t>000</w:t>
      </w:r>
      <w:r>
        <w:rPr>
          <w:rFonts w:ascii="仿宋" w:hAnsi="仿宋" w:eastAsia="仿宋" w:cs="仿宋_GB2312"/>
        </w:rPr>
        <w:t>元</w:t>
      </w:r>
      <w:r>
        <w:rPr>
          <w:rFonts w:hint="eastAsia" w:ascii="仿宋" w:hAnsi="仿宋" w:eastAsia="仿宋" w:cs="仿宋_GB2312"/>
        </w:rPr>
        <w:t>时</w:t>
      </w:r>
      <w:r>
        <w:rPr>
          <w:rFonts w:ascii="仿宋" w:hAnsi="仿宋" w:eastAsia="仿宋" w:cs="仿宋_GB2312"/>
        </w:rPr>
        <w:t>，则按</w:t>
      </w:r>
      <w:r>
        <w:rPr>
          <w:rFonts w:hint="eastAsia" w:ascii="仿宋" w:hAnsi="仿宋" w:eastAsia="仿宋" w:cs="仿宋_GB2312"/>
          <w:lang w:val="en-US" w:eastAsia="zh-CN"/>
        </w:rPr>
        <w:t>3</w:t>
      </w:r>
      <w:r>
        <w:rPr>
          <w:rFonts w:ascii="仿宋" w:hAnsi="仿宋" w:eastAsia="仿宋" w:cs="仿宋_GB2312"/>
        </w:rPr>
        <w:t>000元收取。中标人须在领取成交通知书时一次性支付全部费用。</w:t>
      </w:r>
    </w:p>
    <w:tbl>
      <w:tblPr>
        <w:tblStyle w:val="13"/>
        <w:tblW w:w="977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57"/>
        <w:gridCol w:w="2273"/>
        <w:gridCol w:w="2273"/>
        <w:gridCol w:w="22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 w:hRule="atLeast"/>
          <w:jc w:val="center"/>
        </w:trPr>
        <w:tc>
          <w:tcPr>
            <w:tcW w:w="2957" w:type="dxa"/>
            <w:tcBorders>
              <w:tl2br w:val="single" w:color="auto" w:sz="4" w:space="0"/>
            </w:tcBorders>
            <w:vAlign w:val="center"/>
          </w:tcPr>
          <w:p>
            <w:pPr>
              <w:snapToGrid w:val="0"/>
              <w:ind w:firstLine="1680" w:firstLineChars="700"/>
              <w:rPr>
                <w:rFonts w:ascii="仿宋" w:hAnsi="仿宋" w:eastAsia="仿宋" w:cs="微软雅黑"/>
                <w:color w:val="000000" w:themeColor="text1"/>
                <w14:textFill>
                  <w14:solidFill>
                    <w14:schemeClr w14:val="tx1"/>
                  </w14:solidFill>
                </w14:textFill>
              </w:rPr>
            </w:pPr>
            <w:r>
              <w:rPr>
                <w:rFonts w:ascii="仿宋" w:hAnsi="仿宋" w:eastAsia="仿宋" w:cs="微软雅黑"/>
                <w:color w:val="000000" w:themeColor="text1"/>
                <w14:textFill>
                  <w14:solidFill>
                    <w14:schemeClr w14:val="tx1"/>
                  </w14:solidFill>
                </w14:textFill>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0" b="0"/>
                      <wp:wrapNone/>
                      <wp:docPr id="1" name="直接连接符 7"/>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接连接符 7" o:spid="_x0000_s1026" o:spt="20" style="position:absolute;left:0pt;margin-left:-9pt;margin-top:-0.5pt;height:0.05pt;width:0.05pt;z-index:251659264;mso-width-relative:page;mso-height-relative:page;" filled="f" stroked="t" coordsize="21600,21600" o:allowincell="f" o:gfxdata="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Xz75g9YAAAAIAQAADwAAAAAAAAABACAAAAAiAAAAZHJz&#10;L2Rvd25yZXYueG1sUEsBAhQAFAAAAAgAh07iQP3LmhPNAQAAiAMAAA4AAAAAAAAAAQAgAAAAJQEA&#10;AGRycy9lMm9Eb2MueG1sUEsFBgAAAAAGAAYAWQEAAGQFAAAAAA==&#10;">
                      <v:fill on="f" focussize="0,0"/>
                      <v:stroke color="#000000" joinstyle="round"/>
                      <v:imagedata o:title=""/>
                      <o:lock v:ext="edit" aspectratio="f"/>
                    </v:line>
                  </w:pict>
                </mc:Fallback>
              </mc:AlternateContent>
            </w:r>
            <w:r>
              <w:rPr>
                <w:rFonts w:hint="eastAsia" w:ascii="仿宋" w:hAnsi="仿宋" w:eastAsia="仿宋" w:cs="微软雅黑"/>
                <w:color w:val="000000" w:themeColor="text1"/>
                <w14:textFill>
                  <w14:solidFill>
                    <w14:schemeClr w14:val="tx1"/>
                  </w14:solidFill>
                </w14:textFill>
              </w:rPr>
              <w:t>采购类型</w:t>
            </w:r>
          </w:p>
          <w:p>
            <w:pPr>
              <w:snapToGrid w:val="0"/>
              <w:rPr>
                <w:rFonts w:ascii="仿宋" w:hAnsi="仿宋" w:eastAsia="仿宋" w:cs="微软雅黑"/>
                <w:color w:val="000000" w:themeColor="text1"/>
                <w14:textFill>
                  <w14:solidFill>
                    <w14:schemeClr w14:val="tx1"/>
                  </w14:solidFill>
                </w14:textFill>
              </w:rPr>
            </w:pPr>
            <w:r>
              <w:rPr>
                <w:rFonts w:hint="eastAsia" w:ascii="仿宋" w:hAnsi="仿宋" w:eastAsia="仿宋" w:cs="微软雅黑"/>
                <w:color w:val="000000" w:themeColor="text1"/>
                <w14:textFill>
                  <w14:solidFill>
                    <w14:schemeClr w14:val="tx1"/>
                  </w14:solidFill>
                </w14:textFill>
              </w:rPr>
              <w:t>中标金额</w:t>
            </w:r>
          </w:p>
        </w:tc>
        <w:tc>
          <w:tcPr>
            <w:tcW w:w="2273" w:type="dxa"/>
            <w:vAlign w:val="center"/>
          </w:tcPr>
          <w:p>
            <w:pPr>
              <w:snapToGrid w:val="0"/>
              <w:jc w:val="center"/>
              <w:rPr>
                <w:rFonts w:ascii="仿宋" w:hAnsi="仿宋" w:eastAsia="仿宋" w:cs="微软雅黑"/>
                <w:color w:val="000000" w:themeColor="text1"/>
                <w14:textFill>
                  <w14:solidFill>
                    <w14:schemeClr w14:val="tx1"/>
                  </w14:solidFill>
                </w14:textFill>
              </w:rPr>
            </w:pPr>
            <w:r>
              <w:rPr>
                <w:rFonts w:hint="eastAsia" w:ascii="仿宋" w:hAnsi="仿宋" w:eastAsia="仿宋" w:cs="微软雅黑"/>
                <w:color w:val="000000" w:themeColor="text1"/>
                <w14:textFill>
                  <w14:solidFill>
                    <w14:schemeClr w14:val="tx1"/>
                  </w14:solidFill>
                </w14:textFill>
              </w:rPr>
              <w:t>货物类</w:t>
            </w:r>
          </w:p>
        </w:tc>
        <w:tc>
          <w:tcPr>
            <w:tcW w:w="2273" w:type="dxa"/>
            <w:vAlign w:val="center"/>
          </w:tcPr>
          <w:p>
            <w:pPr>
              <w:snapToGrid w:val="0"/>
              <w:jc w:val="center"/>
              <w:rPr>
                <w:rFonts w:ascii="仿宋" w:hAnsi="仿宋" w:eastAsia="仿宋" w:cs="微软雅黑"/>
                <w:color w:val="000000" w:themeColor="text1"/>
                <w14:textFill>
                  <w14:solidFill>
                    <w14:schemeClr w14:val="tx1"/>
                  </w14:solidFill>
                </w14:textFill>
              </w:rPr>
            </w:pPr>
            <w:r>
              <w:rPr>
                <w:rFonts w:hint="eastAsia" w:ascii="仿宋" w:hAnsi="仿宋" w:eastAsia="仿宋" w:cs="微软雅黑"/>
                <w:color w:val="000000" w:themeColor="text1"/>
                <w14:textFill>
                  <w14:solidFill>
                    <w14:schemeClr w14:val="tx1"/>
                  </w14:solidFill>
                </w14:textFill>
              </w:rPr>
              <w:t>服务类</w:t>
            </w:r>
          </w:p>
        </w:tc>
        <w:tc>
          <w:tcPr>
            <w:tcW w:w="2272" w:type="dxa"/>
            <w:vAlign w:val="center"/>
          </w:tcPr>
          <w:p>
            <w:pPr>
              <w:snapToGrid w:val="0"/>
              <w:jc w:val="center"/>
              <w:rPr>
                <w:rFonts w:ascii="仿宋" w:hAnsi="仿宋" w:eastAsia="仿宋" w:cs="微软雅黑"/>
                <w:color w:val="000000" w:themeColor="text1"/>
                <w14:textFill>
                  <w14:solidFill>
                    <w14:schemeClr w14:val="tx1"/>
                  </w14:solidFill>
                </w14:textFill>
              </w:rPr>
            </w:pPr>
            <w:r>
              <w:rPr>
                <w:rFonts w:hint="eastAsia" w:ascii="仿宋" w:hAnsi="仿宋" w:eastAsia="仿宋" w:cs="微软雅黑"/>
                <w:color w:val="000000" w:themeColor="text1"/>
                <w14:textFill>
                  <w14:solidFill>
                    <w14:schemeClr w14:val="tx1"/>
                  </w14:solidFill>
                </w14:textFill>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2957" w:type="dxa"/>
            <w:vAlign w:val="center"/>
          </w:tcPr>
          <w:p>
            <w:pPr>
              <w:snapToGrid w:val="0"/>
              <w:jc w:val="center"/>
              <w:rPr>
                <w:rFonts w:ascii="仿宋" w:hAnsi="仿宋" w:eastAsia="仿宋" w:cs="微软雅黑"/>
                <w:color w:val="000000" w:themeColor="text1"/>
                <w14:textFill>
                  <w14:solidFill>
                    <w14:schemeClr w14:val="tx1"/>
                  </w14:solidFill>
                </w14:textFill>
              </w:rPr>
            </w:pPr>
            <w:r>
              <w:rPr>
                <w:rFonts w:hint="eastAsia" w:ascii="仿宋" w:hAnsi="仿宋" w:eastAsia="仿宋" w:cs="微软雅黑"/>
                <w:color w:val="000000" w:themeColor="text1"/>
                <w14:textFill>
                  <w14:solidFill>
                    <w14:schemeClr w14:val="tx1"/>
                  </w14:solidFill>
                </w14:textFill>
              </w:rPr>
              <w:t>100万元以下</w:t>
            </w:r>
          </w:p>
        </w:tc>
        <w:tc>
          <w:tcPr>
            <w:tcW w:w="2273" w:type="dxa"/>
            <w:vAlign w:val="center"/>
          </w:tcPr>
          <w:p>
            <w:pPr>
              <w:snapToGrid w:val="0"/>
              <w:jc w:val="center"/>
              <w:rPr>
                <w:rFonts w:ascii="仿宋" w:hAnsi="仿宋" w:eastAsia="仿宋" w:cs="微软雅黑"/>
                <w:color w:val="000000" w:themeColor="text1"/>
                <w14:textFill>
                  <w14:solidFill>
                    <w14:schemeClr w14:val="tx1"/>
                  </w14:solidFill>
                </w14:textFill>
              </w:rPr>
            </w:pPr>
            <w:r>
              <w:rPr>
                <w:rFonts w:hint="eastAsia" w:ascii="仿宋" w:hAnsi="仿宋" w:eastAsia="仿宋" w:cs="微软雅黑"/>
                <w:color w:val="000000" w:themeColor="text1"/>
                <w14:textFill>
                  <w14:solidFill>
                    <w14:schemeClr w14:val="tx1"/>
                  </w14:solidFill>
                </w14:textFill>
              </w:rPr>
              <w:t>1.5%</w:t>
            </w:r>
          </w:p>
        </w:tc>
        <w:tc>
          <w:tcPr>
            <w:tcW w:w="2273" w:type="dxa"/>
            <w:vAlign w:val="center"/>
          </w:tcPr>
          <w:p>
            <w:pPr>
              <w:snapToGrid w:val="0"/>
              <w:jc w:val="center"/>
              <w:rPr>
                <w:rFonts w:ascii="仿宋" w:hAnsi="仿宋" w:eastAsia="仿宋" w:cs="微软雅黑"/>
                <w:color w:val="000000" w:themeColor="text1"/>
                <w14:textFill>
                  <w14:solidFill>
                    <w14:schemeClr w14:val="tx1"/>
                  </w14:solidFill>
                </w14:textFill>
              </w:rPr>
            </w:pPr>
            <w:r>
              <w:rPr>
                <w:rFonts w:hint="eastAsia" w:ascii="仿宋" w:hAnsi="仿宋" w:eastAsia="仿宋" w:cs="微软雅黑"/>
                <w:color w:val="000000" w:themeColor="text1"/>
                <w14:textFill>
                  <w14:solidFill>
                    <w14:schemeClr w14:val="tx1"/>
                  </w14:solidFill>
                </w14:textFill>
              </w:rPr>
              <w:t>1.5%</w:t>
            </w:r>
          </w:p>
        </w:tc>
        <w:tc>
          <w:tcPr>
            <w:tcW w:w="2272" w:type="dxa"/>
            <w:vAlign w:val="center"/>
          </w:tcPr>
          <w:p>
            <w:pPr>
              <w:snapToGrid w:val="0"/>
              <w:jc w:val="center"/>
              <w:rPr>
                <w:rFonts w:ascii="仿宋" w:hAnsi="仿宋" w:eastAsia="仿宋" w:cs="微软雅黑"/>
                <w:color w:val="000000" w:themeColor="text1"/>
                <w14:textFill>
                  <w14:solidFill>
                    <w14:schemeClr w14:val="tx1"/>
                  </w14:solidFill>
                </w14:textFill>
              </w:rPr>
            </w:pPr>
            <w:r>
              <w:rPr>
                <w:rFonts w:hint="eastAsia" w:ascii="仿宋" w:hAnsi="仿宋" w:eastAsia="仿宋" w:cs="微软雅黑"/>
                <w:color w:val="000000" w:themeColor="text1"/>
                <w14:textFill>
                  <w14:solidFill>
                    <w14:schemeClr w14:val="tx1"/>
                  </w14:solidFill>
                </w14:textFill>
              </w:rPr>
              <w:t>1.0%</w:t>
            </w:r>
          </w:p>
        </w:tc>
      </w:tr>
    </w:tbl>
    <w:p>
      <w:pPr>
        <w:snapToGrid w:val="0"/>
        <w:spacing w:line="360" w:lineRule="auto"/>
        <w:ind w:firstLine="480" w:firstLineChars="200"/>
        <w:rPr>
          <w:rFonts w:ascii="仿宋" w:hAnsi="仿宋" w:eastAsia="仿宋" w:cs="仿宋_GB2312"/>
        </w:rPr>
      </w:pPr>
      <w:r>
        <w:rPr>
          <w:rFonts w:ascii="仿宋" w:hAnsi="仿宋" w:eastAsia="仿宋" w:cs="仿宋_GB2312"/>
        </w:rPr>
        <w:t>2</w:t>
      </w:r>
      <w:r>
        <w:rPr>
          <w:rFonts w:hint="eastAsia" w:ascii="仿宋" w:hAnsi="仿宋" w:eastAsia="仿宋" w:cs="仿宋_GB2312"/>
        </w:rPr>
        <w:t>．代理服务费以转帐或者现金形式支付。</w:t>
      </w:r>
    </w:p>
    <w:p>
      <w:pPr>
        <w:snapToGrid w:val="0"/>
        <w:spacing w:line="360" w:lineRule="auto"/>
        <w:ind w:firstLine="480" w:firstLineChars="200"/>
        <w:rPr>
          <w:rFonts w:ascii="仿宋" w:hAnsi="仿宋" w:eastAsia="仿宋" w:cs="仿宋_GB2312"/>
        </w:rPr>
      </w:pPr>
      <w:r>
        <w:rPr>
          <w:rFonts w:ascii="仿宋" w:hAnsi="仿宋" w:eastAsia="仿宋" w:cs="仿宋_GB2312"/>
        </w:rPr>
        <w:t>3</w:t>
      </w:r>
      <w:r>
        <w:rPr>
          <w:rFonts w:hint="eastAsia" w:ascii="仿宋" w:hAnsi="仿宋" w:eastAsia="仿宋" w:cs="仿宋_GB2312"/>
        </w:rPr>
        <w:t>．费用缴纳账号：</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户  名：重庆市汇昊招标代理有限公司</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开户行：中国工商银行股份有限公司南川西城支行</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账  号：3100010109100027510</w:t>
      </w:r>
    </w:p>
    <w:p>
      <w:pPr>
        <w:pStyle w:val="5"/>
        <w:spacing w:before="0" w:after="0" w:line="240" w:lineRule="auto"/>
        <w:rPr>
          <w:rFonts w:ascii="仿宋" w:hAnsi="仿宋" w:eastAsia="仿宋"/>
          <w:sz w:val="24"/>
          <w:szCs w:val="24"/>
        </w:rPr>
      </w:pPr>
      <w:bookmarkStart w:id="59" w:name="_Toc195108738"/>
      <w:r>
        <w:rPr>
          <w:rFonts w:hint="eastAsia" w:ascii="仿宋" w:hAnsi="仿宋" w:eastAsia="仿宋"/>
          <w:sz w:val="24"/>
          <w:szCs w:val="24"/>
        </w:rPr>
        <w:t>四、</w:t>
      </w:r>
      <w:bookmarkEnd w:id="53"/>
      <w:bookmarkEnd w:id="54"/>
      <w:bookmarkEnd w:id="55"/>
      <w:bookmarkEnd w:id="56"/>
      <w:bookmarkEnd w:id="57"/>
      <w:r>
        <w:rPr>
          <w:rFonts w:hint="eastAsia" w:ascii="仿宋" w:hAnsi="仿宋" w:eastAsia="仿宋"/>
          <w:sz w:val="24"/>
          <w:szCs w:val="24"/>
        </w:rPr>
        <w:t>竞采程序及成交标准</w:t>
      </w:r>
      <w:bookmarkEnd w:id="58"/>
      <w:bookmarkEnd w:id="59"/>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（一）本项目按照竞采文件规定的时间和地点进行。</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（二）资格性符合性检查</w:t>
      </w:r>
    </w:p>
    <w:p>
      <w:pPr>
        <w:snapToGrid w:val="0"/>
        <w:spacing w:line="360" w:lineRule="auto"/>
        <w:ind w:firstLine="480" w:firstLineChars="200"/>
        <w:rPr>
          <w:rFonts w:ascii="仿宋" w:hAnsi="仿宋" w:eastAsia="仿宋"/>
        </w:rPr>
      </w:pPr>
      <w:r>
        <w:rPr>
          <w:rFonts w:hint="eastAsia" w:ascii="仿宋" w:hAnsi="仿宋" w:eastAsia="仿宋" w:cs="仿宋_GB2312"/>
        </w:rPr>
        <w:t>1.资格性检查。依据法律法规和竞采文件的规定，对响应文件中的资格证明、保证金等进行审查，以确定供应商是否具备竞采资格。资格性检查资料表如下：</w:t>
      </w:r>
    </w:p>
    <w:tbl>
      <w:tblPr>
        <w:tblStyle w:val="13"/>
        <w:tblW w:w="101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1"/>
        <w:gridCol w:w="965"/>
        <w:gridCol w:w="2835"/>
        <w:gridCol w:w="5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1" w:type="dxa"/>
            <w:vAlign w:val="center"/>
          </w:tcPr>
          <w:p>
            <w:pPr>
              <w:spacing w:line="380" w:lineRule="exact"/>
              <w:jc w:val="center"/>
              <w:rPr>
                <w:rFonts w:ascii="仿宋" w:hAnsi="仿宋" w:eastAsia="仿宋"/>
                <w:b/>
                <w:sz w:val="21"/>
                <w:szCs w:val="21"/>
              </w:rPr>
            </w:pPr>
            <w:r>
              <w:rPr>
                <w:rFonts w:hint="eastAsia" w:ascii="仿宋" w:hAnsi="仿宋" w:eastAsia="仿宋"/>
                <w:b/>
                <w:sz w:val="21"/>
                <w:szCs w:val="21"/>
              </w:rPr>
              <w:t>序号</w:t>
            </w:r>
          </w:p>
        </w:tc>
        <w:tc>
          <w:tcPr>
            <w:tcW w:w="3800" w:type="dxa"/>
            <w:gridSpan w:val="2"/>
            <w:vAlign w:val="center"/>
          </w:tcPr>
          <w:p>
            <w:pPr>
              <w:spacing w:line="380" w:lineRule="exact"/>
              <w:jc w:val="center"/>
              <w:rPr>
                <w:rFonts w:ascii="仿宋" w:hAnsi="仿宋" w:eastAsia="仿宋"/>
                <w:b/>
                <w:sz w:val="21"/>
                <w:szCs w:val="21"/>
              </w:rPr>
            </w:pPr>
            <w:r>
              <w:rPr>
                <w:rFonts w:hint="eastAsia" w:ascii="仿宋" w:hAnsi="仿宋" w:eastAsia="仿宋"/>
                <w:b/>
                <w:sz w:val="21"/>
                <w:szCs w:val="21"/>
              </w:rPr>
              <w:t>检查因素</w:t>
            </w:r>
          </w:p>
        </w:tc>
        <w:tc>
          <w:tcPr>
            <w:tcW w:w="5812" w:type="dxa"/>
            <w:vAlign w:val="center"/>
          </w:tcPr>
          <w:p>
            <w:pPr>
              <w:spacing w:line="380" w:lineRule="exact"/>
              <w:jc w:val="center"/>
              <w:rPr>
                <w:rFonts w:ascii="仿宋" w:hAnsi="仿宋" w:eastAsia="仿宋"/>
                <w:b/>
                <w:sz w:val="21"/>
                <w:szCs w:val="21"/>
              </w:rPr>
            </w:pPr>
            <w:r>
              <w:rPr>
                <w:rFonts w:hint="eastAsia" w:ascii="仿宋" w:hAnsi="仿宋" w:eastAsia="仿宋"/>
                <w:b/>
                <w:sz w:val="21"/>
                <w:szCs w:val="21"/>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1" w:type="dxa"/>
            <w:vMerge w:val="restart"/>
            <w:vAlign w:val="center"/>
          </w:tcPr>
          <w:p>
            <w:pPr>
              <w:spacing w:line="380" w:lineRule="exact"/>
              <w:jc w:val="center"/>
              <w:rPr>
                <w:rFonts w:ascii="仿宋" w:hAnsi="仿宋" w:eastAsia="仿宋"/>
                <w:sz w:val="21"/>
                <w:szCs w:val="21"/>
              </w:rPr>
            </w:pPr>
            <w:r>
              <w:rPr>
                <w:rFonts w:hint="eastAsia" w:ascii="仿宋" w:hAnsi="仿宋" w:eastAsia="仿宋"/>
                <w:sz w:val="21"/>
                <w:szCs w:val="21"/>
              </w:rPr>
              <w:t>1</w:t>
            </w:r>
          </w:p>
        </w:tc>
        <w:tc>
          <w:tcPr>
            <w:tcW w:w="965" w:type="dxa"/>
            <w:vMerge w:val="restart"/>
            <w:vAlign w:val="center"/>
          </w:tcPr>
          <w:p>
            <w:pPr>
              <w:spacing w:line="380" w:lineRule="exact"/>
              <w:rPr>
                <w:rFonts w:ascii="仿宋" w:hAnsi="仿宋" w:eastAsia="仿宋" w:cs="仿宋_GB2312"/>
                <w:sz w:val="21"/>
                <w:szCs w:val="21"/>
                <w:lang w:val="zh-CN"/>
              </w:rPr>
            </w:pPr>
            <w:r>
              <w:rPr>
                <w:rFonts w:hint="eastAsia" w:ascii="仿宋" w:hAnsi="仿宋" w:eastAsia="仿宋" w:cs="仿宋_GB2312"/>
                <w:sz w:val="21"/>
                <w:szCs w:val="21"/>
              </w:rPr>
              <w:t>供应商</w:t>
            </w:r>
            <w:r>
              <w:rPr>
                <w:rFonts w:hint="eastAsia" w:ascii="仿宋" w:hAnsi="仿宋" w:eastAsia="仿宋" w:cs="仿宋_GB2312"/>
                <w:sz w:val="21"/>
                <w:szCs w:val="21"/>
                <w:lang w:val="zh-CN"/>
              </w:rPr>
              <w:t>应符合的基本资格条件</w:t>
            </w:r>
          </w:p>
        </w:tc>
        <w:tc>
          <w:tcPr>
            <w:tcW w:w="2835" w:type="dxa"/>
            <w:vAlign w:val="center"/>
          </w:tcPr>
          <w:p>
            <w:pPr>
              <w:spacing w:line="380" w:lineRule="exact"/>
              <w:rPr>
                <w:rFonts w:hint="default" w:ascii="仿宋" w:hAnsi="仿宋" w:eastAsia="仿宋"/>
                <w:sz w:val="21"/>
                <w:szCs w:val="21"/>
                <w:lang w:val="en-US" w:eastAsia="zh-CN"/>
              </w:rPr>
            </w:pPr>
            <w:r>
              <w:rPr>
                <w:rFonts w:hint="eastAsia" w:ascii="仿宋" w:hAnsi="仿宋" w:eastAsia="仿宋"/>
                <w:sz w:val="21"/>
                <w:szCs w:val="21"/>
              </w:rPr>
              <w:t>（1）具有独立承担民事责任的能力</w:t>
            </w:r>
          </w:p>
        </w:tc>
        <w:tc>
          <w:tcPr>
            <w:tcW w:w="5812" w:type="dxa"/>
            <w:vAlign w:val="center"/>
          </w:tcPr>
          <w:p>
            <w:pPr>
              <w:rPr>
                <w:rFonts w:ascii="仿宋" w:hAnsi="仿宋" w:eastAsia="仿宋"/>
                <w:sz w:val="21"/>
                <w:szCs w:val="21"/>
              </w:rPr>
            </w:pPr>
            <w:r>
              <w:rPr>
                <w:rFonts w:hint="eastAsia" w:ascii="仿宋" w:hAnsi="仿宋" w:eastAsia="仿宋"/>
                <w:sz w:val="21"/>
                <w:szCs w:val="21"/>
              </w:rPr>
              <w:t>供应商法人营业执照（副本）或事业单位法人证书（副本）或个体工商户营业执照或有效的自然人身份证明、组织机构代码证复印件（注</w:t>
            </w:r>
            <w:r>
              <w:rPr>
                <w:rFonts w:hint="eastAsia" w:ascii="仿宋" w:hAnsi="仿宋" w:eastAsia="仿宋"/>
              </w:rPr>
              <w:sym w:font="Wingdings" w:char="F081"/>
            </w:r>
            <w:r>
              <w:rPr>
                <w:rFonts w:hint="eastAsia" w:ascii="仿宋" w:hAnsi="仿宋" w:eastAsia="仿宋"/>
                <w:sz w:val="21"/>
                <w:szCs w:val="21"/>
              </w:rPr>
              <w:t xml:space="preserve">）； </w:t>
            </w:r>
          </w:p>
          <w:p>
            <w:pPr>
              <w:rPr>
                <w:rFonts w:ascii="仿宋" w:hAnsi="仿宋" w:eastAsia="仿宋"/>
                <w:sz w:val="21"/>
                <w:szCs w:val="21"/>
              </w:rPr>
            </w:pPr>
            <w:r>
              <w:rPr>
                <w:rFonts w:hint="eastAsia" w:ascii="仿宋" w:hAnsi="仿宋" w:eastAsia="仿宋"/>
                <w:sz w:val="21"/>
                <w:szCs w:val="21"/>
              </w:rPr>
              <w:t>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8" w:hRule="atLeast"/>
        </w:trPr>
        <w:tc>
          <w:tcPr>
            <w:tcW w:w="561" w:type="dxa"/>
            <w:vMerge w:val="continue"/>
            <w:vAlign w:val="center"/>
          </w:tcPr>
          <w:p>
            <w:pPr>
              <w:keepNext/>
              <w:keepLines/>
              <w:spacing w:line="380" w:lineRule="exact"/>
              <w:jc w:val="center"/>
              <w:outlineLvl w:val="2"/>
              <w:rPr>
                <w:rFonts w:ascii="仿宋" w:hAnsi="仿宋" w:eastAsia="仿宋"/>
                <w:sz w:val="21"/>
                <w:szCs w:val="21"/>
              </w:rPr>
            </w:pPr>
          </w:p>
        </w:tc>
        <w:tc>
          <w:tcPr>
            <w:tcW w:w="965" w:type="dxa"/>
            <w:vMerge w:val="continue"/>
            <w:vAlign w:val="center"/>
          </w:tcPr>
          <w:p>
            <w:pPr>
              <w:keepNext/>
              <w:keepLines/>
              <w:spacing w:line="380" w:lineRule="exact"/>
              <w:outlineLvl w:val="2"/>
              <w:rPr>
                <w:rFonts w:ascii="仿宋" w:hAnsi="仿宋" w:eastAsia="仿宋" w:cs="仿宋_GB2312"/>
                <w:sz w:val="21"/>
                <w:szCs w:val="21"/>
                <w:lang w:val="zh-CN"/>
              </w:rPr>
            </w:pPr>
          </w:p>
        </w:tc>
        <w:tc>
          <w:tcPr>
            <w:tcW w:w="2835" w:type="dxa"/>
            <w:vAlign w:val="center"/>
          </w:tcPr>
          <w:p>
            <w:pPr>
              <w:spacing w:line="380" w:lineRule="exact"/>
              <w:rPr>
                <w:rFonts w:ascii="仿宋" w:hAnsi="仿宋" w:eastAsia="仿宋"/>
                <w:sz w:val="21"/>
                <w:szCs w:val="21"/>
              </w:rPr>
            </w:pPr>
            <w:r>
              <w:rPr>
                <w:rFonts w:hint="eastAsia" w:ascii="仿宋" w:hAnsi="仿宋" w:eastAsia="仿宋" w:cs="仿宋_GB2312"/>
                <w:sz w:val="21"/>
                <w:szCs w:val="21"/>
                <w:lang w:val="zh-CN"/>
              </w:rPr>
              <w:t>（2）</w:t>
            </w:r>
            <w:r>
              <w:rPr>
                <w:rFonts w:hint="eastAsia" w:ascii="仿宋" w:hAnsi="仿宋" w:eastAsia="仿宋"/>
                <w:sz w:val="21"/>
                <w:szCs w:val="21"/>
              </w:rPr>
              <w:t>具有良好的商业信誉和健全的财务会计制度</w:t>
            </w:r>
          </w:p>
        </w:tc>
        <w:tc>
          <w:tcPr>
            <w:tcW w:w="5812" w:type="dxa"/>
            <w:vMerge w:val="restart"/>
            <w:vAlign w:val="center"/>
          </w:tcPr>
          <w:p>
            <w:pPr>
              <w:rPr>
                <w:rFonts w:ascii="仿宋" w:hAnsi="仿宋" w:eastAsia="仿宋"/>
                <w:sz w:val="21"/>
                <w:szCs w:val="21"/>
              </w:rPr>
            </w:pPr>
            <w:r>
              <w:rPr>
                <w:rFonts w:hint="eastAsia" w:ascii="仿宋" w:hAnsi="仿宋" w:eastAsia="仿宋" w:cs="仿宋"/>
                <w:sz w:val="21"/>
                <w:szCs w:val="21"/>
              </w:rPr>
              <w:t>供应商提供基本资格条件承诺函（见格式文件）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1" w:type="dxa"/>
            <w:vMerge w:val="continue"/>
            <w:vAlign w:val="center"/>
          </w:tcPr>
          <w:p>
            <w:pPr>
              <w:keepNext/>
              <w:keepLines/>
              <w:spacing w:line="380" w:lineRule="exact"/>
              <w:jc w:val="center"/>
              <w:outlineLvl w:val="2"/>
              <w:rPr>
                <w:rFonts w:ascii="仿宋" w:hAnsi="仿宋" w:eastAsia="仿宋"/>
                <w:sz w:val="21"/>
                <w:szCs w:val="21"/>
              </w:rPr>
            </w:pPr>
          </w:p>
        </w:tc>
        <w:tc>
          <w:tcPr>
            <w:tcW w:w="965" w:type="dxa"/>
            <w:vMerge w:val="continue"/>
            <w:vAlign w:val="center"/>
          </w:tcPr>
          <w:p>
            <w:pPr>
              <w:keepNext/>
              <w:keepLines/>
              <w:spacing w:line="380" w:lineRule="exact"/>
              <w:outlineLvl w:val="2"/>
              <w:rPr>
                <w:rFonts w:ascii="仿宋" w:hAnsi="仿宋" w:eastAsia="仿宋" w:cs="仿宋_GB2312"/>
                <w:sz w:val="21"/>
                <w:szCs w:val="21"/>
                <w:lang w:val="zh-CN"/>
              </w:rPr>
            </w:pPr>
          </w:p>
        </w:tc>
        <w:tc>
          <w:tcPr>
            <w:tcW w:w="2835" w:type="dxa"/>
            <w:vAlign w:val="center"/>
          </w:tcPr>
          <w:p>
            <w:pPr>
              <w:spacing w:line="380" w:lineRule="exact"/>
              <w:rPr>
                <w:rFonts w:ascii="仿宋" w:hAnsi="仿宋" w:eastAsia="仿宋" w:cs="仿宋_GB2312"/>
                <w:sz w:val="21"/>
                <w:szCs w:val="21"/>
                <w:lang w:val="zh-CN"/>
              </w:rPr>
            </w:pPr>
            <w:r>
              <w:rPr>
                <w:rFonts w:hint="eastAsia" w:ascii="仿宋" w:hAnsi="仿宋" w:eastAsia="仿宋" w:cs="仿宋_GB2312"/>
                <w:sz w:val="21"/>
                <w:szCs w:val="21"/>
                <w:lang w:val="zh-CN"/>
              </w:rPr>
              <w:t>（3）具有履行合同所必需的设备和专业技术能力</w:t>
            </w:r>
          </w:p>
        </w:tc>
        <w:tc>
          <w:tcPr>
            <w:tcW w:w="5812" w:type="dxa"/>
            <w:vMerge w:val="continue"/>
            <w:vAlign w:val="center"/>
          </w:tcPr>
          <w:p>
            <w:pPr>
              <w:spacing w:line="380" w:lineRule="exact"/>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1" w:type="dxa"/>
            <w:vMerge w:val="continue"/>
            <w:vAlign w:val="center"/>
          </w:tcPr>
          <w:p>
            <w:pPr>
              <w:keepNext/>
              <w:keepLines/>
              <w:spacing w:line="380" w:lineRule="exact"/>
              <w:jc w:val="center"/>
              <w:outlineLvl w:val="2"/>
              <w:rPr>
                <w:rFonts w:ascii="仿宋" w:hAnsi="仿宋" w:eastAsia="仿宋"/>
                <w:sz w:val="21"/>
                <w:szCs w:val="21"/>
              </w:rPr>
            </w:pPr>
          </w:p>
        </w:tc>
        <w:tc>
          <w:tcPr>
            <w:tcW w:w="965" w:type="dxa"/>
            <w:vMerge w:val="continue"/>
            <w:vAlign w:val="center"/>
          </w:tcPr>
          <w:p>
            <w:pPr>
              <w:keepNext/>
              <w:keepLines/>
              <w:spacing w:line="380" w:lineRule="exact"/>
              <w:outlineLvl w:val="2"/>
              <w:rPr>
                <w:rFonts w:ascii="仿宋" w:hAnsi="仿宋" w:eastAsia="仿宋" w:cs="仿宋_GB2312"/>
                <w:sz w:val="21"/>
                <w:szCs w:val="21"/>
                <w:lang w:val="zh-CN"/>
              </w:rPr>
            </w:pPr>
          </w:p>
        </w:tc>
        <w:tc>
          <w:tcPr>
            <w:tcW w:w="2835" w:type="dxa"/>
            <w:vAlign w:val="center"/>
          </w:tcPr>
          <w:p>
            <w:pPr>
              <w:spacing w:line="380" w:lineRule="exact"/>
              <w:rPr>
                <w:rFonts w:ascii="仿宋" w:hAnsi="仿宋" w:eastAsia="仿宋" w:cs="仿宋_GB2312"/>
                <w:sz w:val="21"/>
                <w:szCs w:val="21"/>
                <w:lang w:val="zh-CN"/>
              </w:rPr>
            </w:pPr>
            <w:r>
              <w:rPr>
                <w:rFonts w:hint="eastAsia" w:ascii="仿宋" w:hAnsi="仿宋" w:eastAsia="仿宋" w:cs="仿宋_GB2312"/>
                <w:sz w:val="21"/>
                <w:szCs w:val="21"/>
                <w:lang w:val="zh-CN"/>
              </w:rPr>
              <w:t>（4）有依法缴纳税收和社会保障金的良好记录</w:t>
            </w:r>
          </w:p>
        </w:tc>
        <w:tc>
          <w:tcPr>
            <w:tcW w:w="5812" w:type="dxa"/>
            <w:vMerge w:val="continue"/>
            <w:vAlign w:val="center"/>
          </w:tcPr>
          <w:p>
            <w:pPr>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1" w:type="dxa"/>
            <w:vMerge w:val="continue"/>
            <w:vAlign w:val="center"/>
          </w:tcPr>
          <w:p>
            <w:pPr>
              <w:spacing w:line="380" w:lineRule="exact"/>
              <w:jc w:val="center"/>
              <w:rPr>
                <w:rFonts w:ascii="仿宋" w:hAnsi="仿宋" w:eastAsia="仿宋"/>
                <w:sz w:val="21"/>
                <w:szCs w:val="21"/>
              </w:rPr>
            </w:pPr>
          </w:p>
        </w:tc>
        <w:tc>
          <w:tcPr>
            <w:tcW w:w="965" w:type="dxa"/>
            <w:vMerge w:val="continue"/>
            <w:vAlign w:val="center"/>
          </w:tcPr>
          <w:p>
            <w:pPr>
              <w:spacing w:line="380" w:lineRule="exact"/>
              <w:rPr>
                <w:rFonts w:ascii="仿宋" w:hAnsi="仿宋" w:eastAsia="仿宋" w:cs="仿宋_GB2312"/>
                <w:sz w:val="21"/>
                <w:szCs w:val="21"/>
                <w:lang w:val="zh-CN"/>
              </w:rPr>
            </w:pPr>
          </w:p>
        </w:tc>
        <w:tc>
          <w:tcPr>
            <w:tcW w:w="2835" w:type="dxa"/>
            <w:vAlign w:val="center"/>
          </w:tcPr>
          <w:p>
            <w:pPr>
              <w:spacing w:line="380" w:lineRule="exact"/>
              <w:rPr>
                <w:rFonts w:ascii="仿宋" w:hAnsi="仿宋" w:eastAsia="仿宋" w:cs="仿宋_GB2312"/>
                <w:sz w:val="21"/>
                <w:szCs w:val="21"/>
                <w:lang w:val="zh-CN"/>
              </w:rPr>
            </w:pPr>
            <w:r>
              <w:rPr>
                <w:rFonts w:hint="eastAsia" w:ascii="仿宋" w:hAnsi="仿宋" w:eastAsia="仿宋"/>
                <w:sz w:val="21"/>
                <w:szCs w:val="21"/>
              </w:rPr>
              <w:t>（5）参加政府采购活动前三年内，在经营活动中没有重大违法记录（注②）</w:t>
            </w:r>
          </w:p>
        </w:tc>
        <w:tc>
          <w:tcPr>
            <w:tcW w:w="5812" w:type="dxa"/>
            <w:vMerge w:val="continue"/>
            <w:vAlign w:val="center"/>
          </w:tcPr>
          <w:p>
            <w:pPr>
              <w:spacing w:line="380" w:lineRule="exact"/>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trPr>
        <w:tc>
          <w:tcPr>
            <w:tcW w:w="561" w:type="dxa"/>
            <w:vMerge w:val="continue"/>
            <w:vAlign w:val="center"/>
          </w:tcPr>
          <w:p>
            <w:pPr>
              <w:keepNext/>
              <w:keepLines/>
              <w:spacing w:line="380" w:lineRule="exact"/>
              <w:jc w:val="center"/>
              <w:outlineLvl w:val="2"/>
              <w:rPr>
                <w:rFonts w:ascii="仿宋" w:hAnsi="仿宋" w:eastAsia="仿宋"/>
                <w:sz w:val="21"/>
                <w:szCs w:val="21"/>
              </w:rPr>
            </w:pPr>
          </w:p>
        </w:tc>
        <w:tc>
          <w:tcPr>
            <w:tcW w:w="965" w:type="dxa"/>
            <w:vMerge w:val="continue"/>
            <w:vAlign w:val="center"/>
          </w:tcPr>
          <w:p>
            <w:pPr>
              <w:keepNext/>
              <w:keepLines/>
              <w:spacing w:line="380" w:lineRule="exact"/>
              <w:outlineLvl w:val="2"/>
              <w:rPr>
                <w:rFonts w:ascii="仿宋" w:hAnsi="仿宋" w:eastAsia="仿宋" w:cs="仿宋_GB2312"/>
                <w:sz w:val="21"/>
                <w:szCs w:val="21"/>
                <w:lang w:val="zh-CN"/>
              </w:rPr>
            </w:pPr>
          </w:p>
        </w:tc>
        <w:tc>
          <w:tcPr>
            <w:tcW w:w="2835" w:type="dxa"/>
            <w:vAlign w:val="center"/>
          </w:tcPr>
          <w:p>
            <w:pPr>
              <w:rPr>
                <w:rFonts w:ascii="仿宋" w:hAnsi="仿宋" w:eastAsia="仿宋"/>
                <w:sz w:val="21"/>
                <w:szCs w:val="21"/>
              </w:rPr>
            </w:pPr>
            <w:r>
              <w:rPr>
                <w:rFonts w:hint="eastAsia" w:ascii="仿宋" w:hAnsi="仿宋" w:eastAsia="仿宋"/>
                <w:sz w:val="21"/>
                <w:szCs w:val="21"/>
              </w:rPr>
              <w:t>（6）法律、行政法规规定的其他条件</w:t>
            </w:r>
          </w:p>
        </w:tc>
        <w:tc>
          <w:tcPr>
            <w:tcW w:w="5812" w:type="dxa"/>
            <w:vAlign w:val="center"/>
          </w:tcPr>
          <w:p>
            <w:pPr>
              <w:keepNext/>
              <w:keepLines/>
              <w:outlineLvl w:val="2"/>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trPr>
        <w:tc>
          <w:tcPr>
            <w:tcW w:w="561" w:type="dxa"/>
            <w:vAlign w:val="center"/>
          </w:tcPr>
          <w:p>
            <w:pPr>
              <w:rPr>
                <w:rFonts w:ascii="仿宋" w:hAnsi="仿宋" w:eastAsia="仿宋"/>
              </w:rPr>
            </w:pPr>
            <w:r>
              <w:rPr>
                <w:rFonts w:hint="eastAsia" w:ascii="仿宋" w:hAnsi="仿宋" w:eastAsia="仿宋"/>
              </w:rPr>
              <w:t>2</w:t>
            </w:r>
          </w:p>
        </w:tc>
        <w:tc>
          <w:tcPr>
            <w:tcW w:w="3800" w:type="dxa"/>
            <w:gridSpan w:val="2"/>
            <w:vAlign w:val="center"/>
          </w:tcPr>
          <w:p>
            <w:pPr>
              <w:rPr>
                <w:rFonts w:ascii="仿宋" w:hAnsi="仿宋" w:eastAsia="仿宋"/>
                <w:sz w:val="21"/>
                <w:szCs w:val="21"/>
              </w:rPr>
            </w:pPr>
            <w:r>
              <w:rPr>
                <w:rFonts w:hint="eastAsia" w:ascii="仿宋" w:hAnsi="仿宋" w:eastAsia="仿宋"/>
                <w:sz w:val="21"/>
                <w:szCs w:val="21"/>
              </w:rPr>
              <w:t>特定资格条件</w:t>
            </w:r>
            <w:r>
              <w:rPr>
                <w:rFonts w:hint="eastAsia" w:ascii="仿宋" w:hAnsi="仿宋" w:eastAsia="仿宋"/>
                <w:color w:val="auto"/>
                <w:sz w:val="21"/>
                <w:szCs w:val="21"/>
                <w:lang w:eastAsia="zh-CN"/>
              </w:rPr>
              <w:t>，不能</w:t>
            </w:r>
            <w:r>
              <w:rPr>
                <w:rFonts w:hint="eastAsia" w:ascii="仿宋" w:hAnsi="仿宋" w:eastAsia="仿宋"/>
                <w:color w:val="auto"/>
                <w:sz w:val="21"/>
                <w:szCs w:val="21"/>
                <w:lang w:val="en-US" w:eastAsia="zh-CN"/>
              </w:rPr>
              <w:t>有正在</w:t>
            </w:r>
            <w:r>
              <w:rPr>
                <w:rFonts w:hint="eastAsia" w:ascii="仿宋" w:hAnsi="仿宋" w:eastAsia="仿宋"/>
                <w:color w:val="auto"/>
                <w:sz w:val="21"/>
                <w:szCs w:val="21"/>
                <w:lang w:eastAsia="zh-CN"/>
              </w:rPr>
              <w:t>被执行</w:t>
            </w:r>
            <w:r>
              <w:rPr>
                <w:rFonts w:hint="eastAsia" w:ascii="仿宋" w:hAnsi="仿宋" w:eastAsia="仿宋"/>
                <w:color w:val="auto"/>
                <w:sz w:val="21"/>
                <w:szCs w:val="21"/>
                <w:lang w:val="en-US" w:eastAsia="zh-CN"/>
              </w:rPr>
              <w:t>案件或正在审理的民事案件被告或行政处罚、刑事侦查对象。</w:t>
            </w:r>
          </w:p>
        </w:tc>
        <w:tc>
          <w:tcPr>
            <w:tcW w:w="5812" w:type="dxa"/>
            <w:vAlign w:val="center"/>
          </w:tcPr>
          <w:p>
            <w:pPr>
              <w:rPr>
                <w:rFonts w:ascii="仿宋" w:hAnsi="仿宋" w:eastAsia="仿宋"/>
                <w:sz w:val="21"/>
                <w:szCs w:val="21"/>
              </w:rPr>
            </w:pPr>
            <w:r>
              <w:rPr>
                <w:rFonts w:hint="eastAsia" w:ascii="仿宋" w:hAnsi="仿宋" w:eastAsia="仿宋"/>
                <w:sz w:val="21"/>
                <w:szCs w:val="21"/>
              </w:rPr>
              <w:t>按第一篇“</w:t>
            </w:r>
            <w:r>
              <w:rPr>
                <w:rFonts w:ascii="仿宋" w:hAnsi="仿宋" w:eastAsia="仿宋"/>
                <w:sz w:val="21"/>
                <w:szCs w:val="21"/>
              </w:rPr>
              <w:t>三、资格要求</w:t>
            </w:r>
            <w:r>
              <w:rPr>
                <w:rFonts w:hint="eastAsia" w:ascii="仿宋" w:hAnsi="仿宋" w:eastAsia="仿宋"/>
                <w:sz w:val="21"/>
                <w:szCs w:val="21"/>
              </w:rPr>
              <w:t>（二）特定资格条件”的要求提交。</w:t>
            </w:r>
          </w:p>
        </w:tc>
      </w:tr>
    </w:tbl>
    <w:p>
      <w:pPr>
        <w:snapToGrid w:val="0"/>
        <w:spacing w:line="380" w:lineRule="exact"/>
        <w:rPr>
          <w:rFonts w:ascii="仿宋" w:hAnsi="仿宋" w:eastAsia="仿宋"/>
        </w:rPr>
      </w:pPr>
      <w:r>
        <w:rPr>
          <w:rFonts w:hint="eastAsia" w:ascii="仿宋" w:hAnsi="仿宋" w:eastAsia="仿宋"/>
        </w:rPr>
        <w:t>注：</w:t>
      </w:r>
    </w:p>
    <w:p>
      <w:pPr>
        <w:snapToGrid w:val="0"/>
        <w:spacing w:line="360" w:lineRule="auto"/>
        <w:ind w:firstLine="480" w:firstLineChars="200"/>
        <w:rPr>
          <w:rFonts w:ascii="仿宋" w:hAnsi="仿宋" w:eastAsia="仿宋"/>
        </w:rPr>
      </w:pPr>
      <w:r>
        <w:rPr>
          <w:rFonts w:hint="eastAsia" w:ascii="仿宋" w:hAnsi="仿宋" w:eastAsia="仿宋"/>
        </w:rPr>
        <w:sym w:font="Wingdings" w:char="F081"/>
      </w:r>
      <w:r>
        <w:rPr>
          <w:rFonts w:hint="eastAsia" w:ascii="仿宋" w:hAnsi="仿宋" w:eastAsia="仿宋"/>
        </w:rPr>
        <w:t>供应商按“五证合一”登记制度办理营业执照的，组织机构代码证、税务登记证（副本）和社会保险登记证以供应商所提供的营业执照（副本）复印件为准。</w:t>
      </w:r>
    </w:p>
    <w:p>
      <w:pPr>
        <w:snapToGrid w:val="0"/>
        <w:spacing w:line="360" w:lineRule="auto"/>
        <w:ind w:firstLine="480" w:firstLineChars="200"/>
        <w:rPr>
          <w:rFonts w:ascii="仿宋" w:hAnsi="仿宋" w:eastAsia="仿宋"/>
        </w:rPr>
      </w:pPr>
      <w:r>
        <w:rPr>
          <w:rFonts w:hint="eastAsia" w:ascii="仿宋" w:hAnsi="仿宋" w:eastAsia="仿宋"/>
        </w:rPr>
        <w:sym w:font="Wingdings" w:char="F082"/>
      </w:r>
      <w:r>
        <w:rPr>
          <w:rFonts w:hint="eastAsia" w:ascii="仿宋" w:hAnsi="仿宋" w:eastAsia="仿宋"/>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由被执行人所在的省、自治区、直辖市人民政府制定，国务院有关部门规定了较大数额标准的，从其规定。</w:t>
      </w:r>
    </w:p>
    <w:p>
      <w:pPr>
        <w:snapToGrid w:val="0"/>
        <w:spacing w:line="360" w:lineRule="auto"/>
        <w:ind w:firstLine="480" w:firstLineChars="200"/>
        <w:rPr>
          <w:rFonts w:ascii="仿宋" w:hAnsi="仿宋" w:eastAsia="仿宋"/>
        </w:rPr>
      </w:pPr>
      <w:r>
        <w:rPr>
          <w:rFonts w:hint="eastAsia" w:ascii="仿宋" w:hAnsi="仿宋" w:eastAsia="仿宋"/>
        </w:rPr>
        <w:t>③根据重庆市财政局文件 渝财规〔</w:t>
      </w:r>
      <w:r>
        <w:rPr>
          <w:rFonts w:ascii="仿宋" w:hAnsi="仿宋" w:eastAsia="仿宋"/>
        </w:rPr>
        <w:t>2022〕4号</w:t>
      </w:r>
      <w:r>
        <w:rPr>
          <w:rFonts w:hint="eastAsia" w:ascii="仿宋" w:hAnsi="仿宋" w:eastAsia="仿宋"/>
        </w:rPr>
        <w:t>重庆市财政局关于实施政府采购供应商</w:t>
      </w:r>
      <w:r>
        <w:rPr>
          <w:rFonts w:ascii="仿宋" w:hAnsi="仿宋" w:eastAsia="仿宋"/>
        </w:rPr>
        <w:t>基本资格条件承诺制的通知</w:t>
      </w:r>
      <w:r>
        <w:rPr>
          <w:rFonts w:hint="eastAsia" w:ascii="仿宋" w:hAnsi="仿宋" w:eastAsia="仿宋"/>
        </w:rPr>
        <w:t>：供应商只</w:t>
      </w:r>
      <w:r>
        <w:rPr>
          <w:rFonts w:ascii="仿宋" w:hAnsi="仿宋" w:eastAsia="仿宋"/>
        </w:rPr>
        <w:t xml:space="preserve">需以书面形式提供规定格式的《基本资格条件承诺函》，即可替代以下材料： </w:t>
      </w:r>
    </w:p>
    <w:p>
      <w:pPr>
        <w:snapToGrid w:val="0"/>
        <w:spacing w:line="360" w:lineRule="auto"/>
        <w:ind w:firstLine="480" w:firstLineChars="200"/>
        <w:rPr>
          <w:rFonts w:ascii="仿宋" w:hAnsi="仿宋" w:eastAsia="仿宋"/>
        </w:rPr>
      </w:pPr>
      <w:r>
        <w:rPr>
          <w:rFonts w:ascii="仿宋" w:hAnsi="仿宋" w:eastAsia="仿宋"/>
        </w:rPr>
        <w:t>1</w:t>
      </w:r>
      <w:r>
        <w:rPr>
          <w:rFonts w:hint="eastAsia" w:ascii="仿宋" w:hAnsi="仿宋" w:eastAsia="仿宋"/>
        </w:rPr>
        <w:t>、财务状况报告（表）或其基本开户银行出具的资信证明材料；</w:t>
      </w:r>
    </w:p>
    <w:p>
      <w:pPr>
        <w:snapToGrid w:val="0"/>
        <w:spacing w:line="360" w:lineRule="auto"/>
        <w:ind w:firstLine="480" w:firstLineChars="200"/>
        <w:rPr>
          <w:rFonts w:ascii="仿宋" w:hAnsi="仿宋" w:eastAsia="仿宋"/>
        </w:rPr>
      </w:pPr>
      <w:r>
        <w:rPr>
          <w:rFonts w:hint="eastAsia" w:ascii="仿宋" w:hAnsi="仿宋" w:eastAsia="仿宋"/>
        </w:rPr>
        <w:t>2、依法缴纳税收的证明材料；</w:t>
      </w:r>
    </w:p>
    <w:p>
      <w:pPr>
        <w:snapToGrid w:val="0"/>
        <w:spacing w:line="360" w:lineRule="auto"/>
        <w:ind w:firstLine="480" w:firstLineChars="200"/>
        <w:rPr>
          <w:rFonts w:ascii="仿宋" w:hAnsi="仿宋" w:eastAsia="仿宋"/>
        </w:rPr>
      </w:pPr>
      <w:r>
        <w:rPr>
          <w:rFonts w:hint="eastAsia" w:ascii="仿宋" w:hAnsi="仿宋" w:eastAsia="仿宋"/>
        </w:rPr>
        <w:t>3、缴纳社会保障金的证明材料；</w:t>
      </w:r>
    </w:p>
    <w:p>
      <w:pPr>
        <w:snapToGrid w:val="0"/>
        <w:spacing w:line="360" w:lineRule="auto"/>
        <w:ind w:firstLine="480" w:firstLineChars="200"/>
        <w:rPr>
          <w:rFonts w:ascii="仿宋" w:hAnsi="仿宋" w:eastAsia="仿宋"/>
        </w:rPr>
      </w:pPr>
      <w:r>
        <w:rPr>
          <w:rFonts w:hint="eastAsia" w:ascii="仿宋" w:hAnsi="仿宋" w:eastAsia="仿宋"/>
        </w:rPr>
        <w:t>4、具有履行合同所必需的设备和专业技术能力的证明材料；</w:t>
      </w:r>
    </w:p>
    <w:p>
      <w:pPr>
        <w:snapToGrid w:val="0"/>
        <w:spacing w:line="360" w:lineRule="auto"/>
        <w:ind w:firstLine="480" w:firstLineChars="200"/>
        <w:rPr>
          <w:rFonts w:ascii="仿宋" w:hAnsi="仿宋" w:eastAsia="仿宋"/>
        </w:rPr>
      </w:pPr>
      <w:r>
        <w:rPr>
          <w:rFonts w:hint="eastAsia" w:ascii="仿宋" w:hAnsi="仿宋" w:eastAsia="仿宋"/>
        </w:rPr>
        <w:t>5、参加政府采购活动前三年内，在经营活动中没有重大违法记录的证明材料；</w:t>
      </w:r>
    </w:p>
    <w:p>
      <w:pPr>
        <w:snapToGrid w:val="0"/>
        <w:spacing w:line="360" w:lineRule="auto"/>
        <w:ind w:firstLine="480" w:firstLineChars="200"/>
        <w:rPr>
          <w:rFonts w:ascii="仿宋" w:hAnsi="仿宋" w:eastAsia="仿宋"/>
        </w:rPr>
      </w:pPr>
      <w:r>
        <w:rPr>
          <w:rFonts w:hint="eastAsia" w:ascii="仿宋" w:hAnsi="仿宋" w:eastAsia="仿宋"/>
        </w:rPr>
        <w:t>6、未被列入失信被执行人、重大税收违法案件当事人名单及政府采购严重违法失信行为记录名单的证明材料。</w:t>
      </w:r>
    </w:p>
    <w:p>
      <w:pPr>
        <w:snapToGrid w:val="0"/>
        <w:spacing w:line="360" w:lineRule="auto"/>
        <w:ind w:firstLine="480" w:firstLineChars="200"/>
        <w:rPr>
          <w:rFonts w:ascii="仿宋" w:hAnsi="仿宋" w:eastAsia="仿宋"/>
        </w:rPr>
      </w:pPr>
      <w:r>
        <w:rPr>
          <w:rFonts w:hint="eastAsia" w:ascii="仿宋" w:hAnsi="仿宋" w:eastAsia="仿宋"/>
        </w:rPr>
        <w:t>符合性检查。依据竞采文件的规定，从响应文件的有效性、完整性和对竞采文件的响应程度进行审查，以确定是否对竞采文件的实质性要求作出响应。符合性检查资料表如下：</w:t>
      </w:r>
    </w:p>
    <w:tbl>
      <w:tblPr>
        <w:tblStyle w:val="13"/>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455"/>
        <w:gridCol w:w="1905"/>
        <w:gridCol w:w="60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1" w:hRule="atLeast"/>
        </w:trPr>
        <w:tc>
          <w:tcPr>
            <w:tcW w:w="486"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仿宋" w:hAnsi="仿宋" w:eastAsia="仿宋"/>
                <w:b/>
                <w:sz w:val="21"/>
                <w:szCs w:val="21"/>
              </w:rPr>
            </w:pPr>
            <w:r>
              <w:rPr>
                <w:rFonts w:hint="eastAsia" w:ascii="仿宋" w:hAnsi="仿宋" w:eastAsia="仿宋"/>
                <w:b/>
                <w:sz w:val="21"/>
                <w:szCs w:val="21"/>
              </w:rPr>
              <w:t>序号</w:t>
            </w:r>
          </w:p>
        </w:tc>
        <w:tc>
          <w:tcPr>
            <w:tcW w:w="3360" w:type="dxa"/>
            <w:gridSpan w:val="2"/>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仿宋" w:hAnsi="仿宋" w:eastAsia="仿宋"/>
                <w:b/>
                <w:sz w:val="21"/>
                <w:szCs w:val="21"/>
              </w:rPr>
            </w:pPr>
            <w:r>
              <w:rPr>
                <w:rFonts w:hint="eastAsia" w:ascii="仿宋" w:hAnsi="仿宋" w:eastAsia="仿宋"/>
                <w:b/>
                <w:sz w:val="21"/>
                <w:szCs w:val="21"/>
              </w:rPr>
              <w:t>评审因素</w:t>
            </w:r>
          </w:p>
        </w:tc>
        <w:tc>
          <w:tcPr>
            <w:tcW w:w="6043"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仿宋" w:hAnsi="仿宋" w:eastAsia="仿宋"/>
                <w:b/>
                <w:sz w:val="21"/>
                <w:szCs w:val="21"/>
              </w:rPr>
            </w:pPr>
            <w:r>
              <w:rPr>
                <w:rFonts w:hint="eastAsia" w:ascii="仿宋" w:hAnsi="仿宋" w:eastAsia="仿宋"/>
                <w:b/>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486" w:type="dxa"/>
            <w:vMerge w:val="restart"/>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仿宋" w:hAnsi="仿宋" w:eastAsia="仿宋"/>
                <w:sz w:val="21"/>
                <w:szCs w:val="21"/>
              </w:rPr>
            </w:pPr>
            <w:r>
              <w:rPr>
                <w:rFonts w:hint="eastAsia" w:ascii="仿宋" w:hAnsi="仿宋" w:eastAsia="仿宋"/>
                <w:sz w:val="21"/>
                <w:szCs w:val="21"/>
              </w:rPr>
              <w:t>1</w:t>
            </w:r>
          </w:p>
        </w:tc>
        <w:tc>
          <w:tcPr>
            <w:tcW w:w="1455" w:type="dxa"/>
            <w:vMerge w:val="restart"/>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有效性审查</w:t>
            </w:r>
          </w:p>
        </w:tc>
        <w:tc>
          <w:tcPr>
            <w:tcW w:w="19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响应文件签署</w:t>
            </w:r>
          </w:p>
        </w:tc>
        <w:tc>
          <w:tcPr>
            <w:tcW w:w="6043"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响应文件上法定代表人或其授权代表人的签字齐全。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86" w:type="dxa"/>
            <w:vMerge w:val="continue"/>
            <w:tcBorders>
              <w:top w:val="single" w:color="auto" w:sz="4" w:space="0"/>
              <w:left w:val="single" w:color="auto" w:sz="4" w:space="0"/>
              <w:bottom w:val="single" w:color="auto" w:sz="4" w:space="0"/>
              <w:right w:val="single" w:color="auto" w:sz="4" w:space="0"/>
            </w:tcBorders>
            <w:vAlign w:val="center"/>
          </w:tcPr>
          <w:p>
            <w:pPr>
              <w:keepNext/>
              <w:keepLines/>
              <w:spacing w:line="380" w:lineRule="exact"/>
              <w:outlineLvl w:val="2"/>
              <w:rPr>
                <w:rFonts w:ascii="仿宋" w:hAnsi="仿宋" w:eastAsia="仿宋"/>
                <w:sz w:val="21"/>
                <w:szCs w:val="21"/>
              </w:rPr>
            </w:pPr>
          </w:p>
        </w:tc>
        <w:tc>
          <w:tcPr>
            <w:tcW w:w="1455" w:type="dxa"/>
            <w:vMerge w:val="continue"/>
            <w:tcBorders>
              <w:top w:val="single" w:color="auto" w:sz="4" w:space="0"/>
              <w:left w:val="single" w:color="auto" w:sz="4" w:space="0"/>
              <w:bottom w:val="single" w:color="auto" w:sz="4" w:space="0"/>
              <w:right w:val="single" w:color="auto" w:sz="4" w:space="0"/>
            </w:tcBorders>
            <w:vAlign w:val="center"/>
          </w:tcPr>
          <w:p>
            <w:pPr>
              <w:keepNext/>
              <w:keepLines/>
              <w:spacing w:line="380" w:lineRule="exact"/>
              <w:outlineLvl w:val="2"/>
              <w:rPr>
                <w:rFonts w:ascii="仿宋" w:hAnsi="仿宋" w:eastAsia="仿宋"/>
                <w:sz w:val="21"/>
                <w:szCs w:val="21"/>
              </w:rPr>
            </w:pPr>
          </w:p>
        </w:tc>
        <w:tc>
          <w:tcPr>
            <w:tcW w:w="19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法定代表人身份证明及授权委托书</w:t>
            </w:r>
          </w:p>
        </w:tc>
        <w:tc>
          <w:tcPr>
            <w:tcW w:w="6043"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法定代表人身份证明及授权委托书有效，符合竞采文件规定的格式，签字或盖章齐全。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86" w:type="dxa"/>
            <w:vMerge w:val="continue"/>
            <w:tcBorders>
              <w:top w:val="single" w:color="auto" w:sz="4" w:space="0"/>
              <w:left w:val="single" w:color="auto" w:sz="4" w:space="0"/>
              <w:bottom w:val="single" w:color="auto" w:sz="4" w:space="0"/>
              <w:right w:val="single" w:color="auto" w:sz="4" w:space="0"/>
            </w:tcBorders>
            <w:vAlign w:val="center"/>
          </w:tcPr>
          <w:p>
            <w:pPr>
              <w:keepNext/>
              <w:keepLines/>
              <w:spacing w:line="380" w:lineRule="exact"/>
              <w:outlineLvl w:val="2"/>
              <w:rPr>
                <w:rFonts w:ascii="仿宋" w:hAnsi="仿宋" w:eastAsia="仿宋"/>
                <w:sz w:val="21"/>
                <w:szCs w:val="21"/>
              </w:rPr>
            </w:pPr>
          </w:p>
        </w:tc>
        <w:tc>
          <w:tcPr>
            <w:tcW w:w="1455" w:type="dxa"/>
            <w:vMerge w:val="continue"/>
            <w:tcBorders>
              <w:top w:val="single" w:color="auto" w:sz="4" w:space="0"/>
              <w:left w:val="single" w:color="auto" w:sz="4" w:space="0"/>
              <w:bottom w:val="single" w:color="auto" w:sz="4" w:space="0"/>
              <w:right w:val="single" w:color="auto" w:sz="4" w:space="0"/>
            </w:tcBorders>
            <w:vAlign w:val="center"/>
          </w:tcPr>
          <w:p>
            <w:pPr>
              <w:keepNext/>
              <w:keepLines/>
              <w:spacing w:line="380" w:lineRule="exact"/>
              <w:outlineLvl w:val="2"/>
              <w:rPr>
                <w:rFonts w:ascii="仿宋" w:hAnsi="仿宋" w:eastAsia="仿宋"/>
                <w:sz w:val="21"/>
                <w:szCs w:val="21"/>
              </w:rPr>
            </w:pPr>
          </w:p>
        </w:tc>
        <w:tc>
          <w:tcPr>
            <w:tcW w:w="19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cs="仿宋_GB2312"/>
                <w:sz w:val="21"/>
                <w:szCs w:val="21"/>
                <w:lang w:val="zh-CN"/>
              </w:rPr>
            </w:pPr>
            <w:r>
              <w:rPr>
                <w:rFonts w:hint="eastAsia" w:ascii="仿宋" w:hAnsi="仿宋" w:eastAsia="仿宋" w:cs="仿宋_GB2312"/>
                <w:sz w:val="21"/>
                <w:szCs w:val="21"/>
              </w:rPr>
              <w:t>响应</w:t>
            </w:r>
            <w:r>
              <w:rPr>
                <w:rFonts w:hint="eastAsia" w:ascii="仿宋" w:hAnsi="仿宋" w:eastAsia="仿宋" w:cs="仿宋_GB2312"/>
                <w:sz w:val="21"/>
                <w:szCs w:val="21"/>
                <w:lang w:val="zh-CN"/>
              </w:rPr>
              <w:t>方案</w:t>
            </w:r>
          </w:p>
        </w:tc>
        <w:tc>
          <w:tcPr>
            <w:tcW w:w="6043"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cs="仿宋_GB2312"/>
                <w:sz w:val="21"/>
                <w:szCs w:val="21"/>
                <w:lang w:val="zh-CN"/>
              </w:rPr>
              <w:t>每个分包只能有一个</w:t>
            </w:r>
            <w:r>
              <w:rPr>
                <w:rFonts w:hint="eastAsia" w:ascii="仿宋" w:hAnsi="仿宋" w:eastAsia="仿宋" w:cs="仿宋_GB2312"/>
                <w:sz w:val="21"/>
                <w:szCs w:val="21"/>
              </w:rPr>
              <w:t>响应</w:t>
            </w:r>
            <w:r>
              <w:rPr>
                <w:rFonts w:hint="eastAsia" w:ascii="仿宋" w:hAnsi="仿宋" w:eastAsia="仿宋" w:cs="仿宋_GB2312"/>
                <w:sz w:val="21"/>
                <w:szCs w:val="21"/>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86" w:type="dxa"/>
            <w:vMerge w:val="continue"/>
            <w:tcBorders>
              <w:top w:val="single" w:color="auto" w:sz="4" w:space="0"/>
              <w:left w:val="single" w:color="auto" w:sz="4" w:space="0"/>
              <w:bottom w:val="single" w:color="auto" w:sz="4" w:space="0"/>
              <w:right w:val="single" w:color="auto" w:sz="4" w:space="0"/>
            </w:tcBorders>
            <w:vAlign w:val="center"/>
          </w:tcPr>
          <w:p>
            <w:pPr>
              <w:keepNext/>
              <w:keepLines/>
              <w:spacing w:line="380" w:lineRule="exact"/>
              <w:outlineLvl w:val="2"/>
              <w:rPr>
                <w:rFonts w:ascii="仿宋" w:hAnsi="仿宋" w:eastAsia="仿宋"/>
                <w:sz w:val="21"/>
                <w:szCs w:val="21"/>
              </w:rPr>
            </w:pPr>
          </w:p>
        </w:tc>
        <w:tc>
          <w:tcPr>
            <w:tcW w:w="1455" w:type="dxa"/>
            <w:vMerge w:val="continue"/>
            <w:tcBorders>
              <w:top w:val="single" w:color="auto" w:sz="4" w:space="0"/>
              <w:left w:val="single" w:color="auto" w:sz="4" w:space="0"/>
              <w:bottom w:val="single" w:color="auto" w:sz="4" w:space="0"/>
              <w:right w:val="single" w:color="auto" w:sz="4" w:space="0"/>
            </w:tcBorders>
            <w:vAlign w:val="center"/>
          </w:tcPr>
          <w:p>
            <w:pPr>
              <w:keepNext/>
              <w:keepLines/>
              <w:spacing w:line="380" w:lineRule="exact"/>
              <w:outlineLvl w:val="2"/>
              <w:rPr>
                <w:rFonts w:ascii="仿宋" w:hAnsi="仿宋" w:eastAsia="仿宋"/>
                <w:sz w:val="21"/>
                <w:szCs w:val="21"/>
              </w:rPr>
            </w:pPr>
          </w:p>
        </w:tc>
        <w:tc>
          <w:tcPr>
            <w:tcW w:w="19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cs="仿宋_GB2312"/>
                <w:sz w:val="21"/>
                <w:szCs w:val="21"/>
                <w:lang w:val="zh-CN"/>
              </w:rPr>
            </w:pPr>
            <w:r>
              <w:rPr>
                <w:rFonts w:hint="eastAsia" w:ascii="仿宋" w:hAnsi="仿宋" w:eastAsia="仿宋"/>
                <w:sz w:val="21"/>
                <w:szCs w:val="21"/>
              </w:rPr>
              <w:t>报价唯一</w:t>
            </w:r>
          </w:p>
        </w:tc>
        <w:tc>
          <w:tcPr>
            <w:tcW w:w="6043"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0" w:hRule="atLeast"/>
        </w:trPr>
        <w:tc>
          <w:tcPr>
            <w:tcW w:w="486"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仿宋" w:hAnsi="仿宋" w:eastAsia="仿宋"/>
                <w:sz w:val="21"/>
                <w:szCs w:val="21"/>
              </w:rPr>
            </w:pPr>
            <w:r>
              <w:rPr>
                <w:rFonts w:hint="eastAsia" w:ascii="仿宋" w:hAnsi="仿宋" w:eastAsia="仿宋"/>
                <w:sz w:val="21"/>
                <w:szCs w:val="21"/>
              </w:rPr>
              <w:t>2</w:t>
            </w:r>
          </w:p>
        </w:tc>
        <w:tc>
          <w:tcPr>
            <w:tcW w:w="145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完整性审查</w:t>
            </w:r>
          </w:p>
        </w:tc>
        <w:tc>
          <w:tcPr>
            <w:tcW w:w="19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cs="仿宋_GB2312"/>
                <w:sz w:val="21"/>
                <w:szCs w:val="21"/>
              </w:rPr>
              <w:t>响应</w:t>
            </w:r>
            <w:r>
              <w:rPr>
                <w:rFonts w:hint="eastAsia" w:ascii="仿宋" w:hAnsi="仿宋" w:eastAsia="仿宋" w:cs="仿宋_GB2312"/>
                <w:sz w:val="21"/>
                <w:szCs w:val="21"/>
                <w:lang w:val="zh-CN"/>
              </w:rPr>
              <w:t>文件份数</w:t>
            </w:r>
          </w:p>
        </w:tc>
        <w:tc>
          <w:tcPr>
            <w:tcW w:w="6043"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cs="仿宋_GB2312"/>
                <w:sz w:val="21"/>
                <w:szCs w:val="21"/>
                <w:lang w:val="zh-CN"/>
              </w:rPr>
              <w:t>响应文件正、副本数量符合投标文件要求。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 w:hRule="atLeast"/>
        </w:trPr>
        <w:tc>
          <w:tcPr>
            <w:tcW w:w="486" w:type="dxa"/>
            <w:vMerge w:val="restart"/>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仿宋" w:hAnsi="仿宋" w:eastAsia="仿宋"/>
                <w:sz w:val="21"/>
                <w:szCs w:val="21"/>
              </w:rPr>
            </w:pPr>
            <w:r>
              <w:rPr>
                <w:rFonts w:hint="eastAsia" w:ascii="仿宋" w:hAnsi="仿宋" w:eastAsia="仿宋"/>
                <w:sz w:val="21"/>
                <w:szCs w:val="21"/>
              </w:rPr>
              <w:t>3</w:t>
            </w:r>
          </w:p>
        </w:tc>
        <w:tc>
          <w:tcPr>
            <w:tcW w:w="1455" w:type="dxa"/>
            <w:vMerge w:val="restart"/>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cs="仿宋_GB2312"/>
                <w:sz w:val="21"/>
                <w:szCs w:val="21"/>
                <w:lang w:val="zh-CN"/>
              </w:rPr>
            </w:pPr>
            <w:r>
              <w:rPr>
                <w:rFonts w:hint="eastAsia" w:ascii="仿宋" w:hAnsi="仿宋" w:eastAsia="仿宋"/>
                <w:sz w:val="21"/>
                <w:szCs w:val="21"/>
              </w:rPr>
              <w:t>竞采文件的响应程度审查</w:t>
            </w:r>
          </w:p>
        </w:tc>
        <w:tc>
          <w:tcPr>
            <w:tcW w:w="19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响应文件内容</w:t>
            </w:r>
          </w:p>
        </w:tc>
        <w:tc>
          <w:tcPr>
            <w:tcW w:w="6043" w:type="dxa"/>
            <w:tcBorders>
              <w:top w:val="single" w:color="auto" w:sz="4" w:space="0"/>
              <w:left w:val="single" w:color="auto" w:sz="4" w:space="0"/>
              <w:bottom w:val="single" w:color="auto" w:sz="4" w:space="0"/>
              <w:right w:val="single" w:color="auto" w:sz="4" w:space="0"/>
            </w:tcBorders>
            <w:vAlign w:val="center"/>
          </w:tcPr>
          <w:p>
            <w:pPr>
              <w:pStyle w:val="8"/>
              <w:widowControl w:val="0"/>
              <w:spacing w:line="380" w:lineRule="exact"/>
              <w:jc w:val="both"/>
              <w:rPr>
                <w:rFonts w:ascii="仿宋" w:hAnsi="仿宋" w:eastAsia="仿宋" w:cs="宋体"/>
                <w:kern w:val="2"/>
                <w:sz w:val="21"/>
                <w:szCs w:val="21"/>
              </w:rPr>
            </w:pPr>
            <w:r>
              <w:rPr>
                <w:rFonts w:hint="eastAsia" w:ascii="仿宋" w:hAnsi="仿宋" w:eastAsia="仿宋" w:cs="宋体"/>
                <w:kern w:val="2"/>
                <w:sz w:val="21"/>
                <w:szCs w:val="21"/>
              </w:rPr>
              <w:t>对竞采文件第三篇、第四篇带</w:t>
            </w:r>
            <w:r>
              <w:rPr>
                <w:rFonts w:hint="eastAsia" w:ascii="仿宋" w:hAnsi="仿宋" w:eastAsia="仿宋"/>
                <w:szCs w:val="18"/>
              </w:rPr>
              <w:t>※</w:t>
            </w:r>
            <w:r>
              <w:rPr>
                <w:rFonts w:hint="eastAsia" w:ascii="仿宋" w:hAnsi="仿宋" w:eastAsia="仿宋" w:cs="宋体"/>
                <w:kern w:val="2"/>
                <w:sz w:val="21"/>
                <w:szCs w:val="21"/>
              </w:rPr>
              <w:t>的采购内容作出响应。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86" w:type="dxa"/>
            <w:vMerge w:val="continue"/>
            <w:tcBorders>
              <w:top w:val="single" w:color="auto" w:sz="4" w:space="0"/>
              <w:left w:val="single" w:color="auto" w:sz="4" w:space="0"/>
              <w:bottom w:val="single" w:color="auto" w:sz="4" w:space="0"/>
              <w:right w:val="single" w:color="auto" w:sz="4" w:space="0"/>
            </w:tcBorders>
            <w:vAlign w:val="center"/>
          </w:tcPr>
          <w:p>
            <w:pPr>
              <w:keepNext/>
              <w:keepLines/>
              <w:spacing w:line="380" w:lineRule="exact"/>
              <w:outlineLvl w:val="2"/>
              <w:rPr>
                <w:rFonts w:ascii="仿宋" w:hAnsi="仿宋" w:eastAsia="仿宋"/>
                <w:sz w:val="21"/>
                <w:szCs w:val="21"/>
              </w:rPr>
            </w:pPr>
          </w:p>
        </w:tc>
        <w:tc>
          <w:tcPr>
            <w:tcW w:w="1455" w:type="dxa"/>
            <w:vMerge w:val="continue"/>
            <w:tcBorders>
              <w:top w:val="single" w:color="auto" w:sz="4" w:space="0"/>
              <w:left w:val="single" w:color="auto" w:sz="4" w:space="0"/>
              <w:bottom w:val="single" w:color="auto" w:sz="4" w:space="0"/>
              <w:right w:val="single" w:color="auto" w:sz="4" w:space="0"/>
            </w:tcBorders>
            <w:vAlign w:val="center"/>
          </w:tcPr>
          <w:p>
            <w:pPr>
              <w:keepNext/>
              <w:keepLines/>
              <w:spacing w:line="380" w:lineRule="exact"/>
              <w:outlineLvl w:val="2"/>
              <w:rPr>
                <w:rFonts w:ascii="仿宋" w:hAnsi="仿宋" w:eastAsia="仿宋" w:cs="仿宋_GB2312"/>
                <w:sz w:val="21"/>
                <w:szCs w:val="21"/>
                <w:lang w:val="zh-CN"/>
              </w:rPr>
            </w:pPr>
          </w:p>
        </w:tc>
        <w:tc>
          <w:tcPr>
            <w:tcW w:w="190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竞采有效期</w:t>
            </w:r>
          </w:p>
        </w:tc>
        <w:tc>
          <w:tcPr>
            <w:tcW w:w="6043"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仿宋" w:hAnsi="仿宋" w:eastAsia="仿宋"/>
                <w:sz w:val="21"/>
                <w:szCs w:val="21"/>
              </w:rPr>
            </w:pPr>
            <w:r>
              <w:rPr>
                <w:rFonts w:hint="eastAsia" w:ascii="仿宋" w:hAnsi="仿宋" w:eastAsia="仿宋"/>
                <w:sz w:val="21"/>
                <w:szCs w:val="21"/>
              </w:rPr>
              <w:t>满足竞采文件</w:t>
            </w:r>
            <w:r>
              <w:rPr>
                <w:rFonts w:hint="eastAsia" w:ascii="仿宋" w:hAnsi="仿宋" w:eastAsia="仿宋" w:cs="仿宋_GB2312"/>
                <w:sz w:val="21"/>
                <w:szCs w:val="21"/>
                <w:lang w:val="zh-CN"/>
              </w:rPr>
              <w:t>规定。</w:t>
            </w:r>
          </w:p>
        </w:tc>
      </w:tr>
    </w:tbl>
    <w:p>
      <w:pPr>
        <w:snapToGrid w:val="0"/>
        <w:spacing w:line="360" w:lineRule="auto"/>
        <w:ind w:firstLine="480" w:firstLineChars="200"/>
        <w:rPr>
          <w:rFonts w:ascii="仿宋" w:hAnsi="仿宋" w:eastAsia="仿宋" w:cs="仿宋_GB2312"/>
        </w:rPr>
      </w:pPr>
      <w:r>
        <w:rPr>
          <w:rFonts w:hint="eastAsia" w:ascii="仿宋" w:hAnsi="仿宋" w:eastAsia="仿宋" w:cs="仿宋_GB2312"/>
        </w:rPr>
        <w:t>（1）竞采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竞采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（3）在竞采过程中竞采的任何一方不得向他人透露与竞采有关的技术资料、价格或其他信息。</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（4）竞采小组采用</w:t>
      </w:r>
      <w:r>
        <w:rPr>
          <w:rFonts w:hint="eastAsia" w:ascii="仿宋" w:hAnsi="仿宋" w:eastAsia="仿宋" w:cs="仿宋_GB2312"/>
          <w:b/>
          <w:bCs/>
        </w:rPr>
        <w:t>综合评分法</w:t>
      </w:r>
      <w:r>
        <w:rPr>
          <w:rFonts w:hint="eastAsia" w:ascii="仿宋" w:hAnsi="仿宋" w:eastAsia="仿宋" w:cs="仿宋_GB2312"/>
        </w:rPr>
        <w:t>对供应商的响应文件和报价进行综合评分。综合评分法，是指响应文件满足竞采文件全部实质性要求且按照评审因素的量化指标评审得分最高的供应商为成交候选供应商的评审方法。供应商总得分为价格、技术、商务等评定因素分别按照相应权重值计算分项得分后相加，满分为100分。</w:t>
      </w:r>
    </w:p>
    <w:p>
      <w:pPr>
        <w:snapToGrid w:val="0"/>
        <w:spacing w:line="360" w:lineRule="auto"/>
        <w:ind w:firstLine="480" w:firstLineChars="200"/>
        <w:rPr>
          <w:rFonts w:ascii="仿宋" w:hAnsi="仿宋" w:eastAsia="仿宋"/>
        </w:rPr>
      </w:pPr>
      <w:r>
        <w:rPr>
          <w:rFonts w:hint="eastAsia" w:ascii="仿宋" w:hAnsi="仿宋" w:eastAsia="仿宋" w:cs="仿宋_GB2312"/>
        </w:rPr>
        <w:t>（5）竞采小组各成员独立对每个有效响应（通过资格性检查、符合性检查的供应商）的文件进行评价、打分，然后汇总每个供应商每项评分因素的得分，并根据综合评分情况按照评审得分由高到低顺序推荐3名以上成交候选供应商，并编写评审报告。若供应商的评审得分相同的，按照报价由低到高的顺序排列推荐。评审得分且报价相同的，按照技术指标优劣顺序排列推荐。以上都相同的，按商务条款的优劣顺序排列推荐。</w:t>
      </w:r>
    </w:p>
    <w:p>
      <w:pPr>
        <w:pStyle w:val="5"/>
        <w:spacing w:before="0" w:after="0" w:line="240" w:lineRule="auto"/>
        <w:rPr>
          <w:rFonts w:ascii="仿宋" w:hAnsi="仿宋" w:eastAsia="仿宋"/>
          <w:sz w:val="24"/>
          <w:szCs w:val="24"/>
        </w:rPr>
      </w:pPr>
      <w:bookmarkStart w:id="60" w:name="_Toc11594"/>
      <w:bookmarkStart w:id="61" w:name="_Toc195108739"/>
      <w:r>
        <w:rPr>
          <w:rFonts w:hint="eastAsia" w:ascii="仿宋" w:hAnsi="仿宋" w:eastAsia="仿宋"/>
          <w:sz w:val="24"/>
          <w:szCs w:val="24"/>
        </w:rPr>
        <w:t>五、评审标准</w:t>
      </w:r>
      <w:bookmarkEnd w:id="60"/>
      <w:bookmarkEnd w:id="61"/>
    </w:p>
    <w:tbl>
      <w:tblPr>
        <w:tblStyle w:val="1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1462"/>
        <w:gridCol w:w="913"/>
        <w:gridCol w:w="4695"/>
        <w:gridCol w:w="17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35" w:type="dxa"/>
            <w:vAlign w:val="center"/>
          </w:tcPr>
          <w:p>
            <w:pPr>
              <w:ind w:firstLine="28"/>
              <w:jc w:val="center"/>
              <w:rPr>
                <w:rFonts w:ascii="仿宋" w:hAnsi="仿宋" w:eastAsia="仿宋" w:cs="仿宋"/>
                <w:b/>
                <w:sz w:val="21"/>
                <w:szCs w:val="21"/>
              </w:rPr>
            </w:pPr>
            <w:r>
              <w:rPr>
                <w:rFonts w:hint="eastAsia" w:ascii="仿宋" w:hAnsi="仿宋" w:eastAsia="仿宋" w:cs="仿宋"/>
                <w:b/>
                <w:sz w:val="21"/>
                <w:szCs w:val="21"/>
              </w:rPr>
              <w:t>序号</w:t>
            </w:r>
          </w:p>
        </w:tc>
        <w:tc>
          <w:tcPr>
            <w:tcW w:w="1462" w:type="dxa"/>
            <w:vAlign w:val="center"/>
          </w:tcPr>
          <w:p>
            <w:pPr>
              <w:ind w:firstLine="28"/>
              <w:jc w:val="center"/>
              <w:rPr>
                <w:rFonts w:ascii="仿宋" w:hAnsi="仿宋" w:eastAsia="仿宋" w:cs="仿宋"/>
                <w:b/>
                <w:sz w:val="21"/>
                <w:szCs w:val="21"/>
              </w:rPr>
            </w:pPr>
            <w:r>
              <w:rPr>
                <w:rFonts w:hint="eastAsia" w:ascii="仿宋" w:hAnsi="仿宋" w:eastAsia="仿宋" w:cs="仿宋"/>
                <w:b/>
                <w:sz w:val="21"/>
                <w:szCs w:val="21"/>
              </w:rPr>
              <w:t>评分因素</w:t>
            </w:r>
          </w:p>
          <w:p>
            <w:pPr>
              <w:ind w:firstLine="28"/>
              <w:jc w:val="center"/>
              <w:rPr>
                <w:rFonts w:ascii="仿宋" w:hAnsi="仿宋" w:eastAsia="仿宋" w:cs="仿宋"/>
                <w:b/>
                <w:sz w:val="21"/>
                <w:szCs w:val="21"/>
              </w:rPr>
            </w:pPr>
            <w:r>
              <w:rPr>
                <w:rFonts w:hint="eastAsia" w:ascii="仿宋" w:hAnsi="仿宋" w:eastAsia="仿宋" w:cs="仿宋"/>
                <w:b/>
                <w:sz w:val="21"/>
                <w:szCs w:val="21"/>
              </w:rPr>
              <w:t>及权重</w:t>
            </w:r>
          </w:p>
        </w:tc>
        <w:tc>
          <w:tcPr>
            <w:tcW w:w="913" w:type="dxa"/>
            <w:vAlign w:val="center"/>
          </w:tcPr>
          <w:p>
            <w:pPr>
              <w:ind w:firstLine="28"/>
              <w:jc w:val="center"/>
              <w:rPr>
                <w:rFonts w:ascii="仿宋" w:hAnsi="仿宋" w:eastAsia="仿宋" w:cs="仿宋"/>
                <w:b/>
                <w:sz w:val="21"/>
                <w:szCs w:val="21"/>
              </w:rPr>
            </w:pPr>
            <w:r>
              <w:rPr>
                <w:rFonts w:hint="eastAsia" w:ascii="仿宋" w:hAnsi="仿宋" w:eastAsia="仿宋" w:cs="仿宋"/>
                <w:b/>
                <w:sz w:val="21"/>
                <w:szCs w:val="21"/>
              </w:rPr>
              <w:t>分值</w:t>
            </w:r>
          </w:p>
        </w:tc>
        <w:tc>
          <w:tcPr>
            <w:tcW w:w="4695" w:type="dxa"/>
            <w:vAlign w:val="center"/>
          </w:tcPr>
          <w:p>
            <w:pPr>
              <w:ind w:firstLine="28"/>
              <w:jc w:val="center"/>
              <w:rPr>
                <w:rFonts w:ascii="仿宋" w:hAnsi="仿宋" w:eastAsia="仿宋" w:cs="仿宋"/>
                <w:b/>
                <w:sz w:val="21"/>
                <w:szCs w:val="21"/>
              </w:rPr>
            </w:pPr>
            <w:r>
              <w:rPr>
                <w:rFonts w:hint="eastAsia" w:ascii="仿宋" w:hAnsi="仿宋" w:eastAsia="仿宋" w:cs="仿宋"/>
                <w:b/>
                <w:sz w:val="21"/>
                <w:szCs w:val="21"/>
              </w:rPr>
              <w:t>评分标准</w:t>
            </w:r>
          </w:p>
        </w:tc>
        <w:tc>
          <w:tcPr>
            <w:tcW w:w="1723" w:type="dxa"/>
            <w:vAlign w:val="center"/>
          </w:tcPr>
          <w:p>
            <w:pPr>
              <w:pStyle w:val="19"/>
              <w:spacing w:before="0" w:after="0" w:line="240" w:lineRule="auto"/>
              <w:rPr>
                <w:rFonts w:ascii="仿宋" w:hAnsi="仿宋" w:eastAsia="仿宋" w:cs="仿宋"/>
                <w:sz w:val="21"/>
                <w:szCs w:val="21"/>
              </w:rPr>
            </w:pPr>
            <w:r>
              <w:rPr>
                <w:rFonts w:hint="eastAsia" w:ascii="仿宋" w:hAnsi="仿宋" w:eastAsia="仿宋" w:cs="仿宋"/>
                <w:sz w:val="21"/>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35" w:type="dxa"/>
            <w:vAlign w:val="center"/>
          </w:tcPr>
          <w:p>
            <w:pPr>
              <w:ind w:firstLine="28"/>
              <w:jc w:val="center"/>
              <w:rPr>
                <w:rFonts w:ascii="仿宋" w:hAnsi="仿宋" w:eastAsia="仿宋" w:cs="仿宋"/>
                <w:sz w:val="21"/>
                <w:szCs w:val="21"/>
              </w:rPr>
            </w:pPr>
            <w:r>
              <w:rPr>
                <w:rFonts w:hint="eastAsia" w:ascii="仿宋" w:hAnsi="仿宋" w:eastAsia="仿宋" w:cs="仿宋"/>
                <w:sz w:val="21"/>
                <w:szCs w:val="21"/>
              </w:rPr>
              <w:t>1</w:t>
            </w:r>
          </w:p>
        </w:tc>
        <w:tc>
          <w:tcPr>
            <w:tcW w:w="1462" w:type="dxa"/>
            <w:vAlign w:val="center"/>
          </w:tcPr>
          <w:p>
            <w:pPr>
              <w:ind w:firstLine="28"/>
              <w:jc w:val="center"/>
              <w:rPr>
                <w:rFonts w:ascii="仿宋" w:hAnsi="仿宋" w:eastAsia="仿宋" w:cs="仿宋"/>
                <w:sz w:val="21"/>
                <w:szCs w:val="21"/>
              </w:rPr>
            </w:pPr>
            <w:r>
              <w:rPr>
                <w:rFonts w:hint="eastAsia" w:ascii="仿宋" w:hAnsi="仿宋" w:eastAsia="仿宋" w:cs="仿宋"/>
                <w:sz w:val="21"/>
                <w:szCs w:val="21"/>
              </w:rPr>
              <w:t>投标报价</w:t>
            </w:r>
          </w:p>
          <w:p>
            <w:pPr>
              <w:ind w:firstLine="28"/>
              <w:jc w:val="center"/>
              <w:rPr>
                <w:rFonts w:ascii="仿宋" w:hAnsi="仿宋" w:eastAsia="仿宋" w:cs="仿宋"/>
                <w:sz w:val="21"/>
                <w:szCs w:val="21"/>
              </w:rPr>
            </w:pPr>
            <w:r>
              <w:rPr>
                <w:rFonts w:hint="eastAsia" w:ascii="仿宋" w:hAnsi="仿宋" w:eastAsia="仿宋" w:cs="仿宋"/>
                <w:sz w:val="21"/>
                <w:szCs w:val="21"/>
              </w:rPr>
              <w:t>（20%）</w:t>
            </w:r>
          </w:p>
        </w:tc>
        <w:tc>
          <w:tcPr>
            <w:tcW w:w="913" w:type="dxa"/>
            <w:vAlign w:val="center"/>
          </w:tcPr>
          <w:p>
            <w:pPr>
              <w:ind w:firstLine="28"/>
              <w:jc w:val="center"/>
              <w:rPr>
                <w:rFonts w:ascii="仿宋" w:hAnsi="仿宋" w:eastAsia="仿宋" w:cs="仿宋"/>
                <w:sz w:val="21"/>
                <w:szCs w:val="21"/>
              </w:rPr>
            </w:pPr>
            <w:r>
              <w:rPr>
                <w:rFonts w:hint="eastAsia" w:ascii="仿宋" w:hAnsi="仿宋" w:eastAsia="仿宋" w:cs="仿宋"/>
                <w:sz w:val="21"/>
                <w:szCs w:val="21"/>
              </w:rPr>
              <w:t>20</w:t>
            </w:r>
          </w:p>
        </w:tc>
        <w:tc>
          <w:tcPr>
            <w:tcW w:w="6418" w:type="dxa"/>
            <w:gridSpan w:val="2"/>
            <w:vAlign w:val="center"/>
          </w:tcPr>
          <w:p>
            <w:pPr>
              <w:rPr>
                <w:rFonts w:ascii="仿宋" w:hAnsi="仿宋" w:eastAsia="仿宋" w:cs="仿宋"/>
                <w:sz w:val="21"/>
                <w:szCs w:val="21"/>
              </w:rPr>
            </w:pPr>
            <w:r>
              <w:rPr>
                <w:rFonts w:hint="eastAsia" w:ascii="仿宋" w:hAnsi="仿宋" w:eastAsia="仿宋" w:cs="仿宋"/>
                <w:sz w:val="21"/>
                <w:szCs w:val="21"/>
              </w:rPr>
              <w:t>有效的投标报价中的最低价为评标基准价，其价格分为满分。其他投标人的价格分统一按照下列公式计算：</w:t>
            </w:r>
          </w:p>
          <w:p>
            <w:pPr>
              <w:ind w:left="-38"/>
              <w:rPr>
                <w:rFonts w:ascii="仿宋" w:hAnsi="仿宋" w:eastAsia="仿宋" w:cs="仿宋"/>
                <w:sz w:val="21"/>
                <w:szCs w:val="21"/>
              </w:rPr>
            </w:pPr>
            <w:r>
              <w:rPr>
                <w:rFonts w:hint="eastAsia" w:ascii="仿宋" w:hAnsi="仿宋" w:eastAsia="仿宋" w:cs="仿宋"/>
                <w:sz w:val="21"/>
                <w:szCs w:val="21"/>
              </w:rPr>
              <w:t>投标报价得分＝（评标基准价/投标报价）×价格权重×100。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35" w:type="dxa"/>
            <w:vMerge w:val="restart"/>
            <w:vAlign w:val="center"/>
          </w:tcPr>
          <w:p>
            <w:pPr>
              <w:ind w:firstLine="28"/>
              <w:jc w:val="center"/>
              <w:rPr>
                <w:rFonts w:ascii="仿宋" w:hAnsi="仿宋" w:eastAsia="仿宋" w:cs="仿宋"/>
                <w:sz w:val="21"/>
                <w:szCs w:val="21"/>
              </w:rPr>
            </w:pPr>
            <w:r>
              <w:rPr>
                <w:rFonts w:hint="eastAsia" w:ascii="仿宋" w:hAnsi="仿宋" w:eastAsia="仿宋" w:cs="仿宋"/>
                <w:sz w:val="21"/>
                <w:szCs w:val="21"/>
              </w:rPr>
              <w:t>2</w:t>
            </w:r>
          </w:p>
        </w:tc>
        <w:tc>
          <w:tcPr>
            <w:tcW w:w="1462" w:type="dxa"/>
            <w:vMerge w:val="restart"/>
            <w:vAlign w:val="center"/>
          </w:tcPr>
          <w:p>
            <w:pPr>
              <w:ind w:firstLine="28"/>
              <w:jc w:val="center"/>
              <w:rPr>
                <w:rFonts w:ascii="仿宋" w:hAnsi="仿宋" w:eastAsia="仿宋" w:cs="仿宋"/>
                <w:sz w:val="21"/>
                <w:szCs w:val="21"/>
              </w:rPr>
            </w:pPr>
            <w:r>
              <w:rPr>
                <w:rFonts w:hint="eastAsia" w:ascii="仿宋" w:hAnsi="仿宋" w:eastAsia="仿宋" w:cs="仿宋"/>
                <w:sz w:val="21"/>
                <w:szCs w:val="21"/>
              </w:rPr>
              <w:t>服务部分</w:t>
            </w:r>
          </w:p>
          <w:p>
            <w:pPr>
              <w:ind w:firstLine="28"/>
              <w:jc w:val="center"/>
              <w:rPr>
                <w:rFonts w:ascii="仿宋" w:hAnsi="仿宋" w:eastAsia="仿宋" w:cs="仿宋"/>
                <w:sz w:val="21"/>
                <w:szCs w:val="21"/>
              </w:rPr>
            </w:pPr>
            <w:r>
              <w:rPr>
                <w:rFonts w:hint="eastAsia" w:ascii="仿宋" w:hAnsi="仿宋" w:eastAsia="仿宋" w:cs="仿宋"/>
                <w:sz w:val="21"/>
                <w:szCs w:val="21"/>
              </w:rPr>
              <w:t>（65%）</w:t>
            </w:r>
          </w:p>
        </w:tc>
        <w:tc>
          <w:tcPr>
            <w:tcW w:w="913" w:type="dxa"/>
            <w:vAlign w:val="center"/>
          </w:tcPr>
          <w:p>
            <w:pPr>
              <w:spacing w:line="500" w:lineRule="exact"/>
              <w:ind w:firstLine="28"/>
              <w:jc w:val="center"/>
              <w:rPr>
                <w:rFonts w:ascii="仿宋" w:hAnsi="仿宋" w:eastAsia="仿宋" w:cs="仿宋"/>
                <w:sz w:val="21"/>
                <w:szCs w:val="21"/>
              </w:rPr>
            </w:pPr>
            <w:r>
              <w:rPr>
                <w:rFonts w:hint="eastAsia" w:ascii="仿宋" w:hAnsi="仿宋" w:eastAsia="仿宋" w:cs="仿宋"/>
                <w:sz w:val="21"/>
                <w:szCs w:val="21"/>
              </w:rPr>
              <w:t>12分</w:t>
            </w:r>
          </w:p>
        </w:tc>
        <w:tc>
          <w:tcPr>
            <w:tcW w:w="4695"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1、赛事整体策划活动方案（12分）</w:t>
            </w:r>
          </w:p>
          <w:p>
            <w:pPr>
              <w:spacing w:line="280" w:lineRule="exact"/>
              <w:rPr>
                <w:rFonts w:ascii="仿宋" w:hAnsi="仿宋" w:eastAsia="仿宋" w:cs="仿宋"/>
                <w:sz w:val="21"/>
                <w:szCs w:val="21"/>
              </w:rPr>
            </w:pPr>
            <w:r>
              <w:rPr>
                <w:rFonts w:hint="eastAsia" w:ascii="仿宋" w:hAnsi="仿宋" w:eastAsia="仿宋" w:cs="仿宋"/>
                <w:sz w:val="21"/>
                <w:szCs w:val="21"/>
              </w:rPr>
              <w:t>具有整体性和完善性，充分理解活动需求，思路清晰，策划内容有好的亮点和创新以上内容涵盖齐全，</w:t>
            </w:r>
          </w:p>
          <w:p>
            <w:pPr>
              <w:spacing w:line="280" w:lineRule="exact"/>
              <w:rPr>
                <w:rFonts w:ascii="仿宋" w:hAnsi="仿宋" w:eastAsia="仿宋" w:cs="仿宋"/>
                <w:sz w:val="21"/>
                <w:szCs w:val="21"/>
              </w:rPr>
            </w:pPr>
            <w:r>
              <w:rPr>
                <w:rFonts w:hint="eastAsia" w:ascii="仿宋" w:hAnsi="仿宋" w:eastAsia="仿宋" w:cs="仿宋"/>
                <w:sz w:val="21"/>
                <w:szCs w:val="21"/>
              </w:rPr>
              <w:t>（1）方案可行性高，针对性强得12分；</w:t>
            </w:r>
          </w:p>
          <w:p>
            <w:pPr>
              <w:spacing w:line="280" w:lineRule="exact"/>
              <w:rPr>
                <w:rFonts w:ascii="仿宋" w:hAnsi="仿宋" w:eastAsia="仿宋" w:cs="仿宋"/>
                <w:sz w:val="21"/>
                <w:szCs w:val="21"/>
              </w:rPr>
            </w:pPr>
            <w:r>
              <w:rPr>
                <w:rFonts w:hint="eastAsia" w:ascii="仿宋" w:hAnsi="仿宋" w:eastAsia="仿宋" w:cs="仿宋"/>
                <w:sz w:val="21"/>
                <w:szCs w:val="21"/>
              </w:rPr>
              <w:t>（2）方案可行性一般，针对性一般得8分；</w:t>
            </w:r>
          </w:p>
          <w:p>
            <w:pPr>
              <w:spacing w:line="280" w:lineRule="exact"/>
              <w:rPr>
                <w:rFonts w:ascii="仿宋" w:hAnsi="仿宋" w:eastAsia="仿宋" w:cs="仿宋"/>
                <w:sz w:val="21"/>
                <w:szCs w:val="21"/>
              </w:rPr>
            </w:pPr>
            <w:r>
              <w:rPr>
                <w:rFonts w:hint="eastAsia" w:ascii="仿宋" w:hAnsi="仿宋" w:eastAsia="仿宋" w:cs="仿宋"/>
                <w:sz w:val="21"/>
                <w:szCs w:val="21"/>
              </w:rPr>
              <w:t>（3）方案可行性较低，针对性较低得5分；</w:t>
            </w:r>
          </w:p>
          <w:p>
            <w:pPr>
              <w:spacing w:line="280" w:lineRule="exact"/>
              <w:rPr>
                <w:rFonts w:ascii="仿宋" w:hAnsi="仿宋" w:eastAsia="仿宋" w:cs="仿宋"/>
                <w:sz w:val="21"/>
                <w:szCs w:val="21"/>
              </w:rPr>
            </w:pPr>
            <w:r>
              <w:rPr>
                <w:rFonts w:hint="eastAsia" w:ascii="仿宋" w:hAnsi="仿宋" w:eastAsia="仿宋" w:cs="仿宋"/>
                <w:sz w:val="21"/>
                <w:szCs w:val="21"/>
              </w:rPr>
              <w:t>（4）不具备可行性和针对性或未提供得0分。</w:t>
            </w:r>
          </w:p>
        </w:tc>
        <w:tc>
          <w:tcPr>
            <w:tcW w:w="1723" w:type="dxa"/>
            <w:vMerge w:val="restart"/>
            <w:vAlign w:val="center"/>
          </w:tcPr>
          <w:p>
            <w:pPr>
              <w:rPr>
                <w:rFonts w:ascii="仿宋" w:hAnsi="仿宋" w:eastAsia="仿宋" w:cs="仿宋"/>
                <w:sz w:val="21"/>
                <w:szCs w:val="21"/>
              </w:rPr>
            </w:pPr>
            <w:r>
              <w:rPr>
                <w:rFonts w:hint="eastAsia" w:ascii="仿宋" w:hAnsi="仿宋" w:eastAsia="仿宋" w:cs="仿宋"/>
                <w:sz w:val="21"/>
                <w:szCs w:val="21"/>
              </w:rPr>
              <w:t>评标小组根据供应商提供的方案进行综合评分。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4" w:hRule="atLeast"/>
        </w:trPr>
        <w:tc>
          <w:tcPr>
            <w:tcW w:w="835" w:type="dxa"/>
            <w:vMerge w:val="continue"/>
            <w:vAlign w:val="center"/>
          </w:tcPr>
          <w:p>
            <w:pPr>
              <w:spacing w:line="280" w:lineRule="exact"/>
              <w:rPr>
                <w:rFonts w:ascii="仿宋" w:hAnsi="仿宋" w:eastAsia="仿宋" w:cs="仿宋"/>
                <w:sz w:val="21"/>
                <w:szCs w:val="21"/>
              </w:rPr>
            </w:pPr>
          </w:p>
        </w:tc>
        <w:tc>
          <w:tcPr>
            <w:tcW w:w="1462" w:type="dxa"/>
            <w:vMerge w:val="continue"/>
            <w:vAlign w:val="center"/>
          </w:tcPr>
          <w:p>
            <w:pPr>
              <w:spacing w:line="280" w:lineRule="exact"/>
              <w:rPr>
                <w:rFonts w:ascii="仿宋" w:hAnsi="仿宋" w:eastAsia="仿宋" w:cs="仿宋"/>
                <w:sz w:val="21"/>
                <w:szCs w:val="21"/>
              </w:rPr>
            </w:pPr>
          </w:p>
        </w:tc>
        <w:tc>
          <w:tcPr>
            <w:tcW w:w="913"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11分</w:t>
            </w:r>
          </w:p>
        </w:tc>
        <w:tc>
          <w:tcPr>
            <w:tcW w:w="4695"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2.赛事相关信息和资料（11分）</w:t>
            </w:r>
          </w:p>
          <w:p>
            <w:pPr>
              <w:spacing w:line="280" w:lineRule="exact"/>
              <w:rPr>
                <w:rFonts w:ascii="仿宋" w:hAnsi="仿宋" w:eastAsia="仿宋" w:cs="仿宋"/>
                <w:sz w:val="21"/>
                <w:szCs w:val="21"/>
              </w:rPr>
            </w:pPr>
            <w:r>
              <w:rPr>
                <w:rFonts w:hint="eastAsia" w:ascii="仿宋" w:hAnsi="仿宋" w:eastAsia="仿宋" w:cs="仿宋"/>
                <w:sz w:val="21"/>
                <w:szCs w:val="21"/>
              </w:rPr>
              <w:t>按照采购方提供的相关信息和资料，供应商自行组织现场踏勘，制定专业、合理的赛事线路设计、流向设计、场地布置设计并提供相应的踏勘报告，对线路设计的详细全面性、合理性进行评审</w:t>
            </w:r>
          </w:p>
          <w:p>
            <w:pPr>
              <w:spacing w:line="280" w:lineRule="exact"/>
              <w:rPr>
                <w:rFonts w:ascii="仿宋" w:hAnsi="仿宋" w:eastAsia="仿宋" w:cs="仿宋"/>
                <w:sz w:val="21"/>
                <w:szCs w:val="21"/>
              </w:rPr>
            </w:pPr>
            <w:r>
              <w:rPr>
                <w:rFonts w:hint="eastAsia" w:ascii="仿宋" w:hAnsi="仿宋" w:eastAsia="仿宋" w:cs="仿宋"/>
                <w:sz w:val="21"/>
                <w:szCs w:val="21"/>
              </w:rPr>
              <w:t>（1）方案可行性高，针对性强得11分；</w:t>
            </w:r>
          </w:p>
          <w:p>
            <w:pPr>
              <w:spacing w:line="280" w:lineRule="exact"/>
              <w:rPr>
                <w:rFonts w:ascii="仿宋" w:hAnsi="仿宋" w:eastAsia="仿宋" w:cs="仿宋"/>
                <w:sz w:val="21"/>
                <w:szCs w:val="21"/>
              </w:rPr>
            </w:pPr>
            <w:r>
              <w:rPr>
                <w:rFonts w:hint="eastAsia" w:ascii="仿宋" w:hAnsi="仿宋" w:eastAsia="仿宋" w:cs="仿宋"/>
                <w:sz w:val="21"/>
                <w:szCs w:val="21"/>
              </w:rPr>
              <w:t>（2）方案可行性一般，针对性一般得7分；</w:t>
            </w:r>
          </w:p>
          <w:p>
            <w:pPr>
              <w:spacing w:line="280" w:lineRule="exact"/>
              <w:rPr>
                <w:rFonts w:ascii="仿宋" w:hAnsi="仿宋" w:eastAsia="仿宋" w:cs="仿宋"/>
                <w:sz w:val="21"/>
                <w:szCs w:val="21"/>
              </w:rPr>
            </w:pPr>
            <w:r>
              <w:rPr>
                <w:rFonts w:hint="eastAsia" w:ascii="仿宋" w:hAnsi="仿宋" w:eastAsia="仿宋" w:cs="仿宋"/>
                <w:sz w:val="21"/>
                <w:szCs w:val="21"/>
              </w:rPr>
              <w:t>（3）方案可行性较低，针对性较低得4分；</w:t>
            </w:r>
          </w:p>
          <w:p>
            <w:pPr>
              <w:spacing w:line="280" w:lineRule="exact"/>
              <w:rPr>
                <w:rFonts w:ascii="仿宋" w:hAnsi="仿宋" w:eastAsia="仿宋" w:cs="仿宋"/>
                <w:sz w:val="21"/>
                <w:szCs w:val="21"/>
              </w:rPr>
            </w:pPr>
            <w:r>
              <w:rPr>
                <w:rFonts w:hint="eastAsia" w:ascii="仿宋" w:hAnsi="仿宋" w:eastAsia="仿宋" w:cs="仿宋"/>
                <w:sz w:val="21"/>
                <w:szCs w:val="21"/>
              </w:rPr>
              <w:t>（4）不具备可行性和针对性或未提供得0分。</w:t>
            </w:r>
          </w:p>
        </w:tc>
        <w:tc>
          <w:tcPr>
            <w:tcW w:w="1723" w:type="dxa"/>
            <w:vMerge w:val="continue"/>
            <w:vAlign w:val="center"/>
          </w:tcPr>
          <w:p>
            <w:pPr>
              <w:spacing w:line="280" w:lineRule="exact"/>
              <w:rPr>
                <w:rFonts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4" w:hRule="atLeast"/>
        </w:trPr>
        <w:tc>
          <w:tcPr>
            <w:tcW w:w="835" w:type="dxa"/>
            <w:vMerge w:val="continue"/>
            <w:vAlign w:val="center"/>
          </w:tcPr>
          <w:p>
            <w:pPr>
              <w:spacing w:line="280" w:lineRule="exact"/>
              <w:rPr>
                <w:rFonts w:ascii="仿宋" w:hAnsi="仿宋" w:eastAsia="仿宋" w:cs="仿宋"/>
                <w:sz w:val="21"/>
                <w:szCs w:val="21"/>
              </w:rPr>
            </w:pPr>
          </w:p>
        </w:tc>
        <w:tc>
          <w:tcPr>
            <w:tcW w:w="1462" w:type="dxa"/>
            <w:vMerge w:val="continue"/>
            <w:vAlign w:val="center"/>
          </w:tcPr>
          <w:p>
            <w:pPr>
              <w:spacing w:line="280" w:lineRule="exact"/>
              <w:rPr>
                <w:rFonts w:ascii="仿宋" w:hAnsi="仿宋" w:eastAsia="仿宋" w:cs="仿宋"/>
                <w:sz w:val="21"/>
                <w:szCs w:val="21"/>
              </w:rPr>
            </w:pPr>
          </w:p>
        </w:tc>
        <w:tc>
          <w:tcPr>
            <w:tcW w:w="913"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12分</w:t>
            </w:r>
          </w:p>
        </w:tc>
        <w:tc>
          <w:tcPr>
            <w:tcW w:w="4695"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3、设计方案（12分）</w:t>
            </w:r>
          </w:p>
          <w:p>
            <w:pPr>
              <w:spacing w:line="280" w:lineRule="exact"/>
              <w:rPr>
                <w:rFonts w:ascii="仿宋" w:hAnsi="仿宋" w:eastAsia="仿宋" w:cs="仿宋"/>
                <w:sz w:val="21"/>
                <w:szCs w:val="21"/>
              </w:rPr>
            </w:pPr>
            <w:r>
              <w:rPr>
                <w:rFonts w:hint="eastAsia" w:ascii="仿宋" w:hAnsi="仿宋" w:eastAsia="仿宋" w:cs="仿宋"/>
                <w:sz w:val="21"/>
                <w:szCs w:val="21"/>
              </w:rPr>
              <w:t>方案新颖、美观、突出冰壶运动的特色</w:t>
            </w:r>
          </w:p>
          <w:p>
            <w:pPr>
              <w:spacing w:line="280" w:lineRule="exact"/>
              <w:rPr>
                <w:rFonts w:ascii="仿宋" w:hAnsi="仿宋" w:eastAsia="仿宋" w:cs="仿宋"/>
                <w:sz w:val="21"/>
                <w:szCs w:val="21"/>
              </w:rPr>
            </w:pPr>
            <w:r>
              <w:rPr>
                <w:rFonts w:hint="eastAsia" w:ascii="仿宋" w:hAnsi="仿宋" w:eastAsia="仿宋" w:cs="仿宋"/>
                <w:sz w:val="21"/>
                <w:szCs w:val="21"/>
              </w:rPr>
              <w:t>（1）方案可行性高，针对性强得12分；</w:t>
            </w:r>
          </w:p>
          <w:p>
            <w:pPr>
              <w:spacing w:line="280" w:lineRule="exact"/>
              <w:rPr>
                <w:rFonts w:ascii="仿宋" w:hAnsi="仿宋" w:eastAsia="仿宋" w:cs="仿宋"/>
                <w:sz w:val="21"/>
                <w:szCs w:val="21"/>
              </w:rPr>
            </w:pPr>
            <w:r>
              <w:rPr>
                <w:rFonts w:hint="eastAsia" w:ascii="仿宋" w:hAnsi="仿宋" w:eastAsia="仿宋" w:cs="仿宋"/>
                <w:sz w:val="21"/>
                <w:szCs w:val="21"/>
              </w:rPr>
              <w:t>（2）方案可行性一般，针对性一般得8分；</w:t>
            </w:r>
          </w:p>
          <w:p>
            <w:pPr>
              <w:spacing w:line="280" w:lineRule="exact"/>
              <w:rPr>
                <w:rFonts w:ascii="仿宋" w:hAnsi="仿宋" w:eastAsia="仿宋" w:cs="仿宋"/>
                <w:sz w:val="21"/>
                <w:szCs w:val="21"/>
              </w:rPr>
            </w:pPr>
            <w:r>
              <w:rPr>
                <w:rFonts w:hint="eastAsia" w:ascii="仿宋" w:hAnsi="仿宋" w:eastAsia="仿宋" w:cs="仿宋"/>
                <w:sz w:val="21"/>
                <w:szCs w:val="21"/>
              </w:rPr>
              <w:t>（3）方案可行性较低，针对性较低得5分；</w:t>
            </w:r>
          </w:p>
          <w:p>
            <w:pPr>
              <w:spacing w:line="280" w:lineRule="exact"/>
              <w:rPr>
                <w:rFonts w:ascii="仿宋" w:hAnsi="仿宋" w:eastAsia="仿宋" w:cs="仿宋"/>
                <w:sz w:val="21"/>
                <w:szCs w:val="21"/>
              </w:rPr>
            </w:pPr>
            <w:r>
              <w:rPr>
                <w:rFonts w:hint="eastAsia" w:ascii="仿宋" w:hAnsi="仿宋" w:eastAsia="仿宋" w:cs="仿宋"/>
                <w:sz w:val="21"/>
                <w:szCs w:val="21"/>
              </w:rPr>
              <w:t>（4）不具备可行性和针对性或未提供得0分。</w:t>
            </w:r>
          </w:p>
        </w:tc>
        <w:tc>
          <w:tcPr>
            <w:tcW w:w="1723" w:type="dxa"/>
            <w:vMerge w:val="continue"/>
            <w:vAlign w:val="center"/>
          </w:tcPr>
          <w:p>
            <w:pPr>
              <w:spacing w:line="280" w:lineRule="exact"/>
              <w:rPr>
                <w:rFonts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4" w:hRule="atLeast"/>
        </w:trPr>
        <w:tc>
          <w:tcPr>
            <w:tcW w:w="835" w:type="dxa"/>
            <w:vMerge w:val="continue"/>
            <w:vAlign w:val="center"/>
          </w:tcPr>
          <w:p>
            <w:pPr>
              <w:spacing w:line="280" w:lineRule="exact"/>
              <w:rPr>
                <w:rFonts w:ascii="仿宋" w:hAnsi="仿宋" w:eastAsia="仿宋" w:cs="仿宋"/>
                <w:sz w:val="21"/>
                <w:szCs w:val="21"/>
              </w:rPr>
            </w:pPr>
          </w:p>
        </w:tc>
        <w:tc>
          <w:tcPr>
            <w:tcW w:w="1462" w:type="dxa"/>
            <w:vMerge w:val="continue"/>
            <w:vAlign w:val="center"/>
          </w:tcPr>
          <w:p>
            <w:pPr>
              <w:spacing w:line="280" w:lineRule="exact"/>
              <w:rPr>
                <w:rFonts w:ascii="仿宋" w:hAnsi="仿宋" w:eastAsia="仿宋" w:cs="仿宋"/>
                <w:sz w:val="21"/>
                <w:szCs w:val="21"/>
              </w:rPr>
            </w:pPr>
          </w:p>
        </w:tc>
        <w:tc>
          <w:tcPr>
            <w:tcW w:w="913"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10分</w:t>
            </w:r>
          </w:p>
        </w:tc>
        <w:tc>
          <w:tcPr>
            <w:tcW w:w="4695"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4、安全风险防控方案（10分）</w:t>
            </w:r>
          </w:p>
          <w:p>
            <w:pPr>
              <w:spacing w:line="280" w:lineRule="exact"/>
              <w:rPr>
                <w:rFonts w:ascii="仿宋" w:hAnsi="仿宋" w:eastAsia="仿宋" w:cs="仿宋"/>
                <w:sz w:val="21"/>
                <w:szCs w:val="21"/>
              </w:rPr>
            </w:pPr>
            <w:r>
              <w:rPr>
                <w:rFonts w:hint="eastAsia" w:ascii="仿宋" w:hAnsi="仿宋" w:eastAsia="仿宋" w:cs="仿宋"/>
                <w:sz w:val="21"/>
                <w:szCs w:val="21"/>
              </w:rPr>
              <w:t>（含赛事医疗保障方案）整体思路和技术架构切合活动考虑符合实际，且专业周密严谨。</w:t>
            </w:r>
          </w:p>
          <w:p>
            <w:pPr>
              <w:spacing w:line="280" w:lineRule="exact"/>
              <w:rPr>
                <w:rFonts w:ascii="仿宋" w:hAnsi="仿宋" w:eastAsia="仿宋" w:cs="仿宋"/>
                <w:sz w:val="21"/>
                <w:szCs w:val="21"/>
              </w:rPr>
            </w:pPr>
            <w:r>
              <w:rPr>
                <w:rFonts w:hint="eastAsia" w:ascii="仿宋" w:hAnsi="仿宋" w:eastAsia="仿宋" w:cs="仿宋"/>
                <w:sz w:val="21"/>
                <w:szCs w:val="21"/>
              </w:rPr>
              <w:t>（1）方案可行性高，针对性强得10分；</w:t>
            </w:r>
          </w:p>
          <w:p>
            <w:pPr>
              <w:spacing w:line="280" w:lineRule="exact"/>
              <w:rPr>
                <w:rFonts w:ascii="仿宋" w:hAnsi="仿宋" w:eastAsia="仿宋" w:cs="仿宋"/>
                <w:sz w:val="21"/>
                <w:szCs w:val="21"/>
              </w:rPr>
            </w:pPr>
            <w:r>
              <w:rPr>
                <w:rFonts w:hint="eastAsia" w:ascii="仿宋" w:hAnsi="仿宋" w:eastAsia="仿宋" w:cs="仿宋"/>
                <w:sz w:val="21"/>
                <w:szCs w:val="21"/>
              </w:rPr>
              <w:t>（2）方案可行性一般，针对性一般得6分；</w:t>
            </w:r>
          </w:p>
          <w:p>
            <w:pPr>
              <w:spacing w:line="280" w:lineRule="exact"/>
              <w:rPr>
                <w:rFonts w:ascii="仿宋" w:hAnsi="仿宋" w:eastAsia="仿宋" w:cs="仿宋"/>
                <w:sz w:val="21"/>
                <w:szCs w:val="21"/>
              </w:rPr>
            </w:pPr>
            <w:r>
              <w:rPr>
                <w:rFonts w:hint="eastAsia" w:ascii="仿宋" w:hAnsi="仿宋" w:eastAsia="仿宋" w:cs="仿宋"/>
                <w:sz w:val="21"/>
                <w:szCs w:val="21"/>
              </w:rPr>
              <w:t>（3）方案可行性较低，针对性较低得3分；</w:t>
            </w:r>
          </w:p>
          <w:p>
            <w:pPr>
              <w:spacing w:line="280" w:lineRule="exact"/>
              <w:rPr>
                <w:rFonts w:ascii="仿宋" w:hAnsi="仿宋" w:eastAsia="仿宋" w:cs="仿宋"/>
                <w:sz w:val="21"/>
                <w:szCs w:val="21"/>
              </w:rPr>
            </w:pPr>
            <w:r>
              <w:rPr>
                <w:rFonts w:hint="eastAsia" w:ascii="仿宋" w:hAnsi="仿宋" w:eastAsia="仿宋" w:cs="仿宋"/>
                <w:sz w:val="21"/>
                <w:szCs w:val="21"/>
              </w:rPr>
              <w:t>（4）不具备可行性和针对性或未提供得0分。</w:t>
            </w:r>
          </w:p>
        </w:tc>
        <w:tc>
          <w:tcPr>
            <w:tcW w:w="1723" w:type="dxa"/>
            <w:vMerge w:val="continue"/>
            <w:vAlign w:val="center"/>
          </w:tcPr>
          <w:p>
            <w:pPr>
              <w:spacing w:line="280" w:lineRule="exact"/>
              <w:rPr>
                <w:rFonts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4" w:hRule="atLeast"/>
        </w:trPr>
        <w:tc>
          <w:tcPr>
            <w:tcW w:w="835" w:type="dxa"/>
            <w:vMerge w:val="continue"/>
            <w:vAlign w:val="center"/>
          </w:tcPr>
          <w:p>
            <w:pPr>
              <w:spacing w:line="280" w:lineRule="exact"/>
              <w:rPr>
                <w:rFonts w:ascii="仿宋" w:hAnsi="仿宋" w:eastAsia="仿宋" w:cs="仿宋"/>
                <w:sz w:val="21"/>
                <w:szCs w:val="21"/>
              </w:rPr>
            </w:pPr>
          </w:p>
        </w:tc>
        <w:tc>
          <w:tcPr>
            <w:tcW w:w="1462" w:type="dxa"/>
            <w:vMerge w:val="continue"/>
            <w:vAlign w:val="center"/>
          </w:tcPr>
          <w:p>
            <w:pPr>
              <w:spacing w:line="280" w:lineRule="exact"/>
              <w:rPr>
                <w:rFonts w:ascii="仿宋" w:hAnsi="仿宋" w:eastAsia="仿宋" w:cs="仿宋"/>
                <w:sz w:val="21"/>
                <w:szCs w:val="21"/>
              </w:rPr>
            </w:pPr>
          </w:p>
        </w:tc>
        <w:tc>
          <w:tcPr>
            <w:tcW w:w="913"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10分</w:t>
            </w:r>
          </w:p>
        </w:tc>
        <w:tc>
          <w:tcPr>
            <w:tcW w:w="4695"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5、赛事应急处理方案（10分）</w:t>
            </w:r>
          </w:p>
          <w:p>
            <w:pPr>
              <w:spacing w:line="280" w:lineRule="exact"/>
              <w:rPr>
                <w:rFonts w:ascii="仿宋" w:hAnsi="仿宋" w:eastAsia="仿宋" w:cs="仿宋"/>
                <w:sz w:val="21"/>
                <w:szCs w:val="21"/>
              </w:rPr>
            </w:pPr>
            <w:r>
              <w:rPr>
                <w:rFonts w:hint="eastAsia" w:ascii="仿宋" w:hAnsi="仿宋" w:eastAsia="仿宋" w:cs="仿宋"/>
                <w:sz w:val="21"/>
                <w:szCs w:val="21"/>
              </w:rPr>
              <w:t>整体思路和技术架构切合活动考虑符合实际，且专业周密严谨。</w:t>
            </w:r>
          </w:p>
          <w:p>
            <w:pPr>
              <w:spacing w:line="280" w:lineRule="exact"/>
              <w:rPr>
                <w:rFonts w:ascii="仿宋" w:hAnsi="仿宋" w:eastAsia="仿宋" w:cs="仿宋"/>
                <w:sz w:val="21"/>
                <w:szCs w:val="21"/>
              </w:rPr>
            </w:pPr>
            <w:r>
              <w:rPr>
                <w:rFonts w:hint="eastAsia" w:ascii="仿宋" w:hAnsi="仿宋" w:eastAsia="仿宋" w:cs="仿宋"/>
                <w:sz w:val="21"/>
                <w:szCs w:val="21"/>
              </w:rPr>
              <w:t>（1）方案可行性高，针对性强得10分；</w:t>
            </w:r>
          </w:p>
          <w:p>
            <w:pPr>
              <w:spacing w:line="280" w:lineRule="exact"/>
              <w:rPr>
                <w:rFonts w:ascii="仿宋" w:hAnsi="仿宋" w:eastAsia="仿宋" w:cs="仿宋"/>
                <w:sz w:val="21"/>
                <w:szCs w:val="21"/>
              </w:rPr>
            </w:pPr>
            <w:r>
              <w:rPr>
                <w:rFonts w:hint="eastAsia" w:ascii="仿宋" w:hAnsi="仿宋" w:eastAsia="仿宋" w:cs="仿宋"/>
                <w:sz w:val="21"/>
                <w:szCs w:val="21"/>
              </w:rPr>
              <w:t>（2）方案可行性一般，针对性一般得6分；</w:t>
            </w:r>
          </w:p>
          <w:p>
            <w:pPr>
              <w:spacing w:line="280" w:lineRule="exact"/>
              <w:rPr>
                <w:rFonts w:ascii="仿宋" w:hAnsi="仿宋" w:eastAsia="仿宋" w:cs="仿宋"/>
                <w:sz w:val="21"/>
                <w:szCs w:val="21"/>
              </w:rPr>
            </w:pPr>
            <w:r>
              <w:rPr>
                <w:rFonts w:hint="eastAsia" w:ascii="仿宋" w:hAnsi="仿宋" w:eastAsia="仿宋" w:cs="仿宋"/>
                <w:sz w:val="21"/>
                <w:szCs w:val="21"/>
              </w:rPr>
              <w:t>（3）方案可行性较低，针对性较低得3分；</w:t>
            </w:r>
          </w:p>
          <w:p>
            <w:pPr>
              <w:spacing w:line="280" w:lineRule="exact"/>
              <w:rPr>
                <w:rFonts w:ascii="仿宋" w:hAnsi="仿宋" w:eastAsia="仿宋" w:cs="仿宋"/>
                <w:sz w:val="21"/>
                <w:szCs w:val="21"/>
              </w:rPr>
            </w:pPr>
            <w:r>
              <w:rPr>
                <w:rFonts w:hint="eastAsia" w:ascii="仿宋" w:hAnsi="仿宋" w:eastAsia="仿宋" w:cs="仿宋"/>
                <w:sz w:val="21"/>
                <w:szCs w:val="21"/>
              </w:rPr>
              <w:t>（4）不具备可行性和针对性或未提供得0分。</w:t>
            </w:r>
          </w:p>
        </w:tc>
        <w:tc>
          <w:tcPr>
            <w:tcW w:w="1723" w:type="dxa"/>
            <w:vMerge w:val="continue"/>
            <w:vAlign w:val="center"/>
          </w:tcPr>
          <w:p>
            <w:pPr>
              <w:spacing w:line="280" w:lineRule="exact"/>
              <w:rPr>
                <w:rFonts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1" w:hRule="atLeast"/>
        </w:trPr>
        <w:tc>
          <w:tcPr>
            <w:tcW w:w="835" w:type="dxa"/>
            <w:vMerge w:val="continue"/>
            <w:vAlign w:val="center"/>
          </w:tcPr>
          <w:p>
            <w:pPr>
              <w:spacing w:line="280" w:lineRule="exact"/>
              <w:rPr>
                <w:rFonts w:ascii="仿宋" w:hAnsi="仿宋" w:eastAsia="仿宋" w:cs="仿宋"/>
                <w:sz w:val="21"/>
                <w:szCs w:val="21"/>
              </w:rPr>
            </w:pPr>
          </w:p>
        </w:tc>
        <w:tc>
          <w:tcPr>
            <w:tcW w:w="1462" w:type="dxa"/>
            <w:vMerge w:val="continue"/>
            <w:vAlign w:val="center"/>
          </w:tcPr>
          <w:p>
            <w:pPr>
              <w:spacing w:line="280" w:lineRule="exact"/>
              <w:rPr>
                <w:rFonts w:ascii="仿宋" w:hAnsi="仿宋" w:eastAsia="仿宋" w:cs="仿宋"/>
                <w:sz w:val="21"/>
                <w:szCs w:val="21"/>
              </w:rPr>
            </w:pPr>
          </w:p>
        </w:tc>
        <w:tc>
          <w:tcPr>
            <w:tcW w:w="913"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10分</w:t>
            </w:r>
          </w:p>
        </w:tc>
        <w:tc>
          <w:tcPr>
            <w:tcW w:w="4695"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6、竞赛组织方案（10分）</w:t>
            </w:r>
          </w:p>
          <w:p>
            <w:pPr>
              <w:spacing w:line="280" w:lineRule="exact"/>
              <w:rPr>
                <w:rFonts w:ascii="仿宋" w:hAnsi="仿宋" w:eastAsia="仿宋" w:cs="仿宋"/>
                <w:sz w:val="21"/>
                <w:szCs w:val="21"/>
              </w:rPr>
            </w:pPr>
            <w:r>
              <w:rPr>
                <w:rFonts w:hint="eastAsia" w:ascii="仿宋" w:hAnsi="仿宋" w:eastAsia="仿宋" w:cs="仿宋"/>
                <w:sz w:val="21"/>
                <w:szCs w:val="21"/>
              </w:rPr>
              <w:t>整体思路和技术架构切合活动考虑符合实际，且专业周密严谨。</w:t>
            </w:r>
          </w:p>
          <w:p>
            <w:pPr>
              <w:spacing w:line="280" w:lineRule="exact"/>
              <w:rPr>
                <w:rFonts w:ascii="仿宋" w:hAnsi="仿宋" w:eastAsia="仿宋" w:cs="仿宋"/>
                <w:sz w:val="21"/>
                <w:szCs w:val="21"/>
              </w:rPr>
            </w:pPr>
            <w:r>
              <w:rPr>
                <w:rFonts w:hint="eastAsia" w:ascii="仿宋" w:hAnsi="仿宋" w:eastAsia="仿宋" w:cs="仿宋"/>
                <w:sz w:val="21"/>
                <w:szCs w:val="21"/>
              </w:rPr>
              <w:t>（1）方案可行性高，针对性强得10分；</w:t>
            </w:r>
          </w:p>
          <w:p>
            <w:pPr>
              <w:spacing w:line="280" w:lineRule="exact"/>
              <w:rPr>
                <w:rFonts w:ascii="仿宋" w:hAnsi="仿宋" w:eastAsia="仿宋" w:cs="仿宋"/>
                <w:sz w:val="21"/>
                <w:szCs w:val="21"/>
              </w:rPr>
            </w:pPr>
            <w:r>
              <w:rPr>
                <w:rFonts w:hint="eastAsia" w:ascii="仿宋" w:hAnsi="仿宋" w:eastAsia="仿宋" w:cs="仿宋"/>
                <w:sz w:val="21"/>
                <w:szCs w:val="21"/>
              </w:rPr>
              <w:t>（2）方案可行性一般，针对性一般得6分；</w:t>
            </w:r>
          </w:p>
          <w:p>
            <w:pPr>
              <w:spacing w:line="280" w:lineRule="exact"/>
              <w:rPr>
                <w:rFonts w:ascii="仿宋" w:hAnsi="仿宋" w:eastAsia="仿宋" w:cs="仿宋"/>
                <w:sz w:val="21"/>
                <w:szCs w:val="21"/>
              </w:rPr>
            </w:pPr>
            <w:r>
              <w:rPr>
                <w:rFonts w:hint="eastAsia" w:ascii="仿宋" w:hAnsi="仿宋" w:eastAsia="仿宋" w:cs="仿宋"/>
                <w:sz w:val="21"/>
                <w:szCs w:val="21"/>
              </w:rPr>
              <w:t>（3）方案可行性较低，针对性较低得3分；</w:t>
            </w:r>
          </w:p>
          <w:p>
            <w:pPr>
              <w:spacing w:line="280" w:lineRule="exact"/>
              <w:rPr>
                <w:rFonts w:ascii="仿宋" w:hAnsi="仿宋" w:eastAsia="仿宋" w:cs="仿宋"/>
                <w:sz w:val="21"/>
                <w:szCs w:val="21"/>
              </w:rPr>
            </w:pPr>
            <w:r>
              <w:rPr>
                <w:rFonts w:hint="eastAsia" w:ascii="仿宋" w:hAnsi="仿宋" w:eastAsia="仿宋" w:cs="仿宋"/>
                <w:sz w:val="21"/>
                <w:szCs w:val="21"/>
              </w:rPr>
              <w:t>（4）不具备可行性和针对性或未提供得0分。</w:t>
            </w:r>
          </w:p>
        </w:tc>
        <w:tc>
          <w:tcPr>
            <w:tcW w:w="1723" w:type="dxa"/>
            <w:vMerge w:val="continue"/>
            <w:vAlign w:val="center"/>
          </w:tcPr>
          <w:p>
            <w:pPr>
              <w:spacing w:line="280" w:lineRule="exact"/>
              <w:rPr>
                <w:rFonts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4" w:hRule="atLeast"/>
        </w:trPr>
        <w:tc>
          <w:tcPr>
            <w:tcW w:w="835"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3</w:t>
            </w:r>
          </w:p>
        </w:tc>
        <w:tc>
          <w:tcPr>
            <w:tcW w:w="1462"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商务部分</w:t>
            </w:r>
          </w:p>
          <w:p>
            <w:pPr>
              <w:spacing w:line="280" w:lineRule="exact"/>
              <w:rPr>
                <w:rFonts w:ascii="仿宋" w:hAnsi="仿宋" w:eastAsia="仿宋" w:cs="仿宋"/>
                <w:sz w:val="21"/>
                <w:szCs w:val="21"/>
              </w:rPr>
            </w:pPr>
            <w:r>
              <w:rPr>
                <w:rFonts w:hint="eastAsia" w:ascii="仿宋" w:hAnsi="仿宋" w:eastAsia="仿宋" w:cs="仿宋"/>
                <w:sz w:val="21"/>
                <w:szCs w:val="21"/>
              </w:rPr>
              <w:t>（15%）</w:t>
            </w:r>
          </w:p>
        </w:tc>
        <w:tc>
          <w:tcPr>
            <w:tcW w:w="913"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15分</w:t>
            </w:r>
          </w:p>
        </w:tc>
        <w:tc>
          <w:tcPr>
            <w:tcW w:w="4695"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2022年至今承办过全国及以上级别赛事的每个加10分，省级比赛每个加5分，最多不超过15分</w:t>
            </w:r>
          </w:p>
        </w:tc>
        <w:tc>
          <w:tcPr>
            <w:tcW w:w="1723" w:type="dxa"/>
            <w:vAlign w:val="center"/>
          </w:tcPr>
          <w:p>
            <w:pPr>
              <w:spacing w:line="280" w:lineRule="exact"/>
              <w:rPr>
                <w:rFonts w:ascii="仿宋" w:hAnsi="仿宋" w:eastAsia="仿宋" w:cs="仿宋"/>
                <w:sz w:val="21"/>
                <w:szCs w:val="21"/>
              </w:rPr>
            </w:pPr>
            <w:r>
              <w:rPr>
                <w:rFonts w:hint="eastAsia" w:ascii="仿宋" w:hAnsi="仿宋" w:eastAsia="仿宋" w:cs="仿宋"/>
                <w:sz w:val="21"/>
                <w:szCs w:val="21"/>
              </w:rPr>
              <w:t>提供合同协议书复印件或相关证明材料。</w:t>
            </w:r>
          </w:p>
        </w:tc>
      </w:tr>
    </w:tbl>
    <w:p>
      <w:pPr>
        <w:snapToGrid w:val="0"/>
        <w:spacing w:line="360" w:lineRule="auto"/>
        <w:ind w:firstLine="480" w:firstLineChars="200"/>
        <w:rPr>
          <w:rFonts w:ascii="仿宋" w:hAnsi="仿宋" w:eastAsia="仿宋" w:cs="仿宋_GB2312"/>
        </w:rPr>
      </w:pPr>
      <w:r>
        <w:rPr>
          <w:rFonts w:hint="eastAsia" w:ascii="仿宋" w:hAnsi="仿宋" w:eastAsia="仿宋" w:cs="仿宋_GB2312"/>
        </w:rPr>
        <w:t>1、竞采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竞采小组应当将其作为无效投标处理。</w:t>
      </w:r>
    </w:p>
    <w:p>
      <w:pPr>
        <w:snapToGrid w:val="0"/>
        <w:spacing w:line="360" w:lineRule="auto"/>
        <w:ind w:firstLine="480" w:firstLineChars="200"/>
        <w:rPr>
          <w:rFonts w:hint="eastAsia" w:ascii="仿宋" w:hAnsi="仿宋" w:eastAsia="仿宋" w:cs="仿宋_GB2312"/>
        </w:rPr>
      </w:pPr>
      <w:r>
        <w:rPr>
          <w:rFonts w:hint="eastAsia" w:ascii="仿宋" w:hAnsi="仿宋" w:eastAsia="仿宋" w:cs="仿宋_GB2312"/>
        </w:rPr>
        <w:t>2、采取采购人确定成交供应商的，采购代理机构应当在评审结束后2个工作日内将评审报告送采购人确认。采购人应当在收到评审报告后5个工作日内，从评审报告提出的成交候选人中，根据质量和服务均能满足竞采文件实质性响应要求且得分最高的原则确定成交供应商。采购人逾期未确定成交供应商且不提出异议的，视为确定评审报告提出的得分最高的供应商为成交供应商。采购人也可以授权竞采小组直接确定成交供应商。</w:t>
      </w:r>
    </w:p>
    <w:p>
      <w:pPr>
        <w:pStyle w:val="5"/>
        <w:spacing w:before="0" w:after="0" w:line="240" w:lineRule="auto"/>
        <w:rPr>
          <w:rFonts w:ascii="仿宋" w:hAnsi="仿宋" w:eastAsia="仿宋"/>
          <w:sz w:val="24"/>
          <w:szCs w:val="24"/>
        </w:rPr>
      </w:pPr>
      <w:bookmarkStart w:id="62" w:name="_Toc195108740"/>
      <w:bookmarkStart w:id="63" w:name="_Toc1719"/>
      <w:r>
        <w:rPr>
          <w:rFonts w:hint="eastAsia" w:ascii="仿宋" w:hAnsi="仿宋" w:eastAsia="仿宋"/>
          <w:sz w:val="24"/>
          <w:szCs w:val="24"/>
        </w:rPr>
        <w:t>六、评审依据</w:t>
      </w:r>
      <w:bookmarkEnd w:id="62"/>
      <w:bookmarkEnd w:id="63"/>
    </w:p>
    <w:p>
      <w:pPr>
        <w:snapToGrid w:val="0"/>
        <w:spacing w:line="360" w:lineRule="auto"/>
        <w:ind w:firstLine="480" w:firstLineChars="200"/>
        <w:rPr>
          <w:rFonts w:ascii="仿宋" w:hAnsi="仿宋" w:eastAsia="仿宋" w:cs="仿宋_GB2312"/>
        </w:rPr>
      </w:pPr>
      <w:r>
        <w:rPr>
          <w:rFonts w:hint="eastAsia" w:ascii="仿宋" w:hAnsi="仿宋" w:eastAsia="仿宋" w:cs="仿宋_GB2312"/>
        </w:rPr>
        <w:t>评审的依据为竞采文件和响应文件（含有效的补充文件）。竞采小组判断响应文件对竞采文件的响应，仅基于响应文件本身而不靠外部证据。</w:t>
      </w:r>
    </w:p>
    <w:p>
      <w:pPr>
        <w:pStyle w:val="5"/>
        <w:spacing w:before="0" w:after="0" w:line="240" w:lineRule="auto"/>
        <w:rPr>
          <w:rFonts w:ascii="仿宋" w:hAnsi="仿宋" w:eastAsia="仿宋"/>
          <w:sz w:val="24"/>
          <w:szCs w:val="24"/>
        </w:rPr>
      </w:pPr>
      <w:bookmarkStart w:id="64" w:name="_Toc487204785"/>
      <w:bookmarkStart w:id="65" w:name="_Toc195108741"/>
      <w:bookmarkStart w:id="66" w:name="_Toc342913395"/>
      <w:bookmarkStart w:id="67" w:name="_Toc426965636"/>
      <w:bookmarkStart w:id="68" w:name="_Toc102227321"/>
      <w:r>
        <w:rPr>
          <w:rFonts w:hint="eastAsia" w:ascii="仿宋" w:hAnsi="仿宋" w:eastAsia="仿宋"/>
          <w:sz w:val="24"/>
          <w:szCs w:val="24"/>
        </w:rPr>
        <w:t>七、成交通知</w:t>
      </w:r>
      <w:bookmarkEnd w:id="64"/>
      <w:bookmarkEnd w:id="65"/>
      <w:bookmarkEnd w:id="66"/>
      <w:bookmarkEnd w:id="67"/>
      <w:bookmarkEnd w:id="68"/>
    </w:p>
    <w:p>
      <w:pPr>
        <w:snapToGrid w:val="0"/>
        <w:spacing w:line="360" w:lineRule="auto"/>
        <w:ind w:firstLine="480" w:firstLineChars="200"/>
        <w:rPr>
          <w:rFonts w:ascii="仿宋" w:hAnsi="仿宋" w:eastAsia="仿宋" w:cs="仿宋_GB2312"/>
          <w:color w:val="FF0000"/>
        </w:rPr>
      </w:pPr>
      <w:r>
        <w:rPr>
          <w:rFonts w:hint="eastAsia" w:ascii="仿宋" w:hAnsi="仿宋" w:eastAsia="仿宋" w:cs="仿宋_GB2312"/>
        </w:rPr>
        <w:t>（一）成交供应商确定后，采购代理机构将在“重庆市政府采购云平台网上竞采平台(https://xj.ccgp-chongqing.gov.cn/ge/）”</w:t>
      </w:r>
      <w:r>
        <w:fldChar w:fldCharType="begin"/>
      </w:r>
      <w:r>
        <w:instrText xml:space="preserve"> HYPERLINK "http://www.cqgp.gov.cn）上发布成交结果公示。" </w:instrText>
      </w:r>
      <w:r>
        <w:fldChar w:fldCharType="separate"/>
      </w:r>
      <w:r>
        <w:rPr>
          <w:rFonts w:hint="eastAsia" w:ascii="仿宋" w:hAnsi="仿宋" w:eastAsia="仿宋" w:cs="仿宋_GB2312"/>
        </w:rPr>
        <w:t>上发布成交结果公示。</w:t>
      </w:r>
      <w:r>
        <w:rPr>
          <w:rFonts w:hint="eastAsia" w:ascii="仿宋" w:hAnsi="仿宋" w:eastAsia="仿宋" w:cs="仿宋_GB2312"/>
        </w:rPr>
        <w:fldChar w:fldCharType="end"/>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（二）结果公告发出同时，采购代理机构将以书面形式发出《成交通知书》。《成交通知书》一经发出即发生法律效力。</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（三）《成交通知书》将作为签订合同的依据。</w:t>
      </w:r>
    </w:p>
    <w:p>
      <w:pPr>
        <w:pStyle w:val="5"/>
        <w:spacing w:before="0" w:after="0" w:line="240" w:lineRule="auto"/>
        <w:rPr>
          <w:rFonts w:ascii="仿宋" w:hAnsi="仿宋" w:eastAsia="仿宋"/>
          <w:sz w:val="24"/>
          <w:szCs w:val="24"/>
        </w:rPr>
      </w:pPr>
      <w:bookmarkStart w:id="69" w:name="_Toc102227322"/>
      <w:bookmarkStart w:id="70" w:name="_Toc195108742"/>
      <w:bookmarkStart w:id="71" w:name="_Toc487204787"/>
      <w:bookmarkStart w:id="72" w:name="_Toc342913396"/>
      <w:bookmarkStart w:id="73" w:name="_Toc426965638"/>
      <w:bookmarkStart w:id="74" w:name="_Toc23427"/>
      <w:r>
        <w:rPr>
          <w:rFonts w:hint="eastAsia" w:ascii="仿宋" w:hAnsi="仿宋" w:eastAsia="仿宋"/>
          <w:sz w:val="24"/>
          <w:szCs w:val="24"/>
        </w:rPr>
        <w:t>八、签订</w:t>
      </w:r>
      <w:bookmarkEnd w:id="69"/>
      <w:r>
        <w:rPr>
          <w:rFonts w:hint="eastAsia" w:ascii="仿宋" w:hAnsi="仿宋" w:eastAsia="仿宋"/>
          <w:sz w:val="24"/>
          <w:szCs w:val="24"/>
        </w:rPr>
        <w:t>合同</w:t>
      </w:r>
      <w:bookmarkEnd w:id="70"/>
      <w:bookmarkEnd w:id="71"/>
      <w:bookmarkEnd w:id="72"/>
      <w:bookmarkEnd w:id="73"/>
      <w:bookmarkEnd w:id="74"/>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（一）采购人与成交供应商应当在成交通知书发出之日起20日内，按照竞采文件确定的合同文本以及采购标的、规格型号、采购金额、采购数量、技术和服务要求等事项签订采购合同。</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（二）竞采文件、成交供应商的响应文件及有效承诺文件等，均为签订合同的依据。</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（三）成交供应商未按照竞采文件确定的事项签订合同，或者与采购人另行订立背离合同实质性内容协议的，将承担相关法律责任。</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四）采购人不得向成交供应商提出超出竞采以外的任何要求作为签订合同的条件，不得与成交供应商订立背离竞采确定的合同文本以及采购标的、规格型号、采购金额、采购数量、技术和服务要求等实质性内容的协议。</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（五）除不可抗力等因素外，成交通知书发出后，采购人改变成交结果，或者成交供应商无正当理由拒绝签订采购合同的，应当承担相应的法律责任。</w:t>
      </w:r>
    </w:p>
    <w:p>
      <w:pPr>
        <w:ind w:firstLine="720" w:firstLineChars="300"/>
        <w:rPr>
          <w:rFonts w:ascii="仿宋" w:hAnsi="仿宋" w:eastAsia="仿宋"/>
        </w:rPr>
        <w:sectPr>
          <w:headerReference r:id="rId9" w:type="default"/>
          <w:pgSz w:w="11907" w:h="16840"/>
          <w:pgMar w:top="1440" w:right="1080" w:bottom="1440" w:left="1080" w:header="454" w:footer="567" w:gutter="0"/>
          <w:pgNumType w:fmt="numberInDash"/>
          <w:cols w:space="720" w:num="1"/>
          <w:docGrid w:type="linesAndChars" w:linePitch="381" w:charSpace="0"/>
        </w:sectPr>
      </w:pPr>
    </w:p>
    <w:p>
      <w:pPr>
        <w:pStyle w:val="4"/>
        <w:spacing w:before="0" w:after="0"/>
        <w:jc w:val="center"/>
        <w:rPr>
          <w:rStyle w:val="18"/>
          <w:rFonts w:ascii="仿宋" w:hAnsi="仿宋" w:eastAsia="仿宋" w:cs="宋体"/>
          <w:b w:val="0"/>
          <w:bCs w:val="0"/>
        </w:rPr>
      </w:pPr>
      <w:bookmarkStart w:id="75" w:name="_Toc195108743"/>
      <w:r>
        <w:rPr>
          <w:rStyle w:val="18"/>
          <w:rFonts w:hint="eastAsia" w:ascii="仿宋" w:hAnsi="仿宋" w:eastAsia="仿宋" w:cs="宋体"/>
          <w:b w:val="0"/>
          <w:bCs w:val="0"/>
        </w:rPr>
        <w:t>第三篇  竞采采购服务</w:t>
      </w:r>
      <w:bookmarkEnd w:id="28"/>
      <w:r>
        <w:rPr>
          <w:rStyle w:val="18"/>
          <w:rFonts w:hint="eastAsia" w:ascii="仿宋" w:hAnsi="仿宋" w:eastAsia="仿宋" w:cs="宋体"/>
          <w:b w:val="0"/>
          <w:bCs w:val="0"/>
        </w:rPr>
        <w:t>需求</w:t>
      </w:r>
      <w:bookmarkEnd w:id="75"/>
    </w:p>
    <w:p>
      <w:pPr>
        <w:rPr>
          <w:rFonts w:ascii="仿宋" w:hAnsi="仿宋" w:eastAsia="仿宋"/>
          <w:szCs w:val="18"/>
        </w:rPr>
      </w:pPr>
      <w:bookmarkStart w:id="76" w:name="_Toc128744993"/>
      <w:bookmarkStart w:id="77" w:name="_Toc12789058"/>
      <w:r>
        <w:rPr>
          <w:rFonts w:hint="eastAsia" w:ascii="仿宋" w:hAnsi="仿宋" w:eastAsia="仿宋"/>
          <w:szCs w:val="18"/>
        </w:rPr>
        <w:t>“※”标注的服务需求为符合性审查中的实质性要求，响应文件若不满足按无效响应处理。</w:t>
      </w:r>
    </w:p>
    <w:p>
      <w:pPr>
        <w:pStyle w:val="5"/>
        <w:spacing w:before="0" w:after="0" w:line="240" w:lineRule="auto"/>
        <w:rPr>
          <w:rFonts w:ascii="仿宋" w:hAnsi="仿宋" w:eastAsia="仿宋"/>
          <w:sz w:val="24"/>
          <w:szCs w:val="24"/>
        </w:rPr>
      </w:pPr>
      <w:bookmarkStart w:id="78" w:name="_Toc340223141"/>
      <w:bookmarkStart w:id="79" w:name="_Toc177738093"/>
      <w:bookmarkStart w:id="80" w:name="_Toc195108744"/>
      <w:r>
        <w:rPr>
          <w:rFonts w:hint="eastAsia" w:ascii="仿宋" w:hAnsi="仿宋" w:eastAsia="仿宋"/>
          <w:sz w:val="24"/>
          <w:szCs w:val="24"/>
        </w:rPr>
        <w:t>※</w:t>
      </w:r>
      <w:bookmarkEnd w:id="78"/>
      <w:bookmarkEnd w:id="79"/>
      <w:bookmarkEnd w:id="80"/>
      <w:bookmarkStart w:id="81" w:name="_Toc76462325"/>
      <w:bookmarkStart w:id="82" w:name="_Toc106030879"/>
      <w:bookmarkStart w:id="83" w:name="_Toc20201"/>
      <w:bookmarkStart w:id="84" w:name="_Toc31071"/>
      <w:bookmarkStart w:id="85" w:name="_Toc177738094"/>
      <w:bookmarkStart w:id="86" w:name="_Toc14189"/>
      <w:bookmarkStart w:id="87" w:name="_Toc100219306"/>
      <w:bookmarkStart w:id="88" w:name="_Toc37860275"/>
      <w:bookmarkStart w:id="89" w:name="_Toc78793920"/>
      <w:bookmarkStart w:id="90" w:name="_Toc9220"/>
      <w:bookmarkStart w:id="91" w:name="_Toc100652786"/>
      <w:bookmarkStart w:id="92" w:name="_Toc11115"/>
      <w:r>
        <w:rPr>
          <w:rFonts w:hint="eastAsia" w:ascii="仿宋" w:hAnsi="仿宋" w:eastAsia="仿宋"/>
          <w:sz w:val="24"/>
          <w:szCs w:val="24"/>
        </w:rPr>
        <w:t>一、项目基本</w:t>
      </w:r>
      <w:bookmarkEnd w:id="81"/>
      <w:bookmarkEnd w:id="82"/>
      <w:bookmarkEnd w:id="83"/>
      <w:r>
        <w:rPr>
          <w:rFonts w:hint="eastAsia" w:ascii="仿宋" w:hAnsi="仿宋" w:eastAsia="仿宋"/>
          <w:sz w:val="24"/>
          <w:szCs w:val="24"/>
        </w:rPr>
        <w:t>概况</w:t>
      </w:r>
      <w:bookmarkEnd w:id="84"/>
    </w:p>
    <w:tbl>
      <w:tblPr>
        <w:tblStyle w:val="13"/>
        <w:tblW w:w="956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30"/>
        <w:gridCol w:w="1229"/>
        <w:gridCol w:w="1473"/>
        <w:gridCol w:w="25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330" w:type="dxa"/>
            <w:vAlign w:val="center"/>
          </w:tcPr>
          <w:p>
            <w:pPr>
              <w:pStyle w:val="3"/>
              <w:spacing w:line="240" w:lineRule="auto"/>
              <w:ind w:left="0"/>
              <w:jc w:val="center"/>
              <w:outlineLvl w:val="0"/>
              <w:rPr>
                <w:rFonts w:ascii="仿宋" w:hAnsi="仿宋" w:eastAsia="仿宋" w:cs="仿宋"/>
                <w:b/>
                <w:sz w:val="22"/>
                <w:szCs w:val="22"/>
              </w:rPr>
            </w:pPr>
            <w:r>
              <w:rPr>
                <w:rFonts w:hint="eastAsia" w:ascii="仿宋" w:hAnsi="仿宋" w:eastAsia="仿宋" w:cs="仿宋"/>
                <w:b/>
                <w:sz w:val="22"/>
                <w:szCs w:val="22"/>
              </w:rPr>
              <w:t>项目名称</w:t>
            </w:r>
          </w:p>
        </w:tc>
        <w:tc>
          <w:tcPr>
            <w:tcW w:w="1229" w:type="dxa"/>
            <w:vAlign w:val="center"/>
          </w:tcPr>
          <w:p>
            <w:pPr>
              <w:pStyle w:val="3"/>
              <w:spacing w:line="240" w:lineRule="auto"/>
              <w:ind w:left="0"/>
              <w:jc w:val="center"/>
              <w:outlineLvl w:val="0"/>
              <w:rPr>
                <w:rFonts w:ascii="仿宋" w:hAnsi="仿宋" w:eastAsia="仿宋" w:cs="仿宋"/>
                <w:b/>
                <w:sz w:val="22"/>
                <w:szCs w:val="22"/>
              </w:rPr>
            </w:pPr>
            <w:r>
              <w:rPr>
                <w:rFonts w:hint="eastAsia" w:ascii="仿宋" w:hAnsi="仿宋" w:eastAsia="仿宋" w:cs="仿宋"/>
                <w:b/>
                <w:sz w:val="22"/>
                <w:szCs w:val="22"/>
              </w:rPr>
              <w:t>单位</w:t>
            </w:r>
          </w:p>
        </w:tc>
        <w:tc>
          <w:tcPr>
            <w:tcW w:w="1473" w:type="dxa"/>
            <w:vAlign w:val="center"/>
          </w:tcPr>
          <w:p>
            <w:pPr>
              <w:pStyle w:val="3"/>
              <w:spacing w:line="240" w:lineRule="auto"/>
              <w:ind w:left="0"/>
              <w:jc w:val="center"/>
              <w:outlineLvl w:val="0"/>
              <w:rPr>
                <w:rFonts w:ascii="仿宋" w:hAnsi="仿宋" w:eastAsia="仿宋" w:cs="仿宋"/>
                <w:b/>
                <w:sz w:val="22"/>
                <w:szCs w:val="22"/>
              </w:rPr>
            </w:pPr>
            <w:r>
              <w:rPr>
                <w:rFonts w:hint="eastAsia" w:ascii="仿宋" w:hAnsi="仿宋" w:eastAsia="仿宋" w:cs="仿宋"/>
                <w:b/>
                <w:sz w:val="22"/>
                <w:szCs w:val="22"/>
              </w:rPr>
              <w:t>数量</w:t>
            </w:r>
          </w:p>
        </w:tc>
        <w:tc>
          <w:tcPr>
            <w:tcW w:w="2534" w:type="dxa"/>
            <w:vAlign w:val="center"/>
          </w:tcPr>
          <w:p>
            <w:pPr>
              <w:pStyle w:val="3"/>
              <w:spacing w:line="240" w:lineRule="exact"/>
              <w:ind w:left="0"/>
              <w:jc w:val="center"/>
              <w:outlineLvl w:val="0"/>
              <w:rPr>
                <w:rFonts w:ascii="仿宋" w:hAnsi="仿宋" w:eastAsia="仿宋" w:cs="仿宋"/>
                <w:b/>
                <w:sz w:val="22"/>
                <w:szCs w:val="22"/>
              </w:rPr>
            </w:pPr>
            <w:r>
              <w:rPr>
                <w:rFonts w:hint="eastAsia" w:ascii="仿宋" w:hAnsi="仿宋" w:eastAsia="仿宋" w:cs="仿宋"/>
                <w:b/>
                <w:sz w:val="22"/>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jc w:val="center"/>
        </w:trPr>
        <w:tc>
          <w:tcPr>
            <w:tcW w:w="4330" w:type="dxa"/>
            <w:vAlign w:val="center"/>
          </w:tcPr>
          <w:p>
            <w:pPr>
              <w:pStyle w:val="3"/>
              <w:spacing w:line="240" w:lineRule="auto"/>
              <w:ind w:left="0"/>
              <w:jc w:val="center"/>
              <w:outlineLvl w:val="0"/>
              <w:rPr>
                <w:rFonts w:ascii="仿宋" w:hAnsi="仿宋" w:eastAsia="仿宋" w:cs="仿宋"/>
                <w:sz w:val="22"/>
                <w:szCs w:val="22"/>
              </w:rPr>
            </w:pPr>
            <w:r>
              <w:rPr>
                <w:rFonts w:hint="eastAsia" w:ascii="仿宋" w:hAnsi="仿宋" w:eastAsia="仿宋" w:cs="仿宋"/>
                <w:sz w:val="22"/>
                <w:szCs w:val="22"/>
              </w:rPr>
              <w:t>“奔跑吧·少年”“中国体育彩票”2025年重庆市青少年陆地冰壶联赛（第二站）</w:t>
            </w:r>
          </w:p>
        </w:tc>
        <w:tc>
          <w:tcPr>
            <w:tcW w:w="1229" w:type="dxa"/>
            <w:vAlign w:val="center"/>
          </w:tcPr>
          <w:p>
            <w:pPr>
              <w:pStyle w:val="3"/>
              <w:spacing w:line="240" w:lineRule="auto"/>
              <w:ind w:left="0"/>
              <w:jc w:val="center"/>
              <w:outlineLvl w:val="0"/>
              <w:rPr>
                <w:rFonts w:ascii="仿宋" w:hAnsi="仿宋" w:eastAsia="仿宋" w:cs="仿宋"/>
                <w:sz w:val="22"/>
                <w:szCs w:val="22"/>
              </w:rPr>
            </w:pPr>
            <w:r>
              <w:rPr>
                <w:rFonts w:hint="eastAsia" w:ascii="仿宋" w:hAnsi="仿宋" w:eastAsia="仿宋" w:cs="仿宋"/>
                <w:sz w:val="22"/>
                <w:szCs w:val="22"/>
              </w:rPr>
              <w:t>场次</w:t>
            </w:r>
          </w:p>
        </w:tc>
        <w:tc>
          <w:tcPr>
            <w:tcW w:w="1473" w:type="dxa"/>
            <w:vAlign w:val="center"/>
          </w:tcPr>
          <w:p>
            <w:pPr>
              <w:pStyle w:val="3"/>
              <w:spacing w:line="240" w:lineRule="auto"/>
              <w:ind w:left="0"/>
              <w:jc w:val="center"/>
              <w:outlineLvl w:val="0"/>
              <w:rPr>
                <w:rFonts w:ascii="仿宋" w:hAnsi="仿宋" w:eastAsia="仿宋" w:cs="仿宋"/>
                <w:sz w:val="22"/>
                <w:szCs w:val="22"/>
              </w:rPr>
            </w:pPr>
            <w:r>
              <w:rPr>
                <w:rFonts w:hint="eastAsia" w:ascii="仿宋" w:hAnsi="仿宋" w:eastAsia="仿宋" w:cs="仿宋"/>
                <w:sz w:val="22"/>
                <w:szCs w:val="22"/>
              </w:rPr>
              <w:t>1</w:t>
            </w:r>
          </w:p>
        </w:tc>
        <w:tc>
          <w:tcPr>
            <w:tcW w:w="2534" w:type="dxa"/>
            <w:vAlign w:val="center"/>
          </w:tcPr>
          <w:p>
            <w:pPr>
              <w:pStyle w:val="3"/>
              <w:spacing w:line="240" w:lineRule="exact"/>
              <w:ind w:left="0"/>
              <w:jc w:val="center"/>
              <w:outlineLvl w:val="0"/>
              <w:rPr>
                <w:rFonts w:ascii="仿宋" w:hAnsi="仿宋" w:eastAsia="仿宋" w:cs="仿宋"/>
                <w:sz w:val="22"/>
                <w:szCs w:val="22"/>
              </w:rPr>
            </w:pPr>
            <w:r>
              <w:rPr>
                <w:rFonts w:hint="eastAsia" w:ascii="仿宋" w:hAnsi="仿宋" w:eastAsia="仿宋" w:cs="仿宋"/>
                <w:b/>
                <w:sz w:val="22"/>
                <w:szCs w:val="22"/>
              </w:rPr>
              <w:t>/</w:t>
            </w:r>
          </w:p>
        </w:tc>
      </w:tr>
      <w:bookmarkEnd w:id="85"/>
    </w:tbl>
    <w:p>
      <w:pPr>
        <w:pStyle w:val="5"/>
        <w:spacing w:before="0" w:after="0" w:line="240" w:lineRule="auto"/>
        <w:rPr>
          <w:rFonts w:ascii="仿宋" w:hAnsi="仿宋" w:eastAsia="仿宋"/>
          <w:sz w:val="24"/>
          <w:szCs w:val="24"/>
        </w:rPr>
      </w:pPr>
      <w:bookmarkStart w:id="93" w:name="_Toc195108745"/>
      <w:bookmarkStart w:id="94" w:name="_Toc177738096"/>
      <w:r>
        <w:rPr>
          <w:rFonts w:hint="eastAsia" w:ascii="仿宋" w:hAnsi="仿宋" w:eastAsia="仿宋"/>
          <w:sz w:val="24"/>
          <w:szCs w:val="24"/>
        </w:rPr>
        <w:t>※二、服务内容及质量要求</w:t>
      </w:r>
      <w:bookmarkEnd w:id="93"/>
    </w:p>
    <w:tbl>
      <w:tblPr>
        <w:tblStyle w:val="13"/>
        <w:tblW w:w="9900" w:type="dxa"/>
        <w:tblInd w:w="0" w:type="dxa"/>
        <w:tblLayout w:type="fixed"/>
        <w:tblCellMar>
          <w:top w:w="0" w:type="dxa"/>
          <w:left w:w="0" w:type="dxa"/>
          <w:bottom w:w="0" w:type="dxa"/>
          <w:right w:w="0" w:type="dxa"/>
        </w:tblCellMar>
      </w:tblPr>
      <w:tblGrid>
        <w:gridCol w:w="458"/>
        <w:gridCol w:w="883"/>
        <w:gridCol w:w="1619"/>
        <w:gridCol w:w="5545"/>
        <w:gridCol w:w="937"/>
        <w:gridCol w:w="458"/>
      </w:tblGrid>
      <w:tr>
        <w:tblPrEx>
          <w:tblLayout w:type="fixed"/>
          <w:tblCellMar>
            <w:top w:w="0" w:type="dxa"/>
            <w:left w:w="0" w:type="dxa"/>
            <w:bottom w:w="0" w:type="dxa"/>
            <w:right w:w="0" w:type="dxa"/>
          </w:tblCellMar>
        </w:tblPrEx>
        <w:trPr>
          <w:trHeight w:val="862" w:hRule="atLeast"/>
        </w:trPr>
        <w:tc>
          <w:tcPr>
            <w:tcW w:w="9900"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b/>
                <w:color w:val="000000"/>
                <w:sz w:val="32"/>
                <w:szCs w:val="32"/>
              </w:rPr>
            </w:pPr>
            <w:r>
              <w:rPr>
                <w:rFonts w:hint="eastAsia" w:ascii="仿宋" w:hAnsi="仿宋" w:eastAsia="仿宋" w:cs="仿宋"/>
                <w:b/>
                <w:color w:val="000000"/>
                <w:sz w:val="28"/>
                <w:szCs w:val="28"/>
                <w:lang w:bidi="ar"/>
              </w:rPr>
              <w:t>“奔跑吧·少年”“中国体育彩票”2025年重庆市青少年陆地冰壶联赛（第二站）</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b/>
                <w:color w:val="000000"/>
                <w:sz w:val="22"/>
                <w:szCs w:val="22"/>
              </w:rPr>
            </w:pPr>
            <w:r>
              <w:rPr>
                <w:rFonts w:hint="eastAsia" w:ascii="仿宋" w:hAnsi="仿宋" w:eastAsia="仿宋" w:cs="仿宋"/>
                <w:b/>
                <w:color w:val="000000"/>
                <w:sz w:val="22"/>
                <w:szCs w:val="22"/>
                <w:lang w:bidi="ar"/>
              </w:rPr>
              <w:t>序号</w:t>
            </w:r>
          </w:p>
        </w:tc>
        <w:tc>
          <w:tcPr>
            <w:tcW w:w="8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b/>
                <w:color w:val="000000"/>
                <w:sz w:val="22"/>
                <w:szCs w:val="22"/>
              </w:rPr>
            </w:pPr>
            <w:r>
              <w:rPr>
                <w:rFonts w:hint="eastAsia" w:ascii="仿宋" w:hAnsi="仿宋" w:eastAsia="仿宋" w:cs="仿宋"/>
                <w:b/>
                <w:color w:val="000000"/>
                <w:sz w:val="22"/>
                <w:szCs w:val="22"/>
                <w:lang w:bidi="ar"/>
              </w:rPr>
              <w:t>板块</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b/>
                <w:color w:val="000000"/>
                <w:sz w:val="22"/>
                <w:szCs w:val="22"/>
              </w:rPr>
            </w:pPr>
            <w:r>
              <w:rPr>
                <w:rFonts w:hint="eastAsia" w:ascii="仿宋" w:hAnsi="仿宋" w:eastAsia="仿宋" w:cs="仿宋"/>
                <w:b/>
                <w:color w:val="000000"/>
                <w:sz w:val="22"/>
                <w:szCs w:val="22"/>
                <w:lang w:bidi="ar"/>
              </w:rPr>
              <w:t>项目</w:t>
            </w:r>
          </w:p>
        </w:tc>
        <w:tc>
          <w:tcPr>
            <w:tcW w:w="5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b/>
                <w:color w:val="000000"/>
                <w:sz w:val="22"/>
                <w:szCs w:val="22"/>
              </w:rPr>
            </w:pPr>
            <w:r>
              <w:rPr>
                <w:rFonts w:hint="eastAsia" w:ascii="仿宋" w:hAnsi="仿宋" w:eastAsia="仿宋" w:cs="仿宋"/>
                <w:b/>
                <w:color w:val="000000"/>
                <w:sz w:val="22"/>
                <w:szCs w:val="22"/>
                <w:lang w:bidi="ar"/>
              </w:rPr>
              <w:t>说明</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b/>
                <w:color w:val="000000"/>
                <w:sz w:val="22"/>
                <w:szCs w:val="22"/>
              </w:rPr>
            </w:pPr>
            <w:r>
              <w:rPr>
                <w:rFonts w:hint="eastAsia" w:ascii="仿宋" w:hAnsi="仿宋" w:eastAsia="仿宋" w:cs="仿宋"/>
                <w:b/>
                <w:color w:val="000000"/>
                <w:sz w:val="22"/>
                <w:szCs w:val="22"/>
                <w:lang w:bidi="ar"/>
              </w:rPr>
              <w:t>计价单位</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b/>
                <w:color w:val="000000"/>
                <w:sz w:val="22"/>
                <w:szCs w:val="22"/>
              </w:rPr>
            </w:pPr>
            <w:r>
              <w:rPr>
                <w:rFonts w:hint="eastAsia" w:ascii="仿宋" w:hAnsi="仿宋" w:eastAsia="仿宋" w:cs="仿宋"/>
                <w:b/>
                <w:color w:val="000000"/>
                <w:sz w:val="22"/>
                <w:szCs w:val="22"/>
                <w:lang w:bidi="ar"/>
              </w:rPr>
              <w:t>数量</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c>
          <w:tcPr>
            <w:tcW w:w="883"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现场氛围</w:t>
            </w: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广告物料1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场馆内部主题背景15*4m*1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套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广告物料2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打卡签到合影背景墙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套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广告物料3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队伍手举牌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套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广告物料4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丽萍展架（检录、成统、医疗、成绩公示区、现场指引4个）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套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16</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5</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广告物料5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彩色丝质横幅（赛事名称，比赛宣传语等）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条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8</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6</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广告物料6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氛围道旗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套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7</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音响系统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比赛日两天，含音控台、麦克风及音控师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套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8</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场地搭建人员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10人工作1天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9</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场地撤场人员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8人工作1天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8</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10</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物料运费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物料运输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趟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11</w:t>
            </w:r>
          </w:p>
        </w:tc>
        <w:tc>
          <w:tcPr>
            <w:tcW w:w="883"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场地设备</w:t>
            </w: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场地租赁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室内场馆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项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12</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赛道器材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陆地冰壶赛道、冰壶等各类器材租赁运输安装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套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13</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笔记本电脑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电脑租赁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项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14</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打印机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打印计分表、赛程表等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项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15</w:t>
            </w:r>
          </w:p>
        </w:tc>
        <w:tc>
          <w:tcPr>
            <w:tcW w:w="883" w:type="dxa"/>
            <w:vMerge w:val="continue"/>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对讲机 </w:t>
            </w:r>
          </w:p>
        </w:tc>
        <w:tc>
          <w:tcPr>
            <w:tcW w:w="5545"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裁判及工作人员使用对讲机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个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16</w:t>
            </w:r>
          </w:p>
        </w:tc>
        <w:tc>
          <w:tcPr>
            <w:tcW w:w="883" w:type="dxa"/>
            <w:vMerge w:val="restart"/>
            <w:tcBorders>
              <w:top w:val="single" w:color="auto"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赛事组织</w:t>
            </w:r>
          </w:p>
        </w:tc>
        <w:tc>
          <w:tcPr>
            <w:tcW w:w="1619" w:type="dxa"/>
            <w:tcBorders>
              <w:top w:val="single" w:color="auto"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获奖奖杯 </w:t>
            </w:r>
          </w:p>
        </w:tc>
        <w:tc>
          <w:tcPr>
            <w:tcW w:w="5545" w:type="dxa"/>
            <w:tcBorders>
              <w:top w:val="single" w:color="auto" w:sz="4" w:space="0"/>
              <w:left w:val="single" w:color="auto" w:sz="4" w:space="0"/>
              <w:bottom w:val="single" w:color="000000" w:sz="4" w:space="0"/>
              <w:right w:val="single" w:color="auto"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各组别前三名奖杯 </w:t>
            </w:r>
          </w:p>
        </w:tc>
        <w:tc>
          <w:tcPr>
            <w:tcW w:w="937"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个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9</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17</w:t>
            </w:r>
          </w:p>
        </w:tc>
        <w:tc>
          <w:tcPr>
            <w:tcW w:w="883" w:type="dxa"/>
            <w:vMerge w:val="continue"/>
            <w:tcBorders>
              <w:top w:val="single" w:color="000000"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auto" w:sz="4" w:space="0"/>
              <w:right w:val="single" w:color="auto"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奖牌 </w:t>
            </w:r>
          </w:p>
        </w:tc>
        <w:tc>
          <w:tcPr>
            <w:tcW w:w="5545" w:type="dxa"/>
            <w:tcBorders>
              <w:top w:val="single" w:color="000000" w:sz="4" w:space="0"/>
              <w:left w:val="single" w:color="auto" w:sz="4" w:space="0"/>
              <w:bottom w:val="single" w:color="000000" w:sz="4" w:space="0"/>
              <w:right w:val="single" w:color="auto"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各组别前六名奖牌 </w:t>
            </w:r>
          </w:p>
        </w:tc>
        <w:tc>
          <w:tcPr>
            <w:tcW w:w="937"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个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78</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18</w:t>
            </w:r>
          </w:p>
        </w:tc>
        <w:tc>
          <w:tcPr>
            <w:tcW w:w="883" w:type="dxa"/>
            <w:vMerge w:val="continue"/>
            <w:tcBorders>
              <w:top w:val="single" w:color="auto"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auto"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参赛证书 </w:t>
            </w:r>
          </w:p>
        </w:tc>
        <w:tc>
          <w:tcPr>
            <w:tcW w:w="5545" w:type="dxa"/>
            <w:tcBorders>
              <w:top w:val="single" w:color="000000" w:sz="4" w:space="0"/>
              <w:left w:val="single" w:color="000000" w:sz="4" w:space="0"/>
              <w:bottom w:val="single" w:color="auto" w:sz="4" w:space="0"/>
              <w:right w:val="single" w:color="auto"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运动员参赛纪念证书 </w:t>
            </w:r>
          </w:p>
        </w:tc>
        <w:tc>
          <w:tcPr>
            <w:tcW w:w="937"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张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200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19</w:t>
            </w:r>
          </w:p>
        </w:tc>
        <w:tc>
          <w:tcPr>
            <w:tcW w:w="883" w:type="dxa"/>
            <w:vMerge w:val="continue"/>
            <w:tcBorders>
              <w:top w:val="single" w:color="auto"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获奖证书 </w:t>
            </w:r>
          </w:p>
        </w:tc>
        <w:tc>
          <w:tcPr>
            <w:tcW w:w="5545"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获奖证书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张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60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20</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奖品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各组别获奖选手奖品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项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21</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工作人员工作餐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37人*4餐（2天）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份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148</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22</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秩序册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赛事秩序册 </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份 </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23</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成绩册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赛事成绩册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本</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24</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竞赛工作人员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10人工作2天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25</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竞赛物料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裁判使用的竞赛物料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项</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26</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赛事裁判长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1人工作3天（赛前1天，比赛2天）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27</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赛事副裁判长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2人工作2天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28</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赛程编排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2人工作2天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29</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临场裁判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10人工作2天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30</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工作人员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10人工作2天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31</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医务人员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2人工作2天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32</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救护车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1辆车2天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车/次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33</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安保人员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4人工作2天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8</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34</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保洁人员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2人工作2天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35</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摄影摄像 </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1摄影1摄像工作2天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4</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36</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bidi="ar"/>
              </w:rPr>
              <w:t>自媒体达人直播</w:t>
            </w:r>
          </w:p>
        </w:tc>
        <w:tc>
          <w:tcPr>
            <w:tcW w:w="5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媒体宣传费用</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人/次</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5</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jc w:val="center"/>
              <w:textAlignment w:val="center"/>
              <w:rPr>
                <w:rFonts w:hint="eastAsia" w:ascii="仿宋" w:hAnsi="仿宋" w:eastAsia="仿宋" w:cs="仿宋"/>
                <w:color w:val="000000"/>
                <w:sz w:val="22"/>
                <w:szCs w:val="22"/>
                <w:lang w:eastAsia="zh-CN"/>
              </w:rPr>
            </w:pPr>
            <w:r>
              <w:rPr>
                <w:rFonts w:hint="eastAsia" w:ascii="仿宋" w:hAnsi="仿宋" w:eastAsia="仿宋" w:cs="仿宋"/>
                <w:color w:val="000000"/>
                <w:sz w:val="22"/>
                <w:szCs w:val="22"/>
                <w:lang w:bidi="ar"/>
              </w:rPr>
              <w:t>3</w:t>
            </w:r>
            <w:r>
              <w:rPr>
                <w:rFonts w:hint="eastAsia" w:ascii="仿宋" w:hAnsi="仿宋" w:eastAsia="仿宋" w:cs="仿宋"/>
                <w:color w:val="000000"/>
                <w:sz w:val="22"/>
                <w:szCs w:val="22"/>
                <w:lang w:val="en-US" w:eastAsia="zh-CN" w:bidi="ar"/>
              </w:rPr>
              <w:t>7</w:t>
            </w:r>
          </w:p>
        </w:tc>
        <w:tc>
          <w:tcPr>
            <w:tcW w:w="883" w:type="dxa"/>
            <w:vMerge w:val="continue"/>
            <w:tcBorders>
              <w:top w:val="single" w:color="000000" w:sz="4" w:space="0"/>
              <w:left w:val="single" w:color="auto" w:sz="4" w:space="0"/>
              <w:bottom w:val="nil"/>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饮用水 </w:t>
            </w:r>
          </w:p>
        </w:tc>
        <w:tc>
          <w:tcPr>
            <w:tcW w:w="5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 xml:space="preserve"> 24瓶装饮用水 </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项</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50</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hint="eastAsia" w:ascii="仿宋" w:hAnsi="仿宋" w:eastAsia="仿宋" w:cs="仿宋"/>
                <w:color w:val="000000"/>
                <w:sz w:val="22"/>
                <w:szCs w:val="22"/>
                <w:lang w:eastAsia="zh-CN"/>
              </w:rPr>
            </w:pPr>
            <w:r>
              <w:rPr>
                <w:rFonts w:hint="eastAsia" w:ascii="仿宋" w:hAnsi="仿宋" w:eastAsia="仿宋" w:cs="仿宋"/>
                <w:color w:val="000000"/>
                <w:sz w:val="22"/>
                <w:szCs w:val="22"/>
                <w:lang w:bidi="ar"/>
              </w:rPr>
              <w:t>3</w:t>
            </w:r>
            <w:r>
              <w:rPr>
                <w:rFonts w:hint="eastAsia" w:ascii="仿宋" w:hAnsi="仿宋" w:eastAsia="仿宋" w:cs="仿宋"/>
                <w:color w:val="000000"/>
                <w:sz w:val="22"/>
                <w:szCs w:val="22"/>
                <w:lang w:val="en-US" w:eastAsia="zh-CN" w:bidi="ar"/>
              </w:rPr>
              <w:t>8</w:t>
            </w:r>
          </w:p>
        </w:tc>
        <w:tc>
          <w:tcPr>
            <w:tcW w:w="883"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其他</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工作人员交通费</w:t>
            </w:r>
          </w:p>
        </w:tc>
        <w:tc>
          <w:tcPr>
            <w:tcW w:w="5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裁判、竞赛工作人员往返交通补贴</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项</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r>
      <w:tr>
        <w:tblPrEx>
          <w:tblLayout w:type="fixed"/>
          <w:tblCellMar>
            <w:top w:w="0" w:type="dxa"/>
            <w:left w:w="0" w:type="dxa"/>
            <w:bottom w:w="0" w:type="dxa"/>
            <w:right w:w="0" w:type="dxa"/>
          </w:tblCellMar>
        </w:tblPrEx>
        <w:trPr>
          <w:trHeight w:val="52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hint="default"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bidi="ar"/>
              </w:rPr>
              <w:t>39</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工作人员住宿费</w:t>
            </w:r>
          </w:p>
        </w:tc>
        <w:tc>
          <w:tcPr>
            <w:tcW w:w="5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裁判、竞赛工作人员住宿费（13个房间2晚共26晚）</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晚</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26</w:t>
            </w:r>
          </w:p>
        </w:tc>
      </w:tr>
      <w:tr>
        <w:tblPrEx>
          <w:tblLayout w:type="fixed"/>
          <w:tblCellMar>
            <w:top w:w="0" w:type="dxa"/>
            <w:left w:w="0" w:type="dxa"/>
            <w:bottom w:w="0" w:type="dxa"/>
            <w:right w:w="0" w:type="dxa"/>
          </w:tblCellMar>
        </w:tblPrEx>
        <w:trPr>
          <w:trHeight w:val="533" w:hRule="atLeast"/>
        </w:trPr>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bidi="ar"/>
              </w:rPr>
              <w:t>4</w:t>
            </w:r>
            <w:r>
              <w:rPr>
                <w:rFonts w:hint="eastAsia" w:ascii="仿宋" w:hAnsi="仿宋" w:eastAsia="仿宋" w:cs="仿宋"/>
                <w:color w:val="000000"/>
                <w:sz w:val="22"/>
                <w:szCs w:val="22"/>
                <w:lang w:val="en-US" w:eastAsia="zh-CN" w:bidi="ar"/>
              </w:rPr>
              <w:t>0</w:t>
            </w: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 w:hAnsi="仿宋" w:eastAsia="仿宋" w:cs="仿宋"/>
                <w:color w:val="000000"/>
                <w:sz w:val="22"/>
                <w:szCs w:val="22"/>
              </w:rPr>
            </w:pP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赛事系统</w:t>
            </w:r>
          </w:p>
        </w:tc>
        <w:tc>
          <w:tcPr>
            <w:tcW w:w="5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赛事报名及成绩统计系统</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项</w:t>
            </w:r>
          </w:p>
        </w:tc>
        <w:tc>
          <w:tcPr>
            <w:tcW w:w="4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lang w:bidi="ar"/>
              </w:rPr>
              <w:t>1</w:t>
            </w:r>
          </w:p>
        </w:tc>
      </w:tr>
    </w:tbl>
    <w:p>
      <w:pPr>
        <w:spacing w:line="520" w:lineRule="exact"/>
        <w:ind w:firstLine="480" w:firstLineChars="200"/>
        <w:rPr>
          <w:rFonts w:hint="eastAsia" w:ascii="仿宋" w:hAnsi="仿宋" w:eastAsia="仿宋"/>
          <w:color w:val="000000"/>
        </w:rPr>
      </w:pPr>
      <w:r>
        <w:rPr>
          <w:rFonts w:hint="eastAsia" w:ascii="仿宋" w:hAnsi="仿宋" w:eastAsia="仿宋"/>
          <w:color w:val="000000"/>
        </w:rPr>
        <w:t>备注：</w:t>
      </w:r>
    </w:p>
    <w:p>
      <w:pPr>
        <w:spacing w:line="520" w:lineRule="exact"/>
        <w:ind w:firstLine="480" w:firstLineChars="200"/>
        <w:rPr>
          <w:rFonts w:hint="eastAsia" w:ascii="仿宋" w:hAnsi="仿宋" w:eastAsia="仿宋"/>
          <w:color w:val="000000"/>
        </w:rPr>
      </w:pPr>
      <w:r>
        <w:rPr>
          <w:rFonts w:hint="eastAsia" w:ascii="仿宋" w:hAnsi="仿宋" w:eastAsia="仿宋"/>
          <w:color w:val="000000"/>
        </w:rPr>
        <w:t>1.本表所列项目为预计所需项目，采购人后期在项目执行过程中可根据实际情况进行微调。</w:t>
      </w:r>
    </w:p>
    <w:p>
      <w:pPr>
        <w:spacing w:line="520" w:lineRule="exact"/>
        <w:ind w:firstLine="480" w:firstLineChars="200"/>
        <w:rPr>
          <w:rFonts w:hint="eastAsia" w:ascii="仿宋" w:hAnsi="仿宋" w:eastAsia="仿宋"/>
          <w:color w:val="000000"/>
        </w:rPr>
      </w:pPr>
      <w:r>
        <w:rPr>
          <w:rFonts w:hint="eastAsia" w:ascii="仿宋" w:hAnsi="仿宋" w:eastAsia="仿宋"/>
          <w:color w:val="000000"/>
        </w:rPr>
        <w:t>2.场地布置部分最终需求以采购人与成交供应商在现场共同确定为准。</w:t>
      </w:r>
    </w:p>
    <w:p>
      <w:pPr>
        <w:spacing w:line="520" w:lineRule="exact"/>
        <w:ind w:firstLine="480" w:firstLineChars="200"/>
        <w:rPr>
          <w:rFonts w:hint="eastAsia" w:ascii="仿宋" w:hAnsi="仿宋" w:eastAsia="仿宋"/>
          <w:color w:val="000000"/>
        </w:rPr>
      </w:pPr>
      <w:r>
        <w:rPr>
          <w:rFonts w:hint="eastAsia" w:ascii="仿宋" w:hAnsi="仿宋" w:eastAsia="仿宋"/>
          <w:color w:val="000000"/>
        </w:rPr>
        <w:t>3.如有数量不明确的部分分项，以采购人最终安排为准。</w:t>
      </w:r>
    </w:p>
    <w:p>
      <w:pPr>
        <w:pStyle w:val="5"/>
        <w:spacing w:before="0" w:after="0" w:line="240" w:lineRule="auto"/>
        <w:rPr>
          <w:rFonts w:ascii="仿宋" w:hAnsi="仿宋" w:eastAsia="仿宋" w:cs="宋体"/>
          <w:color w:val="000000"/>
        </w:rPr>
      </w:pPr>
      <w:r>
        <w:rPr>
          <w:rFonts w:hint="eastAsia" w:ascii="仿宋" w:hAnsi="仿宋" w:eastAsia="仿宋"/>
          <w:sz w:val="24"/>
          <w:szCs w:val="24"/>
        </w:rPr>
        <w:t>※三、服务及质量需求</w:t>
      </w:r>
      <w:bookmarkStart w:id="95" w:name="_Toc195108746"/>
    </w:p>
    <w:p>
      <w:pPr>
        <w:spacing w:line="520" w:lineRule="exact"/>
        <w:ind w:firstLine="480" w:firstLineChars="200"/>
        <w:rPr>
          <w:rFonts w:ascii="仿宋" w:hAnsi="仿宋" w:eastAsia="仿宋"/>
          <w:color w:val="000000"/>
        </w:rPr>
      </w:pPr>
      <w:r>
        <w:rPr>
          <w:rFonts w:hint="eastAsia" w:ascii="仿宋" w:hAnsi="仿宋" w:eastAsia="仿宋"/>
          <w:color w:val="000000"/>
        </w:rPr>
        <w:t>1、竞赛内容</w:t>
      </w:r>
    </w:p>
    <w:p>
      <w:pPr>
        <w:spacing w:line="520" w:lineRule="exact"/>
        <w:ind w:firstLine="480" w:firstLineChars="200"/>
        <w:rPr>
          <w:rFonts w:ascii="仿宋" w:hAnsi="仿宋" w:eastAsia="仿宋"/>
          <w:color w:val="000000"/>
        </w:rPr>
      </w:pPr>
      <w:r>
        <w:rPr>
          <w:rFonts w:hint="eastAsia" w:ascii="仿宋" w:hAnsi="仿宋" w:eastAsia="仿宋"/>
          <w:color w:val="000000"/>
        </w:rPr>
        <w:t>陆地冰壶</w:t>
      </w:r>
    </w:p>
    <w:p>
      <w:pPr>
        <w:spacing w:line="520" w:lineRule="exact"/>
        <w:ind w:firstLine="480" w:firstLineChars="200"/>
        <w:rPr>
          <w:rFonts w:ascii="仿宋" w:hAnsi="仿宋" w:eastAsia="仿宋"/>
          <w:color w:val="000000"/>
        </w:rPr>
      </w:pPr>
      <w:r>
        <w:rPr>
          <w:rFonts w:hint="eastAsia" w:ascii="仿宋" w:hAnsi="仿宋" w:eastAsia="仿宋"/>
          <w:color w:val="000000"/>
        </w:rPr>
        <w:t>2、参赛单位</w:t>
      </w:r>
    </w:p>
    <w:p>
      <w:pPr>
        <w:spacing w:line="520" w:lineRule="exact"/>
        <w:ind w:firstLine="480" w:firstLineChars="200"/>
        <w:rPr>
          <w:rFonts w:ascii="仿宋" w:hAnsi="仿宋" w:eastAsia="仿宋"/>
          <w:color w:val="000000"/>
        </w:rPr>
      </w:pPr>
      <w:r>
        <w:rPr>
          <w:rFonts w:hint="eastAsia" w:ascii="仿宋" w:hAnsi="仿宋" w:eastAsia="仿宋"/>
          <w:color w:val="000000"/>
        </w:rPr>
        <w:t>各陆地冰壶开展学校、俱乐部等单位</w:t>
      </w:r>
    </w:p>
    <w:p>
      <w:pPr>
        <w:spacing w:line="520" w:lineRule="exact"/>
        <w:ind w:firstLine="480" w:firstLineChars="200"/>
        <w:rPr>
          <w:rFonts w:ascii="仿宋" w:hAnsi="仿宋" w:eastAsia="仿宋"/>
          <w:color w:val="000000"/>
        </w:rPr>
      </w:pPr>
      <w:r>
        <w:rPr>
          <w:rFonts w:hint="eastAsia" w:ascii="仿宋" w:hAnsi="仿宋" w:eastAsia="仿宋"/>
          <w:color w:val="000000"/>
        </w:rPr>
        <w:t>3、录取名次及奖励办法</w:t>
      </w:r>
    </w:p>
    <w:p>
      <w:pPr>
        <w:spacing w:line="520" w:lineRule="exact"/>
        <w:ind w:firstLine="480" w:firstLineChars="200"/>
        <w:rPr>
          <w:rFonts w:ascii="仿宋" w:hAnsi="仿宋" w:eastAsia="仿宋"/>
          <w:color w:val="000000"/>
        </w:rPr>
      </w:pPr>
      <w:r>
        <w:rPr>
          <w:rFonts w:hint="eastAsia" w:ascii="仿宋" w:hAnsi="仿宋" w:eastAsia="仿宋"/>
          <w:color w:val="000000"/>
        </w:rPr>
        <w:t>3.1各组别前8名颁发证书，前3名颁发奖杯、奖牌及奖品；</w:t>
      </w:r>
    </w:p>
    <w:p>
      <w:pPr>
        <w:spacing w:line="520" w:lineRule="exact"/>
        <w:ind w:firstLine="480" w:firstLineChars="200"/>
        <w:rPr>
          <w:rFonts w:ascii="仿宋" w:hAnsi="仿宋" w:eastAsia="仿宋"/>
          <w:color w:val="000000"/>
        </w:rPr>
      </w:pPr>
      <w:r>
        <w:rPr>
          <w:rFonts w:hint="eastAsia" w:ascii="仿宋" w:hAnsi="仿宋" w:eastAsia="仿宋"/>
          <w:color w:val="000000"/>
        </w:rPr>
        <w:t>3.2若该组别参赛队伍少于8队，减1录取，少于3队，取消该组别比赛；</w:t>
      </w:r>
    </w:p>
    <w:p>
      <w:pPr>
        <w:spacing w:line="520" w:lineRule="exact"/>
        <w:ind w:firstLine="480" w:firstLineChars="200"/>
        <w:rPr>
          <w:rFonts w:ascii="仿宋" w:hAnsi="仿宋" w:eastAsia="仿宋"/>
          <w:color w:val="000000"/>
        </w:rPr>
      </w:pPr>
      <w:r>
        <w:rPr>
          <w:rFonts w:hint="eastAsia" w:ascii="仿宋" w:hAnsi="仿宋" w:eastAsia="仿宋"/>
          <w:color w:val="000000"/>
        </w:rPr>
        <w:t>4、竞赛办法</w:t>
      </w:r>
    </w:p>
    <w:p>
      <w:pPr>
        <w:spacing w:line="520" w:lineRule="exact"/>
        <w:ind w:firstLine="480" w:firstLineChars="200"/>
        <w:rPr>
          <w:rFonts w:ascii="仿宋" w:hAnsi="仿宋" w:eastAsia="仿宋"/>
          <w:color w:val="000000"/>
        </w:rPr>
      </w:pPr>
      <w:r>
        <w:rPr>
          <w:rFonts w:hint="eastAsia" w:ascii="仿宋" w:hAnsi="仿宋" w:eastAsia="仿宋"/>
          <w:color w:val="000000"/>
        </w:rPr>
        <w:t>4.1竞赛规则：以世界冰壶联合会最新审定的冰壶项目竞赛规则并结合重庆市陆地冰壶赛事相关规定为标准。</w:t>
      </w:r>
    </w:p>
    <w:p>
      <w:pPr>
        <w:spacing w:line="520" w:lineRule="exact"/>
        <w:ind w:firstLine="480" w:firstLineChars="200"/>
        <w:rPr>
          <w:rFonts w:ascii="仿宋" w:hAnsi="仿宋" w:eastAsia="仿宋"/>
          <w:color w:val="000000"/>
        </w:rPr>
      </w:pPr>
      <w:r>
        <w:rPr>
          <w:rFonts w:hint="eastAsia" w:ascii="仿宋" w:hAnsi="仿宋" w:eastAsia="仿宋"/>
          <w:color w:val="000000"/>
        </w:rPr>
        <w:t>4.2赛制：第一阶段分组单循环，第二阶段交叉晋级。</w:t>
      </w:r>
    </w:p>
    <w:p>
      <w:pPr>
        <w:spacing w:line="520" w:lineRule="exact"/>
        <w:ind w:firstLine="480" w:firstLineChars="200"/>
        <w:rPr>
          <w:rFonts w:ascii="仿宋" w:hAnsi="仿宋" w:eastAsia="仿宋"/>
          <w:color w:val="000000"/>
        </w:rPr>
      </w:pPr>
      <w:r>
        <w:rPr>
          <w:rFonts w:hint="eastAsia" w:ascii="仿宋" w:hAnsi="仿宋" w:eastAsia="仿宋"/>
          <w:color w:val="000000"/>
        </w:rPr>
        <w:t>4.3比赛过程中，恶意犯规影响他人者本次比赛成绩无效，取消比赛资格。</w:t>
      </w:r>
    </w:p>
    <w:p>
      <w:pPr>
        <w:spacing w:line="520" w:lineRule="exact"/>
        <w:ind w:firstLine="480" w:firstLineChars="200"/>
        <w:rPr>
          <w:rFonts w:ascii="仿宋" w:hAnsi="仿宋" w:eastAsia="仿宋"/>
          <w:color w:val="000000"/>
        </w:rPr>
      </w:pPr>
      <w:r>
        <w:rPr>
          <w:rFonts w:hint="eastAsia" w:ascii="仿宋" w:hAnsi="仿宋" w:eastAsia="仿宋"/>
          <w:color w:val="000000"/>
        </w:rPr>
        <w:t>4.4检录时，点名三次未到者，按弃权处理。</w:t>
      </w:r>
    </w:p>
    <w:p>
      <w:pPr>
        <w:spacing w:line="520" w:lineRule="exact"/>
        <w:ind w:firstLine="480" w:firstLineChars="200"/>
        <w:rPr>
          <w:rFonts w:ascii="仿宋" w:hAnsi="仿宋" w:eastAsia="仿宋"/>
          <w:color w:val="000000"/>
        </w:rPr>
      </w:pPr>
      <w:r>
        <w:rPr>
          <w:rFonts w:hint="eastAsia" w:ascii="仿宋" w:hAnsi="仿宋" w:eastAsia="仿宋"/>
          <w:color w:val="000000"/>
        </w:rPr>
        <w:t>4.5每场比赛采用偶数局进行，如双方平手，附加一局比赛。每局比赛离圆心最近的一方且超过对方的所有壶都可以得分，一壶计一分，最终根据得分判断胜负。</w:t>
      </w:r>
    </w:p>
    <w:p>
      <w:pPr>
        <w:spacing w:line="520" w:lineRule="exact"/>
        <w:ind w:firstLine="480" w:firstLineChars="200"/>
        <w:rPr>
          <w:rFonts w:ascii="仿宋" w:hAnsi="仿宋" w:eastAsia="仿宋"/>
          <w:color w:val="000000"/>
        </w:rPr>
      </w:pPr>
      <w:r>
        <w:rPr>
          <w:rFonts w:hint="eastAsia" w:ascii="仿宋" w:hAnsi="仿宋" w:eastAsia="仿宋"/>
          <w:color w:val="000000"/>
        </w:rPr>
        <w:t>4.6比赛胜一场得3分，负一场得1分，弃权得0分。积分高者名次列前，如积分相同，先查胜负关系，再查LSD。</w:t>
      </w:r>
    </w:p>
    <w:p>
      <w:pPr>
        <w:spacing w:line="520" w:lineRule="exact"/>
        <w:ind w:firstLine="480" w:firstLineChars="200"/>
        <w:rPr>
          <w:rFonts w:ascii="仿宋" w:hAnsi="仿宋" w:eastAsia="仿宋"/>
          <w:color w:val="000000"/>
        </w:rPr>
      </w:pPr>
      <w:r>
        <w:rPr>
          <w:rFonts w:hint="eastAsia" w:ascii="仿宋" w:hAnsi="仿宋" w:eastAsia="仿宋"/>
          <w:color w:val="000000"/>
        </w:rPr>
        <w:t>4.7其他：投壶顺序，每场比赛开始前LSD距离短者为后手；每场比赛2次暂停机会（每队1次）、每次1分钟。</w:t>
      </w:r>
    </w:p>
    <w:p>
      <w:pPr>
        <w:spacing w:line="520" w:lineRule="exact"/>
        <w:ind w:firstLine="480" w:firstLineChars="200"/>
        <w:rPr>
          <w:rFonts w:ascii="仿宋" w:hAnsi="仿宋" w:eastAsia="仿宋"/>
          <w:color w:val="000000"/>
        </w:rPr>
      </w:pPr>
      <w:r>
        <w:rPr>
          <w:rFonts w:hint="eastAsia" w:ascii="仿宋" w:hAnsi="仿宋" w:eastAsia="仿宋"/>
          <w:color w:val="000000"/>
        </w:rPr>
        <w:t>4.8禁止跨组别参赛，凡参赛运动员资格不符合规定者，立即取消所得成绩、名次、奖励，并通报批评。</w:t>
      </w:r>
    </w:p>
    <w:p>
      <w:pPr>
        <w:spacing w:line="520" w:lineRule="exact"/>
        <w:ind w:firstLine="480" w:firstLineChars="200"/>
        <w:rPr>
          <w:rFonts w:ascii="仿宋" w:hAnsi="仿宋" w:eastAsia="仿宋"/>
          <w:color w:val="000000"/>
        </w:rPr>
      </w:pPr>
      <w:r>
        <w:rPr>
          <w:rFonts w:hint="eastAsia" w:ascii="仿宋" w:hAnsi="仿宋" w:eastAsia="仿宋"/>
          <w:color w:val="000000"/>
        </w:rPr>
        <w:t>4.9比赛过程中，恶意犯规影响他人者本次比赛成绩无效，取消比赛资格。</w:t>
      </w:r>
    </w:p>
    <w:p>
      <w:pPr>
        <w:spacing w:line="520" w:lineRule="exact"/>
        <w:ind w:firstLine="480" w:firstLineChars="200"/>
        <w:rPr>
          <w:rFonts w:ascii="仿宋" w:hAnsi="仿宋" w:eastAsia="仿宋"/>
          <w:color w:val="000000"/>
        </w:rPr>
      </w:pPr>
      <w:r>
        <w:rPr>
          <w:rFonts w:hint="eastAsia" w:ascii="仿宋" w:hAnsi="仿宋" w:eastAsia="仿宋"/>
          <w:color w:val="000000"/>
        </w:rPr>
        <w:t>5、场地、器材</w:t>
      </w:r>
    </w:p>
    <w:p>
      <w:pPr>
        <w:spacing w:line="520" w:lineRule="exact"/>
        <w:ind w:firstLine="480" w:firstLineChars="200"/>
        <w:rPr>
          <w:rFonts w:ascii="仿宋" w:hAnsi="仿宋" w:eastAsia="仿宋"/>
          <w:color w:val="000000"/>
        </w:rPr>
      </w:pPr>
      <w:r>
        <w:rPr>
          <w:rFonts w:hint="eastAsia" w:ascii="仿宋" w:hAnsi="仿宋" w:eastAsia="仿宋"/>
          <w:color w:val="000000"/>
        </w:rPr>
        <w:t>比赛器材采用专业比赛陆地冰壶项目使用器材，冰壶为圆形，壶体内壳材质为高聚物聚丙烯；壶体外壳材质为软橡胶质，带滑轮；赛道为地胶材质，单条长11m，宽2m。</w:t>
      </w:r>
    </w:p>
    <w:p>
      <w:pPr>
        <w:spacing w:line="520" w:lineRule="exact"/>
        <w:ind w:firstLine="480" w:firstLineChars="200"/>
        <w:rPr>
          <w:rFonts w:ascii="仿宋" w:hAnsi="仿宋" w:eastAsia="仿宋"/>
          <w:color w:val="000000"/>
        </w:rPr>
      </w:pPr>
      <w:r>
        <w:rPr>
          <w:rFonts w:hint="eastAsia" w:ascii="仿宋" w:hAnsi="仿宋" w:eastAsia="仿宋"/>
          <w:color w:val="000000"/>
        </w:rPr>
        <w:t>6、其他</w:t>
      </w:r>
    </w:p>
    <w:p>
      <w:pPr>
        <w:spacing w:line="520" w:lineRule="exact"/>
        <w:ind w:firstLine="480" w:firstLineChars="200"/>
        <w:rPr>
          <w:rFonts w:ascii="仿宋" w:hAnsi="仿宋" w:eastAsia="仿宋"/>
          <w:color w:val="000000"/>
        </w:rPr>
      </w:pPr>
      <w:r>
        <w:rPr>
          <w:rFonts w:hint="eastAsia" w:ascii="仿宋" w:hAnsi="仿宋" w:eastAsia="仿宋"/>
          <w:color w:val="000000"/>
          <w:lang w:val="en-US" w:eastAsia="zh-CN"/>
        </w:rPr>
        <w:t>6</w:t>
      </w:r>
      <w:r>
        <w:rPr>
          <w:rFonts w:hint="eastAsia" w:ascii="仿宋" w:hAnsi="仿宋" w:eastAsia="仿宋"/>
          <w:color w:val="000000"/>
        </w:rPr>
        <w:t>.1主办单位有权无偿使用运动员的图片、录像等进行旨在促进陆地冰壶运动发展的各项宣传、推广活动；</w:t>
      </w:r>
    </w:p>
    <w:p>
      <w:pPr>
        <w:spacing w:line="520" w:lineRule="exact"/>
        <w:ind w:firstLine="480" w:firstLineChars="200"/>
        <w:rPr>
          <w:rFonts w:ascii="仿宋" w:hAnsi="仿宋" w:eastAsia="仿宋"/>
          <w:color w:val="000000"/>
        </w:rPr>
      </w:pPr>
      <w:r>
        <w:rPr>
          <w:rFonts w:hint="eastAsia" w:ascii="仿宋" w:hAnsi="仿宋" w:eastAsia="仿宋"/>
          <w:color w:val="000000"/>
          <w:lang w:val="en-US" w:eastAsia="zh-CN"/>
        </w:rPr>
        <w:t>6</w:t>
      </w:r>
      <w:r>
        <w:rPr>
          <w:rFonts w:hint="eastAsia" w:ascii="仿宋" w:hAnsi="仿宋" w:eastAsia="仿宋"/>
          <w:color w:val="000000"/>
        </w:rPr>
        <w:t>.2填写报名表并前来参赛视为同意规程的一切规定；</w:t>
      </w:r>
    </w:p>
    <w:p>
      <w:pPr>
        <w:spacing w:line="520" w:lineRule="exact"/>
        <w:ind w:firstLine="480" w:firstLineChars="200"/>
        <w:rPr>
          <w:rFonts w:ascii="仿宋" w:hAnsi="仿宋" w:eastAsia="仿宋"/>
          <w:color w:val="000000"/>
        </w:rPr>
      </w:pPr>
      <w:r>
        <w:rPr>
          <w:rFonts w:hint="eastAsia" w:ascii="仿宋" w:hAnsi="仿宋" w:eastAsia="仿宋"/>
          <w:color w:val="000000"/>
          <w:lang w:val="en-US" w:eastAsia="zh-CN"/>
        </w:rPr>
        <w:t>6</w:t>
      </w:r>
      <w:r>
        <w:rPr>
          <w:rFonts w:hint="eastAsia" w:ascii="仿宋" w:hAnsi="仿宋" w:eastAsia="仿宋"/>
          <w:color w:val="000000"/>
        </w:rPr>
        <w:t>.3参赛运动员须在参赛保证书上签字，否则视为无效报名；</w:t>
      </w:r>
    </w:p>
    <w:p>
      <w:pPr>
        <w:pStyle w:val="5"/>
        <w:spacing w:before="0" w:after="0" w:line="240" w:lineRule="auto"/>
        <w:rPr>
          <w:rFonts w:ascii="仿宋" w:hAnsi="仿宋" w:eastAsia="仿宋"/>
          <w:sz w:val="24"/>
          <w:szCs w:val="24"/>
        </w:rPr>
      </w:pPr>
      <w:bookmarkStart w:id="96" w:name="_Toc198128347"/>
      <w:r>
        <w:rPr>
          <w:rFonts w:hint="eastAsia" w:ascii="仿宋" w:hAnsi="仿宋" w:eastAsia="仿宋"/>
          <w:sz w:val="24"/>
          <w:szCs w:val="24"/>
        </w:rPr>
        <w:t>※四、安全保障要求</w:t>
      </w:r>
      <w:bookmarkEnd w:id="96"/>
    </w:p>
    <w:p>
      <w:pPr>
        <w:spacing w:line="520" w:lineRule="exact"/>
        <w:ind w:firstLine="480" w:firstLineChars="200"/>
        <w:rPr>
          <w:rFonts w:hint="eastAsia" w:ascii="仿宋" w:hAnsi="仿宋" w:eastAsia="仿宋"/>
          <w:color w:val="000000"/>
        </w:rPr>
      </w:pPr>
      <w:r>
        <w:rPr>
          <w:rFonts w:hint="eastAsia" w:ascii="仿宋" w:hAnsi="仿宋" w:eastAsia="仿宋"/>
          <w:color w:val="000000"/>
        </w:rPr>
        <w:t>（一）赛事期间由</w:t>
      </w:r>
      <w:r>
        <w:rPr>
          <w:rFonts w:hint="eastAsia" w:ascii="仿宋" w:hAnsi="仿宋" w:eastAsia="仿宋"/>
          <w:color w:val="000000"/>
          <w:lang w:val="en-US" w:eastAsia="zh-CN"/>
        </w:rPr>
        <w:t>供应商</w:t>
      </w:r>
      <w:r>
        <w:rPr>
          <w:rFonts w:hint="eastAsia" w:ascii="仿宋" w:hAnsi="仿宋" w:eastAsia="仿宋"/>
          <w:color w:val="000000"/>
        </w:rPr>
        <w:t>协调组织成立现场安保临时指挥部，应对处理突发事件。确保比赛期间不发生爆炸、枪击、绑架等恐怖事件，确保运动员的人生财产安全，确保不发生大的群众性阻拦事件，确保不发生不法分子搞破坏活动等重大安全责任事故。</w:t>
      </w:r>
    </w:p>
    <w:p>
      <w:pPr>
        <w:spacing w:line="520" w:lineRule="exact"/>
        <w:ind w:firstLine="480" w:firstLineChars="200"/>
        <w:rPr>
          <w:rFonts w:hint="eastAsia" w:ascii="仿宋" w:hAnsi="仿宋" w:eastAsia="仿宋"/>
          <w:color w:val="000000"/>
        </w:rPr>
      </w:pPr>
      <w:r>
        <w:rPr>
          <w:rFonts w:hint="eastAsia" w:ascii="仿宋" w:hAnsi="仿宋" w:eastAsia="仿宋"/>
          <w:color w:val="000000"/>
        </w:rPr>
        <w:t>（二）比赛开始后参赛选手队伍的检录情况进行场地管控。各于参赛队伍到达前进行及时清场和封闭，为保障赛事的正常进行,供应商需在各出入口派驻安保力量维持秩序。</w:t>
      </w:r>
    </w:p>
    <w:p>
      <w:pPr>
        <w:spacing w:line="520" w:lineRule="exact"/>
        <w:ind w:firstLine="480" w:firstLineChars="200"/>
        <w:rPr>
          <w:rFonts w:hint="eastAsia" w:ascii="仿宋" w:hAnsi="仿宋" w:eastAsia="仿宋"/>
          <w:color w:val="000000"/>
          <w:lang w:val="en-US" w:eastAsia="zh-CN"/>
        </w:rPr>
      </w:pPr>
      <w:r>
        <w:rPr>
          <w:rFonts w:hint="eastAsia" w:ascii="仿宋" w:hAnsi="仿宋" w:eastAsia="仿宋"/>
          <w:color w:val="000000"/>
        </w:rPr>
        <w:t>（三）为保障赛事的顺利进行，根据赛事活动规模组织现场安排安全保卫人员全场监控管理。</w:t>
      </w:r>
    </w:p>
    <w:p>
      <w:pPr>
        <w:snapToGrid w:val="0"/>
        <w:spacing w:line="360" w:lineRule="auto"/>
        <w:ind w:firstLine="480" w:firstLineChars="200"/>
        <w:rPr>
          <w:rFonts w:hint="eastAsia" w:ascii="仿宋" w:hAnsi="仿宋" w:eastAsia="仿宋" w:cs="仿宋_GB2312"/>
          <w:lang w:val="en-US" w:eastAsia="zh-CN"/>
        </w:rPr>
      </w:pPr>
      <w:r>
        <w:rPr>
          <w:rFonts w:hint="eastAsia" w:ascii="仿宋" w:hAnsi="仿宋" w:eastAsia="仿宋" w:cs="仿宋_GB2312"/>
          <w:lang w:val="en-US" w:eastAsia="zh-CN"/>
        </w:rPr>
        <w:t>（四）供应商应对本项目执行期间（包括筹备、布置、实施、撤场等全过程）活动现场的安全保障工作承担全面、直接和唯一的责任，切实落实安全生产主体责任，确保现场秩序良好、安全可控。</w:t>
      </w:r>
    </w:p>
    <w:p>
      <w:pPr>
        <w:snapToGrid w:val="0"/>
        <w:spacing w:line="360" w:lineRule="auto"/>
        <w:ind w:firstLine="480" w:firstLineChars="200"/>
        <w:rPr>
          <w:rFonts w:hint="eastAsia" w:ascii="仿宋" w:hAnsi="仿宋" w:eastAsia="仿宋" w:cs="仿宋_GB2312"/>
          <w:lang w:val="en-US" w:eastAsia="zh-CN"/>
        </w:rPr>
      </w:pPr>
      <w:r>
        <w:rPr>
          <w:rFonts w:hint="eastAsia" w:ascii="仿宋" w:hAnsi="仿宋" w:eastAsia="仿宋" w:cs="仿宋_GB2312"/>
          <w:lang w:val="en-US" w:eastAsia="zh-CN"/>
        </w:rPr>
        <w:t>（五）因供应商或其工作人员、受聘人员管理不善、安全措施不到位、操作不当等原因，导致活动参与人员（含观众、嘉宾、媒体代表、参赛人员、工作人员等）或第三方发生人身伤害、财产损失、设备损毁或引发突发事件、安全事故的，所造成的一切法律责任和经济损失由供应商自行承担，与采购人无关。</w:t>
      </w:r>
    </w:p>
    <w:p>
      <w:pPr>
        <w:snapToGrid w:val="0"/>
        <w:spacing w:line="360" w:lineRule="auto"/>
        <w:ind w:firstLine="480" w:firstLineChars="200"/>
        <w:rPr>
          <w:rFonts w:hint="eastAsia" w:ascii="仿宋" w:hAnsi="仿宋" w:eastAsia="仿宋" w:cs="仿宋_GB2312"/>
          <w:lang w:val="en-US" w:eastAsia="zh-CN"/>
        </w:rPr>
      </w:pPr>
      <w:r>
        <w:rPr>
          <w:rFonts w:hint="eastAsia" w:ascii="仿宋" w:hAnsi="仿宋" w:eastAsia="仿宋" w:cs="仿宋_GB2312"/>
          <w:lang w:val="en-US" w:eastAsia="zh-CN"/>
        </w:rPr>
        <w:t>（六）如因此引发行政处罚、民事索赔或刑事责任的，供应商应自行承担并妥善处理，采购人有权向其追偿所受损失。采购人保留对因供应商安全责任不到位造成不良影响的情况下，追究违约责任及要求赔偿的权利</w:t>
      </w:r>
    </w:p>
    <w:p>
      <w:pPr>
        <w:pStyle w:val="5"/>
        <w:spacing w:before="0" w:after="0" w:line="360" w:lineRule="auto"/>
        <w:rPr>
          <w:rFonts w:ascii="仿宋" w:hAnsi="仿宋" w:eastAsia="仿宋" w:cs="宋体"/>
          <w:b/>
          <w:bCs/>
          <w:color w:val="auto"/>
          <w:sz w:val="24"/>
          <w:szCs w:val="24"/>
        </w:rPr>
      </w:pPr>
      <w:bookmarkStart w:id="97" w:name="_Toc198222520"/>
      <w:r>
        <w:rPr>
          <w:rFonts w:hint="eastAsia" w:ascii="仿宋" w:hAnsi="仿宋" w:eastAsia="仿宋" w:cs="宋体"/>
          <w:b/>
          <w:bCs/>
          <w:color w:val="auto"/>
          <w:sz w:val="24"/>
          <w:szCs w:val="24"/>
          <w:lang w:val="en-US" w:eastAsia="zh-CN"/>
        </w:rPr>
        <w:t>五</w:t>
      </w:r>
      <w:r>
        <w:rPr>
          <w:rFonts w:hint="eastAsia" w:ascii="仿宋" w:hAnsi="仿宋" w:eastAsia="仿宋" w:cs="宋体"/>
          <w:b/>
          <w:bCs/>
          <w:color w:val="auto"/>
          <w:sz w:val="24"/>
          <w:szCs w:val="24"/>
        </w:rPr>
        <w:t>、医疗保障要求</w:t>
      </w:r>
      <w:bookmarkEnd w:id="97"/>
    </w:p>
    <w:p>
      <w:pPr>
        <w:snapToGrid w:val="0"/>
        <w:spacing w:line="360" w:lineRule="auto"/>
        <w:ind w:firstLine="480" w:firstLineChars="200"/>
        <w:rPr>
          <w:rFonts w:ascii="仿宋" w:hAnsi="仿宋" w:eastAsia="仿宋" w:cs="仿宋_GB2312"/>
        </w:rPr>
      </w:pPr>
      <w:r>
        <w:rPr>
          <w:rFonts w:hint="eastAsia" w:ascii="仿宋" w:hAnsi="仿宋" w:eastAsia="仿宋" w:cs="仿宋_GB2312"/>
        </w:rPr>
        <w:t>（一）</w:t>
      </w:r>
      <w:r>
        <w:rPr>
          <w:rFonts w:ascii="仿宋" w:hAnsi="仿宋" w:eastAsia="仿宋" w:cs="仿宋_GB2312"/>
        </w:rPr>
        <w:t>基本要求：</w:t>
      </w:r>
    </w:p>
    <w:p>
      <w:pPr>
        <w:snapToGrid w:val="0"/>
        <w:spacing w:line="360" w:lineRule="auto"/>
        <w:ind w:firstLine="480" w:firstLineChars="200"/>
        <w:rPr>
          <w:rFonts w:ascii="仿宋" w:hAnsi="仿宋" w:eastAsia="仿宋" w:cs="仿宋_GB2312"/>
        </w:rPr>
      </w:pPr>
      <w:r>
        <w:rPr>
          <w:rFonts w:ascii="仿宋" w:hAnsi="仿宋" w:eastAsia="仿宋" w:cs="仿宋_GB2312"/>
        </w:rPr>
        <w:t>为确保比赛期间运动员、教练员、裁判员及现场工作人员的身体健康与生命安全，投标人须提供全程完善的医疗保障服务。服务内容须覆盖比赛前、比赛中和比赛后的全过程。</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（二）</w:t>
      </w:r>
      <w:r>
        <w:rPr>
          <w:rFonts w:ascii="仿宋" w:hAnsi="仿宋" w:eastAsia="仿宋" w:cs="仿宋_GB2312"/>
        </w:rPr>
        <w:t>服务内容：</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w:t>
      </w:r>
      <w:r>
        <w:rPr>
          <w:rFonts w:ascii="仿宋" w:hAnsi="仿宋" w:eastAsia="仿宋" w:cs="仿宋_GB2312"/>
        </w:rPr>
        <w:t>提供不少于2名具有急救资质的专业医护人员（须为持证上岗的注册医生或护士）全程驻场；</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w:t>
      </w:r>
      <w:r>
        <w:rPr>
          <w:rFonts w:ascii="仿宋" w:hAnsi="仿宋" w:eastAsia="仿宋" w:cs="仿宋_GB2312"/>
        </w:rPr>
        <w:t>配备1辆救护车，车上需具备基本急救设备（如心脏除颤器、氧气瓶、止血包、担架等）并随时待命，车辆需具备合法运营资质，司机熟悉场地交通路径；</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w:t>
      </w:r>
      <w:r>
        <w:rPr>
          <w:rFonts w:ascii="仿宋" w:hAnsi="仿宋" w:eastAsia="仿宋" w:cs="仿宋_GB2312"/>
        </w:rPr>
        <w:t>在比赛现场设置1个医疗保障点（或临时救护站），配备必要的急救药品、器材和清洁消毒物资，并设置明显标识；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w:t>
      </w:r>
      <w:r>
        <w:rPr>
          <w:rFonts w:ascii="仿宋" w:hAnsi="仿宋" w:eastAsia="仿宋" w:cs="仿宋_GB2312"/>
        </w:rPr>
        <w:t>制定应急预案，包括但不限于运动员受伤、突发疾病、群体性伤害等情况的快速反应与处置流程；</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5.</w:t>
      </w:r>
      <w:r>
        <w:rPr>
          <w:rFonts w:ascii="仿宋" w:hAnsi="仿宋" w:eastAsia="仿宋" w:cs="仿宋_GB2312"/>
        </w:rPr>
        <w:t>与当地具备接诊能力的二级及以上综合医院建立绿色转诊通道，确保紧急情况下可第一时间送医救治；</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6.</w:t>
      </w:r>
      <w:r>
        <w:rPr>
          <w:rFonts w:ascii="仿宋" w:hAnsi="仿宋" w:eastAsia="仿宋" w:cs="仿宋_GB2312"/>
        </w:rPr>
        <w:t>保障服务须覆盖比赛正式比赛日及前后不少于一天的筹备和收尾阶段。</w:t>
      </w:r>
    </w:p>
    <w:p>
      <w:pPr>
        <w:pStyle w:val="5"/>
        <w:spacing w:before="0" w:after="0" w:line="360" w:lineRule="auto"/>
        <w:rPr>
          <w:rFonts w:ascii="仿宋" w:hAnsi="仿宋" w:eastAsia="仿宋" w:cs="宋体"/>
          <w:b/>
          <w:bCs/>
          <w:color w:val="auto"/>
          <w:sz w:val="24"/>
          <w:szCs w:val="24"/>
        </w:rPr>
      </w:pPr>
      <w:bookmarkStart w:id="98" w:name="_Toc198222521"/>
      <w:r>
        <w:rPr>
          <w:rFonts w:hint="eastAsia" w:ascii="仿宋" w:hAnsi="仿宋" w:eastAsia="仿宋" w:cs="宋体"/>
          <w:b/>
          <w:bCs/>
          <w:color w:val="auto"/>
          <w:sz w:val="24"/>
          <w:szCs w:val="24"/>
          <w:lang w:val="en-US" w:eastAsia="zh-CN"/>
        </w:rPr>
        <w:t>六</w:t>
      </w:r>
      <w:r>
        <w:rPr>
          <w:rFonts w:hint="eastAsia" w:ascii="仿宋" w:hAnsi="仿宋" w:eastAsia="仿宋" w:cs="宋体"/>
          <w:b/>
          <w:bCs/>
          <w:color w:val="auto"/>
          <w:sz w:val="24"/>
          <w:szCs w:val="24"/>
        </w:rPr>
        <w:t>、</w:t>
      </w:r>
      <w:r>
        <w:rPr>
          <w:rFonts w:ascii="仿宋" w:hAnsi="仿宋" w:eastAsia="仿宋" w:cs="宋体"/>
          <w:b/>
          <w:bCs/>
          <w:color w:val="auto"/>
          <w:sz w:val="24"/>
          <w:szCs w:val="24"/>
        </w:rPr>
        <w:t>裁判员保障要求</w:t>
      </w:r>
      <w:bookmarkEnd w:id="98"/>
    </w:p>
    <w:p>
      <w:pPr>
        <w:snapToGrid w:val="0"/>
        <w:spacing w:line="360" w:lineRule="auto"/>
        <w:ind w:firstLine="480" w:firstLineChars="200"/>
        <w:rPr>
          <w:rFonts w:ascii="仿宋" w:hAnsi="仿宋" w:eastAsia="仿宋" w:cs="仿宋_GB2312"/>
        </w:rPr>
      </w:pPr>
      <w:r>
        <w:rPr>
          <w:rFonts w:ascii="仿宋" w:hAnsi="仿宋" w:eastAsia="仿宋" w:cs="仿宋_GB2312"/>
        </w:rPr>
        <w:t>本次比赛的裁判员由重庆市体育局直接统一指派。成交供应商需按照以下要求提供配套服务：</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w:t>
      </w:r>
      <w:r>
        <w:rPr>
          <w:rFonts w:ascii="仿宋" w:hAnsi="仿宋" w:eastAsia="仿宋" w:cs="仿宋_GB2312"/>
        </w:rPr>
        <w:t>成交供应商应根据采购人确认的标准，为全部裁判员提供工作期间的劳务补助。补助标准以采购人最终确认金额为准。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w:t>
      </w:r>
      <w:r>
        <w:rPr>
          <w:rFonts w:ascii="仿宋" w:hAnsi="仿宋" w:eastAsia="仿宋" w:cs="仿宋_GB2312"/>
        </w:rPr>
        <w:t>裁判员统一安排住宿，住宿酒店由采购人在梁平区城区范围内指定，供应商负责协调入住事宜并承担住宿费用。房型统一为标准间（每间入住2人），住宿时间为比赛前一日入住、比赛结束后次日退房（具体时间由采购人确认）。</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w:t>
      </w:r>
      <w:r>
        <w:rPr>
          <w:rFonts w:ascii="仿宋" w:hAnsi="仿宋" w:eastAsia="仿宋" w:cs="仿宋_GB2312"/>
        </w:rPr>
        <w:t>供应商须为裁判员提供必要的接待、引导、物资发放（如工作证、饮用水、便餐等）等后勤保障，确保其顺利完成赛事工作。</w:t>
      </w:r>
    </w:p>
    <w:p>
      <w:pPr>
        <w:pStyle w:val="5"/>
        <w:spacing w:before="0" w:after="0" w:line="360" w:lineRule="auto"/>
        <w:rPr>
          <w:rFonts w:ascii="仿宋" w:hAnsi="仿宋" w:eastAsia="仿宋" w:cs="宋体"/>
          <w:b/>
          <w:bCs/>
          <w:color w:val="auto"/>
          <w:sz w:val="24"/>
          <w:szCs w:val="24"/>
        </w:rPr>
      </w:pPr>
      <w:bookmarkStart w:id="99" w:name="_Toc198222522"/>
      <w:r>
        <w:rPr>
          <w:rFonts w:hint="eastAsia" w:ascii="仿宋" w:hAnsi="仿宋" w:eastAsia="仿宋" w:cs="宋体"/>
          <w:b/>
          <w:bCs/>
          <w:color w:val="auto"/>
          <w:sz w:val="24"/>
          <w:szCs w:val="24"/>
        </w:rPr>
        <w:t>七</w:t>
      </w:r>
      <w:r>
        <w:rPr>
          <w:rFonts w:ascii="仿宋" w:hAnsi="仿宋" w:eastAsia="仿宋" w:cs="宋体"/>
          <w:b/>
          <w:bCs/>
          <w:color w:val="auto"/>
          <w:sz w:val="24"/>
          <w:szCs w:val="24"/>
        </w:rPr>
        <w:t>、志愿者保障</w:t>
      </w:r>
      <w:bookmarkEnd w:id="99"/>
    </w:p>
    <w:p>
      <w:pPr>
        <w:snapToGrid w:val="0"/>
        <w:spacing w:line="360" w:lineRule="auto"/>
        <w:ind w:firstLine="480" w:firstLineChars="200"/>
        <w:rPr>
          <w:rFonts w:ascii="仿宋" w:hAnsi="仿宋" w:eastAsia="仿宋" w:cs="仿宋_GB2312"/>
        </w:rPr>
      </w:pPr>
      <w:r>
        <w:rPr>
          <w:rFonts w:hint="eastAsia" w:ascii="仿宋" w:hAnsi="仿宋" w:eastAsia="仿宋" w:cs="仿宋_GB2312"/>
        </w:rPr>
        <w:t>1.</w:t>
      </w:r>
      <w:r>
        <w:rPr>
          <w:rFonts w:ascii="仿宋" w:hAnsi="仿宋" w:eastAsia="仿宋" w:cs="仿宋_GB2312"/>
        </w:rPr>
        <w:t>志愿者由</w:t>
      </w:r>
      <w:r>
        <w:rPr>
          <w:rFonts w:hint="eastAsia" w:ascii="仿宋" w:hAnsi="仿宋" w:eastAsia="仿宋" w:cs="仿宋_GB2312"/>
        </w:rPr>
        <w:t>供应商</w:t>
      </w:r>
      <w:r>
        <w:rPr>
          <w:rFonts w:ascii="仿宋" w:hAnsi="仿宋" w:eastAsia="仿宋" w:cs="仿宋_GB2312"/>
        </w:rPr>
        <w:t>组织招募。</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w:t>
      </w:r>
      <w:r>
        <w:rPr>
          <w:rFonts w:ascii="仿宋" w:hAnsi="仿宋" w:eastAsia="仿宋" w:cs="仿宋_GB2312"/>
        </w:rPr>
        <w:t>成交供应商须按照采购人确认的标准为志愿者提供工作期间的补助。</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w:t>
      </w:r>
      <w:r>
        <w:rPr>
          <w:rFonts w:ascii="仿宋" w:hAnsi="仿宋" w:eastAsia="仿宋" w:cs="仿宋_GB2312"/>
        </w:rPr>
        <w:t>成交供应商应为志愿者提供工作期间的膳食（如盒饭或现场供餐）及饮用水，确保其完成赛事服务任务的基本需求。</w:t>
      </w:r>
    </w:p>
    <w:p>
      <w:pPr>
        <w:pStyle w:val="5"/>
        <w:spacing w:before="0" w:after="0" w:line="360" w:lineRule="auto"/>
        <w:rPr>
          <w:rFonts w:ascii="仿宋" w:hAnsi="仿宋" w:eastAsia="仿宋" w:cs="宋体"/>
          <w:b/>
          <w:bCs/>
          <w:color w:val="auto"/>
          <w:sz w:val="24"/>
          <w:szCs w:val="24"/>
        </w:rPr>
      </w:pPr>
      <w:bookmarkStart w:id="100" w:name="_Toc198222523"/>
      <w:r>
        <w:rPr>
          <w:rFonts w:hint="eastAsia" w:ascii="仿宋" w:hAnsi="仿宋" w:eastAsia="仿宋" w:cs="宋体"/>
          <w:b/>
          <w:bCs/>
          <w:color w:val="auto"/>
          <w:sz w:val="24"/>
          <w:szCs w:val="24"/>
          <w:lang w:val="en-US" w:eastAsia="zh-CN"/>
        </w:rPr>
        <w:t>八</w:t>
      </w:r>
      <w:r>
        <w:rPr>
          <w:rFonts w:ascii="仿宋" w:hAnsi="仿宋" w:eastAsia="仿宋" w:cs="宋体"/>
          <w:b/>
          <w:bCs/>
          <w:color w:val="auto"/>
          <w:sz w:val="24"/>
          <w:szCs w:val="24"/>
        </w:rPr>
        <w:t>、膳食服务要求</w:t>
      </w:r>
      <w:bookmarkEnd w:id="100"/>
    </w:p>
    <w:p>
      <w:pPr>
        <w:snapToGrid w:val="0"/>
        <w:spacing w:line="360" w:lineRule="auto"/>
        <w:ind w:firstLine="480" w:firstLineChars="200"/>
        <w:rPr>
          <w:rFonts w:ascii="仿宋" w:hAnsi="仿宋" w:eastAsia="仿宋" w:cs="仿宋_GB2312"/>
        </w:rPr>
      </w:pPr>
      <w:r>
        <w:rPr>
          <w:rFonts w:hint="eastAsia" w:ascii="仿宋" w:hAnsi="仿宋" w:eastAsia="仿宋" w:cs="仿宋_GB2312"/>
        </w:rPr>
        <w:t>1.</w:t>
      </w:r>
      <w:r>
        <w:rPr>
          <w:rFonts w:ascii="仿宋" w:hAnsi="仿宋" w:eastAsia="仿宋" w:cs="仿宋_GB2312"/>
        </w:rPr>
        <w:t>成交供应商须为以上裁判员、志愿者及医务人员提供统一、规范的膳食服务，确保食品安全、数量充足、搭配合理。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w:t>
      </w:r>
      <w:r>
        <w:rPr>
          <w:rFonts w:ascii="仿宋" w:hAnsi="仿宋" w:eastAsia="仿宋" w:cs="仿宋_GB2312"/>
        </w:rPr>
        <w:t>供餐应以熟食热餐为主，结合梁平区地域实际及饮食习惯，提供中式套餐或盒饭。</w:t>
      </w:r>
    </w:p>
    <w:p>
      <w:pPr>
        <w:snapToGrid w:val="0"/>
        <w:spacing w:line="360" w:lineRule="auto"/>
        <w:ind w:firstLine="480" w:firstLineChars="200"/>
        <w:rPr>
          <w:rFonts w:hint="eastAsia"/>
        </w:rPr>
      </w:pPr>
      <w:r>
        <w:rPr>
          <w:rFonts w:hint="eastAsia" w:ascii="仿宋" w:hAnsi="仿宋" w:eastAsia="仿宋" w:cs="仿宋_GB2312"/>
        </w:rPr>
        <w:t>3.</w:t>
      </w:r>
      <w:r>
        <w:rPr>
          <w:rFonts w:ascii="仿宋" w:hAnsi="仿宋" w:eastAsia="仿宋" w:cs="仿宋_GB2312"/>
        </w:rPr>
        <w:t>供应商</w:t>
      </w:r>
      <w:r>
        <w:rPr>
          <w:rFonts w:hint="eastAsia" w:ascii="仿宋" w:hAnsi="仿宋" w:eastAsia="仿宋" w:cs="仿宋_GB2312"/>
        </w:rPr>
        <w:t>安排的餐食供应商需具备</w:t>
      </w:r>
      <w:r>
        <w:rPr>
          <w:rFonts w:ascii="仿宋" w:hAnsi="仿宋" w:eastAsia="仿宋" w:cs="仿宋_GB2312"/>
        </w:rPr>
        <w:t>食品经营许可证，</w:t>
      </w:r>
      <w:r>
        <w:rPr>
          <w:rFonts w:hint="eastAsia" w:ascii="仿宋" w:hAnsi="仿宋" w:eastAsia="仿宋" w:cs="仿宋_GB2312"/>
        </w:rPr>
        <w:t>供应商</w:t>
      </w:r>
      <w:r>
        <w:rPr>
          <w:rFonts w:ascii="仿宋" w:hAnsi="仿宋" w:eastAsia="仿宋" w:cs="仿宋_GB2312"/>
        </w:rPr>
        <w:t>承担食品安全的主体责任。食物制作、运输及分发过程须符合国家食品卫生相关法律法规。</w:t>
      </w:r>
    </w:p>
    <w:p>
      <w:pPr>
        <w:pStyle w:val="5"/>
        <w:spacing w:before="0" w:after="0" w:line="240" w:lineRule="auto"/>
        <w:rPr>
          <w:rFonts w:ascii="仿宋" w:hAnsi="仿宋" w:eastAsia="仿宋"/>
          <w:sz w:val="24"/>
          <w:szCs w:val="24"/>
        </w:rPr>
      </w:pPr>
      <w:r>
        <w:rPr>
          <w:rFonts w:hint="eastAsia" w:ascii="仿宋" w:hAnsi="仿宋" w:eastAsia="仿宋"/>
          <w:sz w:val="24"/>
          <w:szCs w:val="24"/>
        </w:rPr>
        <w:t>※</w:t>
      </w:r>
      <w:r>
        <w:rPr>
          <w:rFonts w:hint="eastAsia" w:ascii="仿宋" w:hAnsi="仿宋" w:eastAsia="仿宋"/>
          <w:sz w:val="24"/>
          <w:szCs w:val="24"/>
          <w:lang w:val="en-US" w:eastAsia="zh-CN"/>
        </w:rPr>
        <w:t>九</w:t>
      </w:r>
      <w:r>
        <w:rPr>
          <w:rFonts w:hint="eastAsia" w:ascii="仿宋" w:hAnsi="仿宋" w:eastAsia="仿宋"/>
          <w:sz w:val="24"/>
          <w:szCs w:val="24"/>
        </w:rPr>
        <w:t>、踏勘现场</w:t>
      </w:r>
      <w:bookmarkEnd w:id="86"/>
      <w:bookmarkEnd w:id="94"/>
      <w:bookmarkEnd w:id="95"/>
    </w:p>
    <w:p>
      <w:pPr>
        <w:spacing w:line="520" w:lineRule="exact"/>
        <w:ind w:firstLine="480" w:firstLineChars="200"/>
      </w:pPr>
      <w:r>
        <w:rPr>
          <w:rFonts w:hint="eastAsia" w:ascii="仿宋" w:hAnsi="仿宋" w:eastAsia="仿宋"/>
          <w:color w:val="000000"/>
        </w:rPr>
        <w:t>采购人不组织统一踏勘，由各供应商自行决定是否现场踏勘，以便获取本项目编制响应文件和签署合同所需的所有数据。踏勘现场所发生的所有费用（包含因踏勘现场而造成的死亡、人身伤害、财产损失和产生的其他费用）均由供应商自行承担。供应商一旦中标，供应商不得以不完全了解现场情况为借口而提出额外赔偿或要求。</w:t>
      </w:r>
    </w:p>
    <w:bookmarkEnd w:id="87"/>
    <w:p>
      <w:pPr>
        <w:pStyle w:val="5"/>
        <w:spacing w:before="0" w:after="0" w:line="240" w:lineRule="auto"/>
        <w:rPr>
          <w:rFonts w:ascii="仿宋" w:hAnsi="仿宋" w:eastAsia="仿宋"/>
          <w:sz w:val="24"/>
          <w:szCs w:val="24"/>
        </w:rPr>
      </w:pPr>
      <w:bookmarkStart w:id="101" w:name="_Toc20694"/>
      <w:bookmarkStart w:id="102" w:name="_Toc177738098"/>
      <w:bookmarkStart w:id="103" w:name="_Toc195108747"/>
      <w:r>
        <w:rPr>
          <w:rFonts w:hint="eastAsia" w:ascii="仿宋" w:hAnsi="仿宋" w:eastAsia="仿宋"/>
          <w:sz w:val="24"/>
          <w:szCs w:val="24"/>
        </w:rPr>
        <w:t>※</w:t>
      </w:r>
      <w:r>
        <w:rPr>
          <w:rFonts w:hint="eastAsia" w:ascii="仿宋" w:hAnsi="仿宋" w:eastAsia="仿宋"/>
          <w:sz w:val="24"/>
          <w:szCs w:val="24"/>
          <w:lang w:val="en-US" w:eastAsia="zh-CN"/>
        </w:rPr>
        <w:t>十</w:t>
      </w:r>
      <w:r>
        <w:rPr>
          <w:rFonts w:hint="eastAsia" w:ascii="仿宋" w:hAnsi="仿宋" w:eastAsia="仿宋"/>
          <w:sz w:val="24"/>
          <w:szCs w:val="24"/>
        </w:rPr>
        <w:t>、其他要求</w:t>
      </w:r>
      <w:bookmarkEnd w:id="88"/>
      <w:bookmarkEnd w:id="89"/>
      <w:bookmarkEnd w:id="90"/>
      <w:bookmarkEnd w:id="91"/>
      <w:bookmarkEnd w:id="92"/>
      <w:bookmarkEnd w:id="101"/>
      <w:bookmarkEnd w:id="102"/>
      <w:bookmarkEnd w:id="103"/>
    </w:p>
    <w:p>
      <w:pPr>
        <w:spacing w:line="520" w:lineRule="exact"/>
        <w:ind w:firstLine="480" w:firstLineChars="200"/>
        <w:rPr>
          <w:rFonts w:ascii="仿宋" w:hAnsi="仿宋" w:eastAsia="仿宋"/>
          <w:color w:val="000000"/>
        </w:rPr>
      </w:pPr>
      <w:r>
        <w:rPr>
          <w:rFonts w:hint="eastAsia" w:ascii="仿宋" w:hAnsi="仿宋" w:eastAsia="仿宋"/>
          <w:color w:val="000000"/>
        </w:rPr>
        <w:t>1</w:t>
      </w:r>
      <w:r>
        <w:rPr>
          <w:rFonts w:hint="eastAsia" w:ascii="仿宋" w:hAnsi="仿宋" w:eastAsia="仿宋" w:cs="仿宋_GB2312"/>
        </w:rPr>
        <w:t>.</w:t>
      </w:r>
      <w:r>
        <w:rPr>
          <w:rFonts w:hint="eastAsia" w:ascii="仿宋" w:hAnsi="仿宋" w:eastAsia="仿宋"/>
          <w:color w:val="000000"/>
        </w:rPr>
        <w:t>供应商的工作人员在为采购人的服务期间因疾病、工伤、意外伤害、劳动保护等所产生的一切费用，均由成交供应商自行负责。</w:t>
      </w:r>
    </w:p>
    <w:p>
      <w:pPr>
        <w:spacing w:line="520" w:lineRule="exact"/>
        <w:ind w:firstLine="480" w:firstLineChars="200"/>
        <w:rPr>
          <w:rFonts w:ascii="仿宋" w:hAnsi="仿宋" w:eastAsia="仿宋"/>
          <w:color w:val="000000"/>
        </w:rPr>
      </w:pPr>
      <w:r>
        <w:rPr>
          <w:rFonts w:hint="eastAsia" w:ascii="仿宋" w:hAnsi="仿宋" w:eastAsia="仿宋"/>
          <w:color w:val="000000"/>
        </w:rPr>
        <w:t>2</w:t>
      </w:r>
      <w:r>
        <w:rPr>
          <w:rFonts w:hint="eastAsia" w:ascii="仿宋" w:hAnsi="仿宋" w:eastAsia="仿宋" w:cs="仿宋_GB2312"/>
        </w:rPr>
        <w:t>.</w:t>
      </w:r>
      <w:r>
        <w:rPr>
          <w:rFonts w:hint="eastAsia" w:ascii="仿宋" w:hAnsi="仿宋" w:eastAsia="仿宋"/>
          <w:color w:val="000000"/>
        </w:rPr>
        <w:t>在履约服务期限内，供应商自行组织人员完成合同约定事务，并按国家法律法规的要求完善用工制度，供应商为完成合同约定事务自行聘请的人员工资、福利、社保等用工责任由成交供应商自行承担，因供应商未完善而引起的劳动争议由成交供应商自行负责。</w:t>
      </w:r>
    </w:p>
    <w:p>
      <w:pPr>
        <w:spacing w:line="520" w:lineRule="exact"/>
        <w:ind w:firstLine="480" w:firstLineChars="200"/>
        <w:rPr>
          <w:rFonts w:ascii="仿宋" w:hAnsi="仿宋" w:eastAsia="仿宋"/>
          <w:color w:val="000000"/>
        </w:rPr>
      </w:pPr>
      <w:r>
        <w:rPr>
          <w:rFonts w:hint="eastAsia" w:ascii="仿宋" w:hAnsi="仿宋" w:eastAsia="仿宋"/>
          <w:color w:val="000000"/>
        </w:rPr>
        <w:t>3</w:t>
      </w:r>
      <w:r>
        <w:rPr>
          <w:rFonts w:hint="eastAsia" w:ascii="仿宋" w:hAnsi="仿宋" w:eastAsia="仿宋" w:cs="仿宋_GB2312"/>
        </w:rPr>
        <w:t>.</w:t>
      </w:r>
      <w:r>
        <w:rPr>
          <w:rFonts w:hint="eastAsia" w:ascii="仿宋" w:hAnsi="仿宋" w:eastAsia="仿宋"/>
          <w:color w:val="000000"/>
        </w:rPr>
        <w:t>负责根据实际情况开展活动项目总体策划方案、活动注册、活动宣传、活动运营方案等的制定和执行。</w:t>
      </w:r>
    </w:p>
    <w:p>
      <w:pPr>
        <w:spacing w:line="520" w:lineRule="exact"/>
        <w:ind w:firstLine="480" w:firstLineChars="200"/>
        <w:rPr>
          <w:rFonts w:ascii="仿宋" w:hAnsi="仿宋" w:eastAsia="仿宋"/>
          <w:color w:val="000000"/>
        </w:rPr>
      </w:pPr>
      <w:r>
        <w:rPr>
          <w:rFonts w:hint="eastAsia" w:ascii="仿宋" w:hAnsi="仿宋" w:eastAsia="仿宋"/>
          <w:color w:val="000000"/>
          <w:lang w:val="en-US" w:eastAsia="zh-CN"/>
        </w:rPr>
        <w:t>4</w:t>
      </w:r>
      <w:r>
        <w:rPr>
          <w:rFonts w:hint="eastAsia" w:ascii="仿宋" w:hAnsi="仿宋" w:eastAsia="仿宋" w:cs="仿宋_GB2312"/>
        </w:rPr>
        <w:t>.</w:t>
      </w:r>
      <w:r>
        <w:rPr>
          <w:rFonts w:hint="eastAsia" w:ascii="仿宋" w:hAnsi="仿宋" w:eastAsia="仿宋"/>
          <w:color w:val="000000"/>
        </w:rPr>
        <w:t>负责活动基本经费统筹管理，承担在办赛过程中所有第三方商业性服务采购及支付，活动基本经费主要包括活动组织、物资采购制作、现场物料搭建、宣传费用及主要人员劳务等。</w:t>
      </w:r>
    </w:p>
    <w:p>
      <w:pPr>
        <w:spacing w:line="520" w:lineRule="exact"/>
        <w:ind w:firstLine="480" w:firstLineChars="200"/>
        <w:rPr>
          <w:rFonts w:ascii="仿宋" w:hAnsi="仿宋" w:eastAsia="仿宋"/>
          <w:color w:val="000000"/>
        </w:rPr>
      </w:pPr>
      <w:r>
        <w:rPr>
          <w:rFonts w:hint="eastAsia" w:ascii="仿宋" w:hAnsi="仿宋" w:eastAsia="仿宋"/>
          <w:color w:val="000000"/>
        </w:rPr>
        <w:t>5</w:t>
      </w:r>
      <w:r>
        <w:rPr>
          <w:rFonts w:hint="eastAsia" w:ascii="仿宋" w:hAnsi="仿宋" w:eastAsia="仿宋" w:cs="仿宋_GB2312"/>
        </w:rPr>
        <w:t>.</w:t>
      </w:r>
      <w:r>
        <w:rPr>
          <w:rFonts w:hint="eastAsia" w:ascii="仿宋" w:hAnsi="仿宋" w:eastAsia="仿宋"/>
          <w:color w:val="000000"/>
        </w:rPr>
        <w:t>负责报名系统后台的调整、启动及报名工作、定期汇报报名情况。</w:t>
      </w:r>
    </w:p>
    <w:p>
      <w:pPr>
        <w:spacing w:line="520" w:lineRule="exact"/>
        <w:ind w:firstLine="480" w:firstLineChars="200"/>
        <w:rPr>
          <w:rFonts w:ascii="仿宋" w:hAnsi="仿宋" w:eastAsia="仿宋"/>
          <w:color w:val="000000"/>
        </w:rPr>
      </w:pPr>
      <w:r>
        <w:rPr>
          <w:rFonts w:hint="eastAsia" w:ascii="仿宋" w:hAnsi="仿宋" w:eastAsia="仿宋"/>
          <w:color w:val="000000"/>
          <w:lang w:val="en-US" w:eastAsia="zh-CN"/>
        </w:rPr>
        <w:t>6</w:t>
      </w:r>
      <w:r>
        <w:rPr>
          <w:rFonts w:hint="eastAsia" w:ascii="仿宋" w:hAnsi="仿宋" w:eastAsia="仿宋" w:cs="仿宋_GB2312"/>
        </w:rPr>
        <w:t>.</w:t>
      </w:r>
      <w:r>
        <w:rPr>
          <w:rFonts w:hint="eastAsia" w:ascii="仿宋" w:hAnsi="仿宋" w:eastAsia="仿宋"/>
          <w:color w:val="000000"/>
        </w:rPr>
        <w:t>负责组建赛事团队，包括裁判员、工组人员等。</w:t>
      </w:r>
    </w:p>
    <w:p>
      <w:pPr>
        <w:spacing w:line="520" w:lineRule="exact"/>
        <w:ind w:firstLine="480" w:firstLineChars="200"/>
        <w:rPr>
          <w:rFonts w:ascii="仿宋" w:hAnsi="仿宋" w:eastAsia="仿宋"/>
          <w:color w:val="000000"/>
        </w:rPr>
      </w:pPr>
      <w:r>
        <w:rPr>
          <w:rFonts w:hint="eastAsia" w:ascii="仿宋" w:hAnsi="仿宋" w:eastAsia="仿宋"/>
          <w:color w:val="000000"/>
          <w:lang w:val="en-US" w:eastAsia="zh-CN"/>
        </w:rPr>
        <w:t>7</w:t>
      </w:r>
      <w:r>
        <w:rPr>
          <w:rFonts w:hint="eastAsia" w:ascii="仿宋" w:hAnsi="仿宋" w:eastAsia="仿宋" w:cs="仿宋_GB2312"/>
        </w:rPr>
        <w:t>.</w:t>
      </w:r>
      <w:r>
        <w:rPr>
          <w:rFonts w:hint="eastAsia" w:ascii="仿宋" w:hAnsi="仿宋" w:eastAsia="仿宋"/>
          <w:color w:val="000000"/>
        </w:rPr>
        <w:t>负责活动海报设计。</w:t>
      </w:r>
    </w:p>
    <w:p>
      <w:pPr>
        <w:spacing w:line="520" w:lineRule="exact"/>
        <w:ind w:firstLine="480" w:firstLineChars="200"/>
        <w:rPr>
          <w:rFonts w:ascii="仿宋" w:hAnsi="仿宋" w:eastAsia="仿宋"/>
          <w:color w:val="000000"/>
        </w:rPr>
      </w:pPr>
      <w:r>
        <w:rPr>
          <w:rFonts w:hint="eastAsia" w:ascii="仿宋" w:hAnsi="仿宋" w:eastAsia="仿宋"/>
          <w:color w:val="000000"/>
          <w:lang w:val="en-US" w:eastAsia="zh-CN"/>
        </w:rPr>
        <w:t>8</w:t>
      </w:r>
      <w:r>
        <w:rPr>
          <w:rFonts w:hint="eastAsia" w:ascii="仿宋" w:hAnsi="仿宋" w:eastAsia="仿宋" w:cs="仿宋_GB2312"/>
        </w:rPr>
        <w:t>.</w:t>
      </w:r>
      <w:r>
        <w:rPr>
          <w:rFonts w:hint="eastAsia" w:ascii="仿宋" w:hAnsi="仿宋" w:eastAsia="仿宋"/>
          <w:color w:val="000000"/>
        </w:rPr>
        <w:t>确定活动物资（必需品）清单及计划表，采购并管理活动物资。</w:t>
      </w:r>
    </w:p>
    <w:p>
      <w:pPr>
        <w:spacing w:line="520" w:lineRule="exact"/>
        <w:ind w:firstLine="480" w:firstLineChars="200"/>
        <w:rPr>
          <w:rFonts w:ascii="仿宋" w:hAnsi="仿宋" w:eastAsia="仿宋"/>
          <w:color w:val="000000"/>
        </w:rPr>
      </w:pPr>
      <w:r>
        <w:rPr>
          <w:rFonts w:hint="eastAsia" w:ascii="仿宋" w:hAnsi="仿宋" w:eastAsia="仿宋"/>
          <w:color w:val="000000"/>
          <w:lang w:val="en-US" w:eastAsia="zh-CN"/>
        </w:rPr>
        <w:t>9</w:t>
      </w:r>
      <w:r>
        <w:rPr>
          <w:rFonts w:hint="eastAsia" w:ascii="仿宋" w:hAnsi="仿宋" w:eastAsia="仿宋" w:cs="仿宋_GB2312"/>
        </w:rPr>
        <w:t>.</w:t>
      </w:r>
      <w:r>
        <w:rPr>
          <w:rFonts w:hint="eastAsia" w:ascii="仿宋" w:hAnsi="仿宋" w:eastAsia="仿宋"/>
          <w:color w:val="000000"/>
        </w:rPr>
        <w:t>负责设计制作证书、活动奖牌、奖杯及活动纪念牌。</w:t>
      </w:r>
    </w:p>
    <w:p>
      <w:pPr>
        <w:spacing w:line="520" w:lineRule="exact"/>
        <w:ind w:firstLine="480" w:firstLineChars="200"/>
        <w:rPr>
          <w:rFonts w:ascii="仿宋" w:hAnsi="仿宋" w:eastAsia="仿宋"/>
          <w:color w:val="000000"/>
        </w:rPr>
      </w:pPr>
      <w:r>
        <w:rPr>
          <w:rFonts w:hint="eastAsia" w:ascii="仿宋" w:hAnsi="仿宋" w:eastAsia="仿宋"/>
          <w:color w:val="000000"/>
        </w:rPr>
        <w:t>1</w:t>
      </w:r>
      <w:r>
        <w:rPr>
          <w:rFonts w:hint="eastAsia" w:ascii="仿宋" w:hAnsi="仿宋" w:eastAsia="仿宋"/>
          <w:color w:val="000000"/>
          <w:lang w:val="en-US" w:eastAsia="zh-CN"/>
        </w:rPr>
        <w:t>0</w:t>
      </w:r>
      <w:r>
        <w:rPr>
          <w:rFonts w:hint="eastAsia" w:ascii="仿宋" w:hAnsi="仿宋" w:eastAsia="仿宋" w:cs="仿宋_GB2312"/>
        </w:rPr>
        <w:t>.</w:t>
      </w:r>
      <w:r>
        <w:rPr>
          <w:rFonts w:hint="eastAsia" w:ascii="仿宋" w:hAnsi="仿宋" w:eastAsia="仿宋"/>
          <w:color w:val="000000"/>
        </w:rPr>
        <w:t>负责开展活动的详细规划方案和执行工作。</w:t>
      </w:r>
    </w:p>
    <w:p>
      <w:pPr>
        <w:spacing w:line="520" w:lineRule="exact"/>
        <w:ind w:firstLine="480" w:firstLineChars="200"/>
        <w:rPr>
          <w:rFonts w:ascii="仿宋" w:hAnsi="仿宋" w:eastAsia="仿宋"/>
          <w:color w:val="000000"/>
        </w:rPr>
      </w:pPr>
      <w:r>
        <w:rPr>
          <w:rFonts w:hint="eastAsia" w:ascii="仿宋" w:hAnsi="仿宋" w:eastAsia="仿宋"/>
          <w:color w:val="000000"/>
        </w:rPr>
        <w:t>1</w:t>
      </w:r>
      <w:r>
        <w:rPr>
          <w:rFonts w:hint="eastAsia" w:ascii="仿宋" w:hAnsi="仿宋" w:eastAsia="仿宋"/>
          <w:color w:val="000000"/>
          <w:lang w:val="en-US" w:eastAsia="zh-CN"/>
        </w:rPr>
        <w:t>1</w:t>
      </w:r>
      <w:r>
        <w:rPr>
          <w:rFonts w:hint="eastAsia" w:ascii="仿宋" w:hAnsi="仿宋" w:eastAsia="仿宋" w:cs="仿宋_GB2312"/>
        </w:rPr>
        <w:t>.</w:t>
      </w:r>
      <w:r>
        <w:rPr>
          <w:rFonts w:hint="eastAsia" w:ascii="仿宋" w:hAnsi="仿宋" w:eastAsia="仿宋"/>
          <w:color w:val="000000"/>
        </w:rPr>
        <w:t>负责重庆新闻媒体的对接发布（如有）。</w:t>
      </w:r>
    </w:p>
    <w:p>
      <w:pPr>
        <w:spacing w:line="520" w:lineRule="exact"/>
        <w:ind w:firstLine="480" w:firstLineChars="200"/>
        <w:rPr>
          <w:rFonts w:ascii="仿宋" w:hAnsi="仿宋" w:eastAsia="仿宋"/>
          <w:color w:val="000000"/>
        </w:rPr>
      </w:pPr>
      <w:r>
        <w:rPr>
          <w:rFonts w:hint="eastAsia" w:ascii="仿宋" w:hAnsi="仿宋" w:eastAsia="仿宋"/>
          <w:color w:val="000000"/>
        </w:rPr>
        <w:t>1</w:t>
      </w:r>
      <w:r>
        <w:rPr>
          <w:rFonts w:hint="eastAsia" w:ascii="仿宋" w:hAnsi="仿宋" w:eastAsia="仿宋"/>
          <w:color w:val="000000"/>
          <w:lang w:val="en-US" w:eastAsia="zh-CN"/>
        </w:rPr>
        <w:t>2</w:t>
      </w:r>
      <w:r>
        <w:rPr>
          <w:rFonts w:hint="eastAsia" w:ascii="仿宋" w:hAnsi="仿宋" w:eastAsia="仿宋" w:cs="仿宋_GB2312"/>
        </w:rPr>
        <w:t>.</w:t>
      </w:r>
      <w:r>
        <w:rPr>
          <w:rFonts w:hint="eastAsia" w:ascii="仿宋" w:hAnsi="仿宋" w:eastAsia="仿宋"/>
          <w:color w:val="000000"/>
        </w:rPr>
        <w:t>负责公众号等网络媒体的对接推进工作（如有）。</w:t>
      </w:r>
    </w:p>
    <w:p>
      <w:pPr>
        <w:spacing w:line="520" w:lineRule="exact"/>
        <w:ind w:firstLine="480" w:firstLineChars="200"/>
        <w:rPr>
          <w:rFonts w:ascii="仿宋" w:hAnsi="仿宋" w:eastAsia="仿宋"/>
          <w:color w:val="000000"/>
        </w:rPr>
      </w:pPr>
      <w:r>
        <w:rPr>
          <w:rFonts w:hint="eastAsia" w:ascii="仿宋" w:hAnsi="仿宋" w:eastAsia="仿宋"/>
          <w:color w:val="000000"/>
        </w:rPr>
        <w:t>1</w:t>
      </w:r>
      <w:r>
        <w:rPr>
          <w:rFonts w:hint="eastAsia" w:ascii="仿宋" w:hAnsi="仿宋" w:eastAsia="仿宋"/>
          <w:color w:val="000000"/>
          <w:lang w:val="en-US" w:eastAsia="zh-CN"/>
        </w:rPr>
        <w:t>3</w:t>
      </w:r>
      <w:r>
        <w:rPr>
          <w:rFonts w:hint="eastAsia" w:ascii="仿宋" w:hAnsi="仿宋" w:eastAsia="仿宋" w:cs="仿宋_GB2312"/>
        </w:rPr>
        <w:t>.</w:t>
      </w:r>
      <w:r>
        <w:rPr>
          <w:rFonts w:hint="eastAsia" w:ascii="仿宋" w:hAnsi="仿宋" w:eastAsia="仿宋"/>
          <w:color w:val="000000"/>
        </w:rPr>
        <w:t>活动亮点整理及新闻推送（如有）。</w:t>
      </w:r>
    </w:p>
    <w:p>
      <w:pPr>
        <w:spacing w:line="520" w:lineRule="exact"/>
        <w:ind w:firstLine="480" w:firstLineChars="200"/>
        <w:rPr>
          <w:rFonts w:ascii="仿宋" w:hAnsi="仿宋" w:eastAsia="仿宋"/>
          <w:color w:val="000000"/>
        </w:rPr>
      </w:pPr>
      <w:r>
        <w:rPr>
          <w:rFonts w:hint="eastAsia" w:ascii="仿宋" w:hAnsi="仿宋" w:eastAsia="仿宋"/>
          <w:color w:val="000000"/>
        </w:rPr>
        <w:t>1</w:t>
      </w:r>
      <w:r>
        <w:rPr>
          <w:rFonts w:hint="eastAsia" w:ascii="仿宋" w:hAnsi="仿宋" w:eastAsia="仿宋"/>
          <w:color w:val="000000"/>
          <w:lang w:val="en-US" w:eastAsia="zh-CN"/>
        </w:rPr>
        <w:t>4</w:t>
      </w:r>
      <w:r>
        <w:rPr>
          <w:rFonts w:hint="eastAsia" w:ascii="仿宋" w:hAnsi="仿宋" w:eastAsia="仿宋" w:cs="仿宋_GB2312"/>
        </w:rPr>
        <w:t>.</w:t>
      </w:r>
      <w:r>
        <w:rPr>
          <w:rFonts w:hint="eastAsia" w:ascii="仿宋" w:hAnsi="仿宋" w:eastAsia="仿宋"/>
          <w:color w:val="000000"/>
        </w:rPr>
        <w:t>负责活动资料的整理。</w:t>
      </w:r>
    </w:p>
    <w:p>
      <w:pPr>
        <w:spacing w:line="520" w:lineRule="exact"/>
        <w:ind w:firstLine="480" w:firstLineChars="200"/>
        <w:rPr>
          <w:rFonts w:ascii="仿宋" w:hAnsi="仿宋" w:eastAsia="仿宋"/>
          <w:color w:val="000000"/>
        </w:rPr>
      </w:pPr>
      <w:r>
        <w:rPr>
          <w:rFonts w:hint="eastAsia" w:ascii="仿宋" w:hAnsi="仿宋" w:eastAsia="仿宋"/>
          <w:color w:val="000000"/>
        </w:rPr>
        <w:t>1</w:t>
      </w:r>
      <w:r>
        <w:rPr>
          <w:rFonts w:hint="eastAsia" w:ascii="仿宋" w:hAnsi="仿宋" w:eastAsia="仿宋"/>
          <w:color w:val="000000"/>
          <w:lang w:val="en-US" w:eastAsia="zh-CN"/>
        </w:rPr>
        <w:t>5</w:t>
      </w:r>
      <w:r>
        <w:rPr>
          <w:rFonts w:hint="eastAsia" w:ascii="仿宋" w:hAnsi="仿宋" w:eastAsia="仿宋" w:cs="仿宋_GB2312"/>
        </w:rPr>
        <w:t>.</w:t>
      </w:r>
      <w:r>
        <w:rPr>
          <w:rFonts w:hint="eastAsia" w:ascii="仿宋" w:hAnsi="仿宋" w:eastAsia="仿宋"/>
          <w:color w:val="000000"/>
        </w:rPr>
        <w:t>活动主办方要求的涉及活动的其他工作。</w:t>
      </w:r>
    </w:p>
    <w:p>
      <w:pPr>
        <w:spacing w:line="520" w:lineRule="exact"/>
        <w:ind w:firstLine="480" w:firstLineChars="200"/>
        <w:rPr>
          <w:rFonts w:ascii="仿宋" w:hAnsi="仿宋" w:eastAsia="仿宋"/>
          <w:color w:val="000000"/>
        </w:rPr>
      </w:pPr>
      <w:r>
        <w:rPr>
          <w:rFonts w:hint="eastAsia" w:ascii="仿宋" w:hAnsi="仿宋" w:eastAsia="仿宋"/>
          <w:color w:val="000000"/>
        </w:rPr>
        <w:t>1</w:t>
      </w:r>
      <w:r>
        <w:rPr>
          <w:rFonts w:hint="eastAsia" w:ascii="仿宋" w:hAnsi="仿宋" w:eastAsia="仿宋"/>
          <w:color w:val="000000"/>
          <w:lang w:val="en-US" w:eastAsia="zh-CN"/>
        </w:rPr>
        <w:t>6</w:t>
      </w:r>
      <w:r>
        <w:rPr>
          <w:rFonts w:hint="eastAsia" w:ascii="仿宋" w:hAnsi="仿宋" w:eastAsia="仿宋" w:cs="仿宋_GB2312"/>
        </w:rPr>
        <w:t>.</w:t>
      </w:r>
      <w:r>
        <w:rPr>
          <w:rFonts w:hint="eastAsia" w:ascii="仿宋" w:hAnsi="仿宋" w:eastAsia="仿宋"/>
          <w:color w:val="000000"/>
        </w:rPr>
        <w:t>上述服务要求涉及的费用，成交供应商均应包含在投标报价的服务费之中，由成交供应商负责管理和支付，采购人除支付服务费外，不再向成交供应商或其他任何单位承担费用。</w:t>
      </w:r>
    </w:p>
    <w:p>
      <w:pPr>
        <w:pStyle w:val="2"/>
        <w:ind w:left="480" w:firstLine="400"/>
      </w:pPr>
    </w:p>
    <w:p>
      <w:pPr>
        <w:snapToGrid w:val="0"/>
        <w:spacing w:line="360" w:lineRule="auto"/>
        <w:ind w:firstLine="480" w:firstLineChars="200"/>
        <w:rPr>
          <w:rFonts w:ascii="仿宋" w:hAnsi="仿宋" w:eastAsia="仿宋" w:cs="仿宋_GB2312"/>
        </w:rPr>
      </w:pPr>
      <w:r>
        <w:rPr>
          <w:rFonts w:ascii="仿宋" w:hAnsi="仿宋" w:eastAsia="仿宋"/>
        </w:rPr>
        <w:br w:type="page"/>
      </w:r>
    </w:p>
    <w:p>
      <w:pPr>
        <w:pStyle w:val="4"/>
        <w:spacing w:before="0" w:after="0"/>
        <w:jc w:val="center"/>
        <w:rPr>
          <w:rStyle w:val="18"/>
          <w:rFonts w:ascii="仿宋" w:hAnsi="仿宋" w:eastAsia="仿宋" w:cs="宋体"/>
          <w:b w:val="0"/>
          <w:bCs w:val="0"/>
        </w:rPr>
      </w:pPr>
      <w:bookmarkStart w:id="104" w:name="_Toc195108748"/>
      <w:r>
        <w:rPr>
          <w:rStyle w:val="18"/>
          <w:rFonts w:hint="eastAsia" w:ascii="仿宋" w:hAnsi="仿宋" w:eastAsia="仿宋" w:cs="宋体"/>
          <w:b w:val="0"/>
          <w:bCs w:val="0"/>
        </w:rPr>
        <w:t>第四篇  商务要求</w:t>
      </w:r>
      <w:bookmarkEnd w:id="104"/>
    </w:p>
    <w:p>
      <w:pPr>
        <w:spacing w:line="400" w:lineRule="exact"/>
        <w:rPr>
          <w:rFonts w:ascii="仿宋" w:hAnsi="仿宋" w:eastAsia="仿宋"/>
        </w:rPr>
      </w:pPr>
      <w:bookmarkStart w:id="105" w:name="_Toc120894169"/>
      <w:bookmarkStart w:id="106" w:name="_Toc99545107"/>
      <w:bookmarkStart w:id="107" w:name="_Toc344475121"/>
      <w:bookmarkStart w:id="108" w:name="_Toc22463"/>
      <w:bookmarkStart w:id="109" w:name="_Toc487204790"/>
      <w:r>
        <w:rPr>
          <w:rFonts w:hint="eastAsia" w:ascii="仿宋" w:hAnsi="仿宋" w:eastAsia="仿宋"/>
          <w:color w:val="000000"/>
        </w:rPr>
        <w:t>“※”标注的商务需求为符合性审查中的实质性要求，响应文件若不满足按无效响应处理。</w:t>
      </w:r>
    </w:p>
    <w:p>
      <w:pPr>
        <w:pStyle w:val="5"/>
        <w:spacing w:before="0" w:after="0" w:line="240" w:lineRule="auto"/>
        <w:rPr>
          <w:rFonts w:ascii="仿宋" w:hAnsi="仿宋" w:eastAsia="仿宋"/>
          <w:sz w:val="24"/>
          <w:szCs w:val="24"/>
        </w:rPr>
      </w:pPr>
      <w:bookmarkStart w:id="110" w:name="_Toc344475120"/>
      <w:bookmarkStart w:id="111" w:name="_Toc22414"/>
      <w:bookmarkStart w:id="112" w:name="_Toc28019"/>
      <w:bookmarkStart w:id="113" w:name="_Toc221"/>
      <w:bookmarkStart w:id="114" w:name="_Toc76462328"/>
      <w:bookmarkStart w:id="115" w:name="_Toc106030883"/>
      <w:bookmarkStart w:id="116" w:name="_Toc11990"/>
      <w:bookmarkStart w:id="117" w:name="_Toc3756"/>
      <w:bookmarkStart w:id="118" w:name="_Toc195108749"/>
      <w:bookmarkStart w:id="119" w:name="_Toc7880"/>
      <w:bookmarkStart w:id="120" w:name="_Toc177738100"/>
      <w:r>
        <w:rPr>
          <w:rFonts w:hint="eastAsia" w:ascii="仿宋" w:hAnsi="仿宋" w:eastAsia="仿宋"/>
          <w:sz w:val="24"/>
          <w:szCs w:val="24"/>
        </w:rPr>
        <w:t>※一、</w:t>
      </w:r>
      <w:bookmarkEnd w:id="110"/>
      <w:bookmarkEnd w:id="111"/>
      <w:bookmarkEnd w:id="112"/>
      <w:bookmarkEnd w:id="113"/>
      <w:bookmarkEnd w:id="114"/>
      <w:bookmarkEnd w:id="115"/>
      <w:bookmarkEnd w:id="116"/>
      <w:bookmarkEnd w:id="117"/>
      <w:r>
        <w:rPr>
          <w:rFonts w:hint="eastAsia" w:ascii="仿宋" w:hAnsi="仿宋" w:eastAsia="仿宋"/>
          <w:sz w:val="24"/>
          <w:szCs w:val="24"/>
        </w:rPr>
        <w:t>服务时间、地点及验收方式</w:t>
      </w:r>
      <w:bookmarkEnd w:id="118"/>
      <w:bookmarkEnd w:id="119"/>
      <w:bookmarkEnd w:id="120"/>
    </w:p>
    <w:p>
      <w:pPr>
        <w:snapToGrid w:val="0"/>
        <w:spacing w:line="360" w:lineRule="auto"/>
        <w:ind w:firstLine="480" w:firstLineChars="200"/>
        <w:rPr>
          <w:rFonts w:ascii="仿宋" w:hAnsi="仿宋" w:eastAsia="仿宋"/>
          <w:color w:val="000000"/>
        </w:rPr>
      </w:pPr>
      <w:r>
        <w:rPr>
          <w:rFonts w:hint="eastAsia" w:ascii="仿宋" w:hAnsi="仿宋" w:eastAsia="仿宋"/>
          <w:color w:val="000000"/>
        </w:rPr>
        <w:t>（一）</w:t>
      </w:r>
      <w:r>
        <w:rPr>
          <w:rFonts w:hint="eastAsia" w:ascii="仿宋" w:hAnsi="仿宋" w:eastAsia="仿宋"/>
          <w:color w:val="000000"/>
          <w:lang w:val="en-US" w:eastAsia="zh-CN"/>
        </w:rPr>
        <w:t>比赛开始</w:t>
      </w:r>
      <w:r>
        <w:rPr>
          <w:rFonts w:hint="eastAsia" w:ascii="仿宋" w:hAnsi="仿宋" w:eastAsia="仿宋"/>
          <w:color w:val="000000"/>
        </w:rPr>
        <w:t>时间：</w:t>
      </w:r>
      <w:r>
        <w:rPr>
          <w:rFonts w:hint="eastAsia" w:ascii="仿宋" w:hAnsi="仿宋" w:eastAsia="仿宋"/>
          <w:color w:val="000000"/>
          <w:lang w:val="en-US" w:eastAsia="zh-CN"/>
        </w:rPr>
        <w:t>2025年9月21日-2025年9月22日（两天）</w:t>
      </w:r>
      <w:r>
        <w:rPr>
          <w:rFonts w:hint="eastAsia" w:ascii="仿宋" w:hAnsi="仿宋" w:eastAsia="仿宋"/>
          <w:color w:val="000000"/>
        </w:rPr>
        <w:t>。</w:t>
      </w:r>
    </w:p>
    <w:p>
      <w:pPr>
        <w:snapToGrid w:val="0"/>
        <w:spacing w:line="360" w:lineRule="auto"/>
        <w:ind w:firstLine="480" w:firstLineChars="200"/>
        <w:rPr>
          <w:rFonts w:ascii="仿宋" w:hAnsi="仿宋" w:eastAsia="仿宋"/>
          <w:color w:val="000000"/>
        </w:rPr>
      </w:pPr>
      <w:r>
        <w:rPr>
          <w:rFonts w:hint="eastAsia" w:ascii="仿宋" w:hAnsi="仿宋" w:eastAsia="仿宋"/>
          <w:color w:val="000000"/>
        </w:rPr>
        <w:t>（二）服务地点：采购人指定地点。</w:t>
      </w:r>
    </w:p>
    <w:p>
      <w:pPr>
        <w:snapToGrid w:val="0"/>
        <w:spacing w:line="360" w:lineRule="auto"/>
        <w:ind w:left="360" w:leftChars="150" w:firstLine="120" w:firstLineChars="50"/>
        <w:rPr>
          <w:rFonts w:ascii="仿宋" w:hAnsi="仿宋" w:eastAsia="仿宋"/>
          <w:color w:val="000000"/>
        </w:rPr>
      </w:pPr>
      <w:r>
        <w:rPr>
          <w:rFonts w:hint="eastAsia" w:ascii="仿宋" w:hAnsi="仿宋" w:eastAsia="仿宋"/>
          <w:color w:val="000000"/>
        </w:rPr>
        <w:t>（三）验收方式：</w:t>
      </w:r>
      <w:bookmarkStart w:id="121" w:name="_Toc21389"/>
    </w:p>
    <w:p>
      <w:pPr>
        <w:snapToGrid w:val="0"/>
        <w:spacing w:line="360" w:lineRule="auto"/>
        <w:ind w:left="360" w:leftChars="150" w:firstLine="120" w:firstLineChars="50"/>
        <w:rPr>
          <w:rFonts w:ascii="仿宋" w:hAnsi="仿宋" w:eastAsia="仿宋" w:cs="仿宋_GB2312"/>
        </w:rPr>
      </w:pPr>
      <w:r>
        <w:rPr>
          <w:rFonts w:hint="eastAsia" w:ascii="仿宋" w:hAnsi="仿宋" w:eastAsia="仿宋" w:cs="仿宋_GB2312"/>
        </w:rPr>
        <w:t>1.</w:t>
      </w:r>
      <w:r>
        <w:rPr>
          <w:rFonts w:ascii="仿宋" w:hAnsi="仿宋" w:eastAsia="仿宋" w:cs="仿宋_GB2312"/>
        </w:rPr>
        <w:t>验收主体</w:t>
      </w:r>
    </w:p>
    <w:p>
      <w:pPr>
        <w:snapToGrid w:val="0"/>
        <w:spacing w:line="360" w:lineRule="auto"/>
        <w:ind w:left="360" w:leftChars="150" w:firstLine="120" w:firstLineChars="50"/>
        <w:rPr>
          <w:rFonts w:ascii="仿宋" w:hAnsi="仿宋" w:eastAsia="仿宋" w:cs="仿宋_GB2312"/>
        </w:rPr>
      </w:pPr>
      <w:r>
        <w:rPr>
          <w:rFonts w:hint="eastAsia" w:ascii="仿宋" w:hAnsi="仿宋" w:eastAsia="仿宋" w:cs="仿宋_GB2312"/>
        </w:rPr>
        <w:t>1.1</w:t>
      </w:r>
      <w:r>
        <w:rPr>
          <w:rFonts w:ascii="仿宋" w:hAnsi="仿宋" w:eastAsia="仿宋" w:cs="仿宋_GB2312"/>
        </w:rPr>
        <w:t>本项目的验收工作由采购人（重庆市梁平区体育事业发展中心）牵头组织，必要时邀请行业主管部门、赛事组织单位或第三方共同参与。</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w:t>
      </w:r>
      <w:r>
        <w:rPr>
          <w:rFonts w:ascii="仿宋" w:hAnsi="仿宋" w:eastAsia="仿宋" w:cs="仿宋_GB2312"/>
        </w:rPr>
        <w:t>验收时间</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2.1</w:t>
      </w:r>
      <w:r>
        <w:rPr>
          <w:rFonts w:ascii="仿宋" w:hAnsi="仿宋" w:eastAsia="仿宋" w:cs="仿宋_GB2312"/>
        </w:rPr>
        <w:t>验收时间为赛事正式结束后5个工作日内。采购人将组织开展一次性集中验收，也可视情况进行阶段性验收（如赛前筹备验收、赛事进行中检查等）。</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w:t>
      </w:r>
      <w:r>
        <w:rPr>
          <w:rFonts w:ascii="仿宋" w:hAnsi="仿宋" w:eastAsia="仿宋" w:cs="仿宋_GB2312"/>
        </w:rPr>
        <w:t>验收方式</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3.1</w:t>
      </w:r>
      <w:r>
        <w:rPr>
          <w:rFonts w:ascii="仿宋" w:hAnsi="仿宋" w:eastAsia="仿宋" w:cs="仿宋_GB2312"/>
        </w:rPr>
        <w:t>现场查验：采购人将对供应商完成的各项服务内容进行实地查验，包括但不限于赛事组织、广告制作、场地布置、后勤保障、人员安排等情况；</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3.2</w:t>
      </w:r>
      <w:r>
        <w:rPr>
          <w:rFonts w:ascii="仿宋" w:hAnsi="仿宋" w:eastAsia="仿宋" w:cs="仿宋_GB2312"/>
        </w:rPr>
        <w:t>资料审核：供应商须提交完整的服务工作报告、影像资料、补助发放清单、住宿记录、用餐明细、安保记录、医疗值守记录等原始或复印资料；</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3.3</w:t>
      </w:r>
      <w:r>
        <w:rPr>
          <w:rFonts w:ascii="仿宋" w:hAnsi="仿宋" w:eastAsia="仿宋" w:cs="仿宋_GB2312"/>
        </w:rPr>
        <w:t>问题核实：若验收过程中发现问题，采购人有权要求供应商限期整改，必要时重新组织验收。</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w:t>
      </w:r>
      <w:r>
        <w:rPr>
          <w:rFonts w:ascii="仿宋" w:hAnsi="仿宋" w:eastAsia="仿宋" w:cs="仿宋_GB2312"/>
        </w:rPr>
        <w:t>验收标准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4.1</w:t>
      </w:r>
      <w:r>
        <w:rPr>
          <w:rFonts w:ascii="仿宋" w:hAnsi="仿宋" w:eastAsia="仿宋" w:cs="仿宋_GB2312"/>
        </w:rPr>
        <w:t>验收合格的基本标准如下：</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4.2</w:t>
      </w:r>
      <w:r>
        <w:rPr>
          <w:rFonts w:ascii="仿宋" w:hAnsi="仿宋" w:eastAsia="仿宋" w:cs="仿宋_GB2312"/>
        </w:rPr>
        <w:t>赛事组织：比赛按时、按计划、安全有序举办，无重大组织纰漏或安全责任事故；</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4.3</w:t>
      </w:r>
      <w:r>
        <w:rPr>
          <w:rFonts w:ascii="仿宋" w:hAnsi="仿宋" w:eastAsia="仿宋" w:cs="仿宋_GB2312"/>
        </w:rPr>
        <w:t>广告宣传：广告制作与布置符合采购人审定设计方案，位置、数量、内容规范，质量达到约定标准；</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4.4</w:t>
      </w:r>
      <w:r>
        <w:rPr>
          <w:rFonts w:ascii="仿宋" w:hAnsi="仿宋" w:eastAsia="仿宋" w:cs="仿宋_GB2312"/>
        </w:rPr>
        <w:t>场地布置：比赛场地及配套区域布置完整美观，设施齐备，符合</w:t>
      </w:r>
      <w:r>
        <w:rPr>
          <w:rFonts w:hint="eastAsia" w:ascii="仿宋" w:hAnsi="仿宋" w:eastAsia="仿宋" w:cs="仿宋_GB2312"/>
          <w:lang w:val="en-US" w:eastAsia="zh-CN"/>
        </w:rPr>
        <w:t>冰壶</w:t>
      </w:r>
      <w:r>
        <w:rPr>
          <w:rFonts w:ascii="仿宋" w:hAnsi="仿宋" w:eastAsia="仿宋" w:cs="仿宋_GB2312"/>
        </w:rPr>
        <w:t>比赛要求；</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4.5</w:t>
      </w:r>
      <w:r>
        <w:rPr>
          <w:rFonts w:ascii="仿宋" w:hAnsi="仿宋" w:eastAsia="仿宋" w:cs="仿宋_GB2312"/>
        </w:rPr>
        <w:t>人员安排：裁判员、志愿者、医务人员等服务人员安排到位，补助及后勤保障发放齐全；</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4.6</w:t>
      </w:r>
      <w:r>
        <w:rPr>
          <w:rFonts w:ascii="仿宋" w:hAnsi="仿宋" w:eastAsia="仿宋" w:cs="仿宋_GB2312"/>
        </w:rPr>
        <w:t>膳食住宿：为相关服务人员提供的膳食、住宿安排合理，服务质量符合要求，无重大投诉；</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4.7</w:t>
      </w:r>
      <w:r>
        <w:rPr>
          <w:rFonts w:ascii="仿宋" w:hAnsi="仿宋" w:eastAsia="仿宋" w:cs="仿宋_GB2312"/>
        </w:rPr>
        <w:t>安全保障：制定并执行完整的安全与应急预案，比赛期间未发生重大安全事件；</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4.8</w:t>
      </w:r>
      <w:r>
        <w:rPr>
          <w:rFonts w:ascii="仿宋" w:hAnsi="仿宋" w:eastAsia="仿宋" w:cs="仿宋_GB2312"/>
        </w:rPr>
        <w:t>医疗保障：全程安排具有资质的医务人员值守，配备必要医疗物资并能及时响应现场需求；</w:t>
      </w:r>
    </w:p>
    <w:p>
      <w:pPr>
        <w:snapToGrid w:val="0"/>
        <w:spacing w:line="360" w:lineRule="auto"/>
        <w:ind w:firstLine="480" w:firstLineChars="200"/>
        <w:rPr>
          <w:rFonts w:ascii="仿宋" w:hAnsi="仿宋" w:eastAsia="仿宋" w:cs="仿宋_GB2312"/>
          <w:lang w:val="en-US" w:eastAsia="zh-CN"/>
        </w:rPr>
      </w:pPr>
      <w:r>
        <w:rPr>
          <w:rFonts w:hint="eastAsia" w:ascii="仿宋" w:hAnsi="仿宋" w:eastAsia="仿宋" w:cs="仿宋_GB2312"/>
          <w:lang w:val="en-US" w:eastAsia="zh-CN"/>
        </w:rPr>
        <w:t>5.</w:t>
      </w:r>
      <w:r>
        <w:rPr>
          <w:rFonts w:ascii="仿宋" w:hAnsi="仿宋" w:eastAsia="仿宋" w:cs="仿宋_GB2312"/>
          <w:lang w:val="en-US" w:eastAsia="zh-CN"/>
        </w:rPr>
        <w:t>验收合格后，作为供应商完成本项目服务的依据；若验收不合格或整改后仍不达标，采购人有权拒付部分或全部服务费用，并追究相关违约责任。</w:t>
      </w:r>
    </w:p>
    <w:bookmarkEnd w:id="121"/>
    <w:p>
      <w:pPr>
        <w:pStyle w:val="5"/>
        <w:spacing w:before="0" w:after="0" w:line="240" w:lineRule="auto"/>
        <w:rPr>
          <w:rFonts w:ascii="仿宋" w:hAnsi="仿宋" w:eastAsia="仿宋"/>
          <w:sz w:val="24"/>
          <w:szCs w:val="24"/>
        </w:rPr>
      </w:pPr>
      <w:bookmarkStart w:id="122" w:name="_Toc17708"/>
      <w:bookmarkStart w:id="123" w:name="_Toc177738101"/>
      <w:bookmarkStart w:id="124" w:name="_Toc106030884"/>
      <w:bookmarkStart w:id="125" w:name="_Toc25864"/>
      <w:bookmarkStart w:id="126" w:name="_Toc195108750"/>
      <w:bookmarkStart w:id="127" w:name="_Toc28396"/>
      <w:bookmarkStart w:id="128" w:name="_Toc76462329"/>
      <w:bookmarkStart w:id="129" w:name="_Toc31320"/>
      <w:bookmarkStart w:id="130" w:name="_Toc9194"/>
      <w:bookmarkStart w:id="131" w:name="_Toc23087"/>
      <w:r>
        <w:rPr>
          <w:rFonts w:hint="eastAsia" w:ascii="仿宋" w:hAnsi="仿宋" w:eastAsia="仿宋"/>
          <w:sz w:val="24"/>
          <w:szCs w:val="24"/>
        </w:rPr>
        <w:t>※二、报价要求</w:t>
      </w:r>
      <w:bookmarkEnd w:id="122"/>
      <w:bookmarkEnd w:id="123"/>
      <w:bookmarkEnd w:id="124"/>
      <w:bookmarkEnd w:id="125"/>
      <w:bookmarkEnd w:id="126"/>
      <w:bookmarkEnd w:id="127"/>
      <w:bookmarkEnd w:id="128"/>
      <w:bookmarkEnd w:id="129"/>
      <w:bookmarkEnd w:id="130"/>
      <w:bookmarkEnd w:id="131"/>
    </w:p>
    <w:p>
      <w:pPr>
        <w:snapToGrid w:val="0"/>
        <w:spacing w:line="360" w:lineRule="auto"/>
        <w:ind w:firstLine="480" w:firstLineChars="200"/>
        <w:rPr>
          <w:rFonts w:ascii="仿宋" w:hAnsi="仿宋" w:eastAsia="仿宋"/>
          <w:color w:val="000000"/>
        </w:rPr>
      </w:pPr>
      <w:bookmarkStart w:id="132" w:name="_Toc485137798"/>
      <w:bookmarkStart w:id="133" w:name="_Toc30235"/>
      <w:bookmarkStart w:id="134" w:name="_Toc76462331"/>
      <w:bookmarkStart w:id="135" w:name="_Toc16689"/>
      <w:bookmarkStart w:id="136" w:name="_Toc106030886"/>
      <w:bookmarkStart w:id="137" w:name="_Toc25567"/>
      <w:bookmarkStart w:id="138" w:name="_Toc3817"/>
      <w:bookmarkStart w:id="139" w:name="_Toc19964"/>
      <w:bookmarkStart w:id="140" w:name="_Toc25954"/>
      <w:r>
        <w:rPr>
          <w:rFonts w:hint="eastAsia" w:ascii="仿宋" w:hAnsi="仿宋" w:eastAsia="仿宋"/>
          <w:color w:val="000000"/>
        </w:rPr>
        <w:t>本次报价须为人民币报价，报价包括完成本项目所需的服务费、资料费、人工费及提供服务所需的设备或货物购买（制造）费、辅材费、保险、运输费、装卸费、安装调试费、培训费及各种应纳的税费等。因成交供应商自身原因造成漏报、少报皆由其自行承担责任，采购人不再补偿。</w:t>
      </w:r>
    </w:p>
    <w:bookmarkEnd w:id="132"/>
    <w:bookmarkEnd w:id="133"/>
    <w:p>
      <w:pPr>
        <w:pStyle w:val="5"/>
        <w:spacing w:before="0" w:after="0" w:line="240" w:lineRule="auto"/>
        <w:rPr>
          <w:rFonts w:ascii="仿宋" w:hAnsi="仿宋" w:eastAsia="仿宋"/>
          <w:sz w:val="24"/>
          <w:szCs w:val="24"/>
        </w:rPr>
      </w:pPr>
      <w:bookmarkStart w:id="141" w:name="_Toc195108751"/>
      <w:bookmarkStart w:id="142" w:name="_Toc177738102"/>
      <w:bookmarkStart w:id="143" w:name="_Toc3509"/>
      <w:r>
        <w:rPr>
          <w:rFonts w:hint="eastAsia" w:ascii="仿宋" w:hAnsi="仿宋" w:eastAsia="仿宋"/>
          <w:sz w:val="24"/>
          <w:szCs w:val="24"/>
        </w:rPr>
        <w:t>※三、</w:t>
      </w:r>
      <w:bookmarkEnd w:id="134"/>
      <w:bookmarkEnd w:id="135"/>
      <w:bookmarkEnd w:id="136"/>
      <w:r>
        <w:rPr>
          <w:rFonts w:hint="eastAsia" w:ascii="仿宋" w:hAnsi="仿宋" w:eastAsia="仿宋"/>
          <w:sz w:val="24"/>
          <w:szCs w:val="24"/>
        </w:rPr>
        <w:t>付款</w:t>
      </w:r>
      <w:bookmarkEnd w:id="137"/>
      <w:bookmarkEnd w:id="138"/>
      <w:bookmarkEnd w:id="139"/>
      <w:bookmarkEnd w:id="140"/>
      <w:r>
        <w:rPr>
          <w:rFonts w:hint="eastAsia" w:ascii="仿宋" w:hAnsi="仿宋" w:eastAsia="仿宋"/>
          <w:sz w:val="24"/>
          <w:szCs w:val="24"/>
        </w:rPr>
        <w:t>方式</w:t>
      </w:r>
      <w:bookmarkEnd w:id="141"/>
      <w:bookmarkEnd w:id="142"/>
      <w:bookmarkEnd w:id="143"/>
    </w:p>
    <w:p>
      <w:pPr>
        <w:snapToGrid w:val="0"/>
        <w:spacing w:line="360" w:lineRule="auto"/>
        <w:ind w:firstLine="480" w:firstLineChars="200"/>
        <w:rPr>
          <w:rFonts w:ascii="仿宋" w:hAnsi="仿宋" w:eastAsia="仿宋" w:cs="仿宋_GB2312"/>
        </w:rPr>
      </w:pPr>
      <w:bookmarkStart w:id="144" w:name="_Toc18267"/>
      <w:bookmarkStart w:id="145" w:name="_Toc177738104"/>
      <w:bookmarkStart w:id="146" w:name="_Toc106005425"/>
      <w:bookmarkStart w:id="147" w:name="_Toc116134087"/>
      <w:bookmarkStart w:id="148" w:name="_Toc195108752"/>
      <w:r>
        <w:rPr>
          <w:rFonts w:hint="eastAsia" w:ascii="仿宋" w:hAnsi="仿宋" w:eastAsia="仿宋" w:cs="仿宋_GB2312"/>
        </w:rPr>
        <w:t>1.</w:t>
      </w:r>
      <w:r>
        <w:rPr>
          <w:rFonts w:ascii="仿宋" w:hAnsi="仿宋" w:eastAsia="仿宋" w:cs="仿宋_GB2312"/>
        </w:rPr>
        <w:t>本项目采用一次性付款方式，具体如下：</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1.1</w:t>
      </w:r>
      <w:r>
        <w:rPr>
          <w:rFonts w:ascii="仿宋" w:hAnsi="仿宋" w:eastAsia="仿宋" w:cs="仿宋_GB2312"/>
        </w:rPr>
        <w:t>成交供应商在按合同约定完成全部服务内容，并经采购人组织验收合格后，须向采购人开具合法、有效的增值税专用发票或普通发票（</w:t>
      </w:r>
      <w:r>
        <w:rPr>
          <w:rFonts w:hint="eastAsia" w:ascii="仿宋" w:hAnsi="仿宋" w:eastAsia="仿宋" w:cs="仿宋_GB2312"/>
        </w:rPr>
        <w:t>发票类型由采购人指定</w:t>
      </w:r>
      <w:r>
        <w:rPr>
          <w:rFonts w:ascii="仿宋" w:hAnsi="仿宋" w:eastAsia="仿宋" w:cs="仿宋_GB2312"/>
        </w:rPr>
        <w:t>）；</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1.2</w:t>
      </w:r>
      <w:r>
        <w:rPr>
          <w:rFonts w:ascii="仿宋" w:hAnsi="仿宋" w:eastAsia="仿宋" w:cs="仿宋_GB2312"/>
        </w:rPr>
        <w:t>采购人收到有效发票后，将按照财政资金支付程序向财政部门报送相关资料，申请办理资金拨付手续；</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1.3</w:t>
      </w:r>
      <w:r>
        <w:rPr>
          <w:rFonts w:ascii="仿宋" w:hAnsi="仿宋" w:eastAsia="仿宋" w:cs="仿宋_GB2312"/>
        </w:rPr>
        <w:t>经财政部门审核通过后，采购人将在30个日历日内将合同款项一次性支付至成交供应商指定账户；</w:t>
      </w:r>
    </w:p>
    <w:p>
      <w:pPr>
        <w:snapToGrid w:val="0"/>
        <w:spacing w:line="360" w:lineRule="auto"/>
        <w:ind w:firstLine="480" w:firstLineChars="200"/>
        <w:rPr>
          <w:rFonts w:ascii="仿宋" w:hAnsi="仿宋" w:eastAsia="仿宋" w:cs="仿宋_GB2312"/>
        </w:rPr>
      </w:pPr>
      <w:r>
        <w:rPr>
          <w:rFonts w:hint="eastAsia" w:ascii="仿宋" w:hAnsi="仿宋" w:eastAsia="仿宋" w:cs="仿宋_GB2312"/>
        </w:rPr>
        <w:t>1.4</w:t>
      </w:r>
      <w:r>
        <w:rPr>
          <w:rFonts w:ascii="仿宋" w:hAnsi="仿宋" w:eastAsia="仿宋" w:cs="仿宋_GB2312"/>
        </w:rPr>
        <w:t>若供应商未按合同约定完成服务内容或验收不合格，采购人有权暂缓支付或扣除相应款项，并依法追究违约责任。</w:t>
      </w:r>
    </w:p>
    <w:p>
      <w:pPr>
        <w:pStyle w:val="5"/>
        <w:spacing w:before="0" w:after="0" w:line="240" w:lineRule="auto"/>
        <w:rPr>
          <w:rFonts w:ascii="仿宋" w:hAnsi="仿宋" w:eastAsia="仿宋"/>
          <w:sz w:val="24"/>
          <w:szCs w:val="24"/>
        </w:rPr>
      </w:pPr>
      <w:r>
        <w:rPr>
          <w:rFonts w:hint="eastAsia" w:ascii="仿宋" w:hAnsi="仿宋" w:eastAsia="仿宋"/>
          <w:sz w:val="24"/>
          <w:szCs w:val="24"/>
        </w:rPr>
        <w:t>※四、违约</w:t>
      </w:r>
      <w:bookmarkEnd w:id="144"/>
      <w:bookmarkEnd w:id="145"/>
      <w:bookmarkEnd w:id="146"/>
      <w:bookmarkEnd w:id="147"/>
      <w:r>
        <w:rPr>
          <w:rFonts w:hint="eastAsia" w:ascii="仿宋" w:hAnsi="仿宋" w:eastAsia="仿宋"/>
          <w:sz w:val="24"/>
          <w:szCs w:val="24"/>
        </w:rPr>
        <w:t>责任</w:t>
      </w:r>
      <w:bookmarkEnd w:id="148"/>
    </w:p>
    <w:p>
      <w:pPr>
        <w:snapToGrid w:val="0"/>
        <w:spacing w:line="360" w:lineRule="auto"/>
        <w:ind w:firstLine="480" w:firstLineChars="200"/>
        <w:rPr>
          <w:rFonts w:ascii="仿宋" w:hAnsi="仿宋" w:eastAsia="仿宋"/>
          <w:color w:val="000000"/>
        </w:rPr>
      </w:pPr>
      <w:bookmarkStart w:id="149" w:name="_Hlk114647162"/>
      <w:r>
        <w:rPr>
          <w:rFonts w:hint="eastAsia" w:ascii="仿宋" w:hAnsi="仿宋" w:eastAsia="仿宋"/>
          <w:color w:val="000000"/>
        </w:rPr>
        <w:t>（一）采购人可随时对成交供应商的工作内容进行抽查，出现一次不达标的，采购人予以口头警告；出现两次不达标的，成交供应商应向采购人支付合同金额10%的违约金；出现三次不达标的，成交供应商应向采购人支付合同金额30%的违约金；出现四次不达标的，采购人有权终止合同，没收履约保证金，并追究相关法律责任。</w:t>
      </w:r>
    </w:p>
    <w:p>
      <w:pPr>
        <w:snapToGrid w:val="0"/>
        <w:spacing w:line="360" w:lineRule="auto"/>
        <w:ind w:firstLine="480" w:firstLineChars="200"/>
        <w:rPr>
          <w:rFonts w:ascii="仿宋" w:hAnsi="仿宋" w:eastAsia="仿宋"/>
          <w:color w:val="000000"/>
        </w:rPr>
      </w:pPr>
      <w:r>
        <w:rPr>
          <w:rFonts w:hint="eastAsia" w:ascii="仿宋" w:hAnsi="仿宋" w:eastAsia="仿宋"/>
          <w:color w:val="000000"/>
        </w:rPr>
        <w:t>（二）项目执行过程中若发现成交供应商收取项目相关利益方任何不正当利益、好处的，采购人将立即取消成交供应商的服务资格，成交供应商应向采购人支付合同金额5</w:t>
      </w:r>
      <w:r>
        <w:rPr>
          <w:rFonts w:ascii="仿宋" w:hAnsi="仿宋" w:eastAsia="仿宋"/>
          <w:color w:val="000000"/>
        </w:rPr>
        <w:t>0</w:t>
      </w:r>
      <w:r>
        <w:rPr>
          <w:rFonts w:hint="eastAsia" w:ascii="仿宋" w:hAnsi="仿宋" w:eastAsia="仿宋"/>
          <w:color w:val="000000"/>
        </w:rPr>
        <w:t>%的违约金，情节严重的还将追究其相关法律责任。</w:t>
      </w:r>
    </w:p>
    <w:bookmarkEnd w:id="149"/>
    <w:p>
      <w:pPr>
        <w:pStyle w:val="5"/>
        <w:spacing w:before="0" w:after="0" w:line="240" w:lineRule="auto"/>
        <w:rPr>
          <w:rFonts w:ascii="仿宋" w:hAnsi="仿宋" w:eastAsia="仿宋"/>
          <w:sz w:val="24"/>
          <w:szCs w:val="24"/>
        </w:rPr>
      </w:pPr>
      <w:bookmarkStart w:id="150" w:name="_Toc3865"/>
      <w:bookmarkStart w:id="151" w:name="_Toc29050"/>
      <w:bookmarkStart w:id="152" w:name="_Toc6930"/>
      <w:bookmarkStart w:id="153" w:name="_Toc10105"/>
      <w:bookmarkStart w:id="154" w:name="_Toc9016"/>
      <w:bookmarkStart w:id="155" w:name="_Toc177738105"/>
      <w:bookmarkStart w:id="156" w:name="_Toc195108753"/>
      <w:bookmarkStart w:id="157" w:name="_Toc8755"/>
      <w:r>
        <w:rPr>
          <w:rFonts w:hint="eastAsia" w:ascii="仿宋" w:hAnsi="仿宋" w:eastAsia="仿宋"/>
          <w:sz w:val="24"/>
          <w:szCs w:val="24"/>
        </w:rPr>
        <w:t>※五、</w:t>
      </w:r>
      <w:bookmarkEnd w:id="150"/>
      <w:bookmarkEnd w:id="151"/>
      <w:bookmarkEnd w:id="152"/>
      <w:bookmarkEnd w:id="153"/>
      <w:bookmarkEnd w:id="154"/>
      <w:r>
        <w:rPr>
          <w:rFonts w:hint="eastAsia" w:ascii="仿宋" w:hAnsi="仿宋" w:eastAsia="仿宋"/>
          <w:sz w:val="24"/>
          <w:szCs w:val="24"/>
        </w:rPr>
        <w:t>知识产权</w:t>
      </w:r>
      <w:bookmarkEnd w:id="155"/>
      <w:bookmarkEnd w:id="156"/>
      <w:bookmarkEnd w:id="157"/>
    </w:p>
    <w:p>
      <w:pPr>
        <w:snapToGrid w:val="0"/>
        <w:spacing w:line="360" w:lineRule="auto"/>
        <w:ind w:firstLine="480" w:firstLineChars="200"/>
        <w:rPr>
          <w:rFonts w:ascii="仿宋" w:hAnsi="仿宋" w:eastAsia="仿宋"/>
          <w:color w:val="000000"/>
        </w:rPr>
      </w:pPr>
      <w:bookmarkStart w:id="158" w:name="_Toc24536"/>
      <w:bookmarkStart w:id="159" w:name="_Toc10460"/>
      <w:bookmarkStart w:id="160" w:name="_Toc21083"/>
      <w:bookmarkStart w:id="161" w:name="_Toc28344"/>
      <w:bookmarkStart w:id="162" w:name="_Toc23155"/>
      <w:bookmarkStart w:id="163" w:name="_Toc27666"/>
      <w:bookmarkStart w:id="164" w:name="_Toc10941"/>
      <w:r>
        <w:rPr>
          <w:rFonts w:hint="eastAsia" w:ascii="仿宋" w:hAnsi="仿宋" w:eastAsia="仿宋"/>
          <w:color w:val="000000"/>
        </w:rPr>
        <w:t>采购人在中华人民共和国境内使用成交供应商提供的货物及服务时免受第三方提出的侵犯其专利权或其它知识产权的起诉。如果第三方提出侵权指控，成交供应商应承担由此而引起的一切法律责任和费用。</w:t>
      </w:r>
    </w:p>
    <w:bookmarkEnd w:id="158"/>
    <w:bookmarkEnd w:id="159"/>
    <w:bookmarkEnd w:id="160"/>
    <w:bookmarkEnd w:id="161"/>
    <w:bookmarkEnd w:id="162"/>
    <w:bookmarkEnd w:id="163"/>
    <w:bookmarkEnd w:id="164"/>
    <w:p>
      <w:pPr>
        <w:pStyle w:val="5"/>
        <w:spacing w:before="0" w:after="0" w:line="240" w:lineRule="auto"/>
        <w:rPr>
          <w:rFonts w:ascii="仿宋" w:hAnsi="仿宋" w:eastAsia="仿宋"/>
          <w:sz w:val="24"/>
          <w:szCs w:val="24"/>
        </w:rPr>
      </w:pPr>
      <w:bookmarkStart w:id="165" w:name="_Toc195108754"/>
      <w:bookmarkStart w:id="166" w:name="_Toc177738106"/>
      <w:bookmarkStart w:id="167" w:name="_Toc3866"/>
      <w:r>
        <w:rPr>
          <w:rFonts w:hint="eastAsia" w:ascii="仿宋" w:hAnsi="仿宋" w:eastAsia="仿宋"/>
          <w:sz w:val="24"/>
          <w:szCs w:val="24"/>
        </w:rPr>
        <w:t>※六、转包、分包</w:t>
      </w:r>
      <w:bookmarkEnd w:id="165"/>
      <w:bookmarkEnd w:id="166"/>
      <w:bookmarkEnd w:id="167"/>
    </w:p>
    <w:p>
      <w:pPr>
        <w:snapToGrid w:val="0"/>
        <w:spacing w:line="560" w:lineRule="exact"/>
        <w:ind w:firstLine="480" w:firstLineChars="200"/>
        <w:rPr>
          <w:rFonts w:ascii="仿宋" w:hAnsi="仿宋" w:eastAsia="仿宋"/>
          <w:color w:val="000000"/>
        </w:rPr>
      </w:pPr>
      <w:r>
        <w:rPr>
          <w:rFonts w:hint="eastAsia" w:ascii="仿宋" w:hAnsi="仿宋" w:eastAsia="仿宋"/>
          <w:color w:val="000000"/>
        </w:rPr>
        <w:t>成交供应商未经采购人书面同意，不得将本项目转包、分包给第三方，如成交供应商将本项目转包、分包给第三方的，采购人有权解除合同，同时采购人有权要求成交供应商按合同总金额的10%支付违约金，因此给采购人造成的损失应由成交供应商承担赔偿责任。</w:t>
      </w:r>
    </w:p>
    <w:p>
      <w:pPr>
        <w:pStyle w:val="5"/>
        <w:spacing w:before="0" w:after="0" w:line="240" w:lineRule="auto"/>
        <w:rPr>
          <w:rFonts w:ascii="仿宋" w:hAnsi="仿宋" w:eastAsia="仿宋"/>
          <w:sz w:val="24"/>
          <w:szCs w:val="24"/>
        </w:rPr>
      </w:pPr>
      <w:bookmarkStart w:id="168" w:name="_Toc54879135"/>
      <w:bookmarkStart w:id="169" w:name="_Toc177738107"/>
      <w:bookmarkStart w:id="170" w:name="_Toc62484885"/>
      <w:bookmarkStart w:id="171" w:name="_Toc9465"/>
      <w:bookmarkStart w:id="172" w:name="_Toc195108755"/>
      <w:bookmarkStart w:id="173" w:name="_Toc344475125"/>
      <w:r>
        <w:rPr>
          <w:rFonts w:hint="eastAsia" w:ascii="仿宋" w:hAnsi="仿宋" w:eastAsia="仿宋"/>
          <w:sz w:val="24"/>
          <w:szCs w:val="24"/>
        </w:rPr>
        <w:t>※七、其他</w:t>
      </w:r>
      <w:bookmarkEnd w:id="168"/>
      <w:bookmarkEnd w:id="169"/>
      <w:bookmarkEnd w:id="170"/>
      <w:bookmarkEnd w:id="171"/>
      <w:bookmarkEnd w:id="172"/>
    </w:p>
    <w:bookmarkEnd w:id="173"/>
    <w:p>
      <w:pPr>
        <w:snapToGrid w:val="0"/>
        <w:spacing w:line="360" w:lineRule="auto"/>
        <w:ind w:firstLine="480" w:firstLineChars="200"/>
        <w:rPr>
          <w:rFonts w:ascii="仿宋" w:hAnsi="仿宋" w:eastAsia="仿宋"/>
          <w:color w:val="000000"/>
        </w:rPr>
      </w:pPr>
      <w:r>
        <w:rPr>
          <w:rFonts w:hint="eastAsia" w:ascii="仿宋" w:hAnsi="仿宋" w:eastAsia="仿宋"/>
          <w:color w:val="000000"/>
        </w:rPr>
        <w:t>（一）成交供应商在本项目执行过程中应对所获悉的所有项目内容进行保密，未经采购人允许不得随意公布、不得转交给第三方。</w:t>
      </w:r>
    </w:p>
    <w:p>
      <w:pPr>
        <w:snapToGrid w:val="0"/>
        <w:spacing w:line="360" w:lineRule="auto"/>
        <w:ind w:firstLine="480" w:firstLineChars="200"/>
        <w:rPr>
          <w:rFonts w:ascii="仿宋" w:hAnsi="仿宋" w:eastAsia="仿宋"/>
          <w:color w:val="000000"/>
        </w:rPr>
      </w:pPr>
      <w:r>
        <w:rPr>
          <w:rFonts w:hint="eastAsia" w:ascii="仿宋" w:hAnsi="仿宋" w:eastAsia="仿宋"/>
          <w:color w:val="000000"/>
        </w:rPr>
        <w:t>（二）其他未尽事宜由供需双方在采购合同中详细约定。</w:t>
      </w:r>
    </w:p>
    <w:p>
      <w:pPr>
        <w:rPr>
          <w:rFonts w:ascii="仿宋" w:hAnsi="仿宋" w:eastAsia="仿宋"/>
        </w:rPr>
      </w:pPr>
      <w:r>
        <w:rPr>
          <w:rFonts w:ascii="仿宋" w:hAnsi="仿宋" w:eastAsia="仿宋"/>
        </w:rPr>
        <w:br w:type="page"/>
      </w:r>
    </w:p>
    <w:p>
      <w:pPr>
        <w:rPr>
          <w:rFonts w:ascii="仿宋" w:hAnsi="仿宋" w:eastAsia="仿宋"/>
        </w:rPr>
      </w:pPr>
    </w:p>
    <w:p>
      <w:pPr>
        <w:pStyle w:val="4"/>
        <w:spacing w:before="0" w:after="0" w:line="360" w:lineRule="auto"/>
        <w:jc w:val="center"/>
        <w:rPr>
          <w:rFonts w:ascii="仿宋" w:hAnsi="仿宋" w:eastAsia="仿宋" w:cs="宋体"/>
          <w:b w:val="0"/>
          <w:bCs w:val="0"/>
        </w:rPr>
      </w:pPr>
      <w:bookmarkStart w:id="174" w:name="_Toc195108756"/>
      <w:r>
        <w:rPr>
          <w:rFonts w:hint="eastAsia" w:ascii="仿宋" w:hAnsi="仿宋" w:eastAsia="仿宋" w:cs="宋体"/>
          <w:b w:val="0"/>
          <w:bCs w:val="0"/>
        </w:rPr>
        <w:t>第五篇  合同草案</w:t>
      </w:r>
      <w:bookmarkEnd w:id="105"/>
      <w:bookmarkEnd w:id="106"/>
      <w:bookmarkEnd w:id="174"/>
    </w:p>
    <w:bookmarkEnd w:id="76"/>
    <w:bookmarkEnd w:id="77"/>
    <w:bookmarkEnd w:id="107"/>
    <w:bookmarkEnd w:id="108"/>
    <w:bookmarkEnd w:id="109"/>
    <w:p>
      <w:pPr>
        <w:spacing w:line="500" w:lineRule="exact"/>
        <w:jc w:val="center"/>
        <w:outlineLvl w:val="1"/>
        <w:rPr>
          <w:rFonts w:ascii="仿宋" w:hAnsi="仿宋" w:eastAsia="仿宋"/>
          <w:b/>
          <w:sz w:val="44"/>
        </w:rPr>
      </w:pPr>
      <w:bookmarkStart w:id="175" w:name="_Toc487204796"/>
      <w:bookmarkStart w:id="176" w:name="_Toc12942"/>
    </w:p>
    <w:p>
      <w:pPr>
        <w:pStyle w:val="2"/>
        <w:spacing w:after="0"/>
        <w:ind w:left="0" w:leftChars="0" w:firstLine="0" w:firstLineChars="0"/>
        <w:jc w:val="center"/>
        <w:rPr>
          <w:rFonts w:ascii="仿宋" w:hAnsi="仿宋" w:eastAsia="仿宋"/>
          <w:b/>
          <w:bCs/>
          <w:sz w:val="22"/>
          <w:szCs w:val="22"/>
        </w:rPr>
      </w:pPr>
      <w:r>
        <w:rPr>
          <w:rFonts w:hint="eastAsia" w:ascii="仿宋" w:hAnsi="仿宋" w:eastAsia="仿宋"/>
          <w:b/>
          <w:bCs/>
          <w:sz w:val="22"/>
          <w:szCs w:val="22"/>
        </w:rPr>
        <w:t>注：本篇为合同草案，最终以双方协商一致，实际签订的合同为准。</w:t>
      </w:r>
    </w:p>
    <w:p>
      <w:pPr>
        <w:pStyle w:val="2"/>
        <w:spacing w:after="0"/>
        <w:ind w:left="0" w:leftChars="0" w:firstLine="400"/>
        <w:rPr>
          <w:rFonts w:ascii="仿宋" w:hAnsi="仿宋" w:eastAsia="仿宋"/>
        </w:rPr>
      </w:pPr>
    </w:p>
    <w:p>
      <w:pPr>
        <w:snapToGrid w:val="0"/>
        <w:spacing w:line="360" w:lineRule="auto"/>
        <w:jc w:val="center"/>
        <w:rPr>
          <w:rFonts w:ascii="仿宋" w:hAnsi="仿宋" w:eastAsia="仿宋"/>
          <w:b/>
          <w:bCs/>
          <w:color w:val="000000"/>
          <w:sz w:val="44"/>
          <w:szCs w:val="44"/>
        </w:rPr>
      </w:pPr>
      <w:r>
        <w:rPr>
          <w:rFonts w:hint="eastAsia" w:ascii="仿宋" w:hAnsi="仿宋" w:eastAsia="仿宋"/>
          <w:b/>
          <w:bCs/>
          <w:color w:val="000000"/>
          <w:sz w:val="44"/>
          <w:szCs w:val="44"/>
        </w:rPr>
        <w:t>采购合同</w:t>
      </w:r>
    </w:p>
    <w:p>
      <w:pPr>
        <w:spacing w:line="500" w:lineRule="exact"/>
        <w:jc w:val="center"/>
        <w:rPr>
          <w:rFonts w:ascii="仿宋" w:hAnsi="仿宋" w:eastAsia="仿宋"/>
        </w:rPr>
      </w:pPr>
      <w:r>
        <w:rPr>
          <w:rFonts w:hint="eastAsia" w:ascii="仿宋" w:hAnsi="仿宋" w:eastAsia="仿宋"/>
        </w:rPr>
        <w:t>（项目编号：     ）</w:t>
      </w:r>
    </w:p>
    <w:p>
      <w:pPr>
        <w:spacing w:line="500" w:lineRule="exact"/>
        <w:rPr>
          <w:rFonts w:ascii="仿宋" w:hAnsi="仿宋" w:eastAsia="仿宋"/>
        </w:rPr>
      </w:pPr>
      <w:r>
        <w:rPr>
          <w:rFonts w:hint="eastAsia" w:ascii="仿宋" w:hAnsi="仿宋" w:eastAsia="仿宋"/>
        </w:rPr>
        <w:t>甲方（需方）：___________________________      计价单位：____________</w:t>
      </w:r>
    </w:p>
    <w:p>
      <w:pPr>
        <w:spacing w:line="500" w:lineRule="exact"/>
        <w:rPr>
          <w:rFonts w:ascii="仿宋" w:hAnsi="仿宋" w:eastAsia="仿宋"/>
        </w:rPr>
      </w:pPr>
      <w:r>
        <w:rPr>
          <w:rFonts w:hint="eastAsia" w:ascii="仿宋" w:hAnsi="仿宋" w:eastAsia="仿宋"/>
        </w:rPr>
        <w:t>乙方（供方）：___________________________      计量单位：_____________</w:t>
      </w:r>
    </w:p>
    <w:p>
      <w:pPr>
        <w:spacing w:line="500" w:lineRule="exact"/>
        <w:rPr>
          <w:rFonts w:ascii="仿宋" w:hAnsi="仿宋" w:eastAsia="仿宋"/>
        </w:rPr>
      </w:pPr>
      <w:r>
        <w:rPr>
          <w:rFonts w:hint="eastAsia" w:ascii="仿宋" w:hAnsi="仿宋" w:eastAsia="仿宋"/>
        </w:rPr>
        <w:t>经双方协商一致，达成以下购销合同：</w:t>
      </w:r>
    </w:p>
    <w:tbl>
      <w:tblPr>
        <w:tblStyle w:val="1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9"/>
        <w:gridCol w:w="1660"/>
        <w:gridCol w:w="765"/>
        <w:gridCol w:w="924"/>
        <w:gridCol w:w="1330"/>
        <w:gridCol w:w="1380"/>
        <w:gridCol w:w="1335"/>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2219" w:type="dxa"/>
            <w:vAlign w:val="center"/>
          </w:tcPr>
          <w:p>
            <w:pPr>
              <w:spacing w:line="240" w:lineRule="atLeast"/>
              <w:jc w:val="center"/>
              <w:rPr>
                <w:rFonts w:ascii="仿宋" w:hAnsi="仿宋" w:eastAsia="仿宋"/>
                <w:sz w:val="21"/>
                <w:szCs w:val="21"/>
              </w:rPr>
            </w:pPr>
            <w:r>
              <w:rPr>
                <w:rFonts w:hint="eastAsia" w:ascii="仿宋" w:hAnsi="仿宋" w:eastAsia="仿宋"/>
                <w:sz w:val="21"/>
                <w:szCs w:val="21"/>
              </w:rPr>
              <w:t>项目名称</w:t>
            </w:r>
          </w:p>
        </w:tc>
        <w:tc>
          <w:tcPr>
            <w:tcW w:w="1660" w:type="dxa"/>
            <w:vAlign w:val="center"/>
          </w:tcPr>
          <w:p>
            <w:pPr>
              <w:spacing w:line="240" w:lineRule="atLeast"/>
              <w:jc w:val="center"/>
              <w:rPr>
                <w:rFonts w:ascii="仿宋" w:hAnsi="仿宋" w:eastAsia="仿宋"/>
                <w:sz w:val="21"/>
                <w:szCs w:val="21"/>
              </w:rPr>
            </w:pPr>
            <w:r>
              <w:rPr>
                <w:rFonts w:hint="eastAsia" w:ascii="仿宋" w:hAnsi="仿宋" w:eastAsia="仿宋"/>
                <w:sz w:val="21"/>
                <w:szCs w:val="21"/>
              </w:rPr>
              <w:t>数量</w:t>
            </w:r>
          </w:p>
        </w:tc>
        <w:tc>
          <w:tcPr>
            <w:tcW w:w="1689" w:type="dxa"/>
            <w:gridSpan w:val="2"/>
            <w:vAlign w:val="center"/>
          </w:tcPr>
          <w:p>
            <w:pPr>
              <w:spacing w:line="240" w:lineRule="atLeast"/>
              <w:jc w:val="center"/>
              <w:rPr>
                <w:rFonts w:ascii="仿宋" w:hAnsi="仿宋" w:eastAsia="仿宋"/>
                <w:sz w:val="21"/>
                <w:szCs w:val="21"/>
              </w:rPr>
            </w:pPr>
            <w:r>
              <w:rPr>
                <w:rFonts w:hint="eastAsia" w:ascii="仿宋" w:hAnsi="仿宋" w:eastAsia="仿宋"/>
                <w:sz w:val="21"/>
                <w:szCs w:val="21"/>
              </w:rPr>
              <w:t>综合单价</w:t>
            </w:r>
          </w:p>
        </w:tc>
        <w:tc>
          <w:tcPr>
            <w:tcW w:w="1330" w:type="dxa"/>
            <w:vAlign w:val="center"/>
          </w:tcPr>
          <w:p>
            <w:pPr>
              <w:spacing w:line="240" w:lineRule="atLeast"/>
              <w:jc w:val="center"/>
              <w:rPr>
                <w:rFonts w:ascii="仿宋" w:hAnsi="仿宋" w:eastAsia="仿宋"/>
                <w:sz w:val="21"/>
                <w:szCs w:val="21"/>
              </w:rPr>
            </w:pPr>
            <w:r>
              <w:rPr>
                <w:rFonts w:hint="eastAsia" w:ascii="仿宋" w:hAnsi="仿宋" w:eastAsia="仿宋"/>
                <w:sz w:val="21"/>
                <w:szCs w:val="21"/>
              </w:rPr>
              <w:t>总价</w:t>
            </w:r>
          </w:p>
        </w:tc>
        <w:tc>
          <w:tcPr>
            <w:tcW w:w="1380" w:type="dxa"/>
            <w:vAlign w:val="center"/>
          </w:tcPr>
          <w:p>
            <w:pPr>
              <w:spacing w:line="240" w:lineRule="atLeast"/>
              <w:jc w:val="center"/>
              <w:rPr>
                <w:rFonts w:ascii="仿宋" w:hAnsi="仿宋" w:eastAsia="仿宋"/>
                <w:sz w:val="21"/>
                <w:szCs w:val="21"/>
              </w:rPr>
            </w:pPr>
            <w:r>
              <w:rPr>
                <w:rFonts w:hint="eastAsia" w:ascii="仿宋" w:hAnsi="仿宋" w:eastAsia="仿宋"/>
                <w:sz w:val="21"/>
                <w:szCs w:val="21"/>
              </w:rPr>
              <w:t>服务期</w:t>
            </w:r>
          </w:p>
        </w:tc>
        <w:tc>
          <w:tcPr>
            <w:tcW w:w="1335" w:type="dxa"/>
            <w:vAlign w:val="center"/>
          </w:tcPr>
          <w:p>
            <w:pPr>
              <w:spacing w:line="240" w:lineRule="atLeast"/>
              <w:jc w:val="center"/>
              <w:rPr>
                <w:rFonts w:ascii="仿宋" w:hAnsi="仿宋" w:eastAsia="仿宋"/>
                <w:sz w:val="21"/>
                <w:szCs w:val="21"/>
              </w:rPr>
            </w:pPr>
            <w:r>
              <w:rPr>
                <w:rFonts w:hint="eastAsia" w:ascii="仿宋" w:hAnsi="仿宋" w:eastAsia="仿宋"/>
                <w:sz w:val="21"/>
                <w:szCs w:val="21"/>
              </w:rPr>
              <w:t>服务地点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2219" w:type="dxa"/>
            <w:vAlign w:val="center"/>
          </w:tcPr>
          <w:p>
            <w:pPr>
              <w:spacing w:line="240" w:lineRule="atLeast"/>
              <w:jc w:val="center"/>
              <w:rPr>
                <w:rFonts w:ascii="仿宋" w:hAnsi="仿宋" w:eastAsia="仿宋"/>
                <w:sz w:val="21"/>
                <w:szCs w:val="21"/>
              </w:rPr>
            </w:pPr>
          </w:p>
        </w:tc>
        <w:tc>
          <w:tcPr>
            <w:tcW w:w="1660" w:type="dxa"/>
            <w:vAlign w:val="center"/>
          </w:tcPr>
          <w:p>
            <w:pPr>
              <w:spacing w:line="240" w:lineRule="atLeast"/>
              <w:jc w:val="center"/>
              <w:rPr>
                <w:rFonts w:ascii="仿宋" w:hAnsi="仿宋" w:eastAsia="仿宋"/>
                <w:sz w:val="21"/>
                <w:szCs w:val="21"/>
              </w:rPr>
            </w:pPr>
          </w:p>
        </w:tc>
        <w:tc>
          <w:tcPr>
            <w:tcW w:w="1689" w:type="dxa"/>
            <w:gridSpan w:val="2"/>
            <w:vAlign w:val="center"/>
          </w:tcPr>
          <w:p>
            <w:pPr>
              <w:spacing w:line="240" w:lineRule="atLeast"/>
              <w:jc w:val="center"/>
              <w:rPr>
                <w:rFonts w:ascii="仿宋" w:hAnsi="仿宋" w:eastAsia="仿宋"/>
                <w:sz w:val="21"/>
                <w:szCs w:val="21"/>
              </w:rPr>
            </w:pPr>
          </w:p>
        </w:tc>
        <w:tc>
          <w:tcPr>
            <w:tcW w:w="1330" w:type="dxa"/>
            <w:vAlign w:val="center"/>
          </w:tcPr>
          <w:p>
            <w:pPr>
              <w:spacing w:line="240" w:lineRule="atLeast"/>
              <w:jc w:val="center"/>
              <w:rPr>
                <w:rFonts w:ascii="仿宋" w:hAnsi="仿宋" w:eastAsia="仿宋"/>
                <w:sz w:val="21"/>
                <w:szCs w:val="21"/>
              </w:rPr>
            </w:pPr>
          </w:p>
        </w:tc>
        <w:tc>
          <w:tcPr>
            <w:tcW w:w="1380" w:type="dxa"/>
            <w:vAlign w:val="center"/>
          </w:tcPr>
          <w:p>
            <w:pPr>
              <w:spacing w:line="240" w:lineRule="atLeast"/>
              <w:jc w:val="center"/>
              <w:rPr>
                <w:rFonts w:ascii="仿宋" w:hAnsi="仿宋" w:eastAsia="仿宋"/>
                <w:sz w:val="21"/>
                <w:szCs w:val="21"/>
              </w:rPr>
            </w:pPr>
          </w:p>
        </w:tc>
        <w:tc>
          <w:tcPr>
            <w:tcW w:w="1335" w:type="dxa"/>
            <w:vAlign w:val="center"/>
          </w:tcPr>
          <w:p>
            <w:pPr>
              <w:spacing w:line="240" w:lineRule="atLeast"/>
              <w:jc w:val="center"/>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2219" w:type="dxa"/>
            <w:vAlign w:val="center"/>
          </w:tcPr>
          <w:p>
            <w:pPr>
              <w:spacing w:line="240" w:lineRule="atLeast"/>
              <w:jc w:val="center"/>
              <w:rPr>
                <w:rFonts w:ascii="仿宋" w:hAnsi="仿宋" w:eastAsia="仿宋"/>
                <w:sz w:val="21"/>
                <w:szCs w:val="21"/>
              </w:rPr>
            </w:pPr>
          </w:p>
        </w:tc>
        <w:tc>
          <w:tcPr>
            <w:tcW w:w="1660" w:type="dxa"/>
            <w:vAlign w:val="center"/>
          </w:tcPr>
          <w:p>
            <w:pPr>
              <w:spacing w:line="240" w:lineRule="atLeast"/>
              <w:jc w:val="center"/>
              <w:rPr>
                <w:rFonts w:ascii="仿宋" w:hAnsi="仿宋" w:eastAsia="仿宋"/>
                <w:sz w:val="21"/>
                <w:szCs w:val="21"/>
              </w:rPr>
            </w:pPr>
          </w:p>
        </w:tc>
        <w:tc>
          <w:tcPr>
            <w:tcW w:w="1689" w:type="dxa"/>
            <w:gridSpan w:val="2"/>
            <w:vAlign w:val="center"/>
          </w:tcPr>
          <w:p>
            <w:pPr>
              <w:spacing w:line="240" w:lineRule="atLeast"/>
              <w:jc w:val="center"/>
              <w:rPr>
                <w:rFonts w:ascii="仿宋" w:hAnsi="仿宋" w:eastAsia="仿宋"/>
                <w:sz w:val="21"/>
                <w:szCs w:val="21"/>
              </w:rPr>
            </w:pPr>
          </w:p>
        </w:tc>
        <w:tc>
          <w:tcPr>
            <w:tcW w:w="1330" w:type="dxa"/>
            <w:vAlign w:val="center"/>
          </w:tcPr>
          <w:p>
            <w:pPr>
              <w:spacing w:line="240" w:lineRule="atLeast"/>
              <w:jc w:val="center"/>
              <w:rPr>
                <w:rFonts w:ascii="仿宋" w:hAnsi="仿宋" w:eastAsia="仿宋"/>
                <w:sz w:val="21"/>
                <w:szCs w:val="21"/>
              </w:rPr>
            </w:pPr>
          </w:p>
        </w:tc>
        <w:tc>
          <w:tcPr>
            <w:tcW w:w="1380" w:type="dxa"/>
            <w:vAlign w:val="center"/>
          </w:tcPr>
          <w:p>
            <w:pPr>
              <w:spacing w:line="240" w:lineRule="atLeast"/>
              <w:jc w:val="center"/>
              <w:rPr>
                <w:rFonts w:ascii="仿宋" w:hAnsi="仿宋" w:eastAsia="仿宋"/>
                <w:sz w:val="21"/>
                <w:szCs w:val="21"/>
              </w:rPr>
            </w:pPr>
          </w:p>
        </w:tc>
        <w:tc>
          <w:tcPr>
            <w:tcW w:w="1335" w:type="dxa"/>
            <w:vAlign w:val="center"/>
          </w:tcPr>
          <w:p>
            <w:pPr>
              <w:spacing w:line="240" w:lineRule="atLeast"/>
              <w:jc w:val="center"/>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9613" w:type="dxa"/>
            <w:gridSpan w:val="7"/>
            <w:vAlign w:val="center"/>
          </w:tcPr>
          <w:p>
            <w:pPr>
              <w:spacing w:line="240" w:lineRule="atLeast"/>
              <w:rPr>
                <w:rFonts w:ascii="仿宋" w:hAnsi="仿宋" w:eastAsia="仿宋"/>
                <w:sz w:val="21"/>
                <w:szCs w:val="21"/>
              </w:rPr>
            </w:pPr>
            <w:r>
              <w:rPr>
                <w:rFonts w:hint="eastAsia" w:ascii="仿宋" w:hAnsi="仿宋" w:eastAsia="仿宋"/>
                <w:sz w:val="21"/>
                <w:szCs w:val="21"/>
              </w:rPr>
              <w:t>合计人民币（小写）：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Pr>
        <w:tc>
          <w:tcPr>
            <w:tcW w:w="9613" w:type="dxa"/>
            <w:gridSpan w:val="7"/>
            <w:vAlign w:val="center"/>
          </w:tcPr>
          <w:p>
            <w:pPr>
              <w:spacing w:line="240" w:lineRule="atLeast"/>
              <w:rPr>
                <w:rFonts w:ascii="仿宋" w:hAnsi="仿宋" w:eastAsia="仿宋"/>
                <w:sz w:val="21"/>
                <w:szCs w:val="21"/>
              </w:rPr>
            </w:pPr>
            <w:r>
              <w:rPr>
                <w:rFonts w:hint="eastAsia" w:ascii="仿宋" w:hAnsi="仿宋" w:eastAsia="仿宋"/>
                <w:sz w:val="21"/>
                <w:szCs w:val="21"/>
              </w:rPr>
              <w:t>合计人民币（大写）：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54" w:hRule="atLeast"/>
        </w:trPr>
        <w:tc>
          <w:tcPr>
            <w:tcW w:w="9613" w:type="dxa"/>
            <w:gridSpan w:val="7"/>
          </w:tcPr>
          <w:p>
            <w:pPr>
              <w:spacing w:line="240" w:lineRule="atLeast"/>
              <w:rPr>
                <w:rFonts w:ascii="仿宋" w:hAnsi="仿宋" w:eastAsia="仿宋"/>
                <w:sz w:val="21"/>
                <w:szCs w:val="21"/>
              </w:rPr>
            </w:pPr>
            <w:r>
              <w:rPr>
                <w:rFonts w:hint="eastAsia" w:ascii="仿宋" w:hAnsi="仿宋" w:eastAsia="仿宋"/>
                <w:sz w:val="21"/>
                <w:szCs w:val="21"/>
              </w:rPr>
              <w:t>一、服务要求</w:t>
            </w:r>
          </w:p>
          <w:p>
            <w:pPr>
              <w:pStyle w:val="11"/>
              <w:jc w:val="both"/>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4" w:hRule="atLeast"/>
        </w:trPr>
        <w:tc>
          <w:tcPr>
            <w:tcW w:w="9628" w:type="dxa"/>
            <w:gridSpan w:val="8"/>
          </w:tcPr>
          <w:p>
            <w:pPr>
              <w:spacing w:line="240" w:lineRule="atLeast"/>
              <w:rPr>
                <w:rFonts w:ascii="仿宋" w:hAnsi="仿宋" w:eastAsia="仿宋"/>
                <w:sz w:val="21"/>
                <w:szCs w:val="21"/>
              </w:rPr>
            </w:pPr>
            <w:r>
              <w:rPr>
                <w:rFonts w:hint="eastAsia" w:ascii="仿宋" w:hAnsi="仿宋" w:eastAsia="仿宋"/>
                <w:sz w:val="21"/>
                <w:szCs w:val="21"/>
              </w:rPr>
              <w:t>二、考核方式</w:t>
            </w:r>
          </w:p>
          <w:p>
            <w:pPr>
              <w:pStyle w:val="11"/>
              <w:jc w:val="both"/>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8" w:type="dxa"/>
            <w:gridSpan w:val="8"/>
          </w:tcPr>
          <w:p>
            <w:pPr>
              <w:spacing w:line="240" w:lineRule="atLeast"/>
              <w:rPr>
                <w:rFonts w:ascii="仿宋" w:hAnsi="仿宋" w:eastAsia="仿宋"/>
                <w:sz w:val="21"/>
                <w:szCs w:val="21"/>
              </w:rPr>
            </w:pPr>
            <w:r>
              <w:rPr>
                <w:rFonts w:hint="eastAsia" w:ascii="仿宋" w:hAnsi="仿宋" w:eastAsia="仿宋"/>
                <w:sz w:val="21"/>
                <w:szCs w:val="21"/>
              </w:rPr>
              <w:t>三、付款方式</w:t>
            </w:r>
          </w:p>
          <w:p>
            <w:pPr>
              <w:pStyle w:val="11"/>
              <w:jc w:val="both"/>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8" w:type="dxa"/>
            <w:gridSpan w:val="8"/>
          </w:tcPr>
          <w:p>
            <w:pPr>
              <w:spacing w:line="240" w:lineRule="atLeast"/>
              <w:rPr>
                <w:rFonts w:ascii="仿宋" w:hAnsi="仿宋" w:eastAsia="仿宋"/>
                <w:sz w:val="21"/>
                <w:szCs w:val="21"/>
              </w:rPr>
            </w:pPr>
            <w:r>
              <w:rPr>
                <w:rFonts w:hint="eastAsia" w:ascii="仿宋" w:hAnsi="仿宋" w:eastAsia="仿宋"/>
                <w:sz w:val="21"/>
                <w:szCs w:val="21"/>
              </w:rPr>
              <w:t>四、违约责任：</w:t>
            </w:r>
          </w:p>
          <w:p>
            <w:pPr>
              <w:spacing w:line="240" w:lineRule="atLeast"/>
              <w:rPr>
                <w:rFonts w:ascii="仿宋" w:hAnsi="仿宋" w:eastAsia="仿宋"/>
                <w:sz w:val="21"/>
                <w:szCs w:val="21"/>
              </w:rPr>
            </w:pPr>
            <w:r>
              <w:rPr>
                <w:rFonts w:hint="eastAsia" w:ascii="仿宋" w:hAnsi="仿宋" w:eastAsia="仿宋"/>
                <w:sz w:val="21"/>
                <w:szCs w:val="21"/>
              </w:rPr>
              <w:t>按《中华人民共和国民法典》、《中华人民共和国政府采购法》执行，或按双方约定。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8" w:type="dxa"/>
            <w:gridSpan w:val="8"/>
          </w:tcPr>
          <w:p>
            <w:pPr>
              <w:spacing w:line="240" w:lineRule="atLeast"/>
              <w:rPr>
                <w:rFonts w:ascii="仿宋" w:hAnsi="仿宋" w:eastAsia="仿宋"/>
                <w:sz w:val="21"/>
                <w:szCs w:val="21"/>
              </w:rPr>
            </w:pPr>
            <w:r>
              <w:rPr>
                <w:rFonts w:hint="eastAsia" w:ascii="仿宋" w:hAnsi="仿宋" w:eastAsia="仿宋"/>
                <w:sz w:val="21"/>
                <w:szCs w:val="21"/>
              </w:rPr>
              <w:t>五、其他约定事项：</w:t>
            </w:r>
          </w:p>
          <w:p>
            <w:pPr>
              <w:spacing w:line="240" w:lineRule="atLeast"/>
              <w:rPr>
                <w:rFonts w:ascii="仿宋" w:hAnsi="仿宋" w:eastAsia="仿宋"/>
                <w:sz w:val="21"/>
                <w:szCs w:val="21"/>
              </w:rPr>
            </w:pPr>
            <w:r>
              <w:rPr>
                <w:rFonts w:hint="eastAsia" w:ascii="仿宋" w:hAnsi="仿宋" w:eastAsia="仿宋"/>
                <w:sz w:val="21"/>
                <w:szCs w:val="21"/>
              </w:rPr>
              <w:t>1.采购文件及其澄清文件、响应文件和承诺是本合同不可分割的部分。</w:t>
            </w:r>
          </w:p>
          <w:p>
            <w:pPr>
              <w:spacing w:line="240" w:lineRule="atLeast"/>
              <w:rPr>
                <w:rFonts w:ascii="仿宋" w:hAnsi="仿宋" w:eastAsia="仿宋"/>
                <w:sz w:val="21"/>
                <w:szCs w:val="21"/>
              </w:rPr>
            </w:pPr>
            <w:r>
              <w:rPr>
                <w:rFonts w:hint="eastAsia" w:ascii="仿宋" w:hAnsi="仿宋" w:eastAsia="仿宋"/>
                <w:sz w:val="21"/>
                <w:szCs w:val="21"/>
              </w:rPr>
              <w:t>2.本合同如发生争议由双方协商解决，协商不成向需方所在人民法院提请诉讼。</w:t>
            </w:r>
          </w:p>
          <w:p>
            <w:pPr>
              <w:spacing w:line="240" w:lineRule="atLeast"/>
              <w:rPr>
                <w:rFonts w:ascii="仿宋" w:hAnsi="仿宋" w:eastAsia="仿宋"/>
                <w:sz w:val="21"/>
                <w:szCs w:val="21"/>
              </w:rPr>
            </w:pPr>
            <w:r>
              <w:rPr>
                <w:rFonts w:hint="eastAsia" w:ascii="仿宋" w:hAnsi="仿宋" w:eastAsia="仿宋"/>
                <w:sz w:val="21"/>
                <w:szCs w:val="21"/>
              </w:rPr>
              <w:t>3.本合同一式__份， 需方__份，供方__份，具同等法律效力。</w:t>
            </w:r>
          </w:p>
          <w:p>
            <w:pPr>
              <w:spacing w:line="240" w:lineRule="atLeast"/>
              <w:rPr>
                <w:rFonts w:ascii="仿宋" w:hAnsi="仿宋" w:eastAsia="仿宋"/>
                <w:sz w:val="21"/>
                <w:szCs w:val="21"/>
              </w:rPr>
            </w:pPr>
            <w:r>
              <w:rPr>
                <w:rFonts w:hint="eastAsia" w:ascii="仿宋" w:hAnsi="仿宋" w:eastAsia="仿宋"/>
                <w:sz w:val="21"/>
                <w:szCs w:val="21"/>
              </w:rPr>
              <w:t>4.其他：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644" w:type="dxa"/>
            <w:gridSpan w:val="3"/>
          </w:tcPr>
          <w:p>
            <w:pPr>
              <w:spacing w:line="240" w:lineRule="atLeast"/>
              <w:rPr>
                <w:rFonts w:ascii="仿宋" w:hAnsi="仿宋" w:eastAsia="仿宋"/>
                <w:sz w:val="21"/>
                <w:szCs w:val="21"/>
              </w:rPr>
            </w:pPr>
            <w:r>
              <w:rPr>
                <w:rFonts w:hint="eastAsia" w:ascii="仿宋" w:hAnsi="仿宋" w:eastAsia="仿宋"/>
                <w:sz w:val="21"/>
                <w:szCs w:val="21"/>
              </w:rPr>
              <w:t>需方：</w:t>
            </w:r>
          </w:p>
          <w:p>
            <w:pPr>
              <w:spacing w:line="240" w:lineRule="atLeast"/>
              <w:rPr>
                <w:rFonts w:ascii="仿宋" w:hAnsi="仿宋" w:eastAsia="仿宋"/>
                <w:sz w:val="21"/>
                <w:szCs w:val="21"/>
              </w:rPr>
            </w:pPr>
            <w:r>
              <w:rPr>
                <w:rFonts w:hint="eastAsia" w:ascii="仿宋" w:hAnsi="仿宋" w:eastAsia="仿宋"/>
                <w:sz w:val="21"/>
                <w:szCs w:val="21"/>
              </w:rPr>
              <w:t>地址：</w:t>
            </w:r>
          </w:p>
          <w:p>
            <w:pPr>
              <w:spacing w:line="240" w:lineRule="atLeast"/>
              <w:rPr>
                <w:rFonts w:ascii="仿宋" w:hAnsi="仿宋" w:eastAsia="仿宋"/>
                <w:sz w:val="21"/>
                <w:szCs w:val="21"/>
              </w:rPr>
            </w:pPr>
            <w:r>
              <w:rPr>
                <w:rFonts w:hint="eastAsia" w:ascii="仿宋" w:hAnsi="仿宋" w:eastAsia="仿宋"/>
                <w:sz w:val="21"/>
                <w:szCs w:val="21"/>
              </w:rPr>
              <w:t>联系电话：</w:t>
            </w:r>
          </w:p>
          <w:p>
            <w:pPr>
              <w:spacing w:line="240" w:lineRule="atLeast"/>
              <w:rPr>
                <w:rFonts w:ascii="仿宋" w:hAnsi="仿宋" w:eastAsia="仿宋"/>
                <w:sz w:val="21"/>
                <w:szCs w:val="21"/>
              </w:rPr>
            </w:pPr>
            <w:r>
              <w:rPr>
                <w:rFonts w:hint="eastAsia" w:ascii="仿宋" w:hAnsi="仿宋" w:eastAsia="仿宋"/>
                <w:sz w:val="21"/>
                <w:szCs w:val="21"/>
              </w:rPr>
              <w:t>授权代表：</w:t>
            </w:r>
          </w:p>
        </w:tc>
        <w:tc>
          <w:tcPr>
            <w:tcW w:w="4984" w:type="dxa"/>
            <w:gridSpan w:val="5"/>
          </w:tcPr>
          <w:p>
            <w:pPr>
              <w:spacing w:line="240" w:lineRule="atLeast"/>
              <w:rPr>
                <w:rFonts w:ascii="仿宋" w:hAnsi="仿宋" w:eastAsia="仿宋"/>
                <w:sz w:val="21"/>
                <w:szCs w:val="21"/>
              </w:rPr>
            </w:pPr>
            <w:r>
              <w:rPr>
                <w:rFonts w:hint="eastAsia" w:ascii="仿宋" w:hAnsi="仿宋" w:eastAsia="仿宋"/>
                <w:sz w:val="21"/>
                <w:szCs w:val="21"/>
              </w:rPr>
              <w:t>供方：</w:t>
            </w:r>
          </w:p>
          <w:p>
            <w:pPr>
              <w:spacing w:line="240" w:lineRule="atLeast"/>
              <w:rPr>
                <w:rFonts w:ascii="仿宋" w:hAnsi="仿宋" w:eastAsia="仿宋"/>
                <w:sz w:val="21"/>
                <w:szCs w:val="21"/>
              </w:rPr>
            </w:pPr>
            <w:r>
              <w:rPr>
                <w:rFonts w:hint="eastAsia" w:ascii="仿宋" w:hAnsi="仿宋" w:eastAsia="仿宋"/>
                <w:sz w:val="21"/>
                <w:szCs w:val="21"/>
              </w:rPr>
              <w:t>地址：</w:t>
            </w:r>
          </w:p>
          <w:p>
            <w:pPr>
              <w:spacing w:line="240" w:lineRule="atLeast"/>
              <w:rPr>
                <w:rFonts w:ascii="仿宋" w:hAnsi="仿宋" w:eastAsia="仿宋"/>
                <w:sz w:val="21"/>
                <w:szCs w:val="21"/>
              </w:rPr>
            </w:pPr>
            <w:r>
              <w:rPr>
                <w:rFonts w:hint="eastAsia" w:ascii="仿宋" w:hAnsi="仿宋" w:eastAsia="仿宋"/>
                <w:sz w:val="21"/>
                <w:szCs w:val="21"/>
              </w:rPr>
              <w:t>电话：</w:t>
            </w:r>
          </w:p>
          <w:p>
            <w:pPr>
              <w:spacing w:line="240" w:lineRule="atLeast"/>
              <w:rPr>
                <w:rFonts w:ascii="仿宋" w:hAnsi="仿宋" w:eastAsia="仿宋"/>
                <w:sz w:val="21"/>
                <w:szCs w:val="21"/>
              </w:rPr>
            </w:pPr>
            <w:r>
              <w:rPr>
                <w:rFonts w:hint="eastAsia" w:ascii="仿宋" w:hAnsi="仿宋" w:eastAsia="仿宋"/>
                <w:sz w:val="21"/>
                <w:szCs w:val="21"/>
              </w:rPr>
              <w:t>传真：</w:t>
            </w:r>
          </w:p>
          <w:p>
            <w:pPr>
              <w:spacing w:line="240" w:lineRule="atLeast"/>
              <w:rPr>
                <w:rFonts w:ascii="仿宋" w:hAnsi="仿宋" w:eastAsia="仿宋"/>
                <w:sz w:val="21"/>
                <w:szCs w:val="21"/>
              </w:rPr>
            </w:pPr>
            <w:r>
              <w:rPr>
                <w:rFonts w:hint="eastAsia" w:ascii="仿宋" w:hAnsi="仿宋" w:eastAsia="仿宋"/>
                <w:sz w:val="21"/>
                <w:szCs w:val="21"/>
              </w:rPr>
              <w:t>开户银行：</w:t>
            </w:r>
          </w:p>
          <w:p>
            <w:pPr>
              <w:spacing w:line="240" w:lineRule="atLeast"/>
              <w:rPr>
                <w:rFonts w:ascii="仿宋" w:hAnsi="仿宋" w:eastAsia="仿宋"/>
                <w:sz w:val="21"/>
                <w:szCs w:val="21"/>
              </w:rPr>
            </w:pPr>
            <w:r>
              <w:rPr>
                <w:rFonts w:hint="eastAsia" w:ascii="仿宋" w:hAnsi="仿宋" w:eastAsia="仿宋"/>
                <w:sz w:val="21"/>
                <w:szCs w:val="21"/>
              </w:rPr>
              <w:t>账号：</w:t>
            </w:r>
          </w:p>
          <w:p>
            <w:pPr>
              <w:spacing w:line="240" w:lineRule="atLeast"/>
              <w:rPr>
                <w:rFonts w:ascii="仿宋" w:hAnsi="仿宋" w:eastAsia="仿宋"/>
                <w:sz w:val="21"/>
                <w:szCs w:val="21"/>
              </w:rPr>
            </w:pPr>
            <w:r>
              <w:rPr>
                <w:rFonts w:hint="eastAsia" w:ascii="仿宋" w:hAnsi="仿宋" w:eastAsia="仿宋"/>
                <w:sz w:val="21"/>
                <w:szCs w:val="21"/>
              </w:rPr>
              <w:t>授权代表：</w:t>
            </w:r>
          </w:p>
          <w:p>
            <w:pPr>
              <w:spacing w:line="240" w:lineRule="atLeast"/>
              <w:rPr>
                <w:rFonts w:ascii="仿宋" w:hAnsi="仿宋" w:eastAsia="仿宋"/>
                <w:sz w:val="21"/>
                <w:szCs w:val="21"/>
              </w:rPr>
            </w:pPr>
            <w:r>
              <w:rPr>
                <w:rFonts w:hint="eastAsia" w:ascii="仿宋" w:hAnsi="仿宋" w:eastAsia="仿宋"/>
                <w:sz w:val="21"/>
                <w:szCs w:val="21"/>
              </w:rPr>
              <w:t>（本栏请用计算机打印以便于准确付款）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8" w:type="dxa"/>
            <w:gridSpan w:val="8"/>
          </w:tcPr>
          <w:p>
            <w:pPr>
              <w:spacing w:line="240" w:lineRule="atLeast"/>
              <w:rPr>
                <w:rFonts w:ascii="仿宋" w:hAnsi="仿宋" w:eastAsia="仿宋"/>
                <w:sz w:val="21"/>
                <w:szCs w:val="21"/>
              </w:rPr>
            </w:pPr>
            <w:r>
              <w:rPr>
                <w:rFonts w:hint="eastAsia" w:ascii="仿宋" w:hAnsi="仿宋" w:eastAsia="仿宋"/>
                <w:sz w:val="21"/>
                <w:szCs w:val="21"/>
              </w:rPr>
              <w:t>备注：</w:t>
            </w:r>
          </w:p>
        </w:tc>
      </w:tr>
    </w:tbl>
    <w:p>
      <w:pPr>
        <w:rPr>
          <w:rFonts w:ascii="仿宋" w:hAnsi="仿宋" w:eastAsia="仿宋"/>
        </w:rPr>
      </w:pPr>
      <w:r>
        <w:rPr>
          <w:rFonts w:hint="eastAsia" w:ascii="仿宋" w:hAnsi="仿宋" w:eastAsia="仿宋"/>
        </w:rPr>
        <w:t>签约时间：   年   月   日             签约地点：</w:t>
      </w:r>
    </w:p>
    <w:p>
      <w:pPr>
        <w:rPr>
          <w:rFonts w:ascii="仿宋" w:hAnsi="仿宋" w:eastAsia="仿宋" w:cs="Times New Roman"/>
          <w:sz w:val="20"/>
          <w:szCs w:val="20"/>
        </w:rPr>
      </w:pPr>
      <w:r>
        <w:rPr>
          <w:rFonts w:ascii="仿宋" w:hAnsi="仿宋" w:eastAsia="仿宋"/>
        </w:rPr>
        <w:br w:type="page"/>
      </w:r>
    </w:p>
    <w:p>
      <w:pPr>
        <w:pStyle w:val="2"/>
        <w:spacing w:after="0"/>
        <w:ind w:left="0" w:leftChars="0" w:firstLine="400"/>
        <w:rPr>
          <w:rFonts w:ascii="仿宋" w:hAnsi="仿宋" w:eastAsia="仿宋"/>
        </w:rPr>
      </w:pPr>
    </w:p>
    <w:p>
      <w:pPr>
        <w:pStyle w:val="4"/>
        <w:spacing w:before="0" w:after="0" w:line="360" w:lineRule="auto"/>
        <w:jc w:val="center"/>
        <w:rPr>
          <w:rFonts w:ascii="仿宋" w:hAnsi="仿宋" w:eastAsia="仿宋" w:cs="宋体"/>
          <w:b w:val="0"/>
        </w:rPr>
      </w:pPr>
      <w:bookmarkStart w:id="177" w:name="_Toc195108757"/>
      <w:r>
        <w:rPr>
          <w:rFonts w:hint="eastAsia" w:ascii="仿宋" w:hAnsi="仿宋" w:eastAsia="仿宋" w:cs="宋体"/>
          <w:b w:val="0"/>
          <w:bCs w:val="0"/>
        </w:rPr>
        <w:t>第六篇  响应文件格式要求</w:t>
      </w:r>
      <w:bookmarkEnd w:id="175"/>
      <w:bookmarkEnd w:id="176"/>
      <w:bookmarkEnd w:id="177"/>
    </w:p>
    <w:p>
      <w:pPr>
        <w:spacing w:line="360" w:lineRule="auto"/>
        <w:rPr>
          <w:rFonts w:ascii="仿宋" w:hAnsi="仿宋" w:eastAsia="仿宋"/>
          <w:b/>
          <w:bCs/>
        </w:rPr>
      </w:pPr>
      <w:r>
        <w:rPr>
          <w:rFonts w:hint="eastAsia" w:ascii="仿宋" w:hAnsi="仿宋" w:eastAsia="仿宋"/>
          <w:b/>
          <w:bCs/>
        </w:rPr>
        <w:t>一、经济部分</w:t>
      </w:r>
    </w:p>
    <w:p>
      <w:pPr>
        <w:spacing w:line="360" w:lineRule="auto"/>
        <w:ind w:firstLine="480" w:firstLineChars="200"/>
        <w:rPr>
          <w:rFonts w:ascii="仿宋" w:hAnsi="仿宋" w:eastAsia="仿宋"/>
        </w:rPr>
      </w:pPr>
      <w:r>
        <w:rPr>
          <w:rFonts w:hint="eastAsia" w:ascii="仿宋" w:hAnsi="仿宋" w:eastAsia="仿宋"/>
        </w:rPr>
        <w:t>（一）报价函</w:t>
      </w:r>
    </w:p>
    <w:p>
      <w:pPr>
        <w:spacing w:line="360" w:lineRule="auto"/>
        <w:ind w:firstLine="480" w:firstLineChars="200"/>
        <w:rPr>
          <w:rFonts w:ascii="仿宋" w:hAnsi="仿宋" w:eastAsia="仿宋"/>
        </w:rPr>
      </w:pPr>
      <w:r>
        <w:rPr>
          <w:rFonts w:hint="eastAsia" w:ascii="仿宋" w:hAnsi="仿宋" w:eastAsia="仿宋"/>
        </w:rPr>
        <w:t>（二）明细报价表</w:t>
      </w:r>
    </w:p>
    <w:p>
      <w:pPr>
        <w:spacing w:line="360" w:lineRule="auto"/>
        <w:rPr>
          <w:rFonts w:ascii="仿宋" w:hAnsi="仿宋" w:eastAsia="仿宋"/>
          <w:b/>
          <w:bCs/>
        </w:rPr>
      </w:pPr>
      <w:r>
        <w:rPr>
          <w:rFonts w:hint="eastAsia" w:ascii="仿宋" w:hAnsi="仿宋" w:eastAsia="仿宋"/>
          <w:b/>
          <w:bCs/>
        </w:rPr>
        <w:t>二、技术部分</w:t>
      </w:r>
    </w:p>
    <w:p>
      <w:pPr>
        <w:spacing w:line="360" w:lineRule="auto"/>
        <w:ind w:firstLine="480" w:firstLineChars="200"/>
        <w:rPr>
          <w:rFonts w:ascii="仿宋" w:hAnsi="仿宋" w:eastAsia="仿宋"/>
        </w:rPr>
      </w:pPr>
      <w:r>
        <w:rPr>
          <w:rFonts w:hint="eastAsia" w:ascii="仿宋" w:hAnsi="仿宋" w:eastAsia="仿宋"/>
        </w:rPr>
        <w:t>（一）技术应答</w:t>
      </w:r>
    </w:p>
    <w:p>
      <w:pPr>
        <w:spacing w:line="360" w:lineRule="auto"/>
        <w:ind w:firstLine="480" w:firstLineChars="200"/>
        <w:rPr>
          <w:rFonts w:ascii="仿宋" w:hAnsi="仿宋" w:eastAsia="仿宋"/>
        </w:rPr>
      </w:pPr>
      <w:r>
        <w:rPr>
          <w:rFonts w:hint="eastAsia" w:ascii="仿宋" w:hAnsi="仿宋" w:eastAsia="仿宋"/>
        </w:rPr>
        <w:t>（二）技术响应偏离表</w:t>
      </w:r>
    </w:p>
    <w:p>
      <w:pPr>
        <w:spacing w:line="360" w:lineRule="auto"/>
        <w:rPr>
          <w:rFonts w:ascii="仿宋" w:hAnsi="仿宋" w:eastAsia="仿宋"/>
          <w:b/>
          <w:bCs/>
        </w:rPr>
      </w:pPr>
      <w:r>
        <w:rPr>
          <w:rFonts w:hint="eastAsia" w:ascii="仿宋" w:hAnsi="仿宋" w:eastAsia="仿宋"/>
          <w:b/>
          <w:bCs/>
        </w:rPr>
        <w:t>三、商务部分</w:t>
      </w:r>
    </w:p>
    <w:p>
      <w:pPr>
        <w:spacing w:line="360" w:lineRule="auto"/>
        <w:ind w:firstLine="480" w:firstLineChars="200"/>
        <w:rPr>
          <w:rFonts w:ascii="仿宋" w:hAnsi="仿宋" w:eastAsia="仿宋"/>
        </w:rPr>
      </w:pPr>
      <w:r>
        <w:rPr>
          <w:rFonts w:hint="eastAsia" w:ascii="仿宋" w:hAnsi="仿宋" w:eastAsia="仿宋"/>
        </w:rPr>
        <w:t>（一）服务要求响应情况：交货时间、交货地点、质量保证期、售后服务条款等。</w:t>
      </w:r>
    </w:p>
    <w:p>
      <w:pPr>
        <w:spacing w:line="360" w:lineRule="auto"/>
        <w:ind w:firstLine="480" w:firstLineChars="200"/>
        <w:rPr>
          <w:rFonts w:ascii="仿宋" w:hAnsi="仿宋" w:eastAsia="仿宋"/>
        </w:rPr>
      </w:pPr>
      <w:r>
        <w:rPr>
          <w:rFonts w:hint="eastAsia" w:ascii="仿宋" w:hAnsi="仿宋" w:eastAsia="仿宋"/>
        </w:rPr>
        <w:t>（二）商务响应偏离表</w:t>
      </w:r>
    </w:p>
    <w:p>
      <w:pPr>
        <w:spacing w:line="360" w:lineRule="auto"/>
        <w:ind w:firstLine="480" w:firstLineChars="200"/>
        <w:rPr>
          <w:rFonts w:ascii="仿宋" w:hAnsi="仿宋" w:eastAsia="仿宋"/>
        </w:rPr>
      </w:pPr>
      <w:r>
        <w:rPr>
          <w:rFonts w:hint="eastAsia" w:ascii="仿宋" w:hAnsi="仿宋" w:eastAsia="仿宋"/>
        </w:rPr>
        <w:t>（三）其它优惠承诺</w:t>
      </w:r>
      <w:r>
        <w:rPr>
          <w:rFonts w:ascii="仿宋" w:hAnsi="仿宋" w:eastAsia="仿宋"/>
        </w:rPr>
        <w:t>（如有，格式自定）</w:t>
      </w:r>
    </w:p>
    <w:p>
      <w:pPr>
        <w:spacing w:line="360" w:lineRule="auto"/>
        <w:rPr>
          <w:rFonts w:ascii="仿宋" w:hAnsi="仿宋" w:eastAsia="仿宋"/>
          <w:b/>
          <w:bCs/>
        </w:rPr>
      </w:pPr>
      <w:r>
        <w:rPr>
          <w:rFonts w:hint="eastAsia" w:ascii="仿宋" w:hAnsi="仿宋" w:eastAsia="仿宋"/>
          <w:b/>
          <w:bCs/>
        </w:rPr>
        <w:t>四、资格条件及其他</w:t>
      </w:r>
    </w:p>
    <w:p>
      <w:pPr>
        <w:spacing w:line="360" w:lineRule="auto"/>
        <w:ind w:firstLine="480" w:firstLineChars="200"/>
        <w:rPr>
          <w:rFonts w:ascii="仿宋" w:hAnsi="仿宋" w:eastAsia="仿宋"/>
        </w:rPr>
      </w:pPr>
      <w:r>
        <w:rPr>
          <w:rFonts w:hint="eastAsia" w:ascii="仿宋" w:hAnsi="仿宋" w:eastAsia="仿宋"/>
        </w:rPr>
        <w:t>（一）营业执照（副本）或事业单位法人证书（副本）复印件或个体工商户营业执照</w:t>
      </w:r>
    </w:p>
    <w:p>
      <w:pPr>
        <w:spacing w:line="360" w:lineRule="auto"/>
        <w:ind w:firstLine="480" w:firstLineChars="200"/>
        <w:rPr>
          <w:rFonts w:ascii="仿宋" w:hAnsi="仿宋" w:eastAsia="仿宋"/>
        </w:rPr>
      </w:pPr>
      <w:r>
        <w:rPr>
          <w:rFonts w:hint="eastAsia" w:ascii="仿宋" w:hAnsi="仿宋" w:eastAsia="仿宋"/>
        </w:rPr>
        <w:t>（二）法定代表人身份证明书（格式）</w:t>
      </w:r>
    </w:p>
    <w:p>
      <w:pPr>
        <w:spacing w:line="360" w:lineRule="auto"/>
        <w:ind w:firstLine="480" w:firstLineChars="200"/>
        <w:rPr>
          <w:rFonts w:ascii="仿宋" w:hAnsi="仿宋" w:eastAsia="仿宋"/>
        </w:rPr>
      </w:pPr>
      <w:r>
        <w:rPr>
          <w:rFonts w:hint="eastAsia" w:ascii="仿宋" w:hAnsi="仿宋" w:eastAsia="仿宋"/>
        </w:rPr>
        <w:t>（三）法定代表人授权委托书（格式）</w:t>
      </w:r>
    </w:p>
    <w:p>
      <w:pPr>
        <w:spacing w:line="360" w:lineRule="auto"/>
        <w:ind w:firstLine="480" w:firstLineChars="200"/>
        <w:rPr>
          <w:rFonts w:ascii="仿宋" w:hAnsi="仿宋" w:eastAsia="仿宋"/>
        </w:rPr>
      </w:pPr>
      <w:r>
        <w:rPr>
          <w:rFonts w:hint="eastAsia" w:ascii="仿宋" w:hAnsi="仿宋" w:eastAsia="仿宋"/>
        </w:rPr>
        <w:t>（四）基本资格条件承诺函（格式）</w:t>
      </w:r>
    </w:p>
    <w:p>
      <w:pPr>
        <w:spacing w:line="360" w:lineRule="auto"/>
        <w:ind w:firstLine="480" w:firstLineChars="200"/>
        <w:rPr>
          <w:rFonts w:ascii="仿宋" w:hAnsi="仿宋" w:eastAsia="仿宋"/>
        </w:rPr>
      </w:pPr>
      <w:r>
        <w:rPr>
          <w:rFonts w:hint="eastAsia" w:ascii="仿宋" w:hAnsi="仿宋" w:eastAsia="仿宋"/>
        </w:rPr>
        <w:t>（五）特定资格条件证书或证明文件</w:t>
      </w:r>
    </w:p>
    <w:p>
      <w:pPr>
        <w:spacing w:line="360" w:lineRule="auto"/>
        <w:rPr>
          <w:rFonts w:ascii="仿宋" w:hAnsi="仿宋" w:eastAsia="仿宋"/>
          <w:b/>
          <w:bCs/>
        </w:rPr>
      </w:pPr>
      <w:r>
        <w:rPr>
          <w:rFonts w:hint="eastAsia" w:ascii="仿宋" w:hAnsi="仿宋" w:eastAsia="仿宋"/>
          <w:b/>
          <w:bCs/>
        </w:rPr>
        <w:t>五、其他应提供的资料</w:t>
      </w:r>
    </w:p>
    <w:p>
      <w:pPr>
        <w:spacing w:line="360" w:lineRule="auto"/>
        <w:ind w:firstLine="480" w:firstLineChars="200"/>
        <w:rPr>
          <w:rFonts w:ascii="仿宋" w:hAnsi="仿宋" w:eastAsia="仿宋"/>
          <w:bdr w:val="single" w:color="auto" w:sz="4" w:space="0"/>
        </w:rPr>
        <w:sectPr>
          <w:headerReference r:id="rId10" w:type="default"/>
          <w:footerReference r:id="rId11" w:type="default"/>
          <w:pgSz w:w="11907" w:h="16840"/>
          <w:pgMar w:top="1134" w:right="1191" w:bottom="1134" w:left="1304" w:header="454" w:footer="567" w:gutter="0"/>
          <w:pgNumType w:fmt="numberInDash"/>
          <w:cols w:space="720" w:num="1"/>
          <w:docGrid w:linePitch="381" w:charSpace="0"/>
        </w:sectPr>
      </w:pPr>
      <w:r>
        <w:rPr>
          <w:rFonts w:hint="eastAsia" w:ascii="仿宋" w:hAnsi="仿宋" w:eastAsia="仿宋"/>
        </w:rPr>
        <w:t>（一）其他与项目有关的资料（自附）</w:t>
      </w:r>
    </w:p>
    <w:p>
      <w:pPr>
        <w:pStyle w:val="5"/>
        <w:spacing w:before="0" w:after="0" w:line="360" w:lineRule="auto"/>
        <w:rPr>
          <w:rFonts w:ascii="仿宋" w:hAnsi="仿宋" w:eastAsia="仿宋"/>
          <w:sz w:val="24"/>
          <w:szCs w:val="24"/>
        </w:rPr>
      </w:pPr>
      <w:bookmarkStart w:id="178" w:name="_Toc486608277"/>
      <w:bookmarkStart w:id="179" w:name="_Toc486585240"/>
      <w:bookmarkStart w:id="180" w:name="_Toc487204797"/>
      <w:bookmarkStart w:id="181" w:name="_Toc195108758"/>
      <w:bookmarkStart w:id="182" w:name="_Toc14854"/>
      <w:r>
        <w:rPr>
          <w:rFonts w:hint="eastAsia" w:ascii="仿宋" w:hAnsi="仿宋" w:eastAsia="仿宋"/>
          <w:sz w:val="24"/>
          <w:szCs w:val="24"/>
        </w:rPr>
        <w:t>一、经济部分</w:t>
      </w:r>
      <w:bookmarkEnd w:id="178"/>
      <w:bookmarkEnd w:id="179"/>
      <w:bookmarkEnd w:id="180"/>
      <w:bookmarkEnd w:id="181"/>
      <w:bookmarkEnd w:id="182"/>
    </w:p>
    <w:p>
      <w:pPr>
        <w:tabs>
          <w:tab w:val="left" w:pos="6300"/>
        </w:tabs>
        <w:snapToGrid w:val="0"/>
        <w:spacing w:line="360" w:lineRule="auto"/>
        <w:ind w:firstLine="480" w:firstLineChars="200"/>
        <w:rPr>
          <w:rFonts w:ascii="仿宋" w:hAnsi="仿宋" w:eastAsia="仿宋"/>
        </w:rPr>
      </w:pPr>
      <w:r>
        <w:rPr>
          <w:rFonts w:hint="eastAsia" w:ascii="仿宋" w:hAnsi="仿宋" w:eastAsia="仿宋"/>
        </w:rPr>
        <w:t>（一）报价函</w:t>
      </w:r>
    </w:p>
    <w:p>
      <w:pPr>
        <w:tabs>
          <w:tab w:val="left" w:pos="6300"/>
        </w:tabs>
        <w:snapToGrid w:val="0"/>
        <w:spacing w:line="360" w:lineRule="auto"/>
        <w:ind w:firstLine="480" w:firstLineChars="200"/>
        <w:jc w:val="center"/>
        <w:rPr>
          <w:rFonts w:ascii="仿宋" w:hAnsi="仿宋" w:eastAsia="仿宋"/>
        </w:rPr>
      </w:pPr>
      <w:r>
        <w:rPr>
          <w:rFonts w:hint="eastAsia" w:ascii="仿宋" w:hAnsi="仿宋" w:eastAsia="仿宋"/>
        </w:rPr>
        <w:t>报价函</w:t>
      </w:r>
    </w:p>
    <w:p>
      <w:pPr>
        <w:tabs>
          <w:tab w:val="left" w:pos="6300"/>
        </w:tabs>
        <w:snapToGrid w:val="0"/>
        <w:spacing w:line="360" w:lineRule="auto"/>
        <w:rPr>
          <w:rFonts w:ascii="仿宋" w:hAnsi="仿宋" w:eastAsia="仿宋"/>
        </w:rPr>
      </w:pPr>
      <w:r>
        <w:rPr>
          <w:rFonts w:hint="eastAsia" w:ascii="仿宋" w:hAnsi="仿宋" w:eastAsia="仿宋"/>
          <w:u w:val="single"/>
        </w:rPr>
        <w:t>（采购代理机构名称）</w:t>
      </w:r>
      <w:r>
        <w:rPr>
          <w:rFonts w:hint="eastAsia" w:ascii="仿宋" w:hAnsi="仿宋" w:eastAsia="仿宋"/>
        </w:rPr>
        <w:t>：</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我方收到____________________________（竞采项目名称）的竞采文件，经详细研究，决定参加该项目的竞采。</w:t>
      </w:r>
    </w:p>
    <w:p>
      <w:pPr>
        <w:tabs>
          <w:tab w:val="left" w:pos="6300"/>
        </w:tabs>
        <w:snapToGrid w:val="0"/>
        <w:spacing w:line="360" w:lineRule="auto"/>
        <w:ind w:firstLine="480" w:firstLineChars="200"/>
        <w:rPr>
          <w:rFonts w:ascii="仿宋" w:hAnsi="仿宋" w:eastAsia="仿宋"/>
          <w:highlight w:val="yellow"/>
        </w:rPr>
      </w:pPr>
      <w:r>
        <w:rPr>
          <w:rFonts w:hint="eastAsia" w:ascii="仿宋" w:hAnsi="仿宋" w:eastAsia="仿宋"/>
        </w:rPr>
        <w:t>1.愿意按照竞采文件中的一切要求，提供本项目的交货及技术服务，报价为人民币大写：元；人民币小写：元。</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2.我方现提交的响应文件为：响应文件正本份，副本份。</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3.我方承诺：本次竞采的有效期为90天。</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4.我方完全理解和接受贵方竞采文件的一切规定和要求及竞采评审办法。</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5.在整个竞采过程中，我方若有违规行为，接受按照《中华人民共和国政府采购法》和《竞采文件》之规定给予惩罚。</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6.我方若成为成交供应商，将按照最终竞采结果签订合同，并且严格履行合同义务。本承诺函将成为合同不可分割的一部分，与合同具有同等的法律效力。</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7.我方同意按竞采文件规定，交纳竞采文件要求的保证金。如果我方成为成交供应商，保证在接到成交通知书后，向采购代理机构交纳竞采文件规定的采购代理服务费。</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8.我方未为采购项目提供整体设计、规范编制或者项目管理、监理、检测等服务。</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rPr>
          <w:rFonts w:ascii="仿宋" w:hAnsi="仿宋" w:eastAsia="仿宋"/>
        </w:rPr>
      </w:pP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t>供应商（公章）：</w:t>
      </w:r>
    </w:p>
    <w:p>
      <w:pPr>
        <w:tabs>
          <w:tab w:val="left" w:pos="6300"/>
        </w:tabs>
        <w:snapToGrid w:val="0"/>
        <w:spacing w:line="360" w:lineRule="auto"/>
        <w:ind w:firstLine="570"/>
        <w:rPr>
          <w:rFonts w:ascii="仿宋" w:hAnsi="仿宋" w:eastAsia="仿宋"/>
        </w:rPr>
      </w:pPr>
      <w:r>
        <w:rPr>
          <w:rFonts w:hint="eastAsia" w:ascii="仿宋" w:hAnsi="仿宋" w:eastAsia="仿宋"/>
        </w:rPr>
        <w:t>地址：</w:t>
      </w:r>
    </w:p>
    <w:p>
      <w:pPr>
        <w:tabs>
          <w:tab w:val="left" w:pos="6300"/>
        </w:tabs>
        <w:snapToGrid w:val="0"/>
        <w:spacing w:line="360" w:lineRule="auto"/>
        <w:ind w:firstLine="570"/>
        <w:rPr>
          <w:rFonts w:ascii="仿宋" w:hAnsi="仿宋" w:eastAsia="仿宋"/>
        </w:rPr>
      </w:pPr>
      <w:r>
        <w:rPr>
          <w:rFonts w:hint="eastAsia" w:ascii="仿宋" w:hAnsi="仿宋" w:eastAsia="仿宋"/>
        </w:rPr>
        <w:t>电话：          传真：</w:t>
      </w:r>
    </w:p>
    <w:p>
      <w:pPr>
        <w:tabs>
          <w:tab w:val="left" w:pos="6300"/>
        </w:tabs>
        <w:snapToGrid w:val="0"/>
        <w:spacing w:line="360" w:lineRule="auto"/>
        <w:ind w:firstLine="570"/>
        <w:rPr>
          <w:rFonts w:ascii="仿宋" w:hAnsi="仿宋" w:eastAsia="仿宋"/>
        </w:rPr>
      </w:pPr>
      <w:r>
        <w:rPr>
          <w:rFonts w:hint="eastAsia" w:ascii="仿宋" w:hAnsi="仿宋" w:eastAsia="仿宋"/>
        </w:rPr>
        <w:t>网址：          邮编：</w:t>
      </w:r>
    </w:p>
    <w:p>
      <w:pPr>
        <w:tabs>
          <w:tab w:val="left" w:pos="6300"/>
        </w:tabs>
        <w:snapToGrid w:val="0"/>
        <w:spacing w:line="360" w:lineRule="auto"/>
        <w:ind w:firstLine="570"/>
        <w:rPr>
          <w:rFonts w:ascii="仿宋" w:hAnsi="仿宋" w:eastAsia="仿宋"/>
        </w:rPr>
      </w:pPr>
      <w:r>
        <w:rPr>
          <w:rFonts w:hint="eastAsia" w:ascii="仿宋" w:hAnsi="仿宋" w:eastAsia="仿宋"/>
        </w:rPr>
        <w:t>联系人：</w:t>
      </w:r>
    </w:p>
    <w:p>
      <w:pPr>
        <w:snapToGrid w:val="0"/>
        <w:spacing w:line="360" w:lineRule="auto"/>
        <w:ind w:firstLine="480" w:firstLineChars="200"/>
        <w:jc w:val="right"/>
        <w:rPr>
          <w:rFonts w:ascii="仿宋" w:hAnsi="仿宋" w:eastAsia="仿宋"/>
        </w:rPr>
      </w:pPr>
      <w:r>
        <w:rPr>
          <w:rFonts w:hint="eastAsia" w:ascii="仿宋" w:hAnsi="仿宋" w:eastAsia="仿宋"/>
        </w:rPr>
        <w:t xml:space="preserve">        年   月   日</w:t>
      </w:r>
    </w:p>
    <w:p>
      <w:pPr>
        <w:pStyle w:val="4"/>
        <w:spacing w:before="0" w:after="0"/>
        <w:rPr>
          <w:rFonts w:ascii="仿宋" w:hAnsi="仿宋" w:eastAsia="仿宋"/>
        </w:rPr>
      </w:pPr>
    </w:p>
    <w:p>
      <w:pPr>
        <w:spacing w:line="380" w:lineRule="exact"/>
        <w:rPr>
          <w:rFonts w:ascii="仿宋" w:hAnsi="仿宋" w:eastAsia="仿宋"/>
        </w:rPr>
        <w:sectPr>
          <w:pgSz w:w="11907" w:h="16840"/>
          <w:pgMar w:top="1134" w:right="1191" w:bottom="1134" w:left="1304" w:header="454" w:footer="567" w:gutter="0"/>
          <w:pgNumType w:fmt="numberInDash"/>
          <w:cols w:space="720" w:num="1"/>
          <w:docGrid w:linePitch="326" w:charSpace="0"/>
        </w:sectPr>
      </w:pPr>
    </w:p>
    <w:p>
      <w:pPr>
        <w:tabs>
          <w:tab w:val="left" w:pos="2895"/>
        </w:tabs>
        <w:spacing w:line="400" w:lineRule="exact"/>
        <w:ind w:firstLine="480" w:firstLineChars="200"/>
        <w:rPr>
          <w:rFonts w:ascii="仿宋" w:hAnsi="仿宋" w:eastAsia="仿宋"/>
        </w:rPr>
      </w:pPr>
      <w:bookmarkStart w:id="183" w:name="_Toc3192"/>
      <w:bookmarkStart w:id="184" w:name="_Toc486585241"/>
      <w:bookmarkStart w:id="185" w:name="_Toc487204798"/>
      <w:bookmarkStart w:id="186" w:name="_Toc486608278"/>
      <w:r>
        <w:rPr>
          <w:rFonts w:hint="eastAsia" w:ascii="仿宋" w:hAnsi="仿宋" w:eastAsia="仿宋"/>
        </w:rPr>
        <w:t>（二）明细报价表</w:t>
      </w:r>
    </w:p>
    <w:p>
      <w:pPr>
        <w:jc w:val="center"/>
        <w:rPr>
          <w:rFonts w:ascii="仿宋" w:hAnsi="仿宋" w:eastAsia="仿宋"/>
          <w:b/>
          <w:szCs w:val="28"/>
        </w:rPr>
      </w:pPr>
      <w:r>
        <w:rPr>
          <w:rFonts w:hint="eastAsia" w:ascii="仿宋" w:hAnsi="仿宋" w:eastAsia="仿宋"/>
          <w:b/>
          <w:szCs w:val="28"/>
        </w:rPr>
        <w:t>明细报价表</w:t>
      </w:r>
    </w:p>
    <w:p>
      <w:pPr>
        <w:spacing w:line="360" w:lineRule="auto"/>
        <w:rPr>
          <w:rFonts w:ascii="仿宋" w:hAnsi="仿宋" w:eastAsia="仿宋"/>
        </w:rPr>
      </w:pPr>
      <w:r>
        <w:rPr>
          <w:rFonts w:hint="eastAsia" w:ascii="仿宋" w:hAnsi="仿宋" w:eastAsia="仿宋"/>
        </w:rPr>
        <w:t>项目号：</w:t>
      </w:r>
    </w:p>
    <w:p>
      <w:pPr>
        <w:spacing w:line="360" w:lineRule="auto"/>
        <w:rPr>
          <w:rFonts w:ascii="仿宋" w:hAnsi="仿宋" w:eastAsia="仿宋"/>
          <w:szCs w:val="28"/>
        </w:rPr>
      </w:pPr>
    </w:p>
    <w:tbl>
      <w:tblPr>
        <w:tblStyle w:val="13"/>
        <w:tblW w:w="1015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2"/>
        <w:gridCol w:w="1695"/>
        <w:gridCol w:w="3404"/>
        <w:gridCol w:w="1344"/>
        <w:gridCol w:w="1344"/>
        <w:gridCol w:w="1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序号</w:t>
            </w:r>
          </w:p>
        </w:tc>
        <w:tc>
          <w:tcPr>
            <w:tcW w:w="1695" w:type="dxa"/>
            <w:vAlign w:val="center"/>
          </w:tcPr>
          <w:p>
            <w:pPr>
              <w:pStyle w:val="20"/>
              <w:ind w:firstLine="0" w:firstLineChars="0"/>
              <w:rPr>
                <w:rFonts w:ascii="仿宋" w:hAnsi="仿宋" w:eastAsia="仿宋" w:cs="宋体"/>
              </w:rPr>
            </w:pPr>
            <w:r>
              <w:rPr>
                <w:rFonts w:hint="eastAsia" w:ascii="仿宋" w:hAnsi="仿宋" w:eastAsia="仿宋" w:cs="宋体"/>
              </w:rPr>
              <w:t>名称</w:t>
            </w:r>
          </w:p>
        </w:tc>
        <w:tc>
          <w:tcPr>
            <w:tcW w:w="3404" w:type="dxa"/>
            <w:vAlign w:val="center"/>
          </w:tcPr>
          <w:p>
            <w:pPr>
              <w:pStyle w:val="20"/>
              <w:ind w:firstLine="0" w:firstLineChars="0"/>
              <w:rPr>
                <w:rFonts w:ascii="仿宋" w:hAnsi="仿宋" w:eastAsia="仿宋" w:cs="宋体"/>
              </w:rPr>
            </w:pPr>
            <w:r>
              <w:rPr>
                <w:rFonts w:hint="eastAsia" w:ascii="仿宋" w:hAnsi="仿宋" w:eastAsia="仿宋" w:cs="宋体"/>
              </w:rPr>
              <w:t>规格等相关信息</w:t>
            </w:r>
          </w:p>
        </w:tc>
        <w:tc>
          <w:tcPr>
            <w:tcW w:w="1344" w:type="dxa"/>
            <w:vAlign w:val="center"/>
          </w:tcPr>
          <w:p>
            <w:pPr>
              <w:pStyle w:val="20"/>
              <w:ind w:firstLine="0" w:firstLineChars="0"/>
              <w:rPr>
                <w:rFonts w:ascii="仿宋" w:hAnsi="仿宋" w:eastAsia="仿宋" w:cs="宋体"/>
              </w:rPr>
            </w:pPr>
            <w:r>
              <w:rPr>
                <w:rFonts w:hint="eastAsia" w:ascii="仿宋" w:hAnsi="仿宋" w:eastAsia="仿宋" w:cs="宋体"/>
              </w:rPr>
              <w:t>数量</w:t>
            </w:r>
          </w:p>
        </w:tc>
        <w:tc>
          <w:tcPr>
            <w:tcW w:w="1344" w:type="dxa"/>
            <w:vAlign w:val="center"/>
          </w:tcPr>
          <w:p>
            <w:pPr>
              <w:pStyle w:val="20"/>
              <w:ind w:firstLine="0" w:firstLineChars="0"/>
              <w:rPr>
                <w:rFonts w:ascii="仿宋" w:hAnsi="仿宋" w:eastAsia="仿宋" w:cs="宋体"/>
              </w:rPr>
            </w:pPr>
            <w:r>
              <w:rPr>
                <w:rFonts w:hint="eastAsia" w:ascii="仿宋" w:hAnsi="仿宋" w:eastAsia="仿宋" w:cs="宋体"/>
              </w:rPr>
              <w:t>单价</w:t>
            </w:r>
          </w:p>
        </w:tc>
        <w:tc>
          <w:tcPr>
            <w:tcW w:w="1344" w:type="dxa"/>
            <w:vAlign w:val="center"/>
          </w:tcPr>
          <w:p>
            <w:pPr>
              <w:pStyle w:val="20"/>
              <w:ind w:firstLine="0" w:firstLineChars="0"/>
              <w:rPr>
                <w:rFonts w:ascii="仿宋" w:hAnsi="仿宋" w:eastAsia="仿宋" w:cs="宋体"/>
              </w:rPr>
            </w:pPr>
            <w:r>
              <w:rPr>
                <w:rFonts w:hint="eastAsia" w:ascii="仿宋" w:hAnsi="仿宋" w:eastAsia="仿宋" w:cs="宋体"/>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1</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2</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3</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4</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5</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6</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7</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8</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r>
              <w:rPr>
                <w:rFonts w:hint="eastAsia" w:ascii="仿宋" w:hAnsi="仿宋" w:eastAsia="仿宋" w:cs="宋体"/>
              </w:rPr>
              <w:t>/</w:t>
            </w: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9</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r>
              <w:rPr>
                <w:rFonts w:hint="eastAsia" w:ascii="仿宋" w:hAnsi="仿宋" w:eastAsia="仿宋" w:cs="宋体"/>
              </w:rPr>
              <w:t>/</w:t>
            </w: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7"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10</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r>
              <w:rPr>
                <w:rFonts w:hint="eastAsia" w:ascii="仿宋" w:hAnsi="仿宋" w:eastAsia="仿宋" w:cs="宋体"/>
              </w:rPr>
              <w:t>/</w:t>
            </w: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11</w:t>
            </w:r>
          </w:p>
        </w:tc>
        <w:tc>
          <w:tcPr>
            <w:tcW w:w="1695" w:type="dxa"/>
            <w:vAlign w:val="center"/>
          </w:tcPr>
          <w:p>
            <w:pPr>
              <w:pStyle w:val="20"/>
              <w:ind w:firstLine="0" w:firstLineChars="0"/>
              <w:rPr>
                <w:rFonts w:ascii="仿宋" w:hAnsi="仿宋" w:eastAsia="仿宋" w:cs="宋体"/>
              </w:rPr>
            </w:pPr>
          </w:p>
        </w:tc>
        <w:tc>
          <w:tcPr>
            <w:tcW w:w="3404" w:type="dxa"/>
          </w:tcPr>
          <w:p>
            <w:pPr>
              <w:pStyle w:val="20"/>
              <w:ind w:firstLine="0" w:firstLineChars="0"/>
              <w:rPr>
                <w:rFonts w:ascii="仿宋" w:hAnsi="仿宋" w:eastAsia="仿宋" w:cs="宋体"/>
              </w:rPr>
            </w:pPr>
          </w:p>
        </w:tc>
        <w:tc>
          <w:tcPr>
            <w:tcW w:w="1344" w:type="dxa"/>
            <w:vAlign w:val="center"/>
          </w:tcPr>
          <w:p>
            <w:pPr>
              <w:pStyle w:val="20"/>
              <w:ind w:firstLine="0" w:firstLineChars="0"/>
              <w:rPr>
                <w:rFonts w:ascii="仿宋" w:hAnsi="仿宋" w:eastAsia="仿宋" w:cs="宋体"/>
              </w:rPr>
            </w:pPr>
            <w:r>
              <w:rPr>
                <w:rFonts w:hint="eastAsia" w:ascii="仿宋" w:hAnsi="仿宋" w:eastAsia="仿宋" w:cs="宋体"/>
              </w:rPr>
              <w:t>/</w:t>
            </w:r>
          </w:p>
        </w:tc>
        <w:tc>
          <w:tcPr>
            <w:tcW w:w="1344" w:type="dxa"/>
          </w:tcPr>
          <w:p>
            <w:pPr>
              <w:pStyle w:val="20"/>
              <w:ind w:firstLine="0" w:firstLineChars="0"/>
              <w:rPr>
                <w:rFonts w:ascii="仿宋" w:hAnsi="仿宋" w:eastAsia="仿宋" w:cs="宋体"/>
              </w:rPr>
            </w:pPr>
          </w:p>
        </w:tc>
        <w:tc>
          <w:tcPr>
            <w:tcW w:w="1344" w:type="dxa"/>
          </w:tcPr>
          <w:p>
            <w:pPr>
              <w:pStyle w:val="20"/>
              <w:ind w:firstLine="0" w:firstLineChars="0"/>
              <w:rPr>
                <w:rFonts w:ascii="仿宋" w:hAnsi="仿宋" w:eastAsia="仿宋"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7" w:hRule="exact"/>
          <w:jc w:val="center"/>
        </w:trPr>
        <w:tc>
          <w:tcPr>
            <w:tcW w:w="1022" w:type="dxa"/>
            <w:vAlign w:val="center"/>
          </w:tcPr>
          <w:p>
            <w:pPr>
              <w:pStyle w:val="20"/>
              <w:ind w:firstLine="0" w:firstLineChars="0"/>
              <w:rPr>
                <w:rFonts w:ascii="仿宋" w:hAnsi="仿宋" w:eastAsia="仿宋" w:cs="宋体"/>
              </w:rPr>
            </w:pPr>
            <w:r>
              <w:rPr>
                <w:rFonts w:hint="eastAsia" w:ascii="仿宋" w:hAnsi="仿宋" w:eastAsia="仿宋" w:cs="宋体"/>
              </w:rPr>
              <w:t>12</w:t>
            </w:r>
          </w:p>
        </w:tc>
        <w:tc>
          <w:tcPr>
            <w:tcW w:w="1695" w:type="dxa"/>
            <w:vAlign w:val="center"/>
          </w:tcPr>
          <w:p>
            <w:pPr>
              <w:pStyle w:val="20"/>
              <w:ind w:firstLine="0" w:firstLineChars="0"/>
              <w:rPr>
                <w:rFonts w:ascii="仿宋" w:hAnsi="仿宋" w:eastAsia="仿宋" w:cs="宋体"/>
              </w:rPr>
            </w:pPr>
            <w:r>
              <w:rPr>
                <w:rFonts w:hint="eastAsia" w:ascii="仿宋" w:hAnsi="仿宋" w:eastAsia="仿宋" w:cs="宋体"/>
              </w:rPr>
              <w:t>总计</w:t>
            </w:r>
          </w:p>
        </w:tc>
        <w:tc>
          <w:tcPr>
            <w:tcW w:w="7436" w:type="dxa"/>
            <w:gridSpan w:val="4"/>
          </w:tcPr>
          <w:p>
            <w:pPr>
              <w:rPr>
                <w:rFonts w:ascii="仿宋" w:hAnsi="仿宋" w:eastAsia="仿宋"/>
              </w:rPr>
            </w:pPr>
          </w:p>
          <w:p>
            <w:pPr>
              <w:pStyle w:val="20"/>
              <w:ind w:firstLine="0" w:firstLineChars="0"/>
              <w:rPr>
                <w:rFonts w:ascii="仿宋" w:hAnsi="仿宋" w:eastAsia="仿宋" w:cs="宋体"/>
                <w:b/>
                <w:bCs/>
              </w:rPr>
            </w:pPr>
          </w:p>
        </w:tc>
      </w:tr>
    </w:tbl>
    <w:p>
      <w:pPr>
        <w:snapToGrid w:val="0"/>
        <w:spacing w:line="500" w:lineRule="exact"/>
        <w:ind w:firstLine="480" w:firstLineChars="200"/>
        <w:rPr>
          <w:rFonts w:ascii="仿宋" w:hAnsi="仿宋" w:eastAsia="仿宋"/>
          <w:szCs w:val="28"/>
        </w:rPr>
      </w:pPr>
    </w:p>
    <w:p>
      <w:pPr>
        <w:pStyle w:val="11"/>
        <w:spacing w:line="360" w:lineRule="auto"/>
        <w:rPr>
          <w:rFonts w:ascii="仿宋" w:hAnsi="仿宋" w:eastAsia="仿宋"/>
          <w:b w:val="0"/>
          <w:bCs w:val="0"/>
        </w:rPr>
      </w:pPr>
      <w:r>
        <w:rPr>
          <w:rFonts w:hint="eastAsia" w:ascii="仿宋" w:hAnsi="仿宋" w:eastAsia="仿宋"/>
          <w:b w:val="0"/>
          <w:bCs w:val="0"/>
        </w:rPr>
        <w:t>注：1、该表可扩展</w:t>
      </w:r>
      <w:bookmarkStart w:id="187" w:name="OLE_LINK2"/>
      <w:bookmarkStart w:id="188" w:name="OLE_LINK1"/>
      <w:r>
        <w:rPr>
          <w:rFonts w:hint="eastAsia" w:ascii="仿宋" w:hAnsi="仿宋" w:eastAsia="仿宋"/>
          <w:b w:val="0"/>
          <w:bCs w:val="0"/>
        </w:rPr>
        <w:t>，并逐页签字或盖章</w:t>
      </w:r>
      <w:bookmarkEnd w:id="187"/>
      <w:bookmarkEnd w:id="188"/>
      <w:r>
        <w:rPr>
          <w:rFonts w:hint="eastAsia" w:ascii="仿宋" w:hAnsi="仿宋" w:eastAsia="仿宋"/>
          <w:b w:val="0"/>
          <w:bCs w:val="0"/>
        </w:rPr>
        <w:t>；</w:t>
      </w:r>
    </w:p>
    <w:p>
      <w:pPr>
        <w:pStyle w:val="11"/>
        <w:spacing w:line="360" w:lineRule="auto"/>
        <w:rPr>
          <w:rFonts w:ascii="仿宋" w:hAnsi="仿宋" w:eastAsia="仿宋"/>
          <w:b w:val="0"/>
          <w:bCs w:val="0"/>
        </w:rPr>
      </w:pPr>
      <w:r>
        <w:rPr>
          <w:rFonts w:hint="eastAsia" w:ascii="仿宋" w:hAnsi="仿宋" w:eastAsia="仿宋"/>
          <w:b w:val="0"/>
          <w:bCs w:val="0"/>
        </w:rPr>
        <w:t xml:space="preserve">    2、该表可根据项目实际情况调整。</w:t>
      </w:r>
    </w:p>
    <w:p>
      <w:pPr>
        <w:rPr>
          <w:rFonts w:ascii="仿宋" w:hAnsi="仿宋" w:eastAsia="仿宋"/>
        </w:rPr>
      </w:pPr>
    </w:p>
    <w:p>
      <w:pPr>
        <w:pStyle w:val="11"/>
        <w:spacing w:line="360" w:lineRule="auto"/>
        <w:rPr>
          <w:rFonts w:ascii="仿宋" w:hAnsi="仿宋" w:eastAsia="仿宋"/>
          <w:b w:val="0"/>
          <w:bCs w:val="0"/>
        </w:rPr>
      </w:pPr>
    </w:p>
    <w:p>
      <w:pPr>
        <w:pStyle w:val="11"/>
        <w:spacing w:line="360" w:lineRule="auto"/>
        <w:rPr>
          <w:rFonts w:ascii="仿宋" w:hAnsi="仿宋" w:eastAsia="仿宋"/>
          <w:b w:val="0"/>
          <w:bCs w:val="0"/>
        </w:rPr>
      </w:pPr>
      <w:r>
        <w:rPr>
          <w:rFonts w:hint="eastAsia" w:ascii="仿宋" w:hAnsi="仿宋" w:eastAsia="仿宋"/>
          <w:b w:val="0"/>
          <w:bCs w:val="0"/>
        </w:rPr>
        <w:t xml:space="preserve">                                      供应商名称（公章）或自然人签署：</w:t>
      </w:r>
    </w:p>
    <w:p>
      <w:pPr>
        <w:pStyle w:val="11"/>
        <w:spacing w:line="360" w:lineRule="auto"/>
        <w:jc w:val="right"/>
        <w:rPr>
          <w:rFonts w:ascii="仿宋" w:hAnsi="仿宋" w:eastAsia="仿宋"/>
          <w:b w:val="0"/>
          <w:bCs w:val="0"/>
        </w:rPr>
      </w:pPr>
      <w:r>
        <w:rPr>
          <w:rFonts w:hint="eastAsia" w:ascii="仿宋" w:hAnsi="仿宋" w:eastAsia="仿宋"/>
          <w:b w:val="0"/>
          <w:bCs w:val="0"/>
        </w:rPr>
        <w:t>年     月    日</w:t>
      </w:r>
    </w:p>
    <w:p>
      <w:pPr>
        <w:pStyle w:val="11"/>
        <w:rPr>
          <w:rFonts w:ascii="仿宋" w:hAnsi="仿宋" w:eastAsia="仿宋"/>
        </w:rPr>
      </w:pPr>
      <w:r>
        <w:rPr>
          <w:rFonts w:ascii="仿宋" w:hAnsi="仿宋" w:eastAsia="仿宋"/>
        </w:rPr>
        <w:br w:type="page"/>
      </w:r>
    </w:p>
    <w:p>
      <w:pPr>
        <w:pStyle w:val="5"/>
        <w:spacing w:before="0" w:after="0" w:line="360" w:lineRule="auto"/>
        <w:rPr>
          <w:rFonts w:ascii="仿宋" w:hAnsi="仿宋" w:eastAsia="仿宋"/>
          <w:sz w:val="24"/>
          <w:szCs w:val="24"/>
        </w:rPr>
      </w:pPr>
      <w:bookmarkStart w:id="189" w:name="_Toc195108759"/>
      <w:r>
        <w:rPr>
          <w:rFonts w:hint="eastAsia" w:ascii="仿宋" w:hAnsi="仿宋" w:eastAsia="仿宋"/>
          <w:sz w:val="24"/>
          <w:szCs w:val="24"/>
        </w:rPr>
        <w:t>二、技术部分</w:t>
      </w:r>
      <w:bookmarkEnd w:id="183"/>
      <w:bookmarkEnd w:id="184"/>
      <w:bookmarkEnd w:id="185"/>
      <w:bookmarkEnd w:id="186"/>
      <w:bookmarkEnd w:id="189"/>
    </w:p>
    <w:p>
      <w:pPr>
        <w:spacing w:line="360" w:lineRule="auto"/>
        <w:ind w:firstLine="480" w:firstLineChars="200"/>
        <w:rPr>
          <w:rFonts w:ascii="仿宋" w:hAnsi="仿宋" w:eastAsia="仿宋"/>
        </w:rPr>
      </w:pPr>
      <w:r>
        <w:rPr>
          <w:rFonts w:hint="eastAsia" w:ascii="仿宋" w:hAnsi="仿宋" w:eastAsia="仿宋"/>
        </w:rPr>
        <w:t>（一）技术应答（格式自拟）</w:t>
      </w:r>
    </w:p>
    <w:p>
      <w:pPr>
        <w:snapToGrid w:val="0"/>
        <w:spacing w:line="360" w:lineRule="auto"/>
        <w:jc w:val="center"/>
        <w:rPr>
          <w:rFonts w:ascii="仿宋" w:hAnsi="仿宋" w:eastAsia="仿宋"/>
        </w:rPr>
      </w:pPr>
    </w:p>
    <w:p>
      <w:pPr>
        <w:rPr>
          <w:rFonts w:ascii="仿宋" w:hAnsi="仿宋" w:eastAsia="仿宋"/>
        </w:rPr>
      </w:pPr>
      <w:r>
        <w:rPr>
          <w:rFonts w:ascii="仿宋" w:hAnsi="仿宋" w:eastAsia="仿宋"/>
        </w:rPr>
        <w:br w:type="page"/>
      </w:r>
    </w:p>
    <w:p>
      <w:pPr>
        <w:rPr>
          <w:rFonts w:ascii="仿宋" w:hAnsi="仿宋" w:eastAsia="仿宋"/>
        </w:rPr>
      </w:pPr>
    </w:p>
    <w:p>
      <w:pPr>
        <w:snapToGrid w:val="0"/>
        <w:spacing w:line="360" w:lineRule="auto"/>
        <w:jc w:val="center"/>
        <w:rPr>
          <w:rFonts w:ascii="仿宋" w:hAnsi="仿宋" w:eastAsia="仿宋"/>
        </w:rPr>
      </w:pPr>
    </w:p>
    <w:p>
      <w:pPr>
        <w:snapToGrid w:val="0"/>
        <w:spacing w:line="360" w:lineRule="auto"/>
        <w:rPr>
          <w:rFonts w:ascii="仿宋" w:hAnsi="仿宋" w:eastAsia="仿宋"/>
        </w:rPr>
      </w:pPr>
      <w:r>
        <w:rPr>
          <w:rFonts w:hint="eastAsia" w:ascii="仿宋" w:hAnsi="仿宋" w:eastAsia="仿宋"/>
        </w:rPr>
        <w:t>（二）技术响应偏离表</w:t>
      </w:r>
    </w:p>
    <w:p>
      <w:pPr>
        <w:tabs>
          <w:tab w:val="left" w:pos="6300"/>
        </w:tabs>
        <w:snapToGrid w:val="0"/>
        <w:spacing w:line="500" w:lineRule="exact"/>
        <w:ind w:firstLine="480" w:firstLineChars="200"/>
        <w:rPr>
          <w:rFonts w:ascii="仿宋" w:hAnsi="仿宋" w:eastAsia="仿宋"/>
        </w:rPr>
      </w:pPr>
      <w:r>
        <w:rPr>
          <w:rFonts w:hint="eastAsia" w:ascii="仿宋" w:hAnsi="仿宋" w:eastAsia="仿宋"/>
        </w:rPr>
        <w:t>项目名称：</w:t>
      </w:r>
    </w:p>
    <w:tbl>
      <w:tblPr>
        <w:tblStyle w:val="13"/>
        <w:tblW w:w="86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jc w:val="center"/>
        </w:trPr>
        <w:tc>
          <w:tcPr>
            <w:tcW w:w="1138" w:type="dxa"/>
            <w:vAlign w:val="center"/>
          </w:tcPr>
          <w:p>
            <w:pPr>
              <w:tabs>
                <w:tab w:val="left" w:pos="6300"/>
              </w:tabs>
              <w:snapToGrid w:val="0"/>
              <w:spacing w:line="500" w:lineRule="exact"/>
              <w:rPr>
                <w:rFonts w:ascii="仿宋" w:hAnsi="仿宋" w:eastAsia="仿宋"/>
              </w:rPr>
            </w:pPr>
            <w:r>
              <w:rPr>
                <w:rFonts w:hint="eastAsia" w:ascii="仿宋" w:hAnsi="仿宋" w:eastAsia="仿宋"/>
              </w:rPr>
              <w:t>序号</w:t>
            </w:r>
          </w:p>
        </w:tc>
        <w:tc>
          <w:tcPr>
            <w:tcW w:w="2658" w:type="dxa"/>
            <w:vAlign w:val="center"/>
          </w:tcPr>
          <w:p>
            <w:pPr>
              <w:tabs>
                <w:tab w:val="left" w:pos="6300"/>
              </w:tabs>
              <w:snapToGrid w:val="0"/>
              <w:spacing w:line="500" w:lineRule="exact"/>
              <w:ind w:firstLine="480" w:firstLineChars="200"/>
              <w:rPr>
                <w:rFonts w:ascii="仿宋" w:hAnsi="仿宋" w:eastAsia="仿宋"/>
              </w:rPr>
            </w:pPr>
            <w:r>
              <w:rPr>
                <w:rFonts w:hint="eastAsia" w:ascii="仿宋" w:hAnsi="仿宋" w:eastAsia="仿宋"/>
              </w:rPr>
              <w:t>采购需求</w:t>
            </w:r>
          </w:p>
        </w:tc>
        <w:tc>
          <w:tcPr>
            <w:tcW w:w="2759" w:type="dxa"/>
            <w:vAlign w:val="center"/>
          </w:tcPr>
          <w:p>
            <w:pPr>
              <w:tabs>
                <w:tab w:val="left" w:pos="6300"/>
              </w:tabs>
              <w:snapToGrid w:val="0"/>
              <w:spacing w:line="500" w:lineRule="exact"/>
              <w:ind w:firstLine="480" w:firstLineChars="200"/>
              <w:rPr>
                <w:rFonts w:ascii="仿宋" w:hAnsi="仿宋" w:eastAsia="仿宋"/>
              </w:rPr>
            </w:pPr>
            <w:r>
              <w:rPr>
                <w:rFonts w:hint="eastAsia" w:ascii="仿宋" w:hAnsi="仿宋" w:eastAsia="仿宋"/>
              </w:rPr>
              <w:t>响应情况</w:t>
            </w:r>
          </w:p>
        </w:tc>
        <w:tc>
          <w:tcPr>
            <w:tcW w:w="2067" w:type="dxa"/>
            <w:vAlign w:val="center"/>
          </w:tcPr>
          <w:p>
            <w:pPr>
              <w:tabs>
                <w:tab w:val="left" w:pos="6300"/>
              </w:tabs>
              <w:snapToGrid w:val="0"/>
              <w:spacing w:line="500" w:lineRule="exact"/>
              <w:ind w:firstLine="480" w:firstLineChars="200"/>
              <w:rPr>
                <w:rFonts w:ascii="仿宋" w:hAnsi="仿宋" w:eastAsia="仿宋"/>
              </w:rPr>
            </w:pPr>
            <w:r>
              <w:rPr>
                <w:rFonts w:hint="eastAsia" w:ascii="仿宋" w:hAnsi="仿宋" w:eastAsia="仿宋"/>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sz w:val="21"/>
                <w:szCs w:val="21"/>
              </w:rPr>
            </w:pPr>
          </w:p>
        </w:tc>
        <w:tc>
          <w:tcPr>
            <w:tcW w:w="2658" w:type="dxa"/>
            <w:vAlign w:val="center"/>
          </w:tcPr>
          <w:p>
            <w:pPr>
              <w:tabs>
                <w:tab w:val="left" w:pos="6300"/>
              </w:tabs>
              <w:snapToGrid w:val="0"/>
              <w:spacing w:line="500" w:lineRule="exact"/>
              <w:jc w:val="center"/>
              <w:outlineLvl w:val="0"/>
              <w:rPr>
                <w:rFonts w:ascii="仿宋" w:hAnsi="仿宋" w:eastAsia="仿宋"/>
                <w:sz w:val="21"/>
                <w:szCs w:val="21"/>
              </w:rPr>
            </w:pPr>
          </w:p>
        </w:tc>
        <w:tc>
          <w:tcPr>
            <w:tcW w:w="2759" w:type="dxa"/>
            <w:vAlign w:val="center"/>
          </w:tcPr>
          <w:p>
            <w:pPr>
              <w:tabs>
                <w:tab w:val="left" w:pos="6300"/>
              </w:tabs>
              <w:snapToGrid w:val="0"/>
              <w:spacing w:line="500" w:lineRule="exact"/>
              <w:jc w:val="center"/>
              <w:outlineLvl w:val="0"/>
              <w:rPr>
                <w:rFonts w:ascii="仿宋" w:hAnsi="仿宋" w:eastAsia="仿宋"/>
                <w:sz w:val="21"/>
                <w:szCs w:val="21"/>
              </w:rPr>
            </w:pPr>
          </w:p>
        </w:tc>
        <w:tc>
          <w:tcPr>
            <w:tcW w:w="2067" w:type="dxa"/>
            <w:vAlign w:val="center"/>
          </w:tcPr>
          <w:p>
            <w:pPr>
              <w:tabs>
                <w:tab w:val="left" w:pos="6300"/>
              </w:tabs>
              <w:snapToGrid w:val="0"/>
              <w:spacing w:line="500" w:lineRule="exact"/>
              <w:jc w:val="center"/>
              <w:outlineLvl w:val="0"/>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sz w:val="21"/>
                <w:szCs w:val="21"/>
              </w:rPr>
            </w:pPr>
          </w:p>
        </w:tc>
        <w:tc>
          <w:tcPr>
            <w:tcW w:w="2658" w:type="dxa"/>
            <w:vAlign w:val="center"/>
          </w:tcPr>
          <w:p>
            <w:pPr>
              <w:tabs>
                <w:tab w:val="left" w:pos="6300"/>
              </w:tabs>
              <w:snapToGrid w:val="0"/>
              <w:spacing w:line="500" w:lineRule="exact"/>
              <w:jc w:val="center"/>
              <w:outlineLvl w:val="0"/>
              <w:rPr>
                <w:rFonts w:ascii="仿宋" w:hAnsi="仿宋" w:eastAsia="仿宋"/>
                <w:sz w:val="21"/>
                <w:szCs w:val="21"/>
              </w:rPr>
            </w:pPr>
          </w:p>
        </w:tc>
        <w:tc>
          <w:tcPr>
            <w:tcW w:w="2759" w:type="dxa"/>
            <w:vAlign w:val="center"/>
          </w:tcPr>
          <w:p>
            <w:pPr>
              <w:tabs>
                <w:tab w:val="left" w:pos="6300"/>
              </w:tabs>
              <w:snapToGrid w:val="0"/>
              <w:spacing w:line="500" w:lineRule="exact"/>
              <w:jc w:val="center"/>
              <w:outlineLvl w:val="0"/>
              <w:rPr>
                <w:rFonts w:ascii="仿宋" w:hAnsi="仿宋" w:eastAsia="仿宋"/>
                <w:sz w:val="21"/>
                <w:szCs w:val="21"/>
              </w:rPr>
            </w:pPr>
          </w:p>
        </w:tc>
        <w:tc>
          <w:tcPr>
            <w:tcW w:w="2067" w:type="dxa"/>
            <w:vAlign w:val="center"/>
          </w:tcPr>
          <w:p>
            <w:pPr>
              <w:tabs>
                <w:tab w:val="left" w:pos="6300"/>
              </w:tabs>
              <w:snapToGrid w:val="0"/>
              <w:spacing w:line="500" w:lineRule="exact"/>
              <w:jc w:val="center"/>
              <w:outlineLvl w:val="0"/>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sz w:val="21"/>
                <w:szCs w:val="21"/>
              </w:rPr>
            </w:pPr>
          </w:p>
        </w:tc>
        <w:tc>
          <w:tcPr>
            <w:tcW w:w="2658" w:type="dxa"/>
            <w:vAlign w:val="center"/>
          </w:tcPr>
          <w:p>
            <w:pPr>
              <w:tabs>
                <w:tab w:val="left" w:pos="6300"/>
              </w:tabs>
              <w:snapToGrid w:val="0"/>
              <w:spacing w:line="500" w:lineRule="exact"/>
              <w:jc w:val="center"/>
              <w:outlineLvl w:val="0"/>
              <w:rPr>
                <w:rFonts w:ascii="仿宋" w:hAnsi="仿宋" w:eastAsia="仿宋"/>
                <w:sz w:val="21"/>
                <w:szCs w:val="21"/>
              </w:rPr>
            </w:pPr>
          </w:p>
        </w:tc>
        <w:tc>
          <w:tcPr>
            <w:tcW w:w="2759" w:type="dxa"/>
            <w:vAlign w:val="center"/>
          </w:tcPr>
          <w:p>
            <w:pPr>
              <w:tabs>
                <w:tab w:val="left" w:pos="6300"/>
              </w:tabs>
              <w:snapToGrid w:val="0"/>
              <w:spacing w:line="500" w:lineRule="exact"/>
              <w:jc w:val="center"/>
              <w:outlineLvl w:val="0"/>
              <w:rPr>
                <w:rFonts w:ascii="仿宋" w:hAnsi="仿宋" w:eastAsia="仿宋"/>
                <w:sz w:val="21"/>
                <w:szCs w:val="21"/>
              </w:rPr>
            </w:pPr>
          </w:p>
        </w:tc>
        <w:tc>
          <w:tcPr>
            <w:tcW w:w="2067" w:type="dxa"/>
            <w:vAlign w:val="center"/>
          </w:tcPr>
          <w:p>
            <w:pPr>
              <w:tabs>
                <w:tab w:val="left" w:pos="6300"/>
              </w:tabs>
              <w:snapToGrid w:val="0"/>
              <w:spacing w:line="500" w:lineRule="exact"/>
              <w:jc w:val="center"/>
              <w:outlineLvl w:val="0"/>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sz w:val="21"/>
                <w:szCs w:val="21"/>
              </w:rPr>
            </w:pPr>
          </w:p>
        </w:tc>
        <w:tc>
          <w:tcPr>
            <w:tcW w:w="2658" w:type="dxa"/>
            <w:vAlign w:val="center"/>
          </w:tcPr>
          <w:p>
            <w:pPr>
              <w:tabs>
                <w:tab w:val="left" w:pos="6300"/>
              </w:tabs>
              <w:snapToGrid w:val="0"/>
              <w:spacing w:line="500" w:lineRule="exact"/>
              <w:jc w:val="center"/>
              <w:outlineLvl w:val="0"/>
              <w:rPr>
                <w:rFonts w:ascii="仿宋" w:hAnsi="仿宋" w:eastAsia="仿宋"/>
                <w:sz w:val="21"/>
                <w:szCs w:val="21"/>
              </w:rPr>
            </w:pPr>
          </w:p>
        </w:tc>
        <w:tc>
          <w:tcPr>
            <w:tcW w:w="2759" w:type="dxa"/>
            <w:vAlign w:val="center"/>
          </w:tcPr>
          <w:p>
            <w:pPr>
              <w:tabs>
                <w:tab w:val="left" w:pos="6300"/>
              </w:tabs>
              <w:snapToGrid w:val="0"/>
              <w:spacing w:line="500" w:lineRule="exact"/>
              <w:jc w:val="center"/>
              <w:outlineLvl w:val="0"/>
              <w:rPr>
                <w:rFonts w:ascii="仿宋" w:hAnsi="仿宋" w:eastAsia="仿宋"/>
                <w:sz w:val="21"/>
                <w:szCs w:val="21"/>
              </w:rPr>
            </w:pPr>
          </w:p>
        </w:tc>
        <w:tc>
          <w:tcPr>
            <w:tcW w:w="2067" w:type="dxa"/>
            <w:vAlign w:val="center"/>
          </w:tcPr>
          <w:p>
            <w:pPr>
              <w:tabs>
                <w:tab w:val="left" w:pos="6300"/>
              </w:tabs>
              <w:snapToGrid w:val="0"/>
              <w:spacing w:line="500" w:lineRule="exact"/>
              <w:jc w:val="center"/>
              <w:outlineLvl w:val="0"/>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sz w:val="21"/>
                <w:szCs w:val="21"/>
              </w:rPr>
            </w:pPr>
          </w:p>
        </w:tc>
        <w:tc>
          <w:tcPr>
            <w:tcW w:w="2658" w:type="dxa"/>
            <w:vAlign w:val="center"/>
          </w:tcPr>
          <w:p>
            <w:pPr>
              <w:tabs>
                <w:tab w:val="left" w:pos="6300"/>
              </w:tabs>
              <w:snapToGrid w:val="0"/>
              <w:spacing w:line="500" w:lineRule="exact"/>
              <w:jc w:val="center"/>
              <w:outlineLvl w:val="0"/>
              <w:rPr>
                <w:rFonts w:ascii="仿宋" w:hAnsi="仿宋" w:eastAsia="仿宋"/>
                <w:sz w:val="21"/>
                <w:szCs w:val="21"/>
              </w:rPr>
            </w:pPr>
          </w:p>
        </w:tc>
        <w:tc>
          <w:tcPr>
            <w:tcW w:w="2759" w:type="dxa"/>
            <w:vAlign w:val="center"/>
          </w:tcPr>
          <w:p>
            <w:pPr>
              <w:tabs>
                <w:tab w:val="left" w:pos="6300"/>
              </w:tabs>
              <w:snapToGrid w:val="0"/>
              <w:spacing w:line="500" w:lineRule="exact"/>
              <w:jc w:val="center"/>
              <w:outlineLvl w:val="0"/>
              <w:rPr>
                <w:rFonts w:ascii="仿宋" w:hAnsi="仿宋" w:eastAsia="仿宋"/>
                <w:sz w:val="21"/>
                <w:szCs w:val="21"/>
              </w:rPr>
            </w:pPr>
          </w:p>
        </w:tc>
        <w:tc>
          <w:tcPr>
            <w:tcW w:w="2067" w:type="dxa"/>
            <w:vAlign w:val="center"/>
          </w:tcPr>
          <w:p>
            <w:pPr>
              <w:tabs>
                <w:tab w:val="left" w:pos="6300"/>
              </w:tabs>
              <w:snapToGrid w:val="0"/>
              <w:spacing w:line="500" w:lineRule="exact"/>
              <w:jc w:val="center"/>
              <w:outlineLvl w:val="0"/>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sz w:val="21"/>
                <w:szCs w:val="21"/>
              </w:rPr>
            </w:pPr>
          </w:p>
        </w:tc>
        <w:tc>
          <w:tcPr>
            <w:tcW w:w="2658" w:type="dxa"/>
            <w:vAlign w:val="center"/>
          </w:tcPr>
          <w:p>
            <w:pPr>
              <w:tabs>
                <w:tab w:val="left" w:pos="6300"/>
              </w:tabs>
              <w:snapToGrid w:val="0"/>
              <w:spacing w:line="500" w:lineRule="exact"/>
              <w:jc w:val="center"/>
              <w:outlineLvl w:val="0"/>
              <w:rPr>
                <w:rFonts w:ascii="仿宋" w:hAnsi="仿宋" w:eastAsia="仿宋"/>
                <w:sz w:val="21"/>
                <w:szCs w:val="21"/>
              </w:rPr>
            </w:pPr>
          </w:p>
        </w:tc>
        <w:tc>
          <w:tcPr>
            <w:tcW w:w="2759" w:type="dxa"/>
            <w:vAlign w:val="center"/>
          </w:tcPr>
          <w:p>
            <w:pPr>
              <w:tabs>
                <w:tab w:val="left" w:pos="6300"/>
              </w:tabs>
              <w:snapToGrid w:val="0"/>
              <w:spacing w:line="500" w:lineRule="exact"/>
              <w:jc w:val="center"/>
              <w:outlineLvl w:val="0"/>
              <w:rPr>
                <w:rFonts w:ascii="仿宋" w:hAnsi="仿宋" w:eastAsia="仿宋"/>
                <w:sz w:val="21"/>
                <w:szCs w:val="21"/>
              </w:rPr>
            </w:pPr>
          </w:p>
        </w:tc>
        <w:tc>
          <w:tcPr>
            <w:tcW w:w="2067" w:type="dxa"/>
            <w:vAlign w:val="center"/>
          </w:tcPr>
          <w:p>
            <w:pPr>
              <w:tabs>
                <w:tab w:val="left" w:pos="6300"/>
              </w:tabs>
              <w:snapToGrid w:val="0"/>
              <w:spacing w:line="500" w:lineRule="exact"/>
              <w:jc w:val="center"/>
              <w:outlineLvl w:val="0"/>
              <w:rPr>
                <w:rFonts w:ascii="仿宋" w:hAnsi="仿宋" w:eastAsia="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sz w:val="21"/>
                <w:szCs w:val="21"/>
              </w:rPr>
            </w:pPr>
          </w:p>
        </w:tc>
        <w:tc>
          <w:tcPr>
            <w:tcW w:w="2658" w:type="dxa"/>
            <w:vAlign w:val="center"/>
          </w:tcPr>
          <w:p>
            <w:pPr>
              <w:tabs>
                <w:tab w:val="left" w:pos="6300"/>
              </w:tabs>
              <w:snapToGrid w:val="0"/>
              <w:spacing w:line="500" w:lineRule="exact"/>
              <w:jc w:val="center"/>
              <w:outlineLvl w:val="0"/>
              <w:rPr>
                <w:rFonts w:ascii="仿宋" w:hAnsi="仿宋" w:eastAsia="仿宋"/>
                <w:sz w:val="21"/>
                <w:szCs w:val="21"/>
              </w:rPr>
            </w:pPr>
          </w:p>
        </w:tc>
        <w:tc>
          <w:tcPr>
            <w:tcW w:w="2759" w:type="dxa"/>
            <w:vAlign w:val="center"/>
          </w:tcPr>
          <w:p>
            <w:pPr>
              <w:tabs>
                <w:tab w:val="left" w:pos="6300"/>
              </w:tabs>
              <w:snapToGrid w:val="0"/>
              <w:spacing w:line="500" w:lineRule="exact"/>
              <w:jc w:val="center"/>
              <w:outlineLvl w:val="0"/>
              <w:rPr>
                <w:rFonts w:ascii="仿宋" w:hAnsi="仿宋" w:eastAsia="仿宋"/>
                <w:sz w:val="21"/>
                <w:szCs w:val="21"/>
              </w:rPr>
            </w:pPr>
          </w:p>
        </w:tc>
        <w:tc>
          <w:tcPr>
            <w:tcW w:w="2067" w:type="dxa"/>
            <w:vAlign w:val="center"/>
          </w:tcPr>
          <w:p>
            <w:pPr>
              <w:tabs>
                <w:tab w:val="left" w:pos="6300"/>
              </w:tabs>
              <w:snapToGrid w:val="0"/>
              <w:spacing w:line="500" w:lineRule="exact"/>
              <w:jc w:val="center"/>
              <w:outlineLvl w:val="0"/>
              <w:rPr>
                <w:rFonts w:ascii="仿宋" w:hAnsi="仿宋" w:eastAsia="仿宋"/>
                <w:sz w:val="21"/>
                <w:szCs w:val="21"/>
              </w:rPr>
            </w:pPr>
          </w:p>
        </w:tc>
      </w:tr>
    </w:tbl>
    <w:p>
      <w:pPr>
        <w:spacing w:line="500" w:lineRule="exact"/>
        <w:ind w:firstLine="600" w:firstLineChars="250"/>
        <w:rPr>
          <w:rFonts w:ascii="仿宋" w:hAnsi="仿宋" w:eastAsia="仿宋"/>
        </w:rPr>
      </w:pPr>
      <w:r>
        <w:rPr>
          <w:rFonts w:hint="eastAsia" w:ascii="仿宋" w:hAnsi="仿宋" w:eastAsia="仿宋"/>
        </w:rPr>
        <w:t>供应商：                                      法定代表人授权代表：</w:t>
      </w:r>
    </w:p>
    <w:p>
      <w:pPr>
        <w:spacing w:line="500" w:lineRule="exact"/>
        <w:rPr>
          <w:rFonts w:ascii="仿宋" w:hAnsi="仿宋" w:eastAsia="仿宋"/>
        </w:rPr>
      </w:pPr>
    </w:p>
    <w:p>
      <w:pPr>
        <w:spacing w:line="500" w:lineRule="exact"/>
        <w:ind w:firstLine="720" w:firstLineChars="300"/>
        <w:rPr>
          <w:rFonts w:ascii="仿宋" w:hAnsi="仿宋" w:eastAsia="仿宋"/>
        </w:rPr>
      </w:pPr>
      <w:r>
        <w:rPr>
          <w:rFonts w:hint="eastAsia" w:ascii="仿宋" w:hAnsi="仿宋" w:eastAsia="仿宋"/>
        </w:rPr>
        <w:t>（供应商公章）                               （签字或盖章）</w:t>
      </w:r>
    </w:p>
    <w:p>
      <w:pPr>
        <w:tabs>
          <w:tab w:val="left" w:pos="6300"/>
        </w:tabs>
        <w:snapToGrid w:val="0"/>
        <w:spacing w:line="500" w:lineRule="exact"/>
        <w:ind w:firstLine="570"/>
        <w:rPr>
          <w:rFonts w:ascii="仿宋" w:hAnsi="仿宋" w:eastAsia="仿宋"/>
        </w:rPr>
      </w:pPr>
      <w:r>
        <w:rPr>
          <w:rFonts w:hint="eastAsia" w:ascii="仿宋" w:hAnsi="仿宋" w:eastAsia="仿宋"/>
        </w:rPr>
        <w:t xml:space="preserve">                                            年     月     日</w:t>
      </w:r>
    </w:p>
    <w:p>
      <w:pPr>
        <w:tabs>
          <w:tab w:val="left" w:pos="6300"/>
        </w:tabs>
        <w:snapToGrid w:val="0"/>
        <w:spacing w:line="500" w:lineRule="exact"/>
        <w:ind w:firstLine="480" w:firstLineChars="200"/>
        <w:rPr>
          <w:rFonts w:ascii="仿宋" w:hAnsi="仿宋" w:eastAsia="仿宋"/>
        </w:rPr>
      </w:pPr>
      <w:r>
        <w:rPr>
          <w:rFonts w:hint="eastAsia" w:ascii="仿宋" w:hAnsi="仿宋" w:eastAsia="仿宋"/>
        </w:rPr>
        <w:t>注：</w:t>
      </w:r>
    </w:p>
    <w:p>
      <w:pPr>
        <w:tabs>
          <w:tab w:val="left" w:pos="6300"/>
        </w:tabs>
        <w:snapToGrid w:val="0"/>
        <w:spacing w:line="500" w:lineRule="exact"/>
        <w:ind w:firstLine="480" w:firstLineChars="200"/>
        <w:rPr>
          <w:rFonts w:ascii="仿宋" w:hAnsi="仿宋" w:eastAsia="仿宋"/>
        </w:rPr>
      </w:pPr>
      <w:r>
        <w:rPr>
          <w:rFonts w:hint="eastAsia" w:ascii="仿宋" w:hAnsi="仿宋" w:eastAsia="仿宋"/>
        </w:rPr>
        <w:t>1.本表即为对本项目“第三篇  竞采项目技术需求”中所列技术要求进行比较和响应；</w:t>
      </w:r>
    </w:p>
    <w:p>
      <w:pPr>
        <w:tabs>
          <w:tab w:val="left" w:pos="6300"/>
        </w:tabs>
        <w:snapToGrid w:val="0"/>
        <w:spacing w:line="500" w:lineRule="exact"/>
        <w:ind w:firstLine="480" w:firstLineChars="200"/>
        <w:rPr>
          <w:rFonts w:ascii="仿宋" w:hAnsi="仿宋" w:eastAsia="仿宋"/>
        </w:rPr>
      </w:pPr>
      <w:r>
        <w:rPr>
          <w:rFonts w:hint="eastAsia" w:ascii="仿宋" w:hAnsi="仿宋" w:eastAsia="仿宋"/>
        </w:rPr>
        <w:t>2.该表必须按照竞采文件要求逐条如实填写，根据响应情况在“差异说明”项填写正偏离或负偏离及原因，完全符合的填写“无差异”；</w:t>
      </w:r>
    </w:p>
    <w:p>
      <w:pPr>
        <w:tabs>
          <w:tab w:val="left" w:pos="6300"/>
        </w:tabs>
        <w:snapToGrid w:val="0"/>
        <w:spacing w:line="500" w:lineRule="exact"/>
        <w:ind w:firstLine="480" w:firstLineChars="200"/>
        <w:rPr>
          <w:rFonts w:ascii="仿宋" w:hAnsi="仿宋" w:eastAsia="仿宋"/>
        </w:rPr>
      </w:pPr>
      <w:r>
        <w:rPr>
          <w:rFonts w:hint="eastAsia" w:ascii="仿宋" w:hAnsi="仿宋" w:eastAsia="仿宋"/>
        </w:rPr>
        <w:t>3.该表可扩展，并逐页签字或盖章；</w:t>
      </w:r>
    </w:p>
    <w:p>
      <w:pPr>
        <w:tabs>
          <w:tab w:val="left" w:pos="6300"/>
        </w:tabs>
        <w:snapToGrid w:val="0"/>
        <w:spacing w:line="500" w:lineRule="exact"/>
        <w:ind w:firstLine="480" w:firstLineChars="200"/>
        <w:rPr>
          <w:rFonts w:ascii="仿宋" w:hAnsi="仿宋" w:eastAsia="仿宋"/>
        </w:rPr>
      </w:pPr>
      <w:r>
        <w:rPr>
          <w:rFonts w:hint="eastAsia" w:ascii="仿宋" w:hAnsi="仿宋" w:eastAsia="仿宋"/>
        </w:rPr>
        <w:t>4.可附相关技术支撑材料。（格式自定）</w:t>
      </w:r>
    </w:p>
    <w:p>
      <w:pPr>
        <w:tabs>
          <w:tab w:val="left" w:pos="6300"/>
        </w:tabs>
        <w:snapToGrid w:val="0"/>
        <w:spacing w:line="500" w:lineRule="exact"/>
        <w:ind w:firstLine="480" w:firstLineChars="200"/>
        <w:rPr>
          <w:rFonts w:ascii="仿宋" w:hAnsi="仿宋" w:eastAsia="仿宋"/>
        </w:rPr>
      </w:pPr>
      <w:r>
        <w:rPr>
          <w:rFonts w:hint="eastAsia" w:ascii="仿宋" w:hAnsi="仿宋" w:eastAsia="仿宋"/>
        </w:rPr>
        <w:t>5.若“响应情况”栏中仅填写“无偏离”或“有偏离”等内容而未作实质性参数描述，该供应商将失去成为成交供应商的资格，仅保留其合格供应商的身份。</w:t>
      </w:r>
    </w:p>
    <w:p>
      <w:pPr>
        <w:pStyle w:val="5"/>
        <w:spacing w:before="0" w:after="0" w:line="360" w:lineRule="auto"/>
        <w:rPr>
          <w:rFonts w:ascii="仿宋" w:hAnsi="仿宋" w:eastAsia="仿宋"/>
          <w:sz w:val="24"/>
          <w:szCs w:val="24"/>
        </w:rPr>
      </w:pPr>
      <w:r>
        <w:rPr>
          <w:rFonts w:hint="eastAsia" w:ascii="仿宋" w:hAnsi="仿宋" w:eastAsia="仿宋"/>
          <w:sz w:val="24"/>
          <w:szCs w:val="24"/>
        </w:rPr>
        <w:br w:type="page"/>
      </w:r>
      <w:bookmarkStart w:id="190" w:name="_Toc486585242"/>
      <w:bookmarkStart w:id="191" w:name="_Toc486608279"/>
      <w:bookmarkStart w:id="192" w:name="_Toc195108760"/>
      <w:bookmarkStart w:id="193" w:name="_Toc487204799"/>
      <w:bookmarkStart w:id="194" w:name="_Toc17029"/>
      <w:r>
        <w:rPr>
          <w:rFonts w:hint="eastAsia" w:ascii="仿宋" w:hAnsi="仿宋" w:eastAsia="仿宋"/>
          <w:sz w:val="24"/>
          <w:szCs w:val="24"/>
        </w:rPr>
        <w:t>三、商务部分</w:t>
      </w:r>
      <w:bookmarkEnd w:id="190"/>
      <w:bookmarkEnd w:id="191"/>
      <w:bookmarkEnd w:id="192"/>
      <w:bookmarkEnd w:id="193"/>
      <w:bookmarkEnd w:id="194"/>
    </w:p>
    <w:p>
      <w:pPr>
        <w:spacing w:line="360" w:lineRule="auto"/>
        <w:ind w:firstLine="480" w:firstLineChars="200"/>
        <w:rPr>
          <w:rFonts w:ascii="仿宋" w:hAnsi="仿宋" w:eastAsia="仿宋"/>
        </w:rPr>
      </w:pPr>
      <w:r>
        <w:rPr>
          <w:rFonts w:hint="eastAsia" w:ascii="仿宋" w:hAnsi="仿宋" w:eastAsia="仿宋"/>
        </w:rPr>
        <w:t>（一）按照商务要求进行响应，包括：交货时间、交货地点、付款方式等。</w:t>
      </w:r>
    </w:p>
    <w:p>
      <w:pPr>
        <w:rPr>
          <w:rFonts w:ascii="仿宋" w:hAnsi="仿宋" w:eastAsia="仿宋"/>
        </w:rPr>
      </w:pPr>
      <w:r>
        <w:rPr>
          <w:rFonts w:ascii="仿宋" w:hAnsi="仿宋" w:eastAsia="仿宋"/>
        </w:rPr>
        <w:br w:type="page"/>
      </w:r>
    </w:p>
    <w:p>
      <w:pPr>
        <w:rPr>
          <w:rFonts w:ascii="仿宋" w:hAnsi="仿宋" w:eastAsia="仿宋"/>
        </w:rPr>
      </w:pPr>
    </w:p>
    <w:p>
      <w:pPr>
        <w:spacing w:line="360" w:lineRule="auto"/>
        <w:rPr>
          <w:rFonts w:ascii="仿宋" w:hAnsi="仿宋" w:eastAsia="仿宋"/>
        </w:rPr>
      </w:pPr>
      <w:r>
        <w:rPr>
          <w:rFonts w:hint="eastAsia" w:ascii="仿宋" w:hAnsi="仿宋" w:eastAsia="仿宋"/>
        </w:rPr>
        <w:t>（二）商务响应偏离表</w:t>
      </w:r>
    </w:p>
    <w:p>
      <w:pPr>
        <w:snapToGrid w:val="0"/>
        <w:spacing w:line="360" w:lineRule="auto"/>
        <w:jc w:val="center"/>
        <w:rPr>
          <w:rFonts w:ascii="仿宋" w:hAnsi="仿宋" w:eastAsia="仿宋"/>
          <w:b/>
        </w:rPr>
      </w:pPr>
      <w:r>
        <w:rPr>
          <w:rFonts w:hint="eastAsia" w:ascii="仿宋" w:hAnsi="仿宋" w:eastAsia="仿宋"/>
          <w:b/>
        </w:rPr>
        <w:t>商务响应偏离表</w:t>
      </w:r>
    </w:p>
    <w:p>
      <w:pPr>
        <w:snapToGrid w:val="0"/>
        <w:spacing w:line="360" w:lineRule="auto"/>
        <w:rPr>
          <w:rFonts w:ascii="仿宋" w:hAnsi="仿宋" w:eastAsia="仿宋"/>
        </w:rPr>
      </w:pPr>
      <w:r>
        <w:rPr>
          <w:rFonts w:hint="eastAsia" w:ascii="仿宋" w:hAnsi="仿宋" w:eastAsia="仿宋"/>
        </w:rPr>
        <w:t>对于竞采文件的商务要求，如有任何偏离请如实填写下表：</w:t>
      </w:r>
    </w:p>
    <w:tbl>
      <w:tblPr>
        <w:tblStyle w:val="13"/>
        <w:tblpPr w:leftFromText="180" w:rightFromText="180" w:vertAnchor="text" w:horzAnchor="page" w:tblpX="1372" w:tblpY="481"/>
        <w:tblOverlap w:val="never"/>
        <w:tblW w:w="9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trPr>
        <w:tc>
          <w:tcPr>
            <w:tcW w:w="1510" w:type="dxa"/>
            <w:vAlign w:val="center"/>
          </w:tcPr>
          <w:p>
            <w:pPr>
              <w:jc w:val="center"/>
              <w:rPr>
                <w:rFonts w:ascii="仿宋" w:hAnsi="仿宋" w:eastAsia="仿宋"/>
              </w:rPr>
            </w:pPr>
            <w:r>
              <w:rPr>
                <w:rFonts w:hint="eastAsia" w:ascii="仿宋" w:hAnsi="仿宋" w:eastAsia="仿宋"/>
              </w:rPr>
              <w:t>序号</w:t>
            </w:r>
          </w:p>
        </w:tc>
        <w:tc>
          <w:tcPr>
            <w:tcW w:w="3179" w:type="dxa"/>
            <w:vAlign w:val="center"/>
          </w:tcPr>
          <w:p>
            <w:pPr>
              <w:jc w:val="center"/>
              <w:rPr>
                <w:rFonts w:ascii="仿宋" w:hAnsi="仿宋" w:eastAsia="仿宋"/>
              </w:rPr>
            </w:pPr>
            <w:r>
              <w:rPr>
                <w:rFonts w:hint="eastAsia" w:ascii="仿宋" w:hAnsi="仿宋" w:eastAsia="仿宋"/>
              </w:rPr>
              <w:t>竞采项目需求</w:t>
            </w:r>
          </w:p>
        </w:tc>
        <w:tc>
          <w:tcPr>
            <w:tcW w:w="2434" w:type="dxa"/>
            <w:vAlign w:val="center"/>
          </w:tcPr>
          <w:p>
            <w:pPr>
              <w:jc w:val="center"/>
              <w:rPr>
                <w:rFonts w:ascii="仿宋" w:hAnsi="仿宋" w:eastAsia="仿宋"/>
              </w:rPr>
            </w:pPr>
            <w:r>
              <w:rPr>
                <w:rFonts w:hint="eastAsia" w:ascii="仿宋" w:hAnsi="仿宋" w:eastAsia="仿宋"/>
              </w:rPr>
              <w:t>响应情况</w:t>
            </w:r>
          </w:p>
        </w:tc>
        <w:tc>
          <w:tcPr>
            <w:tcW w:w="2355" w:type="dxa"/>
            <w:vAlign w:val="center"/>
          </w:tcPr>
          <w:p>
            <w:pPr>
              <w:jc w:val="center"/>
              <w:rPr>
                <w:rFonts w:ascii="仿宋" w:hAnsi="仿宋" w:eastAsia="仿宋"/>
              </w:rPr>
            </w:pPr>
            <w:r>
              <w:rPr>
                <w:rFonts w:hint="eastAsia" w:ascii="仿宋" w:hAnsi="仿宋" w:eastAsia="仿宋"/>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仿宋" w:hAnsi="仿宋" w:eastAsia="仿宋"/>
                <w:sz w:val="21"/>
              </w:rPr>
            </w:pPr>
          </w:p>
        </w:tc>
        <w:tc>
          <w:tcPr>
            <w:tcW w:w="3179" w:type="dxa"/>
            <w:vAlign w:val="center"/>
          </w:tcPr>
          <w:p>
            <w:pPr>
              <w:tabs>
                <w:tab w:val="left" w:pos="6300"/>
              </w:tabs>
              <w:snapToGrid w:val="0"/>
              <w:spacing w:line="360" w:lineRule="auto"/>
              <w:jc w:val="center"/>
              <w:outlineLvl w:val="0"/>
              <w:rPr>
                <w:rFonts w:ascii="仿宋" w:hAnsi="仿宋" w:eastAsia="仿宋"/>
                <w:sz w:val="21"/>
              </w:rPr>
            </w:pPr>
          </w:p>
        </w:tc>
        <w:tc>
          <w:tcPr>
            <w:tcW w:w="2434" w:type="dxa"/>
            <w:vAlign w:val="center"/>
          </w:tcPr>
          <w:p>
            <w:pPr>
              <w:tabs>
                <w:tab w:val="left" w:pos="6300"/>
              </w:tabs>
              <w:snapToGrid w:val="0"/>
              <w:spacing w:line="360" w:lineRule="auto"/>
              <w:jc w:val="center"/>
              <w:outlineLvl w:val="0"/>
              <w:rPr>
                <w:rFonts w:ascii="仿宋" w:hAnsi="仿宋" w:eastAsia="仿宋"/>
                <w:sz w:val="21"/>
              </w:rPr>
            </w:pPr>
          </w:p>
        </w:tc>
        <w:tc>
          <w:tcPr>
            <w:tcW w:w="2355" w:type="dxa"/>
            <w:vAlign w:val="center"/>
          </w:tcPr>
          <w:p>
            <w:pPr>
              <w:tabs>
                <w:tab w:val="left" w:pos="6300"/>
              </w:tabs>
              <w:snapToGrid w:val="0"/>
              <w:spacing w:line="360" w:lineRule="auto"/>
              <w:jc w:val="center"/>
              <w:outlineLvl w:val="0"/>
              <w:rPr>
                <w:rFonts w:ascii="仿宋" w:hAnsi="仿宋" w:eastAsia="仿宋"/>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仿宋" w:hAnsi="仿宋" w:eastAsia="仿宋"/>
                <w:sz w:val="21"/>
              </w:rPr>
            </w:pPr>
          </w:p>
        </w:tc>
        <w:tc>
          <w:tcPr>
            <w:tcW w:w="3179" w:type="dxa"/>
            <w:vAlign w:val="center"/>
          </w:tcPr>
          <w:p>
            <w:pPr>
              <w:tabs>
                <w:tab w:val="left" w:pos="6300"/>
              </w:tabs>
              <w:snapToGrid w:val="0"/>
              <w:spacing w:line="360" w:lineRule="auto"/>
              <w:jc w:val="center"/>
              <w:outlineLvl w:val="0"/>
              <w:rPr>
                <w:rFonts w:ascii="仿宋" w:hAnsi="仿宋" w:eastAsia="仿宋"/>
                <w:sz w:val="21"/>
              </w:rPr>
            </w:pPr>
          </w:p>
        </w:tc>
        <w:tc>
          <w:tcPr>
            <w:tcW w:w="2434" w:type="dxa"/>
            <w:vAlign w:val="center"/>
          </w:tcPr>
          <w:p>
            <w:pPr>
              <w:tabs>
                <w:tab w:val="left" w:pos="6300"/>
              </w:tabs>
              <w:snapToGrid w:val="0"/>
              <w:spacing w:line="360" w:lineRule="auto"/>
              <w:jc w:val="center"/>
              <w:outlineLvl w:val="0"/>
              <w:rPr>
                <w:rFonts w:ascii="仿宋" w:hAnsi="仿宋" w:eastAsia="仿宋"/>
                <w:sz w:val="21"/>
              </w:rPr>
            </w:pPr>
          </w:p>
        </w:tc>
        <w:tc>
          <w:tcPr>
            <w:tcW w:w="2355" w:type="dxa"/>
            <w:vAlign w:val="center"/>
          </w:tcPr>
          <w:p>
            <w:pPr>
              <w:tabs>
                <w:tab w:val="left" w:pos="6300"/>
              </w:tabs>
              <w:snapToGrid w:val="0"/>
              <w:spacing w:line="360" w:lineRule="auto"/>
              <w:jc w:val="center"/>
              <w:outlineLvl w:val="0"/>
              <w:rPr>
                <w:rFonts w:ascii="仿宋" w:hAnsi="仿宋" w:eastAsia="仿宋"/>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仿宋" w:hAnsi="仿宋" w:eastAsia="仿宋"/>
                <w:sz w:val="21"/>
              </w:rPr>
            </w:pPr>
          </w:p>
        </w:tc>
        <w:tc>
          <w:tcPr>
            <w:tcW w:w="3179" w:type="dxa"/>
            <w:vAlign w:val="center"/>
          </w:tcPr>
          <w:p>
            <w:pPr>
              <w:tabs>
                <w:tab w:val="left" w:pos="6300"/>
              </w:tabs>
              <w:snapToGrid w:val="0"/>
              <w:spacing w:line="360" w:lineRule="auto"/>
              <w:jc w:val="center"/>
              <w:outlineLvl w:val="0"/>
              <w:rPr>
                <w:rFonts w:ascii="仿宋" w:hAnsi="仿宋" w:eastAsia="仿宋"/>
                <w:sz w:val="21"/>
              </w:rPr>
            </w:pPr>
          </w:p>
        </w:tc>
        <w:tc>
          <w:tcPr>
            <w:tcW w:w="2434" w:type="dxa"/>
            <w:vAlign w:val="center"/>
          </w:tcPr>
          <w:p>
            <w:pPr>
              <w:tabs>
                <w:tab w:val="left" w:pos="6300"/>
              </w:tabs>
              <w:snapToGrid w:val="0"/>
              <w:spacing w:line="360" w:lineRule="auto"/>
              <w:jc w:val="center"/>
              <w:outlineLvl w:val="0"/>
              <w:rPr>
                <w:rFonts w:ascii="仿宋" w:hAnsi="仿宋" w:eastAsia="仿宋"/>
                <w:sz w:val="21"/>
              </w:rPr>
            </w:pPr>
          </w:p>
        </w:tc>
        <w:tc>
          <w:tcPr>
            <w:tcW w:w="2355" w:type="dxa"/>
            <w:vAlign w:val="center"/>
          </w:tcPr>
          <w:p>
            <w:pPr>
              <w:tabs>
                <w:tab w:val="left" w:pos="6300"/>
              </w:tabs>
              <w:snapToGrid w:val="0"/>
              <w:spacing w:line="360" w:lineRule="auto"/>
              <w:jc w:val="center"/>
              <w:outlineLvl w:val="0"/>
              <w:rPr>
                <w:rFonts w:ascii="仿宋" w:hAnsi="仿宋" w:eastAsia="仿宋"/>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仿宋" w:hAnsi="仿宋" w:eastAsia="仿宋"/>
                <w:sz w:val="21"/>
              </w:rPr>
            </w:pPr>
          </w:p>
        </w:tc>
        <w:tc>
          <w:tcPr>
            <w:tcW w:w="3179" w:type="dxa"/>
            <w:vAlign w:val="center"/>
          </w:tcPr>
          <w:p>
            <w:pPr>
              <w:tabs>
                <w:tab w:val="left" w:pos="6300"/>
              </w:tabs>
              <w:snapToGrid w:val="0"/>
              <w:spacing w:line="360" w:lineRule="auto"/>
              <w:jc w:val="center"/>
              <w:outlineLvl w:val="0"/>
              <w:rPr>
                <w:rFonts w:ascii="仿宋" w:hAnsi="仿宋" w:eastAsia="仿宋"/>
                <w:sz w:val="21"/>
              </w:rPr>
            </w:pPr>
          </w:p>
        </w:tc>
        <w:tc>
          <w:tcPr>
            <w:tcW w:w="2434" w:type="dxa"/>
            <w:vAlign w:val="center"/>
          </w:tcPr>
          <w:p>
            <w:pPr>
              <w:tabs>
                <w:tab w:val="left" w:pos="6300"/>
              </w:tabs>
              <w:snapToGrid w:val="0"/>
              <w:spacing w:line="360" w:lineRule="auto"/>
              <w:jc w:val="center"/>
              <w:outlineLvl w:val="0"/>
              <w:rPr>
                <w:rFonts w:ascii="仿宋" w:hAnsi="仿宋" w:eastAsia="仿宋"/>
                <w:sz w:val="21"/>
              </w:rPr>
            </w:pPr>
          </w:p>
        </w:tc>
        <w:tc>
          <w:tcPr>
            <w:tcW w:w="2355" w:type="dxa"/>
            <w:vAlign w:val="center"/>
          </w:tcPr>
          <w:p>
            <w:pPr>
              <w:tabs>
                <w:tab w:val="left" w:pos="6300"/>
              </w:tabs>
              <w:snapToGrid w:val="0"/>
              <w:spacing w:line="360" w:lineRule="auto"/>
              <w:jc w:val="center"/>
              <w:outlineLvl w:val="0"/>
              <w:rPr>
                <w:rFonts w:ascii="仿宋" w:hAnsi="仿宋" w:eastAsia="仿宋"/>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仿宋" w:hAnsi="仿宋" w:eastAsia="仿宋"/>
                <w:sz w:val="21"/>
              </w:rPr>
            </w:pPr>
          </w:p>
        </w:tc>
        <w:tc>
          <w:tcPr>
            <w:tcW w:w="3179" w:type="dxa"/>
            <w:vAlign w:val="center"/>
          </w:tcPr>
          <w:p>
            <w:pPr>
              <w:tabs>
                <w:tab w:val="left" w:pos="6300"/>
              </w:tabs>
              <w:snapToGrid w:val="0"/>
              <w:spacing w:line="360" w:lineRule="auto"/>
              <w:jc w:val="center"/>
              <w:outlineLvl w:val="0"/>
              <w:rPr>
                <w:rFonts w:ascii="仿宋" w:hAnsi="仿宋" w:eastAsia="仿宋"/>
                <w:sz w:val="21"/>
              </w:rPr>
            </w:pPr>
          </w:p>
        </w:tc>
        <w:tc>
          <w:tcPr>
            <w:tcW w:w="2434" w:type="dxa"/>
            <w:vAlign w:val="center"/>
          </w:tcPr>
          <w:p>
            <w:pPr>
              <w:tabs>
                <w:tab w:val="left" w:pos="6300"/>
              </w:tabs>
              <w:snapToGrid w:val="0"/>
              <w:spacing w:line="360" w:lineRule="auto"/>
              <w:jc w:val="center"/>
              <w:outlineLvl w:val="0"/>
              <w:rPr>
                <w:rFonts w:ascii="仿宋" w:hAnsi="仿宋" w:eastAsia="仿宋"/>
                <w:sz w:val="21"/>
              </w:rPr>
            </w:pPr>
          </w:p>
        </w:tc>
        <w:tc>
          <w:tcPr>
            <w:tcW w:w="2355" w:type="dxa"/>
            <w:vAlign w:val="center"/>
          </w:tcPr>
          <w:p>
            <w:pPr>
              <w:tabs>
                <w:tab w:val="left" w:pos="6300"/>
              </w:tabs>
              <w:snapToGrid w:val="0"/>
              <w:spacing w:line="360" w:lineRule="auto"/>
              <w:jc w:val="center"/>
              <w:outlineLvl w:val="0"/>
              <w:rPr>
                <w:rFonts w:ascii="仿宋" w:hAnsi="仿宋" w:eastAsia="仿宋"/>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仿宋" w:hAnsi="仿宋" w:eastAsia="仿宋"/>
                <w:sz w:val="21"/>
              </w:rPr>
            </w:pPr>
          </w:p>
        </w:tc>
        <w:tc>
          <w:tcPr>
            <w:tcW w:w="3179" w:type="dxa"/>
            <w:vAlign w:val="center"/>
          </w:tcPr>
          <w:p>
            <w:pPr>
              <w:tabs>
                <w:tab w:val="left" w:pos="6300"/>
              </w:tabs>
              <w:snapToGrid w:val="0"/>
              <w:spacing w:line="360" w:lineRule="auto"/>
              <w:jc w:val="center"/>
              <w:outlineLvl w:val="0"/>
              <w:rPr>
                <w:rFonts w:ascii="仿宋" w:hAnsi="仿宋" w:eastAsia="仿宋"/>
                <w:sz w:val="21"/>
              </w:rPr>
            </w:pPr>
          </w:p>
        </w:tc>
        <w:tc>
          <w:tcPr>
            <w:tcW w:w="2434" w:type="dxa"/>
            <w:vAlign w:val="center"/>
          </w:tcPr>
          <w:p>
            <w:pPr>
              <w:tabs>
                <w:tab w:val="left" w:pos="6300"/>
              </w:tabs>
              <w:snapToGrid w:val="0"/>
              <w:spacing w:line="360" w:lineRule="auto"/>
              <w:jc w:val="center"/>
              <w:outlineLvl w:val="0"/>
              <w:rPr>
                <w:rFonts w:ascii="仿宋" w:hAnsi="仿宋" w:eastAsia="仿宋"/>
                <w:sz w:val="21"/>
              </w:rPr>
            </w:pPr>
          </w:p>
        </w:tc>
        <w:tc>
          <w:tcPr>
            <w:tcW w:w="2355" w:type="dxa"/>
            <w:vAlign w:val="center"/>
          </w:tcPr>
          <w:p>
            <w:pPr>
              <w:tabs>
                <w:tab w:val="left" w:pos="6300"/>
              </w:tabs>
              <w:snapToGrid w:val="0"/>
              <w:spacing w:line="360" w:lineRule="auto"/>
              <w:jc w:val="center"/>
              <w:outlineLvl w:val="0"/>
              <w:rPr>
                <w:rFonts w:ascii="仿宋" w:hAnsi="仿宋" w:eastAsia="仿宋"/>
                <w:sz w:val="21"/>
              </w:rPr>
            </w:pPr>
          </w:p>
        </w:tc>
      </w:tr>
    </w:tbl>
    <w:p>
      <w:pPr>
        <w:snapToGrid w:val="0"/>
        <w:spacing w:line="360" w:lineRule="auto"/>
        <w:rPr>
          <w:rFonts w:ascii="仿宋" w:hAnsi="仿宋" w:eastAsia="仿宋"/>
        </w:rPr>
      </w:pPr>
    </w:p>
    <w:p>
      <w:pPr>
        <w:spacing w:line="500" w:lineRule="exact"/>
        <w:ind w:firstLine="600" w:firstLineChars="250"/>
        <w:rPr>
          <w:rFonts w:ascii="仿宋" w:hAnsi="仿宋" w:eastAsia="仿宋"/>
        </w:rPr>
      </w:pPr>
      <w:r>
        <w:rPr>
          <w:rFonts w:hint="eastAsia" w:ascii="仿宋" w:hAnsi="仿宋" w:eastAsia="仿宋"/>
        </w:rPr>
        <w:t>供应商：                                      法定代表人授权代表：</w:t>
      </w:r>
    </w:p>
    <w:p>
      <w:pPr>
        <w:spacing w:line="500" w:lineRule="exact"/>
        <w:ind w:firstLine="360" w:firstLineChars="150"/>
        <w:rPr>
          <w:rFonts w:ascii="仿宋" w:hAnsi="仿宋" w:eastAsia="仿宋"/>
        </w:rPr>
      </w:pPr>
      <w:r>
        <w:rPr>
          <w:rFonts w:hint="eastAsia" w:ascii="仿宋" w:hAnsi="仿宋" w:eastAsia="仿宋"/>
        </w:rPr>
        <w:t>（供应商公章）                                 （签字或盖章）</w:t>
      </w:r>
    </w:p>
    <w:p>
      <w:pPr>
        <w:tabs>
          <w:tab w:val="left" w:pos="6300"/>
        </w:tabs>
        <w:snapToGrid w:val="0"/>
        <w:spacing w:line="500" w:lineRule="exact"/>
        <w:ind w:firstLine="570"/>
        <w:rPr>
          <w:rFonts w:ascii="仿宋" w:hAnsi="仿宋" w:eastAsia="仿宋"/>
        </w:rPr>
      </w:pPr>
      <w:r>
        <w:rPr>
          <w:rFonts w:hint="eastAsia" w:ascii="仿宋" w:hAnsi="仿宋" w:eastAsia="仿宋"/>
        </w:rPr>
        <w:t xml:space="preserve">                                            年     月     日</w:t>
      </w:r>
    </w:p>
    <w:p>
      <w:pPr>
        <w:tabs>
          <w:tab w:val="left" w:pos="6300"/>
        </w:tabs>
        <w:snapToGrid w:val="0"/>
        <w:spacing w:line="500" w:lineRule="exact"/>
        <w:ind w:firstLine="480" w:firstLineChars="200"/>
        <w:rPr>
          <w:rFonts w:ascii="仿宋" w:hAnsi="仿宋" w:eastAsia="仿宋"/>
        </w:rPr>
      </w:pPr>
      <w:r>
        <w:rPr>
          <w:rFonts w:hint="eastAsia" w:ascii="仿宋" w:hAnsi="仿宋" w:eastAsia="仿宋"/>
        </w:rPr>
        <w:t>注：</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1.本表即为对本项目“第四篇 商务要求”中所列服务要求进行比较和响应；</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2.该表必须按照竞采要求逐条如实填写，根据响应情况在“差异说明”项填写正偏离或负偏离及原因，完全符合的填写“无差异”；</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3.该表可扩展，并逐页签字或盖章；</w:t>
      </w:r>
    </w:p>
    <w:p>
      <w:pPr>
        <w:tabs>
          <w:tab w:val="left" w:pos="6300"/>
        </w:tabs>
        <w:snapToGrid w:val="0"/>
        <w:spacing w:line="360" w:lineRule="auto"/>
        <w:ind w:firstLine="480" w:firstLineChars="200"/>
        <w:rPr>
          <w:rFonts w:ascii="仿宋" w:hAnsi="仿宋" w:eastAsia="仿宋"/>
          <w:u w:val="single"/>
        </w:rPr>
      </w:pPr>
      <w:r>
        <w:rPr>
          <w:rFonts w:hint="eastAsia" w:ascii="仿宋" w:hAnsi="仿宋" w:eastAsia="仿宋"/>
        </w:rPr>
        <w:t>4.若“响应情况”栏中仅填写“无偏离”或“有偏离”等内容而未作实质性参数描述，该供应商将失去成为成交供应商的资格，仅保留其合格供应商的身份。</w:t>
      </w:r>
    </w:p>
    <w:p>
      <w:pPr>
        <w:spacing w:line="380" w:lineRule="exact"/>
        <w:ind w:firstLine="480" w:firstLineChars="200"/>
        <w:rPr>
          <w:rFonts w:ascii="仿宋" w:hAnsi="仿宋" w:eastAsia="仿宋"/>
        </w:rPr>
      </w:pPr>
      <w:r>
        <w:rPr>
          <w:rFonts w:hint="eastAsia" w:ascii="仿宋" w:hAnsi="仿宋" w:eastAsia="仿宋"/>
        </w:rPr>
        <w:br w:type="page"/>
      </w:r>
      <w:r>
        <w:rPr>
          <w:rFonts w:hint="eastAsia" w:ascii="仿宋" w:hAnsi="仿宋" w:eastAsia="仿宋"/>
        </w:rPr>
        <w:t>（三）其它优惠承诺（如有，格式自定）</w:t>
      </w:r>
    </w:p>
    <w:p>
      <w:pPr>
        <w:pStyle w:val="5"/>
        <w:spacing w:before="0" w:after="0" w:line="360" w:lineRule="auto"/>
        <w:rPr>
          <w:rFonts w:ascii="仿宋" w:hAnsi="仿宋" w:eastAsia="仿宋"/>
          <w:sz w:val="24"/>
          <w:szCs w:val="24"/>
        </w:rPr>
      </w:pPr>
      <w:r>
        <w:rPr>
          <w:rFonts w:hint="eastAsia" w:ascii="仿宋" w:hAnsi="仿宋" w:eastAsia="仿宋"/>
          <w:b w:val="0"/>
          <w:sz w:val="24"/>
          <w:szCs w:val="24"/>
        </w:rPr>
        <w:br w:type="page"/>
      </w:r>
      <w:bookmarkStart w:id="195" w:name="_Toc8290"/>
      <w:bookmarkStart w:id="196" w:name="_Toc487204800"/>
      <w:bookmarkStart w:id="197" w:name="_Toc23557"/>
      <w:bookmarkStart w:id="198" w:name="_Toc195108761"/>
      <w:bookmarkStart w:id="199" w:name="_Toc486585243"/>
      <w:bookmarkStart w:id="200" w:name="_Toc486608280"/>
      <w:r>
        <w:rPr>
          <w:rFonts w:hint="eastAsia" w:ascii="仿宋" w:hAnsi="仿宋" w:eastAsia="仿宋"/>
          <w:sz w:val="24"/>
          <w:szCs w:val="24"/>
        </w:rPr>
        <w:t>四、资格条件及其他</w:t>
      </w:r>
      <w:bookmarkEnd w:id="195"/>
      <w:bookmarkEnd w:id="196"/>
      <w:bookmarkEnd w:id="197"/>
      <w:bookmarkEnd w:id="198"/>
      <w:bookmarkEnd w:id="199"/>
      <w:bookmarkEnd w:id="200"/>
    </w:p>
    <w:p>
      <w:pPr>
        <w:spacing w:line="420" w:lineRule="exact"/>
        <w:ind w:firstLine="480" w:firstLineChars="200"/>
        <w:rPr>
          <w:rFonts w:ascii="仿宋" w:hAnsi="仿宋" w:eastAsia="仿宋" w:cs="仿宋"/>
        </w:rPr>
      </w:pPr>
      <w:r>
        <w:rPr>
          <w:rFonts w:hint="eastAsia" w:ascii="仿宋" w:hAnsi="仿宋" w:eastAsia="仿宋" w:cs="仿宋"/>
        </w:rPr>
        <w:t>（一）营业执照（副本）或事业单位法人证书（副本）复印件或个体工商户营业执照</w:t>
      </w:r>
    </w:p>
    <w:p>
      <w:pPr>
        <w:tabs>
          <w:tab w:val="left" w:pos="6300"/>
        </w:tabs>
        <w:snapToGrid w:val="0"/>
        <w:spacing w:line="360" w:lineRule="auto"/>
        <w:ind w:firstLine="570"/>
        <w:rPr>
          <w:rFonts w:ascii="仿宋" w:hAnsi="仿宋" w:eastAsia="仿宋"/>
        </w:rPr>
      </w:pPr>
    </w:p>
    <w:p>
      <w:pPr>
        <w:tabs>
          <w:tab w:val="left" w:pos="6300"/>
        </w:tabs>
        <w:snapToGrid w:val="0"/>
        <w:spacing w:line="380" w:lineRule="exact"/>
        <w:ind w:firstLine="570"/>
        <w:rPr>
          <w:rFonts w:ascii="仿宋" w:hAnsi="仿宋" w:eastAsia="仿宋"/>
        </w:rPr>
      </w:pPr>
    </w:p>
    <w:p>
      <w:pPr>
        <w:spacing w:line="360" w:lineRule="auto"/>
        <w:ind w:firstLine="480" w:firstLineChars="200"/>
        <w:rPr>
          <w:rFonts w:ascii="仿宋" w:hAnsi="仿宋" w:eastAsia="仿宋"/>
        </w:rPr>
      </w:pPr>
      <w:r>
        <w:rPr>
          <w:rFonts w:hint="eastAsia" w:ascii="仿宋" w:hAnsi="仿宋" w:eastAsia="仿宋"/>
        </w:rPr>
        <w:br w:type="page"/>
      </w:r>
      <w:r>
        <w:rPr>
          <w:rFonts w:hint="eastAsia" w:ascii="仿宋" w:hAnsi="仿宋" w:eastAsia="仿宋"/>
        </w:rPr>
        <w:t>（二）法定代表人身份证明书（格式）</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t>项目名称：</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t>致：</w:t>
      </w:r>
      <w:r>
        <w:rPr>
          <w:rFonts w:hint="eastAsia" w:ascii="仿宋" w:hAnsi="仿宋" w:eastAsia="仿宋"/>
          <w:u w:val="single"/>
        </w:rPr>
        <w:t>（采购代理机构名称）</w:t>
      </w:r>
      <w:r>
        <w:rPr>
          <w:rFonts w:hint="eastAsia" w:ascii="仿宋" w:hAnsi="仿宋" w:eastAsia="仿宋"/>
        </w:rPr>
        <w:t>：</w:t>
      </w:r>
    </w:p>
    <w:p>
      <w:pPr>
        <w:tabs>
          <w:tab w:val="left" w:pos="6300"/>
        </w:tabs>
        <w:snapToGrid w:val="0"/>
        <w:spacing w:line="360" w:lineRule="auto"/>
        <w:ind w:firstLine="570"/>
        <w:rPr>
          <w:rFonts w:ascii="仿宋" w:hAnsi="仿宋" w:eastAsia="仿宋"/>
        </w:rPr>
      </w:pPr>
      <w:r>
        <w:rPr>
          <w:rFonts w:hint="eastAsia" w:ascii="仿宋" w:hAnsi="仿宋" w:eastAsia="仿宋"/>
          <w:u w:val="single"/>
        </w:rPr>
        <w:t>（法定代表人姓名）</w:t>
      </w:r>
      <w:r>
        <w:rPr>
          <w:rFonts w:hint="eastAsia" w:ascii="仿宋" w:hAnsi="仿宋" w:eastAsia="仿宋"/>
        </w:rPr>
        <w:t>在</w:t>
      </w:r>
      <w:r>
        <w:rPr>
          <w:rFonts w:hint="eastAsia" w:ascii="仿宋" w:hAnsi="仿宋" w:eastAsia="仿宋"/>
          <w:u w:val="single"/>
        </w:rPr>
        <w:t>（供应商名称）</w:t>
      </w:r>
      <w:r>
        <w:rPr>
          <w:rFonts w:hint="eastAsia" w:ascii="仿宋" w:hAnsi="仿宋" w:eastAsia="仿宋"/>
        </w:rPr>
        <w:t>任</w:t>
      </w:r>
      <w:r>
        <w:rPr>
          <w:rFonts w:hint="eastAsia" w:ascii="仿宋" w:hAnsi="仿宋" w:eastAsia="仿宋"/>
          <w:u w:val="single"/>
        </w:rPr>
        <w:t>（职务名称）</w:t>
      </w:r>
      <w:r>
        <w:rPr>
          <w:rFonts w:hint="eastAsia" w:ascii="仿宋" w:hAnsi="仿宋" w:eastAsia="仿宋"/>
        </w:rPr>
        <w:t>职务，是</w:t>
      </w:r>
      <w:r>
        <w:rPr>
          <w:rFonts w:hint="eastAsia" w:ascii="仿宋" w:hAnsi="仿宋" w:eastAsia="仿宋"/>
          <w:u w:val="single"/>
        </w:rPr>
        <w:t>（供应商名称）</w:t>
      </w:r>
      <w:r>
        <w:rPr>
          <w:rFonts w:hint="eastAsia" w:ascii="仿宋" w:hAnsi="仿宋" w:eastAsia="仿宋"/>
        </w:rPr>
        <w:t>的法定代表人。</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t>特此证明。</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t xml:space="preserve">                                             （供应商公章）</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t xml:space="preserve">                                             年   月   日</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t>（附：法定代表人身份证正反面复印件）</w:t>
      </w:r>
    </w:p>
    <w:p>
      <w:pPr>
        <w:tabs>
          <w:tab w:val="left" w:pos="6300"/>
        </w:tabs>
        <w:snapToGrid w:val="0"/>
        <w:spacing w:line="380" w:lineRule="exact"/>
        <w:ind w:firstLine="570"/>
        <w:rPr>
          <w:rFonts w:ascii="仿宋" w:hAnsi="仿宋" w:eastAsia="仿宋"/>
        </w:rPr>
      </w:pPr>
    </w:p>
    <w:p>
      <w:pPr>
        <w:tabs>
          <w:tab w:val="left" w:pos="6300"/>
        </w:tabs>
        <w:snapToGrid w:val="0"/>
        <w:spacing w:line="380" w:lineRule="exact"/>
        <w:ind w:firstLine="570"/>
        <w:rPr>
          <w:rFonts w:ascii="仿宋" w:hAnsi="仿宋" w:eastAsia="仿宋"/>
        </w:rPr>
      </w:pPr>
    </w:p>
    <w:p>
      <w:pPr>
        <w:tabs>
          <w:tab w:val="left" w:pos="6300"/>
        </w:tabs>
        <w:snapToGrid w:val="0"/>
        <w:spacing w:line="380" w:lineRule="exact"/>
        <w:ind w:firstLine="570"/>
        <w:rPr>
          <w:rFonts w:ascii="仿宋" w:hAnsi="仿宋" w:eastAsia="仿宋"/>
        </w:rPr>
      </w:pPr>
    </w:p>
    <w:p>
      <w:pPr>
        <w:tabs>
          <w:tab w:val="left" w:pos="6300"/>
        </w:tabs>
        <w:snapToGrid w:val="0"/>
        <w:spacing w:line="380" w:lineRule="exact"/>
        <w:ind w:firstLine="570"/>
        <w:rPr>
          <w:rFonts w:ascii="仿宋" w:hAnsi="仿宋" w:eastAsia="仿宋"/>
        </w:rPr>
      </w:pPr>
    </w:p>
    <w:p>
      <w:pPr>
        <w:tabs>
          <w:tab w:val="left" w:pos="6300"/>
        </w:tabs>
        <w:snapToGrid w:val="0"/>
        <w:spacing w:line="380" w:lineRule="exact"/>
        <w:ind w:firstLine="570"/>
        <w:rPr>
          <w:rFonts w:ascii="仿宋" w:hAnsi="仿宋" w:eastAsia="仿宋"/>
        </w:rPr>
      </w:pPr>
    </w:p>
    <w:p>
      <w:pPr>
        <w:tabs>
          <w:tab w:val="left" w:pos="6300"/>
        </w:tabs>
        <w:snapToGrid w:val="0"/>
        <w:spacing w:line="380" w:lineRule="exact"/>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br w:type="column"/>
      </w:r>
      <w:r>
        <w:rPr>
          <w:rFonts w:hint="eastAsia" w:ascii="仿宋" w:hAnsi="仿宋" w:eastAsia="仿宋"/>
        </w:rPr>
        <w:t>（三）法定代表人授权委托书（格式）</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项目名称：</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致：</w:t>
      </w:r>
      <w:r>
        <w:rPr>
          <w:rFonts w:hint="eastAsia" w:ascii="仿宋" w:hAnsi="仿宋" w:eastAsia="仿宋"/>
          <w:u w:val="single"/>
        </w:rPr>
        <w:t>（采购代理机构名称）</w:t>
      </w:r>
      <w:r>
        <w:rPr>
          <w:rFonts w:hint="eastAsia" w:ascii="仿宋" w:hAnsi="仿宋" w:eastAsia="仿宋"/>
        </w:rPr>
        <w:t>：</w:t>
      </w:r>
    </w:p>
    <w:p>
      <w:pPr>
        <w:tabs>
          <w:tab w:val="left" w:pos="6300"/>
        </w:tabs>
        <w:snapToGrid w:val="0"/>
        <w:spacing w:line="360" w:lineRule="auto"/>
        <w:ind w:firstLine="480" w:firstLineChars="200"/>
        <w:rPr>
          <w:rFonts w:ascii="仿宋" w:hAnsi="仿宋" w:eastAsia="仿宋"/>
        </w:rPr>
      </w:pPr>
      <w:r>
        <w:rPr>
          <w:rFonts w:hint="eastAsia" w:ascii="仿宋" w:hAnsi="仿宋" w:eastAsia="仿宋"/>
          <w:u w:val="single"/>
        </w:rPr>
        <w:t>（供应商法定代表人名称）</w:t>
      </w:r>
      <w:r>
        <w:rPr>
          <w:rFonts w:hint="eastAsia" w:ascii="仿宋" w:hAnsi="仿宋" w:eastAsia="仿宋"/>
        </w:rPr>
        <w:t>是</w:t>
      </w:r>
      <w:r>
        <w:rPr>
          <w:rFonts w:hint="eastAsia" w:ascii="仿宋" w:hAnsi="仿宋" w:eastAsia="仿宋"/>
          <w:u w:val="single"/>
        </w:rPr>
        <w:t>（供应商名称）</w:t>
      </w:r>
      <w:r>
        <w:rPr>
          <w:rFonts w:hint="eastAsia" w:ascii="仿宋" w:hAnsi="仿宋" w:eastAsia="仿宋"/>
        </w:rPr>
        <w:t>的法定代表人，特授权</w:t>
      </w:r>
      <w:r>
        <w:rPr>
          <w:rFonts w:hint="eastAsia" w:ascii="仿宋" w:hAnsi="仿宋" w:eastAsia="仿宋"/>
          <w:u w:val="single"/>
        </w:rPr>
        <w:t>（被授权人姓名及身份证代码）</w:t>
      </w:r>
      <w:r>
        <w:rPr>
          <w:rFonts w:hint="eastAsia" w:ascii="仿宋" w:hAnsi="仿宋" w:eastAsia="仿宋"/>
        </w:rPr>
        <w:t>代表我单位全权办理上述项目的竞采、签约等具体工作，并签署全部有关文件、协议及合同。</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我单位对被授权人的签字负全部责任。</w:t>
      </w:r>
    </w:p>
    <w:p>
      <w:pPr>
        <w:tabs>
          <w:tab w:val="left" w:pos="6300"/>
        </w:tabs>
        <w:snapToGrid w:val="0"/>
        <w:spacing w:line="360" w:lineRule="auto"/>
        <w:ind w:firstLine="480" w:firstLineChars="200"/>
        <w:rPr>
          <w:rFonts w:ascii="仿宋" w:hAnsi="仿宋" w:eastAsia="仿宋"/>
        </w:rPr>
      </w:pPr>
      <w:r>
        <w:rPr>
          <w:rFonts w:hint="eastAsia" w:ascii="仿宋" w:hAnsi="仿宋" w:eastAsia="仿宋"/>
        </w:rPr>
        <w:t>在撤销授权的书面通知以前，本授权书一直有效。被授权人在授权书有效期内签署的所有文件不因授权的撤销而失效。</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t>被授权人：                                   供应商法定代表人：</w:t>
      </w:r>
    </w:p>
    <w:p>
      <w:pPr>
        <w:tabs>
          <w:tab w:val="left" w:pos="6300"/>
        </w:tabs>
        <w:snapToGrid w:val="0"/>
        <w:spacing w:line="360" w:lineRule="auto"/>
        <w:ind w:firstLine="570"/>
        <w:rPr>
          <w:rFonts w:ascii="仿宋" w:hAnsi="仿宋" w:eastAsia="仿宋"/>
        </w:rPr>
      </w:pPr>
      <w:r>
        <w:rPr>
          <w:rFonts w:hint="eastAsia" w:ascii="仿宋" w:hAnsi="仿宋" w:eastAsia="仿宋"/>
        </w:rPr>
        <w:t>（签字或盖章）                              （签字或盖章）</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r>
        <w:rPr>
          <w:rFonts w:hint="eastAsia" w:ascii="仿宋" w:hAnsi="仿宋" w:eastAsia="仿宋"/>
        </w:rPr>
        <w:t>（附：被授权人身份证正反面复印件）</w:t>
      </w: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rPr>
          <w:rFonts w:ascii="仿宋" w:hAnsi="仿宋" w:eastAsia="仿宋"/>
        </w:rPr>
      </w:pPr>
    </w:p>
    <w:p>
      <w:pPr>
        <w:tabs>
          <w:tab w:val="left" w:pos="6300"/>
        </w:tabs>
        <w:snapToGrid w:val="0"/>
        <w:spacing w:line="360" w:lineRule="auto"/>
        <w:ind w:firstLine="570"/>
        <w:jc w:val="right"/>
        <w:rPr>
          <w:rFonts w:ascii="仿宋" w:hAnsi="仿宋" w:eastAsia="仿宋"/>
        </w:rPr>
      </w:pPr>
      <w:r>
        <w:rPr>
          <w:rFonts w:hint="eastAsia" w:ascii="仿宋" w:hAnsi="仿宋" w:eastAsia="仿宋"/>
        </w:rPr>
        <w:t>（供应商公章）</w:t>
      </w:r>
    </w:p>
    <w:p>
      <w:pPr>
        <w:tabs>
          <w:tab w:val="left" w:pos="6300"/>
        </w:tabs>
        <w:snapToGrid w:val="0"/>
        <w:spacing w:line="360" w:lineRule="auto"/>
        <w:ind w:firstLine="570"/>
        <w:jc w:val="right"/>
        <w:rPr>
          <w:rFonts w:ascii="仿宋" w:hAnsi="仿宋" w:eastAsia="仿宋"/>
        </w:rPr>
      </w:pPr>
      <w:r>
        <w:rPr>
          <w:rFonts w:hint="eastAsia" w:ascii="仿宋" w:hAnsi="仿宋" w:eastAsia="仿宋"/>
        </w:rPr>
        <w:t>年   月   日</w:t>
      </w:r>
    </w:p>
    <w:p>
      <w:pPr>
        <w:rPr>
          <w:rFonts w:ascii="仿宋" w:hAnsi="仿宋" w:eastAsia="仿宋" w:cs="仿宋"/>
        </w:rPr>
      </w:pPr>
      <w:r>
        <w:rPr>
          <w:rFonts w:ascii="仿宋" w:hAnsi="仿宋" w:eastAsia="仿宋" w:cs="仿宋"/>
        </w:rPr>
        <w:br w:type="page"/>
      </w:r>
    </w:p>
    <w:p>
      <w:pPr>
        <w:tabs>
          <w:tab w:val="left" w:pos="6300"/>
        </w:tabs>
        <w:snapToGrid w:val="0"/>
        <w:spacing w:line="500" w:lineRule="exact"/>
        <w:ind w:firstLine="480" w:firstLineChars="200"/>
        <w:rPr>
          <w:rFonts w:ascii="仿宋" w:hAnsi="仿宋" w:eastAsia="仿宋" w:cs="仿宋"/>
        </w:rPr>
      </w:pPr>
      <w:r>
        <w:rPr>
          <w:rFonts w:hint="eastAsia" w:ascii="仿宋" w:hAnsi="仿宋" w:eastAsia="仿宋" w:cs="仿宋"/>
        </w:rPr>
        <w:t>（四）基本资格条件承诺函</w:t>
      </w:r>
    </w:p>
    <w:p>
      <w:pPr>
        <w:tabs>
          <w:tab w:val="left" w:pos="6300"/>
        </w:tabs>
        <w:snapToGrid w:val="0"/>
        <w:spacing w:line="500" w:lineRule="exact"/>
        <w:ind w:firstLine="640" w:firstLineChars="200"/>
        <w:jc w:val="center"/>
        <w:rPr>
          <w:rFonts w:ascii="仿宋" w:hAnsi="仿宋" w:eastAsia="仿宋" w:cs="仿宋"/>
          <w:color w:val="000000"/>
          <w:sz w:val="32"/>
          <w:szCs w:val="32"/>
        </w:rPr>
      </w:pPr>
    </w:p>
    <w:p>
      <w:pPr>
        <w:tabs>
          <w:tab w:val="left" w:pos="6300"/>
        </w:tabs>
        <w:snapToGrid w:val="0"/>
        <w:spacing w:line="500" w:lineRule="exact"/>
        <w:ind w:firstLine="640" w:firstLineChars="200"/>
        <w:jc w:val="center"/>
        <w:rPr>
          <w:rFonts w:ascii="仿宋" w:hAnsi="仿宋" w:eastAsia="仿宋" w:cs="仿宋"/>
          <w:color w:val="000000"/>
          <w:sz w:val="32"/>
          <w:szCs w:val="32"/>
        </w:rPr>
      </w:pPr>
      <w:r>
        <w:rPr>
          <w:rFonts w:hint="eastAsia" w:ascii="仿宋" w:hAnsi="仿宋" w:eastAsia="仿宋" w:cs="仿宋"/>
          <w:color w:val="000000"/>
          <w:sz w:val="32"/>
          <w:szCs w:val="32"/>
        </w:rPr>
        <w:t>基本资格条件承诺函</w:t>
      </w:r>
    </w:p>
    <w:p>
      <w:pPr>
        <w:tabs>
          <w:tab w:val="left" w:pos="6300"/>
        </w:tabs>
        <w:snapToGrid w:val="0"/>
        <w:spacing w:line="500" w:lineRule="exact"/>
        <w:ind w:firstLine="480" w:firstLineChars="200"/>
        <w:rPr>
          <w:rFonts w:ascii="仿宋" w:hAnsi="仿宋" w:eastAsia="仿宋" w:cs="仿宋"/>
        </w:rPr>
      </w:pPr>
      <w:r>
        <w:rPr>
          <w:rFonts w:hint="eastAsia" w:ascii="仿宋" w:hAnsi="仿宋" w:eastAsia="仿宋" w:cs="仿宋"/>
        </w:rPr>
        <w:t xml:space="preserve">致 </w:t>
      </w:r>
    </w:p>
    <w:p>
      <w:pPr>
        <w:tabs>
          <w:tab w:val="left" w:pos="6300"/>
        </w:tabs>
        <w:snapToGrid w:val="0"/>
        <w:spacing w:line="500" w:lineRule="exact"/>
        <w:ind w:firstLine="480" w:firstLineChars="200"/>
        <w:rPr>
          <w:rFonts w:ascii="仿宋" w:hAnsi="仿宋" w:eastAsia="仿宋" w:cs="仿宋"/>
        </w:rPr>
      </w:pPr>
      <w:r>
        <w:rPr>
          <w:rFonts w:hint="eastAsia" w:ascii="仿宋" w:hAnsi="仿宋" w:eastAsia="仿宋" w:cs="仿宋"/>
        </w:rPr>
        <w:t xml:space="preserve">（采购代理机构名称）： </w:t>
      </w:r>
    </w:p>
    <w:p>
      <w:pPr>
        <w:tabs>
          <w:tab w:val="left" w:pos="6300"/>
        </w:tabs>
        <w:snapToGrid w:val="0"/>
        <w:spacing w:line="500" w:lineRule="exact"/>
        <w:ind w:firstLine="480" w:firstLineChars="200"/>
        <w:rPr>
          <w:rFonts w:ascii="仿宋" w:hAnsi="仿宋" w:eastAsia="仿宋" w:cs="仿宋"/>
        </w:rPr>
      </w:pPr>
      <w:r>
        <w:rPr>
          <w:rFonts w:hint="eastAsia" w:ascii="仿宋" w:hAnsi="仿宋" w:eastAsia="仿宋" w:cs="仿宋"/>
        </w:rPr>
        <w:t xml:space="preserve">（供应商名称）郑重承诺： </w:t>
      </w:r>
    </w:p>
    <w:p>
      <w:pPr>
        <w:tabs>
          <w:tab w:val="left" w:pos="6300"/>
        </w:tabs>
        <w:snapToGrid w:val="0"/>
        <w:spacing w:line="500" w:lineRule="exact"/>
        <w:ind w:firstLine="480" w:firstLineChars="200"/>
        <w:rPr>
          <w:rFonts w:ascii="仿宋" w:hAnsi="仿宋" w:eastAsia="仿宋" w:cs="仿宋"/>
        </w:rPr>
      </w:pPr>
      <w:r>
        <w:rPr>
          <w:rFonts w:hint="eastAsia" w:ascii="仿宋" w:hAnsi="仿宋" w:eastAsia="仿宋" w:cs="仿宋"/>
        </w:rPr>
        <w:t xml:space="preserve">1.我方具有良好的商业信誉和健全的财务会计制度，具有履行合同所必需的设备和专业技术能力，具有依法缴纳税收和社会保障金的良好记录，参加本项目采购活动前三年内无重大违法活动记录。 </w:t>
      </w:r>
    </w:p>
    <w:p>
      <w:pPr>
        <w:tabs>
          <w:tab w:val="left" w:pos="6300"/>
        </w:tabs>
        <w:snapToGrid w:val="0"/>
        <w:spacing w:line="500" w:lineRule="exact"/>
        <w:ind w:firstLine="480" w:firstLineChars="200"/>
        <w:rPr>
          <w:rFonts w:ascii="仿宋" w:hAnsi="仿宋" w:eastAsia="仿宋" w:cs="仿宋"/>
        </w:rPr>
      </w:pPr>
      <w:r>
        <w:rPr>
          <w:rFonts w:hint="eastAsia" w:ascii="仿宋" w:hAnsi="仿宋" w:eastAsia="仿宋" w:cs="仿宋"/>
        </w:rPr>
        <w:t xml:space="preserve">2.我方未列入在信用中国网站（www.creditchina.gov.cn）“失信被执行人”、“重大税收违法案件当事人名单”中，也未列入中国政府采购网（www.ccgp.gov.cn）“政府采购严重违法失信行为记录名单”中。 </w:t>
      </w:r>
    </w:p>
    <w:p>
      <w:pPr>
        <w:tabs>
          <w:tab w:val="left" w:pos="6300"/>
        </w:tabs>
        <w:snapToGrid w:val="0"/>
        <w:spacing w:line="500" w:lineRule="exact"/>
        <w:ind w:firstLine="480" w:firstLineChars="200"/>
        <w:rPr>
          <w:rFonts w:ascii="仿宋" w:hAnsi="仿宋" w:eastAsia="仿宋" w:cs="仿宋"/>
        </w:rPr>
      </w:pPr>
      <w:r>
        <w:rPr>
          <w:rFonts w:hint="eastAsia" w:ascii="仿宋" w:hAnsi="仿宋" w:eastAsia="仿宋" w:cs="仿宋"/>
        </w:rPr>
        <w:t>3.我方在采购项目评审（评标）环节结束后，随时接受采购人、采购代理机构的检查验证，配合提供相关证明材料，证明符合《中华人民共和国政府采购法》规定的供应商基本资格条件。我方对以上承诺负全部法律责任。特此承诺。</w:t>
      </w:r>
    </w:p>
    <w:p>
      <w:pPr>
        <w:pStyle w:val="6"/>
        <w:spacing w:after="0"/>
        <w:rPr>
          <w:rFonts w:ascii="仿宋" w:hAnsi="仿宋" w:eastAsia="仿宋"/>
        </w:rPr>
      </w:pPr>
    </w:p>
    <w:p>
      <w:pPr>
        <w:tabs>
          <w:tab w:val="left" w:pos="6300"/>
        </w:tabs>
        <w:snapToGrid w:val="0"/>
        <w:spacing w:line="500" w:lineRule="exact"/>
        <w:ind w:firstLine="480" w:firstLineChars="200"/>
        <w:rPr>
          <w:rFonts w:ascii="仿宋" w:hAnsi="仿宋" w:eastAsia="仿宋" w:cs="仿宋"/>
        </w:rPr>
      </w:pPr>
      <w:r>
        <w:rPr>
          <w:rFonts w:hint="eastAsia" w:ascii="仿宋" w:hAnsi="仿宋" w:eastAsia="仿宋" w:cs="仿宋"/>
        </w:rPr>
        <w:t xml:space="preserve">                                               （供应商公章） </w:t>
      </w:r>
    </w:p>
    <w:p>
      <w:pPr>
        <w:tabs>
          <w:tab w:val="left" w:pos="6300"/>
        </w:tabs>
        <w:snapToGrid w:val="0"/>
        <w:spacing w:line="500" w:lineRule="exact"/>
        <w:ind w:firstLine="480" w:firstLineChars="200"/>
        <w:rPr>
          <w:rFonts w:ascii="仿宋" w:hAnsi="仿宋" w:eastAsia="仿宋" w:cs="仿宋"/>
        </w:rPr>
      </w:pPr>
      <w:r>
        <w:rPr>
          <w:rFonts w:hint="eastAsia" w:ascii="仿宋" w:hAnsi="仿宋" w:eastAsia="仿宋" w:cs="仿宋"/>
        </w:rPr>
        <w:t xml:space="preserve">                                              年     月      日</w:t>
      </w:r>
    </w:p>
    <w:p>
      <w:pPr>
        <w:spacing w:line="360" w:lineRule="auto"/>
        <w:ind w:firstLine="480" w:firstLineChars="200"/>
        <w:rPr>
          <w:rFonts w:ascii="仿宋" w:hAnsi="仿宋" w:eastAsia="仿宋"/>
        </w:rPr>
      </w:pPr>
      <w:r>
        <w:rPr>
          <w:rFonts w:ascii="仿宋" w:hAnsi="仿宋" w:eastAsia="仿宋" w:cs="仿宋"/>
        </w:rPr>
        <w:br w:type="page"/>
      </w:r>
      <w:r>
        <w:rPr>
          <w:rFonts w:hint="eastAsia" w:ascii="仿宋" w:hAnsi="仿宋" w:eastAsia="仿宋"/>
        </w:rPr>
        <w:t>（五）特定资格条件证书或证明文件</w:t>
      </w:r>
    </w:p>
    <w:p>
      <w:pPr>
        <w:rPr>
          <w:rFonts w:ascii="仿宋" w:hAnsi="仿宋" w:eastAsia="仿宋" w:cs="仿宋"/>
        </w:rPr>
      </w:pPr>
      <w:r>
        <w:rPr>
          <w:rFonts w:ascii="仿宋" w:hAnsi="仿宋" w:eastAsia="仿宋" w:cs="仿宋"/>
        </w:rPr>
        <w:br w:type="page"/>
      </w:r>
    </w:p>
    <w:p>
      <w:pPr>
        <w:tabs>
          <w:tab w:val="left" w:pos="6300"/>
        </w:tabs>
        <w:snapToGrid w:val="0"/>
        <w:spacing w:line="500" w:lineRule="exact"/>
        <w:rPr>
          <w:rFonts w:ascii="仿宋" w:hAnsi="仿宋" w:eastAsia="仿宋" w:cs="仿宋"/>
        </w:rPr>
      </w:pPr>
    </w:p>
    <w:p>
      <w:pPr>
        <w:pStyle w:val="5"/>
        <w:spacing w:before="0" w:after="0"/>
        <w:rPr>
          <w:rFonts w:ascii="仿宋" w:hAnsi="仿宋" w:eastAsia="仿宋"/>
          <w:sz w:val="24"/>
          <w:szCs w:val="24"/>
        </w:rPr>
      </w:pPr>
      <w:bookmarkStart w:id="201" w:name="_Toc195108762"/>
      <w:bookmarkStart w:id="202" w:name="_Toc486608281"/>
      <w:bookmarkStart w:id="203" w:name="_Toc29032"/>
      <w:bookmarkStart w:id="204" w:name="_Toc11824"/>
      <w:bookmarkStart w:id="205" w:name="_Toc487204801"/>
      <w:bookmarkStart w:id="206" w:name="_Toc486585244"/>
      <w:r>
        <w:rPr>
          <w:rFonts w:hint="eastAsia" w:ascii="仿宋" w:hAnsi="仿宋" w:eastAsia="仿宋"/>
          <w:sz w:val="24"/>
          <w:szCs w:val="24"/>
        </w:rPr>
        <w:t>五、其他应提供的资料</w:t>
      </w:r>
      <w:bookmarkEnd w:id="201"/>
      <w:bookmarkEnd w:id="202"/>
      <w:bookmarkEnd w:id="203"/>
      <w:bookmarkEnd w:id="204"/>
      <w:bookmarkEnd w:id="205"/>
      <w:bookmarkEnd w:id="206"/>
    </w:p>
    <w:p>
      <w:pPr>
        <w:spacing w:line="380" w:lineRule="exact"/>
        <w:rPr>
          <w:rFonts w:ascii="仿宋" w:hAnsi="仿宋" w:eastAsia="仿宋"/>
        </w:rPr>
      </w:pPr>
      <w:r>
        <w:rPr>
          <w:rFonts w:hint="eastAsia" w:ascii="仿宋" w:hAnsi="仿宋" w:eastAsia="仿宋"/>
        </w:rPr>
        <w:t>（一）其他与项目有关的资料（如有）</w:t>
      </w:r>
    </w:p>
    <w:p>
      <w:pPr>
        <w:spacing w:line="380" w:lineRule="exact"/>
        <w:rPr>
          <w:rFonts w:ascii="仿宋" w:hAnsi="仿宋" w:eastAsia="仿宋"/>
        </w:rPr>
      </w:pPr>
      <w:r>
        <w:rPr>
          <w:rFonts w:hint="eastAsia" w:ascii="仿宋" w:hAnsi="仿宋" w:eastAsia="仿宋"/>
        </w:rPr>
        <w:t>其他与项目有关的资料（自附）：供应商总体情况介绍、其他与本项目有关的资料等。</w:t>
      </w:r>
    </w:p>
    <w:p>
      <w:pPr>
        <w:spacing w:line="380" w:lineRule="exact"/>
        <w:rPr>
          <w:rFonts w:ascii="仿宋" w:hAnsi="仿宋" w:eastAsia="仿宋"/>
        </w:rPr>
      </w:pPr>
    </w:p>
    <w:p>
      <w:pPr>
        <w:spacing w:line="380" w:lineRule="exact"/>
        <w:rPr>
          <w:rFonts w:ascii="仿宋" w:hAnsi="仿宋" w:eastAsia="仿宋"/>
        </w:rPr>
      </w:pPr>
    </w:p>
    <w:p>
      <w:pPr>
        <w:rPr>
          <w:rFonts w:ascii="仿宋" w:hAnsi="仿宋" w:eastAsia="仿宋"/>
        </w:rPr>
      </w:pPr>
    </w:p>
    <w:p>
      <w:pPr>
        <w:rPr>
          <w:rFonts w:ascii="仿宋" w:hAnsi="仿宋" w:eastAsia="仿宋"/>
        </w:rPr>
      </w:pPr>
    </w:p>
    <w:p>
      <w:pPr>
        <w:jc w:val="center"/>
        <w:rPr>
          <w:rFonts w:ascii="仿宋" w:hAnsi="仿宋" w:eastAsia="仿宋"/>
        </w:rPr>
      </w:pPr>
    </w:p>
    <w:p>
      <w:pPr>
        <w:jc w:val="center"/>
        <w:rPr>
          <w:rFonts w:ascii="仿宋" w:hAnsi="仿宋" w:eastAsia="仿宋"/>
        </w:rPr>
      </w:pPr>
    </w:p>
    <w:p>
      <w:pPr>
        <w:jc w:val="center"/>
        <w:rPr>
          <w:rFonts w:ascii="仿宋" w:hAnsi="仿宋" w:eastAsia="仿宋"/>
        </w:rPr>
      </w:pPr>
    </w:p>
    <w:p>
      <w:pPr>
        <w:jc w:val="center"/>
        <w:rPr>
          <w:rFonts w:ascii="仿宋" w:hAnsi="仿宋" w:eastAsia="仿宋"/>
        </w:rPr>
      </w:pPr>
    </w:p>
    <w:p>
      <w:pPr>
        <w:jc w:val="center"/>
        <w:rPr>
          <w:rFonts w:ascii="仿宋" w:hAnsi="仿宋" w:eastAsia="仿宋"/>
        </w:rPr>
      </w:pPr>
    </w:p>
    <w:p>
      <w:pPr>
        <w:jc w:val="center"/>
        <w:rPr>
          <w:rFonts w:ascii="仿宋" w:hAnsi="仿宋" w:eastAsia="仿宋"/>
        </w:rPr>
      </w:pPr>
    </w:p>
    <w:p>
      <w:pPr>
        <w:jc w:val="center"/>
        <w:rPr>
          <w:rFonts w:ascii="仿宋" w:hAnsi="仿宋" w:eastAsia="仿宋"/>
        </w:rPr>
      </w:pPr>
    </w:p>
    <w:p>
      <w:pPr>
        <w:jc w:val="center"/>
        <w:rPr>
          <w:rFonts w:ascii="仿宋" w:hAnsi="仿宋" w:eastAsia="仿宋"/>
        </w:rPr>
      </w:pPr>
      <w:r>
        <w:rPr>
          <w:rFonts w:hint="eastAsia" w:ascii="仿宋" w:hAnsi="仿宋" w:eastAsia="仿宋"/>
        </w:rPr>
        <w:t>（结束）</w:t>
      </w:r>
    </w:p>
    <w:p/>
    <w:sectPr>
      <w:headerReference r:id="rId12" w:type="default"/>
      <w:footerReference r:id="rId13" w:type="default"/>
      <w:pgSz w:w="11907" w:h="16840"/>
      <w:pgMar w:top="1134" w:right="1191" w:bottom="1134" w:left="1304" w:header="454" w:footer="567" w:gutter="0"/>
      <w:pgNumType w:fmt="numberInDash"/>
      <w:cols w:space="720" w:num="1"/>
      <w:docGrid w:linePitch="381"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0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90500" cy="131445"/>
              <wp:effectExtent l="0" t="0" r="0" b="0"/>
              <wp:wrapNone/>
              <wp:docPr id="2" name="文本框 23"/>
              <wp:cNvGraphicFramePr/>
              <a:graphic xmlns:a="http://schemas.openxmlformats.org/drawingml/2006/main">
                <a:graphicData uri="http://schemas.microsoft.com/office/word/2010/wordprocessingShape">
                  <wps:wsp>
                    <wps:cNvSpPr txBox="1"/>
                    <wps:spPr>
                      <a:xfrm>
                        <a:off x="0" y="0"/>
                        <a:ext cx="190500" cy="131445"/>
                      </a:xfrm>
                      <a:prstGeom prst="rect">
                        <a:avLst/>
                      </a:prstGeom>
                      <a:noFill/>
                      <a:ln>
                        <a:noFill/>
                      </a:ln>
                    </wps:spPr>
                    <wps:txbx>
                      <w:txbxContent>
                        <w:p>
                          <w:pPr>
                            <w:pStyle w:val="9"/>
                          </w:pPr>
                          <w:r>
                            <w:fldChar w:fldCharType="begin"/>
                          </w:r>
                          <w:r>
                            <w:instrText xml:space="preserve"> PAGE  \* MERGEFORMAT </w:instrText>
                          </w:r>
                          <w:r>
                            <w:fldChar w:fldCharType="separate"/>
                          </w:r>
                          <w:r>
                            <w:t>- 14 -</w:t>
                          </w:r>
                          <w:r>
                            <w:fldChar w:fldCharType="end"/>
                          </w:r>
                        </w:p>
                      </w:txbxContent>
                    </wps:txbx>
                    <wps:bodyPr wrap="none" lIns="0" tIns="0" rIns="0" bIns="0" upright="1">
                      <a:spAutoFit/>
                    </wps:bodyPr>
                  </wps:wsp>
                </a:graphicData>
              </a:graphic>
            </wp:anchor>
          </w:drawing>
        </mc:Choice>
        <mc:Fallback>
          <w:pict>
            <v:shape id="文本框 23" o:spid="_x0000_s1026" o:spt="202" type="#_x0000_t202" style="position:absolute;left:0pt;margin-top:0pt;height:10.35pt;width:15pt;mso-position-horizontal:center;mso-position-horizontal-relative:margin;mso-wrap-style:none;z-index:251659264;mso-width-relative:page;mso-height-relative:page;" filled="f" stroked="f" coordsize="21600,21600"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KKkUuzQAAAA&#10;AwEAAA8AAAAAAAAAAQAgAAAAIgAAAGRycy9kb3ducmV2LnhtbFBLAQIUABQAAAAIAIdO4kCVOo5d&#10;swEAAEoDAAAOAAAAAAAAAAEAIAAAAB8BAABkcnMvZTJvRG9jLnhtbFBLBQYAAAAABgAGAFkBAABE&#10;BQ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- 14 -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90500" cy="131445"/>
              <wp:effectExtent l="0" t="0" r="0" b="0"/>
              <wp:wrapNone/>
              <wp:docPr id="3" name="文本框 7"/>
              <wp:cNvGraphicFramePr/>
              <a:graphic xmlns:a="http://schemas.openxmlformats.org/drawingml/2006/main">
                <a:graphicData uri="http://schemas.microsoft.com/office/word/2010/wordprocessingShape">
                  <wps:wsp>
                    <wps:cNvSpPr txBox="1"/>
                    <wps:spPr>
                      <a:xfrm>
                        <a:off x="0" y="0"/>
                        <a:ext cx="190500" cy="131445"/>
                      </a:xfrm>
                      <a:prstGeom prst="rect">
                        <a:avLst/>
                      </a:prstGeom>
                      <a:noFill/>
                      <a:ln>
                        <a:noFill/>
                      </a:ln>
                    </wps:spPr>
                    <wps:txbx>
                      <w:txbxContent>
                        <w:p>
                          <w:pPr>
                            <w:pStyle w:val="9"/>
                          </w:pPr>
                          <w:r>
                            <w:fldChar w:fldCharType="begin"/>
                          </w:r>
                          <w:r>
                            <w:instrText xml:space="preserve"> PAGE  \* MERGEFORMAT </w:instrText>
                          </w:r>
                          <w:r>
                            <w:fldChar w:fldCharType="separate"/>
                          </w:r>
                          <w:r>
                            <w:t>- 1 -</w:t>
                          </w:r>
                          <w:r>
                            <w:fldChar w:fldCharType="end"/>
                          </w:r>
                        </w:p>
                      </w:txbxContent>
                    </wps:txbx>
                    <wps:bodyPr wrap="none" lIns="0" tIns="0" rIns="0" bIns="0" upright="1">
                      <a:spAutoFit/>
                    </wps:bodyPr>
                  </wps:wsp>
                </a:graphicData>
              </a:graphic>
            </wp:anchor>
          </w:drawing>
        </mc:Choice>
        <mc:Fallback>
          <w:pict>
            <v:shape id="文本框 7" o:spid="_x0000_s1026" o:spt="202" type="#_x0000_t202" style="position:absolute;left:0pt;margin-top:0pt;height:10.35pt;width:15pt;mso-position-horizontal:center;mso-position-horizontal-relative:margin;mso-wrap-style:none;z-index:251660288;mso-width-relative:page;mso-height-relative:page;" filled="f" stroked="f" coordsize="21600,21600"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KKkUuzQAAAA&#10;AwEAAA8AAAAAAAAAAQAgAAAAIgAAAGRycy9kb3ducmV2LnhtbFBLAQIUABQAAAAIAIdO4kCM5+IO&#10;swEAAEkDAAAOAAAAAAAAAAEAIAAAAB8BAABkcnMvZTJvRG9jLnhtbFBLBQYAAAAABgAGAFkBAABE&#10;BQ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sz w:val="21"/>
        <w:szCs w:val="21"/>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90500" cy="131445"/>
              <wp:effectExtent l="0" t="0" r="0" b="0"/>
              <wp:wrapNone/>
              <wp:docPr id="5" name="文本框 21"/>
              <wp:cNvGraphicFramePr/>
              <a:graphic xmlns:a="http://schemas.openxmlformats.org/drawingml/2006/main">
                <a:graphicData uri="http://schemas.microsoft.com/office/word/2010/wordprocessingShape">
                  <wps:wsp>
                    <wps:cNvSpPr txBox="1"/>
                    <wps:spPr>
                      <a:xfrm>
                        <a:off x="0" y="0"/>
                        <a:ext cx="190500" cy="131445"/>
                      </a:xfrm>
                      <a:prstGeom prst="rect">
                        <a:avLst/>
                      </a:prstGeom>
                      <a:noFill/>
                      <a:ln>
                        <a:noFill/>
                      </a:ln>
                    </wps:spPr>
                    <wps:txbx>
                      <w:txbxContent>
                        <w:p>
                          <w:pPr>
                            <w:pStyle w:val="9"/>
                          </w:pPr>
                          <w:r>
                            <w:fldChar w:fldCharType="begin"/>
                          </w:r>
                          <w:r>
                            <w:instrText xml:space="preserve"> PAGE  \* MERGEFORMAT </w:instrText>
                          </w:r>
                          <w:r>
                            <w:fldChar w:fldCharType="separate"/>
                          </w:r>
                          <w:r>
                            <w:t>- 27 -</w:t>
                          </w:r>
                          <w:r>
                            <w:fldChar w:fldCharType="end"/>
                          </w:r>
                        </w:p>
                      </w:txbxContent>
                    </wps:txbx>
                    <wps:bodyPr wrap="none" lIns="0" tIns="0" rIns="0" bIns="0" upright="1">
                      <a:spAutoFit/>
                    </wps:bodyPr>
                  </wps:wsp>
                </a:graphicData>
              </a:graphic>
            </wp:anchor>
          </w:drawing>
        </mc:Choice>
        <mc:Fallback>
          <w:pict>
            <v:shape id="文本框 21" o:spid="_x0000_s1026" o:spt="202" type="#_x0000_t202" style="position:absolute;left:0pt;margin-top:0pt;height:10.35pt;width:15pt;mso-position-horizontal:center;mso-position-horizontal-relative:margin;mso-wrap-style:none;z-index:251662336;mso-width-relative:page;mso-height-relative:page;" filled="f" stroked="f" coordsize="21600,21600"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KKkUuzQAAAA&#10;AwEAAA8AAAAAAAAAAQAgAAAAIgAAAGRycy9kb3ducmV2LnhtbFBLAQIUABQAAAAIAIdO4kCInv0n&#10;swEAAEoDAAAOAAAAAAAAAAEAIAAAAB8BAABkcnMvZTJvRG9jLnhtbFBLBQYAAAAABgAGAFkBAABE&#10;BQ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- 27 -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sz w:val="21"/>
        <w:szCs w:val="21"/>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90500" cy="131445"/>
              <wp:effectExtent l="0" t="0" r="0" b="0"/>
              <wp:wrapNone/>
              <wp:docPr id="4" name="文本框 19"/>
              <wp:cNvGraphicFramePr/>
              <a:graphic xmlns:a="http://schemas.openxmlformats.org/drawingml/2006/main">
                <a:graphicData uri="http://schemas.microsoft.com/office/word/2010/wordprocessingShape">
                  <wps:wsp>
                    <wps:cNvSpPr txBox="1"/>
                    <wps:spPr>
                      <a:xfrm>
                        <a:off x="0" y="0"/>
                        <a:ext cx="190500" cy="131445"/>
                      </a:xfrm>
                      <a:prstGeom prst="rect">
                        <a:avLst/>
                      </a:prstGeom>
                      <a:noFill/>
                      <a:ln>
                        <a:noFill/>
                      </a:ln>
                    </wps:spPr>
                    <wps:txbx>
                      <w:txbxContent>
                        <w:p>
                          <w:pPr>
                            <w:pStyle w:val="9"/>
                          </w:pPr>
                          <w:r>
                            <w:fldChar w:fldCharType="begin"/>
                          </w:r>
                          <w:r>
                            <w:instrText xml:space="preserve"> PAGE  \* MERGEFORMAT </w:instrText>
                          </w:r>
                          <w:r>
                            <w:fldChar w:fldCharType="separate"/>
                          </w:r>
                          <w:r>
                            <w:t>- 45 -</w:t>
                          </w:r>
                          <w:r>
                            <w:fldChar w:fldCharType="end"/>
                          </w:r>
                        </w:p>
                      </w:txbxContent>
                    </wps:txbx>
                    <wps:bodyPr wrap="none" lIns="0" tIns="0" rIns="0" bIns="0" upright="1">
                      <a:spAutoFit/>
                    </wps:bodyPr>
                  </wps:wsp>
                </a:graphicData>
              </a:graphic>
            </wp:anchor>
          </w:drawing>
        </mc:Choice>
        <mc:Fallback>
          <w:pict>
            <v:shape id="文本框 19" o:spid="_x0000_s1026" o:spt="202" type="#_x0000_t202" style="position:absolute;left:0pt;margin-top:0pt;height:10.35pt;width:15pt;mso-position-horizontal:center;mso-position-horizontal-relative:margin;mso-wrap-style:none;z-index:251661312;mso-width-relative:page;mso-height-relative:page;" filled="f" stroked="f" coordsize="21600,21600"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KKkUuzQAAAA&#10;AwEAAA8AAAAAAAAAAQAgAAAAIgAAAGRycy9kb3ducmV2LnhtbFBLAQIUABQAAAAIAIdO4kDXYoVy&#10;swEAAEoDAAAOAAAAAAAAAAEAIAAAAB8BAABkcnMvZTJvRG9jLnhtbFBLBQYAAAAABgAGAFkBAABE&#10;BQ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- 45 -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left"/>
    </w:pPr>
    <w:r>
      <w:rPr>
        <w:rFonts w:ascii="仿宋" w:hAnsi="仿宋" w:eastAsia="仿宋"/>
      </w:rPr>
      <w:drawing>
        <wp:inline distT="0" distB="0" distL="114300" distR="114300">
          <wp:extent cx="1343660" cy="405130"/>
          <wp:effectExtent l="0" t="0" r="2540" b="1270"/>
          <wp:docPr id="7" name="图片 2" descr="在黑暗中&#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中度可信度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在黑暗中&#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中度可信度描述已自动生成"/>
                  <pic:cNvPicPr>
                    <a:picLocks noChangeAspect="1" noCrop="1"/>
                  </pic:cNvPicPr>
                </pic:nvPicPr>
                <pic:blipFill>
                  <a:blip r:embed="rId1"/>
                  <a:stretch>
                    <a:fillRect/>
                  </a:stretch>
                </pic:blipFill>
                <pic:spPr>
                  <a:xfrm>
                    <a:off x="0" y="0"/>
                    <a:ext cx="1343660" cy="405130"/>
                  </a:xfrm>
                  <a:prstGeom prst="rect">
                    <a:avLst/>
                  </a:prstGeom>
                  <a:noFill/>
                  <a:ln>
                    <a:noFill/>
                  </a:ln>
                </pic:spPr>
              </pic:pic>
            </a:graphicData>
          </a:graphic>
        </wp:inline>
      </w:drawing>
    </w:r>
    <w:r>
      <w:rPr>
        <w:rFonts w:hint="eastAsia" w:ascii="仿宋" w:hAnsi="仿宋" w:eastAsia="仿宋"/>
      </w:rPr>
      <w:t>竞采文件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left"/>
      <w:rPr>
        <w:b/>
        <w:bCs/>
      </w:rPr>
    </w:pPr>
    <w:r>
      <w:rPr>
        <w:rFonts w:ascii="仿宋" w:hAnsi="仿宋" w:eastAsia="仿宋"/>
      </w:rPr>
      <w:drawing>
        <wp:inline distT="0" distB="0" distL="0" distR="0">
          <wp:extent cx="1341755" cy="410210"/>
          <wp:effectExtent l="0" t="0" r="4445" b="8890"/>
          <wp:docPr id="438620574" name="图片 438620574" descr="在黑暗中&#10;&#10;&#10;&#10;&#10;&#10;&#10;&#10;&#10;&#10;&#10;&#10;&#10;&#10;&#10;&#10;&#10;&#10;&#10;&#10;&#10;&#10;&#10;&#10;&#10;&#10;&#10;&#10;&#10;&#10;&#10;&#10;&#10;&#10;&#10;&#10;&#10;&#10;&#10;&#10;&#10;&#10;&#10;&#10;&#10;&#10;&#10;&#10;&#10;&#10;&#10;&#10;&#10;&#10;中度可信度描述已自动生成"/>
          <wp:cNvGraphicFramePr/>
          <a:graphic xmlns:a="http://schemas.openxmlformats.org/drawingml/2006/main">
            <a:graphicData uri="http://schemas.openxmlformats.org/drawingml/2006/picture">
              <pic:pic xmlns:pic="http://schemas.openxmlformats.org/drawingml/2006/picture">
                <pic:nvPicPr>
                  <pic:cNvPr id="438620574" name="图片 438620574" descr="在黑暗中&#10;&#10;&#10;&#10;&#10;&#10;&#10;&#10;&#10;&#10;&#10;&#10;&#10;&#10;&#10;&#10;&#10;&#10;&#10;&#10;&#10;&#10;&#10;&#10;&#10;&#10;&#10;&#10;&#10;&#10;&#10;&#10;&#10;&#10;&#10;&#10;&#10;&#10;&#10;&#10;&#10;&#10;&#10;&#10;&#10;&#10;&#10;&#10;&#10;&#10;&#10;&#10;&#10;&#10;中度可信度描述已自动生成"/>
                  <pic:cNvPicPr/>
                </pic:nvPicPr>
                <pic:blipFill>
                  <a:blip r:embed="rId1">
                    <a:extLst>
                      <a:ext uri="{28A0092B-C50C-407E-A947-70E740481C1C}">
                        <a14:useLocalDpi xmlns:a14="http://schemas.microsoft.com/office/drawing/2010/main" val="0"/>
                      </a:ext>
                    </a:extLst>
                  </a:blip>
                  <a:srcRect/>
                  <a:stretch>
                    <a:fillRect/>
                  </a:stretch>
                </pic:blipFill>
                <pic:spPr>
                  <a:xfrm>
                    <a:off x="0" y="0"/>
                    <a:ext cx="1341755" cy="410210"/>
                  </a:xfrm>
                  <a:prstGeom prst="rect">
                    <a:avLst/>
                  </a:prstGeom>
                  <a:noFill/>
                  <a:ln>
                    <a:noFill/>
                  </a:ln>
                </pic:spPr>
              </pic:pic>
            </a:graphicData>
          </a:graphic>
        </wp:inline>
      </w:drawing>
    </w:r>
    <w:r>
      <w:rPr>
        <w:rFonts w:ascii="仿宋" w:hAnsi="仿宋" w:eastAsia="仿宋"/>
        <w:b/>
        <w:bCs/>
      </w:rPr>
      <w:t xml:space="preserve">                                                       </w:t>
    </w:r>
    <w:r>
      <w:rPr>
        <w:rFonts w:hint="eastAsia" w:ascii="仿宋" w:hAnsi="仿宋" w:eastAsia="仿宋"/>
        <w:b/>
        <w:bCs/>
      </w:rPr>
      <w:t>竞采文件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left"/>
      <w:rPr>
        <w:b/>
        <w:bCs/>
      </w:rPr>
    </w:pPr>
    <w:r>
      <w:rPr>
        <w:rFonts w:ascii="仿宋" w:hAnsi="仿宋" w:eastAsia="仿宋"/>
      </w:rPr>
      <w:drawing>
        <wp:inline distT="0" distB="0" distL="0" distR="0">
          <wp:extent cx="1341755" cy="410210"/>
          <wp:effectExtent l="0" t="0" r="4445" b="8890"/>
          <wp:docPr id="171482072" name="图片 171482072" descr="在黑暗中&#10;&#10;&#10;&#10;&#10;&#10;&#10;&#10;&#10;&#10;&#10;&#10;&#10;&#10;&#10;&#10;&#10;&#10;&#10;&#10;&#10;&#10;&#10;&#10;&#10;&#10;&#10;&#10;&#10;&#10;&#10;&#10;&#10;&#10;&#10;&#10;&#10;&#10;&#10;&#10;&#10;&#10;&#10;&#10;&#10;&#10;&#10;&#10;&#10;&#10;&#10;&#10;&#10;&#10;中度可信度描述已自动生成"/>
          <wp:cNvGraphicFramePr/>
          <a:graphic xmlns:a="http://schemas.openxmlformats.org/drawingml/2006/main">
            <a:graphicData uri="http://schemas.openxmlformats.org/drawingml/2006/picture">
              <pic:pic xmlns:pic="http://schemas.openxmlformats.org/drawingml/2006/picture">
                <pic:nvPicPr>
                  <pic:cNvPr id="171482072" name="图片 171482072" descr="在黑暗中&#10;&#10;&#10;&#10;&#10;&#10;&#10;&#10;&#10;&#10;&#10;&#10;&#10;&#10;&#10;&#10;&#10;&#10;&#10;&#10;&#10;&#10;&#10;&#10;&#10;&#10;&#10;&#10;&#10;&#10;&#10;&#10;&#10;&#10;&#10;&#10;&#10;&#10;&#10;&#10;&#10;&#10;&#10;&#10;&#10;&#10;&#10;&#10;&#10;&#10;&#10;&#10;&#10;&#10;中度可信度描述已自动生成"/>
                  <pic:cNvPicPr/>
                </pic:nvPicPr>
                <pic:blipFill>
                  <a:blip r:embed="rId1">
                    <a:extLst>
                      <a:ext uri="{28A0092B-C50C-407E-A947-70E740481C1C}">
                        <a14:useLocalDpi xmlns:a14="http://schemas.microsoft.com/office/drawing/2010/main" val="0"/>
                      </a:ext>
                    </a:extLst>
                  </a:blip>
                  <a:srcRect/>
                  <a:stretch>
                    <a:fillRect/>
                  </a:stretch>
                </pic:blipFill>
                <pic:spPr>
                  <a:xfrm>
                    <a:off x="0" y="0"/>
                    <a:ext cx="1341755" cy="410210"/>
                  </a:xfrm>
                  <a:prstGeom prst="rect">
                    <a:avLst/>
                  </a:prstGeom>
                  <a:noFill/>
                  <a:ln>
                    <a:noFill/>
                  </a:ln>
                </pic:spPr>
              </pic:pic>
            </a:graphicData>
          </a:graphic>
        </wp:inline>
      </w:drawing>
    </w:r>
    <w:r>
      <w:rPr>
        <w:rFonts w:hint="eastAsia" w:ascii="仿宋" w:hAnsi="仿宋" w:eastAsia="仿宋"/>
        <w:b/>
        <w:bCs/>
      </w:rPr>
      <w:t>竞采文件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left"/>
      <w:rPr>
        <w:b/>
        <w:bCs/>
      </w:rPr>
    </w:pPr>
    <w:r>
      <w:rPr>
        <w:rFonts w:ascii="仿宋" w:hAnsi="仿宋" w:eastAsia="仿宋"/>
      </w:rPr>
      <w:drawing>
        <wp:inline distT="0" distB="0" distL="0" distR="0">
          <wp:extent cx="1341755" cy="410210"/>
          <wp:effectExtent l="0" t="0" r="4445" b="8890"/>
          <wp:docPr id="177157119" name="图片 177157119" descr="在黑暗中&#10;&#10;&#10;&#10;&#10;&#10;&#10;&#10;&#10;&#10;&#10;&#10;&#10;&#10;&#10;&#10;&#10;&#10;&#10;&#10;&#10;&#10;&#10;&#10;&#10;&#10;&#10;&#10;&#10;&#10;&#10;&#10;&#10;&#10;&#10;&#10;&#10;&#10;&#10;&#10;&#10;&#10;&#10;&#10;&#10;&#10;&#10;&#10;&#10;&#10;&#10;&#10;&#10;&#10;中度可信度描述已自动生成"/>
          <wp:cNvGraphicFramePr/>
          <a:graphic xmlns:a="http://schemas.openxmlformats.org/drawingml/2006/main">
            <a:graphicData uri="http://schemas.openxmlformats.org/drawingml/2006/picture">
              <pic:pic xmlns:pic="http://schemas.openxmlformats.org/drawingml/2006/picture">
                <pic:nvPicPr>
                  <pic:cNvPr id="177157119" name="图片 177157119" descr="在黑暗中&#10;&#10;&#10;&#10;&#10;&#10;&#10;&#10;&#10;&#10;&#10;&#10;&#10;&#10;&#10;&#10;&#10;&#10;&#10;&#10;&#10;&#10;&#10;&#10;&#10;&#10;&#10;&#10;&#10;&#10;&#10;&#10;&#10;&#10;&#10;&#10;&#10;&#10;&#10;&#10;&#10;&#10;&#10;&#10;&#10;&#10;&#10;&#10;&#10;&#10;&#10;&#10;&#10;&#10;中度可信度描述已自动生成"/>
                  <pic:cNvPicPr/>
                </pic:nvPicPr>
                <pic:blipFill>
                  <a:blip r:embed="rId1">
                    <a:extLst>
                      <a:ext uri="{28A0092B-C50C-407E-A947-70E740481C1C}">
                        <a14:useLocalDpi xmlns:a14="http://schemas.microsoft.com/office/drawing/2010/main" val="0"/>
                      </a:ext>
                    </a:extLst>
                  </a:blip>
                  <a:srcRect/>
                  <a:stretch>
                    <a:fillRect/>
                  </a:stretch>
                </pic:blipFill>
                <pic:spPr>
                  <a:xfrm>
                    <a:off x="0" y="0"/>
                    <a:ext cx="1341755" cy="410210"/>
                  </a:xfrm>
                  <a:prstGeom prst="rect">
                    <a:avLst/>
                  </a:prstGeom>
                  <a:noFill/>
                  <a:ln>
                    <a:noFill/>
                  </a:ln>
                </pic:spPr>
              </pic:pic>
            </a:graphicData>
          </a:graphic>
        </wp:inline>
      </w:drawing>
    </w:r>
    <w:r>
      <w:rPr>
        <w:rFonts w:ascii="仿宋" w:hAnsi="仿宋" w:eastAsia="仿宋"/>
        <w:b/>
        <w:bCs/>
      </w:rPr>
      <w:t xml:space="preserve">                                                                        </w:t>
    </w:r>
    <w:r>
      <w:rPr>
        <w:rFonts w:hint="eastAsia" w:ascii="仿宋" w:hAnsi="仿宋" w:eastAsia="仿宋"/>
        <w:b/>
        <w:bCs/>
      </w:rPr>
      <w:t>竞采文件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left"/>
      <w:rPr>
        <w:b/>
        <w:bCs/>
      </w:rPr>
    </w:pPr>
    <w:r>
      <w:rPr>
        <w:rFonts w:ascii="仿宋" w:hAnsi="仿宋" w:eastAsia="仿宋"/>
      </w:rPr>
      <w:drawing>
        <wp:inline distT="0" distB="0" distL="0" distR="0">
          <wp:extent cx="1341755" cy="410210"/>
          <wp:effectExtent l="0" t="0" r="4445" b="8890"/>
          <wp:docPr id="676771257" name="图片 676771257" descr="在黑暗中&#10;&#10;&#10;&#10;&#10;&#10;&#10;&#10;&#10;&#10;&#10;&#10;&#10;&#10;&#10;&#10;&#10;&#10;&#10;&#10;&#10;&#10;&#10;&#10;&#10;&#10;&#10;&#10;&#10;&#10;&#10;&#10;&#10;&#10;&#10;&#10;&#10;&#10;&#10;&#10;&#10;&#10;&#10;&#10;&#10;&#10;&#10;&#10;&#10;&#10;&#10;&#10;&#10;&#10;中度可信度描述已自动生成"/>
          <wp:cNvGraphicFramePr/>
          <a:graphic xmlns:a="http://schemas.openxmlformats.org/drawingml/2006/main">
            <a:graphicData uri="http://schemas.openxmlformats.org/drawingml/2006/picture">
              <pic:pic xmlns:pic="http://schemas.openxmlformats.org/drawingml/2006/picture">
                <pic:nvPicPr>
                  <pic:cNvPr id="676771257" name="图片 676771257" descr="在黑暗中&#10;&#10;&#10;&#10;&#10;&#10;&#10;&#10;&#10;&#10;&#10;&#10;&#10;&#10;&#10;&#10;&#10;&#10;&#10;&#10;&#10;&#10;&#10;&#10;&#10;&#10;&#10;&#10;&#10;&#10;&#10;&#10;&#10;&#10;&#10;&#10;&#10;&#10;&#10;&#10;&#10;&#10;&#10;&#10;&#10;&#10;&#10;&#10;&#10;&#10;&#10;&#10;&#10;&#10;中度可信度描述已自动生成"/>
                  <pic:cNvPicPr/>
                </pic:nvPicPr>
                <pic:blipFill>
                  <a:blip r:embed="rId1">
                    <a:extLst>
                      <a:ext uri="{28A0092B-C50C-407E-A947-70E740481C1C}">
                        <a14:useLocalDpi xmlns:a14="http://schemas.microsoft.com/office/drawing/2010/main" val="0"/>
                      </a:ext>
                    </a:extLst>
                  </a:blip>
                  <a:srcRect/>
                  <a:stretch>
                    <a:fillRect/>
                  </a:stretch>
                </pic:blipFill>
                <pic:spPr>
                  <a:xfrm>
                    <a:off x="0" y="0"/>
                    <a:ext cx="1341755" cy="410210"/>
                  </a:xfrm>
                  <a:prstGeom prst="rect">
                    <a:avLst/>
                  </a:prstGeom>
                  <a:noFill/>
                  <a:ln>
                    <a:noFill/>
                  </a:ln>
                </pic:spPr>
              </pic:pic>
            </a:graphicData>
          </a:graphic>
        </wp:inline>
      </w:drawing>
    </w:r>
    <w:r>
      <w:rPr>
        <w:rFonts w:ascii="仿宋" w:hAnsi="仿宋" w:eastAsia="仿宋"/>
        <w:b/>
        <w:bCs/>
      </w:rPr>
      <w:t xml:space="preserve">                                                                  </w:t>
    </w:r>
    <w:r>
      <w:rPr>
        <w:rFonts w:hint="eastAsia" w:ascii="仿宋" w:hAnsi="仿宋" w:eastAsia="仿宋"/>
        <w:b/>
        <w:bCs/>
      </w:rPr>
      <w:t>竞采文件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left"/>
      <w:rPr>
        <w:b/>
        <w:bCs/>
      </w:rPr>
    </w:pPr>
    <w:r>
      <w:rPr>
        <w:rFonts w:ascii="仿宋" w:hAnsi="仿宋" w:eastAsia="仿宋"/>
      </w:rPr>
      <w:drawing>
        <wp:inline distT="0" distB="0" distL="0" distR="0">
          <wp:extent cx="1341755" cy="410210"/>
          <wp:effectExtent l="0" t="0" r="4445" b="8890"/>
          <wp:docPr id="1242348610" name="图片 1242348610" descr="在黑暗中&#10;&#10;&#10;&#10;&#10;&#10;&#10;&#10;&#10;&#10;&#10;&#10;&#10;&#10;&#10;&#10;&#10;&#10;&#10;&#10;&#10;&#10;&#10;&#10;&#10;&#10;&#10;&#10;&#10;&#10;&#10;&#10;&#10;&#10;&#10;&#10;&#10;&#10;&#10;&#10;&#10;&#10;&#10;&#10;&#10;&#10;&#10;&#10;&#10;&#10;&#10;&#10;&#10;&#10;中度可信度描述已自动生成"/>
          <wp:cNvGraphicFramePr/>
          <a:graphic xmlns:a="http://schemas.openxmlformats.org/drawingml/2006/main">
            <a:graphicData uri="http://schemas.openxmlformats.org/drawingml/2006/picture">
              <pic:pic xmlns:pic="http://schemas.openxmlformats.org/drawingml/2006/picture">
                <pic:nvPicPr>
                  <pic:cNvPr id="1242348610" name="图片 1242348610" descr="在黑暗中&#10;&#10;&#10;&#10;&#10;&#10;&#10;&#10;&#10;&#10;&#10;&#10;&#10;&#10;&#10;&#10;&#10;&#10;&#10;&#10;&#10;&#10;&#10;&#10;&#10;&#10;&#10;&#10;&#10;&#10;&#10;&#10;&#10;&#10;&#10;&#10;&#10;&#10;&#10;&#10;&#10;&#10;&#10;&#10;&#10;&#10;&#10;&#10;&#10;&#10;&#10;&#10;&#10;&#10;中度可信度描述已自动生成"/>
                  <pic:cNvPicPr/>
                </pic:nvPicPr>
                <pic:blipFill>
                  <a:blip r:embed="rId1">
                    <a:extLst>
                      <a:ext uri="{28A0092B-C50C-407E-A947-70E740481C1C}">
                        <a14:useLocalDpi xmlns:a14="http://schemas.microsoft.com/office/drawing/2010/main" val="0"/>
                      </a:ext>
                    </a:extLst>
                  </a:blip>
                  <a:srcRect/>
                  <a:stretch>
                    <a:fillRect/>
                  </a:stretch>
                </pic:blipFill>
                <pic:spPr>
                  <a:xfrm>
                    <a:off x="0" y="0"/>
                    <a:ext cx="1341755" cy="410210"/>
                  </a:xfrm>
                  <a:prstGeom prst="rect">
                    <a:avLst/>
                  </a:prstGeom>
                  <a:noFill/>
                  <a:ln>
                    <a:noFill/>
                  </a:ln>
                </pic:spPr>
              </pic:pic>
            </a:graphicData>
          </a:graphic>
        </wp:inline>
      </w:drawing>
    </w:r>
    <w:r>
      <w:rPr>
        <w:rFonts w:ascii="仿宋" w:hAnsi="仿宋" w:eastAsia="仿宋"/>
        <w:b/>
        <w:bCs/>
      </w:rPr>
      <w:t xml:space="preserve">                                                                   </w:t>
    </w:r>
    <w:r>
      <w:rPr>
        <w:rFonts w:hint="eastAsia" w:ascii="仿宋" w:hAnsi="仿宋" w:eastAsia="仿宋"/>
        <w:b/>
        <w:bCs/>
      </w:rPr>
      <w:t>竞采文件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465976"/>
    <w:rsid w:val="01F9317F"/>
    <w:rsid w:val="09AD433E"/>
    <w:rsid w:val="0B465976"/>
    <w:rsid w:val="1C42449A"/>
    <w:rsid w:val="32546749"/>
    <w:rsid w:val="50BB71BC"/>
    <w:rsid w:val="7E0C09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160" w:line="278" w:lineRule="auto"/>
    </w:pPr>
    <w:rPr>
      <w:rFonts w:ascii="宋体" w:hAnsi="宋体" w:eastAsia="宋体" w:cs="宋体"/>
      <w:sz w:val="24"/>
      <w:szCs w:val="24"/>
      <w:lang w:val="en-US" w:eastAsia="zh-CN" w:bidi="ar-SA"/>
    </w:rPr>
  </w:style>
  <w:style w:type="paragraph" w:styleId="4">
    <w:name w:val="heading 2"/>
    <w:basedOn w:val="1"/>
    <w:next w:val="1"/>
    <w:qFormat/>
    <w:uiPriority w:val="99"/>
    <w:pPr>
      <w:keepNext/>
      <w:keepLines/>
      <w:spacing w:before="260" w:after="260" w:line="415" w:lineRule="auto"/>
      <w:outlineLvl w:val="1"/>
    </w:pPr>
    <w:rPr>
      <w:rFonts w:ascii="Cambria" w:hAnsi="Cambria" w:cs="Times New Roman"/>
      <w:b/>
      <w:bCs/>
      <w:sz w:val="32"/>
      <w:szCs w:val="32"/>
    </w:rPr>
  </w:style>
  <w:style w:type="paragraph" w:styleId="5">
    <w:name w:val="heading 3"/>
    <w:basedOn w:val="1"/>
    <w:next w:val="1"/>
    <w:qFormat/>
    <w:uiPriority w:val="0"/>
    <w:pPr>
      <w:keepNext/>
      <w:keepLines/>
      <w:spacing w:before="260" w:after="260" w:line="415" w:lineRule="auto"/>
      <w:outlineLvl w:val="2"/>
    </w:pPr>
    <w:rPr>
      <w:rFonts w:ascii="Times New Roman" w:hAnsi="Times New Roman" w:cs="Times New Roman"/>
      <w:b/>
      <w:bCs/>
      <w:sz w:val="32"/>
      <w:szCs w:val="32"/>
    </w:rPr>
  </w:style>
  <w:style w:type="character" w:default="1" w:styleId="14">
    <w:name w:val="Default Paragraph Font"/>
    <w:semiHidden/>
    <w:qFormat/>
    <w:uiPriority w:val="0"/>
  </w:style>
  <w:style w:type="table" w:default="1" w:styleId="13">
    <w:name w:val="Normal Table"/>
    <w:semiHidden/>
    <w:qFormat/>
    <w:uiPriority w:val="0"/>
    <w:tblPr>
      <w:tblLayout w:type="fixed"/>
      <w:tblCellMar>
        <w:top w:w="0" w:type="dxa"/>
        <w:left w:w="108" w:type="dxa"/>
        <w:bottom w:w="0" w:type="dxa"/>
        <w:right w:w="108" w:type="dxa"/>
      </w:tblCellMar>
    </w:tblPr>
  </w:style>
  <w:style w:type="paragraph" w:styleId="2">
    <w:name w:val="Body Text First Indent 2"/>
    <w:basedOn w:val="3"/>
    <w:qFormat/>
    <w:uiPriority w:val="0"/>
    <w:pPr>
      <w:spacing w:after="120" w:line="240" w:lineRule="auto"/>
      <w:ind w:left="420" w:leftChars="200" w:firstLine="420" w:firstLineChars="200"/>
    </w:pPr>
  </w:style>
  <w:style w:type="paragraph" w:styleId="3">
    <w:name w:val="Body Text Indent"/>
    <w:basedOn w:val="1"/>
    <w:qFormat/>
    <w:uiPriority w:val="99"/>
    <w:pPr>
      <w:spacing w:line="700" w:lineRule="exact"/>
      <w:ind w:left="960"/>
    </w:pPr>
    <w:rPr>
      <w:rFonts w:ascii="Times New Roman" w:hAnsi="Times New Roman" w:cs="Times New Roman"/>
      <w:sz w:val="20"/>
      <w:szCs w:val="20"/>
    </w:rPr>
  </w:style>
  <w:style w:type="paragraph" w:styleId="6">
    <w:name w:val="Body Text"/>
    <w:basedOn w:val="1"/>
    <w:next w:val="3"/>
    <w:unhideWhenUsed/>
    <w:qFormat/>
    <w:uiPriority w:val="99"/>
    <w:pPr>
      <w:spacing w:after="120"/>
    </w:pPr>
    <w:rPr>
      <w:rFonts w:ascii="Times New Roman" w:hAnsi="Times New Roman" w:cs="Times New Roman"/>
      <w:kern w:val="2"/>
      <w:sz w:val="28"/>
      <w:szCs w:val="28"/>
    </w:rPr>
  </w:style>
  <w:style w:type="paragraph" w:styleId="7">
    <w:name w:val="toc 3"/>
    <w:basedOn w:val="1"/>
    <w:next w:val="1"/>
    <w:qFormat/>
    <w:uiPriority w:val="39"/>
    <w:pPr>
      <w:tabs>
        <w:tab w:val="right" w:leader="dot" w:pos="8303"/>
      </w:tabs>
      <w:spacing w:line="540" w:lineRule="exact"/>
      <w:ind w:left="1120" w:leftChars="400"/>
    </w:pPr>
  </w:style>
  <w:style w:type="paragraph" w:styleId="8">
    <w:name w:val="Date"/>
    <w:basedOn w:val="1"/>
    <w:next w:val="1"/>
    <w:qFormat/>
    <w:uiPriority w:val="0"/>
    <w:rPr>
      <w:rFonts w:ascii="Times New Roman" w:hAnsi="Times New Roman" w:cs="Times New Roman"/>
      <w:sz w:val="20"/>
      <w:szCs w:val="20"/>
    </w:rPr>
  </w:style>
  <w:style w:type="paragraph" w:styleId="9">
    <w:name w:val="footer"/>
    <w:basedOn w:val="1"/>
    <w:qFormat/>
    <w:uiPriority w:val="0"/>
    <w:pPr>
      <w:tabs>
        <w:tab w:val="center" w:pos="4153"/>
        <w:tab w:val="right" w:pos="8306"/>
      </w:tabs>
      <w:snapToGrid w:val="0"/>
    </w:pPr>
    <w:rPr>
      <w:rFonts w:ascii="Times New Roman" w:hAnsi="Times New Roman" w:cs="Times New Roman"/>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styleId="11">
    <w:name w:val="toc 1"/>
    <w:basedOn w:val="1"/>
    <w:next w:val="1"/>
    <w:qFormat/>
    <w:uiPriority w:val="39"/>
    <w:pPr>
      <w:tabs>
        <w:tab w:val="right" w:leader="dot" w:pos="8303"/>
      </w:tabs>
      <w:spacing w:line="300" w:lineRule="exact"/>
    </w:pPr>
    <w:rPr>
      <w:rFonts w:ascii="仿宋_GB2312" w:hAnsi="华文中宋" w:eastAsia="仿宋_GB2312" w:cs="仿宋_GB2312"/>
      <w:b/>
      <w:bCs/>
    </w:rPr>
  </w:style>
  <w:style w:type="paragraph" w:styleId="12">
    <w:name w:val="toc 2"/>
    <w:basedOn w:val="1"/>
    <w:next w:val="1"/>
    <w:qFormat/>
    <w:uiPriority w:val="39"/>
    <w:pPr>
      <w:tabs>
        <w:tab w:val="right" w:leader="dot" w:pos="8303"/>
      </w:tabs>
      <w:spacing w:line="360" w:lineRule="auto"/>
      <w:ind w:left="278"/>
    </w:pPr>
    <w:rPr>
      <w:rFonts w:ascii="仿宋_GB2312" w:hAnsi="华文中宋" w:eastAsia="仿宋_GB2312" w:cs="仿宋_GB2312"/>
    </w:rPr>
  </w:style>
  <w:style w:type="character" w:styleId="15">
    <w:name w:val="Hyperlink"/>
    <w:qFormat/>
    <w:uiPriority w:val="99"/>
    <w:rPr>
      <w:rFonts w:cs="Times New Roman"/>
      <w:color w:val="0000FF"/>
      <w:u w:val="single"/>
    </w:rPr>
  </w:style>
  <w:style w:type="paragraph" w:customStyle="1" w:styleId="16">
    <w:name w:val="正文缩进1"/>
    <w:basedOn w:val="1"/>
    <w:next w:val="17"/>
    <w:qFormat/>
    <w:uiPriority w:val="0"/>
    <w:pPr>
      <w:widowControl w:val="0"/>
      <w:spacing w:line="360" w:lineRule="auto"/>
      <w:ind w:firstLine="420"/>
      <w:jc w:val="both"/>
    </w:pPr>
    <w:rPr>
      <w:rFonts w:ascii="Times New Roman"/>
    </w:rPr>
  </w:style>
  <w:style w:type="paragraph" w:customStyle="1" w:styleId="17">
    <w:name w:val="目录 21"/>
    <w:basedOn w:val="1"/>
    <w:next w:val="1"/>
    <w:qFormat/>
    <w:uiPriority w:val="0"/>
    <w:pPr>
      <w:widowControl w:val="0"/>
      <w:spacing w:line="440" w:lineRule="exact"/>
      <w:ind w:left="280"/>
      <w:jc w:val="both"/>
    </w:pPr>
    <w:rPr>
      <w:rFonts w:ascii="Times New Roman"/>
      <w:sz w:val="28"/>
    </w:rPr>
  </w:style>
  <w:style w:type="character" w:customStyle="1" w:styleId="18">
    <w:name w:val="标题 2 字符"/>
    <w:basedOn w:val="14"/>
    <w:qFormat/>
    <w:uiPriority w:val="99"/>
    <w:rPr>
      <w:rFonts w:ascii="Cambria" w:hAnsi="Cambria" w:eastAsia="宋体" w:cs="Times New Roman"/>
      <w:b/>
      <w:bCs/>
      <w:kern w:val="0"/>
      <w:sz w:val="32"/>
      <w:szCs w:val="32"/>
    </w:rPr>
  </w:style>
  <w:style w:type="paragraph" w:customStyle="1" w:styleId="19">
    <w:name w:val="图例"/>
    <w:basedOn w:val="1"/>
    <w:qFormat/>
    <w:uiPriority w:val="0"/>
    <w:pPr>
      <w:spacing w:before="120" w:after="120" w:line="360" w:lineRule="auto"/>
      <w:jc w:val="center"/>
    </w:pPr>
    <w:rPr>
      <w:rFonts w:eastAsia="仿宋_GB2312"/>
      <w:b/>
    </w:rPr>
  </w:style>
  <w:style w:type="paragraph" w:customStyle="1" w:styleId="20">
    <w:name w:val="样式 (中文) 仿宋_GB2312 小四 行距: 固定值 22 磅"/>
    <w:basedOn w:val="1"/>
    <w:qFormat/>
    <w:uiPriority w:val="0"/>
    <w:pPr>
      <w:spacing w:line="400" w:lineRule="exact"/>
      <w:ind w:firstLine="150" w:firstLineChars="150"/>
    </w:pPr>
    <w:rPr>
      <w:rFonts w:eastAsia="仿宋_GB2312" w:asciiTheme="minorHAnsi" w:hAnsiTheme="minorHAnsi" w:cstheme="minorBidi"/>
      <w:kern w:val="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44</Pages>
  <Words>0</Words>
  <Characters>0</Characters>
  <Lines>0</Lines>
  <Paragraphs>0</Paragraphs>
  <TotalTime>4</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2025-06-10T09:58:00Z</dcterms:created>
  <dc:creator>重庆鼎谋律所(梁平)-向律师</dc:creator>
  <cp:lastModifiedBy>Administrator</cp:lastModifiedBy>
  <dcterms:modified xsi:type="dcterms:W3CDTF">2025-06-18T09:46:12Z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5D5186AF82F84DA597D556499896AA95_11</vt:lpwstr>
  </property>
  <property fmtid="{D5CDD505-2E9C-101B-9397-08002B2CF9AE}" pid="4" name="KSOTemplateDocerSaveRecord">
    <vt:lpwstr>eyJoZGlkIjoiN2YzNjBkOTgyNWQ1YTMxYzM3MzMwNWFiODNmOWIzYWMiLCJ1c2VySWQiOiIyOTQ5ODg1MzIifQ==</vt:lpwstr>
  </property>
</Properties>
</file>