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9604">
      <w:pPr>
        <w:tabs>
          <w:tab w:val="left" w:pos="1695"/>
          <w:tab w:val="left" w:pos="3370"/>
          <w:tab w:val="left" w:pos="5555"/>
        </w:tabs>
        <w:autoSpaceDE w:val="0"/>
        <w:autoSpaceDN w:val="0"/>
        <w:adjustRightInd w:val="0"/>
        <w:snapToGrid w:val="0"/>
        <w:spacing w:line="440" w:lineRule="exact"/>
        <w:rPr>
          <w:rFonts w:hint="eastAsia" w:ascii="微软雅黑" w:hAnsi="微软雅黑" w:eastAsia="微软雅黑" w:cs="微软雅黑"/>
          <w:b/>
          <w:kern w:val="0"/>
          <w:sz w:val="24"/>
          <w:highlight w:val="none"/>
        </w:rPr>
      </w:pPr>
    </w:p>
    <w:p w14:paraId="7EE19AC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kern w:val="0"/>
          <w:sz w:val="44"/>
          <w:szCs w:val="44"/>
          <w:highlight w:val="none"/>
        </w:rPr>
      </w:pPr>
      <w:r>
        <w:rPr>
          <w:rFonts w:hint="eastAsia" w:ascii="微软雅黑" w:hAnsi="微软雅黑" w:eastAsia="微软雅黑" w:cs="微软雅黑"/>
          <w:kern w:val="0"/>
          <w:sz w:val="44"/>
          <w:szCs w:val="44"/>
          <w:highlight w:val="none"/>
        </w:rPr>
        <w:t>重庆市涪陵区职业教育中心</w:t>
      </w:r>
    </w:p>
    <w:p w14:paraId="706FAE0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kern w:val="0"/>
          <w:sz w:val="44"/>
          <w:szCs w:val="44"/>
          <w:highlight w:val="none"/>
          <w:lang w:eastAsia="zh-CN"/>
        </w:rPr>
      </w:pPr>
      <w:r>
        <w:rPr>
          <w:rFonts w:hint="eastAsia" w:ascii="微软雅黑" w:hAnsi="微软雅黑" w:eastAsia="微软雅黑" w:cs="微软雅黑"/>
          <w:kern w:val="0"/>
          <w:sz w:val="44"/>
          <w:szCs w:val="44"/>
          <w:highlight w:val="none"/>
        </w:rPr>
        <w:t>国家标准化考场建设视频巡查系统升级改造项目</w:t>
      </w:r>
      <w:r>
        <w:rPr>
          <w:rFonts w:hint="eastAsia" w:ascii="微软雅黑" w:hAnsi="微软雅黑" w:eastAsia="微软雅黑" w:cs="微软雅黑"/>
          <w:kern w:val="0"/>
          <w:sz w:val="44"/>
          <w:szCs w:val="44"/>
          <w:highlight w:val="none"/>
          <w:lang w:eastAsia="zh-CN"/>
        </w:rPr>
        <w:t>（</w:t>
      </w:r>
      <w:r>
        <w:rPr>
          <w:rFonts w:hint="eastAsia" w:ascii="微软雅黑" w:hAnsi="微软雅黑" w:eastAsia="微软雅黑" w:cs="微软雅黑"/>
          <w:kern w:val="0"/>
          <w:sz w:val="44"/>
          <w:szCs w:val="44"/>
          <w:highlight w:val="none"/>
          <w:lang w:val="en-US" w:eastAsia="zh-CN"/>
        </w:rPr>
        <w:t>第二次</w:t>
      </w:r>
      <w:r>
        <w:rPr>
          <w:rFonts w:hint="eastAsia" w:ascii="微软雅黑" w:hAnsi="微软雅黑" w:eastAsia="微软雅黑" w:cs="微软雅黑"/>
          <w:kern w:val="0"/>
          <w:sz w:val="44"/>
          <w:szCs w:val="44"/>
          <w:highlight w:val="none"/>
          <w:lang w:eastAsia="zh-CN"/>
        </w:rPr>
        <w:t>）</w:t>
      </w:r>
    </w:p>
    <w:p w14:paraId="73B452D9">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6BB30FB8">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4CB53D0A">
      <w:pPr>
        <w:autoSpaceDE w:val="0"/>
        <w:autoSpaceDN w:val="0"/>
        <w:adjustRightInd w:val="0"/>
        <w:snapToGrid w:val="0"/>
        <w:jc w:val="center"/>
        <w:rPr>
          <w:rFonts w:hint="eastAsia" w:ascii="微软雅黑" w:hAnsi="微软雅黑" w:eastAsia="微软雅黑" w:cs="微软雅黑"/>
          <w:kern w:val="0"/>
          <w:sz w:val="84"/>
          <w:szCs w:val="44"/>
          <w:highlight w:val="none"/>
        </w:rPr>
      </w:pPr>
      <w:r>
        <w:rPr>
          <w:rFonts w:hint="eastAsia" w:ascii="微软雅黑" w:hAnsi="微软雅黑" w:eastAsia="微软雅黑" w:cs="微软雅黑"/>
          <w:kern w:val="0"/>
          <w:sz w:val="84"/>
          <w:szCs w:val="44"/>
          <w:highlight w:val="none"/>
        </w:rPr>
        <w:t xml:space="preserve">网 上 </w:t>
      </w:r>
      <w:r>
        <w:rPr>
          <w:rFonts w:hint="eastAsia" w:ascii="微软雅黑" w:hAnsi="微软雅黑" w:eastAsia="微软雅黑" w:cs="微软雅黑"/>
          <w:kern w:val="0"/>
          <w:sz w:val="84"/>
          <w:szCs w:val="44"/>
          <w:highlight w:val="none"/>
          <w:lang w:val="en-US" w:eastAsia="zh-CN"/>
        </w:rPr>
        <w:t>询 比</w:t>
      </w:r>
      <w:r>
        <w:rPr>
          <w:rFonts w:hint="eastAsia" w:ascii="微软雅黑" w:hAnsi="微软雅黑" w:eastAsia="微软雅黑" w:cs="微软雅黑"/>
          <w:kern w:val="0"/>
          <w:sz w:val="84"/>
          <w:szCs w:val="44"/>
          <w:highlight w:val="none"/>
        </w:rPr>
        <w:t xml:space="preserve"> 文 件</w:t>
      </w:r>
    </w:p>
    <w:p w14:paraId="02192B17">
      <w:pPr>
        <w:autoSpaceDE w:val="0"/>
        <w:autoSpaceDN w:val="0"/>
        <w:adjustRightInd w:val="0"/>
        <w:snapToGrid w:val="0"/>
        <w:jc w:val="left"/>
        <w:rPr>
          <w:rFonts w:hint="eastAsia" w:ascii="微软雅黑" w:hAnsi="微软雅黑" w:eastAsia="微软雅黑" w:cs="微软雅黑"/>
          <w:kern w:val="0"/>
          <w:sz w:val="10"/>
          <w:szCs w:val="10"/>
          <w:highlight w:val="none"/>
        </w:rPr>
      </w:pPr>
    </w:p>
    <w:p w14:paraId="6FB066CE">
      <w:pPr>
        <w:jc w:val="center"/>
        <w:rPr>
          <w:rFonts w:hint="eastAsia" w:ascii="微软雅黑" w:hAnsi="微软雅黑" w:eastAsia="微软雅黑" w:cs="微软雅黑"/>
          <w:b/>
          <w:kern w:val="0"/>
          <w:sz w:val="24"/>
          <w:highlight w:val="none"/>
        </w:rPr>
      </w:pPr>
    </w:p>
    <w:p w14:paraId="0B9DE974">
      <w:pPr>
        <w:jc w:val="center"/>
        <w:rPr>
          <w:rFonts w:hint="eastAsia" w:ascii="微软雅黑" w:hAnsi="微软雅黑" w:eastAsia="微软雅黑" w:cs="微软雅黑"/>
          <w:b/>
          <w:kern w:val="0"/>
          <w:sz w:val="24"/>
          <w:highlight w:val="none"/>
        </w:rPr>
      </w:pPr>
    </w:p>
    <w:p w14:paraId="07968DA7">
      <w:pPr>
        <w:spacing w:line="440" w:lineRule="exact"/>
        <w:rPr>
          <w:rFonts w:hint="eastAsia" w:ascii="微软雅黑" w:hAnsi="微软雅黑" w:eastAsia="微软雅黑" w:cs="微软雅黑"/>
          <w:b/>
          <w:kern w:val="0"/>
          <w:sz w:val="24"/>
          <w:highlight w:val="none"/>
        </w:rPr>
      </w:pPr>
    </w:p>
    <w:p w14:paraId="7AA20AB3">
      <w:pPr>
        <w:spacing w:line="440" w:lineRule="exact"/>
        <w:rPr>
          <w:rFonts w:hint="eastAsia" w:ascii="微软雅黑" w:hAnsi="微软雅黑" w:eastAsia="微软雅黑" w:cs="微软雅黑"/>
          <w:b/>
          <w:kern w:val="0"/>
          <w:sz w:val="24"/>
          <w:highlight w:val="none"/>
        </w:rPr>
      </w:pPr>
    </w:p>
    <w:p w14:paraId="537A93F7">
      <w:pPr>
        <w:spacing w:line="440" w:lineRule="exact"/>
        <w:rPr>
          <w:rFonts w:hint="eastAsia" w:ascii="微软雅黑" w:hAnsi="微软雅黑" w:eastAsia="微软雅黑" w:cs="微软雅黑"/>
          <w:b/>
          <w:kern w:val="0"/>
          <w:sz w:val="24"/>
          <w:highlight w:val="none"/>
        </w:rPr>
      </w:pPr>
    </w:p>
    <w:p w14:paraId="38437A12">
      <w:pPr>
        <w:pStyle w:val="4"/>
        <w:rPr>
          <w:rFonts w:hint="eastAsia"/>
          <w:highlight w:val="none"/>
        </w:rPr>
      </w:pPr>
    </w:p>
    <w:p w14:paraId="14600740">
      <w:pPr>
        <w:spacing w:line="440" w:lineRule="exact"/>
        <w:rPr>
          <w:rFonts w:hint="eastAsia" w:ascii="微软雅黑" w:hAnsi="微软雅黑" w:eastAsia="微软雅黑" w:cs="微软雅黑"/>
          <w:highlight w:val="none"/>
        </w:rPr>
      </w:pPr>
    </w:p>
    <w:p w14:paraId="62A4EC24">
      <w:pPr>
        <w:tabs>
          <w:tab w:val="left" w:pos="6219"/>
        </w:tabs>
        <w:autoSpaceDE w:val="0"/>
        <w:autoSpaceDN w:val="0"/>
        <w:adjustRightInd w:val="0"/>
        <w:snapToGrid w:val="0"/>
        <w:spacing w:line="440" w:lineRule="exact"/>
        <w:ind w:firstLine="1580" w:firstLineChars="500"/>
        <w:jc w:val="both"/>
        <w:rPr>
          <w:rFonts w:hint="eastAsia" w:ascii="微软雅黑" w:hAnsi="微软雅黑" w:eastAsia="微软雅黑" w:cs="微软雅黑"/>
          <w:spacing w:val="8"/>
          <w:kern w:val="0"/>
          <w:sz w:val="30"/>
          <w:szCs w:val="30"/>
          <w:highlight w:val="none"/>
          <w:u w:val="single"/>
          <w:lang w:eastAsia="zh-CN"/>
        </w:rPr>
      </w:pPr>
      <w:r>
        <w:rPr>
          <w:rFonts w:hint="eastAsia" w:ascii="微软雅黑" w:hAnsi="微软雅黑" w:eastAsia="微软雅黑" w:cs="微软雅黑"/>
          <w:spacing w:val="8"/>
          <w:kern w:val="0"/>
          <w:sz w:val="30"/>
          <w:szCs w:val="30"/>
          <w:highlight w:val="none"/>
        </w:rPr>
        <w:t>采购人：</w:t>
      </w:r>
      <w:r>
        <w:rPr>
          <w:rFonts w:hint="eastAsia" w:ascii="微软雅黑" w:hAnsi="微软雅黑" w:eastAsia="微软雅黑" w:cs="微软雅黑"/>
          <w:spacing w:val="8"/>
          <w:kern w:val="0"/>
          <w:sz w:val="30"/>
          <w:szCs w:val="30"/>
          <w:highlight w:val="none"/>
          <w:u w:val="single"/>
          <w:lang w:eastAsia="zh-CN"/>
        </w:rPr>
        <w:t>重庆市涪陵区职业教育中心</w:t>
      </w:r>
    </w:p>
    <w:p w14:paraId="66143130">
      <w:pPr>
        <w:pStyle w:val="18"/>
        <w:rPr>
          <w:rFonts w:hint="eastAsia" w:ascii="微软雅黑" w:hAnsi="微软雅黑" w:eastAsia="微软雅黑" w:cs="微软雅黑"/>
          <w:highlight w:val="none"/>
          <w:lang w:eastAsia="zh-CN"/>
        </w:rPr>
      </w:pPr>
    </w:p>
    <w:p w14:paraId="65EB73AC">
      <w:pPr>
        <w:rPr>
          <w:rFonts w:hint="eastAsia"/>
          <w:highlight w:val="none"/>
          <w:lang w:eastAsia="zh-CN"/>
        </w:rPr>
      </w:pPr>
    </w:p>
    <w:p w14:paraId="313F7C0C">
      <w:pPr>
        <w:pStyle w:val="18"/>
        <w:rPr>
          <w:rFonts w:hint="eastAsia" w:ascii="微软雅黑" w:hAnsi="微软雅黑" w:eastAsia="微软雅黑" w:cs="微软雅黑"/>
          <w:highlight w:val="none"/>
          <w:lang w:eastAsia="zh-CN"/>
        </w:rPr>
      </w:pPr>
    </w:p>
    <w:p w14:paraId="75880613">
      <w:pPr>
        <w:pStyle w:val="18"/>
        <w:spacing w:line="440" w:lineRule="exact"/>
        <w:jc w:val="center"/>
        <w:rPr>
          <w:rFonts w:hint="eastAsia" w:ascii="微软雅黑" w:hAnsi="微软雅黑" w:eastAsia="微软雅黑" w:cs="微软雅黑"/>
          <w:spacing w:val="8"/>
          <w:kern w:val="0"/>
          <w:sz w:val="30"/>
          <w:szCs w:val="30"/>
          <w:highlight w:val="none"/>
        </w:rPr>
      </w:pPr>
      <w:r>
        <w:rPr>
          <w:rFonts w:hint="eastAsia" w:ascii="微软雅黑" w:hAnsi="微软雅黑" w:eastAsia="微软雅黑" w:cs="微软雅黑"/>
          <w:spacing w:val="8"/>
          <w:kern w:val="0"/>
          <w:sz w:val="30"/>
          <w:szCs w:val="30"/>
          <w:highlight w:val="none"/>
        </w:rPr>
        <w:t>采购代理：</w:t>
      </w:r>
      <w:r>
        <w:rPr>
          <w:rFonts w:hint="eastAsia" w:ascii="微软雅黑" w:hAnsi="微软雅黑" w:eastAsia="微软雅黑" w:cs="微软雅黑"/>
          <w:spacing w:val="8"/>
          <w:kern w:val="0"/>
          <w:sz w:val="30"/>
          <w:szCs w:val="30"/>
          <w:highlight w:val="none"/>
          <w:u w:val="single"/>
        </w:rPr>
        <w:t>中兴铂码工程咨询（重庆）有限公司</w:t>
      </w:r>
    </w:p>
    <w:p w14:paraId="183FA09B">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u w:val="single"/>
        </w:rPr>
      </w:pPr>
    </w:p>
    <w:p w14:paraId="4A7D0F02">
      <w:pPr>
        <w:pStyle w:val="4"/>
        <w:rPr>
          <w:rFonts w:hint="eastAsia"/>
          <w:highlight w:val="none"/>
        </w:rPr>
      </w:pPr>
    </w:p>
    <w:p w14:paraId="51F5E325">
      <w:pPr>
        <w:tabs>
          <w:tab w:val="left" w:pos="3200"/>
          <w:tab w:val="left" w:pos="4320"/>
          <w:tab w:val="left" w:pos="5420"/>
        </w:tabs>
        <w:autoSpaceDE w:val="0"/>
        <w:autoSpaceDN w:val="0"/>
        <w:adjustRightInd w:val="0"/>
        <w:snapToGrid w:val="0"/>
        <w:spacing w:line="440" w:lineRule="exact"/>
        <w:jc w:val="right"/>
        <w:rPr>
          <w:rFonts w:hint="eastAsia" w:ascii="微软雅黑" w:hAnsi="微软雅黑" w:eastAsia="微软雅黑" w:cs="微软雅黑"/>
          <w:kern w:val="0"/>
          <w:sz w:val="30"/>
          <w:szCs w:val="30"/>
          <w:highlight w:val="none"/>
        </w:rPr>
      </w:pPr>
      <w:r>
        <w:rPr>
          <w:rFonts w:hint="eastAsia" w:ascii="微软雅黑" w:hAnsi="微软雅黑" w:eastAsia="微软雅黑" w:cs="微软雅黑"/>
          <w:kern w:val="0"/>
          <w:sz w:val="30"/>
          <w:szCs w:val="30"/>
          <w:highlight w:val="none"/>
          <w:u w:val="single"/>
        </w:rPr>
        <w:t>202</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年</w:t>
      </w:r>
      <w:r>
        <w:rPr>
          <w:rFonts w:hint="eastAsia" w:ascii="微软雅黑" w:hAnsi="微软雅黑" w:eastAsia="微软雅黑" w:cs="微软雅黑"/>
          <w:kern w:val="0"/>
          <w:sz w:val="30"/>
          <w:szCs w:val="30"/>
          <w:highlight w:val="none"/>
          <w:lang w:val="en-US" w:eastAsia="zh-CN"/>
        </w:rPr>
        <w:t>8</w:t>
      </w:r>
      <w:r>
        <w:rPr>
          <w:rFonts w:hint="eastAsia" w:ascii="微软雅黑" w:hAnsi="微软雅黑" w:eastAsia="微软雅黑" w:cs="微软雅黑"/>
          <w:kern w:val="0"/>
          <w:sz w:val="30"/>
          <w:szCs w:val="30"/>
          <w:highlight w:val="none"/>
        </w:rPr>
        <w:t>月</w:t>
      </w:r>
    </w:p>
    <w:p w14:paraId="65023AF1">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pPr>
    </w:p>
    <w:p w14:paraId="14638B9C">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sectPr>
          <w:headerReference r:id="rId3" w:type="default"/>
          <w:footerReference r:id="rId4" w:type="default"/>
          <w:footerReference r:id="rId5" w:type="even"/>
          <w:pgSz w:w="11906" w:h="16838"/>
          <w:pgMar w:top="1418" w:right="1134" w:bottom="1418" w:left="1418" w:header="851" w:footer="1077" w:gutter="0"/>
          <w:pgNumType w:fmt="decimal"/>
          <w:cols w:space="425" w:num="1"/>
          <w:docGrid w:linePitch="312" w:charSpace="0"/>
        </w:sectPr>
      </w:pPr>
    </w:p>
    <w:p w14:paraId="5CAABDC5">
      <w:pPr>
        <w:pStyle w:val="23"/>
        <w:spacing w:line="440" w:lineRule="exact"/>
        <w:ind w:left="0"/>
        <w:jc w:val="center"/>
        <w:rPr>
          <w:rFonts w:hint="eastAsia" w:ascii="微软雅黑" w:hAnsi="微软雅黑" w:eastAsia="微软雅黑" w:cs="微软雅黑"/>
          <w:i w:val="0"/>
          <w:iCs w:val="0"/>
          <w:sz w:val="44"/>
          <w:szCs w:val="44"/>
          <w:highlight w:val="none"/>
        </w:rPr>
      </w:pPr>
    </w:p>
    <w:p w14:paraId="31338006">
      <w:pPr>
        <w:pStyle w:val="23"/>
        <w:spacing w:line="440" w:lineRule="exact"/>
        <w:ind w:left="0"/>
        <w:jc w:val="center"/>
        <w:rPr>
          <w:rFonts w:hint="eastAsia" w:ascii="微软雅黑" w:hAnsi="微软雅黑" w:eastAsia="微软雅黑" w:cs="微软雅黑"/>
          <w:i w:val="0"/>
          <w:iCs w:val="0"/>
          <w:sz w:val="44"/>
          <w:szCs w:val="44"/>
          <w:highlight w:val="none"/>
        </w:rPr>
      </w:pPr>
      <w:r>
        <w:rPr>
          <w:rFonts w:hint="eastAsia" w:ascii="微软雅黑" w:hAnsi="微软雅黑" w:eastAsia="微软雅黑" w:cs="微软雅黑"/>
          <w:i w:val="0"/>
          <w:iCs w:val="0"/>
          <w:sz w:val="44"/>
          <w:szCs w:val="44"/>
          <w:highlight w:val="none"/>
        </w:rPr>
        <w:t>目 录</w:t>
      </w:r>
    </w:p>
    <w:p w14:paraId="38279A48">
      <w:pPr>
        <w:pStyle w:val="32"/>
        <w:tabs>
          <w:tab w:val="right" w:leader="dot" w:pos="9412"/>
        </w:tabs>
        <w:rPr>
          <w:i w:val="0"/>
          <w:iCs w:val="0"/>
          <w:highlight w:val="none"/>
        </w:rPr>
      </w:pPr>
      <w:r>
        <w:rPr>
          <w:rFonts w:hint="eastAsia" w:ascii="微软雅黑" w:hAnsi="微软雅黑" w:eastAsia="微软雅黑" w:cs="微软雅黑"/>
          <w:i w:val="0"/>
          <w:iCs w:val="0"/>
          <w:caps w:val="0"/>
          <w:smallCaps/>
          <w:sz w:val="24"/>
          <w:szCs w:val="24"/>
          <w:highlight w:val="none"/>
        </w:rPr>
        <w:fldChar w:fldCharType="begin"/>
      </w:r>
      <w:r>
        <w:rPr>
          <w:rFonts w:hint="eastAsia" w:ascii="微软雅黑" w:hAnsi="微软雅黑" w:eastAsia="微软雅黑" w:cs="微软雅黑"/>
          <w:i w:val="0"/>
          <w:iCs w:val="0"/>
          <w:caps w:val="0"/>
          <w:smallCaps/>
          <w:sz w:val="24"/>
          <w:szCs w:val="24"/>
          <w:highlight w:val="none"/>
        </w:rPr>
        <w:instrText xml:space="preserve"> TOC \o "1-3" \u </w:instrText>
      </w:r>
      <w:r>
        <w:rPr>
          <w:rFonts w:hint="eastAsia" w:ascii="微软雅黑" w:hAnsi="微软雅黑" w:eastAsia="微软雅黑" w:cs="微软雅黑"/>
          <w:i w:val="0"/>
          <w:iCs w:val="0"/>
          <w:caps w:val="0"/>
          <w:smallCaps/>
          <w:sz w:val="24"/>
          <w:szCs w:val="24"/>
          <w:highlight w:val="none"/>
        </w:rPr>
        <w:fldChar w:fldCharType="separate"/>
      </w:r>
      <w:r>
        <w:rPr>
          <w:rFonts w:hint="eastAsia" w:ascii="微软雅黑" w:hAnsi="微软雅黑" w:eastAsia="微软雅黑" w:cs="微软雅黑"/>
          <w:i w:val="0"/>
          <w:iCs w:val="0"/>
          <w:szCs w:val="36"/>
          <w:highlight w:val="none"/>
        </w:rPr>
        <w:t xml:space="preserve">第一篇  </w:t>
      </w:r>
      <w:r>
        <w:rPr>
          <w:rFonts w:hint="eastAsia" w:ascii="微软雅黑" w:hAnsi="微软雅黑" w:eastAsia="微软雅黑" w:cs="微软雅黑"/>
          <w:i w:val="0"/>
          <w:iCs w:val="0"/>
          <w:szCs w:val="36"/>
          <w:highlight w:val="none"/>
          <w:lang w:eastAsia="zh-CN"/>
        </w:rPr>
        <w:t>网上询比公告</w:t>
      </w:r>
      <w:r>
        <w:rPr>
          <w:i w:val="0"/>
          <w:iCs w:val="0"/>
          <w:highlight w:val="none"/>
        </w:rPr>
        <w:tab/>
      </w:r>
      <w:r>
        <w:rPr>
          <w:i w:val="0"/>
          <w:iCs w:val="0"/>
          <w:highlight w:val="none"/>
        </w:rPr>
        <w:fldChar w:fldCharType="begin"/>
      </w:r>
      <w:r>
        <w:rPr>
          <w:i w:val="0"/>
          <w:iCs w:val="0"/>
          <w:highlight w:val="none"/>
        </w:rPr>
        <w:instrText xml:space="preserve"> PAGEREF _Toc17756 \h </w:instrText>
      </w:r>
      <w:r>
        <w:rPr>
          <w:i w:val="0"/>
          <w:iCs w:val="0"/>
          <w:highlight w:val="none"/>
        </w:rPr>
        <w:fldChar w:fldCharType="separate"/>
      </w:r>
      <w:r>
        <w:rPr>
          <w:i w:val="0"/>
          <w:iCs w:val="0"/>
          <w:highlight w:val="none"/>
        </w:rPr>
        <w:t>2</w:t>
      </w:r>
      <w:r>
        <w:rPr>
          <w:i w:val="0"/>
          <w:iCs w:val="0"/>
          <w:highlight w:val="none"/>
        </w:rPr>
        <w:fldChar w:fldCharType="end"/>
      </w:r>
    </w:p>
    <w:p w14:paraId="784FB60E">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rPr>
        <w:t>一、</w:t>
      </w:r>
      <w:r>
        <w:rPr>
          <w:rFonts w:hint="eastAsia" w:ascii="微软雅黑" w:hAnsi="微软雅黑" w:eastAsia="微软雅黑" w:cs="微软雅黑"/>
          <w:bCs w:val="0"/>
          <w:i w:val="0"/>
          <w:iCs w:val="0"/>
          <w:snapToGrid w:val="0"/>
          <w:w w:val="99"/>
          <w:kern w:val="0"/>
          <w:szCs w:val="24"/>
          <w:highlight w:val="none"/>
          <w:lang w:eastAsia="zh-CN"/>
        </w:rPr>
        <w:t>网上询价</w:t>
      </w:r>
      <w:r>
        <w:rPr>
          <w:rFonts w:hint="eastAsia" w:ascii="微软雅黑" w:hAnsi="微软雅黑" w:eastAsia="微软雅黑" w:cs="微软雅黑"/>
          <w:bCs w:val="0"/>
          <w:i w:val="0"/>
          <w:iCs w:val="0"/>
          <w:snapToGrid w:val="0"/>
          <w:w w:val="99"/>
          <w:kern w:val="0"/>
          <w:szCs w:val="24"/>
          <w:highlight w:val="none"/>
        </w:rPr>
        <w:t>内容</w:t>
      </w:r>
      <w:r>
        <w:rPr>
          <w:i w:val="0"/>
          <w:iCs w:val="0"/>
          <w:highlight w:val="none"/>
        </w:rPr>
        <w:tab/>
      </w:r>
      <w:r>
        <w:rPr>
          <w:i w:val="0"/>
          <w:iCs w:val="0"/>
          <w:highlight w:val="none"/>
        </w:rPr>
        <w:fldChar w:fldCharType="begin"/>
      </w:r>
      <w:r>
        <w:rPr>
          <w:i w:val="0"/>
          <w:iCs w:val="0"/>
          <w:highlight w:val="none"/>
        </w:rPr>
        <w:instrText xml:space="preserve"> PAGEREF _Toc15150 \h </w:instrText>
      </w:r>
      <w:r>
        <w:rPr>
          <w:i w:val="0"/>
          <w:iCs w:val="0"/>
          <w:highlight w:val="none"/>
        </w:rPr>
        <w:fldChar w:fldCharType="separate"/>
      </w:r>
      <w:r>
        <w:rPr>
          <w:i w:val="0"/>
          <w:iCs w:val="0"/>
          <w:highlight w:val="none"/>
        </w:rPr>
        <w:t>2</w:t>
      </w:r>
      <w:r>
        <w:rPr>
          <w:i w:val="0"/>
          <w:iCs w:val="0"/>
          <w:highlight w:val="none"/>
        </w:rPr>
        <w:fldChar w:fldCharType="end"/>
      </w:r>
    </w:p>
    <w:p w14:paraId="5D594778">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rPr>
        <w:t>二、</w:t>
      </w:r>
      <w:r>
        <w:rPr>
          <w:rFonts w:hint="eastAsia" w:ascii="微软雅黑" w:hAnsi="微软雅黑" w:eastAsia="微软雅黑" w:cs="微软雅黑"/>
          <w:bCs w:val="0"/>
          <w:i w:val="0"/>
          <w:iCs w:val="0"/>
          <w:snapToGrid w:val="0"/>
          <w:w w:val="99"/>
          <w:kern w:val="0"/>
          <w:szCs w:val="24"/>
          <w:highlight w:val="none"/>
          <w:lang w:eastAsia="zh-CN"/>
        </w:rPr>
        <w:t>网上询价</w:t>
      </w:r>
      <w:r>
        <w:rPr>
          <w:rFonts w:hint="eastAsia" w:ascii="微软雅黑" w:hAnsi="微软雅黑" w:eastAsia="微软雅黑" w:cs="微软雅黑"/>
          <w:bCs w:val="0"/>
          <w:i w:val="0"/>
          <w:iCs w:val="0"/>
          <w:snapToGrid w:val="0"/>
          <w:w w:val="99"/>
          <w:kern w:val="0"/>
          <w:szCs w:val="24"/>
          <w:highlight w:val="none"/>
        </w:rPr>
        <w:t>资格条件</w:t>
      </w:r>
      <w:r>
        <w:rPr>
          <w:i w:val="0"/>
          <w:iCs w:val="0"/>
          <w:highlight w:val="none"/>
        </w:rPr>
        <w:tab/>
      </w:r>
      <w:r>
        <w:rPr>
          <w:i w:val="0"/>
          <w:iCs w:val="0"/>
          <w:highlight w:val="none"/>
        </w:rPr>
        <w:fldChar w:fldCharType="begin"/>
      </w:r>
      <w:r>
        <w:rPr>
          <w:i w:val="0"/>
          <w:iCs w:val="0"/>
          <w:highlight w:val="none"/>
        </w:rPr>
        <w:instrText xml:space="preserve"> PAGEREF _Toc2628 \h </w:instrText>
      </w:r>
      <w:r>
        <w:rPr>
          <w:i w:val="0"/>
          <w:iCs w:val="0"/>
          <w:highlight w:val="none"/>
        </w:rPr>
        <w:fldChar w:fldCharType="separate"/>
      </w:r>
      <w:r>
        <w:rPr>
          <w:i w:val="0"/>
          <w:iCs w:val="0"/>
          <w:highlight w:val="none"/>
        </w:rPr>
        <w:t>2</w:t>
      </w:r>
      <w:r>
        <w:rPr>
          <w:i w:val="0"/>
          <w:iCs w:val="0"/>
          <w:highlight w:val="none"/>
        </w:rPr>
        <w:fldChar w:fldCharType="end"/>
      </w:r>
    </w:p>
    <w:p w14:paraId="4B6F3418">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三</w:t>
      </w:r>
      <w:r>
        <w:rPr>
          <w:rFonts w:hint="eastAsia" w:ascii="微软雅黑" w:hAnsi="微软雅黑" w:eastAsia="微软雅黑" w:cs="微软雅黑"/>
          <w:bCs w:val="0"/>
          <w:i w:val="0"/>
          <w:iCs w:val="0"/>
          <w:snapToGrid w:val="0"/>
          <w:w w:val="99"/>
          <w:kern w:val="0"/>
          <w:szCs w:val="24"/>
          <w:highlight w:val="none"/>
        </w:rPr>
        <w:t>、</w:t>
      </w:r>
      <w:r>
        <w:rPr>
          <w:rFonts w:hint="eastAsia" w:ascii="微软雅黑" w:hAnsi="微软雅黑" w:eastAsia="微软雅黑" w:cs="微软雅黑"/>
          <w:bCs w:val="0"/>
          <w:i w:val="0"/>
          <w:iCs w:val="0"/>
          <w:snapToGrid w:val="0"/>
          <w:w w:val="99"/>
          <w:kern w:val="0"/>
          <w:szCs w:val="24"/>
          <w:highlight w:val="none"/>
          <w:lang w:eastAsia="zh-CN"/>
        </w:rPr>
        <w:t>询比</w:t>
      </w:r>
      <w:r>
        <w:rPr>
          <w:rFonts w:hint="eastAsia" w:ascii="微软雅黑" w:hAnsi="微软雅黑" w:eastAsia="微软雅黑" w:cs="微软雅黑"/>
          <w:bCs w:val="0"/>
          <w:i w:val="0"/>
          <w:iCs w:val="0"/>
          <w:snapToGrid w:val="0"/>
          <w:w w:val="99"/>
          <w:kern w:val="0"/>
          <w:szCs w:val="24"/>
          <w:highlight w:val="none"/>
        </w:rPr>
        <w:t>有关说明</w:t>
      </w:r>
      <w:r>
        <w:rPr>
          <w:i w:val="0"/>
          <w:iCs w:val="0"/>
          <w:highlight w:val="none"/>
        </w:rPr>
        <w:tab/>
      </w:r>
      <w:r>
        <w:rPr>
          <w:i w:val="0"/>
          <w:iCs w:val="0"/>
          <w:highlight w:val="none"/>
        </w:rPr>
        <w:fldChar w:fldCharType="begin"/>
      </w:r>
      <w:r>
        <w:rPr>
          <w:i w:val="0"/>
          <w:iCs w:val="0"/>
          <w:highlight w:val="none"/>
        </w:rPr>
        <w:instrText xml:space="preserve"> PAGEREF _Toc15185 \h </w:instrText>
      </w:r>
      <w:r>
        <w:rPr>
          <w:i w:val="0"/>
          <w:iCs w:val="0"/>
          <w:highlight w:val="none"/>
        </w:rPr>
        <w:fldChar w:fldCharType="separate"/>
      </w:r>
      <w:r>
        <w:rPr>
          <w:i w:val="0"/>
          <w:iCs w:val="0"/>
          <w:highlight w:val="none"/>
        </w:rPr>
        <w:t>2</w:t>
      </w:r>
      <w:r>
        <w:rPr>
          <w:i w:val="0"/>
          <w:iCs w:val="0"/>
          <w:highlight w:val="none"/>
        </w:rPr>
        <w:fldChar w:fldCharType="end"/>
      </w:r>
    </w:p>
    <w:p w14:paraId="41F9F533">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四、采购项目需落实的政府采购政策</w:t>
      </w:r>
      <w:r>
        <w:rPr>
          <w:i w:val="0"/>
          <w:iCs w:val="0"/>
          <w:highlight w:val="none"/>
        </w:rPr>
        <w:tab/>
      </w:r>
      <w:r>
        <w:rPr>
          <w:i w:val="0"/>
          <w:iCs w:val="0"/>
          <w:highlight w:val="none"/>
        </w:rPr>
        <w:fldChar w:fldCharType="begin"/>
      </w:r>
      <w:r>
        <w:rPr>
          <w:i w:val="0"/>
          <w:iCs w:val="0"/>
          <w:highlight w:val="none"/>
        </w:rPr>
        <w:instrText xml:space="preserve"> PAGEREF _Toc32111 \h </w:instrText>
      </w:r>
      <w:r>
        <w:rPr>
          <w:i w:val="0"/>
          <w:iCs w:val="0"/>
          <w:highlight w:val="none"/>
        </w:rPr>
        <w:fldChar w:fldCharType="separate"/>
      </w:r>
      <w:r>
        <w:rPr>
          <w:i w:val="0"/>
          <w:iCs w:val="0"/>
          <w:highlight w:val="none"/>
        </w:rPr>
        <w:t>3</w:t>
      </w:r>
      <w:r>
        <w:rPr>
          <w:i w:val="0"/>
          <w:iCs w:val="0"/>
          <w:highlight w:val="none"/>
        </w:rPr>
        <w:fldChar w:fldCharType="end"/>
      </w:r>
    </w:p>
    <w:p w14:paraId="1B4D79FD">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五、其它有关规定</w:t>
      </w:r>
      <w:r>
        <w:rPr>
          <w:i w:val="0"/>
          <w:iCs w:val="0"/>
          <w:highlight w:val="none"/>
        </w:rPr>
        <w:tab/>
      </w:r>
      <w:r>
        <w:rPr>
          <w:i w:val="0"/>
          <w:iCs w:val="0"/>
          <w:highlight w:val="none"/>
        </w:rPr>
        <w:fldChar w:fldCharType="begin"/>
      </w:r>
      <w:r>
        <w:rPr>
          <w:i w:val="0"/>
          <w:iCs w:val="0"/>
          <w:highlight w:val="none"/>
        </w:rPr>
        <w:instrText xml:space="preserve"> PAGEREF _Toc26293 \h </w:instrText>
      </w:r>
      <w:r>
        <w:rPr>
          <w:i w:val="0"/>
          <w:iCs w:val="0"/>
          <w:highlight w:val="none"/>
        </w:rPr>
        <w:fldChar w:fldCharType="separate"/>
      </w:r>
      <w:r>
        <w:rPr>
          <w:i w:val="0"/>
          <w:iCs w:val="0"/>
          <w:highlight w:val="none"/>
        </w:rPr>
        <w:t>4</w:t>
      </w:r>
      <w:r>
        <w:rPr>
          <w:i w:val="0"/>
          <w:iCs w:val="0"/>
          <w:highlight w:val="none"/>
        </w:rPr>
        <w:fldChar w:fldCharType="end"/>
      </w:r>
    </w:p>
    <w:p w14:paraId="4EF5772B">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六、联系方式</w:t>
      </w:r>
      <w:r>
        <w:rPr>
          <w:i w:val="0"/>
          <w:iCs w:val="0"/>
          <w:highlight w:val="none"/>
        </w:rPr>
        <w:tab/>
      </w:r>
      <w:r>
        <w:rPr>
          <w:i w:val="0"/>
          <w:iCs w:val="0"/>
          <w:highlight w:val="none"/>
        </w:rPr>
        <w:fldChar w:fldCharType="begin"/>
      </w:r>
      <w:r>
        <w:rPr>
          <w:i w:val="0"/>
          <w:iCs w:val="0"/>
          <w:highlight w:val="none"/>
        </w:rPr>
        <w:instrText xml:space="preserve"> PAGEREF _Toc19889 \h </w:instrText>
      </w:r>
      <w:r>
        <w:rPr>
          <w:i w:val="0"/>
          <w:iCs w:val="0"/>
          <w:highlight w:val="none"/>
        </w:rPr>
        <w:fldChar w:fldCharType="separate"/>
      </w:r>
      <w:r>
        <w:rPr>
          <w:i w:val="0"/>
          <w:iCs w:val="0"/>
          <w:highlight w:val="none"/>
        </w:rPr>
        <w:t>4</w:t>
      </w:r>
      <w:r>
        <w:rPr>
          <w:i w:val="0"/>
          <w:iCs w:val="0"/>
          <w:highlight w:val="none"/>
        </w:rPr>
        <w:fldChar w:fldCharType="end"/>
      </w:r>
    </w:p>
    <w:p w14:paraId="39658767">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二</w:t>
      </w:r>
      <w:r>
        <w:rPr>
          <w:rFonts w:hint="eastAsia" w:ascii="微软雅黑" w:hAnsi="微软雅黑" w:eastAsia="微软雅黑" w:cs="微软雅黑"/>
          <w:i w:val="0"/>
          <w:iCs w:val="0"/>
          <w:szCs w:val="36"/>
          <w:highlight w:val="none"/>
        </w:rPr>
        <w:t>篇  项目</w:t>
      </w:r>
      <w:r>
        <w:rPr>
          <w:rFonts w:hint="eastAsia" w:ascii="微软雅黑" w:hAnsi="微软雅黑" w:eastAsia="微软雅黑" w:cs="微软雅黑"/>
          <w:i w:val="0"/>
          <w:iCs w:val="0"/>
          <w:szCs w:val="36"/>
          <w:highlight w:val="none"/>
          <w:lang w:val="en-US" w:eastAsia="zh-CN"/>
        </w:rPr>
        <w:t>技术</w:t>
      </w:r>
      <w:r>
        <w:rPr>
          <w:rFonts w:hint="eastAsia" w:ascii="微软雅黑" w:hAnsi="微软雅黑" w:eastAsia="微软雅黑" w:cs="微软雅黑"/>
          <w:i w:val="0"/>
          <w:iCs w:val="0"/>
          <w:szCs w:val="36"/>
          <w:highlight w:val="none"/>
        </w:rPr>
        <w:t>要求</w:t>
      </w:r>
      <w:r>
        <w:rPr>
          <w:i w:val="0"/>
          <w:iCs w:val="0"/>
          <w:highlight w:val="none"/>
        </w:rPr>
        <w:tab/>
      </w:r>
      <w:r>
        <w:rPr>
          <w:i w:val="0"/>
          <w:iCs w:val="0"/>
          <w:highlight w:val="none"/>
        </w:rPr>
        <w:fldChar w:fldCharType="begin"/>
      </w:r>
      <w:r>
        <w:rPr>
          <w:i w:val="0"/>
          <w:iCs w:val="0"/>
          <w:highlight w:val="none"/>
        </w:rPr>
        <w:instrText xml:space="preserve"> PAGEREF _Toc23363 \h </w:instrText>
      </w:r>
      <w:r>
        <w:rPr>
          <w:i w:val="0"/>
          <w:iCs w:val="0"/>
          <w:highlight w:val="none"/>
        </w:rPr>
        <w:fldChar w:fldCharType="separate"/>
      </w:r>
      <w:r>
        <w:rPr>
          <w:i w:val="0"/>
          <w:iCs w:val="0"/>
          <w:highlight w:val="none"/>
        </w:rPr>
        <w:t>6</w:t>
      </w:r>
      <w:r>
        <w:rPr>
          <w:i w:val="0"/>
          <w:iCs w:val="0"/>
          <w:highlight w:val="none"/>
        </w:rPr>
        <w:fldChar w:fldCharType="end"/>
      </w:r>
    </w:p>
    <w:p w14:paraId="72574D52">
      <w:pPr>
        <w:pStyle w:val="23"/>
        <w:tabs>
          <w:tab w:val="right" w:leader="dot" w:pos="9412"/>
        </w:tabs>
        <w:rPr>
          <w:rFonts w:hint="eastAsia" w:ascii="微软雅黑" w:hAnsi="微软雅黑" w:eastAsia="微软雅黑" w:cs="微软雅黑"/>
          <w:i w:val="0"/>
          <w:iCs w:val="0"/>
          <w:sz w:val="22"/>
          <w:szCs w:val="22"/>
          <w:highlight w:val="none"/>
        </w:rPr>
      </w:pPr>
      <w:r>
        <w:rPr>
          <w:rFonts w:hint="eastAsia" w:ascii="微软雅黑" w:hAnsi="微软雅黑" w:eastAsia="微软雅黑" w:cs="微软雅黑"/>
          <w:bCs w:val="0"/>
          <w:i w:val="0"/>
          <w:iCs w:val="0"/>
          <w:snapToGrid w:val="0"/>
          <w:w w:val="99"/>
          <w:kern w:val="0"/>
          <w:sz w:val="22"/>
          <w:szCs w:val="32"/>
          <w:highlight w:val="none"/>
          <w:lang w:val="en-US" w:eastAsia="zh-CN" w:bidi="ar-SA"/>
        </w:rPr>
        <w:t>※一、招标项目一览表</w:t>
      </w:r>
      <w:r>
        <w:rPr>
          <w:rFonts w:hint="eastAsia" w:ascii="微软雅黑" w:hAnsi="微软雅黑" w:eastAsia="微软雅黑" w:cs="微软雅黑"/>
          <w:i w:val="0"/>
          <w:iCs w:val="0"/>
          <w:sz w:val="22"/>
          <w:szCs w:val="22"/>
          <w:highlight w:val="none"/>
        </w:rPr>
        <w:tab/>
      </w:r>
      <w:r>
        <w:rPr>
          <w:rFonts w:hint="eastAsia" w:ascii="微软雅黑" w:hAnsi="微软雅黑" w:eastAsia="微软雅黑" w:cs="微软雅黑"/>
          <w:i w:val="0"/>
          <w:iCs w:val="0"/>
          <w:sz w:val="22"/>
          <w:szCs w:val="22"/>
          <w:highlight w:val="none"/>
        </w:rPr>
        <w:fldChar w:fldCharType="begin"/>
      </w:r>
      <w:r>
        <w:rPr>
          <w:rFonts w:hint="eastAsia" w:ascii="微软雅黑" w:hAnsi="微软雅黑" w:eastAsia="微软雅黑" w:cs="微软雅黑"/>
          <w:i w:val="0"/>
          <w:iCs w:val="0"/>
          <w:sz w:val="22"/>
          <w:szCs w:val="22"/>
          <w:highlight w:val="none"/>
        </w:rPr>
        <w:instrText xml:space="preserve"> PAGEREF _Toc22795 \h </w:instrText>
      </w:r>
      <w:r>
        <w:rPr>
          <w:rFonts w:hint="eastAsia" w:ascii="微软雅黑" w:hAnsi="微软雅黑" w:eastAsia="微软雅黑" w:cs="微软雅黑"/>
          <w:i w:val="0"/>
          <w:iCs w:val="0"/>
          <w:sz w:val="22"/>
          <w:szCs w:val="22"/>
          <w:highlight w:val="none"/>
        </w:rPr>
        <w:fldChar w:fldCharType="separate"/>
      </w:r>
      <w:r>
        <w:rPr>
          <w:rFonts w:hint="eastAsia" w:ascii="微软雅黑" w:hAnsi="微软雅黑" w:eastAsia="微软雅黑" w:cs="微软雅黑"/>
          <w:i w:val="0"/>
          <w:iCs w:val="0"/>
          <w:sz w:val="22"/>
          <w:szCs w:val="22"/>
          <w:highlight w:val="none"/>
        </w:rPr>
        <w:t>6</w:t>
      </w:r>
      <w:r>
        <w:rPr>
          <w:rFonts w:hint="eastAsia" w:ascii="微软雅黑" w:hAnsi="微软雅黑" w:eastAsia="微软雅黑" w:cs="微软雅黑"/>
          <w:i w:val="0"/>
          <w:iCs w:val="0"/>
          <w:sz w:val="22"/>
          <w:szCs w:val="22"/>
          <w:highlight w:val="none"/>
        </w:rPr>
        <w:fldChar w:fldCharType="end"/>
      </w:r>
    </w:p>
    <w:p w14:paraId="0C229F42">
      <w:pPr>
        <w:pStyle w:val="23"/>
        <w:tabs>
          <w:tab w:val="right" w:leader="dot" w:pos="9412"/>
        </w:tabs>
        <w:rPr>
          <w:i w:val="0"/>
          <w:iCs w:val="0"/>
          <w:highlight w:val="none"/>
        </w:rPr>
      </w:pPr>
      <w:r>
        <w:rPr>
          <w:rFonts w:hint="eastAsia" w:ascii="微软雅黑" w:hAnsi="微软雅黑" w:eastAsia="微软雅黑" w:cs="微软雅黑"/>
          <w:bCs/>
          <w:i w:val="0"/>
          <w:iCs w:val="0"/>
          <w:snapToGrid w:val="0"/>
          <w:w w:val="99"/>
          <w:kern w:val="0"/>
          <w:szCs w:val="24"/>
          <w:highlight w:val="none"/>
        </w:rPr>
        <w:t>※</w:t>
      </w:r>
      <w:r>
        <w:rPr>
          <w:rFonts w:hint="eastAsia" w:ascii="微软雅黑" w:hAnsi="微软雅黑" w:eastAsia="微软雅黑" w:cs="微软雅黑"/>
          <w:i w:val="0"/>
          <w:iCs w:val="0"/>
          <w:color w:val="auto"/>
          <w:szCs w:val="24"/>
          <w:highlight w:val="none"/>
          <w:lang w:val="en-US" w:eastAsia="zh-CN"/>
        </w:rPr>
        <w:t>二、</w:t>
      </w:r>
      <w:r>
        <w:rPr>
          <w:rFonts w:hint="eastAsia" w:ascii="微软雅黑" w:hAnsi="微软雅黑" w:eastAsia="微软雅黑" w:cs="微软雅黑"/>
          <w:i w:val="0"/>
          <w:iCs w:val="0"/>
          <w:color w:val="auto"/>
          <w:szCs w:val="24"/>
          <w:highlight w:val="none"/>
        </w:rPr>
        <w:t>项目基本概况介绍</w:t>
      </w:r>
      <w:r>
        <w:rPr>
          <w:i w:val="0"/>
          <w:iCs w:val="0"/>
          <w:highlight w:val="none"/>
        </w:rPr>
        <w:tab/>
      </w:r>
      <w:r>
        <w:rPr>
          <w:i w:val="0"/>
          <w:iCs w:val="0"/>
          <w:highlight w:val="none"/>
        </w:rPr>
        <w:fldChar w:fldCharType="begin"/>
      </w:r>
      <w:r>
        <w:rPr>
          <w:i w:val="0"/>
          <w:iCs w:val="0"/>
          <w:highlight w:val="none"/>
        </w:rPr>
        <w:instrText xml:space="preserve"> PAGEREF _Toc12886 \h </w:instrText>
      </w:r>
      <w:r>
        <w:rPr>
          <w:i w:val="0"/>
          <w:iCs w:val="0"/>
          <w:highlight w:val="none"/>
        </w:rPr>
        <w:fldChar w:fldCharType="separate"/>
      </w:r>
      <w:r>
        <w:rPr>
          <w:i w:val="0"/>
          <w:iCs w:val="0"/>
          <w:highlight w:val="none"/>
        </w:rPr>
        <w:t>6</w:t>
      </w:r>
      <w:r>
        <w:rPr>
          <w:i w:val="0"/>
          <w:iCs w:val="0"/>
          <w:highlight w:val="none"/>
        </w:rPr>
        <w:fldChar w:fldCharType="end"/>
      </w:r>
    </w:p>
    <w:p w14:paraId="1D19D84A">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三</w:t>
      </w:r>
      <w:r>
        <w:rPr>
          <w:rFonts w:hint="eastAsia" w:ascii="微软雅黑" w:hAnsi="微软雅黑" w:eastAsia="微软雅黑" w:cs="微软雅黑"/>
          <w:i w:val="0"/>
          <w:iCs w:val="0"/>
          <w:szCs w:val="36"/>
          <w:highlight w:val="none"/>
        </w:rPr>
        <w:t>篇  项目</w:t>
      </w:r>
      <w:r>
        <w:rPr>
          <w:rFonts w:hint="eastAsia" w:ascii="微软雅黑" w:hAnsi="微软雅黑" w:eastAsia="微软雅黑" w:cs="微软雅黑"/>
          <w:i w:val="0"/>
          <w:iCs w:val="0"/>
          <w:szCs w:val="36"/>
          <w:highlight w:val="none"/>
          <w:lang w:val="en-US" w:eastAsia="zh-CN"/>
        </w:rPr>
        <w:t>商务</w:t>
      </w:r>
      <w:r>
        <w:rPr>
          <w:rFonts w:hint="eastAsia" w:ascii="微软雅黑" w:hAnsi="微软雅黑" w:eastAsia="微软雅黑" w:cs="微软雅黑"/>
          <w:i w:val="0"/>
          <w:iCs w:val="0"/>
          <w:szCs w:val="36"/>
          <w:highlight w:val="none"/>
        </w:rPr>
        <w:t>要求</w:t>
      </w:r>
      <w:r>
        <w:rPr>
          <w:i w:val="0"/>
          <w:iCs w:val="0"/>
          <w:highlight w:val="none"/>
        </w:rPr>
        <w:tab/>
      </w:r>
      <w:r>
        <w:rPr>
          <w:i w:val="0"/>
          <w:iCs w:val="0"/>
          <w:highlight w:val="none"/>
        </w:rPr>
        <w:fldChar w:fldCharType="begin"/>
      </w:r>
      <w:r>
        <w:rPr>
          <w:i w:val="0"/>
          <w:iCs w:val="0"/>
          <w:highlight w:val="none"/>
        </w:rPr>
        <w:instrText xml:space="preserve"> PAGEREF _Toc2720 \h </w:instrText>
      </w:r>
      <w:r>
        <w:rPr>
          <w:i w:val="0"/>
          <w:iCs w:val="0"/>
          <w:highlight w:val="none"/>
        </w:rPr>
        <w:fldChar w:fldCharType="separate"/>
      </w:r>
      <w:r>
        <w:rPr>
          <w:i w:val="0"/>
          <w:iCs w:val="0"/>
          <w:highlight w:val="none"/>
        </w:rPr>
        <w:t>12</w:t>
      </w:r>
      <w:r>
        <w:rPr>
          <w:i w:val="0"/>
          <w:iCs w:val="0"/>
          <w:highlight w:val="none"/>
        </w:rPr>
        <w:fldChar w:fldCharType="end"/>
      </w:r>
    </w:p>
    <w:p w14:paraId="32C2F6C4">
      <w:pPr>
        <w:pStyle w:val="23"/>
        <w:tabs>
          <w:tab w:val="right" w:leader="dot" w:pos="9412"/>
        </w:tabs>
        <w:rPr>
          <w:i w:val="0"/>
          <w:iCs w:val="0"/>
          <w:highlight w:val="none"/>
        </w:rPr>
      </w:pPr>
      <w:r>
        <w:rPr>
          <w:rFonts w:hint="eastAsia" w:ascii="微软雅黑" w:hAnsi="微软雅黑" w:eastAsia="微软雅黑" w:cs="微软雅黑"/>
          <w:i w:val="0"/>
          <w:iCs w:val="0"/>
          <w:color w:val="auto"/>
          <w:szCs w:val="24"/>
          <w:highlight w:val="none"/>
        </w:rPr>
        <w:t>一、</w:t>
      </w:r>
      <w:r>
        <w:rPr>
          <w:rFonts w:hint="eastAsia" w:ascii="微软雅黑" w:hAnsi="微软雅黑" w:eastAsia="微软雅黑" w:cs="微软雅黑"/>
          <w:i w:val="0"/>
          <w:iCs w:val="0"/>
          <w:color w:val="auto"/>
          <w:szCs w:val="24"/>
          <w:highlight w:val="none"/>
          <w:lang w:val="en-US" w:eastAsia="zh-CN"/>
        </w:rPr>
        <w:t>服务期</w:t>
      </w:r>
      <w:r>
        <w:rPr>
          <w:rFonts w:hint="eastAsia" w:ascii="微软雅黑" w:hAnsi="微软雅黑" w:eastAsia="微软雅黑" w:cs="微软雅黑"/>
          <w:i w:val="0"/>
          <w:iCs w:val="0"/>
          <w:color w:val="auto"/>
          <w:szCs w:val="24"/>
          <w:highlight w:val="none"/>
        </w:rPr>
        <w:t>、地点</w:t>
      </w:r>
      <w:r>
        <w:rPr>
          <w:rFonts w:hint="eastAsia" w:ascii="微软雅黑" w:hAnsi="微软雅黑" w:eastAsia="微软雅黑" w:cs="微软雅黑"/>
          <w:i w:val="0"/>
          <w:iCs w:val="0"/>
          <w:color w:val="auto"/>
          <w:szCs w:val="24"/>
          <w:highlight w:val="none"/>
          <w:lang w:val="en-US" w:eastAsia="zh-CN"/>
        </w:rPr>
        <w:t>及</w:t>
      </w:r>
      <w:r>
        <w:rPr>
          <w:rFonts w:hint="eastAsia" w:ascii="微软雅黑" w:hAnsi="微软雅黑" w:eastAsia="微软雅黑" w:cs="微软雅黑"/>
          <w:i w:val="0"/>
          <w:iCs w:val="0"/>
          <w:color w:val="auto"/>
          <w:szCs w:val="24"/>
          <w:highlight w:val="none"/>
        </w:rPr>
        <w:t>验收方式</w:t>
      </w:r>
      <w:r>
        <w:rPr>
          <w:i w:val="0"/>
          <w:iCs w:val="0"/>
          <w:highlight w:val="none"/>
        </w:rPr>
        <w:tab/>
      </w:r>
      <w:r>
        <w:rPr>
          <w:i w:val="0"/>
          <w:iCs w:val="0"/>
          <w:highlight w:val="none"/>
        </w:rPr>
        <w:fldChar w:fldCharType="begin"/>
      </w:r>
      <w:r>
        <w:rPr>
          <w:i w:val="0"/>
          <w:iCs w:val="0"/>
          <w:highlight w:val="none"/>
        </w:rPr>
        <w:instrText xml:space="preserve"> PAGEREF _Toc21364 \h </w:instrText>
      </w:r>
      <w:r>
        <w:rPr>
          <w:i w:val="0"/>
          <w:iCs w:val="0"/>
          <w:highlight w:val="none"/>
        </w:rPr>
        <w:fldChar w:fldCharType="separate"/>
      </w:r>
      <w:r>
        <w:rPr>
          <w:i w:val="0"/>
          <w:iCs w:val="0"/>
          <w:highlight w:val="none"/>
        </w:rPr>
        <w:t>12</w:t>
      </w:r>
      <w:r>
        <w:rPr>
          <w:i w:val="0"/>
          <w:iCs w:val="0"/>
          <w:highlight w:val="none"/>
        </w:rPr>
        <w:fldChar w:fldCharType="end"/>
      </w:r>
    </w:p>
    <w:p w14:paraId="17537366">
      <w:pPr>
        <w:pStyle w:val="23"/>
        <w:tabs>
          <w:tab w:val="right" w:leader="dot" w:pos="9412"/>
        </w:tabs>
        <w:rPr>
          <w:i w:val="0"/>
          <w:iCs w:val="0"/>
          <w:highlight w:val="none"/>
        </w:rPr>
      </w:pPr>
      <w:r>
        <w:rPr>
          <w:rFonts w:hint="eastAsia" w:ascii="微软雅黑" w:hAnsi="微软雅黑" w:eastAsia="微软雅黑" w:cs="微软雅黑"/>
          <w:i w:val="0"/>
          <w:iCs w:val="0"/>
          <w:color w:val="auto"/>
          <w:szCs w:val="24"/>
          <w:highlight w:val="none"/>
          <w:lang w:val="en-US" w:eastAsia="zh-CN"/>
        </w:rPr>
        <w:t>二</w:t>
      </w:r>
      <w:r>
        <w:rPr>
          <w:rFonts w:hint="eastAsia" w:ascii="微软雅黑" w:hAnsi="微软雅黑" w:eastAsia="微软雅黑" w:cs="微软雅黑"/>
          <w:i w:val="0"/>
          <w:iCs w:val="0"/>
          <w:color w:val="auto"/>
          <w:szCs w:val="24"/>
          <w:highlight w:val="none"/>
          <w:lang w:val="zh-TW" w:eastAsia="zh-TW"/>
        </w:rPr>
        <w:t>、报价要求</w:t>
      </w:r>
      <w:r>
        <w:rPr>
          <w:i w:val="0"/>
          <w:iCs w:val="0"/>
          <w:highlight w:val="none"/>
        </w:rPr>
        <w:tab/>
      </w:r>
      <w:r>
        <w:rPr>
          <w:i w:val="0"/>
          <w:iCs w:val="0"/>
          <w:highlight w:val="none"/>
        </w:rPr>
        <w:fldChar w:fldCharType="begin"/>
      </w:r>
      <w:r>
        <w:rPr>
          <w:i w:val="0"/>
          <w:iCs w:val="0"/>
          <w:highlight w:val="none"/>
        </w:rPr>
        <w:instrText xml:space="preserve"> PAGEREF _Toc18768 \h </w:instrText>
      </w:r>
      <w:r>
        <w:rPr>
          <w:i w:val="0"/>
          <w:iCs w:val="0"/>
          <w:highlight w:val="none"/>
        </w:rPr>
        <w:fldChar w:fldCharType="separate"/>
      </w:r>
      <w:r>
        <w:rPr>
          <w:i w:val="0"/>
          <w:iCs w:val="0"/>
          <w:highlight w:val="none"/>
        </w:rPr>
        <w:t>12</w:t>
      </w:r>
      <w:r>
        <w:rPr>
          <w:i w:val="0"/>
          <w:iCs w:val="0"/>
          <w:highlight w:val="none"/>
        </w:rPr>
        <w:fldChar w:fldCharType="end"/>
      </w:r>
    </w:p>
    <w:p w14:paraId="75F980C3">
      <w:pPr>
        <w:pStyle w:val="23"/>
        <w:tabs>
          <w:tab w:val="right" w:leader="dot" w:pos="9412"/>
        </w:tabs>
        <w:rPr>
          <w:i w:val="0"/>
          <w:iCs w:val="0"/>
          <w:highlight w:val="none"/>
        </w:rPr>
      </w:pPr>
      <w:r>
        <w:rPr>
          <w:rFonts w:hint="eastAsia" w:ascii="微软雅黑" w:hAnsi="微软雅黑" w:eastAsia="微软雅黑" w:cs="微软雅黑"/>
          <w:i w:val="0"/>
          <w:iCs w:val="0"/>
          <w:color w:val="auto"/>
          <w:szCs w:val="24"/>
          <w:highlight w:val="none"/>
          <w:lang w:val="en-US" w:eastAsia="zh-CN"/>
        </w:rPr>
        <w:t>※三、付款方式</w:t>
      </w:r>
      <w:r>
        <w:rPr>
          <w:i w:val="0"/>
          <w:iCs w:val="0"/>
          <w:highlight w:val="none"/>
        </w:rPr>
        <w:tab/>
      </w:r>
      <w:r>
        <w:rPr>
          <w:i w:val="0"/>
          <w:iCs w:val="0"/>
          <w:highlight w:val="none"/>
        </w:rPr>
        <w:fldChar w:fldCharType="begin"/>
      </w:r>
      <w:r>
        <w:rPr>
          <w:i w:val="0"/>
          <w:iCs w:val="0"/>
          <w:highlight w:val="none"/>
        </w:rPr>
        <w:instrText xml:space="preserve"> PAGEREF _Toc26567 \h </w:instrText>
      </w:r>
      <w:r>
        <w:rPr>
          <w:i w:val="0"/>
          <w:iCs w:val="0"/>
          <w:highlight w:val="none"/>
        </w:rPr>
        <w:fldChar w:fldCharType="separate"/>
      </w:r>
      <w:r>
        <w:rPr>
          <w:i w:val="0"/>
          <w:iCs w:val="0"/>
          <w:highlight w:val="none"/>
        </w:rPr>
        <w:t>12</w:t>
      </w:r>
      <w:r>
        <w:rPr>
          <w:i w:val="0"/>
          <w:iCs w:val="0"/>
          <w:highlight w:val="none"/>
        </w:rPr>
        <w:fldChar w:fldCharType="end"/>
      </w:r>
    </w:p>
    <w:p w14:paraId="78666CE6">
      <w:pPr>
        <w:pStyle w:val="23"/>
        <w:tabs>
          <w:tab w:val="right" w:leader="dot" w:pos="9412"/>
        </w:tabs>
        <w:rPr>
          <w:i w:val="0"/>
          <w:iCs w:val="0"/>
          <w:highlight w:val="none"/>
        </w:rPr>
      </w:pPr>
      <w:r>
        <w:rPr>
          <w:rFonts w:hint="eastAsia" w:ascii="微软雅黑" w:hAnsi="微软雅黑" w:eastAsia="微软雅黑" w:cs="微软雅黑"/>
          <w:i w:val="0"/>
          <w:iCs w:val="0"/>
          <w:color w:val="auto"/>
          <w:szCs w:val="24"/>
          <w:highlight w:val="none"/>
          <w:lang w:val="en-US" w:eastAsia="zh-CN"/>
        </w:rPr>
        <w:t>四、质量保证及售后服务</w:t>
      </w:r>
      <w:r>
        <w:rPr>
          <w:i w:val="0"/>
          <w:iCs w:val="0"/>
          <w:highlight w:val="none"/>
        </w:rPr>
        <w:tab/>
      </w:r>
      <w:r>
        <w:rPr>
          <w:i w:val="0"/>
          <w:iCs w:val="0"/>
          <w:highlight w:val="none"/>
        </w:rPr>
        <w:fldChar w:fldCharType="begin"/>
      </w:r>
      <w:r>
        <w:rPr>
          <w:i w:val="0"/>
          <w:iCs w:val="0"/>
          <w:highlight w:val="none"/>
        </w:rPr>
        <w:instrText xml:space="preserve"> PAGEREF _Toc5833 \h </w:instrText>
      </w:r>
      <w:r>
        <w:rPr>
          <w:i w:val="0"/>
          <w:iCs w:val="0"/>
          <w:highlight w:val="none"/>
        </w:rPr>
        <w:fldChar w:fldCharType="separate"/>
      </w:r>
      <w:r>
        <w:rPr>
          <w:i w:val="0"/>
          <w:iCs w:val="0"/>
          <w:highlight w:val="none"/>
        </w:rPr>
        <w:t>12</w:t>
      </w:r>
      <w:r>
        <w:rPr>
          <w:i w:val="0"/>
          <w:iCs w:val="0"/>
          <w:highlight w:val="none"/>
        </w:rPr>
        <w:fldChar w:fldCharType="end"/>
      </w:r>
    </w:p>
    <w:p w14:paraId="7263B13E">
      <w:pPr>
        <w:pStyle w:val="39"/>
        <w:tabs>
          <w:tab w:val="right" w:leader="dot" w:pos="9412"/>
        </w:tabs>
        <w:rPr>
          <w:i w:val="0"/>
          <w:iCs w:val="0"/>
          <w:highlight w:val="none"/>
        </w:rPr>
      </w:pPr>
      <w:r>
        <w:rPr>
          <w:rFonts w:hint="eastAsia" w:ascii="微软雅黑" w:hAnsi="微软雅黑" w:eastAsia="微软雅黑" w:cs="微软雅黑"/>
          <w:i w:val="0"/>
          <w:iCs w:val="0"/>
          <w:szCs w:val="24"/>
          <w:highlight w:val="none"/>
          <w:lang w:val="zh-TW" w:eastAsia="zh-TW"/>
        </w:rPr>
        <w:t>※五、安全责任</w:t>
      </w:r>
      <w:r>
        <w:rPr>
          <w:i w:val="0"/>
          <w:iCs w:val="0"/>
          <w:highlight w:val="none"/>
        </w:rPr>
        <w:tab/>
      </w:r>
      <w:r>
        <w:rPr>
          <w:i w:val="0"/>
          <w:iCs w:val="0"/>
          <w:highlight w:val="none"/>
        </w:rPr>
        <w:fldChar w:fldCharType="begin"/>
      </w:r>
      <w:r>
        <w:rPr>
          <w:i w:val="0"/>
          <w:iCs w:val="0"/>
          <w:highlight w:val="none"/>
        </w:rPr>
        <w:instrText xml:space="preserve"> PAGEREF _Toc25440 \h </w:instrText>
      </w:r>
      <w:r>
        <w:rPr>
          <w:i w:val="0"/>
          <w:iCs w:val="0"/>
          <w:highlight w:val="none"/>
        </w:rPr>
        <w:fldChar w:fldCharType="separate"/>
      </w:r>
      <w:r>
        <w:rPr>
          <w:i w:val="0"/>
          <w:iCs w:val="0"/>
          <w:highlight w:val="none"/>
        </w:rPr>
        <w:t>14</w:t>
      </w:r>
      <w:r>
        <w:rPr>
          <w:i w:val="0"/>
          <w:iCs w:val="0"/>
          <w:highlight w:val="none"/>
        </w:rPr>
        <w:fldChar w:fldCharType="end"/>
      </w:r>
    </w:p>
    <w:p w14:paraId="644F5AA5">
      <w:pPr>
        <w:pStyle w:val="39"/>
        <w:tabs>
          <w:tab w:val="right" w:leader="dot" w:pos="9412"/>
        </w:tabs>
        <w:rPr>
          <w:i w:val="0"/>
          <w:iCs w:val="0"/>
          <w:highlight w:val="none"/>
        </w:rPr>
      </w:pPr>
      <w:r>
        <w:rPr>
          <w:rFonts w:hint="eastAsia" w:ascii="微软雅黑" w:hAnsi="微软雅黑" w:eastAsia="微软雅黑" w:cs="微软雅黑"/>
          <w:i w:val="0"/>
          <w:iCs w:val="0"/>
          <w:szCs w:val="24"/>
          <w:highlight w:val="none"/>
          <w:lang w:val="en-US" w:eastAsia="zh-CN"/>
        </w:rPr>
        <w:t>六</w:t>
      </w:r>
      <w:r>
        <w:rPr>
          <w:rFonts w:hint="eastAsia" w:ascii="微软雅黑" w:hAnsi="微软雅黑" w:eastAsia="微软雅黑" w:cs="微软雅黑"/>
          <w:i w:val="0"/>
          <w:iCs w:val="0"/>
          <w:szCs w:val="24"/>
          <w:highlight w:val="none"/>
        </w:rPr>
        <w:t>、其他</w:t>
      </w:r>
      <w:r>
        <w:rPr>
          <w:i w:val="0"/>
          <w:iCs w:val="0"/>
          <w:highlight w:val="none"/>
        </w:rPr>
        <w:tab/>
      </w:r>
      <w:r>
        <w:rPr>
          <w:i w:val="0"/>
          <w:iCs w:val="0"/>
          <w:highlight w:val="none"/>
        </w:rPr>
        <w:fldChar w:fldCharType="begin"/>
      </w:r>
      <w:r>
        <w:rPr>
          <w:i w:val="0"/>
          <w:iCs w:val="0"/>
          <w:highlight w:val="none"/>
        </w:rPr>
        <w:instrText xml:space="preserve"> PAGEREF _Toc31961 \h </w:instrText>
      </w:r>
      <w:r>
        <w:rPr>
          <w:i w:val="0"/>
          <w:iCs w:val="0"/>
          <w:highlight w:val="none"/>
        </w:rPr>
        <w:fldChar w:fldCharType="separate"/>
      </w:r>
      <w:r>
        <w:rPr>
          <w:i w:val="0"/>
          <w:iCs w:val="0"/>
          <w:highlight w:val="none"/>
        </w:rPr>
        <w:t>14</w:t>
      </w:r>
      <w:r>
        <w:rPr>
          <w:i w:val="0"/>
          <w:iCs w:val="0"/>
          <w:highlight w:val="none"/>
        </w:rPr>
        <w:fldChar w:fldCharType="end"/>
      </w:r>
    </w:p>
    <w:p w14:paraId="125CB214">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四</w:t>
      </w:r>
      <w:r>
        <w:rPr>
          <w:rFonts w:hint="eastAsia" w:ascii="微软雅黑" w:hAnsi="微软雅黑" w:eastAsia="微软雅黑" w:cs="微软雅黑"/>
          <w:i w:val="0"/>
          <w:iCs w:val="0"/>
          <w:szCs w:val="36"/>
          <w:highlight w:val="none"/>
        </w:rPr>
        <w:t>篇  资格审查及评标办法</w:t>
      </w:r>
      <w:r>
        <w:rPr>
          <w:i w:val="0"/>
          <w:iCs w:val="0"/>
          <w:highlight w:val="none"/>
        </w:rPr>
        <w:tab/>
      </w:r>
      <w:r>
        <w:rPr>
          <w:i w:val="0"/>
          <w:iCs w:val="0"/>
          <w:highlight w:val="none"/>
        </w:rPr>
        <w:fldChar w:fldCharType="begin"/>
      </w:r>
      <w:r>
        <w:rPr>
          <w:i w:val="0"/>
          <w:iCs w:val="0"/>
          <w:highlight w:val="none"/>
        </w:rPr>
        <w:instrText xml:space="preserve"> PAGEREF _Toc8287 \h </w:instrText>
      </w:r>
      <w:r>
        <w:rPr>
          <w:i w:val="0"/>
          <w:iCs w:val="0"/>
          <w:highlight w:val="none"/>
        </w:rPr>
        <w:fldChar w:fldCharType="separate"/>
      </w:r>
      <w:r>
        <w:rPr>
          <w:i w:val="0"/>
          <w:iCs w:val="0"/>
          <w:highlight w:val="none"/>
        </w:rPr>
        <w:t>16</w:t>
      </w:r>
      <w:r>
        <w:rPr>
          <w:i w:val="0"/>
          <w:iCs w:val="0"/>
          <w:highlight w:val="none"/>
        </w:rPr>
        <w:fldChar w:fldCharType="end"/>
      </w:r>
    </w:p>
    <w:p w14:paraId="067A793C">
      <w:pPr>
        <w:pStyle w:val="39"/>
        <w:tabs>
          <w:tab w:val="right" w:leader="dot" w:pos="9412"/>
        </w:tabs>
        <w:rPr>
          <w:i w:val="0"/>
          <w:iCs w:val="0"/>
          <w:highlight w:val="none"/>
        </w:rPr>
      </w:pPr>
      <w:r>
        <w:rPr>
          <w:rFonts w:hint="eastAsia" w:ascii="微软雅黑" w:hAnsi="微软雅黑" w:eastAsia="微软雅黑" w:cs="微软雅黑"/>
          <w:i w:val="0"/>
          <w:iCs w:val="0"/>
          <w:color w:val="auto"/>
          <w:szCs w:val="24"/>
          <w:highlight w:val="none"/>
        </w:rPr>
        <w:t>一、资格审查</w:t>
      </w:r>
      <w:r>
        <w:rPr>
          <w:i w:val="0"/>
          <w:iCs w:val="0"/>
          <w:highlight w:val="none"/>
        </w:rPr>
        <w:tab/>
      </w:r>
      <w:r>
        <w:rPr>
          <w:i w:val="0"/>
          <w:iCs w:val="0"/>
          <w:highlight w:val="none"/>
        </w:rPr>
        <w:fldChar w:fldCharType="begin"/>
      </w:r>
      <w:r>
        <w:rPr>
          <w:i w:val="0"/>
          <w:iCs w:val="0"/>
          <w:highlight w:val="none"/>
        </w:rPr>
        <w:instrText xml:space="preserve"> PAGEREF _Toc23786 \h </w:instrText>
      </w:r>
      <w:r>
        <w:rPr>
          <w:i w:val="0"/>
          <w:iCs w:val="0"/>
          <w:highlight w:val="none"/>
        </w:rPr>
        <w:fldChar w:fldCharType="separate"/>
      </w:r>
      <w:r>
        <w:rPr>
          <w:i w:val="0"/>
          <w:iCs w:val="0"/>
          <w:highlight w:val="none"/>
        </w:rPr>
        <w:t>16</w:t>
      </w:r>
      <w:r>
        <w:rPr>
          <w:i w:val="0"/>
          <w:iCs w:val="0"/>
          <w:highlight w:val="none"/>
        </w:rPr>
        <w:fldChar w:fldCharType="end"/>
      </w:r>
    </w:p>
    <w:p w14:paraId="6BF51940">
      <w:pPr>
        <w:pStyle w:val="39"/>
        <w:tabs>
          <w:tab w:val="right" w:leader="dot" w:pos="9412"/>
        </w:tabs>
        <w:rPr>
          <w:i w:val="0"/>
          <w:iCs w:val="0"/>
          <w:highlight w:val="none"/>
        </w:rPr>
      </w:pPr>
      <w:r>
        <w:rPr>
          <w:rFonts w:hint="eastAsia" w:ascii="微软雅黑" w:hAnsi="微软雅黑" w:eastAsia="微软雅黑" w:cs="微软雅黑"/>
          <w:i w:val="0"/>
          <w:iCs w:val="0"/>
          <w:color w:val="auto"/>
          <w:szCs w:val="24"/>
          <w:highlight w:val="none"/>
        </w:rPr>
        <w:t>二、评标方法</w:t>
      </w:r>
      <w:r>
        <w:rPr>
          <w:i w:val="0"/>
          <w:iCs w:val="0"/>
          <w:highlight w:val="none"/>
        </w:rPr>
        <w:tab/>
      </w:r>
      <w:r>
        <w:rPr>
          <w:i w:val="0"/>
          <w:iCs w:val="0"/>
          <w:highlight w:val="none"/>
        </w:rPr>
        <w:fldChar w:fldCharType="begin"/>
      </w:r>
      <w:r>
        <w:rPr>
          <w:i w:val="0"/>
          <w:iCs w:val="0"/>
          <w:highlight w:val="none"/>
        </w:rPr>
        <w:instrText xml:space="preserve"> PAGEREF _Toc3363 \h </w:instrText>
      </w:r>
      <w:r>
        <w:rPr>
          <w:i w:val="0"/>
          <w:iCs w:val="0"/>
          <w:highlight w:val="none"/>
        </w:rPr>
        <w:fldChar w:fldCharType="separate"/>
      </w:r>
      <w:r>
        <w:rPr>
          <w:i w:val="0"/>
          <w:iCs w:val="0"/>
          <w:highlight w:val="none"/>
        </w:rPr>
        <w:t>17</w:t>
      </w:r>
      <w:r>
        <w:rPr>
          <w:i w:val="0"/>
          <w:iCs w:val="0"/>
          <w:highlight w:val="none"/>
        </w:rPr>
        <w:fldChar w:fldCharType="end"/>
      </w:r>
    </w:p>
    <w:p w14:paraId="4FC99CC0">
      <w:pPr>
        <w:pStyle w:val="39"/>
        <w:tabs>
          <w:tab w:val="right" w:leader="dot" w:pos="9412"/>
        </w:tabs>
        <w:rPr>
          <w:i w:val="0"/>
          <w:iCs w:val="0"/>
          <w:highlight w:val="none"/>
        </w:rPr>
      </w:pPr>
      <w:r>
        <w:rPr>
          <w:rFonts w:hint="eastAsia" w:ascii="微软雅黑" w:hAnsi="微软雅黑" w:eastAsia="微软雅黑" w:cs="微软雅黑"/>
          <w:i w:val="0"/>
          <w:iCs w:val="0"/>
          <w:color w:val="auto"/>
          <w:szCs w:val="24"/>
          <w:highlight w:val="none"/>
        </w:rPr>
        <w:t>三、评标标准</w:t>
      </w:r>
      <w:r>
        <w:rPr>
          <w:i w:val="0"/>
          <w:iCs w:val="0"/>
          <w:highlight w:val="none"/>
        </w:rPr>
        <w:tab/>
      </w:r>
      <w:r>
        <w:rPr>
          <w:i w:val="0"/>
          <w:iCs w:val="0"/>
          <w:highlight w:val="none"/>
        </w:rPr>
        <w:fldChar w:fldCharType="begin"/>
      </w:r>
      <w:r>
        <w:rPr>
          <w:i w:val="0"/>
          <w:iCs w:val="0"/>
          <w:highlight w:val="none"/>
        </w:rPr>
        <w:instrText xml:space="preserve"> PAGEREF _Toc31069 \h </w:instrText>
      </w:r>
      <w:r>
        <w:rPr>
          <w:i w:val="0"/>
          <w:iCs w:val="0"/>
          <w:highlight w:val="none"/>
        </w:rPr>
        <w:fldChar w:fldCharType="separate"/>
      </w:r>
      <w:r>
        <w:rPr>
          <w:i w:val="0"/>
          <w:iCs w:val="0"/>
          <w:highlight w:val="none"/>
        </w:rPr>
        <w:t>18</w:t>
      </w:r>
      <w:r>
        <w:rPr>
          <w:i w:val="0"/>
          <w:iCs w:val="0"/>
          <w:highlight w:val="none"/>
        </w:rPr>
        <w:fldChar w:fldCharType="end"/>
      </w:r>
    </w:p>
    <w:p w14:paraId="23FBD54C">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第五篇  供应商须知</w:t>
      </w:r>
      <w:r>
        <w:rPr>
          <w:i w:val="0"/>
          <w:iCs w:val="0"/>
          <w:highlight w:val="none"/>
        </w:rPr>
        <w:tab/>
      </w:r>
      <w:r>
        <w:rPr>
          <w:i w:val="0"/>
          <w:iCs w:val="0"/>
          <w:highlight w:val="none"/>
        </w:rPr>
        <w:fldChar w:fldCharType="begin"/>
      </w:r>
      <w:r>
        <w:rPr>
          <w:i w:val="0"/>
          <w:iCs w:val="0"/>
          <w:highlight w:val="none"/>
        </w:rPr>
        <w:instrText xml:space="preserve"> PAGEREF _Toc28328 \h </w:instrText>
      </w:r>
      <w:r>
        <w:rPr>
          <w:i w:val="0"/>
          <w:iCs w:val="0"/>
          <w:highlight w:val="none"/>
        </w:rPr>
        <w:fldChar w:fldCharType="separate"/>
      </w:r>
      <w:r>
        <w:rPr>
          <w:i w:val="0"/>
          <w:iCs w:val="0"/>
          <w:highlight w:val="none"/>
        </w:rPr>
        <w:t>21</w:t>
      </w:r>
      <w:r>
        <w:rPr>
          <w:i w:val="0"/>
          <w:iCs w:val="0"/>
          <w:highlight w:val="none"/>
        </w:rPr>
        <w:fldChar w:fldCharType="end"/>
      </w:r>
    </w:p>
    <w:p w14:paraId="1714173A">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第六篇  合同主要条款和格式合同（样本）</w:t>
      </w:r>
      <w:r>
        <w:rPr>
          <w:i w:val="0"/>
          <w:iCs w:val="0"/>
          <w:highlight w:val="none"/>
        </w:rPr>
        <w:tab/>
      </w:r>
      <w:r>
        <w:rPr>
          <w:i w:val="0"/>
          <w:iCs w:val="0"/>
          <w:highlight w:val="none"/>
        </w:rPr>
        <w:fldChar w:fldCharType="begin"/>
      </w:r>
      <w:r>
        <w:rPr>
          <w:i w:val="0"/>
          <w:iCs w:val="0"/>
          <w:highlight w:val="none"/>
        </w:rPr>
        <w:instrText xml:space="preserve"> PAGEREF _Toc7452 \h </w:instrText>
      </w:r>
      <w:r>
        <w:rPr>
          <w:i w:val="0"/>
          <w:iCs w:val="0"/>
          <w:highlight w:val="none"/>
        </w:rPr>
        <w:fldChar w:fldCharType="separate"/>
      </w:r>
      <w:r>
        <w:rPr>
          <w:i w:val="0"/>
          <w:iCs w:val="0"/>
          <w:highlight w:val="none"/>
        </w:rPr>
        <w:t>25</w:t>
      </w:r>
      <w:r>
        <w:rPr>
          <w:i w:val="0"/>
          <w:iCs w:val="0"/>
          <w:highlight w:val="none"/>
        </w:rPr>
        <w:fldChar w:fldCharType="end"/>
      </w:r>
    </w:p>
    <w:p w14:paraId="5A70DA1D">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第七篇  投标文件格式</w:t>
      </w:r>
      <w:r>
        <w:rPr>
          <w:i w:val="0"/>
          <w:iCs w:val="0"/>
          <w:highlight w:val="none"/>
        </w:rPr>
        <w:tab/>
      </w:r>
      <w:r>
        <w:rPr>
          <w:i w:val="0"/>
          <w:iCs w:val="0"/>
          <w:highlight w:val="none"/>
        </w:rPr>
        <w:fldChar w:fldCharType="begin"/>
      </w:r>
      <w:r>
        <w:rPr>
          <w:i w:val="0"/>
          <w:iCs w:val="0"/>
          <w:highlight w:val="none"/>
        </w:rPr>
        <w:instrText xml:space="preserve"> PAGEREF _Toc23574 \h </w:instrText>
      </w:r>
      <w:r>
        <w:rPr>
          <w:i w:val="0"/>
          <w:iCs w:val="0"/>
          <w:highlight w:val="none"/>
        </w:rPr>
        <w:fldChar w:fldCharType="separate"/>
      </w:r>
      <w:r>
        <w:rPr>
          <w:i w:val="0"/>
          <w:iCs w:val="0"/>
          <w:highlight w:val="none"/>
        </w:rPr>
        <w:t>30</w:t>
      </w:r>
      <w:r>
        <w:rPr>
          <w:i w:val="0"/>
          <w:iCs w:val="0"/>
          <w:highlight w:val="none"/>
        </w:rPr>
        <w:fldChar w:fldCharType="end"/>
      </w:r>
    </w:p>
    <w:p w14:paraId="683E5D67">
      <w:pPr>
        <w:pStyle w:val="39"/>
        <w:keepNext w:val="0"/>
        <w:keepLines w:val="0"/>
        <w:pageBreakBefore w:val="0"/>
        <w:widowControl w:val="0"/>
        <w:tabs>
          <w:tab w:val="right" w:leader="dot" w:pos="8925"/>
        </w:tabs>
        <w:kinsoku/>
        <w:wordWrap/>
        <w:overflowPunct/>
        <w:topLinePunct w:val="0"/>
        <w:autoSpaceDE/>
        <w:autoSpaceDN/>
        <w:bidi w:val="0"/>
        <w:adjustRightInd w:val="0"/>
        <w:snapToGrid/>
        <w:spacing w:line="520" w:lineRule="exact"/>
        <w:ind w:left="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bCs/>
          <w:i w:val="0"/>
          <w:iCs w:val="0"/>
          <w:caps/>
          <w:smallCaps w:val="0"/>
          <w:szCs w:val="24"/>
          <w:highlight w:val="none"/>
        </w:rPr>
        <w:fldChar w:fldCharType="end"/>
      </w:r>
    </w:p>
    <w:p w14:paraId="7790745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0" w:name="OLE_LINK1"/>
    </w:p>
    <w:p w14:paraId="3D8EB37F">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7D72477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30325E5B">
      <w:pP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br w:type="page"/>
      </w:r>
    </w:p>
    <w:p w14:paraId="00F95AFE">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3FF7FE1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1" w:name="_Toc17756"/>
      <w:r>
        <w:rPr>
          <w:rFonts w:hint="eastAsia" w:ascii="微软雅黑" w:hAnsi="微软雅黑" w:eastAsia="微软雅黑" w:cs="微软雅黑"/>
          <w:sz w:val="36"/>
          <w:szCs w:val="36"/>
          <w:highlight w:val="none"/>
        </w:rPr>
        <w:t xml:space="preserve">第一篇  </w:t>
      </w:r>
      <w:bookmarkEnd w:id="1"/>
      <w:r>
        <w:rPr>
          <w:rFonts w:hint="eastAsia" w:ascii="微软雅黑" w:hAnsi="微软雅黑" w:eastAsia="微软雅黑" w:cs="微软雅黑"/>
          <w:sz w:val="36"/>
          <w:szCs w:val="36"/>
          <w:highlight w:val="none"/>
          <w:lang w:eastAsia="zh-CN"/>
        </w:rPr>
        <w:t>网上询比公告</w:t>
      </w:r>
    </w:p>
    <w:p w14:paraId="67C637CD">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u w:val="single"/>
          <w:lang w:eastAsia="zh-CN"/>
        </w:rPr>
      </w:pPr>
    </w:p>
    <w:p w14:paraId="6AABA5CF">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u w:val="none"/>
          <w:lang w:eastAsia="zh-CN"/>
        </w:rPr>
      </w:pPr>
      <w:r>
        <w:rPr>
          <w:rFonts w:hint="eastAsia" w:ascii="微软雅黑" w:hAnsi="微软雅黑" w:eastAsia="微软雅黑" w:cs="微软雅黑"/>
          <w:snapToGrid w:val="0"/>
          <w:kern w:val="0"/>
          <w:position w:val="-2"/>
          <w:sz w:val="40"/>
          <w:szCs w:val="40"/>
          <w:highlight w:val="none"/>
          <w:u w:val="none"/>
          <w:lang w:eastAsia="zh-CN"/>
        </w:rPr>
        <w:t>重庆市涪陵区职业教育中心国家标准化考场建设视频巡查系统升级改造项目（第二次）</w:t>
      </w:r>
    </w:p>
    <w:p w14:paraId="18675F2E">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rPr>
      </w:pPr>
    </w:p>
    <w:p w14:paraId="3A744F82">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rPr>
      </w:pPr>
      <w:r>
        <w:rPr>
          <w:rFonts w:hint="eastAsia" w:ascii="微软雅黑" w:hAnsi="微软雅黑" w:eastAsia="微软雅黑" w:cs="微软雅黑"/>
          <w:snapToGrid w:val="0"/>
          <w:kern w:val="0"/>
          <w:position w:val="-2"/>
          <w:sz w:val="40"/>
          <w:szCs w:val="40"/>
          <w:highlight w:val="none"/>
          <w:lang w:eastAsia="zh-CN"/>
        </w:rPr>
        <w:t>网上询比公告</w:t>
      </w:r>
    </w:p>
    <w:p w14:paraId="319F7002">
      <w:pPr>
        <w:spacing w:line="440" w:lineRule="exact"/>
        <w:rPr>
          <w:rFonts w:hint="eastAsia" w:ascii="微软雅黑" w:hAnsi="微软雅黑" w:eastAsia="微软雅黑" w:cs="微软雅黑"/>
          <w:snapToGrid w:val="0"/>
          <w:highlight w:val="none"/>
        </w:rPr>
      </w:pPr>
    </w:p>
    <w:p w14:paraId="18A508A6">
      <w:pPr>
        <w:tabs>
          <w:tab w:val="left" w:pos="3000"/>
          <w:tab w:val="left" w:pos="3280"/>
          <w:tab w:val="left" w:pos="6120"/>
          <w:tab w:val="left" w:pos="7540"/>
          <w:tab w:val="left" w:pos="8320"/>
        </w:tabs>
        <w:autoSpaceDE w:val="0"/>
        <w:autoSpaceDN w:val="0"/>
        <w:adjustRightInd w:val="0"/>
        <w:snapToGrid w:val="0"/>
        <w:spacing w:line="440" w:lineRule="exact"/>
        <w:ind w:firstLine="420"/>
        <w:rPr>
          <w:rFonts w:hint="eastAsia" w:ascii="微软雅黑" w:hAnsi="微软雅黑" w:eastAsia="微软雅黑" w:cs="微软雅黑"/>
          <w:snapToGrid w:val="0"/>
          <w:kern w:val="0"/>
          <w:sz w:val="24"/>
          <w:highlight w:val="none"/>
        </w:rPr>
      </w:pPr>
      <w:bookmarkStart w:id="2" w:name="_Toc200359428"/>
      <w:bookmarkStart w:id="3" w:name="_Toc277082537"/>
      <w:bookmarkStart w:id="4" w:name="_Toc224103300"/>
      <w:bookmarkStart w:id="5" w:name="_Toc287607729"/>
      <w:bookmarkStart w:id="6" w:name="_Toc200359239"/>
      <w:r>
        <w:rPr>
          <w:rFonts w:hint="eastAsia" w:ascii="微软雅黑" w:hAnsi="微软雅黑" w:eastAsia="微软雅黑" w:cs="微软雅黑"/>
          <w:snapToGrid w:val="0"/>
          <w:kern w:val="0"/>
          <w:sz w:val="24"/>
          <w:highlight w:val="none"/>
          <w:lang w:eastAsia="zh-CN"/>
        </w:rPr>
        <w:t>重庆市涪陵区职业教育中心国家标准化考场建设视频巡查系统升级改造项目（第二次）</w:t>
      </w:r>
      <w:r>
        <w:rPr>
          <w:rFonts w:hint="eastAsia" w:ascii="微软雅黑" w:hAnsi="微软雅黑" w:eastAsia="微软雅黑" w:cs="微软雅黑"/>
          <w:snapToGrid w:val="0"/>
          <w:kern w:val="0"/>
          <w:sz w:val="24"/>
          <w:highlight w:val="none"/>
        </w:rPr>
        <w:t>已由</w:t>
      </w:r>
      <w:r>
        <w:rPr>
          <w:rFonts w:hint="eastAsia" w:ascii="微软雅黑" w:hAnsi="微软雅黑" w:eastAsia="微软雅黑" w:cs="微软雅黑"/>
          <w:snapToGrid w:val="0"/>
          <w:kern w:val="0"/>
          <w:sz w:val="24"/>
          <w:highlight w:val="none"/>
          <w:lang w:eastAsia="zh-CN"/>
        </w:rPr>
        <w:t>重庆市涪陵区职业教育中心</w:t>
      </w:r>
      <w:r>
        <w:rPr>
          <w:rFonts w:hint="eastAsia" w:ascii="微软雅黑" w:hAnsi="微软雅黑" w:eastAsia="微软雅黑" w:cs="微软雅黑"/>
          <w:snapToGrid w:val="0"/>
          <w:kern w:val="0"/>
          <w:sz w:val="24"/>
          <w:highlight w:val="none"/>
        </w:rPr>
        <w:t>确认招标，采购人为</w:t>
      </w:r>
      <w:r>
        <w:rPr>
          <w:rFonts w:hint="eastAsia" w:ascii="微软雅黑" w:hAnsi="微软雅黑" w:eastAsia="微软雅黑" w:cs="微软雅黑"/>
          <w:snapToGrid w:val="0"/>
          <w:kern w:val="0"/>
          <w:sz w:val="24"/>
          <w:highlight w:val="none"/>
          <w:u w:val="single"/>
          <w:lang w:eastAsia="zh-CN"/>
        </w:rPr>
        <w:t>重庆市涪陵区职业教育中心</w:t>
      </w:r>
      <w:r>
        <w:rPr>
          <w:rFonts w:hint="eastAsia" w:ascii="微软雅黑" w:hAnsi="微软雅黑" w:eastAsia="微软雅黑" w:cs="微软雅黑"/>
          <w:snapToGrid w:val="0"/>
          <w:kern w:val="0"/>
          <w:sz w:val="24"/>
          <w:highlight w:val="none"/>
        </w:rPr>
        <w:t>，资金来自</w:t>
      </w:r>
      <w:r>
        <w:rPr>
          <w:rFonts w:hint="eastAsia" w:ascii="微软雅黑" w:hAnsi="微软雅黑" w:eastAsia="微软雅黑" w:cs="微软雅黑"/>
          <w:snapToGrid w:val="0"/>
          <w:kern w:val="0"/>
          <w:sz w:val="24"/>
          <w:highlight w:val="none"/>
          <w:u w:val="single"/>
        </w:rPr>
        <w:t>财政资金</w:t>
      </w:r>
      <w:r>
        <w:rPr>
          <w:rFonts w:hint="eastAsia" w:ascii="微软雅黑" w:hAnsi="微软雅黑" w:eastAsia="微软雅黑" w:cs="微软雅黑"/>
          <w:snapToGrid w:val="0"/>
          <w:kern w:val="0"/>
          <w:sz w:val="24"/>
          <w:highlight w:val="none"/>
        </w:rPr>
        <w:t>。现对该项目的进行</w:t>
      </w:r>
      <w:r>
        <w:rPr>
          <w:rFonts w:hint="eastAsia" w:ascii="微软雅黑" w:hAnsi="微软雅黑" w:eastAsia="微软雅黑" w:cs="微软雅黑"/>
          <w:snapToGrid w:val="0"/>
          <w:kern w:val="0"/>
          <w:sz w:val="24"/>
          <w:highlight w:val="none"/>
          <w:lang w:eastAsia="zh-CN"/>
        </w:rPr>
        <w:t>网上询价</w:t>
      </w:r>
      <w:r>
        <w:rPr>
          <w:rFonts w:hint="eastAsia" w:ascii="微软雅黑" w:hAnsi="微软雅黑" w:eastAsia="微软雅黑" w:cs="微软雅黑"/>
          <w:snapToGrid w:val="0"/>
          <w:kern w:val="0"/>
          <w:sz w:val="24"/>
          <w:highlight w:val="none"/>
        </w:rPr>
        <w:t>，欢迎有资格的供应商前来参加。</w:t>
      </w:r>
    </w:p>
    <w:p w14:paraId="0849FF5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7" w:name="_Toc15150"/>
      <w:bookmarkStart w:id="8" w:name="_Toc395104609"/>
      <w:r>
        <w:rPr>
          <w:rFonts w:hint="eastAsia" w:ascii="微软雅黑" w:hAnsi="微软雅黑" w:eastAsia="微软雅黑" w:cs="微软雅黑"/>
          <w:bCs w:val="0"/>
          <w:snapToGrid w:val="0"/>
          <w:w w:val="99"/>
          <w:kern w:val="0"/>
          <w:sz w:val="24"/>
          <w:szCs w:val="24"/>
          <w:highlight w:val="none"/>
        </w:rPr>
        <w:t>一、</w:t>
      </w:r>
      <w:r>
        <w:rPr>
          <w:rFonts w:hint="eastAsia" w:ascii="微软雅黑" w:hAnsi="微软雅黑" w:eastAsia="微软雅黑" w:cs="微软雅黑"/>
          <w:bCs w:val="0"/>
          <w:snapToGrid w:val="0"/>
          <w:w w:val="99"/>
          <w:kern w:val="0"/>
          <w:sz w:val="24"/>
          <w:szCs w:val="24"/>
          <w:highlight w:val="none"/>
          <w:lang w:eastAsia="zh-CN"/>
        </w:rPr>
        <w:t>网上询价</w:t>
      </w:r>
      <w:r>
        <w:rPr>
          <w:rFonts w:hint="eastAsia" w:ascii="微软雅黑" w:hAnsi="微软雅黑" w:eastAsia="微软雅黑" w:cs="微软雅黑"/>
          <w:bCs w:val="0"/>
          <w:snapToGrid w:val="0"/>
          <w:w w:val="99"/>
          <w:kern w:val="0"/>
          <w:sz w:val="24"/>
          <w:szCs w:val="24"/>
          <w:highlight w:val="none"/>
        </w:rPr>
        <w:t>内容</w:t>
      </w:r>
      <w:bookmarkEnd w:id="2"/>
      <w:bookmarkEnd w:id="3"/>
      <w:bookmarkEnd w:id="4"/>
      <w:bookmarkEnd w:id="5"/>
      <w:bookmarkEnd w:id="6"/>
      <w:bookmarkEnd w:id="7"/>
      <w:bookmarkEnd w:id="8"/>
    </w:p>
    <w:tbl>
      <w:tblPr>
        <w:tblStyle w:val="47"/>
        <w:tblW w:w="9833"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1722"/>
        <w:gridCol w:w="1565"/>
        <w:gridCol w:w="1729"/>
        <w:gridCol w:w="2184"/>
      </w:tblGrid>
      <w:tr w14:paraId="414E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633" w:type="dxa"/>
            <w:tcBorders>
              <w:top w:val="single" w:color="auto" w:sz="4" w:space="0"/>
              <w:left w:val="single" w:color="auto" w:sz="4" w:space="0"/>
              <w:right w:val="single" w:color="auto" w:sz="4" w:space="0"/>
            </w:tcBorders>
            <w:vAlign w:val="center"/>
          </w:tcPr>
          <w:p w14:paraId="56E18799">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1722" w:type="dxa"/>
            <w:tcBorders>
              <w:top w:val="single" w:color="auto" w:sz="4" w:space="0"/>
              <w:left w:val="single" w:color="auto" w:sz="4" w:space="0"/>
              <w:right w:val="single" w:color="auto" w:sz="4" w:space="0"/>
            </w:tcBorders>
            <w:vAlign w:val="center"/>
          </w:tcPr>
          <w:p w14:paraId="0C311646">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项目投资</w:t>
            </w:r>
          </w:p>
        </w:tc>
        <w:tc>
          <w:tcPr>
            <w:tcW w:w="1565" w:type="dxa"/>
            <w:tcBorders>
              <w:top w:val="single" w:color="auto" w:sz="4" w:space="0"/>
              <w:left w:val="single" w:color="auto" w:sz="4" w:space="0"/>
              <w:right w:val="single" w:color="auto" w:sz="4" w:space="0"/>
            </w:tcBorders>
            <w:vAlign w:val="center"/>
          </w:tcPr>
          <w:p w14:paraId="5E850C22">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729" w:type="dxa"/>
            <w:tcBorders>
              <w:top w:val="single" w:color="auto" w:sz="4" w:space="0"/>
              <w:left w:val="single" w:color="auto" w:sz="4" w:space="0"/>
              <w:right w:val="single" w:color="auto" w:sz="4" w:space="0"/>
            </w:tcBorders>
            <w:vAlign w:val="center"/>
          </w:tcPr>
          <w:p w14:paraId="75C83999">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 xml:space="preserve">投标保证金     </w:t>
            </w:r>
          </w:p>
        </w:tc>
        <w:tc>
          <w:tcPr>
            <w:tcW w:w="2184" w:type="dxa"/>
            <w:tcBorders>
              <w:top w:val="single" w:color="auto" w:sz="4" w:space="0"/>
              <w:left w:val="single" w:color="auto" w:sz="4" w:space="0"/>
              <w:right w:val="single" w:color="auto" w:sz="4" w:space="0"/>
            </w:tcBorders>
            <w:vAlign w:val="center"/>
          </w:tcPr>
          <w:p w14:paraId="67FA2F81">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成交供应商数量</w:t>
            </w:r>
          </w:p>
        </w:tc>
      </w:tr>
      <w:tr w14:paraId="33F5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633" w:type="dxa"/>
            <w:tcBorders>
              <w:top w:val="single" w:color="auto" w:sz="4" w:space="0"/>
              <w:left w:val="single" w:color="auto" w:sz="4" w:space="0"/>
              <w:right w:val="single" w:color="auto" w:sz="4" w:space="0"/>
            </w:tcBorders>
            <w:vAlign w:val="center"/>
          </w:tcPr>
          <w:p w14:paraId="71DDC5AA">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重庆市涪陵区职业教育中心国家标准化考场建设视频巡查系统升级改造项目（第二次）</w:t>
            </w:r>
          </w:p>
        </w:tc>
        <w:tc>
          <w:tcPr>
            <w:tcW w:w="1722" w:type="dxa"/>
            <w:tcBorders>
              <w:top w:val="single" w:color="auto" w:sz="4" w:space="0"/>
              <w:left w:val="single" w:color="auto" w:sz="4" w:space="0"/>
              <w:right w:val="single" w:color="auto" w:sz="4" w:space="0"/>
            </w:tcBorders>
            <w:vAlign w:val="center"/>
          </w:tcPr>
          <w:p w14:paraId="3F1EEA30">
            <w:pPr>
              <w:pStyle w:val="8"/>
              <w:numPr>
                <w:ilvl w:val="0"/>
                <w:numId w:val="0"/>
              </w:numPr>
              <w:jc w:val="center"/>
              <w:rPr>
                <w:rFonts w:hint="default" w:ascii="微软雅黑" w:hAnsi="微软雅黑" w:eastAsia="微软雅黑" w:cs="微软雅黑"/>
                <w:color w:val="000000"/>
                <w:kern w:val="0"/>
                <w:sz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约48.13万元</w:t>
            </w:r>
          </w:p>
        </w:tc>
        <w:tc>
          <w:tcPr>
            <w:tcW w:w="1565" w:type="dxa"/>
            <w:tcBorders>
              <w:top w:val="single" w:color="auto" w:sz="4" w:space="0"/>
              <w:left w:val="single" w:color="auto" w:sz="4" w:space="0"/>
              <w:right w:val="single" w:color="auto" w:sz="4" w:space="0"/>
            </w:tcBorders>
            <w:vAlign w:val="center"/>
          </w:tcPr>
          <w:p w14:paraId="5F762475">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财政资金</w:t>
            </w:r>
          </w:p>
        </w:tc>
        <w:tc>
          <w:tcPr>
            <w:tcW w:w="1729" w:type="dxa"/>
            <w:tcBorders>
              <w:top w:val="single" w:color="auto" w:sz="4" w:space="0"/>
              <w:left w:val="single" w:color="auto" w:sz="4" w:space="0"/>
              <w:right w:val="single" w:color="auto" w:sz="4" w:space="0"/>
            </w:tcBorders>
            <w:vAlign w:val="center"/>
          </w:tcPr>
          <w:p w14:paraId="3617485B">
            <w:pPr>
              <w:pStyle w:val="8"/>
              <w:ind w:left="0" w:leftChars="0" w:firstLine="0" w:firstLineChars="0"/>
              <w:jc w:val="center"/>
              <w:rPr>
                <w:rFonts w:hint="default" w:eastAsia="仿宋_GB2312"/>
                <w:highlight w:val="none"/>
                <w:lang w:val="en-US" w:eastAsia="zh-CN"/>
              </w:rPr>
            </w:pPr>
            <w:r>
              <w:rPr>
                <w:rFonts w:hint="eastAsia" w:ascii="微软雅黑" w:hAnsi="微软雅黑" w:eastAsia="微软雅黑" w:cs="微软雅黑"/>
                <w:kern w:val="0"/>
                <w:sz w:val="24"/>
                <w:szCs w:val="24"/>
                <w:highlight w:val="none"/>
                <w:lang w:val="en-US" w:eastAsia="zh-CN" w:bidi="ar-SA"/>
              </w:rPr>
              <w:t>0元</w:t>
            </w:r>
          </w:p>
        </w:tc>
        <w:tc>
          <w:tcPr>
            <w:tcW w:w="2184" w:type="dxa"/>
            <w:tcBorders>
              <w:top w:val="single" w:color="auto" w:sz="4" w:space="0"/>
              <w:left w:val="single" w:color="auto" w:sz="4" w:space="0"/>
              <w:right w:val="single" w:color="auto" w:sz="4" w:space="0"/>
            </w:tcBorders>
            <w:vAlign w:val="center"/>
          </w:tcPr>
          <w:p w14:paraId="6E2D1D81">
            <w:pPr>
              <w:pStyle w:val="8"/>
              <w:ind w:left="0" w:leftChars="0" w:firstLine="0" w:firstLineChars="0"/>
              <w:jc w:val="center"/>
              <w:rPr>
                <w:rFonts w:hint="default"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szCs w:val="24"/>
                <w:highlight w:val="none"/>
                <w:lang w:val="en-US" w:eastAsia="zh-CN" w:bidi="ar-SA"/>
              </w:rPr>
              <w:t>1名</w:t>
            </w:r>
          </w:p>
        </w:tc>
      </w:tr>
    </w:tbl>
    <w:p w14:paraId="0E0333AD">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9" w:name="_Toc224103301"/>
      <w:bookmarkStart w:id="10" w:name="_Toc395104610"/>
      <w:bookmarkStart w:id="11" w:name="_Toc200359240"/>
      <w:bookmarkStart w:id="12" w:name="_Toc200359429"/>
      <w:bookmarkStart w:id="13" w:name="_Toc277082538"/>
      <w:bookmarkStart w:id="14" w:name="_Toc2628"/>
      <w:bookmarkStart w:id="15" w:name="_Toc287607730"/>
      <w:r>
        <w:rPr>
          <w:rFonts w:hint="eastAsia" w:ascii="微软雅黑" w:hAnsi="微软雅黑" w:eastAsia="微软雅黑" w:cs="微软雅黑"/>
          <w:bCs w:val="0"/>
          <w:snapToGrid w:val="0"/>
          <w:w w:val="99"/>
          <w:kern w:val="0"/>
          <w:sz w:val="24"/>
          <w:szCs w:val="24"/>
          <w:highlight w:val="none"/>
        </w:rPr>
        <w:t>二、</w:t>
      </w:r>
      <w:r>
        <w:rPr>
          <w:rFonts w:hint="eastAsia" w:ascii="微软雅黑" w:hAnsi="微软雅黑" w:eastAsia="微软雅黑" w:cs="微软雅黑"/>
          <w:bCs w:val="0"/>
          <w:snapToGrid w:val="0"/>
          <w:w w:val="99"/>
          <w:kern w:val="0"/>
          <w:sz w:val="24"/>
          <w:szCs w:val="24"/>
          <w:highlight w:val="none"/>
          <w:lang w:eastAsia="zh-CN"/>
        </w:rPr>
        <w:t>网上询价</w:t>
      </w:r>
      <w:r>
        <w:rPr>
          <w:rFonts w:hint="eastAsia" w:ascii="微软雅黑" w:hAnsi="微软雅黑" w:eastAsia="微软雅黑" w:cs="微软雅黑"/>
          <w:bCs w:val="0"/>
          <w:snapToGrid w:val="0"/>
          <w:w w:val="99"/>
          <w:kern w:val="0"/>
          <w:sz w:val="24"/>
          <w:szCs w:val="24"/>
          <w:highlight w:val="none"/>
        </w:rPr>
        <w:t>资格条件</w:t>
      </w:r>
      <w:bookmarkEnd w:id="9"/>
      <w:bookmarkEnd w:id="10"/>
      <w:bookmarkEnd w:id="11"/>
      <w:bookmarkEnd w:id="12"/>
      <w:bookmarkEnd w:id="13"/>
      <w:bookmarkEnd w:id="14"/>
      <w:bookmarkEnd w:id="15"/>
    </w:p>
    <w:p w14:paraId="70FDA3E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75B119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（一）一般资质条件</w:t>
      </w:r>
    </w:p>
    <w:p w14:paraId="3A8D04B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1.具有独立承担民事责任的能力；</w:t>
      </w:r>
    </w:p>
    <w:p w14:paraId="20CEB650">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2.具有良好的商业信誉和健全的财务会计制度；</w:t>
      </w:r>
    </w:p>
    <w:p w14:paraId="012723D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3.具有履行合同所必需的设备和专业技术能力；</w:t>
      </w:r>
    </w:p>
    <w:p w14:paraId="4AB4EB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4.有依法缴纳税收和社会保障资金的良好记录；</w:t>
      </w:r>
    </w:p>
    <w:p w14:paraId="747DEB8D">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5.参加政府采购活动前三年内，在经营活动中没有重大违法记录；</w:t>
      </w:r>
    </w:p>
    <w:p w14:paraId="0DFB738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6.法律、行政法规规定的其他条件。</w:t>
      </w:r>
    </w:p>
    <w:p w14:paraId="0149E35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（二）特定资格条件</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无</w:t>
      </w:r>
    </w:p>
    <w:p w14:paraId="0A0BB957">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Cs w:val="0"/>
          <w:snapToGrid w:val="0"/>
          <w:w w:val="99"/>
          <w:kern w:val="0"/>
          <w:sz w:val="24"/>
          <w:szCs w:val="24"/>
          <w:highlight w:val="none"/>
        </w:rPr>
      </w:pPr>
      <w:bookmarkStart w:id="16" w:name="_Toc15185"/>
      <w:r>
        <w:rPr>
          <w:rFonts w:hint="eastAsia" w:ascii="微软雅黑" w:hAnsi="微软雅黑" w:eastAsia="微软雅黑" w:cs="微软雅黑"/>
          <w:bCs w:val="0"/>
          <w:snapToGrid w:val="0"/>
          <w:w w:val="99"/>
          <w:kern w:val="0"/>
          <w:sz w:val="24"/>
          <w:szCs w:val="24"/>
          <w:highlight w:val="none"/>
          <w:lang w:val="en-US" w:eastAsia="zh-CN"/>
        </w:rPr>
        <w:t>三</w:t>
      </w:r>
      <w:r>
        <w:rPr>
          <w:rFonts w:hint="eastAsia" w:ascii="微软雅黑" w:hAnsi="微软雅黑" w:eastAsia="微软雅黑" w:cs="微软雅黑"/>
          <w:bCs w:val="0"/>
          <w:snapToGrid w:val="0"/>
          <w:w w:val="99"/>
          <w:kern w:val="0"/>
          <w:sz w:val="24"/>
          <w:szCs w:val="24"/>
          <w:highlight w:val="none"/>
        </w:rPr>
        <w:t>、</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有关说明</w:t>
      </w:r>
      <w:bookmarkEnd w:id="16"/>
    </w:p>
    <w:p w14:paraId="2EF3248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（一）供应商应通过“行采家”平台（http://www.gec123.com）进行注册，成为正式供应商方能参与采购活动。</w:t>
      </w:r>
    </w:p>
    <w:p w14:paraId="5D8A2A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（二）凡有意参加询比采购的供应商，请在行采家-电子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中心下载或到采购代理机构处领取本项目询比采购文件（含补遗、答疑、澄清文件）等询比采购前公布的所有项目资料，无论供应商下载或领取与否，均视为已知晓所有实质性要求内容。</w:t>
      </w:r>
    </w:p>
    <w:p w14:paraId="0A748E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（三）询比公告期限：自采购公告发布之日起</w:t>
      </w:r>
      <w:r>
        <w:rPr>
          <w:rFonts w:hint="eastAsia" w:ascii="微软雅黑" w:hAnsi="微软雅黑" w:eastAsia="微软雅黑" w:cs="微软雅黑"/>
          <w:snapToGrid w:val="0"/>
          <w:kern w:val="0"/>
          <w:position w:val="-2"/>
          <w:sz w:val="24"/>
          <w:highlight w:val="none"/>
          <w:lang w:val="en-US" w:eastAsia="zh-CN"/>
        </w:rPr>
        <w:t>3</w:t>
      </w:r>
      <w:r>
        <w:rPr>
          <w:rFonts w:hint="eastAsia" w:ascii="微软雅黑" w:hAnsi="微软雅黑" w:eastAsia="微软雅黑" w:cs="微软雅黑"/>
          <w:snapToGrid w:val="0"/>
          <w:kern w:val="0"/>
          <w:position w:val="-2"/>
          <w:sz w:val="24"/>
          <w:highlight w:val="none"/>
        </w:rPr>
        <w:t>个工作日。</w:t>
      </w:r>
    </w:p>
    <w:p w14:paraId="0BB3E1B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（四）报名时间及方式</w:t>
      </w:r>
    </w:p>
    <w:p w14:paraId="7C89CA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报名时间：202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8</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w:t>
      </w:r>
      <w:r>
        <w:rPr>
          <w:rFonts w:hint="eastAsia" w:ascii="微软雅黑" w:hAnsi="微软雅黑" w:eastAsia="微软雅黑" w:cs="微软雅黑"/>
          <w:snapToGrid w:val="0"/>
          <w:kern w:val="0"/>
          <w:position w:val="-2"/>
          <w:sz w:val="24"/>
          <w:highlight w:val="none"/>
        </w:rPr>
        <w:t>日至202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8</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日9:00-17:00。</w:t>
      </w:r>
    </w:p>
    <w:p w14:paraId="3DF6B8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报名方式：在询比采购报名时间内，供应商将《询比采购文件发售登记表》（加盖供应商公章）扫描后发送至278630419@QQ.com（邮箱）</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未在规定的时间发送《发售登记表》</w:t>
      </w:r>
      <w:r>
        <w:rPr>
          <w:rFonts w:hint="eastAsia" w:ascii="微软雅黑" w:hAnsi="微软雅黑" w:eastAsia="微软雅黑" w:cs="微软雅黑"/>
          <w:snapToGrid w:val="0"/>
          <w:kern w:val="0"/>
          <w:position w:val="-2"/>
          <w:sz w:val="24"/>
          <w:highlight w:val="none"/>
        </w:rPr>
        <w:t>的供应商不具备询比采购资格。</w:t>
      </w:r>
    </w:p>
    <w:p w14:paraId="219590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（五）线上报价时间和要求</w:t>
      </w:r>
    </w:p>
    <w:p w14:paraId="46F1D22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线上报价时间：202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8</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日09时00分-10时00分（北京时间，下同）。</w:t>
      </w:r>
    </w:p>
    <w:p w14:paraId="62ADBD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线上报价要求：按本项目规定的时间在行采家-电子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进行网上报价，并在规定的时间内上传响应文件电子文档。未在规定时间内报价和上传响应文件电子文档的供应商不具备询比采购资格，（上传的电子文档内容应为全部响应文件盖章后的扫描件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上传的电子文档</w:t>
      </w:r>
      <w:r>
        <w:rPr>
          <w:rFonts w:hint="eastAsia" w:ascii="微软雅黑" w:hAnsi="微软雅黑" w:eastAsia="微软雅黑" w:cs="微软雅黑"/>
          <w:snapToGrid w:val="0"/>
          <w:kern w:val="0"/>
          <w:position w:val="-2"/>
          <w:sz w:val="24"/>
          <w:highlight w:val="none"/>
        </w:rPr>
        <w:t>为准。）</w:t>
      </w:r>
    </w:p>
    <w:p w14:paraId="05E9093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（六）线下递交响应文件时间及地点</w:t>
      </w:r>
    </w:p>
    <w:p w14:paraId="7F90B8F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1.递交响应文件时间：202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8</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日9时00分-10时00分</w:t>
      </w:r>
    </w:p>
    <w:p w14:paraId="3F59ABC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2.递交响应文件地点：中兴铂码工程咨询（重庆）有限公司（重庆市涪陵区兴华中路60号财贸大厦12楼）。</w:t>
      </w:r>
    </w:p>
    <w:p w14:paraId="674948E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（七）线下提供纸质响应文件一式三份，其中正本一份，副本二份（上传电子文档内容应与纸质文件正本一致，如不一致以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上传的电子文档</w:t>
      </w:r>
      <w:r>
        <w:rPr>
          <w:rFonts w:hint="eastAsia" w:ascii="微软雅黑" w:hAnsi="微软雅黑" w:eastAsia="微软雅黑" w:cs="微软雅黑"/>
          <w:snapToGrid w:val="0"/>
          <w:kern w:val="0"/>
          <w:position w:val="-2"/>
          <w:sz w:val="24"/>
          <w:highlight w:val="none"/>
        </w:rPr>
        <w:t>为准，副本可为正本的复印件）</w:t>
      </w:r>
    </w:p>
    <w:p w14:paraId="508A5CF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（八）响应文件递交截止时间：202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8</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日10时00分</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未在规定的时间递交纸质投标资料</w:t>
      </w:r>
      <w:r>
        <w:rPr>
          <w:rFonts w:hint="eastAsia" w:ascii="微软雅黑" w:hAnsi="微软雅黑" w:eastAsia="微软雅黑" w:cs="微软雅黑"/>
          <w:snapToGrid w:val="0"/>
          <w:kern w:val="0"/>
          <w:position w:val="-2"/>
          <w:sz w:val="24"/>
          <w:highlight w:val="none"/>
        </w:rPr>
        <w:t>的供应商不具备询比采购资格</w:t>
      </w:r>
      <w:r>
        <w:rPr>
          <w:rFonts w:hint="eastAsia" w:ascii="微软雅黑" w:hAnsi="微软雅黑" w:eastAsia="微软雅黑" w:cs="微软雅黑"/>
          <w:snapToGrid w:val="0"/>
          <w:kern w:val="0"/>
          <w:position w:val="-2"/>
          <w:sz w:val="24"/>
          <w:highlight w:val="none"/>
          <w:lang w:eastAsia="zh-CN"/>
        </w:rPr>
        <w:t>。</w:t>
      </w:r>
    </w:p>
    <w:p w14:paraId="27C388A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（九）询比开始时间：202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8</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日10时00分</w:t>
      </w:r>
    </w:p>
    <w:p w14:paraId="57170F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（十）询比采购文件发售：人民币500元/份（现场</w:t>
      </w:r>
      <w:r>
        <w:rPr>
          <w:rFonts w:hint="eastAsia" w:ascii="微软雅黑" w:hAnsi="微软雅黑" w:eastAsia="微软雅黑" w:cs="微软雅黑"/>
          <w:snapToGrid w:val="0"/>
          <w:kern w:val="0"/>
          <w:position w:val="-2"/>
          <w:sz w:val="24"/>
          <w:highlight w:val="none"/>
          <w:lang w:val="en-US" w:eastAsia="zh-CN"/>
        </w:rPr>
        <w:t>递交纸质资料时缴纳</w:t>
      </w:r>
      <w:r>
        <w:rPr>
          <w:rFonts w:hint="eastAsia" w:ascii="微软雅黑" w:hAnsi="微软雅黑" w:eastAsia="微软雅黑" w:cs="微软雅黑"/>
          <w:snapToGrid w:val="0"/>
          <w:kern w:val="0"/>
          <w:position w:val="-2"/>
          <w:sz w:val="24"/>
          <w:highlight w:val="none"/>
        </w:rPr>
        <w:t>，售后不退）。</w:t>
      </w:r>
    </w:p>
    <w:p w14:paraId="68D1866C">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7" w:name="_Toc32111"/>
      <w:r>
        <w:rPr>
          <w:rFonts w:hint="eastAsia" w:ascii="微软雅黑" w:hAnsi="微软雅黑" w:eastAsia="微软雅黑" w:cs="微软雅黑"/>
          <w:bCs w:val="0"/>
          <w:snapToGrid w:val="0"/>
          <w:w w:val="99"/>
          <w:kern w:val="0"/>
          <w:sz w:val="24"/>
          <w:szCs w:val="24"/>
          <w:highlight w:val="none"/>
          <w:lang w:val="en-US" w:eastAsia="zh-CN"/>
        </w:rPr>
        <w:t>四、采购项目需落实的政府采购政策</w:t>
      </w:r>
      <w:bookmarkEnd w:id="17"/>
    </w:p>
    <w:p w14:paraId="75B0E02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5A2BC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（二）按照财政部、工业和信息化部关于印发《政府采购促进中小企业发展管理办法》的通知（财库〔2020〕46号），落实促进中小企业发展政策。</w:t>
      </w:r>
    </w:p>
    <w:p w14:paraId="36DAB0C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（三）按照《财政部、司法部关于政府采购支持监狱企业发展有关问题的通知》（财库〔2014〕68号）的规定，落实支持监狱企业发展政策。</w:t>
      </w:r>
    </w:p>
    <w:p w14:paraId="3307FB6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（四）按照《三部门联合发布关于促进残疾人就业政府采购政策的通知》（财库〔2017〕 141号）的规定，落实支持残疾人福利性单位发展政策。</w:t>
      </w:r>
    </w:p>
    <w:p w14:paraId="79C2AD7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8" w:name="_Toc26293"/>
      <w:r>
        <w:rPr>
          <w:rFonts w:hint="eastAsia" w:ascii="微软雅黑" w:hAnsi="微软雅黑" w:eastAsia="微软雅黑" w:cs="微软雅黑"/>
          <w:bCs w:val="0"/>
          <w:snapToGrid w:val="0"/>
          <w:w w:val="99"/>
          <w:kern w:val="0"/>
          <w:sz w:val="24"/>
          <w:szCs w:val="24"/>
          <w:highlight w:val="none"/>
          <w:lang w:val="en-US" w:eastAsia="zh-CN"/>
        </w:rPr>
        <w:t>五、其它有关规定</w:t>
      </w:r>
      <w:bookmarkEnd w:id="18"/>
    </w:p>
    <w:p w14:paraId="72CC362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（一）单位负责人为同一人或者存在直接控股、管理关系的不同供应商，不得参加同一合同项（包）下的政府采购活动，否则均为无效报价。</w:t>
      </w:r>
    </w:p>
    <w:p w14:paraId="6E960D4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（二）为采购项目提供整体设计、规范编制或者项目管理、监理、检测等服务的供应商，不得再参加该采购项目的其他采购活动。</w:t>
      </w:r>
    </w:p>
    <w:p w14:paraId="0E21FCA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（三）同一合同项（包）下的货物，制造商参与报价的，不得再委托代理商参与报价。</w:t>
      </w:r>
    </w:p>
    <w:p w14:paraId="4AEBB55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（四）本项目的澄清文件（如果有）一律在行采家-电子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中心上发布，请各供应商注意下载或到采购代理机构处领取；无论供应商下载或领取与否，均视同供应商已知晓本项目澄清文件（如果有）的内容。</w:t>
      </w:r>
    </w:p>
    <w:p w14:paraId="7F6B744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（五）超过响应文件截止时间递交的响应文件，恕不接收。</w:t>
      </w:r>
    </w:p>
    <w:p w14:paraId="0889E05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（六）询比费用：无论询比结果如何，供应商参与本项目询比的所有费用均应由供应商自行承担。</w:t>
      </w:r>
    </w:p>
    <w:p w14:paraId="1335C73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（七）本项目不接受联合体参与报价。</w:t>
      </w:r>
    </w:p>
    <w:p w14:paraId="42FE429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（八）法定代表人为同一个人的两个及两个以上法人，母公司、全资子公司及其控股公司，不得同时参与同一采购项目的采购活动，否则均为无效响应。</w:t>
      </w:r>
    </w:p>
    <w:p w14:paraId="1B609B3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4646461">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9" w:name="_Toc19889"/>
      <w:r>
        <w:rPr>
          <w:rFonts w:hint="eastAsia" w:ascii="微软雅黑" w:hAnsi="微软雅黑" w:eastAsia="微软雅黑" w:cs="微软雅黑"/>
          <w:bCs w:val="0"/>
          <w:snapToGrid w:val="0"/>
          <w:w w:val="99"/>
          <w:kern w:val="0"/>
          <w:sz w:val="24"/>
          <w:szCs w:val="24"/>
          <w:highlight w:val="none"/>
          <w:lang w:val="en-US" w:eastAsia="zh-CN"/>
        </w:rPr>
        <w:t>六、联系方式</w:t>
      </w:r>
      <w:bookmarkEnd w:id="19"/>
    </w:p>
    <w:p w14:paraId="091C913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（一）采购事宜联系</w:t>
      </w:r>
    </w:p>
    <w:p w14:paraId="71C48E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采购人：</w:t>
      </w:r>
      <w:r>
        <w:rPr>
          <w:rFonts w:hint="eastAsia" w:ascii="微软雅黑" w:hAnsi="微软雅黑" w:eastAsia="微软雅黑" w:cs="微软雅黑"/>
          <w:snapToGrid w:val="0"/>
          <w:kern w:val="0"/>
          <w:position w:val="-2"/>
          <w:sz w:val="24"/>
          <w:highlight w:val="none"/>
          <w:lang w:eastAsia="zh-CN"/>
        </w:rPr>
        <w:t>重庆市涪陵区职业教育中心</w:t>
      </w:r>
    </w:p>
    <w:p w14:paraId="525472B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肖</w:t>
      </w:r>
      <w:r>
        <w:rPr>
          <w:rFonts w:hint="eastAsia" w:ascii="微软雅黑" w:hAnsi="微软雅黑" w:eastAsia="微软雅黑" w:cs="微软雅黑"/>
          <w:snapToGrid w:val="0"/>
          <w:kern w:val="0"/>
          <w:position w:val="-2"/>
          <w:sz w:val="24"/>
          <w:highlight w:val="none"/>
        </w:rPr>
        <w:t>老师</w:t>
      </w:r>
    </w:p>
    <w:p w14:paraId="754669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color w:val="auto"/>
          <w:sz w:val="24"/>
          <w:szCs w:val="24"/>
          <w:highlight w:val="none"/>
          <w:lang w:val="en-US" w:eastAsia="zh-CN"/>
        </w:rPr>
        <w:t>15025644499</w:t>
      </w:r>
    </w:p>
    <w:p w14:paraId="5738319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52D60F4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采购代理：中兴铂码工程咨询（重庆）有限公司</w:t>
      </w:r>
    </w:p>
    <w:p w14:paraId="4FF57CA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联系人：闫老师</w:t>
      </w:r>
    </w:p>
    <w:p w14:paraId="70FFC86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电  话：13594579293</w:t>
      </w:r>
    </w:p>
    <w:p w14:paraId="62A54E2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（二）现场踏勘</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rPr>
        <w:t>不组织，由各投标人根据需要自行完成现场踏勘。</w:t>
      </w:r>
    </w:p>
    <w:p w14:paraId="11CA9400">
      <w:pPr>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br w:type="page"/>
      </w:r>
    </w:p>
    <w:p w14:paraId="61CA5364">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156A82F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20" w:name="_Toc23363"/>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二</w:t>
      </w:r>
      <w:r>
        <w:rPr>
          <w:rFonts w:hint="eastAsia" w:ascii="微软雅黑" w:hAnsi="微软雅黑" w:eastAsia="微软雅黑" w:cs="微软雅黑"/>
          <w:sz w:val="36"/>
          <w:szCs w:val="36"/>
          <w:highlight w:val="none"/>
        </w:rPr>
        <w:t>篇  项目</w:t>
      </w:r>
      <w:r>
        <w:rPr>
          <w:rFonts w:hint="eastAsia" w:ascii="微软雅黑" w:hAnsi="微软雅黑" w:eastAsia="微软雅黑" w:cs="微软雅黑"/>
          <w:sz w:val="36"/>
          <w:szCs w:val="36"/>
          <w:highlight w:val="none"/>
          <w:lang w:val="en-US" w:eastAsia="zh-CN"/>
        </w:rPr>
        <w:t>技术</w:t>
      </w:r>
      <w:r>
        <w:rPr>
          <w:rFonts w:hint="eastAsia" w:ascii="微软雅黑" w:hAnsi="微软雅黑" w:eastAsia="微软雅黑" w:cs="微软雅黑"/>
          <w:sz w:val="36"/>
          <w:szCs w:val="36"/>
          <w:highlight w:val="none"/>
        </w:rPr>
        <w:t>要求</w:t>
      </w:r>
      <w:bookmarkEnd w:id="20"/>
    </w:p>
    <w:p w14:paraId="178AE9F1">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21" w:name="_Toc4106"/>
      <w:bookmarkStart w:id="22" w:name="_Toc10794"/>
      <w:bookmarkStart w:id="23" w:name="_Toc30851"/>
      <w:bookmarkStart w:id="24" w:name="_Toc23120"/>
      <w:bookmarkStart w:id="25" w:name="_Toc19501"/>
      <w:bookmarkStart w:id="26" w:name="_Toc23192"/>
      <w:r>
        <w:rPr>
          <w:rFonts w:hint="eastAsia" w:ascii="微软雅黑" w:hAnsi="微软雅黑" w:eastAsia="微软雅黑" w:cs="微软雅黑"/>
          <w:b w:val="0"/>
          <w:bCs/>
          <w:snapToGrid w:val="0"/>
          <w:w w:val="99"/>
          <w:kern w:val="0"/>
          <w:sz w:val="24"/>
          <w:szCs w:val="24"/>
          <w:highlight w:val="none"/>
        </w:rPr>
        <w:t>※”标注的</w:t>
      </w:r>
      <w:r>
        <w:rPr>
          <w:rFonts w:hint="eastAsia" w:ascii="微软雅黑" w:hAnsi="微软雅黑" w:eastAsia="微软雅黑" w:cs="微软雅黑"/>
          <w:b w:val="0"/>
          <w:bCs/>
          <w:snapToGrid w:val="0"/>
          <w:w w:val="99"/>
          <w:kern w:val="0"/>
          <w:sz w:val="24"/>
          <w:szCs w:val="24"/>
          <w:highlight w:val="none"/>
          <w:lang w:val="en-US" w:eastAsia="zh-CN"/>
        </w:rPr>
        <w:t>服务</w:t>
      </w:r>
      <w:r>
        <w:rPr>
          <w:rFonts w:hint="eastAsia" w:ascii="微软雅黑" w:hAnsi="微软雅黑" w:eastAsia="微软雅黑" w:cs="微软雅黑"/>
          <w:b w:val="0"/>
          <w:bCs/>
          <w:snapToGrid w:val="0"/>
          <w:w w:val="99"/>
          <w:kern w:val="0"/>
          <w:sz w:val="24"/>
          <w:szCs w:val="24"/>
          <w:highlight w:val="none"/>
        </w:rPr>
        <w:t>需求为符合性审查中的实质性要求，投标文件若不满足按无效投标处理</w:t>
      </w:r>
      <w:bookmarkEnd w:id="21"/>
      <w:bookmarkEnd w:id="22"/>
      <w:bookmarkEnd w:id="23"/>
      <w:bookmarkEnd w:id="24"/>
      <w:bookmarkEnd w:id="25"/>
      <w:bookmarkEnd w:id="26"/>
    </w:p>
    <w:bookmarkEnd w:id="0"/>
    <w:p w14:paraId="40B439BF">
      <w:pPr>
        <w:pStyle w:val="4"/>
        <w:spacing w:before="0" w:after="0" w:line="240" w:lineRule="auto"/>
        <w:rPr>
          <w:rFonts w:hint="default" w:ascii="微软雅黑" w:hAnsi="微软雅黑" w:eastAsia="微软雅黑" w:cs="微软雅黑"/>
          <w:b/>
          <w:bCs w:val="0"/>
          <w:snapToGrid w:val="0"/>
          <w:w w:val="99"/>
          <w:kern w:val="0"/>
          <w:sz w:val="24"/>
          <w:szCs w:val="24"/>
          <w:highlight w:val="none"/>
          <w:lang w:val="en-US" w:eastAsia="zh-CN" w:bidi="ar-SA"/>
        </w:rPr>
      </w:pPr>
      <w:bookmarkStart w:id="27" w:name="_Toc22795"/>
      <w:r>
        <w:rPr>
          <w:rFonts w:hint="eastAsia" w:ascii="微软雅黑" w:hAnsi="微软雅黑" w:eastAsia="微软雅黑" w:cs="微软雅黑"/>
          <w:b/>
          <w:bCs w:val="0"/>
          <w:snapToGrid w:val="0"/>
          <w:w w:val="99"/>
          <w:kern w:val="0"/>
          <w:sz w:val="24"/>
          <w:szCs w:val="24"/>
          <w:highlight w:val="none"/>
          <w:lang w:val="en-US" w:eastAsia="zh-CN" w:bidi="ar-SA"/>
        </w:rPr>
        <w:t>※一、招标项目一览表</w:t>
      </w:r>
      <w:bookmarkEnd w:id="27"/>
    </w:p>
    <w:tbl>
      <w:tblPr>
        <w:tblStyle w:val="47"/>
        <w:tblW w:w="9188"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2576"/>
        <w:gridCol w:w="2185"/>
        <w:gridCol w:w="1255"/>
      </w:tblGrid>
      <w:tr w14:paraId="0595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72" w:type="dxa"/>
            <w:tcBorders>
              <w:top w:val="single" w:color="auto" w:sz="4" w:space="0"/>
              <w:left w:val="single" w:color="auto" w:sz="4" w:space="0"/>
              <w:right w:val="single" w:color="auto" w:sz="4" w:space="0"/>
            </w:tcBorders>
            <w:vAlign w:val="center"/>
          </w:tcPr>
          <w:p w14:paraId="6A5D949E">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2576" w:type="dxa"/>
            <w:tcBorders>
              <w:top w:val="single" w:color="auto" w:sz="4" w:space="0"/>
              <w:left w:val="single" w:color="auto" w:sz="4" w:space="0"/>
              <w:right w:val="single" w:color="auto" w:sz="4" w:space="0"/>
            </w:tcBorders>
            <w:vAlign w:val="center"/>
          </w:tcPr>
          <w:p w14:paraId="0E6A035F">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最高限价</w:t>
            </w:r>
            <w:r>
              <w:rPr>
                <w:rFonts w:hint="eastAsia" w:ascii="微软雅黑" w:hAnsi="微软雅黑" w:eastAsia="微软雅黑" w:cs="微软雅黑"/>
                <w:bCs/>
                <w:kern w:val="0"/>
                <w:sz w:val="24"/>
                <w:highlight w:val="none"/>
              </w:rPr>
              <w:t>（元）</w:t>
            </w:r>
          </w:p>
        </w:tc>
        <w:tc>
          <w:tcPr>
            <w:tcW w:w="2185" w:type="dxa"/>
            <w:tcBorders>
              <w:top w:val="single" w:color="auto" w:sz="4" w:space="0"/>
              <w:left w:val="single" w:color="auto" w:sz="4" w:space="0"/>
              <w:right w:val="single" w:color="auto" w:sz="4" w:space="0"/>
            </w:tcBorders>
            <w:vAlign w:val="center"/>
          </w:tcPr>
          <w:p w14:paraId="662FE404">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255" w:type="dxa"/>
            <w:tcBorders>
              <w:top w:val="single" w:color="auto" w:sz="4" w:space="0"/>
              <w:left w:val="single" w:color="auto" w:sz="4" w:space="0"/>
              <w:right w:val="single" w:color="auto" w:sz="4" w:space="0"/>
            </w:tcBorders>
            <w:vAlign w:val="center"/>
          </w:tcPr>
          <w:p w14:paraId="6239ABDF">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备注</w:t>
            </w:r>
          </w:p>
        </w:tc>
      </w:tr>
      <w:tr w14:paraId="2599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172" w:type="dxa"/>
            <w:tcBorders>
              <w:top w:val="single" w:color="auto" w:sz="4" w:space="0"/>
              <w:left w:val="single" w:color="auto" w:sz="4" w:space="0"/>
              <w:right w:val="single" w:color="auto" w:sz="4" w:space="0"/>
            </w:tcBorders>
            <w:vAlign w:val="center"/>
          </w:tcPr>
          <w:p w14:paraId="54AE030B">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重庆市涪陵区职业教育中心国家标准化考场建设视频巡查系统升级改造项目（第二次）</w:t>
            </w:r>
          </w:p>
        </w:tc>
        <w:tc>
          <w:tcPr>
            <w:tcW w:w="2576" w:type="dxa"/>
            <w:tcBorders>
              <w:top w:val="single" w:color="auto" w:sz="4" w:space="0"/>
              <w:left w:val="single" w:color="auto" w:sz="4" w:space="0"/>
              <w:right w:val="single" w:color="auto" w:sz="4" w:space="0"/>
            </w:tcBorders>
            <w:shd w:val="clear" w:color="auto" w:fill="auto"/>
            <w:vAlign w:val="center"/>
          </w:tcPr>
          <w:p w14:paraId="17A3CFE1">
            <w:pPr>
              <w:spacing w:line="360" w:lineRule="auto"/>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481333.59</w:t>
            </w:r>
          </w:p>
        </w:tc>
        <w:tc>
          <w:tcPr>
            <w:tcW w:w="2185" w:type="dxa"/>
            <w:tcBorders>
              <w:top w:val="single" w:color="auto" w:sz="4" w:space="0"/>
              <w:left w:val="single" w:color="auto" w:sz="4" w:space="0"/>
              <w:right w:val="single" w:color="auto" w:sz="4" w:space="0"/>
            </w:tcBorders>
            <w:vAlign w:val="center"/>
          </w:tcPr>
          <w:p w14:paraId="62F68F02">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财政资金</w:t>
            </w:r>
          </w:p>
        </w:tc>
        <w:tc>
          <w:tcPr>
            <w:tcW w:w="1255" w:type="dxa"/>
            <w:tcBorders>
              <w:top w:val="single" w:color="auto" w:sz="4" w:space="0"/>
              <w:left w:val="single" w:color="auto" w:sz="4" w:space="0"/>
              <w:right w:val="single" w:color="auto" w:sz="4" w:space="0"/>
            </w:tcBorders>
            <w:vAlign w:val="center"/>
          </w:tcPr>
          <w:p w14:paraId="19E5E6BB">
            <w:pPr>
              <w:pStyle w:val="8"/>
              <w:ind w:left="0" w:leftChars="0" w:firstLine="0" w:firstLineChars="0"/>
              <w:jc w:val="center"/>
              <w:rPr>
                <w:rFonts w:hint="default"/>
                <w:highlight w:val="none"/>
                <w:lang w:val="en-US"/>
              </w:rPr>
            </w:pPr>
          </w:p>
        </w:tc>
      </w:tr>
    </w:tbl>
    <w:p w14:paraId="2BC936D4">
      <w:pPr>
        <w:rPr>
          <w:rFonts w:hint="eastAsia" w:ascii="微软雅黑" w:hAnsi="微软雅黑" w:eastAsia="微软雅黑" w:cs="微软雅黑"/>
          <w:b w:val="0"/>
          <w:bCs w:val="0"/>
          <w:snapToGrid w:val="0"/>
          <w:kern w:val="0"/>
          <w:position w:val="-2"/>
          <w:sz w:val="24"/>
          <w:highlight w:val="none"/>
        </w:rPr>
      </w:pPr>
    </w:p>
    <w:p w14:paraId="7E8DE71A">
      <w:pPr>
        <w:pStyle w:val="4"/>
        <w:spacing w:before="0" w:after="0" w:line="312" w:lineRule="auto"/>
        <w:ind w:firstLine="720" w:firstLineChars="300"/>
        <w:rPr>
          <w:rFonts w:hint="default" w:ascii="微软雅黑" w:hAnsi="微软雅黑" w:eastAsia="微软雅黑" w:cs="微软雅黑"/>
          <w:color w:val="auto"/>
          <w:sz w:val="24"/>
          <w:szCs w:val="24"/>
          <w:highlight w:val="none"/>
          <w:lang w:val="en-US" w:eastAsia="zh-CN"/>
        </w:rPr>
      </w:pPr>
      <w:bookmarkStart w:id="28" w:name="_Toc23055"/>
      <w:bookmarkStart w:id="29" w:name="_Toc11840"/>
      <w:bookmarkStart w:id="30" w:name="_Toc12886"/>
      <w:bookmarkStart w:id="31" w:name="_Toc106030879"/>
      <w:bookmarkStart w:id="32" w:name="_Toc76462325"/>
      <w:bookmarkStart w:id="33" w:name="_Toc17777"/>
      <w:bookmarkStart w:id="34" w:name="_Toc18086"/>
      <w:bookmarkStart w:id="35" w:name="_Toc27350"/>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rPr>
        <w:t>项目基本</w:t>
      </w:r>
      <w:bookmarkEnd w:id="28"/>
      <w:bookmarkEnd w:id="29"/>
      <w:bookmarkEnd w:id="30"/>
      <w:bookmarkEnd w:id="31"/>
      <w:bookmarkEnd w:id="32"/>
      <w:bookmarkStart w:id="36" w:name="_Toc23923"/>
      <w:r>
        <w:rPr>
          <w:rFonts w:hint="eastAsia" w:ascii="微软雅黑" w:hAnsi="微软雅黑" w:eastAsia="微软雅黑" w:cs="微软雅黑"/>
          <w:color w:val="auto"/>
          <w:sz w:val="24"/>
          <w:szCs w:val="24"/>
          <w:highlight w:val="none"/>
          <w:lang w:val="en-US" w:eastAsia="zh-CN"/>
        </w:rPr>
        <w:t>技术要求</w:t>
      </w:r>
    </w:p>
    <w:bookmarkEnd w:id="36"/>
    <w:tbl>
      <w:tblPr>
        <w:tblStyle w:val="4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2"/>
        <w:gridCol w:w="1358"/>
        <w:gridCol w:w="6726"/>
        <w:gridCol w:w="423"/>
        <w:gridCol w:w="596"/>
      </w:tblGrid>
      <w:tr w14:paraId="613C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E490B">
            <w:pPr>
              <w:keepNext w:val="0"/>
              <w:keepLines w:val="0"/>
              <w:widowControl/>
              <w:suppressLineNumbers w:val="0"/>
              <w:jc w:val="center"/>
              <w:textAlignment w:val="center"/>
              <w:rPr>
                <w:rFonts w:ascii="等线" w:hAnsi="等线" w:eastAsia="等线" w:cs="等线"/>
                <w:b/>
                <w:bCs/>
                <w:i w:val="0"/>
                <w:iCs w:val="0"/>
                <w:color w:val="000000"/>
                <w:sz w:val="18"/>
                <w:szCs w:val="18"/>
                <w:highlight w:val="none"/>
                <w:u w:val="none"/>
              </w:rPr>
            </w:pPr>
            <w:bookmarkStart w:id="37" w:name="_Toc5394"/>
            <w:bookmarkStart w:id="38" w:name="_Toc14589"/>
            <w:bookmarkStart w:id="39" w:name="_Toc6325"/>
            <w:r>
              <w:rPr>
                <w:rFonts w:hint="eastAsia" w:ascii="等线" w:hAnsi="等线" w:eastAsia="等线" w:cs="等线"/>
                <w:b/>
                <w:bCs/>
                <w:i w:val="0"/>
                <w:iCs w:val="0"/>
                <w:color w:val="000000"/>
                <w:kern w:val="0"/>
                <w:sz w:val="18"/>
                <w:szCs w:val="1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3B536">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项目主材名称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5A907">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E3A6E">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E08BE">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数量</w:t>
            </w:r>
          </w:p>
        </w:tc>
      </w:tr>
      <w:tr w14:paraId="3DB8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46CAD">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C4A858">
            <w:pPr>
              <w:keepNext w:val="0"/>
              <w:keepLines w:val="0"/>
              <w:widowControl/>
              <w:suppressLineNumbers w:val="0"/>
              <w:jc w:val="left"/>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前端设备</w:t>
            </w:r>
          </w:p>
        </w:tc>
      </w:tr>
      <w:tr w14:paraId="4A92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BA1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C53D2">
            <w:pPr>
              <w:keepNext w:val="0"/>
              <w:keepLines w:val="0"/>
              <w:widowControl/>
              <w:suppressLineNumbers w:val="0"/>
              <w:jc w:val="left"/>
              <w:textAlignment w:val="center"/>
              <w:rPr>
                <w:rFonts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高清晰拾音器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9EE27">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1、工程塑胶结构，坚固、耐用、美观，防止射频干扰，抑制环境周边的噪音；</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2、采用专业录音采访拾音头、精益的设计与电路处理技术、产品音质清晰自然；</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3、内置自动增益AGC 电路、自动抑制高强度声音、消除远近距离的声音差别、使回放声音更透彻明亮；</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4、自动调节高强度声音和瞬间冲击音，可靠保护后端音频监控设备安全；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5、-25℃ ～ 70℃工作温度范围，满足各种恶劣环境下工作；</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6、集成专业语音处理芯片，可接有源音箱、电脑、硬盘录像机、网络摄像机等。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74A8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D817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60</w:t>
            </w:r>
          </w:p>
        </w:tc>
      </w:tr>
      <w:tr w14:paraId="3C5F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B4C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D58E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标考考场专用摄像机含软件（嵌入式）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A45D7">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1、符合《国家教育考试网上巡查系统视频标准技术规范（2017版）》相关技术规范；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2、支持绊线入侵，区域入侵；</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3、采用高性能400万像素1/3英寸CMOS图像传感器，低照度效果好，图像清晰度高；</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4、可输出400万（2560×1440）@25fps，最大可输出400万（2688×1520）@20fps；</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5、支持H.265编码，压缩比高，实现超低码流传输；</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6、内置高效红外补光灯，红外监控距离≥30米；</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7、支持走廊模式，宽动态，3D降噪，强光抑制，背光补偿，数字水印，适用不同监控环境；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8、支持ROI，SMART H.264/H.265，灵活编码，适用不同带宽和存储环境；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9、支持报警2进2出，音频1进1出，支持≥256 GB Micro SD卡；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10、支持DC12V/POE供电方式，支持12V电源返送，电流≥165mA，方便工程安装；</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11、支持IP67、IK10防护等级；</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12、最低照度：彩色≤0.0031x ，能分辨反射式视频矩阵测试卡中彩色色块，黑白≤0. 00031x，能分辨反射式视频分辨率测试卡中圆形轮廓；</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13、支持通过IE浏览器或客户端软件开启/关闭，功能开启后，当监控场景被遮挡时，可在客户端给出报警提示并上传中心、上传FTP、发送邮件及联动录像。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14、★为保证考试期间设备稳定，且能与学校已建标准化考试巡查系统、市级考试巡查系统互联互通，投标时需提供设备制造商针对本项目的互联互通接入承诺书及原厂售后服务承诺函（投标文件中提供加盖制造商鲜章的证明文件复印件，签订合同时提供原件），合同签订前提供样品进行安装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08DB9">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7F40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60</w:t>
            </w:r>
          </w:p>
        </w:tc>
      </w:tr>
      <w:tr w14:paraId="6392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039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3717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专用支架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FDD0F">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考场摄像机专用支架，金属材质，支持内部走线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EEE40">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003F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96</w:t>
            </w:r>
          </w:p>
        </w:tc>
      </w:tr>
      <w:tr w14:paraId="03BC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8B75">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2BF4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LED时钟显示屏移装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EDCD0">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1、拆除原有LED时钟显示屏；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2、安装于教室正前方，高度 2.5~3.0 米，避免遮挡；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3、电源及网络连接分开走线，防止信号干扰，要求走线隐蔽，美观安全；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4、进行网络统一授时测试，确保每个时钟显示屏时间完全一致。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6CA2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BCE01">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96</w:t>
            </w:r>
          </w:p>
        </w:tc>
      </w:tr>
      <w:tr w14:paraId="4FCD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5DE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DC22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终端箱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27F6C">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1、安装方式：明装；</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2、材质：塑料；</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3、尺寸：要求可存放小型交换机、摄像机电源；</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4、其它要求：外观美观、规整，方便维护，内配电源插座。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A2E97">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E863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77</w:t>
            </w:r>
          </w:p>
        </w:tc>
      </w:tr>
      <w:tr w14:paraId="2B47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1E1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297A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稳压开关电源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F1369">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1、输入规格：AC180V~260V，50Hz，0.6A；</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2、输出规格：DC12V/2A；</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3、输出功率：24W Max；</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4、具备短路保护、过流保护、输出过压保护等多种保护功能；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5、符合信息技术类认证标准，并取得3C认证，良好的EMC性能，符合RoHS2。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9E482">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8AE1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60</w:t>
            </w:r>
          </w:p>
        </w:tc>
      </w:tr>
      <w:tr w14:paraId="6AB9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050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731D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原标考摄像机移装调整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3648E">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1、拆除原有监控摄像机；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2、安装于教室最合适位置，确保无监控盲区；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3、监控区域覆盖考生座位、监考台、试卷收发区、出入口；</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4、安装高度2.5~3.5 米，避免遮挡，同时防止考生触碰；</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5、摄像机线路连接，要求走线隐蔽，美观；</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6、摄像机系统平台接入联调，验证功能完好，确保画面清晰，无频闪；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CA36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B825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36</w:t>
            </w:r>
          </w:p>
        </w:tc>
      </w:tr>
      <w:tr w14:paraId="2BC9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E5780">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9C227D">
            <w:pPr>
              <w:keepNext w:val="0"/>
              <w:keepLines w:val="0"/>
              <w:widowControl/>
              <w:suppressLineNumbers w:val="0"/>
              <w:jc w:val="left"/>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传输设备</w:t>
            </w:r>
          </w:p>
        </w:tc>
      </w:tr>
      <w:tr w14:paraId="7CEB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A8E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538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5口全千兆交换机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11D56">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1、千兆电口≥5个，交换容量≥10 Gbps，包转发率≥7.44 Mpps；</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2、线速转发、无阻塞设计；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3、坚固式高强度金属外壳；</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4、无风扇设计，高可靠性；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2630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ED6C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48</w:t>
            </w:r>
          </w:p>
        </w:tc>
      </w:tr>
      <w:tr w14:paraId="4F38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4D3F">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CF0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8口全千兆交换机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2CFAB">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1、千兆电口≥8个，交换容量≥16 Gbps，包转发率≥11.9 Mpps；</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2、线速转发、无阻塞设计；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3、坚固式高强度金属外壳；</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4、无风扇设计，高可靠性；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74C4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B4FFF">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24</w:t>
            </w:r>
          </w:p>
        </w:tc>
      </w:tr>
      <w:tr w14:paraId="0DCF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87D9">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E32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超五类网线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A7B59">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1、支持千兆以太网信号传输；</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2、导体直径（网线）≥0.5mm 24AWG，无氧铜芯，直流电阻小，信号衰减小；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3、PVC阻燃护套，耐磨、抗拉强度高，安全有保障；</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4、均匀双绞结构，产品性能稳定，有效降低干扰，确保信号传输质量；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5、具有CNAS标识的TICW国缆检测报告，提供检测报告复印件。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352C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4CE7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2400</w:t>
            </w:r>
          </w:p>
        </w:tc>
      </w:tr>
      <w:tr w14:paraId="11D2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A860">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62D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A6239">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1、RVV2*1.5无氧铜线芯，电阻低，导电性强，传输损耗低，发热小，更省电；</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2、环保绝缘、护被，耐磨耐拉伸，抗潮防冻，抵抗各种恶劣气候，可靠耐用；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3、线芯同心度高，绝缘和护套厚度均匀，防止击穿，符合国家3C认证，全力保障用电安全；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4、线芯绝缘颜色鲜艳，便于区分，便于施工识别；</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5、符合RoHS 2.0 环保认证。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4CE8E">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60F3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1650</w:t>
            </w:r>
          </w:p>
        </w:tc>
      </w:tr>
      <w:tr w14:paraId="76EC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42A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D6E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PVC槽板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2C226">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符合国标PVC方型线槽，规格≥39*18MM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D33C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A23F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1230</w:t>
            </w:r>
          </w:p>
        </w:tc>
      </w:tr>
      <w:tr w14:paraId="5E53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780CC">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0F34FA">
            <w:pPr>
              <w:keepNext w:val="0"/>
              <w:keepLines w:val="0"/>
              <w:widowControl/>
              <w:suppressLineNumbers w:val="0"/>
              <w:jc w:val="left"/>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控制中心设备</w:t>
            </w:r>
          </w:p>
        </w:tc>
      </w:tr>
      <w:tr w14:paraId="247D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EECF">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62B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UPS电源主机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0F3AC">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1、在线式双变换高频型UPS，三进单出/单进单出现场可调，容量≥15kVA/13.5KW，额定输出功率因数应≥0.9；</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2、输出额定电压应220/230/240VAC可调；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3、采用先进的DSP数字控制技术，可在较为恶劣的用电环境下能够确保持续稳定的运行；</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4、输出为额定阻性负载时，输入电压范围应不小于：304~456VAC；</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5、输入功率因数≥0.99（100%、50%、30%非线性负载时）；</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6、输入电流谐波成份：100％额定非线性负载≤4.8%，50％额定非线性负载≤7.7%，30％额定非线性负载≤10.8%；</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7、输入电压波形失真度≤5%，输出额定阻性负载与非线性负载，输出电压波形失真度应为：100%市电阻性负载≤0.7%，100%市电非线性负载≤2.8%；</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8、 应具备直流冷启动功能：UPS主机在没有接入市电时，可通过蓄电池组直接开机；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9、UPS主机中的功率板采用涂敷三防漆工艺，具有防潮、防尘、防漏电、防腐蚀、防锈、防盐雾、防震、防老化、绝缘、耐电晕等性能；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10、UPS主机须满足CQC3108-2011《不间断电源节能认证技术规范》标准要求；</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11、UPS主机须通过CE及ROHS认证，认证范围须包含本项目投标型号。（投标时须提供CE认证证书、ROHS认证证书的原件复印件并加盖厂家公章）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C995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641A2">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r>
      <w:tr w14:paraId="6C78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7A51">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A27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UPS电池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9E143">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1、采用阀控式密封铅酸蓄电池，单节蓄电池标称电压12V，单节蓄电池容量≥100Ah；</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2、蓄电池正常浮充状态下，其浮充期待寿命可达10年；</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蓄电池密封反应效率≥98.3%；蓄电池端电压均衡性，开路≤10mV，浮充≤7mV，放电≤0.2V；同组蓄电池10h率容量试验时，最大实际容量与最小实际容量差值应≤1.1%；（提供本项目蓄电池同规格、同型号的第三方检验报告复印件佐证，并加盖厂家公章）</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4、完全充电后的蓄电池以0.3I10A连续充电160h，无变形、无漏液；</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5、防爆性能：蓄电池充电过程中遇明火，内部应不引燃、不引爆；</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6、要求蓄电池与UPS主机为同一品牌。（投标时提供加盖厂家公章的声明函复印件）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829C7">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6493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16</w:t>
            </w:r>
          </w:p>
        </w:tc>
      </w:tr>
      <w:tr w14:paraId="6FD2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B7E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A4F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标考拼接显示单元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D82F3">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液晶拼接显示单元所采用工业液晶面板，支持高清显示，响应时间≤8ms，静态对比度≤1200:1，显示色彩16.7M，亮度≥500cd/㎡，亮度、色彩均匀性亮度均匀性≥85%，色彩均匀性≥95%，可视角度水平可视角度≥178°，垂直可视角度≥178°，待机功耗  待机功耗≤0.5w，物理分辨率1920*1080@60Hz；</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2、显示屏幕对角线尺寸≥46英寸；</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3、屏幕支持防灼烧功能，能够有效改善液晶长时间显示静态画面时造成的残影现象；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4、具有智能温控功能，当屏幕温度在55℃-60℃之间时，会提醒用户温度过高，请及时通风；当温度超过60℃，屏幕会立即进入休眠状态；等温度降至50℃以下会被唤醒或者通过遥控器主动唤醒；</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设备支持标准、柔和、动态、自定义等多种图像显示模式，自定义下可以随意修改亮度、对比度、锐度、饱和度、色调的值;支持正常、3种夜晚和3种日照等多种情景模式，能适应夜晚过暗或白天过曝情景的显示，具有宽动态效果；</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6、提供国家强制性产品认证证书CCC复印件、中国节能产品认证证书（能效等级：1级）复印件并加盖制造商公章；</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7、提供针对本项目的拼接屏安装设计方案整体布置图。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BCDB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2271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24</w:t>
            </w:r>
          </w:p>
        </w:tc>
      </w:tr>
      <w:tr w14:paraId="362F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D5E0">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48A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模块化框架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54FE4">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1、产品规格：46英寸新型模块化框架，配置：左右上封板、前开门/前封板，后留空；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2、材质采用优质冷轧钢板(SPCC)，材料厚度≥T1.0-T5不等；</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3、颜色要求为黑色；</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4、框架厚度≥450mm；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5、表面处理：静电喷塑，涂层厚度&gt;60微米；</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6、底座高度：600/800/1000/1200mm根据现场调整，后拉杆长度：600-900mm；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7、适用规模：适用于设计24块46英寸拼接屏安装。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6254F">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991E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24</w:t>
            </w:r>
          </w:p>
        </w:tc>
      </w:tr>
      <w:tr w14:paraId="4076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6E3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86E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显示单元连接线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2CEB2">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1、HDMI线2.0版；</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2、支持数字高清线工程级；</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3、支持3D视频；</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4、支持笔记本电脑、电视机顶盒、拼接显示器等；</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5、接头为加厚铜壳，镀金工艺更耐用。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1C185">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03E3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25</w:t>
            </w:r>
          </w:p>
        </w:tc>
      </w:tr>
      <w:tr w14:paraId="0007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E96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FBB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LED条幅显示屏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0A9B5">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1、像素结构：红色发光管和绿色发光管；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2、像素间距：4.75（mm）；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3、灯珠尺寸：2121；</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4、模组尺寸：304×152（mm）；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5、模组分辨率：64×32；</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6、模组面积：0.046（㎡）；</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7、像素密度：44321点/㎡；</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8、可视角：水平140º/垂直120º；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9、亮度：≥300 cd/m²；</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10、刷新率：≥300 Hz；</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11、最佳视距：5m；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12、配套电源、连接线束、异步控制卡、2550黑色型材边框。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F7E1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0A120">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2.5</w:t>
            </w:r>
          </w:p>
        </w:tc>
      </w:tr>
      <w:tr w14:paraId="6C04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978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134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电视墙装饰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2CEAA">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1、电视墙框架外部分装饰，采用轻钢龙骨、木板、铝塑板等材料；</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2、设计合理、美观大方；</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3、提供针对比本项目的电视墙装饰设计图。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4AB6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552A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10</w:t>
            </w:r>
          </w:p>
        </w:tc>
      </w:tr>
      <w:tr w14:paraId="75A3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736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B0A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标考高清电视墙管理平台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EE465">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1、符合《国家教育考试网上巡查系统视频标准技术规范（2017版）》相关技术规范；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2、标准19英寸、4U机架设计，电信运营级系统机箱；</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3、支持插卡式模块设计，可根据市场需求灵活配置；</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4、支持业务卡支持热插拔，可方便进行维护；</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5、冗余风扇散热系统设计，支持吹抽两种模式同时工作，智能调控温度，配合机箱结构，确保机箱内温度平衡；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6、双通道冗余电源设计，支持直流/交流电源，适应于机房等应用环境；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7、支持模拟、数字视频信号的输入和矩阵输出；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8、支持高清视频信号的矩阵切换和输出；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9、支持模拟/SDI/同轴高清信号无压缩直接输出上墙；</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10、采用H.264或MPEG4视频压缩标准，支持双码流技术，可变码流，支持复合流和视频流编码，且音频和视频同步；</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11、支持80路高清视频编码能力或320路标清视频编码能力；</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12、支持4K点对点输出显示；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13、支持300W/500W/800W/1200W解码；</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14、满配最大支持80路3840*2160@30fps/320路1080p@30fps及以下标清视频解码能力；</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15、支持解码H.265/H264/MPEG4，满配最大支持320路H.265的1080P解码输出；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16、支持解码SVAC和非标码流；</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17、支持1/4/9/16画面分割显示，支持自由分割；</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18、★支持实时监测设备运作情况，可在本地界面实时显示机箱温度、风扇转速、子板信息、电源模块信息、网络使用信息，发生IP/MAC地址冲突时，可在本地界面上进行提示（投标时该条参数需提供加盖制造商鲜章的第三方检测报告扫描件)）；</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19、★支持调用主码流、辅码流、三码流解码，支持远程录像文件的解码上墙，并支持选择实时/流畅的解码策略（投标时该条参数需提供加盖制造商鲜章的第三方检测报告扫描件)）；</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20、★为保证考试期间设备稳定且能与重庆市国家级考试巡查系统互联互通，该产品必须由原厂家出具针对本项目的售后服务承诺函及互联互通接入承诺书。（投标文件中提供加盖制造商鲜章的证明文件扫描件，签订合同时提供原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67B15">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E69E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r>
      <w:tr w14:paraId="5088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F69E">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261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电视墙管理平台解码卡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E8C9D">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1、每张解码卡支持6路HDMI（或VGA或DVI）信号输出；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2、支持电视墙管理软件远程控制；</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3、支持多屏拼接控制，开窗、漫游等大屏拼接功能；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4、支持电子透雾功能；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5、★与标考高清电视墙管理平台为同一品牌，并可完全适配标考高清电视墙管理平台设备。（投标时提供加盖制造商鲜章的声明函复印件，签订合同时提供原件）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DDA2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25229">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4</w:t>
            </w:r>
          </w:p>
        </w:tc>
      </w:tr>
      <w:tr w14:paraId="4F0A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B39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3FE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标考大屏中控管理平台软件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F7959">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1、符合《国家教育考试网上巡查系统视频标准技术规范（2017 版）》相关技术规范；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2、支持输出屏幕的自由绑定、自由开窗、窗口放缩融合拼接以及漫游等功能；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3、支持远程控制解码矩阵和电视墙管理平台对音视频图像以及编码图像的上墙解码和管理；</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4、分屏方式：支持控制电视墙 1 分屏、4 分屏、6 分屏、8 分屏、9 分屏、16 分屏多种模式；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5、画面轮巡：支持设置多种自定义的轮巡设置；</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6、大屏融合：支持屏幕的拼接融合；</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7、常规列表：非考试期间查看所有监控点列表信息，考试期间自动切换到对应考试列表；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8、搜索功能：对其展开的节点列表或导入的历史节点列表可以进行模糊搜索、精确定位；</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9、智能传输：根据前端与后端网络情况，智能选择最佳网络路径进行拉流传输；</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10、根据网络使用环境及解码性能，可自动切换为相应码率的音视频图像。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F9B1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68DE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r>
      <w:tr w14:paraId="20C7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B37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F69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存储硬盘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A3B38">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1、容量≥8TB，3.5英寸，SATA3.0接口，转速5400RPM；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2、空气盘， CMR传统磁记录；</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3、传输速率≥215MB/s，流畅存储视频有效防止丢帧；</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4、高级格式（AF）512e扇区技术，保障硬盘扇区4K对齐；</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5、满足数据严苛的7*24小时运行可靠性、安全性的需求；</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6、支持≥3年有限质保服务。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884D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0E6E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8</w:t>
            </w:r>
          </w:p>
        </w:tc>
      </w:tr>
      <w:tr w14:paraId="2066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9DC9">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55D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6FE2D">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1、交换容量≥336Gbps/3.36Tbps，包转发率≥126Mpps，电口≥24个10/100/1000Base-T自适应以太网端口、光口≥4个千兆SFP口；</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2、支持802.1X，MAC认证，端口安全，支持LACP协议，支持4K个VLAN，支持最大16K MAC地址及黑洞MAC等特性，支持基于端口的二三层优先级自动映射，支持基于端口的镜像，支持重定向，支持端口隔离，支持访问控制列表，支持端口限速，支持IPv6，支持Jumbo Frame，支持以太网OAM：802.3ah 和802.1ag (CFD:Connectivity Fault Detection，连通错误检测）丰富IPv6功能；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3、支持丰富的ARP防御功能，例如ARP Detection，实现用户合法性检查功能和ARP报文有效性检查功能，ARP限速，避免大量ARP报文对CPU进行冲击等等；</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4、支持L2（Layer 2）~L4（Layer 4）包过滤功能，提供基于源MAC地址、目的MAC地址、源IP地址、目的IP地址、TCP/UDP端口号、协议类型、VLAN的流分类。提供灵活的对列调度算法，可以同时基于端口和队列进行设置，支持SP、WRR、SP+WRR三种模式；同时还支持入/出方向双向ACL、支持流量监管CAR功能、支持出/入方向的端口/流镜像，用于对指定端口上的报文进行监控，将端口上的数据包复制到监控端口，以进行网络检测和故障排除；</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5、支持SNMPv1/v2/v3（Simple Network Management Protocol）；支持CLI命令行，Web网管，TELNET，使设备管理更方便，并且支持SSH2.0等加密方式，使得管理更加安全；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6、具备设备级和链路级的多重可靠性保护。硬件支持过流保护、过压保护和过热保护技术；支持电源和风扇的故障检测及告警，可以根据温度的变化自动调节风扇的转速，这些设计使设备具备了很高的可靠性。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F3D51">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18542">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r>
      <w:tr w14:paraId="0A5D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117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B6C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超六类双绞线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E3193">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1、支持千兆以太网信号传输；</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2、导体直径（网线）≥0.53mm 24AWG，无氧铜芯，直流电阻小，信号衰减小；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3、PVC阻燃护套，耐磨、抗拉强度高，安全有保障；</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4、均匀双绞结构，产品性能稳定，有效降低干扰，确保信号传输质量；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5、符合RoHS 2.0 和Reach认证；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3D3B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B9C3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240</w:t>
            </w:r>
          </w:p>
        </w:tc>
      </w:tr>
      <w:tr w14:paraId="28E9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1A75">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82D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配线RVV3*2.5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7883D">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1、RVV3*2.5无氧铜线芯，电阻低，导电性强，传输损耗低，发热小，更省电。</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2、环保绝缘、护被，耐磨耐拉伸，抗潮防冻，抵抗各种恶劣气候，可靠耐用。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3、线芯同心度高，绝缘和护套厚度均匀，防止击穿，符合国家3C认证，全力保障用电安全。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4、线芯绝缘标识清晰，便于区分，便于施工识别。</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5、符合RoHS 2.0 环保认证。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19C2E">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6D5DE">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160</w:t>
            </w:r>
          </w:p>
        </w:tc>
      </w:tr>
      <w:tr w14:paraId="1737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566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1FF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光纤跳线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5588F">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1、采用高品质低损陶瓷插芯，数据交换性能稳定、低损耗、耐插拨次数高；</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2、接头采用高精密散件，精度高、保持光学一致性；</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3、线尾长，高韧性耐弯曲，坚固耐用不断裂；</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4、采用657A纤芯，弯曲不敏感，性能好，芳纶纱及PVC外皮包裹，耐拉伸，延展性好。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4、布放位置:终端盒或ODF架至光纤收发器跳线。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34717">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068A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10</w:t>
            </w:r>
          </w:p>
        </w:tc>
      </w:tr>
      <w:tr w14:paraId="1602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D10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6B2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ODF架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090D2">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1、12芯ODF光纤配线架；</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2、3MM冷轧钢板框架，厚实耐用；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3、模块化，抽拉式结构；</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4、配一体化托盘，满配 12口，热缩管、裸纤管、 扎带、卡式螺母、固定铁片等。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3482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3828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5</w:t>
            </w:r>
          </w:p>
        </w:tc>
      </w:tr>
      <w:tr w14:paraId="7DF1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B2E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011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光纤熔接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365E8">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1、方法：热熔接法；</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2、模式：ODF熔纤盘内熔接，包含光纤熔接器材、耗材、辅材。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E0242">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A96C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60</w:t>
            </w:r>
          </w:p>
        </w:tc>
      </w:tr>
      <w:tr w14:paraId="253F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5E9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C9F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自接线插座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F84A3">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1、新国标6位3孔自接线插座，独立控制开关，具有通电指示灯。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D45E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3A03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8</w:t>
            </w:r>
          </w:p>
        </w:tc>
      </w:tr>
      <w:tr w14:paraId="23CC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2C6F">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156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PDU排插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9ED77">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1、规格：8位10A；</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2、其它要求：额定电流≥10A；插座数量≥8插位；插孔描述：8个三插孔；电源线长度≥1.8米；其他参数：合金外壳，全铜插片，国标过测。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BC880">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80CA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w:t>
            </w:r>
          </w:p>
        </w:tc>
      </w:tr>
    </w:tbl>
    <w:p w14:paraId="3A6E9AF1">
      <w:pPr>
        <w:pStyle w:val="4"/>
        <w:numPr>
          <w:ilvl w:val="0"/>
          <w:numId w:val="0"/>
        </w:numPr>
        <w:spacing w:before="0" w:after="0" w:line="312" w:lineRule="auto"/>
        <w:rPr>
          <w:rFonts w:hint="eastAsia" w:ascii="微软雅黑" w:hAnsi="微软雅黑" w:eastAsia="微软雅黑" w:cs="微软雅黑"/>
          <w:color w:val="auto"/>
          <w:sz w:val="24"/>
          <w:szCs w:val="24"/>
          <w:highlight w:val="none"/>
          <w:lang w:val="en-US" w:eastAsia="zh-CN"/>
        </w:rPr>
      </w:pPr>
    </w:p>
    <w:bookmarkEnd w:id="37"/>
    <w:bookmarkEnd w:id="38"/>
    <w:bookmarkEnd w:id="39"/>
    <w:p w14:paraId="331B5FCD">
      <w:pPr>
        <w:pStyle w:val="4"/>
        <w:rPr>
          <w:rFonts w:hint="eastAsia"/>
          <w:highlight w:val="none"/>
          <w:lang w:val="en-US" w:eastAsia="zh-CN"/>
        </w:rPr>
      </w:pPr>
    </w:p>
    <w:p w14:paraId="4D298CF0">
      <w:pPr>
        <w:numPr>
          <w:ilvl w:val="0"/>
          <w:numId w:val="0"/>
        </w:numPr>
        <w:snapToGrid w:val="0"/>
        <w:spacing w:line="360" w:lineRule="auto"/>
        <w:ind w:firstLine="474" w:firstLineChars="200"/>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br w:type="page"/>
      </w:r>
      <w:bookmarkEnd w:id="33"/>
      <w:bookmarkEnd w:id="34"/>
    </w:p>
    <w:p w14:paraId="60B69F03">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b/>
          <w:bCs/>
          <w:snapToGrid w:val="0"/>
          <w:kern w:val="0"/>
          <w:position w:val="-2"/>
          <w:sz w:val="24"/>
          <w:highlight w:val="none"/>
        </w:rPr>
      </w:pPr>
    </w:p>
    <w:p w14:paraId="10FEB586">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40" w:name="_Toc11127"/>
      <w:bookmarkStart w:id="41" w:name="_Toc2720"/>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三</w:t>
      </w:r>
      <w:r>
        <w:rPr>
          <w:rFonts w:hint="eastAsia" w:ascii="微软雅黑" w:hAnsi="微软雅黑" w:eastAsia="微软雅黑" w:cs="微软雅黑"/>
          <w:sz w:val="36"/>
          <w:szCs w:val="36"/>
          <w:highlight w:val="none"/>
        </w:rPr>
        <w:t>篇  项目</w:t>
      </w:r>
      <w:r>
        <w:rPr>
          <w:rFonts w:hint="eastAsia" w:ascii="微软雅黑" w:hAnsi="微软雅黑" w:eastAsia="微软雅黑" w:cs="微软雅黑"/>
          <w:sz w:val="36"/>
          <w:szCs w:val="36"/>
          <w:highlight w:val="none"/>
          <w:lang w:val="en-US" w:eastAsia="zh-CN"/>
        </w:rPr>
        <w:t>商务</w:t>
      </w:r>
      <w:r>
        <w:rPr>
          <w:rFonts w:hint="eastAsia" w:ascii="微软雅黑" w:hAnsi="微软雅黑" w:eastAsia="微软雅黑" w:cs="微软雅黑"/>
          <w:sz w:val="36"/>
          <w:szCs w:val="36"/>
          <w:highlight w:val="none"/>
        </w:rPr>
        <w:t>要求</w:t>
      </w:r>
      <w:bookmarkEnd w:id="35"/>
      <w:bookmarkEnd w:id="40"/>
      <w:bookmarkEnd w:id="41"/>
    </w:p>
    <w:p w14:paraId="170E0561">
      <w:pPr>
        <w:rPr>
          <w:rFonts w:hint="eastAsia" w:ascii="微软雅黑" w:hAnsi="微软雅黑" w:eastAsia="微软雅黑" w:cs="微软雅黑"/>
          <w:b/>
          <w:bCs/>
          <w:snapToGrid w:val="0"/>
          <w:kern w:val="0"/>
          <w:position w:val="-2"/>
          <w:sz w:val="24"/>
          <w:highlight w:val="none"/>
        </w:rPr>
      </w:pPr>
    </w:p>
    <w:p w14:paraId="0A7F7922">
      <w:pPr>
        <w:pStyle w:val="4"/>
        <w:spacing w:before="0" w:after="0" w:line="312" w:lineRule="auto"/>
        <w:ind w:firstLine="720" w:firstLineChars="300"/>
        <w:rPr>
          <w:rFonts w:hint="eastAsia" w:ascii="微软雅黑" w:hAnsi="微软雅黑" w:eastAsia="微软雅黑" w:cs="微软雅黑"/>
          <w:color w:val="auto"/>
          <w:sz w:val="24"/>
          <w:szCs w:val="24"/>
          <w:highlight w:val="none"/>
        </w:rPr>
      </w:pPr>
      <w:bookmarkStart w:id="42" w:name="_Toc13364"/>
      <w:bookmarkStart w:id="43" w:name="_Toc65660342"/>
      <w:bookmarkStart w:id="44" w:name="_Toc15764"/>
      <w:bookmarkStart w:id="45" w:name="_Toc30452"/>
      <w:bookmarkStart w:id="46" w:name="_Toc14912"/>
      <w:bookmarkStart w:id="47" w:name="_Toc3950"/>
      <w:bookmarkStart w:id="48" w:name="_Toc21364"/>
      <w:bookmarkStart w:id="49" w:name="_Toc17303"/>
      <w:bookmarkStart w:id="50" w:name="_Toc13555"/>
      <w:bookmarkStart w:id="51" w:name="_Toc8344"/>
      <w:bookmarkStart w:id="52" w:name="_Toc17750"/>
      <w:bookmarkStart w:id="53" w:name="_Toc1939"/>
      <w:bookmarkStart w:id="54" w:name="_Toc12935"/>
      <w:bookmarkStart w:id="55" w:name="_Toc21714"/>
      <w:bookmarkStart w:id="56" w:name="_Toc16974"/>
      <w:bookmarkStart w:id="57" w:name="_Toc122"/>
      <w:bookmarkStart w:id="58" w:name="_Toc65660344"/>
      <w:bookmarkStart w:id="59" w:name="_Toc12184"/>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val="en-US" w:eastAsia="zh-CN"/>
        </w:rPr>
        <w:t>服务期</w:t>
      </w:r>
      <w:r>
        <w:rPr>
          <w:rFonts w:hint="eastAsia" w:ascii="微软雅黑" w:hAnsi="微软雅黑" w:eastAsia="微软雅黑" w:cs="微软雅黑"/>
          <w:color w:val="auto"/>
          <w:sz w:val="24"/>
          <w:szCs w:val="24"/>
          <w:highlight w:val="none"/>
        </w:rPr>
        <w:t>、地点</w:t>
      </w:r>
      <w:r>
        <w:rPr>
          <w:rFonts w:hint="eastAsia" w:ascii="微软雅黑" w:hAnsi="微软雅黑" w:eastAsia="微软雅黑" w:cs="微软雅黑"/>
          <w:color w:val="auto"/>
          <w:sz w:val="24"/>
          <w:szCs w:val="24"/>
          <w:highlight w:val="none"/>
          <w:lang w:val="en-US" w:eastAsia="zh-CN"/>
        </w:rPr>
        <w:t>及</w:t>
      </w:r>
      <w:r>
        <w:rPr>
          <w:rFonts w:hint="eastAsia" w:ascii="微软雅黑" w:hAnsi="微软雅黑" w:eastAsia="微软雅黑" w:cs="微软雅黑"/>
          <w:color w:val="auto"/>
          <w:sz w:val="24"/>
          <w:szCs w:val="24"/>
          <w:highlight w:val="none"/>
        </w:rPr>
        <w:t>验收方式</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07BA42A">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60" w:name="_Toc10450"/>
      <w:bookmarkStart w:id="61" w:name="_Toc9462"/>
      <w:bookmarkStart w:id="62" w:name="_Toc31446"/>
      <w:r>
        <w:rPr>
          <w:rFonts w:hint="eastAsia" w:ascii="微软雅黑" w:hAnsi="微软雅黑" w:eastAsia="微软雅黑" w:cs="微软雅黑"/>
          <w:b w:val="0"/>
          <w:bCs w:val="0"/>
          <w:color w:val="auto"/>
          <w:kern w:val="0"/>
          <w:sz w:val="24"/>
          <w:szCs w:val="24"/>
          <w:highlight w:val="none"/>
          <w:lang w:val="zh-TW" w:eastAsia="zh-TW"/>
        </w:rPr>
        <w:t>（一）</w:t>
      </w:r>
      <w:r>
        <w:rPr>
          <w:rFonts w:hint="eastAsia" w:ascii="微软雅黑" w:hAnsi="微软雅黑" w:eastAsia="微软雅黑" w:cs="微软雅黑"/>
          <w:b w:val="0"/>
          <w:bCs w:val="0"/>
          <w:color w:val="auto"/>
          <w:kern w:val="0"/>
          <w:sz w:val="24"/>
          <w:szCs w:val="24"/>
          <w:highlight w:val="none"/>
          <w:lang w:val="en-US" w:eastAsia="zh-CN"/>
        </w:rPr>
        <w:t>服务期</w:t>
      </w:r>
      <w:r>
        <w:rPr>
          <w:rFonts w:hint="eastAsia" w:ascii="微软雅黑" w:hAnsi="微软雅黑" w:eastAsia="微软雅黑" w:cs="微软雅黑"/>
          <w:b w:val="0"/>
          <w:bCs w:val="0"/>
          <w:color w:val="auto"/>
          <w:kern w:val="0"/>
          <w:sz w:val="24"/>
          <w:szCs w:val="24"/>
          <w:highlight w:val="none"/>
          <w:lang w:val="zh-TW" w:eastAsia="zh-TW"/>
        </w:rPr>
        <w:t>：自合同签订之日起</w:t>
      </w:r>
      <w:r>
        <w:rPr>
          <w:rFonts w:hint="eastAsia" w:ascii="微软雅黑" w:hAnsi="微软雅黑" w:eastAsia="微软雅黑" w:cs="微软雅黑"/>
          <w:b w:val="0"/>
          <w:bCs w:val="0"/>
          <w:color w:val="auto"/>
          <w:kern w:val="0"/>
          <w:sz w:val="24"/>
          <w:szCs w:val="24"/>
          <w:highlight w:val="none"/>
          <w:lang w:val="en-US" w:eastAsia="zh-CN"/>
        </w:rPr>
        <w:t>30日历日</w:t>
      </w:r>
      <w:r>
        <w:rPr>
          <w:rFonts w:hint="eastAsia" w:ascii="微软雅黑" w:hAnsi="微软雅黑" w:eastAsia="微软雅黑" w:cs="微软雅黑"/>
          <w:b w:val="0"/>
          <w:bCs w:val="0"/>
          <w:color w:val="auto"/>
          <w:kern w:val="0"/>
          <w:sz w:val="24"/>
          <w:szCs w:val="24"/>
          <w:highlight w:val="none"/>
          <w:lang w:val="zh-TW" w:eastAsia="zh-TW"/>
        </w:rPr>
        <w:t>完成项目交付工作。</w:t>
      </w:r>
    </w:p>
    <w:p w14:paraId="149F2FED">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r>
        <w:rPr>
          <w:rFonts w:hint="eastAsia" w:ascii="微软雅黑" w:hAnsi="微软雅黑" w:eastAsia="微软雅黑" w:cs="微软雅黑"/>
          <w:b w:val="0"/>
          <w:bCs w:val="0"/>
          <w:color w:val="auto"/>
          <w:kern w:val="0"/>
          <w:sz w:val="24"/>
          <w:szCs w:val="24"/>
          <w:highlight w:val="none"/>
          <w:lang w:val="zh-TW" w:eastAsia="zh-TW"/>
        </w:rPr>
        <w:t>（二）服务地点：采购人指定地点</w:t>
      </w:r>
    </w:p>
    <w:p w14:paraId="73F50CC8">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r>
        <w:rPr>
          <w:rFonts w:hint="eastAsia" w:ascii="微软雅黑" w:hAnsi="微软雅黑" w:eastAsia="微软雅黑" w:cs="微软雅黑"/>
          <w:b w:val="0"/>
          <w:bCs w:val="0"/>
          <w:color w:val="auto"/>
          <w:kern w:val="0"/>
          <w:sz w:val="24"/>
          <w:szCs w:val="24"/>
          <w:highlight w:val="none"/>
          <w:lang w:val="zh-TW" w:eastAsia="zh-TW"/>
        </w:rPr>
        <w:t>（三）验收</w:t>
      </w:r>
      <w:r>
        <w:rPr>
          <w:rFonts w:hint="eastAsia" w:ascii="微软雅黑" w:hAnsi="微软雅黑" w:eastAsia="微软雅黑" w:cs="微软雅黑"/>
          <w:b w:val="0"/>
          <w:bCs w:val="0"/>
          <w:color w:val="auto"/>
          <w:kern w:val="0"/>
          <w:sz w:val="24"/>
          <w:szCs w:val="24"/>
          <w:highlight w:val="none"/>
          <w:lang w:val="en-US" w:eastAsia="zh-CN"/>
        </w:rPr>
        <w:t>方式</w:t>
      </w:r>
      <w:r>
        <w:rPr>
          <w:rFonts w:hint="eastAsia" w:ascii="微软雅黑" w:hAnsi="微软雅黑" w:eastAsia="微软雅黑" w:cs="微软雅黑"/>
          <w:b w:val="0"/>
          <w:bCs w:val="0"/>
          <w:color w:val="auto"/>
          <w:kern w:val="0"/>
          <w:sz w:val="24"/>
          <w:szCs w:val="24"/>
          <w:highlight w:val="none"/>
          <w:lang w:val="zh-TW" w:eastAsia="zh-TW"/>
        </w:rPr>
        <w:t>：采购人组织验收</w:t>
      </w:r>
    </w:p>
    <w:p w14:paraId="562ED8EE">
      <w:pPr>
        <w:pStyle w:val="4"/>
        <w:spacing w:before="0" w:after="0" w:line="312" w:lineRule="auto"/>
        <w:ind w:firstLine="720" w:firstLineChars="300"/>
        <w:rPr>
          <w:rFonts w:hint="eastAsia" w:ascii="微软雅黑" w:hAnsi="微软雅黑" w:eastAsia="微软雅黑" w:cs="微软雅黑"/>
          <w:color w:val="auto"/>
          <w:sz w:val="24"/>
          <w:szCs w:val="24"/>
          <w:highlight w:val="none"/>
          <w:lang w:val="zh-TW" w:eastAsia="zh-TW"/>
        </w:rPr>
      </w:pPr>
      <w:bookmarkStart w:id="63" w:name="_Toc18768"/>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lang w:val="zh-TW" w:eastAsia="zh-TW"/>
        </w:rPr>
        <w:t>、报价要求</w:t>
      </w:r>
      <w:bookmarkEnd w:id="56"/>
      <w:bookmarkEnd w:id="57"/>
      <w:bookmarkEnd w:id="58"/>
      <w:bookmarkEnd w:id="59"/>
      <w:bookmarkEnd w:id="60"/>
      <w:bookmarkEnd w:id="61"/>
      <w:bookmarkEnd w:id="62"/>
      <w:bookmarkEnd w:id="63"/>
    </w:p>
    <w:p w14:paraId="62A48EFE">
      <w:pPr>
        <w:pStyle w:val="4"/>
        <w:spacing w:before="0" w:after="0" w:line="312" w:lineRule="auto"/>
        <w:ind w:firstLine="720" w:firstLineChars="300"/>
        <w:rPr>
          <w:rFonts w:hint="eastAsia" w:ascii="微软雅黑" w:hAnsi="微软雅黑" w:eastAsia="微软雅黑" w:cs="微软雅黑"/>
          <w:b w:val="0"/>
          <w:bCs w:val="0"/>
          <w:color w:val="auto"/>
          <w:sz w:val="24"/>
          <w:szCs w:val="24"/>
          <w:highlight w:val="none"/>
          <w:lang w:val="en-US" w:eastAsia="zh-CN"/>
        </w:rPr>
      </w:pPr>
      <w:bookmarkStart w:id="64" w:name="_Toc30802"/>
      <w:bookmarkStart w:id="65" w:name="_Toc26211"/>
      <w:bookmarkStart w:id="66" w:name="_Toc11000"/>
      <w:bookmarkStart w:id="67" w:name="_Toc9192"/>
      <w:bookmarkStart w:id="68" w:name="_Toc14208"/>
      <w:bookmarkStart w:id="69" w:name="_Toc15255"/>
      <w:bookmarkStart w:id="70" w:name="_Toc3745"/>
      <w:bookmarkStart w:id="71" w:name="_Toc65660345"/>
      <w:bookmarkStart w:id="72" w:name="_Toc7562"/>
      <w:bookmarkStart w:id="73" w:name="_Toc15380"/>
      <w:r>
        <w:rPr>
          <w:rFonts w:hint="eastAsia" w:ascii="微软雅黑" w:hAnsi="微软雅黑" w:eastAsia="微软雅黑" w:cs="微软雅黑"/>
          <w:b w:val="0"/>
          <w:bCs w:val="0"/>
          <w:color w:val="auto"/>
          <w:sz w:val="24"/>
          <w:szCs w:val="24"/>
          <w:highlight w:val="none"/>
          <w:lang w:val="en-US" w:eastAsia="zh-CN"/>
        </w:rPr>
        <w:t>（一）本次询价报价为人民币报价，询价报价包括完成本项目设备安装、调试、管理费、税费等全部费用。</w:t>
      </w:r>
      <w:bookmarkStart w:id="74" w:name="_Toc106030885"/>
      <w:bookmarkStart w:id="75" w:name="_Toc344475122"/>
      <w:bookmarkStart w:id="76" w:name="_Toc76462330"/>
      <w:r>
        <w:rPr>
          <w:rFonts w:hint="eastAsia" w:ascii="微软雅黑" w:hAnsi="微软雅黑" w:eastAsia="微软雅黑" w:cs="微软雅黑"/>
          <w:b w:val="0"/>
          <w:bCs w:val="0"/>
          <w:color w:val="auto"/>
          <w:sz w:val="24"/>
          <w:szCs w:val="24"/>
          <w:highlight w:val="none"/>
          <w:lang w:val="en-US" w:eastAsia="zh-CN"/>
        </w:rPr>
        <w:t>询价报价由供应商根据本项目的实际情况与自身情况，并充分考虑不确定性因素可能导致的风险自行填报。因成交供应商自身原因造成漏报、少报、错报而导致本项目无法履行的，皆由其自行承担责任，采购人不再另行支付其它费用。</w:t>
      </w:r>
      <w:bookmarkEnd w:id="64"/>
      <w:bookmarkEnd w:id="65"/>
    </w:p>
    <w:p w14:paraId="6D0CABBD">
      <w:pPr>
        <w:pStyle w:val="4"/>
        <w:spacing w:before="0" w:after="0" w:line="312" w:lineRule="auto"/>
        <w:ind w:firstLine="720" w:firstLineChars="300"/>
        <w:rPr>
          <w:rFonts w:hint="eastAsia" w:ascii="微软雅黑" w:hAnsi="微软雅黑" w:eastAsia="微软雅黑" w:cs="微软雅黑"/>
          <w:b w:val="0"/>
          <w:bCs w:val="0"/>
          <w:color w:val="auto"/>
          <w:sz w:val="24"/>
          <w:szCs w:val="24"/>
          <w:highlight w:val="none"/>
          <w:lang w:val="en-US" w:eastAsia="zh-CN"/>
        </w:rPr>
      </w:pPr>
      <w:bookmarkStart w:id="77" w:name="_Toc12835"/>
      <w:bookmarkStart w:id="78" w:name="_Toc1060"/>
      <w:r>
        <w:rPr>
          <w:rFonts w:hint="eastAsia" w:ascii="微软雅黑" w:hAnsi="微软雅黑" w:eastAsia="微软雅黑" w:cs="微软雅黑"/>
          <w:b w:val="0"/>
          <w:bCs w:val="0"/>
          <w:color w:val="auto"/>
          <w:sz w:val="24"/>
          <w:szCs w:val="24"/>
          <w:highlight w:val="none"/>
          <w:lang w:val="en-US" w:eastAsia="zh-CN"/>
        </w:rPr>
        <w:t>（二）询价报价不得超出项目采购预算最高限价，否则为无效报价。</w:t>
      </w:r>
      <w:bookmarkEnd w:id="77"/>
      <w:bookmarkEnd w:id="78"/>
    </w:p>
    <w:p w14:paraId="5C2F0C4E">
      <w:pPr>
        <w:pStyle w:val="4"/>
        <w:spacing w:before="0" w:after="0" w:line="312" w:lineRule="auto"/>
        <w:ind w:firstLine="720" w:firstLineChars="300"/>
        <w:rPr>
          <w:rFonts w:hint="eastAsia" w:ascii="微软雅黑" w:hAnsi="微软雅黑" w:eastAsia="微软雅黑" w:cs="微软雅黑"/>
          <w:b w:val="0"/>
          <w:bCs w:val="0"/>
          <w:color w:val="auto"/>
          <w:sz w:val="24"/>
          <w:szCs w:val="24"/>
          <w:highlight w:val="none"/>
          <w:lang w:val="en-US" w:eastAsia="zh-CN"/>
        </w:rPr>
      </w:pPr>
      <w:bookmarkStart w:id="79" w:name="_Toc28634"/>
      <w:bookmarkStart w:id="80" w:name="_Toc14629"/>
      <w:bookmarkStart w:id="81" w:name="_Toc31315"/>
      <w:r>
        <w:rPr>
          <w:rFonts w:hint="eastAsia" w:ascii="微软雅黑" w:hAnsi="微软雅黑" w:eastAsia="微软雅黑" w:cs="微软雅黑"/>
          <w:b w:val="0"/>
          <w:bCs w:val="0"/>
          <w:color w:val="auto"/>
          <w:sz w:val="24"/>
          <w:szCs w:val="24"/>
          <w:highlight w:val="none"/>
          <w:lang w:val="en-US" w:eastAsia="zh-CN"/>
        </w:rPr>
        <w:t>（三）询价报价修正错误：询价报价中出现大写金额和小写金额不一致的错误，评审时以大写金额为准。</w:t>
      </w:r>
      <w:bookmarkEnd w:id="79"/>
      <w:bookmarkEnd w:id="80"/>
      <w:bookmarkEnd w:id="81"/>
    </w:p>
    <w:p w14:paraId="04BEB4C1">
      <w:pPr>
        <w:pStyle w:val="4"/>
        <w:spacing w:before="0" w:after="0" w:line="312" w:lineRule="auto"/>
        <w:ind w:firstLine="720" w:firstLineChars="300"/>
        <w:rPr>
          <w:rFonts w:hint="eastAsia" w:ascii="微软雅黑" w:hAnsi="微软雅黑" w:eastAsia="微软雅黑" w:cs="微软雅黑"/>
          <w:color w:val="auto"/>
          <w:sz w:val="24"/>
          <w:szCs w:val="24"/>
          <w:highlight w:val="none"/>
          <w:lang w:val="en-US" w:eastAsia="zh-CN"/>
        </w:rPr>
      </w:pPr>
      <w:bookmarkStart w:id="82" w:name="_Toc25378"/>
      <w:bookmarkStart w:id="83" w:name="_Toc26567"/>
      <w:r>
        <w:rPr>
          <w:rFonts w:hint="eastAsia" w:ascii="微软雅黑" w:hAnsi="微软雅黑" w:eastAsia="微软雅黑" w:cs="微软雅黑"/>
          <w:color w:val="auto"/>
          <w:sz w:val="24"/>
          <w:szCs w:val="24"/>
          <w:highlight w:val="none"/>
          <w:lang w:val="en-US" w:eastAsia="zh-CN"/>
        </w:rPr>
        <w:t>※三、付款方式</w:t>
      </w:r>
      <w:bookmarkEnd w:id="74"/>
      <w:bookmarkEnd w:id="75"/>
      <w:bookmarkEnd w:id="76"/>
      <w:bookmarkEnd w:id="82"/>
      <w:bookmarkEnd w:id="83"/>
      <w:bookmarkStart w:id="84" w:name="_Toc12580"/>
    </w:p>
    <w:p w14:paraId="11B01B98">
      <w:pPr>
        <w:pStyle w:val="4"/>
        <w:spacing w:before="0" w:after="0" w:line="312" w:lineRule="auto"/>
        <w:ind w:firstLine="720" w:firstLineChars="300"/>
        <w:rPr>
          <w:rFonts w:hint="eastAsia" w:ascii="微软雅黑" w:hAnsi="微软雅黑" w:eastAsia="微软雅黑" w:cs="微软雅黑"/>
          <w:b w:val="0"/>
          <w:bCs w:val="0"/>
          <w:color w:val="auto"/>
          <w:sz w:val="24"/>
          <w:szCs w:val="24"/>
          <w:highlight w:val="none"/>
          <w:lang w:val="en-US" w:eastAsia="zh-CN"/>
        </w:rPr>
      </w:pPr>
      <w:bookmarkStart w:id="85" w:name="_Toc24175"/>
      <w:bookmarkStart w:id="86" w:name="_Toc18848"/>
      <w:r>
        <w:rPr>
          <w:rFonts w:hint="eastAsia" w:ascii="微软雅黑" w:hAnsi="微软雅黑" w:eastAsia="微软雅黑" w:cs="微软雅黑"/>
          <w:b w:val="0"/>
          <w:bCs w:val="0"/>
          <w:color w:val="auto"/>
          <w:sz w:val="24"/>
          <w:szCs w:val="24"/>
          <w:highlight w:val="none"/>
          <w:lang w:val="en-US" w:eastAsia="zh-CN"/>
        </w:rPr>
        <w:t>中标人按采购合同交货并安装调试完成，采购人原则上应在收到发票后当日按程序办理支付手续，（特殊情况下不超过3个工作日），成交供应商未按采购人指定的使用单位要求开具发票的，使用单位有权拒绝支付相应货款。使用单位依据采购合同、验收报告、发票等材料以转账方式向成交供应商支付结算总价款的100%。</w:t>
      </w:r>
      <w:bookmarkEnd w:id="85"/>
      <w:bookmarkEnd w:id="86"/>
    </w:p>
    <w:bookmarkEnd w:id="66"/>
    <w:bookmarkEnd w:id="67"/>
    <w:bookmarkEnd w:id="68"/>
    <w:bookmarkEnd w:id="69"/>
    <w:bookmarkEnd w:id="70"/>
    <w:bookmarkEnd w:id="71"/>
    <w:bookmarkEnd w:id="72"/>
    <w:bookmarkEnd w:id="73"/>
    <w:bookmarkEnd w:id="84"/>
    <w:p w14:paraId="06176D5B">
      <w:pPr>
        <w:pStyle w:val="4"/>
        <w:spacing w:before="0" w:after="0" w:line="312" w:lineRule="auto"/>
        <w:ind w:firstLine="720" w:firstLineChars="300"/>
        <w:rPr>
          <w:rFonts w:hint="eastAsia" w:ascii="微软雅黑" w:hAnsi="微软雅黑" w:eastAsia="微软雅黑" w:cs="微软雅黑"/>
          <w:color w:val="auto"/>
          <w:sz w:val="24"/>
          <w:szCs w:val="24"/>
          <w:highlight w:val="none"/>
          <w:lang w:val="en-US" w:eastAsia="zh-CN"/>
        </w:rPr>
      </w:pPr>
      <w:bookmarkStart w:id="87" w:name="_Toc8445"/>
      <w:bookmarkStart w:id="88" w:name="_Toc12219"/>
      <w:bookmarkStart w:id="89" w:name="_Toc5833"/>
      <w:r>
        <w:rPr>
          <w:rFonts w:hint="eastAsia" w:ascii="微软雅黑" w:hAnsi="微软雅黑" w:eastAsia="微软雅黑" w:cs="微软雅黑"/>
          <w:color w:val="auto"/>
          <w:sz w:val="24"/>
          <w:szCs w:val="24"/>
          <w:highlight w:val="none"/>
          <w:lang w:val="en-US" w:eastAsia="zh-CN"/>
        </w:rPr>
        <w:t>四、</w:t>
      </w:r>
      <w:bookmarkEnd w:id="87"/>
      <w:bookmarkEnd w:id="88"/>
      <w:r>
        <w:rPr>
          <w:rFonts w:hint="eastAsia" w:ascii="微软雅黑" w:hAnsi="微软雅黑" w:eastAsia="微软雅黑" w:cs="微软雅黑"/>
          <w:color w:val="auto"/>
          <w:sz w:val="24"/>
          <w:szCs w:val="24"/>
          <w:highlight w:val="none"/>
          <w:lang w:val="en-US" w:eastAsia="zh-CN"/>
        </w:rPr>
        <w:t>质量保证及售后服务</w:t>
      </w:r>
      <w:bookmarkEnd w:id="89"/>
    </w:p>
    <w:p w14:paraId="6A22D2E0">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90" w:name="_Toc31062"/>
      <w:bookmarkStart w:id="91" w:name="_Toc22816"/>
      <w:bookmarkStart w:id="92" w:name="_Toc18040"/>
      <w:r>
        <w:rPr>
          <w:rFonts w:hint="eastAsia" w:ascii="微软雅黑" w:hAnsi="微软雅黑" w:eastAsia="微软雅黑" w:cs="微软雅黑"/>
          <w:b w:val="0"/>
          <w:bCs w:val="0"/>
          <w:color w:val="auto"/>
          <w:kern w:val="0"/>
          <w:sz w:val="24"/>
          <w:szCs w:val="24"/>
          <w:highlight w:val="none"/>
          <w:lang w:val="zh-TW" w:eastAsia="zh-TW"/>
        </w:rPr>
        <w:t>（1）产品质量保证期</w:t>
      </w:r>
      <w:bookmarkEnd w:id="90"/>
      <w:bookmarkEnd w:id="91"/>
    </w:p>
    <w:p w14:paraId="1336243F">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93" w:name="_Toc9245"/>
      <w:bookmarkStart w:id="94" w:name="_Toc18066"/>
      <w:r>
        <w:rPr>
          <w:rFonts w:hint="eastAsia" w:ascii="微软雅黑" w:hAnsi="微软雅黑" w:eastAsia="微软雅黑" w:cs="微软雅黑"/>
          <w:b w:val="0"/>
          <w:bCs w:val="0"/>
          <w:color w:val="auto"/>
          <w:kern w:val="0"/>
          <w:sz w:val="24"/>
          <w:szCs w:val="24"/>
          <w:highlight w:val="none"/>
          <w:lang w:val="zh-TW" w:eastAsia="zh-TW"/>
        </w:rPr>
        <w:t>1、投标人应明确承诺：自验收合格之日起，其投标产品整体质量保证期达到</w:t>
      </w:r>
      <w:r>
        <w:rPr>
          <w:rFonts w:hint="eastAsia" w:ascii="微软雅黑" w:hAnsi="微软雅黑" w:eastAsia="微软雅黑" w:cs="微软雅黑"/>
          <w:b w:val="0"/>
          <w:bCs w:val="0"/>
          <w:color w:val="auto"/>
          <w:kern w:val="0"/>
          <w:sz w:val="24"/>
          <w:szCs w:val="24"/>
          <w:highlight w:val="none"/>
          <w:lang w:val="en-US" w:eastAsia="zh-CN"/>
        </w:rPr>
        <w:t>一</w:t>
      </w:r>
      <w:r>
        <w:rPr>
          <w:rFonts w:hint="eastAsia" w:ascii="微软雅黑" w:hAnsi="微软雅黑" w:eastAsia="微软雅黑" w:cs="微软雅黑"/>
          <w:b w:val="0"/>
          <w:bCs w:val="0"/>
          <w:color w:val="auto"/>
          <w:kern w:val="0"/>
          <w:sz w:val="24"/>
          <w:szCs w:val="24"/>
          <w:highlight w:val="none"/>
          <w:lang w:val="zh-TW" w:eastAsia="zh-TW"/>
        </w:rPr>
        <w:t>年。</w:t>
      </w:r>
      <w:bookmarkEnd w:id="93"/>
      <w:bookmarkEnd w:id="94"/>
    </w:p>
    <w:p w14:paraId="3656CDB8">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95" w:name="_Toc30202"/>
      <w:bookmarkStart w:id="96" w:name="_Toc29782"/>
      <w:r>
        <w:rPr>
          <w:rFonts w:hint="eastAsia" w:ascii="微软雅黑" w:hAnsi="微软雅黑" w:eastAsia="微软雅黑" w:cs="微软雅黑"/>
          <w:b w:val="0"/>
          <w:bCs w:val="0"/>
          <w:color w:val="auto"/>
          <w:kern w:val="0"/>
          <w:sz w:val="24"/>
          <w:szCs w:val="24"/>
          <w:highlight w:val="none"/>
          <w:lang w:val="zh-TW" w:eastAsia="zh-TW"/>
        </w:rPr>
        <w:t>2、投标产品属于国家规定“三包”范围的，其产品质量保证期不得低于“三包”规定。</w:t>
      </w:r>
      <w:bookmarkEnd w:id="95"/>
      <w:bookmarkEnd w:id="96"/>
    </w:p>
    <w:p w14:paraId="611A8178">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97" w:name="_Toc24400"/>
      <w:bookmarkStart w:id="98" w:name="_Toc26812"/>
      <w:r>
        <w:rPr>
          <w:rFonts w:hint="eastAsia" w:ascii="微软雅黑" w:hAnsi="微软雅黑" w:eastAsia="微软雅黑" w:cs="微软雅黑"/>
          <w:b w:val="0"/>
          <w:bCs w:val="0"/>
          <w:color w:val="auto"/>
          <w:kern w:val="0"/>
          <w:sz w:val="24"/>
          <w:szCs w:val="24"/>
          <w:highlight w:val="none"/>
          <w:lang w:val="zh-TW" w:eastAsia="zh-TW"/>
        </w:rPr>
        <w:t>3、投标人的质量保证期承诺优于国家“三包”规定和强制标准的，按投标人实际承诺执行。</w:t>
      </w:r>
      <w:bookmarkEnd w:id="97"/>
      <w:bookmarkEnd w:id="98"/>
    </w:p>
    <w:p w14:paraId="3ABC6F5C">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99" w:name="_Toc14430"/>
      <w:bookmarkStart w:id="100" w:name="_Toc5365"/>
      <w:r>
        <w:rPr>
          <w:rFonts w:hint="eastAsia" w:ascii="微软雅黑" w:hAnsi="微软雅黑" w:eastAsia="微软雅黑" w:cs="微软雅黑"/>
          <w:b w:val="0"/>
          <w:bCs w:val="0"/>
          <w:color w:val="auto"/>
          <w:kern w:val="0"/>
          <w:sz w:val="24"/>
          <w:szCs w:val="24"/>
          <w:highlight w:val="none"/>
          <w:lang w:val="zh-TW" w:eastAsia="zh-TW"/>
        </w:rPr>
        <w:t>（2）售后服务内容</w:t>
      </w:r>
      <w:bookmarkEnd w:id="99"/>
      <w:bookmarkEnd w:id="100"/>
    </w:p>
    <w:p w14:paraId="41E67636">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01" w:name="_Toc11390"/>
      <w:bookmarkStart w:id="102" w:name="_Toc6256"/>
      <w:r>
        <w:rPr>
          <w:rFonts w:hint="eastAsia" w:ascii="微软雅黑" w:hAnsi="微软雅黑" w:eastAsia="微软雅黑" w:cs="微软雅黑"/>
          <w:b w:val="0"/>
          <w:bCs w:val="0"/>
          <w:color w:val="auto"/>
          <w:kern w:val="0"/>
          <w:sz w:val="24"/>
          <w:szCs w:val="24"/>
          <w:highlight w:val="none"/>
          <w:lang w:val="zh-TW" w:eastAsia="zh-TW"/>
        </w:rPr>
        <w:t>1、中标人和制造商在质量保证期内应当为采购人提供以下技术支持和服务：</w:t>
      </w:r>
      <w:bookmarkEnd w:id="101"/>
      <w:bookmarkEnd w:id="102"/>
    </w:p>
    <w:p w14:paraId="07A9585B">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03" w:name="_Toc19195"/>
      <w:bookmarkStart w:id="104" w:name="_Toc21560"/>
      <w:r>
        <w:rPr>
          <w:rFonts w:hint="eastAsia" w:ascii="微软雅黑" w:hAnsi="微软雅黑" w:eastAsia="微软雅黑" w:cs="微软雅黑"/>
          <w:b w:val="0"/>
          <w:bCs w:val="0"/>
          <w:color w:val="auto"/>
          <w:kern w:val="0"/>
          <w:sz w:val="24"/>
          <w:szCs w:val="24"/>
          <w:highlight w:val="none"/>
          <w:lang w:val="zh-TW" w:eastAsia="zh-TW"/>
        </w:rPr>
        <w:t>1）电话咨询</w:t>
      </w:r>
      <w:bookmarkEnd w:id="103"/>
      <w:bookmarkEnd w:id="104"/>
    </w:p>
    <w:p w14:paraId="16FC6414">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05" w:name="_Toc32266"/>
      <w:bookmarkStart w:id="106" w:name="_Toc2365"/>
      <w:r>
        <w:rPr>
          <w:rFonts w:hint="eastAsia" w:ascii="微软雅黑" w:hAnsi="微软雅黑" w:eastAsia="微软雅黑" w:cs="微软雅黑"/>
          <w:b w:val="0"/>
          <w:bCs w:val="0"/>
          <w:color w:val="auto"/>
          <w:kern w:val="0"/>
          <w:sz w:val="24"/>
          <w:szCs w:val="24"/>
          <w:highlight w:val="none"/>
          <w:lang w:val="zh-TW" w:eastAsia="zh-TW"/>
        </w:rPr>
        <w:t>中标人和厂家应当为用户提供技术援助电话，解答用户在使用中遇到的问题，及时为用户提出解决问题的建议。</w:t>
      </w:r>
      <w:bookmarkEnd w:id="105"/>
      <w:bookmarkEnd w:id="106"/>
    </w:p>
    <w:p w14:paraId="53E5C8A2">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07" w:name="_Toc16387"/>
      <w:bookmarkStart w:id="108" w:name="_Toc2937"/>
      <w:r>
        <w:rPr>
          <w:rFonts w:hint="eastAsia" w:ascii="微软雅黑" w:hAnsi="微软雅黑" w:eastAsia="微软雅黑" w:cs="微软雅黑"/>
          <w:b w:val="0"/>
          <w:bCs w:val="0"/>
          <w:color w:val="auto"/>
          <w:kern w:val="0"/>
          <w:sz w:val="24"/>
          <w:szCs w:val="24"/>
          <w:highlight w:val="none"/>
          <w:lang w:val="zh-TW" w:eastAsia="zh-TW"/>
        </w:rPr>
        <w:t>2）现场响应</w:t>
      </w:r>
      <w:bookmarkEnd w:id="107"/>
      <w:bookmarkEnd w:id="108"/>
    </w:p>
    <w:p w14:paraId="4DE2A1DD">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09" w:name="_Toc19171"/>
      <w:bookmarkStart w:id="110" w:name="_Toc28662"/>
      <w:r>
        <w:rPr>
          <w:rFonts w:hint="eastAsia" w:ascii="微软雅黑" w:hAnsi="微软雅黑" w:eastAsia="微软雅黑" w:cs="微软雅黑"/>
          <w:b w:val="0"/>
          <w:bCs w:val="0"/>
          <w:color w:val="auto"/>
          <w:kern w:val="0"/>
          <w:sz w:val="24"/>
          <w:szCs w:val="24"/>
          <w:highlight w:val="none"/>
          <w:lang w:val="zh-TW" w:eastAsia="zh-TW"/>
        </w:rPr>
        <w:t>用户遇到使用及技术问题，电话咨询不能解决的，中标人和厂家应在24小时内采取相应措施，提供上门服务，确保产品正常工作（包括节假日、夜间）；无法在24小时内解决的，应在48小时内提供备用产品，使采购人能够正常使用。</w:t>
      </w:r>
      <w:bookmarkEnd w:id="109"/>
      <w:bookmarkEnd w:id="110"/>
    </w:p>
    <w:p w14:paraId="2A643A1D">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11" w:name="_Toc30161"/>
      <w:bookmarkStart w:id="112" w:name="_Toc19099"/>
      <w:r>
        <w:rPr>
          <w:rFonts w:hint="eastAsia" w:ascii="微软雅黑" w:hAnsi="微软雅黑" w:eastAsia="微软雅黑" w:cs="微软雅黑"/>
          <w:b w:val="0"/>
          <w:bCs w:val="0"/>
          <w:color w:val="auto"/>
          <w:kern w:val="0"/>
          <w:sz w:val="24"/>
          <w:szCs w:val="24"/>
          <w:highlight w:val="none"/>
          <w:lang w:val="zh-TW" w:eastAsia="zh-TW"/>
        </w:rPr>
        <w:t>3）技术升级</w:t>
      </w:r>
      <w:bookmarkEnd w:id="111"/>
      <w:bookmarkEnd w:id="112"/>
    </w:p>
    <w:p w14:paraId="4B5B5D4E">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13" w:name="_Toc8346"/>
      <w:bookmarkStart w:id="114" w:name="_Toc32063"/>
      <w:r>
        <w:rPr>
          <w:rFonts w:hint="eastAsia" w:ascii="微软雅黑" w:hAnsi="微软雅黑" w:eastAsia="微软雅黑" w:cs="微软雅黑"/>
          <w:b w:val="0"/>
          <w:bCs w:val="0"/>
          <w:color w:val="auto"/>
          <w:kern w:val="0"/>
          <w:sz w:val="24"/>
          <w:szCs w:val="24"/>
          <w:highlight w:val="none"/>
          <w:lang w:val="zh-TW" w:eastAsia="zh-TW"/>
        </w:rPr>
        <w:t>在质保期内，如果中标人和厂家的产品技术升级，中标人应及时通知采购人，如采购人有相应要求，中标人和厂家应对采购人进行免费升级服务。</w:t>
      </w:r>
      <w:bookmarkEnd w:id="113"/>
      <w:bookmarkEnd w:id="114"/>
    </w:p>
    <w:p w14:paraId="6E8071B8">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15" w:name="_Toc15508"/>
      <w:bookmarkStart w:id="116" w:name="_Toc17188"/>
      <w:r>
        <w:rPr>
          <w:rFonts w:hint="eastAsia" w:ascii="微软雅黑" w:hAnsi="微软雅黑" w:eastAsia="微软雅黑" w:cs="微软雅黑"/>
          <w:b w:val="0"/>
          <w:bCs w:val="0"/>
          <w:color w:val="auto"/>
          <w:kern w:val="0"/>
          <w:sz w:val="24"/>
          <w:szCs w:val="24"/>
          <w:highlight w:val="none"/>
          <w:lang w:val="zh-TW" w:eastAsia="zh-TW"/>
        </w:rPr>
        <w:t>2、质保期外服务要求</w:t>
      </w:r>
      <w:bookmarkEnd w:id="115"/>
      <w:bookmarkEnd w:id="116"/>
    </w:p>
    <w:p w14:paraId="04256AE5">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17" w:name="_Toc10069"/>
      <w:bookmarkStart w:id="118" w:name="_Toc30324"/>
      <w:r>
        <w:rPr>
          <w:rFonts w:hint="eastAsia" w:ascii="微软雅黑" w:hAnsi="微软雅黑" w:eastAsia="微软雅黑" w:cs="微软雅黑"/>
          <w:b w:val="0"/>
          <w:bCs w:val="0"/>
          <w:color w:val="auto"/>
          <w:kern w:val="0"/>
          <w:sz w:val="24"/>
          <w:szCs w:val="24"/>
          <w:highlight w:val="none"/>
          <w:lang w:val="zh-TW" w:eastAsia="zh-TW"/>
        </w:rPr>
        <w:t>1）质量保证期过后，中标人和厂家应同样提供免费电话咨询服务，并应承诺提供产品上门维护服务。</w:t>
      </w:r>
      <w:bookmarkEnd w:id="117"/>
      <w:bookmarkEnd w:id="118"/>
    </w:p>
    <w:p w14:paraId="20339C76">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19" w:name="_Toc10331"/>
      <w:bookmarkStart w:id="120" w:name="_Toc14802"/>
      <w:r>
        <w:rPr>
          <w:rFonts w:hint="eastAsia" w:ascii="微软雅黑" w:hAnsi="微软雅黑" w:eastAsia="微软雅黑" w:cs="微软雅黑"/>
          <w:b w:val="0"/>
          <w:bCs w:val="0"/>
          <w:color w:val="auto"/>
          <w:kern w:val="0"/>
          <w:sz w:val="24"/>
          <w:szCs w:val="24"/>
          <w:highlight w:val="none"/>
          <w:lang w:val="zh-TW" w:eastAsia="zh-TW"/>
        </w:rPr>
        <w:t>2）质量保证期过后，采购人需要继续由原中标人和厂家提供售后服务的，该中标人和厂家应以优惠价格提供售后服务。</w:t>
      </w:r>
      <w:bookmarkEnd w:id="119"/>
      <w:bookmarkEnd w:id="120"/>
    </w:p>
    <w:p w14:paraId="001669B7">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21" w:name="_Toc25375"/>
      <w:bookmarkStart w:id="122" w:name="_Toc6464"/>
      <w:r>
        <w:rPr>
          <w:rFonts w:hint="eastAsia" w:ascii="微软雅黑" w:hAnsi="微软雅黑" w:eastAsia="微软雅黑" w:cs="微软雅黑"/>
          <w:b w:val="0"/>
          <w:bCs w:val="0"/>
          <w:color w:val="auto"/>
          <w:kern w:val="0"/>
          <w:sz w:val="24"/>
          <w:szCs w:val="24"/>
          <w:highlight w:val="none"/>
          <w:lang w:val="zh-TW" w:eastAsia="zh-TW"/>
        </w:rPr>
        <w:t>3、故障响应时间要求</w:t>
      </w:r>
      <w:bookmarkEnd w:id="121"/>
      <w:bookmarkEnd w:id="122"/>
    </w:p>
    <w:p w14:paraId="264D395F">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23" w:name="_Toc821"/>
      <w:bookmarkStart w:id="124" w:name="_Toc11036"/>
      <w:r>
        <w:rPr>
          <w:rFonts w:hint="eastAsia" w:ascii="微软雅黑" w:hAnsi="微软雅黑" w:eastAsia="微软雅黑" w:cs="微软雅黑"/>
          <w:b w:val="0"/>
          <w:bCs w:val="0"/>
          <w:color w:val="auto"/>
          <w:kern w:val="0"/>
          <w:sz w:val="24"/>
          <w:szCs w:val="24"/>
          <w:highlight w:val="none"/>
          <w:lang w:val="zh-TW" w:eastAsia="zh-TW"/>
        </w:rPr>
        <w:t>中标人接到使用方产品出现问题的通知后两小时内作出响应，24小时内到达现场进行处理。</w:t>
      </w:r>
      <w:bookmarkEnd w:id="123"/>
      <w:bookmarkEnd w:id="124"/>
    </w:p>
    <w:p w14:paraId="5BC2E6CE">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25" w:name="_Toc5351"/>
      <w:bookmarkStart w:id="126" w:name="_Toc24091"/>
      <w:r>
        <w:rPr>
          <w:rFonts w:hint="eastAsia" w:ascii="微软雅黑" w:hAnsi="微软雅黑" w:eastAsia="微软雅黑" w:cs="微软雅黑"/>
          <w:b w:val="0"/>
          <w:bCs w:val="0"/>
          <w:color w:val="auto"/>
          <w:kern w:val="0"/>
          <w:sz w:val="24"/>
          <w:szCs w:val="24"/>
          <w:highlight w:val="none"/>
          <w:lang w:val="zh-TW" w:eastAsia="zh-TW"/>
        </w:rPr>
        <w:t>4、维修配件</w:t>
      </w:r>
      <w:bookmarkEnd w:id="125"/>
      <w:bookmarkEnd w:id="126"/>
    </w:p>
    <w:p w14:paraId="01520975">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27" w:name="_Toc10737"/>
      <w:bookmarkStart w:id="128" w:name="_Toc22283"/>
      <w:r>
        <w:rPr>
          <w:rFonts w:hint="eastAsia" w:ascii="微软雅黑" w:hAnsi="微软雅黑" w:eastAsia="微软雅黑" w:cs="微软雅黑"/>
          <w:b w:val="0"/>
          <w:bCs w:val="0"/>
          <w:color w:val="auto"/>
          <w:kern w:val="0"/>
          <w:sz w:val="24"/>
          <w:szCs w:val="24"/>
          <w:highlight w:val="none"/>
          <w:lang w:val="zh-TW" w:eastAsia="zh-TW"/>
        </w:rPr>
        <w:t>中标人和厂家售后服务中，使用的维修零配件应为原厂配件，未经用户同意不得使用非原厂配件。</w:t>
      </w:r>
      <w:bookmarkEnd w:id="127"/>
      <w:bookmarkEnd w:id="128"/>
    </w:p>
    <w:p w14:paraId="11461B5B">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29" w:name="_Toc27780"/>
      <w:bookmarkStart w:id="130" w:name="_Toc4994"/>
      <w:r>
        <w:rPr>
          <w:rFonts w:hint="eastAsia" w:ascii="微软雅黑" w:hAnsi="微软雅黑" w:eastAsia="微软雅黑" w:cs="微软雅黑"/>
          <w:b w:val="0"/>
          <w:bCs w:val="0"/>
          <w:color w:val="auto"/>
          <w:kern w:val="0"/>
          <w:sz w:val="24"/>
          <w:szCs w:val="24"/>
          <w:highlight w:val="none"/>
          <w:lang w:val="zh-TW" w:eastAsia="zh-TW"/>
        </w:rPr>
        <w:t>（4）培训</w:t>
      </w:r>
      <w:bookmarkEnd w:id="129"/>
      <w:bookmarkEnd w:id="130"/>
    </w:p>
    <w:p w14:paraId="2C89A1D5">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31" w:name="_Toc29921"/>
      <w:bookmarkStart w:id="132" w:name="_Toc23481"/>
      <w:r>
        <w:rPr>
          <w:rFonts w:hint="eastAsia" w:ascii="微软雅黑" w:hAnsi="微软雅黑" w:eastAsia="微软雅黑" w:cs="微软雅黑"/>
          <w:b w:val="0"/>
          <w:bCs w:val="0"/>
          <w:color w:val="auto"/>
          <w:kern w:val="0"/>
          <w:sz w:val="24"/>
          <w:szCs w:val="24"/>
          <w:highlight w:val="none"/>
          <w:lang w:val="zh-TW" w:eastAsia="zh-TW"/>
        </w:rPr>
        <w:t>供应商对其提供产品的使用和操作应尽培训义务。供应商应提供对采购人进行免费培训，使采购人使用人员能够正常操作。</w:t>
      </w:r>
      <w:bookmarkEnd w:id="131"/>
      <w:bookmarkEnd w:id="132"/>
    </w:p>
    <w:p w14:paraId="11025193">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33" w:name="_Toc11259"/>
      <w:bookmarkStart w:id="134" w:name="_Toc28651"/>
      <w:r>
        <w:rPr>
          <w:rFonts w:hint="eastAsia" w:ascii="微软雅黑" w:hAnsi="微软雅黑" w:eastAsia="微软雅黑" w:cs="微软雅黑"/>
          <w:b w:val="0"/>
          <w:bCs w:val="0"/>
          <w:color w:val="auto"/>
          <w:kern w:val="0"/>
          <w:sz w:val="24"/>
          <w:szCs w:val="24"/>
          <w:highlight w:val="none"/>
          <w:lang w:val="zh-TW" w:eastAsia="zh-TW"/>
        </w:rPr>
        <w:t>（5）知识产权</w:t>
      </w:r>
      <w:bookmarkEnd w:id="133"/>
      <w:bookmarkEnd w:id="134"/>
    </w:p>
    <w:p w14:paraId="3B36419D">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35" w:name="_Toc31680"/>
      <w:bookmarkStart w:id="136" w:name="_Toc5325"/>
      <w:r>
        <w:rPr>
          <w:rFonts w:hint="eastAsia" w:ascii="微软雅黑" w:hAnsi="微软雅黑" w:eastAsia="微软雅黑" w:cs="微软雅黑"/>
          <w:b w:val="0"/>
          <w:bCs w:val="0"/>
          <w:color w:val="auto"/>
          <w:kern w:val="0"/>
          <w:sz w:val="24"/>
          <w:szCs w:val="24"/>
          <w:highlight w:val="none"/>
          <w:lang w:val="zh-TW" w:eastAsia="zh-TW"/>
        </w:rPr>
        <w:t>采购人在中华人民共和国境内使用投标人提供的货物及服务时免受第三方提出的侵犯其专利权或其它知识产权的起诉。如果第三方提出侵权指控，中标人应承担由此而引起的一切法律责任和费用。</w:t>
      </w:r>
      <w:bookmarkEnd w:id="135"/>
      <w:bookmarkEnd w:id="136"/>
    </w:p>
    <w:p w14:paraId="0AB3EA21">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37" w:name="_Toc29671"/>
      <w:bookmarkStart w:id="138" w:name="_Toc4657"/>
      <w:r>
        <w:rPr>
          <w:rFonts w:hint="eastAsia" w:ascii="微软雅黑" w:hAnsi="微软雅黑" w:eastAsia="微软雅黑" w:cs="微软雅黑"/>
          <w:b w:val="0"/>
          <w:bCs w:val="0"/>
          <w:color w:val="auto"/>
          <w:kern w:val="0"/>
          <w:sz w:val="24"/>
          <w:szCs w:val="24"/>
          <w:highlight w:val="none"/>
          <w:lang w:val="zh-TW" w:eastAsia="zh-TW"/>
        </w:rPr>
        <w:t>（6）其他服务要求</w:t>
      </w:r>
      <w:bookmarkEnd w:id="137"/>
      <w:bookmarkEnd w:id="138"/>
    </w:p>
    <w:p w14:paraId="372A85CD">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39" w:name="_Toc10113"/>
      <w:r>
        <w:rPr>
          <w:rFonts w:hint="eastAsia" w:ascii="微软雅黑" w:hAnsi="微软雅黑" w:eastAsia="微软雅黑" w:cs="微软雅黑"/>
          <w:b w:val="0"/>
          <w:bCs w:val="0"/>
          <w:color w:val="auto"/>
          <w:kern w:val="0"/>
          <w:sz w:val="24"/>
          <w:szCs w:val="24"/>
          <w:highlight w:val="none"/>
          <w:lang w:val="zh-TW" w:eastAsia="zh-TW"/>
        </w:rPr>
        <w:t>1、中标人在提供服务期间或在货物运输、安装、调试等未正式验收交付采购人使用前，因中标人自身原因导致的安全事故，由中标人自行承担所有责任及经济损失。</w:t>
      </w:r>
      <w:bookmarkEnd w:id="139"/>
    </w:p>
    <w:p w14:paraId="49878EFC">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40" w:name="_Toc19563"/>
      <w:bookmarkStart w:id="141" w:name="_Toc2647"/>
      <w:r>
        <w:rPr>
          <w:rFonts w:hint="eastAsia" w:ascii="微软雅黑" w:hAnsi="微软雅黑" w:eastAsia="微软雅黑" w:cs="微软雅黑"/>
          <w:b w:val="0"/>
          <w:bCs w:val="0"/>
          <w:color w:val="auto"/>
          <w:kern w:val="0"/>
          <w:sz w:val="24"/>
          <w:szCs w:val="24"/>
          <w:highlight w:val="none"/>
          <w:lang w:val="zh-TW" w:eastAsia="zh-TW"/>
        </w:rPr>
        <w:t>2、中标人在投标时提供虚假材料或进行虚假响应，或中标后提供的货物(服务)达不到招标文件要求及中标人投标文件的响应内容的，视为虚假应标，将报采购监督管理部门依法予以处理。</w:t>
      </w:r>
      <w:bookmarkEnd w:id="140"/>
      <w:bookmarkEnd w:id="141"/>
    </w:p>
    <w:p w14:paraId="7D33EC97">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42" w:name="_Toc12395"/>
      <w:bookmarkStart w:id="143" w:name="_Toc13173"/>
      <w:r>
        <w:rPr>
          <w:rFonts w:hint="eastAsia" w:ascii="微软雅黑" w:hAnsi="微软雅黑" w:eastAsia="微软雅黑" w:cs="微软雅黑"/>
          <w:b w:val="0"/>
          <w:bCs w:val="0"/>
          <w:color w:val="auto"/>
          <w:kern w:val="0"/>
          <w:sz w:val="24"/>
          <w:szCs w:val="24"/>
          <w:highlight w:val="none"/>
          <w:lang w:val="zh-TW" w:eastAsia="zh-TW"/>
        </w:rPr>
        <w:t>3、其他未尽事宜由供需双方在采购合同中另行约定。</w:t>
      </w:r>
      <w:bookmarkEnd w:id="142"/>
      <w:bookmarkEnd w:id="143"/>
    </w:p>
    <w:p w14:paraId="75B40A21">
      <w:pPr>
        <w:pStyle w:val="3"/>
        <w:adjustRightInd w:val="0"/>
        <w:spacing w:before="0" w:after="0" w:line="360" w:lineRule="auto"/>
        <w:ind w:firstLine="480" w:firstLineChars="200"/>
        <w:jc w:val="left"/>
        <w:rPr>
          <w:rFonts w:hint="eastAsia" w:ascii="微软雅黑" w:hAnsi="微软雅黑" w:eastAsia="微软雅黑" w:cs="微软雅黑"/>
          <w:sz w:val="24"/>
          <w:szCs w:val="24"/>
          <w:highlight w:val="none"/>
          <w:lang w:val="zh-TW" w:eastAsia="zh-TW"/>
        </w:rPr>
      </w:pPr>
      <w:bookmarkStart w:id="144" w:name="_Toc5761"/>
      <w:bookmarkStart w:id="145" w:name="_Toc25440"/>
      <w:r>
        <w:rPr>
          <w:rFonts w:hint="eastAsia" w:ascii="微软雅黑" w:hAnsi="微软雅黑" w:eastAsia="微软雅黑" w:cs="微软雅黑"/>
          <w:sz w:val="24"/>
          <w:szCs w:val="24"/>
          <w:highlight w:val="none"/>
          <w:lang w:val="zh-TW" w:eastAsia="zh-TW"/>
        </w:rPr>
        <w:t>※五、安全责任</w:t>
      </w:r>
      <w:bookmarkEnd w:id="144"/>
      <w:bookmarkEnd w:id="145"/>
    </w:p>
    <w:p w14:paraId="16CDFF5A">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r>
        <w:rPr>
          <w:rFonts w:hint="eastAsia" w:ascii="微软雅黑" w:hAnsi="微软雅黑" w:eastAsia="微软雅黑" w:cs="微软雅黑"/>
          <w:b w:val="0"/>
          <w:bCs w:val="0"/>
          <w:color w:val="auto"/>
          <w:kern w:val="0"/>
          <w:sz w:val="24"/>
          <w:szCs w:val="24"/>
          <w:highlight w:val="none"/>
          <w:lang w:val="zh-TW" w:eastAsia="zh-TW"/>
        </w:rPr>
        <w:t>供应商自行负责本项目的安全工作，服从采购人及相关部门的相关规定，在服务期间因成交供应商的原因引起的一切经济损失及法律责任、安全事故责任均由供应商自行承担，采购人不承担任何责任。</w:t>
      </w:r>
    </w:p>
    <w:bookmarkEnd w:id="92"/>
    <w:p w14:paraId="17D426D9">
      <w:pPr>
        <w:pStyle w:val="3"/>
        <w:adjustRightInd w:val="0"/>
        <w:spacing w:before="0" w:after="0" w:line="360" w:lineRule="auto"/>
        <w:ind w:firstLine="480" w:firstLineChars="200"/>
        <w:jc w:val="left"/>
        <w:rPr>
          <w:rFonts w:hint="eastAsia" w:ascii="微软雅黑" w:hAnsi="微软雅黑" w:eastAsia="微软雅黑" w:cs="微软雅黑"/>
          <w:sz w:val="24"/>
          <w:szCs w:val="24"/>
          <w:highlight w:val="none"/>
        </w:rPr>
      </w:pPr>
      <w:bookmarkStart w:id="146" w:name="_Toc6565"/>
      <w:bookmarkStart w:id="147" w:name="_Toc65660347"/>
      <w:bookmarkStart w:id="148" w:name="_Toc6869"/>
      <w:bookmarkStart w:id="149" w:name="_Toc5555"/>
      <w:bookmarkStart w:id="150" w:name="_Toc28972"/>
      <w:bookmarkStart w:id="151" w:name="_Toc31961"/>
      <w:r>
        <w:rPr>
          <w:rFonts w:hint="eastAsia" w:ascii="微软雅黑" w:hAnsi="微软雅黑" w:eastAsia="微软雅黑" w:cs="微软雅黑"/>
          <w:sz w:val="24"/>
          <w:szCs w:val="24"/>
          <w:highlight w:val="none"/>
          <w:lang w:val="en-US" w:eastAsia="zh-CN"/>
        </w:rPr>
        <w:t>六</w:t>
      </w:r>
      <w:r>
        <w:rPr>
          <w:rFonts w:hint="eastAsia" w:ascii="微软雅黑" w:hAnsi="微软雅黑" w:eastAsia="微软雅黑" w:cs="微软雅黑"/>
          <w:sz w:val="24"/>
          <w:szCs w:val="24"/>
          <w:highlight w:val="none"/>
        </w:rPr>
        <w:t>、</w:t>
      </w:r>
      <w:bookmarkEnd w:id="146"/>
      <w:bookmarkEnd w:id="147"/>
      <w:bookmarkEnd w:id="148"/>
      <w:bookmarkEnd w:id="149"/>
      <w:bookmarkStart w:id="152" w:name="_Toc31659"/>
      <w:bookmarkStart w:id="153" w:name="_Toc21248"/>
      <w:bookmarkStart w:id="154" w:name="_Toc65660348"/>
      <w:bookmarkStart w:id="155" w:name="_Toc23902"/>
      <w:r>
        <w:rPr>
          <w:rFonts w:hint="eastAsia" w:ascii="微软雅黑" w:hAnsi="微软雅黑" w:eastAsia="微软雅黑" w:cs="微软雅黑"/>
          <w:sz w:val="24"/>
          <w:szCs w:val="24"/>
          <w:highlight w:val="none"/>
        </w:rPr>
        <w:t>其他</w:t>
      </w:r>
      <w:bookmarkEnd w:id="150"/>
      <w:bookmarkEnd w:id="151"/>
      <w:bookmarkEnd w:id="152"/>
      <w:bookmarkEnd w:id="153"/>
      <w:bookmarkEnd w:id="154"/>
      <w:bookmarkEnd w:id="155"/>
    </w:p>
    <w:p w14:paraId="3DB74A72">
      <w:pPr>
        <w:pStyle w:val="27"/>
        <w:snapToGrid/>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（一）成交供应商在响应时提供虚假材料或进行虚假响应，或成交后提供的服务 (货物)达不到</w:t>
      </w:r>
      <w:r>
        <w:rPr>
          <w:rFonts w:hint="eastAsia" w:ascii="微软雅黑" w:hAnsi="微软雅黑" w:eastAsia="微软雅黑" w:cs="微软雅黑"/>
          <w:sz w:val="24"/>
          <w:szCs w:val="24"/>
          <w:highlight w:val="none"/>
          <w:lang w:eastAsia="zh-CN"/>
        </w:rPr>
        <w:t>询价采购</w:t>
      </w:r>
      <w:r>
        <w:rPr>
          <w:rFonts w:hint="eastAsia" w:ascii="微软雅黑" w:hAnsi="微软雅黑" w:eastAsia="微软雅黑" w:cs="微软雅黑"/>
          <w:sz w:val="24"/>
          <w:szCs w:val="24"/>
          <w:highlight w:val="none"/>
        </w:rPr>
        <w:t>文件要求及成交供应商响应文件的响应内容的，视为虚假应标，将报采购监督管理部门依法予以处理。</w:t>
      </w:r>
    </w:p>
    <w:p w14:paraId="263ABFF7">
      <w:pPr>
        <w:pStyle w:val="27"/>
        <w:snapToGrid/>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rPr>
        <w:t>※</w:t>
      </w:r>
      <w:r>
        <w:rPr>
          <w:rFonts w:hint="eastAsia" w:ascii="微软雅黑" w:hAnsi="微软雅黑" w:eastAsia="微软雅黑" w:cs="微软雅黑"/>
          <w:sz w:val="24"/>
          <w:szCs w:val="24"/>
          <w:highlight w:val="none"/>
        </w:rPr>
        <w:t xml:space="preserve">（二）解决争议的方式  </w:t>
      </w:r>
      <w:r>
        <w:rPr>
          <w:rFonts w:hint="eastAsia" w:ascii="微软雅黑" w:hAnsi="微软雅黑" w:eastAsia="微软雅黑" w:cs="微软雅黑"/>
          <w:sz w:val="24"/>
          <w:szCs w:val="24"/>
          <w:highlight w:val="none"/>
        </w:rPr>
        <w:sym w:font="Wingdings 2" w:char="0052"/>
      </w:r>
      <w:r>
        <w:rPr>
          <w:rFonts w:hint="eastAsia" w:ascii="微软雅黑" w:hAnsi="微软雅黑" w:eastAsia="微软雅黑" w:cs="微软雅黑"/>
          <w:sz w:val="24"/>
          <w:szCs w:val="24"/>
          <w:highlight w:val="none"/>
        </w:rPr>
        <w:t xml:space="preserve"> 提请仲裁  □ 向人民法院提起诉讼</w:t>
      </w:r>
    </w:p>
    <w:p w14:paraId="163F5C3B">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kern w:val="2"/>
          <w:sz w:val="24"/>
          <w:szCs w:val="24"/>
          <w:highlight w:val="none"/>
          <w:lang w:val="en-US" w:eastAsia="zh-CN" w:bidi="ar-SA"/>
        </w:rPr>
        <w:t>（三）</w:t>
      </w:r>
      <w:r>
        <w:rPr>
          <w:rFonts w:hint="eastAsia" w:ascii="微软雅黑" w:hAnsi="微软雅黑" w:eastAsia="微软雅黑" w:cs="微软雅黑"/>
          <w:sz w:val="24"/>
          <w:szCs w:val="24"/>
          <w:highlight w:val="none"/>
        </w:rPr>
        <w:t>其他未尽事宜由供需双方在采购合同中详细约定。</w:t>
      </w:r>
    </w:p>
    <w:p w14:paraId="67975CD0">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kern w:val="2"/>
          <w:sz w:val="24"/>
          <w:szCs w:val="24"/>
          <w:highlight w:val="none"/>
          <w:lang w:val="en-US" w:eastAsia="zh-CN" w:bidi="ar-SA"/>
        </w:rPr>
        <w:t>（四）</w:t>
      </w:r>
      <w:r>
        <w:rPr>
          <w:rFonts w:hint="eastAsia" w:ascii="微软雅黑" w:hAnsi="微软雅黑" w:eastAsia="微软雅黑" w:cs="微软雅黑"/>
          <w:sz w:val="24"/>
          <w:szCs w:val="24"/>
          <w:highlight w:val="none"/>
        </w:rPr>
        <w:t>废标情形</w:t>
      </w:r>
    </w:p>
    <w:p w14:paraId="4742498C">
      <w:pPr>
        <w:pStyle w:val="27"/>
        <w:numPr>
          <w:ilvl w:val="0"/>
          <w:numId w:val="0"/>
        </w:numPr>
        <w:snapToGrid/>
        <w:spacing w:line="360" w:lineRule="auto"/>
        <w:ind w:firstLine="240" w:firstLineChars="1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采购中出现下列情形之一者，应予废标</w:t>
      </w:r>
      <w:r>
        <w:rPr>
          <w:rFonts w:hint="eastAsia" w:ascii="微软雅黑" w:hAnsi="微软雅黑" w:eastAsia="微软雅黑" w:cs="微软雅黑"/>
          <w:sz w:val="24"/>
          <w:szCs w:val="24"/>
          <w:highlight w:val="none"/>
          <w:lang w:eastAsia="zh-CN"/>
        </w:rPr>
        <w:t>：</w:t>
      </w:r>
    </w:p>
    <w:p w14:paraId="61E99A2E">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1.符合专业条件的供应商或者对网上竞采文件作出实质响应的供货商不足</w:t>
      </w:r>
      <w:bookmarkStart w:id="247" w:name="_GoBack"/>
      <w:r>
        <w:rPr>
          <w:rFonts w:hint="eastAsia" w:ascii="微软雅黑" w:hAnsi="微软雅黑" w:eastAsia="微软雅黑" w:cs="微软雅黑"/>
          <w:sz w:val="24"/>
          <w:szCs w:val="24"/>
          <w:highlight w:val="none"/>
          <w:lang w:val="en-US" w:eastAsia="zh-CN"/>
        </w:rPr>
        <w:t>二</w:t>
      </w:r>
      <w:bookmarkEnd w:id="247"/>
      <w:r>
        <w:rPr>
          <w:rFonts w:hint="eastAsia" w:ascii="微软雅黑" w:hAnsi="微软雅黑" w:eastAsia="微软雅黑" w:cs="微软雅黑"/>
          <w:sz w:val="24"/>
          <w:szCs w:val="24"/>
          <w:highlight w:val="none"/>
        </w:rPr>
        <w:t>家的；</w:t>
      </w:r>
    </w:p>
    <w:p w14:paraId="07F3AC81">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2.报价人的报价均超过了最高限价的；</w:t>
      </w:r>
    </w:p>
    <w:p w14:paraId="4271A176">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3.因重大变故，采购任务取消的；</w:t>
      </w:r>
    </w:p>
    <w:p w14:paraId="735C2876">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4.出现影响采购公正的违法、违规行为。</w:t>
      </w:r>
    </w:p>
    <w:p w14:paraId="4868EC58">
      <w:pPr>
        <w:pStyle w:val="4"/>
        <w:spacing w:before="0" w:after="0" w:line="312" w:lineRule="auto"/>
        <w:ind w:firstLine="720" w:firstLineChars="300"/>
        <w:rPr>
          <w:rFonts w:hint="eastAsia" w:ascii="微软雅黑" w:hAnsi="微软雅黑" w:eastAsia="微软雅黑" w:cs="微软雅黑"/>
          <w:b w:val="0"/>
          <w:bCs/>
          <w:color w:val="auto"/>
          <w:sz w:val="24"/>
          <w:szCs w:val="24"/>
          <w:highlight w:val="none"/>
          <w:lang w:val="en-US" w:eastAsia="zh-CN"/>
        </w:rPr>
      </w:pPr>
    </w:p>
    <w:p w14:paraId="07FBEC31">
      <w:pP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br w:type="page"/>
      </w:r>
    </w:p>
    <w:p w14:paraId="7A99A3AA">
      <w:pPr>
        <w:pStyle w:val="4"/>
        <w:rPr>
          <w:rFonts w:hint="default" w:eastAsia="宋体"/>
          <w:highlight w:val="none"/>
          <w:lang w:val="en-US" w:eastAsia="zh-CN"/>
        </w:rPr>
      </w:pPr>
      <w:r>
        <w:rPr>
          <w:rFonts w:hint="eastAsia"/>
          <w:highlight w:val="none"/>
          <w:lang w:val="en-US" w:eastAsia="zh-CN"/>
        </w:rPr>
        <w:t xml:space="preserve">  </w:t>
      </w:r>
    </w:p>
    <w:p w14:paraId="305CB905">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56" w:name="_Toc8287"/>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四</w:t>
      </w:r>
      <w:r>
        <w:rPr>
          <w:rFonts w:hint="eastAsia" w:ascii="微软雅黑" w:hAnsi="微软雅黑" w:eastAsia="微软雅黑" w:cs="微软雅黑"/>
          <w:sz w:val="36"/>
          <w:szCs w:val="36"/>
          <w:highlight w:val="none"/>
        </w:rPr>
        <w:t>篇  资格审查及评标办法</w:t>
      </w:r>
      <w:bookmarkEnd w:id="156"/>
    </w:p>
    <w:p w14:paraId="18FD3062">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157" w:name="_Toc65831996"/>
      <w:bookmarkStart w:id="158" w:name="_Toc23786"/>
      <w:r>
        <w:rPr>
          <w:rFonts w:hint="eastAsia" w:ascii="微软雅黑" w:hAnsi="微软雅黑" w:eastAsia="微软雅黑" w:cs="微软雅黑"/>
          <w:b/>
          <w:color w:val="auto"/>
          <w:sz w:val="24"/>
          <w:szCs w:val="24"/>
          <w:highlight w:val="none"/>
        </w:rPr>
        <w:t>一、资格审查</w:t>
      </w:r>
      <w:bookmarkEnd w:id="157"/>
      <w:bookmarkEnd w:id="158"/>
    </w:p>
    <w:p w14:paraId="24571EA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依据政府采购相关法律法规规定，由采购人或采购代理机构对投标文件中的资格证明文件进行审查。资格审查资料表如下：</w:t>
      </w:r>
    </w:p>
    <w:tbl>
      <w:tblPr>
        <w:tblStyle w:val="4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51"/>
        <w:gridCol w:w="5692"/>
      </w:tblGrid>
      <w:tr w14:paraId="469E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6" w:type="dxa"/>
            <w:noWrap w:val="0"/>
            <w:vAlign w:val="center"/>
          </w:tcPr>
          <w:p w14:paraId="4C1DA4E4">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260" w:type="dxa"/>
            <w:gridSpan w:val="2"/>
            <w:noWrap w:val="0"/>
            <w:vAlign w:val="center"/>
          </w:tcPr>
          <w:p w14:paraId="74A272F0">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5692" w:type="dxa"/>
            <w:noWrap w:val="0"/>
            <w:vAlign w:val="center"/>
          </w:tcPr>
          <w:p w14:paraId="08D2CBD1">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E0C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6" w:type="dxa"/>
            <w:vMerge w:val="restart"/>
            <w:noWrap w:val="0"/>
            <w:vAlign w:val="center"/>
          </w:tcPr>
          <w:p w14:paraId="55689DE4">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709" w:type="dxa"/>
            <w:vMerge w:val="restart"/>
            <w:noWrap w:val="0"/>
            <w:vAlign w:val="center"/>
          </w:tcPr>
          <w:p w14:paraId="798DF91E">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投标人应符合的基本资格条件</w:t>
            </w:r>
          </w:p>
        </w:tc>
        <w:tc>
          <w:tcPr>
            <w:tcW w:w="2551" w:type="dxa"/>
            <w:noWrap w:val="0"/>
            <w:vAlign w:val="center"/>
          </w:tcPr>
          <w:p w14:paraId="75A2719F">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5692" w:type="dxa"/>
            <w:noWrap w:val="0"/>
            <w:vAlign w:val="center"/>
          </w:tcPr>
          <w:p w14:paraId="5C3E7BD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投标人法人营业执照（副本）或事业单位法人证书（副本）或个体工商户营业执照或有效的自然人身份证明或社会团体法人登记证书； </w:t>
            </w:r>
          </w:p>
          <w:p w14:paraId="52FD97BB">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投标人法定代表人身份证明和法定代表人授权代表委托书。</w:t>
            </w:r>
          </w:p>
        </w:tc>
      </w:tr>
      <w:tr w14:paraId="3B1A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6" w:type="dxa"/>
            <w:vMerge w:val="continue"/>
            <w:noWrap w:val="0"/>
            <w:vAlign w:val="center"/>
          </w:tcPr>
          <w:p w14:paraId="3645C025">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2A454736">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75ABE987">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5692" w:type="dxa"/>
            <w:vMerge w:val="restart"/>
            <w:noWrap w:val="0"/>
            <w:vAlign w:val="center"/>
          </w:tcPr>
          <w:p w14:paraId="188F670D">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供应商提供“基本资格条件承诺函”</w:t>
            </w:r>
          </w:p>
        </w:tc>
      </w:tr>
      <w:tr w14:paraId="0242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Merge w:val="continue"/>
            <w:noWrap w:val="0"/>
            <w:vAlign w:val="center"/>
          </w:tcPr>
          <w:p w14:paraId="103B8896">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17A73E4">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0ECB05A3">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5692" w:type="dxa"/>
            <w:vMerge w:val="continue"/>
            <w:noWrap w:val="0"/>
            <w:vAlign w:val="center"/>
          </w:tcPr>
          <w:p w14:paraId="48D0E8E9">
            <w:pPr>
              <w:spacing w:line="240" w:lineRule="exact"/>
              <w:rPr>
                <w:rFonts w:hint="eastAsia" w:ascii="微软雅黑" w:hAnsi="微软雅黑" w:eastAsia="微软雅黑" w:cs="微软雅黑"/>
                <w:color w:val="auto"/>
                <w:sz w:val="21"/>
                <w:szCs w:val="21"/>
                <w:highlight w:val="none"/>
              </w:rPr>
            </w:pPr>
          </w:p>
        </w:tc>
      </w:tr>
      <w:tr w14:paraId="0E7B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76" w:type="dxa"/>
            <w:vMerge w:val="continue"/>
            <w:noWrap w:val="0"/>
            <w:vAlign w:val="center"/>
          </w:tcPr>
          <w:p w14:paraId="25D73CBE">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C9BEC7E">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7264F586">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5692" w:type="dxa"/>
            <w:vMerge w:val="continue"/>
            <w:noWrap w:val="0"/>
            <w:vAlign w:val="center"/>
          </w:tcPr>
          <w:p w14:paraId="16A9EC6C">
            <w:pPr>
              <w:spacing w:line="240" w:lineRule="exact"/>
              <w:rPr>
                <w:rFonts w:hint="eastAsia" w:ascii="微软雅黑" w:hAnsi="微软雅黑" w:eastAsia="微软雅黑" w:cs="微软雅黑"/>
                <w:color w:val="auto"/>
                <w:sz w:val="21"/>
                <w:szCs w:val="21"/>
                <w:highlight w:val="none"/>
              </w:rPr>
            </w:pPr>
          </w:p>
        </w:tc>
      </w:tr>
      <w:tr w14:paraId="00F8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76" w:type="dxa"/>
            <w:vMerge w:val="continue"/>
            <w:noWrap w:val="0"/>
            <w:vAlign w:val="center"/>
          </w:tcPr>
          <w:p w14:paraId="41AE52CE">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475413B3">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0072E91D">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r>
              <w:rPr>
                <w:rFonts w:hint="eastAsia" w:ascii="微软雅黑" w:hAnsi="微软雅黑" w:eastAsia="微软雅黑" w:cs="微软雅黑"/>
                <w:color w:val="auto"/>
                <w:kern w:val="0"/>
                <w:sz w:val="24"/>
                <w:szCs w:val="24"/>
                <w:highlight w:val="none"/>
              </w:rPr>
              <w:t>②</w:t>
            </w:r>
            <w:r>
              <w:rPr>
                <w:rFonts w:hint="eastAsia" w:ascii="微软雅黑" w:hAnsi="微软雅黑" w:eastAsia="微软雅黑" w:cs="微软雅黑"/>
                <w:color w:val="auto"/>
                <w:sz w:val="21"/>
                <w:szCs w:val="21"/>
                <w:highlight w:val="none"/>
              </w:rPr>
              <w:t>）</w:t>
            </w:r>
          </w:p>
        </w:tc>
        <w:tc>
          <w:tcPr>
            <w:tcW w:w="5692" w:type="dxa"/>
            <w:noWrap w:val="0"/>
            <w:vAlign w:val="center"/>
          </w:tcPr>
          <w:p w14:paraId="61E474CB">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1.投标人提供书面声明（见格式文件）；</w:t>
            </w:r>
          </w:p>
          <w:p w14:paraId="10958818">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627C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6" w:type="dxa"/>
            <w:vMerge w:val="continue"/>
            <w:noWrap w:val="0"/>
            <w:vAlign w:val="center"/>
          </w:tcPr>
          <w:p w14:paraId="68C11DE4">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5B9A472">
            <w:pPr>
              <w:spacing w:line="240" w:lineRule="exact"/>
              <w:rPr>
                <w:rFonts w:hint="eastAsia" w:ascii="微软雅黑" w:hAnsi="微软雅黑" w:eastAsia="微软雅黑" w:cs="微软雅黑"/>
                <w:color w:val="auto"/>
                <w:sz w:val="21"/>
                <w:szCs w:val="21"/>
                <w:highlight w:val="none"/>
              </w:rPr>
            </w:pPr>
          </w:p>
        </w:tc>
        <w:tc>
          <w:tcPr>
            <w:tcW w:w="2551" w:type="dxa"/>
            <w:noWrap w:val="0"/>
            <w:vAlign w:val="center"/>
          </w:tcPr>
          <w:p w14:paraId="3D186A2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5692" w:type="dxa"/>
            <w:noWrap w:val="0"/>
            <w:vAlign w:val="center"/>
          </w:tcPr>
          <w:p w14:paraId="73ACA032">
            <w:pPr>
              <w:spacing w:line="240" w:lineRule="exact"/>
              <w:rPr>
                <w:rFonts w:hint="eastAsia" w:ascii="微软雅黑" w:hAnsi="微软雅黑" w:eastAsia="微软雅黑" w:cs="微软雅黑"/>
                <w:color w:val="auto"/>
                <w:sz w:val="21"/>
                <w:szCs w:val="21"/>
                <w:highlight w:val="none"/>
              </w:rPr>
            </w:pPr>
          </w:p>
        </w:tc>
      </w:tr>
      <w:tr w14:paraId="3FFE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6" w:type="dxa"/>
            <w:noWrap w:val="0"/>
            <w:vAlign w:val="center"/>
          </w:tcPr>
          <w:p w14:paraId="3E68B5A7">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3260" w:type="dxa"/>
            <w:gridSpan w:val="2"/>
            <w:noWrap w:val="0"/>
            <w:vAlign w:val="center"/>
          </w:tcPr>
          <w:p w14:paraId="2C72908A">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特定资格条件</w:t>
            </w:r>
          </w:p>
        </w:tc>
        <w:tc>
          <w:tcPr>
            <w:tcW w:w="5692" w:type="dxa"/>
            <w:noWrap w:val="0"/>
            <w:vAlign w:val="center"/>
          </w:tcPr>
          <w:p w14:paraId="6E6D2D90">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按第一篇“三、投标人资格要求（二）特定资格条件”的要求提交</w:t>
            </w:r>
          </w:p>
        </w:tc>
      </w:tr>
    </w:tbl>
    <w:p w14:paraId="3BBD88B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1790970F">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①投标人按“多证合一”登记制度办理营业执照的，税务登记证（副本）和社会保险登记证以投标人所提供的营业执照（副本）复印件为准。</w:t>
      </w:r>
    </w:p>
    <w:p w14:paraId="4C484822">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9A66728">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159" w:name="_Toc3363"/>
      <w:bookmarkStart w:id="160" w:name="_Toc65831997"/>
      <w:r>
        <w:rPr>
          <w:rFonts w:hint="eastAsia" w:ascii="微软雅黑" w:hAnsi="微软雅黑" w:eastAsia="微软雅黑" w:cs="微软雅黑"/>
          <w:b/>
          <w:color w:val="auto"/>
          <w:sz w:val="24"/>
          <w:szCs w:val="24"/>
          <w:highlight w:val="none"/>
        </w:rPr>
        <w:t>二、评标方法</w:t>
      </w:r>
      <w:bookmarkEnd w:id="159"/>
      <w:bookmarkEnd w:id="160"/>
    </w:p>
    <w:p w14:paraId="193A861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本项目采用综合评分法进行评标。</w:t>
      </w:r>
    </w:p>
    <w:p w14:paraId="5FD14C17">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是指投标文件满足招标文件全部实质性要求且按照评审因素的量化指标评审得分最高的供应商为中标候选人的评标方法。供应商总得分为价格、商务、技术等评定因素分别按照相应权重值计算分项得分后相加，满分为100分。</w:t>
      </w:r>
    </w:p>
    <w:p w14:paraId="6259A6E2">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（一）符合性审查</w:t>
      </w:r>
    </w:p>
    <w:p w14:paraId="7E3315AE">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3D86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9138EAC">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546" w:type="dxa"/>
            <w:gridSpan w:val="2"/>
            <w:noWrap w:val="0"/>
            <w:vAlign w:val="center"/>
          </w:tcPr>
          <w:p w14:paraId="079F65D3">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评审因素</w:t>
            </w:r>
          </w:p>
        </w:tc>
        <w:tc>
          <w:tcPr>
            <w:tcW w:w="5409" w:type="dxa"/>
            <w:noWrap w:val="0"/>
            <w:vAlign w:val="center"/>
          </w:tcPr>
          <w:p w14:paraId="55BADF18">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评审标准</w:t>
            </w:r>
          </w:p>
        </w:tc>
      </w:tr>
      <w:tr w14:paraId="27CB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3558C524">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62" w:type="dxa"/>
            <w:vMerge w:val="restart"/>
            <w:noWrap w:val="0"/>
            <w:vAlign w:val="center"/>
          </w:tcPr>
          <w:p w14:paraId="1944AD57">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84" w:type="dxa"/>
            <w:noWrap w:val="0"/>
            <w:vAlign w:val="center"/>
          </w:tcPr>
          <w:p w14:paraId="547DA3F4">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投标文件签署</w:t>
            </w:r>
          </w:p>
        </w:tc>
        <w:tc>
          <w:tcPr>
            <w:tcW w:w="5409" w:type="dxa"/>
            <w:noWrap w:val="0"/>
            <w:vAlign w:val="center"/>
          </w:tcPr>
          <w:p w14:paraId="10C8B61F">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投标文件上法定代表人或其授权代表人的签字齐全。</w:t>
            </w:r>
          </w:p>
        </w:tc>
      </w:tr>
      <w:tr w14:paraId="452E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8067676">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30A79E6F">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723B0D2F">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投标方案</w:t>
            </w:r>
          </w:p>
        </w:tc>
        <w:tc>
          <w:tcPr>
            <w:tcW w:w="5409" w:type="dxa"/>
            <w:noWrap w:val="0"/>
            <w:vAlign w:val="center"/>
          </w:tcPr>
          <w:p w14:paraId="2BFEDDBB">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每个分包只能有一个方案投标。</w:t>
            </w:r>
          </w:p>
        </w:tc>
      </w:tr>
      <w:tr w14:paraId="2B48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6D98D9A7">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10081D1A">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2AB6B5DA">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409" w:type="dxa"/>
            <w:noWrap w:val="0"/>
            <w:vAlign w:val="center"/>
          </w:tcPr>
          <w:p w14:paraId="33BB9E2D">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只能在预算金额和最高限价内报价，</w:t>
            </w:r>
            <w:r>
              <w:rPr>
                <w:rFonts w:hint="eastAsia" w:ascii="微软雅黑" w:hAnsi="微软雅黑" w:eastAsia="微软雅黑" w:cs="微软雅黑"/>
                <w:color w:val="auto"/>
                <w:sz w:val="21"/>
                <w:szCs w:val="21"/>
                <w:highlight w:val="none"/>
              </w:rPr>
              <w:t>只能有一个有效报价，不得提交选择性报价。</w:t>
            </w:r>
          </w:p>
        </w:tc>
      </w:tr>
      <w:tr w14:paraId="0A1B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0A252889">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62" w:type="dxa"/>
            <w:noWrap w:val="0"/>
            <w:vAlign w:val="center"/>
          </w:tcPr>
          <w:p w14:paraId="2B9ED023">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84" w:type="dxa"/>
            <w:noWrap w:val="0"/>
            <w:vAlign w:val="center"/>
          </w:tcPr>
          <w:p w14:paraId="18C5DAF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投标文件份数</w:t>
            </w:r>
          </w:p>
        </w:tc>
        <w:tc>
          <w:tcPr>
            <w:tcW w:w="5409" w:type="dxa"/>
            <w:noWrap w:val="0"/>
            <w:vAlign w:val="center"/>
          </w:tcPr>
          <w:p w14:paraId="2803324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投标文件正、副本数量（含电子文档）符合招标文件要求。</w:t>
            </w:r>
          </w:p>
        </w:tc>
      </w:tr>
      <w:tr w14:paraId="6121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noWrap w:val="0"/>
            <w:vAlign w:val="center"/>
          </w:tcPr>
          <w:p w14:paraId="64E4A53B">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62" w:type="dxa"/>
            <w:noWrap w:val="0"/>
            <w:vAlign w:val="center"/>
          </w:tcPr>
          <w:p w14:paraId="09E7BB3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技术</w:t>
            </w:r>
            <w:r>
              <w:rPr>
                <w:rFonts w:hint="eastAsia" w:ascii="微软雅黑" w:hAnsi="微软雅黑" w:eastAsia="微软雅黑" w:cs="微软雅黑"/>
                <w:color w:val="auto"/>
                <w:kern w:val="0"/>
                <w:sz w:val="21"/>
                <w:szCs w:val="21"/>
                <w:highlight w:val="none"/>
              </w:rPr>
              <w:t>部分</w:t>
            </w:r>
          </w:p>
        </w:tc>
        <w:tc>
          <w:tcPr>
            <w:tcW w:w="1984" w:type="dxa"/>
            <w:noWrap w:val="0"/>
            <w:vAlign w:val="center"/>
          </w:tcPr>
          <w:p w14:paraId="20682EF4">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60E1BE5C">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响应招标文件第二篇</w:t>
            </w:r>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color w:val="auto"/>
                <w:kern w:val="0"/>
                <w:sz w:val="21"/>
                <w:szCs w:val="21"/>
                <w:highlight w:val="none"/>
              </w:rPr>
              <w:t>条款的内容</w:t>
            </w:r>
          </w:p>
        </w:tc>
      </w:tr>
      <w:tr w14:paraId="020C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noWrap w:val="0"/>
            <w:vAlign w:val="center"/>
          </w:tcPr>
          <w:p w14:paraId="654536E3">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562" w:type="dxa"/>
            <w:noWrap w:val="0"/>
            <w:vAlign w:val="center"/>
          </w:tcPr>
          <w:p w14:paraId="3770919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商务部分</w:t>
            </w:r>
          </w:p>
        </w:tc>
        <w:tc>
          <w:tcPr>
            <w:tcW w:w="1984" w:type="dxa"/>
            <w:noWrap w:val="0"/>
            <w:vAlign w:val="center"/>
          </w:tcPr>
          <w:p w14:paraId="7AA45C43">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348C102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响应招标文件第三篇中的内容</w:t>
            </w:r>
          </w:p>
        </w:tc>
      </w:tr>
      <w:tr w14:paraId="7FDC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noWrap w:val="0"/>
            <w:vAlign w:val="center"/>
          </w:tcPr>
          <w:p w14:paraId="2D9863B8">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1562" w:type="dxa"/>
            <w:noWrap w:val="0"/>
            <w:vAlign w:val="center"/>
          </w:tcPr>
          <w:p w14:paraId="0A9D24C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w:t>
            </w:r>
          </w:p>
        </w:tc>
        <w:tc>
          <w:tcPr>
            <w:tcW w:w="1984" w:type="dxa"/>
            <w:noWrap w:val="0"/>
            <w:vAlign w:val="center"/>
          </w:tcPr>
          <w:p w14:paraId="5B563CD0">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379EBBB3">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投标有效期为投标截止日期起九十天</w:t>
            </w:r>
          </w:p>
        </w:tc>
      </w:tr>
    </w:tbl>
    <w:p w14:paraId="0EDC0C1A">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14:paraId="4B47C37C">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（三）比较与评价。按招标文件中规定的评标方法和标准，对资格审查和符合性审查合格的投标文件进行商务和技术评估。</w:t>
      </w:r>
    </w:p>
    <w:p w14:paraId="40F0E1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14:paraId="160DFFF2">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复核后，评标委员会汇总每个供应商每项评分因素的得分。</w:t>
      </w:r>
    </w:p>
    <w:p w14:paraId="13A58C7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（四）推荐中标候选人名单。</w:t>
      </w:r>
    </w:p>
    <w:p w14:paraId="0FF5112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按评审后得分由高到低的排列顺序推荐综合得分排名前三的供应商为本分包（项目）中标候选人，排名第一的为第一中标候选人。得分相同的，按投标报价由低到高顺序排列。得分且投标报价相同的并列。</w:t>
      </w:r>
    </w:p>
    <w:p w14:paraId="44BEABAE">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161" w:name="_Toc31069"/>
      <w:bookmarkStart w:id="162" w:name="_Toc267320057"/>
      <w:bookmarkStart w:id="163" w:name="_Toc65831998"/>
      <w:r>
        <w:rPr>
          <w:rFonts w:hint="eastAsia" w:ascii="微软雅黑" w:hAnsi="微软雅黑" w:eastAsia="微软雅黑" w:cs="微软雅黑"/>
          <w:b/>
          <w:color w:val="auto"/>
          <w:sz w:val="24"/>
          <w:szCs w:val="24"/>
          <w:highlight w:val="none"/>
        </w:rPr>
        <w:t>三、评标标准</w:t>
      </w:r>
      <w:bookmarkEnd w:id="161"/>
      <w:bookmarkEnd w:id="162"/>
      <w:bookmarkEnd w:id="163"/>
    </w:p>
    <w:p w14:paraId="268E44B6">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（一）评审因素</w:t>
      </w:r>
    </w:p>
    <w:p w14:paraId="1C55942D">
      <w:pPr>
        <w:pStyle w:val="8"/>
        <w:rPr>
          <w:rFonts w:hint="eastAsia" w:ascii="微软雅黑" w:hAnsi="微软雅黑" w:eastAsia="微软雅黑" w:cs="微软雅黑"/>
          <w:color w:val="auto"/>
          <w:szCs w:val="24"/>
          <w:highlight w:val="none"/>
        </w:rPr>
      </w:pPr>
    </w:p>
    <w:tbl>
      <w:tblPr>
        <w:tblStyle w:val="4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57"/>
        <w:gridCol w:w="1116"/>
        <w:gridCol w:w="759"/>
        <w:gridCol w:w="4735"/>
        <w:gridCol w:w="2469"/>
      </w:tblGrid>
      <w:tr w14:paraId="2286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61" w:hRule="atLeast"/>
        </w:trPr>
        <w:tc>
          <w:tcPr>
            <w:tcW w:w="6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FF4F8A">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序号</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3FCB29">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评分因素及权值</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48C08">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分值</w:t>
            </w:r>
          </w:p>
        </w:tc>
        <w:tc>
          <w:tcPr>
            <w:tcW w:w="4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30F10C">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评分标准</w:t>
            </w: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B5D068">
            <w:pPr>
              <w:pStyle w:val="352"/>
              <w:pageBreakBefore w:val="0"/>
              <w:kinsoku/>
              <w:wordWrap/>
              <w:overflowPunct/>
              <w:topLinePunct w:val="0"/>
              <w:autoSpaceDE/>
              <w:autoSpaceDN/>
              <w:bidi w:val="0"/>
              <w:spacing w:before="0" w:after="0" w:line="240" w:lineRule="auto"/>
              <w:ind w:firstLine="0" w:firstLineChars="0"/>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说明</w:t>
            </w:r>
          </w:p>
        </w:tc>
      </w:tr>
      <w:tr w14:paraId="067B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72" w:hRule="atLeast"/>
        </w:trPr>
        <w:tc>
          <w:tcPr>
            <w:tcW w:w="6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E2019B">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D36E84">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eastAsia="zh-CN"/>
              </w:rPr>
              <w:t>竞采</w:t>
            </w:r>
            <w:r>
              <w:rPr>
                <w:rFonts w:hint="eastAsia" w:ascii="微软雅黑" w:hAnsi="微软雅黑" w:eastAsia="微软雅黑" w:cs="微软雅黑"/>
                <w:sz w:val="22"/>
                <w:szCs w:val="22"/>
                <w:highlight w:val="none"/>
              </w:rPr>
              <w:t>报价（</w:t>
            </w:r>
            <w:r>
              <w:rPr>
                <w:rFonts w:hint="eastAsia" w:ascii="微软雅黑" w:hAnsi="微软雅黑" w:eastAsia="微软雅黑" w:cs="微软雅黑"/>
                <w:sz w:val="22"/>
                <w:szCs w:val="22"/>
                <w:highlight w:val="none"/>
                <w:lang w:val="en-US" w:eastAsia="zh-CN"/>
              </w:rPr>
              <w:t>30</w:t>
            </w:r>
            <w:r>
              <w:rPr>
                <w:rFonts w:hint="eastAsia" w:ascii="微软雅黑" w:hAnsi="微软雅黑" w:eastAsia="微软雅黑" w:cs="微软雅黑"/>
                <w:sz w:val="22"/>
                <w:szCs w:val="22"/>
                <w:highlight w:val="none"/>
              </w:rPr>
              <w:t>%）</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6E2175">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30</w:t>
            </w:r>
            <w:r>
              <w:rPr>
                <w:rFonts w:hint="eastAsia" w:ascii="微软雅黑" w:hAnsi="微软雅黑" w:eastAsia="微软雅黑" w:cs="微软雅黑"/>
                <w:sz w:val="22"/>
                <w:szCs w:val="22"/>
                <w:highlight w:val="none"/>
              </w:rPr>
              <w:t>分</w:t>
            </w:r>
          </w:p>
        </w:tc>
        <w:tc>
          <w:tcPr>
            <w:tcW w:w="4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910704">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有效的投标报价中的最低价为评标基准价，按照下列公式计算每个供应商的投标价格得分。</w:t>
            </w:r>
          </w:p>
          <w:p w14:paraId="7BACC582">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投标报价得分＝（评标基准价/投标报价）×价格权重×100。</w:t>
            </w: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BA1D24">
            <w:pPr>
              <w:pageBreakBefore w:val="0"/>
              <w:kinsoku/>
              <w:wordWrap/>
              <w:overflowPunct/>
              <w:topLinePunct w:val="0"/>
              <w:autoSpaceDE/>
              <w:autoSpaceDN/>
              <w:bidi w:val="0"/>
              <w:ind w:left="-38" w:firstLine="0" w:firstLineChars="0"/>
              <w:textAlignment w:val="auto"/>
              <w:rPr>
                <w:rFonts w:hint="eastAsia" w:ascii="微软雅黑" w:hAnsi="微软雅黑" w:eastAsia="微软雅黑" w:cs="微软雅黑"/>
                <w:sz w:val="22"/>
                <w:szCs w:val="22"/>
                <w:highlight w:val="none"/>
              </w:rPr>
            </w:pPr>
          </w:p>
        </w:tc>
      </w:tr>
      <w:tr w14:paraId="6FE4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97" w:hRule="atLeast"/>
        </w:trPr>
        <w:tc>
          <w:tcPr>
            <w:tcW w:w="6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8EF5CA">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5B21DD">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技术</w:t>
            </w:r>
            <w:r>
              <w:rPr>
                <w:rFonts w:hint="eastAsia" w:ascii="微软雅黑" w:hAnsi="微软雅黑" w:eastAsia="微软雅黑" w:cs="微软雅黑"/>
                <w:sz w:val="22"/>
                <w:szCs w:val="22"/>
                <w:highlight w:val="none"/>
              </w:rPr>
              <w:t>部分</w:t>
            </w:r>
          </w:p>
          <w:p w14:paraId="7D9C8443">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w:t>
            </w:r>
            <w:r>
              <w:rPr>
                <w:rFonts w:hint="eastAsia" w:ascii="微软雅黑" w:hAnsi="微软雅黑" w:eastAsia="微软雅黑" w:cs="微软雅黑"/>
                <w:sz w:val="22"/>
                <w:szCs w:val="22"/>
                <w:highlight w:val="none"/>
                <w:lang w:val="en-US" w:eastAsia="zh-CN"/>
              </w:rPr>
              <w:t>35</w:t>
            </w:r>
            <w:r>
              <w:rPr>
                <w:rFonts w:hint="eastAsia" w:ascii="微软雅黑" w:hAnsi="微软雅黑" w:eastAsia="微软雅黑" w:cs="微软雅黑"/>
                <w:sz w:val="22"/>
                <w:szCs w:val="22"/>
                <w:highlight w:val="none"/>
              </w:rPr>
              <w:t>%）</w:t>
            </w:r>
          </w:p>
        </w:tc>
        <w:tc>
          <w:tcPr>
            <w:tcW w:w="759" w:type="dxa"/>
            <w:vMerge w:val="restart"/>
            <w:tcBorders>
              <w:top w:val="single" w:color="auto" w:sz="4" w:space="0"/>
              <w:left w:val="single" w:color="auto" w:sz="4" w:space="0"/>
              <w:right w:val="single" w:color="auto" w:sz="4" w:space="0"/>
            </w:tcBorders>
            <w:shd w:val="clear" w:color="auto" w:fill="FFFFFF"/>
            <w:noWrap w:val="0"/>
            <w:vAlign w:val="center"/>
          </w:tcPr>
          <w:p w14:paraId="1B133F64">
            <w:pPr>
              <w:pageBreakBefore w:val="0"/>
              <w:kinsoku/>
              <w:wordWrap/>
              <w:overflowPunct/>
              <w:topLinePunct w:val="0"/>
              <w:autoSpaceDE/>
              <w:autoSpaceDN/>
              <w:bidi w:val="0"/>
              <w:ind w:firstLine="0" w:firstLineChars="0"/>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35</w:t>
            </w:r>
            <w:r>
              <w:rPr>
                <w:rFonts w:hint="eastAsia" w:ascii="微软雅黑" w:hAnsi="微软雅黑" w:eastAsia="微软雅黑" w:cs="微软雅黑"/>
                <w:sz w:val="22"/>
                <w:szCs w:val="22"/>
                <w:highlight w:val="none"/>
              </w:rPr>
              <w:t>分</w:t>
            </w:r>
          </w:p>
        </w:tc>
        <w:tc>
          <w:tcPr>
            <w:tcW w:w="4735" w:type="dxa"/>
            <w:vMerge w:val="restart"/>
            <w:tcBorders>
              <w:top w:val="single" w:color="auto" w:sz="4" w:space="0"/>
              <w:left w:val="single" w:color="auto" w:sz="4" w:space="0"/>
              <w:right w:val="single" w:color="auto" w:sz="4" w:space="0"/>
            </w:tcBorders>
            <w:shd w:val="clear" w:color="auto" w:fill="FFFFFF"/>
            <w:noWrap w:val="0"/>
            <w:vAlign w:val="center"/>
          </w:tcPr>
          <w:p w14:paraId="17122DB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基本得分（</w:t>
            </w:r>
            <w:r>
              <w:rPr>
                <w:rFonts w:hint="eastAsia" w:ascii="微软雅黑" w:hAnsi="微软雅黑" w:eastAsia="微软雅黑" w:cs="微软雅黑"/>
                <w:color w:val="auto"/>
                <w:sz w:val="24"/>
                <w:szCs w:val="24"/>
                <w:highlight w:val="none"/>
                <w:lang w:val="en-US" w:eastAsia="zh-CN"/>
              </w:rPr>
              <w:t>35</w:t>
            </w:r>
            <w:r>
              <w:rPr>
                <w:rFonts w:hint="eastAsia" w:ascii="微软雅黑" w:hAnsi="微软雅黑" w:eastAsia="微软雅黑" w:cs="微软雅黑"/>
                <w:color w:val="auto"/>
                <w:sz w:val="24"/>
                <w:szCs w:val="24"/>
                <w:highlight w:val="none"/>
              </w:rPr>
              <w:t>分）：有效供应商技术部分完全满足所有技术参数要求，并提供佐证材料，供应商得</w:t>
            </w:r>
            <w:r>
              <w:rPr>
                <w:rFonts w:hint="eastAsia" w:ascii="微软雅黑" w:hAnsi="微软雅黑" w:eastAsia="微软雅黑" w:cs="微软雅黑"/>
                <w:color w:val="auto"/>
                <w:sz w:val="24"/>
                <w:szCs w:val="24"/>
                <w:highlight w:val="none"/>
                <w:lang w:val="en-US" w:eastAsia="zh-CN"/>
              </w:rPr>
              <w:t>35</w:t>
            </w:r>
            <w:r>
              <w:rPr>
                <w:rFonts w:hint="eastAsia" w:ascii="微软雅黑" w:hAnsi="微软雅黑" w:eastAsia="微软雅黑" w:cs="微软雅黑"/>
                <w:color w:val="auto"/>
                <w:sz w:val="24"/>
                <w:szCs w:val="24"/>
                <w:highlight w:val="none"/>
              </w:rPr>
              <w:t>分。</w:t>
            </w:r>
          </w:p>
          <w:p w14:paraId="5DCCCD5A">
            <w:pPr>
              <w:numPr>
                <w:ilvl w:val="0"/>
                <w:numId w:val="2"/>
              </w:num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重要参数（带★号）标注的部分有1条不满足的扣</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分。</w:t>
            </w:r>
          </w:p>
          <w:p w14:paraId="3E8750CE">
            <w:pPr>
              <w:numPr>
                <w:ilvl w:val="0"/>
                <w:numId w:val="0"/>
              </w:num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若“★”标注的技术参数需求有</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项及以上不满足需求，则技术参数部分响应得0分。</w:t>
            </w:r>
          </w:p>
          <w:p w14:paraId="4530E079">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（2）一般参数（非★号标注）的部分有1条不满足的扣除</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分，扣完为止。</w:t>
            </w:r>
          </w:p>
          <w:p w14:paraId="2974FC94">
            <w:pPr>
              <w:pageBreakBefore w:val="0"/>
              <w:kinsoku/>
              <w:wordWrap/>
              <w:overflowPunct/>
              <w:topLinePunct w:val="0"/>
              <w:autoSpaceDE/>
              <w:autoSpaceDN/>
              <w:bidi w:val="0"/>
              <w:spacing w:line="360" w:lineRule="auto"/>
              <w:ind w:left="0" w:leftChars="0" w:firstLine="0" w:firstLineChars="0"/>
              <w:textAlignment w:val="auto"/>
              <w:rPr>
                <w:rFonts w:hint="eastAsia" w:ascii="微软雅黑" w:hAnsi="微软雅黑" w:eastAsia="微软雅黑" w:cs="微软雅黑"/>
                <w:sz w:val="22"/>
                <w:szCs w:val="22"/>
                <w:highlight w:val="none"/>
              </w:rPr>
            </w:pP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0B87E6">
            <w:pPr>
              <w:pStyle w:val="3"/>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highlight w:val="none"/>
              </w:rPr>
            </w:pPr>
            <w:bookmarkStart w:id="164" w:name="_Toc11093"/>
            <w:bookmarkStart w:id="165" w:name="_Toc29360"/>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bCs/>
                <w:color w:val="auto"/>
                <w:sz w:val="22"/>
                <w:szCs w:val="22"/>
                <w:highlight w:val="none"/>
              </w:rPr>
              <w:t>提供</w:t>
            </w:r>
            <w:r>
              <w:rPr>
                <w:rFonts w:hint="eastAsia" w:ascii="微软雅黑" w:hAnsi="微软雅黑" w:eastAsia="微软雅黑" w:cs="微软雅黑"/>
                <w:bCs/>
                <w:color w:val="auto"/>
                <w:sz w:val="22"/>
                <w:szCs w:val="22"/>
                <w:highlight w:val="none"/>
                <w:lang w:val="en-US" w:eastAsia="zh-CN"/>
              </w:rPr>
              <w:t>证明文件复印件</w:t>
            </w:r>
            <w:r>
              <w:rPr>
                <w:rFonts w:hint="eastAsia" w:ascii="微软雅黑" w:hAnsi="微软雅黑" w:eastAsia="微软雅黑" w:cs="微软雅黑"/>
                <w:bCs/>
                <w:color w:val="auto"/>
                <w:sz w:val="22"/>
                <w:szCs w:val="22"/>
                <w:highlight w:val="none"/>
              </w:rPr>
              <w:t>并加盖投标人鲜章。</w:t>
            </w:r>
            <w:bookmarkEnd w:id="164"/>
            <w:bookmarkEnd w:id="165"/>
          </w:p>
        </w:tc>
      </w:tr>
      <w:tr w14:paraId="63B5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5" w:hRule="atLeast"/>
        </w:trPr>
        <w:tc>
          <w:tcPr>
            <w:tcW w:w="657" w:type="dxa"/>
            <w:vMerge w:val="restart"/>
            <w:tcBorders>
              <w:top w:val="single" w:color="auto" w:sz="4" w:space="0"/>
              <w:left w:val="single" w:color="auto" w:sz="4" w:space="0"/>
              <w:right w:val="single" w:color="auto" w:sz="4" w:space="0"/>
            </w:tcBorders>
            <w:shd w:val="clear" w:color="auto" w:fill="FFFFFF"/>
            <w:noWrap w:val="0"/>
            <w:vAlign w:val="center"/>
          </w:tcPr>
          <w:p w14:paraId="49A34B9B">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3</w:t>
            </w:r>
          </w:p>
          <w:p w14:paraId="11729400">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p>
        </w:tc>
        <w:tc>
          <w:tcPr>
            <w:tcW w:w="1116" w:type="dxa"/>
            <w:vMerge w:val="restart"/>
            <w:tcBorders>
              <w:top w:val="single" w:color="auto" w:sz="4" w:space="0"/>
              <w:left w:val="single" w:color="auto" w:sz="4" w:space="0"/>
              <w:right w:val="single" w:color="auto" w:sz="4" w:space="0"/>
            </w:tcBorders>
            <w:shd w:val="clear" w:color="auto" w:fill="FFFFFF"/>
            <w:noWrap w:val="0"/>
            <w:vAlign w:val="center"/>
          </w:tcPr>
          <w:p w14:paraId="4747E7B9">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商务部分</w:t>
            </w:r>
          </w:p>
          <w:p w14:paraId="75B58AA2">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w:t>
            </w:r>
            <w:r>
              <w:rPr>
                <w:rFonts w:hint="eastAsia" w:ascii="微软雅黑" w:hAnsi="微软雅黑" w:eastAsia="微软雅黑" w:cs="微软雅黑"/>
                <w:sz w:val="22"/>
                <w:szCs w:val="22"/>
                <w:highlight w:val="none"/>
                <w:lang w:val="en-US" w:eastAsia="zh-CN"/>
              </w:rPr>
              <w:t>35</w:t>
            </w:r>
            <w:r>
              <w:rPr>
                <w:rFonts w:hint="eastAsia" w:ascii="微软雅黑" w:hAnsi="微软雅黑" w:eastAsia="微软雅黑" w:cs="微软雅黑"/>
                <w:sz w:val="22"/>
                <w:szCs w:val="22"/>
                <w:highlight w:val="none"/>
              </w:rPr>
              <w:t>%）</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8C4054">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项目实施</w:t>
            </w:r>
            <w:r>
              <w:rPr>
                <w:rFonts w:hint="eastAsia" w:ascii="微软雅黑" w:hAnsi="微软雅黑" w:eastAsia="微软雅黑" w:cs="微软雅黑"/>
                <w:sz w:val="22"/>
                <w:szCs w:val="22"/>
                <w:highlight w:val="none"/>
              </w:rPr>
              <w:t>方案</w:t>
            </w:r>
          </w:p>
          <w:p w14:paraId="18C8C3D5">
            <w:pPr>
              <w:pageBreakBefore w:val="0"/>
              <w:kinsoku/>
              <w:wordWrap/>
              <w:overflowPunct/>
              <w:topLinePunct w:val="0"/>
              <w:autoSpaceDE/>
              <w:autoSpaceDN/>
              <w:bidi w:val="0"/>
              <w:ind w:firstLine="0" w:firstLineChars="0"/>
              <w:jc w:val="center"/>
              <w:textAlignment w:val="auto"/>
              <w:rPr>
                <w:rFonts w:hint="default"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33分</w:t>
            </w:r>
          </w:p>
        </w:tc>
        <w:tc>
          <w:tcPr>
            <w:tcW w:w="4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D419BE">
            <w:pPr>
              <w:spacing w:line="360" w:lineRule="auto"/>
              <w:ind w:firstLine="440" w:firstLineChars="200"/>
              <w:rPr>
                <w:rFonts w:hint="eastAsia" w:ascii="微软雅黑" w:hAnsi="微软雅黑" w:eastAsia="微软雅黑" w:cs="微软雅黑"/>
                <w:bCs/>
                <w:color w:val="auto"/>
                <w:kern w:val="2"/>
                <w:sz w:val="22"/>
                <w:szCs w:val="22"/>
                <w:highlight w:val="none"/>
                <w:lang w:val="en-US" w:eastAsia="zh-CN" w:bidi="ar-SA"/>
              </w:rPr>
            </w:pPr>
            <w:r>
              <w:rPr>
                <w:rFonts w:hint="eastAsia" w:ascii="微软雅黑" w:hAnsi="微软雅黑" w:eastAsia="微软雅黑" w:cs="微软雅黑"/>
                <w:bCs/>
                <w:color w:val="auto"/>
                <w:kern w:val="2"/>
                <w:sz w:val="22"/>
                <w:szCs w:val="22"/>
                <w:highlight w:val="none"/>
                <w:lang w:val="en-US" w:eastAsia="zh-CN" w:bidi="ar-SA"/>
              </w:rPr>
              <w:t>针对本项目提供整体实施方案，包含但不限于项目技术设计方案、项目服务方案和服务措施、售后服务方案等。</w:t>
            </w:r>
          </w:p>
          <w:p w14:paraId="607ECFC6">
            <w:pPr>
              <w:spacing w:line="360" w:lineRule="auto"/>
              <w:rPr>
                <w:rFonts w:hint="eastAsia" w:ascii="微软雅黑" w:hAnsi="微软雅黑" w:eastAsia="微软雅黑" w:cs="微软雅黑"/>
                <w:bCs/>
                <w:color w:val="auto"/>
                <w:kern w:val="2"/>
                <w:sz w:val="22"/>
                <w:szCs w:val="22"/>
                <w:highlight w:val="none"/>
                <w:lang w:val="en-US" w:eastAsia="zh-CN" w:bidi="ar-SA"/>
              </w:rPr>
            </w:pPr>
            <w:r>
              <w:rPr>
                <w:rFonts w:hint="eastAsia" w:ascii="微软雅黑" w:hAnsi="微软雅黑" w:eastAsia="微软雅黑" w:cs="微软雅黑"/>
                <w:bCs/>
                <w:color w:val="auto"/>
                <w:kern w:val="2"/>
                <w:sz w:val="22"/>
                <w:szCs w:val="22"/>
                <w:highlight w:val="none"/>
                <w:lang w:val="en-US" w:eastAsia="zh-CN" w:bidi="ar-SA"/>
              </w:rPr>
              <w:t>内容不存在瑕疵得33分；</w:t>
            </w:r>
          </w:p>
          <w:p w14:paraId="7D1164A5">
            <w:pPr>
              <w:spacing w:line="360" w:lineRule="auto"/>
              <w:rPr>
                <w:rFonts w:hint="eastAsia" w:ascii="微软雅黑" w:hAnsi="微软雅黑" w:eastAsia="微软雅黑" w:cs="微软雅黑"/>
                <w:bCs/>
                <w:color w:val="auto"/>
                <w:kern w:val="2"/>
                <w:sz w:val="22"/>
                <w:szCs w:val="22"/>
                <w:highlight w:val="none"/>
                <w:lang w:val="en-US" w:eastAsia="zh-CN" w:bidi="ar-SA"/>
              </w:rPr>
            </w:pPr>
            <w:r>
              <w:rPr>
                <w:rFonts w:hint="eastAsia" w:ascii="微软雅黑" w:hAnsi="微软雅黑" w:eastAsia="微软雅黑" w:cs="微软雅黑"/>
                <w:bCs/>
                <w:color w:val="auto"/>
                <w:kern w:val="2"/>
                <w:sz w:val="22"/>
                <w:szCs w:val="22"/>
                <w:highlight w:val="none"/>
                <w:lang w:val="en-US" w:eastAsia="zh-CN" w:bidi="ar-SA"/>
              </w:rPr>
              <w:t>内容每存在1处瑕疵扣3分，扣完为止；</w:t>
            </w:r>
          </w:p>
          <w:p w14:paraId="552C530C">
            <w:pPr>
              <w:spacing w:line="360" w:lineRule="auto"/>
              <w:rPr>
                <w:rFonts w:hint="eastAsia" w:ascii="微软雅黑" w:hAnsi="微软雅黑" w:eastAsia="微软雅黑" w:cs="微软雅黑"/>
                <w:bCs/>
                <w:color w:val="auto"/>
                <w:kern w:val="2"/>
                <w:sz w:val="22"/>
                <w:szCs w:val="22"/>
                <w:highlight w:val="none"/>
                <w:lang w:val="en-US" w:eastAsia="zh-CN" w:bidi="ar-SA"/>
              </w:rPr>
            </w:pPr>
            <w:r>
              <w:rPr>
                <w:rFonts w:hint="eastAsia" w:ascii="微软雅黑" w:hAnsi="微软雅黑" w:eastAsia="微软雅黑" w:cs="微软雅黑"/>
                <w:bCs/>
                <w:color w:val="auto"/>
                <w:kern w:val="2"/>
                <w:sz w:val="22"/>
                <w:szCs w:val="22"/>
                <w:highlight w:val="none"/>
                <w:lang w:val="en-US" w:eastAsia="zh-CN" w:bidi="ar-SA"/>
              </w:rPr>
              <w:t>未提供得0分。</w:t>
            </w:r>
          </w:p>
          <w:p w14:paraId="458277A3">
            <w:pPr>
              <w:spacing w:line="360" w:lineRule="auto"/>
              <w:rPr>
                <w:rFonts w:hint="eastAsia" w:ascii="微软雅黑" w:hAnsi="微软雅黑" w:eastAsia="微软雅黑" w:cs="微软雅黑"/>
                <w:bCs/>
                <w:color w:val="auto"/>
                <w:kern w:val="2"/>
                <w:sz w:val="22"/>
                <w:szCs w:val="22"/>
                <w:highlight w:val="none"/>
                <w:lang w:val="en-US" w:eastAsia="zh-CN" w:bidi="ar-SA"/>
              </w:rPr>
            </w:pP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36D80B">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1.投标人提供服务方案，格式自拟。</w:t>
            </w:r>
          </w:p>
          <w:p w14:paraId="2FAB8267">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664B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65" w:hRule="atLeast"/>
        </w:trPr>
        <w:tc>
          <w:tcPr>
            <w:tcW w:w="657" w:type="dxa"/>
            <w:vMerge w:val="continue"/>
            <w:tcBorders>
              <w:left w:val="single" w:color="auto" w:sz="4" w:space="0"/>
              <w:bottom w:val="single" w:color="auto" w:sz="4" w:space="0"/>
              <w:right w:val="single" w:color="auto" w:sz="4" w:space="0"/>
            </w:tcBorders>
            <w:shd w:val="clear" w:color="auto" w:fill="FFFFFF"/>
            <w:noWrap w:val="0"/>
            <w:vAlign w:val="center"/>
          </w:tcPr>
          <w:p w14:paraId="69C34DDF">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p>
        </w:tc>
        <w:tc>
          <w:tcPr>
            <w:tcW w:w="1116" w:type="dxa"/>
            <w:vMerge w:val="continue"/>
            <w:tcBorders>
              <w:left w:val="single" w:color="auto" w:sz="4" w:space="0"/>
              <w:right w:val="single" w:color="auto" w:sz="4" w:space="0"/>
            </w:tcBorders>
            <w:shd w:val="clear" w:color="auto" w:fill="FFFFFF"/>
            <w:noWrap w:val="0"/>
            <w:vAlign w:val="center"/>
          </w:tcPr>
          <w:p w14:paraId="52E8CEC0">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p>
        </w:tc>
        <w:tc>
          <w:tcPr>
            <w:tcW w:w="759" w:type="dxa"/>
            <w:tcBorders>
              <w:top w:val="single" w:color="auto" w:sz="4" w:space="0"/>
              <w:left w:val="single" w:color="auto" w:sz="4" w:space="0"/>
              <w:right w:val="single" w:color="auto" w:sz="4" w:space="0"/>
            </w:tcBorders>
            <w:shd w:val="clear" w:color="auto" w:fill="FFFFFF"/>
            <w:noWrap w:val="0"/>
            <w:vAlign w:val="center"/>
          </w:tcPr>
          <w:p w14:paraId="41DE0FD6">
            <w:pPr>
              <w:pageBreakBefore w:val="0"/>
              <w:kinsoku/>
              <w:wordWrap/>
              <w:overflowPunct/>
              <w:topLinePunct w:val="0"/>
              <w:autoSpaceDE/>
              <w:autoSpaceDN/>
              <w:bidi w:val="0"/>
              <w:ind w:firstLine="0" w:firstLineChars="0"/>
              <w:jc w:val="center"/>
              <w:textAlignment w:val="auto"/>
              <w:rPr>
                <w:rFonts w:hint="default"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服务承诺2分</w:t>
            </w:r>
          </w:p>
        </w:tc>
        <w:tc>
          <w:tcPr>
            <w:tcW w:w="4735" w:type="dxa"/>
            <w:tcBorders>
              <w:top w:val="single" w:color="auto" w:sz="4" w:space="0"/>
              <w:left w:val="single" w:color="auto" w:sz="4" w:space="0"/>
              <w:right w:val="single" w:color="auto" w:sz="4" w:space="0"/>
            </w:tcBorders>
            <w:shd w:val="clear" w:color="auto" w:fill="FFFFFF"/>
            <w:noWrap w:val="0"/>
            <w:vAlign w:val="center"/>
          </w:tcPr>
          <w:p w14:paraId="0A406731">
            <w:pPr>
              <w:spacing w:line="360" w:lineRule="auto"/>
              <w:ind w:firstLine="440" w:firstLineChars="200"/>
              <w:rPr>
                <w:rFonts w:hint="default" w:ascii="微软雅黑" w:hAnsi="微软雅黑" w:eastAsia="微软雅黑" w:cs="微软雅黑"/>
                <w:bCs/>
                <w:color w:val="auto"/>
                <w:sz w:val="22"/>
                <w:szCs w:val="22"/>
                <w:highlight w:val="none"/>
                <w:lang w:val="en-US" w:eastAsia="zh-CN"/>
              </w:rPr>
            </w:pPr>
            <w:r>
              <w:rPr>
                <w:rFonts w:hint="eastAsia" w:ascii="微软雅黑" w:hAnsi="微软雅黑" w:eastAsia="微软雅黑" w:cs="微软雅黑"/>
                <w:bCs/>
                <w:color w:val="auto"/>
                <w:sz w:val="22"/>
                <w:szCs w:val="22"/>
                <w:highlight w:val="none"/>
                <w:lang w:val="en-US" w:eastAsia="zh-CN"/>
              </w:rPr>
              <w:t>供应商承诺在每次重大考试任务时，提供免费考前技术排查、考中现场值守服务。承诺服务期限为1年的，得1分，承诺服务期限为2年的，得2分，此项最多得2分。</w:t>
            </w:r>
          </w:p>
        </w:tc>
        <w:tc>
          <w:tcPr>
            <w:tcW w:w="2469" w:type="dxa"/>
            <w:tcBorders>
              <w:top w:val="single" w:color="auto" w:sz="4" w:space="0"/>
              <w:left w:val="single" w:color="auto" w:sz="4" w:space="0"/>
              <w:right w:val="single" w:color="auto" w:sz="4" w:space="0"/>
            </w:tcBorders>
            <w:shd w:val="clear" w:color="auto" w:fill="FFFFFF"/>
            <w:noWrap w:val="0"/>
            <w:vAlign w:val="center"/>
          </w:tcPr>
          <w:p w14:paraId="2D22DF3D">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b/>
                <w:bCs/>
                <w:color w:val="auto"/>
                <w:sz w:val="22"/>
                <w:szCs w:val="22"/>
                <w:highlight w:val="none"/>
                <w:lang w:val="en-US" w:eastAsia="zh-CN"/>
              </w:rPr>
            </w:pPr>
          </w:p>
        </w:tc>
      </w:tr>
    </w:tbl>
    <w:p w14:paraId="7868D49E">
      <w:pPr>
        <w:snapToGrid w:val="0"/>
        <w:spacing w:line="400" w:lineRule="exact"/>
        <w:ind w:firstLine="480" w:firstLineChars="200"/>
        <w:rPr>
          <w:rFonts w:hint="eastAsia" w:ascii="微软雅黑" w:hAnsi="微软雅黑" w:eastAsia="微软雅黑" w:cs="微软雅黑"/>
          <w:color w:val="auto"/>
          <w:sz w:val="24"/>
          <w:szCs w:val="24"/>
          <w:highlight w:val="none"/>
        </w:rPr>
      </w:pPr>
    </w:p>
    <w:p w14:paraId="22F517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0AC568FE">
      <w:pPr>
        <w:snapToGrid w:val="0"/>
        <w:spacing w:line="400" w:lineRule="exact"/>
        <w:ind w:firstLine="480" w:firstLineChars="200"/>
        <w:rPr>
          <w:rFonts w:hint="eastAsia" w:ascii="微软雅黑" w:hAnsi="微软雅黑" w:eastAsia="微软雅黑" w:cs="微软雅黑"/>
          <w:b/>
          <w:color w:val="auto"/>
          <w:sz w:val="24"/>
          <w:highlight w:val="none"/>
        </w:rPr>
      </w:pPr>
      <w:bookmarkStart w:id="166" w:name="_Toc53146619"/>
      <w:bookmarkStart w:id="167" w:name="_Toc492721018"/>
      <w:r>
        <w:rPr>
          <w:rFonts w:hint="eastAsia" w:ascii="微软雅黑" w:hAnsi="微软雅黑" w:eastAsia="微软雅黑" w:cs="微软雅黑"/>
          <w:b/>
          <w:color w:val="auto"/>
          <w:sz w:val="24"/>
          <w:highlight w:val="none"/>
        </w:rPr>
        <w:t>四、无效投标条款</w:t>
      </w:r>
      <w:bookmarkEnd w:id="166"/>
      <w:bookmarkEnd w:id="167"/>
    </w:p>
    <w:p w14:paraId="7DA1E6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投标人或其投标文件出现下列情况之一者，应为无效投标：</w:t>
      </w:r>
    </w:p>
    <w:p w14:paraId="699CAC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（一）未按照招标文件的规定提交投标保证金的；</w:t>
      </w:r>
    </w:p>
    <w:p w14:paraId="497FA35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（二）投标文件未按招标文件要求签署、盖章的；</w:t>
      </w:r>
    </w:p>
    <w:p w14:paraId="7C2680C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（三）不具备招标文件中规定的资格要求的；</w:t>
      </w:r>
    </w:p>
    <w:p w14:paraId="74AEEA3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（四）报价超过招标文件中规定的预算金额或者最高限价的；</w:t>
      </w:r>
    </w:p>
    <w:p w14:paraId="6734D3E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（五）投标文件含有采购人不能接受的附加条件的；</w:t>
      </w:r>
    </w:p>
    <w:p w14:paraId="562557E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（六）投标人串通投标的；</w:t>
      </w:r>
    </w:p>
    <w:p w14:paraId="7311ADDF">
      <w:pPr>
        <w:snapToGrid w:val="0"/>
        <w:spacing w:line="400" w:lineRule="exact"/>
        <w:ind w:firstLine="480" w:firstLineChars="2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（七）投标人组成联合体投标的；</w:t>
      </w:r>
    </w:p>
    <w:p w14:paraId="12971CD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（八）法律、法规和招标文件规定的其他无效情形。 </w:t>
      </w:r>
    </w:p>
    <w:p w14:paraId="28FAA146">
      <w:pPr>
        <w:snapToGrid w:val="0"/>
        <w:spacing w:line="400" w:lineRule="exact"/>
        <w:ind w:firstLine="480" w:firstLineChars="200"/>
        <w:rPr>
          <w:rFonts w:hint="eastAsia" w:ascii="微软雅黑" w:hAnsi="微软雅黑" w:eastAsia="微软雅黑" w:cs="微软雅黑"/>
          <w:color w:val="auto"/>
          <w:sz w:val="24"/>
          <w:highlight w:val="none"/>
        </w:rPr>
      </w:pPr>
    </w:p>
    <w:p w14:paraId="5532B759">
      <w:pPr>
        <w:rPr>
          <w:rFonts w:hint="eastAsia" w:ascii="宋体" w:hAnsi="宋体" w:eastAsia="宋体"/>
          <w:b w:val="0"/>
          <w:sz w:val="36"/>
          <w:szCs w:val="30"/>
          <w:highlight w:val="none"/>
        </w:rPr>
      </w:pPr>
      <w:bookmarkStart w:id="168" w:name="_Toc8916"/>
      <w:bookmarkStart w:id="169" w:name="_Toc10768"/>
      <w:bookmarkStart w:id="170" w:name="_Toc8535"/>
      <w:bookmarkStart w:id="171" w:name="_Toc20055"/>
      <w:bookmarkStart w:id="172" w:name="_Toc65660354"/>
      <w:r>
        <w:rPr>
          <w:rFonts w:hint="eastAsia" w:ascii="宋体" w:hAnsi="宋体" w:eastAsia="宋体"/>
          <w:b w:val="0"/>
          <w:sz w:val="36"/>
          <w:szCs w:val="30"/>
          <w:highlight w:val="none"/>
        </w:rPr>
        <w:br w:type="page"/>
      </w:r>
    </w:p>
    <w:p w14:paraId="0561B654">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71F135A2">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73" w:name="_Toc28328"/>
      <w:r>
        <w:rPr>
          <w:rFonts w:hint="eastAsia" w:ascii="微软雅黑" w:hAnsi="微软雅黑" w:eastAsia="微软雅黑" w:cs="微软雅黑"/>
          <w:sz w:val="36"/>
          <w:szCs w:val="36"/>
          <w:highlight w:val="none"/>
        </w:rPr>
        <w:t>第五篇  供应商须知</w:t>
      </w:r>
      <w:bookmarkEnd w:id="168"/>
      <w:bookmarkEnd w:id="169"/>
      <w:bookmarkEnd w:id="170"/>
      <w:bookmarkEnd w:id="171"/>
      <w:bookmarkEnd w:id="172"/>
      <w:bookmarkEnd w:id="173"/>
    </w:p>
    <w:p w14:paraId="2E88EF38">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74" w:name="_Toc2864"/>
      <w:bookmarkStart w:id="175" w:name="_Toc21988"/>
      <w:bookmarkStart w:id="176" w:name="_Toc16524"/>
      <w:bookmarkStart w:id="177" w:name="_Toc5290"/>
      <w:bookmarkStart w:id="178" w:name="_Toc65660355"/>
      <w:r>
        <w:rPr>
          <w:rFonts w:hint="eastAsia" w:ascii="微软雅黑" w:hAnsi="微软雅黑" w:eastAsia="微软雅黑" w:cs="微软雅黑"/>
          <w:b/>
          <w:bCs/>
          <w:color w:val="auto"/>
          <w:sz w:val="24"/>
          <w:highlight w:val="none"/>
        </w:rPr>
        <w:t>一、询比费用</w:t>
      </w:r>
      <w:bookmarkEnd w:id="174"/>
      <w:bookmarkEnd w:id="175"/>
      <w:bookmarkEnd w:id="176"/>
      <w:bookmarkEnd w:id="177"/>
      <w:bookmarkEnd w:id="178"/>
    </w:p>
    <w:p w14:paraId="0D0B3B4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参与询比的供应商应承担其编制响应文件与递交响应文件所涉及的一切费用，不论结果如何，采购人和采购代理机构在任何情况下无义务也无责任承担这些费用。</w:t>
      </w:r>
    </w:p>
    <w:p w14:paraId="7CA7537F">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79" w:name="_Toc65660356"/>
      <w:bookmarkStart w:id="180" w:name="_Toc31739"/>
      <w:bookmarkStart w:id="181" w:name="_Toc5915"/>
      <w:bookmarkStart w:id="182" w:name="_Toc31070"/>
      <w:bookmarkStart w:id="183" w:name="_Toc17270"/>
      <w:r>
        <w:rPr>
          <w:rFonts w:hint="eastAsia" w:ascii="微软雅黑" w:hAnsi="微软雅黑" w:eastAsia="微软雅黑" w:cs="微软雅黑"/>
          <w:b/>
          <w:bCs/>
          <w:color w:val="auto"/>
          <w:sz w:val="24"/>
          <w:highlight w:val="none"/>
        </w:rPr>
        <w:t>二、询比采购文件</w:t>
      </w:r>
      <w:bookmarkEnd w:id="179"/>
      <w:bookmarkEnd w:id="180"/>
      <w:bookmarkEnd w:id="181"/>
      <w:bookmarkEnd w:id="182"/>
      <w:bookmarkEnd w:id="183"/>
      <w:r>
        <w:rPr>
          <w:rFonts w:hint="eastAsia" w:ascii="微软雅黑" w:hAnsi="微软雅黑" w:eastAsia="微软雅黑" w:cs="微软雅黑"/>
          <w:b/>
          <w:bCs/>
          <w:color w:val="auto"/>
          <w:sz w:val="24"/>
          <w:highlight w:val="none"/>
        </w:rPr>
        <w:tab/>
      </w:r>
    </w:p>
    <w:p w14:paraId="3203297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（一）询比采购文件由询比采购邀请书、项目服务需求、项目商务需求、采购程序、评审标准、无效响应及采购终止、供应商须知、合同草案条款、响应文件格式要求七部分组成。</w:t>
      </w:r>
    </w:p>
    <w:p w14:paraId="762E0CA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（二）采购人（或采购代理机构）所作的一切有效的书面通知、修改及补充，都是询比采购文件不可分割的部分。</w:t>
      </w:r>
    </w:p>
    <w:p w14:paraId="7FA01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（三）询比采购文件的解释</w:t>
      </w:r>
    </w:p>
    <w:p w14:paraId="2CC64E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如对询比采购文件有疑问，必须以书面形式在提交响应文件截止时间1个工作日前向采购人（或采购代理机构）要求澄清，采购人（或采购代理机构）可视具体情况做出处理或答复。如供应商未提出疑问，视为完全理解并同意本询比采购文件。一经进入询比程序，即视为供应商已详细阅读全部文件资料，完全理解询比采购文件所有条款内容并同意放弃对这方面有不明白及误解的权利。</w:t>
      </w:r>
      <w:bookmarkStart w:id="184" w:name="_Toc318159160"/>
      <w:bookmarkStart w:id="185" w:name="_Toc318159349"/>
      <w:bookmarkStart w:id="186" w:name="_Toc318166429"/>
      <w:bookmarkStart w:id="187" w:name="_Toc318159780"/>
    </w:p>
    <w:p w14:paraId="035AF2E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（四）评审的依据为询比采购文件和响应文件。评审小组判断响应文件对询比采购文件的响应，仅基于响应文件本身而不靠外部证据。</w:t>
      </w:r>
      <w:bookmarkEnd w:id="184"/>
      <w:bookmarkEnd w:id="185"/>
      <w:bookmarkEnd w:id="186"/>
      <w:bookmarkEnd w:id="187"/>
    </w:p>
    <w:p w14:paraId="48B6D91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88" w:name="_Toc1922"/>
      <w:bookmarkStart w:id="189" w:name="_Toc13313"/>
      <w:bookmarkStart w:id="190" w:name="_Toc65660357"/>
      <w:bookmarkStart w:id="191" w:name="_Toc9532"/>
      <w:bookmarkStart w:id="192" w:name="_Toc3061"/>
      <w:r>
        <w:rPr>
          <w:rFonts w:hint="eastAsia" w:ascii="微软雅黑" w:hAnsi="微软雅黑" w:eastAsia="微软雅黑" w:cs="微软雅黑"/>
          <w:b/>
          <w:bCs/>
          <w:color w:val="auto"/>
          <w:sz w:val="24"/>
          <w:highlight w:val="none"/>
        </w:rPr>
        <w:t>三、报价要求</w:t>
      </w:r>
      <w:bookmarkEnd w:id="188"/>
      <w:bookmarkEnd w:id="189"/>
      <w:bookmarkEnd w:id="190"/>
      <w:bookmarkEnd w:id="191"/>
      <w:bookmarkEnd w:id="192"/>
    </w:p>
    <w:p w14:paraId="78E40CB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对本项目的报价，应根据市场价格以及企业自身的实力，自主报价。该报价包括实施和完成本项目所需的代理费、人工、材料、机械、印制、配送、利润、税费和风险等一切费用，因报价估计不足或市场价格波动，一律由成交供应商自行负责，采购单位不再为此向支付其它任何费用，除非合同中另有规定的除外。</w:t>
      </w:r>
    </w:p>
    <w:p w14:paraId="1BC45EF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（一）响应文件</w:t>
      </w:r>
    </w:p>
    <w:p w14:paraId="01893C8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供应商应当按照询比采购文件的要求编制响应文件，并对询比采购文件提出的要求和条件作出实质性响应，响应文件原则上采用软面订本，同时应编制完整的页码、目录。</w:t>
      </w:r>
    </w:p>
    <w:p w14:paraId="3D01A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1.响应文件组成</w:t>
      </w:r>
    </w:p>
    <w:p w14:paraId="3063DFB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B0E94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（二）联合体</w:t>
      </w:r>
    </w:p>
    <w:p w14:paraId="73D829C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w:t>
      </w:r>
    </w:p>
    <w:p w14:paraId="273C753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（三）询比有效期：响应文件及有关承诺文件有效期为提交响应文件截止时间起90天。</w:t>
      </w:r>
    </w:p>
    <w:p w14:paraId="7D300FF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（四）修正错误</w:t>
      </w:r>
    </w:p>
    <w:p w14:paraId="259B08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1.若供应商所递交的响应文件或报价中的价格出现大写金额和小写金额不一致的错误，以大写金额修正为准。</w:t>
      </w:r>
    </w:p>
    <w:p w14:paraId="0AB275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2.评审小组或采购人按上述修正错误的原则及方法修正供应商的报价，供应商同意并签署确认后，修正后的报价对供应商具有约束作用。如果供应商不接受修正后的价格，将视为无效报价。</w:t>
      </w:r>
    </w:p>
    <w:p w14:paraId="37E07D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（五）提交响应文件的份数和签署</w:t>
      </w:r>
    </w:p>
    <w:p w14:paraId="635A240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1.响应文件纸质版</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份，一正</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副，副本可以为正本复印件。平台上传内容应与纸质响应文件一致，如出现不一致情况以</w:t>
      </w:r>
      <w:r>
        <w:rPr>
          <w:rFonts w:hint="eastAsia" w:ascii="微软雅黑" w:hAnsi="微软雅黑" w:eastAsia="微软雅黑" w:cs="微软雅黑"/>
          <w:color w:val="auto"/>
          <w:sz w:val="24"/>
          <w:highlight w:val="none"/>
          <w:lang w:val="en-US" w:eastAsia="zh-CN"/>
        </w:rPr>
        <w:t>上传的电子文档</w:t>
      </w:r>
      <w:r>
        <w:rPr>
          <w:rFonts w:hint="eastAsia" w:ascii="微软雅黑" w:hAnsi="微软雅黑" w:eastAsia="微软雅黑" w:cs="微软雅黑"/>
          <w:color w:val="auto"/>
          <w:sz w:val="24"/>
          <w:highlight w:val="none"/>
        </w:rPr>
        <w:t>为准。</w:t>
      </w:r>
    </w:p>
    <w:p w14:paraId="7BFF667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2.在响应文件中，询比采购文件第七篇响应文件格式中规定签署、盖章的地方必须按其规定签署、盖章。</w:t>
      </w:r>
    </w:p>
    <w:p w14:paraId="7C9425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3.若供应商对响应文件的错处作必要修改，则应在修改处加盖供应商公章或由法定代表人（或其授权代表）或自然人（供应商为自然人）签署确认。</w:t>
      </w:r>
    </w:p>
    <w:p w14:paraId="4CE97A5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4.电报、电话、传真形式的响应文件概不接受。</w:t>
      </w:r>
    </w:p>
    <w:p w14:paraId="5E6ECB5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（六）响应文件的递交</w:t>
      </w:r>
    </w:p>
    <w:p w14:paraId="707DFC8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响应文件纸质版应密封送达报价地点，应在封套上注明询价项目名称、供应商名称。</w:t>
      </w:r>
    </w:p>
    <w:p w14:paraId="17A29E4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（七）响应文件语言：简体中文</w:t>
      </w:r>
    </w:p>
    <w:p w14:paraId="2B1B3A2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93" w:name="_Toc6242"/>
      <w:bookmarkStart w:id="194" w:name="_Toc26059"/>
      <w:bookmarkStart w:id="195" w:name="_Toc10172"/>
      <w:bookmarkStart w:id="196" w:name="_Toc65660358"/>
      <w:bookmarkStart w:id="197" w:name="_Toc14702"/>
      <w:r>
        <w:rPr>
          <w:rFonts w:hint="eastAsia" w:ascii="微软雅黑" w:hAnsi="微软雅黑" w:eastAsia="微软雅黑" w:cs="微软雅黑"/>
          <w:b/>
          <w:bCs/>
          <w:color w:val="auto"/>
          <w:sz w:val="24"/>
          <w:highlight w:val="none"/>
        </w:rPr>
        <w:t>四、成交供应商的确定和变更</w:t>
      </w:r>
      <w:bookmarkEnd w:id="193"/>
      <w:bookmarkEnd w:id="194"/>
      <w:bookmarkEnd w:id="195"/>
      <w:bookmarkEnd w:id="196"/>
      <w:bookmarkEnd w:id="197"/>
    </w:p>
    <w:p w14:paraId="7CD898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EA127E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（二）成交供应商的变更</w:t>
      </w:r>
    </w:p>
    <w:p w14:paraId="0DA6CAA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成交供应商拒绝与采购人签订合同的，采购人可以按照评审报告推荐的成交候选供应商顺序，确定排名下一位的候选人为成交供应商，也可以重新开展采购活动。拒绝签订采购合同的成交供应商不得参加对该项目重新开展的采购活动。</w:t>
      </w:r>
    </w:p>
    <w:p w14:paraId="2030D2A1">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98" w:name="_Toc29821"/>
      <w:bookmarkStart w:id="199" w:name="_Toc10504"/>
      <w:bookmarkStart w:id="200" w:name="_Toc30880"/>
      <w:bookmarkStart w:id="201" w:name="_Toc65660359"/>
      <w:bookmarkStart w:id="202" w:name="_Toc1092"/>
      <w:r>
        <w:rPr>
          <w:rFonts w:hint="eastAsia" w:ascii="微软雅黑" w:hAnsi="微软雅黑" w:eastAsia="微软雅黑" w:cs="微软雅黑"/>
          <w:b/>
          <w:bCs/>
          <w:color w:val="auto"/>
          <w:sz w:val="24"/>
          <w:highlight w:val="none"/>
        </w:rPr>
        <w:t>五、成交通知</w:t>
      </w:r>
      <w:bookmarkEnd w:id="198"/>
      <w:bookmarkEnd w:id="199"/>
      <w:bookmarkEnd w:id="200"/>
      <w:bookmarkEnd w:id="201"/>
      <w:bookmarkEnd w:id="202"/>
    </w:p>
    <w:p w14:paraId="65F29F05">
      <w:pPr>
        <w:snapToGrid w:val="0"/>
        <w:spacing w:line="400" w:lineRule="exact"/>
        <w:ind w:firstLine="480" w:firstLineChars="200"/>
        <w:rPr>
          <w:rFonts w:hint="eastAsia" w:ascii="微软雅黑" w:hAnsi="微软雅黑" w:eastAsia="微软雅黑" w:cs="微软雅黑"/>
          <w:color w:val="auto"/>
          <w:sz w:val="24"/>
          <w:highlight w:val="none"/>
        </w:rPr>
      </w:pPr>
      <w:bookmarkStart w:id="203" w:name="_Toc31082"/>
      <w:bookmarkStart w:id="204" w:name="_Toc65660360"/>
      <w:bookmarkStart w:id="205" w:name="_Toc30909"/>
      <w:bookmarkStart w:id="206" w:name="_Toc1010"/>
      <w:r>
        <w:rPr>
          <w:rFonts w:hint="eastAsia" w:ascii="微软雅黑" w:hAnsi="微软雅黑" w:eastAsia="微软雅黑" w:cs="微软雅黑"/>
          <w:color w:val="auto"/>
          <w:sz w:val="24"/>
          <w:highlight w:val="none"/>
        </w:rPr>
        <w:t>（一）成交供应商确定后2个工作日内，采购代理机构将在行采家-电子竞采中心发布成交结果公示。</w:t>
      </w:r>
    </w:p>
    <w:p w14:paraId="4EA8DE6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（二）结果公告发出同时，采购代理机构将以书面形式发出《成交通知书》。《成交通知书》一经发出即发生法律效力。</w:t>
      </w:r>
    </w:p>
    <w:p w14:paraId="442233F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（三）《成交通知书》将作为签订合同的依据。</w:t>
      </w:r>
    </w:p>
    <w:p w14:paraId="304CF7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（四）如有供应商对成交结果提出质疑的，在质疑处理完毕后发出成交通知书。</w:t>
      </w:r>
    </w:p>
    <w:p w14:paraId="79065DCE">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07" w:name="_Toc28729"/>
      <w:r>
        <w:rPr>
          <w:rFonts w:hint="eastAsia" w:ascii="微软雅黑" w:hAnsi="微软雅黑" w:eastAsia="微软雅黑" w:cs="微软雅黑"/>
          <w:b/>
          <w:bCs/>
          <w:color w:val="auto"/>
          <w:sz w:val="24"/>
          <w:highlight w:val="none"/>
        </w:rPr>
        <w:t>六、关于质疑和投诉</w:t>
      </w:r>
      <w:bookmarkEnd w:id="203"/>
      <w:bookmarkEnd w:id="204"/>
      <w:bookmarkEnd w:id="205"/>
      <w:bookmarkEnd w:id="206"/>
      <w:bookmarkEnd w:id="207"/>
    </w:p>
    <w:p w14:paraId="15A2AD5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（一）质疑</w:t>
      </w:r>
    </w:p>
    <w:p w14:paraId="2994B55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供应商认为采购文件、采购过程和成交结果使自己的权益收到伤害的，可向采购人或采购代理机构以书面形式提出质疑。</w:t>
      </w:r>
    </w:p>
    <w:p w14:paraId="62AF13F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7014A26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4EB321B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59C239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5E0201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37147D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1.2.2质疑项目的项目名称、项目号以及采购执行编号；</w:t>
      </w:r>
    </w:p>
    <w:p w14:paraId="41F83AB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7B73A83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4656776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1DBFC5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6F5E50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6963DC5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53C95C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328004E0">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6AE32E9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采购人、采购代理机构应当在收到供应商的书面质疑后7个工作日内作出答复，并以书面形式通知质疑供应商和其他有关供应商。</w:t>
      </w:r>
    </w:p>
    <w:p w14:paraId="652F923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1D5E1A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25E71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3946D17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1C6DFA4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E98DA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BFEA68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FDF74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FFC3367">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08" w:name="_Toc16148"/>
      <w:bookmarkStart w:id="209" w:name="_Toc126832920"/>
      <w:bookmarkStart w:id="210" w:name="_Toc76462344"/>
      <w:r>
        <w:rPr>
          <w:rFonts w:hint="eastAsia" w:ascii="微软雅黑" w:hAnsi="微软雅黑" w:eastAsia="微软雅黑" w:cs="微软雅黑"/>
          <w:b/>
          <w:bCs/>
          <w:color w:val="auto"/>
          <w:sz w:val="24"/>
          <w:highlight w:val="none"/>
        </w:rPr>
        <w:t>七、采购代理服务费</w:t>
      </w:r>
      <w:bookmarkEnd w:id="208"/>
      <w:bookmarkEnd w:id="209"/>
      <w:bookmarkEnd w:id="210"/>
    </w:p>
    <w:p w14:paraId="68E7C2F1">
      <w:pPr>
        <w:snapToGrid w:val="0"/>
        <w:spacing w:line="400" w:lineRule="exact"/>
        <w:ind w:firstLine="480" w:firstLineChars="200"/>
        <w:rPr>
          <w:rFonts w:hint="eastAsia" w:ascii="微软雅黑" w:hAnsi="微软雅黑" w:eastAsia="微软雅黑" w:cs="微软雅黑"/>
          <w:color w:val="auto"/>
          <w:sz w:val="24"/>
          <w:highlight w:val="none"/>
        </w:rPr>
      </w:pPr>
      <w:bookmarkStart w:id="211" w:name="_Toc76462345"/>
      <w:r>
        <w:rPr>
          <w:rFonts w:hint="eastAsia" w:ascii="微软雅黑" w:hAnsi="微软雅黑" w:eastAsia="微软雅黑" w:cs="微软雅黑"/>
          <w:color w:val="auto"/>
          <w:sz w:val="24"/>
          <w:highlight w:val="none"/>
        </w:rPr>
        <w:t>1.采购代理服务费：</w:t>
      </w:r>
      <w:bookmarkEnd w:id="211"/>
      <w:r>
        <w:rPr>
          <w:rFonts w:hint="eastAsia" w:ascii="微软雅黑" w:hAnsi="微软雅黑" w:eastAsia="微软雅黑" w:cs="微软雅黑"/>
          <w:color w:val="auto"/>
          <w:sz w:val="24"/>
          <w:highlight w:val="none"/>
        </w:rPr>
        <w:t>由采购人支付。</w:t>
      </w:r>
    </w:p>
    <w:p w14:paraId="0240BAC8">
      <w:pPr>
        <w:snapToGrid w:val="0"/>
        <w:spacing w:line="400" w:lineRule="exact"/>
        <w:ind w:firstLine="480" w:firstLineChars="200"/>
        <w:rPr>
          <w:rFonts w:hint="eastAsia" w:ascii="微软雅黑" w:hAnsi="微软雅黑" w:eastAsia="微软雅黑" w:cs="微软雅黑"/>
          <w:color w:val="auto"/>
          <w:sz w:val="24"/>
          <w:highlight w:val="none"/>
        </w:rPr>
      </w:pPr>
    </w:p>
    <w:p w14:paraId="4711DD02">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12" w:name="_Toc65660361"/>
      <w:bookmarkStart w:id="213" w:name="_Toc3127"/>
      <w:bookmarkStart w:id="214" w:name="_Toc16648"/>
      <w:bookmarkStart w:id="215" w:name="_Toc23778"/>
      <w:bookmarkStart w:id="216" w:name="_Toc8128"/>
      <w:r>
        <w:rPr>
          <w:rFonts w:hint="eastAsia" w:ascii="微软雅黑" w:hAnsi="微软雅黑" w:eastAsia="微软雅黑" w:cs="微软雅黑"/>
          <w:b/>
          <w:bCs/>
          <w:color w:val="auto"/>
          <w:sz w:val="24"/>
          <w:highlight w:val="none"/>
        </w:rPr>
        <w:t>八、签订合同</w:t>
      </w:r>
      <w:bookmarkEnd w:id="212"/>
      <w:bookmarkEnd w:id="213"/>
      <w:bookmarkEnd w:id="214"/>
      <w:bookmarkEnd w:id="215"/>
      <w:bookmarkEnd w:id="216"/>
    </w:p>
    <w:p w14:paraId="25343D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人原则上应在成交通知书发出之日起二十日内和成交供应商签订政府采购合同，无正当理由不得拒绝或拖延合同签订。所签订的合同不得对询比采购文件和供应商的响应文件作实质性修改。其他未尽事宜由采购人和成交供应商在采购合同中详细约定。</w:t>
      </w:r>
    </w:p>
    <w:p w14:paraId="68B9FDF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（二）询比采购文件、供应商的响应文件及澄清文件等，均为签订采购合同的依据。</w:t>
      </w:r>
    </w:p>
    <w:p w14:paraId="2B97F31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（三）合同生效条款由供需双方约定，法律、行政法规规定应当办理批准、登记等手续后生效的合同，依照其规定。</w:t>
      </w:r>
    </w:p>
    <w:p w14:paraId="027385A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（四）合同原则上应按照《重庆市政府采购合同》签订，相关单位要求适用合同通用格式版本的，应按其要求另行签订其他合同。</w:t>
      </w:r>
    </w:p>
    <w:p w14:paraId="72AE9C94">
      <w:pPr>
        <w:snapToGrid w:val="0"/>
        <w:spacing w:line="400" w:lineRule="exact"/>
        <w:ind w:firstLine="480" w:firstLineChars="200"/>
        <w:rPr>
          <w:rFonts w:hint="eastAsia" w:ascii="微软雅黑" w:hAnsi="微软雅黑" w:eastAsia="微软雅黑" w:cs="微软雅黑"/>
          <w:color w:val="auto"/>
          <w:sz w:val="24"/>
          <w:highlight w:val="none"/>
        </w:rPr>
        <w:sectPr>
          <w:headerReference r:id="rId6" w:type="default"/>
          <w:footerReference r:id="rId7" w:type="default"/>
          <w:pgSz w:w="11907" w:h="16840"/>
          <w:pgMar w:top="1134" w:right="1191" w:bottom="1134" w:left="1304" w:header="964" w:footer="992" w:gutter="0"/>
          <w:pgNumType w:fmt="decimal" w:start="1"/>
          <w:cols w:space="720" w:num="1"/>
          <w:docGrid w:linePitch="312" w:charSpace="0"/>
        </w:sectPr>
      </w:pPr>
    </w:p>
    <w:p w14:paraId="7CF58407">
      <w:pPr>
        <w:rPr>
          <w:rFonts w:hint="eastAsia" w:ascii="微软雅黑" w:hAnsi="微软雅黑" w:eastAsia="微软雅黑" w:cs="微软雅黑"/>
          <w:sz w:val="36"/>
          <w:szCs w:val="36"/>
          <w:highlight w:val="none"/>
        </w:rPr>
      </w:pPr>
      <w:bookmarkStart w:id="217" w:name="_Toc65832012"/>
    </w:p>
    <w:p w14:paraId="2EEA8D1A">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218" w:name="_Toc7452"/>
      <w:r>
        <w:rPr>
          <w:rFonts w:hint="eastAsia" w:ascii="微软雅黑" w:hAnsi="微软雅黑" w:eastAsia="微软雅黑" w:cs="微软雅黑"/>
          <w:sz w:val="36"/>
          <w:szCs w:val="36"/>
          <w:highlight w:val="none"/>
        </w:rPr>
        <w:t>第六篇  合同主要条款和格式合同（样本）</w:t>
      </w:r>
      <w:bookmarkEnd w:id="217"/>
      <w:bookmarkEnd w:id="218"/>
    </w:p>
    <w:p w14:paraId="71BAB0AE">
      <w:pPr>
        <w:spacing w:line="500" w:lineRule="exact"/>
        <w:ind w:firstLine="480" w:firstLineChars="200"/>
        <w:rPr>
          <w:rFonts w:hint="eastAsia" w:ascii="微软雅黑" w:hAnsi="微软雅黑" w:eastAsia="微软雅黑" w:cs="微软雅黑"/>
          <w:color w:val="000000"/>
          <w:sz w:val="24"/>
          <w:highlight w:val="none"/>
        </w:rPr>
      </w:pPr>
      <w:bookmarkStart w:id="219" w:name="_Toc285722712"/>
      <w:bookmarkStart w:id="220" w:name="_Toc65832013"/>
      <w:bookmarkStart w:id="221" w:name="_Toc277084870"/>
      <w:r>
        <w:rPr>
          <w:rFonts w:hint="eastAsia" w:ascii="微软雅黑" w:hAnsi="微软雅黑" w:eastAsia="微软雅黑" w:cs="微软雅黑"/>
          <w:color w:val="000000"/>
          <w:sz w:val="24"/>
          <w:highlight w:val="none"/>
        </w:rPr>
        <w:t>一、合同主要条款</w:t>
      </w:r>
      <w:bookmarkEnd w:id="219"/>
      <w:bookmarkEnd w:id="220"/>
      <w:bookmarkEnd w:id="221"/>
    </w:p>
    <w:p w14:paraId="2718527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1.定义</w:t>
      </w:r>
    </w:p>
    <w:p w14:paraId="7B84CFB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1.1甲方（需方）即采购人，是指通过招标采购，接受合同货物及服务的各级国家机关、事业单位和团体组织。</w:t>
      </w:r>
    </w:p>
    <w:p w14:paraId="78E713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1.2乙方（供方）即中标人，是指中标后提供合同货物和服务的自然人、法人及其他组织。</w:t>
      </w:r>
    </w:p>
    <w:p w14:paraId="33338C0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1.3合同是指由甲乙双方按照招标文件和投标文件的实质性内容，通过协商一致达成的书面协议。</w:t>
      </w:r>
    </w:p>
    <w:p w14:paraId="22BFCF3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1.4合同价格指以中标价格为依据，在供方全面履行合同义务后，需方（或财政部门）应支付给供方的金额。</w:t>
      </w:r>
    </w:p>
    <w:p w14:paraId="4EDB4C0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1.5技术资料是指合同货物及其相关的设计、制造、监造、检验、验收等文件（包括图纸、各种文字说明、标准）。</w:t>
      </w:r>
    </w:p>
    <w:p w14:paraId="23BC41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2.货物内容</w:t>
      </w:r>
    </w:p>
    <w:p w14:paraId="71BADD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合同包括以下内容：货物名称、型号规格、技术参数、数量（单位）等内容。</w:t>
      </w:r>
    </w:p>
    <w:p w14:paraId="612B93C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3.合同价格</w:t>
      </w:r>
    </w:p>
    <w:p w14:paraId="218E652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3.1合同价格即合同总价。</w:t>
      </w:r>
    </w:p>
    <w:p w14:paraId="65F749F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3.2合同价格包括合同货物、技术资料、合同货物的税费、运杂费、保险费、包装费、装卸费及与货物有关的供方应纳的税费，所有税费由乙方负担。</w:t>
      </w:r>
    </w:p>
    <w:p w14:paraId="1B1E3D8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3.3合同货物单价为不变价。</w:t>
      </w:r>
    </w:p>
    <w:p w14:paraId="542245C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4.转包或分包</w:t>
      </w:r>
    </w:p>
    <w:p w14:paraId="1C4CD63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4.1本合同范围的货物，应由乙方直接供应，不得转让他人供应；</w:t>
      </w:r>
    </w:p>
    <w:p w14:paraId="05867AF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4.2非经甲方书面同意，乙方不得将本合同范围的货物全部或部分分包给他人供应；</w:t>
      </w:r>
    </w:p>
    <w:p w14:paraId="743940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4.3如有转让和未经甲方同意的分包行为，甲方有权解除合同，没收履约保证金并追究乙方的违约责任。</w:t>
      </w:r>
    </w:p>
    <w:p w14:paraId="42E3209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5.质量保证及售后服务</w:t>
      </w:r>
    </w:p>
    <w:p w14:paraId="4A62BE7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5.1乙方应按招标文件规定的货物性能、技术要求、质量标准向甲方提供未经使用的全新产品。</w:t>
      </w:r>
    </w:p>
    <w:p w14:paraId="0AA099B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5.2乙方提供的货物在质保期内因货物本身的质量问题发生故障，乙方应负责免费更换。对达不到技术要求者，根据实际情况，经双方协商，可按以下办法处理：</w:t>
      </w:r>
    </w:p>
    <w:p w14:paraId="0293BAC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5.2.1更换：由乙方承担所发生的全部费用。</w:t>
      </w:r>
    </w:p>
    <w:p w14:paraId="377CC9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5.2.2贬值处理：由甲乙双方合议定价。</w:t>
      </w:r>
    </w:p>
    <w:p w14:paraId="2CE8644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5.2.3退货处理：乙方应退还甲方支付的合同款，同时应承担该货物的直接费用（运输、保险、检验、货款利息及银行手续费等）。</w:t>
      </w:r>
    </w:p>
    <w:p w14:paraId="1E92256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5.3如在使用过程中发生质量问题，乙方应按本项目“第三篇 项目商务要求”中的要求处理。</w:t>
      </w:r>
    </w:p>
    <w:p w14:paraId="4121EBA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5.4在质保期内，乙方应对货物出现的质量及安全问题负责处理解决并承担一切费用。</w:t>
      </w:r>
    </w:p>
    <w:p w14:paraId="258C5C6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5.5 如甲方要求乙方提供履约保证金的，履约保证金的收取和退还应按本项目“第三篇 项目商务要求”中的要求处理。</w:t>
      </w:r>
    </w:p>
    <w:p w14:paraId="4950E09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6.付款</w:t>
      </w:r>
    </w:p>
    <w:p w14:paraId="7305EEA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6.1本合同使用货币币制如未作特别说明均为人民币。</w:t>
      </w:r>
    </w:p>
    <w:p w14:paraId="6E73083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6.2付款方式：银行转账、现金支票。</w:t>
      </w:r>
    </w:p>
    <w:p w14:paraId="64FA3FB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6.3付款方法：同本项目“第三篇 商务条款”中关于付款方式的约定。</w:t>
      </w:r>
    </w:p>
    <w:p w14:paraId="6E3C40D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7.检查验收</w:t>
      </w:r>
    </w:p>
    <w:p w14:paraId="61424B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7.1供方应随货物提供合格证和质量证明文件，如是国外进口的货物还须提供入关证明。</w:t>
      </w:r>
    </w:p>
    <w:p w14:paraId="6D8B35B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7.2货物验收</w:t>
      </w:r>
    </w:p>
    <w:p w14:paraId="6A4CCD0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096A66E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7.3货物验收报告应由需方、供方经办人签字，并加盖双方公章，以此作为支付凭据。</w:t>
      </w:r>
    </w:p>
    <w:p w14:paraId="046AF0D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8.索赔</w:t>
      </w:r>
    </w:p>
    <w:p w14:paraId="0FE4CAE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供方对货物与合同要求不符负有责任，并且需方已于规定交货内和质量保证期内提出索赔，供方应按需方同意的下述一种或多种方法解决索赔事宜。</w:t>
      </w:r>
    </w:p>
    <w:p w14:paraId="7514562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704858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8.2根据货物的疵劣和受损程度以及需方遭受损失的金额，经双方同意降低货物价格。</w:t>
      </w:r>
    </w:p>
    <w:p w14:paraId="519B17D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9.知识产权</w:t>
      </w:r>
    </w:p>
    <w:p w14:paraId="6E64951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1967331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10.合同争议的解决</w:t>
      </w:r>
    </w:p>
    <w:p w14:paraId="639C53A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10.1当事人友好协商达成一致</w:t>
      </w:r>
    </w:p>
    <w:p w14:paraId="09D416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10.2在60天内当事人协商不能达成协议的，可提请采购人当地仲裁机构仲裁。</w:t>
      </w:r>
    </w:p>
    <w:p w14:paraId="50E4134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11.违约责任</w:t>
      </w:r>
    </w:p>
    <w:p w14:paraId="0284A9C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按《中华人民共和国合同法》、《中华人民共和国政府采购法》有关条款，或由供需双方约定。</w:t>
      </w:r>
    </w:p>
    <w:p w14:paraId="540D9C6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12.合同生效及其它</w:t>
      </w:r>
    </w:p>
    <w:p w14:paraId="4CFA27A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12.1合同生效及其效力应符合《中华人民共和国合同法》有关规定。</w:t>
      </w:r>
    </w:p>
    <w:p w14:paraId="3C23B0B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12.2合同应经当事人法定代表人或委托代理人签字，加盖双方合同专用章或公章。</w:t>
      </w:r>
    </w:p>
    <w:p w14:paraId="0F044E8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12.3合同所包括附件，是合同不可分割的一部分，具有同等法法律效力。</w:t>
      </w:r>
    </w:p>
    <w:p w14:paraId="01A0E19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12.4合同需提供担保的，按《中华人民共和国担保法》规定执行。</w:t>
      </w:r>
    </w:p>
    <w:p w14:paraId="2111BBF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12.5本合同条件未尽事宜依照《中华人民共和国合同法》，由供需双方共同协商确定。</w:t>
      </w:r>
    </w:p>
    <w:p w14:paraId="1675A6C5">
      <w:pPr>
        <w:spacing w:line="500" w:lineRule="exact"/>
        <w:ind w:firstLine="480" w:firstLineChars="200"/>
        <w:rPr>
          <w:rFonts w:hint="eastAsia" w:ascii="微软雅黑" w:hAnsi="微软雅黑" w:eastAsia="微软雅黑" w:cs="微软雅黑"/>
          <w:color w:val="000000"/>
          <w:sz w:val="24"/>
          <w:highlight w:val="none"/>
        </w:rPr>
        <w:sectPr>
          <w:headerReference r:id="rId8" w:type="default"/>
          <w:pgSz w:w="11907" w:h="16840"/>
          <w:pgMar w:top="1134" w:right="1191" w:bottom="1134" w:left="1304" w:header="964" w:footer="992" w:gutter="0"/>
          <w:pgNumType w:fmt="decimal"/>
          <w:cols w:space="720" w:num="1"/>
          <w:docGrid w:linePitch="312" w:charSpace="0"/>
        </w:sectPr>
      </w:pPr>
    </w:p>
    <w:p w14:paraId="2199EC6D">
      <w:pPr>
        <w:spacing w:line="500" w:lineRule="exact"/>
        <w:ind w:firstLine="480" w:firstLineChars="200"/>
        <w:rPr>
          <w:rFonts w:hint="eastAsia" w:ascii="微软雅黑" w:hAnsi="微软雅黑" w:eastAsia="微软雅黑" w:cs="微软雅黑"/>
          <w:color w:val="000000"/>
          <w:sz w:val="24"/>
          <w:highlight w:val="none"/>
        </w:rPr>
      </w:pPr>
      <w:bookmarkStart w:id="222" w:name="_Toc285722713"/>
      <w:bookmarkStart w:id="223" w:name="_Toc277084871"/>
      <w:bookmarkStart w:id="224" w:name="_Toc65832014"/>
      <w:r>
        <w:rPr>
          <w:rFonts w:hint="eastAsia" w:ascii="微软雅黑" w:hAnsi="微软雅黑" w:eastAsia="微软雅黑" w:cs="微软雅黑"/>
          <w:color w:val="000000"/>
          <w:sz w:val="24"/>
          <w:highlight w:val="none"/>
        </w:rPr>
        <w:t>二、政府采购合同（</w:t>
      </w:r>
      <w:r>
        <w:rPr>
          <w:rFonts w:hint="eastAsia" w:ascii="微软雅黑" w:hAnsi="微软雅黑" w:eastAsia="微软雅黑" w:cs="微软雅黑"/>
          <w:color w:val="000000"/>
          <w:sz w:val="24"/>
          <w:highlight w:val="none"/>
          <w:lang w:val="en-US" w:eastAsia="zh-CN"/>
        </w:rPr>
        <w:t>可</w:t>
      </w:r>
      <w:r>
        <w:rPr>
          <w:rFonts w:hint="eastAsia" w:ascii="微软雅黑" w:hAnsi="微软雅黑" w:eastAsia="微软雅黑" w:cs="微软雅黑"/>
          <w:color w:val="000000"/>
          <w:sz w:val="24"/>
          <w:highlight w:val="none"/>
        </w:rPr>
        <w:t>根据项目情况自拟）</w:t>
      </w:r>
      <w:bookmarkEnd w:id="222"/>
      <w:bookmarkEnd w:id="223"/>
      <w:bookmarkEnd w:id="224"/>
    </w:p>
    <w:p w14:paraId="5068645E">
      <w:pPr>
        <w:spacing w:line="500" w:lineRule="exact"/>
        <w:ind w:firstLine="480" w:firstLineChars="200"/>
        <w:rPr>
          <w:rFonts w:hint="eastAsia" w:ascii="微软雅黑" w:hAnsi="微软雅黑" w:eastAsia="微软雅黑" w:cs="微软雅黑"/>
          <w:color w:val="000000"/>
          <w:sz w:val="24"/>
          <w:highlight w:val="none"/>
        </w:rPr>
      </w:pPr>
    </w:p>
    <w:p w14:paraId="1579579D">
      <w:pPr>
        <w:spacing w:line="500" w:lineRule="exact"/>
        <w:ind w:firstLine="480" w:firstLineChars="200"/>
        <w:jc w:val="center"/>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重庆市政府采购合同</w:t>
      </w:r>
    </w:p>
    <w:p w14:paraId="523B79CD">
      <w:pPr>
        <w:spacing w:line="500" w:lineRule="exact"/>
        <w:ind w:firstLine="480" w:firstLineChars="200"/>
        <w:jc w:val="righ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（项目号：     ）</w:t>
      </w:r>
    </w:p>
    <w:p w14:paraId="14C1C2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甲方（需方）：</w:t>
      </w:r>
      <w:r>
        <w:rPr>
          <w:rFonts w:hint="eastAsia" w:ascii="微软雅黑" w:hAnsi="微软雅黑" w:eastAsia="微软雅黑" w:cs="微软雅黑"/>
          <w:color w:val="000000"/>
          <w:sz w:val="24"/>
          <w:highlight w:val="none"/>
          <w:u w:val="single"/>
        </w:rPr>
        <w:t xml:space="preserve">    </w:t>
      </w:r>
      <w:r>
        <w:rPr>
          <w:rFonts w:hint="eastAsia" w:ascii="微软雅黑" w:hAnsi="微软雅黑" w:eastAsia="微软雅黑" w:cs="微软雅黑"/>
          <w:color w:val="000000"/>
          <w:sz w:val="24"/>
          <w:highlight w:val="none"/>
          <w:u w:val="single"/>
          <w:lang w:val="en-US" w:eastAsia="zh-CN"/>
        </w:rPr>
        <w:t xml:space="preserve">                   </w:t>
      </w:r>
      <w:r>
        <w:rPr>
          <w:rFonts w:hint="eastAsia" w:ascii="微软雅黑" w:hAnsi="微软雅黑" w:eastAsia="微软雅黑" w:cs="微软雅黑"/>
          <w:color w:val="000000"/>
          <w:sz w:val="24"/>
          <w:highlight w:val="none"/>
          <w:u w:val="single"/>
        </w:rPr>
        <w:t xml:space="preserve"> </w:t>
      </w:r>
    </w:p>
    <w:p w14:paraId="0266248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 xml:space="preserve">乙方（供方）：___________________________     </w:t>
      </w:r>
    </w:p>
    <w:p w14:paraId="6FFE4766">
      <w:pPr>
        <w:spacing w:line="500" w:lineRule="exact"/>
        <w:ind w:firstLine="480" w:firstLineChars="200"/>
        <w:rPr>
          <w:rFonts w:hint="eastAsia" w:ascii="微软雅黑" w:hAnsi="微软雅黑" w:eastAsia="微软雅黑" w:cs="微软雅黑"/>
          <w:color w:val="000000"/>
          <w:sz w:val="24"/>
          <w:highlight w:val="none"/>
        </w:rPr>
      </w:pPr>
    </w:p>
    <w:p w14:paraId="55848CE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经双方协商一致，达成以下购销合同：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F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078680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项目名称</w:t>
            </w:r>
          </w:p>
        </w:tc>
        <w:tc>
          <w:tcPr>
            <w:tcW w:w="984" w:type="dxa"/>
            <w:noWrap w:val="0"/>
            <w:vAlign w:val="center"/>
          </w:tcPr>
          <w:p w14:paraId="11E61587">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数量</w:t>
            </w:r>
          </w:p>
        </w:tc>
        <w:tc>
          <w:tcPr>
            <w:tcW w:w="2432" w:type="dxa"/>
            <w:gridSpan w:val="2"/>
            <w:noWrap w:val="0"/>
            <w:vAlign w:val="center"/>
          </w:tcPr>
          <w:p w14:paraId="764B938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总价</w:t>
            </w:r>
          </w:p>
        </w:tc>
        <w:tc>
          <w:tcPr>
            <w:tcW w:w="1559" w:type="dxa"/>
            <w:noWrap w:val="0"/>
            <w:vAlign w:val="center"/>
          </w:tcPr>
          <w:p w14:paraId="2BAA6D5D">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服务时间</w:t>
            </w:r>
          </w:p>
        </w:tc>
        <w:tc>
          <w:tcPr>
            <w:tcW w:w="1567" w:type="dxa"/>
            <w:noWrap w:val="0"/>
            <w:vAlign w:val="center"/>
          </w:tcPr>
          <w:p w14:paraId="09D37FA4">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服务地点</w:t>
            </w:r>
          </w:p>
        </w:tc>
      </w:tr>
      <w:tr w14:paraId="165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DA8DBA2">
            <w:pPr>
              <w:spacing w:line="500" w:lineRule="exact"/>
              <w:ind w:firstLine="480" w:firstLineChars="200"/>
              <w:rPr>
                <w:rFonts w:hint="eastAsia" w:ascii="微软雅黑" w:hAnsi="微软雅黑" w:eastAsia="微软雅黑" w:cs="微软雅黑"/>
                <w:color w:val="000000"/>
                <w:sz w:val="24"/>
                <w:highlight w:val="none"/>
              </w:rPr>
            </w:pPr>
          </w:p>
        </w:tc>
        <w:tc>
          <w:tcPr>
            <w:tcW w:w="984" w:type="dxa"/>
            <w:noWrap w:val="0"/>
            <w:vAlign w:val="center"/>
          </w:tcPr>
          <w:p w14:paraId="2FE8B978">
            <w:pPr>
              <w:spacing w:line="500" w:lineRule="exact"/>
              <w:ind w:firstLine="480" w:firstLineChars="200"/>
              <w:rPr>
                <w:rFonts w:hint="eastAsia" w:ascii="微软雅黑" w:hAnsi="微软雅黑" w:eastAsia="微软雅黑" w:cs="微软雅黑"/>
                <w:color w:val="000000"/>
                <w:sz w:val="24"/>
                <w:highlight w:val="none"/>
              </w:rPr>
            </w:pPr>
          </w:p>
        </w:tc>
        <w:tc>
          <w:tcPr>
            <w:tcW w:w="2432" w:type="dxa"/>
            <w:gridSpan w:val="2"/>
            <w:noWrap w:val="0"/>
            <w:vAlign w:val="center"/>
          </w:tcPr>
          <w:p w14:paraId="55D52E06">
            <w:pPr>
              <w:spacing w:line="500" w:lineRule="exact"/>
              <w:ind w:firstLine="480" w:firstLineChars="200"/>
              <w:rPr>
                <w:rFonts w:hint="eastAsia" w:ascii="微软雅黑" w:hAnsi="微软雅黑" w:eastAsia="微软雅黑" w:cs="微软雅黑"/>
                <w:color w:val="000000"/>
                <w:sz w:val="24"/>
                <w:highlight w:val="none"/>
              </w:rPr>
            </w:pPr>
          </w:p>
        </w:tc>
        <w:tc>
          <w:tcPr>
            <w:tcW w:w="1559" w:type="dxa"/>
            <w:noWrap w:val="0"/>
            <w:vAlign w:val="center"/>
          </w:tcPr>
          <w:p w14:paraId="6ABE6D9F">
            <w:pPr>
              <w:spacing w:line="500" w:lineRule="exact"/>
              <w:ind w:firstLine="480" w:firstLineChars="200"/>
              <w:rPr>
                <w:rFonts w:hint="eastAsia" w:ascii="微软雅黑" w:hAnsi="微软雅黑" w:eastAsia="微软雅黑" w:cs="微软雅黑"/>
                <w:color w:val="000000"/>
                <w:sz w:val="24"/>
                <w:highlight w:val="none"/>
              </w:rPr>
            </w:pPr>
          </w:p>
        </w:tc>
        <w:tc>
          <w:tcPr>
            <w:tcW w:w="1567" w:type="dxa"/>
            <w:noWrap w:val="0"/>
            <w:vAlign w:val="center"/>
          </w:tcPr>
          <w:p w14:paraId="4A3F4B52">
            <w:pPr>
              <w:spacing w:line="500" w:lineRule="exact"/>
              <w:ind w:firstLine="480" w:firstLineChars="200"/>
              <w:rPr>
                <w:rFonts w:hint="eastAsia" w:ascii="微软雅黑" w:hAnsi="微软雅黑" w:eastAsia="微软雅黑" w:cs="微软雅黑"/>
                <w:color w:val="000000"/>
                <w:sz w:val="24"/>
                <w:highlight w:val="none"/>
              </w:rPr>
            </w:pPr>
          </w:p>
        </w:tc>
      </w:tr>
      <w:tr w14:paraId="468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47674E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合计人民币（小写）：</w:t>
            </w:r>
          </w:p>
        </w:tc>
      </w:tr>
      <w:tr w14:paraId="2D2C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50BE00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合计人民币（大写）：</w:t>
            </w:r>
          </w:p>
        </w:tc>
      </w:tr>
      <w:tr w14:paraId="6FE6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70393B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一、服务要求</w:t>
            </w:r>
          </w:p>
        </w:tc>
      </w:tr>
      <w:tr w14:paraId="0F3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50039A3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二、考核方式：</w:t>
            </w:r>
          </w:p>
        </w:tc>
      </w:tr>
      <w:tr w14:paraId="4E6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53BB8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三、付款方式：</w:t>
            </w:r>
          </w:p>
          <w:p w14:paraId="0770F232">
            <w:pPr>
              <w:spacing w:line="500" w:lineRule="exact"/>
              <w:ind w:firstLine="480" w:firstLineChars="200"/>
              <w:rPr>
                <w:rFonts w:hint="eastAsia" w:ascii="微软雅黑" w:hAnsi="微软雅黑" w:eastAsia="微软雅黑" w:cs="微软雅黑"/>
                <w:color w:val="000000"/>
                <w:sz w:val="24"/>
                <w:highlight w:val="none"/>
              </w:rPr>
            </w:pPr>
          </w:p>
        </w:tc>
      </w:tr>
      <w:tr w14:paraId="589A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E50249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四、违约责任：</w:t>
            </w:r>
          </w:p>
          <w:p w14:paraId="7E9B1A9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按《合同法》、《政府采购法》执行，或按双方约定。（采购人应按项目实际情况完整填写）</w:t>
            </w:r>
          </w:p>
        </w:tc>
      </w:tr>
      <w:tr w14:paraId="2B3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3574ECE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五、其他约定事项：</w:t>
            </w:r>
          </w:p>
          <w:p w14:paraId="204BD50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1.招标文件及其澄清文件、投标文件和承诺是本合同不可分割的部分。</w:t>
            </w:r>
          </w:p>
          <w:p w14:paraId="50F3D9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2.本合同如发生争议由双方协商解决，协商不成向需方所在人民法院提请诉讼。</w:t>
            </w:r>
          </w:p>
          <w:p w14:paraId="04C9739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3.本合同一式__份， 需方__份，供方__份，具备同等法律效力。</w:t>
            </w:r>
          </w:p>
          <w:p w14:paraId="2D557B1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4.其他：</w:t>
            </w:r>
          </w:p>
        </w:tc>
      </w:tr>
      <w:tr w14:paraId="442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07E5A3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需方：</w:t>
            </w:r>
          </w:p>
          <w:p w14:paraId="0DA9AF5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1CEEDF7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联系电话：</w:t>
            </w:r>
          </w:p>
          <w:p w14:paraId="4735E6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tc>
        <w:tc>
          <w:tcPr>
            <w:tcW w:w="5125" w:type="dxa"/>
            <w:gridSpan w:val="4"/>
            <w:noWrap w:val="0"/>
            <w:vAlign w:val="top"/>
          </w:tcPr>
          <w:p w14:paraId="4B3968E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w:t>
            </w:r>
          </w:p>
          <w:p w14:paraId="619A72E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5FABAF7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电话：</w:t>
            </w:r>
          </w:p>
          <w:p w14:paraId="0A161F5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传真：</w:t>
            </w:r>
          </w:p>
          <w:p w14:paraId="50FD397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开户银行：</w:t>
            </w:r>
          </w:p>
          <w:p w14:paraId="60208CE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账号：</w:t>
            </w:r>
          </w:p>
          <w:p w14:paraId="0EB0A60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p w14:paraId="019C2C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（本栏请用计算机打印以便于准确付款）</w:t>
            </w:r>
          </w:p>
        </w:tc>
      </w:tr>
      <w:tr w14:paraId="2C6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BC262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备注：</w:t>
            </w:r>
          </w:p>
          <w:p w14:paraId="2D4C7401">
            <w:pPr>
              <w:spacing w:line="500" w:lineRule="exact"/>
              <w:ind w:firstLine="480" w:firstLineChars="200"/>
              <w:rPr>
                <w:rFonts w:hint="eastAsia" w:ascii="微软雅黑" w:hAnsi="微软雅黑" w:eastAsia="微软雅黑" w:cs="微软雅黑"/>
                <w:color w:val="000000"/>
                <w:sz w:val="24"/>
                <w:highlight w:val="none"/>
              </w:rPr>
            </w:pPr>
          </w:p>
          <w:p w14:paraId="40CC989C">
            <w:pPr>
              <w:spacing w:line="500" w:lineRule="exact"/>
              <w:ind w:firstLine="480" w:firstLineChars="200"/>
              <w:rPr>
                <w:rFonts w:hint="eastAsia" w:ascii="微软雅黑" w:hAnsi="微软雅黑" w:eastAsia="微软雅黑" w:cs="微软雅黑"/>
                <w:color w:val="000000"/>
                <w:sz w:val="24"/>
                <w:highlight w:val="none"/>
              </w:rPr>
            </w:pPr>
          </w:p>
        </w:tc>
      </w:tr>
    </w:tbl>
    <w:p w14:paraId="637C6C0D">
      <w:pPr>
        <w:spacing w:line="500" w:lineRule="exact"/>
        <w:ind w:firstLine="480" w:firstLineChars="200"/>
        <w:rPr>
          <w:rFonts w:hint="eastAsia" w:ascii="微软雅黑" w:hAnsi="微软雅黑" w:eastAsia="微软雅黑" w:cs="微软雅黑"/>
          <w:color w:val="000000"/>
          <w:sz w:val="24"/>
          <w:highlight w:val="none"/>
        </w:rPr>
      </w:pPr>
    </w:p>
    <w:p w14:paraId="10746FA7">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br w:type="page"/>
      </w:r>
      <w:bookmarkStart w:id="225" w:name="_Toc23574"/>
      <w:bookmarkStart w:id="226" w:name="_Toc65832015"/>
      <w:r>
        <w:rPr>
          <w:rFonts w:hint="eastAsia" w:ascii="微软雅黑" w:hAnsi="微软雅黑" w:eastAsia="微软雅黑" w:cs="微软雅黑"/>
          <w:sz w:val="36"/>
          <w:szCs w:val="36"/>
          <w:highlight w:val="none"/>
        </w:rPr>
        <w:t>第七篇  投标文件格式</w:t>
      </w:r>
      <w:bookmarkEnd w:id="225"/>
      <w:bookmarkEnd w:id="226"/>
    </w:p>
    <w:p w14:paraId="1240780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p>
    <w:p w14:paraId="4C1B256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highlight w:val="none"/>
        </w:rPr>
        <w:t>报价函</w:t>
      </w:r>
    </w:p>
    <w:p w14:paraId="5B652C9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（二）分项报价明细表</w:t>
      </w:r>
    </w:p>
    <w:p w14:paraId="471F570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技术</w:t>
      </w:r>
      <w:r>
        <w:rPr>
          <w:rFonts w:hint="eastAsia" w:ascii="微软雅黑" w:hAnsi="微软雅黑" w:eastAsia="微软雅黑" w:cs="微软雅黑"/>
          <w:snapToGrid w:val="0"/>
          <w:kern w:val="0"/>
          <w:sz w:val="24"/>
          <w:szCs w:val="24"/>
          <w:highlight w:val="none"/>
        </w:rPr>
        <w:t>文件</w:t>
      </w:r>
    </w:p>
    <w:p w14:paraId="3F0DBF8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highlight w:val="none"/>
        </w:rPr>
        <w:t>技术应答</w:t>
      </w:r>
    </w:p>
    <w:p w14:paraId="6795AA8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color w:val="auto"/>
          <w:sz w:val="24"/>
          <w:szCs w:val="24"/>
          <w:highlight w:val="none"/>
        </w:rPr>
        <w:t>技术响应偏离表</w:t>
      </w:r>
    </w:p>
    <w:p w14:paraId="09BF21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p>
    <w:p w14:paraId="2EDF19C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6461214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（二）商务条款差异表</w:t>
      </w:r>
    </w:p>
    <w:p w14:paraId="5BCA717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（三）商务及售后服务承诺</w:t>
      </w:r>
    </w:p>
    <w:p w14:paraId="2AFF390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p>
    <w:p w14:paraId="0F657E9D">
      <w:pPr>
        <w:widowControl/>
        <w:spacing w:line="440" w:lineRule="exact"/>
        <w:ind w:firstLine="240" w:firstLineChars="1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0FE7F7D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p>
    <w:p w14:paraId="393EEDC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（一）营业执照（副本）或事业单位法人证书（副本）复印件</w:t>
      </w:r>
    </w:p>
    <w:p w14:paraId="71A4B4C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（二）法定代表人身份证明书（格式）</w:t>
      </w:r>
    </w:p>
    <w:p w14:paraId="72BA75D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（三）法定代表人授权委托书（格式）</w:t>
      </w:r>
    </w:p>
    <w:p w14:paraId="5C7269F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）书面声明（格式）</w:t>
      </w:r>
    </w:p>
    <w:p w14:paraId="517A0F5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w:t>
      </w:r>
    </w:p>
    <w:p w14:paraId="475270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说明：投标人按“多证合一”登记制度办理营业执照的，税务登记证（副本）和社会保险登记证以投标人所提供的法人营业执照（副本）复印件为准。</w:t>
      </w:r>
    </w:p>
    <w:p w14:paraId="25D105E4">
      <w:pPr>
        <w:widowControl/>
        <w:spacing w:line="440" w:lineRule="exact"/>
        <w:jc w:val="center"/>
        <w:rPr>
          <w:rFonts w:hint="eastAsia" w:ascii="微软雅黑" w:hAnsi="微软雅黑" w:eastAsia="微软雅黑" w:cs="微软雅黑"/>
          <w:snapToGrid w:val="0"/>
          <w:kern w:val="0"/>
          <w:sz w:val="24"/>
          <w:szCs w:val="24"/>
          <w:highlight w:val="none"/>
        </w:rPr>
      </w:pPr>
    </w:p>
    <w:p w14:paraId="72255525">
      <w:pPr>
        <w:rPr>
          <w:rFonts w:hint="eastAsia" w:ascii="微软雅黑" w:hAnsi="微软雅黑" w:eastAsia="微软雅黑" w:cs="微软雅黑"/>
          <w:snapToGrid w:val="0"/>
          <w:kern w:val="0"/>
          <w:sz w:val="24"/>
          <w:szCs w:val="24"/>
          <w:highlight w:val="none"/>
        </w:rPr>
      </w:pPr>
      <w:bookmarkStart w:id="227" w:name="_Toc429584884"/>
      <w:bookmarkStart w:id="228" w:name="_Toc65832016"/>
      <w:r>
        <w:rPr>
          <w:rFonts w:hint="eastAsia" w:ascii="微软雅黑" w:hAnsi="微软雅黑" w:eastAsia="微软雅黑" w:cs="微软雅黑"/>
          <w:snapToGrid w:val="0"/>
          <w:kern w:val="0"/>
          <w:sz w:val="24"/>
          <w:szCs w:val="24"/>
          <w:highlight w:val="none"/>
        </w:rPr>
        <w:br w:type="page"/>
      </w:r>
    </w:p>
    <w:p w14:paraId="46C9E44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bookmarkEnd w:id="227"/>
      <w:bookmarkEnd w:id="228"/>
    </w:p>
    <w:p w14:paraId="5AA1CD2A">
      <w:pPr>
        <w:tabs>
          <w:tab w:val="left" w:pos="6300"/>
        </w:tabs>
        <w:snapToGrid w:val="0"/>
        <w:spacing w:line="312"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（一）报价函</w:t>
      </w:r>
    </w:p>
    <w:p w14:paraId="31C9FA25">
      <w:pPr>
        <w:tabs>
          <w:tab w:val="left" w:pos="6300"/>
        </w:tabs>
        <w:snapToGrid w:val="0"/>
        <w:spacing w:line="360" w:lineRule="auto"/>
        <w:jc w:val="center"/>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报价函</w:t>
      </w:r>
    </w:p>
    <w:p w14:paraId="79023549">
      <w:pPr>
        <w:tabs>
          <w:tab w:val="left" w:pos="6300"/>
        </w:tabs>
        <w:snapToGrid w:val="0"/>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lang w:eastAsia="zh-CN"/>
        </w:rPr>
        <w:t>中兴铂码工程咨询（重庆）有限公司</w:t>
      </w:r>
      <w:r>
        <w:rPr>
          <w:rFonts w:hint="eastAsia" w:ascii="微软雅黑" w:hAnsi="微软雅黑" w:eastAsia="微软雅黑" w:cs="微软雅黑"/>
          <w:color w:val="auto"/>
          <w:sz w:val="24"/>
          <w:szCs w:val="24"/>
          <w:highlight w:val="none"/>
        </w:rPr>
        <w:t>：</w:t>
      </w:r>
    </w:p>
    <w:p w14:paraId="7BFD2BEC">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我方收到____________________________（项目名称）的</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文件，经详细研究，决定参加该项目的</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w:t>
      </w:r>
    </w:p>
    <w:p w14:paraId="1DA0F020">
      <w:pPr>
        <w:tabs>
          <w:tab w:val="left" w:pos="6300"/>
        </w:tabs>
        <w:snapToGrid w:val="0"/>
        <w:spacing w:line="360" w:lineRule="auto"/>
        <w:ind w:left="10" w:leftChars="5" w:firstLine="458" w:firstLineChars="191"/>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1.愿意按照竞</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文件中的一切要求，提供本项目的服务，报价为人民币</w:t>
      </w:r>
      <w:r>
        <w:rPr>
          <w:rFonts w:hint="eastAsia" w:ascii="微软雅黑" w:hAnsi="微软雅黑" w:eastAsia="微软雅黑" w:cs="微软雅黑"/>
          <w:color w:val="auto"/>
          <w:sz w:val="24"/>
          <w:szCs w:val="24"/>
          <w:highlight w:val="none"/>
          <w:u w:val="single"/>
        </w:rPr>
        <w:t>大写：     元整</w:t>
      </w:r>
      <w:r>
        <w:rPr>
          <w:rFonts w:hint="eastAsia" w:ascii="微软雅黑" w:hAnsi="微软雅黑" w:eastAsia="微软雅黑" w:cs="微软雅黑"/>
          <w:color w:val="auto"/>
          <w:sz w:val="24"/>
          <w:szCs w:val="24"/>
          <w:highlight w:val="none"/>
        </w:rPr>
        <w:t>；人民币</w:t>
      </w:r>
      <w:r>
        <w:rPr>
          <w:rFonts w:hint="eastAsia" w:ascii="微软雅黑" w:hAnsi="微软雅黑" w:eastAsia="微软雅黑" w:cs="微软雅黑"/>
          <w:color w:val="auto"/>
          <w:sz w:val="24"/>
          <w:szCs w:val="24"/>
          <w:highlight w:val="none"/>
          <w:u w:val="single"/>
        </w:rPr>
        <w:t>小写：    元</w:t>
      </w:r>
      <w:r>
        <w:rPr>
          <w:rFonts w:hint="eastAsia" w:ascii="微软雅黑" w:hAnsi="微软雅黑" w:eastAsia="微软雅黑" w:cs="微软雅黑"/>
          <w:color w:val="auto"/>
          <w:sz w:val="24"/>
          <w:szCs w:val="24"/>
          <w:highlight w:val="none"/>
        </w:rPr>
        <w:t>。</w:t>
      </w:r>
    </w:p>
    <w:p w14:paraId="166EF06D">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2.我方现提交的响应文件为：响应文件</w:t>
      </w:r>
      <w:r>
        <w:rPr>
          <w:rFonts w:hint="eastAsia" w:ascii="微软雅黑" w:hAnsi="微软雅黑" w:eastAsia="微软雅黑" w:cs="微软雅黑"/>
          <w:color w:val="auto"/>
          <w:sz w:val="24"/>
          <w:szCs w:val="24"/>
          <w:highlight w:val="none"/>
          <w:lang w:val="en-US" w:eastAsia="zh-CN"/>
        </w:rPr>
        <w:t>电子文档上传至行采家平台，纸质文档3份</w:t>
      </w:r>
      <w:r>
        <w:rPr>
          <w:rFonts w:hint="eastAsia" w:ascii="微软雅黑" w:hAnsi="微软雅黑" w:eastAsia="微软雅黑" w:cs="微软雅黑"/>
          <w:color w:val="auto"/>
          <w:sz w:val="24"/>
          <w:szCs w:val="24"/>
          <w:highlight w:val="none"/>
        </w:rPr>
        <w:t>。</w:t>
      </w:r>
    </w:p>
    <w:p w14:paraId="06A1AB3C">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3.我方承诺：本次</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的有效期为90天。</w:t>
      </w:r>
    </w:p>
    <w:p w14:paraId="755339CF">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4.我方完全理解和接受贵方</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文件的一切规定和要求及评审办法。</w:t>
      </w:r>
    </w:p>
    <w:p w14:paraId="4B93E607">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5.在整个</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采购过程中，我方若有违规行为，接受按照</w:t>
      </w:r>
      <w:r>
        <w:rPr>
          <w:rFonts w:hint="eastAsia" w:ascii="微软雅黑" w:hAnsi="微软雅黑" w:eastAsia="微软雅黑" w:cs="微软雅黑"/>
          <w:i w:val="0"/>
          <w:iCs w:val="0"/>
          <w:color w:val="auto"/>
          <w:sz w:val="24"/>
          <w:szCs w:val="24"/>
          <w:highlight w:val="none"/>
        </w:rPr>
        <w:t>按照</w:t>
      </w:r>
      <w:r>
        <w:rPr>
          <w:rFonts w:hint="eastAsia" w:ascii="微软雅黑" w:hAnsi="微软雅黑" w:eastAsia="微软雅黑" w:cs="微软雅黑"/>
          <w:color w:val="auto"/>
          <w:sz w:val="24"/>
          <w:szCs w:val="24"/>
          <w:highlight w:val="none"/>
        </w:rPr>
        <w:t>《中华人民共和国政府采购法》</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lang w:val="en-US" w:eastAsia="zh-CN"/>
        </w:rPr>
        <w:t>文件及</w:t>
      </w:r>
      <w:r>
        <w:rPr>
          <w:rFonts w:hint="eastAsia" w:ascii="微软雅黑" w:hAnsi="微软雅黑" w:eastAsia="微软雅黑" w:cs="微软雅黑"/>
          <w:color w:val="auto"/>
          <w:sz w:val="24"/>
          <w:szCs w:val="24"/>
          <w:highlight w:val="none"/>
        </w:rPr>
        <w:t>平台</w:t>
      </w:r>
      <w:r>
        <w:rPr>
          <w:rFonts w:hint="eastAsia" w:ascii="微软雅黑" w:hAnsi="微软雅黑" w:eastAsia="微软雅黑" w:cs="微软雅黑"/>
          <w:color w:val="auto"/>
          <w:sz w:val="24"/>
          <w:szCs w:val="24"/>
          <w:highlight w:val="none"/>
          <w:lang w:val="en-US" w:eastAsia="zh-CN"/>
        </w:rPr>
        <w:t>等相关</w:t>
      </w:r>
      <w:r>
        <w:rPr>
          <w:rFonts w:hint="eastAsia" w:ascii="微软雅黑" w:hAnsi="微软雅黑" w:eastAsia="微软雅黑" w:cs="微软雅黑"/>
          <w:color w:val="auto"/>
          <w:sz w:val="24"/>
          <w:szCs w:val="24"/>
          <w:highlight w:val="none"/>
        </w:rPr>
        <w:t>规定给予惩罚。</w:t>
      </w:r>
    </w:p>
    <w:p w14:paraId="3E75D58F">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6.我方若中选，将按照</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结果签订合同，并且严格履行合同义务。本承诺函将成为合同不可分割的一部分，与合同具有同等的法律效力。</w:t>
      </w:r>
    </w:p>
    <w:p w14:paraId="0A63C30A">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7.我方理解，最低报价不是成交的唯一条件。</w:t>
      </w:r>
    </w:p>
    <w:p w14:paraId="1324FAD1">
      <w:pPr>
        <w:tabs>
          <w:tab w:val="left" w:pos="6300"/>
        </w:tabs>
        <w:snapToGrid w:val="0"/>
        <w:spacing w:line="360" w:lineRule="auto"/>
        <w:ind w:firstLine="570"/>
        <w:rPr>
          <w:rFonts w:hint="eastAsia" w:ascii="微软雅黑" w:hAnsi="微软雅黑" w:eastAsia="微软雅黑" w:cs="微软雅黑"/>
          <w:color w:val="auto"/>
          <w:sz w:val="24"/>
          <w:szCs w:val="24"/>
          <w:highlight w:val="none"/>
        </w:rPr>
      </w:pPr>
    </w:p>
    <w:p w14:paraId="5276C4DE">
      <w:pPr>
        <w:tabs>
          <w:tab w:val="left" w:pos="6300"/>
        </w:tabs>
        <w:snapToGrid w:val="0"/>
        <w:spacing w:line="360" w:lineRule="auto"/>
        <w:ind w:firstLine="570"/>
        <w:rPr>
          <w:rFonts w:hint="eastAsia" w:ascii="微软雅黑" w:hAnsi="微软雅黑" w:eastAsia="微软雅黑" w:cs="微软雅黑"/>
          <w:color w:val="auto"/>
          <w:sz w:val="24"/>
          <w:szCs w:val="24"/>
          <w:highlight w:val="none"/>
        </w:rPr>
      </w:pPr>
    </w:p>
    <w:p w14:paraId="2E5E7DB1">
      <w:pPr>
        <w:tabs>
          <w:tab w:val="left" w:pos="6300"/>
        </w:tabs>
        <w:snapToGrid w:val="0"/>
        <w:spacing w:line="360" w:lineRule="auto"/>
        <w:ind w:firstLine="570"/>
        <w:rPr>
          <w:rFonts w:hint="eastAsia" w:ascii="微软雅黑" w:hAnsi="微软雅黑" w:eastAsia="微软雅黑" w:cs="微软雅黑"/>
          <w:color w:val="auto"/>
          <w:sz w:val="24"/>
          <w:szCs w:val="24"/>
          <w:highlight w:val="none"/>
        </w:rPr>
      </w:pPr>
    </w:p>
    <w:p w14:paraId="2C5A29D5">
      <w:pPr>
        <w:tabs>
          <w:tab w:val="left" w:pos="6300"/>
        </w:tabs>
        <w:snapToGrid w:val="0"/>
        <w:spacing w:line="360" w:lineRule="auto"/>
        <w:ind w:firstLine="570"/>
        <w:rPr>
          <w:rFonts w:hint="eastAsia" w:ascii="微软雅黑" w:hAnsi="微软雅黑" w:eastAsia="微软雅黑" w:cs="微软雅黑"/>
          <w:color w:val="auto"/>
          <w:sz w:val="24"/>
          <w:szCs w:val="24"/>
          <w:highlight w:val="none"/>
        </w:rPr>
      </w:pPr>
    </w:p>
    <w:p w14:paraId="318A62B6">
      <w:pPr>
        <w:tabs>
          <w:tab w:val="left" w:pos="6300"/>
        </w:tabs>
        <w:snapToGrid w:val="0"/>
        <w:spacing w:line="36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供应商名称（公章）：</w:t>
      </w:r>
    </w:p>
    <w:p w14:paraId="318E5BC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color w:val="auto"/>
          <w:sz w:val="24"/>
          <w:szCs w:val="24"/>
          <w:highlight w:val="none"/>
        </w:rPr>
        <w:t xml:space="preserve">                                                  年   月   日</w:t>
      </w: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（二）分项报价明细表</w:t>
      </w:r>
    </w:p>
    <w:p w14:paraId="6D9085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p w14:paraId="7275A15F">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rPr>
        <w:t xml:space="preserve">                                                         单位：元</w:t>
      </w:r>
    </w:p>
    <w:tbl>
      <w:tblPr>
        <w:tblStyle w:val="47"/>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38"/>
        <w:gridCol w:w="1867"/>
        <w:gridCol w:w="967"/>
        <w:gridCol w:w="1066"/>
        <w:gridCol w:w="1577"/>
        <w:gridCol w:w="1834"/>
      </w:tblGrid>
      <w:tr w14:paraId="67BD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948" w:type="dxa"/>
            <w:noWrap w:val="0"/>
            <w:vAlign w:val="center"/>
          </w:tcPr>
          <w:p w14:paraId="64E3A41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1838" w:type="dxa"/>
            <w:noWrap w:val="0"/>
            <w:vAlign w:val="center"/>
          </w:tcPr>
          <w:p w14:paraId="105D519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position w:val="-2"/>
                <w:sz w:val="24"/>
                <w:highlight w:val="none"/>
                <w:lang w:val="en-US" w:eastAsia="zh-CN"/>
              </w:rPr>
              <w:t>名称</w:t>
            </w:r>
          </w:p>
        </w:tc>
        <w:tc>
          <w:tcPr>
            <w:tcW w:w="1867" w:type="dxa"/>
            <w:noWrap w:val="0"/>
            <w:vAlign w:val="center"/>
          </w:tcPr>
          <w:p w14:paraId="7A6DB969">
            <w:pPr>
              <w:widowControl/>
              <w:spacing w:line="440" w:lineRule="exact"/>
              <w:jc w:val="center"/>
              <w:rPr>
                <w:rFonts w:hint="eastAsia"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规格</w:t>
            </w:r>
          </w:p>
        </w:tc>
        <w:tc>
          <w:tcPr>
            <w:tcW w:w="967" w:type="dxa"/>
            <w:noWrap w:val="0"/>
            <w:vAlign w:val="center"/>
          </w:tcPr>
          <w:p w14:paraId="1540347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单价</w:t>
            </w:r>
          </w:p>
        </w:tc>
        <w:tc>
          <w:tcPr>
            <w:tcW w:w="1066" w:type="dxa"/>
            <w:noWrap w:val="0"/>
            <w:vAlign w:val="center"/>
          </w:tcPr>
          <w:p w14:paraId="094DE6C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数量</w:t>
            </w:r>
          </w:p>
        </w:tc>
        <w:tc>
          <w:tcPr>
            <w:tcW w:w="1577" w:type="dxa"/>
            <w:noWrap w:val="0"/>
            <w:vAlign w:val="center"/>
          </w:tcPr>
          <w:p w14:paraId="6A4533CA">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总价</w:t>
            </w:r>
          </w:p>
        </w:tc>
        <w:tc>
          <w:tcPr>
            <w:tcW w:w="1834" w:type="dxa"/>
            <w:noWrap w:val="0"/>
            <w:vAlign w:val="center"/>
          </w:tcPr>
          <w:p w14:paraId="65C6D398">
            <w:pPr>
              <w:widowControl/>
              <w:spacing w:line="440" w:lineRule="exact"/>
              <w:jc w:val="center"/>
              <w:rPr>
                <w:rFonts w:hint="eastAsia"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备注</w:t>
            </w:r>
          </w:p>
        </w:tc>
      </w:tr>
      <w:tr w14:paraId="1FF3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948" w:type="dxa"/>
            <w:noWrap w:val="0"/>
            <w:vAlign w:val="center"/>
          </w:tcPr>
          <w:p w14:paraId="23F0842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74A1BE23">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p>
        </w:tc>
        <w:tc>
          <w:tcPr>
            <w:tcW w:w="1867" w:type="dxa"/>
            <w:noWrap w:val="0"/>
            <w:vAlign w:val="top"/>
          </w:tcPr>
          <w:p w14:paraId="57DE756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2C8A420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5135015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590D73A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6D96B5EF">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C1E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948" w:type="dxa"/>
            <w:noWrap w:val="0"/>
            <w:vAlign w:val="center"/>
          </w:tcPr>
          <w:p w14:paraId="3EC2D95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5C60C52A">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p>
        </w:tc>
        <w:tc>
          <w:tcPr>
            <w:tcW w:w="1867" w:type="dxa"/>
            <w:noWrap w:val="0"/>
            <w:vAlign w:val="top"/>
          </w:tcPr>
          <w:p w14:paraId="5B1632E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3248B62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0874887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60D1AAF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6A195A85">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592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948" w:type="dxa"/>
            <w:noWrap w:val="0"/>
            <w:vAlign w:val="center"/>
          </w:tcPr>
          <w:p w14:paraId="54A076ED">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096F22C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总计</w:t>
            </w:r>
          </w:p>
        </w:tc>
        <w:tc>
          <w:tcPr>
            <w:tcW w:w="1867" w:type="dxa"/>
            <w:noWrap w:val="0"/>
            <w:vAlign w:val="top"/>
          </w:tcPr>
          <w:p w14:paraId="6EF4D6B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35457B5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3EC826F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6DB6C61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29A3A262">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14E43F5C">
      <w:pPr>
        <w:widowControl/>
        <w:spacing w:line="440" w:lineRule="exact"/>
        <w:jc w:val="center"/>
        <w:rPr>
          <w:rFonts w:hint="eastAsia" w:ascii="微软雅黑" w:hAnsi="微软雅黑" w:eastAsia="微软雅黑" w:cs="微软雅黑"/>
          <w:snapToGrid w:val="0"/>
          <w:kern w:val="0"/>
          <w:sz w:val="24"/>
          <w:szCs w:val="24"/>
          <w:highlight w:val="none"/>
        </w:rPr>
      </w:pPr>
    </w:p>
    <w:p w14:paraId="273D74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018923C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2A139EA0">
      <w:pPr>
        <w:widowControl/>
        <w:spacing w:line="440" w:lineRule="exact"/>
        <w:jc w:val="center"/>
        <w:rPr>
          <w:rFonts w:hint="eastAsia" w:ascii="微软雅黑" w:hAnsi="微软雅黑" w:eastAsia="微软雅黑" w:cs="微软雅黑"/>
          <w:snapToGrid w:val="0"/>
          <w:kern w:val="0"/>
          <w:sz w:val="24"/>
          <w:szCs w:val="24"/>
          <w:highlight w:val="none"/>
        </w:rPr>
      </w:pPr>
    </w:p>
    <w:p w14:paraId="2AE75789">
      <w:pPr>
        <w:widowControl/>
        <w:spacing w:line="440" w:lineRule="exact"/>
        <w:jc w:val="center"/>
        <w:rPr>
          <w:rFonts w:hint="eastAsia" w:ascii="微软雅黑" w:hAnsi="微软雅黑" w:eastAsia="微软雅黑" w:cs="微软雅黑"/>
          <w:snapToGrid w:val="0"/>
          <w:kern w:val="0"/>
          <w:sz w:val="24"/>
          <w:szCs w:val="24"/>
          <w:highlight w:val="none"/>
        </w:rPr>
      </w:pPr>
    </w:p>
    <w:p w14:paraId="0B1E642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72C61BAE">
      <w:pPr>
        <w:widowControl/>
        <w:spacing w:line="440" w:lineRule="exact"/>
        <w:jc w:val="center"/>
        <w:rPr>
          <w:rFonts w:hint="eastAsia" w:ascii="微软雅黑" w:hAnsi="微软雅黑" w:eastAsia="微软雅黑" w:cs="微软雅黑"/>
          <w:snapToGrid w:val="0"/>
          <w:kern w:val="0"/>
          <w:sz w:val="24"/>
          <w:szCs w:val="24"/>
          <w:highlight w:val="none"/>
        </w:rPr>
      </w:pPr>
    </w:p>
    <w:p w14:paraId="768C9E2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782E7A9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1.请投标人完整填写本表；</w:t>
      </w:r>
    </w:p>
    <w:p w14:paraId="6446027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2.该表可扩展。</w:t>
      </w:r>
    </w:p>
    <w:p w14:paraId="0EC8F65C">
      <w:pPr>
        <w:rPr>
          <w:rFonts w:hint="eastAsia" w:ascii="微软雅黑" w:hAnsi="微软雅黑" w:eastAsia="微软雅黑" w:cs="微软雅黑"/>
          <w:snapToGrid w:val="0"/>
          <w:kern w:val="0"/>
          <w:sz w:val="24"/>
          <w:szCs w:val="24"/>
          <w:highlight w:val="none"/>
        </w:rPr>
      </w:pPr>
      <w:bookmarkStart w:id="229" w:name="_Toc65832017"/>
      <w:bookmarkStart w:id="230" w:name="_Toc493178790"/>
      <w:r>
        <w:rPr>
          <w:rFonts w:hint="eastAsia" w:ascii="微软雅黑" w:hAnsi="微软雅黑" w:eastAsia="微软雅黑" w:cs="微软雅黑"/>
          <w:snapToGrid w:val="0"/>
          <w:kern w:val="0"/>
          <w:sz w:val="24"/>
          <w:szCs w:val="24"/>
          <w:highlight w:val="none"/>
        </w:rPr>
        <w:br w:type="page"/>
      </w:r>
    </w:p>
    <w:p w14:paraId="3CFB0FC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技术</w:t>
      </w:r>
      <w:r>
        <w:rPr>
          <w:rFonts w:hint="eastAsia" w:ascii="微软雅黑" w:hAnsi="微软雅黑" w:eastAsia="微软雅黑" w:cs="微软雅黑"/>
          <w:snapToGrid w:val="0"/>
          <w:kern w:val="0"/>
          <w:sz w:val="24"/>
          <w:szCs w:val="24"/>
          <w:highlight w:val="none"/>
        </w:rPr>
        <w:t>文件</w:t>
      </w:r>
      <w:bookmarkEnd w:id="229"/>
      <w:bookmarkEnd w:id="230"/>
    </w:p>
    <w:p w14:paraId="3896601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highlight w:val="none"/>
        </w:rPr>
        <w:t>技术应答</w:t>
      </w:r>
    </w:p>
    <w:p w14:paraId="30A78BE4">
      <w:pPr>
        <w:widowControl/>
        <w:spacing w:line="440" w:lineRule="exact"/>
        <w:jc w:val="left"/>
        <w:rPr>
          <w:rFonts w:hint="eastAsia" w:ascii="微软雅黑" w:hAnsi="微软雅黑" w:eastAsia="微软雅黑" w:cs="微软雅黑"/>
          <w:snapToGrid w:val="0"/>
          <w:kern w:val="0"/>
          <w:sz w:val="24"/>
          <w:szCs w:val="24"/>
          <w:highlight w:val="none"/>
          <w:lang w:eastAsia="zh-CN"/>
        </w:rPr>
      </w:pPr>
    </w:p>
    <w:p w14:paraId="3DB25302">
      <w:pPr>
        <w:widowControl/>
        <w:spacing w:line="440" w:lineRule="exact"/>
        <w:jc w:val="left"/>
        <w:rPr>
          <w:rFonts w:hint="eastAsia" w:ascii="微软雅黑" w:hAnsi="微软雅黑" w:eastAsia="微软雅黑" w:cs="微软雅黑"/>
          <w:snapToGrid w:val="0"/>
          <w:kern w:val="0"/>
          <w:sz w:val="24"/>
          <w:szCs w:val="24"/>
          <w:highlight w:val="none"/>
        </w:rPr>
      </w:pPr>
    </w:p>
    <w:p w14:paraId="0F4F115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color w:val="auto"/>
          <w:sz w:val="24"/>
          <w:szCs w:val="24"/>
          <w:highlight w:val="none"/>
        </w:rPr>
        <w:t>技术响应偏离表</w:t>
      </w:r>
    </w:p>
    <w:p w14:paraId="687277B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7B3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375477F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2038BDF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招标要求</w:t>
            </w:r>
          </w:p>
        </w:tc>
        <w:tc>
          <w:tcPr>
            <w:tcW w:w="2520" w:type="dxa"/>
            <w:noWrap w:val="0"/>
            <w:vAlign w:val="center"/>
          </w:tcPr>
          <w:p w14:paraId="1F017D7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投标应答</w:t>
            </w:r>
          </w:p>
        </w:tc>
        <w:tc>
          <w:tcPr>
            <w:tcW w:w="1888" w:type="dxa"/>
            <w:noWrap w:val="0"/>
            <w:vAlign w:val="center"/>
          </w:tcPr>
          <w:p w14:paraId="1080518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1B28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54332D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84C93D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92468B2">
            <w:pPr>
              <w:widowControl/>
              <w:spacing w:line="440" w:lineRule="exact"/>
              <w:jc w:val="center"/>
              <w:rPr>
                <w:rFonts w:hint="eastAsia" w:ascii="微软雅黑" w:hAnsi="微软雅黑" w:eastAsia="微软雅黑" w:cs="微软雅黑"/>
                <w:snapToGrid w:val="0"/>
                <w:kern w:val="0"/>
                <w:sz w:val="24"/>
                <w:szCs w:val="24"/>
                <w:highlight w:val="none"/>
              </w:rPr>
            </w:pPr>
            <w:bookmarkStart w:id="231" w:name="_Toc8080"/>
            <w:bookmarkStart w:id="232" w:name="_Toc30143"/>
            <w:r>
              <w:rPr>
                <w:rFonts w:hint="eastAsia" w:ascii="微软雅黑" w:hAnsi="微软雅黑" w:eastAsia="微软雅黑" w:cs="微软雅黑"/>
                <w:color w:val="auto"/>
                <w:sz w:val="24"/>
                <w:highlight w:val="none"/>
              </w:rPr>
              <w:t>提醒：请注明技术参数或具体内容</w:t>
            </w:r>
            <w:bookmarkEnd w:id="231"/>
            <w:bookmarkEnd w:id="232"/>
          </w:p>
        </w:tc>
        <w:tc>
          <w:tcPr>
            <w:tcW w:w="1888" w:type="dxa"/>
            <w:noWrap w:val="0"/>
            <w:vAlign w:val="center"/>
          </w:tcPr>
          <w:p w14:paraId="06F9FA2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D8E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B01E9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6EDC48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629B8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FB782D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8C7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B2A61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9EC20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E4244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249ED6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27F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88B062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A1B998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4E7003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F7ED995">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DBF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B82BC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393DF8B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EAA013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09D229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162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D2CBB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908737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A34A2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F5AF3C">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8CE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8C1024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E79C7ED">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136988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1E6ED9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097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7056B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8BC5D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EE334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6565F3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E37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AF4659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6B1DAE7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62C56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CDCB70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B2F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170FC5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7037D9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E7148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E73299D">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0AE3F43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2850182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43B9C6D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                               （签字或盖章）</w:t>
      </w:r>
    </w:p>
    <w:p w14:paraId="16F0497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138B1E1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5334B3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1.本表即为对本项目“第二篇  项目技术规格、数量及质量要求”中所列技术需求进行比较和响应；</w:t>
      </w:r>
    </w:p>
    <w:p w14:paraId="3C3B475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195C56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14852F2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4.可附相关技术支撑材料。（格式自定）</w:t>
      </w:r>
    </w:p>
    <w:p w14:paraId="708F8960">
      <w:pPr>
        <w:widowControl/>
        <w:spacing w:line="440" w:lineRule="exact"/>
        <w:jc w:val="center"/>
        <w:rPr>
          <w:rFonts w:hint="eastAsia" w:ascii="微软雅黑" w:hAnsi="微软雅黑" w:eastAsia="微软雅黑" w:cs="微软雅黑"/>
          <w:snapToGrid w:val="0"/>
          <w:kern w:val="0"/>
          <w:sz w:val="24"/>
          <w:szCs w:val="24"/>
          <w:highlight w:val="none"/>
        </w:rPr>
      </w:pPr>
    </w:p>
    <w:p w14:paraId="71FC2839">
      <w:pPr>
        <w:rPr>
          <w:rFonts w:hint="eastAsia" w:ascii="微软雅黑" w:hAnsi="微软雅黑" w:eastAsia="微软雅黑" w:cs="微软雅黑"/>
          <w:snapToGrid w:val="0"/>
          <w:kern w:val="0"/>
          <w:sz w:val="24"/>
          <w:szCs w:val="24"/>
          <w:highlight w:val="none"/>
        </w:rPr>
      </w:pPr>
      <w:bookmarkStart w:id="233" w:name="_Toc493178791"/>
      <w:bookmarkStart w:id="234" w:name="_Toc492721039"/>
      <w:bookmarkStart w:id="235" w:name="_Toc65832018"/>
      <w:r>
        <w:rPr>
          <w:rFonts w:hint="eastAsia" w:ascii="微软雅黑" w:hAnsi="微软雅黑" w:eastAsia="微软雅黑" w:cs="微软雅黑"/>
          <w:snapToGrid w:val="0"/>
          <w:kern w:val="0"/>
          <w:sz w:val="24"/>
          <w:szCs w:val="24"/>
          <w:highlight w:val="none"/>
        </w:rPr>
        <w:br w:type="page"/>
      </w:r>
    </w:p>
    <w:p w14:paraId="2F5282D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bookmarkEnd w:id="233"/>
      <w:bookmarkEnd w:id="234"/>
      <w:bookmarkEnd w:id="235"/>
    </w:p>
    <w:p w14:paraId="636064C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0F3EEF85">
      <w:pPr>
        <w:widowControl/>
        <w:spacing w:line="440" w:lineRule="exact"/>
        <w:jc w:val="center"/>
        <w:rPr>
          <w:rFonts w:hint="eastAsia" w:ascii="微软雅黑" w:hAnsi="微软雅黑" w:eastAsia="微软雅黑" w:cs="微软雅黑"/>
          <w:snapToGrid w:val="0"/>
          <w:kern w:val="0"/>
          <w:sz w:val="24"/>
          <w:szCs w:val="24"/>
          <w:highlight w:val="none"/>
        </w:rPr>
      </w:pPr>
    </w:p>
    <w:p w14:paraId="47719BA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76C464D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1C831BB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（投标人名称）系中华人民共和国合法企业，注册地址：</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。我方就参加本次投标有关事项郑重声明如下：</w:t>
      </w:r>
    </w:p>
    <w:p w14:paraId="14F66B9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一、我方完全理解并接受该项目招标文件所有要求。</w:t>
      </w:r>
    </w:p>
    <w:p w14:paraId="27E00EB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二、我方提交的所有投标文件、资料都是准确和真实的，如有虚假或隐瞒，我方愿意承担一切法律责任。</w:t>
      </w:r>
    </w:p>
    <w:p w14:paraId="1FC273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三、我方承诺按照招标文件要求，提供招标项目的技术服务。</w:t>
      </w:r>
    </w:p>
    <w:p w14:paraId="4520C61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四、我方按招标文件要求提交的投标文件为：投标文件正本1份，副本  份，电子文档  份。</w:t>
      </w:r>
    </w:p>
    <w:p w14:paraId="505FCBA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五、我方承诺：本次投标的投标有效期为投标截止日期起90天。</w:t>
      </w:r>
    </w:p>
    <w:p w14:paraId="7455A3F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六、我方投标报价为闭口价。即在投标有效期和合同有效期内，该报价固定不变。</w:t>
      </w:r>
    </w:p>
    <w:p w14:paraId="6641BDA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七、如果我方中标，我方将履行招标文件中规定的各项要求以及我方投标文件的各项承诺，按《政府采购法》、《合同法》及合同约定条款承担我方责任。</w:t>
      </w:r>
    </w:p>
    <w:p w14:paraId="61A4BB2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八、我方未为采购项目提供整体设计、规范编制或者项目管理、监理、检测等服务。</w:t>
      </w:r>
    </w:p>
    <w:p w14:paraId="24D3157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九、我方理解，最低报价不是中标的唯一条件。</w:t>
      </w:r>
    </w:p>
    <w:p w14:paraId="7C3078F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十、我方同意按有关规定及招标文件要求，交纳足额投标保证金。</w:t>
      </w:r>
    </w:p>
    <w:p w14:paraId="5A5B444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十一、若我方中标，愿意按有关规定及招标文件要求缴纳招标代理服务费和交易服务费。</w:t>
      </w:r>
    </w:p>
    <w:p w14:paraId="40AB1181">
      <w:pPr>
        <w:widowControl/>
        <w:spacing w:line="440" w:lineRule="exact"/>
        <w:jc w:val="center"/>
        <w:rPr>
          <w:rFonts w:hint="eastAsia" w:ascii="微软雅黑" w:hAnsi="微软雅黑" w:eastAsia="微软雅黑" w:cs="微软雅黑"/>
          <w:snapToGrid w:val="0"/>
          <w:kern w:val="0"/>
          <w:sz w:val="24"/>
          <w:szCs w:val="24"/>
          <w:highlight w:val="none"/>
        </w:rPr>
      </w:pPr>
    </w:p>
    <w:p w14:paraId="02250FA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1CB6361D">
      <w:pPr>
        <w:widowControl/>
        <w:spacing w:line="440" w:lineRule="exact"/>
        <w:jc w:val="center"/>
        <w:rPr>
          <w:rFonts w:hint="eastAsia" w:ascii="微软雅黑" w:hAnsi="微软雅黑" w:eastAsia="微软雅黑" w:cs="微软雅黑"/>
          <w:snapToGrid w:val="0"/>
          <w:kern w:val="0"/>
          <w:sz w:val="24"/>
          <w:szCs w:val="24"/>
          <w:highlight w:val="none"/>
        </w:rPr>
      </w:pPr>
    </w:p>
    <w:p w14:paraId="1958A5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4BD6245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（二）商务条款差异表</w:t>
      </w:r>
    </w:p>
    <w:p w14:paraId="717211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38E6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29C2E32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08820FA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招标商务要求</w:t>
            </w:r>
          </w:p>
        </w:tc>
        <w:tc>
          <w:tcPr>
            <w:tcW w:w="2520" w:type="dxa"/>
            <w:noWrap w:val="0"/>
            <w:vAlign w:val="center"/>
          </w:tcPr>
          <w:p w14:paraId="08C7E46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投标商务应答</w:t>
            </w:r>
          </w:p>
        </w:tc>
        <w:tc>
          <w:tcPr>
            <w:tcW w:w="1888" w:type="dxa"/>
            <w:noWrap w:val="0"/>
            <w:vAlign w:val="center"/>
          </w:tcPr>
          <w:p w14:paraId="7312165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2EAC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D50639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647EE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7434A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740B2B3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646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7B27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1B36BC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D92D6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AD529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9E2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21D866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96CB5D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725EB1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300808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04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024B4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D65DA4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230B05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916FE0">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566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1D45E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E32ECF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5C330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12F87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72D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9CC32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3F259C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B4264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D15556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75D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61891A0">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14688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FEF751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935073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B91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6BE81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68F0C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3070B5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317640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A53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7E8FD6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E1E27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1BE9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ABE268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784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83446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779A15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2A8F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99905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4CC4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C3B9B8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FF7673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2D577CF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0281A9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4DF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F85E8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48295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F7903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D95A8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019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3D8E33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DFE348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5D6B0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5219FBE">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391F0881">
      <w:pPr>
        <w:widowControl/>
        <w:spacing w:line="440" w:lineRule="exact"/>
        <w:jc w:val="center"/>
        <w:rPr>
          <w:rFonts w:hint="eastAsia" w:ascii="微软雅黑" w:hAnsi="微软雅黑" w:eastAsia="微软雅黑" w:cs="微软雅黑"/>
          <w:snapToGrid w:val="0"/>
          <w:kern w:val="0"/>
          <w:sz w:val="24"/>
          <w:szCs w:val="24"/>
          <w:highlight w:val="none"/>
        </w:rPr>
      </w:pPr>
    </w:p>
    <w:p w14:paraId="016932B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1DBCC9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132AE04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4B3432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C05F86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1.本表即为对本项目“第三篇 项目商务要求”中所列商务条款进行比较和响应；</w:t>
      </w:r>
    </w:p>
    <w:p w14:paraId="01B9A84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757CD7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62B189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（三）商务承诺（包括但不限于）：</w:t>
      </w:r>
    </w:p>
    <w:p w14:paraId="21F08C90">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1.质保期；</w:t>
      </w:r>
    </w:p>
    <w:p w14:paraId="20577E1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2.售后服务能力情况；</w:t>
      </w:r>
    </w:p>
    <w:p w14:paraId="39189F6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3.履约能力证明文件。</w:t>
      </w:r>
    </w:p>
    <w:p w14:paraId="51761EA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4.售后服务承诺（格式自定）</w:t>
      </w:r>
    </w:p>
    <w:p w14:paraId="5752E5C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3AA5DAD8">
      <w:pPr>
        <w:rPr>
          <w:rFonts w:hint="eastAsia" w:ascii="微软雅黑" w:hAnsi="微软雅黑" w:eastAsia="微软雅黑" w:cs="微软雅黑"/>
          <w:snapToGrid w:val="0"/>
          <w:kern w:val="0"/>
          <w:sz w:val="24"/>
          <w:szCs w:val="24"/>
          <w:highlight w:val="none"/>
        </w:rPr>
      </w:pPr>
      <w:bookmarkStart w:id="236" w:name="_Toc493178792"/>
      <w:bookmarkStart w:id="237" w:name="_Toc65832019"/>
      <w:bookmarkStart w:id="238" w:name="_Toc492721041"/>
      <w:r>
        <w:rPr>
          <w:rFonts w:hint="eastAsia" w:ascii="微软雅黑" w:hAnsi="微软雅黑" w:eastAsia="微软雅黑" w:cs="微软雅黑"/>
          <w:snapToGrid w:val="0"/>
          <w:kern w:val="0"/>
          <w:sz w:val="24"/>
          <w:szCs w:val="24"/>
          <w:highlight w:val="none"/>
        </w:rPr>
        <w:br w:type="page"/>
      </w:r>
    </w:p>
    <w:p w14:paraId="48DA0B7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bookmarkEnd w:id="236"/>
      <w:bookmarkEnd w:id="237"/>
      <w:bookmarkEnd w:id="238"/>
    </w:p>
    <w:p w14:paraId="2000ABB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469BFC17">
      <w:pPr>
        <w:widowControl/>
        <w:spacing w:line="440" w:lineRule="exact"/>
        <w:jc w:val="center"/>
        <w:rPr>
          <w:rFonts w:hint="eastAsia" w:ascii="微软雅黑" w:hAnsi="微软雅黑" w:eastAsia="微软雅黑" w:cs="微软雅黑"/>
          <w:snapToGrid w:val="0"/>
          <w:kern w:val="0"/>
          <w:sz w:val="24"/>
          <w:szCs w:val="24"/>
          <w:highlight w:val="none"/>
        </w:rPr>
      </w:pPr>
    </w:p>
    <w:p w14:paraId="73F0CE13">
      <w:pPr>
        <w:widowControl/>
        <w:spacing w:line="440" w:lineRule="exact"/>
        <w:jc w:val="center"/>
        <w:rPr>
          <w:rFonts w:hint="eastAsia" w:ascii="微软雅黑" w:hAnsi="微软雅黑" w:eastAsia="微软雅黑" w:cs="微软雅黑"/>
          <w:snapToGrid w:val="0"/>
          <w:kern w:val="0"/>
          <w:sz w:val="24"/>
          <w:szCs w:val="24"/>
          <w:highlight w:val="none"/>
        </w:rPr>
      </w:pPr>
    </w:p>
    <w:p w14:paraId="12E286D1">
      <w:pPr>
        <w:rPr>
          <w:rFonts w:hint="eastAsia" w:ascii="微软雅黑" w:hAnsi="微软雅黑" w:eastAsia="微软雅黑" w:cs="微软雅黑"/>
          <w:snapToGrid w:val="0"/>
          <w:kern w:val="0"/>
          <w:sz w:val="24"/>
          <w:szCs w:val="24"/>
          <w:highlight w:val="none"/>
        </w:rPr>
      </w:pPr>
      <w:bookmarkStart w:id="239" w:name="_Toc65832020"/>
      <w:bookmarkStart w:id="240" w:name="_Toc492721038"/>
      <w:bookmarkStart w:id="241" w:name="_Toc493178793"/>
      <w:r>
        <w:rPr>
          <w:rFonts w:hint="eastAsia" w:ascii="微软雅黑" w:hAnsi="微软雅黑" w:eastAsia="微软雅黑" w:cs="微软雅黑"/>
          <w:snapToGrid w:val="0"/>
          <w:kern w:val="0"/>
          <w:sz w:val="24"/>
          <w:szCs w:val="24"/>
          <w:highlight w:val="none"/>
        </w:rPr>
        <w:br w:type="page"/>
      </w:r>
    </w:p>
    <w:p w14:paraId="70AF03A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bookmarkEnd w:id="239"/>
      <w:bookmarkEnd w:id="240"/>
      <w:bookmarkEnd w:id="241"/>
    </w:p>
    <w:p w14:paraId="2136F9BD">
      <w:pPr>
        <w:widowControl/>
        <w:spacing w:line="440" w:lineRule="exact"/>
        <w:ind w:firstLine="480" w:firstLineChars="2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（一）法人营业执照（副本）或事业单位法人证书（副本）或个体工商户营业执照或有效的自然人身份证明或社会团体法人登记证书复印件</w:t>
      </w:r>
    </w:p>
    <w:p w14:paraId="114EF490">
      <w:pPr>
        <w:widowControl/>
        <w:spacing w:line="440" w:lineRule="exact"/>
        <w:jc w:val="center"/>
        <w:rPr>
          <w:rFonts w:hint="eastAsia" w:ascii="微软雅黑" w:hAnsi="微软雅黑" w:eastAsia="微软雅黑" w:cs="微软雅黑"/>
          <w:snapToGrid w:val="0"/>
          <w:kern w:val="0"/>
          <w:sz w:val="24"/>
          <w:szCs w:val="24"/>
          <w:highlight w:val="none"/>
        </w:rPr>
      </w:pPr>
    </w:p>
    <w:p w14:paraId="7B648174">
      <w:pPr>
        <w:widowControl/>
        <w:spacing w:line="440" w:lineRule="exact"/>
        <w:jc w:val="center"/>
        <w:rPr>
          <w:rFonts w:hint="eastAsia" w:ascii="微软雅黑" w:hAnsi="微软雅黑" w:eastAsia="微软雅黑" w:cs="微软雅黑"/>
          <w:snapToGrid w:val="0"/>
          <w:kern w:val="0"/>
          <w:sz w:val="24"/>
          <w:szCs w:val="24"/>
          <w:highlight w:val="none"/>
        </w:rPr>
      </w:pPr>
    </w:p>
    <w:p w14:paraId="0B1AFDCE">
      <w:pPr>
        <w:widowControl/>
        <w:spacing w:line="440" w:lineRule="exact"/>
        <w:jc w:val="center"/>
        <w:rPr>
          <w:rFonts w:hint="eastAsia" w:ascii="微软雅黑" w:hAnsi="微软雅黑" w:eastAsia="微软雅黑" w:cs="微软雅黑"/>
          <w:snapToGrid w:val="0"/>
          <w:kern w:val="0"/>
          <w:sz w:val="24"/>
          <w:szCs w:val="24"/>
          <w:highlight w:val="none"/>
        </w:rPr>
      </w:pPr>
    </w:p>
    <w:p w14:paraId="14464A7B">
      <w:pPr>
        <w:widowControl/>
        <w:spacing w:line="440" w:lineRule="exact"/>
        <w:jc w:val="center"/>
        <w:rPr>
          <w:rFonts w:hint="eastAsia" w:ascii="微软雅黑" w:hAnsi="微软雅黑" w:eastAsia="微软雅黑" w:cs="微软雅黑"/>
          <w:snapToGrid w:val="0"/>
          <w:kern w:val="0"/>
          <w:sz w:val="24"/>
          <w:szCs w:val="24"/>
          <w:highlight w:val="none"/>
        </w:rPr>
      </w:pPr>
    </w:p>
    <w:p w14:paraId="71EC1A8C">
      <w:pPr>
        <w:widowControl/>
        <w:spacing w:line="440" w:lineRule="exact"/>
        <w:jc w:val="center"/>
        <w:rPr>
          <w:rFonts w:hint="eastAsia" w:ascii="微软雅黑" w:hAnsi="微软雅黑" w:eastAsia="微软雅黑" w:cs="微软雅黑"/>
          <w:snapToGrid w:val="0"/>
          <w:kern w:val="0"/>
          <w:sz w:val="24"/>
          <w:szCs w:val="24"/>
          <w:highlight w:val="none"/>
        </w:rPr>
      </w:pPr>
    </w:p>
    <w:p w14:paraId="50CDDE0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（二）法定代表人身份证明书（格式）</w:t>
      </w:r>
    </w:p>
    <w:p w14:paraId="3FA9A723">
      <w:pPr>
        <w:widowControl/>
        <w:spacing w:line="440" w:lineRule="exact"/>
        <w:jc w:val="center"/>
        <w:rPr>
          <w:rFonts w:hint="eastAsia" w:ascii="微软雅黑" w:hAnsi="微软雅黑" w:eastAsia="微软雅黑" w:cs="微软雅黑"/>
          <w:snapToGrid w:val="0"/>
          <w:kern w:val="0"/>
          <w:sz w:val="24"/>
          <w:szCs w:val="24"/>
          <w:highlight w:val="none"/>
        </w:rPr>
      </w:pPr>
    </w:p>
    <w:p w14:paraId="5079DFC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2459CB87">
      <w:pPr>
        <w:widowControl/>
        <w:spacing w:line="440" w:lineRule="exact"/>
        <w:jc w:val="center"/>
        <w:rPr>
          <w:rFonts w:hint="eastAsia" w:ascii="微软雅黑" w:hAnsi="微软雅黑" w:eastAsia="微软雅黑" w:cs="微软雅黑"/>
          <w:snapToGrid w:val="0"/>
          <w:kern w:val="0"/>
          <w:sz w:val="24"/>
          <w:szCs w:val="24"/>
          <w:highlight w:val="none"/>
        </w:rPr>
      </w:pPr>
    </w:p>
    <w:p w14:paraId="1A85D77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68C9B1A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（法定代表人姓名）在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（投标人名称）任</w:t>
      </w:r>
      <w:r>
        <w:rPr>
          <w:rFonts w:hint="eastAsia" w:ascii="微软雅黑" w:hAnsi="微软雅黑" w:eastAsia="微软雅黑" w:cs="微软雅黑"/>
          <w:i w:val="0"/>
          <w:iCs w:val="0"/>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（职务名称）职务，是（投标人名称）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的法定代表人。</w:t>
      </w:r>
    </w:p>
    <w:p w14:paraId="1702157E">
      <w:pPr>
        <w:widowControl/>
        <w:spacing w:line="440" w:lineRule="exact"/>
        <w:jc w:val="left"/>
        <w:rPr>
          <w:rFonts w:hint="eastAsia" w:ascii="微软雅黑" w:hAnsi="微软雅黑" w:eastAsia="微软雅黑" w:cs="微软雅黑"/>
          <w:snapToGrid w:val="0"/>
          <w:kern w:val="0"/>
          <w:sz w:val="24"/>
          <w:szCs w:val="24"/>
          <w:highlight w:val="none"/>
        </w:rPr>
      </w:pPr>
    </w:p>
    <w:p w14:paraId="36342F4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特此证明。</w:t>
      </w:r>
    </w:p>
    <w:p w14:paraId="216EB021">
      <w:pPr>
        <w:widowControl/>
        <w:spacing w:line="440" w:lineRule="exact"/>
        <w:jc w:val="center"/>
        <w:rPr>
          <w:rFonts w:hint="eastAsia" w:ascii="微软雅黑" w:hAnsi="微软雅黑" w:eastAsia="微软雅黑" w:cs="微软雅黑"/>
          <w:snapToGrid w:val="0"/>
          <w:kern w:val="0"/>
          <w:sz w:val="24"/>
          <w:szCs w:val="24"/>
          <w:highlight w:val="none"/>
        </w:rPr>
      </w:pPr>
    </w:p>
    <w:p w14:paraId="32F99974">
      <w:pPr>
        <w:widowControl/>
        <w:spacing w:line="440" w:lineRule="exact"/>
        <w:jc w:val="center"/>
        <w:rPr>
          <w:rFonts w:hint="eastAsia" w:ascii="微软雅黑" w:hAnsi="微软雅黑" w:eastAsia="微软雅黑" w:cs="微软雅黑"/>
          <w:snapToGrid w:val="0"/>
          <w:kern w:val="0"/>
          <w:sz w:val="24"/>
          <w:szCs w:val="24"/>
          <w:highlight w:val="none"/>
        </w:rPr>
      </w:pPr>
    </w:p>
    <w:p w14:paraId="2DD6E12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w:t>
      </w:r>
    </w:p>
    <w:p w14:paraId="509873D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2F6A745B">
      <w:pPr>
        <w:widowControl/>
        <w:spacing w:line="440" w:lineRule="exact"/>
        <w:jc w:val="center"/>
        <w:rPr>
          <w:rFonts w:hint="eastAsia" w:ascii="微软雅黑" w:hAnsi="微软雅黑" w:eastAsia="微软雅黑" w:cs="微软雅黑"/>
          <w:snapToGrid w:val="0"/>
          <w:kern w:val="0"/>
          <w:sz w:val="24"/>
          <w:szCs w:val="24"/>
          <w:highlight w:val="none"/>
        </w:rPr>
      </w:pPr>
    </w:p>
    <w:p w14:paraId="13820DD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026290FB">
      <w:pPr>
        <w:widowControl/>
        <w:spacing w:line="440" w:lineRule="exact"/>
        <w:jc w:val="center"/>
        <w:rPr>
          <w:rFonts w:hint="eastAsia" w:ascii="微软雅黑" w:hAnsi="微软雅黑" w:eastAsia="微软雅黑" w:cs="微软雅黑"/>
          <w:snapToGrid w:val="0"/>
          <w:kern w:val="0"/>
          <w:sz w:val="24"/>
          <w:szCs w:val="24"/>
          <w:highlight w:val="none"/>
        </w:rPr>
      </w:pPr>
    </w:p>
    <w:p w14:paraId="20B166B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（附：法定代表人身份证正反面复印件）</w:t>
      </w:r>
    </w:p>
    <w:p w14:paraId="4CC128E5">
      <w:pPr>
        <w:widowControl/>
        <w:spacing w:line="440" w:lineRule="exact"/>
        <w:jc w:val="center"/>
        <w:rPr>
          <w:rFonts w:hint="eastAsia" w:ascii="微软雅黑" w:hAnsi="微软雅黑" w:eastAsia="微软雅黑" w:cs="微软雅黑"/>
          <w:snapToGrid w:val="0"/>
          <w:kern w:val="0"/>
          <w:sz w:val="24"/>
          <w:szCs w:val="24"/>
          <w:highlight w:val="none"/>
        </w:rPr>
      </w:pPr>
    </w:p>
    <w:p w14:paraId="113486E0">
      <w:pPr>
        <w:widowControl/>
        <w:spacing w:line="440" w:lineRule="exact"/>
        <w:jc w:val="center"/>
        <w:rPr>
          <w:rFonts w:hint="eastAsia" w:ascii="微软雅黑" w:hAnsi="微软雅黑" w:eastAsia="微软雅黑" w:cs="微软雅黑"/>
          <w:snapToGrid w:val="0"/>
          <w:kern w:val="0"/>
          <w:sz w:val="24"/>
          <w:szCs w:val="24"/>
          <w:highlight w:val="none"/>
        </w:rPr>
      </w:pPr>
    </w:p>
    <w:p w14:paraId="7E2710B0">
      <w:pPr>
        <w:widowControl/>
        <w:spacing w:line="440" w:lineRule="exact"/>
        <w:jc w:val="center"/>
        <w:rPr>
          <w:rFonts w:hint="eastAsia" w:ascii="微软雅黑" w:hAnsi="微软雅黑" w:eastAsia="微软雅黑" w:cs="微软雅黑"/>
          <w:snapToGrid w:val="0"/>
          <w:kern w:val="0"/>
          <w:sz w:val="24"/>
          <w:szCs w:val="24"/>
          <w:highlight w:val="none"/>
        </w:rPr>
      </w:pPr>
    </w:p>
    <w:p w14:paraId="460D04F8">
      <w:pPr>
        <w:widowControl/>
        <w:spacing w:line="440" w:lineRule="exact"/>
        <w:jc w:val="center"/>
        <w:rPr>
          <w:rFonts w:hint="eastAsia" w:ascii="微软雅黑" w:hAnsi="微软雅黑" w:eastAsia="微软雅黑" w:cs="微软雅黑"/>
          <w:snapToGrid w:val="0"/>
          <w:kern w:val="0"/>
          <w:sz w:val="24"/>
          <w:szCs w:val="24"/>
          <w:highlight w:val="none"/>
        </w:rPr>
      </w:pPr>
    </w:p>
    <w:p w14:paraId="7C1DCFB0">
      <w:pPr>
        <w:widowControl/>
        <w:spacing w:line="440" w:lineRule="exact"/>
        <w:jc w:val="center"/>
        <w:rPr>
          <w:rFonts w:hint="eastAsia" w:ascii="微软雅黑" w:hAnsi="微软雅黑" w:eastAsia="微软雅黑" w:cs="微软雅黑"/>
          <w:snapToGrid w:val="0"/>
          <w:kern w:val="0"/>
          <w:sz w:val="24"/>
          <w:szCs w:val="24"/>
          <w:highlight w:val="none"/>
        </w:rPr>
      </w:pPr>
    </w:p>
    <w:p w14:paraId="523F3DD8">
      <w:pPr>
        <w:widowControl/>
        <w:spacing w:line="440" w:lineRule="exact"/>
        <w:jc w:val="center"/>
        <w:rPr>
          <w:rFonts w:hint="eastAsia" w:ascii="微软雅黑" w:hAnsi="微软雅黑" w:eastAsia="微软雅黑" w:cs="微软雅黑"/>
          <w:snapToGrid w:val="0"/>
          <w:kern w:val="0"/>
          <w:sz w:val="24"/>
          <w:szCs w:val="24"/>
          <w:highlight w:val="none"/>
        </w:rPr>
      </w:pPr>
    </w:p>
    <w:p w14:paraId="216E0D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（三）法定代表人授权委托书（格式）</w:t>
      </w:r>
    </w:p>
    <w:p w14:paraId="0A29A7A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1E4B9C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269F7F68">
      <w:pPr>
        <w:widowControl/>
        <w:spacing w:line="440" w:lineRule="exact"/>
        <w:jc w:val="left"/>
        <w:rPr>
          <w:rFonts w:hint="eastAsia" w:ascii="微软雅黑" w:hAnsi="微软雅黑" w:eastAsia="微软雅黑" w:cs="微软雅黑"/>
          <w:snapToGrid w:val="0"/>
          <w:kern w:val="0"/>
          <w:sz w:val="24"/>
          <w:szCs w:val="24"/>
          <w:highlight w:val="none"/>
        </w:rPr>
      </w:pPr>
    </w:p>
    <w:p w14:paraId="0BFCB26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none"/>
        </w:rPr>
        <w:t xml:space="preserve">                     </w:t>
      </w:r>
      <w:r>
        <w:rPr>
          <w:rFonts w:hint="eastAsia" w:ascii="微软雅黑" w:hAnsi="微软雅黑" w:eastAsia="微软雅黑" w:cs="微软雅黑"/>
          <w:snapToGrid w:val="0"/>
          <w:kern w:val="0"/>
          <w:sz w:val="24"/>
          <w:szCs w:val="24"/>
          <w:highlight w:val="none"/>
        </w:rPr>
        <w:t>（采购代理机构名称）：</w:t>
      </w:r>
    </w:p>
    <w:p w14:paraId="6C9D2ED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（投标人法定代表人名称）是</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（投标人名称）的法定代表人，特授权</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（被授权人姓名及身份证代码）代表我单位全权办理上述项目的投标、谈判、签约等具体工作，并签署全部有关文件、协议及合同。</w:t>
      </w:r>
    </w:p>
    <w:p w14:paraId="08E8EC2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我单位对被授权人的签字负全部责任。</w:t>
      </w:r>
    </w:p>
    <w:p w14:paraId="7FC69E3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在撤消授权的书面通知以前，本授权书一直有效。被授权人在授权书有效期内签署的所有文件不因授权的撤消而失效。</w:t>
      </w:r>
    </w:p>
    <w:p w14:paraId="68436462">
      <w:pPr>
        <w:widowControl/>
        <w:spacing w:line="440" w:lineRule="exact"/>
        <w:jc w:val="left"/>
        <w:rPr>
          <w:rFonts w:hint="eastAsia" w:ascii="微软雅黑" w:hAnsi="微软雅黑" w:eastAsia="微软雅黑" w:cs="微软雅黑"/>
          <w:snapToGrid w:val="0"/>
          <w:kern w:val="0"/>
          <w:sz w:val="24"/>
          <w:szCs w:val="24"/>
          <w:highlight w:val="none"/>
        </w:rPr>
      </w:pPr>
    </w:p>
    <w:p w14:paraId="4DF25285">
      <w:pPr>
        <w:widowControl/>
        <w:spacing w:line="440" w:lineRule="exact"/>
        <w:jc w:val="center"/>
        <w:rPr>
          <w:rFonts w:hint="eastAsia" w:ascii="微软雅黑" w:hAnsi="微软雅黑" w:eastAsia="微软雅黑" w:cs="微软雅黑"/>
          <w:snapToGrid w:val="0"/>
          <w:kern w:val="0"/>
          <w:sz w:val="24"/>
          <w:szCs w:val="24"/>
          <w:highlight w:val="none"/>
        </w:rPr>
      </w:pPr>
    </w:p>
    <w:p w14:paraId="2689712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被授权人：                                 投标人法定代表人：</w:t>
      </w:r>
    </w:p>
    <w:p w14:paraId="4C81001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（签字或盖章）                                （签字或盖章）</w:t>
      </w:r>
    </w:p>
    <w:p w14:paraId="1EE7C3AE">
      <w:pPr>
        <w:widowControl/>
        <w:spacing w:line="440" w:lineRule="exact"/>
        <w:jc w:val="center"/>
        <w:rPr>
          <w:rFonts w:hint="eastAsia" w:ascii="微软雅黑" w:hAnsi="微软雅黑" w:eastAsia="微软雅黑" w:cs="微软雅黑"/>
          <w:snapToGrid w:val="0"/>
          <w:kern w:val="0"/>
          <w:sz w:val="24"/>
          <w:szCs w:val="24"/>
          <w:highlight w:val="none"/>
        </w:rPr>
      </w:pPr>
    </w:p>
    <w:p w14:paraId="1E8391E4">
      <w:pPr>
        <w:widowControl/>
        <w:spacing w:line="440" w:lineRule="exact"/>
        <w:jc w:val="center"/>
        <w:rPr>
          <w:rFonts w:hint="eastAsia" w:ascii="微软雅黑" w:hAnsi="微软雅黑" w:eastAsia="微软雅黑" w:cs="微软雅黑"/>
          <w:snapToGrid w:val="0"/>
          <w:kern w:val="0"/>
          <w:sz w:val="24"/>
          <w:szCs w:val="24"/>
          <w:highlight w:val="none"/>
        </w:rPr>
      </w:pPr>
    </w:p>
    <w:p w14:paraId="2D5A99E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（附：被授权人身份证正反面复印件）</w:t>
      </w:r>
    </w:p>
    <w:p w14:paraId="0ED8181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0829B78C">
      <w:pPr>
        <w:widowControl/>
        <w:spacing w:line="440" w:lineRule="exact"/>
        <w:jc w:val="center"/>
        <w:rPr>
          <w:rFonts w:hint="eastAsia" w:ascii="微软雅黑" w:hAnsi="微软雅黑" w:eastAsia="微软雅黑" w:cs="微软雅黑"/>
          <w:snapToGrid w:val="0"/>
          <w:kern w:val="0"/>
          <w:sz w:val="24"/>
          <w:szCs w:val="24"/>
          <w:highlight w:val="none"/>
        </w:rPr>
      </w:pPr>
    </w:p>
    <w:p w14:paraId="1A750A04">
      <w:pPr>
        <w:widowControl/>
        <w:spacing w:line="440" w:lineRule="exact"/>
        <w:jc w:val="center"/>
        <w:rPr>
          <w:rFonts w:hint="eastAsia" w:ascii="微软雅黑" w:hAnsi="微软雅黑" w:eastAsia="微软雅黑" w:cs="微软雅黑"/>
          <w:snapToGrid w:val="0"/>
          <w:kern w:val="0"/>
          <w:sz w:val="24"/>
          <w:szCs w:val="24"/>
          <w:highlight w:val="none"/>
        </w:rPr>
      </w:pPr>
    </w:p>
    <w:p w14:paraId="6147C17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（投标人公章）</w:t>
      </w:r>
    </w:p>
    <w:p w14:paraId="3E987DB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年   月   日</w:t>
      </w:r>
    </w:p>
    <w:p w14:paraId="475FE678">
      <w:pPr>
        <w:widowControl/>
        <w:spacing w:line="440" w:lineRule="exact"/>
        <w:jc w:val="center"/>
        <w:rPr>
          <w:rFonts w:hint="eastAsia" w:ascii="微软雅黑" w:hAnsi="微软雅黑" w:eastAsia="微软雅黑" w:cs="微软雅黑"/>
          <w:snapToGrid w:val="0"/>
          <w:kern w:val="0"/>
          <w:sz w:val="24"/>
          <w:szCs w:val="24"/>
          <w:highlight w:val="none"/>
        </w:rPr>
      </w:pPr>
    </w:p>
    <w:p w14:paraId="2847550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注：若为法定代表人办理并签署投标文件的，不提供此文件。</w:t>
      </w:r>
    </w:p>
    <w:p w14:paraId="7EBFB108">
      <w:pPr>
        <w:widowControl/>
        <w:spacing w:line="440" w:lineRule="exact"/>
        <w:jc w:val="both"/>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w:t>
      </w:r>
    </w:p>
    <w:p w14:paraId="443A4678">
      <w:pPr>
        <w:widowControl/>
        <w:spacing w:line="440" w:lineRule="exact"/>
        <w:jc w:val="center"/>
        <w:rPr>
          <w:rFonts w:hint="eastAsia" w:ascii="微软雅黑" w:hAnsi="微软雅黑" w:eastAsia="微软雅黑" w:cs="微软雅黑"/>
          <w:snapToGrid w:val="0"/>
          <w:kern w:val="0"/>
          <w:sz w:val="24"/>
          <w:szCs w:val="24"/>
          <w:highlight w:val="none"/>
        </w:rPr>
      </w:pPr>
    </w:p>
    <w:p w14:paraId="76E5A530">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33645798">
      <w:pPr>
        <w:widowControl/>
        <w:spacing w:line="440" w:lineRule="exact"/>
        <w:jc w:val="left"/>
        <w:rPr>
          <w:rFonts w:hint="eastAsia" w:ascii="微软雅黑" w:hAnsi="微软雅黑" w:eastAsia="微软雅黑" w:cs="微软雅黑"/>
          <w:snapToGrid w:val="0"/>
          <w:kern w:val="0"/>
          <w:sz w:val="24"/>
          <w:szCs w:val="24"/>
          <w:highlight w:val="none"/>
        </w:rPr>
      </w:pPr>
    </w:p>
    <w:p w14:paraId="6A8D497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76AE6AB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31106DC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特此声明。</w:t>
      </w:r>
    </w:p>
    <w:p w14:paraId="56370997">
      <w:pPr>
        <w:widowControl/>
        <w:spacing w:line="440" w:lineRule="exact"/>
        <w:jc w:val="center"/>
        <w:rPr>
          <w:rFonts w:hint="eastAsia" w:ascii="微软雅黑" w:hAnsi="微软雅黑" w:eastAsia="微软雅黑" w:cs="微软雅黑"/>
          <w:snapToGrid w:val="0"/>
          <w:kern w:val="0"/>
          <w:sz w:val="24"/>
          <w:szCs w:val="24"/>
          <w:highlight w:val="none"/>
        </w:rPr>
      </w:pPr>
    </w:p>
    <w:p w14:paraId="4527AA01">
      <w:pPr>
        <w:widowControl/>
        <w:spacing w:line="440" w:lineRule="exact"/>
        <w:jc w:val="center"/>
        <w:rPr>
          <w:rFonts w:hint="eastAsia" w:ascii="微软雅黑" w:hAnsi="微软雅黑" w:eastAsia="微软雅黑" w:cs="微软雅黑"/>
          <w:snapToGrid w:val="0"/>
          <w:kern w:val="0"/>
          <w:sz w:val="24"/>
          <w:szCs w:val="24"/>
          <w:highlight w:val="none"/>
        </w:rPr>
      </w:pPr>
    </w:p>
    <w:p w14:paraId="063756C5">
      <w:pPr>
        <w:widowControl/>
        <w:spacing w:line="440" w:lineRule="exact"/>
        <w:jc w:val="center"/>
        <w:rPr>
          <w:rFonts w:hint="eastAsia" w:ascii="微软雅黑" w:hAnsi="微软雅黑" w:eastAsia="微软雅黑" w:cs="微软雅黑"/>
          <w:snapToGrid w:val="0"/>
          <w:kern w:val="0"/>
          <w:sz w:val="24"/>
          <w:szCs w:val="24"/>
          <w:highlight w:val="none"/>
        </w:rPr>
      </w:pPr>
    </w:p>
    <w:p w14:paraId="03847D2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02F5E1A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2EEFF90A">
      <w:pPr>
        <w:widowControl/>
        <w:spacing w:line="440" w:lineRule="exact"/>
        <w:jc w:val="center"/>
        <w:rPr>
          <w:rFonts w:hint="eastAsia" w:ascii="微软雅黑" w:hAnsi="微软雅黑" w:eastAsia="微软雅黑" w:cs="微软雅黑"/>
          <w:snapToGrid w:val="0"/>
          <w:kern w:val="0"/>
          <w:sz w:val="24"/>
          <w:szCs w:val="24"/>
          <w:highlight w:val="none"/>
        </w:rPr>
      </w:pPr>
    </w:p>
    <w:p w14:paraId="110D795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p>
    <w:p w14:paraId="48B0586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）特定资格条件证书或证明文件（如有）</w:t>
      </w:r>
    </w:p>
    <w:p w14:paraId="0C3B3249">
      <w:pPr>
        <w:widowControl/>
        <w:spacing w:line="440" w:lineRule="exact"/>
        <w:jc w:val="center"/>
        <w:rPr>
          <w:rFonts w:hint="eastAsia" w:ascii="微软雅黑" w:hAnsi="微软雅黑" w:eastAsia="微软雅黑" w:cs="微软雅黑"/>
          <w:snapToGrid w:val="0"/>
          <w:kern w:val="0"/>
          <w:sz w:val="24"/>
          <w:szCs w:val="24"/>
          <w:highlight w:val="none"/>
        </w:rPr>
      </w:pPr>
    </w:p>
    <w:p w14:paraId="655FB657">
      <w:pPr>
        <w:widowControl/>
        <w:spacing w:line="440" w:lineRule="exact"/>
        <w:jc w:val="center"/>
        <w:rPr>
          <w:rFonts w:hint="eastAsia" w:ascii="微软雅黑" w:hAnsi="微软雅黑" w:eastAsia="微软雅黑" w:cs="微软雅黑"/>
          <w:snapToGrid w:val="0"/>
          <w:kern w:val="0"/>
          <w:sz w:val="24"/>
          <w:szCs w:val="24"/>
          <w:highlight w:val="none"/>
        </w:rPr>
      </w:pPr>
    </w:p>
    <w:p w14:paraId="26EA9030">
      <w:pPr>
        <w:widowControl/>
        <w:spacing w:line="440" w:lineRule="exact"/>
        <w:jc w:val="center"/>
        <w:rPr>
          <w:rFonts w:hint="eastAsia" w:ascii="微软雅黑" w:hAnsi="微软雅黑" w:eastAsia="微软雅黑" w:cs="微软雅黑"/>
          <w:snapToGrid w:val="0"/>
          <w:kern w:val="0"/>
          <w:sz w:val="24"/>
          <w:szCs w:val="24"/>
          <w:highlight w:val="none"/>
        </w:rPr>
      </w:pPr>
    </w:p>
    <w:p w14:paraId="4AFA3F8C">
      <w:pPr>
        <w:widowControl/>
        <w:spacing w:line="440" w:lineRule="exact"/>
        <w:jc w:val="center"/>
        <w:rPr>
          <w:rFonts w:hint="eastAsia" w:ascii="微软雅黑" w:hAnsi="微软雅黑" w:eastAsia="微软雅黑" w:cs="微软雅黑"/>
          <w:snapToGrid w:val="0"/>
          <w:kern w:val="0"/>
          <w:sz w:val="24"/>
          <w:szCs w:val="24"/>
          <w:highlight w:val="none"/>
        </w:rPr>
      </w:pPr>
    </w:p>
    <w:p w14:paraId="14D772EA">
      <w:pPr>
        <w:widowControl/>
        <w:spacing w:line="440" w:lineRule="exact"/>
        <w:jc w:val="center"/>
        <w:rPr>
          <w:rFonts w:hint="eastAsia" w:ascii="微软雅黑" w:hAnsi="微软雅黑" w:eastAsia="微软雅黑" w:cs="微软雅黑"/>
          <w:snapToGrid w:val="0"/>
          <w:kern w:val="0"/>
          <w:sz w:val="24"/>
          <w:szCs w:val="24"/>
          <w:highlight w:val="none"/>
        </w:rPr>
      </w:pPr>
    </w:p>
    <w:p w14:paraId="19F1347F">
      <w:pPr>
        <w:widowControl/>
        <w:spacing w:line="440" w:lineRule="exact"/>
        <w:jc w:val="center"/>
        <w:rPr>
          <w:rFonts w:hint="eastAsia" w:ascii="微软雅黑" w:hAnsi="微软雅黑" w:eastAsia="微软雅黑" w:cs="微软雅黑"/>
          <w:snapToGrid w:val="0"/>
          <w:kern w:val="0"/>
          <w:sz w:val="24"/>
          <w:szCs w:val="24"/>
          <w:highlight w:val="none"/>
        </w:rPr>
      </w:pPr>
    </w:p>
    <w:p w14:paraId="2EBEDF0C">
      <w:pPr>
        <w:widowControl/>
        <w:spacing w:line="440" w:lineRule="exact"/>
        <w:jc w:val="center"/>
        <w:rPr>
          <w:rFonts w:hint="eastAsia" w:ascii="微软雅黑" w:hAnsi="微软雅黑" w:eastAsia="微软雅黑" w:cs="微软雅黑"/>
          <w:snapToGrid w:val="0"/>
          <w:kern w:val="0"/>
          <w:sz w:val="24"/>
          <w:szCs w:val="24"/>
          <w:highlight w:val="none"/>
        </w:rPr>
      </w:pPr>
    </w:p>
    <w:p w14:paraId="3B9336BA">
      <w:pPr>
        <w:widowControl/>
        <w:spacing w:line="440" w:lineRule="exact"/>
        <w:jc w:val="center"/>
        <w:rPr>
          <w:rFonts w:hint="eastAsia" w:ascii="微软雅黑" w:hAnsi="微软雅黑" w:eastAsia="微软雅黑" w:cs="微软雅黑"/>
          <w:snapToGrid w:val="0"/>
          <w:kern w:val="0"/>
          <w:sz w:val="24"/>
          <w:szCs w:val="24"/>
          <w:highlight w:val="none"/>
        </w:rPr>
      </w:pPr>
    </w:p>
    <w:p w14:paraId="6F59FA47">
      <w:pPr>
        <w:widowControl/>
        <w:spacing w:line="440" w:lineRule="exact"/>
        <w:jc w:val="center"/>
        <w:rPr>
          <w:rFonts w:hint="eastAsia" w:ascii="微软雅黑" w:hAnsi="微软雅黑" w:eastAsia="微软雅黑" w:cs="微软雅黑"/>
          <w:snapToGrid w:val="0"/>
          <w:kern w:val="0"/>
          <w:sz w:val="24"/>
          <w:szCs w:val="24"/>
          <w:highlight w:val="none"/>
        </w:rPr>
      </w:pPr>
    </w:p>
    <w:p w14:paraId="7F984CF9">
      <w:pPr>
        <w:widowControl/>
        <w:spacing w:line="440" w:lineRule="exact"/>
        <w:jc w:val="center"/>
        <w:rPr>
          <w:rFonts w:hint="eastAsia" w:ascii="微软雅黑" w:hAnsi="微软雅黑" w:eastAsia="微软雅黑" w:cs="微软雅黑"/>
          <w:snapToGrid w:val="0"/>
          <w:kern w:val="0"/>
          <w:sz w:val="24"/>
          <w:szCs w:val="24"/>
          <w:highlight w:val="none"/>
        </w:rPr>
      </w:pPr>
    </w:p>
    <w:p w14:paraId="09F27AAC">
      <w:pPr>
        <w:widowControl/>
        <w:spacing w:line="440" w:lineRule="exact"/>
        <w:jc w:val="center"/>
        <w:rPr>
          <w:rFonts w:hint="eastAsia" w:ascii="微软雅黑" w:hAnsi="微软雅黑" w:eastAsia="微软雅黑" w:cs="微软雅黑"/>
          <w:snapToGrid w:val="0"/>
          <w:kern w:val="0"/>
          <w:sz w:val="24"/>
          <w:szCs w:val="24"/>
          <w:highlight w:val="none"/>
        </w:rPr>
      </w:pPr>
    </w:p>
    <w:p w14:paraId="2D98FCF5">
      <w:pPr>
        <w:widowControl/>
        <w:spacing w:line="440" w:lineRule="exact"/>
        <w:jc w:val="center"/>
        <w:rPr>
          <w:rFonts w:hint="eastAsia" w:ascii="微软雅黑" w:hAnsi="微软雅黑" w:eastAsia="微软雅黑" w:cs="微软雅黑"/>
          <w:snapToGrid w:val="0"/>
          <w:kern w:val="0"/>
          <w:sz w:val="24"/>
          <w:szCs w:val="24"/>
          <w:highlight w:val="none"/>
        </w:rPr>
      </w:pPr>
    </w:p>
    <w:p w14:paraId="599F5A07">
      <w:pPr>
        <w:widowControl/>
        <w:spacing w:line="440" w:lineRule="exact"/>
        <w:jc w:val="center"/>
        <w:rPr>
          <w:rFonts w:hint="eastAsia" w:ascii="微软雅黑" w:hAnsi="微软雅黑" w:eastAsia="微软雅黑" w:cs="微软雅黑"/>
          <w:snapToGrid w:val="0"/>
          <w:kern w:val="0"/>
          <w:sz w:val="24"/>
          <w:szCs w:val="24"/>
          <w:highlight w:val="none"/>
        </w:rPr>
      </w:pPr>
    </w:p>
    <w:p w14:paraId="3C3E69CC">
      <w:pPr>
        <w:widowControl/>
        <w:spacing w:line="440" w:lineRule="exact"/>
        <w:jc w:val="center"/>
        <w:rPr>
          <w:rFonts w:hint="eastAsia" w:ascii="微软雅黑" w:hAnsi="微软雅黑" w:eastAsia="微软雅黑" w:cs="微软雅黑"/>
          <w:snapToGrid w:val="0"/>
          <w:kern w:val="0"/>
          <w:sz w:val="24"/>
          <w:szCs w:val="24"/>
          <w:highlight w:val="none"/>
        </w:rPr>
      </w:pPr>
    </w:p>
    <w:p w14:paraId="41A84B52">
      <w:pPr>
        <w:widowControl/>
        <w:spacing w:line="440" w:lineRule="exact"/>
        <w:jc w:val="center"/>
        <w:rPr>
          <w:rFonts w:hint="eastAsia" w:ascii="微软雅黑" w:hAnsi="微软雅黑" w:eastAsia="微软雅黑" w:cs="微软雅黑"/>
          <w:snapToGrid w:val="0"/>
          <w:kern w:val="0"/>
          <w:sz w:val="24"/>
          <w:szCs w:val="24"/>
          <w:highlight w:val="none"/>
        </w:rPr>
      </w:pPr>
    </w:p>
    <w:p w14:paraId="5691D90C">
      <w:pPr>
        <w:widowControl/>
        <w:spacing w:line="440" w:lineRule="exact"/>
        <w:jc w:val="center"/>
        <w:rPr>
          <w:rFonts w:hint="eastAsia" w:ascii="微软雅黑" w:hAnsi="微软雅黑" w:eastAsia="微软雅黑" w:cs="微软雅黑"/>
          <w:snapToGrid w:val="0"/>
          <w:kern w:val="0"/>
          <w:sz w:val="24"/>
          <w:szCs w:val="24"/>
          <w:highlight w:val="none"/>
        </w:rPr>
      </w:pPr>
    </w:p>
    <w:p w14:paraId="38835F00">
      <w:pPr>
        <w:widowControl/>
        <w:spacing w:line="440" w:lineRule="exact"/>
        <w:jc w:val="center"/>
        <w:rPr>
          <w:rFonts w:hint="eastAsia" w:ascii="微软雅黑" w:hAnsi="微软雅黑" w:eastAsia="微软雅黑" w:cs="微软雅黑"/>
          <w:snapToGrid w:val="0"/>
          <w:kern w:val="0"/>
          <w:sz w:val="24"/>
          <w:szCs w:val="24"/>
          <w:highlight w:val="none"/>
        </w:rPr>
      </w:pPr>
    </w:p>
    <w:p w14:paraId="10058BD1">
      <w:pPr>
        <w:widowControl/>
        <w:spacing w:line="440" w:lineRule="exact"/>
        <w:jc w:val="center"/>
        <w:rPr>
          <w:rFonts w:hint="eastAsia" w:ascii="微软雅黑" w:hAnsi="微软雅黑" w:eastAsia="微软雅黑" w:cs="微软雅黑"/>
          <w:snapToGrid w:val="0"/>
          <w:kern w:val="0"/>
          <w:sz w:val="24"/>
          <w:szCs w:val="24"/>
          <w:highlight w:val="none"/>
        </w:rPr>
      </w:pPr>
    </w:p>
    <w:p w14:paraId="6E5B6229">
      <w:pPr>
        <w:widowControl/>
        <w:spacing w:line="440" w:lineRule="exact"/>
        <w:jc w:val="center"/>
        <w:rPr>
          <w:rFonts w:hint="eastAsia" w:ascii="微软雅黑" w:hAnsi="微软雅黑" w:eastAsia="微软雅黑" w:cs="微软雅黑"/>
          <w:snapToGrid w:val="0"/>
          <w:kern w:val="0"/>
          <w:sz w:val="24"/>
          <w:szCs w:val="24"/>
          <w:highlight w:val="none"/>
        </w:rPr>
      </w:pPr>
    </w:p>
    <w:p w14:paraId="2C553876">
      <w:pPr>
        <w:widowControl/>
        <w:spacing w:line="440" w:lineRule="exact"/>
        <w:jc w:val="center"/>
        <w:rPr>
          <w:rFonts w:hint="eastAsia" w:ascii="微软雅黑" w:hAnsi="微软雅黑" w:eastAsia="微软雅黑" w:cs="微软雅黑"/>
          <w:snapToGrid w:val="0"/>
          <w:kern w:val="0"/>
          <w:sz w:val="24"/>
          <w:szCs w:val="24"/>
          <w:highlight w:val="none"/>
        </w:rPr>
      </w:pPr>
    </w:p>
    <w:p w14:paraId="5AAD2C5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（结束）</w:t>
      </w:r>
    </w:p>
    <w:p w14:paraId="0160C372">
      <w:pPr>
        <w:widowControl/>
        <w:spacing w:line="440" w:lineRule="exact"/>
        <w:jc w:val="center"/>
        <w:rPr>
          <w:rFonts w:hint="eastAsia" w:ascii="微软雅黑" w:hAnsi="微软雅黑" w:eastAsia="微软雅黑" w:cs="微软雅黑"/>
          <w:snapToGrid w:val="0"/>
          <w:kern w:val="0"/>
          <w:sz w:val="24"/>
          <w:szCs w:val="24"/>
          <w:highlight w:val="none"/>
        </w:rPr>
      </w:pPr>
    </w:p>
    <w:p w14:paraId="29D7EAFC">
      <w:pPr>
        <w:rPr>
          <w:rFonts w:hint="eastAsia" w:ascii="微软雅黑" w:hAnsi="微软雅黑" w:eastAsia="微软雅黑" w:cs="微软雅黑"/>
          <w:bCs/>
          <w:sz w:val="24"/>
          <w:szCs w:val="28"/>
          <w:highlight w:val="none"/>
        </w:rPr>
      </w:pPr>
      <w:r>
        <w:rPr>
          <w:rFonts w:hint="eastAsia" w:ascii="微软雅黑" w:hAnsi="微软雅黑" w:eastAsia="微软雅黑" w:cs="微软雅黑"/>
          <w:bCs/>
          <w:sz w:val="24"/>
          <w:szCs w:val="28"/>
          <w:highlight w:val="none"/>
        </w:rPr>
        <w:br w:type="page"/>
      </w:r>
    </w:p>
    <w:p w14:paraId="5CD8C832">
      <w:pPr>
        <w:jc w:val="left"/>
        <w:outlineLvl w:val="0"/>
        <w:rPr>
          <w:rFonts w:hint="eastAsia" w:ascii="微软雅黑" w:hAnsi="微软雅黑" w:eastAsia="微软雅黑" w:cs="微软雅黑"/>
          <w:b/>
          <w:bCs/>
          <w:color w:val="auto"/>
          <w:szCs w:val="28"/>
          <w:highlight w:val="none"/>
        </w:rPr>
      </w:pPr>
      <w:bookmarkStart w:id="242" w:name="_Toc11203"/>
      <w:bookmarkStart w:id="243" w:name="_Toc27603"/>
      <w:r>
        <w:rPr>
          <w:rFonts w:hint="eastAsia" w:ascii="微软雅黑" w:hAnsi="微软雅黑" w:eastAsia="微软雅黑" w:cs="微软雅黑"/>
          <w:b/>
          <w:bCs/>
          <w:color w:val="auto"/>
          <w:szCs w:val="28"/>
          <w:highlight w:val="none"/>
        </w:rPr>
        <w:t>附件1：</w:t>
      </w:r>
      <w:bookmarkEnd w:id="242"/>
      <w:bookmarkEnd w:id="243"/>
    </w:p>
    <w:p w14:paraId="4B22F74C">
      <w:pPr>
        <w:jc w:val="center"/>
        <w:outlineLvl w:val="0"/>
        <w:rPr>
          <w:rFonts w:hint="eastAsia" w:ascii="微软雅黑" w:hAnsi="微软雅黑" w:eastAsia="微软雅黑" w:cs="微软雅黑"/>
          <w:b/>
          <w:bCs/>
          <w:color w:val="auto"/>
          <w:sz w:val="44"/>
          <w:szCs w:val="44"/>
          <w:highlight w:val="none"/>
        </w:rPr>
      </w:pPr>
      <w:bookmarkStart w:id="244" w:name="_Toc5005"/>
      <w:bookmarkStart w:id="245" w:name="_Toc6033"/>
      <w:bookmarkStart w:id="246" w:name="_Toc15429"/>
      <w:r>
        <w:rPr>
          <w:rFonts w:hint="eastAsia" w:ascii="微软雅黑" w:hAnsi="微软雅黑" w:eastAsia="微软雅黑" w:cs="微软雅黑"/>
          <w:b/>
          <w:bCs/>
          <w:color w:val="auto"/>
          <w:sz w:val="44"/>
          <w:szCs w:val="44"/>
          <w:highlight w:val="none"/>
          <w:lang w:val="en-US" w:eastAsia="zh-CN"/>
        </w:rPr>
        <w:t>报名</w:t>
      </w:r>
      <w:r>
        <w:rPr>
          <w:rFonts w:hint="eastAsia" w:ascii="微软雅黑" w:hAnsi="微软雅黑" w:eastAsia="微软雅黑" w:cs="微软雅黑"/>
          <w:b/>
          <w:bCs/>
          <w:color w:val="auto"/>
          <w:sz w:val="44"/>
          <w:szCs w:val="44"/>
          <w:highlight w:val="none"/>
        </w:rPr>
        <w:t>登记表</w:t>
      </w:r>
      <w:bookmarkEnd w:id="244"/>
      <w:bookmarkEnd w:id="245"/>
      <w:bookmarkEnd w:id="246"/>
    </w:p>
    <w:p w14:paraId="4906EA71">
      <w:pPr>
        <w:jc w:val="left"/>
        <w:rPr>
          <w:rFonts w:hint="eastAsia" w:ascii="微软雅黑" w:hAnsi="微软雅黑" w:eastAsia="微软雅黑" w:cs="微软雅黑"/>
          <w:b/>
          <w:bCs/>
          <w:color w:val="auto"/>
          <w:spacing w:val="40"/>
          <w:highlight w:val="none"/>
        </w:rPr>
      </w:pPr>
    </w:p>
    <w:tbl>
      <w:tblPr>
        <w:tblStyle w:val="4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631"/>
        <w:gridCol w:w="1286"/>
        <w:gridCol w:w="3990"/>
      </w:tblGrid>
      <w:tr w14:paraId="1D421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0" w:type="dxa"/>
            <w:noWrap w:val="0"/>
            <w:vAlign w:val="center"/>
          </w:tcPr>
          <w:p w14:paraId="11BE99DE">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项目编号</w:t>
            </w:r>
          </w:p>
        </w:tc>
        <w:tc>
          <w:tcPr>
            <w:tcW w:w="6907" w:type="dxa"/>
            <w:gridSpan w:val="3"/>
            <w:noWrap w:val="0"/>
            <w:vAlign w:val="center"/>
          </w:tcPr>
          <w:p w14:paraId="06B75590">
            <w:pPr>
              <w:jc w:val="left"/>
              <w:rPr>
                <w:rFonts w:hint="eastAsia" w:ascii="微软雅黑" w:hAnsi="微软雅黑" w:eastAsia="微软雅黑" w:cs="微软雅黑"/>
                <w:color w:val="auto"/>
                <w:sz w:val="22"/>
                <w:szCs w:val="22"/>
                <w:highlight w:val="none"/>
              </w:rPr>
            </w:pPr>
          </w:p>
        </w:tc>
      </w:tr>
      <w:tr w14:paraId="204FE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70" w:type="dxa"/>
            <w:noWrap w:val="0"/>
            <w:vAlign w:val="center"/>
          </w:tcPr>
          <w:p w14:paraId="369610DB">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项目名称</w:t>
            </w:r>
          </w:p>
        </w:tc>
        <w:tc>
          <w:tcPr>
            <w:tcW w:w="6907" w:type="dxa"/>
            <w:gridSpan w:val="3"/>
            <w:noWrap w:val="0"/>
            <w:vAlign w:val="center"/>
          </w:tcPr>
          <w:p w14:paraId="263194F4">
            <w:pPr>
              <w:ind w:firstLine="220" w:firstLineChars="100"/>
              <w:jc w:val="left"/>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 xml:space="preserve"> </w:t>
            </w:r>
          </w:p>
        </w:tc>
      </w:tr>
      <w:tr w14:paraId="188951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570" w:type="dxa"/>
            <w:noWrap w:val="0"/>
            <w:vAlign w:val="center"/>
          </w:tcPr>
          <w:p w14:paraId="7F0203C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投标人名称</w:t>
            </w:r>
          </w:p>
        </w:tc>
        <w:tc>
          <w:tcPr>
            <w:tcW w:w="6907" w:type="dxa"/>
            <w:gridSpan w:val="3"/>
            <w:noWrap w:val="0"/>
            <w:vAlign w:val="bottom"/>
          </w:tcPr>
          <w:p w14:paraId="205EB28F">
            <w:pPr>
              <w:ind w:right="600" w:firstLine="2750" w:firstLineChars="125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（投标人公章）</w:t>
            </w:r>
          </w:p>
        </w:tc>
      </w:tr>
      <w:tr w14:paraId="32E71B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70" w:type="dxa"/>
            <w:noWrap w:val="0"/>
            <w:vAlign w:val="center"/>
          </w:tcPr>
          <w:p w14:paraId="19D1250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p>
        </w:tc>
        <w:tc>
          <w:tcPr>
            <w:tcW w:w="1631" w:type="dxa"/>
            <w:noWrap w:val="0"/>
            <w:vAlign w:val="center"/>
          </w:tcPr>
          <w:p w14:paraId="78A0C4B9">
            <w:pPr>
              <w:jc w:val="left"/>
              <w:rPr>
                <w:rFonts w:hint="eastAsia" w:ascii="微软雅黑" w:hAnsi="微软雅黑" w:eastAsia="微软雅黑" w:cs="微软雅黑"/>
                <w:color w:val="auto"/>
                <w:sz w:val="22"/>
                <w:szCs w:val="22"/>
                <w:highlight w:val="none"/>
              </w:rPr>
            </w:pPr>
          </w:p>
        </w:tc>
        <w:tc>
          <w:tcPr>
            <w:tcW w:w="1286" w:type="dxa"/>
            <w:noWrap w:val="0"/>
            <w:vAlign w:val="center"/>
          </w:tcPr>
          <w:p w14:paraId="7E3BC14A">
            <w:pPr>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手机</w:t>
            </w:r>
          </w:p>
        </w:tc>
        <w:tc>
          <w:tcPr>
            <w:tcW w:w="3990" w:type="dxa"/>
            <w:noWrap w:val="0"/>
            <w:vAlign w:val="center"/>
          </w:tcPr>
          <w:p w14:paraId="66384E69">
            <w:pPr>
              <w:jc w:val="left"/>
              <w:rPr>
                <w:rFonts w:hint="eastAsia" w:ascii="微软雅黑" w:hAnsi="微软雅黑" w:eastAsia="微软雅黑" w:cs="微软雅黑"/>
                <w:color w:val="auto"/>
                <w:sz w:val="22"/>
                <w:szCs w:val="22"/>
                <w:highlight w:val="none"/>
              </w:rPr>
            </w:pPr>
          </w:p>
        </w:tc>
      </w:tr>
      <w:tr w14:paraId="3843E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70" w:type="dxa"/>
            <w:noWrap w:val="0"/>
            <w:vAlign w:val="center"/>
          </w:tcPr>
          <w:p w14:paraId="25620997">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办公电话</w:t>
            </w:r>
          </w:p>
        </w:tc>
        <w:tc>
          <w:tcPr>
            <w:tcW w:w="1631" w:type="dxa"/>
            <w:noWrap w:val="0"/>
            <w:vAlign w:val="center"/>
          </w:tcPr>
          <w:p w14:paraId="053CB460">
            <w:pPr>
              <w:jc w:val="left"/>
              <w:rPr>
                <w:rFonts w:hint="eastAsia" w:ascii="微软雅黑" w:hAnsi="微软雅黑" w:eastAsia="微软雅黑" w:cs="微软雅黑"/>
                <w:color w:val="auto"/>
                <w:sz w:val="22"/>
                <w:szCs w:val="22"/>
                <w:highlight w:val="none"/>
              </w:rPr>
            </w:pPr>
          </w:p>
        </w:tc>
        <w:tc>
          <w:tcPr>
            <w:tcW w:w="1286" w:type="dxa"/>
            <w:noWrap w:val="0"/>
            <w:vAlign w:val="center"/>
          </w:tcPr>
          <w:p w14:paraId="1461D609">
            <w:pPr>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传真</w:t>
            </w:r>
          </w:p>
        </w:tc>
        <w:tc>
          <w:tcPr>
            <w:tcW w:w="3990" w:type="dxa"/>
            <w:noWrap w:val="0"/>
            <w:vAlign w:val="center"/>
          </w:tcPr>
          <w:p w14:paraId="6BD2103F">
            <w:pPr>
              <w:jc w:val="left"/>
              <w:rPr>
                <w:rFonts w:hint="eastAsia" w:ascii="微软雅黑" w:hAnsi="微软雅黑" w:eastAsia="微软雅黑" w:cs="微软雅黑"/>
                <w:color w:val="auto"/>
                <w:sz w:val="22"/>
                <w:szCs w:val="22"/>
                <w:highlight w:val="none"/>
              </w:rPr>
            </w:pPr>
          </w:p>
        </w:tc>
      </w:tr>
      <w:tr w14:paraId="121CE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570" w:type="dxa"/>
            <w:noWrap w:val="0"/>
            <w:vAlign w:val="center"/>
          </w:tcPr>
          <w:p w14:paraId="3DDEAA3C">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E-mail</w:t>
            </w:r>
          </w:p>
        </w:tc>
        <w:tc>
          <w:tcPr>
            <w:tcW w:w="6907" w:type="dxa"/>
            <w:gridSpan w:val="3"/>
            <w:noWrap w:val="0"/>
            <w:vAlign w:val="center"/>
          </w:tcPr>
          <w:p w14:paraId="69391DAA">
            <w:pPr>
              <w:jc w:val="left"/>
              <w:rPr>
                <w:rFonts w:hint="eastAsia" w:ascii="微软雅黑" w:hAnsi="微软雅黑" w:eastAsia="微软雅黑" w:cs="微软雅黑"/>
                <w:color w:val="auto"/>
                <w:sz w:val="22"/>
                <w:szCs w:val="22"/>
                <w:highlight w:val="none"/>
              </w:rPr>
            </w:pPr>
          </w:p>
        </w:tc>
      </w:tr>
      <w:tr w14:paraId="1E184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570" w:type="dxa"/>
            <w:noWrap w:val="0"/>
            <w:vAlign w:val="center"/>
          </w:tcPr>
          <w:p w14:paraId="4A2D154C">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单位地址</w:t>
            </w:r>
          </w:p>
        </w:tc>
        <w:tc>
          <w:tcPr>
            <w:tcW w:w="6907" w:type="dxa"/>
            <w:gridSpan w:val="3"/>
            <w:noWrap w:val="0"/>
            <w:vAlign w:val="center"/>
          </w:tcPr>
          <w:p w14:paraId="434A8F62">
            <w:pPr>
              <w:jc w:val="left"/>
              <w:rPr>
                <w:rFonts w:hint="eastAsia" w:ascii="微软雅黑" w:hAnsi="微软雅黑" w:eastAsia="微软雅黑" w:cs="微软雅黑"/>
                <w:color w:val="auto"/>
                <w:sz w:val="22"/>
                <w:szCs w:val="22"/>
                <w:highlight w:val="none"/>
              </w:rPr>
            </w:pPr>
          </w:p>
        </w:tc>
      </w:tr>
      <w:tr w14:paraId="39488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70" w:type="dxa"/>
            <w:noWrap w:val="0"/>
            <w:vAlign w:val="center"/>
          </w:tcPr>
          <w:p w14:paraId="2DC98771">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购买时间</w:t>
            </w:r>
          </w:p>
        </w:tc>
        <w:tc>
          <w:tcPr>
            <w:tcW w:w="6907" w:type="dxa"/>
            <w:gridSpan w:val="3"/>
            <w:noWrap w:val="0"/>
            <w:vAlign w:val="center"/>
          </w:tcPr>
          <w:p w14:paraId="7D1F8849">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年  月  日</w:t>
            </w:r>
          </w:p>
        </w:tc>
      </w:tr>
      <w:tr w14:paraId="06611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70" w:type="dxa"/>
            <w:noWrap w:val="0"/>
            <w:vAlign w:val="center"/>
          </w:tcPr>
          <w:p w14:paraId="3600CBD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获取</w:t>
            </w:r>
            <w:r>
              <w:rPr>
                <w:rFonts w:hint="eastAsia" w:ascii="微软雅黑" w:hAnsi="微软雅黑" w:eastAsia="微软雅黑" w:cs="微软雅黑"/>
                <w:color w:val="auto"/>
                <w:sz w:val="22"/>
                <w:szCs w:val="22"/>
                <w:highlight w:val="none"/>
              </w:rPr>
              <w:t>文件</w:t>
            </w:r>
          </w:p>
        </w:tc>
        <w:tc>
          <w:tcPr>
            <w:tcW w:w="6907" w:type="dxa"/>
            <w:gridSpan w:val="3"/>
            <w:noWrap w:val="0"/>
            <w:vAlign w:val="center"/>
          </w:tcPr>
          <w:p w14:paraId="745BBA8A">
            <w:pPr>
              <w:jc w:val="center"/>
              <w:rPr>
                <w:rFonts w:hint="eastAsia" w:ascii="微软雅黑" w:hAnsi="微软雅黑" w:eastAsia="微软雅黑" w:cs="微软雅黑"/>
                <w:color w:val="auto"/>
                <w:sz w:val="22"/>
                <w:szCs w:val="22"/>
                <w:highlight w:val="none"/>
                <w:lang w:val="en-US" w:eastAsia="zh-CN"/>
              </w:rPr>
            </w:pPr>
          </w:p>
        </w:tc>
      </w:tr>
      <w:tr w14:paraId="4D0F87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570" w:type="dxa"/>
            <w:noWrap w:val="0"/>
            <w:vAlign w:val="center"/>
          </w:tcPr>
          <w:p w14:paraId="77BEFC51">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备注</w:t>
            </w:r>
          </w:p>
        </w:tc>
        <w:tc>
          <w:tcPr>
            <w:tcW w:w="6907" w:type="dxa"/>
            <w:gridSpan w:val="3"/>
            <w:noWrap w:val="0"/>
            <w:vAlign w:val="center"/>
          </w:tcPr>
          <w:p w14:paraId="6017DE4D">
            <w:pPr>
              <w:rPr>
                <w:rFonts w:hint="eastAsia" w:ascii="微软雅黑" w:hAnsi="微软雅黑" w:eastAsia="微软雅黑" w:cs="微软雅黑"/>
                <w:color w:val="auto"/>
                <w:sz w:val="22"/>
                <w:szCs w:val="22"/>
                <w:highlight w:val="none"/>
              </w:rPr>
            </w:pPr>
          </w:p>
        </w:tc>
      </w:tr>
    </w:tbl>
    <w:p w14:paraId="22F99902">
      <w:pPr>
        <w:widowControl/>
        <w:spacing w:line="440" w:lineRule="exact"/>
        <w:jc w:val="both"/>
        <w:rPr>
          <w:rFonts w:hint="eastAsia" w:ascii="微软雅黑" w:hAnsi="微软雅黑" w:eastAsia="微软雅黑" w:cs="微软雅黑"/>
          <w:bCs/>
          <w:sz w:val="24"/>
          <w:szCs w:val="28"/>
          <w:highlight w:val="none"/>
        </w:rPr>
      </w:pPr>
    </w:p>
    <w:sectPr>
      <w:headerReference r:id="rId9" w:type="default"/>
      <w:footerReference r:id="rId10" w:type="default"/>
      <w:footerReference r:id="rId11" w:type="even"/>
      <w:pgSz w:w="11906" w:h="16838"/>
      <w:pgMar w:top="1418" w:right="1134" w:bottom="1418" w:left="1418" w:header="794"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00AA">
    <w:pPr>
      <w:pStyle w:val="3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5B3F">
    <w:pPr>
      <w:pStyle w:val="30"/>
      <w:framePr w:wrap="around" w:vAnchor="text" w:hAnchor="margin" w:xAlign="center"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088A9138">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1E4A">
    <w:pPr>
      <w:pStyle w:val="30"/>
      <w:ind w:right="210" w:rightChars="100"/>
      <w:jc w:val="right"/>
      <w:rPr>
        <w:rFonts w:ascii="宋体" w:hAnsi="宋体"/>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70E27">
                          <w:pPr>
                            <w:pStyle w:val="3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6A70E27">
                    <w:pPr>
                      <w:pStyle w:val="30"/>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9288">
    <w:pPr>
      <w:pStyle w:val="30"/>
      <w:ind w:right="420" w:rightChars="200"/>
      <w:jc w:val="right"/>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0ACEB">
                          <w:pPr>
                            <w:pStyle w:val="30"/>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B20ACEB">
                    <w:pPr>
                      <w:pStyle w:val="30"/>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2C36">
    <w:pPr>
      <w:pStyle w:val="30"/>
      <w:ind w:left="420" w:leftChars="2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r>
      <w:rPr>
        <w:rFonts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408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05A8">
    <w:pPr>
      <w:pStyle w:val="31"/>
      <w:jc w:val="left"/>
      <w:rPr>
        <w:rFonts w:ascii="宋体" w:hAnsi="宋体" w:cs="MingLiU"/>
        <w:bCs/>
        <w:snapToGrid w:val="0"/>
        <w:kern w:val="0"/>
        <w:position w:val="-2"/>
      </w:rPr>
    </w:pPr>
    <w:r>
      <w:rPr>
        <w:rFonts w:hint="eastAsia" w:ascii="宋体" w:hAnsi="宋体" w:cs="MingLiU"/>
        <w:bCs/>
        <w:snapToGrid w:val="0"/>
        <w:kern w:val="0"/>
        <w:position w:val="-2"/>
        <w:lang w:eastAsia="zh-CN"/>
      </w:rPr>
      <w:t>重庆市涪陵区职业教育中心国家标准化考场建设视频巡查系统升级改造项目（第二次）</w:t>
    </w:r>
    <w:r>
      <w:rPr>
        <w:rFonts w:hint="eastAsia" w:ascii="宋体" w:hAnsi="宋体" w:cs="MingLiU"/>
        <w:bCs/>
        <w:snapToGrid w:val="0"/>
        <w:kern w:val="0"/>
        <w:position w:val="-2"/>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rPr>
      <w:t xml:space="preserve">   </w:t>
    </w:r>
    <w:r>
      <w:rPr>
        <w:rFonts w:hint="eastAsia" w:ascii="宋体" w:hAnsi="宋体" w:cs="MingLiU"/>
        <w:bCs/>
        <w:snapToGrid w:val="0"/>
        <w:kern w:val="0"/>
        <w:position w:val="-2"/>
        <w:lang w:val="en-US" w:eastAsia="zh-CN"/>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lang w:eastAsia="zh-CN"/>
      </w:rPr>
      <w:t>网上询</w:t>
    </w:r>
    <w:r>
      <w:rPr>
        <w:rFonts w:hint="eastAsia" w:ascii="宋体" w:hAnsi="宋体" w:cs="MingLiU"/>
        <w:bCs/>
        <w:snapToGrid w:val="0"/>
        <w:kern w:val="0"/>
        <w:position w:val="-2"/>
        <w:lang w:val="en-US" w:eastAsia="zh-CN"/>
      </w:rPr>
      <w:t>比</w:t>
    </w:r>
    <w:r>
      <w:rPr>
        <w:rFonts w:hint="eastAsia" w:ascii="宋体" w:hAnsi="宋体" w:cs="MingLiU"/>
        <w:bCs/>
        <w:snapToGrid w:val="0"/>
        <w:kern w:val="0"/>
        <w:position w:val="-2"/>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4821">
    <w:pPr>
      <w:pStyle w:val="31"/>
      <w:ind w:firstLine="1470" w:firstLineChars="700"/>
      <w:jc w:val="both"/>
      <w:rPr>
        <w:rFonts w:hint="eastAsia" w:ascii="方正仿宋_GBK" w:eastAsia="方正仿宋_GBK"/>
        <w:sz w:val="21"/>
        <w:szCs w:val="24"/>
      </w:rPr>
    </w:pPr>
    <w:r>
      <w:rPr>
        <w:rFonts w:hint="eastAsia" w:ascii="方正仿宋_GBK" w:eastAsia="方正仿宋_GBK"/>
        <w:sz w:val="21"/>
        <w:szCs w:val="24"/>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4C48">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3DBA7"/>
    <w:multiLevelType w:val="singleLevel"/>
    <w:tmpl w:val="C753DBA7"/>
    <w:lvl w:ilvl="0" w:tentative="0">
      <w:start w:val="1"/>
      <w:numFmt w:val="decimal"/>
      <w:suff w:val="nothing"/>
      <w:lvlText w:val="（%1）"/>
      <w:lvlJc w:val="left"/>
    </w:lvl>
  </w:abstractNum>
  <w:abstractNum w:abstractNumId="1">
    <w:nsid w:val="68F54984"/>
    <w:multiLevelType w:val="multilevel"/>
    <w:tmpl w:val="68F54984"/>
    <w:lvl w:ilvl="0" w:tentative="0">
      <w:start w:val="1"/>
      <w:numFmt w:val="japaneseCounting"/>
      <w:pStyle w:val="2"/>
      <w:lvlText w:val="第%1章"/>
      <w:lvlJc w:val="left"/>
      <w:pPr>
        <w:ind w:left="3105"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JjODkxNTg3OTY3YTY4MjhjMGQxMzliZGI0N2UifQ=="/>
  </w:docVars>
  <w:rsids>
    <w:rsidRoot w:val="00172A27"/>
    <w:rsid w:val="0000004F"/>
    <w:rsid w:val="00000317"/>
    <w:rsid w:val="00000D3F"/>
    <w:rsid w:val="000014DC"/>
    <w:rsid w:val="00001CEF"/>
    <w:rsid w:val="00001F28"/>
    <w:rsid w:val="0000228B"/>
    <w:rsid w:val="00002EAD"/>
    <w:rsid w:val="00003CD6"/>
    <w:rsid w:val="00003FAD"/>
    <w:rsid w:val="0000427D"/>
    <w:rsid w:val="00004D40"/>
    <w:rsid w:val="0000530C"/>
    <w:rsid w:val="000054E1"/>
    <w:rsid w:val="00005BDE"/>
    <w:rsid w:val="000060C3"/>
    <w:rsid w:val="00007BF0"/>
    <w:rsid w:val="00010907"/>
    <w:rsid w:val="00010AC4"/>
    <w:rsid w:val="00010B86"/>
    <w:rsid w:val="00010D54"/>
    <w:rsid w:val="00010FBF"/>
    <w:rsid w:val="000113FD"/>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0B1"/>
    <w:rsid w:val="00034312"/>
    <w:rsid w:val="000347A9"/>
    <w:rsid w:val="00034D33"/>
    <w:rsid w:val="00036511"/>
    <w:rsid w:val="00036ABE"/>
    <w:rsid w:val="000372B5"/>
    <w:rsid w:val="0003759A"/>
    <w:rsid w:val="00040690"/>
    <w:rsid w:val="000406E1"/>
    <w:rsid w:val="00041D05"/>
    <w:rsid w:val="00041E24"/>
    <w:rsid w:val="000436E1"/>
    <w:rsid w:val="000444DD"/>
    <w:rsid w:val="0004520A"/>
    <w:rsid w:val="0004647B"/>
    <w:rsid w:val="000469FE"/>
    <w:rsid w:val="00050979"/>
    <w:rsid w:val="00053942"/>
    <w:rsid w:val="00053E78"/>
    <w:rsid w:val="000541BE"/>
    <w:rsid w:val="000549C3"/>
    <w:rsid w:val="00054F0A"/>
    <w:rsid w:val="000559B7"/>
    <w:rsid w:val="00055E03"/>
    <w:rsid w:val="00057BF5"/>
    <w:rsid w:val="00060FF4"/>
    <w:rsid w:val="00061127"/>
    <w:rsid w:val="0006362D"/>
    <w:rsid w:val="0006494B"/>
    <w:rsid w:val="000653B8"/>
    <w:rsid w:val="000704F0"/>
    <w:rsid w:val="00071044"/>
    <w:rsid w:val="00074416"/>
    <w:rsid w:val="00074B0C"/>
    <w:rsid w:val="00076526"/>
    <w:rsid w:val="00077DC4"/>
    <w:rsid w:val="000800AD"/>
    <w:rsid w:val="00080242"/>
    <w:rsid w:val="0008031F"/>
    <w:rsid w:val="00080A85"/>
    <w:rsid w:val="0008109E"/>
    <w:rsid w:val="00081308"/>
    <w:rsid w:val="00081B8F"/>
    <w:rsid w:val="00081B9F"/>
    <w:rsid w:val="00082184"/>
    <w:rsid w:val="00082582"/>
    <w:rsid w:val="00082D0E"/>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7003"/>
    <w:rsid w:val="00097BB9"/>
    <w:rsid w:val="000A060A"/>
    <w:rsid w:val="000A142C"/>
    <w:rsid w:val="000A1530"/>
    <w:rsid w:val="000A1B3A"/>
    <w:rsid w:val="000A2CDC"/>
    <w:rsid w:val="000A340F"/>
    <w:rsid w:val="000A4DAE"/>
    <w:rsid w:val="000A5254"/>
    <w:rsid w:val="000A53FA"/>
    <w:rsid w:val="000A77C5"/>
    <w:rsid w:val="000A7BB5"/>
    <w:rsid w:val="000B043E"/>
    <w:rsid w:val="000B0863"/>
    <w:rsid w:val="000B11F7"/>
    <w:rsid w:val="000B2E39"/>
    <w:rsid w:val="000B367B"/>
    <w:rsid w:val="000B3962"/>
    <w:rsid w:val="000B3FCB"/>
    <w:rsid w:val="000B6D1D"/>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1A3"/>
    <w:rsid w:val="000D6F00"/>
    <w:rsid w:val="000E1AFC"/>
    <w:rsid w:val="000E2117"/>
    <w:rsid w:val="000E327C"/>
    <w:rsid w:val="000E42D5"/>
    <w:rsid w:val="000E4784"/>
    <w:rsid w:val="000E58B6"/>
    <w:rsid w:val="000E5974"/>
    <w:rsid w:val="000E6135"/>
    <w:rsid w:val="000E663F"/>
    <w:rsid w:val="000E6FC0"/>
    <w:rsid w:val="000E76DC"/>
    <w:rsid w:val="000E7B25"/>
    <w:rsid w:val="000E7FEE"/>
    <w:rsid w:val="000F013E"/>
    <w:rsid w:val="000F078C"/>
    <w:rsid w:val="000F0822"/>
    <w:rsid w:val="000F0C43"/>
    <w:rsid w:val="000F0E69"/>
    <w:rsid w:val="000F274D"/>
    <w:rsid w:val="000F34A3"/>
    <w:rsid w:val="000F46DC"/>
    <w:rsid w:val="000F62C2"/>
    <w:rsid w:val="000F75FE"/>
    <w:rsid w:val="000F7765"/>
    <w:rsid w:val="001001CC"/>
    <w:rsid w:val="00101402"/>
    <w:rsid w:val="0010144B"/>
    <w:rsid w:val="001016BF"/>
    <w:rsid w:val="00101E27"/>
    <w:rsid w:val="00102054"/>
    <w:rsid w:val="00102500"/>
    <w:rsid w:val="00102695"/>
    <w:rsid w:val="001028BB"/>
    <w:rsid w:val="00103087"/>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98"/>
    <w:rsid w:val="00114367"/>
    <w:rsid w:val="00116BFB"/>
    <w:rsid w:val="00116EA0"/>
    <w:rsid w:val="00117B0B"/>
    <w:rsid w:val="00121363"/>
    <w:rsid w:val="00121655"/>
    <w:rsid w:val="00122582"/>
    <w:rsid w:val="0012298B"/>
    <w:rsid w:val="001229E2"/>
    <w:rsid w:val="00122E9A"/>
    <w:rsid w:val="0012301E"/>
    <w:rsid w:val="001232A2"/>
    <w:rsid w:val="00123840"/>
    <w:rsid w:val="001239F6"/>
    <w:rsid w:val="00123AAA"/>
    <w:rsid w:val="00123D13"/>
    <w:rsid w:val="00123FD9"/>
    <w:rsid w:val="001252C6"/>
    <w:rsid w:val="00126891"/>
    <w:rsid w:val="00126903"/>
    <w:rsid w:val="00127B14"/>
    <w:rsid w:val="00131045"/>
    <w:rsid w:val="001316D9"/>
    <w:rsid w:val="00131F63"/>
    <w:rsid w:val="001335AC"/>
    <w:rsid w:val="001342E8"/>
    <w:rsid w:val="00134592"/>
    <w:rsid w:val="001369AF"/>
    <w:rsid w:val="00137CD6"/>
    <w:rsid w:val="001416C2"/>
    <w:rsid w:val="00141801"/>
    <w:rsid w:val="00141CA9"/>
    <w:rsid w:val="0014252B"/>
    <w:rsid w:val="001426F2"/>
    <w:rsid w:val="00142ADA"/>
    <w:rsid w:val="00144940"/>
    <w:rsid w:val="001463F1"/>
    <w:rsid w:val="001468EC"/>
    <w:rsid w:val="00147583"/>
    <w:rsid w:val="0015093A"/>
    <w:rsid w:val="001516EB"/>
    <w:rsid w:val="001522AC"/>
    <w:rsid w:val="00152A9E"/>
    <w:rsid w:val="00153819"/>
    <w:rsid w:val="001548D0"/>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72F5"/>
    <w:rsid w:val="00167463"/>
    <w:rsid w:val="00167474"/>
    <w:rsid w:val="00167BAA"/>
    <w:rsid w:val="00167D09"/>
    <w:rsid w:val="001705D9"/>
    <w:rsid w:val="00170740"/>
    <w:rsid w:val="00171CA7"/>
    <w:rsid w:val="00172A27"/>
    <w:rsid w:val="001731A1"/>
    <w:rsid w:val="0017389F"/>
    <w:rsid w:val="00173CC7"/>
    <w:rsid w:val="00174254"/>
    <w:rsid w:val="001743AA"/>
    <w:rsid w:val="001749A7"/>
    <w:rsid w:val="00174A8D"/>
    <w:rsid w:val="00174F5D"/>
    <w:rsid w:val="001768F3"/>
    <w:rsid w:val="00177179"/>
    <w:rsid w:val="00180122"/>
    <w:rsid w:val="00180A12"/>
    <w:rsid w:val="00181697"/>
    <w:rsid w:val="001827E5"/>
    <w:rsid w:val="00183B4A"/>
    <w:rsid w:val="00184911"/>
    <w:rsid w:val="0018551B"/>
    <w:rsid w:val="00185D16"/>
    <w:rsid w:val="00186195"/>
    <w:rsid w:val="001875B1"/>
    <w:rsid w:val="00187E17"/>
    <w:rsid w:val="00191CFD"/>
    <w:rsid w:val="00195D5C"/>
    <w:rsid w:val="00196805"/>
    <w:rsid w:val="00196A91"/>
    <w:rsid w:val="00197DEB"/>
    <w:rsid w:val="001A2B7E"/>
    <w:rsid w:val="001A4D5B"/>
    <w:rsid w:val="001A4D8E"/>
    <w:rsid w:val="001A4E2E"/>
    <w:rsid w:val="001A5624"/>
    <w:rsid w:val="001A5CBC"/>
    <w:rsid w:val="001A663F"/>
    <w:rsid w:val="001A6752"/>
    <w:rsid w:val="001A699F"/>
    <w:rsid w:val="001A76CC"/>
    <w:rsid w:val="001B139E"/>
    <w:rsid w:val="001B13E2"/>
    <w:rsid w:val="001B22EB"/>
    <w:rsid w:val="001B392F"/>
    <w:rsid w:val="001B4167"/>
    <w:rsid w:val="001B42D7"/>
    <w:rsid w:val="001B4465"/>
    <w:rsid w:val="001B4970"/>
    <w:rsid w:val="001B5399"/>
    <w:rsid w:val="001C00C7"/>
    <w:rsid w:val="001C01EB"/>
    <w:rsid w:val="001C0FF9"/>
    <w:rsid w:val="001C10A8"/>
    <w:rsid w:val="001C3508"/>
    <w:rsid w:val="001C39F0"/>
    <w:rsid w:val="001C4088"/>
    <w:rsid w:val="001C50CE"/>
    <w:rsid w:val="001C54AD"/>
    <w:rsid w:val="001C77AD"/>
    <w:rsid w:val="001C797F"/>
    <w:rsid w:val="001D233E"/>
    <w:rsid w:val="001D235B"/>
    <w:rsid w:val="001D2E47"/>
    <w:rsid w:val="001D370C"/>
    <w:rsid w:val="001D3B57"/>
    <w:rsid w:val="001D4110"/>
    <w:rsid w:val="001D4281"/>
    <w:rsid w:val="001D44B7"/>
    <w:rsid w:val="001D4728"/>
    <w:rsid w:val="001D4E0B"/>
    <w:rsid w:val="001D6E26"/>
    <w:rsid w:val="001D767B"/>
    <w:rsid w:val="001D788A"/>
    <w:rsid w:val="001D7EC8"/>
    <w:rsid w:val="001E1EE3"/>
    <w:rsid w:val="001E2ACD"/>
    <w:rsid w:val="001E2D7E"/>
    <w:rsid w:val="001E4385"/>
    <w:rsid w:val="001E46C1"/>
    <w:rsid w:val="001E4A8D"/>
    <w:rsid w:val="001E4AA8"/>
    <w:rsid w:val="001E52CD"/>
    <w:rsid w:val="001E756E"/>
    <w:rsid w:val="001E7AEE"/>
    <w:rsid w:val="001E7D76"/>
    <w:rsid w:val="001F0B25"/>
    <w:rsid w:val="001F1AC5"/>
    <w:rsid w:val="001F5197"/>
    <w:rsid w:val="001F52F3"/>
    <w:rsid w:val="002012D8"/>
    <w:rsid w:val="00201909"/>
    <w:rsid w:val="00201B20"/>
    <w:rsid w:val="00202158"/>
    <w:rsid w:val="00202180"/>
    <w:rsid w:val="002022C9"/>
    <w:rsid w:val="0020287A"/>
    <w:rsid w:val="00202EC6"/>
    <w:rsid w:val="00203611"/>
    <w:rsid w:val="00203F0B"/>
    <w:rsid w:val="00205449"/>
    <w:rsid w:val="00206A5B"/>
    <w:rsid w:val="00207760"/>
    <w:rsid w:val="002078EF"/>
    <w:rsid w:val="00210038"/>
    <w:rsid w:val="00210E6C"/>
    <w:rsid w:val="002116C6"/>
    <w:rsid w:val="00212536"/>
    <w:rsid w:val="00213C53"/>
    <w:rsid w:val="00215398"/>
    <w:rsid w:val="002153DA"/>
    <w:rsid w:val="00216CCD"/>
    <w:rsid w:val="002171A4"/>
    <w:rsid w:val="0022093E"/>
    <w:rsid w:val="00220958"/>
    <w:rsid w:val="00221DAB"/>
    <w:rsid w:val="00222F08"/>
    <w:rsid w:val="002235A1"/>
    <w:rsid w:val="00223F47"/>
    <w:rsid w:val="0022461A"/>
    <w:rsid w:val="00224D71"/>
    <w:rsid w:val="00224F29"/>
    <w:rsid w:val="00227AEB"/>
    <w:rsid w:val="00231128"/>
    <w:rsid w:val="00231802"/>
    <w:rsid w:val="0023249B"/>
    <w:rsid w:val="0023291B"/>
    <w:rsid w:val="002329A8"/>
    <w:rsid w:val="00232DFB"/>
    <w:rsid w:val="00232ECE"/>
    <w:rsid w:val="002335AE"/>
    <w:rsid w:val="0023413B"/>
    <w:rsid w:val="0023428A"/>
    <w:rsid w:val="0023517D"/>
    <w:rsid w:val="002353DA"/>
    <w:rsid w:val="0023581E"/>
    <w:rsid w:val="00235960"/>
    <w:rsid w:val="0023658D"/>
    <w:rsid w:val="00236737"/>
    <w:rsid w:val="00237E15"/>
    <w:rsid w:val="00237F54"/>
    <w:rsid w:val="00241E95"/>
    <w:rsid w:val="002428BB"/>
    <w:rsid w:val="00245E51"/>
    <w:rsid w:val="00246621"/>
    <w:rsid w:val="00247058"/>
    <w:rsid w:val="00247797"/>
    <w:rsid w:val="002500D2"/>
    <w:rsid w:val="0025057B"/>
    <w:rsid w:val="00250790"/>
    <w:rsid w:val="00251D18"/>
    <w:rsid w:val="00252148"/>
    <w:rsid w:val="00252151"/>
    <w:rsid w:val="00252808"/>
    <w:rsid w:val="002530A7"/>
    <w:rsid w:val="00254C2C"/>
    <w:rsid w:val="002558CC"/>
    <w:rsid w:val="002560B6"/>
    <w:rsid w:val="0025639D"/>
    <w:rsid w:val="00256CE8"/>
    <w:rsid w:val="0025713A"/>
    <w:rsid w:val="002608BB"/>
    <w:rsid w:val="00260AB7"/>
    <w:rsid w:val="00260D7A"/>
    <w:rsid w:val="0026170A"/>
    <w:rsid w:val="00261F38"/>
    <w:rsid w:val="002624FA"/>
    <w:rsid w:val="002629D0"/>
    <w:rsid w:val="00262BEE"/>
    <w:rsid w:val="00262D1A"/>
    <w:rsid w:val="00262F7E"/>
    <w:rsid w:val="0026315C"/>
    <w:rsid w:val="00263440"/>
    <w:rsid w:val="0026354D"/>
    <w:rsid w:val="00264287"/>
    <w:rsid w:val="00264A03"/>
    <w:rsid w:val="00264B1A"/>
    <w:rsid w:val="00264D6E"/>
    <w:rsid w:val="00266ECF"/>
    <w:rsid w:val="00266FCD"/>
    <w:rsid w:val="00267177"/>
    <w:rsid w:val="00270C15"/>
    <w:rsid w:val="00271B31"/>
    <w:rsid w:val="0027374B"/>
    <w:rsid w:val="00273907"/>
    <w:rsid w:val="00273AAC"/>
    <w:rsid w:val="002741E6"/>
    <w:rsid w:val="00274490"/>
    <w:rsid w:val="00274527"/>
    <w:rsid w:val="002763F8"/>
    <w:rsid w:val="00277058"/>
    <w:rsid w:val="00277265"/>
    <w:rsid w:val="00277D3A"/>
    <w:rsid w:val="00280B2C"/>
    <w:rsid w:val="0028116B"/>
    <w:rsid w:val="0028135A"/>
    <w:rsid w:val="002815A3"/>
    <w:rsid w:val="0028181B"/>
    <w:rsid w:val="00281878"/>
    <w:rsid w:val="00281B98"/>
    <w:rsid w:val="00282A19"/>
    <w:rsid w:val="002833CD"/>
    <w:rsid w:val="002837BC"/>
    <w:rsid w:val="00283F00"/>
    <w:rsid w:val="00283F51"/>
    <w:rsid w:val="0028492B"/>
    <w:rsid w:val="00284995"/>
    <w:rsid w:val="0028602A"/>
    <w:rsid w:val="00286134"/>
    <w:rsid w:val="00287C76"/>
    <w:rsid w:val="00287F41"/>
    <w:rsid w:val="00291020"/>
    <w:rsid w:val="002914DB"/>
    <w:rsid w:val="00291C2F"/>
    <w:rsid w:val="00292083"/>
    <w:rsid w:val="00292EAB"/>
    <w:rsid w:val="00293936"/>
    <w:rsid w:val="00293C61"/>
    <w:rsid w:val="00293CCD"/>
    <w:rsid w:val="002944B4"/>
    <w:rsid w:val="002947E6"/>
    <w:rsid w:val="00294848"/>
    <w:rsid w:val="002962FB"/>
    <w:rsid w:val="00296D80"/>
    <w:rsid w:val="002977F5"/>
    <w:rsid w:val="00297ADB"/>
    <w:rsid w:val="00297AFA"/>
    <w:rsid w:val="002A07DF"/>
    <w:rsid w:val="002A0F57"/>
    <w:rsid w:val="002A105E"/>
    <w:rsid w:val="002A18FB"/>
    <w:rsid w:val="002A1E9C"/>
    <w:rsid w:val="002A2625"/>
    <w:rsid w:val="002A264E"/>
    <w:rsid w:val="002A2BF1"/>
    <w:rsid w:val="002A2CB0"/>
    <w:rsid w:val="002A2D94"/>
    <w:rsid w:val="002A3871"/>
    <w:rsid w:val="002A3E10"/>
    <w:rsid w:val="002A4B9E"/>
    <w:rsid w:val="002A4E44"/>
    <w:rsid w:val="002A5614"/>
    <w:rsid w:val="002A59AB"/>
    <w:rsid w:val="002A5EB9"/>
    <w:rsid w:val="002A6849"/>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2D8E"/>
    <w:rsid w:val="002C3061"/>
    <w:rsid w:val="002C3C8C"/>
    <w:rsid w:val="002C3F76"/>
    <w:rsid w:val="002C4C38"/>
    <w:rsid w:val="002C5610"/>
    <w:rsid w:val="002C56A5"/>
    <w:rsid w:val="002C5F97"/>
    <w:rsid w:val="002C5FC8"/>
    <w:rsid w:val="002C6ADA"/>
    <w:rsid w:val="002C6D26"/>
    <w:rsid w:val="002C74D1"/>
    <w:rsid w:val="002C74DB"/>
    <w:rsid w:val="002D27C7"/>
    <w:rsid w:val="002D2AE5"/>
    <w:rsid w:val="002D3AB2"/>
    <w:rsid w:val="002D4647"/>
    <w:rsid w:val="002D4FBF"/>
    <w:rsid w:val="002D57DA"/>
    <w:rsid w:val="002D6059"/>
    <w:rsid w:val="002D6318"/>
    <w:rsid w:val="002D67E4"/>
    <w:rsid w:val="002D6A75"/>
    <w:rsid w:val="002D6CF4"/>
    <w:rsid w:val="002D7C5C"/>
    <w:rsid w:val="002D7FB9"/>
    <w:rsid w:val="002E1221"/>
    <w:rsid w:val="002E1C0D"/>
    <w:rsid w:val="002E2E39"/>
    <w:rsid w:val="002E32E2"/>
    <w:rsid w:val="002E367E"/>
    <w:rsid w:val="002E36DA"/>
    <w:rsid w:val="002E379E"/>
    <w:rsid w:val="002E3E06"/>
    <w:rsid w:val="002E3EA8"/>
    <w:rsid w:val="002E44DF"/>
    <w:rsid w:val="002E47EA"/>
    <w:rsid w:val="002E4D2F"/>
    <w:rsid w:val="002E683F"/>
    <w:rsid w:val="002E70C4"/>
    <w:rsid w:val="002F0411"/>
    <w:rsid w:val="002F0A74"/>
    <w:rsid w:val="002F1A22"/>
    <w:rsid w:val="002F2726"/>
    <w:rsid w:val="002F2BEC"/>
    <w:rsid w:val="002F3BD9"/>
    <w:rsid w:val="002F43F8"/>
    <w:rsid w:val="002F5444"/>
    <w:rsid w:val="002F5CCB"/>
    <w:rsid w:val="002F7518"/>
    <w:rsid w:val="00300128"/>
    <w:rsid w:val="00300327"/>
    <w:rsid w:val="0030085C"/>
    <w:rsid w:val="00301927"/>
    <w:rsid w:val="0030192F"/>
    <w:rsid w:val="00301E58"/>
    <w:rsid w:val="00302178"/>
    <w:rsid w:val="003026DA"/>
    <w:rsid w:val="00302A1A"/>
    <w:rsid w:val="00303DA9"/>
    <w:rsid w:val="0030445F"/>
    <w:rsid w:val="00305DC8"/>
    <w:rsid w:val="00306D79"/>
    <w:rsid w:val="00307117"/>
    <w:rsid w:val="00307C14"/>
    <w:rsid w:val="003104D7"/>
    <w:rsid w:val="00311241"/>
    <w:rsid w:val="003115BB"/>
    <w:rsid w:val="00313126"/>
    <w:rsid w:val="00314959"/>
    <w:rsid w:val="003157A1"/>
    <w:rsid w:val="00315FEB"/>
    <w:rsid w:val="0031620D"/>
    <w:rsid w:val="00316CFC"/>
    <w:rsid w:val="00317FE7"/>
    <w:rsid w:val="00320FEC"/>
    <w:rsid w:val="0032210F"/>
    <w:rsid w:val="00322415"/>
    <w:rsid w:val="00322745"/>
    <w:rsid w:val="003236C5"/>
    <w:rsid w:val="00323A0C"/>
    <w:rsid w:val="00323C7B"/>
    <w:rsid w:val="003243D0"/>
    <w:rsid w:val="00325935"/>
    <w:rsid w:val="00326311"/>
    <w:rsid w:val="00326C86"/>
    <w:rsid w:val="00327CDB"/>
    <w:rsid w:val="00334036"/>
    <w:rsid w:val="00334067"/>
    <w:rsid w:val="003350F1"/>
    <w:rsid w:val="00335BF4"/>
    <w:rsid w:val="003360AC"/>
    <w:rsid w:val="00336853"/>
    <w:rsid w:val="00336F6D"/>
    <w:rsid w:val="00337619"/>
    <w:rsid w:val="0034250D"/>
    <w:rsid w:val="00343401"/>
    <w:rsid w:val="00344AE8"/>
    <w:rsid w:val="00345077"/>
    <w:rsid w:val="003452B6"/>
    <w:rsid w:val="00345962"/>
    <w:rsid w:val="00345BB8"/>
    <w:rsid w:val="00345E38"/>
    <w:rsid w:val="00346810"/>
    <w:rsid w:val="00346D07"/>
    <w:rsid w:val="003479A3"/>
    <w:rsid w:val="003500AD"/>
    <w:rsid w:val="003504DC"/>
    <w:rsid w:val="003507B9"/>
    <w:rsid w:val="003508BE"/>
    <w:rsid w:val="003534BB"/>
    <w:rsid w:val="00353924"/>
    <w:rsid w:val="00354D99"/>
    <w:rsid w:val="00354DEB"/>
    <w:rsid w:val="003555ED"/>
    <w:rsid w:val="00355C3E"/>
    <w:rsid w:val="003562AC"/>
    <w:rsid w:val="003573D2"/>
    <w:rsid w:val="00357A54"/>
    <w:rsid w:val="00357C02"/>
    <w:rsid w:val="00357D97"/>
    <w:rsid w:val="00364309"/>
    <w:rsid w:val="00364797"/>
    <w:rsid w:val="003659A8"/>
    <w:rsid w:val="00365B91"/>
    <w:rsid w:val="00366E44"/>
    <w:rsid w:val="00367086"/>
    <w:rsid w:val="00370ABB"/>
    <w:rsid w:val="003716E6"/>
    <w:rsid w:val="00372232"/>
    <w:rsid w:val="0037231A"/>
    <w:rsid w:val="00372C6C"/>
    <w:rsid w:val="003734F6"/>
    <w:rsid w:val="00375201"/>
    <w:rsid w:val="00375339"/>
    <w:rsid w:val="0037778A"/>
    <w:rsid w:val="003777C5"/>
    <w:rsid w:val="00377B67"/>
    <w:rsid w:val="00377C68"/>
    <w:rsid w:val="003827FB"/>
    <w:rsid w:val="00383B50"/>
    <w:rsid w:val="00384486"/>
    <w:rsid w:val="00384A53"/>
    <w:rsid w:val="00385770"/>
    <w:rsid w:val="00385918"/>
    <w:rsid w:val="00385984"/>
    <w:rsid w:val="00385C5B"/>
    <w:rsid w:val="0038685A"/>
    <w:rsid w:val="00386878"/>
    <w:rsid w:val="00387BDE"/>
    <w:rsid w:val="00387D19"/>
    <w:rsid w:val="00387FCB"/>
    <w:rsid w:val="00390436"/>
    <w:rsid w:val="00391A81"/>
    <w:rsid w:val="0039321B"/>
    <w:rsid w:val="00393E64"/>
    <w:rsid w:val="00394B35"/>
    <w:rsid w:val="00394EFA"/>
    <w:rsid w:val="00397606"/>
    <w:rsid w:val="00397DCD"/>
    <w:rsid w:val="003A02A1"/>
    <w:rsid w:val="003A0358"/>
    <w:rsid w:val="003A09BA"/>
    <w:rsid w:val="003A114E"/>
    <w:rsid w:val="003A1EF6"/>
    <w:rsid w:val="003A2072"/>
    <w:rsid w:val="003A25C2"/>
    <w:rsid w:val="003A2866"/>
    <w:rsid w:val="003A37CB"/>
    <w:rsid w:val="003A3D2A"/>
    <w:rsid w:val="003A4724"/>
    <w:rsid w:val="003A4E34"/>
    <w:rsid w:val="003A50EB"/>
    <w:rsid w:val="003A5CBD"/>
    <w:rsid w:val="003A5D16"/>
    <w:rsid w:val="003A732A"/>
    <w:rsid w:val="003A768D"/>
    <w:rsid w:val="003B00DD"/>
    <w:rsid w:val="003B1066"/>
    <w:rsid w:val="003B1089"/>
    <w:rsid w:val="003B1720"/>
    <w:rsid w:val="003B2A56"/>
    <w:rsid w:val="003B2CD3"/>
    <w:rsid w:val="003B2F66"/>
    <w:rsid w:val="003B311D"/>
    <w:rsid w:val="003B3945"/>
    <w:rsid w:val="003B4474"/>
    <w:rsid w:val="003B4D26"/>
    <w:rsid w:val="003B50EE"/>
    <w:rsid w:val="003B5DD0"/>
    <w:rsid w:val="003B6B0D"/>
    <w:rsid w:val="003B7998"/>
    <w:rsid w:val="003B7AA7"/>
    <w:rsid w:val="003B7B25"/>
    <w:rsid w:val="003C3093"/>
    <w:rsid w:val="003C3564"/>
    <w:rsid w:val="003C3CC3"/>
    <w:rsid w:val="003C4224"/>
    <w:rsid w:val="003C6F89"/>
    <w:rsid w:val="003C71E2"/>
    <w:rsid w:val="003C73AC"/>
    <w:rsid w:val="003D0317"/>
    <w:rsid w:val="003D05DF"/>
    <w:rsid w:val="003D07BB"/>
    <w:rsid w:val="003D0B1E"/>
    <w:rsid w:val="003D2509"/>
    <w:rsid w:val="003D2A25"/>
    <w:rsid w:val="003D2ACF"/>
    <w:rsid w:val="003D2DD2"/>
    <w:rsid w:val="003D34E3"/>
    <w:rsid w:val="003D398B"/>
    <w:rsid w:val="003D4406"/>
    <w:rsid w:val="003D46BD"/>
    <w:rsid w:val="003D5FE2"/>
    <w:rsid w:val="003D6145"/>
    <w:rsid w:val="003D715F"/>
    <w:rsid w:val="003D7251"/>
    <w:rsid w:val="003D72F8"/>
    <w:rsid w:val="003E322E"/>
    <w:rsid w:val="003E35C5"/>
    <w:rsid w:val="003E425D"/>
    <w:rsid w:val="003E4A9B"/>
    <w:rsid w:val="003E584C"/>
    <w:rsid w:val="003E5EDD"/>
    <w:rsid w:val="003E666C"/>
    <w:rsid w:val="003F021C"/>
    <w:rsid w:val="003F0A34"/>
    <w:rsid w:val="003F0F33"/>
    <w:rsid w:val="003F1977"/>
    <w:rsid w:val="003F5E3E"/>
    <w:rsid w:val="003F629F"/>
    <w:rsid w:val="003F64C5"/>
    <w:rsid w:val="003F69EB"/>
    <w:rsid w:val="003F6A7E"/>
    <w:rsid w:val="003F6ABB"/>
    <w:rsid w:val="003F6F10"/>
    <w:rsid w:val="004008AE"/>
    <w:rsid w:val="0040126D"/>
    <w:rsid w:val="004048D9"/>
    <w:rsid w:val="004059D3"/>
    <w:rsid w:val="00406045"/>
    <w:rsid w:val="0040768D"/>
    <w:rsid w:val="004105C7"/>
    <w:rsid w:val="00410D87"/>
    <w:rsid w:val="0041221E"/>
    <w:rsid w:val="004122C4"/>
    <w:rsid w:val="004127E0"/>
    <w:rsid w:val="00413923"/>
    <w:rsid w:val="00414BD1"/>
    <w:rsid w:val="0041526A"/>
    <w:rsid w:val="004152EA"/>
    <w:rsid w:val="004153FF"/>
    <w:rsid w:val="004200AF"/>
    <w:rsid w:val="00420446"/>
    <w:rsid w:val="00420D7D"/>
    <w:rsid w:val="00420E70"/>
    <w:rsid w:val="004227DB"/>
    <w:rsid w:val="00422E2C"/>
    <w:rsid w:val="00422E95"/>
    <w:rsid w:val="00422F25"/>
    <w:rsid w:val="00423E8B"/>
    <w:rsid w:val="00424A95"/>
    <w:rsid w:val="00424DF9"/>
    <w:rsid w:val="004271BB"/>
    <w:rsid w:val="00427847"/>
    <w:rsid w:val="00431067"/>
    <w:rsid w:val="0043149A"/>
    <w:rsid w:val="00431986"/>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92E"/>
    <w:rsid w:val="00453BF7"/>
    <w:rsid w:val="00455C79"/>
    <w:rsid w:val="00457EC0"/>
    <w:rsid w:val="0046139C"/>
    <w:rsid w:val="00461915"/>
    <w:rsid w:val="00462E63"/>
    <w:rsid w:val="00463C6E"/>
    <w:rsid w:val="00465422"/>
    <w:rsid w:val="004661AA"/>
    <w:rsid w:val="00466D14"/>
    <w:rsid w:val="00467151"/>
    <w:rsid w:val="004702DC"/>
    <w:rsid w:val="004711BD"/>
    <w:rsid w:val="00471602"/>
    <w:rsid w:val="00472323"/>
    <w:rsid w:val="004726FD"/>
    <w:rsid w:val="0047304A"/>
    <w:rsid w:val="00473606"/>
    <w:rsid w:val="00473C3D"/>
    <w:rsid w:val="004742AA"/>
    <w:rsid w:val="00476C62"/>
    <w:rsid w:val="0047738A"/>
    <w:rsid w:val="004777D9"/>
    <w:rsid w:val="00481916"/>
    <w:rsid w:val="00482820"/>
    <w:rsid w:val="00484530"/>
    <w:rsid w:val="00485295"/>
    <w:rsid w:val="004855B7"/>
    <w:rsid w:val="004858C6"/>
    <w:rsid w:val="00485A3E"/>
    <w:rsid w:val="00486563"/>
    <w:rsid w:val="00486887"/>
    <w:rsid w:val="00492474"/>
    <w:rsid w:val="0049258B"/>
    <w:rsid w:val="0049287A"/>
    <w:rsid w:val="0049528E"/>
    <w:rsid w:val="00496C08"/>
    <w:rsid w:val="00497A22"/>
    <w:rsid w:val="00497D5D"/>
    <w:rsid w:val="004A0A1F"/>
    <w:rsid w:val="004A142A"/>
    <w:rsid w:val="004A2738"/>
    <w:rsid w:val="004A3125"/>
    <w:rsid w:val="004A3321"/>
    <w:rsid w:val="004A42F3"/>
    <w:rsid w:val="004A4BD6"/>
    <w:rsid w:val="004A4CE6"/>
    <w:rsid w:val="004A73EE"/>
    <w:rsid w:val="004B1484"/>
    <w:rsid w:val="004B1AC8"/>
    <w:rsid w:val="004B281D"/>
    <w:rsid w:val="004B29E3"/>
    <w:rsid w:val="004B2A71"/>
    <w:rsid w:val="004B395D"/>
    <w:rsid w:val="004B3BED"/>
    <w:rsid w:val="004B4D60"/>
    <w:rsid w:val="004B5AB8"/>
    <w:rsid w:val="004B6A0D"/>
    <w:rsid w:val="004B6AB2"/>
    <w:rsid w:val="004B6AED"/>
    <w:rsid w:val="004B6EDC"/>
    <w:rsid w:val="004B728D"/>
    <w:rsid w:val="004C083A"/>
    <w:rsid w:val="004C0A07"/>
    <w:rsid w:val="004C0B51"/>
    <w:rsid w:val="004C0CB1"/>
    <w:rsid w:val="004C19F8"/>
    <w:rsid w:val="004C1A12"/>
    <w:rsid w:val="004C2CBF"/>
    <w:rsid w:val="004C3311"/>
    <w:rsid w:val="004C37FE"/>
    <w:rsid w:val="004C4352"/>
    <w:rsid w:val="004C4F68"/>
    <w:rsid w:val="004C4F8F"/>
    <w:rsid w:val="004C62B4"/>
    <w:rsid w:val="004C667B"/>
    <w:rsid w:val="004C7079"/>
    <w:rsid w:val="004C7EB5"/>
    <w:rsid w:val="004D0282"/>
    <w:rsid w:val="004D02DE"/>
    <w:rsid w:val="004D147B"/>
    <w:rsid w:val="004D201C"/>
    <w:rsid w:val="004D3C1D"/>
    <w:rsid w:val="004D50A3"/>
    <w:rsid w:val="004D5F9C"/>
    <w:rsid w:val="004D6110"/>
    <w:rsid w:val="004E16F6"/>
    <w:rsid w:val="004E1739"/>
    <w:rsid w:val="004E1A70"/>
    <w:rsid w:val="004E3E5B"/>
    <w:rsid w:val="004E470F"/>
    <w:rsid w:val="004E4D6B"/>
    <w:rsid w:val="004E5205"/>
    <w:rsid w:val="004E5936"/>
    <w:rsid w:val="004E62F5"/>
    <w:rsid w:val="004E634C"/>
    <w:rsid w:val="004E6E3E"/>
    <w:rsid w:val="004E7120"/>
    <w:rsid w:val="004F14A2"/>
    <w:rsid w:val="004F1D7E"/>
    <w:rsid w:val="004F22B0"/>
    <w:rsid w:val="004F328B"/>
    <w:rsid w:val="004F3738"/>
    <w:rsid w:val="004F46CB"/>
    <w:rsid w:val="004F5193"/>
    <w:rsid w:val="004F5256"/>
    <w:rsid w:val="004F69EB"/>
    <w:rsid w:val="004F7674"/>
    <w:rsid w:val="005001B5"/>
    <w:rsid w:val="0050110C"/>
    <w:rsid w:val="00501EEA"/>
    <w:rsid w:val="005022CE"/>
    <w:rsid w:val="005034F7"/>
    <w:rsid w:val="0050375C"/>
    <w:rsid w:val="005041A7"/>
    <w:rsid w:val="00504A64"/>
    <w:rsid w:val="00504C5B"/>
    <w:rsid w:val="00505367"/>
    <w:rsid w:val="0050692D"/>
    <w:rsid w:val="005078E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D3C"/>
    <w:rsid w:val="00525727"/>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396"/>
    <w:rsid w:val="00543FA6"/>
    <w:rsid w:val="005441F1"/>
    <w:rsid w:val="00545014"/>
    <w:rsid w:val="00545DBC"/>
    <w:rsid w:val="00545F75"/>
    <w:rsid w:val="00546625"/>
    <w:rsid w:val="0054692A"/>
    <w:rsid w:val="00550945"/>
    <w:rsid w:val="00551E5B"/>
    <w:rsid w:val="00552385"/>
    <w:rsid w:val="005528D7"/>
    <w:rsid w:val="00552FA1"/>
    <w:rsid w:val="0055346C"/>
    <w:rsid w:val="00555199"/>
    <w:rsid w:val="005569D7"/>
    <w:rsid w:val="00556E53"/>
    <w:rsid w:val="00557392"/>
    <w:rsid w:val="00557730"/>
    <w:rsid w:val="00557C61"/>
    <w:rsid w:val="0056011C"/>
    <w:rsid w:val="00560D43"/>
    <w:rsid w:val="005628E9"/>
    <w:rsid w:val="005635C2"/>
    <w:rsid w:val="00563FFF"/>
    <w:rsid w:val="00564019"/>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1879"/>
    <w:rsid w:val="005827D2"/>
    <w:rsid w:val="00582C80"/>
    <w:rsid w:val="00582FFE"/>
    <w:rsid w:val="00583423"/>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214"/>
    <w:rsid w:val="0059395D"/>
    <w:rsid w:val="00593C65"/>
    <w:rsid w:val="005946BF"/>
    <w:rsid w:val="00595534"/>
    <w:rsid w:val="00595C4A"/>
    <w:rsid w:val="005967CE"/>
    <w:rsid w:val="005A06B9"/>
    <w:rsid w:val="005A099E"/>
    <w:rsid w:val="005A0A69"/>
    <w:rsid w:val="005A1169"/>
    <w:rsid w:val="005A1752"/>
    <w:rsid w:val="005A17EE"/>
    <w:rsid w:val="005A1E80"/>
    <w:rsid w:val="005A2703"/>
    <w:rsid w:val="005A2F33"/>
    <w:rsid w:val="005A30B4"/>
    <w:rsid w:val="005A39B6"/>
    <w:rsid w:val="005A40E6"/>
    <w:rsid w:val="005A422D"/>
    <w:rsid w:val="005A689C"/>
    <w:rsid w:val="005A6E89"/>
    <w:rsid w:val="005A75E2"/>
    <w:rsid w:val="005A7DF1"/>
    <w:rsid w:val="005B0544"/>
    <w:rsid w:val="005B203C"/>
    <w:rsid w:val="005B2C31"/>
    <w:rsid w:val="005B2EAC"/>
    <w:rsid w:val="005B3271"/>
    <w:rsid w:val="005B6A1E"/>
    <w:rsid w:val="005B6E92"/>
    <w:rsid w:val="005C0024"/>
    <w:rsid w:val="005C0726"/>
    <w:rsid w:val="005C07EF"/>
    <w:rsid w:val="005C195D"/>
    <w:rsid w:val="005C1C8C"/>
    <w:rsid w:val="005C2199"/>
    <w:rsid w:val="005C2718"/>
    <w:rsid w:val="005C45A8"/>
    <w:rsid w:val="005C4968"/>
    <w:rsid w:val="005C4D6E"/>
    <w:rsid w:val="005C5B23"/>
    <w:rsid w:val="005C7541"/>
    <w:rsid w:val="005D096E"/>
    <w:rsid w:val="005D1DD7"/>
    <w:rsid w:val="005D2AA5"/>
    <w:rsid w:val="005D475F"/>
    <w:rsid w:val="005D5F82"/>
    <w:rsid w:val="005D62E1"/>
    <w:rsid w:val="005D66C0"/>
    <w:rsid w:val="005D6E22"/>
    <w:rsid w:val="005D7649"/>
    <w:rsid w:val="005D7CC7"/>
    <w:rsid w:val="005E06B9"/>
    <w:rsid w:val="005E1BAA"/>
    <w:rsid w:val="005E366C"/>
    <w:rsid w:val="005E3949"/>
    <w:rsid w:val="005E3A83"/>
    <w:rsid w:val="005E52B3"/>
    <w:rsid w:val="005E5A87"/>
    <w:rsid w:val="005E783B"/>
    <w:rsid w:val="005F0978"/>
    <w:rsid w:val="005F1E01"/>
    <w:rsid w:val="005F2DEA"/>
    <w:rsid w:val="005F4001"/>
    <w:rsid w:val="005F5EFE"/>
    <w:rsid w:val="005F61CF"/>
    <w:rsid w:val="005F7DB2"/>
    <w:rsid w:val="00600030"/>
    <w:rsid w:val="00601E64"/>
    <w:rsid w:val="006020C5"/>
    <w:rsid w:val="00602B9B"/>
    <w:rsid w:val="00602EA1"/>
    <w:rsid w:val="0060370B"/>
    <w:rsid w:val="00604774"/>
    <w:rsid w:val="0060510B"/>
    <w:rsid w:val="00605B28"/>
    <w:rsid w:val="00605E88"/>
    <w:rsid w:val="00606FE7"/>
    <w:rsid w:val="0060765F"/>
    <w:rsid w:val="0061078A"/>
    <w:rsid w:val="00612D56"/>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3314"/>
    <w:rsid w:val="00623803"/>
    <w:rsid w:val="00624156"/>
    <w:rsid w:val="006247BB"/>
    <w:rsid w:val="00624B4A"/>
    <w:rsid w:val="00624F8A"/>
    <w:rsid w:val="0062533B"/>
    <w:rsid w:val="00625351"/>
    <w:rsid w:val="006259A3"/>
    <w:rsid w:val="0062662C"/>
    <w:rsid w:val="00632134"/>
    <w:rsid w:val="006333C1"/>
    <w:rsid w:val="00633D5D"/>
    <w:rsid w:val="00635056"/>
    <w:rsid w:val="00635163"/>
    <w:rsid w:val="00636841"/>
    <w:rsid w:val="00636DDB"/>
    <w:rsid w:val="00637C61"/>
    <w:rsid w:val="006403C2"/>
    <w:rsid w:val="0064082B"/>
    <w:rsid w:val="006414CE"/>
    <w:rsid w:val="0064166F"/>
    <w:rsid w:val="00641BA8"/>
    <w:rsid w:val="00644B31"/>
    <w:rsid w:val="00645728"/>
    <w:rsid w:val="00647C8B"/>
    <w:rsid w:val="00650413"/>
    <w:rsid w:val="00650851"/>
    <w:rsid w:val="00651657"/>
    <w:rsid w:val="00652591"/>
    <w:rsid w:val="0065338E"/>
    <w:rsid w:val="00655330"/>
    <w:rsid w:val="00657670"/>
    <w:rsid w:val="00657B47"/>
    <w:rsid w:val="0066007F"/>
    <w:rsid w:val="00661FF7"/>
    <w:rsid w:val="00662112"/>
    <w:rsid w:val="006626E4"/>
    <w:rsid w:val="00662C89"/>
    <w:rsid w:val="00663756"/>
    <w:rsid w:val="00664258"/>
    <w:rsid w:val="00664474"/>
    <w:rsid w:val="00664593"/>
    <w:rsid w:val="00664742"/>
    <w:rsid w:val="006655A6"/>
    <w:rsid w:val="006659D2"/>
    <w:rsid w:val="00666399"/>
    <w:rsid w:val="006666C6"/>
    <w:rsid w:val="006667F6"/>
    <w:rsid w:val="00667CAE"/>
    <w:rsid w:val="00670210"/>
    <w:rsid w:val="00670347"/>
    <w:rsid w:val="0067098A"/>
    <w:rsid w:val="00670A64"/>
    <w:rsid w:val="00670FE3"/>
    <w:rsid w:val="00671257"/>
    <w:rsid w:val="00671367"/>
    <w:rsid w:val="0067146D"/>
    <w:rsid w:val="00671D95"/>
    <w:rsid w:val="006735AB"/>
    <w:rsid w:val="006736EA"/>
    <w:rsid w:val="006751DD"/>
    <w:rsid w:val="006759BD"/>
    <w:rsid w:val="00676C8E"/>
    <w:rsid w:val="00676D2A"/>
    <w:rsid w:val="00677664"/>
    <w:rsid w:val="00680DD0"/>
    <w:rsid w:val="00680E22"/>
    <w:rsid w:val="00681123"/>
    <w:rsid w:val="00681250"/>
    <w:rsid w:val="006813CC"/>
    <w:rsid w:val="006819AF"/>
    <w:rsid w:val="0068213D"/>
    <w:rsid w:val="006823A7"/>
    <w:rsid w:val="006823AB"/>
    <w:rsid w:val="00682AFB"/>
    <w:rsid w:val="0068399B"/>
    <w:rsid w:val="00684413"/>
    <w:rsid w:val="00684CD0"/>
    <w:rsid w:val="00684CEB"/>
    <w:rsid w:val="0068577E"/>
    <w:rsid w:val="00685E65"/>
    <w:rsid w:val="00686B3E"/>
    <w:rsid w:val="00687A8C"/>
    <w:rsid w:val="00690D54"/>
    <w:rsid w:val="00691301"/>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516"/>
    <w:rsid w:val="006B783F"/>
    <w:rsid w:val="006B78A8"/>
    <w:rsid w:val="006B7DA8"/>
    <w:rsid w:val="006C03AA"/>
    <w:rsid w:val="006C17E3"/>
    <w:rsid w:val="006C1F1D"/>
    <w:rsid w:val="006C2AE9"/>
    <w:rsid w:val="006C30BF"/>
    <w:rsid w:val="006C48BA"/>
    <w:rsid w:val="006C54FD"/>
    <w:rsid w:val="006C57CC"/>
    <w:rsid w:val="006C58E8"/>
    <w:rsid w:val="006C5AFE"/>
    <w:rsid w:val="006C5F7B"/>
    <w:rsid w:val="006C6908"/>
    <w:rsid w:val="006C6F7D"/>
    <w:rsid w:val="006D0364"/>
    <w:rsid w:val="006D0591"/>
    <w:rsid w:val="006D1C17"/>
    <w:rsid w:val="006D1CE2"/>
    <w:rsid w:val="006D2082"/>
    <w:rsid w:val="006D3D2B"/>
    <w:rsid w:val="006D5372"/>
    <w:rsid w:val="006D57AD"/>
    <w:rsid w:val="006D580F"/>
    <w:rsid w:val="006D5CF8"/>
    <w:rsid w:val="006D5D77"/>
    <w:rsid w:val="006D6C05"/>
    <w:rsid w:val="006D73F4"/>
    <w:rsid w:val="006D7EF4"/>
    <w:rsid w:val="006E0843"/>
    <w:rsid w:val="006E0F98"/>
    <w:rsid w:val="006E125A"/>
    <w:rsid w:val="006E1538"/>
    <w:rsid w:val="006E1A88"/>
    <w:rsid w:val="006E1EBF"/>
    <w:rsid w:val="006E2771"/>
    <w:rsid w:val="006E366E"/>
    <w:rsid w:val="006E3F03"/>
    <w:rsid w:val="006E4282"/>
    <w:rsid w:val="006E42AA"/>
    <w:rsid w:val="006E5C0B"/>
    <w:rsid w:val="006E68D3"/>
    <w:rsid w:val="006E6F38"/>
    <w:rsid w:val="006E7A40"/>
    <w:rsid w:val="006F0190"/>
    <w:rsid w:val="006F12D6"/>
    <w:rsid w:val="006F210D"/>
    <w:rsid w:val="006F2133"/>
    <w:rsid w:val="006F21A6"/>
    <w:rsid w:val="006F25D6"/>
    <w:rsid w:val="006F25D7"/>
    <w:rsid w:val="006F26E7"/>
    <w:rsid w:val="006F3284"/>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5297"/>
    <w:rsid w:val="0070607B"/>
    <w:rsid w:val="0070763D"/>
    <w:rsid w:val="00707A96"/>
    <w:rsid w:val="007111C6"/>
    <w:rsid w:val="00711A1E"/>
    <w:rsid w:val="00711C5B"/>
    <w:rsid w:val="00712C4E"/>
    <w:rsid w:val="00712E07"/>
    <w:rsid w:val="007135CC"/>
    <w:rsid w:val="0071412F"/>
    <w:rsid w:val="007146BF"/>
    <w:rsid w:val="00714A19"/>
    <w:rsid w:val="0071501B"/>
    <w:rsid w:val="00715A32"/>
    <w:rsid w:val="00715C2B"/>
    <w:rsid w:val="00716F20"/>
    <w:rsid w:val="0071725B"/>
    <w:rsid w:val="007176DF"/>
    <w:rsid w:val="0072136E"/>
    <w:rsid w:val="00721705"/>
    <w:rsid w:val="00722AAE"/>
    <w:rsid w:val="007232D7"/>
    <w:rsid w:val="007236B8"/>
    <w:rsid w:val="00723A18"/>
    <w:rsid w:val="00725178"/>
    <w:rsid w:val="00725CD7"/>
    <w:rsid w:val="00725EFD"/>
    <w:rsid w:val="0072670E"/>
    <w:rsid w:val="00730421"/>
    <w:rsid w:val="0073062D"/>
    <w:rsid w:val="0073070D"/>
    <w:rsid w:val="007309C1"/>
    <w:rsid w:val="00730A0A"/>
    <w:rsid w:val="00731064"/>
    <w:rsid w:val="0073128A"/>
    <w:rsid w:val="00732765"/>
    <w:rsid w:val="00732CFF"/>
    <w:rsid w:val="0073359A"/>
    <w:rsid w:val="0073369E"/>
    <w:rsid w:val="007337A4"/>
    <w:rsid w:val="00733C3F"/>
    <w:rsid w:val="00733EED"/>
    <w:rsid w:val="007340FA"/>
    <w:rsid w:val="0073422E"/>
    <w:rsid w:val="00734FEC"/>
    <w:rsid w:val="007362B3"/>
    <w:rsid w:val="007366CD"/>
    <w:rsid w:val="00737372"/>
    <w:rsid w:val="00737A9A"/>
    <w:rsid w:val="00737C72"/>
    <w:rsid w:val="00740145"/>
    <w:rsid w:val="0074023C"/>
    <w:rsid w:val="00740BB7"/>
    <w:rsid w:val="00740E0D"/>
    <w:rsid w:val="007414B8"/>
    <w:rsid w:val="00741C3F"/>
    <w:rsid w:val="007422D4"/>
    <w:rsid w:val="00744327"/>
    <w:rsid w:val="0074512D"/>
    <w:rsid w:val="0074576E"/>
    <w:rsid w:val="00745A61"/>
    <w:rsid w:val="00745CA5"/>
    <w:rsid w:val="0074626A"/>
    <w:rsid w:val="007463D3"/>
    <w:rsid w:val="00746440"/>
    <w:rsid w:val="0074691D"/>
    <w:rsid w:val="0074781C"/>
    <w:rsid w:val="00747D1F"/>
    <w:rsid w:val="00750226"/>
    <w:rsid w:val="007505EC"/>
    <w:rsid w:val="007517CA"/>
    <w:rsid w:val="00754002"/>
    <w:rsid w:val="0075505F"/>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AA2"/>
    <w:rsid w:val="00767591"/>
    <w:rsid w:val="00772961"/>
    <w:rsid w:val="007734EC"/>
    <w:rsid w:val="00773BBD"/>
    <w:rsid w:val="00774FCD"/>
    <w:rsid w:val="007756FB"/>
    <w:rsid w:val="00775E1E"/>
    <w:rsid w:val="007760A9"/>
    <w:rsid w:val="00776984"/>
    <w:rsid w:val="00776A1A"/>
    <w:rsid w:val="00777BF3"/>
    <w:rsid w:val="00777CAE"/>
    <w:rsid w:val="00777FA4"/>
    <w:rsid w:val="00781351"/>
    <w:rsid w:val="007829CB"/>
    <w:rsid w:val="00782F24"/>
    <w:rsid w:val="00784788"/>
    <w:rsid w:val="00784AFA"/>
    <w:rsid w:val="00787385"/>
    <w:rsid w:val="0078778F"/>
    <w:rsid w:val="00791DF6"/>
    <w:rsid w:val="007925B1"/>
    <w:rsid w:val="00793626"/>
    <w:rsid w:val="00793F7E"/>
    <w:rsid w:val="00794273"/>
    <w:rsid w:val="00794F85"/>
    <w:rsid w:val="00795E89"/>
    <w:rsid w:val="0079674F"/>
    <w:rsid w:val="007A131E"/>
    <w:rsid w:val="007A1471"/>
    <w:rsid w:val="007A1DDA"/>
    <w:rsid w:val="007A1E1F"/>
    <w:rsid w:val="007A382E"/>
    <w:rsid w:val="007A3ED8"/>
    <w:rsid w:val="007B1784"/>
    <w:rsid w:val="007B2898"/>
    <w:rsid w:val="007B2B40"/>
    <w:rsid w:val="007B2C4E"/>
    <w:rsid w:val="007B56E0"/>
    <w:rsid w:val="007B6AF8"/>
    <w:rsid w:val="007C1037"/>
    <w:rsid w:val="007C1B9C"/>
    <w:rsid w:val="007C1CB3"/>
    <w:rsid w:val="007C1D29"/>
    <w:rsid w:val="007C20F6"/>
    <w:rsid w:val="007C57C5"/>
    <w:rsid w:val="007C5F08"/>
    <w:rsid w:val="007C63B0"/>
    <w:rsid w:val="007C7AB6"/>
    <w:rsid w:val="007C7C37"/>
    <w:rsid w:val="007D02A7"/>
    <w:rsid w:val="007D1326"/>
    <w:rsid w:val="007D193A"/>
    <w:rsid w:val="007D348B"/>
    <w:rsid w:val="007D35CF"/>
    <w:rsid w:val="007D3862"/>
    <w:rsid w:val="007D3B33"/>
    <w:rsid w:val="007D3CC8"/>
    <w:rsid w:val="007D5725"/>
    <w:rsid w:val="007D6354"/>
    <w:rsid w:val="007D6C4F"/>
    <w:rsid w:val="007D6F9D"/>
    <w:rsid w:val="007D7849"/>
    <w:rsid w:val="007D78C0"/>
    <w:rsid w:val="007D7E67"/>
    <w:rsid w:val="007E0615"/>
    <w:rsid w:val="007E1124"/>
    <w:rsid w:val="007E261B"/>
    <w:rsid w:val="007E284F"/>
    <w:rsid w:val="007E3DE7"/>
    <w:rsid w:val="007E4353"/>
    <w:rsid w:val="007E4D98"/>
    <w:rsid w:val="007E757E"/>
    <w:rsid w:val="007E76E8"/>
    <w:rsid w:val="007E787B"/>
    <w:rsid w:val="007E7ECF"/>
    <w:rsid w:val="007E7F64"/>
    <w:rsid w:val="007F1AF2"/>
    <w:rsid w:val="007F23B1"/>
    <w:rsid w:val="007F33E3"/>
    <w:rsid w:val="007F37D3"/>
    <w:rsid w:val="007F3C7A"/>
    <w:rsid w:val="007F4791"/>
    <w:rsid w:val="007F5140"/>
    <w:rsid w:val="007F59E0"/>
    <w:rsid w:val="007F6168"/>
    <w:rsid w:val="008001E9"/>
    <w:rsid w:val="00800BAC"/>
    <w:rsid w:val="0080162E"/>
    <w:rsid w:val="00802F7E"/>
    <w:rsid w:val="00805098"/>
    <w:rsid w:val="008059C9"/>
    <w:rsid w:val="00805D65"/>
    <w:rsid w:val="008075FB"/>
    <w:rsid w:val="008078D4"/>
    <w:rsid w:val="00807FFE"/>
    <w:rsid w:val="0081114C"/>
    <w:rsid w:val="0081174E"/>
    <w:rsid w:val="00812812"/>
    <w:rsid w:val="00813529"/>
    <w:rsid w:val="00813B21"/>
    <w:rsid w:val="0081508E"/>
    <w:rsid w:val="008164A4"/>
    <w:rsid w:val="00817BB4"/>
    <w:rsid w:val="00820209"/>
    <w:rsid w:val="00820577"/>
    <w:rsid w:val="00820FA7"/>
    <w:rsid w:val="00822862"/>
    <w:rsid w:val="008239AA"/>
    <w:rsid w:val="00823A56"/>
    <w:rsid w:val="00823ABC"/>
    <w:rsid w:val="0082449C"/>
    <w:rsid w:val="0082540F"/>
    <w:rsid w:val="00825FE0"/>
    <w:rsid w:val="00826E04"/>
    <w:rsid w:val="00830DA4"/>
    <w:rsid w:val="0083144C"/>
    <w:rsid w:val="0083149C"/>
    <w:rsid w:val="00831B6C"/>
    <w:rsid w:val="00832236"/>
    <w:rsid w:val="0083249B"/>
    <w:rsid w:val="00832E86"/>
    <w:rsid w:val="00833617"/>
    <w:rsid w:val="00833E41"/>
    <w:rsid w:val="008346F0"/>
    <w:rsid w:val="0083482C"/>
    <w:rsid w:val="00834A60"/>
    <w:rsid w:val="00834BA1"/>
    <w:rsid w:val="008351FC"/>
    <w:rsid w:val="008358D1"/>
    <w:rsid w:val="00837F1C"/>
    <w:rsid w:val="008405F4"/>
    <w:rsid w:val="00841446"/>
    <w:rsid w:val="008418C3"/>
    <w:rsid w:val="00843EDD"/>
    <w:rsid w:val="0084677B"/>
    <w:rsid w:val="008468BA"/>
    <w:rsid w:val="00847245"/>
    <w:rsid w:val="00850338"/>
    <w:rsid w:val="00852682"/>
    <w:rsid w:val="00854E07"/>
    <w:rsid w:val="008560EC"/>
    <w:rsid w:val="00856DA6"/>
    <w:rsid w:val="00857800"/>
    <w:rsid w:val="00857A0B"/>
    <w:rsid w:val="00857B18"/>
    <w:rsid w:val="0086093E"/>
    <w:rsid w:val="008612E9"/>
    <w:rsid w:val="0086176C"/>
    <w:rsid w:val="00861CD6"/>
    <w:rsid w:val="00862120"/>
    <w:rsid w:val="00862944"/>
    <w:rsid w:val="00863585"/>
    <w:rsid w:val="008638BA"/>
    <w:rsid w:val="0086424D"/>
    <w:rsid w:val="00864AA9"/>
    <w:rsid w:val="008655DD"/>
    <w:rsid w:val="00866034"/>
    <w:rsid w:val="00866618"/>
    <w:rsid w:val="00870A73"/>
    <w:rsid w:val="0087223B"/>
    <w:rsid w:val="0087252F"/>
    <w:rsid w:val="0087310B"/>
    <w:rsid w:val="00873E48"/>
    <w:rsid w:val="00875029"/>
    <w:rsid w:val="00875A27"/>
    <w:rsid w:val="00875CF9"/>
    <w:rsid w:val="00876589"/>
    <w:rsid w:val="00876AAC"/>
    <w:rsid w:val="008777B5"/>
    <w:rsid w:val="00881188"/>
    <w:rsid w:val="008818DA"/>
    <w:rsid w:val="00881A1A"/>
    <w:rsid w:val="00881E86"/>
    <w:rsid w:val="0088240B"/>
    <w:rsid w:val="00884CD8"/>
    <w:rsid w:val="00884D34"/>
    <w:rsid w:val="00886137"/>
    <w:rsid w:val="008862D1"/>
    <w:rsid w:val="008867B4"/>
    <w:rsid w:val="00886EEF"/>
    <w:rsid w:val="00887060"/>
    <w:rsid w:val="00887384"/>
    <w:rsid w:val="00887635"/>
    <w:rsid w:val="00887B2D"/>
    <w:rsid w:val="00887C7D"/>
    <w:rsid w:val="00890BB8"/>
    <w:rsid w:val="00890CB5"/>
    <w:rsid w:val="00893707"/>
    <w:rsid w:val="00893835"/>
    <w:rsid w:val="00893AFB"/>
    <w:rsid w:val="00893BE6"/>
    <w:rsid w:val="00893DCC"/>
    <w:rsid w:val="00894051"/>
    <w:rsid w:val="00894E57"/>
    <w:rsid w:val="0089535D"/>
    <w:rsid w:val="008961BC"/>
    <w:rsid w:val="0089635F"/>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5"/>
    <w:rsid w:val="008A6596"/>
    <w:rsid w:val="008A6EB3"/>
    <w:rsid w:val="008A726A"/>
    <w:rsid w:val="008A7551"/>
    <w:rsid w:val="008A7E5E"/>
    <w:rsid w:val="008B0AD6"/>
    <w:rsid w:val="008B0B24"/>
    <w:rsid w:val="008B12E6"/>
    <w:rsid w:val="008B16B6"/>
    <w:rsid w:val="008B25C7"/>
    <w:rsid w:val="008B34AC"/>
    <w:rsid w:val="008B58F1"/>
    <w:rsid w:val="008B5A62"/>
    <w:rsid w:val="008B5E16"/>
    <w:rsid w:val="008B6808"/>
    <w:rsid w:val="008B6A04"/>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E06"/>
    <w:rsid w:val="008C6F38"/>
    <w:rsid w:val="008C74E9"/>
    <w:rsid w:val="008D1F86"/>
    <w:rsid w:val="008D2B4E"/>
    <w:rsid w:val="008D2ECF"/>
    <w:rsid w:val="008D30CC"/>
    <w:rsid w:val="008D34C9"/>
    <w:rsid w:val="008D41FE"/>
    <w:rsid w:val="008D4448"/>
    <w:rsid w:val="008D4C3A"/>
    <w:rsid w:val="008E05A3"/>
    <w:rsid w:val="008E154D"/>
    <w:rsid w:val="008E1683"/>
    <w:rsid w:val="008E2083"/>
    <w:rsid w:val="008E2893"/>
    <w:rsid w:val="008E2C67"/>
    <w:rsid w:val="008E3761"/>
    <w:rsid w:val="008E390B"/>
    <w:rsid w:val="008E40F3"/>
    <w:rsid w:val="008E4234"/>
    <w:rsid w:val="008E50FD"/>
    <w:rsid w:val="008E580F"/>
    <w:rsid w:val="008E5CDB"/>
    <w:rsid w:val="008E5E74"/>
    <w:rsid w:val="008E63F8"/>
    <w:rsid w:val="008E6CE4"/>
    <w:rsid w:val="008E7D12"/>
    <w:rsid w:val="008F3546"/>
    <w:rsid w:val="008F434C"/>
    <w:rsid w:val="008F43CE"/>
    <w:rsid w:val="008F5DC2"/>
    <w:rsid w:val="008F6DCD"/>
    <w:rsid w:val="008F73EC"/>
    <w:rsid w:val="00902644"/>
    <w:rsid w:val="00903508"/>
    <w:rsid w:val="0090350F"/>
    <w:rsid w:val="00904227"/>
    <w:rsid w:val="00906330"/>
    <w:rsid w:val="00906ACD"/>
    <w:rsid w:val="00906FC9"/>
    <w:rsid w:val="0090765D"/>
    <w:rsid w:val="00907781"/>
    <w:rsid w:val="0091017A"/>
    <w:rsid w:val="009113C2"/>
    <w:rsid w:val="00911CFA"/>
    <w:rsid w:val="00911FC4"/>
    <w:rsid w:val="00912E1A"/>
    <w:rsid w:val="0091602C"/>
    <w:rsid w:val="009165B2"/>
    <w:rsid w:val="009207E9"/>
    <w:rsid w:val="00921008"/>
    <w:rsid w:val="009217FD"/>
    <w:rsid w:val="0092198C"/>
    <w:rsid w:val="00922730"/>
    <w:rsid w:val="00922DC9"/>
    <w:rsid w:val="00923B9B"/>
    <w:rsid w:val="00923DAE"/>
    <w:rsid w:val="009240E9"/>
    <w:rsid w:val="00924BAC"/>
    <w:rsid w:val="009258DE"/>
    <w:rsid w:val="009279AF"/>
    <w:rsid w:val="009307F8"/>
    <w:rsid w:val="00930E7F"/>
    <w:rsid w:val="00931C7F"/>
    <w:rsid w:val="009334DE"/>
    <w:rsid w:val="00933F7A"/>
    <w:rsid w:val="00934CA0"/>
    <w:rsid w:val="00936BFD"/>
    <w:rsid w:val="0093714B"/>
    <w:rsid w:val="009378ED"/>
    <w:rsid w:val="00937FC4"/>
    <w:rsid w:val="009405F4"/>
    <w:rsid w:val="00940F2A"/>
    <w:rsid w:val="009410F7"/>
    <w:rsid w:val="00941274"/>
    <w:rsid w:val="0094279E"/>
    <w:rsid w:val="00942C69"/>
    <w:rsid w:val="009434C9"/>
    <w:rsid w:val="00943DEE"/>
    <w:rsid w:val="00943FE4"/>
    <w:rsid w:val="00944274"/>
    <w:rsid w:val="00944C43"/>
    <w:rsid w:val="00945724"/>
    <w:rsid w:val="0094574D"/>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324A"/>
    <w:rsid w:val="0096646C"/>
    <w:rsid w:val="0096714E"/>
    <w:rsid w:val="00967635"/>
    <w:rsid w:val="00967641"/>
    <w:rsid w:val="009676CA"/>
    <w:rsid w:val="009676FA"/>
    <w:rsid w:val="00967C51"/>
    <w:rsid w:val="00970020"/>
    <w:rsid w:val="0097195B"/>
    <w:rsid w:val="00972B5E"/>
    <w:rsid w:val="009731AE"/>
    <w:rsid w:val="00973DAC"/>
    <w:rsid w:val="00973F9C"/>
    <w:rsid w:val="00974008"/>
    <w:rsid w:val="0097443F"/>
    <w:rsid w:val="00977F32"/>
    <w:rsid w:val="00980804"/>
    <w:rsid w:val="0098093D"/>
    <w:rsid w:val="00980B67"/>
    <w:rsid w:val="0098136F"/>
    <w:rsid w:val="009814B8"/>
    <w:rsid w:val="00982C84"/>
    <w:rsid w:val="009840AB"/>
    <w:rsid w:val="009843B1"/>
    <w:rsid w:val="009846A8"/>
    <w:rsid w:val="00984965"/>
    <w:rsid w:val="009852A0"/>
    <w:rsid w:val="009853DE"/>
    <w:rsid w:val="00985647"/>
    <w:rsid w:val="00985DF5"/>
    <w:rsid w:val="00986AC4"/>
    <w:rsid w:val="00986F28"/>
    <w:rsid w:val="009878FF"/>
    <w:rsid w:val="00990A33"/>
    <w:rsid w:val="00990FD5"/>
    <w:rsid w:val="0099242D"/>
    <w:rsid w:val="0099260C"/>
    <w:rsid w:val="009937E7"/>
    <w:rsid w:val="00993CCB"/>
    <w:rsid w:val="00994810"/>
    <w:rsid w:val="00994FEA"/>
    <w:rsid w:val="00995868"/>
    <w:rsid w:val="009970CD"/>
    <w:rsid w:val="00997EBA"/>
    <w:rsid w:val="009A28BC"/>
    <w:rsid w:val="009A3D38"/>
    <w:rsid w:val="009A491D"/>
    <w:rsid w:val="009A5704"/>
    <w:rsid w:val="009A5855"/>
    <w:rsid w:val="009A5902"/>
    <w:rsid w:val="009A5AF6"/>
    <w:rsid w:val="009A60C1"/>
    <w:rsid w:val="009A6240"/>
    <w:rsid w:val="009A6C23"/>
    <w:rsid w:val="009A7406"/>
    <w:rsid w:val="009A79C8"/>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D145B"/>
    <w:rsid w:val="009D14AC"/>
    <w:rsid w:val="009D16AD"/>
    <w:rsid w:val="009D197D"/>
    <w:rsid w:val="009D1A08"/>
    <w:rsid w:val="009D221D"/>
    <w:rsid w:val="009D2B6F"/>
    <w:rsid w:val="009D33F3"/>
    <w:rsid w:val="009D38B6"/>
    <w:rsid w:val="009D3D4A"/>
    <w:rsid w:val="009D4974"/>
    <w:rsid w:val="009D4D06"/>
    <w:rsid w:val="009D5850"/>
    <w:rsid w:val="009D6232"/>
    <w:rsid w:val="009D6A94"/>
    <w:rsid w:val="009D7312"/>
    <w:rsid w:val="009D745A"/>
    <w:rsid w:val="009E13ED"/>
    <w:rsid w:val="009E1BAF"/>
    <w:rsid w:val="009E337E"/>
    <w:rsid w:val="009E44A8"/>
    <w:rsid w:val="009E4C1B"/>
    <w:rsid w:val="009E5968"/>
    <w:rsid w:val="009F085F"/>
    <w:rsid w:val="009F0C80"/>
    <w:rsid w:val="009F341D"/>
    <w:rsid w:val="009F3835"/>
    <w:rsid w:val="009F7F30"/>
    <w:rsid w:val="00A00BB9"/>
    <w:rsid w:val="00A017BD"/>
    <w:rsid w:val="00A02DFB"/>
    <w:rsid w:val="00A033E5"/>
    <w:rsid w:val="00A045CB"/>
    <w:rsid w:val="00A049A8"/>
    <w:rsid w:val="00A04A3A"/>
    <w:rsid w:val="00A052EE"/>
    <w:rsid w:val="00A0580E"/>
    <w:rsid w:val="00A05C3E"/>
    <w:rsid w:val="00A06111"/>
    <w:rsid w:val="00A07BE7"/>
    <w:rsid w:val="00A109BB"/>
    <w:rsid w:val="00A12738"/>
    <w:rsid w:val="00A12913"/>
    <w:rsid w:val="00A12CCE"/>
    <w:rsid w:val="00A1344D"/>
    <w:rsid w:val="00A1426D"/>
    <w:rsid w:val="00A14650"/>
    <w:rsid w:val="00A14ECB"/>
    <w:rsid w:val="00A15257"/>
    <w:rsid w:val="00A172D7"/>
    <w:rsid w:val="00A1735E"/>
    <w:rsid w:val="00A175A0"/>
    <w:rsid w:val="00A17A72"/>
    <w:rsid w:val="00A20235"/>
    <w:rsid w:val="00A202E2"/>
    <w:rsid w:val="00A210B9"/>
    <w:rsid w:val="00A22CE8"/>
    <w:rsid w:val="00A23817"/>
    <w:rsid w:val="00A249BF"/>
    <w:rsid w:val="00A25EB4"/>
    <w:rsid w:val="00A2621A"/>
    <w:rsid w:val="00A2623C"/>
    <w:rsid w:val="00A275B2"/>
    <w:rsid w:val="00A31169"/>
    <w:rsid w:val="00A3186F"/>
    <w:rsid w:val="00A31F26"/>
    <w:rsid w:val="00A328C7"/>
    <w:rsid w:val="00A33356"/>
    <w:rsid w:val="00A349EF"/>
    <w:rsid w:val="00A36110"/>
    <w:rsid w:val="00A361F7"/>
    <w:rsid w:val="00A36219"/>
    <w:rsid w:val="00A36CE2"/>
    <w:rsid w:val="00A3717A"/>
    <w:rsid w:val="00A37709"/>
    <w:rsid w:val="00A37A4E"/>
    <w:rsid w:val="00A405D7"/>
    <w:rsid w:val="00A405EB"/>
    <w:rsid w:val="00A407FE"/>
    <w:rsid w:val="00A40E93"/>
    <w:rsid w:val="00A41CBD"/>
    <w:rsid w:val="00A43A59"/>
    <w:rsid w:val="00A43D8F"/>
    <w:rsid w:val="00A4490C"/>
    <w:rsid w:val="00A44E2A"/>
    <w:rsid w:val="00A454FA"/>
    <w:rsid w:val="00A464D8"/>
    <w:rsid w:val="00A47A8B"/>
    <w:rsid w:val="00A514BE"/>
    <w:rsid w:val="00A51990"/>
    <w:rsid w:val="00A52439"/>
    <w:rsid w:val="00A5258E"/>
    <w:rsid w:val="00A52DA3"/>
    <w:rsid w:val="00A53E79"/>
    <w:rsid w:val="00A54555"/>
    <w:rsid w:val="00A55036"/>
    <w:rsid w:val="00A55F91"/>
    <w:rsid w:val="00A56DF4"/>
    <w:rsid w:val="00A57A42"/>
    <w:rsid w:val="00A60AE3"/>
    <w:rsid w:val="00A60E87"/>
    <w:rsid w:val="00A6252A"/>
    <w:rsid w:val="00A631E0"/>
    <w:rsid w:val="00A634E8"/>
    <w:rsid w:val="00A63706"/>
    <w:rsid w:val="00A6405C"/>
    <w:rsid w:val="00A64355"/>
    <w:rsid w:val="00A65539"/>
    <w:rsid w:val="00A65626"/>
    <w:rsid w:val="00A659DF"/>
    <w:rsid w:val="00A65CA6"/>
    <w:rsid w:val="00A65EB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5C6"/>
    <w:rsid w:val="00A7574A"/>
    <w:rsid w:val="00A76403"/>
    <w:rsid w:val="00A765B2"/>
    <w:rsid w:val="00A807DD"/>
    <w:rsid w:val="00A81024"/>
    <w:rsid w:val="00A81276"/>
    <w:rsid w:val="00A81838"/>
    <w:rsid w:val="00A81DC2"/>
    <w:rsid w:val="00A839E4"/>
    <w:rsid w:val="00A8425A"/>
    <w:rsid w:val="00A8463C"/>
    <w:rsid w:val="00A84A5D"/>
    <w:rsid w:val="00A84CFB"/>
    <w:rsid w:val="00A84E75"/>
    <w:rsid w:val="00A85325"/>
    <w:rsid w:val="00A86034"/>
    <w:rsid w:val="00A86DDA"/>
    <w:rsid w:val="00A87195"/>
    <w:rsid w:val="00A87AA7"/>
    <w:rsid w:val="00A87FD2"/>
    <w:rsid w:val="00A90188"/>
    <w:rsid w:val="00A9024D"/>
    <w:rsid w:val="00A913CC"/>
    <w:rsid w:val="00A91787"/>
    <w:rsid w:val="00A92189"/>
    <w:rsid w:val="00A922AE"/>
    <w:rsid w:val="00A92BD4"/>
    <w:rsid w:val="00A9453C"/>
    <w:rsid w:val="00A95217"/>
    <w:rsid w:val="00A96C1E"/>
    <w:rsid w:val="00A9751A"/>
    <w:rsid w:val="00A976D5"/>
    <w:rsid w:val="00A97F74"/>
    <w:rsid w:val="00A97FD3"/>
    <w:rsid w:val="00AA1EFB"/>
    <w:rsid w:val="00AA3598"/>
    <w:rsid w:val="00AA3B7D"/>
    <w:rsid w:val="00AA3E0D"/>
    <w:rsid w:val="00AA426C"/>
    <w:rsid w:val="00AA4349"/>
    <w:rsid w:val="00AA47C9"/>
    <w:rsid w:val="00AA48F4"/>
    <w:rsid w:val="00AA4CE6"/>
    <w:rsid w:val="00AA5346"/>
    <w:rsid w:val="00AA56D9"/>
    <w:rsid w:val="00AA5B25"/>
    <w:rsid w:val="00AA5DF6"/>
    <w:rsid w:val="00AA6957"/>
    <w:rsid w:val="00AA6ED5"/>
    <w:rsid w:val="00AA7118"/>
    <w:rsid w:val="00AA7229"/>
    <w:rsid w:val="00AA7757"/>
    <w:rsid w:val="00AB0CC1"/>
    <w:rsid w:val="00AB19CD"/>
    <w:rsid w:val="00AB19F1"/>
    <w:rsid w:val="00AB26C1"/>
    <w:rsid w:val="00AB26E0"/>
    <w:rsid w:val="00AB299B"/>
    <w:rsid w:val="00AB3021"/>
    <w:rsid w:val="00AB36FB"/>
    <w:rsid w:val="00AB3E8D"/>
    <w:rsid w:val="00AB4064"/>
    <w:rsid w:val="00AB4E78"/>
    <w:rsid w:val="00AB6B72"/>
    <w:rsid w:val="00AB75A0"/>
    <w:rsid w:val="00AC0AFD"/>
    <w:rsid w:val="00AC22C2"/>
    <w:rsid w:val="00AC25F3"/>
    <w:rsid w:val="00AC26D7"/>
    <w:rsid w:val="00AC2880"/>
    <w:rsid w:val="00AC316C"/>
    <w:rsid w:val="00AC37A3"/>
    <w:rsid w:val="00AC401F"/>
    <w:rsid w:val="00AC4A54"/>
    <w:rsid w:val="00AC4BCC"/>
    <w:rsid w:val="00AC4BEC"/>
    <w:rsid w:val="00AC5277"/>
    <w:rsid w:val="00AC5968"/>
    <w:rsid w:val="00AC5AA6"/>
    <w:rsid w:val="00AC5C3C"/>
    <w:rsid w:val="00AC656F"/>
    <w:rsid w:val="00AC6C3D"/>
    <w:rsid w:val="00AC7028"/>
    <w:rsid w:val="00AD0509"/>
    <w:rsid w:val="00AD1003"/>
    <w:rsid w:val="00AD33F3"/>
    <w:rsid w:val="00AD47A6"/>
    <w:rsid w:val="00AD5B91"/>
    <w:rsid w:val="00AD5D95"/>
    <w:rsid w:val="00AD72D7"/>
    <w:rsid w:val="00AE014D"/>
    <w:rsid w:val="00AE0475"/>
    <w:rsid w:val="00AE0608"/>
    <w:rsid w:val="00AE06C0"/>
    <w:rsid w:val="00AE136B"/>
    <w:rsid w:val="00AE167B"/>
    <w:rsid w:val="00AE227D"/>
    <w:rsid w:val="00AE2999"/>
    <w:rsid w:val="00AE3437"/>
    <w:rsid w:val="00AE344C"/>
    <w:rsid w:val="00AE3E22"/>
    <w:rsid w:val="00AE4BEE"/>
    <w:rsid w:val="00AE4FBF"/>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C4"/>
    <w:rsid w:val="00AF3F06"/>
    <w:rsid w:val="00AF4913"/>
    <w:rsid w:val="00AF5A63"/>
    <w:rsid w:val="00AF5EB7"/>
    <w:rsid w:val="00AF721A"/>
    <w:rsid w:val="00AF79BD"/>
    <w:rsid w:val="00B0052E"/>
    <w:rsid w:val="00B01482"/>
    <w:rsid w:val="00B014FC"/>
    <w:rsid w:val="00B01FF9"/>
    <w:rsid w:val="00B02287"/>
    <w:rsid w:val="00B02A67"/>
    <w:rsid w:val="00B0575E"/>
    <w:rsid w:val="00B06040"/>
    <w:rsid w:val="00B06126"/>
    <w:rsid w:val="00B07429"/>
    <w:rsid w:val="00B07C32"/>
    <w:rsid w:val="00B07C94"/>
    <w:rsid w:val="00B07D37"/>
    <w:rsid w:val="00B11830"/>
    <w:rsid w:val="00B131E1"/>
    <w:rsid w:val="00B136CE"/>
    <w:rsid w:val="00B1407D"/>
    <w:rsid w:val="00B15047"/>
    <w:rsid w:val="00B15818"/>
    <w:rsid w:val="00B217A7"/>
    <w:rsid w:val="00B23168"/>
    <w:rsid w:val="00B23242"/>
    <w:rsid w:val="00B23B79"/>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3C"/>
    <w:rsid w:val="00B36FB5"/>
    <w:rsid w:val="00B37FAA"/>
    <w:rsid w:val="00B37FB3"/>
    <w:rsid w:val="00B41555"/>
    <w:rsid w:val="00B4196A"/>
    <w:rsid w:val="00B41EC2"/>
    <w:rsid w:val="00B421FE"/>
    <w:rsid w:val="00B42682"/>
    <w:rsid w:val="00B42A22"/>
    <w:rsid w:val="00B42C51"/>
    <w:rsid w:val="00B42CB5"/>
    <w:rsid w:val="00B43708"/>
    <w:rsid w:val="00B439CC"/>
    <w:rsid w:val="00B43B3C"/>
    <w:rsid w:val="00B43D7C"/>
    <w:rsid w:val="00B43FFC"/>
    <w:rsid w:val="00B44DBC"/>
    <w:rsid w:val="00B45230"/>
    <w:rsid w:val="00B45CC4"/>
    <w:rsid w:val="00B473B1"/>
    <w:rsid w:val="00B474BC"/>
    <w:rsid w:val="00B47688"/>
    <w:rsid w:val="00B50285"/>
    <w:rsid w:val="00B51BCE"/>
    <w:rsid w:val="00B5296B"/>
    <w:rsid w:val="00B539F7"/>
    <w:rsid w:val="00B53FF4"/>
    <w:rsid w:val="00B56A6F"/>
    <w:rsid w:val="00B57E97"/>
    <w:rsid w:val="00B6106F"/>
    <w:rsid w:val="00B6108C"/>
    <w:rsid w:val="00B61431"/>
    <w:rsid w:val="00B6209B"/>
    <w:rsid w:val="00B6232E"/>
    <w:rsid w:val="00B626ED"/>
    <w:rsid w:val="00B628ED"/>
    <w:rsid w:val="00B62BAC"/>
    <w:rsid w:val="00B62CEC"/>
    <w:rsid w:val="00B63369"/>
    <w:rsid w:val="00B63570"/>
    <w:rsid w:val="00B6362B"/>
    <w:rsid w:val="00B6467E"/>
    <w:rsid w:val="00B647FD"/>
    <w:rsid w:val="00B65C97"/>
    <w:rsid w:val="00B703F3"/>
    <w:rsid w:val="00B706C6"/>
    <w:rsid w:val="00B713FA"/>
    <w:rsid w:val="00B71DCB"/>
    <w:rsid w:val="00B720AE"/>
    <w:rsid w:val="00B737E5"/>
    <w:rsid w:val="00B75357"/>
    <w:rsid w:val="00B75DA5"/>
    <w:rsid w:val="00B75EDE"/>
    <w:rsid w:val="00B77EB1"/>
    <w:rsid w:val="00B80A64"/>
    <w:rsid w:val="00B814D0"/>
    <w:rsid w:val="00B820BA"/>
    <w:rsid w:val="00B826C6"/>
    <w:rsid w:val="00B829AD"/>
    <w:rsid w:val="00B842DD"/>
    <w:rsid w:val="00B849FE"/>
    <w:rsid w:val="00B85622"/>
    <w:rsid w:val="00B85EC7"/>
    <w:rsid w:val="00B8610B"/>
    <w:rsid w:val="00B8671C"/>
    <w:rsid w:val="00B86E03"/>
    <w:rsid w:val="00B87C12"/>
    <w:rsid w:val="00B91313"/>
    <w:rsid w:val="00B91C04"/>
    <w:rsid w:val="00B943A8"/>
    <w:rsid w:val="00B94696"/>
    <w:rsid w:val="00B94BAD"/>
    <w:rsid w:val="00B953CF"/>
    <w:rsid w:val="00B96074"/>
    <w:rsid w:val="00B960CB"/>
    <w:rsid w:val="00B965BB"/>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A7A49"/>
    <w:rsid w:val="00BB0037"/>
    <w:rsid w:val="00BB1386"/>
    <w:rsid w:val="00BB18F8"/>
    <w:rsid w:val="00BB2AEC"/>
    <w:rsid w:val="00BB30FC"/>
    <w:rsid w:val="00BB376C"/>
    <w:rsid w:val="00BB4369"/>
    <w:rsid w:val="00BB5008"/>
    <w:rsid w:val="00BB514D"/>
    <w:rsid w:val="00BB6401"/>
    <w:rsid w:val="00BB6AAB"/>
    <w:rsid w:val="00BB71BF"/>
    <w:rsid w:val="00BC239C"/>
    <w:rsid w:val="00BC3E9C"/>
    <w:rsid w:val="00BC41A0"/>
    <w:rsid w:val="00BC4498"/>
    <w:rsid w:val="00BC4E2E"/>
    <w:rsid w:val="00BC52DC"/>
    <w:rsid w:val="00BC6808"/>
    <w:rsid w:val="00BC6F69"/>
    <w:rsid w:val="00BC7C20"/>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27C1"/>
    <w:rsid w:val="00BF2B79"/>
    <w:rsid w:val="00BF3369"/>
    <w:rsid w:val="00BF3CF5"/>
    <w:rsid w:val="00BF5B4C"/>
    <w:rsid w:val="00BF5C87"/>
    <w:rsid w:val="00BF5F26"/>
    <w:rsid w:val="00BF7BC8"/>
    <w:rsid w:val="00BF7F8F"/>
    <w:rsid w:val="00C0116A"/>
    <w:rsid w:val="00C014DB"/>
    <w:rsid w:val="00C0175C"/>
    <w:rsid w:val="00C01798"/>
    <w:rsid w:val="00C01915"/>
    <w:rsid w:val="00C0260F"/>
    <w:rsid w:val="00C0289D"/>
    <w:rsid w:val="00C02DC4"/>
    <w:rsid w:val="00C034ED"/>
    <w:rsid w:val="00C05339"/>
    <w:rsid w:val="00C0534E"/>
    <w:rsid w:val="00C0687E"/>
    <w:rsid w:val="00C069F7"/>
    <w:rsid w:val="00C07460"/>
    <w:rsid w:val="00C10D58"/>
    <w:rsid w:val="00C11DF4"/>
    <w:rsid w:val="00C1309D"/>
    <w:rsid w:val="00C13529"/>
    <w:rsid w:val="00C14A7A"/>
    <w:rsid w:val="00C15BE1"/>
    <w:rsid w:val="00C1655C"/>
    <w:rsid w:val="00C214AA"/>
    <w:rsid w:val="00C21716"/>
    <w:rsid w:val="00C2196C"/>
    <w:rsid w:val="00C2234E"/>
    <w:rsid w:val="00C24B3F"/>
    <w:rsid w:val="00C24F91"/>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918"/>
    <w:rsid w:val="00C414CC"/>
    <w:rsid w:val="00C41559"/>
    <w:rsid w:val="00C41E33"/>
    <w:rsid w:val="00C42BD9"/>
    <w:rsid w:val="00C44240"/>
    <w:rsid w:val="00C44552"/>
    <w:rsid w:val="00C44E6A"/>
    <w:rsid w:val="00C457EE"/>
    <w:rsid w:val="00C4590A"/>
    <w:rsid w:val="00C45966"/>
    <w:rsid w:val="00C4692B"/>
    <w:rsid w:val="00C504D0"/>
    <w:rsid w:val="00C50583"/>
    <w:rsid w:val="00C506CC"/>
    <w:rsid w:val="00C511BE"/>
    <w:rsid w:val="00C51F92"/>
    <w:rsid w:val="00C52180"/>
    <w:rsid w:val="00C53AAF"/>
    <w:rsid w:val="00C53B2A"/>
    <w:rsid w:val="00C54382"/>
    <w:rsid w:val="00C55C4F"/>
    <w:rsid w:val="00C572D3"/>
    <w:rsid w:val="00C57308"/>
    <w:rsid w:val="00C5743C"/>
    <w:rsid w:val="00C57587"/>
    <w:rsid w:val="00C578C0"/>
    <w:rsid w:val="00C60EBF"/>
    <w:rsid w:val="00C616B6"/>
    <w:rsid w:val="00C61752"/>
    <w:rsid w:val="00C6435B"/>
    <w:rsid w:val="00C65D2B"/>
    <w:rsid w:val="00C65FBC"/>
    <w:rsid w:val="00C6672C"/>
    <w:rsid w:val="00C66B15"/>
    <w:rsid w:val="00C67E70"/>
    <w:rsid w:val="00C7096D"/>
    <w:rsid w:val="00C7099A"/>
    <w:rsid w:val="00C71F44"/>
    <w:rsid w:val="00C736CA"/>
    <w:rsid w:val="00C737EB"/>
    <w:rsid w:val="00C7462D"/>
    <w:rsid w:val="00C7479B"/>
    <w:rsid w:val="00C74F37"/>
    <w:rsid w:val="00C76168"/>
    <w:rsid w:val="00C769E0"/>
    <w:rsid w:val="00C76E58"/>
    <w:rsid w:val="00C811A7"/>
    <w:rsid w:val="00C813E0"/>
    <w:rsid w:val="00C8183D"/>
    <w:rsid w:val="00C81A32"/>
    <w:rsid w:val="00C81A8E"/>
    <w:rsid w:val="00C81ABA"/>
    <w:rsid w:val="00C81B04"/>
    <w:rsid w:val="00C82473"/>
    <w:rsid w:val="00C826C7"/>
    <w:rsid w:val="00C82759"/>
    <w:rsid w:val="00C82EFA"/>
    <w:rsid w:val="00C84D16"/>
    <w:rsid w:val="00C851A0"/>
    <w:rsid w:val="00C856BB"/>
    <w:rsid w:val="00C86534"/>
    <w:rsid w:val="00C86BEF"/>
    <w:rsid w:val="00C86F57"/>
    <w:rsid w:val="00C87734"/>
    <w:rsid w:val="00C878F3"/>
    <w:rsid w:val="00C9045A"/>
    <w:rsid w:val="00C91E8F"/>
    <w:rsid w:val="00C9242C"/>
    <w:rsid w:val="00C93E94"/>
    <w:rsid w:val="00C94400"/>
    <w:rsid w:val="00C9467B"/>
    <w:rsid w:val="00C951B0"/>
    <w:rsid w:val="00C958B9"/>
    <w:rsid w:val="00C95B80"/>
    <w:rsid w:val="00C95D07"/>
    <w:rsid w:val="00C968EF"/>
    <w:rsid w:val="00C96BC4"/>
    <w:rsid w:val="00C96D7A"/>
    <w:rsid w:val="00C9722E"/>
    <w:rsid w:val="00C974F6"/>
    <w:rsid w:val="00C975B7"/>
    <w:rsid w:val="00C97ED0"/>
    <w:rsid w:val="00CA0E21"/>
    <w:rsid w:val="00CA1487"/>
    <w:rsid w:val="00CA2A67"/>
    <w:rsid w:val="00CA3CF3"/>
    <w:rsid w:val="00CA4416"/>
    <w:rsid w:val="00CA46EB"/>
    <w:rsid w:val="00CA5787"/>
    <w:rsid w:val="00CA702D"/>
    <w:rsid w:val="00CB00BB"/>
    <w:rsid w:val="00CB06E2"/>
    <w:rsid w:val="00CB095E"/>
    <w:rsid w:val="00CB0ED1"/>
    <w:rsid w:val="00CB104A"/>
    <w:rsid w:val="00CB1DD5"/>
    <w:rsid w:val="00CB209A"/>
    <w:rsid w:val="00CB2338"/>
    <w:rsid w:val="00CB23FD"/>
    <w:rsid w:val="00CB3C0F"/>
    <w:rsid w:val="00CB3E52"/>
    <w:rsid w:val="00CB4455"/>
    <w:rsid w:val="00CB5A71"/>
    <w:rsid w:val="00CB5AB6"/>
    <w:rsid w:val="00CB5CA1"/>
    <w:rsid w:val="00CB60AA"/>
    <w:rsid w:val="00CB776C"/>
    <w:rsid w:val="00CB79AF"/>
    <w:rsid w:val="00CC0878"/>
    <w:rsid w:val="00CC1FB3"/>
    <w:rsid w:val="00CC3903"/>
    <w:rsid w:val="00CC3FE3"/>
    <w:rsid w:val="00CC4945"/>
    <w:rsid w:val="00CC4C1B"/>
    <w:rsid w:val="00CC527B"/>
    <w:rsid w:val="00CC59A6"/>
    <w:rsid w:val="00CC782F"/>
    <w:rsid w:val="00CC7CD7"/>
    <w:rsid w:val="00CC7FEC"/>
    <w:rsid w:val="00CD15B6"/>
    <w:rsid w:val="00CD22E8"/>
    <w:rsid w:val="00CD2386"/>
    <w:rsid w:val="00CD2686"/>
    <w:rsid w:val="00CD3B9E"/>
    <w:rsid w:val="00CD3E31"/>
    <w:rsid w:val="00CD468D"/>
    <w:rsid w:val="00CD4900"/>
    <w:rsid w:val="00CD628A"/>
    <w:rsid w:val="00CD7670"/>
    <w:rsid w:val="00CD7893"/>
    <w:rsid w:val="00CD78B3"/>
    <w:rsid w:val="00CD78F1"/>
    <w:rsid w:val="00CD7EDB"/>
    <w:rsid w:val="00CE02CB"/>
    <w:rsid w:val="00CE08B8"/>
    <w:rsid w:val="00CE1039"/>
    <w:rsid w:val="00CE197F"/>
    <w:rsid w:val="00CE2497"/>
    <w:rsid w:val="00CE2BAC"/>
    <w:rsid w:val="00CE39FF"/>
    <w:rsid w:val="00CE45EB"/>
    <w:rsid w:val="00CE4891"/>
    <w:rsid w:val="00CE4895"/>
    <w:rsid w:val="00CE48E0"/>
    <w:rsid w:val="00CE577A"/>
    <w:rsid w:val="00CE6562"/>
    <w:rsid w:val="00CE6E13"/>
    <w:rsid w:val="00CE78C6"/>
    <w:rsid w:val="00CF0A94"/>
    <w:rsid w:val="00CF10BA"/>
    <w:rsid w:val="00CF1AE3"/>
    <w:rsid w:val="00CF3598"/>
    <w:rsid w:val="00CF3859"/>
    <w:rsid w:val="00CF3CAD"/>
    <w:rsid w:val="00CF3D75"/>
    <w:rsid w:val="00CF4178"/>
    <w:rsid w:val="00CF4628"/>
    <w:rsid w:val="00CF5F47"/>
    <w:rsid w:val="00CF61C8"/>
    <w:rsid w:val="00CF6FD8"/>
    <w:rsid w:val="00CF6FDE"/>
    <w:rsid w:val="00D001EF"/>
    <w:rsid w:val="00D00805"/>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13CF"/>
    <w:rsid w:val="00D13762"/>
    <w:rsid w:val="00D1444B"/>
    <w:rsid w:val="00D14885"/>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3E12"/>
    <w:rsid w:val="00D241B3"/>
    <w:rsid w:val="00D24E99"/>
    <w:rsid w:val="00D2574F"/>
    <w:rsid w:val="00D259A8"/>
    <w:rsid w:val="00D25B60"/>
    <w:rsid w:val="00D266CE"/>
    <w:rsid w:val="00D30658"/>
    <w:rsid w:val="00D30AF7"/>
    <w:rsid w:val="00D3116B"/>
    <w:rsid w:val="00D31C2B"/>
    <w:rsid w:val="00D32105"/>
    <w:rsid w:val="00D32357"/>
    <w:rsid w:val="00D34337"/>
    <w:rsid w:val="00D3468D"/>
    <w:rsid w:val="00D34CA8"/>
    <w:rsid w:val="00D34E48"/>
    <w:rsid w:val="00D36767"/>
    <w:rsid w:val="00D36982"/>
    <w:rsid w:val="00D36D8B"/>
    <w:rsid w:val="00D36FFE"/>
    <w:rsid w:val="00D370E3"/>
    <w:rsid w:val="00D372B7"/>
    <w:rsid w:val="00D408B0"/>
    <w:rsid w:val="00D40A31"/>
    <w:rsid w:val="00D41FBF"/>
    <w:rsid w:val="00D424DC"/>
    <w:rsid w:val="00D424EB"/>
    <w:rsid w:val="00D4356C"/>
    <w:rsid w:val="00D43B14"/>
    <w:rsid w:val="00D44003"/>
    <w:rsid w:val="00D45114"/>
    <w:rsid w:val="00D453E5"/>
    <w:rsid w:val="00D4572F"/>
    <w:rsid w:val="00D45F8B"/>
    <w:rsid w:val="00D477C3"/>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3C77"/>
    <w:rsid w:val="00D63E14"/>
    <w:rsid w:val="00D63F39"/>
    <w:rsid w:val="00D640D5"/>
    <w:rsid w:val="00D646B1"/>
    <w:rsid w:val="00D64CCC"/>
    <w:rsid w:val="00D64E16"/>
    <w:rsid w:val="00D661A7"/>
    <w:rsid w:val="00D668B7"/>
    <w:rsid w:val="00D66FAE"/>
    <w:rsid w:val="00D70112"/>
    <w:rsid w:val="00D72422"/>
    <w:rsid w:val="00D74772"/>
    <w:rsid w:val="00D74DB9"/>
    <w:rsid w:val="00D74FCA"/>
    <w:rsid w:val="00D7648B"/>
    <w:rsid w:val="00D80AE9"/>
    <w:rsid w:val="00D81787"/>
    <w:rsid w:val="00D8265A"/>
    <w:rsid w:val="00D82AC8"/>
    <w:rsid w:val="00D82EC0"/>
    <w:rsid w:val="00D83631"/>
    <w:rsid w:val="00D84FDE"/>
    <w:rsid w:val="00D8789C"/>
    <w:rsid w:val="00D90295"/>
    <w:rsid w:val="00D90392"/>
    <w:rsid w:val="00D907C0"/>
    <w:rsid w:val="00D90A15"/>
    <w:rsid w:val="00D90CFB"/>
    <w:rsid w:val="00D91A6F"/>
    <w:rsid w:val="00D91D76"/>
    <w:rsid w:val="00D93601"/>
    <w:rsid w:val="00D944B6"/>
    <w:rsid w:val="00D94616"/>
    <w:rsid w:val="00D957D0"/>
    <w:rsid w:val="00D95E74"/>
    <w:rsid w:val="00D960F8"/>
    <w:rsid w:val="00D96A13"/>
    <w:rsid w:val="00D97000"/>
    <w:rsid w:val="00D97497"/>
    <w:rsid w:val="00D97595"/>
    <w:rsid w:val="00D97D96"/>
    <w:rsid w:val="00DA0349"/>
    <w:rsid w:val="00DA0FB8"/>
    <w:rsid w:val="00DA1C9B"/>
    <w:rsid w:val="00DA36D6"/>
    <w:rsid w:val="00DA3D59"/>
    <w:rsid w:val="00DA3E81"/>
    <w:rsid w:val="00DA43F8"/>
    <w:rsid w:val="00DA43FC"/>
    <w:rsid w:val="00DA4460"/>
    <w:rsid w:val="00DA73D0"/>
    <w:rsid w:val="00DA7870"/>
    <w:rsid w:val="00DB26C9"/>
    <w:rsid w:val="00DB2C23"/>
    <w:rsid w:val="00DB3AB8"/>
    <w:rsid w:val="00DB41E1"/>
    <w:rsid w:val="00DB5263"/>
    <w:rsid w:val="00DB596C"/>
    <w:rsid w:val="00DB6737"/>
    <w:rsid w:val="00DB7BDA"/>
    <w:rsid w:val="00DB7CA9"/>
    <w:rsid w:val="00DC0995"/>
    <w:rsid w:val="00DC1E91"/>
    <w:rsid w:val="00DC3FB1"/>
    <w:rsid w:val="00DC51E9"/>
    <w:rsid w:val="00DC7530"/>
    <w:rsid w:val="00DC76B7"/>
    <w:rsid w:val="00DD01C4"/>
    <w:rsid w:val="00DD03CB"/>
    <w:rsid w:val="00DD0508"/>
    <w:rsid w:val="00DD061B"/>
    <w:rsid w:val="00DD0DF6"/>
    <w:rsid w:val="00DD0F0C"/>
    <w:rsid w:val="00DD32BA"/>
    <w:rsid w:val="00DD3817"/>
    <w:rsid w:val="00DD3F28"/>
    <w:rsid w:val="00DD3F82"/>
    <w:rsid w:val="00DD5045"/>
    <w:rsid w:val="00DD506E"/>
    <w:rsid w:val="00DD50A6"/>
    <w:rsid w:val="00DD54C4"/>
    <w:rsid w:val="00DD6972"/>
    <w:rsid w:val="00DD6B57"/>
    <w:rsid w:val="00DD70C6"/>
    <w:rsid w:val="00DD795E"/>
    <w:rsid w:val="00DD7AEE"/>
    <w:rsid w:val="00DD7D03"/>
    <w:rsid w:val="00DE081B"/>
    <w:rsid w:val="00DE0D41"/>
    <w:rsid w:val="00DE174B"/>
    <w:rsid w:val="00DE1CA5"/>
    <w:rsid w:val="00DE2299"/>
    <w:rsid w:val="00DE29E3"/>
    <w:rsid w:val="00DE303D"/>
    <w:rsid w:val="00DE30AE"/>
    <w:rsid w:val="00DE33AA"/>
    <w:rsid w:val="00DE37E3"/>
    <w:rsid w:val="00DE43F8"/>
    <w:rsid w:val="00DE5007"/>
    <w:rsid w:val="00DE52B9"/>
    <w:rsid w:val="00DE705C"/>
    <w:rsid w:val="00DE7443"/>
    <w:rsid w:val="00DF116E"/>
    <w:rsid w:val="00DF1507"/>
    <w:rsid w:val="00DF208F"/>
    <w:rsid w:val="00DF2CFA"/>
    <w:rsid w:val="00DF3025"/>
    <w:rsid w:val="00DF3A83"/>
    <w:rsid w:val="00DF45F0"/>
    <w:rsid w:val="00DF4D94"/>
    <w:rsid w:val="00DF5236"/>
    <w:rsid w:val="00DF5280"/>
    <w:rsid w:val="00DF57E2"/>
    <w:rsid w:val="00DF655A"/>
    <w:rsid w:val="00E008C9"/>
    <w:rsid w:val="00E00BAB"/>
    <w:rsid w:val="00E01D79"/>
    <w:rsid w:val="00E01F4A"/>
    <w:rsid w:val="00E021D4"/>
    <w:rsid w:val="00E02298"/>
    <w:rsid w:val="00E02CB7"/>
    <w:rsid w:val="00E03498"/>
    <w:rsid w:val="00E05A58"/>
    <w:rsid w:val="00E05C04"/>
    <w:rsid w:val="00E06B9B"/>
    <w:rsid w:val="00E07527"/>
    <w:rsid w:val="00E132F7"/>
    <w:rsid w:val="00E1553F"/>
    <w:rsid w:val="00E157A9"/>
    <w:rsid w:val="00E15EB6"/>
    <w:rsid w:val="00E16809"/>
    <w:rsid w:val="00E1781A"/>
    <w:rsid w:val="00E224CB"/>
    <w:rsid w:val="00E232CE"/>
    <w:rsid w:val="00E23E09"/>
    <w:rsid w:val="00E2416A"/>
    <w:rsid w:val="00E249E8"/>
    <w:rsid w:val="00E26D7C"/>
    <w:rsid w:val="00E274E7"/>
    <w:rsid w:val="00E27D1E"/>
    <w:rsid w:val="00E30278"/>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6489"/>
    <w:rsid w:val="00E46BB7"/>
    <w:rsid w:val="00E47916"/>
    <w:rsid w:val="00E47E7D"/>
    <w:rsid w:val="00E5090E"/>
    <w:rsid w:val="00E50991"/>
    <w:rsid w:val="00E513A1"/>
    <w:rsid w:val="00E51C68"/>
    <w:rsid w:val="00E52B97"/>
    <w:rsid w:val="00E52BEC"/>
    <w:rsid w:val="00E537AF"/>
    <w:rsid w:val="00E53F58"/>
    <w:rsid w:val="00E540F9"/>
    <w:rsid w:val="00E54266"/>
    <w:rsid w:val="00E550E5"/>
    <w:rsid w:val="00E55148"/>
    <w:rsid w:val="00E5526A"/>
    <w:rsid w:val="00E55630"/>
    <w:rsid w:val="00E55E34"/>
    <w:rsid w:val="00E562AE"/>
    <w:rsid w:val="00E562C3"/>
    <w:rsid w:val="00E563BE"/>
    <w:rsid w:val="00E56963"/>
    <w:rsid w:val="00E56C81"/>
    <w:rsid w:val="00E5726D"/>
    <w:rsid w:val="00E60D83"/>
    <w:rsid w:val="00E61469"/>
    <w:rsid w:val="00E6224D"/>
    <w:rsid w:val="00E62B8D"/>
    <w:rsid w:val="00E646D8"/>
    <w:rsid w:val="00E64CB0"/>
    <w:rsid w:val="00E64D0E"/>
    <w:rsid w:val="00E65269"/>
    <w:rsid w:val="00E65BDF"/>
    <w:rsid w:val="00E663AF"/>
    <w:rsid w:val="00E667C3"/>
    <w:rsid w:val="00E66B48"/>
    <w:rsid w:val="00E66E57"/>
    <w:rsid w:val="00E67007"/>
    <w:rsid w:val="00E7071F"/>
    <w:rsid w:val="00E70D06"/>
    <w:rsid w:val="00E71CE4"/>
    <w:rsid w:val="00E727C5"/>
    <w:rsid w:val="00E734F6"/>
    <w:rsid w:val="00E735F9"/>
    <w:rsid w:val="00E736D9"/>
    <w:rsid w:val="00E73A62"/>
    <w:rsid w:val="00E73CAD"/>
    <w:rsid w:val="00E74842"/>
    <w:rsid w:val="00E75101"/>
    <w:rsid w:val="00E75A7D"/>
    <w:rsid w:val="00E76DCE"/>
    <w:rsid w:val="00E76FEF"/>
    <w:rsid w:val="00E80579"/>
    <w:rsid w:val="00E8068D"/>
    <w:rsid w:val="00E81079"/>
    <w:rsid w:val="00E81B47"/>
    <w:rsid w:val="00E81FDD"/>
    <w:rsid w:val="00E82709"/>
    <w:rsid w:val="00E8290C"/>
    <w:rsid w:val="00E82C2A"/>
    <w:rsid w:val="00E82EF7"/>
    <w:rsid w:val="00E83834"/>
    <w:rsid w:val="00E83CB9"/>
    <w:rsid w:val="00E8501B"/>
    <w:rsid w:val="00E85581"/>
    <w:rsid w:val="00E8559C"/>
    <w:rsid w:val="00E86DF7"/>
    <w:rsid w:val="00E87B29"/>
    <w:rsid w:val="00E87CE3"/>
    <w:rsid w:val="00E901CD"/>
    <w:rsid w:val="00E90739"/>
    <w:rsid w:val="00E90AE9"/>
    <w:rsid w:val="00E9169D"/>
    <w:rsid w:val="00E91967"/>
    <w:rsid w:val="00E9235A"/>
    <w:rsid w:val="00E927B7"/>
    <w:rsid w:val="00E946A4"/>
    <w:rsid w:val="00E95373"/>
    <w:rsid w:val="00E9640E"/>
    <w:rsid w:val="00E9779D"/>
    <w:rsid w:val="00E97A6D"/>
    <w:rsid w:val="00E97CC3"/>
    <w:rsid w:val="00EA1015"/>
    <w:rsid w:val="00EA138D"/>
    <w:rsid w:val="00EA14D0"/>
    <w:rsid w:val="00EA23F6"/>
    <w:rsid w:val="00EA2A95"/>
    <w:rsid w:val="00EA2F5E"/>
    <w:rsid w:val="00EA44DE"/>
    <w:rsid w:val="00EA5DA1"/>
    <w:rsid w:val="00EA5DD4"/>
    <w:rsid w:val="00EA76E3"/>
    <w:rsid w:val="00EB0293"/>
    <w:rsid w:val="00EB444A"/>
    <w:rsid w:val="00EB49C5"/>
    <w:rsid w:val="00EB509A"/>
    <w:rsid w:val="00EB6CB6"/>
    <w:rsid w:val="00EB7099"/>
    <w:rsid w:val="00EB7ECB"/>
    <w:rsid w:val="00EC01B9"/>
    <w:rsid w:val="00EC15F7"/>
    <w:rsid w:val="00EC23D2"/>
    <w:rsid w:val="00EC242F"/>
    <w:rsid w:val="00EC36A4"/>
    <w:rsid w:val="00EC36DA"/>
    <w:rsid w:val="00EC3DEB"/>
    <w:rsid w:val="00EC4323"/>
    <w:rsid w:val="00EC4423"/>
    <w:rsid w:val="00EC4886"/>
    <w:rsid w:val="00EC60BA"/>
    <w:rsid w:val="00EC66B5"/>
    <w:rsid w:val="00EC6E8E"/>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19B4"/>
    <w:rsid w:val="00F039AE"/>
    <w:rsid w:val="00F046E1"/>
    <w:rsid w:val="00F04CD0"/>
    <w:rsid w:val="00F063A3"/>
    <w:rsid w:val="00F06AEF"/>
    <w:rsid w:val="00F0733F"/>
    <w:rsid w:val="00F077F3"/>
    <w:rsid w:val="00F107F1"/>
    <w:rsid w:val="00F10DE8"/>
    <w:rsid w:val="00F117BC"/>
    <w:rsid w:val="00F11977"/>
    <w:rsid w:val="00F12DE6"/>
    <w:rsid w:val="00F12EA6"/>
    <w:rsid w:val="00F14161"/>
    <w:rsid w:val="00F16D3D"/>
    <w:rsid w:val="00F17BF7"/>
    <w:rsid w:val="00F216A2"/>
    <w:rsid w:val="00F2191D"/>
    <w:rsid w:val="00F2221D"/>
    <w:rsid w:val="00F22789"/>
    <w:rsid w:val="00F22978"/>
    <w:rsid w:val="00F22CC9"/>
    <w:rsid w:val="00F2419F"/>
    <w:rsid w:val="00F24D9D"/>
    <w:rsid w:val="00F2531F"/>
    <w:rsid w:val="00F25341"/>
    <w:rsid w:val="00F2573D"/>
    <w:rsid w:val="00F257EE"/>
    <w:rsid w:val="00F26667"/>
    <w:rsid w:val="00F3108E"/>
    <w:rsid w:val="00F31B33"/>
    <w:rsid w:val="00F31FD4"/>
    <w:rsid w:val="00F322AD"/>
    <w:rsid w:val="00F32756"/>
    <w:rsid w:val="00F3437E"/>
    <w:rsid w:val="00F34454"/>
    <w:rsid w:val="00F34B76"/>
    <w:rsid w:val="00F34D13"/>
    <w:rsid w:val="00F36204"/>
    <w:rsid w:val="00F36CE6"/>
    <w:rsid w:val="00F40FAB"/>
    <w:rsid w:val="00F410AC"/>
    <w:rsid w:val="00F424FC"/>
    <w:rsid w:val="00F427A6"/>
    <w:rsid w:val="00F43068"/>
    <w:rsid w:val="00F438EE"/>
    <w:rsid w:val="00F44B1A"/>
    <w:rsid w:val="00F44DCE"/>
    <w:rsid w:val="00F44F0B"/>
    <w:rsid w:val="00F45D55"/>
    <w:rsid w:val="00F46630"/>
    <w:rsid w:val="00F46E89"/>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8CF"/>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52D"/>
    <w:rsid w:val="00F747A2"/>
    <w:rsid w:val="00F749E8"/>
    <w:rsid w:val="00F74EBC"/>
    <w:rsid w:val="00F75756"/>
    <w:rsid w:val="00F75BCE"/>
    <w:rsid w:val="00F76894"/>
    <w:rsid w:val="00F76FFA"/>
    <w:rsid w:val="00F773E3"/>
    <w:rsid w:val="00F80DCE"/>
    <w:rsid w:val="00F80ED9"/>
    <w:rsid w:val="00F82DCD"/>
    <w:rsid w:val="00F8375C"/>
    <w:rsid w:val="00F84B32"/>
    <w:rsid w:val="00F84DC0"/>
    <w:rsid w:val="00F85065"/>
    <w:rsid w:val="00F85773"/>
    <w:rsid w:val="00F858DC"/>
    <w:rsid w:val="00F85F0D"/>
    <w:rsid w:val="00F86BB8"/>
    <w:rsid w:val="00F87604"/>
    <w:rsid w:val="00F90079"/>
    <w:rsid w:val="00F90C51"/>
    <w:rsid w:val="00F91C37"/>
    <w:rsid w:val="00F92047"/>
    <w:rsid w:val="00F927A9"/>
    <w:rsid w:val="00F930BA"/>
    <w:rsid w:val="00F94655"/>
    <w:rsid w:val="00F95DF1"/>
    <w:rsid w:val="00F96187"/>
    <w:rsid w:val="00F96631"/>
    <w:rsid w:val="00FA14A7"/>
    <w:rsid w:val="00FA1C05"/>
    <w:rsid w:val="00FA2422"/>
    <w:rsid w:val="00FA4078"/>
    <w:rsid w:val="00FA46E5"/>
    <w:rsid w:val="00FA4CDB"/>
    <w:rsid w:val="00FA4CE8"/>
    <w:rsid w:val="00FA5464"/>
    <w:rsid w:val="00FA606B"/>
    <w:rsid w:val="00FB0A89"/>
    <w:rsid w:val="00FB19B8"/>
    <w:rsid w:val="00FB3E6C"/>
    <w:rsid w:val="00FB409D"/>
    <w:rsid w:val="00FB4669"/>
    <w:rsid w:val="00FB46D4"/>
    <w:rsid w:val="00FB5015"/>
    <w:rsid w:val="00FB56D1"/>
    <w:rsid w:val="00FB58A2"/>
    <w:rsid w:val="00FB58B8"/>
    <w:rsid w:val="00FB74B7"/>
    <w:rsid w:val="00FB7532"/>
    <w:rsid w:val="00FB7594"/>
    <w:rsid w:val="00FC019D"/>
    <w:rsid w:val="00FC15AC"/>
    <w:rsid w:val="00FC1EDD"/>
    <w:rsid w:val="00FC1EE2"/>
    <w:rsid w:val="00FC22BB"/>
    <w:rsid w:val="00FC232B"/>
    <w:rsid w:val="00FC2F89"/>
    <w:rsid w:val="00FC3484"/>
    <w:rsid w:val="00FC3871"/>
    <w:rsid w:val="00FC4510"/>
    <w:rsid w:val="00FC57D8"/>
    <w:rsid w:val="00FC5D5D"/>
    <w:rsid w:val="00FC6C00"/>
    <w:rsid w:val="00FC7D5F"/>
    <w:rsid w:val="00FD0255"/>
    <w:rsid w:val="00FD27FD"/>
    <w:rsid w:val="00FD47F7"/>
    <w:rsid w:val="00FD599D"/>
    <w:rsid w:val="00FD6912"/>
    <w:rsid w:val="00FD6C46"/>
    <w:rsid w:val="00FE0860"/>
    <w:rsid w:val="00FE0CEC"/>
    <w:rsid w:val="00FE28E0"/>
    <w:rsid w:val="00FE2AD9"/>
    <w:rsid w:val="00FE353F"/>
    <w:rsid w:val="00FE37AD"/>
    <w:rsid w:val="00FE5ADB"/>
    <w:rsid w:val="00FE7CE4"/>
    <w:rsid w:val="00FF0769"/>
    <w:rsid w:val="00FF1083"/>
    <w:rsid w:val="00FF139D"/>
    <w:rsid w:val="00FF1CE3"/>
    <w:rsid w:val="00FF1FF9"/>
    <w:rsid w:val="00FF2851"/>
    <w:rsid w:val="00FF2F6C"/>
    <w:rsid w:val="00FF2FCB"/>
    <w:rsid w:val="00FF364C"/>
    <w:rsid w:val="00FF4ED4"/>
    <w:rsid w:val="00FF564F"/>
    <w:rsid w:val="00FF56DC"/>
    <w:rsid w:val="00FF6611"/>
    <w:rsid w:val="00FF6DE8"/>
    <w:rsid w:val="00FF74F9"/>
    <w:rsid w:val="012C6A17"/>
    <w:rsid w:val="014D28C9"/>
    <w:rsid w:val="01916C5A"/>
    <w:rsid w:val="01AA40DE"/>
    <w:rsid w:val="01F079F5"/>
    <w:rsid w:val="01FD4A81"/>
    <w:rsid w:val="024A7504"/>
    <w:rsid w:val="028D5673"/>
    <w:rsid w:val="02E84657"/>
    <w:rsid w:val="032F672A"/>
    <w:rsid w:val="038C592B"/>
    <w:rsid w:val="03A33F24"/>
    <w:rsid w:val="03A74512"/>
    <w:rsid w:val="045F542B"/>
    <w:rsid w:val="047B14FB"/>
    <w:rsid w:val="05111F14"/>
    <w:rsid w:val="051C683A"/>
    <w:rsid w:val="05482863"/>
    <w:rsid w:val="0548485E"/>
    <w:rsid w:val="059958D7"/>
    <w:rsid w:val="05A607FA"/>
    <w:rsid w:val="05A70310"/>
    <w:rsid w:val="05B67A46"/>
    <w:rsid w:val="05BE403C"/>
    <w:rsid w:val="0610529C"/>
    <w:rsid w:val="06257970"/>
    <w:rsid w:val="063D04A7"/>
    <w:rsid w:val="063F64EF"/>
    <w:rsid w:val="06915006"/>
    <w:rsid w:val="06A32A1C"/>
    <w:rsid w:val="070A03E9"/>
    <w:rsid w:val="07666493"/>
    <w:rsid w:val="07723089"/>
    <w:rsid w:val="07B436A2"/>
    <w:rsid w:val="07CD6512"/>
    <w:rsid w:val="07E3599F"/>
    <w:rsid w:val="084530CB"/>
    <w:rsid w:val="084C56C2"/>
    <w:rsid w:val="084E1401"/>
    <w:rsid w:val="085408F8"/>
    <w:rsid w:val="085D1644"/>
    <w:rsid w:val="08BD0334"/>
    <w:rsid w:val="08CC1BEA"/>
    <w:rsid w:val="08E27D9B"/>
    <w:rsid w:val="09145BF7"/>
    <w:rsid w:val="09177B37"/>
    <w:rsid w:val="097A4477"/>
    <w:rsid w:val="098552F6"/>
    <w:rsid w:val="09DA460A"/>
    <w:rsid w:val="09FC161F"/>
    <w:rsid w:val="0A2F386B"/>
    <w:rsid w:val="0A435AEB"/>
    <w:rsid w:val="0AAF2782"/>
    <w:rsid w:val="0AE65B6F"/>
    <w:rsid w:val="0AFF173F"/>
    <w:rsid w:val="0B230693"/>
    <w:rsid w:val="0B3C7C36"/>
    <w:rsid w:val="0BD648D6"/>
    <w:rsid w:val="0BE91440"/>
    <w:rsid w:val="0C5B0590"/>
    <w:rsid w:val="0C7E602C"/>
    <w:rsid w:val="0CB8432F"/>
    <w:rsid w:val="0CC53C5B"/>
    <w:rsid w:val="0CFF7016"/>
    <w:rsid w:val="0D122E93"/>
    <w:rsid w:val="0D404FEF"/>
    <w:rsid w:val="0D7C1512"/>
    <w:rsid w:val="0D984ECC"/>
    <w:rsid w:val="0D9D010F"/>
    <w:rsid w:val="0DD423A8"/>
    <w:rsid w:val="0E1924B1"/>
    <w:rsid w:val="0E256366"/>
    <w:rsid w:val="0E720391"/>
    <w:rsid w:val="0EB36461"/>
    <w:rsid w:val="0EC525D0"/>
    <w:rsid w:val="0EFE382C"/>
    <w:rsid w:val="0F1410D5"/>
    <w:rsid w:val="0F244DDE"/>
    <w:rsid w:val="10345380"/>
    <w:rsid w:val="104F7426"/>
    <w:rsid w:val="10CA4CE5"/>
    <w:rsid w:val="10D95F27"/>
    <w:rsid w:val="112C24FB"/>
    <w:rsid w:val="115A606B"/>
    <w:rsid w:val="118358D7"/>
    <w:rsid w:val="11B37942"/>
    <w:rsid w:val="11B57F5C"/>
    <w:rsid w:val="120B3EBE"/>
    <w:rsid w:val="12187054"/>
    <w:rsid w:val="12296A3A"/>
    <w:rsid w:val="126D0E79"/>
    <w:rsid w:val="127C300E"/>
    <w:rsid w:val="1280331A"/>
    <w:rsid w:val="12957C2C"/>
    <w:rsid w:val="13143CA2"/>
    <w:rsid w:val="13230020"/>
    <w:rsid w:val="138E62F2"/>
    <w:rsid w:val="139B74C4"/>
    <w:rsid w:val="13A605DC"/>
    <w:rsid w:val="14013BA8"/>
    <w:rsid w:val="140E7C96"/>
    <w:rsid w:val="1497412F"/>
    <w:rsid w:val="14AB3E58"/>
    <w:rsid w:val="14EE2250"/>
    <w:rsid w:val="152B585A"/>
    <w:rsid w:val="154A11A2"/>
    <w:rsid w:val="15783F61"/>
    <w:rsid w:val="158346B4"/>
    <w:rsid w:val="15A84347"/>
    <w:rsid w:val="162639BD"/>
    <w:rsid w:val="16355027"/>
    <w:rsid w:val="168D36A8"/>
    <w:rsid w:val="16D43419"/>
    <w:rsid w:val="17CA65CA"/>
    <w:rsid w:val="18422604"/>
    <w:rsid w:val="18466475"/>
    <w:rsid w:val="184A3267"/>
    <w:rsid w:val="18581E27"/>
    <w:rsid w:val="1864257A"/>
    <w:rsid w:val="18911017"/>
    <w:rsid w:val="18AC316E"/>
    <w:rsid w:val="18D314AE"/>
    <w:rsid w:val="1939511D"/>
    <w:rsid w:val="1953561E"/>
    <w:rsid w:val="197A1895"/>
    <w:rsid w:val="19832E56"/>
    <w:rsid w:val="19A3115B"/>
    <w:rsid w:val="19B337B9"/>
    <w:rsid w:val="1A0A0EFF"/>
    <w:rsid w:val="1A2A15A2"/>
    <w:rsid w:val="1A312930"/>
    <w:rsid w:val="1A562020"/>
    <w:rsid w:val="1A693E78"/>
    <w:rsid w:val="1AAE3F81"/>
    <w:rsid w:val="1AB175CD"/>
    <w:rsid w:val="1AD7705C"/>
    <w:rsid w:val="1B1A1A56"/>
    <w:rsid w:val="1B391A9C"/>
    <w:rsid w:val="1B3E296D"/>
    <w:rsid w:val="1BCF41AF"/>
    <w:rsid w:val="1C136791"/>
    <w:rsid w:val="1C9E38E1"/>
    <w:rsid w:val="1CB02232"/>
    <w:rsid w:val="1D554B87"/>
    <w:rsid w:val="1D5E3A3C"/>
    <w:rsid w:val="1DED6B6E"/>
    <w:rsid w:val="1DF04C6C"/>
    <w:rsid w:val="1E087E4C"/>
    <w:rsid w:val="1E527A64"/>
    <w:rsid w:val="1E5B7F7C"/>
    <w:rsid w:val="1EFD116F"/>
    <w:rsid w:val="1F2F0B2F"/>
    <w:rsid w:val="1F533349"/>
    <w:rsid w:val="1F840B2A"/>
    <w:rsid w:val="1FE24E0D"/>
    <w:rsid w:val="20196E24"/>
    <w:rsid w:val="20815126"/>
    <w:rsid w:val="20987265"/>
    <w:rsid w:val="211508B6"/>
    <w:rsid w:val="21554AD8"/>
    <w:rsid w:val="21BC51D5"/>
    <w:rsid w:val="21EC20F8"/>
    <w:rsid w:val="21F31927"/>
    <w:rsid w:val="2201180D"/>
    <w:rsid w:val="224401B8"/>
    <w:rsid w:val="22AF168F"/>
    <w:rsid w:val="22BD1205"/>
    <w:rsid w:val="22EC3FFB"/>
    <w:rsid w:val="2355768F"/>
    <w:rsid w:val="235A4CA6"/>
    <w:rsid w:val="23694EE9"/>
    <w:rsid w:val="239A32F4"/>
    <w:rsid w:val="239E34D1"/>
    <w:rsid w:val="23EE3640"/>
    <w:rsid w:val="23FE7C5A"/>
    <w:rsid w:val="24771887"/>
    <w:rsid w:val="2479798A"/>
    <w:rsid w:val="24916ADB"/>
    <w:rsid w:val="24A22E21"/>
    <w:rsid w:val="24B26561"/>
    <w:rsid w:val="254A0D4A"/>
    <w:rsid w:val="25575B08"/>
    <w:rsid w:val="2596578B"/>
    <w:rsid w:val="25D76642"/>
    <w:rsid w:val="25E35426"/>
    <w:rsid w:val="2644618C"/>
    <w:rsid w:val="26667E05"/>
    <w:rsid w:val="267215D5"/>
    <w:rsid w:val="2695285B"/>
    <w:rsid w:val="26C77EC6"/>
    <w:rsid w:val="270E64EE"/>
    <w:rsid w:val="27375A5B"/>
    <w:rsid w:val="2738196B"/>
    <w:rsid w:val="27C052F3"/>
    <w:rsid w:val="27CE7A10"/>
    <w:rsid w:val="27D76DE6"/>
    <w:rsid w:val="27D9008B"/>
    <w:rsid w:val="284321AC"/>
    <w:rsid w:val="287711F4"/>
    <w:rsid w:val="28A41D14"/>
    <w:rsid w:val="29183639"/>
    <w:rsid w:val="2943044D"/>
    <w:rsid w:val="29455AB0"/>
    <w:rsid w:val="294837F2"/>
    <w:rsid w:val="29801EFE"/>
    <w:rsid w:val="298F4180"/>
    <w:rsid w:val="29AD53FD"/>
    <w:rsid w:val="29DA1EFC"/>
    <w:rsid w:val="2A2D3BA0"/>
    <w:rsid w:val="2A3B2635"/>
    <w:rsid w:val="2A9D2A82"/>
    <w:rsid w:val="2AC65C83"/>
    <w:rsid w:val="2ACF41CB"/>
    <w:rsid w:val="2ACF7D27"/>
    <w:rsid w:val="2AD47691"/>
    <w:rsid w:val="2AF27EBA"/>
    <w:rsid w:val="2B0379D1"/>
    <w:rsid w:val="2B0F45C8"/>
    <w:rsid w:val="2B2E5579"/>
    <w:rsid w:val="2B2E7E52"/>
    <w:rsid w:val="2B3E1D42"/>
    <w:rsid w:val="2B466E87"/>
    <w:rsid w:val="2B9F3B9D"/>
    <w:rsid w:val="2BB804EE"/>
    <w:rsid w:val="2BCF5015"/>
    <w:rsid w:val="2BF21D6A"/>
    <w:rsid w:val="2C3556C6"/>
    <w:rsid w:val="2C8045B1"/>
    <w:rsid w:val="2C8608B9"/>
    <w:rsid w:val="2C9E35DE"/>
    <w:rsid w:val="2CAB47C4"/>
    <w:rsid w:val="2CB573F1"/>
    <w:rsid w:val="2CC12FE4"/>
    <w:rsid w:val="2CCE6F26"/>
    <w:rsid w:val="2CE101E6"/>
    <w:rsid w:val="2D000C16"/>
    <w:rsid w:val="2E101972"/>
    <w:rsid w:val="2E141214"/>
    <w:rsid w:val="2E960B5C"/>
    <w:rsid w:val="2EC7013A"/>
    <w:rsid w:val="2F0416FD"/>
    <w:rsid w:val="2F2D51F3"/>
    <w:rsid w:val="2F572FB7"/>
    <w:rsid w:val="2F936C13"/>
    <w:rsid w:val="2F9652B7"/>
    <w:rsid w:val="2FA84FEB"/>
    <w:rsid w:val="2FDA0C75"/>
    <w:rsid w:val="2FF16992"/>
    <w:rsid w:val="2FFA4131"/>
    <w:rsid w:val="304513F6"/>
    <w:rsid w:val="30562C99"/>
    <w:rsid w:val="30702350"/>
    <w:rsid w:val="308A649E"/>
    <w:rsid w:val="30937A49"/>
    <w:rsid w:val="30C35A4F"/>
    <w:rsid w:val="311346E6"/>
    <w:rsid w:val="313905F0"/>
    <w:rsid w:val="316E0F6D"/>
    <w:rsid w:val="318F1FBE"/>
    <w:rsid w:val="319E66A5"/>
    <w:rsid w:val="323D7C6C"/>
    <w:rsid w:val="323E0057"/>
    <w:rsid w:val="325A6A70"/>
    <w:rsid w:val="32C959A4"/>
    <w:rsid w:val="32CB34CA"/>
    <w:rsid w:val="32DB1233"/>
    <w:rsid w:val="32ED1692"/>
    <w:rsid w:val="338B2C59"/>
    <w:rsid w:val="33C55AF1"/>
    <w:rsid w:val="343B642D"/>
    <w:rsid w:val="344A2B14"/>
    <w:rsid w:val="34CC5FFC"/>
    <w:rsid w:val="35064C8D"/>
    <w:rsid w:val="3556467B"/>
    <w:rsid w:val="35F8578D"/>
    <w:rsid w:val="360B090F"/>
    <w:rsid w:val="36123238"/>
    <w:rsid w:val="363E3FB3"/>
    <w:rsid w:val="374101FF"/>
    <w:rsid w:val="37411FAD"/>
    <w:rsid w:val="377E6488"/>
    <w:rsid w:val="37D37295"/>
    <w:rsid w:val="37FF59C4"/>
    <w:rsid w:val="3809239F"/>
    <w:rsid w:val="381E409C"/>
    <w:rsid w:val="38322F7E"/>
    <w:rsid w:val="3892698C"/>
    <w:rsid w:val="38B93DC5"/>
    <w:rsid w:val="38BF587F"/>
    <w:rsid w:val="38C904AC"/>
    <w:rsid w:val="38CD749A"/>
    <w:rsid w:val="39292CF8"/>
    <w:rsid w:val="39565AB7"/>
    <w:rsid w:val="39794D16"/>
    <w:rsid w:val="39A93E39"/>
    <w:rsid w:val="3A1B12AC"/>
    <w:rsid w:val="3A76695A"/>
    <w:rsid w:val="3A9136EC"/>
    <w:rsid w:val="3AA53E6D"/>
    <w:rsid w:val="3AA838A4"/>
    <w:rsid w:val="3B057795"/>
    <w:rsid w:val="3B337E5E"/>
    <w:rsid w:val="3B847DCB"/>
    <w:rsid w:val="3B890A33"/>
    <w:rsid w:val="3BCE54E6"/>
    <w:rsid w:val="3C095063"/>
    <w:rsid w:val="3C632C82"/>
    <w:rsid w:val="3C8F37BA"/>
    <w:rsid w:val="3C9F66BB"/>
    <w:rsid w:val="3D385C00"/>
    <w:rsid w:val="3D7B6726"/>
    <w:rsid w:val="3DB42DAD"/>
    <w:rsid w:val="3DE026B4"/>
    <w:rsid w:val="3DFD6502"/>
    <w:rsid w:val="3E1B5F1B"/>
    <w:rsid w:val="3E344619"/>
    <w:rsid w:val="3E7330D6"/>
    <w:rsid w:val="3E940B72"/>
    <w:rsid w:val="3EE64BBD"/>
    <w:rsid w:val="3EED649C"/>
    <w:rsid w:val="3F192DC7"/>
    <w:rsid w:val="3F20694C"/>
    <w:rsid w:val="3F23468E"/>
    <w:rsid w:val="401601D9"/>
    <w:rsid w:val="4093314D"/>
    <w:rsid w:val="415428DD"/>
    <w:rsid w:val="416D399E"/>
    <w:rsid w:val="4201082A"/>
    <w:rsid w:val="4221453A"/>
    <w:rsid w:val="42220C2D"/>
    <w:rsid w:val="424B020C"/>
    <w:rsid w:val="425C5EED"/>
    <w:rsid w:val="42C35F6C"/>
    <w:rsid w:val="42F20A5F"/>
    <w:rsid w:val="43326C4D"/>
    <w:rsid w:val="4370154D"/>
    <w:rsid w:val="438165CC"/>
    <w:rsid w:val="43884ABF"/>
    <w:rsid w:val="4399690E"/>
    <w:rsid w:val="43AA2C88"/>
    <w:rsid w:val="43BC2862"/>
    <w:rsid w:val="43BE3697"/>
    <w:rsid w:val="43F6411F"/>
    <w:rsid w:val="44586181"/>
    <w:rsid w:val="44D02BC2"/>
    <w:rsid w:val="44E93C84"/>
    <w:rsid w:val="454B2C89"/>
    <w:rsid w:val="456A52C2"/>
    <w:rsid w:val="456A6B72"/>
    <w:rsid w:val="456B28EB"/>
    <w:rsid w:val="458F0387"/>
    <w:rsid w:val="45A61F8D"/>
    <w:rsid w:val="45AD2F03"/>
    <w:rsid w:val="45C049E4"/>
    <w:rsid w:val="45F14B9E"/>
    <w:rsid w:val="45F8417E"/>
    <w:rsid w:val="46873754"/>
    <w:rsid w:val="46A13924"/>
    <w:rsid w:val="46C16557"/>
    <w:rsid w:val="47017063"/>
    <w:rsid w:val="47086643"/>
    <w:rsid w:val="47140E0A"/>
    <w:rsid w:val="471A1ED2"/>
    <w:rsid w:val="4724137A"/>
    <w:rsid w:val="47772959"/>
    <w:rsid w:val="4780181D"/>
    <w:rsid w:val="47810DF3"/>
    <w:rsid w:val="47B75973"/>
    <w:rsid w:val="47B831CD"/>
    <w:rsid w:val="47B8502A"/>
    <w:rsid w:val="47E56984"/>
    <w:rsid w:val="47EC2682"/>
    <w:rsid w:val="47F62F08"/>
    <w:rsid w:val="480B5EA5"/>
    <w:rsid w:val="483E61DE"/>
    <w:rsid w:val="48410DAC"/>
    <w:rsid w:val="48671147"/>
    <w:rsid w:val="489946DD"/>
    <w:rsid w:val="48AB464E"/>
    <w:rsid w:val="48B40105"/>
    <w:rsid w:val="48F922DC"/>
    <w:rsid w:val="48FD7CFE"/>
    <w:rsid w:val="494440FC"/>
    <w:rsid w:val="495F6883"/>
    <w:rsid w:val="49635DB3"/>
    <w:rsid w:val="4977185E"/>
    <w:rsid w:val="49D22E08"/>
    <w:rsid w:val="49EE6CD1"/>
    <w:rsid w:val="4A4756D4"/>
    <w:rsid w:val="4A594710"/>
    <w:rsid w:val="4A6E2C61"/>
    <w:rsid w:val="4A9D2228"/>
    <w:rsid w:val="4AD625B4"/>
    <w:rsid w:val="4AE94264"/>
    <w:rsid w:val="4B0233A9"/>
    <w:rsid w:val="4B0D06CC"/>
    <w:rsid w:val="4B246314"/>
    <w:rsid w:val="4B840262"/>
    <w:rsid w:val="4B974038"/>
    <w:rsid w:val="4BCC36DF"/>
    <w:rsid w:val="4DE4148C"/>
    <w:rsid w:val="4DFA480C"/>
    <w:rsid w:val="4E0631B0"/>
    <w:rsid w:val="4E092CA1"/>
    <w:rsid w:val="4E0A6758"/>
    <w:rsid w:val="4E870795"/>
    <w:rsid w:val="4EC5306C"/>
    <w:rsid w:val="4F351F9F"/>
    <w:rsid w:val="4F883C23"/>
    <w:rsid w:val="4FBC446F"/>
    <w:rsid w:val="501222E0"/>
    <w:rsid w:val="502D2C76"/>
    <w:rsid w:val="506D5769"/>
    <w:rsid w:val="50720FD1"/>
    <w:rsid w:val="50836D3A"/>
    <w:rsid w:val="50C50C35"/>
    <w:rsid w:val="50D852D8"/>
    <w:rsid w:val="50E53551"/>
    <w:rsid w:val="50ED4D90"/>
    <w:rsid w:val="51006381"/>
    <w:rsid w:val="513544C2"/>
    <w:rsid w:val="51907961"/>
    <w:rsid w:val="521E31BF"/>
    <w:rsid w:val="527B23BF"/>
    <w:rsid w:val="52884ADC"/>
    <w:rsid w:val="529835E3"/>
    <w:rsid w:val="534053B7"/>
    <w:rsid w:val="534A71E4"/>
    <w:rsid w:val="53670B95"/>
    <w:rsid w:val="53907D1D"/>
    <w:rsid w:val="53CA2E61"/>
    <w:rsid w:val="53CB2034"/>
    <w:rsid w:val="540C5299"/>
    <w:rsid w:val="549A7FAB"/>
    <w:rsid w:val="54CA13DC"/>
    <w:rsid w:val="54D264E2"/>
    <w:rsid w:val="555C43C4"/>
    <w:rsid w:val="55B9581C"/>
    <w:rsid w:val="55BE67F0"/>
    <w:rsid w:val="55D32512"/>
    <w:rsid w:val="55D63DB0"/>
    <w:rsid w:val="55E262B1"/>
    <w:rsid w:val="561C5C67"/>
    <w:rsid w:val="562744F7"/>
    <w:rsid w:val="564E3947"/>
    <w:rsid w:val="56CB4F97"/>
    <w:rsid w:val="572F3778"/>
    <w:rsid w:val="572F3852"/>
    <w:rsid w:val="577B56DF"/>
    <w:rsid w:val="57C40364"/>
    <w:rsid w:val="57EC3F49"/>
    <w:rsid w:val="58103DA7"/>
    <w:rsid w:val="581F6279"/>
    <w:rsid w:val="584D6A82"/>
    <w:rsid w:val="58632A5E"/>
    <w:rsid w:val="588601AB"/>
    <w:rsid w:val="589917F1"/>
    <w:rsid w:val="58AF587D"/>
    <w:rsid w:val="58D520FD"/>
    <w:rsid w:val="592177AA"/>
    <w:rsid w:val="594870D9"/>
    <w:rsid w:val="59DB7BE7"/>
    <w:rsid w:val="5A1B6236"/>
    <w:rsid w:val="5A53777D"/>
    <w:rsid w:val="5AA1131A"/>
    <w:rsid w:val="5ABA3CA0"/>
    <w:rsid w:val="5AC52185"/>
    <w:rsid w:val="5AD36B10"/>
    <w:rsid w:val="5AE900E2"/>
    <w:rsid w:val="5B323837"/>
    <w:rsid w:val="5B620008"/>
    <w:rsid w:val="5BC8419B"/>
    <w:rsid w:val="5C7F2060"/>
    <w:rsid w:val="5C906BF3"/>
    <w:rsid w:val="5CB21ECD"/>
    <w:rsid w:val="5CBD4DA3"/>
    <w:rsid w:val="5D580538"/>
    <w:rsid w:val="5DA36C6E"/>
    <w:rsid w:val="5DDC2B7C"/>
    <w:rsid w:val="5DED15CA"/>
    <w:rsid w:val="5E3873B6"/>
    <w:rsid w:val="5EBA5832"/>
    <w:rsid w:val="5F4B7149"/>
    <w:rsid w:val="5F5D0CFC"/>
    <w:rsid w:val="5FB011CE"/>
    <w:rsid w:val="5FC5111D"/>
    <w:rsid w:val="5FDF3861"/>
    <w:rsid w:val="603C0CB4"/>
    <w:rsid w:val="604069F6"/>
    <w:rsid w:val="6045400C"/>
    <w:rsid w:val="60842B8C"/>
    <w:rsid w:val="60B609C1"/>
    <w:rsid w:val="613278D8"/>
    <w:rsid w:val="617E2A1D"/>
    <w:rsid w:val="619D00FE"/>
    <w:rsid w:val="619D7BD0"/>
    <w:rsid w:val="61A97ECE"/>
    <w:rsid w:val="61BD393C"/>
    <w:rsid w:val="61DE5749"/>
    <w:rsid w:val="61EF4230"/>
    <w:rsid w:val="623E51B7"/>
    <w:rsid w:val="62950B2A"/>
    <w:rsid w:val="62D07FC5"/>
    <w:rsid w:val="62D3721D"/>
    <w:rsid w:val="62EA5262"/>
    <w:rsid w:val="63043A0D"/>
    <w:rsid w:val="6315416A"/>
    <w:rsid w:val="632C10B2"/>
    <w:rsid w:val="63316ACA"/>
    <w:rsid w:val="63F20007"/>
    <w:rsid w:val="63F46C4A"/>
    <w:rsid w:val="64552344"/>
    <w:rsid w:val="645760BC"/>
    <w:rsid w:val="6493792A"/>
    <w:rsid w:val="6497295D"/>
    <w:rsid w:val="65077AE2"/>
    <w:rsid w:val="65183A9D"/>
    <w:rsid w:val="651921BB"/>
    <w:rsid w:val="65273CE0"/>
    <w:rsid w:val="65842EE1"/>
    <w:rsid w:val="65867FC9"/>
    <w:rsid w:val="65C40BC6"/>
    <w:rsid w:val="65CB0B10"/>
    <w:rsid w:val="65F61061"/>
    <w:rsid w:val="66085512"/>
    <w:rsid w:val="660E6C4E"/>
    <w:rsid w:val="66704B1B"/>
    <w:rsid w:val="6679056C"/>
    <w:rsid w:val="6691111A"/>
    <w:rsid w:val="66976D30"/>
    <w:rsid w:val="66DA3E7F"/>
    <w:rsid w:val="66DB4D83"/>
    <w:rsid w:val="66F764C6"/>
    <w:rsid w:val="67191D4F"/>
    <w:rsid w:val="671B5AC7"/>
    <w:rsid w:val="671C2840"/>
    <w:rsid w:val="67283D40"/>
    <w:rsid w:val="673D5A3D"/>
    <w:rsid w:val="678371C8"/>
    <w:rsid w:val="67AA4E8D"/>
    <w:rsid w:val="67B81568"/>
    <w:rsid w:val="67B83316"/>
    <w:rsid w:val="67BE140D"/>
    <w:rsid w:val="67F307F2"/>
    <w:rsid w:val="67FF35EF"/>
    <w:rsid w:val="68136976"/>
    <w:rsid w:val="685000F9"/>
    <w:rsid w:val="68534DEC"/>
    <w:rsid w:val="685C1EF3"/>
    <w:rsid w:val="685C6397"/>
    <w:rsid w:val="686B37FC"/>
    <w:rsid w:val="68E00D76"/>
    <w:rsid w:val="68E92163"/>
    <w:rsid w:val="693C75FA"/>
    <w:rsid w:val="69D41F5D"/>
    <w:rsid w:val="69E2467A"/>
    <w:rsid w:val="6A3C6480"/>
    <w:rsid w:val="6A5C442C"/>
    <w:rsid w:val="6AA45DD3"/>
    <w:rsid w:val="6AA61B4B"/>
    <w:rsid w:val="6AF67CC4"/>
    <w:rsid w:val="6B454EC0"/>
    <w:rsid w:val="6B80239C"/>
    <w:rsid w:val="6B8329FE"/>
    <w:rsid w:val="6B99345E"/>
    <w:rsid w:val="6BA8544F"/>
    <w:rsid w:val="6BF35F87"/>
    <w:rsid w:val="6C2B2CE1"/>
    <w:rsid w:val="6C8D4D71"/>
    <w:rsid w:val="6CC059E1"/>
    <w:rsid w:val="6D255CE2"/>
    <w:rsid w:val="6D57537F"/>
    <w:rsid w:val="6D6655C2"/>
    <w:rsid w:val="6DAC2D94"/>
    <w:rsid w:val="6E0471CA"/>
    <w:rsid w:val="6E0D4E0F"/>
    <w:rsid w:val="6E5042A8"/>
    <w:rsid w:val="6E57042E"/>
    <w:rsid w:val="6E9542CF"/>
    <w:rsid w:val="6E9C129B"/>
    <w:rsid w:val="6EAB3BD4"/>
    <w:rsid w:val="6F0C01D3"/>
    <w:rsid w:val="6F1352D6"/>
    <w:rsid w:val="6F217867"/>
    <w:rsid w:val="6F653D09"/>
    <w:rsid w:val="6F9821C1"/>
    <w:rsid w:val="6F992483"/>
    <w:rsid w:val="702459EC"/>
    <w:rsid w:val="704A4D27"/>
    <w:rsid w:val="70666005"/>
    <w:rsid w:val="709020CD"/>
    <w:rsid w:val="70EE4C59"/>
    <w:rsid w:val="70EE7DA8"/>
    <w:rsid w:val="710921FF"/>
    <w:rsid w:val="71150F07"/>
    <w:rsid w:val="71406234"/>
    <w:rsid w:val="717F6C52"/>
    <w:rsid w:val="71A861CA"/>
    <w:rsid w:val="71A87F57"/>
    <w:rsid w:val="71F34873"/>
    <w:rsid w:val="72481BFD"/>
    <w:rsid w:val="72BA43E6"/>
    <w:rsid w:val="72BE03FA"/>
    <w:rsid w:val="732775A1"/>
    <w:rsid w:val="7352461E"/>
    <w:rsid w:val="738F7621"/>
    <w:rsid w:val="7399049F"/>
    <w:rsid w:val="73EA23E0"/>
    <w:rsid w:val="741F6A0D"/>
    <w:rsid w:val="742F4960"/>
    <w:rsid w:val="74620891"/>
    <w:rsid w:val="746960C4"/>
    <w:rsid w:val="747D391D"/>
    <w:rsid w:val="7484629B"/>
    <w:rsid w:val="74D7717F"/>
    <w:rsid w:val="74E571D9"/>
    <w:rsid w:val="75215D3D"/>
    <w:rsid w:val="75241FEA"/>
    <w:rsid w:val="7563020E"/>
    <w:rsid w:val="758B3E18"/>
    <w:rsid w:val="7590142E"/>
    <w:rsid w:val="75A95CC7"/>
    <w:rsid w:val="76220ADE"/>
    <w:rsid w:val="7662726E"/>
    <w:rsid w:val="76887C7F"/>
    <w:rsid w:val="76E41A31"/>
    <w:rsid w:val="77192F09"/>
    <w:rsid w:val="77361D25"/>
    <w:rsid w:val="773D55E5"/>
    <w:rsid w:val="77860D3A"/>
    <w:rsid w:val="77935205"/>
    <w:rsid w:val="77B358A8"/>
    <w:rsid w:val="77C12216"/>
    <w:rsid w:val="77F30411"/>
    <w:rsid w:val="77F55EC0"/>
    <w:rsid w:val="783E1615"/>
    <w:rsid w:val="78820AAF"/>
    <w:rsid w:val="78994A9D"/>
    <w:rsid w:val="78DD583A"/>
    <w:rsid w:val="7919798C"/>
    <w:rsid w:val="792E03F6"/>
    <w:rsid w:val="79360D5B"/>
    <w:rsid w:val="79567458"/>
    <w:rsid w:val="798F79A5"/>
    <w:rsid w:val="79F90BDF"/>
    <w:rsid w:val="79FB4AA8"/>
    <w:rsid w:val="7A06073B"/>
    <w:rsid w:val="7A8A6D94"/>
    <w:rsid w:val="7AD718AD"/>
    <w:rsid w:val="7ADE0E8D"/>
    <w:rsid w:val="7AF1471D"/>
    <w:rsid w:val="7B1B4FB2"/>
    <w:rsid w:val="7B2A7FC3"/>
    <w:rsid w:val="7B564EB6"/>
    <w:rsid w:val="7B6C3A57"/>
    <w:rsid w:val="7B7610C6"/>
    <w:rsid w:val="7B940886"/>
    <w:rsid w:val="7B9C1CE2"/>
    <w:rsid w:val="7BA82B1B"/>
    <w:rsid w:val="7BE73B91"/>
    <w:rsid w:val="7BEA1B1F"/>
    <w:rsid w:val="7BF64461"/>
    <w:rsid w:val="7BFC781D"/>
    <w:rsid w:val="7C2660CE"/>
    <w:rsid w:val="7C38637B"/>
    <w:rsid w:val="7C452193"/>
    <w:rsid w:val="7C6934D2"/>
    <w:rsid w:val="7C6B5174"/>
    <w:rsid w:val="7C7C44BA"/>
    <w:rsid w:val="7C815F74"/>
    <w:rsid w:val="7C880EDB"/>
    <w:rsid w:val="7CB77BE8"/>
    <w:rsid w:val="7CE40EDA"/>
    <w:rsid w:val="7D7905CD"/>
    <w:rsid w:val="7DD24CD9"/>
    <w:rsid w:val="7E187154"/>
    <w:rsid w:val="7E394D59"/>
    <w:rsid w:val="7E41116F"/>
    <w:rsid w:val="7E6738EC"/>
    <w:rsid w:val="7E754F49"/>
    <w:rsid w:val="7EA96DCD"/>
    <w:rsid w:val="7F601E71"/>
    <w:rsid w:val="7FEE7F32"/>
    <w:rsid w:val="7FF032F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9"/>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1"/>
    <w:autoRedefine/>
    <w:qFormat/>
    <w:uiPriority w:val="0"/>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2"/>
    <w:autoRedefine/>
    <w:qFormat/>
    <w:uiPriority w:val="0"/>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8"/>
    <w:next w:val="1"/>
    <w:link w:val="63"/>
    <w:autoRedefine/>
    <w:qFormat/>
    <w:uiPriority w:val="0"/>
    <w:pPr>
      <w:keepNext/>
      <w:keepLines/>
      <w:ind w:firstLine="200" w:firstLineChars="200"/>
      <w:outlineLvl w:val="5"/>
    </w:pPr>
    <w:rPr>
      <w:rFonts w:hAnsi="Arial"/>
    </w:rPr>
  </w:style>
  <w:style w:type="paragraph" w:styleId="9">
    <w:name w:val="heading 7"/>
    <w:basedOn w:val="1"/>
    <w:next w:val="1"/>
    <w:link w:val="64"/>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5"/>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6"/>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rFonts w:asciiTheme="minorHAnsi" w:hAnsiTheme="minorHAnsi" w:cstheme="minorHAnsi"/>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17"/>
    <w:autoRedefine/>
    <w:qFormat/>
    <w:uiPriority w:val="0"/>
    <w:pPr>
      <w:shd w:val="clear" w:color="auto" w:fill="000080"/>
    </w:pPr>
  </w:style>
  <w:style w:type="paragraph" w:styleId="15">
    <w:name w:val="annotation text"/>
    <w:basedOn w:val="1"/>
    <w:link w:val="87"/>
    <w:autoRedefine/>
    <w:qFormat/>
    <w:uiPriority w:val="99"/>
    <w:pPr>
      <w:jc w:val="left"/>
    </w:pPr>
  </w:style>
  <w:style w:type="paragraph" w:styleId="16">
    <w:name w:val="Body Text 3"/>
    <w:basedOn w:val="1"/>
    <w:link w:val="111"/>
    <w:autoRedefine/>
    <w:qFormat/>
    <w:uiPriority w:val="0"/>
    <w:pPr>
      <w:spacing w:after="120"/>
    </w:pPr>
    <w:rPr>
      <w:sz w:val="16"/>
      <w:szCs w:val="16"/>
    </w:rPr>
  </w:style>
  <w:style w:type="paragraph" w:styleId="17">
    <w:name w:val="Body Text"/>
    <w:basedOn w:val="1"/>
    <w:next w:val="18"/>
    <w:link w:val="85"/>
    <w:autoRedefine/>
    <w:qFormat/>
    <w:uiPriority w:val="0"/>
    <w:pPr>
      <w:spacing w:after="120"/>
    </w:pPr>
  </w:style>
  <w:style w:type="paragraph" w:styleId="18">
    <w:name w:val="Body Text First Indent"/>
    <w:basedOn w:val="17"/>
    <w:next w:val="1"/>
    <w:link w:val="173"/>
    <w:autoRedefine/>
    <w:unhideWhenUsed/>
    <w:qFormat/>
    <w:uiPriority w:val="0"/>
    <w:pPr>
      <w:adjustRightInd w:val="0"/>
      <w:spacing w:line="275" w:lineRule="atLeast"/>
      <w:ind w:firstLine="420"/>
    </w:pPr>
    <w:rPr>
      <w:rFonts w:ascii="Calibri" w:hAnsi="Calibri" w:eastAsia="楷体_GB2312"/>
      <w:szCs w:val="20"/>
    </w:rPr>
  </w:style>
  <w:style w:type="paragraph" w:styleId="19">
    <w:name w:val="Body Text Indent"/>
    <w:basedOn w:val="1"/>
    <w:link w:val="73"/>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rFonts w:asciiTheme="minorHAnsi" w:hAnsiTheme="minorHAnsi" w:cstheme="minorHAnsi"/>
      <w:sz w:val="18"/>
      <w:szCs w:val="18"/>
    </w:rPr>
  </w:style>
  <w:style w:type="paragraph" w:styleId="23">
    <w:name w:val="toc 3"/>
    <w:basedOn w:val="4"/>
    <w:next w:val="1"/>
    <w:autoRedefine/>
    <w:qFormat/>
    <w:uiPriority w:val="39"/>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24">
    <w:name w:val="Plain Text"/>
    <w:basedOn w:val="1"/>
    <w:link w:val="72"/>
    <w:autoRedefine/>
    <w:qFormat/>
    <w:uiPriority w:val="0"/>
    <w:rPr>
      <w:rFonts w:ascii="宋体" w:hAnsi="Courier New"/>
      <w:szCs w:val="21"/>
    </w:rPr>
  </w:style>
  <w:style w:type="paragraph" w:styleId="25">
    <w:name w:val="toc 8"/>
    <w:basedOn w:val="1"/>
    <w:next w:val="1"/>
    <w:autoRedefine/>
    <w:qFormat/>
    <w:uiPriority w:val="39"/>
    <w:pPr>
      <w:ind w:left="1470"/>
      <w:jc w:val="left"/>
    </w:pPr>
    <w:rPr>
      <w:rFonts w:asciiTheme="minorHAnsi" w:hAnsiTheme="minorHAnsi" w:cstheme="minorHAnsi"/>
      <w:sz w:val="18"/>
      <w:szCs w:val="18"/>
    </w:rPr>
  </w:style>
  <w:style w:type="paragraph" w:styleId="26">
    <w:name w:val="Date"/>
    <w:basedOn w:val="1"/>
    <w:next w:val="1"/>
    <w:link w:val="67"/>
    <w:autoRedefine/>
    <w:qFormat/>
    <w:uiPriority w:val="0"/>
    <w:pPr>
      <w:ind w:left="100" w:leftChars="2500"/>
    </w:pPr>
  </w:style>
  <w:style w:type="paragraph" w:styleId="27">
    <w:name w:val="Body Text Indent 2"/>
    <w:basedOn w:val="1"/>
    <w:link w:val="90"/>
    <w:autoRedefine/>
    <w:qFormat/>
    <w:uiPriority w:val="0"/>
    <w:pPr>
      <w:widowControl/>
      <w:spacing w:line="480" w:lineRule="auto"/>
      <w:ind w:firstLine="560"/>
      <w:jc w:val="left"/>
    </w:pPr>
    <w:rPr>
      <w:kern w:val="0"/>
      <w:sz w:val="28"/>
    </w:rPr>
  </w:style>
  <w:style w:type="paragraph" w:styleId="28">
    <w:name w:val="endnote text"/>
    <w:basedOn w:val="1"/>
    <w:link w:val="110"/>
    <w:autoRedefine/>
    <w:qFormat/>
    <w:uiPriority w:val="0"/>
    <w:pPr>
      <w:widowControl/>
      <w:snapToGrid w:val="0"/>
      <w:jc w:val="left"/>
    </w:pPr>
    <w:rPr>
      <w:rFonts w:ascii="Arial" w:hAnsi="Arial"/>
      <w:kern w:val="0"/>
      <w:sz w:val="20"/>
      <w:lang w:eastAsia="en-US"/>
    </w:rPr>
  </w:style>
  <w:style w:type="paragraph" w:styleId="29">
    <w:name w:val="Balloon Text"/>
    <w:basedOn w:val="1"/>
    <w:link w:val="89"/>
    <w:autoRedefine/>
    <w:qFormat/>
    <w:uiPriority w:val="0"/>
    <w:rPr>
      <w:sz w:val="18"/>
      <w:szCs w:val="18"/>
    </w:rPr>
  </w:style>
  <w:style w:type="paragraph" w:styleId="30">
    <w:name w:val="footer"/>
    <w:basedOn w:val="1"/>
    <w:link w:val="68"/>
    <w:autoRedefine/>
    <w:qFormat/>
    <w:uiPriority w:val="0"/>
    <w:pPr>
      <w:tabs>
        <w:tab w:val="center" w:pos="4153"/>
        <w:tab w:val="right" w:pos="8306"/>
      </w:tabs>
      <w:snapToGrid w:val="0"/>
      <w:jc w:val="left"/>
    </w:pPr>
    <w:rPr>
      <w:sz w:val="18"/>
      <w:szCs w:val="18"/>
    </w:rPr>
  </w:style>
  <w:style w:type="paragraph" w:styleId="31">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rFonts w:asciiTheme="minorHAnsi" w:hAnsiTheme="minorHAnsi" w:cstheme="minorHAnsi"/>
      <w:caps/>
      <w:sz w:val="24"/>
      <w:szCs w:val="20"/>
    </w:rPr>
  </w:style>
  <w:style w:type="paragraph" w:styleId="33">
    <w:name w:val="toc 4"/>
    <w:basedOn w:val="5"/>
    <w:next w:val="1"/>
    <w:autoRedefine/>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4">
    <w:name w:val="Subtitle"/>
    <w:basedOn w:val="1"/>
    <w:link w:val="108"/>
    <w:autoRedefine/>
    <w:qFormat/>
    <w:uiPriority w:val="0"/>
    <w:pPr>
      <w:widowControl/>
      <w:jc w:val="center"/>
    </w:pPr>
    <w:rPr>
      <w:kern w:val="0"/>
      <w:sz w:val="20"/>
      <w:u w:val="single"/>
      <w:lang w:eastAsia="en-US"/>
    </w:rPr>
  </w:style>
  <w:style w:type="paragraph" w:styleId="35">
    <w:name w:val="footnote text"/>
    <w:basedOn w:val="1"/>
    <w:link w:val="109"/>
    <w:autoRedefine/>
    <w:qFormat/>
    <w:uiPriority w:val="0"/>
    <w:pPr>
      <w:widowControl/>
      <w:snapToGrid w:val="0"/>
      <w:jc w:val="left"/>
    </w:pPr>
    <w:rPr>
      <w:rFonts w:ascii="Arial" w:hAnsi="Arial"/>
      <w:kern w:val="0"/>
      <w:sz w:val="18"/>
      <w:szCs w:val="18"/>
      <w:lang w:eastAsia="en-US"/>
    </w:rPr>
  </w:style>
  <w:style w:type="paragraph" w:styleId="36">
    <w:name w:val="toc 6"/>
    <w:basedOn w:val="1"/>
    <w:next w:val="1"/>
    <w:autoRedefine/>
    <w:qFormat/>
    <w:uiPriority w:val="39"/>
    <w:pPr>
      <w:ind w:left="1050"/>
      <w:jc w:val="left"/>
    </w:pPr>
    <w:rPr>
      <w:rFonts w:asciiTheme="minorHAnsi" w:hAnsiTheme="minorHAnsi" w:cstheme="minorHAnsi"/>
      <w:sz w:val="18"/>
      <w:szCs w:val="18"/>
    </w:rPr>
  </w:style>
  <w:style w:type="paragraph" w:styleId="37">
    <w:name w:val="Body Text Indent 3"/>
    <w:basedOn w:val="1"/>
    <w:link w:val="91"/>
    <w:autoRedefine/>
    <w:qFormat/>
    <w:uiPriority w:val="0"/>
    <w:pPr>
      <w:spacing w:line="360" w:lineRule="auto"/>
      <w:ind w:firstLine="280" w:firstLineChars="100"/>
    </w:pPr>
    <w:rPr>
      <w:rFonts w:ascii="宋体" w:hAnsi="宋体"/>
      <w:sz w:val="28"/>
      <w:szCs w:val="28"/>
    </w:rPr>
  </w:style>
  <w:style w:type="paragraph" w:styleId="38">
    <w:name w:val="table of figures"/>
    <w:basedOn w:val="1"/>
    <w:next w:val="1"/>
    <w:autoRedefine/>
    <w:qFormat/>
    <w:uiPriority w:val="0"/>
    <w:pPr>
      <w:ind w:left="200" w:leftChars="200" w:hanging="200" w:hangingChars="200"/>
    </w:pPr>
  </w:style>
  <w:style w:type="paragraph" w:styleId="39">
    <w:name w:val="toc 2"/>
    <w:basedOn w:val="3"/>
    <w:next w:val="1"/>
    <w:autoRedefine/>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4"/>
      <w:szCs w:val="20"/>
    </w:rPr>
  </w:style>
  <w:style w:type="paragraph" w:styleId="40">
    <w:name w:val="toc 9"/>
    <w:basedOn w:val="1"/>
    <w:next w:val="1"/>
    <w:autoRedefine/>
    <w:qFormat/>
    <w:uiPriority w:val="39"/>
    <w:pPr>
      <w:ind w:left="1680"/>
      <w:jc w:val="left"/>
    </w:pPr>
    <w:rPr>
      <w:rFonts w:asciiTheme="minorHAnsi" w:hAnsiTheme="minorHAnsi" w:cstheme="minorHAnsi"/>
      <w:sz w:val="18"/>
      <w:szCs w:val="18"/>
    </w:rPr>
  </w:style>
  <w:style w:type="paragraph" w:styleId="41">
    <w:name w:val="Body Text 2"/>
    <w:basedOn w:val="1"/>
    <w:link w:val="135"/>
    <w:autoRedefine/>
    <w:qFormat/>
    <w:uiPriority w:val="0"/>
    <w:rPr>
      <w:i/>
      <w:iCs/>
      <w:sz w:val="26"/>
    </w:rPr>
  </w:style>
  <w:style w:type="paragraph" w:styleId="42">
    <w:name w:val="HTML Preformatted"/>
    <w:basedOn w:val="1"/>
    <w:link w:val="7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4">
    <w:name w:val="index 1"/>
    <w:basedOn w:val="1"/>
    <w:next w:val="1"/>
    <w:autoRedefine/>
    <w:qFormat/>
    <w:uiPriority w:val="0"/>
    <w:pPr>
      <w:spacing w:line="220" w:lineRule="exact"/>
      <w:jc w:val="center"/>
    </w:pPr>
    <w:rPr>
      <w:rFonts w:ascii="仿宋_GB2312" w:eastAsia="仿宋_GB2312"/>
      <w:szCs w:val="21"/>
    </w:rPr>
  </w:style>
  <w:style w:type="paragraph" w:styleId="45">
    <w:name w:val="Title"/>
    <w:basedOn w:val="1"/>
    <w:link w:val="107"/>
    <w:autoRedefine/>
    <w:qFormat/>
    <w:uiPriority w:val="0"/>
    <w:pPr>
      <w:widowControl/>
      <w:jc w:val="center"/>
    </w:pPr>
    <w:rPr>
      <w:kern w:val="0"/>
      <w:sz w:val="20"/>
      <w:u w:val="single"/>
      <w:lang w:eastAsia="en-US"/>
    </w:rPr>
  </w:style>
  <w:style w:type="paragraph" w:styleId="46">
    <w:name w:val="annotation subject"/>
    <w:basedOn w:val="15"/>
    <w:next w:val="15"/>
    <w:link w:val="88"/>
    <w:autoRedefine/>
    <w:qFormat/>
    <w:uiPriority w:val="0"/>
    <w:rPr>
      <w:b/>
      <w:bCs/>
    </w:rPr>
  </w:style>
  <w:style w:type="table" w:styleId="48">
    <w:name w:val="Table Grid"/>
    <w:basedOn w:val="4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footnote reference"/>
    <w:autoRedefine/>
    <w:qFormat/>
    <w:uiPriority w:val="0"/>
    <w:rPr>
      <w:vertAlign w:val="superscript"/>
    </w:rPr>
  </w:style>
  <w:style w:type="character" w:customStyle="1" w:styleId="58">
    <w:name w:val="标题 1 Char"/>
    <w:link w:val="2"/>
    <w:autoRedefine/>
    <w:qFormat/>
    <w:uiPriority w:val="0"/>
    <w:rPr>
      <w:rFonts w:eastAsia="宋体"/>
      <w:b/>
      <w:bCs/>
      <w:kern w:val="44"/>
      <w:sz w:val="44"/>
      <w:szCs w:val="44"/>
      <w:lang w:bidi="ar-SA"/>
    </w:rPr>
  </w:style>
  <w:style w:type="character" w:customStyle="1" w:styleId="59">
    <w:name w:val="标题 2 Char"/>
    <w:link w:val="3"/>
    <w:autoRedefine/>
    <w:qFormat/>
    <w:uiPriority w:val="0"/>
    <w:rPr>
      <w:rFonts w:ascii="Cambria" w:hAnsi="Cambria" w:eastAsia="宋体" w:cs="Times New Roman"/>
      <w:b/>
      <w:bCs/>
      <w:kern w:val="2"/>
      <w:sz w:val="32"/>
      <w:szCs w:val="32"/>
    </w:rPr>
  </w:style>
  <w:style w:type="character" w:customStyle="1" w:styleId="60">
    <w:name w:val="标题 3 Char"/>
    <w:link w:val="4"/>
    <w:autoRedefine/>
    <w:qFormat/>
    <w:uiPriority w:val="9"/>
    <w:rPr>
      <w:b/>
      <w:bCs/>
      <w:kern w:val="2"/>
      <w:sz w:val="32"/>
      <w:szCs w:val="32"/>
    </w:rPr>
  </w:style>
  <w:style w:type="character" w:customStyle="1" w:styleId="61">
    <w:name w:val="标题 4 Char"/>
    <w:link w:val="5"/>
    <w:autoRedefine/>
    <w:qFormat/>
    <w:uiPriority w:val="0"/>
    <w:rPr>
      <w:rFonts w:ascii="宋体" w:hAnsi="宋体" w:cs="宋体"/>
      <w:b/>
      <w:bCs/>
      <w:sz w:val="24"/>
      <w:szCs w:val="24"/>
    </w:rPr>
  </w:style>
  <w:style w:type="character" w:customStyle="1" w:styleId="62">
    <w:name w:val="标题 5 Char"/>
    <w:link w:val="6"/>
    <w:autoRedefine/>
    <w:qFormat/>
    <w:uiPriority w:val="0"/>
    <w:rPr>
      <w:rFonts w:ascii="宋体" w:hAnsi="宋体" w:cs="宋体"/>
      <w:b/>
      <w:bCs/>
    </w:rPr>
  </w:style>
  <w:style w:type="character" w:customStyle="1" w:styleId="63">
    <w:name w:val="标题 6 Char"/>
    <w:link w:val="7"/>
    <w:autoRedefine/>
    <w:qFormat/>
    <w:uiPriority w:val="0"/>
    <w:rPr>
      <w:rFonts w:hAnsi="Arial" w:eastAsia="仿宋_GB2312"/>
      <w:sz w:val="30"/>
    </w:rPr>
  </w:style>
  <w:style w:type="character" w:customStyle="1" w:styleId="64">
    <w:name w:val="标题 7 Char"/>
    <w:link w:val="9"/>
    <w:autoRedefine/>
    <w:qFormat/>
    <w:uiPriority w:val="0"/>
    <w:rPr>
      <w:rFonts w:eastAsia="仿宋_GB2312"/>
      <w:sz w:val="30"/>
    </w:rPr>
  </w:style>
  <w:style w:type="character" w:customStyle="1" w:styleId="65">
    <w:name w:val="标题 8 Char"/>
    <w:link w:val="10"/>
    <w:autoRedefine/>
    <w:qFormat/>
    <w:uiPriority w:val="0"/>
    <w:rPr>
      <w:rFonts w:hAnsi="Arial" w:eastAsia="仿宋_GB2312"/>
      <w:sz w:val="30"/>
    </w:rPr>
  </w:style>
  <w:style w:type="character" w:customStyle="1" w:styleId="66">
    <w:name w:val="标题 9 Char"/>
    <w:link w:val="11"/>
    <w:autoRedefine/>
    <w:qFormat/>
    <w:uiPriority w:val="0"/>
    <w:rPr>
      <w:rFonts w:eastAsia="仿宋_GB2312"/>
      <w:sz w:val="30"/>
    </w:rPr>
  </w:style>
  <w:style w:type="character" w:customStyle="1" w:styleId="67">
    <w:name w:val="日期 Char"/>
    <w:link w:val="26"/>
    <w:autoRedefine/>
    <w:qFormat/>
    <w:uiPriority w:val="0"/>
    <w:rPr>
      <w:kern w:val="2"/>
      <w:sz w:val="21"/>
      <w:szCs w:val="24"/>
    </w:rPr>
  </w:style>
  <w:style w:type="character" w:customStyle="1" w:styleId="68">
    <w:name w:val="页脚 Char"/>
    <w:link w:val="30"/>
    <w:autoRedefine/>
    <w:qFormat/>
    <w:uiPriority w:val="0"/>
    <w:rPr>
      <w:kern w:val="2"/>
      <w:sz w:val="18"/>
      <w:szCs w:val="18"/>
    </w:rPr>
  </w:style>
  <w:style w:type="character" w:customStyle="1" w:styleId="69">
    <w:name w:val="页眉 Char"/>
    <w:link w:val="31"/>
    <w:autoRedefine/>
    <w:qFormat/>
    <w:uiPriority w:val="0"/>
    <w:rPr>
      <w:kern w:val="2"/>
      <w:sz w:val="18"/>
      <w:szCs w:val="18"/>
    </w:rPr>
  </w:style>
  <w:style w:type="paragraph" w:customStyle="1" w:styleId="7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7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72">
    <w:name w:val="纯文本 Char"/>
    <w:link w:val="24"/>
    <w:autoRedefine/>
    <w:qFormat/>
    <w:uiPriority w:val="0"/>
    <w:rPr>
      <w:rFonts w:ascii="宋体" w:hAnsi="Courier New" w:cs="Courier New"/>
      <w:kern w:val="2"/>
      <w:sz w:val="21"/>
      <w:szCs w:val="21"/>
    </w:rPr>
  </w:style>
  <w:style w:type="character" w:customStyle="1" w:styleId="73">
    <w:name w:val="正文文本缩进 Char"/>
    <w:link w:val="19"/>
    <w:autoRedefine/>
    <w:qFormat/>
    <w:uiPriority w:val="0"/>
    <w:rPr>
      <w:kern w:val="2"/>
      <w:sz w:val="21"/>
      <w:szCs w:val="24"/>
    </w:rPr>
  </w:style>
  <w:style w:type="character" w:customStyle="1" w:styleId="74">
    <w:name w:val="main_tdbg_7601"/>
    <w:autoRedefine/>
    <w:qFormat/>
    <w:uiPriority w:val="0"/>
    <w:rPr>
      <w:sz w:val="14"/>
      <w:szCs w:val="14"/>
    </w:rPr>
  </w:style>
  <w:style w:type="character" w:customStyle="1" w:styleId="75">
    <w:name w:val="color_red1"/>
    <w:autoRedefine/>
    <w:qFormat/>
    <w:uiPriority w:val="0"/>
    <w:rPr>
      <w:color w:val="FA0004"/>
    </w:rPr>
  </w:style>
  <w:style w:type="character" w:customStyle="1" w:styleId="76">
    <w:name w:val="HTML 预设格式 Char"/>
    <w:link w:val="42"/>
    <w:autoRedefine/>
    <w:qFormat/>
    <w:uiPriority w:val="0"/>
    <w:rPr>
      <w:rFonts w:ascii="宋体" w:hAnsi="宋体" w:cs="宋体"/>
      <w:color w:val="000000"/>
      <w:sz w:val="24"/>
      <w:szCs w:val="24"/>
    </w:rPr>
  </w:style>
  <w:style w:type="paragraph" w:customStyle="1" w:styleId="77">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8">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79">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0">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1">
    <w:name w:val="ly"/>
    <w:basedOn w:val="1"/>
    <w:autoRedefine/>
    <w:qFormat/>
    <w:uiPriority w:val="0"/>
    <w:pPr>
      <w:widowControl/>
      <w:spacing w:before="30"/>
      <w:jc w:val="right"/>
    </w:pPr>
    <w:rPr>
      <w:rFonts w:ascii="方正书宋简体" w:hAnsi="宋体" w:eastAsia="方正书宋简体"/>
      <w:color w:val="000000"/>
      <w:kern w:val="0"/>
      <w:szCs w:val="21"/>
    </w:rPr>
  </w:style>
  <w:style w:type="character" w:customStyle="1" w:styleId="82">
    <w:name w:val="ht1"/>
    <w:autoRedefine/>
    <w:qFormat/>
    <w:uiPriority w:val="0"/>
    <w:rPr>
      <w:rFonts w:ascii="黑体" w:eastAsia="黑体"/>
      <w:b/>
      <w:bCs/>
    </w:rPr>
  </w:style>
  <w:style w:type="paragraph" w:customStyle="1" w:styleId="83">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84">
    <w:name w:val="unnamed1"/>
    <w:basedOn w:val="49"/>
    <w:autoRedefine/>
    <w:qFormat/>
    <w:uiPriority w:val="0"/>
  </w:style>
  <w:style w:type="character" w:customStyle="1" w:styleId="85">
    <w:name w:val="正文文本 Char"/>
    <w:link w:val="17"/>
    <w:autoRedefine/>
    <w:qFormat/>
    <w:uiPriority w:val="0"/>
    <w:rPr>
      <w:kern w:val="2"/>
      <w:sz w:val="21"/>
      <w:szCs w:val="24"/>
    </w:rPr>
  </w:style>
  <w:style w:type="character" w:customStyle="1" w:styleId="86">
    <w:name w:val="style161"/>
    <w:autoRedefine/>
    <w:qFormat/>
    <w:uiPriority w:val="0"/>
    <w:rPr>
      <w:b/>
      <w:bCs/>
      <w:color w:val="333333"/>
    </w:rPr>
  </w:style>
  <w:style w:type="character" w:customStyle="1" w:styleId="87">
    <w:name w:val="批注文字 Char"/>
    <w:link w:val="15"/>
    <w:autoRedefine/>
    <w:qFormat/>
    <w:uiPriority w:val="99"/>
    <w:rPr>
      <w:kern w:val="2"/>
      <w:sz w:val="21"/>
      <w:szCs w:val="24"/>
    </w:rPr>
  </w:style>
  <w:style w:type="character" w:customStyle="1" w:styleId="88">
    <w:name w:val="批注主题 Char1"/>
    <w:link w:val="46"/>
    <w:autoRedefine/>
    <w:qFormat/>
    <w:uiPriority w:val="0"/>
    <w:rPr>
      <w:b/>
      <w:bCs/>
      <w:kern w:val="2"/>
      <w:sz w:val="21"/>
      <w:szCs w:val="24"/>
    </w:rPr>
  </w:style>
  <w:style w:type="character" w:customStyle="1" w:styleId="89">
    <w:name w:val="批注框文本 Char"/>
    <w:link w:val="29"/>
    <w:autoRedefine/>
    <w:qFormat/>
    <w:uiPriority w:val="0"/>
    <w:rPr>
      <w:kern w:val="2"/>
      <w:sz w:val="18"/>
      <w:szCs w:val="18"/>
    </w:rPr>
  </w:style>
  <w:style w:type="character" w:customStyle="1" w:styleId="90">
    <w:name w:val="正文文本缩进 2 Char"/>
    <w:link w:val="27"/>
    <w:autoRedefine/>
    <w:qFormat/>
    <w:uiPriority w:val="0"/>
    <w:rPr>
      <w:sz w:val="28"/>
      <w:szCs w:val="24"/>
    </w:rPr>
  </w:style>
  <w:style w:type="character" w:customStyle="1" w:styleId="91">
    <w:name w:val="正文文本缩进 3 Char"/>
    <w:link w:val="37"/>
    <w:autoRedefine/>
    <w:qFormat/>
    <w:uiPriority w:val="0"/>
    <w:rPr>
      <w:rFonts w:ascii="宋体" w:hAnsi="宋体"/>
      <w:kern w:val="2"/>
      <w:sz w:val="28"/>
      <w:szCs w:val="28"/>
    </w:rPr>
  </w:style>
  <w:style w:type="paragraph" w:customStyle="1" w:styleId="92">
    <w:name w:val="rr"/>
    <w:basedOn w:val="1"/>
    <w:autoRedefine/>
    <w:qFormat/>
    <w:uiPriority w:val="0"/>
    <w:pPr>
      <w:widowControl/>
      <w:spacing w:before="100" w:beforeAutospacing="1" w:after="100" w:afterAutospacing="1"/>
      <w:jc w:val="left"/>
    </w:pPr>
    <w:rPr>
      <w:rFonts w:hint="eastAsia" w:ascii="宋体" w:hAnsi="宋体"/>
      <w:kern w:val="0"/>
      <w:szCs w:val="21"/>
    </w:rPr>
  </w:style>
  <w:style w:type="character" w:customStyle="1" w:styleId="93">
    <w:name w:val="normaltext1"/>
    <w:autoRedefine/>
    <w:qFormat/>
    <w:uiPriority w:val="0"/>
    <w:rPr>
      <w:rFonts w:hint="default" w:ascii="ˎ̥" w:hAnsi="ˎ̥"/>
      <w:sz w:val="9"/>
      <w:szCs w:val="9"/>
    </w:rPr>
  </w:style>
  <w:style w:type="character" w:customStyle="1" w:styleId="94">
    <w:name w:val="0d1471"/>
    <w:autoRedefine/>
    <w:qFormat/>
    <w:uiPriority w:val="0"/>
    <w:rPr>
      <w:color w:val="000000"/>
      <w:sz w:val="11"/>
      <w:szCs w:val="11"/>
      <w:u w:val="none"/>
    </w:rPr>
  </w:style>
  <w:style w:type="character" w:customStyle="1" w:styleId="95">
    <w:name w:val="style31"/>
    <w:autoRedefine/>
    <w:qFormat/>
    <w:uiPriority w:val="0"/>
    <w:rPr>
      <w:sz w:val="10"/>
      <w:szCs w:val="10"/>
    </w:rPr>
  </w:style>
  <w:style w:type="character" w:customStyle="1" w:styleId="96">
    <w:name w:val="ss16"/>
    <w:autoRedefine/>
    <w:qFormat/>
    <w:uiPriority w:val="0"/>
    <w:rPr>
      <w:rFonts w:hint="eastAsia" w:ascii="宋体" w:hAnsi="宋体" w:eastAsia="宋体"/>
      <w:color w:val="000000"/>
      <w:sz w:val="9"/>
      <w:szCs w:val="9"/>
    </w:rPr>
  </w:style>
  <w:style w:type="paragraph" w:customStyle="1" w:styleId="97">
    <w:name w:val="1"/>
    <w:basedOn w:val="1"/>
    <w:next w:val="24"/>
    <w:autoRedefine/>
    <w:qFormat/>
    <w:uiPriority w:val="0"/>
    <w:pPr>
      <w:widowControl/>
      <w:spacing w:before="100" w:beforeAutospacing="1" w:after="100" w:afterAutospacing="1"/>
      <w:jc w:val="left"/>
    </w:pPr>
    <w:rPr>
      <w:rFonts w:ascii="ˎ̥" w:hAnsi="ˎ̥" w:cs="宋体"/>
      <w:kern w:val="0"/>
      <w:sz w:val="24"/>
    </w:rPr>
  </w:style>
  <w:style w:type="character" w:customStyle="1" w:styleId="98">
    <w:name w:val="l1"/>
    <w:basedOn w:val="49"/>
    <w:autoRedefine/>
    <w:qFormat/>
    <w:uiPriority w:val="0"/>
  </w:style>
  <w:style w:type="paragraph" w:customStyle="1" w:styleId="99">
    <w:name w:val="标题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0">
    <w:name w:val="title11"/>
    <w:autoRedefine/>
    <w:qFormat/>
    <w:uiPriority w:val="0"/>
    <w:rPr>
      <w:b/>
      <w:bCs/>
      <w:color w:val="FFFFFF"/>
      <w:sz w:val="11"/>
      <w:szCs w:val="11"/>
    </w:rPr>
  </w:style>
  <w:style w:type="character" w:customStyle="1" w:styleId="101">
    <w:name w:val="style21"/>
    <w:autoRedefine/>
    <w:qFormat/>
    <w:uiPriority w:val="0"/>
    <w:rPr>
      <w:b/>
      <w:bCs/>
      <w:sz w:val="28"/>
      <w:szCs w:val="28"/>
    </w:rPr>
  </w:style>
  <w:style w:type="paragraph" w:customStyle="1" w:styleId="102">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3">
    <w:name w:val="14t1"/>
    <w:autoRedefine/>
    <w:qFormat/>
    <w:uiPriority w:val="0"/>
    <w:rPr>
      <w:rFonts w:hint="eastAsia" w:ascii="宋体" w:hAnsi="宋体" w:eastAsia="宋体"/>
      <w:sz w:val="11"/>
      <w:szCs w:val="11"/>
    </w:rPr>
  </w:style>
  <w:style w:type="character" w:customStyle="1" w:styleId="104">
    <w:name w:val="docpro"/>
    <w:basedOn w:val="49"/>
    <w:autoRedefine/>
    <w:qFormat/>
    <w:uiPriority w:val="0"/>
  </w:style>
  <w:style w:type="paragraph" w:customStyle="1" w:styleId="105">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customStyle="1" w:styleId="106">
    <w:name w:val="style121"/>
    <w:autoRedefine/>
    <w:qFormat/>
    <w:uiPriority w:val="0"/>
    <w:rPr>
      <w:rFonts w:hint="eastAsia" w:ascii="宋体" w:hAnsi="宋体" w:eastAsia="宋体"/>
      <w:sz w:val="18"/>
      <w:szCs w:val="18"/>
    </w:rPr>
  </w:style>
  <w:style w:type="character" w:customStyle="1" w:styleId="107">
    <w:name w:val="标题 Char"/>
    <w:link w:val="45"/>
    <w:autoRedefine/>
    <w:qFormat/>
    <w:uiPriority w:val="0"/>
    <w:rPr>
      <w:szCs w:val="24"/>
      <w:u w:val="single"/>
      <w:lang w:eastAsia="en-US"/>
    </w:rPr>
  </w:style>
  <w:style w:type="character" w:customStyle="1" w:styleId="108">
    <w:name w:val="副标题 Char"/>
    <w:link w:val="34"/>
    <w:autoRedefine/>
    <w:qFormat/>
    <w:uiPriority w:val="0"/>
    <w:rPr>
      <w:szCs w:val="24"/>
      <w:u w:val="single"/>
      <w:lang w:eastAsia="en-US"/>
    </w:rPr>
  </w:style>
  <w:style w:type="character" w:customStyle="1" w:styleId="109">
    <w:name w:val="脚注文本 Char"/>
    <w:link w:val="35"/>
    <w:autoRedefine/>
    <w:qFormat/>
    <w:uiPriority w:val="0"/>
    <w:rPr>
      <w:rFonts w:ascii="Arial" w:hAnsi="Arial" w:cs="Arial"/>
      <w:sz w:val="18"/>
      <w:szCs w:val="18"/>
      <w:lang w:eastAsia="en-US"/>
    </w:rPr>
  </w:style>
  <w:style w:type="character" w:customStyle="1" w:styleId="110">
    <w:name w:val="尾注文本 Char"/>
    <w:link w:val="28"/>
    <w:autoRedefine/>
    <w:qFormat/>
    <w:uiPriority w:val="0"/>
    <w:rPr>
      <w:rFonts w:ascii="Arial" w:hAnsi="Arial" w:cs="Arial"/>
      <w:szCs w:val="24"/>
      <w:lang w:eastAsia="en-US"/>
    </w:rPr>
  </w:style>
  <w:style w:type="character" w:customStyle="1" w:styleId="111">
    <w:name w:val="正文文本 3 Char"/>
    <w:link w:val="16"/>
    <w:autoRedefine/>
    <w:qFormat/>
    <w:uiPriority w:val="0"/>
    <w:rPr>
      <w:kern w:val="2"/>
      <w:sz w:val="16"/>
      <w:szCs w:val="16"/>
    </w:rPr>
  </w:style>
  <w:style w:type="paragraph" w:customStyle="1" w:styleId="112">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113">
    <w:name w:val="font161"/>
    <w:autoRedefine/>
    <w:qFormat/>
    <w:uiPriority w:val="0"/>
    <w:rPr>
      <w:b/>
      <w:bCs/>
      <w:sz w:val="32"/>
      <w:szCs w:val="32"/>
    </w:rPr>
  </w:style>
  <w:style w:type="paragraph" w:customStyle="1" w:styleId="11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5">
    <w:name w:val="表格"/>
    <w:basedOn w:val="1"/>
    <w:autoRedefine/>
    <w:qFormat/>
    <w:uiPriority w:val="0"/>
    <w:pPr>
      <w:jc w:val="center"/>
      <w:textAlignment w:val="center"/>
    </w:pPr>
    <w:rPr>
      <w:rFonts w:ascii="华文细黑" w:hAnsi="华文细黑"/>
      <w:kern w:val="0"/>
      <w:szCs w:val="20"/>
    </w:rPr>
  </w:style>
  <w:style w:type="paragraph" w:customStyle="1" w:styleId="116">
    <w:name w:val="表格文字"/>
    <w:basedOn w:val="1"/>
    <w:autoRedefine/>
    <w:qFormat/>
    <w:uiPriority w:val="0"/>
    <w:pPr>
      <w:adjustRightInd w:val="0"/>
      <w:spacing w:line="420" w:lineRule="atLeast"/>
      <w:jc w:val="left"/>
      <w:textAlignment w:val="baseline"/>
    </w:pPr>
    <w:rPr>
      <w:kern w:val="0"/>
      <w:szCs w:val="20"/>
    </w:rPr>
  </w:style>
  <w:style w:type="character" w:customStyle="1" w:styleId="117">
    <w:name w:val="文档结构图 Char"/>
    <w:link w:val="14"/>
    <w:autoRedefine/>
    <w:qFormat/>
    <w:uiPriority w:val="0"/>
    <w:rPr>
      <w:kern w:val="2"/>
      <w:sz w:val="21"/>
      <w:szCs w:val="24"/>
      <w:shd w:val="clear" w:color="auto" w:fill="000080"/>
    </w:rPr>
  </w:style>
  <w:style w:type="paragraph" w:customStyle="1" w:styleId="118">
    <w:name w:val="自定样式1"/>
    <w:basedOn w:val="1"/>
    <w:autoRedefine/>
    <w:qFormat/>
    <w:uiPriority w:val="0"/>
    <w:pPr>
      <w:suppressAutoHyphens/>
      <w:jc w:val="center"/>
    </w:pPr>
    <w:rPr>
      <w:rFonts w:ascii="宋体" w:hAnsi="宋体"/>
      <w:color w:val="000000"/>
      <w:sz w:val="18"/>
    </w:rPr>
  </w:style>
  <w:style w:type="paragraph" w:customStyle="1" w:styleId="119">
    <w:name w:val="表格标题"/>
    <w:basedOn w:val="120"/>
    <w:autoRedefine/>
    <w:qFormat/>
    <w:uiPriority w:val="0"/>
  </w:style>
  <w:style w:type="paragraph" w:customStyle="1" w:styleId="120">
    <w:name w:val="表格内容"/>
    <w:basedOn w:val="1"/>
    <w:autoRedefine/>
    <w:qFormat/>
    <w:uiPriority w:val="0"/>
    <w:pPr>
      <w:suppressLineNumbers/>
      <w:suppressAutoHyphens/>
    </w:pPr>
  </w:style>
  <w:style w:type="paragraph" w:customStyle="1" w:styleId="121">
    <w:name w:val="WW-表格内容"/>
    <w:basedOn w:val="1"/>
    <w:autoRedefine/>
    <w:qFormat/>
    <w:uiPriority w:val="0"/>
    <w:pPr>
      <w:suppressLineNumbers/>
      <w:suppressAutoHyphens/>
    </w:pPr>
  </w:style>
  <w:style w:type="paragraph" w:customStyle="1" w:styleId="122">
    <w:name w:val="WW-表格标题"/>
    <w:basedOn w:val="121"/>
    <w:autoRedefine/>
    <w:qFormat/>
    <w:uiPriority w:val="0"/>
  </w:style>
  <w:style w:type="paragraph" w:customStyle="1" w:styleId="12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4">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5">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inte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7">
    <w:name w:val="intel3"/>
    <w:basedOn w:val="49"/>
    <w:autoRedefine/>
    <w:qFormat/>
    <w:uiPriority w:val="0"/>
  </w:style>
  <w:style w:type="character" w:customStyle="1" w:styleId="128">
    <w:name w:val="批注主题 Char"/>
    <w:autoRedefine/>
    <w:qFormat/>
    <w:uiPriority w:val="0"/>
    <w:rPr>
      <w:rFonts w:ascii="宋体" w:hAnsi="宋体"/>
      <w:kern w:val="2"/>
      <w:sz w:val="24"/>
      <w:szCs w:val="28"/>
    </w:rPr>
  </w:style>
  <w:style w:type="paragraph" w:styleId="129">
    <w:name w:val="List Paragraph"/>
    <w:basedOn w:val="1"/>
    <w:autoRedefine/>
    <w:qFormat/>
    <w:uiPriority w:val="0"/>
    <w:pPr>
      <w:ind w:firstLine="420" w:firstLineChars="200"/>
    </w:pPr>
    <w:rPr>
      <w:sz w:val="28"/>
      <w:szCs w:val="28"/>
    </w:rPr>
  </w:style>
  <w:style w:type="paragraph" w:customStyle="1" w:styleId="130">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31">
    <w:name w:val="Char Char11"/>
    <w:autoRedefine/>
    <w:qFormat/>
    <w:locked/>
    <w:uiPriority w:val="0"/>
    <w:rPr>
      <w:rFonts w:eastAsia="黑体"/>
      <w:kern w:val="2"/>
      <w:sz w:val="44"/>
      <w:szCs w:val="44"/>
      <w:lang w:val="en-US" w:eastAsia="zh-CN" w:bidi="ar-SA"/>
    </w:rPr>
  </w:style>
  <w:style w:type="character" w:customStyle="1" w:styleId="132">
    <w:name w:val="ca-141"/>
    <w:autoRedefine/>
    <w:qFormat/>
    <w:uiPriority w:val="0"/>
    <w:rPr>
      <w:rFonts w:hint="eastAsia" w:ascii="仿宋_GB2312" w:eastAsia="仿宋_GB2312"/>
      <w:sz w:val="21"/>
      <w:szCs w:val="21"/>
    </w:rPr>
  </w:style>
  <w:style w:type="paragraph" w:customStyle="1" w:styleId="133">
    <w:name w:val="pa-27"/>
    <w:basedOn w:val="1"/>
    <w:autoRedefine/>
    <w:qFormat/>
    <w:uiPriority w:val="0"/>
    <w:pPr>
      <w:widowControl/>
      <w:spacing w:line="360" w:lineRule="atLeast"/>
      <w:ind w:firstLine="420"/>
    </w:pPr>
    <w:rPr>
      <w:rFonts w:ascii="宋体" w:hAnsi="宋体" w:cs="宋体"/>
      <w:kern w:val="0"/>
      <w:sz w:val="24"/>
    </w:rPr>
  </w:style>
  <w:style w:type="paragraph" w:customStyle="1" w:styleId="134">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135">
    <w:name w:val="正文文本 2 Char"/>
    <w:link w:val="41"/>
    <w:autoRedefine/>
    <w:qFormat/>
    <w:uiPriority w:val="0"/>
    <w:rPr>
      <w:i/>
      <w:iCs/>
      <w:kern w:val="2"/>
      <w:sz w:val="26"/>
      <w:szCs w:val="24"/>
    </w:rPr>
  </w:style>
  <w:style w:type="paragraph" w:customStyle="1" w:styleId="136">
    <w:name w:val="修订1"/>
    <w:autoRedefine/>
    <w:hidden/>
    <w:qFormat/>
    <w:uiPriority w:val="0"/>
    <w:rPr>
      <w:rFonts w:ascii="Times New Roman" w:hAnsi="Times New Roman" w:eastAsia="宋体" w:cs="Times New Roman"/>
      <w:kern w:val="2"/>
      <w:sz w:val="21"/>
      <w:szCs w:val="24"/>
      <w:lang w:val="en-US" w:eastAsia="zh-CN" w:bidi="ar-SA"/>
    </w:rPr>
  </w:style>
  <w:style w:type="character" w:customStyle="1" w:styleId="137">
    <w:name w:val="纯文本 Char1"/>
    <w:autoRedefine/>
    <w:qFormat/>
    <w:uiPriority w:val="0"/>
    <w:rPr>
      <w:rFonts w:ascii="宋体" w:hAnsi="Courier New"/>
      <w:kern w:val="2"/>
      <w:sz w:val="28"/>
      <w:szCs w:val="28"/>
    </w:rPr>
  </w:style>
  <w:style w:type="paragraph" w:customStyle="1" w:styleId="13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39">
    <w:name w:val="Char Char1 Char Char Char Char Char Char Char"/>
    <w:basedOn w:val="1"/>
    <w:autoRedefine/>
    <w:qFormat/>
    <w:uiPriority w:val="0"/>
    <w:pPr>
      <w:pageBreakBefore/>
    </w:pPr>
    <w:rPr>
      <w:rFonts w:ascii="宋体" w:eastAsia="仿宋_GB2312" w:cs="宋体"/>
      <w:sz w:val="28"/>
      <w:szCs w:val="28"/>
    </w:rPr>
  </w:style>
  <w:style w:type="character" w:customStyle="1" w:styleId="140">
    <w:name w:val="标题4 Char Char"/>
    <w:link w:val="141"/>
    <w:autoRedefine/>
    <w:qFormat/>
    <w:uiPriority w:val="0"/>
    <w:rPr>
      <w:rFonts w:ascii="Arial" w:hAnsi="Arial"/>
      <w:b/>
      <w:bCs/>
      <w:sz w:val="24"/>
      <w:szCs w:val="32"/>
    </w:rPr>
  </w:style>
  <w:style w:type="paragraph" w:customStyle="1" w:styleId="141">
    <w:name w:val="标题4"/>
    <w:basedOn w:val="3"/>
    <w:next w:val="21"/>
    <w:link w:val="140"/>
    <w:autoRedefine/>
    <w:qFormat/>
    <w:uiPriority w:val="0"/>
    <w:pPr>
      <w:spacing w:line="413" w:lineRule="auto"/>
    </w:pPr>
    <w:rPr>
      <w:rFonts w:ascii="Arial" w:hAnsi="Arial"/>
      <w:kern w:val="0"/>
      <w:sz w:val="24"/>
    </w:rPr>
  </w:style>
  <w:style w:type="character" w:customStyle="1" w:styleId="142">
    <w:name w:val="明显引用 Char"/>
    <w:link w:val="143"/>
    <w:autoRedefine/>
    <w:qFormat/>
    <w:uiPriority w:val="0"/>
    <w:rPr>
      <w:b/>
      <w:bCs/>
      <w:i/>
      <w:iCs/>
      <w:color w:val="4F81BD"/>
      <w:kern w:val="2"/>
      <w:sz w:val="21"/>
      <w:szCs w:val="22"/>
    </w:rPr>
  </w:style>
  <w:style w:type="paragraph" w:styleId="143">
    <w:name w:val="Intense Quote"/>
    <w:basedOn w:val="1"/>
    <w:next w:val="1"/>
    <w:link w:val="142"/>
    <w:autoRedefine/>
    <w:qFormat/>
    <w:uiPriority w:val="0"/>
    <w:pPr>
      <w:pBdr>
        <w:bottom w:val="single" w:color="4F81BD" w:sz="4" w:space="4"/>
      </w:pBdr>
      <w:spacing w:before="200" w:after="280"/>
      <w:ind w:left="936" w:right="936"/>
    </w:pPr>
    <w:rPr>
      <w:b/>
      <w:bCs/>
      <w:i/>
      <w:iCs/>
      <w:color w:val="4F81BD"/>
      <w:szCs w:val="22"/>
    </w:rPr>
  </w:style>
  <w:style w:type="character" w:customStyle="1" w:styleId="144">
    <w:name w:val="书籍标题1"/>
    <w:autoRedefine/>
    <w:qFormat/>
    <w:uiPriority w:val="0"/>
    <w:rPr>
      <w:b/>
      <w:bCs/>
      <w:smallCaps/>
      <w:spacing w:val="5"/>
    </w:rPr>
  </w:style>
  <w:style w:type="character" w:customStyle="1" w:styleId="145">
    <w:name w:val="明显强调1"/>
    <w:autoRedefine/>
    <w:qFormat/>
    <w:uiPriority w:val="0"/>
    <w:rPr>
      <w:b/>
      <w:bCs/>
      <w:i/>
      <w:iCs/>
      <w:color w:val="4F81BD"/>
    </w:rPr>
  </w:style>
  <w:style w:type="character" w:customStyle="1" w:styleId="146">
    <w:name w:val="标题5 Char Char"/>
    <w:link w:val="147"/>
    <w:autoRedefine/>
    <w:qFormat/>
    <w:uiPriority w:val="0"/>
    <w:rPr>
      <w:rFonts w:ascii="Arial" w:hAnsi="Arial"/>
      <w:b/>
      <w:bCs/>
      <w:sz w:val="24"/>
      <w:szCs w:val="32"/>
    </w:rPr>
  </w:style>
  <w:style w:type="paragraph" w:customStyle="1" w:styleId="147">
    <w:name w:val="标题5"/>
    <w:basedOn w:val="4"/>
    <w:link w:val="146"/>
    <w:autoRedefine/>
    <w:qFormat/>
    <w:uiPriority w:val="0"/>
    <w:pPr>
      <w:spacing w:line="413" w:lineRule="auto"/>
    </w:pPr>
    <w:rPr>
      <w:rFonts w:ascii="Arial" w:hAnsi="Arial"/>
      <w:kern w:val="0"/>
      <w:sz w:val="24"/>
    </w:rPr>
  </w:style>
  <w:style w:type="character" w:customStyle="1" w:styleId="148">
    <w:name w:val="textcontents"/>
    <w:autoRedefine/>
    <w:qFormat/>
    <w:uiPriority w:val="0"/>
    <w:rPr>
      <w:rFonts w:cs="Times New Roman"/>
    </w:rPr>
  </w:style>
  <w:style w:type="character" w:customStyle="1" w:styleId="149">
    <w:name w:val="不明显强调1"/>
    <w:autoRedefine/>
    <w:qFormat/>
    <w:uiPriority w:val="0"/>
    <w:rPr>
      <w:i/>
      <w:iCs/>
      <w:color w:val="808080"/>
    </w:rPr>
  </w:style>
  <w:style w:type="character" w:customStyle="1" w:styleId="150">
    <w:name w:val="不明显参考1"/>
    <w:autoRedefine/>
    <w:qFormat/>
    <w:uiPriority w:val="0"/>
    <w:rPr>
      <w:smallCaps/>
      <w:color w:val="C0504D"/>
      <w:u w:val="single"/>
    </w:rPr>
  </w:style>
  <w:style w:type="character" w:customStyle="1" w:styleId="151">
    <w:name w:val="日期 Char1"/>
    <w:autoRedefine/>
    <w:qFormat/>
    <w:uiPriority w:val="0"/>
    <w:rPr>
      <w:kern w:val="2"/>
      <w:sz w:val="21"/>
      <w:szCs w:val="22"/>
    </w:rPr>
  </w:style>
  <w:style w:type="character" w:customStyle="1" w:styleId="152">
    <w:name w:val="正文文本 Char1"/>
    <w:autoRedefine/>
    <w:qFormat/>
    <w:uiPriority w:val="0"/>
    <w:rPr>
      <w:kern w:val="2"/>
      <w:sz w:val="21"/>
      <w:szCs w:val="22"/>
    </w:rPr>
  </w:style>
  <w:style w:type="character" w:customStyle="1" w:styleId="153">
    <w:name w:val="批注文字 Char Char"/>
    <w:autoRedefine/>
    <w:qFormat/>
    <w:uiPriority w:val="0"/>
    <w:rPr>
      <w:rFonts w:ascii="宋体" w:hAnsi="Times New Roman" w:eastAsia="宋体" w:cs="Times New Roman"/>
      <w:sz w:val="28"/>
      <w:szCs w:val="20"/>
    </w:rPr>
  </w:style>
  <w:style w:type="character" w:customStyle="1" w:styleId="154">
    <w:name w:val="明显参考1"/>
    <w:autoRedefine/>
    <w:qFormat/>
    <w:uiPriority w:val="0"/>
    <w:rPr>
      <w:b/>
      <w:bCs/>
      <w:smallCaps/>
      <w:color w:val="C0504D"/>
      <w:spacing w:val="5"/>
      <w:u w:val="single"/>
    </w:rPr>
  </w:style>
  <w:style w:type="character" w:customStyle="1" w:styleId="155">
    <w:name w:val="批注框文本 Char1"/>
    <w:autoRedefine/>
    <w:qFormat/>
    <w:uiPriority w:val="0"/>
    <w:rPr>
      <w:kern w:val="2"/>
      <w:sz w:val="18"/>
      <w:szCs w:val="18"/>
    </w:rPr>
  </w:style>
  <w:style w:type="character" w:customStyle="1" w:styleId="156">
    <w:name w:val="引用 Char"/>
    <w:link w:val="157"/>
    <w:autoRedefine/>
    <w:qFormat/>
    <w:uiPriority w:val="0"/>
    <w:rPr>
      <w:i/>
      <w:iCs/>
      <w:color w:val="000000"/>
      <w:kern w:val="2"/>
      <w:sz w:val="21"/>
      <w:szCs w:val="22"/>
    </w:rPr>
  </w:style>
  <w:style w:type="paragraph" w:styleId="157">
    <w:name w:val="Quote"/>
    <w:basedOn w:val="1"/>
    <w:next w:val="1"/>
    <w:link w:val="156"/>
    <w:autoRedefine/>
    <w:qFormat/>
    <w:uiPriority w:val="0"/>
    <w:rPr>
      <w:i/>
      <w:iCs/>
      <w:color w:val="000000"/>
      <w:szCs w:val="22"/>
    </w:rPr>
  </w:style>
  <w:style w:type="character" w:customStyle="1" w:styleId="158">
    <w:name w:val="文档结构图 Char1"/>
    <w:autoRedefine/>
    <w:qFormat/>
    <w:uiPriority w:val="0"/>
    <w:rPr>
      <w:rFonts w:ascii="宋体"/>
      <w:kern w:val="2"/>
      <w:sz w:val="18"/>
      <w:szCs w:val="18"/>
    </w:rPr>
  </w:style>
  <w:style w:type="paragraph" w:styleId="1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0">
    <w:name w:val="明显引用 Char1"/>
    <w:link w:val="161"/>
    <w:autoRedefine/>
    <w:qFormat/>
    <w:uiPriority w:val="0"/>
    <w:rPr>
      <w:b/>
      <w:bCs/>
      <w:i/>
      <w:iCs/>
      <w:color w:val="4F81BD"/>
      <w:kern w:val="2"/>
      <w:sz w:val="21"/>
      <w:szCs w:val="24"/>
    </w:rPr>
  </w:style>
  <w:style w:type="paragraph" w:customStyle="1" w:styleId="161">
    <w:name w:val="明显引用1"/>
    <w:basedOn w:val="1"/>
    <w:next w:val="1"/>
    <w:link w:val="160"/>
    <w:autoRedefine/>
    <w:qFormat/>
    <w:uiPriority w:val="0"/>
    <w:pPr>
      <w:pBdr>
        <w:bottom w:val="single" w:color="4F81BD" w:sz="4" w:space="4"/>
      </w:pBdr>
      <w:spacing w:before="200" w:after="280"/>
      <w:ind w:left="936" w:right="936"/>
    </w:pPr>
    <w:rPr>
      <w:b/>
      <w:bCs/>
      <w:i/>
      <w:iCs/>
      <w:color w:val="4F81BD"/>
    </w:rPr>
  </w:style>
  <w:style w:type="character" w:customStyle="1" w:styleId="162">
    <w:name w:val="引用 Char1"/>
    <w:link w:val="163"/>
    <w:autoRedefine/>
    <w:qFormat/>
    <w:uiPriority w:val="0"/>
    <w:rPr>
      <w:i/>
      <w:iCs/>
      <w:color w:val="000000"/>
      <w:kern w:val="2"/>
      <w:sz w:val="21"/>
      <w:szCs w:val="24"/>
    </w:rPr>
  </w:style>
  <w:style w:type="paragraph" w:customStyle="1" w:styleId="163">
    <w:name w:val="引用1"/>
    <w:basedOn w:val="1"/>
    <w:next w:val="1"/>
    <w:link w:val="162"/>
    <w:autoRedefine/>
    <w:qFormat/>
    <w:uiPriority w:val="0"/>
    <w:rPr>
      <w:i/>
      <w:iCs/>
      <w:color w:val="000000"/>
    </w:rPr>
  </w:style>
  <w:style w:type="paragraph" w:customStyle="1" w:styleId="16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6">
    <w:name w:val="Char Char Char Char Char Char Char Char Char"/>
    <w:basedOn w:val="1"/>
    <w:autoRedefine/>
    <w:qFormat/>
    <w:uiPriority w:val="0"/>
    <w:pPr>
      <w:spacing w:line="240" w:lineRule="atLeast"/>
      <w:ind w:left="420" w:firstLine="420"/>
    </w:pPr>
    <w:rPr>
      <w:kern w:val="0"/>
      <w:szCs w:val="21"/>
    </w:rPr>
  </w:style>
  <w:style w:type="paragraph" w:customStyle="1" w:styleId="167">
    <w:name w:val="Char Char8"/>
    <w:basedOn w:val="14"/>
    <w:autoRedefine/>
    <w:qFormat/>
    <w:uiPriority w:val="0"/>
    <w:pPr>
      <w:spacing w:line="360" w:lineRule="auto"/>
      <w:ind w:firstLine="200" w:firstLineChars="200"/>
    </w:p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69">
    <w:name w:val="正文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8"/>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TOC 标题2"/>
    <w:basedOn w:val="2"/>
    <w:next w:val="1"/>
    <w:autoRedefine/>
    <w:unhideWhenUsed/>
    <w:qFormat/>
    <w:uiPriority w:val="0"/>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3">
    <w:name w:val="正文首行缩进 Char"/>
    <w:basedOn w:val="85"/>
    <w:link w:val="18"/>
    <w:autoRedefine/>
    <w:qFormat/>
    <w:uiPriority w:val="0"/>
    <w:rPr>
      <w:rFonts w:ascii="Calibri" w:hAnsi="Calibri" w:eastAsia="楷体_GB2312"/>
      <w:kern w:val="2"/>
      <w:sz w:val="21"/>
      <w:szCs w:val="24"/>
    </w:rPr>
  </w:style>
  <w:style w:type="paragraph" w:customStyle="1" w:styleId="174">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175">
    <w:name w:val="引用2"/>
    <w:basedOn w:val="1"/>
    <w:next w:val="1"/>
    <w:autoRedefine/>
    <w:qFormat/>
    <w:uiPriority w:val="0"/>
    <w:rPr>
      <w:i/>
      <w:iCs/>
      <w:color w:val="000000" w:themeColor="text1"/>
      <w14:textFill>
        <w14:solidFill>
          <w14:schemeClr w14:val="tx1"/>
        </w14:solidFill>
      </w14:textFill>
    </w:rPr>
  </w:style>
  <w:style w:type="paragraph" w:customStyle="1" w:styleId="176">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77">
    <w:name w:val="列表段落1"/>
    <w:basedOn w:val="1"/>
    <w:autoRedefine/>
    <w:qFormat/>
    <w:uiPriority w:val="34"/>
    <w:pPr>
      <w:ind w:firstLine="420" w:firstLineChars="200"/>
    </w:pPr>
    <w:rPr>
      <w:rFonts w:ascii="Calibri" w:hAnsi="Calibri"/>
    </w:rPr>
  </w:style>
  <w:style w:type="paragraph" w:customStyle="1" w:styleId="17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9">
    <w:name w:val="Char"/>
    <w:basedOn w:val="1"/>
    <w:autoRedefine/>
    <w:qFormat/>
    <w:uiPriority w:val="0"/>
  </w:style>
  <w:style w:type="paragraph" w:customStyle="1" w:styleId="180">
    <w:name w:val="p15"/>
    <w:basedOn w:val="1"/>
    <w:autoRedefine/>
    <w:qFormat/>
    <w:uiPriority w:val="0"/>
    <w:pPr>
      <w:widowControl/>
      <w:spacing w:after="120"/>
    </w:pPr>
    <w:rPr>
      <w:kern w:val="0"/>
      <w:szCs w:val="21"/>
    </w:rPr>
  </w:style>
  <w:style w:type="paragraph" w:customStyle="1" w:styleId="181">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82">
    <w:name w:val="p16"/>
    <w:basedOn w:val="1"/>
    <w:autoRedefine/>
    <w:qFormat/>
    <w:uiPriority w:val="0"/>
    <w:pPr>
      <w:widowControl/>
    </w:pPr>
    <w:rPr>
      <w:rFonts w:ascii="Calibri" w:hAnsi="Calibri" w:cs="宋体"/>
      <w:kern w:val="0"/>
      <w:szCs w:val="21"/>
    </w:rPr>
  </w:style>
  <w:style w:type="paragraph" w:customStyle="1" w:styleId="183">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4">
    <w:name w:val="1 Char"/>
    <w:basedOn w:val="1"/>
    <w:autoRedefine/>
    <w:qFormat/>
    <w:uiPriority w:val="0"/>
    <w:pPr>
      <w:widowControl/>
      <w:spacing w:after="160" w:line="240" w:lineRule="exact"/>
      <w:jc w:val="left"/>
    </w:pPr>
    <w:rPr>
      <w:rFonts w:ascii="Calibri" w:hAnsi="Calibri"/>
      <w:szCs w:val="20"/>
    </w:rPr>
  </w:style>
  <w:style w:type="paragraph" w:customStyle="1" w:styleId="185">
    <w:name w:val="Char2"/>
    <w:basedOn w:val="1"/>
    <w:autoRedefine/>
    <w:qFormat/>
    <w:uiPriority w:val="0"/>
    <w:rPr>
      <w:rFonts w:ascii="Calibri" w:hAnsi="Calibri"/>
    </w:rPr>
  </w:style>
  <w:style w:type="paragraph" w:customStyle="1" w:styleId="186">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87">
    <w:name w:val="Char11"/>
    <w:basedOn w:val="1"/>
    <w:autoRedefine/>
    <w:qFormat/>
    <w:uiPriority w:val="0"/>
  </w:style>
  <w:style w:type="paragraph" w:customStyle="1" w:styleId="188">
    <w:name w:val="Char1"/>
    <w:basedOn w:val="1"/>
    <w:autoRedefine/>
    <w:qFormat/>
    <w:uiPriority w:val="0"/>
  </w:style>
  <w:style w:type="paragraph" w:customStyle="1" w:styleId="189">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90">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1">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92">
    <w:name w:val="Char Char Char Char"/>
    <w:basedOn w:val="14"/>
    <w:autoRedefine/>
    <w:qFormat/>
    <w:uiPriority w:val="0"/>
    <w:pPr>
      <w:spacing w:line="360" w:lineRule="auto"/>
      <w:ind w:firstLine="200" w:firstLineChars="200"/>
    </w:pPr>
    <w:rPr>
      <w:rFonts w:ascii="Tahoma" w:hAnsi="Tahoma"/>
      <w:sz w:val="24"/>
    </w:rPr>
  </w:style>
  <w:style w:type="paragraph" w:customStyle="1" w:styleId="193">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94">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95">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96">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7">
    <w:name w:val="标准样式1"/>
    <w:basedOn w:val="1"/>
    <w:autoRedefine/>
    <w:qFormat/>
    <w:uiPriority w:val="0"/>
    <w:pPr>
      <w:spacing w:line="600" w:lineRule="exact"/>
      <w:ind w:firstLine="567"/>
    </w:pPr>
    <w:rPr>
      <w:rFonts w:ascii="Calibri" w:hAnsi="Calibri"/>
      <w:sz w:val="28"/>
    </w:rPr>
  </w:style>
  <w:style w:type="paragraph" w:customStyle="1" w:styleId="198">
    <w:name w:val="TOC 标题1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99">
    <w:name w:val="Default Char"/>
    <w:link w:val="200"/>
    <w:autoRedefine/>
    <w:qFormat/>
    <w:locked/>
    <w:uiPriority w:val="0"/>
    <w:rPr>
      <w:rFonts w:ascii="仿宋" w:hAnsi="仿宋" w:eastAsia="仿宋"/>
      <w:color w:val="000000"/>
      <w:sz w:val="24"/>
      <w:szCs w:val="24"/>
    </w:rPr>
  </w:style>
  <w:style w:type="paragraph" w:customStyle="1" w:styleId="200">
    <w:name w:val="Default"/>
    <w:link w:val="199"/>
    <w:autoRedefine/>
    <w:qFormat/>
    <w:uiPriority w:val="0"/>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01">
    <w:name w:val="TOC 标题12"/>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02">
    <w:name w:val="列出段落1"/>
    <w:basedOn w:val="1"/>
    <w:autoRedefine/>
    <w:qFormat/>
    <w:uiPriority w:val="0"/>
    <w:pPr>
      <w:ind w:firstLine="420" w:firstLineChars="200"/>
    </w:pPr>
    <w:rPr>
      <w:sz w:val="28"/>
      <w:szCs w:val="28"/>
    </w:rPr>
  </w:style>
  <w:style w:type="paragraph" w:customStyle="1" w:styleId="203">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204">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205">
    <w:name w:val="正  文"/>
    <w:basedOn w:val="1"/>
    <w:autoRedefine/>
    <w:qFormat/>
    <w:uiPriority w:val="0"/>
    <w:pPr>
      <w:spacing w:line="360" w:lineRule="auto"/>
      <w:ind w:firstLine="200" w:firstLineChars="200"/>
    </w:pPr>
    <w:rPr>
      <w:rFonts w:ascii="宋体" w:hAnsi="Calibri"/>
      <w:sz w:val="24"/>
    </w:rPr>
  </w:style>
  <w:style w:type="paragraph" w:customStyle="1" w:styleId="20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列出段落11"/>
    <w:basedOn w:val="1"/>
    <w:autoRedefine/>
    <w:qFormat/>
    <w:uiPriority w:val="0"/>
    <w:pPr>
      <w:ind w:firstLine="420" w:firstLineChars="200"/>
    </w:pPr>
    <w:rPr>
      <w:sz w:val="28"/>
      <w:szCs w:val="28"/>
    </w:rPr>
  </w:style>
  <w:style w:type="paragraph" w:customStyle="1" w:styleId="208">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09">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10">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211">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2">
    <w:name w:val="表体"/>
    <w:basedOn w:val="1"/>
    <w:next w:val="1"/>
    <w:autoRedefine/>
    <w:qFormat/>
    <w:uiPriority w:val="0"/>
    <w:pPr>
      <w:snapToGrid w:val="0"/>
      <w:spacing w:line="0" w:lineRule="atLeast"/>
    </w:pPr>
    <w:rPr>
      <w:rFonts w:ascii="Calibri" w:hAnsi="Calibri"/>
      <w:b/>
      <w:szCs w:val="20"/>
    </w:rPr>
  </w:style>
  <w:style w:type="paragraph" w:customStyle="1" w:styleId="213">
    <w:name w:val="_Style 87"/>
    <w:basedOn w:val="1"/>
    <w:autoRedefine/>
    <w:qFormat/>
    <w:uiPriority w:val="99"/>
    <w:pPr>
      <w:ind w:firstLine="420" w:firstLineChars="200"/>
    </w:pPr>
    <w:rPr>
      <w:rFonts w:ascii="Calibri" w:hAnsi="Calibri"/>
      <w:sz w:val="28"/>
      <w:szCs w:val="28"/>
    </w:rPr>
  </w:style>
  <w:style w:type="paragraph" w:customStyle="1" w:styleId="214">
    <w:name w:val="_Style 3"/>
    <w:autoRedefine/>
    <w:qFormat/>
    <w:uiPriority w:val="0"/>
    <w:pPr>
      <w:widowControl w:val="0"/>
      <w:snapToGrid w:val="0"/>
      <w:spacing w:line="360" w:lineRule="auto"/>
    </w:pPr>
    <w:rPr>
      <w:rFonts w:ascii="Calibri" w:hAnsi="Calibri" w:eastAsia="宋体" w:cs="Times New Roman"/>
      <w:sz w:val="21"/>
      <w:szCs w:val="24"/>
      <w:lang w:val="en-US" w:eastAsia="zh-CN" w:bidi="ar-SA"/>
    </w:rPr>
  </w:style>
  <w:style w:type="paragraph" w:customStyle="1" w:styleId="21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7">
    <w:name w:val="样式1"/>
    <w:basedOn w:val="1"/>
    <w:next w:val="5"/>
    <w:autoRedefine/>
    <w:qFormat/>
    <w:uiPriority w:val="0"/>
    <w:pPr>
      <w:spacing w:line="360" w:lineRule="auto"/>
      <w:ind w:firstLine="420" w:firstLineChars="200"/>
    </w:pPr>
    <w:rPr>
      <w:rFonts w:ascii="宋体" w:hAnsi="宋体"/>
      <w:szCs w:val="21"/>
    </w:rPr>
  </w:style>
  <w:style w:type="paragraph" w:customStyle="1" w:styleId="218">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19">
    <w:name w:val="_Style 105"/>
    <w:basedOn w:val="2"/>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0">
    <w:name w:val="正文-表格内文字"/>
    <w:basedOn w:val="1"/>
    <w:autoRedefine/>
    <w:qFormat/>
    <w:uiPriority w:val="0"/>
    <w:pPr>
      <w:spacing w:line="264" w:lineRule="auto"/>
    </w:pPr>
  </w:style>
  <w:style w:type="paragraph" w:customStyle="1" w:styleId="221">
    <w:name w:val="Char9"/>
    <w:basedOn w:val="14"/>
    <w:autoRedefine/>
    <w:qFormat/>
    <w:uiPriority w:val="0"/>
    <w:pPr>
      <w:spacing w:line="360" w:lineRule="auto"/>
      <w:ind w:firstLine="200" w:firstLineChars="200"/>
    </w:pPr>
    <w:rPr>
      <w:rFonts w:ascii="Calibri" w:hAnsi="Calibri"/>
    </w:rPr>
  </w:style>
  <w:style w:type="paragraph" w:customStyle="1" w:styleId="222">
    <w:name w:val="Char Char Char Char Char Char Char"/>
    <w:basedOn w:val="1"/>
    <w:autoRedefine/>
    <w:qFormat/>
    <w:uiPriority w:val="0"/>
    <w:rPr>
      <w:rFonts w:ascii="仿宋_GB2312" w:hAnsi="Calibri" w:eastAsia="仿宋_GB2312"/>
      <w:b/>
      <w:sz w:val="32"/>
      <w:szCs w:val="32"/>
    </w:rPr>
  </w:style>
  <w:style w:type="paragraph" w:customStyle="1" w:styleId="223">
    <w:name w:val="xl2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24">
    <w:name w:val="默认段落字体 Para Char Char Char Char Char Char Char Char Char Char Char Char Char"/>
    <w:basedOn w:val="1"/>
    <w:autoRedefine/>
    <w:qFormat/>
    <w:uiPriority w:val="0"/>
  </w:style>
  <w:style w:type="paragraph" w:customStyle="1" w:styleId="225">
    <w:name w:val="p20"/>
    <w:basedOn w:val="1"/>
    <w:autoRedefine/>
    <w:qFormat/>
    <w:uiPriority w:val="0"/>
    <w:pPr>
      <w:widowControl/>
      <w:jc w:val="left"/>
    </w:pPr>
    <w:rPr>
      <w:rFonts w:ascii="宋体" w:hAnsi="宋体" w:cs="宋体"/>
      <w:kern w:val="0"/>
      <w:szCs w:val="21"/>
    </w:rPr>
  </w:style>
  <w:style w:type="paragraph" w:customStyle="1" w:styleId="226">
    <w:name w:val="p19"/>
    <w:basedOn w:val="1"/>
    <w:autoRedefine/>
    <w:qFormat/>
    <w:uiPriority w:val="0"/>
    <w:pPr>
      <w:widowControl/>
    </w:pPr>
    <w:rPr>
      <w:kern w:val="0"/>
      <w:szCs w:val="21"/>
    </w:rPr>
  </w:style>
  <w:style w:type="character" w:customStyle="1" w:styleId="227">
    <w:name w:val="Char Char17"/>
    <w:autoRedefine/>
    <w:qFormat/>
    <w:uiPriority w:val="0"/>
    <w:rPr>
      <w:kern w:val="2"/>
      <w:sz w:val="26"/>
      <w:szCs w:val="24"/>
    </w:rPr>
  </w:style>
  <w:style w:type="character" w:customStyle="1" w:styleId="228">
    <w:name w:val="Char Char35"/>
    <w:autoRedefine/>
    <w:qFormat/>
    <w:uiPriority w:val="0"/>
    <w:rPr>
      <w:rFonts w:hint="eastAsia" w:ascii="仿宋_GB2312" w:eastAsia="仿宋_GB2312" w:cs="MingLiU"/>
      <w:b/>
      <w:sz w:val="24"/>
      <w:szCs w:val="28"/>
    </w:rPr>
  </w:style>
  <w:style w:type="character" w:customStyle="1" w:styleId="229">
    <w:name w:val="正文文本缩进 Char1"/>
    <w:autoRedefine/>
    <w:qFormat/>
    <w:uiPriority w:val="0"/>
    <w:rPr>
      <w:kern w:val="2"/>
      <w:sz w:val="21"/>
      <w:szCs w:val="24"/>
    </w:rPr>
  </w:style>
  <w:style w:type="character" w:customStyle="1" w:styleId="230">
    <w:name w:val="批注主题 Char4"/>
    <w:autoRedefine/>
    <w:semiHidden/>
    <w:qFormat/>
    <w:locked/>
    <w:uiPriority w:val="0"/>
    <w:rPr>
      <w:b/>
      <w:bCs/>
      <w:kern w:val="2"/>
      <w:sz w:val="21"/>
      <w:szCs w:val="24"/>
    </w:rPr>
  </w:style>
  <w:style w:type="character" w:customStyle="1" w:styleId="231">
    <w:name w:val="标题 2 Char1"/>
    <w:autoRedefine/>
    <w:qFormat/>
    <w:uiPriority w:val="0"/>
    <w:rPr>
      <w:rFonts w:hint="default" w:ascii="Cambria" w:hAnsi="Cambria" w:eastAsia="宋体" w:cs="Times New Roman"/>
      <w:b/>
      <w:bCs/>
      <w:kern w:val="2"/>
      <w:sz w:val="32"/>
      <w:szCs w:val="32"/>
    </w:rPr>
  </w:style>
  <w:style w:type="character" w:customStyle="1" w:styleId="232">
    <w:name w:val="标题 5 Char2"/>
    <w:autoRedefine/>
    <w:semiHidden/>
    <w:qFormat/>
    <w:locked/>
    <w:uiPriority w:val="0"/>
    <w:rPr>
      <w:rFonts w:ascii="宋体" w:hAnsi="宋体" w:cs="宋体"/>
      <w:b/>
      <w:bCs/>
    </w:rPr>
  </w:style>
  <w:style w:type="character" w:customStyle="1" w:styleId="233">
    <w:name w:val="普通文字 Char Char1"/>
    <w:autoRedefine/>
    <w:qFormat/>
    <w:uiPriority w:val="0"/>
    <w:rPr>
      <w:rFonts w:hint="eastAsia" w:ascii="宋体" w:hAnsi="Courier New" w:eastAsia="宋体"/>
      <w:kern w:val="2"/>
      <w:sz w:val="28"/>
      <w:szCs w:val="28"/>
    </w:rPr>
  </w:style>
  <w:style w:type="character" w:customStyle="1" w:styleId="234">
    <w:name w:val="标题 6 Char2"/>
    <w:autoRedefine/>
    <w:semiHidden/>
    <w:qFormat/>
    <w:locked/>
    <w:uiPriority w:val="0"/>
    <w:rPr>
      <w:rFonts w:hAnsi="Arial" w:eastAsia="仿宋_GB2312"/>
      <w:sz w:val="30"/>
    </w:rPr>
  </w:style>
  <w:style w:type="character" w:customStyle="1" w:styleId="235">
    <w:name w:val="Char Char32"/>
    <w:autoRedefine/>
    <w:qFormat/>
    <w:uiPriority w:val="0"/>
    <w:rPr>
      <w:rFonts w:hint="eastAsia" w:ascii="仿宋_GB2312" w:eastAsia="仿宋_GB2312" w:cs="MingLiU"/>
      <w:b/>
      <w:spacing w:val="1"/>
      <w:w w:val="99"/>
      <w:sz w:val="28"/>
      <w:szCs w:val="32"/>
    </w:rPr>
  </w:style>
  <w:style w:type="character" w:customStyle="1" w:styleId="236">
    <w:name w:val="批注主题 Char2"/>
    <w:autoRedefine/>
    <w:qFormat/>
    <w:uiPriority w:val="99"/>
    <w:rPr>
      <w:b/>
      <w:bCs/>
      <w:kern w:val="2"/>
      <w:sz w:val="21"/>
      <w:szCs w:val="24"/>
    </w:rPr>
  </w:style>
  <w:style w:type="character" w:customStyle="1" w:styleId="237">
    <w:name w:val="引用 Char3"/>
    <w:autoRedefine/>
    <w:qFormat/>
    <w:uiPriority w:val="29"/>
    <w:rPr>
      <w:rFonts w:hint="default" w:ascii="Calibri" w:hAnsi="Calibri" w:eastAsia="宋体" w:cs="Times New Roman"/>
      <w:i/>
      <w:iCs/>
      <w:color w:val="000000"/>
      <w:szCs w:val="24"/>
    </w:rPr>
  </w:style>
  <w:style w:type="character" w:customStyle="1" w:styleId="238">
    <w:name w:val="文档结构图 Char3"/>
    <w:autoRedefine/>
    <w:semiHidden/>
    <w:qFormat/>
    <w:uiPriority w:val="99"/>
    <w:rPr>
      <w:rFonts w:hint="eastAsia" w:ascii="宋体" w:hAnsi="Calibri" w:eastAsia="宋体" w:cs="Times New Roman"/>
      <w:sz w:val="18"/>
      <w:szCs w:val="18"/>
    </w:rPr>
  </w:style>
  <w:style w:type="character" w:customStyle="1" w:styleId="239">
    <w:name w:val="HTML 预设格式 Char2"/>
    <w:autoRedefine/>
    <w:semiHidden/>
    <w:qFormat/>
    <w:uiPriority w:val="99"/>
    <w:rPr>
      <w:rFonts w:hint="default" w:ascii="Courier New" w:hAnsi="Courier New" w:eastAsia="宋体" w:cs="Courier New"/>
      <w:sz w:val="20"/>
      <w:szCs w:val="20"/>
    </w:rPr>
  </w:style>
  <w:style w:type="character" w:customStyle="1" w:styleId="240">
    <w:name w:val="正文文本缩进 3 Char3"/>
    <w:autoRedefine/>
    <w:semiHidden/>
    <w:qFormat/>
    <w:locked/>
    <w:uiPriority w:val="0"/>
    <w:rPr>
      <w:rFonts w:ascii="宋体" w:hAnsi="宋体"/>
      <w:kern w:val="2"/>
      <w:sz w:val="28"/>
      <w:szCs w:val="28"/>
    </w:rPr>
  </w:style>
  <w:style w:type="character" w:customStyle="1" w:styleId="241">
    <w:name w:val="ITTHEADER2 Char"/>
    <w:autoRedefine/>
    <w:qFormat/>
    <w:uiPriority w:val="0"/>
    <w:rPr>
      <w:rFonts w:hint="eastAsia" w:ascii="仿宋_GB2312" w:eastAsia="仿宋_GB2312" w:cs="MingLiU"/>
      <w:b/>
      <w:spacing w:val="1"/>
      <w:w w:val="99"/>
      <w:sz w:val="28"/>
      <w:szCs w:val="32"/>
      <w:lang w:val="en-US" w:eastAsia="zh-CN" w:bidi="ar-SA"/>
    </w:rPr>
  </w:style>
  <w:style w:type="character" w:customStyle="1" w:styleId="242">
    <w:name w:val="Char Char24"/>
    <w:autoRedefine/>
    <w:qFormat/>
    <w:uiPriority w:val="0"/>
    <w:rPr>
      <w:b/>
      <w:bCs/>
      <w:kern w:val="44"/>
      <w:sz w:val="44"/>
      <w:szCs w:val="44"/>
    </w:rPr>
  </w:style>
  <w:style w:type="character" w:customStyle="1" w:styleId="243">
    <w:name w:val="标题 3 Char1"/>
    <w:autoRedefine/>
    <w:qFormat/>
    <w:uiPriority w:val="0"/>
    <w:rPr>
      <w:rFonts w:hint="default" w:ascii="Times New Roman" w:hAnsi="Times New Roman" w:eastAsia="宋体" w:cs="Times New Roman"/>
      <w:b/>
      <w:bCs/>
      <w:kern w:val="2"/>
      <w:sz w:val="32"/>
      <w:szCs w:val="32"/>
    </w:rPr>
  </w:style>
  <w:style w:type="character" w:customStyle="1" w:styleId="244">
    <w:name w:val="标题 4 Char2"/>
    <w:autoRedefine/>
    <w:semiHidden/>
    <w:qFormat/>
    <w:locked/>
    <w:uiPriority w:val="0"/>
    <w:rPr>
      <w:rFonts w:ascii="宋体" w:hAnsi="宋体" w:cs="宋体"/>
      <w:b/>
      <w:bCs/>
      <w:sz w:val="24"/>
      <w:szCs w:val="24"/>
    </w:rPr>
  </w:style>
  <w:style w:type="character" w:customStyle="1" w:styleId="245">
    <w:name w:val="s3"/>
    <w:autoRedefine/>
    <w:qFormat/>
    <w:uiPriority w:val="0"/>
  </w:style>
  <w:style w:type="character" w:customStyle="1" w:styleId="246">
    <w:name w:val="正文文本缩进 2 Char1"/>
    <w:autoRedefine/>
    <w:qFormat/>
    <w:uiPriority w:val="0"/>
    <w:rPr>
      <w:sz w:val="28"/>
      <w:szCs w:val="24"/>
    </w:rPr>
  </w:style>
  <w:style w:type="character" w:customStyle="1" w:styleId="247">
    <w:name w:val="Char Char14"/>
    <w:autoRedefine/>
    <w:qFormat/>
    <w:uiPriority w:val="0"/>
    <w:rPr>
      <w:kern w:val="2"/>
      <w:sz w:val="18"/>
      <w:szCs w:val="18"/>
    </w:rPr>
  </w:style>
  <w:style w:type="character" w:customStyle="1" w:styleId="248">
    <w:name w:val="正文文本 3 Char1"/>
    <w:autoRedefine/>
    <w:qFormat/>
    <w:uiPriority w:val="0"/>
    <w:rPr>
      <w:kern w:val="2"/>
      <w:sz w:val="16"/>
      <w:szCs w:val="16"/>
    </w:rPr>
  </w:style>
  <w:style w:type="character" w:customStyle="1" w:styleId="249">
    <w:name w:val="批注文字 Char2"/>
    <w:autoRedefine/>
    <w:qFormat/>
    <w:uiPriority w:val="0"/>
    <w:rPr>
      <w:rFonts w:hint="default" w:ascii="Calibri" w:hAnsi="Calibri" w:eastAsia="宋体" w:cs="Times New Roman"/>
      <w:szCs w:val="24"/>
    </w:rPr>
  </w:style>
  <w:style w:type="character" w:customStyle="1" w:styleId="250">
    <w:name w:val="标题 8 Char1"/>
    <w:autoRedefine/>
    <w:qFormat/>
    <w:uiPriority w:val="0"/>
    <w:rPr>
      <w:rFonts w:hint="default" w:ascii="Times New Roman" w:hAnsi="Arial" w:eastAsia="仿宋_GB2312" w:cs="Times New Roman"/>
      <w:sz w:val="30"/>
      <w:szCs w:val="20"/>
    </w:rPr>
  </w:style>
  <w:style w:type="character" w:customStyle="1" w:styleId="251">
    <w:name w:val="批注框文本 Char4"/>
    <w:autoRedefine/>
    <w:semiHidden/>
    <w:qFormat/>
    <w:locked/>
    <w:uiPriority w:val="0"/>
    <w:rPr>
      <w:kern w:val="2"/>
      <w:sz w:val="18"/>
      <w:szCs w:val="18"/>
    </w:rPr>
  </w:style>
  <w:style w:type="character" w:customStyle="1" w:styleId="252">
    <w:name w:val="正文文本 3 Char2"/>
    <w:autoRedefine/>
    <w:semiHidden/>
    <w:qFormat/>
    <w:uiPriority w:val="99"/>
    <w:rPr>
      <w:rFonts w:hint="default" w:ascii="Calibri" w:hAnsi="Calibri" w:eastAsia="宋体" w:cs="Times New Roman"/>
      <w:sz w:val="16"/>
      <w:szCs w:val="16"/>
    </w:rPr>
  </w:style>
  <w:style w:type="character" w:customStyle="1" w:styleId="253">
    <w:name w:val="HTML 预设格式 Char1"/>
    <w:autoRedefine/>
    <w:qFormat/>
    <w:uiPriority w:val="0"/>
    <w:rPr>
      <w:rFonts w:hint="eastAsia" w:ascii="宋体" w:hAnsi="宋体" w:eastAsia="宋体" w:cs="宋体"/>
      <w:color w:val="000000"/>
      <w:sz w:val="24"/>
      <w:szCs w:val="24"/>
    </w:rPr>
  </w:style>
  <w:style w:type="character" w:customStyle="1" w:styleId="254">
    <w:name w:val="标题 Char2"/>
    <w:autoRedefine/>
    <w:qFormat/>
    <w:uiPriority w:val="10"/>
    <w:rPr>
      <w:rFonts w:hint="default" w:ascii="Cambria" w:hAnsi="Cambria" w:eastAsia="宋体" w:cs="Times New Roman"/>
      <w:b/>
      <w:bCs/>
      <w:sz w:val="32"/>
      <w:szCs w:val="32"/>
    </w:rPr>
  </w:style>
  <w:style w:type="character" w:customStyle="1" w:styleId="255">
    <w:name w:val="正文文本缩进 Char3"/>
    <w:autoRedefine/>
    <w:semiHidden/>
    <w:qFormat/>
    <w:locked/>
    <w:uiPriority w:val="0"/>
    <w:rPr>
      <w:kern w:val="2"/>
      <w:sz w:val="21"/>
      <w:szCs w:val="24"/>
    </w:rPr>
  </w:style>
  <w:style w:type="character" w:customStyle="1" w:styleId="256">
    <w:name w:val="明显引用 Char3"/>
    <w:autoRedefine/>
    <w:qFormat/>
    <w:uiPriority w:val="30"/>
    <w:rPr>
      <w:rFonts w:hint="default" w:ascii="Calibri" w:hAnsi="Calibri" w:eastAsia="宋体" w:cs="Times New Roman"/>
      <w:b/>
      <w:bCs/>
      <w:i/>
      <w:iCs/>
      <w:color w:val="4F81BD"/>
      <w:szCs w:val="24"/>
    </w:rPr>
  </w:style>
  <w:style w:type="character" w:customStyle="1" w:styleId="257">
    <w:name w:val="Char Char23"/>
    <w:autoRedefine/>
    <w:qFormat/>
    <w:uiPriority w:val="0"/>
    <w:rPr>
      <w:rFonts w:hint="default" w:ascii="Cambria" w:hAnsi="Cambria" w:eastAsia="宋体" w:cs="Times New Roman"/>
      <w:b/>
      <w:bCs/>
      <w:kern w:val="2"/>
      <w:sz w:val="32"/>
      <w:szCs w:val="32"/>
    </w:rPr>
  </w:style>
  <w:style w:type="character" w:customStyle="1" w:styleId="258">
    <w:name w:val="Section Char"/>
    <w:autoRedefine/>
    <w:qFormat/>
    <w:uiPriority w:val="0"/>
    <w:rPr>
      <w:rFonts w:hint="eastAsia" w:ascii="仿宋_GB2312" w:eastAsia="仿宋_GB2312" w:cs="MingLiU"/>
      <w:b/>
      <w:sz w:val="24"/>
      <w:szCs w:val="28"/>
      <w:lang w:val="en-US" w:eastAsia="zh-CN" w:bidi="ar-SA"/>
    </w:rPr>
  </w:style>
  <w:style w:type="character" w:customStyle="1" w:styleId="259">
    <w:name w:val="Char Char13"/>
    <w:autoRedefine/>
    <w:qFormat/>
    <w:uiPriority w:val="0"/>
    <w:rPr>
      <w:kern w:val="2"/>
      <w:sz w:val="18"/>
      <w:szCs w:val="18"/>
    </w:rPr>
  </w:style>
  <w:style w:type="character" w:customStyle="1" w:styleId="260">
    <w:name w:val="未处理的提及1"/>
    <w:autoRedefine/>
    <w:qFormat/>
    <w:uiPriority w:val="99"/>
    <w:rPr>
      <w:color w:val="808080"/>
      <w:shd w:val="clear" w:color="auto" w:fill="E6E6E6"/>
    </w:rPr>
  </w:style>
  <w:style w:type="character" w:customStyle="1" w:styleId="261">
    <w:name w:val="标题 1 Char2"/>
    <w:autoRedefine/>
    <w:qFormat/>
    <w:locked/>
    <w:uiPriority w:val="0"/>
    <w:rPr>
      <w:b/>
      <w:bCs/>
      <w:kern w:val="44"/>
      <w:sz w:val="44"/>
      <w:szCs w:val="44"/>
    </w:rPr>
  </w:style>
  <w:style w:type="character" w:customStyle="1" w:styleId="262">
    <w:name w:val="普通文字 Char Char2"/>
    <w:autoRedefine/>
    <w:qFormat/>
    <w:uiPriority w:val="0"/>
    <w:rPr>
      <w:rFonts w:hint="eastAsia" w:ascii="宋体" w:hAnsi="Courier New" w:eastAsia="宋体"/>
      <w:kern w:val="2"/>
      <w:sz w:val="28"/>
      <w:szCs w:val="28"/>
    </w:rPr>
  </w:style>
  <w:style w:type="character" w:customStyle="1" w:styleId="263">
    <w:name w:val="标题 3 Char2"/>
    <w:autoRedefine/>
    <w:semiHidden/>
    <w:qFormat/>
    <w:locked/>
    <w:uiPriority w:val="0"/>
    <w:rPr>
      <w:b/>
      <w:bCs/>
      <w:kern w:val="2"/>
      <w:sz w:val="32"/>
      <w:szCs w:val="32"/>
    </w:rPr>
  </w:style>
  <w:style w:type="character" w:customStyle="1" w:styleId="264">
    <w:name w:val="批注文字 Char1"/>
    <w:autoRedefine/>
    <w:qFormat/>
    <w:uiPriority w:val="0"/>
    <w:rPr>
      <w:rFonts w:hint="default" w:ascii="Times New Roman" w:hAnsi="Times New Roman" w:eastAsia="宋体" w:cs="Times New Roman"/>
      <w:szCs w:val="24"/>
    </w:rPr>
  </w:style>
  <w:style w:type="character" w:customStyle="1" w:styleId="265">
    <w:name w:val="尾注文本 Char1"/>
    <w:autoRedefine/>
    <w:qFormat/>
    <w:uiPriority w:val="0"/>
    <w:rPr>
      <w:rFonts w:hint="default" w:ascii="Arial" w:hAnsi="Arial" w:cs="Arial"/>
      <w:szCs w:val="24"/>
      <w:lang w:eastAsia="en-US"/>
    </w:rPr>
  </w:style>
  <w:style w:type="character" w:customStyle="1" w:styleId="266">
    <w:name w:val="标题 8 Char2"/>
    <w:autoRedefine/>
    <w:semiHidden/>
    <w:qFormat/>
    <w:locked/>
    <w:uiPriority w:val="0"/>
    <w:rPr>
      <w:rFonts w:hAnsi="Arial" w:eastAsia="仿宋_GB2312"/>
      <w:sz w:val="30"/>
    </w:rPr>
  </w:style>
  <w:style w:type="character" w:customStyle="1" w:styleId="267">
    <w:name w:val="Char Char12"/>
    <w:autoRedefine/>
    <w:qFormat/>
    <w:uiPriority w:val="0"/>
    <w:rPr>
      <w:rFonts w:hint="eastAsia" w:ascii="黑体" w:hAnsi="黑体" w:eastAsia="黑体"/>
      <w:kern w:val="2"/>
      <w:sz w:val="44"/>
      <w:szCs w:val="44"/>
      <w:lang w:val="en-US" w:eastAsia="zh-CN" w:bidi="ar-SA"/>
    </w:rPr>
  </w:style>
  <w:style w:type="character" w:customStyle="1" w:styleId="268">
    <w:name w:val="标题 7 Char1"/>
    <w:autoRedefine/>
    <w:qFormat/>
    <w:uiPriority w:val="0"/>
    <w:rPr>
      <w:rFonts w:hint="default" w:ascii="Times New Roman" w:hAnsi="Times New Roman" w:eastAsia="仿宋_GB2312" w:cs="Times New Roman"/>
      <w:sz w:val="30"/>
      <w:szCs w:val="20"/>
    </w:rPr>
  </w:style>
  <w:style w:type="character" w:customStyle="1" w:styleId="269">
    <w:name w:val="明显引用 Char4"/>
    <w:autoRedefine/>
    <w:qFormat/>
    <w:locked/>
    <w:uiPriority w:val="0"/>
    <w:rPr>
      <w:b/>
      <w:bCs/>
      <w:i/>
      <w:iCs/>
      <w:color w:val="4F81BD"/>
      <w:kern w:val="2"/>
      <w:sz w:val="21"/>
      <w:szCs w:val="22"/>
    </w:rPr>
  </w:style>
  <w:style w:type="character" w:customStyle="1" w:styleId="270">
    <w:name w:val="subhead1"/>
    <w:autoRedefine/>
    <w:qFormat/>
    <w:uiPriority w:val="0"/>
    <w:rPr>
      <w:rFonts w:hint="default" w:ascii="Tahoma" w:hAnsi="Tahoma" w:cs="Tahoma"/>
      <w:color w:val="000000"/>
      <w:sz w:val="18"/>
      <w:szCs w:val="18"/>
      <w:u w:val="none"/>
      <w:shd w:val="clear" w:color="auto" w:fill="FFFFFF"/>
    </w:rPr>
  </w:style>
  <w:style w:type="character" w:customStyle="1" w:styleId="271">
    <w:name w:val="日期 Char2"/>
    <w:autoRedefine/>
    <w:qFormat/>
    <w:uiPriority w:val="99"/>
    <w:rPr>
      <w:kern w:val="2"/>
      <w:sz w:val="21"/>
      <w:szCs w:val="24"/>
    </w:rPr>
  </w:style>
  <w:style w:type="character" w:customStyle="1" w:styleId="272">
    <w:name w:val="脚注文本 Char3"/>
    <w:autoRedefine/>
    <w:semiHidden/>
    <w:qFormat/>
    <w:locked/>
    <w:uiPriority w:val="0"/>
    <w:rPr>
      <w:rFonts w:ascii="Arial" w:hAnsi="Arial" w:cs="Arial"/>
      <w:sz w:val="18"/>
      <w:szCs w:val="18"/>
      <w:lang w:eastAsia="en-US"/>
    </w:rPr>
  </w:style>
  <w:style w:type="character" w:customStyle="1" w:styleId="273">
    <w:name w:val="页脚 Char1"/>
    <w:autoRedefine/>
    <w:semiHidden/>
    <w:qFormat/>
    <w:uiPriority w:val="0"/>
    <w:rPr>
      <w:kern w:val="2"/>
      <w:sz w:val="18"/>
      <w:szCs w:val="18"/>
    </w:rPr>
  </w:style>
  <w:style w:type="character" w:customStyle="1" w:styleId="274">
    <w:name w:val="标题 1 Char1"/>
    <w:autoRedefine/>
    <w:qFormat/>
    <w:uiPriority w:val="0"/>
    <w:rPr>
      <w:rFonts w:hint="default" w:ascii="Times New Roman" w:hAnsi="Times New Roman" w:eastAsia="宋体" w:cs="Times New Roman"/>
      <w:b/>
      <w:bCs/>
      <w:kern w:val="44"/>
      <w:sz w:val="44"/>
      <w:szCs w:val="44"/>
    </w:rPr>
  </w:style>
  <w:style w:type="character" w:customStyle="1" w:styleId="275">
    <w:name w:val="正文文本 Char4"/>
    <w:autoRedefine/>
    <w:qFormat/>
    <w:uiPriority w:val="0"/>
    <w:rPr>
      <w:rFonts w:hint="eastAsia" w:ascii="宋体" w:hAnsi="宋体" w:eastAsia="宋体"/>
      <w:kern w:val="2"/>
      <w:sz w:val="21"/>
      <w:szCs w:val="24"/>
      <w:lang w:val="en-US" w:eastAsia="zh-CN" w:bidi="ar-SA"/>
    </w:rPr>
  </w:style>
  <w:style w:type="character" w:customStyle="1" w:styleId="276">
    <w:name w:val="标题 5 Char1"/>
    <w:autoRedefine/>
    <w:qFormat/>
    <w:uiPriority w:val="0"/>
    <w:rPr>
      <w:rFonts w:hint="eastAsia" w:ascii="宋体" w:hAnsi="宋体" w:eastAsia="宋体" w:cs="宋体"/>
      <w:b/>
      <w:bCs/>
      <w:sz w:val="20"/>
      <w:szCs w:val="20"/>
    </w:rPr>
  </w:style>
  <w:style w:type="character" w:customStyle="1" w:styleId="277">
    <w:name w:val="批注主题 Char3"/>
    <w:autoRedefine/>
    <w:semiHidden/>
    <w:qFormat/>
    <w:uiPriority w:val="99"/>
    <w:rPr>
      <w:rFonts w:hint="default" w:ascii="Calibri" w:hAnsi="Calibri" w:eastAsia="宋体" w:cs="Times New Roman"/>
      <w:b/>
      <w:bCs/>
      <w:szCs w:val="24"/>
    </w:rPr>
  </w:style>
  <w:style w:type="character" w:customStyle="1" w:styleId="278">
    <w:name w:val="正文文本 2 Char1"/>
    <w:autoRedefine/>
    <w:qFormat/>
    <w:uiPriority w:val="0"/>
    <w:rPr>
      <w:rFonts w:hint="default" w:ascii="Calibri" w:hAnsi="Calibri" w:eastAsia="宋体" w:cs="Times New Roman"/>
      <w:szCs w:val="24"/>
    </w:rPr>
  </w:style>
  <w:style w:type="character" w:customStyle="1" w:styleId="279">
    <w:name w:val="副标题 Char1"/>
    <w:autoRedefine/>
    <w:qFormat/>
    <w:uiPriority w:val="0"/>
    <w:rPr>
      <w:szCs w:val="24"/>
      <w:u w:val="single"/>
      <w:lang w:eastAsia="en-US"/>
    </w:rPr>
  </w:style>
  <w:style w:type="character" w:customStyle="1" w:styleId="280">
    <w:name w:val="日期 Char4"/>
    <w:autoRedefine/>
    <w:semiHidden/>
    <w:qFormat/>
    <w:locked/>
    <w:uiPriority w:val="0"/>
    <w:rPr>
      <w:kern w:val="2"/>
      <w:sz w:val="21"/>
      <w:szCs w:val="24"/>
    </w:rPr>
  </w:style>
  <w:style w:type="character" w:customStyle="1" w:styleId="281">
    <w:name w:val="正文文本缩进 2 Char2"/>
    <w:autoRedefine/>
    <w:semiHidden/>
    <w:qFormat/>
    <w:uiPriority w:val="99"/>
    <w:rPr>
      <w:rFonts w:hint="default" w:ascii="Calibri" w:hAnsi="Calibri" w:eastAsia="宋体" w:cs="Times New Roman"/>
      <w:szCs w:val="24"/>
    </w:rPr>
  </w:style>
  <w:style w:type="character" w:customStyle="1" w:styleId="282">
    <w:name w:val="日期 Char3"/>
    <w:autoRedefine/>
    <w:semiHidden/>
    <w:qFormat/>
    <w:uiPriority w:val="99"/>
    <w:rPr>
      <w:rFonts w:hint="default" w:ascii="Calibri" w:hAnsi="Calibri" w:eastAsia="宋体" w:cs="Times New Roman"/>
      <w:szCs w:val="24"/>
    </w:rPr>
  </w:style>
  <w:style w:type="character" w:customStyle="1" w:styleId="283">
    <w:name w:val="正文文本 3 Char3"/>
    <w:autoRedefine/>
    <w:semiHidden/>
    <w:qFormat/>
    <w:locked/>
    <w:uiPriority w:val="0"/>
    <w:rPr>
      <w:kern w:val="2"/>
      <w:sz w:val="16"/>
      <w:szCs w:val="16"/>
    </w:rPr>
  </w:style>
  <w:style w:type="character" w:customStyle="1" w:styleId="284">
    <w:name w:val="正文文本缩进 Char2"/>
    <w:autoRedefine/>
    <w:semiHidden/>
    <w:qFormat/>
    <w:uiPriority w:val="99"/>
    <w:rPr>
      <w:rFonts w:hint="default" w:ascii="Calibri" w:hAnsi="Calibri" w:eastAsia="宋体" w:cs="Times New Roman"/>
      <w:szCs w:val="24"/>
    </w:rPr>
  </w:style>
  <w:style w:type="character" w:customStyle="1" w:styleId="285">
    <w:name w:val="纯文本 Char2"/>
    <w:autoRedefine/>
    <w:semiHidden/>
    <w:qFormat/>
    <w:uiPriority w:val="99"/>
    <w:rPr>
      <w:rFonts w:hint="eastAsia" w:ascii="宋体" w:hAnsi="Courier New" w:eastAsia="宋体" w:cs="Courier New"/>
      <w:szCs w:val="21"/>
    </w:rPr>
  </w:style>
  <w:style w:type="character" w:customStyle="1" w:styleId="286">
    <w:name w:val="标题 Char3"/>
    <w:autoRedefine/>
    <w:qFormat/>
    <w:locked/>
    <w:uiPriority w:val="0"/>
    <w:rPr>
      <w:szCs w:val="24"/>
      <w:u w:val="single"/>
      <w:lang w:eastAsia="en-US"/>
    </w:rPr>
  </w:style>
  <w:style w:type="character" w:customStyle="1" w:styleId="287">
    <w:name w:val="副标题 Char2"/>
    <w:autoRedefine/>
    <w:qFormat/>
    <w:uiPriority w:val="11"/>
    <w:rPr>
      <w:rFonts w:hint="default" w:ascii="Cambria" w:hAnsi="Cambria" w:eastAsia="宋体" w:cs="Times New Roman"/>
      <w:b/>
      <w:bCs/>
      <w:kern w:val="28"/>
      <w:sz w:val="32"/>
      <w:szCs w:val="32"/>
    </w:rPr>
  </w:style>
  <w:style w:type="character" w:customStyle="1" w:styleId="288">
    <w:name w:val="书籍标题11"/>
    <w:autoRedefine/>
    <w:qFormat/>
    <w:uiPriority w:val="0"/>
    <w:rPr>
      <w:b/>
      <w:bCs/>
      <w:smallCaps/>
      <w:spacing w:val="5"/>
    </w:rPr>
  </w:style>
  <w:style w:type="character" w:customStyle="1" w:styleId="289">
    <w:name w:val="引用 Char4"/>
    <w:autoRedefine/>
    <w:qFormat/>
    <w:locked/>
    <w:uiPriority w:val="0"/>
    <w:rPr>
      <w:i/>
      <w:iCs/>
      <w:color w:val="000000"/>
      <w:kern w:val="2"/>
      <w:sz w:val="21"/>
      <w:szCs w:val="22"/>
    </w:rPr>
  </w:style>
  <w:style w:type="character" w:customStyle="1" w:styleId="290">
    <w:name w:val="引用 Char2"/>
    <w:basedOn w:val="49"/>
    <w:autoRedefine/>
    <w:qFormat/>
    <w:uiPriority w:val="99"/>
    <w:rPr>
      <w:i/>
      <w:iCs/>
      <w:color w:val="000000" w:themeColor="text1"/>
      <w:kern w:val="2"/>
      <w:sz w:val="21"/>
      <w:szCs w:val="24"/>
      <w14:textFill>
        <w14:solidFill>
          <w14:schemeClr w14:val="tx1"/>
        </w14:solidFill>
      </w14:textFill>
    </w:rPr>
  </w:style>
  <w:style w:type="character" w:customStyle="1" w:styleId="291">
    <w:name w:val="纯文本 Char3"/>
    <w:autoRedefine/>
    <w:qFormat/>
    <w:locked/>
    <w:uiPriority w:val="0"/>
    <w:rPr>
      <w:rFonts w:ascii="宋体" w:hAnsi="Courier New" w:cs="Courier New"/>
      <w:kern w:val="2"/>
      <w:sz w:val="21"/>
      <w:szCs w:val="21"/>
    </w:rPr>
  </w:style>
  <w:style w:type="character" w:customStyle="1" w:styleId="292">
    <w:name w:val="页眉 Char1"/>
    <w:autoRedefine/>
    <w:semiHidden/>
    <w:qFormat/>
    <w:uiPriority w:val="0"/>
    <w:rPr>
      <w:kern w:val="2"/>
      <w:sz w:val="18"/>
      <w:szCs w:val="18"/>
    </w:rPr>
  </w:style>
  <w:style w:type="character" w:customStyle="1" w:styleId="293">
    <w:name w:val="文档结构图 Char4"/>
    <w:autoRedefine/>
    <w:semiHidden/>
    <w:qFormat/>
    <w:locked/>
    <w:uiPriority w:val="0"/>
    <w:rPr>
      <w:kern w:val="2"/>
      <w:sz w:val="21"/>
      <w:szCs w:val="24"/>
      <w:shd w:val="clear" w:color="auto" w:fill="000080"/>
    </w:rPr>
  </w:style>
  <w:style w:type="character" w:customStyle="1" w:styleId="294">
    <w:name w:val="Char Char9"/>
    <w:autoRedefine/>
    <w:qFormat/>
    <w:locked/>
    <w:uiPriority w:val="0"/>
    <w:rPr>
      <w:rFonts w:hint="eastAsia" w:ascii="仿宋_GB2312" w:eastAsia="仿宋_GB2312" w:cs="MingLiU"/>
      <w:b/>
      <w:sz w:val="24"/>
      <w:szCs w:val="28"/>
      <w:lang w:val="en-US" w:eastAsia="zh-CN" w:bidi="ar-SA"/>
    </w:rPr>
  </w:style>
  <w:style w:type="character" w:customStyle="1" w:styleId="295">
    <w:name w:val="明显参考2"/>
    <w:autoRedefine/>
    <w:qFormat/>
    <w:uiPriority w:val="0"/>
    <w:rPr>
      <w:b/>
      <w:bCs/>
      <w:smallCaps/>
      <w:color w:val="C0504D"/>
      <w:spacing w:val="5"/>
      <w:u w:val="single"/>
    </w:rPr>
  </w:style>
  <w:style w:type="character" w:customStyle="1" w:styleId="296">
    <w:name w:val="不明显强调2"/>
    <w:autoRedefine/>
    <w:qFormat/>
    <w:uiPriority w:val="0"/>
    <w:rPr>
      <w:i/>
      <w:iCs/>
      <w:color w:val="808080"/>
    </w:rPr>
  </w:style>
  <w:style w:type="character" w:customStyle="1" w:styleId="297">
    <w:name w:val="明显引用 Char2"/>
    <w:autoRedefine/>
    <w:qFormat/>
    <w:uiPriority w:val="99"/>
    <w:rPr>
      <w:b/>
      <w:bCs/>
      <w:i/>
      <w:iCs/>
      <w:color w:val="4F81BD"/>
      <w:kern w:val="2"/>
      <w:sz w:val="21"/>
      <w:szCs w:val="24"/>
    </w:rPr>
  </w:style>
  <w:style w:type="character" w:customStyle="1" w:styleId="298">
    <w:name w:val="标题 7 Char2"/>
    <w:autoRedefine/>
    <w:semiHidden/>
    <w:qFormat/>
    <w:locked/>
    <w:uiPriority w:val="0"/>
    <w:rPr>
      <w:rFonts w:eastAsia="仿宋_GB2312"/>
      <w:sz w:val="30"/>
    </w:rPr>
  </w:style>
  <w:style w:type="character" w:customStyle="1" w:styleId="299">
    <w:name w:val="标题 9 Char2"/>
    <w:autoRedefine/>
    <w:semiHidden/>
    <w:qFormat/>
    <w:locked/>
    <w:uiPriority w:val="0"/>
    <w:rPr>
      <w:rFonts w:eastAsia="仿宋_GB2312"/>
      <w:sz w:val="30"/>
    </w:rPr>
  </w:style>
  <w:style w:type="character" w:customStyle="1" w:styleId="300">
    <w:name w:val="Char Char34"/>
    <w:autoRedefine/>
    <w:qFormat/>
    <w:uiPriority w:val="0"/>
    <w:rPr>
      <w:rFonts w:hint="eastAsia" w:ascii="仿宋_GB2312" w:eastAsia="仿宋_GB2312" w:cs="MingLiU"/>
      <w:b/>
      <w:spacing w:val="1"/>
      <w:w w:val="99"/>
      <w:sz w:val="28"/>
      <w:szCs w:val="32"/>
    </w:rPr>
  </w:style>
  <w:style w:type="character" w:customStyle="1" w:styleId="301">
    <w:name w:val="标题 Char1"/>
    <w:autoRedefine/>
    <w:qFormat/>
    <w:uiPriority w:val="10"/>
    <w:rPr>
      <w:szCs w:val="24"/>
      <w:u w:val="single"/>
      <w:lang w:eastAsia="en-US"/>
    </w:rPr>
  </w:style>
  <w:style w:type="character" w:customStyle="1" w:styleId="302">
    <w:name w:val="正文文本缩进 3 Char2"/>
    <w:autoRedefine/>
    <w:semiHidden/>
    <w:qFormat/>
    <w:uiPriority w:val="99"/>
    <w:rPr>
      <w:rFonts w:hint="default" w:ascii="Calibri" w:hAnsi="Calibri" w:eastAsia="宋体" w:cs="Times New Roman"/>
      <w:sz w:val="16"/>
      <w:szCs w:val="16"/>
    </w:rPr>
  </w:style>
  <w:style w:type="character" w:customStyle="1" w:styleId="303">
    <w:name w:val="文档结构图 Char2"/>
    <w:autoRedefine/>
    <w:qFormat/>
    <w:uiPriority w:val="99"/>
    <w:rPr>
      <w:kern w:val="2"/>
      <w:sz w:val="21"/>
      <w:szCs w:val="24"/>
      <w:shd w:val="clear" w:color="auto" w:fill="000080"/>
    </w:rPr>
  </w:style>
  <w:style w:type="character" w:customStyle="1" w:styleId="304">
    <w:name w:val="尾注文本 Char2"/>
    <w:autoRedefine/>
    <w:semiHidden/>
    <w:qFormat/>
    <w:uiPriority w:val="99"/>
    <w:rPr>
      <w:rFonts w:hint="default" w:ascii="Calibri" w:hAnsi="Calibri" w:eastAsia="宋体" w:cs="Times New Roman"/>
      <w:szCs w:val="24"/>
    </w:rPr>
  </w:style>
  <w:style w:type="character" w:customStyle="1" w:styleId="305">
    <w:name w:val="标题 9 Char1"/>
    <w:autoRedefine/>
    <w:qFormat/>
    <w:uiPriority w:val="0"/>
    <w:rPr>
      <w:rFonts w:hint="default" w:ascii="Times New Roman" w:hAnsi="Times New Roman" w:eastAsia="仿宋_GB2312" w:cs="Times New Roman"/>
      <w:sz w:val="30"/>
      <w:szCs w:val="20"/>
    </w:rPr>
  </w:style>
  <w:style w:type="character" w:customStyle="1" w:styleId="306">
    <w:name w:val="Char Char36"/>
    <w:autoRedefine/>
    <w:qFormat/>
    <w:uiPriority w:val="0"/>
    <w:rPr>
      <w:rFonts w:hint="eastAsia" w:ascii="仿宋_GB2312" w:eastAsia="仿宋_GB2312" w:cs="MingLiU"/>
      <w:b/>
      <w:sz w:val="24"/>
      <w:szCs w:val="28"/>
    </w:rPr>
  </w:style>
  <w:style w:type="character" w:customStyle="1" w:styleId="307">
    <w:name w:val="明显强调2"/>
    <w:autoRedefine/>
    <w:qFormat/>
    <w:uiPriority w:val="0"/>
    <w:rPr>
      <w:b/>
      <w:bCs/>
      <w:i/>
      <w:iCs/>
      <w:color w:val="4F81BD"/>
    </w:rPr>
  </w:style>
  <w:style w:type="character" w:customStyle="1" w:styleId="308">
    <w:name w:val="Char Char33"/>
    <w:autoRedefine/>
    <w:qFormat/>
    <w:uiPriority w:val="0"/>
    <w:rPr>
      <w:rFonts w:hint="eastAsia" w:ascii="仿宋_GB2312" w:eastAsia="仿宋_GB2312" w:cs="MingLiU"/>
      <w:b/>
      <w:sz w:val="24"/>
      <w:szCs w:val="28"/>
    </w:rPr>
  </w:style>
  <w:style w:type="character" w:customStyle="1" w:styleId="309">
    <w:name w:val="脚注文本 Char1"/>
    <w:autoRedefine/>
    <w:qFormat/>
    <w:uiPriority w:val="0"/>
    <w:rPr>
      <w:rFonts w:hint="default" w:ascii="Arial" w:hAnsi="Arial" w:cs="Arial"/>
      <w:sz w:val="18"/>
      <w:szCs w:val="18"/>
      <w:lang w:eastAsia="en-US"/>
    </w:rPr>
  </w:style>
  <w:style w:type="character" w:customStyle="1" w:styleId="310">
    <w:name w:val="标题 2 Char2"/>
    <w:autoRedefine/>
    <w:semiHidden/>
    <w:qFormat/>
    <w:locked/>
    <w:uiPriority w:val="0"/>
    <w:rPr>
      <w:rFonts w:ascii="Cambria" w:hAnsi="Cambria"/>
      <w:b/>
      <w:bCs/>
      <w:kern w:val="2"/>
      <w:sz w:val="32"/>
      <w:szCs w:val="32"/>
    </w:rPr>
  </w:style>
  <w:style w:type="character" w:customStyle="1" w:styleId="311">
    <w:name w:val="正文文本 Char2"/>
    <w:autoRedefine/>
    <w:qFormat/>
    <w:uiPriority w:val="99"/>
    <w:rPr>
      <w:kern w:val="2"/>
      <w:sz w:val="21"/>
      <w:szCs w:val="24"/>
    </w:rPr>
  </w:style>
  <w:style w:type="character" w:customStyle="1" w:styleId="312">
    <w:name w:val="尾注文本 Char3"/>
    <w:autoRedefine/>
    <w:semiHidden/>
    <w:qFormat/>
    <w:locked/>
    <w:uiPriority w:val="0"/>
    <w:rPr>
      <w:rFonts w:ascii="Arial" w:hAnsi="Arial" w:cs="Arial"/>
      <w:szCs w:val="24"/>
      <w:lang w:eastAsia="en-US"/>
    </w:rPr>
  </w:style>
  <w:style w:type="character" w:customStyle="1" w:styleId="313">
    <w:name w:val="ITTHEADER1 Char"/>
    <w:autoRedefine/>
    <w:qFormat/>
    <w:uiPriority w:val="0"/>
    <w:rPr>
      <w:rFonts w:hint="eastAsia" w:ascii="黑体" w:hAnsi="黑体" w:eastAsia="黑体"/>
      <w:kern w:val="2"/>
      <w:sz w:val="44"/>
      <w:szCs w:val="44"/>
      <w:lang w:val="en-US" w:eastAsia="zh-CN" w:bidi="ar-SA"/>
    </w:rPr>
  </w:style>
  <w:style w:type="character" w:customStyle="1" w:styleId="314">
    <w:name w:val="批注框文本 Char2"/>
    <w:autoRedefine/>
    <w:qFormat/>
    <w:uiPriority w:val="99"/>
    <w:rPr>
      <w:kern w:val="2"/>
      <w:sz w:val="18"/>
      <w:szCs w:val="18"/>
    </w:rPr>
  </w:style>
  <w:style w:type="character" w:customStyle="1" w:styleId="315">
    <w:name w:val="正文文本缩进 3 Char1"/>
    <w:autoRedefine/>
    <w:qFormat/>
    <w:uiPriority w:val="0"/>
    <w:rPr>
      <w:rFonts w:hint="eastAsia" w:ascii="宋体" w:hAnsi="宋体" w:eastAsia="宋体"/>
      <w:kern w:val="2"/>
      <w:sz w:val="28"/>
      <w:szCs w:val="28"/>
    </w:rPr>
  </w:style>
  <w:style w:type="character" w:customStyle="1" w:styleId="316">
    <w:name w:val="标题 4 Char1"/>
    <w:autoRedefine/>
    <w:qFormat/>
    <w:uiPriority w:val="0"/>
    <w:rPr>
      <w:rFonts w:hint="eastAsia" w:ascii="宋体" w:hAnsi="宋体" w:eastAsia="宋体" w:cs="宋体"/>
      <w:b/>
      <w:bCs/>
      <w:sz w:val="24"/>
      <w:szCs w:val="24"/>
    </w:rPr>
  </w:style>
  <w:style w:type="character" w:customStyle="1" w:styleId="317">
    <w:name w:val="批注文字 Char3"/>
    <w:autoRedefine/>
    <w:semiHidden/>
    <w:qFormat/>
    <w:locked/>
    <w:uiPriority w:val="99"/>
    <w:rPr>
      <w:kern w:val="2"/>
      <w:sz w:val="21"/>
      <w:szCs w:val="24"/>
    </w:rPr>
  </w:style>
  <w:style w:type="character" w:customStyle="1" w:styleId="318">
    <w:name w:val="正文文本 Char3"/>
    <w:autoRedefine/>
    <w:semiHidden/>
    <w:qFormat/>
    <w:uiPriority w:val="99"/>
    <w:rPr>
      <w:rFonts w:hint="default" w:ascii="Calibri" w:hAnsi="Calibri" w:eastAsia="宋体" w:cs="Times New Roman"/>
      <w:szCs w:val="24"/>
    </w:rPr>
  </w:style>
  <w:style w:type="character" w:customStyle="1" w:styleId="319">
    <w:name w:val="标题 6 Char1"/>
    <w:autoRedefine/>
    <w:qFormat/>
    <w:uiPriority w:val="0"/>
    <w:rPr>
      <w:rFonts w:hint="default" w:ascii="Times New Roman" w:hAnsi="Arial" w:eastAsia="仿宋_GB2312" w:cs="Times New Roman"/>
      <w:sz w:val="30"/>
      <w:szCs w:val="20"/>
    </w:rPr>
  </w:style>
  <w:style w:type="character" w:customStyle="1" w:styleId="320">
    <w:name w:val="正文文本缩进 2 Char3"/>
    <w:autoRedefine/>
    <w:semiHidden/>
    <w:qFormat/>
    <w:locked/>
    <w:uiPriority w:val="0"/>
    <w:rPr>
      <w:sz w:val="28"/>
      <w:szCs w:val="24"/>
    </w:rPr>
  </w:style>
  <w:style w:type="character" w:customStyle="1" w:styleId="321">
    <w:name w:val="批注框文本 Char3"/>
    <w:autoRedefine/>
    <w:semiHidden/>
    <w:qFormat/>
    <w:uiPriority w:val="99"/>
    <w:rPr>
      <w:rFonts w:hint="default" w:ascii="Calibri" w:hAnsi="Calibri" w:eastAsia="宋体" w:cs="Times New Roman"/>
      <w:sz w:val="18"/>
      <w:szCs w:val="18"/>
    </w:rPr>
  </w:style>
  <w:style w:type="character" w:customStyle="1" w:styleId="322">
    <w:name w:val="脚注文本 Char2"/>
    <w:autoRedefine/>
    <w:semiHidden/>
    <w:qFormat/>
    <w:uiPriority w:val="99"/>
    <w:rPr>
      <w:rFonts w:hint="default" w:ascii="Calibri" w:hAnsi="Calibri" w:eastAsia="宋体" w:cs="Times New Roman"/>
      <w:sz w:val="18"/>
      <w:szCs w:val="18"/>
    </w:rPr>
  </w:style>
  <w:style w:type="character" w:customStyle="1" w:styleId="323">
    <w:name w:val="不明显参考11"/>
    <w:autoRedefine/>
    <w:qFormat/>
    <w:uiPriority w:val="0"/>
    <w:rPr>
      <w:smallCaps/>
      <w:color w:val="C0504D"/>
      <w:u w:val="single"/>
    </w:rPr>
  </w:style>
  <w:style w:type="character" w:customStyle="1" w:styleId="324">
    <w:name w:val="HTML 预设格式 Char3"/>
    <w:autoRedefine/>
    <w:semiHidden/>
    <w:qFormat/>
    <w:locked/>
    <w:uiPriority w:val="0"/>
    <w:rPr>
      <w:rFonts w:ascii="宋体" w:hAnsi="宋体" w:cs="宋体"/>
      <w:color w:val="000000"/>
      <w:sz w:val="24"/>
      <w:szCs w:val="24"/>
    </w:rPr>
  </w:style>
  <w:style w:type="character" w:customStyle="1" w:styleId="325">
    <w:name w:val="页脚 Char2"/>
    <w:autoRedefine/>
    <w:semiHidden/>
    <w:qFormat/>
    <w:locked/>
    <w:uiPriority w:val="0"/>
    <w:rPr>
      <w:kern w:val="2"/>
      <w:sz w:val="18"/>
      <w:szCs w:val="18"/>
    </w:rPr>
  </w:style>
  <w:style w:type="character" w:customStyle="1" w:styleId="326">
    <w:name w:val="页眉 Char2"/>
    <w:autoRedefine/>
    <w:semiHidden/>
    <w:qFormat/>
    <w:locked/>
    <w:uiPriority w:val="0"/>
    <w:rPr>
      <w:kern w:val="2"/>
      <w:sz w:val="18"/>
      <w:szCs w:val="18"/>
    </w:rPr>
  </w:style>
  <w:style w:type="character" w:customStyle="1" w:styleId="327">
    <w:name w:val="Char Char21"/>
    <w:autoRedefine/>
    <w:qFormat/>
    <w:uiPriority w:val="0"/>
    <w:rPr>
      <w:rFonts w:hint="eastAsia" w:ascii="宋体" w:hAnsi="宋体" w:eastAsia="宋体" w:cs="宋体"/>
      <w:b/>
      <w:bCs/>
      <w:sz w:val="24"/>
      <w:szCs w:val="24"/>
    </w:rPr>
  </w:style>
  <w:style w:type="character" w:customStyle="1" w:styleId="328">
    <w:name w:val="副标题 Char3"/>
    <w:autoRedefine/>
    <w:qFormat/>
    <w:locked/>
    <w:uiPriority w:val="0"/>
    <w:rPr>
      <w:szCs w:val="24"/>
      <w:u w:val="single"/>
      <w:lang w:eastAsia="en-US"/>
    </w:rPr>
  </w:style>
  <w:style w:type="character" w:customStyle="1" w:styleId="329">
    <w:name w:val="手改 Char Char"/>
    <w:autoRedefine/>
    <w:qFormat/>
    <w:uiPriority w:val="0"/>
    <w:rPr>
      <w:kern w:val="2"/>
      <w:sz w:val="21"/>
      <w:szCs w:val="24"/>
    </w:rPr>
  </w:style>
  <w:style w:type="character" w:customStyle="1" w:styleId="330">
    <w:name w:val="Char Char22"/>
    <w:autoRedefine/>
    <w:qFormat/>
    <w:uiPriority w:val="0"/>
    <w:rPr>
      <w:b/>
      <w:bCs/>
      <w:kern w:val="2"/>
      <w:sz w:val="32"/>
      <w:szCs w:val="32"/>
    </w:rPr>
  </w:style>
  <w:style w:type="character" w:customStyle="1" w:styleId="331">
    <w:name w:val="Char Char41"/>
    <w:autoRedefine/>
    <w:qFormat/>
    <w:uiPriority w:val="0"/>
    <w:rPr>
      <w:rFonts w:hint="eastAsia" w:ascii="宋体" w:hAnsi="宋体" w:eastAsia="宋体"/>
      <w:kern w:val="2"/>
      <w:sz w:val="21"/>
      <w:szCs w:val="24"/>
      <w:lang w:bidi="ar-SA"/>
    </w:rPr>
  </w:style>
  <w:style w:type="character" w:customStyle="1" w:styleId="332">
    <w:name w:val="font21"/>
    <w:autoRedefine/>
    <w:qFormat/>
    <w:uiPriority w:val="0"/>
    <w:rPr>
      <w:rFonts w:hint="eastAsia" w:ascii="宋体" w:hAnsi="宋体" w:eastAsia="宋体" w:cs="宋体"/>
      <w:color w:val="000000"/>
      <w:sz w:val="21"/>
      <w:szCs w:val="21"/>
      <w:u w:val="none"/>
      <w:lang w:bidi="ar-SA"/>
    </w:rPr>
  </w:style>
  <w:style w:type="character" w:customStyle="1" w:styleId="333">
    <w:name w:val="font11"/>
    <w:autoRedefine/>
    <w:qFormat/>
    <w:uiPriority w:val="0"/>
    <w:rPr>
      <w:rFonts w:hint="eastAsia" w:ascii="宋体" w:hAnsi="宋体" w:eastAsia="宋体" w:cs="宋体"/>
      <w:color w:val="000000"/>
      <w:sz w:val="21"/>
      <w:szCs w:val="21"/>
      <w:u w:val="single"/>
      <w:lang w:bidi="ar-SA"/>
    </w:rPr>
  </w:style>
  <w:style w:type="character" w:customStyle="1" w:styleId="334">
    <w:name w:val="font31"/>
    <w:autoRedefine/>
    <w:qFormat/>
    <w:uiPriority w:val="0"/>
    <w:rPr>
      <w:rFonts w:hint="eastAsia" w:ascii="宋体" w:hAnsi="宋体" w:eastAsia="宋体" w:cs="宋体"/>
      <w:color w:val="000000"/>
      <w:sz w:val="20"/>
      <w:szCs w:val="20"/>
      <w:u w:val="none"/>
      <w:lang w:bidi="ar-SA"/>
    </w:rPr>
  </w:style>
  <w:style w:type="character" w:customStyle="1" w:styleId="335">
    <w:name w:val="Char Char2"/>
    <w:autoRedefine/>
    <w:qFormat/>
    <w:uiPriority w:val="0"/>
    <w:rPr>
      <w:rFonts w:hint="eastAsia" w:ascii="宋体" w:hAnsi="宋体" w:eastAsia="宋体"/>
      <w:kern w:val="2"/>
      <w:sz w:val="21"/>
      <w:szCs w:val="24"/>
      <w:lang w:val="en-US" w:eastAsia="zh-CN" w:bidi="ar-SA"/>
    </w:rPr>
  </w:style>
  <w:style w:type="character" w:customStyle="1" w:styleId="336">
    <w:name w:val="批注主题 Char Char"/>
    <w:autoRedefine/>
    <w:qFormat/>
    <w:uiPriority w:val="0"/>
    <w:rPr>
      <w:rFonts w:hint="eastAsia" w:ascii="宋体" w:hAnsi="Times New Roman" w:eastAsia="宋体" w:cs="Times New Roman"/>
      <w:sz w:val="24"/>
      <w:szCs w:val="20"/>
      <w:lang w:bidi="ar-SA"/>
    </w:rPr>
  </w:style>
  <w:style w:type="character" w:customStyle="1" w:styleId="337">
    <w:name w:val="标题 1 Char Char"/>
    <w:autoRedefine/>
    <w:qFormat/>
    <w:uiPriority w:val="0"/>
    <w:rPr>
      <w:rFonts w:hint="eastAsia" w:ascii="黑体" w:hAnsi="黑体" w:eastAsia="黑体"/>
      <w:kern w:val="2"/>
      <w:sz w:val="44"/>
      <w:lang w:val="en-US" w:eastAsia="zh-CN" w:bidi="ar-SA"/>
    </w:rPr>
  </w:style>
  <w:style w:type="character" w:customStyle="1" w:styleId="338">
    <w:name w:val="Char Char1"/>
    <w:autoRedefine/>
    <w:qFormat/>
    <w:uiPriority w:val="0"/>
    <w:rPr>
      <w:rFonts w:hint="eastAsia" w:ascii="宋体" w:hAnsi="宋体" w:eastAsia="宋体"/>
      <w:kern w:val="2"/>
      <w:sz w:val="18"/>
      <w:szCs w:val="18"/>
      <w:lang w:val="en-US" w:eastAsia="zh-CN" w:bidi="ar-SA"/>
    </w:rPr>
  </w:style>
  <w:style w:type="character" w:customStyle="1" w:styleId="339">
    <w:name w:val="脚注文本 Char Char"/>
    <w:autoRedefine/>
    <w:qFormat/>
    <w:uiPriority w:val="0"/>
    <w:rPr>
      <w:kern w:val="2"/>
      <w:sz w:val="18"/>
    </w:rPr>
  </w:style>
  <w:style w:type="character" w:customStyle="1" w:styleId="340">
    <w:name w:val="正文文本 2 Char Char"/>
    <w:autoRedefine/>
    <w:qFormat/>
    <w:uiPriority w:val="0"/>
    <w:rPr>
      <w:i/>
      <w:kern w:val="2"/>
      <w:sz w:val="26"/>
    </w:rPr>
  </w:style>
  <w:style w:type="character" w:customStyle="1" w:styleId="341">
    <w:name w:val="页眉 Char Char"/>
    <w:autoRedefine/>
    <w:qFormat/>
    <w:uiPriority w:val="0"/>
    <w:rPr>
      <w:kern w:val="2"/>
      <w:sz w:val="18"/>
    </w:rPr>
  </w:style>
  <w:style w:type="character" w:customStyle="1" w:styleId="342">
    <w:name w:val="标题 2 Char Char"/>
    <w:autoRedefine/>
    <w:qFormat/>
    <w:uiPriority w:val="0"/>
    <w:rPr>
      <w:rFonts w:hint="eastAsia" w:ascii="仿宋_GB2312" w:eastAsia="仿宋_GB2312"/>
      <w:b/>
      <w:spacing w:val="1"/>
      <w:w w:val="99"/>
      <w:sz w:val="28"/>
    </w:rPr>
  </w:style>
  <w:style w:type="character" w:customStyle="1" w:styleId="343">
    <w:name w:val="批注框文本 Char Char"/>
    <w:autoRedefine/>
    <w:qFormat/>
    <w:uiPriority w:val="0"/>
    <w:rPr>
      <w:kern w:val="2"/>
      <w:sz w:val="18"/>
    </w:rPr>
  </w:style>
  <w:style w:type="character" w:customStyle="1" w:styleId="344">
    <w:name w:val="正文文本 Char Char"/>
    <w:autoRedefine/>
    <w:qFormat/>
    <w:uiPriority w:val="0"/>
    <w:rPr>
      <w:kern w:val="2"/>
      <w:sz w:val="26"/>
    </w:rPr>
  </w:style>
  <w:style w:type="character" w:customStyle="1" w:styleId="345">
    <w:name w:val="Char Char Char"/>
    <w:autoRedefine/>
    <w:qFormat/>
    <w:uiPriority w:val="0"/>
    <w:rPr>
      <w:rFonts w:hint="eastAsia" w:ascii="宋体" w:hAnsi="宋体" w:eastAsia="宋体"/>
      <w:kern w:val="2"/>
      <w:sz w:val="18"/>
      <w:szCs w:val="18"/>
      <w:lang w:val="en-US" w:eastAsia="zh-CN" w:bidi="ar-SA"/>
    </w:rPr>
  </w:style>
  <w:style w:type="character" w:customStyle="1" w:styleId="346">
    <w:name w:val="标题 3 Char Char"/>
    <w:autoRedefine/>
    <w:qFormat/>
    <w:uiPriority w:val="0"/>
    <w:rPr>
      <w:rFonts w:hint="eastAsia" w:ascii="仿宋_GB2312" w:eastAsia="仿宋_GB2312"/>
      <w:b/>
      <w:sz w:val="24"/>
    </w:rPr>
  </w:style>
  <w:style w:type="character" w:customStyle="1" w:styleId="347">
    <w:name w:val="标题 4 Char Char"/>
    <w:autoRedefine/>
    <w:qFormat/>
    <w:uiPriority w:val="0"/>
    <w:rPr>
      <w:rFonts w:hint="eastAsia" w:ascii="仿宋_GB2312" w:eastAsia="仿宋_GB2312"/>
      <w:b/>
      <w:sz w:val="24"/>
    </w:rPr>
  </w:style>
  <w:style w:type="character" w:customStyle="1" w:styleId="348">
    <w:name w:val="Char Char10"/>
    <w:autoRedefine/>
    <w:qFormat/>
    <w:uiPriority w:val="0"/>
    <w:rPr>
      <w:rFonts w:hint="eastAsia" w:ascii="仿宋_GB2312" w:hAnsi="宋体" w:eastAsia="仿宋_GB2312" w:cs="MingLiU"/>
      <w:b/>
      <w:spacing w:val="1"/>
      <w:w w:val="99"/>
      <w:sz w:val="28"/>
      <w:szCs w:val="32"/>
      <w:lang w:val="en-US" w:eastAsia="zh-CN" w:bidi="ar-SA"/>
    </w:rPr>
  </w:style>
  <w:style w:type="character" w:customStyle="1" w:styleId="349">
    <w:name w:val="纯文本 Char Char"/>
    <w:autoRedefine/>
    <w:qFormat/>
    <w:uiPriority w:val="0"/>
    <w:rPr>
      <w:rFonts w:hint="eastAsia" w:ascii="宋体" w:hAnsi="Courier New" w:eastAsia="宋体"/>
      <w:kern w:val="2"/>
      <w:sz w:val="28"/>
    </w:rPr>
  </w:style>
  <w:style w:type="character" w:customStyle="1" w:styleId="350">
    <w:name w:val="页脚 Char Char"/>
    <w:autoRedefine/>
    <w:qFormat/>
    <w:uiPriority w:val="0"/>
    <w:rPr>
      <w:kern w:val="2"/>
      <w:sz w:val="18"/>
    </w:rPr>
  </w:style>
  <w:style w:type="character" w:customStyle="1" w:styleId="351">
    <w:name w:val="Char Char26"/>
    <w:autoRedefine/>
    <w:qFormat/>
    <w:uiPriority w:val="0"/>
    <w:rPr>
      <w:rFonts w:hint="eastAsia" w:ascii="宋体" w:hAnsi="Courier New" w:eastAsia="宋体" w:cs="Courier New"/>
      <w:kern w:val="2"/>
      <w:sz w:val="21"/>
      <w:szCs w:val="21"/>
    </w:rPr>
  </w:style>
  <w:style w:type="paragraph" w:customStyle="1" w:styleId="352">
    <w:name w:val="图例"/>
    <w:basedOn w:val="1"/>
    <w:autoRedefine/>
    <w:qFormat/>
    <w:uiPriority w:val="0"/>
    <w:pPr>
      <w:spacing w:before="120" w:after="120" w:line="360" w:lineRule="auto"/>
      <w:jc w:val="center"/>
    </w:pPr>
    <w:rPr>
      <w:rFonts w:eastAsia="仿宋_GB2312"/>
      <w:b/>
      <w:sz w:val="24"/>
    </w:rPr>
  </w:style>
  <w:style w:type="character" w:customStyle="1" w:styleId="353">
    <w:name w:val="font41"/>
    <w:basedOn w:val="49"/>
    <w:autoRedefine/>
    <w:qFormat/>
    <w:uiPriority w:val="0"/>
    <w:rPr>
      <w:rFonts w:hint="eastAsia" w:ascii="宋体" w:hAnsi="宋体" w:eastAsia="宋体" w:cs="宋体"/>
      <w:color w:val="000000"/>
      <w:sz w:val="16"/>
      <w:szCs w:val="16"/>
      <w:u w:val="none"/>
    </w:rPr>
  </w:style>
  <w:style w:type="character" w:customStyle="1" w:styleId="354">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2665</Words>
  <Characters>2831</Characters>
  <Lines>85</Lines>
  <Paragraphs>24</Paragraphs>
  <TotalTime>20</TotalTime>
  <ScaleCrop>false</ScaleCrop>
  <LinksUpToDate>false</LinksUpToDate>
  <CharactersWithSpaces>2893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2021-04-09T00:31:00Z</dcterms:created>
  <dc:creator>微软用户</dc:creator>
  <cp:lastModifiedBy>闫德刚</cp:lastModifiedBy>
  <cp:lastPrinted>2024-05-21T03:53:00Z</cp:lastPrinted>
  <dcterms:modified xsi:type="dcterms:W3CDTF">2025-08-02T07:41:45Z</dcterms:modified>
  <dc:title>住房和城乡建设部关于印发《房屋建筑和市政工程标准施工招标资格预审文件》和《房屋建筑和市政工程标准施工招标文件》的通知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99BA414ACD834C7F8FB633E83BFF5796_13</vt:lpwstr>
  </property>
  <property fmtid="{D5CDD505-2E9C-101B-9397-08002B2CF9AE}" pid="4" name="KSOTemplateDocerSaveRecord">
    <vt:lpwstr>eyJoZGlkIjoiZjMyZjJjODkxNTg3OTY3YTY4MjhjMGQxMzliZGI0N2UiLCJ1c2VySWQiOiI0NzA3MzYzOTAifQ==</vt:lpwstr>
  </property>
</Properties>
</file>