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C4964">
      <w:pPr>
        <w:spacing w:line="594" w:lineRule="exact"/>
        <w:rPr>
          <w:rFonts w:hint="eastAsia" w:ascii="方正仿宋_GBK" w:hAnsi="方正仿宋_GBK" w:eastAsia="方正仿宋_GBK" w:cs="方正仿宋_GBK"/>
          <w:b/>
          <w:bCs/>
          <w:kern w:val="2"/>
          <w:sz w:val="32"/>
          <w:szCs w:val="32"/>
          <w:highlight w:val="none"/>
          <w:lang w:eastAsia="zh-CN"/>
        </w:rPr>
      </w:pPr>
      <w:r>
        <w:rPr>
          <w:rFonts w:hint="eastAsia" w:ascii="方正仿宋_GBK" w:hAnsi="方正仿宋_GBK" w:eastAsia="方正仿宋_GBK" w:cs="方正仿宋_GBK"/>
          <w:b/>
          <w:bCs/>
          <w:kern w:val="2"/>
          <w:sz w:val="32"/>
          <w:szCs w:val="32"/>
          <w:highlight w:val="none"/>
        </w:rPr>
        <w:t>附件</w:t>
      </w:r>
      <w:r>
        <w:rPr>
          <w:rFonts w:hint="eastAsia" w:ascii="方正仿宋_GBK" w:hAnsi="方正仿宋_GBK" w:eastAsia="方正仿宋_GBK" w:cs="方正仿宋_GBK"/>
          <w:b/>
          <w:bCs/>
          <w:kern w:val="2"/>
          <w:sz w:val="32"/>
          <w:szCs w:val="32"/>
          <w:highlight w:val="none"/>
          <w:lang w:val="en-US" w:eastAsia="zh-CN"/>
        </w:rPr>
        <w:t>1</w:t>
      </w:r>
    </w:p>
    <w:p w14:paraId="77F4D6A5">
      <w:pPr>
        <w:pStyle w:val="3"/>
        <w:spacing w:line="594" w:lineRule="exact"/>
        <w:ind w:left="0"/>
        <w:jc w:val="center"/>
        <w:rPr>
          <w:rFonts w:ascii="方正黑体_GBK" w:hAnsi="方正黑体_GBK" w:eastAsia="方正黑体_GBK" w:cs="方正黑体_GBK"/>
          <w:b/>
          <w:bCs/>
          <w:kern w:val="2"/>
          <w:sz w:val="32"/>
          <w:szCs w:val="32"/>
          <w:highlight w:val="none"/>
        </w:rPr>
      </w:pPr>
      <w:r>
        <w:rPr>
          <w:rFonts w:hint="eastAsia" w:ascii="方正黑体_GBK" w:hAnsi="方正黑体_GBK" w:eastAsia="方正黑体_GBK" w:cs="方正黑体_GBK"/>
          <w:b/>
          <w:bCs/>
          <w:kern w:val="2"/>
          <w:sz w:val="32"/>
          <w:szCs w:val="32"/>
          <w:highlight w:val="none"/>
        </w:rPr>
        <w:t>响应单位须知</w:t>
      </w:r>
      <w:bookmarkStart w:id="0" w:name="_Toc287620684"/>
      <w:bookmarkStart w:id="1" w:name="_Toc287607745"/>
      <w:bookmarkStart w:id="2" w:name="_Toc277082551"/>
      <w:bookmarkStart w:id="3" w:name="_Toc430530433"/>
      <w:bookmarkStart w:id="4" w:name="_Toc224103316"/>
    </w:p>
    <w:tbl>
      <w:tblPr>
        <w:tblStyle w:val="7"/>
        <w:tblpPr w:leftFromText="180" w:rightFromText="180" w:vertAnchor="text" w:horzAnchor="page" w:tblpX="1135" w:tblpY="309"/>
        <w:tblOverlap w:val="never"/>
        <w:tblW w:w="9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912"/>
        <w:gridCol w:w="6487"/>
      </w:tblGrid>
      <w:tr w14:paraId="0EAC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16" w:type="dxa"/>
            <w:tcBorders>
              <w:top w:val="single" w:color="auto" w:sz="4" w:space="0"/>
              <w:left w:val="single" w:color="auto" w:sz="4" w:space="0"/>
              <w:bottom w:val="single" w:color="auto" w:sz="4" w:space="0"/>
              <w:right w:val="single" w:color="auto" w:sz="4" w:space="0"/>
            </w:tcBorders>
            <w:vAlign w:val="center"/>
          </w:tcPr>
          <w:p w14:paraId="2E6442E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条 款 号</w:t>
            </w:r>
          </w:p>
        </w:tc>
        <w:tc>
          <w:tcPr>
            <w:tcW w:w="1912" w:type="dxa"/>
            <w:tcBorders>
              <w:top w:val="single" w:color="auto" w:sz="4" w:space="0"/>
              <w:left w:val="single" w:color="auto" w:sz="4" w:space="0"/>
              <w:bottom w:val="single" w:color="auto" w:sz="4" w:space="0"/>
              <w:right w:val="single" w:color="auto" w:sz="4" w:space="0"/>
            </w:tcBorders>
            <w:vAlign w:val="center"/>
          </w:tcPr>
          <w:p w14:paraId="6E49B834">
            <w:pPr>
              <w:snapToGrid w:val="0"/>
              <w:jc w:val="center"/>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条款名称</w:t>
            </w:r>
          </w:p>
        </w:tc>
        <w:tc>
          <w:tcPr>
            <w:tcW w:w="6487" w:type="dxa"/>
            <w:tcBorders>
              <w:top w:val="single" w:color="auto" w:sz="4" w:space="0"/>
              <w:left w:val="single" w:color="auto" w:sz="4" w:space="0"/>
              <w:bottom w:val="single" w:color="auto" w:sz="4" w:space="0"/>
              <w:right w:val="single" w:color="auto" w:sz="4" w:space="0"/>
            </w:tcBorders>
            <w:vAlign w:val="center"/>
          </w:tcPr>
          <w:p w14:paraId="6152E41D">
            <w:pPr>
              <w:snapToGrid w:val="0"/>
              <w:jc w:val="center"/>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编  列  内  容</w:t>
            </w:r>
          </w:p>
        </w:tc>
      </w:tr>
      <w:tr w14:paraId="6D8D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1416" w:type="dxa"/>
            <w:tcBorders>
              <w:top w:val="single" w:color="auto" w:sz="4" w:space="0"/>
              <w:left w:val="single" w:color="auto" w:sz="4" w:space="0"/>
              <w:bottom w:val="single" w:color="auto" w:sz="4" w:space="0"/>
              <w:right w:val="single" w:color="auto" w:sz="4" w:space="0"/>
            </w:tcBorders>
            <w:vAlign w:val="center"/>
          </w:tcPr>
          <w:p w14:paraId="36D457B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1</w:t>
            </w:r>
          </w:p>
        </w:tc>
        <w:tc>
          <w:tcPr>
            <w:tcW w:w="1912" w:type="dxa"/>
            <w:tcBorders>
              <w:top w:val="single" w:color="auto" w:sz="4" w:space="0"/>
              <w:left w:val="single" w:color="auto" w:sz="4" w:space="0"/>
              <w:bottom w:val="single" w:color="auto" w:sz="4" w:space="0"/>
              <w:right w:val="single" w:color="auto" w:sz="4" w:space="0"/>
            </w:tcBorders>
            <w:vAlign w:val="center"/>
          </w:tcPr>
          <w:p w14:paraId="0C75A289">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踏勘现场</w:t>
            </w:r>
          </w:p>
        </w:tc>
        <w:tc>
          <w:tcPr>
            <w:tcW w:w="6487" w:type="dxa"/>
            <w:tcBorders>
              <w:top w:val="single" w:color="auto" w:sz="4" w:space="0"/>
              <w:left w:val="single" w:color="auto" w:sz="4" w:space="0"/>
              <w:bottom w:val="single" w:color="auto" w:sz="4" w:space="0"/>
              <w:right w:val="single" w:color="auto" w:sz="4" w:space="0"/>
            </w:tcBorders>
            <w:vAlign w:val="center"/>
          </w:tcPr>
          <w:p w14:paraId="26921CDC">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自行踏勘现场</w:t>
            </w:r>
          </w:p>
        </w:tc>
      </w:tr>
      <w:tr w14:paraId="486F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4129AD28">
            <w:pPr>
              <w:snapToGrid w:val="0"/>
              <w:spacing w:line="400" w:lineRule="exact"/>
              <w:jc w:val="center"/>
              <w:rPr>
                <w:rFonts w:ascii="宋体" w:hAnsi="宋体"/>
                <w:color w:val="auto"/>
                <w:kern w:val="0"/>
                <w:sz w:val="28"/>
                <w:szCs w:val="28"/>
                <w:highlight w:val="none"/>
              </w:rPr>
            </w:pPr>
            <w:r>
              <w:rPr>
                <w:rFonts w:hint="eastAsia" w:ascii="宋体" w:hAnsi="宋体"/>
                <w:color w:val="auto"/>
                <w:kern w:val="0"/>
                <w:sz w:val="28"/>
                <w:szCs w:val="28"/>
                <w:highlight w:val="none"/>
              </w:rPr>
              <w:t>2</w:t>
            </w:r>
          </w:p>
        </w:tc>
        <w:tc>
          <w:tcPr>
            <w:tcW w:w="1912" w:type="dxa"/>
            <w:tcBorders>
              <w:top w:val="single" w:color="auto" w:sz="4" w:space="0"/>
              <w:left w:val="single" w:color="auto" w:sz="4" w:space="0"/>
              <w:bottom w:val="single" w:color="auto" w:sz="4" w:space="0"/>
              <w:right w:val="single" w:color="auto" w:sz="4" w:space="0"/>
            </w:tcBorders>
            <w:vAlign w:val="center"/>
          </w:tcPr>
          <w:p w14:paraId="2EDC0F55">
            <w:pPr>
              <w:snapToGrid w:val="0"/>
              <w:spacing w:line="400" w:lineRule="exact"/>
              <w:jc w:val="center"/>
              <w:rPr>
                <w:rFonts w:ascii="宋体" w:hAnsi="宋体"/>
                <w:color w:val="auto"/>
                <w:kern w:val="0"/>
                <w:sz w:val="28"/>
                <w:szCs w:val="28"/>
                <w:highlight w:val="none"/>
              </w:rPr>
            </w:pPr>
            <w:r>
              <w:rPr>
                <w:rFonts w:hint="eastAsia" w:ascii="宋体" w:hAnsi="宋体"/>
                <w:color w:val="auto"/>
                <w:kern w:val="0"/>
                <w:sz w:val="28"/>
                <w:szCs w:val="28"/>
                <w:highlight w:val="none"/>
              </w:rPr>
              <w:t>分包</w:t>
            </w:r>
          </w:p>
        </w:tc>
        <w:tc>
          <w:tcPr>
            <w:tcW w:w="6487" w:type="dxa"/>
            <w:tcBorders>
              <w:top w:val="single" w:color="auto" w:sz="4" w:space="0"/>
              <w:left w:val="single" w:color="auto" w:sz="4" w:space="0"/>
              <w:bottom w:val="single" w:color="auto" w:sz="4" w:space="0"/>
              <w:right w:val="single" w:color="auto" w:sz="4" w:space="0"/>
            </w:tcBorders>
            <w:vAlign w:val="center"/>
          </w:tcPr>
          <w:p w14:paraId="111BB545">
            <w:pPr>
              <w:snapToGrid w:val="0"/>
              <w:spacing w:line="40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不允许分包、转包</w:t>
            </w:r>
          </w:p>
        </w:tc>
      </w:tr>
      <w:tr w14:paraId="0D63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416" w:type="dxa"/>
            <w:tcBorders>
              <w:top w:val="single" w:color="auto" w:sz="4" w:space="0"/>
              <w:left w:val="single" w:color="auto" w:sz="4" w:space="0"/>
              <w:bottom w:val="single" w:color="auto" w:sz="4" w:space="0"/>
              <w:right w:val="single" w:color="auto" w:sz="4" w:space="0"/>
            </w:tcBorders>
            <w:vAlign w:val="center"/>
          </w:tcPr>
          <w:p w14:paraId="0142769C">
            <w:pPr>
              <w:keepNext w:val="0"/>
              <w:keepLines w:val="0"/>
              <w:pageBreakBefore w:val="0"/>
              <w:widowControl/>
              <w:kinsoku w:val="0"/>
              <w:wordWrap/>
              <w:overflowPunct/>
              <w:topLinePunct w:val="0"/>
              <w:autoSpaceDE w:val="0"/>
              <w:autoSpaceDN w:val="0"/>
              <w:bidi w:val="0"/>
              <w:adjustRightInd w:val="0"/>
              <w:snapToGrid w:val="0"/>
              <w:spacing w:before="203" w:line="420" w:lineRule="exact"/>
              <w:jc w:val="center"/>
              <w:textAlignment w:val="baseline"/>
              <w:rPr>
                <w:rFonts w:hint="eastAsia" w:ascii="宋体" w:hAnsi="宋体" w:eastAsia="宋体" w:cs="宋体"/>
                <w:color w:val="auto"/>
                <w:kern w:val="0"/>
                <w:sz w:val="28"/>
                <w:szCs w:val="28"/>
                <w:highlight w:val="none"/>
                <w:lang w:val="en-US" w:eastAsia="zh-CN"/>
              </w:rPr>
            </w:pPr>
            <w:r>
              <w:rPr>
                <w:rFonts w:hint="eastAsia" w:ascii="宋体" w:hAnsi="宋体"/>
                <w:color w:val="auto"/>
                <w:kern w:val="0"/>
                <w:sz w:val="28"/>
                <w:szCs w:val="28"/>
                <w:highlight w:val="none"/>
                <w:lang w:val="en-US" w:eastAsia="zh-CN"/>
              </w:rPr>
              <w:t>3</w:t>
            </w:r>
          </w:p>
        </w:tc>
        <w:tc>
          <w:tcPr>
            <w:tcW w:w="1912" w:type="dxa"/>
            <w:tcBorders>
              <w:top w:val="single" w:color="auto" w:sz="4" w:space="0"/>
              <w:left w:val="single" w:color="auto" w:sz="4" w:space="0"/>
              <w:bottom w:val="single" w:color="auto" w:sz="4" w:space="0"/>
              <w:right w:val="single" w:color="auto" w:sz="4" w:space="0"/>
            </w:tcBorders>
            <w:vAlign w:val="center"/>
          </w:tcPr>
          <w:p w14:paraId="6DB7E3B8">
            <w:pPr>
              <w:keepNext w:val="0"/>
              <w:keepLines w:val="0"/>
              <w:pageBreakBefore w:val="0"/>
              <w:widowControl/>
              <w:kinsoku w:val="0"/>
              <w:wordWrap/>
              <w:overflowPunct/>
              <w:topLinePunct w:val="0"/>
              <w:autoSpaceDE w:val="0"/>
              <w:autoSpaceDN w:val="0"/>
              <w:bidi w:val="0"/>
              <w:adjustRightInd w:val="0"/>
              <w:snapToGrid w:val="0"/>
              <w:spacing w:before="78" w:line="420" w:lineRule="exact"/>
              <w:textAlignment w:val="baseline"/>
              <w:rPr>
                <w:rFonts w:hint="eastAsia" w:ascii="宋体" w:hAnsi="宋体" w:cs="宋体"/>
                <w:color w:val="auto"/>
                <w:kern w:val="0"/>
                <w:sz w:val="28"/>
                <w:szCs w:val="28"/>
                <w:highlight w:val="none"/>
              </w:rPr>
            </w:pPr>
            <w:r>
              <w:rPr>
                <w:rFonts w:hint="eastAsia" w:ascii="宋体" w:hAnsi="宋体" w:cs="宋体"/>
                <w:color w:val="auto"/>
                <w:spacing w:val="-2"/>
                <w:sz w:val="24"/>
                <w:szCs w:val="24"/>
                <w:highlight w:val="none"/>
                <w:lang w:eastAsia="zh-CN"/>
              </w:rPr>
              <w:t>投标保证金</w:t>
            </w:r>
          </w:p>
        </w:tc>
        <w:tc>
          <w:tcPr>
            <w:tcW w:w="6487" w:type="dxa"/>
            <w:tcBorders>
              <w:top w:val="single" w:color="auto" w:sz="4" w:space="0"/>
              <w:left w:val="single" w:color="auto" w:sz="4" w:space="0"/>
              <w:bottom w:val="single" w:color="auto" w:sz="4" w:space="0"/>
              <w:right w:val="single" w:color="auto" w:sz="4" w:space="0"/>
            </w:tcBorders>
            <w:vAlign w:val="top"/>
          </w:tcPr>
          <w:p w14:paraId="485DF595">
            <w:pPr>
              <w:keepNext w:val="0"/>
              <w:keepLines w:val="0"/>
              <w:pageBreakBefore w:val="0"/>
              <w:widowControl w:val="0"/>
              <w:kinsoku/>
              <w:wordWrap/>
              <w:overflowPunct/>
              <w:topLinePunct w:val="0"/>
              <w:autoSpaceDE/>
              <w:autoSpaceDN/>
              <w:bidi w:val="0"/>
              <w:adjustRightInd/>
              <w:snapToGrid w:val="0"/>
              <w:spacing w:line="240" w:lineRule="auto"/>
              <w:ind w:firstLine="562" w:firstLineChars="200"/>
              <w:textAlignment w:val="auto"/>
              <w:rPr>
                <w:rFonts w:hint="eastAsia" w:ascii="宋体" w:hAnsi="宋体" w:eastAsia="宋体" w:cs="Times New Roman"/>
                <w:b/>
                <w:bCs/>
                <w:color w:val="auto"/>
                <w:kern w:val="0"/>
                <w:sz w:val="28"/>
                <w:szCs w:val="28"/>
                <w:highlight w:val="none"/>
                <w:lang w:eastAsia="zh-CN"/>
              </w:rPr>
            </w:pPr>
            <w:r>
              <w:rPr>
                <w:rFonts w:hint="eastAsia" w:ascii="宋体" w:hAnsi="宋体" w:eastAsia="宋体" w:cs="Times New Roman"/>
                <w:b/>
                <w:bCs/>
                <w:color w:val="auto"/>
                <w:kern w:val="0"/>
                <w:sz w:val="28"/>
                <w:szCs w:val="28"/>
                <w:highlight w:val="none"/>
                <w:lang w:val="en-US" w:eastAsia="zh-CN"/>
              </w:rPr>
              <w:t>本条只适用于</w:t>
            </w:r>
            <w:r>
              <w:rPr>
                <w:rFonts w:hint="eastAsia" w:ascii="宋体" w:hAnsi="宋体" w:eastAsia="宋体" w:cs="Times New Roman"/>
                <w:b/>
                <w:bCs/>
                <w:color w:val="auto"/>
                <w:kern w:val="0"/>
                <w:sz w:val="28"/>
                <w:szCs w:val="28"/>
                <w:highlight w:val="none"/>
                <w:lang w:eastAsia="zh-CN"/>
              </w:rPr>
              <w:t>社会供应商</w:t>
            </w:r>
          </w:p>
          <w:p w14:paraId="400B6C4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lang w:val="en-US"/>
              </w:rPr>
            </w:pPr>
            <w:r>
              <w:rPr>
                <w:rFonts w:hint="eastAsia" w:ascii="宋体" w:hAnsi="宋体" w:eastAsia="宋体" w:cs="Times New Roman"/>
                <w:color w:val="auto"/>
                <w:kern w:val="0"/>
                <w:sz w:val="28"/>
                <w:szCs w:val="28"/>
                <w:highlight w:val="none"/>
                <w:lang w:val="en-US"/>
              </w:rPr>
              <w:t>非“合作商资源库”内的供应商若参与本次比选活动，须交纳</w:t>
            </w:r>
            <w:r>
              <w:rPr>
                <w:rFonts w:hint="eastAsia" w:ascii="宋体" w:hAnsi="宋体" w:cs="Times New Roman"/>
                <w:color w:val="auto"/>
                <w:kern w:val="0"/>
                <w:sz w:val="28"/>
                <w:szCs w:val="28"/>
                <w:highlight w:val="none"/>
                <w:lang w:val="en-US" w:eastAsia="zh-CN"/>
              </w:rPr>
              <w:t>18</w:t>
            </w:r>
            <w:r>
              <w:rPr>
                <w:rFonts w:hint="eastAsia" w:ascii="宋体" w:hAnsi="宋体" w:eastAsia="宋体" w:cs="Times New Roman"/>
                <w:color w:val="auto"/>
                <w:kern w:val="0"/>
                <w:sz w:val="28"/>
                <w:szCs w:val="28"/>
                <w:highlight w:val="none"/>
                <w:lang w:val="en-US"/>
              </w:rPr>
              <w:t>万元投标保证金，中标单位承诺加入江北建工“合作商资源库”，将</w:t>
            </w:r>
            <w:r>
              <w:rPr>
                <w:rFonts w:hint="eastAsia" w:ascii="宋体" w:hAnsi="宋体" w:cs="Times New Roman"/>
                <w:color w:val="auto"/>
                <w:kern w:val="0"/>
                <w:sz w:val="28"/>
                <w:szCs w:val="28"/>
                <w:highlight w:val="none"/>
                <w:lang w:val="en-US" w:eastAsia="zh-CN"/>
              </w:rPr>
              <w:t>其中</w:t>
            </w:r>
            <w:r>
              <w:rPr>
                <w:rFonts w:hint="eastAsia" w:ascii="宋体" w:hAnsi="宋体" w:eastAsia="宋体" w:cs="Times New Roman"/>
                <w:color w:val="auto"/>
                <w:kern w:val="0"/>
                <w:sz w:val="28"/>
                <w:szCs w:val="28"/>
                <w:highlight w:val="none"/>
                <w:lang w:val="en-US"/>
              </w:rPr>
              <w:t>5万元投标保证金转成入库保证金；</w:t>
            </w:r>
            <w:r>
              <w:rPr>
                <w:rFonts w:hint="eastAsia" w:ascii="宋体" w:hAnsi="宋体" w:cs="Times New Roman"/>
                <w:color w:val="auto"/>
                <w:kern w:val="0"/>
                <w:sz w:val="28"/>
                <w:szCs w:val="28"/>
                <w:highlight w:val="none"/>
                <w:lang w:val="en-US" w:eastAsia="zh-CN"/>
              </w:rPr>
              <w:t>剩余</w:t>
            </w:r>
            <w:r>
              <w:rPr>
                <w:rFonts w:hint="eastAsia" w:ascii="宋体" w:hAnsi="宋体" w:eastAsia="宋体" w:cs="Times New Roman"/>
                <w:color w:val="auto"/>
                <w:kern w:val="0"/>
                <w:sz w:val="28"/>
                <w:szCs w:val="28"/>
                <w:highlight w:val="none"/>
                <w:lang w:val="en-US"/>
              </w:rPr>
              <w:t>未中标单位投标结束后无息退还投标保证金；若中标后不履行承诺，将没收投标保证金；若达不到入库条件，将无息退还投标保证金，取消中标资格。</w:t>
            </w:r>
          </w:p>
          <w:p w14:paraId="1D54FD23">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lang w:eastAsia="zh-CN"/>
              </w:rPr>
            </w:pPr>
            <w:r>
              <w:rPr>
                <w:rFonts w:hint="eastAsia" w:ascii="宋体" w:hAnsi="宋体" w:eastAsia="宋体" w:cs="Times New Roman"/>
                <w:color w:val="auto"/>
                <w:kern w:val="0"/>
                <w:sz w:val="28"/>
                <w:szCs w:val="28"/>
                <w:highlight w:val="none"/>
                <w:lang w:val="en-US"/>
              </w:rPr>
              <w:t xml:space="preserve">1.投标保证金的金额：人民币 </w:t>
            </w:r>
            <w:r>
              <w:rPr>
                <w:rFonts w:hint="eastAsia" w:ascii="宋体" w:hAnsi="宋体" w:cs="Times New Roman"/>
                <w:color w:val="auto"/>
                <w:kern w:val="0"/>
                <w:sz w:val="28"/>
                <w:szCs w:val="28"/>
                <w:highlight w:val="none"/>
                <w:lang w:val="en-US" w:eastAsia="zh-CN"/>
              </w:rPr>
              <w:t>18</w:t>
            </w:r>
            <w:r>
              <w:rPr>
                <w:rFonts w:hint="eastAsia" w:ascii="宋体" w:hAnsi="宋体" w:eastAsia="宋体" w:cs="Times New Roman"/>
                <w:color w:val="auto"/>
                <w:kern w:val="0"/>
                <w:sz w:val="28"/>
                <w:szCs w:val="28"/>
                <w:highlight w:val="none"/>
                <w:lang w:val="en-US"/>
              </w:rPr>
              <w:t>0,000.00元。（大写：</w:t>
            </w:r>
            <w:r>
              <w:rPr>
                <w:rFonts w:hint="eastAsia" w:ascii="宋体" w:hAnsi="宋体" w:cs="Times New Roman"/>
                <w:color w:val="auto"/>
                <w:kern w:val="0"/>
                <w:sz w:val="28"/>
                <w:szCs w:val="28"/>
                <w:highlight w:val="none"/>
                <w:lang w:val="en-US" w:eastAsia="zh-CN"/>
              </w:rPr>
              <w:t>壹拾捌万</w:t>
            </w:r>
            <w:r>
              <w:rPr>
                <w:rFonts w:hint="eastAsia" w:ascii="宋体" w:hAnsi="宋体" w:eastAsia="宋体" w:cs="Times New Roman"/>
                <w:color w:val="auto"/>
                <w:kern w:val="0"/>
                <w:sz w:val="28"/>
                <w:szCs w:val="28"/>
                <w:highlight w:val="none"/>
                <w:lang w:val="en-US"/>
              </w:rPr>
              <w:t>元整）。（本条只适用于社会供应商）</w:t>
            </w:r>
          </w:p>
          <w:p w14:paraId="4F7C7525">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2.</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提交形式： 须通过银行汇款或转账形式提交</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。（不接受现金、银行汇票、银行保函或其它票证）</w:t>
            </w:r>
          </w:p>
          <w:p w14:paraId="6AFA0EFF">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3.</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到账截止时间：同</w:t>
            </w:r>
            <w:r>
              <w:rPr>
                <w:rFonts w:hint="eastAsia" w:ascii="宋体" w:hAnsi="宋体" w:eastAsia="宋体" w:cs="Times New Roman"/>
                <w:color w:val="auto"/>
                <w:kern w:val="0"/>
                <w:sz w:val="28"/>
                <w:szCs w:val="28"/>
                <w:highlight w:val="none"/>
                <w:lang w:val="en-US" w:eastAsia="zh-CN"/>
              </w:rPr>
              <w:t>投标截止</w:t>
            </w:r>
            <w:r>
              <w:rPr>
                <w:rFonts w:hint="eastAsia" w:ascii="宋体" w:hAnsi="宋体" w:eastAsia="宋体" w:cs="Times New Roman"/>
                <w:color w:val="auto"/>
                <w:kern w:val="0"/>
                <w:sz w:val="28"/>
                <w:szCs w:val="28"/>
                <w:highlight w:val="none"/>
              </w:rPr>
              <w:t>时间一致。</w:t>
            </w:r>
          </w:p>
          <w:p w14:paraId="7CE93F41">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4.</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汇出账户必须为</w:t>
            </w:r>
            <w:r>
              <w:rPr>
                <w:rFonts w:hint="eastAsia" w:ascii="宋体" w:hAnsi="宋体" w:cs="Times New Roman"/>
                <w:color w:val="auto"/>
                <w:kern w:val="0"/>
                <w:sz w:val="28"/>
                <w:szCs w:val="28"/>
                <w:highlight w:val="none"/>
                <w:lang w:val="en-US" w:eastAsia="zh-CN"/>
              </w:rPr>
              <w:t>响应单位</w:t>
            </w:r>
            <w:r>
              <w:rPr>
                <w:rFonts w:hint="eastAsia" w:ascii="宋体" w:hAnsi="宋体" w:eastAsia="宋体" w:cs="Times New Roman"/>
                <w:color w:val="auto"/>
                <w:kern w:val="0"/>
                <w:sz w:val="28"/>
                <w:szCs w:val="28"/>
                <w:highlight w:val="none"/>
              </w:rPr>
              <w:t>的对公账户。</w:t>
            </w:r>
          </w:p>
          <w:p w14:paraId="4E6419BB">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5.</w:t>
            </w:r>
            <w:r>
              <w:rPr>
                <w:rFonts w:hint="eastAsia" w:ascii="宋体" w:hAnsi="宋体" w:eastAsia="宋体" w:cs="Times New Roman"/>
                <w:color w:val="auto"/>
                <w:kern w:val="0"/>
                <w:sz w:val="28"/>
                <w:szCs w:val="28"/>
                <w:highlight w:val="none"/>
                <w:lang w:eastAsia="zh-CN"/>
              </w:rPr>
              <w:t>投标保证金</w:t>
            </w:r>
            <w:r>
              <w:rPr>
                <w:rFonts w:hint="eastAsia" w:ascii="宋体" w:hAnsi="宋体" w:eastAsia="宋体" w:cs="Times New Roman"/>
                <w:color w:val="auto"/>
                <w:kern w:val="0"/>
                <w:sz w:val="28"/>
                <w:szCs w:val="28"/>
                <w:highlight w:val="none"/>
              </w:rPr>
              <w:t>银行账户信息</w:t>
            </w:r>
          </w:p>
          <w:p w14:paraId="4DCA80DC">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账户：</w:t>
            </w:r>
            <w:r>
              <w:rPr>
                <w:rFonts w:hint="eastAsia" w:ascii="宋体" w:hAnsi="宋体" w:eastAsia="宋体" w:cs="Times New Roman"/>
                <w:color w:val="auto"/>
                <w:kern w:val="0"/>
                <w:sz w:val="28"/>
                <w:szCs w:val="28"/>
                <w:highlight w:val="none"/>
                <w:lang w:val="en-US"/>
              </w:rPr>
              <w:t>重庆市江北区城市建设工程技术有限公司</w:t>
            </w:r>
          </w:p>
          <w:p w14:paraId="6615F02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开户行：农商行江北支行建西分理处</w:t>
            </w:r>
          </w:p>
          <w:p w14:paraId="2AC0BB7D">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账号：0201050120010004173</w:t>
            </w:r>
          </w:p>
          <w:p w14:paraId="087776DB">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Times New Roman"/>
                <w:color w:val="auto"/>
                <w:kern w:val="0"/>
                <w:sz w:val="28"/>
                <w:szCs w:val="28"/>
                <w:highlight w:val="none"/>
              </w:rPr>
              <w:t>6.汇款或转账凭证上须注明信息简称：003地块开发项目</w:t>
            </w:r>
            <w:r>
              <w:rPr>
                <w:rFonts w:hint="eastAsia" w:ascii="宋体" w:hAnsi="宋体" w:eastAsia="宋体" w:cs="Times New Roman"/>
                <w:color w:val="auto"/>
                <w:kern w:val="0"/>
                <w:sz w:val="28"/>
                <w:szCs w:val="28"/>
                <w:highlight w:val="none"/>
                <w:lang w:eastAsia="zh-CN"/>
              </w:rPr>
              <w:t>钢材材料</w:t>
            </w:r>
            <w:r>
              <w:rPr>
                <w:rFonts w:hint="eastAsia" w:ascii="宋体" w:hAnsi="宋体" w:eastAsia="宋体" w:cs="Times New Roman"/>
                <w:color w:val="auto"/>
                <w:kern w:val="0"/>
                <w:sz w:val="28"/>
                <w:szCs w:val="28"/>
                <w:highlight w:val="none"/>
              </w:rPr>
              <w:t>采购</w:t>
            </w:r>
            <w:r>
              <w:rPr>
                <w:rFonts w:hint="eastAsia" w:ascii="宋体" w:hAnsi="宋体" w:cs="Times New Roman"/>
                <w:color w:val="auto"/>
                <w:kern w:val="0"/>
                <w:sz w:val="28"/>
                <w:szCs w:val="28"/>
                <w:highlight w:val="none"/>
                <w:lang w:val="en-US" w:eastAsia="zh-CN"/>
              </w:rPr>
              <w:t>投标保证金</w:t>
            </w:r>
          </w:p>
        </w:tc>
      </w:tr>
      <w:tr w14:paraId="7899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9A50E83">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4</w:t>
            </w:r>
          </w:p>
        </w:tc>
        <w:tc>
          <w:tcPr>
            <w:tcW w:w="1912" w:type="dxa"/>
            <w:tcBorders>
              <w:top w:val="single" w:color="auto" w:sz="4" w:space="0"/>
              <w:left w:val="single" w:color="auto" w:sz="4" w:space="0"/>
              <w:bottom w:val="single" w:color="auto" w:sz="4" w:space="0"/>
              <w:right w:val="single" w:color="auto" w:sz="4" w:space="0"/>
            </w:tcBorders>
            <w:vAlign w:val="center"/>
          </w:tcPr>
          <w:p w14:paraId="138D477F">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响应单位对比选文件提出疑问的截止时间</w:t>
            </w:r>
          </w:p>
        </w:tc>
        <w:tc>
          <w:tcPr>
            <w:tcW w:w="6487" w:type="dxa"/>
            <w:tcBorders>
              <w:top w:val="single" w:color="auto" w:sz="4" w:space="0"/>
              <w:left w:val="single" w:color="auto" w:sz="4" w:space="0"/>
              <w:bottom w:val="single" w:color="auto" w:sz="4" w:space="0"/>
              <w:right w:val="single" w:color="auto" w:sz="4" w:space="0"/>
            </w:tcBorders>
            <w:vAlign w:val="center"/>
          </w:tcPr>
          <w:p w14:paraId="561C2F88">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响应单位应仔细阅读比选文件及附件的所有内容，如有文字表述不清、存在歧义、前后不一致等问题应在</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24</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18</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30</w:t>
            </w:r>
            <w:r>
              <w:rPr>
                <w:rFonts w:hint="eastAsia" w:ascii="宋体" w:hAnsi="宋体" w:cs="宋体"/>
                <w:color w:val="auto"/>
                <w:kern w:val="0"/>
                <w:sz w:val="28"/>
                <w:szCs w:val="28"/>
                <w:highlight w:val="none"/>
                <w:shd w:val="clear"/>
              </w:rPr>
              <w:t>分</w:t>
            </w:r>
            <w:r>
              <w:rPr>
                <w:rFonts w:hint="eastAsia" w:ascii="宋体" w:hAnsi="宋体" w:cs="宋体"/>
                <w:color w:val="auto"/>
                <w:kern w:val="0"/>
                <w:sz w:val="28"/>
                <w:szCs w:val="28"/>
                <w:highlight w:val="none"/>
              </w:rPr>
              <w:t>前（北京时间），将书面提问送达比选人。</w:t>
            </w:r>
          </w:p>
        </w:tc>
      </w:tr>
      <w:tr w14:paraId="7E05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trPr>
        <w:tc>
          <w:tcPr>
            <w:tcW w:w="1416" w:type="dxa"/>
            <w:tcBorders>
              <w:top w:val="single" w:color="auto" w:sz="4" w:space="0"/>
              <w:left w:val="single" w:color="auto" w:sz="4" w:space="0"/>
              <w:bottom w:val="single" w:color="auto" w:sz="4" w:space="0"/>
              <w:right w:val="single" w:color="auto" w:sz="4" w:space="0"/>
            </w:tcBorders>
            <w:vAlign w:val="center"/>
          </w:tcPr>
          <w:p w14:paraId="7B9F2015">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5</w:t>
            </w:r>
          </w:p>
        </w:tc>
        <w:tc>
          <w:tcPr>
            <w:tcW w:w="1912" w:type="dxa"/>
            <w:tcBorders>
              <w:top w:val="single" w:color="auto" w:sz="4" w:space="0"/>
              <w:left w:val="single" w:color="auto" w:sz="4" w:space="0"/>
              <w:bottom w:val="single" w:color="auto" w:sz="4" w:space="0"/>
              <w:right w:val="single" w:color="auto" w:sz="4" w:space="0"/>
            </w:tcBorders>
            <w:vAlign w:val="center"/>
          </w:tcPr>
          <w:p w14:paraId="07137A1D">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比选人对比选文件答疑的截止时间</w:t>
            </w:r>
          </w:p>
        </w:tc>
        <w:tc>
          <w:tcPr>
            <w:tcW w:w="6487" w:type="dxa"/>
            <w:tcBorders>
              <w:top w:val="single" w:color="auto" w:sz="4" w:space="0"/>
              <w:left w:val="single" w:color="auto" w:sz="4" w:space="0"/>
              <w:bottom w:val="single" w:color="auto" w:sz="4" w:space="0"/>
              <w:right w:val="single" w:color="auto" w:sz="4" w:space="0"/>
            </w:tcBorders>
            <w:vAlign w:val="center"/>
          </w:tcPr>
          <w:p w14:paraId="02F1E3BF">
            <w:pPr>
              <w:snapToGrid w:val="0"/>
              <w:ind w:firstLine="560" w:firstLineChars="200"/>
              <w:rPr>
                <w:rFonts w:ascii="宋体" w:hAnsi="宋体" w:cs="宋体"/>
                <w:snapToGrid w:val="0"/>
                <w:color w:val="auto"/>
                <w:kern w:val="0"/>
                <w:sz w:val="28"/>
                <w:szCs w:val="28"/>
                <w:highlight w:val="none"/>
              </w:rPr>
            </w:pP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25</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18</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30</w:t>
            </w:r>
            <w:r>
              <w:rPr>
                <w:rFonts w:hint="eastAsia" w:ascii="宋体" w:hAnsi="宋体" w:cs="宋体"/>
                <w:color w:val="auto"/>
                <w:kern w:val="0"/>
                <w:sz w:val="28"/>
                <w:szCs w:val="28"/>
                <w:highlight w:val="none"/>
                <w:shd w:val="clear"/>
              </w:rPr>
              <w:t>分</w:t>
            </w:r>
            <w:r>
              <w:rPr>
                <w:rFonts w:hint="eastAsia" w:ascii="宋体" w:hAnsi="宋体" w:cs="宋体"/>
                <w:color w:val="auto"/>
                <w:kern w:val="0"/>
                <w:sz w:val="28"/>
                <w:szCs w:val="28"/>
                <w:highlight w:val="none"/>
              </w:rPr>
              <w:t>前（北京时间），书面通知所有响应单位。</w:t>
            </w:r>
            <w:bookmarkStart w:id="12" w:name="_GoBack"/>
            <w:bookmarkEnd w:id="12"/>
          </w:p>
        </w:tc>
      </w:tr>
      <w:tr w14:paraId="3320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71E1A3D">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6</w:t>
            </w:r>
          </w:p>
        </w:tc>
        <w:tc>
          <w:tcPr>
            <w:tcW w:w="1912" w:type="dxa"/>
            <w:tcBorders>
              <w:top w:val="single" w:color="auto" w:sz="4" w:space="0"/>
              <w:left w:val="single" w:color="auto" w:sz="4" w:space="0"/>
              <w:bottom w:val="single" w:color="auto" w:sz="4" w:space="0"/>
              <w:right w:val="single" w:color="auto" w:sz="4" w:space="0"/>
            </w:tcBorders>
            <w:vAlign w:val="center"/>
          </w:tcPr>
          <w:p w14:paraId="28B0438B">
            <w:pPr>
              <w:snapToGrid w:val="0"/>
              <w:spacing w:afterLines="5"/>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比选人对比选文件进行补遗的时间</w:t>
            </w:r>
          </w:p>
        </w:tc>
        <w:tc>
          <w:tcPr>
            <w:tcW w:w="6487" w:type="dxa"/>
            <w:tcBorders>
              <w:top w:val="single" w:color="auto" w:sz="4" w:space="0"/>
              <w:left w:val="single" w:color="auto" w:sz="4" w:space="0"/>
              <w:bottom w:val="single" w:color="auto" w:sz="4" w:space="0"/>
              <w:right w:val="single" w:color="auto" w:sz="4" w:space="0"/>
            </w:tcBorders>
            <w:vAlign w:val="center"/>
          </w:tcPr>
          <w:p w14:paraId="3E49E2D6">
            <w:pPr>
              <w:snapToGrid w:val="0"/>
              <w:ind w:firstLine="560" w:firstLineChars="200"/>
              <w:rPr>
                <w:rFonts w:ascii="宋体" w:hAnsi="宋体" w:cs="宋体"/>
                <w:color w:val="auto"/>
                <w:kern w:val="0"/>
                <w:sz w:val="28"/>
                <w:szCs w:val="28"/>
                <w:highlight w:val="none"/>
              </w:rPr>
            </w:pPr>
            <w:r>
              <w:rPr>
                <w:rFonts w:hint="eastAsia" w:ascii="宋体" w:hAnsi="宋体" w:cs="宋体"/>
                <w:snapToGrid w:val="0"/>
                <w:color w:val="auto"/>
                <w:kern w:val="0"/>
                <w:sz w:val="28"/>
                <w:szCs w:val="28"/>
                <w:highlight w:val="none"/>
              </w:rPr>
              <w:t>修改内容可能影响响应文件编制的，须在响应截止时间</w:t>
            </w:r>
            <w:r>
              <w:rPr>
                <w:rFonts w:hint="eastAsia" w:ascii="宋体" w:hAnsi="宋体" w:cs="宋体"/>
                <w:snapToGrid w:val="0"/>
                <w:color w:val="auto"/>
                <w:kern w:val="0"/>
                <w:sz w:val="28"/>
                <w:szCs w:val="28"/>
                <w:highlight w:val="none"/>
                <w:lang w:val="en-US" w:eastAsia="zh-CN"/>
              </w:rPr>
              <w:t>3</w:t>
            </w:r>
            <w:r>
              <w:rPr>
                <w:rFonts w:hint="eastAsia" w:ascii="宋体" w:hAnsi="宋体" w:cs="宋体"/>
                <w:snapToGrid w:val="0"/>
                <w:color w:val="auto"/>
                <w:kern w:val="0"/>
                <w:sz w:val="28"/>
                <w:szCs w:val="28"/>
                <w:highlight w:val="none"/>
              </w:rPr>
              <w:t>日前发布，发布时间至响应截止时间不足</w:t>
            </w:r>
            <w:r>
              <w:rPr>
                <w:rFonts w:hint="eastAsia" w:ascii="宋体" w:hAnsi="宋体" w:cs="宋体"/>
                <w:snapToGrid w:val="0"/>
                <w:color w:val="auto"/>
                <w:kern w:val="0"/>
                <w:sz w:val="28"/>
                <w:szCs w:val="28"/>
                <w:highlight w:val="none"/>
                <w:lang w:val="en-US" w:eastAsia="zh-CN"/>
              </w:rPr>
              <w:t>3</w:t>
            </w:r>
            <w:r>
              <w:rPr>
                <w:rFonts w:hint="eastAsia" w:ascii="宋体" w:hAnsi="宋体" w:cs="宋体"/>
                <w:snapToGrid w:val="0"/>
                <w:color w:val="auto"/>
                <w:kern w:val="0"/>
                <w:sz w:val="28"/>
                <w:szCs w:val="28"/>
                <w:highlight w:val="none"/>
              </w:rPr>
              <w:t>日的，须相应延后响应截止时间。</w:t>
            </w:r>
          </w:p>
        </w:tc>
      </w:tr>
      <w:tr w14:paraId="40EE1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416" w:type="dxa"/>
            <w:tcBorders>
              <w:top w:val="single" w:color="auto" w:sz="4" w:space="0"/>
              <w:left w:val="single" w:color="auto" w:sz="4" w:space="0"/>
              <w:bottom w:val="single" w:color="auto" w:sz="4" w:space="0"/>
              <w:right w:val="single" w:color="auto" w:sz="4" w:space="0"/>
            </w:tcBorders>
            <w:vAlign w:val="center"/>
          </w:tcPr>
          <w:p w14:paraId="3BBF7B53">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7</w:t>
            </w:r>
          </w:p>
        </w:tc>
        <w:tc>
          <w:tcPr>
            <w:tcW w:w="1912" w:type="dxa"/>
            <w:tcBorders>
              <w:top w:val="single" w:color="auto" w:sz="4" w:space="0"/>
              <w:left w:val="single" w:color="auto" w:sz="4" w:space="0"/>
              <w:bottom w:val="single" w:color="auto" w:sz="4" w:space="0"/>
              <w:right w:val="single" w:color="auto" w:sz="4" w:space="0"/>
            </w:tcBorders>
            <w:vAlign w:val="center"/>
          </w:tcPr>
          <w:p w14:paraId="5D6BEDBE">
            <w:pPr>
              <w:snapToGrid w:val="0"/>
              <w:spacing w:afterLines="1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构成响应文件的其他材料</w:t>
            </w:r>
          </w:p>
        </w:tc>
        <w:tc>
          <w:tcPr>
            <w:tcW w:w="6487" w:type="dxa"/>
            <w:tcBorders>
              <w:top w:val="single" w:color="auto" w:sz="4" w:space="0"/>
              <w:left w:val="single" w:color="auto" w:sz="4" w:space="0"/>
              <w:bottom w:val="single" w:color="auto" w:sz="4" w:space="0"/>
              <w:right w:val="single" w:color="auto" w:sz="4" w:space="0"/>
            </w:tcBorders>
            <w:vAlign w:val="center"/>
          </w:tcPr>
          <w:p w14:paraId="54B67087">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响应单位的书面澄清、说明和补正（但不得改变响应文件的实质性内容）</w:t>
            </w:r>
          </w:p>
        </w:tc>
      </w:tr>
      <w:tr w14:paraId="7D5D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076DDC8B">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8</w:t>
            </w:r>
          </w:p>
        </w:tc>
        <w:tc>
          <w:tcPr>
            <w:tcW w:w="1912" w:type="dxa"/>
            <w:tcBorders>
              <w:top w:val="single" w:color="auto" w:sz="4" w:space="0"/>
              <w:left w:val="single" w:color="auto" w:sz="4" w:space="0"/>
              <w:bottom w:val="single" w:color="auto" w:sz="4" w:space="0"/>
              <w:right w:val="single" w:color="auto" w:sz="4" w:space="0"/>
            </w:tcBorders>
            <w:vAlign w:val="center"/>
          </w:tcPr>
          <w:p w14:paraId="65A0F793">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响应报价</w:t>
            </w:r>
          </w:p>
        </w:tc>
        <w:tc>
          <w:tcPr>
            <w:tcW w:w="6487" w:type="dxa"/>
            <w:tcBorders>
              <w:top w:val="single" w:color="auto" w:sz="4" w:space="0"/>
              <w:left w:val="single" w:color="auto" w:sz="4" w:space="0"/>
              <w:bottom w:val="single" w:color="auto" w:sz="4" w:space="0"/>
              <w:right w:val="single" w:color="auto" w:sz="4" w:space="0"/>
            </w:tcBorders>
            <w:vAlign w:val="center"/>
          </w:tcPr>
          <w:p w14:paraId="4E8DE247">
            <w:pPr>
              <w:keepNext w:val="0"/>
              <w:keepLines w:val="0"/>
              <w:pageBreakBefore w:val="0"/>
              <w:widowControl/>
              <w:kinsoku/>
              <w:wordWrap/>
              <w:overflowPunct/>
              <w:topLinePunct w:val="0"/>
              <w:autoSpaceDE/>
              <w:autoSpaceDN/>
              <w:bidi w:val="0"/>
              <w:adjustRightInd w:val="0"/>
              <w:snapToGrid w:val="0"/>
              <w:ind w:firstLine="560" w:firstLineChars="200"/>
              <w:jc w:val="left"/>
              <w:textAlignment w:val="auto"/>
              <w:rPr>
                <w:color w:val="auto"/>
                <w:sz w:val="28"/>
                <w:szCs w:val="28"/>
                <w:highlight w:val="none"/>
              </w:rPr>
            </w:pPr>
            <w:r>
              <w:rPr>
                <w:rFonts w:hint="eastAsia"/>
                <w:color w:val="auto"/>
                <w:sz w:val="28"/>
                <w:szCs w:val="28"/>
                <w:highlight w:val="none"/>
              </w:rPr>
              <w:t>响应单位须按照比选人发出的本项目报价清单格式进行报价，不得随意更改或添加内容；响应单位的报价不得超过比选人设置的限价；报价清单中每个分项的下浮率（如有）、单价（如有）、合价（如有）必须填写完整，报价清单中的总价须与响应函中的总价一致。</w:t>
            </w:r>
          </w:p>
          <w:p w14:paraId="3F7A517A">
            <w:pPr>
              <w:pStyle w:val="2"/>
              <w:keepNext w:val="0"/>
              <w:keepLines w:val="0"/>
              <w:pageBreakBefore w:val="0"/>
              <w:kinsoku/>
              <w:wordWrap/>
              <w:overflowPunct/>
              <w:topLinePunct w:val="0"/>
              <w:autoSpaceDE/>
              <w:autoSpaceDN/>
              <w:bidi w:val="0"/>
              <w:adjustRightInd w:val="0"/>
              <w:snapToGrid w:val="0"/>
              <w:ind w:firstLine="562" w:firstLineChars="200"/>
              <w:textAlignment w:val="auto"/>
              <w:rPr>
                <w:color w:val="auto"/>
                <w:sz w:val="28"/>
                <w:szCs w:val="28"/>
                <w:highlight w:val="none"/>
              </w:rPr>
            </w:pPr>
            <w:r>
              <w:rPr>
                <w:rFonts w:hint="eastAsia"/>
                <w:b/>
                <w:bCs/>
                <w:color w:val="auto"/>
                <w:sz w:val="28"/>
                <w:szCs w:val="28"/>
                <w:highlight w:val="none"/>
              </w:rPr>
              <w:t>如未按照上述要求填写报价，按无效响应处理。</w:t>
            </w:r>
          </w:p>
        </w:tc>
      </w:tr>
      <w:tr w14:paraId="6872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trPr>
        <w:tc>
          <w:tcPr>
            <w:tcW w:w="1416" w:type="dxa"/>
            <w:tcBorders>
              <w:top w:val="single" w:color="auto" w:sz="4" w:space="0"/>
              <w:left w:val="single" w:color="auto" w:sz="4" w:space="0"/>
              <w:bottom w:val="single" w:color="auto" w:sz="4" w:space="0"/>
              <w:right w:val="single" w:color="auto" w:sz="4" w:space="0"/>
            </w:tcBorders>
            <w:vAlign w:val="center"/>
          </w:tcPr>
          <w:p w14:paraId="02AA98FD">
            <w:pPr>
              <w:snapToGrid w:val="0"/>
              <w:jc w:val="center"/>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lang w:val="en-US" w:eastAsia="zh-CN"/>
              </w:rPr>
              <w:t>9</w:t>
            </w:r>
          </w:p>
        </w:tc>
        <w:tc>
          <w:tcPr>
            <w:tcW w:w="1912" w:type="dxa"/>
            <w:tcBorders>
              <w:top w:val="single" w:color="auto" w:sz="4" w:space="0"/>
              <w:left w:val="single" w:color="auto" w:sz="4" w:space="0"/>
              <w:bottom w:val="single" w:color="auto" w:sz="4" w:space="0"/>
              <w:right w:val="single" w:color="auto" w:sz="4" w:space="0"/>
            </w:tcBorders>
            <w:vAlign w:val="center"/>
          </w:tcPr>
          <w:p w14:paraId="36CEDEA3">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响应有效期</w:t>
            </w:r>
          </w:p>
        </w:tc>
        <w:tc>
          <w:tcPr>
            <w:tcW w:w="6487" w:type="dxa"/>
            <w:tcBorders>
              <w:top w:val="single" w:color="auto" w:sz="4" w:space="0"/>
              <w:left w:val="single" w:color="auto" w:sz="4" w:space="0"/>
              <w:bottom w:val="single" w:color="auto" w:sz="4" w:space="0"/>
              <w:right w:val="single" w:color="auto" w:sz="4" w:space="0"/>
            </w:tcBorders>
            <w:vAlign w:val="center"/>
          </w:tcPr>
          <w:p w14:paraId="6E49C217">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90</w:t>
            </w:r>
            <w:r>
              <w:rPr>
                <w:rFonts w:hint="eastAsia" w:ascii="宋体" w:hAnsi="宋体" w:cs="宋体"/>
                <w:color w:val="auto"/>
                <w:kern w:val="0"/>
                <w:sz w:val="28"/>
                <w:szCs w:val="28"/>
                <w:highlight w:val="none"/>
              </w:rPr>
              <w:t>日历天（从提交响应文件截止日起计算）</w:t>
            </w:r>
          </w:p>
        </w:tc>
      </w:tr>
      <w:tr w14:paraId="09D2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trPr>
        <w:tc>
          <w:tcPr>
            <w:tcW w:w="1416" w:type="dxa"/>
            <w:tcBorders>
              <w:top w:val="single" w:color="auto" w:sz="4" w:space="0"/>
              <w:left w:val="single" w:color="auto" w:sz="4" w:space="0"/>
              <w:bottom w:val="single" w:color="auto" w:sz="4" w:space="0"/>
              <w:right w:val="single" w:color="auto" w:sz="4" w:space="0"/>
            </w:tcBorders>
            <w:vAlign w:val="center"/>
          </w:tcPr>
          <w:p w14:paraId="63723E2C">
            <w:pPr>
              <w:snapToGrid w:val="0"/>
              <w:jc w:val="center"/>
              <w:rPr>
                <w:rFonts w:hint="default"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10</w:t>
            </w:r>
          </w:p>
        </w:tc>
        <w:tc>
          <w:tcPr>
            <w:tcW w:w="1912" w:type="dxa"/>
            <w:tcBorders>
              <w:top w:val="single" w:color="auto" w:sz="4" w:space="0"/>
              <w:left w:val="single" w:color="auto" w:sz="4" w:space="0"/>
              <w:bottom w:val="single" w:color="auto" w:sz="4" w:space="0"/>
              <w:right w:val="single" w:color="auto" w:sz="4" w:space="0"/>
            </w:tcBorders>
            <w:vAlign w:val="center"/>
          </w:tcPr>
          <w:p w14:paraId="5A887D3E">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是否允许递交备选响应方案</w:t>
            </w:r>
          </w:p>
        </w:tc>
        <w:tc>
          <w:tcPr>
            <w:tcW w:w="6487" w:type="dxa"/>
            <w:tcBorders>
              <w:top w:val="single" w:color="auto" w:sz="4" w:space="0"/>
              <w:left w:val="single" w:color="auto" w:sz="4" w:space="0"/>
              <w:bottom w:val="single" w:color="auto" w:sz="4" w:space="0"/>
              <w:right w:val="single" w:color="auto" w:sz="4" w:space="0"/>
            </w:tcBorders>
            <w:vAlign w:val="center"/>
          </w:tcPr>
          <w:p w14:paraId="40079392">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不允许</w:t>
            </w:r>
          </w:p>
        </w:tc>
      </w:tr>
      <w:tr w14:paraId="6FC9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48427782">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11</w:t>
            </w:r>
          </w:p>
        </w:tc>
        <w:tc>
          <w:tcPr>
            <w:tcW w:w="1912" w:type="dxa"/>
            <w:tcBorders>
              <w:top w:val="single" w:color="auto" w:sz="4" w:space="0"/>
              <w:left w:val="single" w:color="auto" w:sz="4" w:space="0"/>
              <w:bottom w:val="single" w:color="auto" w:sz="4" w:space="0"/>
              <w:right w:val="single" w:color="auto" w:sz="4" w:space="0"/>
            </w:tcBorders>
            <w:vAlign w:val="center"/>
          </w:tcPr>
          <w:p w14:paraId="2AF12A5B">
            <w:pPr>
              <w:snapToGrid w:val="0"/>
              <w:spacing w:afterLines="3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响应文件格式要求</w:t>
            </w:r>
          </w:p>
        </w:tc>
        <w:tc>
          <w:tcPr>
            <w:tcW w:w="6487" w:type="dxa"/>
            <w:tcBorders>
              <w:top w:val="single" w:color="auto" w:sz="4" w:space="0"/>
              <w:left w:val="single" w:color="auto" w:sz="4" w:space="0"/>
              <w:bottom w:val="single" w:color="auto" w:sz="4" w:space="0"/>
              <w:right w:val="single" w:color="auto" w:sz="4" w:space="0"/>
            </w:tcBorders>
            <w:vAlign w:val="center"/>
          </w:tcPr>
          <w:p w14:paraId="076C8A4F">
            <w:pPr>
              <w:numPr>
                <w:ilvl w:val="0"/>
                <w:numId w:val="0"/>
              </w:numPr>
              <w:adjustRightInd w:val="0"/>
              <w:snapToGrid w:val="0"/>
              <w:ind w:firstLine="560" w:firstLineChars="200"/>
              <w:rPr>
                <w:rFonts w:hint="eastAsia"/>
                <w:color w:val="auto"/>
                <w:sz w:val="28"/>
                <w:szCs w:val="28"/>
                <w:highlight w:val="none"/>
              </w:rPr>
            </w:pPr>
            <w:r>
              <w:rPr>
                <w:rFonts w:hint="eastAsia"/>
                <w:color w:val="auto"/>
                <w:sz w:val="28"/>
                <w:szCs w:val="28"/>
                <w:highlight w:val="none"/>
                <w:lang w:val="en-US" w:eastAsia="zh-CN"/>
              </w:rPr>
              <w:t>1.</w:t>
            </w:r>
            <w:r>
              <w:rPr>
                <w:rFonts w:hint="eastAsia"/>
                <w:color w:val="auto"/>
                <w:sz w:val="28"/>
                <w:szCs w:val="28"/>
                <w:highlight w:val="none"/>
              </w:rPr>
              <w:t>封套上应载明的信息</w:t>
            </w:r>
          </w:p>
          <w:p w14:paraId="74DDE477">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江北区C01单元05街区003地块开发项目EPC总承包钢材材料采购</w:t>
            </w:r>
            <w:r>
              <w:rPr>
                <w:rFonts w:hint="eastAsia" w:ascii="Calibri" w:hAnsi="Calibri" w:cs="Times New Roman"/>
                <w:color w:val="auto"/>
                <w:kern w:val="2"/>
                <w:sz w:val="28"/>
                <w:szCs w:val="28"/>
                <w:highlight w:val="none"/>
                <w:lang w:val="en-US" w:eastAsia="zh-CN" w:bidi="ar-SA"/>
              </w:rPr>
              <w:t>响应文件</w:t>
            </w:r>
            <w:r>
              <w:rPr>
                <w:rFonts w:hint="eastAsia" w:ascii="Calibri" w:hAnsi="Calibri" w:eastAsia="宋体" w:cs="Times New Roman"/>
                <w:color w:val="auto"/>
                <w:kern w:val="2"/>
                <w:sz w:val="28"/>
                <w:szCs w:val="28"/>
                <w:highlight w:val="none"/>
                <w:lang w:val="en-US" w:eastAsia="zh-CN" w:bidi="ar-SA"/>
              </w:rPr>
              <w:t xml:space="preserve"> </w:t>
            </w:r>
          </w:p>
          <w:p w14:paraId="0718FBE6">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比选编号：JBJG-CG-2025-006</w:t>
            </w:r>
          </w:p>
          <w:p w14:paraId="384AF881">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在</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cs="宋体"/>
                <w:color w:val="auto"/>
                <w:kern w:val="0"/>
                <w:sz w:val="28"/>
                <w:szCs w:val="28"/>
                <w:highlight w:val="none"/>
                <w:u w:val="single"/>
                <w:shd w:val="clear"/>
                <w:lang w:val="en-US" w:eastAsia="zh-CN"/>
              </w:rPr>
              <w:t>27</w:t>
            </w:r>
            <w:r>
              <w:rPr>
                <w:rFonts w:hint="eastAsia" w:ascii="宋体" w:hAnsi="宋体" w:cs="宋体"/>
                <w:color w:val="auto"/>
                <w:kern w:val="0"/>
                <w:sz w:val="28"/>
                <w:szCs w:val="28"/>
                <w:highlight w:val="none"/>
                <w:shd w:val="clear"/>
              </w:rPr>
              <w:t>日</w:t>
            </w:r>
            <w:r>
              <w:rPr>
                <w:rFonts w:hint="eastAsia" w:cs="宋体"/>
                <w:color w:val="auto"/>
                <w:kern w:val="0"/>
                <w:sz w:val="28"/>
                <w:szCs w:val="28"/>
                <w:highlight w:val="none"/>
                <w:u w:val="single"/>
                <w:shd w:val="clear"/>
                <w:lang w:val="en-US" w:eastAsia="zh-CN"/>
              </w:rPr>
              <w:t>10</w:t>
            </w:r>
            <w:r>
              <w:rPr>
                <w:rFonts w:hint="eastAsia" w:ascii="宋体" w:hAnsi="宋体" w:cs="宋体"/>
                <w:color w:val="auto"/>
                <w:kern w:val="0"/>
                <w:sz w:val="28"/>
                <w:szCs w:val="28"/>
                <w:highlight w:val="none"/>
                <w:shd w:val="clear"/>
              </w:rPr>
              <w:t>时</w:t>
            </w:r>
            <w:r>
              <w:rPr>
                <w:rFonts w:hint="eastAsia"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r>
              <w:rPr>
                <w:rFonts w:hint="eastAsia" w:ascii="Calibri" w:hAnsi="Calibri" w:eastAsia="宋体" w:cs="Times New Roman"/>
                <w:color w:val="auto"/>
                <w:kern w:val="2"/>
                <w:sz w:val="28"/>
                <w:szCs w:val="28"/>
                <w:highlight w:val="none"/>
                <w:lang w:val="en-US" w:eastAsia="zh-CN" w:bidi="ar-SA"/>
              </w:rPr>
              <w:t>之前不得启封</w:t>
            </w:r>
          </w:p>
          <w:p w14:paraId="1C3317DA">
            <w:pPr>
              <w:adjustRightInd w:val="0"/>
              <w:snapToGrid w:val="0"/>
              <w:ind w:firstLine="560" w:firstLineChars="200"/>
              <w:rPr>
                <w:rFonts w:hint="eastAsia"/>
                <w:color w:val="auto"/>
                <w:sz w:val="28"/>
                <w:szCs w:val="28"/>
                <w:highlight w:val="none"/>
                <w:lang w:eastAsia="zh-CN"/>
              </w:rPr>
            </w:pPr>
            <w:r>
              <w:rPr>
                <w:rFonts w:hint="eastAsia"/>
                <w:color w:val="auto"/>
                <w:sz w:val="28"/>
                <w:szCs w:val="28"/>
                <w:highlight w:val="none"/>
                <w:lang w:val="en-US" w:eastAsia="zh-CN"/>
              </w:rPr>
              <w:t>2.</w:t>
            </w:r>
            <w:r>
              <w:rPr>
                <w:rFonts w:hint="eastAsia"/>
                <w:color w:val="auto"/>
                <w:sz w:val="28"/>
                <w:szCs w:val="28"/>
                <w:highlight w:val="none"/>
              </w:rPr>
              <w:t>响应文件应密封包装，以保证其响应文件信息在提交</w:t>
            </w:r>
            <w:r>
              <w:rPr>
                <w:rFonts w:hint="eastAsia"/>
                <w:color w:val="auto"/>
                <w:sz w:val="28"/>
                <w:szCs w:val="28"/>
                <w:highlight w:val="none"/>
                <w:lang w:eastAsia="zh-CN"/>
              </w:rPr>
              <w:t>响应文件</w:t>
            </w:r>
            <w:r>
              <w:rPr>
                <w:rFonts w:hint="eastAsia"/>
                <w:color w:val="auto"/>
                <w:sz w:val="28"/>
                <w:szCs w:val="28"/>
                <w:highlight w:val="none"/>
              </w:rPr>
              <w:t>截止时间前不被透露</w:t>
            </w:r>
            <w:r>
              <w:rPr>
                <w:rFonts w:hint="eastAsia"/>
                <w:color w:val="auto"/>
                <w:sz w:val="28"/>
                <w:szCs w:val="28"/>
                <w:highlight w:val="none"/>
                <w:lang w:eastAsia="zh-CN"/>
              </w:rPr>
              <w:t>。</w:t>
            </w:r>
          </w:p>
          <w:p w14:paraId="680E9993">
            <w:pPr>
              <w:keepNext w:val="0"/>
              <w:keepLines w:val="0"/>
              <w:pageBreakBefore w:val="0"/>
              <w:kinsoku/>
              <w:wordWrap/>
              <w:overflowPunct/>
              <w:topLinePunct w:val="0"/>
              <w:bidi w:val="0"/>
              <w:adjustRightInd w:val="0"/>
              <w:snapToGrid w:val="0"/>
              <w:spacing w:line="240" w:lineRule="auto"/>
              <w:ind w:firstLine="560" w:firstLineChars="200"/>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color w:val="auto"/>
                <w:sz w:val="28"/>
                <w:szCs w:val="28"/>
                <w:highlight w:val="none"/>
                <w:lang w:val="en-US" w:eastAsia="zh-CN"/>
              </w:rPr>
              <w:t>3.</w:t>
            </w:r>
            <w:r>
              <w:rPr>
                <w:rFonts w:hint="eastAsia"/>
                <w:color w:val="auto"/>
                <w:sz w:val="28"/>
                <w:szCs w:val="28"/>
                <w:highlight w:val="none"/>
              </w:rPr>
              <w:t>编制响应文件时不得对附件</w:t>
            </w:r>
            <w:r>
              <w:rPr>
                <w:rFonts w:hint="eastAsia"/>
                <w:color w:val="auto"/>
                <w:sz w:val="28"/>
                <w:szCs w:val="28"/>
                <w:highlight w:val="none"/>
                <w:lang w:val="en-US" w:eastAsia="zh-CN"/>
              </w:rPr>
              <w:t>2</w:t>
            </w:r>
            <w:r>
              <w:rPr>
                <w:rFonts w:hint="eastAsia"/>
                <w:color w:val="auto"/>
                <w:sz w:val="28"/>
                <w:szCs w:val="28"/>
                <w:highlight w:val="none"/>
              </w:rPr>
              <w:t>“响应</w:t>
            </w:r>
            <w:r>
              <w:rPr>
                <w:rFonts w:hint="eastAsia"/>
                <w:color w:val="auto"/>
                <w:sz w:val="28"/>
                <w:szCs w:val="28"/>
                <w:highlight w:val="none"/>
                <w:lang w:val="en-US" w:eastAsia="zh-CN"/>
              </w:rPr>
              <w:t>文件</w:t>
            </w:r>
            <w:r>
              <w:rPr>
                <w:rFonts w:hint="eastAsia"/>
                <w:color w:val="auto"/>
                <w:sz w:val="28"/>
                <w:szCs w:val="28"/>
                <w:highlight w:val="none"/>
              </w:rPr>
              <w:t>”的</w:t>
            </w:r>
            <w:r>
              <w:rPr>
                <w:rFonts w:hint="eastAsia"/>
                <w:color w:val="auto"/>
                <w:sz w:val="28"/>
                <w:szCs w:val="28"/>
                <w:highlight w:val="none"/>
                <w:lang w:val="en-US" w:eastAsia="zh-CN"/>
              </w:rPr>
              <w:t>相应要素作实质性修改，细微偏差由评标小组提出，响应单位书面澄清修正后作为投标文件组成部分，拒不修正做否决处理。重大偏差影响评标的按无效报价文件处理。</w:t>
            </w:r>
          </w:p>
          <w:p w14:paraId="07AF4C38">
            <w:pPr>
              <w:keepNext w:val="0"/>
              <w:keepLines w:val="0"/>
              <w:pageBreakBefore w:val="0"/>
              <w:kinsoku/>
              <w:wordWrap/>
              <w:overflowPunct/>
              <w:topLinePunct w:val="0"/>
              <w:bidi w:val="0"/>
              <w:adjustRightInd w:val="0"/>
              <w:snapToGrid w:val="0"/>
              <w:spacing w:line="240" w:lineRule="auto"/>
              <w:ind w:firstLine="562" w:firstLineChars="200"/>
              <w:textAlignment w:val="auto"/>
              <w:rPr>
                <w:highlight w:val="none"/>
              </w:rPr>
            </w:pPr>
            <w:r>
              <w:rPr>
                <w:rFonts w:hint="eastAsia" w:asciiTheme="minorEastAsia" w:hAnsiTheme="minorEastAsia" w:eastAsiaTheme="minorEastAsia" w:cstheme="minorEastAsia"/>
                <w:b/>
                <w:bCs/>
                <w:color w:val="auto"/>
                <w:sz w:val="28"/>
                <w:szCs w:val="28"/>
                <w:highlight w:val="none"/>
                <w:lang w:val="en-US" w:eastAsia="zh-CN"/>
              </w:rPr>
              <w:t>响应文件应进行密封，如未密封，比选人应予拒收。</w:t>
            </w:r>
          </w:p>
          <w:p w14:paraId="443B0F61">
            <w:pPr>
              <w:adjustRightInd w:val="0"/>
              <w:snapToGrid w:val="0"/>
              <w:ind w:firstLine="562" w:firstLineChars="200"/>
              <w:rPr>
                <w:color w:val="auto"/>
                <w:sz w:val="28"/>
                <w:szCs w:val="28"/>
                <w:highlight w:val="none"/>
              </w:rPr>
            </w:pPr>
            <w:r>
              <w:rPr>
                <w:rFonts w:hint="eastAsia"/>
                <w:b/>
                <w:bCs/>
                <w:color w:val="auto"/>
                <w:sz w:val="28"/>
                <w:szCs w:val="28"/>
                <w:highlight w:val="none"/>
              </w:rPr>
              <w:t>响应文件须编制目录，编制页码（从目录开始编制）</w:t>
            </w:r>
            <w:r>
              <w:rPr>
                <w:rFonts w:hint="eastAsia"/>
                <w:b/>
                <w:bCs/>
                <w:color w:val="auto"/>
                <w:sz w:val="28"/>
                <w:szCs w:val="28"/>
                <w:highlight w:val="none"/>
                <w:lang w:eastAsia="zh-CN"/>
              </w:rPr>
              <w:t>，</w:t>
            </w:r>
            <w:r>
              <w:rPr>
                <w:rFonts w:hint="eastAsia"/>
                <w:b/>
                <w:bCs/>
                <w:color w:val="auto"/>
                <w:sz w:val="28"/>
                <w:szCs w:val="28"/>
                <w:highlight w:val="none"/>
                <w:lang w:val="en-US" w:eastAsia="zh-CN"/>
              </w:rPr>
              <w:t>目录及页码编制不作为评标因素</w:t>
            </w:r>
            <w:r>
              <w:rPr>
                <w:rFonts w:hint="eastAsia"/>
                <w:b/>
                <w:bCs/>
                <w:color w:val="auto"/>
                <w:sz w:val="28"/>
                <w:szCs w:val="28"/>
                <w:highlight w:val="none"/>
              </w:rPr>
              <w:t>。</w:t>
            </w:r>
          </w:p>
        </w:tc>
      </w:tr>
      <w:tr w14:paraId="5D00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29E1BA3A">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12</w:t>
            </w:r>
          </w:p>
        </w:tc>
        <w:tc>
          <w:tcPr>
            <w:tcW w:w="1912" w:type="dxa"/>
            <w:tcBorders>
              <w:top w:val="single" w:color="auto" w:sz="4" w:space="0"/>
              <w:left w:val="single" w:color="auto" w:sz="4" w:space="0"/>
              <w:bottom w:val="single" w:color="auto" w:sz="4" w:space="0"/>
              <w:right w:val="single" w:color="auto" w:sz="4" w:space="0"/>
            </w:tcBorders>
            <w:vAlign w:val="center"/>
          </w:tcPr>
          <w:p w14:paraId="7654A8D9">
            <w:pPr>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签名盖章要求</w:t>
            </w:r>
          </w:p>
        </w:tc>
        <w:tc>
          <w:tcPr>
            <w:tcW w:w="6487" w:type="dxa"/>
            <w:tcBorders>
              <w:top w:val="single" w:color="auto" w:sz="4" w:space="0"/>
              <w:left w:val="single" w:color="auto" w:sz="4" w:space="0"/>
              <w:bottom w:val="single" w:color="auto" w:sz="4" w:space="0"/>
              <w:right w:val="single" w:color="auto" w:sz="4" w:space="0"/>
            </w:tcBorders>
          </w:tcPr>
          <w:p w14:paraId="7ECBB641">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签字盖章须与附件</w:t>
            </w:r>
            <w:r>
              <w:rPr>
                <w:rFonts w:hint="eastAsia" w:ascii="宋体" w:hAnsi="宋体" w:cs="宋体"/>
                <w:color w:val="auto"/>
                <w:kern w:val="0"/>
                <w:sz w:val="28"/>
                <w:szCs w:val="28"/>
                <w:highlight w:val="none"/>
                <w:lang w:val="en-US" w:eastAsia="zh-CN"/>
              </w:rPr>
              <w:t>2</w:t>
            </w:r>
            <w:r>
              <w:rPr>
                <w:rFonts w:hint="eastAsia" w:ascii="宋体" w:hAnsi="宋体" w:cs="宋体"/>
                <w:color w:val="auto"/>
                <w:kern w:val="0"/>
                <w:sz w:val="28"/>
                <w:szCs w:val="28"/>
                <w:highlight w:val="none"/>
              </w:rPr>
              <w:t>“响应文件”中的要求一致，以及构成响应</w:t>
            </w:r>
            <w:r>
              <w:rPr>
                <w:rFonts w:hint="eastAsia" w:ascii="宋体" w:hAnsi="宋体" w:cs="宋体"/>
                <w:color w:val="auto"/>
                <w:kern w:val="0"/>
                <w:sz w:val="28"/>
                <w:szCs w:val="28"/>
                <w:highlight w:val="none"/>
                <w:lang w:val="en-US" w:eastAsia="zh-CN"/>
              </w:rPr>
              <w:t>报价</w:t>
            </w:r>
            <w:r>
              <w:rPr>
                <w:rFonts w:hint="eastAsia" w:ascii="宋体" w:hAnsi="宋体" w:cs="宋体"/>
                <w:color w:val="auto"/>
                <w:kern w:val="0"/>
                <w:sz w:val="28"/>
                <w:szCs w:val="28"/>
                <w:highlight w:val="none"/>
              </w:rPr>
              <w:t>文件的其他资料响应单位认为必要的也需签字盖章。</w:t>
            </w:r>
          </w:p>
          <w:p w14:paraId="2E410330">
            <w:pPr>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要求响应文件应尽量避免涂改、行间插字或删除。如果出现上述情况，改动之处应加盖单位公章并由响应单位的法定代表人签名确认。</w:t>
            </w:r>
          </w:p>
        </w:tc>
      </w:tr>
      <w:tr w14:paraId="4197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35C87B69">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13</w:t>
            </w:r>
          </w:p>
        </w:tc>
        <w:tc>
          <w:tcPr>
            <w:tcW w:w="1912" w:type="dxa"/>
            <w:tcBorders>
              <w:top w:val="single" w:color="auto" w:sz="4" w:space="0"/>
              <w:left w:val="single" w:color="auto" w:sz="4" w:space="0"/>
              <w:bottom w:val="single" w:color="auto" w:sz="4" w:space="0"/>
              <w:right w:val="single" w:color="auto" w:sz="4" w:space="0"/>
            </w:tcBorders>
            <w:vAlign w:val="center"/>
          </w:tcPr>
          <w:p w14:paraId="037E04B7">
            <w:pPr>
              <w:snapToGrid w:val="0"/>
              <w:rPr>
                <w:rFonts w:ascii="宋体" w:hAnsi="宋体" w:cs="宋体"/>
                <w:color w:val="auto"/>
                <w:spacing w:val="-6"/>
                <w:kern w:val="0"/>
                <w:sz w:val="28"/>
                <w:szCs w:val="28"/>
                <w:highlight w:val="none"/>
              </w:rPr>
            </w:pPr>
            <w:r>
              <w:rPr>
                <w:rFonts w:hint="eastAsia" w:ascii="宋体" w:hAnsi="宋体" w:cs="宋体"/>
                <w:color w:val="auto"/>
                <w:spacing w:val="-6"/>
                <w:kern w:val="0"/>
                <w:sz w:val="28"/>
                <w:szCs w:val="28"/>
                <w:highlight w:val="none"/>
              </w:rPr>
              <w:t>响应文件的份数</w:t>
            </w:r>
          </w:p>
        </w:tc>
        <w:tc>
          <w:tcPr>
            <w:tcW w:w="6487" w:type="dxa"/>
            <w:tcBorders>
              <w:top w:val="single" w:color="auto" w:sz="4" w:space="0"/>
              <w:left w:val="single" w:color="auto" w:sz="4" w:space="0"/>
              <w:bottom w:val="single" w:color="auto" w:sz="4" w:space="0"/>
              <w:right w:val="single" w:color="auto" w:sz="4" w:space="0"/>
            </w:tcBorders>
            <w:vAlign w:val="center"/>
          </w:tcPr>
          <w:p w14:paraId="4648170F">
            <w:pPr>
              <w:adjustRightInd w:val="0"/>
              <w:snapToGrid w:val="0"/>
              <w:ind w:firstLine="560" w:firstLineChars="200"/>
              <w:rPr>
                <w:color w:val="auto"/>
                <w:sz w:val="28"/>
                <w:szCs w:val="28"/>
                <w:highlight w:val="none"/>
                <w:lang w:val="en-US"/>
              </w:rPr>
            </w:pPr>
            <w:r>
              <w:rPr>
                <w:rFonts w:hint="eastAsia" w:ascii="宋体" w:hAnsi="宋体" w:eastAsia="宋体" w:cs="宋体"/>
                <w:color w:val="auto"/>
                <w:kern w:val="0"/>
                <w:sz w:val="28"/>
                <w:szCs w:val="28"/>
                <w:highlight w:val="none"/>
                <w:lang w:eastAsia="zh-CN"/>
              </w:rPr>
              <w:t>响应文件</w:t>
            </w:r>
            <w:r>
              <w:rPr>
                <w:rFonts w:hint="eastAsia" w:ascii="宋体" w:hAnsi="宋体" w:eastAsia="宋体" w:cs="宋体"/>
                <w:color w:val="auto"/>
                <w:kern w:val="0"/>
                <w:sz w:val="28"/>
                <w:szCs w:val="28"/>
                <w:highlight w:val="none"/>
              </w:rPr>
              <w:t>正本1份、副本</w:t>
            </w:r>
            <w:r>
              <w:rPr>
                <w:rFonts w:hint="eastAsia" w:ascii="宋体" w:hAnsi="宋体" w:cs="宋体"/>
                <w:color w:val="auto"/>
                <w:kern w:val="0"/>
                <w:sz w:val="28"/>
                <w:szCs w:val="28"/>
                <w:highlight w:val="none"/>
                <w:lang w:val="en-US" w:eastAsia="zh-CN"/>
              </w:rPr>
              <w:t>1</w:t>
            </w:r>
            <w:r>
              <w:rPr>
                <w:rFonts w:hint="eastAsia" w:ascii="宋体" w:hAnsi="宋体" w:eastAsia="宋体" w:cs="宋体"/>
                <w:color w:val="auto"/>
                <w:kern w:val="0"/>
                <w:sz w:val="28"/>
                <w:szCs w:val="28"/>
                <w:highlight w:val="none"/>
              </w:rPr>
              <w:t>份。正本和副本的封面</w:t>
            </w:r>
            <w:r>
              <w:rPr>
                <w:rFonts w:hint="eastAsia" w:ascii="宋体" w:hAnsi="宋体" w:eastAsia="宋体" w:cs="宋体"/>
                <w:color w:val="auto"/>
                <w:kern w:val="0"/>
                <w:sz w:val="28"/>
                <w:szCs w:val="28"/>
                <w:highlight w:val="none"/>
                <w:lang w:eastAsia="zh-CN"/>
              </w:rPr>
              <w:t>右上角</w:t>
            </w:r>
            <w:r>
              <w:rPr>
                <w:rFonts w:hint="eastAsia" w:ascii="宋体" w:hAnsi="宋体" w:eastAsia="宋体" w:cs="宋体"/>
                <w:color w:val="auto"/>
                <w:kern w:val="0"/>
                <w:sz w:val="28"/>
                <w:szCs w:val="28"/>
                <w:highlight w:val="none"/>
              </w:rPr>
              <w:t>上应清楚地标记“正本”或“副本”的字样，正本和副本封面均须加盖单位</w:t>
            </w:r>
            <w:r>
              <w:rPr>
                <w:rFonts w:hint="eastAsia" w:ascii="宋体" w:hAnsi="宋体" w:cs="宋体"/>
                <w:color w:val="auto"/>
                <w:kern w:val="0"/>
                <w:sz w:val="28"/>
                <w:szCs w:val="28"/>
                <w:highlight w:val="none"/>
                <w:lang w:val="en-US" w:eastAsia="zh-CN"/>
              </w:rPr>
              <w:t>公</w:t>
            </w:r>
            <w:r>
              <w:rPr>
                <w:rFonts w:hint="eastAsia" w:ascii="宋体" w:hAnsi="宋体" w:eastAsia="宋体" w:cs="宋体"/>
                <w:color w:val="auto"/>
                <w:kern w:val="0"/>
                <w:sz w:val="28"/>
                <w:szCs w:val="28"/>
                <w:highlight w:val="none"/>
              </w:rPr>
              <w:t>章。</w:t>
            </w:r>
            <w:r>
              <w:rPr>
                <w:rFonts w:hint="eastAsia" w:ascii="宋体" w:hAnsi="宋体" w:eastAsia="宋体" w:cs="宋体"/>
                <w:color w:val="auto"/>
                <w:kern w:val="0"/>
                <w:sz w:val="28"/>
                <w:szCs w:val="28"/>
                <w:highlight w:val="none"/>
                <w:lang w:eastAsia="zh-CN"/>
              </w:rPr>
              <w:t>副本应为正本的完整复印件，</w:t>
            </w:r>
            <w:r>
              <w:rPr>
                <w:rFonts w:hint="eastAsia" w:ascii="宋体" w:hAnsi="宋体" w:eastAsia="宋体" w:cs="宋体"/>
                <w:color w:val="auto"/>
                <w:kern w:val="0"/>
                <w:sz w:val="28"/>
                <w:szCs w:val="28"/>
                <w:highlight w:val="none"/>
              </w:rPr>
              <w:t>当副本和正本不一致时，以正本为准。</w:t>
            </w:r>
            <w:r>
              <w:rPr>
                <w:rFonts w:hint="eastAsia" w:ascii="宋体" w:hAnsi="宋体" w:eastAsia="宋体" w:cs="宋体"/>
                <w:color w:val="auto"/>
                <w:kern w:val="0"/>
                <w:sz w:val="28"/>
                <w:szCs w:val="28"/>
                <w:highlight w:val="none"/>
                <w:lang w:eastAsia="zh-CN"/>
              </w:rPr>
              <w:t>响应文件的正本与副本应分别装订成册，同时应编制完整的页码、目录。</w:t>
            </w:r>
          </w:p>
        </w:tc>
      </w:tr>
      <w:tr w14:paraId="5116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78BA185E">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14</w:t>
            </w:r>
          </w:p>
        </w:tc>
        <w:tc>
          <w:tcPr>
            <w:tcW w:w="1912" w:type="dxa"/>
            <w:tcBorders>
              <w:top w:val="single" w:color="auto" w:sz="4" w:space="0"/>
              <w:left w:val="single" w:color="auto" w:sz="4" w:space="0"/>
              <w:bottom w:val="single" w:color="auto" w:sz="4" w:space="0"/>
              <w:right w:val="single" w:color="auto" w:sz="4" w:space="0"/>
            </w:tcBorders>
            <w:vAlign w:val="center"/>
          </w:tcPr>
          <w:p w14:paraId="129C8319">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比选时间和</w:t>
            </w:r>
          </w:p>
          <w:p w14:paraId="6105183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地点</w:t>
            </w:r>
          </w:p>
        </w:tc>
        <w:tc>
          <w:tcPr>
            <w:tcW w:w="6487" w:type="dxa"/>
            <w:tcBorders>
              <w:top w:val="single" w:color="auto" w:sz="4" w:space="0"/>
              <w:left w:val="single" w:color="auto" w:sz="4" w:space="0"/>
              <w:bottom w:val="single" w:color="auto" w:sz="4" w:space="0"/>
              <w:right w:val="single" w:color="auto" w:sz="4" w:space="0"/>
            </w:tcBorders>
            <w:vAlign w:val="center"/>
          </w:tcPr>
          <w:p w14:paraId="4AF462B1">
            <w:pPr>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比选时间：</w:t>
            </w:r>
            <w:r>
              <w:rPr>
                <w:rFonts w:hint="eastAsia" w:ascii="宋体" w:hAnsi="宋体" w:cs="宋体"/>
                <w:color w:val="auto"/>
                <w:kern w:val="0"/>
                <w:sz w:val="28"/>
                <w:szCs w:val="28"/>
                <w:highlight w:val="none"/>
                <w:u w:val="single"/>
                <w:shd w:val="clear"/>
              </w:rPr>
              <w:t>202</w:t>
            </w:r>
            <w:r>
              <w:rPr>
                <w:rFonts w:hint="eastAsia" w:ascii="宋体" w:hAnsi="宋体" w:cs="宋体"/>
                <w:color w:val="auto"/>
                <w:kern w:val="0"/>
                <w:sz w:val="28"/>
                <w:szCs w:val="28"/>
                <w:highlight w:val="none"/>
                <w:u w:val="single"/>
                <w:shd w:val="clear"/>
                <w:lang w:val="en-US" w:eastAsia="zh-CN"/>
              </w:rPr>
              <w:t>5</w:t>
            </w:r>
            <w:r>
              <w:rPr>
                <w:rFonts w:hint="eastAsia" w:ascii="宋体" w:hAnsi="宋体" w:cs="宋体"/>
                <w:color w:val="auto"/>
                <w:kern w:val="0"/>
                <w:sz w:val="28"/>
                <w:szCs w:val="28"/>
                <w:highlight w:val="none"/>
                <w:shd w:val="clear"/>
              </w:rPr>
              <w:t>年</w:t>
            </w:r>
            <w:r>
              <w:rPr>
                <w:rFonts w:hint="eastAsia" w:ascii="宋体" w:hAnsi="宋体" w:cs="宋体"/>
                <w:color w:val="auto"/>
                <w:kern w:val="0"/>
                <w:sz w:val="28"/>
                <w:szCs w:val="28"/>
                <w:highlight w:val="none"/>
                <w:u w:val="single"/>
                <w:shd w:val="clear"/>
                <w:lang w:val="en-US" w:eastAsia="zh-CN"/>
              </w:rPr>
              <w:t>11</w:t>
            </w:r>
            <w:r>
              <w:rPr>
                <w:rFonts w:hint="eastAsia" w:ascii="宋体" w:hAnsi="宋体" w:cs="宋体"/>
                <w:color w:val="auto"/>
                <w:kern w:val="0"/>
                <w:sz w:val="28"/>
                <w:szCs w:val="28"/>
                <w:highlight w:val="none"/>
                <w:shd w:val="clear"/>
              </w:rPr>
              <w:t>月</w:t>
            </w:r>
            <w:r>
              <w:rPr>
                <w:rFonts w:hint="eastAsia" w:ascii="宋体" w:hAnsi="宋体" w:cs="宋体"/>
                <w:color w:val="auto"/>
                <w:kern w:val="0"/>
                <w:sz w:val="28"/>
                <w:szCs w:val="28"/>
                <w:highlight w:val="none"/>
                <w:u w:val="single"/>
                <w:shd w:val="clear"/>
                <w:lang w:val="en-US" w:eastAsia="zh-CN"/>
              </w:rPr>
              <w:t>27</w:t>
            </w:r>
            <w:r>
              <w:rPr>
                <w:rFonts w:hint="eastAsia" w:ascii="宋体" w:hAnsi="宋体" w:cs="宋体"/>
                <w:color w:val="auto"/>
                <w:kern w:val="0"/>
                <w:sz w:val="28"/>
                <w:szCs w:val="28"/>
                <w:highlight w:val="none"/>
                <w:shd w:val="clear"/>
              </w:rPr>
              <w:t>日</w:t>
            </w:r>
            <w:r>
              <w:rPr>
                <w:rFonts w:hint="eastAsia" w:ascii="宋体" w:hAnsi="宋体" w:cs="宋体"/>
                <w:color w:val="auto"/>
                <w:kern w:val="0"/>
                <w:sz w:val="28"/>
                <w:szCs w:val="28"/>
                <w:highlight w:val="none"/>
                <w:u w:val="single"/>
                <w:shd w:val="clear"/>
                <w:lang w:val="en-US" w:eastAsia="zh-CN"/>
              </w:rPr>
              <w:t>10</w:t>
            </w:r>
            <w:r>
              <w:rPr>
                <w:rFonts w:hint="eastAsia" w:ascii="宋体" w:hAnsi="宋体" w:cs="宋体"/>
                <w:color w:val="auto"/>
                <w:kern w:val="0"/>
                <w:sz w:val="28"/>
                <w:szCs w:val="28"/>
                <w:highlight w:val="none"/>
                <w:shd w:val="clear"/>
              </w:rPr>
              <w:t>时</w:t>
            </w:r>
            <w:r>
              <w:rPr>
                <w:rFonts w:hint="eastAsia" w:ascii="宋体" w:hAnsi="宋体" w:cs="宋体"/>
                <w:color w:val="auto"/>
                <w:kern w:val="0"/>
                <w:sz w:val="28"/>
                <w:szCs w:val="28"/>
                <w:highlight w:val="none"/>
                <w:u w:val="single"/>
                <w:shd w:val="clear"/>
                <w:lang w:val="en-US" w:eastAsia="zh-CN"/>
              </w:rPr>
              <w:t>00</w:t>
            </w:r>
            <w:r>
              <w:rPr>
                <w:rFonts w:hint="eastAsia" w:ascii="宋体" w:hAnsi="宋体" w:cs="宋体"/>
                <w:color w:val="auto"/>
                <w:kern w:val="0"/>
                <w:sz w:val="28"/>
                <w:szCs w:val="28"/>
                <w:highlight w:val="none"/>
                <w:shd w:val="clear"/>
              </w:rPr>
              <w:t>分</w:t>
            </w:r>
          </w:p>
          <w:p w14:paraId="37877A71">
            <w:pPr>
              <w:snapToGrid w:val="0"/>
              <w:ind w:firstLine="560" w:firstLineChars="200"/>
              <w:rPr>
                <w:rFonts w:ascii="宋体" w:hAnsi="宋体" w:cs="宋体"/>
                <w:bCs/>
                <w:color w:val="auto"/>
                <w:kern w:val="0"/>
                <w:sz w:val="28"/>
                <w:szCs w:val="28"/>
                <w:highlight w:val="none"/>
              </w:rPr>
            </w:pPr>
            <w:r>
              <w:rPr>
                <w:rFonts w:hint="eastAsia" w:ascii="宋体" w:hAnsi="宋体" w:cs="宋体"/>
                <w:color w:val="auto"/>
                <w:kern w:val="0"/>
                <w:sz w:val="28"/>
                <w:szCs w:val="28"/>
                <w:highlight w:val="none"/>
              </w:rPr>
              <w:t>比选地点：</w:t>
            </w:r>
            <w:r>
              <w:rPr>
                <w:rFonts w:hint="eastAsia" w:ascii="宋体" w:hAnsi="宋体" w:cs="宋体"/>
                <w:color w:val="auto"/>
                <w:kern w:val="0"/>
                <w:sz w:val="28"/>
                <w:szCs w:val="28"/>
                <w:highlight w:val="none"/>
                <w:lang w:val="en-US" w:eastAsia="zh-CN"/>
              </w:rPr>
              <w:t>江北嘴金融城2号T3-9楼</w:t>
            </w:r>
            <w:r>
              <w:rPr>
                <w:rFonts w:hint="eastAsia" w:ascii="宋体" w:hAnsi="宋体" w:cs="宋体"/>
                <w:color w:val="auto"/>
                <w:kern w:val="0"/>
                <w:sz w:val="28"/>
                <w:szCs w:val="28"/>
                <w:highlight w:val="none"/>
              </w:rPr>
              <w:t>重庆市江北区城市建设工程技术有限公司</w:t>
            </w:r>
          </w:p>
        </w:tc>
      </w:tr>
      <w:tr w14:paraId="3B7A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DFA1C8A">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15</w:t>
            </w:r>
          </w:p>
        </w:tc>
        <w:tc>
          <w:tcPr>
            <w:tcW w:w="1912" w:type="dxa"/>
            <w:tcBorders>
              <w:top w:val="single" w:color="auto" w:sz="4" w:space="0"/>
              <w:left w:val="single" w:color="auto" w:sz="4" w:space="0"/>
              <w:bottom w:val="single" w:color="auto" w:sz="4" w:space="0"/>
              <w:right w:val="single" w:color="auto" w:sz="4" w:space="0"/>
            </w:tcBorders>
            <w:vAlign w:val="center"/>
          </w:tcPr>
          <w:p w14:paraId="08ECEC81">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比选程序</w:t>
            </w:r>
          </w:p>
        </w:tc>
        <w:tc>
          <w:tcPr>
            <w:tcW w:w="6487" w:type="dxa"/>
            <w:tcBorders>
              <w:top w:val="single" w:color="auto" w:sz="4" w:space="0"/>
              <w:left w:val="single" w:color="auto" w:sz="4" w:space="0"/>
              <w:bottom w:val="single" w:color="auto" w:sz="4" w:space="0"/>
              <w:right w:val="single" w:color="auto" w:sz="4" w:space="0"/>
            </w:tcBorders>
            <w:vAlign w:val="center"/>
          </w:tcPr>
          <w:p w14:paraId="686482B7">
            <w:pPr>
              <w:snapToGrid w:val="0"/>
              <w:ind w:firstLine="560" w:firstLineChars="200"/>
              <w:rPr>
                <w:rFonts w:hint="eastAsia" w:ascii="宋体" w:hAnsi="宋体" w:cs="宋体"/>
                <w:color w:val="auto"/>
                <w:sz w:val="28"/>
                <w:szCs w:val="28"/>
                <w:highlight w:val="none"/>
              </w:rPr>
            </w:pPr>
            <w:r>
              <w:rPr>
                <w:rFonts w:hint="eastAsia" w:ascii="宋体" w:hAnsi="宋体" w:cs="宋体"/>
                <w:color w:val="auto"/>
                <w:sz w:val="28"/>
                <w:szCs w:val="28"/>
                <w:highlight w:val="none"/>
              </w:rPr>
              <w:t>本项目采取的是线</w:t>
            </w:r>
            <w:r>
              <w:rPr>
                <w:rFonts w:hint="eastAsia" w:ascii="宋体" w:hAnsi="宋体" w:cs="宋体"/>
                <w:color w:val="auto"/>
                <w:sz w:val="28"/>
                <w:szCs w:val="28"/>
                <w:highlight w:val="none"/>
                <w:lang w:val="en-US" w:eastAsia="zh-CN"/>
              </w:rPr>
              <w:t>下</w:t>
            </w:r>
            <w:r>
              <w:rPr>
                <w:rFonts w:hint="eastAsia" w:ascii="宋体" w:hAnsi="宋体" w:cs="宋体"/>
                <w:color w:val="auto"/>
                <w:sz w:val="28"/>
                <w:szCs w:val="28"/>
                <w:highlight w:val="none"/>
              </w:rPr>
              <w:t>提交响应文件，因此各响应单位需安排代表参与现场开标，由比选人在本公告规定的比选时间到达后自行组织评标，具体程序如下：</w:t>
            </w:r>
          </w:p>
          <w:p w14:paraId="23C1EB2C">
            <w:pPr>
              <w:numPr>
                <w:ilvl w:val="0"/>
                <w:numId w:val="0"/>
              </w:numPr>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1.</w:t>
            </w:r>
            <w:r>
              <w:rPr>
                <w:rFonts w:hint="eastAsia" w:ascii="宋体" w:hAnsi="宋体" w:cs="宋体"/>
                <w:color w:val="auto"/>
                <w:sz w:val="28"/>
                <w:szCs w:val="28"/>
                <w:highlight w:val="none"/>
              </w:rPr>
              <w:t>比选时间到达后，向评标委员会公布在响应文件递交截止时间前该标段提交响应文件的数量及单位名称</w:t>
            </w:r>
            <w:r>
              <w:rPr>
                <w:rFonts w:hint="eastAsia" w:ascii="宋体" w:hAnsi="宋体" w:cs="宋体"/>
                <w:color w:val="auto"/>
                <w:sz w:val="28"/>
                <w:szCs w:val="28"/>
                <w:highlight w:val="none"/>
                <w:lang w:eastAsia="zh-CN"/>
              </w:rPr>
              <w:t>。</w:t>
            </w:r>
          </w:p>
          <w:p w14:paraId="5E084869">
            <w:pPr>
              <w:keepNext w:val="0"/>
              <w:keepLines w:val="0"/>
              <w:pageBreakBefore w:val="0"/>
              <w:kinsoku/>
              <w:wordWrap/>
              <w:overflowPunct/>
              <w:topLinePunct w:val="0"/>
              <w:bidi w:val="0"/>
              <w:adjustRightInd w:val="0"/>
              <w:snapToGrid w:val="0"/>
              <w:spacing w:line="240" w:lineRule="auto"/>
              <w:ind w:firstLine="560" w:firstLineChars="200"/>
              <w:textAlignment w:val="auto"/>
              <w:rPr>
                <w:rFonts w:hint="eastAsia" w:ascii="宋体" w:hAnsi="宋体" w:cs="宋体"/>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开标时，由</w:t>
            </w:r>
            <w:r>
              <w:rPr>
                <w:rFonts w:hint="eastAsia" w:asciiTheme="minorEastAsia" w:hAnsiTheme="minorEastAsia" w:eastAsiaTheme="minorEastAsia" w:cstheme="minorEastAsia"/>
                <w:color w:val="auto"/>
                <w:sz w:val="28"/>
                <w:szCs w:val="28"/>
                <w:highlight w:val="none"/>
                <w:lang w:val="en-US" w:eastAsia="zh-CN"/>
              </w:rPr>
              <w:t>响应单位</w:t>
            </w:r>
            <w:r>
              <w:rPr>
                <w:rFonts w:hint="eastAsia" w:asciiTheme="minorEastAsia" w:hAnsiTheme="minorEastAsia" w:eastAsiaTheme="minorEastAsia" w:cstheme="minorEastAsia"/>
                <w:color w:val="auto"/>
                <w:sz w:val="28"/>
                <w:szCs w:val="28"/>
                <w:highlight w:val="none"/>
              </w:rPr>
              <w:t>或者其推选的代表检查</w:t>
            </w:r>
            <w:r>
              <w:rPr>
                <w:rFonts w:hint="eastAsia" w:asciiTheme="minorEastAsia" w:hAnsiTheme="minorEastAsia" w:eastAsiaTheme="minorEastAsia" w:cstheme="minorEastAsia"/>
                <w:color w:val="auto"/>
                <w:sz w:val="28"/>
                <w:szCs w:val="28"/>
                <w:highlight w:val="none"/>
                <w:lang w:val="en-US" w:eastAsia="zh-CN"/>
              </w:rPr>
              <w:t>响应</w:t>
            </w:r>
            <w:r>
              <w:rPr>
                <w:rFonts w:hint="eastAsia" w:asciiTheme="minorEastAsia" w:hAnsiTheme="minorEastAsia" w:eastAsiaTheme="minorEastAsia" w:cstheme="minorEastAsia"/>
                <w:color w:val="auto"/>
                <w:sz w:val="28"/>
                <w:szCs w:val="28"/>
                <w:highlight w:val="none"/>
              </w:rPr>
              <w:t>文件的密封情况</w:t>
            </w:r>
            <w:r>
              <w:rPr>
                <w:rFonts w:hint="eastAsia" w:asciiTheme="minorEastAsia" w:hAnsiTheme="minorEastAsia" w:eastAsiaTheme="minorEastAsia" w:cstheme="minorEastAsia"/>
                <w:color w:val="auto"/>
                <w:sz w:val="28"/>
                <w:szCs w:val="28"/>
                <w:highlight w:val="none"/>
                <w:lang w:eastAsia="zh-CN"/>
              </w:rPr>
              <w:t>。</w:t>
            </w:r>
          </w:p>
          <w:p w14:paraId="6BC1C089">
            <w:pPr>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.向评标委员会公布该标段的限价，以便评标委员会评审</w:t>
            </w:r>
            <w:r>
              <w:rPr>
                <w:rFonts w:hint="eastAsia" w:ascii="宋体" w:hAnsi="宋体" w:cs="宋体"/>
                <w:color w:val="auto"/>
                <w:sz w:val="28"/>
                <w:szCs w:val="28"/>
                <w:highlight w:val="none"/>
                <w:lang w:eastAsia="zh-CN"/>
              </w:rPr>
              <w:t>。</w:t>
            </w:r>
          </w:p>
          <w:p w14:paraId="3BA8B631">
            <w:pPr>
              <w:snapToGrid w:val="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4</w:t>
            </w:r>
            <w:r>
              <w:rPr>
                <w:rFonts w:hint="eastAsia" w:ascii="宋体" w:hAnsi="宋体" w:cs="宋体"/>
                <w:color w:val="auto"/>
                <w:sz w:val="28"/>
                <w:szCs w:val="28"/>
                <w:highlight w:val="none"/>
              </w:rPr>
              <w:t>.逐单位随机公布响应单位名称、响应报价</w:t>
            </w:r>
            <w:r>
              <w:rPr>
                <w:rFonts w:hint="eastAsia" w:ascii="宋体" w:hAnsi="宋体" w:cs="宋体"/>
                <w:color w:val="auto"/>
                <w:sz w:val="28"/>
                <w:szCs w:val="28"/>
                <w:highlight w:val="none"/>
                <w:lang w:val="en-US" w:eastAsia="zh-CN"/>
              </w:rPr>
              <w:t>等</w:t>
            </w:r>
            <w:r>
              <w:rPr>
                <w:rFonts w:hint="eastAsia" w:ascii="宋体" w:hAnsi="宋体" w:cs="宋体"/>
                <w:color w:val="auto"/>
                <w:sz w:val="28"/>
                <w:szCs w:val="28"/>
                <w:highlight w:val="none"/>
              </w:rPr>
              <w:t>内容并记录在案。</w:t>
            </w:r>
          </w:p>
          <w:p w14:paraId="0A8DB558">
            <w:pPr>
              <w:autoSpaceDE w:val="0"/>
              <w:autoSpaceDN w:val="0"/>
              <w:adjustRightInd w:val="0"/>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5</w:t>
            </w:r>
            <w:r>
              <w:rPr>
                <w:rFonts w:hint="eastAsia" w:ascii="宋体" w:hAnsi="宋体" w:cs="宋体"/>
                <w:color w:val="auto"/>
                <w:sz w:val="28"/>
                <w:szCs w:val="28"/>
                <w:highlight w:val="none"/>
              </w:rPr>
              <w:t>.比选人评标委员会成员、主持人、记录人等有关人员在开标记录上签名确认</w:t>
            </w:r>
            <w:r>
              <w:rPr>
                <w:rFonts w:hint="eastAsia" w:ascii="宋体" w:hAnsi="宋体" w:cs="宋体"/>
                <w:color w:val="auto"/>
                <w:sz w:val="28"/>
                <w:szCs w:val="28"/>
                <w:highlight w:val="none"/>
                <w:lang w:eastAsia="zh-CN"/>
              </w:rPr>
              <w:t>。</w:t>
            </w:r>
          </w:p>
          <w:p w14:paraId="41C1383B">
            <w:pPr>
              <w:autoSpaceDE w:val="0"/>
              <w:autoSpaceDN w:val="0"/>
              <w:adjustRightInd w:val="0"/>
              <w:snapToGrid w:val="0"/>
              <w:ind w:firstLine="560" w:firstLineChars="20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val="en-US" w:eastAsia="zh-CN"/>
              </w:rPr>
              <w:t>6</w:t>
            </w:r>
            <w:r>
              <w:rPr>
                <w:rFonts w:hint="eastAsia" w:ascii="宋体" w:hAnsi="宋体" w:cs="宋体"/>
                <w:color w:val="auto"/>
                <w:sz w:val="28"/>
                <w:szCs w:val="28"/>
                <w:highlight w:val="none"/>
              </w:rPr>
              <w:t>.评标委员会根据本比选文件附件</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《评标办法》评审响应文件，并</w:t>
            </w:r>
            <w:r>
              <w:rPr>
                <w:rFonts w:hint="eastAsia" w:ascii="宋体" w:hAnsi="宋体" w:cs="宋体"/>
                <w:color w:val="auto"/>
                <w:kern w:val="0"/>
                <w:sz w:val="28"/>
                <w:szCs w:val="28"/>
                <w:highlight w:val="none"/>
              </w:rPr>
              <w:t>推荐经评审合格的报价排名前三名为中选候选人</w:t>
            </w:r>
            <w:r>
              <w:rPr>
                <w:rFonts w:hint="eastAsia" w:ascii="宋体" w:hAnsi="宋体" w:cs="宋体"/>
                <w:color w:val="auto"/>
                <w:kern w:val="0"/>
                <w:sz w:val="28"/>
                <w:szCs w:val="28"/>
                <w:highlight w:val="none"/>
                <w:lang w:eastAsia="zh-CN"/>
              </w:rPr>
              <w:t>。</w:t>
            </w:r>
          </w:p>
          <w:p w14:paraId="3721A792">
            <w:pPr>
              <w:autoSpaceDE w:val="0"/>
              <w:autoSpaceDN w:val="0"/>
              <w:adjustRightInd w:val="0"/>
              <w:snapToGrid w:val="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lang w:val="en-US" w:eastAsia="zh-CN"/>
              </w:rPr>
              <w:t>7</w:t>
            </w:r>
            <w:r>
              <w:rPr>
                <w:rFonts w:hint="eastAsia" w:ascii="宋体" w:hAnsi="宋体" w:cs="宋体"/>
                <w:color w:val="auto"/>
                <w:sz w:val="28"/>
                <w:szCs w:val="28"/>
                <w:highlight w:val="none"/>
              </w:rPr>
              <w:t>.评标结束。</w:t>
            </w:r>
          </w:p>
          <w:p w14:paraId="25C65E79">
            <w:pPr>
              <w:autoSpaceDE w:val="0"/>
              <w:autoSpaceDN w:val="0"/>
              <w:adjustRightInd w:val="0"/>
              <w:snapToGrid w:val="0"/>
              <w:ind w:firstLine="562" w:firstLineChars="200"/>
              <w:rPr>
                <w:color w:val="auto"/>
                <w:sz w:val="28"/>
                <w:szCs w:val="28"/>
                <w:highlight w:val="none"/>
              </w:rPr>
            </w:pPr>
            <w:r>
              <w:rPr>
                <w:rFonts w:hint="eastAsia" w:ascii="宋体" w:hAnsi="宋体" w:cs="宋体"/>
                <w:b/>
                <w:bCs/>
                <w:color w:val="auto"/>
                <w:sz w:val="28"/>
                <w:szCs w:val="28"/>
                <w:highlight w:val="none"/>
              </w:rPr>
              <w:t>本次评标遵循公平、公正、科学、择优的原则，响应单位如有异议的，可</w:t>
            </w:r>
            <w:r>
              <w:rPr>
                <w:rFonts w:hint="eastAsia" w:ascii="宋体" w:hAnsi="宋体" w:cs="宋体"/>
                <w:b/>
                <w:bCs/>
                <w:color w:val="auto"/>
                <w:sz w:val="28"/>
                <w:szCs w:val="28"/>
                <w:highlight w:val="none"/>
                <w:lang w:val="en-US" w:eastAsia="zh-CN"/>
              </w:rPr>
              <w:t>在公示期内提出异议</w:t>
            </w:r>
            <w:r>
              <w:rPr>
                <w:rFonts w:hint="eastAsia" w:ascii="宋体" w:hAnsi="宋体" w:cs="宋体"/>
                <w:b/>
                <w:bCs/>
                <w:color w:val="auto"/>
                <w:sz w:val="28"/>
                <w:szCs w:val="28"/>
                <w:highlight w:val="none"/>
              </w:rPr>
              <w:t>，无异议的视为默认评标结果。</w:t>
            </w:r>
          </w:p>
        </w:tc>
      </w:tr>
      <w:tr w14:paraId="2C1B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BDCBAF5">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16</w:t>
            </w:r>
          </w:p>
        </w:tc>
        <w:tc>
          <w:tcPr>
            <w:tcW w:w="1912" w:type="dxa"/>
            <w:tcBorders>
              <w:top w:val="single" w:color="auto" w:sz="4" w:space="0"/>
              <w:left w:val="single" w:color="auto" w:sz="4" w:space="0"/>
              <w:bottom w:val="single" w:color="auto" w:sz="4" w:space="0"/>
              <w:right w:val="single" w:color="auto" w:sz="4" w:space="0"/>
            </w:tcBorders>
            <w:vAlign w:val="center"/>
          </w:tcPr>
          <w:p w14:paraId="11461C92">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评标委员会的组建</w:t>
            </w:r>
          </w:p>
        </w:tc>
        <w:tc>
          <w:tcPr>
            <w:tcW w:w="6487" w:type="dxa"/>
            <w:tcBorders>
              <w:top w:val="single" w:color="auto" w:sz="4" w:space="0"/>
              <w:left w:val="single" w:color="auto" w:sz="4" w:space="0"/>
              <w:bottom w:val="single" w:color="auto" w:sz="4" w:space="0"/>
              <w:right w:val="single" w:color="auto" w:sz="4" w:space="0"/>
            </w:tcBorders>
            <w:vAlign w:val="center"/>
          </w:tcPr>
          <w:p w14:paraId="40124422">
            <w:pPr>
              <w:autoSpaceDE w:val="0"/>
              <w:autoSpaceDN w:val="0"/>
              <w:adjustRightInd w:val="0"/>
              <w:snapToGrid w:val="0"/>
              <w:ind w:left="4" w:leftChars="2"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1.评标委员会的构成：3人或3人以上单数。</w:t>
            </w:r>
          </w:p>
          <w:p w14:paraId="7465AADB">
            <w:pPr>
              <w:autoSpaceDE w:val="0"/>
              <w:autoSpaceDN w:val="0"/>
              <w:adjustRightInd w:val="0"/>
              <w:snapToGrid w:val="0"/>
              <w:ind w:left="4" w:leftChars="2" w:firstLine="560" w:firstLineChars="20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2.评标委员会成员的确定：</w:t>
            </w:r>
            <w:r>
              <w:rPr>
                <w:rFonts w:hint="eastAsia" w:ascii="宋体" w:hAnsi="宋体" w:cs="宋体"/>
                <w:color w:val="auto"/>
                <w:kern w:val="0"/>
                <w:sz w:val="28"/>
                <w:szCs w:val="28"/>
                <w:highlight w:val="none"/>
                <w:lang w:val="en-US" w:eastAsia="zh-CN"/>
              </w:rPr>
              <w:t>根据相关制度组建</w:t>
            </w:r>
            <w:r>
              <w:rPr>
                <w:rFonts w:hint="eastAsia" w:ascii="宋体" w:hAnsi="宋体" w:cs="宋体"/>
                <w:color w:val="auto"/>
                <w:kern w:val="0"/>
                <w:sz w:val="28"/>
                <w:szCs w:val="28"/>
                <w:highlight w:val="none"/>
              </w:rPr>
              <w:t>。</w:t>
            </w:r>
          </w:p>
        </w:tc>
      </w:tr>
      <w:tr w14:paraId="7FA9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7B3E327">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17</w:t>
            </w:r>
          </w:p>
        </w:tc>
        <w:tc>
          <w:tcPr>
            <w:tcW w:w="1912" w:type="dxa"/>
            <w:tcBorders>
              <w:top w:val="single" w:color="auto" w:sz="4" w:space="0"/>
              <w:left w:val="single" w:color="auto" w:sz="4" w:space="0"/>
              <w:bottom w:val="single" w:color="auto" w:sz="4" w:space="0"/>
              <w:right w:val="single" w:color="auto" w:sz="4" w:space="0"/>
            </w:tcBorders>
            <w:vAlign w:val="center"/>
          </w:tcPr>
          <w:p w14:paraId="7C0426F9">
            <w:pPr>
              <w:snapToGrid w:val="0"/>
              <w:spacing w:afterLines="2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是否授权评标委员会确定中选人</w:t>
            </w:r>
          </w:p>
        </w:tc>
        <w:tc>
          <w:tcPr>
            <w:tcW w:w="6487" w:type="dxa"/>
            <w:tcBorders>
              <w:top w:val="single" w:color="auto" w:sz="4" w:space="0"/>
              <w:left w:val="single" w:color="auto" w:sz="4" w:space="0"/>
              <w:bottom w:val="single" w:color="auto" w:sz="4" w:space="0"/>
              <w:right w:val="single" w:color="auto" w:sz="4" w:space="0"/>
            </w:tcBorders>
            <w:vAlign w:val="center"/>
          </w:tcPr>
          <w:p w14:paraId="77D61E49">
            <w:pPr>
              <w:snapToGrid w:val="0"/>
              <w:ind w:firstLine="560" w:firstLineChars="20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□是。</w:t>
            </w:r>
          </w:p>
          <w:p w14:paraId="69A70FE1">
            <w:pPr>
              <w:pStyle w:val="2"/>
              <w:rPr>
                <w:rFonts w:hint="default" w:eastAsia="宋体"/>
                <w:highlight w:val="none"/>
                <w:lang w:val="en-US" w:eastAsia="zh-CN"/>
              </w:rPr>
            </w:pPr>
            <w:r>
              <w:rPr>
                <w:rFonts w:hint="eastAsia" w:cs="宋体"/>
                <w:color w:val="auto"/>
                <w:kern w:val="0"/>
                <w:sz w:val="28"/>
                <w:szCs w:val="28"/>
                <w:highlight w:val="none"/>
                <w:lang w:val="en-US" w:eastAsia="zh-CN"/>
              </w:rPr>
              <w:t xml:space="preserve">    </w:t>
            </w:r>
            <w:r>
              <w:rPr>
                <w:rFonts w:hint="eastAsia" w:ascii="宋体" w:hAnsi="宋体" w:cs="宋体"/>
                <w:color w:val="auto"/>
                <w:kern w:val="0"/>
                <w:sz w:val="28"/>
                <w:szCs w:val="28"/>
                <w:highlight w:val="none"/>
              </w:rPr>
              <w:sym w:font="Wingdings 2" w:char="F052"/>
            </w:r>
            <w:r>
              <w:rPr>
                <w:rFonts w:hint="eastAsia" w:ascii="宋体" w:hAnsi="宋体" w:cs="宋体"/>
                <w:color w:val="auto"/>
                <w:kern w:val="0"/>
                <w:sz w:val="28"/>
                <w:szCs w:val="28"/>
                <w:highlight w:val="none"/>
              </w:rPr>
              <w:t>否，</w:t>
            </w:r>
            <w:r>
              <w:rPr>
                <w:rFonts w:hint="eastAsia" w:ascii="宋体" w:hAnsi="宋体" w:cs="宋体"/>
                <w:color w:val="auto"/>
                <w:kern w:val="0"/>
                <w:sz w:val="28"/>
                <w:szCs w:val="28"/>
                <w:highlight w:val="none"/>
                <w:lang w:val="en-US" w:eastAsia="zh-CN"/>
              </w:rPr>
              <w:t>评</w:t>
            </w:r>
            <w:r>
              <w:rPr>
                <w:rFonts w:hint="eastAsia" w:ascii="宋体" w:hAnsi="宋体" w:cs="宋体"/>
                <w:color w:val="auto"/>
                <w:kern w:val="0"/>
                <w:sz w:val="28"/>
                <w:szCs w:val="28"/>
                <w:highlight w:val="none"/>
              </w:rPr>
              <w:t>标</w:t>
            </w:r>
            <w:r>
              <w:rPr>
                <w:rFonts w:hint="eastAsia" w:ascii="宋体" w:hAnsi="宋体" w:cs="宋体"/>
                <w:color w:val="auto"/>
                <w:kern w:val="0"/>
                <w:sz w:val="28"/>
                <w:szCs w:val="28"/>
                <w:highlight w:val="none"/>
                <w:lang w:eastAsia="zh-CN"/>
              </w:rPr>
              <w:t>小组</w:t>
            </w:r>
            <w:r>
              <w:rPr>
                <w:rFonts w:hint="eastAsia" w:ascii="宋体" w:hAnsi="宋体" w:cs="宋体"/>
                <w:color w:val="auto"/>
                <w:kern w:val="0"/>
                <w:sz w:val="28"/>
                <w:szCs w:val="28"/>
                <w:highlight w:val="none"/>
              </w:rPr>
              <w:t>根据本比选文件</w:t>
            </w:r>
            <w:r>
              <w:rPr>
                <w:rFonts w:hint="eastAsia" w:ascii="宋体" w:hAnsi="宋体" w:cs="宋体"/>
                <w:color w:val="auto"/>
                <w:kern w:val="0"/>
                <w:sz w:val="28"/>
                <w:szCs w:val="28"/>
                <w:highlight w:val="none"/>
                <w:lang w:val="en-US" w:eastAsia="zh-CN"/>
              </w:rPr>
              <w:t>要求</w:t>
            </w:r>
            <w:r>
              <w:rPr>
                <w:rFonts w:hint="eastAsia" w:ascii="宋体" w:hAnsi="宋体" w:cs="宋体"/>
                <w:color w:val="auto"/>
                <w:kern w:val="0"/>
                <w:sz w:val="28"/>
                <w:szCs w:val="28"/>
                <w:highlight w:val="none"/>
              </w:rPr>
              <w:t>评审响应文件，并推荐经评审合格的报价由低到高的中选候选人</w:t>
            </w:r>
            <w:r>
              <w:rPr>
                <w:rFonts w:hint="eastAsia" w:ascii="宋体" w:hAnsi="宋体" w:cs="宋体"/>
                <w:color w:val="auto"/>
                <w:kern w:val="0"/>
                <w:sz w:val="28"/>
                <w:szCs w:val="28"/>
                <w:highlight w:val="none"/>
                <w:lang w:eastAsia="zh-CN"/>
              </w:rPr>
              <w:t>。</w:t>
            </w:r>
          </w:p>
        </w:tc>
      </w:tr>
      <w:tr w14:paraId="0CD3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584A628F">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18</w:t>
            </w:r>
          </w:p>
        </w:tc>
        <w:tc>
          <w:tcPr>
            <w:tcW w:w="1912" w:type="dxa"/>
            <w:tcBorders>
              <w:top w:val="single" w:color="auto" w:sz="4" w:space="0"/>
              <w:left w:val="single" w:color="auto" w:sz="4" w:space="0"/>
              <w:bottom w:val="single" w:color="auto" w:sz="4" w:space="0"/>
              <w:right w:val="single" w:color="auto" w:sz="4" w:space="0"/>
            </w:tcBorders>
            <w:vAlign w:val="center"/>
          </w:tcPr>
          <w:p w14:paraId="2D5D66A3">
            <w:pPr>
              <w:snapToGrid w:val="0"/>
              <w:spacing w:afterLines="2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中选公示</w:t>
            </w:r>
          </w:p>
        </w:tc>
        <w:tc>
          <w:tcPr>
            <w:tcW w:w="6487" w:type="dxa"/>
            <w:tcBorders>
              <w:top w:val="single" w:color="auto" w:sz="4" w:space="0"/>
              <w:left w:val="single" w:color="auto" w:sz="4" w:space="0"/>
              <w:bottom w:val="single" w:color="auto" w:sz="4" w:space="0"/>
              <w:right w:val="single" w:color="auto" w:sz="4" w:space="0"/>
            </w:tcBorders>
            <w:vAlign w:val="center"/>
          </w:tcPr>
          <w:p w14:paraId="1FD6038C">
            <w:pPr>
              <w:snapToGrid w:val="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本次比选结果将在</w:t>
            </w:r>
            <w:r>
              <w:rPr>
                <w:rFonts w:hint="eastAsia" w:ascii="宋体" w:hAnsi="宋体" w:cs="宋体"/>
                <w:color w:val="auto"/>
                <w:kern w:val="0"/>
                <w:sz w:val="28"/>
                <w:szCs w:val="28"/>
                <w:highlight w:val="none"/>
                <w:lang w:eastAsia="zh-CN"/>
              </w:rPr>
              <w:t>比选人对</w:t>
            </w:r>
            <w:r>
              <w:rPr>
                <w:rFonts w:hint="eastAsia" w:ascii="宋体" w:hAnsi="宋体" w:cs="宋体"/>
                <w:color w:val="auto"/>
                <w:kern w:val="0"/>
                <w:sz w:val="28"/>
                <w:szCs w:val="28"/>
                <w:highlight w:val="none"/>
                <w:lang w:val="en-US" w:eastAsia="zh-CN"/>
              </w:rPr>
              <w:t>拟</w:t>
            </w:r>
            <w:r>
              <w:rPr>
                <w:rFonts w:hint="eastAsia" w:ascii="宋体" w:hAnsi="宋体" w:cs="宋体"/>
                <w:color w:val="FF0000"/>
                <w:kern w:val="0"/>
                <w:sz w:val="28"/>
                <w:szCs w:val="28"/>
                <w:highlight w:val="none"/>
                <w:lang w:val="en-US" w:eastAsia="zh-CN"/>
              </w:rPr>
              <w:t>中选候选人进行 履约能力考察</w:t>
            </w:r>
            <w:r>
              <w:rPr>
                <w:rFonts w:hint="eastAsia" w:ascii="宋体" w:hAnsi="宋体" w:cs="宋体"/>
                <w:color w:val="auto"/>
                <w:kern w:val="0"/>
                <w:sz w:val="28"/>
                <w:szCs w:val="28"/>
                <w:highlight w:val="none"/>
              </w:rPr>
              <w:t>结束后3个工作日内公示</w:t>
            </w:r>
            <w:r>
              <w:rPr>
                <w:rFonts w:hint="eastAsia" w:ascii="宋体" w:hAnsi="宋体" w:cs="宋体"/>
                <w:color w:val="auto"/>
                <w:kern w:val="0"/>
                <w:sz w:val="28"/>
                <w:szCs w:val="28"/>
                <w:highlight w:val="none"/>
                <w:lang w:eastAsia="zh-CN"/>
              </w:rPr>
              <w:t>。</w:t>
            </w:r>
          </w:p>
        </w:tc>
      </w:tr>
      <w:tr w14:paraId="1719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atLeast"/>
        </w:trPr>
        <w:tc>
          <w:tcPr>
            <w:tcW w:w="1416" w:type="dxa"/>
            <w:tcBorders>
              <w:top w:val="single" w:color="auto" w:sz="4" w:space="0"/>
              <w:left w:val="single" w:color="auto" w:sz="4" w:space="0"/>
              <w:bottom w:val="single" w:color="auto" w:sz="4" w:space="0"/>
              <w:right w:val="single" w:color="auto" w:sz="4" w:space="0"/>
            </w:tcBorders>
            <w:vAlign w:val="center"/>
          </w:tcPr>
          <w:p w14:paraId="102ECD46">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19</w:t>
            </w:r>
          </w:p>
        </w:tc>
        <w:tc>
          <w:tcPr>
            <w:tcW w:w="1912" w:type="dxa"/>
            <w:tcBorders>
              <w:top w:val="single" w:color="auto" w:sz="4" w:space="0"/>
              <w:left w:val="single" w:color="auto" w:sz="4" w:space="0"/>
              <w:bottom w:val="single" w:color="auto" w:sz="4" w:space="0"/>
              <w:right w:val="single" w:color="auto" w:sz="4" w:space="0"/>
            </w:tcBorders>
            <w:vAlign w:val="center"/>
          </w:tcPr>
          <w:p w14:paraId="00A3AF70">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lang w:val="en-US" w:eastAsia="zh-CN"/>
              </w:rPr>
              <w:t>综合保证金</w:t>
            </w:r>
          </w:p>
        </w:tc>
        <w:tc>
          <w:tcPr>
            <w:tcW w:w="6487" w:type="dxa"/>
            <w:tcBorders>
              <w:top w:val="single" w:color="auto" w:sz="4" w:space="0"/>
              <w:left w:val="single" w:color="auto" w:sz="4" w:space="0"/>
              <w:bottom w:val="single" w:color="auto" w:sz="4" w:space="0"/>
              <w:right w:val="single" w:color="auto" w:sz="4" w:space="0"/>
            </w:tcBorders>
            <w:vAlign w:val="center"/>
          </w:tcPr>
          <w:p w14:paraId="06772AFD">
            <w:pPr>
              <w:snapToGrid w:val="0"/>
              <w:ind w:firstLine="560" w:firstLineChars="200"/>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具体</w:t>
            </w:r>
            <w:r>
              <w:rPr>
                <w:rFonts w:hint="eastAsia" w:ascii="宋体" w:hAnsi="宋体" w:cs="宋体"/>
                <w:color w:val="auto"/>
                <w:kern w:val="0"/>
                <w:sz w:val="28"/>
                <w:szCs w:val="28"/>
                <w:highlight w:val="none"/>
              </w:rPr>
              <w:t>详见合同</w:t>
            </w:r>
            <w:r>
              <w:rPr>
                <w:rFonts w:hint="eastAsia" w:ascii="宋体" w:hAnsi="宋体" w:cs="宋体"/>
                <w:color w:val="auto"/>
                <w:kern w:val="0"/>
                <w:sz w:val="28"/>
                <w:szCs w:val="28"/>
                <w:highlight w:val="none"/>
                <w:lang w:val="en-US" w:eastAsia="zh-CN"/>
              </w:rPr>
              <w:t>约定</w:t>
            </w:r>
          </w:p>
        </w:tc>
      </w:tr>
      <w:tr w14:paraId="33C4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6EAF5CE9">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20</w:t>
            </w:r>
          </w:p>
        </w:tc>
        <w:tc>
          <w:tcPr>
            <w:tcW w:w="1912" w:type="dxa"/>
            <w:tcBorders>
              <w:top w:val="single" w:color="auto" w:sz="4" w:space="0"/>
              <w:left w:val="single" w:color="auto" w:sz="4" w:space="0"/>
              <w:bottom w:val="single" w:color="auto" w:sz="4" w:space="0"/>
              <w:right w:val="single" w:color="auto" w:sz="4" w:space="0"/>
            </w:tcBorders>
            <w:vAlign w:val="center"/>
          </w:tcPr>
          <w:p w14:paraId="6E7C1AFE">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签订合同</w:t>
            </w:r>
          </w:p>
        </w:tc>
        <w:tc>
          <w:tcPr>
            <w:tcW w:w="6487" w:type="dxa"/>
            <w:tcBorders>
              <w:top w:val="single" w:color="auto" w:sz="4" w:space="0"/>
              <w:left w:val="single" w:color="auto" w:sz="4" w:space="0"/>
              <w:bottom w:val="single" w:color="auto" w:sz="4" w:space="0"/>
              <w:right w:val="single" w:color="auto" w:sz="4" w:space="0"/>
            </w:tcBorders>
            <w:vAlign w:val="center"/>
          </w:tcPr>
          <w:p w14:paraId="284CC1A1">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比选人和中选人应当自中选通知书发出之日起</w:t>
            </w:r>
            <w:r>
              <w:rPr>
                <w:rFonts w:hint="eastAsia" w:ascii="宋体" w:hAnsi="宋体" w:cs="宋体"/>
                <w:color w:val="auto"/>
                <w:kern w:val="0"/>
                <w:sz w:val="28"/>
                <w:szCs w:val="28"/>
                <w:highlight w:val="none"/>
                <w:lang w:val="en-US" w:eastAsia="zh-CN"/>
              </w:rPr>
              <w:t>30</w:t>
            </w:r>
            <w:r>
              <w:rPr>
                <w:rFonts w:hint="eastAsia" w:ascii="宋体" w:hAnsi="宋体" w:cs="宋体"/>
                <w:color w:val="auto"/>
                <w:kern w:val="0"/>
                <w:sz w:val="28"/>
                <w:szCs w:val="28"/>
                <w:highlight w:val="none"/>
              </w:rPr>
              <w:t>天内，根据比选文件和中选人的响应文件订立书面合同。中选人放弃中选项目，无正当理由不与比选人签订合同，在签订合同时向比选人提出附加条件或者更改合同实质性内容的，或不按照比选文件要求提交低价风险担保（适用于经评审的最低价评标法）或履约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lang w:val="en-US" w:eastAsia="zh-CN"/>
              </w:rPr>
              <w:t>如有</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rPr>
              <w:t>的，人取消其中选资格，</w:t>
            </w:r>
            <w:r>
              <w:rPr>
                <w:rFonts w:hint="eastAsia" w:ascii="宋体" w:hAnsi="宋体" w:cs="宋体"/>
                <w:color w:val="auto"/>
                <w:kern w:val="0"/>
                <w:sz w:val="28"/>
                <w:szCs w:val="28"/>
                <w:highlight w:val="none"/>
                <w:lang w:val="en-US" w:eastAsia="zh-CN"/>
              </w:rPr>
              <w:t>并扣除</w:t>
            </w:r>
            <w:r>
              <w:rPr>
                <w:rFonts w:hint="eastAsia" w:ascii="宋体" w:hAnsi="宋体" w:cs="宋体"/>
                <w:color w:val="auto"/>
                <w:kern w:val="0"/>
                <w:sz w:val="28"/>
                <w:szCs w:val="28"/>
                <w:highlight w:val="none"/>
              </w:rPr>
              <w:t>入库江北建工“合作商资源库”时缴纳的入库保证金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lang w:val="en-US" w:eastAsia="zh-CN"/>
              </w:rPr>
              <w:t>社会供应商为投标缴纳的投标保证金</w:t>
            </w:r>
            <w:r>
              <w:rPr>
                <w:rFonts w:hint="eastAsia" w:ascii="宋体" w:hAnsi="宋体" w:cs="宋体"/>
                <w:color w:val="auto"/>
                <w:kern w:val="0"/>
                <w:sz w:val="28"/>
                <w:szCs w:val="28"/>
                <w:highlight w:val="none"/>
                <w:lang w:eastAsia="zh-CN"/>
              </w:rPr>
              <w:t>）</w:t>
            </w:r>
            <w:r>
              <w:rPr>
                <w:rFonts w:hint="eastAsia" w:ascii="宋体" w:hAnsi="宋体" w:cs="宋体"/>
                <w:color w:val="auto"/>
                <w:kern w:val="0"/>
                <w:sz w:val="28"/>
                <w:szCs w:val="28"/>
                <w:highlight w:val="none"/>
              </w:rPr>
              <w:t>，入库保证金</w:t>
            </w:r>
            <w:r>
              <w:rPr>
                <w:rFonts w:hint="eastAsia" w:ascii="宋体" w:hAnsi="宋体" w:cs="宋体"/>
                <w:color w:val="auto"/>
                <w:kern w:val="0"/>
                <w:sz w:val="28"/>
                <w:szCs w:val="28"/>
                <w:highlight w:val="none"/>
                <w:lang w:val="en-US" w:eastAsia="zh-CN"/>
              </w:rPr>
              <w:t>或投标保证金</w:t>
            </w:r>
            <w:r>
              <w:rPr>
                <w:rFonts w:hint="eastAsia" w:ascii="宋体" w:hAnsi="宋体" w:cs="宋体"/>
                <w:color w:val="auto"/>
                <w:kern w:val="0"/>
                <w:sz w:val="28"/>
                <w:szCs w:val="28"/>
                <w:highlight w:val="none"/>
              </w:rPr>
              <w:t>不足以抵扣的，中选人还应当对超过部分予以赔偿。</w:t>
            </w:r>
          </w:p>
        </w:tc>
      </w:tr>
      <w:tr w14:paraId="28CC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7FE3D884">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21</w:t>
            </w:r>
          </w:p>
        </w:tc>
        <w:tc>
          <w:tcPr>
            <w:tcW w:w="1912" w:type="dxa"/>
            <w:tcBorders>
              <w:top w:val="single" w:color="auto" w:sz="4" w:space="0"/>
              <w:left w:val="single" w:color="auto" w:sz="4" w:space="0"/>
              <w:bottom w:val="single" w:color="auto" w:sz="4" w:space="0"/>
              <w:right w:val="single" w:color="auto" w:sz="4" w:space="0"/>
            </w:tcBorders>
            <w:vAlign w:val="center"/>
          </w:tcPr>
          <w:p w14:paraId="46E3C96D">
            <w:pPr>
              <w:snapToGrid w:val="0"/>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重新比选的情形</w:t>
            </w:r>
          </w:p>
        </w:tc>
        <w:tc>
          <w:tcPr>
            <w:tcW w:w="6487" w:type="dxa"/>
            <w:tcBorders>
              <w:top w:val="single" w:color="auto" w:sz="4" w:space="0"/>
              <w:left w:val="single" w:color="auto" w:sz="4" w:space="0"/>
              <w:bottom w:val="single" w:color="auto" w:sz="4" w:space="0"/>
              <w:right w:val="single" w:color="auto" w:sz="4" w:space="0"/>
            </w:tcBorders>
            <w:vAlign w:val="center"/>
          </w:tcPr>
          <w:p w14:paraId="3BBE7C19">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有下列情形之一的，比选人将重新比选：</w:t>
            </w:r>
          </w:p>
          <w:p w14:paraId="6184D39C">
            <w:pPr>
              <w:snapToGrid w:val="0"/>
              <w:spacing w:afterLines="2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（1）响应截止时间止，响应单位少于3个的</w:t>
            </w:r>
            <w:r>
              <w:rPr>
                <w:rFonts w:hint="eastAsia" w:ascii="宋体" w:hAnsi="宋体" w:cs="宋体"/>
                <w:color w:val="auto"/>
                <w:kern w:val="0"/>
                <w:sz w:val="28"/>
                <w:szCs w:val="28"/>
                <w:highlight w:val="none"/>
                <w:lang w:eastAsia="zh-CN"/>
              </w:rPr>
              <w:t>。</w:t>
            </w:r>
          </w:p>
          <w:p w14:paraId="76A1376E">
            <w:pPr>
              <w:snapToGrid w:val="0"/>
              <w:spacing w:afterLines="20"/>
              <w:ind w:firstLine="560" w:firstLineChars="200"/>
              <w:rPr>
                <w:rFonts w:hint="eastAsia" w:ascii="宋体" w:hAnsi="宋体" w:eastAsia="宋体" w:cs="宋体"/>
                <w:color w:val="auto"/>
                <w:kern w:val="0"/>
                <w:sz w:val="28"/>
                <w:szCs w:val="28"/>
                <w:highlight w:val="none"/>
                <w:lang w:eastAsia="zh-CN"/>
              </w:rPr>
            </w:pPr>
            <w:r>
              <w:rPr>
                <w:rFonts w:hint="eastAsia" w:ascii="宋体" w:hAnsi="宋体" w:cs="宋体"/>
                <w:color w:val="auto"/>
                <w:kern w:val="0"/>
                <w:sz w:val="28"/>
                <w:szCs w:val="28"/>
                <w:highlight w:val="none"/>
              </w:rPr>
              <w:t>（2）经评标委员会评审后否决所有响应的</w:t>
            </w:r>
            <w:r>
              <w:rPr>
                <w:rFonts w:hint="eastAsia" w:ascii="宋体" w:hAnsi="宋体" w:cs="宋体"/>
                <w:color w:val="auto"/>
                <w:kern w:val="0"/>
                <w:sz w:val="28"/>
                <w:szCs w:val="28"/>
                <w:highlight w:val="none"/>
                <w:lang w:eastAsia="zh-CN"/>
              </w:rPr>
              <w:t>。</w:t>
            </w:r>
          </w:p>
          <w:p w14:paraId="588CD863">
            <w:pPr>
              <w:snapToGrid w:val="0"/>
              <w:spacing w:afterLines="2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（3）经评标委员会评审后部分响应被否决，导致有效响应单位不足三个的，评标委员会有权否决所有响应</w:t>
            </w:r>
            <w:r>
              <w:rPr>
                <w:rFonts w:hint="eastAsia" w:ascii="宋体" w:hAnsi="宋体" w:cs="宋体"/>
                <w:color w:val="auto"/>
                <w:kern w:val="0"/>
                <w:sz w:val="28"/>
                <w:szCs w:val="28"/>
                <w:highlight w:val="none"/>
                <w:lang w:eastAsia="zh-CN"/>
              </w:rPr>
              <w:t>。</w:t>
            </w:r>
          </w:p>
        </w:tc>
      </w:tr>
      <w:tr w14:paraId="7848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416" w:type="dxa"/>
            <w:tcBorders>
              <w:top w:val="single" w:color="auto" w:sz="4" w:space="0"/>
              <w:left w:val="single" w:color="auto" w:sz="4" w:space="0"/>
              <w:bottom w:val="single" w:color="auto" w:sz="4" w:space="0"/>
              <w:right w:val="single" w:color="auto" w:sz="4" w:space="0"/>
            </w:tcBorders>
            <w:vAlign w:val="center"/>
          </w:tcPr>
          <w:p w14:paraId="0D388804">
            <w:pPr>
              <w:snapToGrid w:val="0"/>
              <w:jc w:val="center"/>
              <w:rPr>
                <w:rFonts w:ascii="宋体" w:hAnsi="宋体" w:eastAsia="宋体" w:cs="宋体"/>
                <w:color w:val="auto"/>
                <w:kern w:val="0"/>
                <w:sz w:val="28"/>
                <w:szCs w:val="28"/>
                <w:highlight w:val="none"/>
                <w:lang w:val="en-US" w:eastAsia="zh-CN" w:bidi="ar-SA"/>
              </w:rPr>
            </w:pPr>
            <w:r>
              <w:rPr>
                <w:rFonts w:hint="eastAsia" w:ascii="宋体" w:hAnsi="宋体" w:cs="宋体"/>
                <w:color w:val="auto"/>
                <w:kern w:val="0"/>
                <w:sz w:val="28"/>
                <w:szCs w:val="28"/>
                <w:highlight w:val="none"/>
              </w:rPr>
              <w:t>22</w:t>
            </w:r>
          </w:p>
        </w:tc>
        <w:tc>
          <w:tcPr>
            <w:tcW w:w="1912" w:type="dxa"/>
            <w:tcBorders>
              <w:top w:val="single" w:color="auto" w:sz="4" w:space="0"/>
              <w:left w:val="single" w:color="auto" w:sz="4" w:space="0"/>
              <w:bottom w:val="single" w:color="auto" w:sz="4" w:space="0"/>
              <w:right w:val="single" w:color="auto" w:sz="4" w:space="0"/>
            </w:tcBorders>
            <w:vAlign w:val="center"/>
          </w:tcPr>
          <w:p w14:paraId="7E402B6F">
            <w:pPr>
              <w:snapToGrid w:val="0"/>
              <w:jc w:val="center"/>
              <w:rPr>
                <w:rFonts w:ascii="宋体" w:hAnsi="宋体" w:cs="宋体"/>
                <w:color w:val="auto"/>
                <w:kern w:val="0"/>
                <w:sz w:val="28"/>
                <w:szCs w:val="28"/>
                <w:highlight w:val="none"/>
              </w:rPr>
            </w:pPr>
            <w:bookmarkStart w:id="5" w:name="_Toc16930431"/>
            <w:bookmarkStart w:id="6" w:name="_Toc509218709"/>
            <w:bookmarkStart w:id="7" w:name="_Toc430530434"/>
            <w:bookmarkStart w:id="8" w:name="_Toc13210670"/>
            <w:bookmarkStart w:id="9" w:name="_Toc536628250"/>
            <w:r>
              <w:rPr>
                <w:rFonts w:hint="eastAsia" w:ascii="宋体" w:hAnsi="宋体" w:cs="宋体"/>
                <w:color w:val="auto"/>
                <w:kern w:val="0"/>
                <w:sz w:val="28"/>
                <w:szCs w:val="28"/>
                <w:highlight w:val="none"/>
              </w:rPr>
              <w:t>重新比选和不再</w:t>
            </w:r>
            <w:bookmarkEnd w:id="5"/>
            <w:bookmarkEnd w:id="6"/>
            <w:bookmarkEnd w:id="7"/>
            <w:bookmarkEnd w:id="8"/>
            <w:bookmarkEnd w:id="9"/>
            <w:r>
              <w:rPr>
                <w:rFonts w:hint="eastAsia" w:ascii="宋体" w:hAnsi="宋体" w:cs="宋体"/>
                <w:color w:val="auto"/>
                <w:kern w:val="0"/>
                <w:sz w:val="28"/>
                <w:szCs w:val="28"/>
                <w:highlight w:val="none"/>
              </w:rPr>
              <w:t>比选</w:t>
            </w:r>
          </w:p>
        </w:tc>
        <w:tc>
          <w:tcPr>
            <w:tcW w:w="6487" w:type="dxa"/>
            <w:tcBorders>
              <w:top w:val="single" w:color="auto" w:sz="4" w:space="0"/>
              <w:left w:val="single" w:color="auto" w:sz="4" w:space="0"/>
              <w:bottom w:val="single" w:color="auto" w:sz="4" w:space="0"/>
              <w:right w:val="single" w:color="auto" w:sz="4" w:space="0"/>
            </w:tcBorders>
            <w:vAlign w:val="center"/>
          </w:tcPr>
          <w:p w14:paraId="1EBF3FA8">
            <w:pPr>
              <w:autoSpaceDE w:val="0"/>
              <w:autoSpaceDN w:val="0"/>
              <w:adjustRightInd w:val="0"/>
              <w:snapToGrid w:val="0"/>
              <w:spacing w:afterLines="20"/>
              <w:ind w:firstLine="560" w:firstLineChars="200"/>
              <w:rPr>
                <w:rFonts w:ascii="宋体" w:hAnsi="宋体" w:cs="宋体"/>
                <w:snapToGrid w:val="0"/>
                <w:color w:val="auto"/>
                <w:kern w:val="0"/>
                <w:sz w:val="28"/>
                <w:szCs w:val="28"/>
                <w:highlight w:val="none"/>
              </w:rPr>
            </w:pPr>
            <w:r>
              <w:rPr>
                <w:rFonts w:hint="eastAsia" w:ascii="宋体" w:hAnsi="宋体" w:cs="宋体"/>
                <w:snapToGrid w:val="0"/>
                <w:color w:val="auto"/>
                <w:kern w:val="0"/>
                <w:sz w:val="28"/>
                <w:szCs w:val="28"/>
                <w:highlight w:val="none"/>
              </w:rPr>
              <w:t>重新比选经评审有有效响应单位的，应当依法确定中选候选人；无有效响应单位的，可以不再进行比选，比选人采取其他方式确定单位。</w:t>
            </w:r>
          </w:p>
        </w:tc>
      </w:tr>
      <w:tr w14:paraId="0179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16" w:type="dxa"/>
            <w:tcBorders>
              <w:top w:val="single" w:color="auto" w:sz="4" w:space="0"/>
              <w:left w:val="single" w:color="auto" w:sz="4" w:space="0"/>
              <w:bottom w:val="single" w:color="auto" w:sz="4" w:space="0"/>
              <w:right w:val="single" w:color="auto" w:sz="4" w:space="0"/>
            </w:tcBorders>
            <w:vAlign w:val="center"/>
          </w:tcPr>
          <w:p w14:paraId="11F16E57">
            <w:pPr>
              <w:jc w:val="center"/>
              <w:rPr>
                <w:rFonts w:ascii="宋体" w:hAnsi="宋体" w:eastAsia="宋体" w:cs="宋体"/>
                <w:color w:val="auto"/>
                <w:kern w:val="0"/>
                <w:sz w:val="28"/>
                <w:szCs w:val="28"/>
                <w:highlight w:val="none"/>
                <w:lang w:val="en-US" w:eastAsia="zh-CN" w:bidi="ar-SA"/>
              </w:rPr>
            </w:pPr>
            <w:r>
              <w:rPr>
                <w:rFonts w:hint="eastAsia" w:ascii="宋体" w:hAnsi="宋体"/>
                <w:b/>
                <w:snapToGrid w:val="0"/>
                <w:color w:val="auto"/>
                <w:kern w:val="0"/>
                <w:sz w:val="28"/>
                <w:szCs w:val="28"/>
                <w:highlight w:val="none"/>
              </w:rPr>
              <w:br w:type="page"/>
            </w:r>
            <w:r>
              <w:rPr>
                <w:rFonts w:hint="eastAsia" w:ascii="宋体" w:hAnsi="宋体" w:cs="宋体"/>
                <w:color w:val="auto"/>
                <w:kern w:val="0"/>
                <w:sz w:val="28"/>
                <w:szCs w:val="28"/>
                <w:highlight w:val="none"/>
              </w:rPr>
              <w:t>23</w:t>
            </w:r>
          </w:p>
        </w:tc>
        <w:tc>
          <w:tcPr>
            <w:tcW w:w="1912" w:type="dxa"/>
            <w:tcBorders>
              <w:top w:val="single" w:color="auto" w:sz="4" w:space="0"/>
              <w:left w:val="single" w:color="auto" w:sz="4" w:space="0"/>
              <w:bottom w:val="single" w:color="auto" w:sz="4" w:space="0"/>
              <w:right w:val="single" w:color="auto" w:sz="4" w:space="0"/>
            </w:tcBorders>
            <w:vAlign w:val="center"/>
          </w:tcPr>
          <w:p w14:paraId="5D609FB1">
            <w:pPr>
              <w:snapToGrid w:val="0"/>
              <w:jc w:val="center"/>
              <w:rPr>
                <w:rFonts w:ascii="宋体" w:hAnsi="宋体" w:cs="宋体"/>
                <w:color w:val="FF0000"/>
                <w:kern w:val="0"/>
                <w:sz w:val="28"/>
                <w:szCs w:val="28"/>
                <w:highlight w:val="none"/>
              </w:rPr>
            </w:pPr>
            <w:r>
              <w:rPr>
                <w:rFonts w:hint="eastAsia" w:ascii="宋体" w:hAnsi="宋体" w:cs="宋体"/>
                <w:color w:val="FF0000"/>
                <w:kern w:val="0"/>
                <w:sz w:val="28"/>
                <w:szCs w:val="28"/>
                <w:highlight w:val="none"/>
              </w:rPr>
              <w:t>低价风险担保</w:t>
            </w:r>
          </w:p>
          <w:p w14:paraId="4CADC9A7">
            <w:pPr>
              <w:snapToGrid w:val="0"/>
              <w:jc w:val="center"/>
              <w:rPr>
                <w:rFonts w:ascii="宋体" w:hAnsi="宋体" w:cs="宋体"/>
                <w:color w:val="auto"/>
                <w:kern w:val="0"/>
                <w:sz w:val="28"/>
                <w:szCs w:val="28"/>
                <w:highlight w:val="none"/>
              </w:rPr>
            </w:pPr>
            <w:r>
              <w:rPr>
                <w:rFonts w:hint="eastAsia" w:ascii="宋体" w:hAnsi="宋体" w:cs="宋体"/>
                <w:color w:val="FF0000"/>
                <w:kern w:val="0"/>
                <w:sz w:val="28"/>
                <w:szCs w:val="28"/>
                <w:highlight w:val="none"/>
              </w:rPr>
              <w:t>（采用经评审的最低报价法适用</w:t>
            </w:r>
            <w:r>
              <w:rPr>
                <w:rFonts w:hint="eastAsia" w:ascii="宋体" w:hAnsi="宋体" w:cs="宋体"/>
                <w:color w:val="auto"/>
                <w:kern w:val="0"/>
                <w:sz w:val="28"/>
                <w:szCs w:val="28"/>
                <w:highlight w:val="none"/>
              </w:rPr>
              <w:t>）</w:t>
            </w:r>
          </w:p>
        </w:tc>
        <w:tc>
          <w:tcPr>
            <w:tcW w:w="6487" w:type="dxa"/>
            <w:tcBorders>
              <w:top w:val="single" w:color="auto" w:sz="4" w:space="0"/>
              <w:left w:val="single" w:color="auto" w:sz="4" w:space="0"/>
              <w:bottom w:val="single" w:color="auto" w:sz="4" w:space="0"/>
              <w:right w:val="single" w:color="auto" w:sz="4" w:space="0"/>
            </w:tcBorders>
            <w:vAlign w:val="center"/>
          </w:tcPr>
          <w:p w14:paraId="0E59EC77">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1.低价风险担保：</w:t>
            </w:r>
            <w:r>
              <w:rPr>
                <w:rFonts w:hint="eastAsia" w:ascii="宋体" w:hAnsi="宋体" w:cs="宋体"/>
                <w:color w:val="auto"/>
                <w:kern w:val="0"/>
                <w:sz w:val="28"/>
                <w:szCs w:val="28"/>
                <w:highlight w:val="none"/>
                <w:lang w:val="en-US" w:eastAsia="zh-CN"/>
              </w:rPr>
              <w:t>若</w:t>
            </w:r>
            <w:r>
              <w:rPr>
                <w:rFonts w:hint="eastAsia" w:ascii="宋体" w:hAnsi="宋体" w:cs="宋体"/>
                <w:color w:val="auto"/>
                <w:kern w:val="0"/>
                <w:sz w:val="28"/>
                <w:szCs w:val="28"/>
                <w:highlight w:val="none"/>
              </w:rPr>
              <w:t>中选</w:t>
            </w:r>
            <w:r>
              <w:rPr>
                <w:rFonts w:hint="eastAsia" w:ascii="宋体" w:hAnsi="宋体" w:cs="宋体"/>
                <w:color w:val="auto"/>
                <w:kern w:val="0"/>
                <w:sz w:val="28"/>
                <w:szCs w:val="28"/>
                <w:highlight w:val="none"/>
                <w:lang w:eastAsia="zh-CN"/>
              </w:rPr>
              <w:t>报价</w:t>
            </w:r>
            <w:r>
              <w:rPr>
                <w:rFonts w:hint="eastAsia" w:ascii="宋体" w:hAnsi="宋体" w:cs="宋体"/>
                <w:color w:val="auto"/>
                <w:kern w:val="0"/>
                <w:sz w:val="28"/>
                <w:szCs w:val="28"/>
                <w:highlight w:val="none"/>
                <w:lang w:val="en-US" w:eastAsia="zh-CN"/>
              </w:rPr>
              <w:t>下浮＞300元/T时</w:t>
            </w:r>
            <w:r>
              <w:rPr>
                <w:rFonts w:hint="eastAsia" w:ascii="宋体" w:hAnsi="宋体" w:cs="宋体"/>
                <w:color w:val="auto"/>
                <w:kern w:val="0"/>
                <w:sz w:val="28"/>
                <w:szCs w:val="28"/>
                <w:highlight w:val="none"/>
              </w:rPr>
              <w:t>，</w:t>
            </w:r>
            <w:r>
              <w:rPr>
                <w:rFonts w:hint="eastAsia" w:ascii="宋体" w:hAnsi="宋体" w:cs="宋体"/>
                <w:color w:val="auto"/>
                <w:kern w:val="0"/>
                <w:sz w:val="28"/>
                <w:szCs w:val="28"/>
                <w:highlight w:val="none"/>
                <w:lang w:val="en-US" w:eastAsia="zh-CN"/>
              </w:rPr>
              <w:t>需提供低价风险担保，</w:t>
            </w:r>
            <w:r>
              <w:rPr>
                <w:rFonts w:hint="eastAsia" w:ascii="宋体" w:hAnsi="宋体" w:cs="宋体"/>
                <w:color w:val="auto"/>
                <w:kern w:val="0"/>
                <w:sz w:val="28"/>
                <w:szCs w:val="28"/>
                <w:highlight w:val="none"/>
              </w:rPr>
              <w:t>如不按时足额提供，视为中选人放弃中选。</w:t>
            </w:r>
          </w:p>
          <w:p w14:paraId="018188B2">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2.中选人提供低价风险担保的形式、金额及期限：</w:t>
            </w:r>
          </w:p>
          <w:p w14:paraId="1F5DCB8F">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（1）低价风险担保的形式：</w:t>
            </w:r>
            <w:r>
              <w:rPr>
                <w:rFonts w:hint="eastAsia" w:ascii="宋体" w:hAnsi="宋体" w:cs="宋体"/>
                <w:color w:val="auto"/>
                <w:kern w:val="0"/>
                <w:sz w:val="28"/>
                <w:szCs w:val="28"/>
                <w:highlight w:val="none"/>
                <w:lang w:val="en-US" w:eastAsia="zh-CN"/>
              </w:rPr>
              <w:t>银行转账或银行保函</w:t>
            </w:r>
            <w:r>
              <w:rPr>
                <w:rFonts w:hint="eastAsia" w:ascii="宋体" w:hAnsi="宋体" w:cs="宋体"/>
                <w:color w:val="auto"/>
                <w:kern w:val="0"/>
                <w:sz w:val="28"/>
                <w:szCs w:val="28"/>
                <w:highlight w:val="none"/>
              </w:rPr>
              <w:t>。</w:t>
            </w:r>
          </w:p>
          <w:p w14:paraId="6F8D8D8C">
            <w:pPr>
              <w:autoSpaceDE w:val="0"/>
              <w:autoSpaceDN w:val="0"/>
              <w:adjustRightInd w:val="0"/>
              <w:snapToGrid w:val="0"/>
              <w:ind w:firstLine="560" w:firstLineChars="200"/>
              <w:rPr>
                <w:rFonts w:hint="default"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rPr>
              <w:t>（2）低价风险担保的金额：</w:t>
            </w:r>
            <w:r>
              <w:rPr>
                <w:rFonts w:hint="eastAsia" w:ascii="宋体" w:hAnsi="宋体" w:cs="宋体"/>
                <w:color w:val="auto"/>
                <w:kern w:val="0"/>
                <w:sz w:val="28"/>
                <w:szCs w:val="28"/>
                <w:highlight w:val="none"/>
                <w:lang w:val="en-US" w:eastAsia="zh-CN"/>
              </w:rPr>
              <w:t>100万元。</w:t>
            </w:r>
          </w:p>
          <w:p w14:paraId="62EA18F3">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（3）低价风险担保</w:t>
            </w:r>
            <w:r>
              <w:rPr>
                <w:rFonts w:hint="eastAsia" w:ascii="宋体" w:hAnsi="宋体" w:cs="宋体"/>
                <w:color w:val="auto"/>
                <w:kern w:val="0"/>
                <w:sz w:val="28"/>
                <w:szCs w:val="28"/>
                <w:highlight w:val="none"/>
                <w:lang w:val="en-US" w:eastAsia="zh-CN"/>
              </w:rPr>
              <w:t>提交</w:t>
            </w:r>
            <w:r>
              <w:rPr>
                <w:rFonts w:hint="eastAsia" w:ascii="宋体" w:hAnsi="宋体" w:cs="宋体"/>
                <w:color w:val="auto"/>
                <w:kern w:val="0"/>
                <w:sz w:val="28"/>
                <w:szCs w:val="28"/>
                <w:highlight w:val="none"/>
              </w:rPr>
              <w:t>时间：从比选人中选通知书送达中选人之日起</w:t>
            </w:r>
            <w:r>
              <w:rPr>
                <w:rFonts w:hint="eastAsia" w:ascii="宋体" w:hAnsi="宋体" w:cs="宋体"/>
                <w:color w:val="auto"/>
                <w:kern w:val="0"/>
                <w:sz w:val="28"/>
                <w:szCs w:val="28"/>
                <w:highlight w:val="none"/>
                <w:u w:val="single"/>
              </w:rPr>
              <w:t>5个</w:t>
            </w:r>
            <w:r>
              <w:rPr>
                <w:rFonts w:hint="eastAsia" w:ascii="宋体" w:hAnsi="宋体" w:cs="宋体"/>
                <w:color w:val="auto"/>
                <w:kern w:val="0"/>
                <w:sz w:val="28"/>
                <w:szCs w:val="28"/>
                <w:highlight w:val="none"/>
              </w:rPr>
              <w:t>工作日内。</w:t>
            </w:r>
          </w:p>
          <w:p w14:paraId="783D94C3">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（4）中选人因自身原因未按中选通知书规定的时限与比选人签订合同的，比选人有权扣除其低价风险担保并取消中选资格。</w:t>
            </w:r>
          </w:p>
          <w:p w14:paraId="5A0AAB6F">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（5）低价风险担保的期限：</w:t>
            </w:r>
            <w:r>
              <w:rPr>
                <w:rFonts w:hint="eastAsia" w:ascii="宋体" w:hAnsi="宋体" w:cs="宋体"/>
                <w:color w:val="auto"/>
                <w:kern w:val="0"/>
                <w:sz w:val="28"/>
                <w:szCs w:val="28"/>
                <w:highlight w:val="none"/>
                <w:u w:val="single"/>
              </w:rPr>
              <w:t>自低价风险担保生效之日起至竣工验收合格之日止</w:t>
            </w:r>
            <w:r>
              <w:rPr>
                <w:rFonts w:hint="eastAsia" w:ascii="宋体" w:hAnsi="宋体" w:cs="宋体"/>
                <w:color w:val="auto"/>
                <w:kern w:val="0"/>
                <w:sz w:val="28"/>
                <w:szCs w:val="28"/>
                <w:highlight w:val="none"/>
              </w:rPr>
              <w:t>。</w:t>
            </w:r>
          </w:p>
          <w:p w14:paraId="536DB889">
            <w:pPr>
              <w:autoSpaceDE w:val="0"/>
              <w:autoSpaceDN w:val="0"/>
              <w:adjustRightInd w:val="0"/>
              <w:snapToGrid w:val="0"/>
              <w:ind w:firstLine="560" w:firstLineChars="200"/>
              <w:rPr>
                <w:rFonts w:ascii="宋体" w:hAnsi="宋体" w:cs="宋体"/>
                <w:color w:val="auto"/>
                <w:kern w:val="0"/>
                <w:sz w:val="28"/>
                <w:szCs w:val="28"/>
                <w:highlight w:val="none"/>
              </w:rPr>
            </w:pPr>
            <w:r>
              <w:rPr>
                <w:rFonts w:hint="eastAsia" w:ascii="宋体" w:hAnsi="宋体" w:cs="宋体"/>
                <w:color w:val="auto"/>
                <w:kern w:val="0"/>
                <w:sz w:val="28"/>
                <w:szCs w:val="28"/>
                <w:highlight w:val="none"/>
              </w:rPr>
              <w:t>3.低价风险担保的退还时间：项目完工验收后，经乙方向甲方书面申请，甲方一次性无息退回。</w:t>
            </w:r>
          </w:p>
          <w:p w14:paraId="24BBA68B">
            <w:pPr>
              <w:keepNext w:val="0"/>
              <w:keepLines w:val="0"/>
              <w:pageBreakBefore w:val="0"/>
              <w:widowControl/>
              <w:kinsoku/>
              <w:wordWrap/>
              <w:overflowPunct/>
              <w:topLinePunct w:val="0"/>
              <w:bidi w:val="0"/>
              <w:adjustRightInd w:val="0"/>
              <w:snapToGrid w:val="0"/>
              <w:ind w:firstLine="560" w:firstLineChars="200"/>
              <w:textAlignment w:val="auto"/>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4.采用经评审最低报价法的项目，中选人放弃中选项目，无正当理由不与比选人签订合同，在签订合同时向比选人提出附加条件或者更改合同实质性内容，或者拒不按照比选文件规定提交低价风险担保或</w:t>
            </w:r>
            <w:r>
              <w:rPr>
                <w:rFonts w:hint="eastAsia" w:ascii="宋体" w:hAnsi="宋体" w:cs="宋体"/>
                <w:color w:val="auto"/>
                <w:kern w:val="0"/>
                <w:sz w:val="28"/>
                <w:szCs w:val="28"/>
                <w:highlight w:val="none"/>
                <w:lang w:val="en-US" w:eastAsia="zh-CN"/>
              </w:rPr>
              <w:t>综合</w:t>
            </w:r>
            <w:r>
              <w:rPr>
                <w:rFonts w:hint="eastAsia" w:ascii="宋体" w:hAnsi="宋体" w:cs="宋体"/>
                <w:color w:val="auto"/>
                <w:kern w:val="0"/>
                <w:sz w:val="28"/>
                <w:szCs w:val="28"/>
                <w:highlight w:val="none"/>
              </w:rPr>
              <w:t>担保的，取消其中选资格，给比选人造成的损失</w:t>
            </w:r>
            <w:r>
              <w:rPr>
                <w:rFonts w:hint="eastAsia" w:ascii="宋体" w:hAnsi="宋体" w:eastAsia="宋体" w:cs="Times New Roman"/>
                <w:color w:val="auto"/>
                <w:kern w:val="0"/>
                <w:sz w:val="28"/>
                <w:szCs w:val="28"/>
                <w:highlight w:val="none"/>
                <w:lang w:val="en-US"/>
              </w:rPr>
              <w:t>非“合作商资源库”内的供应商</w:t>
            </w:r>
            <w:r>
              <w:rPr>
                <w:rFonts w:hint="eastAsia" w:ascii="宋体" w:hAnsi="宋体" w:cs="Times New Roman"/>
                <w:color w:val="auto"/>
                <w:kern w:val="0"/>
                <w:sz w:val="28"/>
                <w:szCs w:val="28"/>
                <w:highlight w:val="none"/>
                <w:lang w:val="en-US" w:eastAsia="zh-CN"/>
              </w:rPr>
              <w:t>将没收投标保证金；</w:t>
            </w:r>
            <w:r>
              <w:rPr>
                <w:rFonts w:hint="eastAsia" w:ascii="宋体" w:hAnsi="宋体" w:eastAsia="宋体" w:cs="Times New Roman"/>
                <w:color w:val="auto"/>
                <w:kern w:val="0"/>
                <w:sz w:val="28"/>
                <w:szCs w:val="28"/>
                <w:highlight w:val="none"/>
                <w:lang w:val="en-US"/>
              </w:rPr>
              <w:t>“合作商资源库”内的供应商</w:t>
            </w:r>
            <w:r>
              <w:rPr>
                <w:rFonts w:hint="eastAsia" w:ascii="宋体" w:hAnsi="宋体" w:cs="宋体"/>
                <w:color w:val="auto"/>
                <w:kern w:val="0"/>
                <w:sz w:val="28"/>
                <w:szCs w:val="28"/>
                <w:highlight w:val="none"/>
              </w:rPr>
              <w:t>直接用入库江北建工“合作商资源库”时缴纳的入库保证金抵扣，入库保证金不足以抵扣的，中选人还应当对超过部分予以赔偿。</w:t>
            </w:r>
          </w:p>
          <w:p w14:paraId="212C566A">
            <w:pPr>
              <w:keepNext w:val="0"/>
              <w:keepLines w:val="0"/>
              <w:pageBreakBefore w:val="0"/>
              <w:widowControl/>
              <w:kinsoku/>
              <w:wordWrap/>
              <w:overflowPunct/>
              <w:topLinePunct w:val="0"/>
              <w:bidi w:val="0"/>
              <w:adjustRightInd w:val="0"/>
              <w:snapToGrid w:val="0"/>
              <w:ind w:firstLine="560" w:firstLineChars="200"/>
              <w:textAlignment w:val="auto"/>
              <w:rPr>
                <w:rFonts w:ascii="宋体" w:hAnsi="宋体" w:cs="宋体"/>
                <w:color w:val="auto"/>
                <w:kern w:val="0"/>
                <w:sz w:val="28"/>
                <w:szCs w:val="28"/>
                <w:highlight w:val="none"/>
              </w:rPr>
            </w:pPr>
            <w:r>
              <w:rPr>
                <w:rFonts w:hint="eastAsia" w:ascii="宋体" w:hAnsi="宋体" w:cs="宋体"/>
                <w:color w:val="auto"/>
                <w:kern w:val="0"/>
                <w:sz w:val="28"/>
                <w:szCs w:val="28"/>
                <w:highlight w:val="none"/>
              </w:rPr>
              <w:t>5.</w:t>
            </w:r>
            <w:r>
              <w:rPr>
                <w:rFonts w:hint="eastAsia" w:ascii="宋体" w:hAnsi="宋体" w:cs="宋体"/>
                <w:color w:val="auto"/>
                <w:kern w:val="0"/>
                <w:sz w:val="28"/>
                <w:szCs w:val="28"/>
                <w:highlight w:val="none"/>
                <w:lang w:val="en-US" w:eastAsia="zh-CN"/>
              </w:rPr>
              <w:t>如涉及低价风险担保</w:t>
            </w:r>
            <w:r>
              <w:rPr>
                <w:rFonts w:hint="eastAsia" w:ascii="宋体" w:hAnsi="宋体" w:cs="宋体"/>
                <w:color w:val="auto"/>
                <w:kern w:val="0"/>
                <w:sz w:val="28"/>
                <w:szCs w:val="28"/>
                <w:highlight w:val="none"/>
              </w:rPr>
              <w:t>时，响应单位在编制响应文件时</w:t>
            </w:r>
            <w:r>
              <w:rPr>
                <w:rFonts w:hint="eastAsia" w:ascii="宋体" w:hAnsi="宋体" w:cs="宋体"/>
                <w:color w:val="auto"/>
                <w:kern w:val="0"/>
                <w:sz w:val="28"/>
                <w:szCs w:val="28"/>
                <w:highlight w:val="none"/>
                <w:lang w:val="en-US" w:eastAsia="zh-CN"/>
              </w:rPr>
              <w:t>应</w:t>
            </w:r>
            <w:r>
              <w:rPr>
                <w:rFonts w:hint="eastAsia" w:ascii="宋体" w:hAnsi="宋体" w:cs="宋体"/>
                <w:color w:val="auto"/>
                <w:kern w:val="0"/>
                <w:sz w:val="28"/>
                <w:szCs w:val="28"/>
                <w:highlight w:val="none"/>
              </w:rPr>
              <w:t>递交低价风险担保承诺书。承诺书格式详见附件</w:t>
            </w:r>
            <w:r>
              <w:rPr>
                <w:rFonts w:hint="eastAsia" w:ascii="宋体" w:hAnsi="宋体" w:cs="宋体"/>
                <w:color w:val="auto"/>
                <w:kern w:val="0"/>
                <w:sz w:val="28"/>
                <w:szCs w:val="28"/>
                <w:highlight w:val="none"/>
                <w:lang w:val="en-US" w:eastAsia="zh-CN"/>
              </w:rPr>
              <w:t>2</w:t>
            </w:r>
            <w:r>
              <w:rPr>
                <w:rFonts w:hint="eastAsia" w:ascii="宋体" w:hAnsi="宋体" w:cs="宋体"/>
                <w:color w:val="auto"/>
                <w:kern w:val="0"/>
                <w:sz w:val="28"/>
                <w:szCs w:val="28"/>
                <w:highlight w:val="none"/>
              </w:rPr>
              <w:t>《响应文件》。</w:t>
            </w:r>
          </w:p>
        </w:tc>
      </w:tr>
      <w:tr w14:paraId="68291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82" w:hRule="atLeast"/>
        </w:trPr>
        <w:tc>
          <w:tcPr>
            <w:tcW w:w="1416" w:type="dxa"/>
            <w:tcBorders>
              <w:top w:val="single" w:color="000000" w:sz="4" w:space="0"/>
              <w:left w:val="single" w:color="000000" w:sz="4" w:space="0"/>
              <w:bottom w:val="single" w:color="000000" w:sz="4" w:space="0"/>
              <w:right w:val="single" w:color="auto" w:sz="4" w:space="0"/>
            </w:tcBorders>
            <w:vAlign w:val="center"/>
          </w:tcPr>
          <w:p w14:paraId="58084432">
            <w:pPr>
              <w:jc w:val="center"/>
              <w:rPr>
                <w:rFonts w:hint="eastAsia" w:ascii="宋体" w:hAnsi="宋体" w:eastAsia="宋体" w:cs="宋体"/>
                <w:color w:val="auto"/>
                <w:kern w:val="0"/>
                <w:sz w:val="28"/>
                <w:szCs w:val="28"/>
                <w:highlight w:val="none"/>
                <w:lang w:eastAsia="zh-CN"/>
              </w:rPr>
            </w:pPr>
            <w:bookmarkStart w:id="10" w:name="_Toc48747098"/>
            <w:bookmarkStart w:id="11" w:name="_Toc48746674"/>
            <w:r>
              <w:rPr>
                <w:rFonts w:hint="eastAsia" w:ascii="宋体" w:hAnsi="宋体" w:cs="宋体"/>
                <w:color w:val="auto"/>
                <w:kern w:val="0"/>
                <w:sz w:val="28"/>
                <w:szCs w:val="28"/>
                <w:highlight w:val="none"/>
              </w:rPr>
              <w:t>2</w:t>
            </w:r>
            <w:r>
              <w:rPr>
                <w:rFonts w:hint="eastAsia" w:ascii="宋体" w:hAnsi="宋体" w:cs="宋体"/>
                <w:color w:val="auto"/>
                <w:kern w:val="0"/>
                <w:sz w:val="28"/>
                <w:szCs w:val="28"/>
                <w:highlight w:val="none"/>
                <w:lang w:val="en-US" w:eastAsia="zh-CN"/>
              </w:rPr>
              <w:t>4</w:t>
            </w:r>
          </w:p>
        </w:tc>
        <w:tc>
          <w:tcPr>
            <w:tcW w:w="1912" w:type="dxa"/>
            <w:tcBorders>
              <w:top w:val="single" w:color="000000" w:sz="4" w:space="0"/>
              <w:left w:val="single" w:color="auto" w:sz="4" w:space="0"/>
              <w:bottom w:val="single" w:color="000000" w:sz="4" w:space="0"/>
              <w:right w:val="single" w:color="auto" w:sz="4" w:space="0"/>
            </w:tcBorders>
            <w:vAlign w:val="center"/>
          </w:tcPr>
          <w:p w14:paraId="0D6F67B1">
            <w:pPr>
              <w:jc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评标结果</w:t>
            </w:r>
          </w:p>
        </w:tc>
        <w:tc>
          <w:tcPr>
            <w:tcW w:w="6487" w:type="dxa"/>
            <w:tcBorders>
              <w:top w:val="single" w:color="000000" w:sz="4" w:space="0"/>
              <w:left w:val="single" w:color="auto" w:sz="4" w:space="0"/>
              <w:bottom w:val="single" w:color="000000" w:sz="4" w:space="0"/>
              <w:right w:val="single" w:color="000000" w:sz="4" w:space="0"/>
            </w:tcBorders>
            <w:vAlign w:val="center"/>
          </w:tcPr>
          <w:p w14:paraId="700B09B5">
            <w:pPr>
              <w:autoSpaceDE w:val="0"/>
              <w:autoSpaceDN w:val="0"/>
              <w:adjustRightInd w:val="0"/>
              <w:snapToGrid w:val="0"/>
              <w:ind w:firstLine="420"/>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评标</w:t>
            </w:r>
            <w:r>
              <w:rPr>
                <w:rFonts w:hint="eastAsia" w:ascii="宋体" w:hAnsi="宋体" w:cs="宋体"/>
                <w:color w:val="auto"/>
                <w:spacing w:val="1"/>
                <w:kern w:val="0"/>
                <w:sz w:val="28"/>
                <w:szCs w:val="28"/>
                <w:highlight w:val="none"/>
              </w:rPr>
              <w:t>委</w:t>
            </w:r>
            <w:r>
              <w:rPr>
                <w:rFonts w:hint="eastAsia" w:ascii="宋体" w:hAnsi="宋体" w:cs="宋体"/>
                <w:color w:val="auto"/>
                <w:kern w:val="0"/>
                <w:sz w:val="28"/>
                <w:szCs w:val="28"/>
                <w:highlight w:val="none"/>
              </w:rPr>
              <w:t>员会按经评审的</w:t>
            </w:r>
            <w:r>
              <w:rPr>
                <w:rFonts w:hint="eastAsia" w:ascii="宋体" w:hAnsi="宋体" w:cs="宋体"/>
                <w:color w:val="FF0000"/>
                <w:kern w:val="0"/>
                <w:sz w:val="28"/>
                <w:szCs w:val="28"/>
                <w:highlight w:val="none"/>
                <w:lang w:val="en-US" w:eastAsia="zh-CN"/>
              </w:rPr>
              <w:t>最低价格</w:t>
            </w:r>
            <w:r>
              <w:rPr>
                <w:rFonts w:hint="eastAsia" w:ascii="宋体" w:hAnsi="宋体" w:cs="宋体"/>
                <w:color w:val="auto"/>
                <w:kern w:val="0"/>
                <w:sz w:val="28"/>
                <w:szCs w:val="28"/>
                <w:highlight w:val="none"/>
              </w:rPr>
              <w:t>推荐中选候选人。</w:t>
            </w:r>
          </w:p>
        </w:tc>
      </w:tr>
      <w:bookmarkEnd w:id="10"/>
      <w:bookmarkEnd w:id="11"/>
    </w:tbl>
    <w:p w14:paraId="333A0694">
      <w:pPr>
        <w:rPr>
          <w:highlight w:val="none"/>
        </w:rPr>
      </w:pPr>
    </w:p>
    <w:bookmarkEnd w:id="0"/>
    <w:bookmarkEnd w:id="1"/>
    <w:bookmarkEnd w:id="2"/>
    <w:bookmarkEnd w:id="3"/>
    <w:bookmarkEnd w:id="4"/>
    <w:p w14:paraId="64136425">
      <w:pPr>
        <w:rPr>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6BD0A">
    <w:pPr>
      <w:pStyle w:val="2"/>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9988621">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09988621">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6</w:t>
                    </w:r>
                    <w:r>
                      <w:rPr>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FA13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544D5AE3"/>
    <w:rsid w:val="00856063"/>
    <w:rsid w:val="009B4475"/>
    <w:rsid w:val="00D841DC"/>
    <w:rsid w:val="011D1F17"/>
    <w:rsid w:val="01FF6727"/>
    <w:rsid w:val="020967F0"/>
    <w:rsid w:val="027C16B8"/>
    <w:rsid w:val="02AE676F"/>
    <w:rsid w:val="035F0DDD"/>
    <w:rsid w:val="03663068"/>
    <w:rsid w:val="0370711D"/>
    <w:rsid w:val="039842CF"/>
    <w:rsid w:val="0414147C"/>
    <w:rsid w:val="042E69E2"/>
    <w:rsid w:val="045A2CEE"/>
    <w:rsid w:val="04EE7F1F"/>
    <w:rsid w:val="06483827"/>
    <w:rsid w:val="06B502C8"/>
    <w:rsid w:val="07314DB1"/>
    <w:rsid w:val="07EF6488"/>
    <w:rsid w:val="07FE66CB"/>
    <w:rsid w:val="08512C9F"/>
    <w:rsid w:val="086E55FF"/>
    <w:rsid w:val="088F5575"/>
    <w:rsid w:val="09694018"/>
    <w:rsid w:val="09BF5949"/>
    <w:rsid w:val="09D75E98"/>
    <w:rsid w:val="0A2378ED"/>
    <w:rsid w:val="0ACA0AE6"/>
    <w:rsid w:val="0BCB2D68"/>
    <w:rsid w:val="0CC513EB"/>
    <w:rsid w:val="0D5648B3"/>
    <w:rsid w:val="0D584ACF"/>
    <w:rsid w:val="0DC06928"/>
    <w:rsid w:val="0E637069"/>
    <w:rsid w:val="0EBE6BB4"/>
    <w:rsid w:val="0EDE642C"/>
    <w:rsid w:val="0F67400D"/>
    <w:rsid w:val="0FB12275"/>
    <w:rsid w:val="10271034"/>
    <w:rsid w:val="104135F9"/>
    <w:rsid w:val="111A6DE4"/>
    <w:rsid w:val="113A0964"/>
    <w:rsid w:val="11A025A1"/>
    <w:rsid w:val="11FF551A"/>
    <w:rsid w:val="123E4294"/>
    <w:rsid w:val="12865C4C"/>
    <w:rsid w:val="12D26128"/>
    <w:rsid w:val="12F86B39"/>
    <w:rsid w:val="130A061A"/>
    <w:rsid w:val="130F5C30"/>
    <w:rsid w:val="13465AC5"/>
    <w:rsid w:val="13FE338E"/>
    <w:rsid w:val="146A506D"/>
    <w:rsid w:val="15266AE3"/>
    <w:rsid w:val="15484A34"/>
    <w:rsid w:val="15671D54"/>
    <w:rsid w:val="16AF39B2"/>
    <w:rsid w:val="16DA250D"/>
    <w:rsid w:val="17445FC4"/>
    <w:rsid w:val="18932E60"/>
    <w:rsid w:val="18D05E62"/>
    <w:rsid w:val="18E611E1"/>
    <w:rsid w:val="19256005"/>
    <w:rsid w:val="19DD25E4"/>
    <w:rsid w:val="1A0D279E"/>
    <w:rsid w:val="1A843A78"/>
    <w:rsid w:val="1AB175CD"/>
    <w:rsid w:val="1AF61A82"/>
    <w:rsid w:val="1B302BE8"/>
    <w:rsid w:val="1B860A5A"/>
    <w:rsid w:val="1BC82E20"/>
    <w:rsid w:val="1C5446B4"/>
    <w:rsid w:val="1C5648D0"/>
    <w:rsid w:val="1D2439E2"/>
    <w:rsid w:val="1D3764AF"/>
    <w:rsid w:val="1D86375A"/>
    <w:rsid w:val="1DB70140"/>
    <w:rsid w:val="1EE47F71"/>
    <w:rsid w:val="1EE9022A"/>
    <w:rsid w:val="1F3C1B5B"/>
    <w:rsid w:val="1FB67853"/>
    <w:rsid w:val="210E39CB"/>
    <w:rsid w:val="21555156"/>
    <w:rsid w:val="21D15FB5"/>
    <w:rsid w:val="21D84A4B"/>
    <w:rsid w:val="22010E3A"/>
    <w:rsid w:val="22D327D6"/>
    <w:rsid w:val="22EC1AEA"/>
    <w:rsid w:val="232E25B3"/>
    <w:rsid w:val="235A6A54"/>
    <w:rsid w:val="24062738"/>
    <w:rsid w:val="240F3CE2"/>
    <w:rsid w:val="25A34313"/>
    <w:rsid w:val="25C4208B"/>
    <w:rsid w:val="25E22D30"/>
    <w:rsid w:val="26233A75"/>
    <w:rsid w:val="275D221F"/>
    <w:rsid w:val="27BA21B7"/>
    <w:rsid w:val="2830042B"/>
    <w:rsid w:val="29B42C36"/>
    <w:rsid w:val="2A467D32"/>
    <w:rsid w:val="2AAB5475"/>
    <w:rsid w:val="2B467C0B"/>
    <w:rsid w:val="2B920D55"/>
    <w:rsid w:val="2B9762ED"/>
    <w:rsid w:val="2BC37160"/>
    <w:rsid w:val="2BE07D12"/>
    <w:rsid w:val="2BE339E6"/>
    <w:rsid w:val="2BF21030"/>
    <w:rsid w:val="2BF5382C"/>
    <w:rsid w:val="2D785D31"/>
    <w:rsid w:val="2DC61C36"/>
    <w:rsid w:val="2E566991"/>
    <w:rsid w:val="2E67296D"/>
    <w:rsid w:val="2E8C5F2F"/>
    <w:rsid w:val="2EC76F67"/>
    <w:rsid w:val="2ECD3BAA"/>
    <w:rsid w:val="2EDA313F"/>
    <w:rsid w:val="2F081A5A"/>
    <w:rsid w:val="2F1C72B3"/>
    <w:rsid w:val="2FB43990"/>
    <w:rsid w:val="30073ABF"/>
    <w:rsid w:val="3038011D"/>
    <w:rsid w:val="309C6428"/>
    <w:rsid w:val="31C854D0"/>
    <w:rsid w:val="320F4EAD"/>
    <w:rsid w:val="326C67A3"/>
    <w:rsid w:val="32ED1B20"/>
    <w:rsid w:val="32F504C0"/>
    <w:rsid w:val="3419350A"/>
    <w:rsid w:val="34E24AFB"/>
    <w:rsid w:val="350E3B42"/>
    <w:rsid w:val="351849C1"/>
    <w:rsid w:val="36090648"/>
    <w:rsid w:val="36AF4CE8"/>
    <w:rsid w:val="36E332A9"/>
    <w:rsid w:val="373F6235"/>
    <w:rsid w:val="37953FD9"/>
    <w:rsid w:val="37E9100C"/>
    <w:rsid w:val="38146732"/>
    <w:rsid w:val="382D42DF"/>
    <w:rsid w:val="38433B03"/>
    <w:rsid w:val="388365F5"/>
    <w:rsid w:val="38A9222F"/>
    <w:rsid w:val="38D419DC"/>
    <w:rsid w:val="392E030F"/>
    <w:rsid w:val="39483CE8"/>
    <w:rsid w:val="398919E9"/>
    <w:rsid w:val="39900FC9"/>
    <w:rsid w:val="39951007"/>
    <w:rsid w:val="39BC591B"/>
    <w:rsid w:val="3A282BE0"/>
    <w:rsid w:val="3A575643"/>
    <w:rsid w:val="3B583D69"/>
    <w:rsid w:val="3B6756A6"/>
    <w:rsid w:val="3BBF7881"/>
    <w:rsid w:val="3CC6279C"/>
    <w:rsid w:val="3CCD7E3F"/>
    <w:rsid w:val="3DC2371B"/>
    <w:rsid w:val="3DF957FC"/>
    <w:rsid w:val="3E845132"/>
    <w:rsid w:val="3EC534C3"/>
    <w:rsid w:val="3F055FB6"/>
    <w:rsid w:val="3F4A5273"/>
    <w:rsid w:val="401453DC"/>
    <w:rsid w:val="40293AE0"/>
    <w:rsid w:val="40D11469"/>
    <w:rsid w:val="41AF3FB7"/>
    <w:rsid w:val="41D67795"/>
    <w:rsid w:val="42734FE4"/>
    <w:rsid w:val="42976F25"/>
    <w:rsid w:val="429A6A15"/>
    <w:rsid w:val="43A34DE7"/>
    <w:rsid w:val="440E2436"/>
    <w:rsid w:val="442A3DC9"/>
    <w:rsid w:val="44450C02"/>
    <w:rsid w:val="447B63D2"/>
    <w:rsid w:val="44C1472D"/>
    <w:rsid w:val="454B2248"/>
    <w:rsid w:val="45961716"/>
    <w:rsid w:val="45A07192"/>
    <w:rsid w:val="46261438"/>
    <w:rsid w:val="476475F1"/>
    <w:rsid w:val="47AD71EA"/>
    <w:rsid w:val="48C42A3E"/>
    <w:rsid w:val="48CC6902"/>
    <w:rsid w:val="48F13107"/>
    <w:rsid w:val="48F84495"/>
    <w:rsid w:val="48FE2C64"/>
    <w:rsid w:val="490B241B"/>
    <w:rsid w:val="492C096A"/>
    <w:rsid w:val="49615C2B"/>
    <w:rsid w:val="497C0C22"/>
    <w:rsid w:val="49A40179"/>
    <w:rsid w:val="49BB5BEF"/>
    <w:rsid w:val="49D74F53"/>
    <w:rsid w:val="4AD54A8E"/>
    <w:rsid w:val="4B700C5B"/>
    <w:rsid w:val="4BA020FF"/>
    <w:rsid w:val="4BE80C6C"/>
    <w:rsid w:val="4C2630C7"/>
    <w:rsid w:val="4C777498"/>
    <w:rsid w:val="4CC634D6"/>
    <w:rsid w:val="4CDF7E46"/>
    <w:rsid w:val="4D13189E"/>
    <w:rsid w:val="4E0F475B"/>
    <w:rsid w:val="4E7A03BD"/>
    <w:rsid w:val="4E7B76FB"/>
    <w:rsid w:val="4E9C7106"/>
    <w:rsid w:val="4EBD5A47"/>
    <w:rsid w:val="4EC618FA"/>
    <w:rsid w:val="4F5611CB"/>
    <w:rsid w:val="4FB54E8E"/>
    <w:rsid w:val="4FDE1FCF"/>
    <w:rsid w:val="50311087"/>
    <w:rsid w:val="50502E09"/>
    <w:rsid w:val="5076286F"/>
    <w:rsid w:val="508A00C9"/>
    <w:rsid w:val="508E3206"/>
    <w:rsid w:val="50C20317"/>
    <w:rsid w:val="50E35A2B"/>
    <w:rsid w:val="510C073C"/>
    <w:rsid w:val="517975BC"/>
    <w:rsid w:val="517F4A6D"/>
    <w:rsid w:val="531331F1"/>
    <w:rsid w:val="53513120"/>
    <w:rsid w:val="5382152B"/>
    <w:rsid w:val="53837CF0"/>
    <w:rsid w:val="53DA3115"/>
    <w:rsid w:val="53EE69C1"/>
    <w:rsid w:val="543C16DA"/>
    <w:rsid w:val="544D1B39"/>
    <w:rsid w:val="544D5AE3"/>
    <w:rsid w:val="54684BC5"/>
    <w:rsid w:val="54881E90"/>
    <w:rsid w:val="54EB4EAE"/>
    <w:rsid w:val="54F10483"/>
    <w:rsid w:val="55A51501"/>
    <w:rsid w:val="55FF3307"/>
    <w:rsid w:val="56A874FB"/>
    <w:rsid w:val="56EB2DA3"/>
    <w:rsid w:val="571C4E0C"/>
    <w:rsid w:val="57E91B79"/>
    <w:rsid w:val="586B07E0"/>
    <w:rsid w:val="58A41F44"/>
    <w:rsid w:val="59464DA9"/>
    <w:rsid w:val="59513E3C"/>
    <w:rsid w:val="596A5526"/>
    <w:rsid w:val="598558D1"/>
    <w:rsid w:val="599C278C"/>
    <w:rsid w:val="59A044B9"/>
    <w:rsid w:val="59AA358A"/>
    <w:rsid w:val="59D92DB3"/>
    <w:rsid w:val="5AF2343A"/>
    <w:rsid w:val="5B8D10CB"/>
    <w:rsid w:val="5BA858A7"/>
    <w:rsid w:val="5BC03B23"/>
    <w:rsid w:val="5BF06D63"/>
    <w:rsid w:val="5C3D06E5"/>
    <w:rsid w:val="5D335644"/>
    <w:rsid w:val="5D5D1495"/>
    <w:rsid w:val="5EC944B2"/>
    <w:rsid w:val="60271A85"/>
    <w:rsid w:val="60557D4D"/>
    <w:rsid w:val="608368E3"/>
    <w:rsid w:val="61590315"/>
    <w:rsid w:val="616D092B"/>
    <w:rsid w:val="63FF44D2"/>
    <w:rsid w:val="648F1CFA"/>
    <w:rsid w:val="64C33E06"/>
    <w:rsid w:val="64C3723F"/>
    <w:rsid w:val="650D41C8"/>
    <w:rsid w:val="65F75DA9"/>
    <w:rsid w:val="66565CCF"/>
    <w:rsid w:val="673E36E5"/>
    <w:rsid w:val="676137A7"/>
    <w:rsid w:val="686E1C26"/>
    <w:rsid w:val="687C4343"/>
    <w:rsid w:val="68D76793"/>
    <w:rsid w:val="68F4217F"/>
    <w:rsid w:val="69431305"/>
    <w:rsid w:val="6958090C"/>
    <w:rsid w:val="69C53AC8"/>
    <w:rsid w:val="6ABE50E7"/>
    <w:rsid w:val="6B4C26F3"/>
    <w:rsid w:val="6B827EC3"/>
    <w:rsid w:val="6C044D7B"/>
    <w:rsid w:val="6C661592"/>
    <w:rsid w:val="6CAE2CC9"/>
    <w:rsid w:val="6D0F3BD4"/>
    <w:rsid w:val="6D7F6FE9"/>
    <w:rsid w:val="6E0077C5"/>
    <w:rsid w:val="6F484F7F"/>
    <w:rsid w:val="702A6D7B"/>
    <w:rsid w:val="702D2E94"/>
    <w:rsid w:val="70C13325"/>
    <w:rsid w:val="714E373A"/>
    <w:rsid w:val="717C53B4"/>
    <w:rsid w:val="71F254CD"/>
    <w:rsid w:val="72077D01"/>
    <w:rsid w:val="727F02B6"/>
    <w:rsid w:val="72EC0317"/>
    <w:rsid w:val="72F50157"/>
    <w:rsid w:val="739015EB"/>
    <w:rsid w:val="73A36734"/>
    <w:rsid w:val="740C3252"/>
    <w:rsid w:val="748B481E"/>
    <w:rsid w:val="749025B6"/>
    <w:rsid w:val="756901F3"/>
    <w:rsid w:val="75B72E5F"/>
    <w:rsid w:val="77003D59"/>
    <w:rsid w:val="78D930EC"/>
    <w:rsid w:val="79402AD9"/>
    <w:rsid w:val="795F5CE7"/>
    <w:rsid w:val="798E5EC4"/>
    <w:rsid w:val="79D25F23"/>
    <w:rsid w:val="79E41D48"/>
    <w:rsid w:val="7B4E4CB6"/>
    <w:rsid w:val="7BDF6C6B"/>
    <w:rsid w:val="7C2F1E2F"/>
    <w:rsid w:val="7C2F57A1"/>
    <w:rsid w:val="7C3C42A8"/>
    <w:rsid w:val="7CB4634A"/>
    <w:rsid w:val="7CBE7F8A"/>
    <w:rsid w:val="7CCE5BDD"/>
    <w:rsid w:val="7CD460A4"/>
    <w:rsid w:val="7DB4332B"/>
    <w:rsid w:val="7DC97BD3"/>
    <w:rsid w:val="7DFF53A3"/>
    <w:rsid w:val="7F9164CE"/>
    <w:rsid w:val="7F945F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1"/>
    <w:pPr>
      <w:spacing w:before="684"/>
      <w:ind w:left="2560" w:right="1439"/>
      <w:outlineLvl w:val="2"/>
    </w:pPr>
    <w:rPr>
      <w:rFonts w:ascii="宋体" w:hAnsi="宋体" w:cs="宋体"/>
      <w:b/>
      <w:bCs/>
      <w:sz w:val="30"/>
      <w:szCs w:val="30"/>
      <w:u w:val="single" w:color="000000"/>
      <w:lang w:val="zh-CN" w:bidi="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cs="宋体"/>
      <w:szCs w:val="21"/>
      <w:lang w:val="zh-CN" w:bidi="zh-CN"/>
    </w:rPr>
  </w:style>
  <w:style w:type="paragraph" w:customStyle="1" w:styleId="3">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2981</Words>
  <Characters>3107</Characters>
  <Lines>21</Lines>
  <Paragraphs>6</Paragraphs>
  <TotalTime>16</TotalTime>
  <ScaleCrop>false</ScaleCrop>
  <LinksUpToDate>false</LinksUpToDate>
  <CharactersWithSpaces>3123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2022-10-27T11:28:00Z</dcterms:created>
  <dc:creator>不规今日</dc:creator>
  <cp:lastModifiedBy>文子~Yan</cp:lastModifiedBy>
  <cp:lastPrinted>2025-11-12T03:14:00Z</cp:lastPrinted>
  <dcterms:modified xsi:type="dcterms:W3CDTF">2025-11-21T09:53:53Z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3C1012AD1BCD417E91D78002550321B6_13</vt:lpwstr>
  </property>
  <property fmtid="{D5CDD505-2E9C-101B-9397-08002B2CF9AE}" pid="4" name="KSOTemplateDocerSaveRecord">
    <vt:lpwstr>eyJoZGlkIjoiZWRhNDgxYTI0ZThhMzA5NmIzZjBhNWEyZDE0ODA1ZmYiLCJ1c2VySWQiOiI3MDEzNjg1ODEifQ==</vt:lpwstr>
  </property>
</Properties>
</file>