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4D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b w:val="0"/>
          <w:color w:val="auto"/>
          <w:kern w:val="2"/>
          <w:sz w:val="44"/>
          <w:szCs w:val="44"/>
          <w:highlight w:val="none"/>
          <w:lang w:val="en-US" w:eastAsia="zh-CN" w:bidi="ar-SA"/>
        </w:rPr>
      </w:pPr>
    </w:p>
    <w:p w14:paraId="4DBFAFED">
      <w:pPr>
        <w:pStyle w:val="10"/>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仿宋" w:hAnsi="仿宋" w:eastAsia="仿宋" w:cs="仿宋"/>
          <w:b/>
          <w:bCs/>
          <w:color w:val="auto"/>
          <w:kern w:val="2"/>
          <w:sz w:val="48"/>
          <w:szCs w:val="48"/>
          <w:highlight w:val="none"/>
          <w:lang w:val="en-US" w:eastAsia="zh-CN" w:bidi="ar-SA"/>
        </w:rPr>
      </w:pPr>
      <w:r>
        <w:rPr>
          <w:rFonts w:hint="eastAsia" w:ascii="仿宋" w:hAnsi="仿宋" w:eastAsia="仿宋" w:cs="仿宋"/>
          <w:b/>
          <w:bCs/>
          <w:color w:val="auto"/>
          <w:kern w:val="2"/>
          <w:sz w:val="48"/>
          <w:szCs w:val="48"/>
          <w:highlight w:val="none"/>
          <w:lang w:val="en-US" w:eastAsia="zh-CN" w:bidi="ar-SA"/>
        </w:rPr>
        <w:t>酉阳土家族苗族自治县麻旺初级中学校蔬菜采购及配送项目</w:t>
      </w:r>
    </w:p>
    <w:p w14:paraId="538D204F">
      <w:pPr>
        <w:adjustRightInd w:val="0"/>
        <w:jc w:val="center"/>
        <w:rPr>
          <w:rFonts w:hint="eastAsia" w:ascii="仿宋" w:hAnsi="仿宋" w:eastAsia="仿宋" w:cs="仿宋"/>
          <w:b/>
          <w:color w:val="auto"/>
          <w:sz w:val="72"/>
          <w:szCs w:val="72"/>
          <w:highlight w:val="none"/>
        </w:rPr>
      </w:pPr>
    </w:p>
    <w:p w14:paraId="1C26B174">
      <w:pPr>
        <w:pStyle w:val="9"/>
        <w:rPr>
          <w:rFonts w:hint="eastAsia"/>
          <w:highlight w:val="none"/>
        </w:rPr>
      </w:pPr>
    </w:p>
    <w:p w14:paraId="65AA649E">
      <w:pPr>
        <w:adjustRightInd w:val="0"/>
        <w:jc w:val="both"/>
        <w:rPr>
          <w:rFonts w:hint="eastAsia" w:ascii="仿宋" w:hAnsi="仿宋" w:eastAsia="仿宋" w:cs="仿宋"/>
          <w:b/>
          <w:color w:val="auto"/>
          <w:sz w:val="96"/>
          <w:szCs w:val="96"/>
          <w:highlight w:val="none"/>
        </w:rPr>
      </w:pPr>
    </w:p>
    <w:p w14:paraId="3217FC83">
      <w:pPr>
        <w:adjustRightInd w:val="0"/>
        <w:jc w:val="both"/>
        <w:rPr>
          <w:rFonts w:hint="eastAsia" w:ascii="仿宋" w:hAnsi="仿宋" w:eastAsia="仿宋" w:cs="仿宋"/>
          <w:b/>
          <w:color w:val="auto"/>
          <w:sz w:val="96"/>
          <w:szCs w:val="96"/>
          <w:highlight w:val="none"/>
        </w:rPr>
      </w:pPr>
    </w:p>
    <w:p w14:paraId="7B31319C">
      <w:pPr>
        <w:adjustRightInd w:val="0"/>
        <w:jc w:val="center"/>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rPr>
        <w:t>竞争性比选文件</w:t>
      </w:r>
    </w:p>
    <w:p w14:paraId="4A424638">
      <w:pPr>
        <w:adjustRightInd w:val="0"/>
        <w:jc w:val="center"/>
        <w:rPr>
          <w:rFonts w:hint="eastAsia" w:ascii="仿宋" w:hAnsi="仿宋" w:eastAsia="仿宋" w:cs="仿宋"/>
          <w:b/>
          <w:color w:val="auto"/>
          <w:sz w:val="72"/>
          <w:szCs w:val="72"/>
          <w:highlight w:val="none"/>
        </w:rPr>
      </w:pPr>
    </w:p>
    <w:p w14:paraId="108AA526">
      <w:pPr>
        <w:pStyle w:val="4"/>
        <w:jc w:val="both"/>
        <w:rPr>
          <w:rFonts w:hint="eastAsia" w:ascii="仿宋" w:hAnsi="仿宋" w:eastAsia="仿宋" w:cs="仿宋"/>
          <w:color w:val="auto"/>
          <w:highlight w:val="none"/>
        </w:rPr>
      </w:pPr>
    </w:p>
    <w:p w14:paraId="39A0362C">
      <w:pPr>
        <w:pStyle w:val="10"/>
        <w:spacing w:line="500" w:lineRule="exact"/>
        <w:ind w:left="0"/>
        <w:jc w:val="center"/>
        <w:rPr>
          <w:rFonts w:hint="eastAsia" w:ascii="仿宋" w:hAnsi="仿宋" w:eastAsia="仿宋" w:cs="仿宋"/>
          <w:b/>
          <w:bCs/>
          <w:color w:val="auto"/>
          <w:sz w:val="32"/>
          <w:highlight w:val="none"/>
          <w:lang w:eastAsia="zh-CN"/>
        </w:rPr>
      </w:pPr>
    </w:p>
    <w:p w14:paraId="2A9F27AF">
      <w:pPr>
        <w:pStyle w:val="10"/>
        <w:spacing w:line="500" w:lineRule="exact"/>
        <w:ind w:left="0"/>
        <w:rPr>
          <w:rFonts w:hint="eastAsia" w:ascii="仿宋" w:hAnsi="仿宋" w:eastAsia="仿宋" w:cs="仿宋"/>
          <w:color w:val="auto"/>
          <w:sz w:val="32"/>
          <w:highlight w:val="none"/>
        </w:rPr>
      </w:pPr>
    </w:p>
    <w:p w14:paraId="352541B8">
      <w:pPr>
        <w:spacing w:line="500" w:lineRule="exact"/>
        <w:jc w:val="center"/>
        <w:rPr>
          <w:rFonts w:hint="eastAsia" w:ascii="仿宋" w:hAnsi="仿宋" w:eastAsia="仿宋" w:cs="仿宋"/>
          <w:color w:val="auto"/>
          <w:sz w:val="32"/>
          <w:highlight w:val="none"/>
        </w:rPr>
      </w:pPr>
    </w:p>
    <w:p w14:paraId="7AF856FB">
      <w:pPr>
        <w:pStyle w:val="9"/>
        <w:rPr>
          <w:rFonts w:hint="eastAsia" w:ascii="仿宋" w:hAnsi="仿宋" w:eastAsia="仿宋" w:cs="仿宋"/>
          <w:color w:val="auto"/>
          <w:sz w:val="32"/>
          <w:highlight w:val="none"/>
        </w:rPr>
      </w:pPr>
    </w:p>
    <w:p w14:paraId="15D78B3E">
      <w:pPr>
        <w:rPr>
          <w:rFonts w:hint="eastAsia"/>
        </w:rPr>
      </w:pPr>
    </w:p>
    <w:p w14:paraId="481D4B0C">
      <w:pPr>
        <w:keepNext w:val="0"/>
        <w:keepLines w:val="0"/>
        <w:pageBreakBefore w:val="0"/>
        <w:widowControl w:val="0"/>
        <w:kinsoku/>
        <w:wordWrap/>
        <w:overflowPunct/>
        <w:topLinePunct w:val="0"/>
        <w:autoSpaceDE/>
        <w:autoSpaceDN/>
        <w:bidi w:val="0"/>
        <w:adjustRightInd/>
        <w:spacing w:line="560" w:lineRule="exact"/>
        <w:ind w:firstLine="964" w:firstLineChars="300"/>
        <w:jc w:val="both"/>
        <w:textAlignment w:val="auto"/>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kern w:val="2"/>
          <w:sz w:val="32"/>
          <w:szCs w:val="22"/>
          <w:highlight w:val="none"/>
          <w:lang w:val="en-US" w:eastAsia="zh-CN" w:bidi="ar-SA"/>
        </w:rPr>
        <w:t>采购人：酉阳土家族苗族自治县麻旺初级中学校</w:t>
      </w:r>
    </w:p>
    <w:p w14:paraId="7B406B3F">
      <w:pPr>
        <w:keepNext w:val="0"/>
        <w:keepLines w:val="0"/>
        <w:pageBreakBefore w:val="0"/>
        <w:widowControl w:val="0"/>
        <w:kinsoku/>
        <w:wordWrap/>
        <w:overflowPunct/>
        <w:topLinePunct w:val="0"/>
        <w:autoSpaceDE/>
        <w:autoSpaceDN/>
        <w:bidi w:val="0"/>
        <w:adjustRightInd/>
        <w:spacing w:line="560" w:lineRule="exact"/>
        <w:ind w:firstLine="964" w:firstLineChars="300"/>
        <w:jc w:val="both"/>
        <w:textAlignment w:val="auto"/>
        <w:outlineLvl w:val="0"/>
        <w:rPr>
          <w:rFonts w:hint="eastAsia" w:ascii="仿宋" w:hAnsi="仿宋" w:eastAsia="仿宋" w:cs="仿宋"/>
          <w:b/>
          <w:bCs/>
          <w:color w:val="auto"/>
          <w:kern w:val="2"/>
          <w:sz w:val="32"/>
          <w:szCs w:val="22"/>
          <w:highlight w:val="none"/>
          <w:lang w:val="en-US" w:eastAsia="zh-CN" w:bidi="ar-SA"/>
        </w:rPr>
      </w:pPr>
      <w:r>
        <w:rPr>
          <w:rFonts w:hint="eastAsia" w:ascii="仿宋" w:hAnsi="仿宋" w:eastAsia="仿宋" w:cs="仿宋"/>
          <w:b/>
          <w:bCs/>
          <w:color w:val="auto"/>
          <w:kern w:val="2"/>
          <w:sz w:val="32"/>
          <w:szCs w:val="22"/>
          <w:highlight w:val="none"/>
          <w:lang w:val="en-US" w:eastAsia="zh-CN" w:bidi="ar-SA"/>
        </w:rPr>
        <w:t>采购代理机构：重庆青桔工程项目管理有限公司</w:t>
      </w:r>
    </w:p>
    <w:p w14:paraId="51D50A4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r>
        <w:rPr>
          <w:rFonts w:hint="eastAsia" w:ascii="仿宋" w:hAnsi="仿宋" w:eastAsia="仿宋" w:cs="仿宋"/>
          <w:b/>
          <w:bCs/>
          <w:color w:val="auto"/>
          <w:kern w:val="2"/>
          <w:sz w:val="32"/>
          <w:szCs w:val="22"/>
          <w:highlight w:val="none"/>
          <w:lang w:val="en-US" w:eastAsia="zh-CN" w:bidi="ar-SA"/>
        </w:rPr>
        <w:t>二〇二五年三月</w:t>
      </w:r>
    </w:p>
    <w:p w14:paraId="384C622B">
      <w:pPr>
        <w:snapToGrid w:val="0"/>
        <w:spacing w:line="500" w:lineRule="exact"/>
        <w:jc w:val="both"/>
        <w:rPr>
          <w:rFonts w:hint="eastAsia" w:ascii="仿宋" w:hAnsi="仿宋" w:eastAsia="仿宋" w:cs="仿宋"/>
          <w:color w:val="auto"/>
          <w:sz w:val="44"/>
          <w:highlight w:val="none"/>
        </w:rPr>
      </w:pPr>
    </w:p>
    <w:p w14:paraId="670D84C1">
      <w:pPr>
        <w:snapToGrid w:val="0"/>
        <w:spacing w:line="500" w:lineRule="exact"/>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目  录</w:t>
      </w:r>
    </w:p>
    <w:p w14:paraId="01E12074">
      <w:pPr>
        <w:pStyle w:val="17"/>
        <w:tabs>
          <w:tab w:val="right" w:leader="dot" w:pos="9412"/>
          <w:tab w:val="clear" w:pos="1260"/>
          <w:tab w:val="clear" w:pos="1685"/>
          <w:tab w:val="clear" w:pos="8400"/>
        </w:tabs>
        <w:ind w:firstLine="240"/>
        <w:rPr>
          <w:rFonts w:hint="eastAsia" w:ascii="仿宋" w:hAnsi="仿宋" w:eastAsia="仿宋" w:cs="仿宋"/>
          <w:color w:val="auto"/>
          <w:sz w:val="24"/>
          <w:szCs w:val="24"/>
          <w:highlight w:val="none"/>
        </w:rPr>
      </w:pPr>
    </w:p>
    <w:p w14:paraId="255972A2">
      <w:pPr>
        <w:pStyle w:val="17"/>
        <w:tabs>
          <w:tab w:val="right" w:leader="dot" w:pos="9639"/>
          <w:tab w:val="clear" w:pos="1260"/>
          <w:tab w:val="clear" w:pos="1685"/>
          <w:tab w:val="clear" w:pos="8400"/>
        </w:tabs>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"1-2"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_Toc17659 </w:instrText>
      </w:r>
      <w:r>
        <w:rPr>
          <w:rFonts w:hint="eastAsia" w:ascii="仿宋" w:hAnsi="仿宋" w:eastAsia="仿宋" w:cs="仿宋"/>
          <w:szCs w:val="24"/>
          <w:highlight w:val="none"/>
        </w:rPr>
        <w:fldChar w:fldCharType="separate"/>
      </w:r>
      <w:r>
        <w:rPr>
          <w:rFonts w:hint="eastAsia" w:ascii="仿宋" w:hAnsi="仿宋" w:eastAsia="仿宋" w:cs="仿宋"/>
          <w:bCs/>
          <w:szCs w:val="52"/>
          <w:highlight w:val="none"/>
        </w:rPr>
        <w:t xml:space="preserve">第一篇  </w:t>
      </w:r>
      <w:r>
        <w:rPr>
          <w:rFonts w:hint="eastAsia" w:ascii="仿宋" w:hAnsi="仿宋" w:eastAsia="仿宋" w:cs="仿宋"/>
          <w:bCs/>
          <w:szCs w:val="52"/>
          <w:highlight w:val="none"/>
          <w:lang w:eastAsia="zh-CN"/>
        </w:rPr>
        <w:t>比选</w:t>
      </w:r>
      <w:r>
        <w:rPr>
          <w:rFonts w:hint="eastAsia" w:ascii="仿宋" w:hAnsi="仿宋" w:eastAsia="仿宋" w:cs="仿宋"/>
          <w:bCs/>
          <w:szCs w:val="52"/>
          <w:highlight w:val="none"/>
        </w:rPr>
        <w:t>邀请书</w:t>
      </w:r>
      <w:r>
        <w:tab/>
      </w:r>
      <w:r>
        <w:fldChar w:fldCharType="begin"/>
      </w:r>
      <w:r>
        <w:instrText xml:space="preserve"> PAGEREF _Toc17659 \h </w:instrText>
      </w:r>
      <w:r>
        <w:fldChar w:fldCharType="separate"/>
      </w:r>
      <w:r>
        <w:t>- 4 -</w:t>
      </w:r>
      <w:r>
        <w:fldChar w:fldCharType="end"/>
      </w:r>
      <w:r>
        <w:rPr>
          <w:rFonts w:hint="eastAsia" w:ascii="仿宋" w:hAnsi="仿宋" w:eastAsia="仿宋" w:cs="仿宋"/>
          <w:color w:val="auto"/>
          <w:szCs w:val="24"/>
          <w:highlight w:val="none"/>
        </w:rPr>
        <w:fldChar w:fldCharType="end"/>
      </w:r>
    </w:p>
    <w:p w14:paraId="715F01D9">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_Toc16128 </w:instrText>
      </w:r>
      <w:r>
        <w:rPr>
          <w:rFonts w:hint="eastAsia" w:ascii="仿宋" w:hAnsi="仿宋" w:eastAsia="仿宋" w:cs="仿宋"/>
          <w:szCs w:val="24"/>
          <w:highlight w:val="none"/>
        </w:rPr>
        <w:fldChar w:fldCharType="separate"/>
      </w:r>
      <w:r>
        <w:rPr>
          <w:rFonts w:hint="eastAsia" w:ascii="仿宋" w:hAnsi="仿宋" w:eastAsia="仿宋" w:cs="仿宋"/>
          <w:szCs w:val="24"/>
        </w:rPr>
        <w:t xml:space="preserve">一、 </w:t>
      </w:r>
      <w:r>
        <w:rPr>
          <w:rFonts w:hint="eastAsia" w:ascii="仿宋" w:hAnsi="仿宋" w:eastAsia="仿宋" w:cs="仿宋"/>
          <w:szCs w:val="24"/>
          <w:highlight w:val="none"/>
        </w:rPr>
        <w:t>比选内容</w:t>
      </w:r>
      <w:r>
        <w:tab/>
      </w:r>
      <w:r>
        <w:fldChar w:fldCharType="begin"/>
      </w:r>
      <w:r>
        <w:instrText xml:space="preserve"> PAGEREF _Toc16128 \h </w:instrText>
      </w:r>
      <w:r>
        <w:fldChar w:fldCharType="separate"/>
      </w:r>
      <w:r>
        <w:t>- 4 -</w:t>
      </w:r>
      <w:r>
        <w:fldChar w:fldCharType="end"/>
      </w:r>
      <w:r>
        <w:rPr>
          <w:rFonts w:hint="eastAsia" w:ascii="仿宋" w:hAnsi="仿宋" w:eastAsia="仿宋" w:cs="仿宋"/>
          <w:color w:val="auto"/>
          <w:szCs w:val="24"/>
          <w:highlight w:val="none"/>
        </w:rPr>
        <w:fldChar w:fldCharType="end"/>
      </w:r>
    </w:p>
    <w:p w14:paraId="7BC09266">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_Toc32554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二、资金来源</w:t>
      </w:r>
      <w:r>
        <w:tab/>
      </w:r>
      <w:r>
        <w:fldChar w:fldCharType="begin"/>
      </w:r>
      <w:r>
        <w:instrText xml:space="preserve"> PAGEREF _Toc32554 \h </w:instrText>
      </w:r>
      <w:r>
        <w:fldChar w:fldCharType="separate"/>
      </w:r>
      <w:r>
        <w:t>- 4 -</w:t>
      </w:r>
      <w:r>
        <w:fldChar w:fldCharType="end"/>
      </w:r>
      <w:r>
        <w:rPr>
          <w:rFonts w:hint="eastAsia" w:ascii="仿宋" w:hAnsi="仿宋" w:eastAsia="仿宋" w:cs="仿宋"/>
          <w:color w:val="auto"/>
          <w:szCs w:val="24"/>
          <w:highlight w:val="none"/>
        </w:rPr>
        <w:fldChar w:fldCharType="end"/>
      </w:r>
    </w:p>
    <w:p w14:paraId="4F528460">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_Toc5603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三、</w:t>
      </w:r>
      <w:r>
        <w:rPr>
          <w:rFonts w:hint="eastAsia" w:ascii="仿宋" w:hAnsi="仿宋" w:eastAsia="仿宋" w:cs="仿宋"/>
          <w:szCs w:val="24"/>
          <w:highlight w:val="none"/>
          <w:lang w:eastAsia="zh-CN"/>
        </w:rPr>
        <w:t>投标人</w:t>
      </w:r>
      <w:r>
        <w:rPr>
          <w:rFonts w:hint="eastAsia" w:ascii="仿宋" w:hAnsi="仿宋" w:eastAsia="仿宋" w:cs="仿宋"/>
          <w:szCs w:val="24"/>
          <w:highlight w:val="none"/>
        </w:rPr>
        <w:t>资格条件</w:t>
      </w:r>
      <w:r>
        <w:tab/>
      </w:r>
      <w:r>
        <w:fldChar w:fldCharType="begin"/>
      </w:r>
      <w:r>
        <w:instrText xml:space="preserve"> PAGEREF _Toc5603 \h </w:instrText>
      </w:r>
      <w:r>
        <w:fldChar w:fldCharType="separate"/>
      </w:r>
      <w:r>
        <w:t>- 4 -</w:t>
      </w:r>
      <w:r>
        <w:fldChar w:fldCharType="end"/>
      </w:r>
      <w:r>
        <w:rPr>
          <w:rFonts w:hint="eastAsia" w:ascii="仿宋" w:hAnsi="仿宋" w:eastAsia="仿宋" w:cs="仿宋"/>
          <w:color w:val="auto"/>
          <w:szCs w:val="24"/>
          <w:highlight w:val="none"/>
        </w:rPr>
        <w:fldChar w:fldCharType="end"/>
      </w:r>
    </w:p>
    <w:p w14:paraId="2500AF6D">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_Toc17641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四、比选有关说明</w:t>
      </w:r>
      <w:r>
        <w:tab/>
      </w:r>
      <w:r>
        <w:fldChar w:fldCharType="begin"/>
      </w:r>
      <w:r>
        <w:instrText xml:space="preserve"> PAGEREF _Toc17641 \h </w:instrText>
      </w:r>
      <w:r>
        <w:fldChar w:fldCharType="separate"/>
      </w:r>
      <w:r>
        <w:t>- 4 -</w:t>
      </w:r>
      <w:r>
        <w:fldChar w:fldCharType="end"/>
      </w:r>
      <w:r>
        <w:rPr>
          <w:rFonts w:hint="eastAsia" w:ascii="仿宋" w:hAnsi="仿宋" w:eastAsia="仿宋" w:cs="仿宋"/>
          <w:color w:val="auto"/>
          <w:szCs w:val="24"/>
          <w:highlight w:val="none"/>
        </w:rPr>
        <w:fldChar w:fldCharType="end"/>
      </w:r>
    </w:p>
    <w:p w14:paraId="4C722D5E">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_Toc434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五、比选保证金</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无</w:t>
      </w:r>
      <w:r>
        <w:tab/>
      </w:r>
      <w:r>
        <w:fldChar w:fldCharType="begin"/>
      </w:r>
      <w:r>
        <w:instrText xml:space="preserve"> PAGEREF _Toc434 \h </w:instrText>
      </w:r>
      <w:r>
        <w:fldChar w:fldCharType="separate"/>
      </w:r>
      <w:r>
        <w:t>- 5 -</w:t>
      </w:r>
      <w:r>
        <w:fldChar w:fldCharType="end"/>
      </w:r>
      <w:r>
        <w:rPr>
          <w:rFonts w:hint="eastAsia" w:ascii="仿宋" w:hAnsi="仿宋" w:eastAsia="仿宋" w:cs="仿宋"/>
          <w:color w:val="auto"/>
          <w:szCs w:val="24"/>
          <w:highlight w:val="none"/>
        </w:rPr>
        <w:fldChar w:fldCharType="end"/>
      </w:r>
    </w:p>
    <w:p w14:paraId="1E91D991">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_Toc17273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六、其它有关规定</w:t>
      </w:r>
      <w:r>
        <w:tab/>
      </w:r>
      <w:r>
        <w:fldChar w:fldCharType="begin"/>
      </w:r>
      <w:r>
        <w:instrText xml:space="preserve"> PAGEREF _Toc17273 \h </w:instrText>
      </w:r>
      <w:r>
        <w:fldChar w:fldCharType="separate"/>
      </w:r>
      <w:r>
        <w:t>- 5 -</w:t>
      </w:r>
      <w:r>
        <w:fldChar w:fldCharType="end"/>
      </w:r>
      <w:r>
        <w:rPr>
          <w:rFonts w:hint="eastAsia" w:ascii="仿宋" w:hAnsi="仿宋" w:eastAsia="仿宋" w:cs="仿宋"/>
          <w:color w:val="auto"/>
          <w:szCs w:val="24"/>
          <w:highlight w:val="none"/>
        </w:rPr>
        <w:fldChar w:fldCharType="end"/>
      </w:r>
    </w:p>
    <w:p w14:paraId="404F6902">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_Toc21675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七、联系方式</w:t>
      </w:r>
      <w:r>
        <w:tab/>
      </w:r>
      <w:r>
        <w:fldChar w:fldCharType="begin"/>
      </w:r>
      <w:r>
        <w:instrText xml:space="preserve"> PAGEREF _Toc21675 \h </w:instrText>
      </w:r>
      <w:r>
        <w:fldChar w:fldCharType="separate"/>
      </w:r>
      <w:r>
        <w:t>- 6 -</w:t>
      </w:r>
      <w:r>
        <w:fldChar w:fldCharType="end"/>
      </w:r>
      <w:r>
        <w:rPr>
          <w:rFonts w:hint="eastAsia" w:ascii="仿宋" w:hAnsi="仿宋" w:eastAsia="仿宋" w:cs="仿宋"/>
          <w:color w:val="auto"/>
          <w:szCs w:val="24"/>
          <w:highlight w:val="none"/>
        </w:rPr>
        <w:fldChar w:fldCharType="end"/>
      </w:r>
    </w:p>
    <w:p w14:paraId="61ACAF85">
      <w:pPr>
        <w:pStyle w:val="17"/>
        <w:tabs>
          <w:tab w:val="right" w:leader="dot" w:pos="9639"/>
          <w:tab w:val="clear" w:pos="1260"/>
          <w:tab w:val="clear" w:pos="1685"/>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_Toc8368 </w:instrText>
      </w:r>
      <w:r>
        <w:rPr>
          <w:rFonts w:hint="eastAsia" w:ascii="仿宋" w:hAnsi="仿宋" w:eastAsia="仿宋" w:cs="仿宋"/>
          <w:szCs w:val="24"/>
          <w:highlight w:val="none"/>
        </w:rPr>
        <w:fldChar w:fldCharType="separate"/>
      </w:r>
      <w:r>
        <w:rPr>
          <w:rFonts w:hint="eastAsia" w:ascii="仿宋" w:hAnsi="仿宋" w:eastAsia="仿宋" w:cs="仿宋"/>
          <w:highlight w:val="none"/>
        </w:rPr>
        <w:t>第二篇 项目服务需求</w:t>
      </w:r>
      <w:r>
        <w:tab/>
      </w:r>
      <w:r>
        <w:fldChar w:fldCharType="begin"/>
      </w:r>
      <w:r>
        <w:instrText xml:space="preserve"> PAGEREF _Toc8368 \h </w:instrText>
      </w:r>
      <w:r>
        <w:fldChar w:fldCharType="separate"/>
      </w:r>
      <w:r>
        <w:t>- 7 -</w:t>
      </w:r>
      <w:r>
        <w:fldChar w:fldCharType="end"/>
      </w:r>
      <w:r>
        <w:rPr>
          <w:rFonts w:hint="eastAsia" w:ascii="仿宋" w:hAnsi="仿宋" w:eastAsia="仿宋" w:cs="仿宋"/>
          <w:color w:val="auto"/>
          <w:szCs w:val="24"/>
          <w:highlight w:val="none"/>
        </w:rPr>
        <w:fldChar w:fldCharType="end"/>
      </w:r>
    </w:p>
    <w:p w14:paraId="077DD844">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_Toc29761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rPr>
        <w:t>一、项目一览表</w:t>
      </w:r>
      <w:r>
        <w:tab/>
      </w:r>
      <w:r>
        <w:fldChar w:fldCharType="begin"/>
      </w:r>
      <w:r>
        <w:instrText xml:space="preserve"> PAGEREF _Toc29761 \h </w:instrText>
      </w:r>
      <w:r>
        <w:fldChar w:fldCharType="separate"/>
      </w:r>
      <w:r>
        <w:t>- 7 -</w:t>
      </w:r>
      <w:r>
        <w:fldChar w:fldCharType="end"/>
      </w:r>
      <w:r>
        <w:rPr>
          <w:rFonts w:hint="eastAsia" w:ascii="仿宋" w:hAnsi="仿宋" w:eastAsia="仿宋" w:cs="仿宋"/>
          <w:color w:val="auto"/>
          <w:szCs w:val="24"/>
          <w:highlight w:val="none"/>
        </w:rPr>
        <w:fldChar w:fldCharType="end"/>
      </w:r>
    </w:p>
    <w:p w14:paraId="4B458C5D">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_Toc28511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rPr>
        <w:t>二、</w:t>
      </w:r>
      <w:r>
        <w:rPr>
          <w:rFonts w:hint="eastAsia" w:ascii="仿宋" w:hAnsi="仿宋" w:eastAsia="仿宋" w:cs="仿宋"/>
          <w:bCs/>
          <w:szCs w:val="24"/>
          <w:highlight w:val="none"/>
          <w:lang w:val="en-US" w:eastAsia="zh-CN"/>
        </w:rPr>
        <w:t>项目</w:t>
      </w:r>
      <w:r>
        <w:rPr>
          <w:rFonts w:hint="eastAsia" w:ascii="仿宋" w:hAnsi="仿宋" w:eastAsia="仿宋" w:cs="仿宋"/>
          <w:bCs/>
          <w:szCs w:val="24"/>
          <w:highlight w:val="none"/>
        </w:rPr>
        <w:t>服务</w:t>
      </w:r>
      <w:r>
        <w:rPr>
          <w:rFonts w:hint="eastAsia" w:ascii="仿宋" w:hAnsi="仿宋" w:eastAsia="仿宋" w:cs="仿宋"/>
          <w:bCs/>
          <w:szCs w:val="24"/>
          <w:highlight w:val="none"/>
          <w:lang w:val="en-US" w:eastAsia="zh-CN"/>
        </w:rPr>
        <w:t>及质量要求</w:t>
      </w:r>
      <w:r>
        <w:tab/>
      </w:r>
      <w:r>
        <w:fldChar w:fldCharType="begin"/>
      </w:r>
      <w:r>
        <w:instrText xml:space="preserve"> PAGEREF _Toc28511 \h </w:instrText>
      </w:r>
      <w:r>
        <w:fldChar w:fldCharType="separate"/>
      </w:r>
      <w:r>
        <w:t>- 7 -</w:t>
      </w:r>
      <w:r>
        <w:fldChar w:fldCharType="end"/>
      </w:r>
      <w:r>
        <w:rPr>
          <w:rFonts w:hint="eastAsia" w:ascii="仿宋" w:hAnsi="仿宋" w:eastAsia="仿宋" w:cs="仿宋"/>
          <w:color w:val="auto"/>
          <w:szCs w:val="24"/>
          <w:highlight w:val="none"/>
        </w:rPr>
        <w:fldChar w:fldCharType="end"/>
      </w:r>
    </w:p>
    <w:p w14:paraId="6A3FDFD1">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_Toc1665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lang w:val="en-US" w:eastAsia="zh-CN"/>
        </w:rPr>
        <w:t>三、采购计划及订单的确定</w:t>
      </w:r>
      <w:r>
        <w:tab/>
      </w:r>
      <w:r>
        <w:fldChar w:fldCharType="begin"/>
      </w:r>
      <w:r>
        <w:instrText xml:space="preserve"> PAGEREF _Toc1665 \h </w:instrText>
      </w:r>
      <w:r>
        <w:fldChar w:fldCharType="separate"/>
      </w:r>
      <w:r>
        <w:t>- 7 -</w:t>
      </w:r>
      <w:r>
        <w:fldChar w:fldCharType="end"/>
      </w:r>
      <w:r>
        <w:rPr>
          <w:rFonts w:hint="eastAsia" w:ascii="仿宋" w:hAnsi="仿宋" w:eastAsia="仿宋" w:cs="仿宋"/>
          <w:color w:val="auto"/>
          <w:szCs w:val="24"/>
          <w:highlight w:val="none"/>
        </w:rPr>
        <w:fldChar w:fldCharType="end"/>
      </w:r>
    </w:p>
    <w:p w14:paraId="6142A99F">
      <w:pPr>
        <w:pStyle w:val="17"/>
        <w:tabs>
          <w:tab w:val="right" w:leader="dot" w:pos="9639"/>
          <w:tab w:val="clear" w:pos="1260"/>
          <w:tab w:val="clear" w:pos="1685"/>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_Toc10713 </w:instrText>
      </w:r>
      <w:r>
        <w:rPr>
          <w:rFonts w:hint="eastAsia" w:ascii="仿宋" w:hAnsi="仿宋" w:eastAsia="仿宋" w:cs="仿宋"/>
          <w:szCs w:val="24"/>
          <w:highlight w:val="none"/>
        </w:rPr>
        <w:fldChar w:fldCharType="separate"/>
      </w:r>
      <w:r>
        <w:rPr>
          <w:rFonts w:hint="eastAsia" w:ascii="仿宋" w:hAnsi="仿宋" w:eastAsia="仿宋" w:cs="仿宋"/>
          <w:highlight w:val="none"/>
        </w:rPr>
        <w:t>第三篇 项目商务需求</w:t>
      </w:r>
      <w:r>
        <w:tab/>
      </w:r>
      <w:r>
        <w:fldChar w:fldCharType="begin"/>
      </w:r>
      <w:r>
        <w:instrText xml:space="preserve"> PAGEREF _Toc10713 \h </w:instrText>
      </w:r>
      <w:r>
        <w:fldChar w:fldCharType="separate"/>
      </w:r>
      <w:r>
        <w:t>- 8 -</w:t>
      </w:r>
      <w:r>
        <w:fldChar w:fldCharType="end"/>
      </w:r>
      <w:r>
        <w:rPr>
          <w:rFonts w:hint="eastAsia" w:ascii="仿宋" w:hAnsi="仿宋" w:eastAsia="仿宋" w:cs="仿宋"/>
          <w:color w:val="auto"/>
          <w:szCs w:val="24"/>
          <w:highlight w:val="none"/>
        </w:rPr>
        <w:fldChar w:fldCharType="end"/>
      </w:r>
    </w:p>
    <w:p w14:paraId="2172D3B8">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_Toc16131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一、服务时间、地点及验收方式</w:t>
      </w:r>
      <w:r>
        <w:tab/>
      </w:r>
      <w:r>
        <w:fldChar w:fldCharType="begin"/>
      </w:r>
      <w:r>
        <w:instrText xml:space="preserve"> PAGEREF _Toc16131 \h </w:instrText>
      </w:r>
      <w:r>
        <w:fldChar w:fldCharType="separate"/>
      </w:r>
      <w:r>
        <w:t>- 8 -</w:t>
      </w:r>
      <w:r>
        <w:fldChar w:fldCharType="end"/>
      </w:r>
      <w:r>
        <w:rPr>
          <w:rFonts w:hint="eastAsia" w:ascii="仿宋" w:hAnsi="仿宋" w:eastAsia="仿宋" w:cs="仿宋"/>
          <w:color w:val="auto"/>
          <w:szCs w:val="24"/>
          <w:highlight w:val="none"/>
        </w:rPr>
        <w:fldChar w:fldCharType="end"/>
      </w:r>
    </w:p>
    <w:p w14:paraId="2EE14F68">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_Toc21598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二、</w:t>
      </w:r>
      <w:r>
        <w:rPr>
          <w:rFonts w:hint="eastAsia" w:ascii="仿宋" w:hAnsi="仿宋" w:eastAsia="仿宋" w:cs="仿宋"/>
          <w:szCs w:val="24"/>
          <w:highlight w:val="none"/>
          <w:lang w:val="en-US" w:eastAsia="zh-CN"/>
        </w:rPr>
        <w:t>报价要求</w:t>
      </w:r>
      <w:r>
        <w:tab/>
      </w:r>
      <w:r>
        <w:fldChar w:fldCharType="begin"/>
      </w:r>
      <w:r>
        <w:instrText xml:space="preserve"> PAGEREF _Toc21598 \h </w:instrText>
      </w:r>
      <w:r>
        <w:fldChar w:fldCharType="separate"/>
      </w:r>
      <w:r>
        <w:t>- 8 -</w:t>
      </w:r>
      <w:r>
        <w:fldChar w:fldCharType="end"/>
      </w:r>
      <w:r>
        <w:rPr>
          <w:rFonts w:hint="eastAsia" w:ascii="仿宋" w:hAnsi="仿宋" w:eastAsia="仿宋" w:cs="仿宋"/>
          <w:color w:val="auto"/>
          <w:szCs w:val="24"/>
          <w:highlight w:val="none"/>
        </w:rPr>
        <w:fldChar w:fldCharType="end"/>
      </w:r>
    </w:p>
    <w:p w14:paraId="22B0F205">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_Toc398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lang w:val="en-US" w:eastAsia="zh-CN"/>
        </w:rPr>
        <w:t>三</w:t>
      </w:r>
      <w:r>
        <w:rPr>
          <w:rFonts w:hint="eastAsia" w:ascii="仿宋" w:hAnsi="仿宋" w:eastAsia="仿宋" w:cs="仿宋"/>
          <w:bCs/>
          <w:szCs w:val="24"/>
          <w:highlight w:val="none"/>
        </w:rPr>
        <w:t>、</w:t>
      </w:r>
      <w:r>
        <w:rPr>
          <w:rFonts w:hint="eastAsia" w:ascii="仿宋" w:hAnsi="仿宋" w:eastAsia="仿宋" w:cs="仿宋"/>
          <w:bCs/>
          <w:szCs w:val="24"/>
          <w:highlight w:val="none"/>
          <w:lang w:val="en-US" w:eastAsia="zh-CN"/>
        </w:rPr>
        <w:t>供货要求</w:t>
      </w:r>
      <w:r>
        <w:tab/>
      </w:r>
      <w:r>
        <w:fldChar w:fldCharType="begin"/>
      </w:r>
      <w:r>
        <w:instrText xml:space="preserve"> PAGEREF _Toc398 \h </w:instrText>
      </w:r>
      <w:r>
        <w:fldChar w:fldCharType="separate"/>
      </w:r>
      <w:r>
        <w:t>- 8 -</w:t>
      </w:r>
      <w:r>
        <w:fldChar w:fldCharType="end"/>
      </w:r>
      <w:r>
        <w:rPr>
          <w:rFonts w:hint="eastAsia" w:ascii="仿宋" w:hAnsi="仿宋" w:eastAsia="仿宋" w:cs="仿宋"/>
          <w:color w:val="auto"/>
          <w:szCs w:val="24"/>
          <w:highlight w:val="none"/>
        </w:rPr>
        <w:fldChar w:fldCharType="end"/>
      </w:r>
    </w:p>
    <w:p w14:paraId="14713D7B">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_Toc27212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lang w:val="en-US" w:eastAsia="zh-CN"/>
        </w:rPr>
        <w:t>四</w:t>
      </w:r>
      <w:r>
        <w:rPr>
          <w:rFonts w:hint="eastAsia" w:ascii="仿宋" w:hAnsi="仿宋" w:eastAsia="仿宋" w:cs="仿宋"/>
          <w:bCs/>
          <w:szCs w:val="24"/>
          <w:highlight w:val="none"/>
        </w:rPr>
        <w:t>、</w:t>
      </w:r>
      <w:r>
        <w:rPr>
          <w:rFonts w:hint="eastAsia" w:ascii="仿宋" w:hAnsi="仿宋" w:eastAsia="仿宋" w:cs="仿宋"/>
          <w:bCs/>
          <w:szCs w:val="24"/>
          <w:highlight w:val="none"/>
          <w:lang w:val="en-US" w:eastAsia="zh-CN"/>
        </w:rPr>
        <w:t>质量保证及售后服务</w:t>
      </w:r>
      <w:r>
        <w:tab/>
      </w:r>
      <w:r>
        <w:fldChar w:fldCharType="begin"/>
      </w:r>
      <w:r>
        <w:instrText xml:space="preserve"> PAGEREF _Toc27212 \h </w:instrText>
      </w:r>
      <w:r>
        <w:fldChar w:fldCharType="separate"/>
      </w:r>
      <w:r>
        <w:t>- 10 -</w:t>
      </w:r>
      <w:r>
        <w:fldChar w:fldCharType="end"/>
      </w:r>
      <w:r>
        <w:rPr>
          <w:rFonts w:hint="eastAsia" w:ascii="仿宋" w:hAnsi="仿宋" w:eastAsia="仿宋" w:cs="仿宋"/>
          <w:color w:val="auto"/>
          <w:szCs w:val="24"/>
          <w:highlight w:val="none"/>
        </w:rPr>
        <w:fldChar w:fldCharType="end"/>
      </w:r>
    </w:p>
    <w:p w14:paraId="5E30125D">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_Toc6611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lang w:val="en-US" w:eastAsia="zh-CN"/>
        </w:rPr>
        <w:t>五</w:t>
      </w:r>
      <w:r>
        <w:rPr>
          <w:rFonts w:hint="eastAsia" w:ascii="仿宋" w:hAnsi="仿宋" w:eastAsia="仿宋" w:cs="仿宋"/>
          <w:bCs/>
          <w:szCs w:val="24"/>
          <w:highlight w:val="none"/>
        </w:rPr>
        <w:t>、</w:t>
      </w:r>
      <w:r>
        <w:rPr>
          <w:rFonts w:hint="eastAsia" w:ascii="仿宋" w:hAnsi="仿宋" w:eastAsia="仿宋" w:cs="仿宋"/>
          <w:bCs/>
          <w:szCs w:val="24"/>
          <w:highlight w:val="none"/>
          <w:lang w:val="en-US" w:eastAsia="zh-CN"/>
        </w:rPr>
        <w:t>询定价及结算</w:t>
      </w:r>
      <w:r>
        <w:tab/>
      </w:r>
      <w:r>
        <w:fldChar w:fldCharType="begin"/>
      </w:r>
      <w:r>
        <w:instrText xml:space="preserve"> PAGEREF _Toc6611 \h </w:instrText>
      </w:r>
      <w:r>
        <w:fldChar w:fldCharType="separate"/>
      </w:r>
      <w:r>
        <w:t>- 10 -</w:t>
      </w:r>
      <w:r>
        <w:fldChar w:fldCharType="end"/>
      </w:r>
      <w:r>
        <w:rPr>
          <w:rFonts w:hint="eastAsia" w:ascii="仿宋" w:hAnsi="仿宋" w:eastAsia="仿宋" w:cs="仿宋"/>
          <w:color w:val="auto"/>
          <w:szCs w:val="24"/>
          <w:highlight w:val="none"/>
        </w:rPr>
        <w:fldChar w:fldCharType="end"/>
      </w:r>
    </w:p>
    <w:p w14:paraId="1DFA943A">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_Toc24037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付款方式</w:t>
      </w:r>
      <w:r>
        <w:tab/>
      </w:r>
      <w:r>
        <w:fldChar w:fldCharType="begin"/>
      </w:r>
      <w:r>
        <w:instrText xml:space="preserve"> PAGEREF _Toc24037 \h </w:instrText>
      </w:r>
      <w:r>
        <w:fldChar w:fldCharType="separate"/>
      </w:r>
      <w:r>
        <w:t>- 11 -</w:t>
      </w:r>
      <w:r>
        <w:fldChar w:fldCharType="end"/>
      </w:r>
      <w:r>
        <w:rPr>
          <w:rFonts w:hint="eastAsia" w:ascii="仿宋" w:hAnsi="仿宋" w:eastAsia="仿宋" w:cs="仿宋"/>
          <w:color w:val="auto"/>
          <w:szCs w:val="24"/>
          <w:highlight w:val="none"/>
        </w:rPr>
        <w:fldChar w:fldCharType="end"/>
      </w:r>
    </w:p>
    <w:p w14:paraId="33EF8F5F">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_Toc10734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lang w:val="en-US" w:eastAsia="zh-CN"/>
        </w:rPr>
        <w:t>七、其他商务要求内容</w:t>
      </w:r>
      <w:r>
        <w:tab/>
      </w:r>
      <w:r>
        <w:fldChar w:fldCharType="begin"/>
      </w:r>
      <w:r>
        <w:instrText xml:space="preserve"> PAGEREF _Toc10734 \h </w:instrText>
      </w:r>
      <w:r>
        <w:fldChar w:fldCharType="separate"/>
      </w:r>
      <w:r>
        <w:t>- 11 -</w:t>
      </w:r>
      <w:r>
        <w:fldChar w:fldCharType="end"/>
      </w:r>
      <w:r>
        <w:rPr>
          <w:rFonts w:hint="eastAsia" w:ascii="仿宋" w:hAnsi="仿宋" w:eastAsia="仿宋" w:cs="仿宋"/>
          <w:color w:val="auto"/>
          <w:szCs w:val="24"/>
          <w:highlight w:val="none"/>
        </w:rPr>
        <w:fldChar w:fldCharType="end"/>
      </w:r>
    </w:p>
    <w:p w14:paraId="10848909">
      <w:pPr>
        <w:pStyle w:val="17"/>
        <w:tabs>
          <w:tab w:val="right" w:leader="dot" w:pos="9639"/>
          <w:tab w:val="clear" w:pos="1260"/>
          <w:tab w:val="clear" w:pos="1685"/>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_Toc3211 </w:instrText>
      </w:r>
      <w:r>
        <w:rPr>
          <w:rFonts w:hint="eastAsia" w:ascii="仿宋" w:hAnsi="仿宋" w:eastAsia="仿宋" w:cs="仿宋"/>
          <w:szCs w:val="24"/>
          <w:highlight w:val="none"/>
        </w:rPr>
        <w:fldChar w:fldCharType="separate"/>
      </w:r>
      <w:r>
        <w:rPr>
          <w:rFonts w:hint="eastAsia" w:ascii="仿宋" w:hAnsi="仿宋" w:eastAsia="仿宋" w:cs="仿宋"/>
          <w:highlight w:val="none"/>
        </w:rPr>
        <w:t>第四篇  比选程序及方法、评审标准、无效响应和采购终止</w:t>
      </w:r>
      <w:r>
        <w:tab/>
      </w:r>
      <w:r>
        <w:fldChar w:fldCharType="begin"/>
      </w:r>
      <w:r>
        <w:instrText xml:space="preserve"> PAGEREF _Toc3211 \h </w:instrText>
      </w:r>
      <w:r>
        <w:fldChar w:fldCharType="separate"/>
      </w:r>
      <w:r>
        <w:t>- 12 -</w:t>
      </w:r>
      <w:r>
        <w:fldChar w:fldCharType="end"/>
      </w:r>
      <w:r>
        <w:rPr>
          <w:rFonts w:hint="eastAsia" w:ascii="仿宋" w:hAnsi="仿宋" w:eastAsia="仿宋" w:cs="仿宋"/>
          <w:color w:val="auto"/>
          <w:szCs w:val="24"/>
          <w:highlight w:val="none"/>
        </w:rPr>
        <w:fldChar w:fldCharType="end"/>
      </w:r>
    </w:p>
    <w:p w14:paraId="3FCCA699">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_Toc8761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一、资格审查</w:t>
      </w:r>
      <w:r>
        <w:tab/>
      </w:r>
      <w:r>
        <w:fldChar w:fldCharType="begin"/>
      </w:r>
      <w:r>
        <w:instrText xml:space="preserve"> PAGEREF _Toc8761 \h </w:instrText>
      </w:r>
      <w:r>
        <w:fldChar w:fldCharType="separate"/>
      </w:r>
      <w:r>
        <w:t>- 12 -</w:t>
      </w:r>
      <w:r>
        <w:fldChar w:fldCharType="end"/>
      </w:r>
      <w:r>
        <w:rPr>
          <w:rFonts w:hint="eastAsia" w:ascii="仿宋" w:hAnsi="仿宋" w:eastAsia="仿宋" w:cs="仿宋"/>
          <w:color w:val="auto"/>
          <w:szCs w:val="24"/>
          <w:highlight w:val="none"/>
        </w:rPr>
        <w:fldChar w:fldCharType="end"/>
      </w:r>
    </w:p>
    <w:p w14:paraId="18AB5657">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_Toc13197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二、评审方法</w:t>
      </w:r>
      <w:r>
        <w:tab/>
      </w:r>
      <w:r>
        <w:fldChar w:fldCharType="begin"/>
      </w:r>
      <w:r>
        <w:instrText xml:space="preserve"> PAGEREF _Toc13197 \h </w:instrText>
      </w:r>
      <w:r>
        <w:fldChar w:fldCharType="separate"/>
      </w:r>
      <w:r>
        <w:t>- 13 -</w:t>
      </w:r>
      <w:r>
        <w:fldChar w:fldCharType="end"/>
      </w:r>
      <w:r>
        <w:rPr>
          <w:rFonts w:hint="eastAsia" w:ascii="仿宋" w:hAnsi="仿宋" w:eastAsia="仿宋" w:cs="仿宋"/>
          <w:color w:val="auto"/>
          <w:szCs w:val="24"/>
          <w:highlight w:val="none"/>
        </w:rPr>
        <w:fldChar w:fldCharType="end"/>
      </w:r>
    </w:p>
    <w:p w14:paraId="6280CC02">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_Toc10151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三、评审标准</w:t>
      </w:r>
      <w:r>
        <w:tab/>
      </w:r>
      <w:r>
        <w:fldChar w:fldCharType="begin"/>
      </w:r>
      <w:r>
        <w:instrText xml:space="preserve"> PAGEREF _Toc10151 \h </w:instrText>
      </w:r>
      <w:r>
        <w:fldChar w:fldCharType="separate"/>
      </w:r>
      <w:r>
        <w:t>- 14 -</w:t>
      </w:r>
      <w:r>
        <w:fldChar w:fldCharType="end"/>
      </w:r>
      <w:r>
        <w:rPr>
          <w:rFonts w:hint="eastAsia" w:ascii="仿宋" w:hAnsi="仿宋" w:eastAsia="仿宋" w:cs="仿宋"/>
          <w:color w:val="auto"/>
          <w:szCs w:val="24"/>
          <w:highlight w:val="none"/>
        </w:rPr>
        <w:fldChar w:fldCharType="end"/>
      </w:r>
    </w:p>
    <w:p w14:paraId="443B22E5">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_Toc13703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四、无效响应</w:t>
      </w:r>
      <w:r>
        <w:tab/>
      </w:r>
      <w:r>
        <w:fldChar w:fldCharType="begin"/>
      </w:r>
      <w:r>
        <w:instrText xml:space="preserve"> PAGEREF _Toc13703 \h </w:instrText>
      </w:r>
      <w:r>
        <w:fldChar w:fldCharType="separate"/>
      </w:r>
      <w:r>
        <w:t>- 16 -</w:t>
      </w:r>
      <w:r>
        <w:fldChar w:fldCharType="end"/>
      </w:r>
      <w:r>
        <w:rPr>
          <w:rFonts w:hint="eastAsia" w:ascii="仿宋" w:hAnsi="仿宋" w:eastAsia="仿宋" w:cs="仿宋"/>
          <w:color w:val="auto"/>
          <w:szCs w:val="24"/>
          <w:highlight w:val="none"/>
        </w:rPr>
        <w:fldChar w:fldCharType="end"/>
      </w:r>
    </w:p>
    <w:p w14:paraId="2F2FE9E2">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_Toc26123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五、采购终止</w:t>
      </w:r>
      <w:r>
        <w:tab/>
      </w:r>
      <w:r>
        <w:fldChar w:fldCharType="begin"/>
      </w:r>
      <w:r>
        <w:instrText xml:space="preserve"> PAGEREF _Toc26123 \h </w:instrText>
      </w:r>
      <w:r>
        <w:fldChar w:fldCharType="separate"/>
      </w:r>
      <w:r>
        <w:t>- 16 -</w:t>
      </w:r>
      <w:r>
        <w:fldChar w:fldCharType="end"/>
      </w:r>
      <w:r>
        <w:rPr>
          <w:rFonts w:hint="eastAsia" w:ascii="仿宋" w:hAnsi="仿宋" w:eastAsia="仿宋" w:cs="仿宋"/>
          <w:color w:val="auto"/>
          <w:szCs w:val="24"/>
          <w:highlight w:val="none"/>
        </w:rPr>
        <w:fldChar w:fldCharType="end"/>
      </w:r>
    </w:p>
    <w:p w14:paraId="776D1EE6">
      <w:pPr>
        <w:pStyle w:val="17"/>
        <w:tabs>
          <w:tab w:val="right" w:leader="dot" w:pos="9639"/>
          <w:tab w:val="clear" w:pos="1260"/>
          <w:tab w:val="clear" w:pos="1685"/>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_Toc15362 </w:instrText>
      </w:r>
      <w:r>
        <w:rPr>
          <w:rFonts w:hint="eastAsia" w:ascii="仿宋" w:hAnsi="仿宋" w:eastAsia="仿宋" w:cs="仿宋"/>
          <w:szCs w:val="24"/>
          <w:highlight w:val="none"/>
        </w:rPr>
        <w:fldChar w:fldCharType="separate"/>
      </w:r>
      <w:r>
        <w:rPr>
          <w:rFonts w:hint="eastAsia" w:ascii="仿宋" w:hAnsi="仿宋" w:eastAsia="仿宋" w:cs="仿宋"/>
          <w:highlight w:val="none"/>
        </w:rPr>
        <w:t xml:space="preserve">第五篇  </w:t>
      </w:r>
      <w:r>
        <w:rPr>
          <w:rFonts w:hint="eastAsia" w:ascii="仿宋" w:hAnsi="仿宋" w:eastAsia="仿宋" w:cs="仿宋"/>
          <w:highlight w:val="none"/>
          <w:lang w:eastAsia="zh-CN"/>
        </w:rPr>
        <w:t>投标人</w:t>
      </w:r>
      <w:r>
        <w:rPr>
          <w:rFonts w:hint="eastAsia" w:ascii="仿宋" w:hAnsi="仿宋" w:eastAsia="仿宋" w:cs="仿宋"/>
          <w:highlight w:val="none"/>
        </w:rPr>
        <w:t>须知</w:t>
      </w:r>
      <w:r>
        <w:tab/>
      </w:r>
      <w:r>
        <w:fldChar w:fldCharType="begin"/>
      </w:r>
      <w:r>
        <w:instrText xml:space="preserve"> PAGEREF _Toc15362 \h </w:instrText>
      </w:r>
      <w:r>
        <w:fldChar w:fldCharType="separate"/>
      </w:r>
      <w:r>
        <w:t>- 17 -</w:t>
      </w:r>
      <w:r>
        <w:fldChar w:fldCharType="end"/>
      </w:r>
      <w:r>
        <w:rPr>
          <w:rFonts w:hint="eastAsia" w:ascii="仿宋" w:hAnsi="仿宋" w:eastAsia="仿宋" w:cs="仿宋"/>
          <w:color w:val="auto"/>
          <w:szCs w:val="24"/>
          <w:highlight w:val="none"/>
        </w:rPr>
        <w:fldChar w:fldCharType="end"/>
      </w:r>
    </w:p>
    <w:p w14:paraId="513A0A65">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_Toc25031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一、比选费用</w:t>
      </w:r>
      <w:r>
        <w:tab/>
      </w:r>
      <w:r>
        <w:fldChar w:fldCharType="begin"/>
      </w:r>
      <w:r>
        <w:instrText xml:space="preserve"> PAGEREF _Toc25031 \h </w:instrText>
      </w:r>
      <w:r>
        <w:fldChar w:fldCharType="separate"/>
      </w:r>
      <w:r>
        <w:t>- 17 -</w:t>
      </w:r>
      <w:r>
        <w:fldChar w:fldCharType="end"/>
      </w:r>
      <w:r>
        <w:rPr>
          <w:rFonts w:hint="eastAsia" w:ascii="仿宋" w:hAnsi="仿宋" w:eastAsia="仿宋" w:cs="仿宋"/>
          <w:color w:val="auto"/>
          <w:szCs w:val="24"/>
          <w:highlight w:val="none"/>
        </w:rPr>
        <w:fldChar w:fldCharType="end"/>
      </w:r>
    </w:p>
    <w:p w14:paraId="44842767">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_Toc7913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二、比选文件</w:t>
      </w:r>
      <w:r>
        <w:tab/>
      </w:r>
      <w:r>
        <w:fldChar w:fldCharType="begin"/>
      </w:r>
      <w:r>
        <w:instrText xml:space="preserve"> PAGEREF _Toc7913 \h </w:instrText>
      </w:r>
      <w:r>
        <w:fldChar w:fldCharType="separate"/>
      </w:r>
      <w:r>
        <w:t>- 17 -</w:t>
      </w:r>
      <w:r>
        <w:fldChar w:fldCharType="end"/>
      </w:r>
      <w:r>
        <w:rPr>
          <w:rFonts w:hint="eastAsia" w:ascii="仿宋" w:hAnsi="仿宋" w:eastAsia="仿宋" w:cs="仿宋"/>
          <w:color w:val="auto"/>
          <w:szCs w:val="24"/>
          <w:highlight w:val="none"/>
        </w:rPr>
        <w:fldChar w:fldCharType="end"/>
      </w:r>
    </w:p>
    <w:p w14:paraId="2A7CC18F">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_Toc11234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三、比选要求</w:t>
      </w:r>
      <w:r>
        <w:tab/>
      </w:r>
      <w:r>
        <w:fldChar w:fldCharType="begin"/>
      </w:r>
      <w:r>
        <w:instrText xml:space="preserve"> PAGEREF _Toc11234 \h </w:instrText>
      </w:r>
      <w:r>
        <w:fldChar w:fldCharType="separate"/>
      </w:r>
      <w:r>
        <w:t>- 17 -</w:t>
      </w:r>
      <w:r>
        <w:fldChar w:fldCharType="end"/>
      </w:r>
      <w:r>
        <w:rPr>
          <w:rFonts w:hint="eastAsia" w:ascii="仿宋" w:hAnsi="仿宋" w:eastAsia="仿宋" w:cs="仿宋"/>
          <w:color w:val="auto"/>
          <w:szCs w:val="24"/>
          <w:highlight w:val="none"/>
        </w:rPr>
        <w:fldChar w:fldCharType="end"/>
      </w:r>
    </w:p>
    <w:p w14:paraId="3DEA9873">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_Toc2249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四、</w:t>
      </w:r>
      <w:r>
        <w:rPr>
          <w:rFonts w:hint="eastAsia" w:ascii="仿宋" w:hAnsi="仿宋" w:eastAsia="仿宋" w:cs="仿宋"/>
          <w:szCs w:val="24"/>
          <w:highlight w:val="none"/>
          <w:lang w:eastAsia="zh-CN"/>
        </w:rPr>
        <w:t>中标人</w:t>
      </w:r>
      <w:r>
        <w:rPr>
          <w:rFonts w:hint="eastAsia" w:ascii="仿宋" w:hAnsi="仿宋" w:eastAsia="仿宋" w:cs="仿宋"/>
          <w:szCs w:val="24"/>
          <w:highlight w:val="none"/>
        </w:rPr>
        <w:t>的确认和变更</w:t>
      </w:r>
      <w:r>
        <w:tab/>
      </w:r>
      <w:r>
        <w:fldChar w:fldCharType="begin"/>
      </w:r>
      <w:r>
        <w:instrText xml:space="preserve"> PAGEREF _Toc2249 \h </w:instrText>
      </w:r>
      <w:r>
        <w:fldChar w:fldCharType="separate"/>
      </w:r>
      <w:r>
        <w:t>- 18 -</w:t>
      </w:r>
      <w:r>
        <w:fldChar w:fldCharType="end"/>
      </w:r>
      <w:r>
        <w:rPr>
          <w:rFonts w:hint="eastAsia" w:ascii="仿宋" w:hAnsi="仿宋" w:eastAsia="仿宋" w:cs="仿宋"/>
          <w:color w:val="auto"/>
          <w:szCs w:val="24"/>
          <w:highlight w:val="none"/>
        </w:rPr>
        <w:fldChar w:fldCharType="end"/>
      </w:r>
    </w:p>
    <w:p w14:paraId="48627B7F">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_Toc13263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五、</w:t>
      </w:r>
      <w:r>
        <w:rPr>
          <w:rFonts w:hint="eastAsia" w:ascii="仿宋" w:hAnsi="仿宋" w:eastAsia="仿宋" w:cs="仿宋"/>
          <w:szCs w:val="24"/>
          <w:highlight w:val="none"/>
          <w:lang w:val="en-US" w:eastAsia="zh-CN"/>
        </w:rPr>
        <w:t>中标（</w:t>
      </w:r>
      <w:r>
        <w:rPr>
          <w:rFonts w:hint="eastAsia" w:ascii="仿宋" w:hAnsi="仿宋" w:eastAsia="仿宋" w:cs="仿宋"/>
          <w:szCs w:val="24"/>
          <w:highlight w:val="none"/>
        </w:rPr>
        <w:t>成交</w:t>
      </w:r>
      <w:r>
        <w:rPr>
          <w:rFonts w:hint="eastAsia" w:ascii="仿宋" w:hAnsi="仿宋" w:eastAsia="仿宋" w:cs="仿宋"/>
          <w:szCs w:val="24"/>
          <w:highlight w:val="none"/>
          <w:lang w:eastAsia="zh-CN"/>
        </w:rPr>
        <w:t>）</w:t>
      </w:r>
      <w:r>
        <w:rPr>
          <w:rFonts w:hint="eastAsia" w:ascii="仿宋" w:hAnsi="仿宋" w:eastAsia="仿宋" w:cs="仿宋"/>
          <w:szCs w:val="24"/>
          <w:highlight w:val="none"/>
        </w:rPr>
        <w:t>通知</w:t>
      </w:r>
      <w:r>
        <w:tab/>
      </w:r>
      <w:r>
        <w:fldChar w:fldCharType="begin"/>
      </w:r>
      <w:r>
        <w:instrText xml:space="preserve"> PAGEREF _Toc13263 \h </w:instrText>
      </w:r>
      <w:r>
        <w:fldChar w:fldCharType="separate"/>
      </w:r>
      <w:r>
        <w:t>- 19 -</w:t>
      </w:r>
      <w:r>
        <w:fldChar w:fldCharType="end"/>
      </w:r>
      <w:r>
        <w:rPr>
          <w:rFonts w:hint="eastAsia" w:ascii="仿宋" w:hAnsi="仿宋" w:eastAsia="仿宋" w:cs="仿宋"/>
          <w:color w:val="auto"/>
          <w:szCs w:val="24"/>
          <w:highlight w:val="none"/>
        </w:rPr>
        <w:fldChar w:fldCharType="end"/>
      </w:r>
    </w:p>
    <w:p w14:paraId="586001D3">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_Toc17915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六、关于质疑和投诉</w:t>
      </w:r>
      <w:r>
        <w:tab/>
      </w:r>
      <w:r>
        <w:fldChar w:fldCharType="begin"/>
      </w:r>
      <w:r>
        <w:instrText xml:space="preserve"> PAGEREF _Toc17915 \h </w:instrText>
      </w:r>
      <w:r>
        <w:fldChar w:fldCharType="separate"/>
      </w:r>
      <w:r>
        <w:t>- 19 -</w:t>
      </w:r>
      <w:r>
        <w:fldChar w:fldCharType="end"/>
      </w:r>
      <w:r>
        <w:rPr>
          <w:rFonts w:hint="eastAsia" w:ascii="仿宋" w:hAnsi="仿宋" w:eastAsia="仿宋" w:cs="仿宋"/>
          <w:color w:val="auto"/>
          <w:szCs w:val="24"/>
          <w:highlight w:val="none"/>
        </w:rPr>
        <w:fldChar w:fldCharType="end"/>
      </w:r>
    </w:p>
    <w:p w14:paraId="5B6FFEAE">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_Toc3181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七、采购代理服务费</w:t>
      </w:r>
      <w:r>
        <w:tab/>
      </w:r>
      <w:r>
        <w:fldChar w:fldCharType="begin"/>
      </w:r>
      <w:r>
        <w:instrText xml:space="preserve"> PAGEREF _Toc3181 \h </w:instrText>
      </w:r>
      <w:r>
        <w:fldChar w:fldCharType="separate"/>
      </w:r>
      <w:r>
        <w:t>- 20 -</w:t>
      </w:r>
      <w:r>
        <w:fldChar w:fldCharType="end"/>
      </w:r>
      <w:r>
        <w:rPr>
          <w:rFonts w:hint="eastAsia" w:ascii="仿宋" w:hAnsi="仿宋" w:eastAsia="仿宋" w:cs="仿宋"/>
          <w:color w:val="auto"/>
          <w:szCs w:val="24"/>
          <w:highlight w:val="none"/>
        </w:rPr>
        <w:fldChar w:fldCharType="end"/>
      </w:r>
    </w:p>
    <w:p w14:paraId="00349B5D">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_Toc24099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八、签订合同</w:t>
      </w:r>
      <w:r>
        <w:tab/>
      </w:r>
      <w:r>
        <w:fldChar w:fldCharType="begin"/>
      </w:r>
      <w:r>
        <w:instrText xml:space="preserve"> PAGEREF _Toc24099 \h </w:instrText>
      </w:r>
      <w:r>
        <w:fldChar w:fldCharType="separate"/>
      </w:r>
      <w:r>
        <w:t>- 21 -</w:t>
      </w:r>
      <w:r>
        <w:fldChar w:fldCharType="end"/>
      </w:r>
      <w:r>
        <w:rPr>
          <w:rFonts w:hint="eastAsia" w:ascii="仿宋" w:hAnsi="仿宋" w:eastAsia="仿宋" w:cs="仿宋"/>
          <w:color w:val="auto"/>
          <w:szCs w:val="24"/>
          <w:highlight w:val="none"/>
        </w:rPr>
        <w:fldChar w:fldCharType="end"/>
      </w:r>
    </w:p>
    <w:p w14:paraId="66C76111">
      <w:pPr>
        <w:pStyle w:val="17"/>
        <w:tabs>
          <w:tab w:val="right" w:leader="dot" w:pos="9639"/>
          <w:tab w:val="clear" w:pos="1260"/>
          <w:tab w:val="clear" w:pos="1685"/>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_Toc26121 </w:instrText>
      </w:r>
      <w:r>
        <w:rPr>
          <w:rFonts w:hint="eastAsia" w:ascii="仿宋" w:hAnsi="仿宋" w:eastAsia="仿宋" w:cs="仿宋"/>
          <w:szCs w:val="24"/>
          <w:highlight w:val="none"/>
        </w:rPr>
        <w:fldChar w:fldCharType="separate"/>
      </w:r>
      <w:r>
        <w:rPr>
          <w:rFonts w:hint="eastAsia" w:ascii="仿宋" w:hAnsi="仿宋" w:eastAsia="仿宋" w:cs="仿宋"/>
          <w:highlight w:val="none"/>
        </w:rPr>
        <w:t>第七篇  投标文件编制要求</w:t>
      </w:r>
      <w:r>
        <w:tab/>
      </w:r>
      <w:r>
        <w:fldChar w:fldCharType="begin"/>
      </w:r>
      <w:r>
        <w:instrText xml:space="preserve"> PAGEREF _Toc26121 \h </w:instrText>
      </w:r>
      <w:r>
        <w:fldChar w:fldCharType="separate"/>
      </w:r>
      <w:r>
        <w:t>- 23 -</w:t>
      </w:r>
      <w:r>
        <w:fldChar w:fldCharType="end"/>
      </w:r>
      <w:r>
        <w:rPr>
          <w:rFonts w:hint="eastAsia" w:ascii="仿宋" w:hAnsi="仿宋" w:eastAsia="仿宋" w:cs="仿宋"/>
          <w:color w:val="auto"/>
          <w:szCs w:val="24"/>
          <w:highlight w:val="none"/>
        </w:rPr>
        <w:fldChar w:fldCharType="end"/>
      </w:r>
    </w:p>
    <w:p w14:paraId="503A747F">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_Toc21167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rPr>
        <w:t>一、经济部分</w:t>
      </w:r>
      <w:r>
        <w:tab/>
      </w:r>
      <w:r>
        <w:fldChar w:fldCharType="begin"/>
      </w:r>
      <w:r>
        <w:instrText xml:space="preserve"> PAGEREF _Toc21167 \h </w:instrText>
      </w:r>
      <w:r>
        <w:fldChar w:fldCharType="separate"/>
      </w:r>
      <w:r>
        <w:t>- 25 -</w:t>
      </w:r>
      <w:r>
        <w:fldChar w:fldCharType="end"/>
      </w:r>
      <w:r>
        <w:rPr>
          <w:rFonts w:hint="eastAsia" w:ascii="仿宋" w:hAnsi="仿宋" w:eastAsia="仿宋" w:cs="仿宋"/>
          <w:color w:val="auto"/>
          <w:szCs w:val="24"/>
          <w:highlight w:val="none"/>
        </w:rPr>
        <w:fldChar w:fldCharType="end"/>
      </w:r>
    </w:p>
    <w:p w14:paraId="7E9C21D7">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_Toc19815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rPr>
        <w:t>二、服务部分</w:t>
      </w:r>
      <w:r>
        <w:tab/>
      </w:r>
      <w:r>
        <w:fldChar w:fldCharType="begin"/>
      </w:r>
      <w:r>
        <w:instrText xml:space="preserve"> PAGEREF _Toc19815 \h </w:instrText>
      </w:r>
      <w:r>
        <w:fldChar w:fldCharType="separate"/>
      </w:r>
      <w:r>
        <w:t>- 26 -</w:t>
      </w:r>
      <w:r>
        <w:fldChar w:fldCharType="end"/>
      </w:r>
      <w:r>
        <w:rPr>
          <w:rFonts w:hint="eastAsia" w:ascii="仿宋" w:hAnsi="仿宋" w:eastAsia="仿宋" w:cs="仿宋"/>
          <w:color w:val="auto"/>
          <w:szCs w:val="24"/>
          <w:highlight w:val="none"/>
        </w:rPr>
        <w:fldChar w:fldCharType="end"/>
      </w:r>
    </w:p>
    <w:p w14:paraId="00B1A906">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_Toc29237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rPr>
        <w:t>三、商务部分</w:t>
      </w:r>
      <w:r>
        <w:tab/>
      </w:r>
      <w:r>
        <w:fldChar w:fldCharType="begin"/>
      </w:r>
      <w:r>
        <w:instrText xml:space="preserve"> PAGEREF _Toc29237 \h </w:instrText>
      </w:r>
      <w:r>
        <w:fldChar w:fldCharType="separate"/>
      </w:r>
      <w:r>
        <w:t>- 28 -</w:t>
      </w:r>
      <w:r>
        <w:fldChar w:fldCharType="end"/>
      </w:r>
      <w:r>
        <w:rPr>
          <w:rFonts w:hint="eastAsia" w:ascii="仿宋" w:hAnsi="仿宋" w:eastAsia="仿宋" w:cs="仿宋"/>
          <w:color w:val="auto"/>
          <w:szCs w:val="24"/>
          <w:highlight w:val="none"/>
        </w:rPr>
        <w:fldChar w:fldCharType="end"/>
      </w:r>
    </w:p>
    <w:p w14:paraId="277E8569">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_Toc28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rPr>
        <w:t>四、资格条件及其他</w:t>
      </w:r>
      <w:r>
        <w:tab/>
      </w:r>
      <w:r>
        <w:fldChar w:fldCharType="begin"/>
      </w:r>
      <w:r>
        <w:instrText xml:space="preserve"> PAGEREF _Toc28 \h </w:instrText>
      </w:r>
      <w:r>
        <w:fldChar w:fldCharType="separate"/>
      </w:r>
      <w:r>
        <w:t>31</w:t>
      </w:r>
      <w:r>
        <w:fldChar w:fldCharType="end"/>
      </w:r>
      <w:r>
        <w:rPr>
          <w:rFonts w:hint="eastAsia" w:ascii="仿宋" w:hAnsi="仿宋" w:eastAsia="仿宋" w:cs="仿宋"/>
          <w:color w:val="auto"/>
          <w:szCs w:val="24"/>
          <w:highlight w:val="none"/>
        </w:rPr>
        <w:fldChar w:fldCharType="end"/>
      </w:r>
    </w:p>
    <w:p w14:paraId="339AE044">
      <w:pPr>
        <w:pStyle w:val="18"/>
        <w:tabs>
          <w:tab w:val="right" w:leader="dot" w:pos="9639"/>
          <w:tab w:val="clear" w:pos="8400"/>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_Toc28643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rPr>
        <w:t>五、其他资料</w:t>
      </w:r>
      <w:r>
        <w:tab/>
      </w:r>
      <w:r>
        <w:fldChar w:fldCharType="begin"/>
      </w:r>
      <w:r>
        <w:instrText xml:space="preserve"> PAGEREF _Toc28643 \h </w:instrText>
      </w:r>
      <w:r>
        <w:fldChar w:fldCharType="separate"/>
      </w:r>
      <w:r>
        <w:t>36</w:t>
      </w:r>
      <w:r>
        <w:fldChar w:fldCharType="end"/>
      </w:r>
      <w:r>
        <w:rPr>
          <w:rFonts w:hint="eastAsia" w:ascii="仿宋" w:hAnsi="仿宋" w:eastAsia="仿宋" w:cs="仿宋"/>
          <w:color w:val="auto"/>
          <w:szCs w:val="24"/>
          <w:highlight w:val="none"/>
        </w:rPr>
        <w:fldChar w:fldCharType="end"/>
      </w:r>
    </w:p>
    <w:p w14:paraId="47EE6692">
      <w:pPr>
        <w:pStyle w:val="17"/>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fldChar w:fldCharType="end"/>
      </w:r>
      <w:r>
        <w:rPr>
          <w:rFonts w:hint="eastAsia" w:ascii="仿宋" w:hAnsi="仿宋" w:eastAsia="仿宋" w:cs="仿宋"/>
          <w:color w:val="auto"/>
          <w:sz w:val="24"/>
          <w:szCs w:val="24"/>
          <w:highlight w:val="none"/>
        </w:rPr>
        <w:br w:type="page"/>
      </w:r>
    </w:p>
    <w:p w14:paraId="507E23A7">
      <w:pPr>
        <w:pStyle w:val="2"/>
        <w:spacing w:before="0" w:beforeLines="0" w:after="0" w:afterLines="0" w:line="360" w:lineRule="auto"/>
        <w:rPr>
          <w:rFonts w:hint="eastAsia" w:ascii="仿宋" w:hAnsi="仿宋" w:eastAsia="仿宋" w:cs="仿宋"/>
          <w:b/>
          <w:bCs/>
          <w:color w:val="auto"/>
          <w:highlight w:val="none"/>
        </w:rPr>
      </w:pPr>
      <w:bookmarkStart w:id="0" w:name="_Toc17659"/>
      <w:r>
        <w:rPr>
          <w:rFonts w:hint="eastAsia" w:ascii="仿宋" w:hAnsi="仿宋" w:eastAsia="仿宋" w:cs="仿宋"/>
          <w:b/>
          <w:bCs/>
          <w:color w:val="auto"/>
          <w:sz w:val="52"/>
          <w:szCs w:val="52"/>
          <w:highlight w:val="none"/>
        </w:rPr>
        <w:t xml:space="preserve">第一篇  </w:t>
      </w:r>
      <w:r>
        <w:rPr>
          <w:rFonts w:hint="eastAsia" w:ascii="仿宋" w:hAnsi="仿宋" w:eastAsia="仿宋" w:cs="仿宋"/>
          <w:b/>
          <w:bCs/>
          <w:color w:val="auto"/>
          <w:sz w:val="52"/>
          <w:szCs w:val="52"/>
          <w:highlight w:val="none"/>
          <w:lang w:eastAsia="zh-CN"/>
        </w:rPr>
        <w:t>比选</w:t>
      </w:r>
      <w:r>
        <w:rPr>
          <w:rFonts w:hint="eastAsia" w:ascii="仿宋" w:hAnsi="仿宋" w:eastAsia="仿宋" w:cs="仿宋"/>
          <w:b/>
          <w:bCs/>
          <w:color w:val="auto"/>
          <w:sz w:val="52"/>
          <w:szCs w:val="52"/>
          <w:highlight w:val="none"/>
        </w:rPr>
        <w:t>邀请书</w:t>
      </w:r>
      <w:bookmarkEnd w:id="0"/>
    </w:p>
    <w:p w14:paraId="4F1991CB">
      <w:pPr>
        <w:pStyle w:val="10"/>
        <w:pageBreakBefore w:val="0"/>
        <w:widowControl w:val="0"/>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重庆青桔工程项目管理有限公司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酉阳土家族苗族自治县麻旺初级中学校</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以下简称：采购人</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val="en-US" w:eastAsia="zh-CN"/>
        </w:rPr>
        <w:t>酉阳土家族苗族自治县麻旺初级中学校蔬菜采购及配送项目</w:t>
      </w:r>
      <w:r>
        <w:rPr>
          <w:rFonts w:hint="eastAsia" w:ascii="仿宋" w:hAnsi="仿宋" w:eastAsia="仿宋" w:cs="仿宋"/>
          <w:color w:val="auto"/>
          <w:sz w:val="24"/>
          <w:szCs w:val="24"/>
          <w:highlight w:val="none"/>
        </w:rPr>
        <w:t>进行比选。欢迎有资格的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前来参加比选。</w:t>
      </w:r>
    </w:p>
    <w:p w14:paraId="7FF377F7">
      <w:pPr>
        <w:pStyle w:val="3"/>
        <w:pageBreakBefore w:val="0"/>
        <w:widowControl w:val="0"/>
        <w:numPr>
          <w:ilvl w:val="0"/>
          <w:numId w:val="1"/>
        </w:numPr>
        <w:kinsoku/>
        <w:wordWrap/>
        <w:overflowPunct/>
        <w:topLinePunct w:val="0"/>
        <w:autoSpaceDE/>
        <w:autoSpaceDN/>
        <w:bidi w:val="0"/>
        <w:spacing w:line="440" w:lineRule="exact"/>
        <w:textAlignment w:val="auto"/>
        <w:rPr>
          <w:rFonts w:hint="eastAsia" w:ascii="仿宋" w:hAnsi="仿宋" w:eastAsia="仿宋" w:cs="仿宋"/>
          <w:highlight w:val="none"/>
        </w:rPr>
      </w:pPr>
      <w:bookmarkStart w:id="1" w:name="_Toc16128"/>
      <w:r>
        <w:rPr>
          <w:rFonts w:hint="eastAsia" w:ascii="仿宋" w:hAnsi="仿宋" w:eastAsia="仿宋" w:cs="仿宋"/>
          <w:b/>
          <w:color w:val="auto"/>
          <w:sz w:val="24"/>
          <w:szCs w:val="24"/>
          <w:highlight w:val="none"/>
        </w:rPr>
        <w:t>比选内容</w:t>
      </w:r>
      <w:bookmarkEnd w:id="1"/>
    </w:p>
    <w:tbl>
      <w:tblPr>
        <w:tblStyle w:val="24"/>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040"/>
        <w:gridCol w:w="1840"/>
        <w:gridCol w:w="1235"/>
        <w:gridCol w:w="1245"/>
        <w:gridCol w:w="1320"/>
        <w:gridCol w:w="1047"/>
      </w:tblGrid>
      <w:tr w14:paraId="7504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40" w:type="dxa"/>
            <w:tcBorders>
              <w:top w:val="single" w:color="auto" w:sz="4" w:space="0"/>
              <w:left w:val="single" w:color="auto" w:sz="4" w:space="0"/>
              <w:right w:val="single" w:color="auto" w:sz="4" w:space="0"/>
            </w:tcBorders>
            <w:noWrap w:val="0"/>
            <w:vAlign w:val="center"/>
          </w:tcPr>
          <w:p w14:paraId="4D26621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分包号</w:t>
            </w:r>
          </w:p>
        </w:tc>
        <w:tc>
          <w:tcPr>
            <w:tcW w:w="2040" w:type="dxa"/>
            <w:tcBorders>
              <w:top w:val="single" w:color="auto" w:sz="4" w:space="0"/>
              <w:left w:val="single" w:color="auto" w:sz="4" w:space="0"/>
              <w:right w:val="single" w:color="auto" w:sz="4" w:space="0"/>
            </w:tcBorders>
            <w:noWrap w:val="0"/>
            <w:vAlign w:val="center"/>
          </w:tcPr>
          <w:p w14:paraId="33A892C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分包项目</w:t>
            </w:r>
            <w:r>
              <w:rPr>
                <w:rFonts w:hint="eastAsia" w:ascii="仿宋" w:hAnsi="仿宋" w:eastAsia="仿宋" w:cs="仿宋"/>
                <w:b/>
                <w:bCs/>
                <w:color w:val="auto"/>
                <w:kern w:val="0"/>
                <w:sz w:val="24"/>
                <w:szCs w:val="24"/>
                <w:highlight w:val="none"/>
              </w:rPr>
              <w:t>名称</w:t>
            </w:r>
          </w:p>
        </w:tc>
        <w:tc>
          <w:tcPr>
            <w:tcW w:w="1840" w:type="dxa"/>
            <w:tcBorders>
              <w:top w:val="single" w:color="auto" w:sz="4" w:space="0"/>
              <w:left w:val="single" w:color="auto" w:sz="4" w:space="0"/>
              <w:right w:val="single" w:color="auto" w:sz="4" w:space="0"/>
            </w:tcBorders>
            <w:noWrap w:val="0"/>
            <w:vAlign w:val="center"/>
          </w:tcPr>
          <w:p w14:paraId="468F2B45">
            <w:pPr>
              <w:pStyle w:val="10"/>
              <w:keepNext w:val="0"/>
              <w:keepLines w:val="0"/>
              <w:pageBreakBefore w:val="0"/>
              <w:kinsoku/>
              <w:wordWrap/>
              <w:overflowPunct/>
              <w:topLinePunct w:val="0"/>
              <w:autoSpaceDE/>
              <w:autoSpaceDN/>
              <w:bidi w:val="0"/>
              <w:adjustRightInd/>
              <w:snapToGrid/>
              <w:spacing w:line="400" w:lineRule="exact"/>
              <w:ind w:left="0"/>
              <w:jc w:val="center"/>
              <w:textAlignment w:val="auto"/>
              <w:outlineLvl w:val="0"/>
              <w:rPr>
                <w:rFonts w:hint="eastAsia" w:ascii="仿宋" w:hAnsi="仿宋" w:eastAsia="仿宋" w:cs="仿宋"/>
                <w:b/>
                <w:bCs/>
                <w:color w:val="auto"/>
                <w:kern w:val="0"/>
                <w:sz w:val="24"/>
                <w:szCs w:val="24"/>
                <w:highlight w:val="none"/>
              </w:rPr>
            </w:pPr>
            <w:r>
              <w:rPr>
                <w:rFonts w:hint="eastAsia" w:ascii="仿宋" w:hAnsi="仿宋" w:eastAsia="仿宋" w:cs="仿宋"/>
                <w:b/>
                <w:color w:val="auto"/>
                <w:sz w:val="24"/>
                <w:szCs w:val="24"/>
                <w:highlight w:val="none"/>
              </w:rPr>
              <w:t>最高限价（</w:t>
            </w:r>
            <w:r>
              <w:rPr>
                <w:rFonts w:hint="eastAsia" w:ascii="仿宋" w:hAnsi="仿宋" w:eastAsia="仿宋" w:cs="仿宋"/>
                <w:b/>
                <w:color w:val="auto"/>
                <w:sz w:val="24"/>
                <w:szCs w:val="24"/>
                <w:highlight w:val="none"/>
                <w:lang w:val="en-US" w:eastAsia="zh-CN"/>
              </w:rPr>
              <w:t>投标报价费率</w:t>
            </w:r>
            <w:r>
              <w:rPr>
                <w:rFonts w:hint="eastAsia" w:ascii="仿宋" w:hAnsi="仿宋" w:eastAsia="仿宋" w:cs="仿宋"/>
                <w:b/>
                <w:color w:val="auto"/>
                <w:sz w:val="24"/>
                <w:szCs w:val="24"/>
                <w:highlight w:val="none"/>
              </w:rPr>
              <w:t>）</w:t>
            </w:r>
          </w:p>
        </w:tc>
        <w:tc>
          <w:tcPr>
            <w:tcW w:w="1235" w:type="dxa"/>
            <w:tcBorders>
              <w:top w:val="single" w:color="auto" w:sz="4" w:space="0"/>
              <w:left w:val="single" w:color="auto" w:sz="4" w:space="0"/>
              <w:right w:val="single" w:color="auto" w:sz="4" w:space="0"/>
            </w:tcBorders>
            <w:noWrap w:val="0"/>
            <w:vAlign w:val="center"/>
          </w:tcPr>
          <w:p w14:paraId="38E80DC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采购预算（万元）</w:t>
            </w:r>
            <w:r>
              <w:rPr>
                <w:rFonts w:hint="eastAsia" w:ascii="仿宋" w:hAnsi="仿宋" w:eastAsia="仿宋" w:cs="仿宋"/>
                <w:b/>
                <w:bCs/>
                <w:color w:val="auto"/>
                <w:kern w:val="0"/>
                <w:sz w:val="24"/>
                <w:szCs w:val="24"/>
                <w:highlight w:val="none"/>
                <w:lang w:val="en-US" w:eastAsia="zh-CN"/>
              </w:rPr>
              <w:t>/年</w:t>
            </w:r>
          </w:p>
        </w:tc>
        <w:tc>
          <w:tcPr>
            <w:tcW w:w="1245" w:type="dxa"/>
            <w:tcBorders>
              <w:top w:val="single" w:color="auto" w:sz="4" w:space="0"/>
              <w:left w:val="single" w:color="auto" w:sz="4" w:space="0"/>
              <w:right w:val="single" w:color="auto" w:sz="4" w:space="0"/>
            </w:tcBorders>
            <w:noWrap w:val="0"/>
            <w:vAlign w:val="center"/>
          </w:tcPr>
          <w:p w14:paraId="69BEBE4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保证金（万元）</w:t>
            </w:r>
          </w:p>
        </w:tc>
        <w:tc>
          <w:tcPr>
            <w:tcW w:w="1320" w:type="dxa"/>
            <w:tcBorders>
              <w:top w:val="single" w:color="auto" w:sz="4" w:space="0"/>
              <w:left w:val="single" w:color="auto" w:sz="4" w:space="0"/>
              <w:right w:val="single" w:color="auto" w:sz="4" w:space="0"/>
            </w:tcBorders>
            <w:noWrap w:val="0"/>
            <w:vAlign w:val="center"/>
          </w:tcPr>
          <w:p w14:paraId="68B3377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中标人</w:t>
            </w:r>
            <w:r>
              <w:rPr>
                <w:rFonts w:hint="eastAsia" w:ascii="仿宋" w:hAnsi="仿宋" w:eastAsia="仿宋" w:cs="仿宋"/>
                <w:b/>
                <w:bCs/>
                <w:color w:val="auto"/>
                <w:kern w:val="0"/>
                <w:sz w:val="24"/>
                <w:szCs w:val="24"/>
                <w:highlight w:val="none"/>
              </w:rPr>
              <w:t>数量（名）</w:t>
            </w:r>
          </w:p>
        </w:tc>
        <w:tc>
          <w:tcPr>
            <w:tcW w:w="1047" w:type="dxa"/>
            <w:tcBorders>
              <w:top w:val="single" w:color="auto" w:sz="4" w:space="0"/>
              <w:left w:val="single" w:color="auto" w:sz="4" w:space="0"/>
              <w:right w:val="single" w:color="auto" w:sz="4" w:space="0"/>
            </w:tcBorders>
            <w:noWrap w:val="0"/>
            <w:vAlign w:val="center"/>
          </w:tcPr>
          <w:p w14:paraId="0171F14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备注</w:t>
            </w:r>
          </w:p>
        </w:tc>
      </w:tr>
      <w:tr w14:paraId="0AB5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08B2B38">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包1</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73C59B8">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酉阳土家族苗族自治县麻旺初级中学校蔬菜采购及配送项目（2月、3月、4月）</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443F780">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5C1E1F0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6C7226C">
            <w:pPr>
              <w:keepNext w:val="0"/>
              <w:keepLines w:val="0"/>
              <w:pageBreakBefore w:val="0"/>
              <w:kinsoku/>
              <w:wordWrap/>
              <w:overflowPunct/>
              <w:topLinePunct w:val="0"/>
              <w:autoSpaceDE/>
              <w:autoSpaceDN/>
              <w:bidi w:val="0"/>
              <w:adjustRightInd/>
              <w:snapToGrid/>
              <w:spacing w:line="28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FF4BD3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047" w:type="dxa"/>
            <w:tcBorders>
              <w:left w:val="single" w:color="auto" w:sz="4" w:space="0"/>
              <w:right w:val="single" w:color="auto" w:sz="4" w:space="0"/>
            </w:tcBorders>
            <w:noWrap w:val="0"/>
            <w:vAlign w:val="center"/>
          </w:tcPr>
          <w:p w14:paraId="2ED3E2F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服务期2年</w:t>
            </w:r>
          </w:p>
        </w:tc>
      </w:tr>
      <w:tr w14:paraId="5E01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78F2F47">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包2</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82B98D4">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酉阳土家族苗族自治县麻旺初级中学校蔬菜采购及配送项目</w:t>
            </w:r>
            <w:r>
              <w:rPr>
                <w:rFonts w:hint="eastAsia" w:ascii="仿宋" w:hAnsi="仿宋" w:eastAsia="仿宋" w:cs="仿宋"/>
                <w:b w:val="0"/>
                <w:bCs w:val="0"/>
                <w:color w:val="auto"/>
                <w:sz w:val="24"/>
                <w:szCs w:val="24"/>
                <w:highlight w:val="none"/>
                <w:lang w:val="en-US" w:eastAsia="zh-CN"/>
              </w:rPr>
              <w:t>（5月、6月、9月）</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6219171">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27E200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41509E1">
            <w:pPr>
              <w:keepNext w:val="0"/>
              <w:keepLines w:val="0"/>
              <w:pageBreakBefore w:val="0"/>
              <w:kinsoku/>
              <w:wordWrap/>
              <w:overflowPunct/>
              <w:topLinePunct w:val="0"/>
              <w:autoSpaceDE/>
              <w:autoSpaceDN/>
              <w:bidi w:val="0"/>
              <w:adjustRightInd/>
              <w:snapToGrid/>
              <w:spacing w:line="28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D0F0F3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047" w:type="dxa"/>
            <w:tcBorders>
              <w:left w:val="single" w:color="auto" w:sz="4" w:space="0"/>
              <w:right w:val="single" w:color="auto" w:sz="4" w:space="0"/>
            </w:tcBorders>
            <w:noWrap w:val="0"/>
            <w:vAlign w:val="center"/>
          </w:tcPr>
          <w:p w14:paraId="3038F86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服务期2年</w:t>
            </w:r>
          </w:p>
        </w:tc>
      </w:tr>
      <w:tr w14:paraId="3CBD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CE3ACB1">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包3</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888C907">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酉阳土家族苗族自治县麻旺初级中学校蔬菜采购及配送项目</w:t>
            </w:r>
            <w:r>
              <w:rPr>
                <w:rFonts w:hint="eastAsia" w:ascii="仿宋" w:hAnsi="仿宋" w:eastAsia="仿宋" w:cs="仿宋"/>
                <w:b w:val="0"/>
                <w:bCs w:val="0"/>
                <w:color w:val="auto"/>
                <w:sz w:val="24"/>
                <w:szCs w:val="24"/>
                <w:highlight w:val="none"/>
                <w:lang w:val="en-US" w:eastAsia="zh-CN"/>
              </w:rPr>
              <w:t>（10月、11月、12月、1月）</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81BBDA9">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53F14D4C">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8E5230B">
            <w:pPr>
              <w:keepNext w:val="0"/>
              <w:keepLines w:val="0"/>
              <w:pageBreakBefore w:val="0"/>
              <w:kinsoku/>
              <w:wordWrap/>
              <w:overflowPunct/>
              <w:topLinePunct w:val="0"/>
              <w:autoSpaceDE/>
              <w:autoSpaceDN/>
              <w:bidi w:val="0"/>
              <w:adjustRightInd/>
              <w:snapToGrid/>
              <w:spacing w:line="28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6AA23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047" w:type="dxa"/>
            <w:tcBorders>
              <w:left w:val="single" w:color="auto" w:sz="4" w:space="0"/>
              <w:right w:val="single" w:color="auto" w:sz="4" w:space="0"/>
            </w:tcBorders>
            <w:noWrap w:val="0"/>
            <w:vAlign w:val="center"/>
          </w:tcPr>
          <w:p w14:paraId="7E14CEA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服务期2年</w:t>
            </w:r>
          </w:p>
        </w:tc>
      </w:tr>
    </w:tbl>
    <w:p w14:paraId="12399117">
      <w:pPr>
        <w:pStyle w:val="3"/>
        <w:adjustRightInd w:val="0"/>
        <w:snapToGrid w:val="0"/>
        <w:spacing w:before="0" w:after="0" w:line="460" w:lineRule="exact"/>
        <w:rPr>
          <w:rFonts w:hint="eastAsia" w:ascii="仿宋" w:hAnsi="仿宋" w:eastAsia="仿宋" w:cs="仿宋"/>
          <w:b/>
          <w:color w:val="auto"/>
          <w:sz w:val="24"/>
          <w:szCs w:val="24"/>
          <w:highlight w:val="none"/>
          <w:lang w:val="en-US" w:eastAsia="zh-CN"/>
        </w:rPr>
      </w:pPr>
      <w:bookmarkStart w:id="2" w:name="_Toc21262"/>
      <w:bookmarkStart w:id="3" w:name="_Toc28658"/>
      <w:bookmarkStart w:id="4" w:name="_Toc25363"/>
      <w:r>
        <w:rPr>
          <w:rFonts w:hint="eastAsia" w:ascii="仿宋" w:hAnsi="仿宋" w:eastAsia="仿宋" w:cs="仿宋"/>
          <w:b/>
          <w:bCs/>
          <w:color w:val="auto"/>
          <w:kern w:val="2"/>
          <w:sz w:val="24"/>
          <w:szCs w:val="24"/>
          <w:highlight w:val="none"/>
          <w:lang w:val="en-US" w:eastAsia="zh-CN" w:bidi="ar-SA"/>
        </w:rPr>
        <w:t>说明：</w:t>
      </w:r>
      <w:bookmarkStart w:id="5" w:name="_Toc24343"/>
      <w:bookmarkStart w:id="6" w:name="_Toc14242"/>
      <w:r>
        <w:rPr>
          <w:rFonts w:hint="eastAsia" w:ascii="仿宋" w:hAnsi="仿宋" w:eastAsia="仿宋" w:cs="仿宋"/>
          <w:b/>
          <w:bCs/>
          <w:color w:val="auto"/>
          <w:kern w:val="2"/>
          <w:sz w:val="24"/>
          <w:szCs w:val="24"/>
          <w:highlight w:val="none"/>
          <w:lang w:val="en-US" w:eastAsia="zh-CN" w:bidi="ar-SA"/>
        </w:rPr>
        <w:t>表格中的采购预算为预估值，结算时以实际产生的数量和金额为准。</w:t>
      </w:r>
      <w:bookmarkEnd w:id="2"/>
      <w:bookmarkEnd w:id="5"/>
      <w:bookmarkEnd w:id="6"/>
    </w:p>
    <w:p w14:paraId="6B2FC0BF">
      <w:pPr>
        <w:pStyle w:val="3"/>
        <w:pageBreakBefore w:val="0"/>
        <w:widowControl w:val="0"/>
        <w:kinsoku/>
        <w:wordWrap/>
        <w:overflowPunct/>
        <w:topLinePunct w:val="0"/>
        <w:autoSpaceDE/>
        <w:autoSpaceDN/>
        <w:bidi w:val="0"/>
        <w:spacing w:line="400" w:lineRule="exact"/>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注：供应商可同时投多个标段，但只能成为其中1个包的成交供应商。</w:t>
      </w:r>
      <w:bookmarkEnd w:id="3"/>
      <w:bookmarkEnd w:id="4"/>
      <w:bookmarkStart w:id="140" w:name="_GoBack"/>
      <w:bookmarkEnd w:id="140"/>
    </w:p>
    <w:p w14:paraId="15CE645A">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7" w:name="_Toc32554"/>
      <w:r>
        <w:rPr>
          <w:rFonts w:hint="eastAsia" w:ascii="仿宋" w:hAnsi="仿宋" w:eastAsia="仿宋" w:cs="仿宋"/>
          <w:b/>
          <w:color w:val="auto"/>
          <w:sz w:val="24"/>
          <w:szCs w:val="24"/>
          <w:highlight w:val="none"/>
        </w:rPr>
        <w:t>二、资金来源</w:t>
      </w:r>
      <w:bookmarkEnd w:id="7"/>
    </w:p>
    <w:p w14:paraId="143B31E0">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学校自筹资金。</w:t>
      </w:r>
    </w:p>
    <w:p w14:paraId="25606134">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8" w:name="_Toc5603"/>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资格条件</w:t>
      </w:r>
      <w:bookmarkEnd w:id="8"/>
    </w:p>
    <w:p w14:paraId="3C83DF5D">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5B4474B4">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（二）落实政府采购政策需满足的资格要求：无</w:t>
      </w:r>
    </w:p>
    <w:p w14:paraId="5086B67C">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bCs/>
          <w:color w:val="auto"/>
          <w:szCs w:val="28"/>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特定资格条件</w:t>
      </w:r>
      <w:bookmarkStart w:id="9" w:name="_Toc8408"/>
      <w:bookmarkStart w:id="10" w:name="_Toc31712"/>
      <w:bookmarkStart w:id="11" w:name="_Toc38532846"/>
      <w:bookmarkStart w:id="12" w:name="_Toc9978"/>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bCs/>
          <w:color w:val="auto"/>
          <w:szCs w:val="28"/>
        </w:rPr>
        <w:t>供应商应</w:t>
      </w:r>
      <w:r>
        <w:rPr>
          <w:rFonts w:hint="eastAsia" w:ascii="仿宋" w:hAnsi="仿宋" w:eastAsia="仿宋" w:cs="仿宋"/>
          <w:b/>
          <w:bCs/>
          <w:color w:val="auto"/>
          <w:szCs w:val="28"/>
          <w:lang w:val="en-US" w:eastAsia="zh-CN"/>
        </w:rPr>
        <w:t>同时</w:t>
      </w:r>
      <w:r>
        <w:rPr>
          <w:rFonts w:hint="eastAsia" w:ascii="仿宋" w:hAnsi="仿宋" w:eastAsia="仿宋" w:cs="仿宋"/>
          <w:b/>
          <w:bCs/>
          <w:color w:val="auto"/>
          <w:szCs w:val="28"/>
        </w:rPr>
        <w:t>具备</w:t>
      </w:r>
      <w:r>
        <w:rPr>
          <w:rFonts w:hint="eastAsia" w:ascii="仿宋" w:hAnsi="仿宋" w:eastAsia="仿宋" w:cs="仿宋"/>
          <w:b/>
          <w:bCs/>
          <w:color w:val="auto"/>
          <w:szCs w:val="28"/>
          <w:lang w:val="en-US" w:eastAsia="zh-CN"/>
        </w:rPr>
        <w:t>有效的《营业执照》和《食品生产许可证》或《食品经营许可证》或食品经营者备案信息相关证明材料，并提供证书复印件加盖供应商公章。</w:t>
      </w:r>
    </w:p>
    <w:p w14:paraId="442ED0A3">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13" w:name="_Toc17641"/>
      <w:r>
        <w:rPr>
          <w:rFonts w:hint="eastAsia" w:ascii="仿宋" w:hAnsi="仿宋" w:eastAsia="仿宋" w:cs="仿宋"/>
          <w:b/>
          <w:color w:val="auto"/>
          <w:sz w:val="24"/>
          <w:szCs w:val="24"/>
          <w:highlight w:val="none"/>
        </w:rPr>
        <w:t>四、比选有关说明</w:t>
      </w:r>
      <w:bookmarkEnd w:id="9"/>
      <w:bookmarkEnd w:id="10"/>
      <w:bookmarkEnd w:id="11"/>
      <w:bookmarkEnd w:id="12"/>
      <w:bookmarkEnd w:id="13"/>
      <w:bookmarkStart w:id="14" w:name="_Toc373860294"/>
    </w:p>
    <w:bookmarkEnd w:id="14"/>
    <w:p w14:paraId="0B8D901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bookmarkStart w:id="15" w:name="_Toc19692"/>
      <w:bookmarkStart w:id="16" w:name="_Toc19256"/>
      <w:bookmarkStart w:id="17" w:name="_Toc7597"/>
      <w:bookmarkStart w:id="18" w:name="_Toc3347"/>
      <w:bookmarkStart w:id="19" w:name="_Toc41896028"/>
      <w:bookmarkStart w:id="20" w:name="_Toc8938"/>
      <w:r>
        <w:rPr>
          <w:rFonts w:hint="eastAsia" w:ascii="仿宋" w:hAnsi="仿宋" w:eastAsia="仿宋" w:cs="仿宋"/>
          <w:color w:val="auto"/>
          <w:sz w:val="24"/>
          <w:szCs w:val="24"/>
          <w:highlight w:val="none"/>
        </w:rPr>
        <w:t>（一）供应商需通过重庆市行采家（https://www.gec123.com/）进行注册，登记加入“重庆市政府采购供应商库”。</w:t>
      </w:r>
    </w:p>
    <w:p w14:paraId="5C1F4955">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（二）凡有意参加竞争性比选的供应商，请在“行采家”（https://www.gec123.com/）采购公告发布之日起至提交响应文件截止时间之前自行下载本项目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文件以及补遗等开标前公布的所有项目资料，无论供应商下载与否，均视为已知晓所有比选实质性要求内容。</w:t>
      </w:r>
    </w:p>
    <w:p w14:paraId="7F2DAA8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bookmarkStart w:id="21" w:name="_Toc26901"/>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）公告期限：自采购公告发布之日起</w:t>
      </w:r>
      <w:r>
        <w:rPr>
          <w:rFonts w:hint="eastAsia" w:ascii="仿宋" w:hAnsi="仿宋" w:eastAsia="仿宋" w:cs="仿宋"/>
          <w:color w:val="auto"/>
          <w:sz w:val="24"/>
          <w:szCs w:val="24"/>
          <w:highlight w:val="none"/>
          <w:lang w:eastAsia="zh-CN"/>
        </w:rPr>
        <w:t>三个工作日。</w:t>
      </w:r>
    </w:p>
    <w:p w14:paraId="06CE8C1D">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bookmarkEnd w:id="21"/>
      <w:r>
        <w:rPr>
          <w:rFonts w:hint="eastAsia" w:ascii="仿宋" w:hAnsi="仿宋" w:eastAsia="仿宋" w:cs="仿宋"/>
          <w:color w:val="auto"/>
          <w:sz w:val="24"/>
          <w:szCs w:val="24"/>
          <w:highlight w:val="none"/>
          <w:lang w:eastAsia="zh-CN"/>
        </w:rPr>
        <w:t xml:space="preserve">竞争性比选文件发售期限： </w:t>
      </w:r>
    </w:p>
    <w:p w14:paraId="765F1BF3">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1、竞争性比选文件发售期：202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 xml:space="preserve">日。 </w:t>
      </w:r>
    </w:p>
    <w:p w14:paraId="75C85543">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2、报名方式：</w:t>
      </w:r>
    </w:p>
    <w:p w14:paraId="19C28D11">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2.1在竞争性比选文件发售期内，供应商将《竞争性比选文件发售登记表》（</w:t>
      </w:r>
      <w:r>
        <w:rPr>
          <w:rFonts w:hint="eastAsia" w:ascii="仿宋" w:hAnsi="仿宋" w:eastAsia="仿宋" w:cs="仿宋"/>
          <w:color w:val="auto"/>
          <w:sz w:val="24"/>
          <w:szCs w:val="24"/>
          <w:highlight w:val="none"/>
          <w:lang w:val="en-US" w:eastAsia="zh-CN"/>
        </w:rPr>
        <w:t>填写完整并</w:t>
      </w:r>
      <w:r>
        <w:rPr>
          <w:rFonts w:hint="eastAsia" w:ascii="仿宋" w:hAnsi="仿宋" w:eastAsia="仿宋" w:cs="仿宋"/>
          <w:color w:val="auto"/>
          <w:sz w:val="24"/>
          <w:szCs w:val="24"/>
          <w:highlight w:val="none"/>
          <w:lang w:eastAsia="zh-CN"/>
        </w:rPr>
        <w:t>加盖供应商公章）扫描后发送至</w:t>
      </w:r>
      <w:r>
        <w:rPr>
          <w:rFonts w:hint="eastAsia" w:ascii="仿宋" w:hAnsi="仿宋" w:eastAsia="仿宋" w:cs="仿宋"/>
          <w:color w:val="auto"/>
          <w:sz w:val="24"/>
          <w:szCs w:val="24"/>
          <w:highlight w:val="none"/>
          <w:lang w:val="en-US" w:eastAsia="zh-CN"/>
        </w:rPr>
        <w:t>邮箱（</w:t>
      </w:r>
      <w:r>
        <w:rPr>
          <w:rFonts w:hint="eastAsia" w:ascii="仿宋" w:hAnsi="仿宋" w:eastAsia="仿宋" w:cs="仿宋"/>
          <w:color w:val="auto"/>
          <w:sz w:val="24"/>
          <w:szCs w:val="24"/>
          <w:highlight w:val="none"/>
          <w:lang w:eastAsia="zh-CN"/>
        </w:rPr>
        <w:t>670438292@qq.com</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lang w:eastAsia="zh-CN"/>
        </w:rPr>
        <w:t>报名。</w:t>
      </w:r>
    </w:p>
    <w:p w14:paraId="5FD49B79">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rPr>
        <w:t>在竞争性比选文件发售期内</w:t>
      </w:r>
      <w:r>
        <w:rPr>
          <w:rFonts w:hint="eastAsia" w:ascii="仿宋" w:hAnsi="仿宋" w:eastAsia="仿宋" w:cs="仿宋"/>
          <w:color w:val="auto"/>
          <w:sz w:val="24"/>
          <w:szCs w:val="24"/>
          <w:highlight w:val="none"/>
          <w:lang w:val="en-US" w:eastAsia="zh-CN"/>
        </w:rPr>
        <w:t>报名并</w:t>
      </w:r>
      <w:r>
        <w:rPr>
          <w:rFonts w:hint="eastAsia" w:ascii="仿宋" w:hAnsi="仿宋" w:eastAsia="仿宋" w:cs="仿宋"/>
          <w:color w:val="auto"/>
          <w:sz w:val="24"/>
          <w:szCs w:val="24"/>
          <w:highlight w:val="none"/>
        </w:rPr>
        <w:t>购买了竞争性比选文件的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，其</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才被接收。</w:t>
      </w:r>
    </w:p>
    <w:p w14:paraId="7C057E19">
      <w:pPr>
        <w:pageBreakBefore w:val="0"/>
        <w:widowControl w:val="0"/>
        <w:kinsoku/>
        <w:wordWrap/>
        <w:overflowPunct/>
        <w:topLinePunct w:val="0"/>
        <w:autoSpaceDE/>
        <w:autoSpaceDN/>
        <w:bidi w:val="0"/>
        <w:spacing w:line="3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竞争性比选文件售价：人民币</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报名时缴纳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售后不退。</w:t>
      </w:r>
    </w:p>
    <w:p w14:paraId="27C83AF4">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）投标</w:t>
      </w:r>
    </w:p>
    <w:p w14:paraId="0DC21A5E">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1.线上报价：报价时间为202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日9：00-1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 。</w:t>
      </w:r>
    </w:p>
    <w:p w14:paraId="0C3ABADB">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供应商应按规定的时间在“行采家”（https://www.gec123.com/）进行网上报价，并上传签字盖章后的投标文件电子文档PDF格式一份。并在规定时间内进行线下投标；未在规定时间内进行线上报价和线下投标的供应商其投标无效。</w:t>
      </w:r>
    </w:p>
    <w:p w14:paraId="1248CBEA">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3.线下投标</w:t>
      </w:r>
    </w:p>
    <w:p w14:paraId="1A19530E">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（1）投标时间：202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0（逾期不予受理）</w:t>
      </w:r>
      <w:r>
        <w:rPr>
          <w:rFonts w:hint="eastAsia" w:ascii="仿宋" w:hAnsi="仿宋" w:eastAsia="仿宋" w:cs="仿宋"/>
          <w:color w:val="auto"/>
          <w:sz w:val="24"/>
          <w:szCs w:val="24"/>
          <w:highlight w:val="none"/>
          <w:lang w:val="en-US" w:eastAsia="zh-CN"/>
        </w:rPr>
        <w:t>止。</w:t>
      </w:r>
    </w:p>
    <w:p w14:paraId="18E671F9">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（2）投标地点：</w:t>
      </w:r>
      <w:r>
        <w:rPr>
          <w:rFonts w:hint="eastAsia" w:ascii="仿宋" w:hAnsi="仿宋" w:eastAsia="仿宋" w:cs="仿宋"/>
          <w:color w:val="auto"/>
          <w:sz w:val="24"/>
          <w:szCs w:val="24"/>
          <w:highlight w:val="none"/>
          <w:lang w:val="en-US" w:eastAsia="zh-CN"/>
        </w:rPr>
        <w:t>酉阳土家族苗族自治县麻旺初级中学校</w:t>
      </w:r>
      <w:r>
        <w:rPr>
          <w:rFonts w:hint="eastAsia" w:ascii="仿宋" w:hAnsi="仿宋" w:eastAsia="仿宋" w:cs="仿宋"/>
          <w:color w:val="auto"/>
          <w:sz w:val="24"/>
          <w:szCs w:val="24"/>
          <w:highlight w:val="none"/>
        </w:rPr>
        <w:t>会议室。</w:t>
      </w:r>
    </w:p>
    <w:p w14:paraId="5B39EDD1">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3）纸质</w:t>
      </w:r>
      <w:r>
        <w:rPr>
          <w:rFonts w:hint="eastAsia" w:ascii="仿宋" w:hAnsi="仿宋" w:eastAsia="仿宋" w:cs="仿宋"/>
          <w:color w:val="auto"/>
          <w:sz w:val="24"/>
          <w:szCs w:val="24"/>
          <w:highlight w:val="none"/>
        </w:rPr>
        <w:t>响应文件（一正二副共3份）。</w:t>
      </w:r>
    </w:p>
    <w:p w14:paraId="2BB9560E">
      <w:pPr>
        <w:pStyle w:val="3"/>
        <w:pageBreakBefore w:val="0"/>
        <w:widowControl w:val="0"/>
        <w:kinsoku/>
        <w:wordWrap/>
        <w:overflowPunct/>
        <w:topLinePunct w:val="0"/>
        <w:autoSpaceDE/>
        <w:autoSpaceDN/>
        <w:bidi w:val="0"/>
        <w:spacing w:line="380" w:lineRule="exact"/>
        <w:textAlignment w:val="auto"/>
        <w:rPr>
          <w:rFonts w:hint="default" w:ascii="仿宋" w:hAnsi="仿宋" w:eastAsia="仿宋" w:cs="仿宋"/>
          <w:b/>
          <w:color w:val="auto"/>
          <w:sz w:val="24"/>
          <w:szCs w:val="24"/>
          <w:highlight w:val="none"/>
          <w:lang w:val="en-US" w:eastAsia="zh-CN"/>
        </w:rPr>
      </w:pPr>
      <w:bookmarkStart w:id="22" w:name="_Toc434"/>
      <w:r>
        <w:rPr>
          <w:rFonts w:hint="eastAsia" w:ascii="仿宋" w:hAnsi="仿宋" w:eastAsia="仿宋" w:cs="仿宋"/>
          <w:b/>
          <w:color w:val="auto"/>
          <w:sz w:val="24"/>
          <w:szCs w:val="24"/>
          <w:highlight w:val="none"/>
        </w:rPr>
        <w:t>五、比选保证金</w:t>
      </w:r>
      <w:bookmarkEnd w:id="15"/>
      <w:bookmarkEnd w:id="16"/>
      <w:bookmarkEnd w:id="17"/>
      <w:bookmarkEnd w:id="18"/>
      <w:bookmarkEnd w:id="19"/>
      <w:bookmarkEnd w:id="20"/>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无</w:t>
      </w:r>
      <w:bookmarkEnd w:id="22"/>
    </w:p>
    <w:p w14:paraId="5E03007D">
      <w:pPr>
        <w:pStyle w:val="3"/>
        <w:pageBreakBefore w:val="0"/>
        <w:widowControl w:val="0"/>
        <w:kinsoku/>
        <w:wordWrap/>
        <w:overflowPunct/>
        <w:topLinePunct w:val="0"/>
        <w:autoSpaceDE/>
        <w:autoSpaceDN/>
        <w:bidi w:val="0"/>
        <w:spacing w:line="380" w:lineRule="exact"/>
        <w:textAlignment w:val="auto"/>
        <w:rPr>
          <w:rFonts w:hint="eastAsia" w:ascii="仿宋" w:hAnsi="仿宋" w:eastAsia="仿宋" w:cs="仿宋"/>
          <w:b/>
          <w:color w:val="auto"/>
          <w:sz w:val="24"/>
          <w:szCs w:val="24"/>
          <w:highlight w:val="none"/>
        </w:rPr>
      </w:pPr>
      <w:bookmarkStart w:id="23" w:name="_Toc20652"/>
      <w:bookmarkStart w:id="24" w:name="_Toc26638"/>
      <w:bookmarkStart w:id="25" w:name="_Toc2967"/>
      <w:bookmarkStart w:id="26" w:name="_Toc26138"/>
      <w:bookmarkStart w:id="27" w:name="_Toc8089"/>
      <w:bookmarkStart w:id="28" w:name="_Toc17273"/>
      <w:bookmarkStart w:id="29" w:name="_Toc41896029"/>
      <w:r>
        <w:rPr>
          <w:rFonts w:hint="eastAsia" w:ascii="仿宋" w:hAnsi="仿宋" w:eastAsia="仿宋" w:cs="仿宋"/>
          <w:b/>
          <w:color w:val="auto"/>
          <w:sz w:val="24"/>
          <w:szCs w:val="24"/>
          <w:highlight w:val="none"/>
        </w:rPr>
        <w:t>六、其它有关规定</w:t>
      </w:r>
      <w:bookmarkEnd w:id="23"/>
      <w:bookmarkEnd w:id="24"/>
      <w:bookmarkEnd w:id="25"/>
      <w:bookmarkEnd w:id="26"/>
      <w:bookmarkEnd w:id="27"/>
      <w:bookmarkEnd w:id="28"/>
      <w:bookmarkEnd w:id="29"/>
    </w:p>
    <w:p w14:paraId="0AAC8FD0">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，不得参加同一合同项（分包）下的比选活动，否则均为无效比选。</w:t>
      </w:r>
    </w:p>
    <w:p w14:paraId="41271918">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，不得再参加该项目的其他比选活动。</w:t>
      </w:r>
    </w:p>
    <w:p w14:paraId="0BBC89CB">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w:t>
      </w:r>
      <w:r>
        <w:rPr>
          <w:rFonts w:hint="eastAsia" w:ascii="仿宋" w:hAnsi="仿宋" w:eastAsia="仿宋" w:cs="仿宋"/>
          <w:color w:val="auto"/>
          <w:kern w:val="0"/>
          <w:sz w:val="24"/>
          <w:szCs w:val="24"/>
          <w:highlight w:val="none"/>
        </w:rPr>
        <w:t>行采家（https://www.gec123.com/）</w:t>
      </w:r>
      <w:r>
        <w:rPr>
          <w:rFonts w:hint="eastAsia" w:ascii="仿宋" w:hAnsi="仿宋" w:eastAsia="仿宋" w:cs="仿宋"/>
          <w:color w:val="auto"/>
          <w:sz w:val="24"/>
          <w:szCs w:val="24"/>
          <w:highlight w:val="none"/>
        </w:rPr>
        <w:t>上发布，请各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注意自行下载；无论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已知晓本项目补遗文件（如果有）的内容。</w:t>
      </w:r>
    </w:p>
    <w:p w14:paraId="0D07A9B4">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（四）超过比选文件截止时间递交的投标文件，恕不接收。</w:t>
      </w:r>
    </w:p>
    <w:p w14:paraId="4261A558">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（五）比选费用：无论比选结果如何，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参与本项目比选的所有费用均应由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4C3A0B1C">
      <w:pPr>
        <w:keepNext w:val="0"/>
        <w:keepLines w:val="0"/>
        <w:pageBreakBefore w:val="0"/>
        <w:widowControl w:val="0"/>
        <w:kinsoku/>
        <w:wordWrap/>
        <w:overflowPunct/>
        <w:topLinePunct w:val="0"/>
        <w:autoSpaceDE/>
        <w:autoSpaceDN/>
        <w:bidi w:val="0"/>
        <w:adjustRightInd/>
        <w:spacing w:line="380" w:lineRule="exact"/>
        <w:ind w:firstLine="482" w:firstLineChars="200"/>
        <w:contextualSpacing/>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（六）本项目不接受联合体参与比选</w:t>
      </w:r>
      <w:r>
        <w:rPr>
          <w:rFonts w:hint="eastAsia" w:ascii="仿宋" w:hAnsi="仿宋" w:eastAsia="仿宋" w:cs="仿宋"/>
          <w:b/>
          <w:bCs/>
          <w:color w:val="auto"/>
          <w:kern w:val="2"/>
          <w:sz w:val="24"/>
          <w:szCs w:val="24"/>
          <w:highlight w:val="none"/>
          <w:lang w:val="en-US" w:eastAsia="zh-CN" w:bidi="ar-SA"/>
        </w:rPr>
        <w:t>，否则按无效投标处理。</w:t>
      </w:r>
    </w:p>
    <w:p w14:paraId="65655D8F">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2" w:firstLineChars="200"/>
        <w:textAlignment w:val="auto"/>
        <w:rPr>
          <w:rFonts w:hint="eastAsia" w:ascii="仿宋" w:hAnsi="仿宋" w:eastAsia="仿宋" w:cs="仿宋"/>
          <w:b/>
          <w:bCs/>
          <w:highlight w:val="none"/>
        </w:rPr>
      </w:pPr>
      <w:r>
        <w:rPr>
          <w:rFonts w:hint="eastAsia" w:ascii="仿宋" w:hAnsi="仿宋" w:eastAsia="仿宋" w:cs="仿宋"/>
          <w:b/>
          <w:bCs/>
          <w:color w:val="auto"/>
          <w:kern w:val="2"/>
          <w:sz w:val="24"/>
          <w:szCs w:val="24"/>
          <w:highlight w:val="none"/>
          <w:lang w:val="en-US" w:eastAsia="zh-CN" w:bidi="ar-SA"/>
        </w:rPr>
        <w:t>（七）本项目不接受合同分包，否则按无效投标处理。</w:t>
      </w:r>
    </w:p>
    <w:p w14:paraId="4AAE200C">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，将拒绝其参与比选活动。</w:t>
      </w:r>
    </w:p>
    <w:p w14:paraId="799E5650">
      <w:pPr>
        <w:pStyle w:val="3"/>
        <w:pageBreakBefore w:val="0"/>
        <w:widowControl w:val="0"/>
        <w:kinsoku/>
        <w:wordWrap/>
        <w:overflowPunct/>
        <w:topLinePunct w:val="0"/>
        <w:autoSpaceDE/>
        <w:autoSpaceDN/>
        <w:bidi w:val="0"/>
        <w:spacing w:line="380" w:lineRule="exact"/>
        <w:textAlignment w:val="auto"/>
        <w:rPr>
          <w:rFonts w:hint="eastAsia" w:ascii="仿宋" w:hAnsi="仿宋" w:eastAsia="仿宋" w:cs="仿宋"/>
          <w:b/>
          <w:color w:val="auto"/>
          <w:sz w:val="24"/>
          <w:szCs w:val="24"/>
          <w:highlight w:val="none"/>
        </w:rPr>
      </w:pPr>
      <w:bookmarkStart w:id="30" w:name="_Toc24760"/>
      <w:bookmarkStart w:id="31" w:name="_Toc10824"/>
      <w:bookmarkStart w:id="32" w:name="_Toc9761"/>
      <w:bookmarkStart w:id="33" w:name="_Toc20501"/>
      <w:bookmarkStart w:id="34" w:name="_Toc21675"/>
      <w:bookmarkStart w:id="35" w:name="_Toc1273"/>
      <w:bookmarkStart w:id="36" w:name="_Toc41896030"/>
      <w:r>
        <w:rPr>
          <w:rFonts w:hint="eastAsia" w:ascii="仿宋" w:hAnsi="仿宋" w:eastAsia="仿宋" w:cs="仿宋"/>
          <w:b/>
          <w:color w:val="auto"/>
          <w:sz w:val="24"/>
          <w:szCs w:val="24"/>
          <w:highlight w:val="none"/>
        </w:rPr>
        <w:t>七、联系方式</w:t>
      </w:r>
      <w:bookmarkEnd w:id="30"/>
      <w:bookmarkEnd w:id="31"/>
      <w:bookmarkEnd w:id="32"/>
      <w:bookmarkEnd w:id="33"/>
      <w:bookmarkEnd w:id="34"/>
      <w:bookmarkEnd w:id="35"/>
      <w:bookmarkEnd w:id="36"/>
    </w:p>
    <w:p w14:paraId="38DA334F">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酉阳土家族苗族自治县麻旺初级中学校</w:t>
      </w:r>
    </w:p>
    <w:p w14:paraId="65F59818">
      <w:pPr>
        <w:pageBreakBefore w:val="0"/>
        <w:widowControl w:val="0"/>
        <w:kinsoku/>
        <w:wordWrap/>
        <w:overflowPunct/>
        <w:topLinePunct w:val="0"/>
        <w:autoSpaceDE/>
        <w:autoSpaceDN/>
        <w:bidi w:val="0"/>
        <w:snapToGrid w:val="0"/>
        <w:spacing w:line="38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联系人：向老师  </w:t>
      </w:r>
    </w:p>
    <w:p w14:paraId="75D1762B">
      <w:pPr>
        <w:pageBreakBefore w:val="0"/>
        <w:widowControl w:val="0"/>
        <w:kinsoku/>
        <w:wordWrap/>
        <w:overflowPunct/>
        <w:topLinePunct w:val="0"/>
        <w:autoSpaceDE/>
        <w:autoSpaceDN/>
        <w:bidi w:val="0"/>
        <w:snapToGrid w:val="0"/>
        <w:spacing w:line="38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电话：13658260723   </w:t>
      </w:r>
    </w:p>
    <w:p w14:paraId="665B876D">
      <w:pPr>
        <w:pageBreakBefore w:val="0"/>
        <w:widowControl w:val="0"/>
        <w:kinsoku/>
        <w:wordWrap/>
        <w:overflowPunct/>
        <w:topLinePunct w:val="0"/>
        <w:autoSpaceDE/>
        <w:autoSpaceDN/>
        <w:bidi w:val="0"/>
        <w:snapToGrid w:val="0"/>
        <w:spacing w:line="38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地址：</w:t>
      </w:r>
      <w:r>
        <w:rPr>
          <w:rFonts w:hint="eastAsia" w:ascii="仿宋" w:hAnsi="仿宋" w:eastAsia="仿宋" w:cs="仿宋"/>
          <w:color w:val="auto"/>
          <w:sz w:val="24"/>
          <w:szCs w:val="24"/>
          <w:highlight w:val="none"/>
          <w:lang w:eastAsia="zh-CN"/>
        </w:rPr>
        <w:t>酉阳土家族苗族自治县麻旺初级中学校</w:t>
      </w:r>
    </w:p>
    <w:p w14:paraId="2DBDDD6B">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val="en-US" w:eastAsia="zh-CN"/>
        </w:rPr>
        <w:t>重庆青桔工程项目管理有限公司</w:t>
      </w:r>
    </w:p>
    <w:p w14:paraId="524F18FA">
      <w:pPr>
        <w:pageBreakBefore w:val="0"/>
        <w:widowControl w:val="0"/>
        <w:kinsoku/>
        <w:wordWrap/>
        <w:overflowPunct/>
        <w:topLinePunct w:val="0"/>
        <w:autoSpaceDE/>
        <w:autoSpaceDN/>
        <w:bidi w:val="0"/>
        <w:snapToGrid w:val="0"/>
        <w:spacing w:line="38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李老师  </w:t>
      </w:r>
    </w:p>
    <w:p w14:paraId="547FEBF1">
      <w:pPr>
        <w:pageBreakBefore w:val="0"/>
        <w:widowControl w:val="0"/>
        <w:kinsoku/>
        <w:wordWrap/>
        <w:overflowPunct/>
        <w:topLinePunct w:val="0"/>
        <w:autoSpaceDE/>
        <w:autoSpaceDN/>
        <w:bidi w:val="0"/>
        <w:snapToGrid w:val="0"/>
        <w:spacing w:line="38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13647637960 </w:t>
      </w:r>
    </w:p>
    <w:p w14:paraId="51D49473">
      <w:pPr>
        <w:pageBreakBefore w:val="0"/>
        <w:widowControl w:val="0"/>
        <w:kinsoku/>
        <w:wordWrap/>
        <w:overflowPunct/>
        <w:topLinePunct w:val="0"/>
        <w:autoSpaceDE/>
        <w:autoSpaceDN/>
        <w:bidi w:val="0"/>
        <w:snapToGrid w:val="0"/>
        <w:spacing w:line="400" w:lineRule="exact"/>
        <w:ind w:firstLine="720" w:firstLineChars="3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sz w:val="24"/>
          <w:szCs w:val="24"/>
          <w:highlight w:val="none"/>
          <w:lang w:val="en-US" w:eastAsia="zh-CN"/>
        </w:rPr>
        <w:t>重庆市渝北区仙桃街道舟济路38号</w:t>
      </w:r>
    </w:p>
    <w:p w14:paraId="34107138">
      <w:pPr>
        <w:pStyle w:val="2"/>
        <w:keepNext/>
        <w:keepLines w:val="0"/>
        <w:pageBreakBefore w:val="0"/>
        <w:widowControl w:val="0"/>
        <w:tabs>
          <w:tab w:val="left" w:pos="1530"/>
        </w:tabs>
        <w:kinsoku/>
        <w:wordWrap/>
        <w:overflowPunct/>
        <w:topLinePunct w:val="0"/>
        <w:autoSpaceDE/>
        <w:autoSpaceDN/>
        <w:bidi w:val="0"/>
        <w:adjustRightInd/>
        <w:snapToGrid w:val="0"/>
        <w:spacing w:before="0" w:beforeLines="0" w:after="0" w:afterLines="0" w:line="240" w:lineRule="auto"/>
        <w:jc w:val="center"/>
        <w:textAlignment w:val="auto"/>
        <w:rPr>
          <w:rFonts w:hint="eastAsia" w:ascii="仿宋" w:hAnsi="仿宋" w:eastAsia="仿宋" w:cs="仿宋"/>
          <w:color w:val="auto"/>
          <w:highlight w:val="none"/>
        </w:rPr>
      </w:pPr>
      <w:bookmarkStart w:id="37" w:name="_Toc30387"/>
      <w:r>
        <w:rPr>
          <w:rFonts w:hint="eastAsia" w:ascii="仿宋" w:hAnsi="仿宋" w:eastAsia="仿宋" w:cs="仿宋"/>
          <w:color w:val="auto"/>
          <w:sz w:val="24"/>
          <w:szCs w:val="24"/>
          <w:highlight w:val="none"/>
        </w:rPr>
        <w:br w:type="page"/>
      </w:r>
      <w:bookmarkStart w:id="38" w:name="_Toc8368"/>
      <w:r>
        <w:rPr>
          <w:rFonts w:hint="eastAsia" w:ascii="仿宋" w:hAnsi="仿宋" w:eastAsia="仿宋" w:cs="仿宋"/>
          <w:color w:val="auto"/>
          <w:highlight w:val="none"/>
        </w:rPr>
        <w:t>第二篇 项目服务需求</w:t>
      </w:r>
      <w:bookmarkEnd w:id="38"/>
    </w:p>
    <w:p w14:paraId="7402F790">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auto"/>
          <w:sz w:val="24"/>
          <w:szCs w:val="24"/>
          <w:highlight w:val="none"/>
        </w:rPr>
      </w:pPr>
      <w:bookmarkStart w:id="39" w:name="_Toc28331"/>
      <w:bookmarkStart w:id="40" w:name="_Toc29761"/>
      <w:bookmarkStart w:id="41" w:name="_Toc22060"/>
      <w:r>
        <w:rPr>
          <w:rFonts w:hint="eastAsia" w:ascii="仿宋" w:hAnsi="仿宋" w:eastAsia="仿宋" w:cs="仿宋"/>
          <w:b/>
          <w:bCs/>
          <w:color w:val="auto"/>
          <w:sz w:val="24"/>
          <w:szCs w:val="24"/>
          <w:highlight w:val="none"/>
        </w:rPr>
        <w:t>一、项目一览表</w:t>
      </w:r>
      <w:bookmarkEnd w:id="39"/>
      <w:bookmarkEnd w:id="40"/>
      <w:bookmarkEnd w:id="41"/>
    </w:p>
    <w:tbl>
      <w:tblPr>
        <w:tblStyle w:val="24"/>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2741"/>
        <w:gridCol w:w="1716"/>
      </w:tblGrid>
      <w:tr w14:paraId="47DB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270" w:type="dxa"/>
            <w:tcBorders>
              <w:top w:val="single" w:color="auto" w:sz="4" w:space="0"/>
              <w:left w:val="single" w:color="auto" w:sz="4" w:space="0"/>
              <w:right w:val="single" w:color="auto" w:sz="4" w:space="0"/>
            </w:tcBorders>
            <w:noWrap w:val="0"/>
            <w:vAlign w:val="center"/>
          </w:tcPr>
          <w:p w14:paraId="562737A8">
            <w:pPr>
              <w:widowControl/>
              <w:spacing w:beforeLines="0" w:afterLines="0" w:line="480" w:lineRule="exact"/>
              <w:ind w:firstLine="0" w:firstLineChars="0"/>
              <w:jc w:val="center"/>
              <w:rPr>
                <w:rFonts w:hint="eastAsia" w:ascii="仿宋" w:hAnsi="仿宋" w:eastAsia="仿宋" w:cs="仿宋"/>
                <w:b/>
                <w:bCs/>
                <w:color w:val="auto"/>
                <w:kern w:val="0"/>
                <w:sz w:val="24"/>
                <w:szCs w:val="24"/>
                <w:highlight w:val="none"/>
              </w:rPr>
            </w:pPr>
            <w:bookmarkStart w:id="42" w:name="_Toc18345"/>
            <w:bookmarkStart w:id="43" w:name="_Toc29681"/>
            <w:r>
              <w:rPr>
                <w:rFonts w:hint="eastAsia" w:ascii="仿宋" w:hAnsi="仿宋" w:eastAsia="仿宋" w:cs="仿宋"/>
                <w:b/>
                <w:bCs/>
                <w:color w:val="auto"/>
                <w:kern w:val="0"/>
                <w:sz w:val="24"/>
                <w:szCs w:val="24"/>
                <w:highlight w:val="none"/>
                <w:lang w:eastAsia="zh-CN"/>
              </w:rPr>
              <w:t>项目</w:t>
            </w:r>
            <w:r>
              <w:rPr>
                <w:rFonts w:hint="eastAsia" w:ascii="仿宋" w:hAnsi="仿宋" w:eastAsia="仿宋" w:cs="仿宋"/>
                <w:b/>
                <w:bCs/>
                <w:color w:val="auto"/>
                <w:kern w:val="0"/>
                <w:sz w:val="24"/>
                <w:szCs w:val="24"/>
                <w:highlight w:val="none"/>
              </w:rPr>
              <w:t>名称</w:t>
            </w:r>
          </w:p>
        </w:tc>
        <w:tc>
          <w:tcPr>
            <w:tcW w:w="2741" w:type="dxa"/>
            <w:tcBorders>
              <w:top w:val="single" w:color="auto" w:sz="4" w:space="0"/>
              <w:left w:val="single" w:color="auto" w:sz="4" w:space="0"/>
              <w:right w:val="single" w:color="auto" w:sz="4" w:space="0"/>
            </w:tcBorders>
            <w:noWrap w:val="0"/>
            <w:vAlign w:val="center"/>
          </w:tcPr>
          <w:p w14:paraId="20628904">
            <w:pPr>
              <w:widowControl/>
              <w:spacing w:beforeLines="0" w:afterLines="0" w:line="480" w:lineRule="exact"/>
              <w:ind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单位/数量</w:t>
            </w:r>
          </w:p>
        </w:tc>
        <w:tc>
          <w:tcPr>
            <w:tcW w:w="1716" w:type="dxa"/>
            <w:tcBorders>
              <w:top w:val="single" w:color="auto" w:sz="4" w:space="0"/>
              <w:left w:val="single" w:color="auto" w:sz="4" w:space="0"/>
              <w:right w:val="single" w:color="auto" w:sz="4" w:space="0"/>
            </w:tcBorders>
            <w:noWrap w:val="0"/>
            <w:vAlign w:val="center"/>
          </w:tcPr>
          <w:p w14:paraId="1D0560C3">
            <w:pPr>
              <w:widowControl/>
              <w:spacing w:beforeLines="0" w:afterLines="0" w:line="480" w:lineRule="exact"/>
              <w:ind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服务需求</w:t>
            </w:r>
          </w:p>
        </w:tc>
      </w:tr>
      <w:tr w14:paraId="6E1D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70" w:type="dxa"/>
            <w:tcBorders>
              <w:top w:val="single" w:color="auto" w:sz="4" w:space="0"/>
              <w:left w:val="single" w:color="auto" w:sz="4" w:space="0"/>
              <w:bottom w:val="single" w:color="auto" w:sz="4" w:space="0"/>
              <w:right w:val="single" w:color="auto" w:sz="4" w:space="0"/>
            </w:tcBorders>
            <w:noWrap w:val="0"/>
            <w:vAlign w:val="center"/>
          </w:tcPr>
          <w:p w14:paraId="0D1E1DD9">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u w:val="none"/>
                <w:lang w:val="en-US" w:eastAsia="zh-CN"/>
              </w:rPr>
              <w:t>酉阳土家族苗族自治县麻旺初级中学校蔬菜采购及配送项目</w:t>
            </w:r>
          </w:p>
        </w:tc>
        <w:tc>
          <w:tcPr>
            <w:tcW w:w="2741" w:type="dxa"/>
            <w:tcBorders>
              <w:top w:val="single" w:color="auto" w:sz="4" w:space="0"/>
              <w:left w:val="single" w:color="auto" w:sz="4" w:space="0"/>
              <w:bottom w:val="single" w:color="auto" w:sz="4" w:space="0"/>
              <w:right w:val="single" w:color="auto" w:sz="4" w:space="0"/>
            </w:tcBorders>
            <w:noWrap w:val="0"/>
            <w:vAlign w:val="center"/>
          </w:tcPr>
          <w:p w14:paraId="614AADC4">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716" w:type="dxa"/>
            <w:tcBorders>
              <w:left w:val="single" w:color="auto" w:sz="4" w:space="0"/>
              <w:right w:val="single" w:color="auto" w:sz="4" w:space="0"/>
            </w:tcBorders>
            <w:noWrap w:val="0"/>
            <w:vAlign w:val="center"/>
          </w:tcPr>
          <w:p w14:paraId="1580A97E">
            <w:pPr>
              <w:keepNext w:val="0"/>
              <w:keepLines w:val="0"/>
              <w:pageBreakBefore w:val="0"/>
              <w:kinsoku/>
              <w:wordWrap/>
              <w:overflowPunct/>
              <w:topLinePunct w:val="0"/>
              <w:autoSpaceDE/>
              <w:autoSpaceDN/>
              <w:bidi w:val="0"/>
              <w:adjustRightInd/>
              <w:snapToGrid/>
              <w:spacing w:beforeLines="0" w:afterLines="0" w:line="40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详见项目服务及质量要求</w:t>
            </w:r>
          </w:p>
        </w:tc>
      </w:tr>
      <w:bookmarkEnd w:id="42"/>
      <w:bookmarkEnd w:id="43"/>
    </w:tbl>
    <w:p w14:paraId="2B25D1E9">
      <w:pPr>
        <w:pStyle w:val="3"/>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2"/>
          <w:sz w:val="24"/>
          <w:szCs w:val="24"/>
          <w:highlight w:val="none"/>
          <w:lang w:val="en-US"/>
        </w:rPr>
      </w:pPr>
      <w:bookmarkStart w:id="44" w:name="_Toc28511"/>
      <w:bookmarkStart w:id="45" w:name="_Toc24432"/>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rPr>
        <w:t>服务</w:t>
      </w:r>
      <w:bookmarkStart w:id="46" w:name="_Toc18774"/>
      <w:r>
        <w:rPr>
          <w:rFonts w:hint="eastAsia" w:ascii="仿宋" w:hAnsi="仿宋" w:eastAsia="仿宋" w:cs="仿宋"/>
          <w:b/>
          <w:bCs/>
          <w:color w:val="auto"/>
          <w:sz w:val="24"/>
          <w:szCs w:val="24"/>
          <w:highlight w:val="none"/>
          <w:lang w:val="en-US" w:eastAsia="zh-CN"/>
        </w:rPr>
        <w:t>及质量要求</w:t>
      </w:r>
      <w:bookmarkEnd w:id="44"/>
      <w:bookmarkEnd w:id="45"/>
    </w:p>
    <w:bookmarkEnd w:id="46"/>
    <w:p w14:paraId="2C1902D3">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bookmarkStart w:id="47" w:name="_Toc16500"/>
      <w:r>
        <w:rPr>
          <w:rFonts w:hint="eastAsia" w:ascii="仿宋" w:hAnsi="仿宋" w:eastAsia="仿宋" w:cs="仿宋"/>
          <w:color w:val="auto"/>
          <w:sz w:val="24"/>
          <w:szCs w:val="24"/>
          <w:highlight w:val="none"/>
        </w:rPr>
        <w:t>（一）供货质量必须达到《中华人民共和国食品安全法》的相关规定，符合国家及行业的相关标准，并且</w:t>
      </w:r>
      <w:r>
        <w:rPr>
          <w:rFonts w:hint="eastAsia" w:ascii="仿宋" w:hAnsi="仿宋" w:eastAsia="仿宋" w:cs="仿宋"/>
          <w:color w:val="auto"/>
          <w:sz w:val="24"/>
          <w:szCs w:val="24"/>
          <w:highlight w:val="none"/>
          <w:lang w:eastAsia="zh-CN"/>
        </w:rPr>
        <w:t>价格低于市场价格，</w:t>
      </w:r>
      <w:r>
        <w:rPr>
          <w:rFonts w:hint="eastAsia" w:ascii="仿宋" w:hAnsi="仿宋" w:eastAsia="仿宋" w:cs="仿宋"/>
          <w:color w:val="auto"/>
          <w:sz w:val="24"/>
          <w:szCs w:val="24"/>
          <w:highlight w:val="none"/>
        </w:rPr>
        <w:t>品质不低于当天各大</w:t>
      </w:r>
      <w:r>
        <w:rPr>
          <w:rFonts w:hint="eastAsia" w:ascii="仿宋" w:hAnsi="仿宋" w:eastAsia="仿宋" w:cs="仿宋"/>
          <w:color w:val="auto"/>
          <w:sz w:val="24"/>
          <w:szCs w:val="24"/>
          <w:highlight w:val="none"/>
          <w:lang w:eastAsia="zh-CN"/>
        </w:rPr>
        <w:t>市场</w:t>
      </w:r>
      <w:r>
        <w:rPr>
          <w:rFonts w:hint="eastAsia" w:ascii="仿宋" w:hAnsi="仿宋" w:eastAsia="仿宋" w:cs="仿宋"/>
          <w:color w:val="auto"/>
          <w:sz w:val="24"/>
          <w:szCs w:val="24"/>
          <w:highlight w:val="none"/>
        </w:rPr>
        <w:t>的标准。</w:t>
      </w:r>
    </w:p>
    <w:bookmarkEnd w:id="47"/>
    <w:p w14:paraId="33EC0FB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bookmarkStart w:id="48" w:name="_Toc30563"/>
      <w:bookmarkStart w:id="49" w:name="_Toc4458"/>
      <w:bookmarkStart w:id="50" w:name="_Toc23010"/>
      <w:r>
        <w:rPr>
          <w:rFonts w:hint="eastAsia" w:ascii="仿宋" w:hAnsi="仿宋" w:eastAsia="仿宋" w:cs="仿宋"/>
          <w:color w:val="auto"/>
          <w:sz w:val="24"/>
          <w:szCs w:val="24"/>
          <w:highlight w:val="none"/>
          <w:lang w:val="en-US" w:eastAsia="zh-CN"/>
        </w:rPr>
        <w:t>1、蔬菜类：食材保持较好的色泽和新鲜度，不得有黄叶、腐烂和泥沙等现象；农药残留限量满足国家及行业相关标准农药残留不得超标。</w:t>
      </w:r>
    </w:p>
    <w:p w14:paraId="3DDB1A1B">
      <w:pPr>
        <w:pStyle w:val="3"/>
        <w:pageBreakBefore w:val="0"/>
        <w:widowControl w:val="0"/>
        <w:kinsoku/>
        <w:wordWrap/>
        <w:overflowPunct/>
        <w:topLinePunct w:val="0"/>
        <w:autoSpaceDE/>
        <w:autoSpaceDN/>
        <w:bidi w:val="0"/>
        <w:spacing w:line="360" w:lineRule="exact"/>
        <w:textAlignment w:val="auto"/>
        <w:rPr>
          <w:rFonts w:hint="eastAsia" w:ascii="仿宋" w:hAnsi="仿宋" w:eastAsia="仿宋" w:cs="仿宋"/>
          <w:b/>
          <w:bCs/>
          <w:color w:val="auto"/>
          <w:sz w:val="24"/>
          <w:szCs w:val="24"/>
          <w:highlight w:val="none"/>
          <w:lang w:val="en-US" w:eastAsia="zh-CN"/>
        </w:rPr>
      </w:pPr>
      <w:bookmarkStart w:id="51" w:name="_Toc1665"/>
      <w:r>
        <w:rPr>
          <w:rFonts w:hint="eastAsia" w:ascii="仿宋" w:hAnsi="仿宋" w:eastAsia="仿宋" w:cs="仿宋"/>
          <w:b/>
          <w:bCs/>
          <w:color w:val="auto"/>
          <w:sz w:val="24"/>
          <w:szCs w:val="24"/>
          <w:highlight w:val="none"/>
          <w:lang w:val="en-US" w:eastAsia="zh-CN"/>
        </w:rPr>
        <w:t>三、</w:t>
      </w:r>
      <w:bookmarkEnd w:id="48"/>
      <w:r>
        <w:rPr>
          <w:rFonts w:hint="eastAsia" w:ascii="仿宋" w:hAnsi="仿宋" w:eastAsia="仿宋" w:cs="仿宋"/>
          <w:b/>
          <w:bCs/>
          <w:color w:val="auto"/>
          <w:sz w:val="24"/>
          <w:szCs w:val="24"/>
          <w:highlight w:val="none"/>
          <w:lang w:val="en-US" w:eastAsia="zh-CN"/>
        </w:rPr>
        <w:t>采购计划及订单的确定</w:t>
      </w:r>
      <w:bookmarkEnd w:id="49"/>
      <w:bookmarkEnd w:id="50"/>
      <w:bookmarkEnd w:id="51"/>
    </w:p>
    <w:p w14:paraId="0FAE6FD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（一）采购人在每天20：30前，将次日的采购需求以电话、电子邮件、微信、QQ等形式通知成交供应商，订单内容包括名称、种类、规格、数量、运送时间、送达地点、订单联系人等具体要求。</w:t>
      </w:r>
    </w:p>
    <w:p w14:paraId="07546310">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（二）最终采购数量以采购人每天下达订单的数量为准。</w:t>
      </w:r>
    </w:p>
    <w:p w14:paraId="41C4C87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（三）双方可根据季节、天气、市场价格情况等协商调整每期采购计划中各品种和数量。成交供应商必须保证能提供丰富的品种清单供采购人选择。</w:t>
      </w:r>
    </w:p>
    <w:p w14:paraId="44564AA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（四）成交供应商接到采购人订单后，个别品种因缺货而无法提供的，成交供应商应在接到订单当天内及时告知采购人并协商好解决方法。</w:t>
      </w:r>
    </w:p>
    <w:p w14:paraId="403AF50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供应商依据采购人前一日下达的第二日采购供货计划进行送货，供应商应在采购人要求的时间前送到。（具体送货时间由采购人根据实际需求情况与供应商协商确定，以最后一批产品到达指定到货地点开箱验收后为准）。如遇紧急情况，供应商应在1小时内将所需物资品名、数量配送至采购人指定地点，不得以任何理由拒绝或推迟供应采购人所需货物。</w:t>
      </w:r>
    </w:p>
    <w:p w14:paraId="572F53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71ABAF14">
      <w:pPr>
        <w:pStyle w:val="2"/>
        <w:spacing w:before="0" w:beforeLines="0" w:after="0" w:afterLines="0" w:line="360" w:lineRule="auto"/>
        <w:rPr>
          <w:rFonts w:hint="eastAsia" w:ascii="仿宋" w:hAnsi="仿宋" w:eastAsia="仿宋" w:cs="仿宋"/>
          <w:color w:val="auto"/>
          <w:highlight w:val="none"/>
        </w:rPr>
      </w:pPr>
      <w:bookmarkStart w:id="52" w:name="_Toc10713"/>
      <w:r>
        <w:rPr>
          <w:rFonts w:hint="eastAsia" w:ascii="仿宋" w:hAnsi="仿宋" w:eastAsia="仿宋" w:cs="仿宋"/>
          <w:color w:val="auto"/>
          <w:highlight w:val="none"/>
        </w:rPr>
        <w:t>第三篇 项目商务需求</w:t>
      </w:r>
      <w:bookmarkEnd w:id="37"/>
      <w:bookmarkEnd w:id="52"/>
    </w:p>
    <w:p w14:paraId="19274B9A">
      <w:pPr>
        <w:pStyle w:val="3"/>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color w:val="auto"/>
          <w:sz w:val="24"/>
          <w:szCs w:val="24"/>
          <w:highlight w:val="none"/>
        </w:rPr>
      </w:pPr>
      <w:bookmarkStart w:id="53" w:name="_Toc24518"/>
      <w:bookmarkStart w:id="54" w:name="_Toc16131"/>
      <w:bookmarkStart w:id="55" w:name="_Toc11641055"/>
      <w:bookmarkStart w:id="56" w:name="_Toc12789059"/>
      <w:r>
        <w:rPr>
          <w:rFonts w:hint="eastAsia" w:ascii="仿宋" w:hAnsi="仿宋" w:eastAsia="仿宋" w:cs="仿宋"/>
          <w:b/>
          <w:color w:val="auto"/>
          <w:sz w:val="24"/>
          <w:szCs w:val="24"/>
          <w:highlight w:val="none"/>
        </w:rPr>
        <w:t>一、服务时间、地点及验收方式</w:t>
      </w:r>
      <w:bookmarkEnd w:id="53"/>
      <w:bookmarkEnd w:id="54"/>
    </w:p>
    <w:p w14:paraId="37B309E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服务时间：服务期2年。</w:t>
      </w:r>
    </w:p>
    <w:p w14:paraId="21C6CB4E">
      <w:pPr>
        <w:pageBreakBefore w:val="0"/>
        <w:widowControl w:val="0"/>
        <w:kinsoku/>
        <w:wordWrap/>
        <w:overflowPunct/>
        <w:topLinePunct w:val="0"/>
        <w:autoSpaceDE/>
        <w:autoSpaceDN/>
        <w:bidi w:val="0"/>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服务地点:</w:t>
      </w:r>
      <w:r>
        <w:rPr>
          <w:rFonts w:hint="eastAsia" w:ascii="仿宋" w:hAnsi="仿宋" w:eastAsia="仿宋" w:cs="仿宋"/>
          <w:color w:val="auto"/>
          <w:sz w:val="24"/>
          <w:szCs w:val="24"/>
          <w:highlight w:val="none"/>
          <w:lang w:val="en-US" w:eastAsia="zh-CN"/>
        </w:rPr>
        <w:t>采购人指定地点。</w:t>
      </w:r>
    </w:p>
    <w:p w14:paraId="6444DC73">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验收方式:</w:t>
      </w:r>
    </w:p>
    <w:p w14:paraId="3C41185C">
      <w:pPr>
        <w:pStyle w:val="56"/>
        <w:keepNext w:val="0"/>
        <w:keepLines w:val="0"/>
        <w:pageBreakBefore w:val="0"/>
        <w:numPr>
          <w:ilvl w:val="0"/>
          <w:numId w:val="0"/>
        </w:numPr>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货物送至采购人指定交货地点后，由双方共同对货物进行验收，并签字确认。</w:t>
      </w:r>
    </w:p>
    <w:p w14:paraId="7D35AC2B">
      <w:pPr>
        <w:keepNext w:val="0"/>
        <w:keepLines w:val="0"/>
        <w:pageBreakBefore w:val="0"/>
        <w:kinsoku/>
        <w:wordWrap/>
        <w:overflowPunct/>
        <w:topLinePunct w:val="0"/>
        <w:autoSpaceDE/>
        <w:autoSpaceDN/>
        <w:bidi w:val="0"/>
        <w:snapToGrid/>
        <w:spacing w:line="400" w:lineRule="exact"/>
        <w:ind w:left="0" w:firstLine="480" w:firstLineChars="20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验收标准：</w:t>
      </w:r>
      <w:r>
        <w:rPr>
          <w:rFonts w:hint="eastAsia" w:ascii="仿宋" w:hAnsi="仿宋" w:eastAsia="仿宋" w:cs="仿宋"/>
          <w:color w:val="auto"/>
          <w:kern w:val="0"/>
          <w:sz w:val="24"/>
          <w:szCs w:val="24"/>
          <w:highlight w:val="none"/>
          <w:lang w:val="zh-CN" w:eastAsia="zh-CN" w:bidi="ar-SA"/>
        </w:rPr>
        <w:t>投标人提供的货品必须符合国家相关法律法规要求。</w:t>
      </w:r>
    </w:p>
    <w:p w14:paraId="7EA071C3">
      <w:pPr>
        <w:spacing w:line="40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1）叶菜类：鲜嫩，无枯黄叶，无花斑叶，无烂叶；叶茎完整无折断，基部不老化，干爽无水；无裂口损伤，表面无泥土及其它杂物，无明显机械伤和病虫害伤，无烧心焦边、腐烂等现象，无抽薹（菜心除外），无畸形、异味，结球叶菜要结球适度，花椰菜应新鲜洁白，不带叶麸，无畸形花。 </w:t>
      </w:r>
    </w:p>
    <w:p w14:paraId="02E9FEF1">
      <w:pPr>
        <w:spacing w:line="40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（2）根茎类：个体均匀，根形完整，无畸形，无泥土，无虫蛀和机械伤，无腐烂，无断折断裂，不萎蔫变软，不发芽，不变绿，不空心，不糠心，不黑心，弹击有实心感。 </w:t>
      </w:r>
    </w:p>
    <w:p w14:paraId="5C960DF1">
      <w:pPr>
        <w:spacing w:line="40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（3）花菜类：外观良好，个体整齐，色泽正常，瓜肉坚实，表皮无损伤、无病斑或烂斑，无裂口，无折断，无压痕，无异味，不发软皱缩。 </w:t>
      </w:r>
    </w:p>
    <w:p w14:paraId="66052554">
      <w:pPr>
        <w:spacing w:line="40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（4）芽苗类：鲜嫩、无老叶、无花斑黄叶，根部切口新鲜，茎叶完整，无腐烂现象。 </w:t>
      </w:r>
    </w:p>
    <w:p w14:paraId="206C182D">
      <w:pPr>
        <w:pStyle w:val="3"/>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bookmarkStart w:id="57" w:name="_Toc5110"/>
      <w:bookmarkStart w:id="58" w:name="_Toc26862"/>
      <w:bookmarkStart w:id="59" w:name="_Toc5539"/>
      <w:bookmarkStart w:id="60" w:name="_Toc15146"/>
      <w:r>
        <w:rPr>
          <w:rFonts w:hint="eastAsia" w:ascii="仿宋" w:hAnsi="仿宋" w:eastAsia="仿宋" w:cs="仿宋"/>
          <w:color w:val="auto"/>
          <w:kern w:val="0"/>
          <w:sz w:val="24"/>
          <w:szCs w:val="24"/>
          <w:highlight w:val="none"/>
          <w:lang w:val="en-US" w:eastAsia="zh-CN" w:bidi="ar-SA"/>
        </w:rPr>
        <w:t>（5）菌类：色泽与其品种相适应，气味正常；无腐烂及虫蛀株，无毒、无发霉，无失水枯萎，朵片完整，手轻捏不能有水渗出为宜。</w:t>
      </w:r>
      <w:bookmarkEnd w:id="57"/>
      <w:bookmarkEnd w:id="58"/>
      <w:bookmarkEnd w:id="59"/>
      <w:bookmarkEnd w:id="60"/>
    </w:p>
    <w:p w14:paraId="0F4F7D51">
      <w:pPr>
        <w:pStyle w:val="3"/>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color w:val="auto"/>
          <w:sz w:val="24"/>
          <w:szCs w:val="24"/>
          <w:highlight w:val="none"/>
        </w:rPr>
      </w:pPr>
      <w:bookmarkStart w:id="61" w:name="_Toc21598"/>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报价要求</w:t>
      </w:r>
      <w:bookmarkEnd w:id="61"/>
      <w:r>
        <w:rPr>
          <w:rFonts w:hint="eastAsia" w:ascii="仿宋" w:hAnsi="仿宋" w:eastAsia="仿宋" w:cs="仿宋"/>
          <w:b/>
          <w:color w:val="auto"/>
          <w:sz w:val="24"/>
          <w:szCs w:val="24"/>
          <w:highlight w:val="none"/>
        </w:rPr>
        <w:t xml:space="preserve"> </w:t>
      </w:r>
    </w:p>
    <w:p w14:paraId="6DC802F0">
      <w:pPr>
        <w:pageBreakBefore w:val="0"/>
        <w:widowControl/>
        <w:kinsoku/>
        <w:wordWrap/>
        <w:overflowPunct/>
        <w:topLinePunct w:val="0"/>
        <w:autoSpaceDE/>
        <w:autoSpaceDN/>
        <w:bidi w:val="0"/>
        <w:spacing w:line="400" w:lineRule="exact"/>
        <w:ind w:firstLine="480" w:firstLineChars="200"/>
        <w:textAlignment w:val="auto"/>
        <w:rPr>
          <w:rFonts w:hint="eastAsia"/>
          <w:color w:val="auto"/>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本次</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eastAsia="zh-CN"/>
        </w:rPr>
        <w:t>报价为</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val="zh-CN" w:eastAsia="zh-CN"/>
        </w:rPr>
        <w:t>报价，</w:t>
      </w:r>
      <w:r>
        <w:rPr>
          <w:rFonts w:hint="eastAsia" w:ascii="仿宋" w:hAnsi="仿宋" w:eastAsia="仿宋" w:cs="仿宋"/>
          <w:color w:val="auto"/>
          <w:sz w:val="24"/>
          <w:szCs w:val="24"/>
          <w:highlight w:val="none"/>
          <w:lang w:val="en-US" w:eastAsia="zh-CN"/>
        </w:rPr>
        <w:t>投标报价费率</w:t>
      </w:r>
      <w:r>
        <w:rPr>
          <w:rFonts w:hint="eastAsia" w:ascii="仿宋" w:hAnsi="仿宋" w:eastAsia="仿宋" w:cs="仿宋"/>
          <w:color w:val="auto"/>
          <w:sz w:val="24"/>
          <w:szCs w:val="24"/>
          <w:highlight w:val="none"/>
          <w:lang w:val="zh-CN" w:eastAsia="zh-CN"/>
        </w:rPr>
        <w:t>最高限价</w:t>
      </w:r>
      <w:r>
        <w:rPr>
          <w:rFonts w:hint="eastAsia" w:ascii="仿宋" w:hAnsi="仿宋" w:eastAsia="仿宋" w:cs="仿宋"/>
          <w:color w:val="auto"/>
          <w:sz w:val="24"/>
          <w:szCs w:val="24"/>
          <w:highlight w:val="none"/>
          <w:lang w:val="en-US" w:eastAsia="zh-CN"/>
        </w:rPr>
        <w:t>为100</w:t>
      </w:r>
      <w:r>
        <w:rPr>
          <w:rFonts w:hint="eastAsia" w:ascii="仿宋" w:hAnsi="仿宋" w:eastAsia="仿宋" w:cs="仿宋"/>
          <w:color w:val="auto"/>
          <w:sz w:val="24"/>
          <w:szCs w:val="24"/>
          <w:highlight w:val="none"/>
          <w:lang w:val="zh-CN" w:eastAsia="zh-CN"/>
        </w:rPr>
        <w:t>%。该</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val="zh-CN" w:eastAsia="zh-CN"/>
        </w:rPr>
        <w:t>为综合</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val="zh-CN" w:eastAsia="zh-CN"/>
        </w:rPr>
        <w:t>，即各品目中无论多少种类的商品均只有一个</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val="zh-CN" w:eastAsia="zh-CN"/>
        </w:rPr>
        <w:t>，若独立品目出现了不同</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val="zh-CN" w:eastAsia="zh-CN"/>
        </w:rPr>
        <w:t>，则为无效</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val="zh-CN" w:eastAsia="zh-CN"/>
        </w:rPr>
        <w:t>后各品目中的所有商品种类均按照综合</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val="zh-CN" w:eastAsia="zh-CN"/>
        </w:rPr>
        <w:t>计算供货价格；商品进行打折后的费用包含结算时的商品价、运输费（含装卸费）、人工费、保险费、税费、培训费等送货到服务地点的所有费用</w:t>
      </w:r>
      <w:r>
        <w:rPr>
          <w:rFonts w:hint="eastAsia" w:ascii="仿宋" w:hAnsi="仿宋" w:eastAsia="仿宋" w:cs="仿宋"/>
          <w:color w:val="auto"/>
          <w:kern w:val="0"/>
          <w:sz w:val="24"/>
          <w:szCs w:val="24"/>
          <w:highlight w:val="none"/>
        </w:rPr>
        <w:t>。</w:t>
      </w:r>
    </w:p>
    <w:p w14:paraId="6602010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合同期内采购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根据中标</w:t>
      </w:r>
      <w:r>
        <w:rPr>
          <w:rFonts w:hint="eastAsia" w:ascii="仿宋" w:hAnsi="仿宋" w:eastAsia="仿宋" w:cs="仿宋"/>
          <w:color w:val="auto"/>
          <w:kern w:val="0"/>
          <w:sz w:val="24"/>
          <w:szCs w:val="24"/>
          <w:highlight w:val="none"/>
          <w:lang w:val="en-US" w:eastAsia="zh-CN"/>
        </w:rPr>
        <w:t>费率</w:t>
      </w:r>
      <w:r>
        <w:rPr>
          <w:rFonts w:hint="eastAsia" w:ascii="仿宋" w:hAnsi="仿宋" w:eastAsia="仿宋" w:cs="仿宋"/>
          <w:color w:val="auto"/>
          <w:kern w:val="0"/>
          <w:sz w:val="24"/>
          <w:szCs w:val="24"/>
          <w:highlight w:val="none"/>
        </w:rPr>
        <w:t>和采购数量据实结算。以采购人附近永辉超市、新世纪、重百、农贸市场等的同类食材当日平均零售价为指导价，进行</w:t>
      </w:r>
      <w:r>
        <w:rPr>
          <w:rFonts w:hint="eastAsia" w:ascii="仿宋" w:hAnsi="仿宋" w:eastAsia="仿宋" w:cs="仿宋"/>
          <w:color w:val="auto"/>
          <w:kern w:val="0"/>
          <w:sz w:val="24"/>
          <w:szCs w:val="24"/>
          <w:highlight w:val="none"/>
          <w:lang w:val="en-US" w:eastAsia="zh-CN"/>
        </w:rPr>
        <w:t>费率</w:t>
      </w:r>
      <w:r>
        <w:rPr>
          <w:rFonts w:hint="eastAsia" w:ascii="仿宋" w:hAnsi="仿宋" w:eastAsia="仿宋" w:cs="仿宋"/>
          <w:color w:val="auto"/>
          <w:kern w:val="0"/>
          <w:sz w:val="24"/>
          <w:szCs w:val="24"/>
          <w:highlight w:val="none"/>
        </w:rPr>
        <w:t>填报。（若投标人填报的</w:t>
      </w:r>
      <w:r>
        <w:rPr>
          <w:rFonts w:hint="eastAsia" w:ascii="仿宋" w:hAnsi="仿宋" w:eastAsia="仿宋" w:cs="仿宋"/>
          <w:color w:val="auto"/>
          <w:kern w:val="0"/>
          <w:sz w:val="24"/>
          <w:szCs w:val="24"/>
          <w:highlight w:val="none"/>
          <w:lang w:val="en-US" w:eastAsia="zh-CN"/>
        </w:rPr>
        <w:t>费率</w:t>
      </w:r>
      <w:r>
        <w:rPr>
          <w:rFonts w:hint="eastAsia" w:ascii="仿宋" w:hAnsi="仿宋" w:eastAsia="仿宋" w:cs="仿宋"/>
          <w:color w:val="auto"/>
          <w:kern w:val="0"/>
          <w:sz w:val="24"/>
          <w:szCs w:val="24"/>
          <w:highlight w:val="none"/>
        </w:rPr>
        <w:t>为9</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%，若某种品目询价的不同超市的即时价格平均价为10元/斤，则该种品目的结算</w:t>
      </w:r>
      <w:r>
        <w:rPr>
          <w:rFonts w:hint="eastAsia" w:ascii="仿宋" w:hAnsi="仿宋" w:eastAsia="仿宋" w:cs="仿宋"/>
          <w:color w:val="auto"/>
          <w:kern w:val="0"/>
          <w:sz w:val="24"/>
          <w:szCs w:val="24"/>
          <w:highlight w:val="none"/>
          <w:lang w:val="en-US" w:eastAsia="zh-CN"/>
        </w:rPr>
        <w:t>价</w:t>
      </w:r>
      <w:r>
        <w:rPr>
          <w:rFonts w:hint="eastAsia" w:ascii="仿宋" w:hAnsi="仿宋" w:eastAsia="仿宋" w:cs="仿宋"/>
          <w:color w:val="auto"/>
          <w:kern w:val="0"/>
          <w:sz w:val="24"/>
          <w:szCs w:val="24"/>
          <w:highlight w:val="none"/>
        </w:rPr>
        <w:t>为9元/斤）。</w:t>
      </w:r>
    </w:p>
    <w:p w14:paraId="6A08FD23">
      <w:pPr>
        <w:pageBreakBefore w:val="0"/>
        <w:widowControl/>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合同期内所有采购品目均采用相同的</w:t>
      </w:r>
      <w:r>
        <w:rPr>
          <w:rFonts w:hint="eastAsia" w:ascii="仿宋" w:hAnsi="仿宋" w:eastAsia="仿宋" w:cs="仿宋"/>
          <w:color w:val="auto"/>
          <w:kern w:val="0"/>
          <w:sz w:val="24"/>
          <w:szCs w:val="24"/>
          <w:highlight w:val="none"/>
          <w:lang w:val="en-US" w:eastAsia="zh-CN"/>
        </w:rPr>
        <w:t>费率</w:t>
      </w:r>
      <w:r>
        <w:rPr>
          <w:rFonts w:hint="eastAsia" w:ascii="仿宋" w:hAnsi="仿宋" w:eastAsia="仿宋" w:cs="仿宋"/>
          <w:color w:val="auto"/>
          <w:kern w:val="0"/>
          <w:sz w:val="24"/>
          <w:szCs w:val="24"/>
          <w:highlight w:val="none"/>
        </w:rPr>
        <w:t>。若出现了多个</w:t>
      </w:r>
      <w:r>
        <w:rPr>
          <w:rFonts w:hint="eastAsia" w:ascii="仿宋" w:hAnsi="仿宋" w:eastAsia="仿宋" w:cs="仿宋"/>
          <w:color w:val="auto"/>
          <w:kern w:val="0"/>
          <w:sz w:val="24"/>
          <w:szCs w:val="24"/>
          <w:highlight w:val="none"/>
          <w:lang w:val="en-US" w:eastAsia="zh-CN"/>
        </w:rPr>
        <w:t>费率</w:t>
      </w:r>
      <w:r>
        <w:rPr>
          <w:rFonts w:hint="eastAsia" w:ascii="仿宋" w:hAnsi="仿宋" w:eastAsia="仿宋" w:cs="仿宋"/>
          <w:color w:val="auto"/>
          <w:kern w:val="0"/>
          <w:sz w:val="24"/>
          <w:szCs w:val="24"/>
          <w:highlight w:val="none"/>
        </w:rPr>
        <w:t>，则为无效投标。</w:t>
      </w:r>
    </w:p>
    <w:p w14:paraId="71AF5F09">
      <w:pPr>
        <w:pStyle w:val="3"/>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0"/>
          <w:sz w:val="24"/>
          <w:szCs w:val="24"/>
          <w:highlight w:val="none"/>
          <w:lang w:val="en-US" w:eastAsia="zh-CN"/>
        </w:rPr>
      </w:pPr>
      <w:bookmarkStart w:id="62" w:name="_Toc398"/>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供货要求</w:t>
      </w:r>
      <w:bookmarkEnd w:id="62"/>
    </w:p>
    <w:p w14:paraId="346800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供货数量要求</w:t>
      </w:r>
    </w:p>
    <w:p w14:paraId="0AC612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货物重量若有</w:t>
      </w:r>
      <w:r>
        <w:rPr>
          <w:rFonts w:hint="eastAsia" w:ascii="仿宋" w:hAnsi="仿宋" w:eastAsia="仿宋" w:cs="仿宋"/>
          <w:b w:val="0"/>
          <w:bCs/>
          <w:color w:val="auto"/>
          <w:sz w:val="24"/>
          <w:szCs w:val="24"/>
          <w:highlight w:val="none"/>
        </w:rPr>
        <w:t>标准件</w:t>
      </w:r>
      <w:r>
        <w:rPr>
          <w:rFonts w:hint="eastAsia" w:ascii="仿宋" w:hAnsi="仿宋" w:eastAsia="仿宋" w:cs="仿宋"/>
          <w:color w:val="auto"/>
          <w:sz w:val="24"/>
          <w:szCs w:val="24"/>
          <w:highlight w:val="none"/>
        </w:rPr>
        <w:t>按标准件抽样称重，并按抽样重量计算，没有标准件按实际过磅重量计算。一个月内如有4次(含)以上抽样重量缺少10%以上,则当月配送总费用按90%结算。</w:t>
      </w:r>
    </w:p>
    <w:p w14:paraId="307D27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配送时间</w:t>
      </w:r>
    </w:p>
    <w:p w14:paraId="2502E7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为确保食材新鲜，需每天配送食材。配送时间根据实际情况，提前24小时约定。</w:t>
      </w:r>
    </w:p>
    <w:p w14:paraId="074036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供货</w:t>
      </w:r>
      <w:r>
        <w:rPr>
          <w:rFonts w:hint="eastAsia" w:ascii="仿宋" w:hAnsi="仿宋" w:eastAsia="仿宋" w:cs="仿宋"/>
          <w:b w:val="0"/>
          <w:bCs/>
          <w:color w:val="auto"/>
          <w:sz w:val="24"/>
          <w:szCs w:val="24"/>
          <w:highlight w:val="none"/>
        </w:rPr>
        <w:t>措施</w:t>
      </w:r>
    </w:p>
    <w:p w14:paraId="792FA9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运输和包装：</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应针对本项目配备专业配送人员和专用配送车辆，并建立货物运输车辆的定期消毒制度，避免在运输过程中出现交叉污染及货物安全性问题。用于货物包装的材料必须清洁、无污染。货物的包装和标签必须符合相应的规定和要求。用于盛放货物的容器要清洁、干燥、牢固、无异味、无霉变现象，食品包装符合有关法规、标准的要求，包装完好无破损。包装费用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承担。</w:t>
      </w:r>
    </w:p>
    <w:p w14:paraId="5C13E7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食品安全措施：</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所提供货物须有货物可追溯管理程序，允许采购人随时查阅货物各环节</w:t>
      </w:r>
      <w:r>
        <w:rPr>
          <w:rFonts w:hint="eastAsia" w:ascii="仿宋" w:hAnsi="仿宋" w:eastAsia="仿宋" w:cs="仿宋"/>
          <w:b w:val="0"/>
          <w:bCs/>
          <w:color w:val="auto"/>
          <w:sz w:val="24"/>
          <w:szCs w:val="24"/>
          <w:highlight w:val="none"/>
        </w:rPr>
        <w:t>相关</w:t>
      </w:r>
      <w:r>
        <w:rPr>
          <w:rFonts w:hint="eastAsia" w:ascii="仿宋" w:hAnsi="仿宋" w:eastAsia="仿宋" w:cs="仿宋"/>
          <w:color w:val="auto"/>
          <w:kern w:val="0"/>
          <w:sz w:val="24"/>
          <w:szCs w:val="24"/>
          <w:highlight w:val="none"/>
        </w:rPr>
        <w:t>记录（包含货物采购记录、货物的合格证明及验收记录、货物进出仓记录、销售记录、须冷链运输的货物提供冷链运输记录、运输车辆和运输工具消毒记录等），记录保存期限为6个月。</w:t>
      </w:r>
    </w:p>
    <w:p w14:paraId="63C4D2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退换、更换货要求：应按采购人订单规定的品种及要求供应所需货物，货物短缺时须在采购人</w:t>
      </w:r>
      <w:r>
        <w:rPr>
          <w:rFonts w:hint="eastAsia" w:ascii="仿宋" w:hAnsi="仿宋" w:eastAsia="仿宋" w:cs="仿宋"/>
          <w:b w:val="0"/>
          <w:bCs/>
          <w:color w:val="auto"/>
          <w:sz w:val="24"/>
          <w:szCs w:val="24"/>
          <w:highlight w:val="none"/>
        </w:rPr>
        <w:t>规定</w:t>
      </w:r>
      <w:r>
        <w:rPr>
          <w:rFonts w:hint="eastAsia" w:ascii="仿宋" w:hAnsi="仿宋" w:eastAsia="仿宋" w:cs="仿宋"/>
          <w:color w:val="auto"/>
          <w:kern w:val="0"/>
          <w:sz w:val="24"/>
          <w:szCs w:val="24"/>
          <w:highlight w:val="none"/>
        </w:rPr>
        <w:t>时间内调配补齐所缺品种。若要更换品种，须提交书面申请并加盖公章，经采购人同意后方可更换。</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所送货物与采购人订单或合同要求不符时或货物送达之前损坏，经双方确认后</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须接受退货或换货（</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应在接到采购人通知后1小时之内，将货物送至采购人指定地点替换原有不符或损坏的货物）。</w:t>
      </w:r>
    </w:p>
    <w:p w14:paraId="32BD4F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风险管控</w:t>
      </w:r>
    </w:p>
    <w:p w14:paraId="1D1ECA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交付货物之前的加工、搬运、运输等环节中，</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自行组织，采购人不承担任何费用和安全</w:t>
      </w:r>
      <w:r>
        <w:rPr>
          <w:rFonts w:hint="eastAsia" w:ascii="仿宋" w:hAnsi="仿宋" w:eastAsia="仿宋" w:cs="仿宋"/>
          <w:b w:val="0"/>
          <w:bCs/>
          <w:color w:val="auto"/>
          <w:sz w:val="24"/>
          <w:szCs w:val="24"/>
          <w:highlight w:val="none"/>
        </w:rPr>
        <w:t>责任</w:t>
      </w:r>
      <w:r>
        <w:rPr>
          <w:rFonts w:hint="eastAsia" w:ascii="仿宋" w:hAnsi="仿宋" w:eastAsia="仿宋" w:cs="仿宋"/>
          <w:color w:val="auto"/>
          <w:kern w:val="0"/>
          <w:sz w:val="24"/>
          <w:szCs w:val="24"/>
          <w:highlight w:val="none"/>
        </w:rPr>
        <w:t>。</w:t>
      </w:r>
    </w:p>
    <w:p w14:paraId="3AEF23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送货管理：</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送货应安排专人专车，</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送货按采购人进出大门有关规定，主动出示</w:t>
      </w:r>
      <w:r>
        <w:rPr>
          <w:rFonts w:hint="eastAsia" w:ascii="仿宋" w:hAnsi="仿宋" w:eastAsia="仿宋" w:cs="仿宋"/>
          <w:b w:val="0"/>
          <w:bCs/>
          <w:color w:val="auto"/>
          <w:sz w:val="24"/>
          <w:szCs w:val="24"/>
          <w:highlight w:val="none"/>
        </w:rPr>
        <w:t>证件</w:t>
      </w:r>
      <w:r>
        <w:rPr>
          <w:rFonts w:hint="eastAsia" w:ascii="仿宋" w:hAnsi="仿宋" w:eastAsia="仿宋" w:cs="仿宋"/>
          <w:color w:val="auto"/>
          <w:kern w:val="0"/>
          <w:sz w:val="24"/>
          <w:szCs w:val="24"/>
          <w:highlight w:val="none"/>
        </w:rPr>
        <w:t>，接受安全检查；按要求停放车辆，主动接受管理，严禁携带违禁品进入，否则，采购人有权对</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违反监管安全规定的行为进行处罚。情节严重的，取消供货资格，造成严重后果的移交司法机关依法处理。</w:t>
      </w:r>
    </w:p>
    <w:p w14:paraId="4BEF0E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因</w:t>
      </w:r>
      <w:r>
        <w:rPr>
          <w:rFonts w:hint="eastAsia" w:ascii="仿宋" w:hAnsi="仿宋" w:eastAsia="仿宋" w:cs="仿宋"/>
          <w:b w:val="0"/>
          <w:bCs/>
          <w:color w:val="auto"/>
          <w:sz w:val="24"/>
          <w:szCs w:val="24"/>
          <w:highlight w:val="none"/>
          <w:lang w:eastAsia="zh-CN"/>
        </w:rPr>
        <w:t>中标人</w:t>
      </w:r>
      <w:r>
        <w:rPr>
          <w:rFonts w:hint="eastAsia" w:ascii="仿宋" w:hAnsi="仿宋" w:eastAsia="仿宋" w:cs="仿宋"/>
          <w:color w:val="auto"/>
          <w:kern w:val="0"/>
          <w:sz w:val="24"/>
          <w:szCs w:val="24"/>
          <w:highlight w:val="none"/>
        </w:rPr>
        <w:t>原因，造成监管安全事故，食品安全事故、食物中毒、违规违纪的，采购人有权解除合同，造成的损失和后果一律由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承担。</w:t>
      </w:r>
    </w:p>
    <w:p w14:paraId="11C0D1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争议</w:t>
      </w:r>
      <w:r>
        <w:rPr>
          <w:rFonts w:hint="eastAsia" w:ascii="仿宋" w:hAnsi="仿宋" w:eastAsia="仿宋" w:cs="仿宋"/>
          <w:b w:val="0"/>
          <w:bCs/>
          <w:color w:val="auto"/>
          <w:sz w:val="24"/>
          <w:szCs w:val="24"/>
          <w:highlight w:val="none"/>
        </w:rPr>
        <w:t>处理</w:t>
      </w:r>
    </w:p>
    <w:p w14:paraId="314E31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因</w:t>
      </w:r>
      <w:r>
        <w:rPr>
          <w:rFonts w:hint="eastAsia" w:ascii="仿宋" w:hAnsi="仿宋" w:eastAsia="仿宋" w:cs="仿宋"/>
          <w:b w:val="0"/>
          <w:bCs/>
          <w:color w:val="auto"/>
          <w:sz w:val="24"/>
          <w:szCs w:val="24"/>
          <w:highlight w:val="none"/>
        </w:rPr>
        <w:t>不可抗力</w:t>
      </w:r>
      <w:r>
        <w:rPr>
          <w:rFonts w:hint="eastAsia" w:ascii="仿宋" w:hAnsi="仿宋" w:eastAsia="仿宋" w:cs="仿宋"/>
          <w:color w:val="auto"/>
          <w:kern w:val="0"/>
          <w:sz w:val="24"/>
          <w:szCs w:val="24"/>
          <w:highlight w:val="none"/>
        </w:rPr>
        <w:t>等特殊情况，双方任一方想提前解除合同，应提前一个月书面告知对方，在得到对方同意的前提下，本合同可提前解除。</w:t>
      </w:r>
    </w:p>
    <w:p w14:paraId="3E91F7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因</w:t>
      </w:r>
      <w:r>
        <w:rPr>
          <w:rFonts w:hint="eastAsia" w:ascii="仿宋" w:hAnsi="仿宋" w:eastAsia="仿宋" w:cs="仿宋"/>
          <w:b w:val="0"/>
          <w:bCs/>
          <w:color w:val="auto"/>
          <w:sz w:val="24"/>
          <w:szCs w:val="24"/>
          <w:highlight w:val="none"/>
          <w:lang w:eastAsia="zh-CN"/>
        </w:rPr>
        <w:t>中标人</w:t>
      </w:r>
      <w:r>
        <w:rPr>
          <w:rFonts w:hint="eastAsia" w:ascii="仿宋" w:hAnsi="仿宋" w:eastAsia="仿宋" w:cs="仿宋"/>
          <w:color w:val="auto"/>
          <w:kern w:val="0"/>
          <w:sz w:val="24"/>
          <w:szCs w:val="24"/>
          <w:highlight w:val="none"/>
        </w:rPr>
        <w:t>原因造成采购人安全事故，采购人可立即解除合同。</w:t>
      </w:r>
    </w:p>
    <w:p w14:paraId="3F4D46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合同</w:t>
      </w:r>
      <w:r>
        <w:rPr>
          <w:rFonts w:hint="eastAsia" w:ascii="仿宋" w:hAnsi="仿宋" w:eastAsia="仿宋" w:cs="仿宋"/>
          <w:color w:val="auto"/>
          <w:kern w:val="0"/>
          <w:sz w:val="24"/>
          <w:szCs w:val="24"/>
          <w:highlight w:val="none"/>
        </w:rPr>
        <w:t>期限内，若与学校新制定下发的文件规定冲突，</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需无条件配合，与采购人按照学校有关文件明确的期限调整或者解除合同，不得追究采购人违约责任。</w:t>
      </w:r>
    </w:p>
    <w:p w14:paraId="1DF5EC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采购人有权对</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供应的货物进行定期或不定期的抽样检验，采购人对有疑议的货物有权提取样品送权威部门检验，质量不达标货物的检验费用由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支付。</w:t>
      </w:r>
    </w:p>
    <w:p w14:paraId="4E256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采购人</w:t>
      </w:r>
      <w:r>
        <w:rPr>
          <w:rFonts w:hint="eastAsia" w:ascii="仿宋" w:hAnsi="仿宋" w:eastAsia="仿宋" w:cs="仿宋"/>
          <w:b w:val="0"/>
          <w:bCs/>
          <w:color w:val="auto"/>
          <w:sz w:val="24"/>
          <w:szCs w:val="24"/>
          <w:highlight w:val="none"/>
        </w:rPr>
        <w:t>认定</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所送货物与采购人订单或合同要求不符或货物送达之前被损坏时，有权要求</w:t>
      </w:r>
      <w:r>
        <w:rPr>
          <w:rFonts w:hint="eastAsia" w:ascii="仿宋" w:hAnsi="仿宋" w:eastAsia="仿宋" w:cs="仿宋"/>
          <w:b w:val="0"/>
          <w:bCs/>
          <w:color w:val="auto"/>
          <w:sz w:val="24"/>
          <w:szCs w:val="24"/>
          <w:highlight w:val="none"/>
          <w:lang w:eastAsia="zh-CN"/>
        </w:rPr>
        <w:t>中标人</w:t>
      </w:r>
      <w:r>
        <w:rPr>
          <w:rFonts w:hint="eastAsia" w:ascii="仿宋" w:hAnsi="仿宋" w:eastAsia="仿宋" w:cs="仿宋"/>
          <w:color w:val="auto"/>
          <w:kern w:val="0"/>
          <w:sz w:val="24"/>
          <w:szCs w:val="24"/>
          <w:highlight w:val="none"/>
        </w:rPr>
        <w:t>退货或换货并给予</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口头整改通知；若</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有异议，应于接到采购人通知后1小时内书面（含电子邮件）回复采购人并协商处理方式，否则将视为</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对不符合质量要求无异议，</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应于合同约定时间内退货或换货。</w:t>
      </w:r>
    </w:p>
    <w:p w14:paraId="235AFC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对处理方式提出书面（含电子邮件）异议的，由采购人进行处理，若采购人无法最终认定货物质量的，双方均有权将提取样品送权威部门检验或鉴定。</w:t>
      </w:r>
    </w:p>
    <w:p w14:paraId="72E8E147">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合同</w:t>
      </w:r>
      <w:r>
        <w:rPr>
          <w:rFonts w:hint="eastAsia" w:ascii="仿宋" w:hAnsi="仿宋" w:eastAsia="仿宋" w:cs="仿宋"/>
          <w:b w:val="0"/>
          <w:bCs/>
          <w:color w:val="auto"/>
          <w:sz w:val="24"/>
          <w:szCs w:val="24"/>
          <w:highlight w:val="none"/>
        </w:rPr>
        <w:t>履行</w:t>
      </w:r>
      <w:r>
        <w:rPr>
          <w:rFonts w:hint="eastAsia" w:ascii="仿宋" w:hAnsi="仿宋" w:eastAsia="仿宋" w:cs="仿宋"/>
          <w:color w:val="auto"/>
          <w:kern w:val="0"/>
          <w:sz w:val="24"/>
          <w:szCs w:val="24"/>
          <w:highlight w:val="none"/>
        </w:rPr>
        <w:t>过程中发生争议的，双方应当协商解决，协商不成的可向采购人所在地人民法院提起</w:t>
      </w:r>
      <w:r>
        <w:rPr>
          <w:rFonts w:hint="eastAsia" w:ascii="仿宋" w:hAnsi="仿宋" w:eastAsia="仿宋" w:cs="仿宋"/>
          <w:color w:val="auto"/>
          <w:sz w:val="24"/>
          <w:szCs w:val="24"/>
          <w:highlight w:val="none"/>
        </w:rPr>
        <w:t>诉讼</w:t>
      </w:r>
      <w:r>
        <w:rPr>
          <w:rFonts w:hint="eastAsia" w:ascii="仿宋" w:hAnsi="仿宋" w:eastAsia="仿宋" w:cs="仿宋"/>
          <w:color w:val="auto"/>
          <w:kern w:val="0"/>
          <w:sz w:val="24"/>
          <w:szCs w:val="24"/>
          <w:highlight w:val="none"/>
        </w:rPr>
        <w:t>。</w:t>
      </w:r>
    </w:p>
    <w:p w14:paraId="5BBEC6CD">
      <w:pPr>
        <w:pStyle w:val="3"/>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bookmarkStart w:id="63" w:name="_Toc27212"/>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质量保证及售后服务</w:t>
      </w:r>
      <w:bookmarkEnd w:id="63"/>
    </w:p>
    <w:p w14:paraId="3BBB44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投标人应保证所提供的食品应是合格安全的产品，一旦发现伪劣假冒产品、以次充好产品或替代产品，由投标人承担一切责任，并赔偿所造成的损失；同时报市场监管局；若造成刑事责任，移送司法机关处理。</w:t>
      </w:r>
    </w:p>
    <w:p w14:paraId="27C3E7A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（二）采购人对投标人提出的质量异议，保证在20分钟以内作出答复，并妥善商处。无法在20分钟内解决的，应在1个小时内提供备用产品，使采购人能够正常用餐。</w:t>
      </w:r>
    </w:p>
    <w:p w14:paraId="104998E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（三）因市场特殊原因，个别食材品种不能及时提供的投标人应主动与采购人沟通协调，更换品种，满足采购人需要。</w:t>
      </w:r>
    </w:p>
    <w:p w14:paraId="4BBC05C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（四）物资验收中不合格产品，投标人应在1小时内调换配送到位，不得影响正常开餐。</w:t>
      </w:r>
    </w:p>
    <w:p w14:paraId="0FFC8A2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（五）做好应急保障措施，如遇停水停电停气或突发情况，应保质保量的完成采购人临时增加的采购任务，确保</w:t>
      </w:r>
      <w:r>
        <w:rPr>
          <w:rFonts w:hint="eastAsia" w:ascii="仿宋" w:hAnsi="仿宋" w:eastAsia="仿宋" w:cs="仿宋"/>
          <w:color w:val="auto"/>
          <w:sz w:val="24"/>
          <w:szCs w:val="24"/>
          <w:highlight w:val="none"/>
          <w:lang w:val="en-US" w:eastAsia="zh-CN"/>
        </w:rPr>
        <w:t>各个校区</w:t>
      </w:r>
      <w:r>
        <w:rPr>
          <w:rFonts w:hint="eastAsia" w:ascii="仿宋" w:hAnsi="仿宋" w:eastAsia="仿宋" w:cs="仿宋"/>
          <w:color w:val="auto"/>
          <w:sz w:val="24"/>
          <w:szCs w:val="24"/>
          <w:highlight w:val="none"/>
          <w:lang w:eastAsia="zh-CN"/>
        </w:rPr>
        <w:t>正常开餐。</w:t>
      </w:r>
    </w:p>
    <w:p w14:paraId="09679F2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（六）因食品质量问题发生的食物中毒等事故，采购人解除合同。并参照《中华人民共和国食品安全法》及《消费者权益保护法》由投标人承担经济赔偿责任以及其他法律责任。</w:t>
      </w:r>
    </w:p>
    <w:p w14:paraId="0F825E1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（七）投标人为了拉拢采购人工作人员私下送礼金、礼品、宴请或利用虚开发票等方法给学校工作人员回扣等违法违纪行为，一经查实，扣除投标人未付的全部货款，</w:t>
      </w:r>
      <w:r>
        <w:rPr>
          <w:rFonts w:hint="eastAsia" w:ascii="仿宋" w:hAnsi="仿宋" w:eastAsia="仿宋" w:cs="仿宋"/>
          <w:color w:val="auto"/>
          <w:sz w:val="24"/>
          <w:szCs w:val="24"/>
          <w:highlight w:val="none"/>
          <w:lang w:eastAsia="zh-TW"/>
        </w:rPr>
        <w:t>采购人有权单方面解除合同</w:t>
      </w:r>
      <w:r>
        <w:rPr>
          <w:rFonts w:hint="eastAsia" w:ascii="仿宋" w:hAnsi="仿宋" w:eastAsia="仿宋" w:cs="仿宋"/>
          <w:color w:val="auto"/>
          <w:sz w:val="24"/>
          <w:szCs w:val="24"/>
          <w:highlight w:val="none"/>
          <w:lang w:eastAsia="zh-CN"/>
        </w:rPr>
        <w:t>。</w:t>
      </w:r>
    </w:p>
    <w:p w14:paraId="5B0EE33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CN"/>
        </w:rPr>
        <w:t>（八）投标人提供的货品实际重量、单价与开据的送货单不相符（指不利于采购人），发现一次赔偿一次多开据的金额。累计达到3次的，采购人有权单方面解除合同。</w:t>
      </w:r>
      <w:r>
        <w:rPr>
          <w:rFonts w:hint="eastAsia" w:ascii="仿宋" w:hAnsi="仿宋" w:eastAsia="仿宋" w:cs="仿宋"/>
          <w:color w:val="auto"/>
          <w:sz w:val="24"/>
          <w:szCs w:val="24"/>
          <w:highlight w:val="none"/>
          <w:lang w:eastAsia="zh-TW"/>
        </w:rPr>
        <w:t xml:space="preserve"> </w:t>
      </w:r>
    </w:p>
    <w:p w14:paraId="4BB4E1F0">
      <w:pPr>
        <w:pStyle w:val="3"/>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szCs w:val="24"/>
          <w:highlight w:val="none"/>
        </w:rPr>
      </w:pPr>
      <w:bookmarkStart w:id="64" w:name="_Toc6611"/>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询定价及结算</w:t>
      </w:r>
      <w:bookmarkEnd w:id="64"/>
      <w:r>
        <w:rPr>
          <w:rFonts w:hint="eastAsia" w:ascii="仿宋" w:hAnsi="仿宋" w:eastAsia="仿宋" w:cs="仿宋"/>
          <w:b/>
          <w:bCs/>
          <w:color w:val="auto"/>
          <w:sz w:val="24"/>
          <w:szCs w:val="24"/>
          <w:highlight w:val="none"/>
        </w:rPr>
        <w:t xml:space="preserve"> </w:t>
      </w:r>
      <w:bookmarkStart w:id="65" w:name="_Toc31985"/>
    </w:p>
    <w:bookmarkEnd w:id="65"/>
    <w:p w14:paraId="772E0C6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（一）询定价</w:t>
      </w:r>
    </w:p>
    <w:p w14:paraId="4FA5B34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1.采购物资原则上每月询定价1次</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eastAsia="zh-TW"/>
        </w:rPr>
        <w:t>可根据实际情况，调整询定价次数。</w:t>
      </w:r>
    </w:p>
    <w:p w14:paraId="246AD32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2.实际结算方式以采购人附近</w:t>
      </w:r>
      <w:r>
        <w:rPr>
          <w:rFonts w:hint="eastAsia" w:ascii="仿宋" w:hAnsi="仿宋" w:eastAsia="仿宋" w:cs="仿宋"/>
          <w:color w:val="auto"/>
          <w:kern w:val="0"/>
          <w:sz w:val="24"/>
          <w:szCs w:val="24"/>
          <w:highlight w:val="none"/>
        </w:rPr>
        <w:t>永辉超市、</w:t>
      </w:r>
      <w:r>
        <w:rPr>
          <w:rFonts w:hint="eastAsia" w:ascii="仿宋" w:hAnsi="仿宋" w:eastAsia="仿宋" w:cs="仿宋"/>
          <w:color w:val="auto"/>
          <w:kern w:val="0"/>
          <w:sz w:val="24"/>
          <w:szCs w:val="24"/>
          <w:highlight w:val="none"/>
          <w:lang w:val="en-US" w:eastAsia="zh-CN"/>
        </w:rPr>
        <w:t>佳惠</w:t>
      </w:r>
      <w:r>
        <w:rPr>
          <w:rFonts w:hint="eastAsia" w:ascii="仿宋" w:hAnsi="仿宋" w:eastAsia="仿宋" w:cs="仿宋"/>
          <w:color w:val="auto"/>
          <w:kern w:val="0"/>
          <w:sz w:val="24"/>
          <w:szCs w:val="24"/>
          <w:highlight w:val="none"/>
        </w:rPr>
        <w:t>等的同类食材当日平</w:t>
      </w:r>
      <w:r>
        <w:rPr>
          <w:rFonts w:hint="eastAsia" w:ascii="仿宋" w:hAnsi="仿宋" w:eastAsia="仿宋" w:cs="仿宋"/>
          <w:kern w:val="0"/>
          <w:sz w:val="24"/>
          <w:szCs w:val="24"/>
          <w:highlight w:val="none"/>
        </w:rPr>
        <w:t>均零售价为指导价</w:t>
      </w:r>
      <w:r>
        <w:rPr>
          <w:rFonts w:hint="eastAsia" w:ascii="仿宋" w:hAnsi="仿宋" w:eastAsia="仿宋" w:cs="仿宋"/>
          <w:color w:val="auto"/>
          <w:sz w:val="24"/>
          <w:szCs w:val="24"/>
          <w:highlight w:val="none"/>
          <w:lang w:eastAsia="zh-CN"/>
        </w:rPr>
        <w:t>零售价</w:t>
      </w:r>
      <w:r>
        <w:rPr>
          <w:rFonts w:hint="eastAsia" w:ascii="仿宋" w:hAnsi="仿宋" w:eastAsia="仿宋" w:cs="仿宋"/>
          <w:color w:val="auto"/>
          <w:sz w:val="24"/>
          <w:szCs w:val="24"/>
          <w:highlight w:val="none"/>
          <w:lang w:eastAsia="zh-TW"/>
        </w:rPr>
        <w:t>（特价、促销品除外）为基准价结合中标</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eastAsia="zh-TW"/>
        </w:rPr>
        <w:t>每月据实结算。</w:t>
      </w:r>
    </w:p>
    <w:p w14:paraId="70D9C1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3.</w:t>
      </w:r>
      <w:r>
        <w:rPr>
          <w:rFonts w:hint="eastAsia" w:ascii="仿宋" w:hAnsi="仿宋" w:eastAsia="仿宋" w:cs="仿宋"/>
          <w:color w:val="auto"/>
          <w:sz w:val="24"/>
          <w:szCs w:val="24"/>
          <w:highlight w:val="none"/>
          <w:lang w:val="en-US" w:eastAsia="zh-CN"/>
        </w:rPr>
        <w:t>每次询价的时间由采购人确定，每月30日前确定当月的商品基准价。询价表应包含询得商品的基准价及结合中标费率后的确定价。</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eastAsia="zh-TW"/>
        </w:rPr>
        <w:t>组织</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TW"/>
        </w:rPr>
        <w:t>代表</w:t>
      </w:r>
      <w:r>
        <w:rPr>
          <w:rFonts w:hint="eastAsia" w:ascii="仿宋" w:hAnsi="仿宋" w:eastAsia="仿宋" w:cs="仿宋"/>
          <w:color w:val="auto"/>
          <w:sz w:val="24"/>
          <w:szCs w:val="24"/>
          <w:highlight w:val="none"/>
          <w:lang w:val="en-US" w:eastAsia="zh-CN"/>
        </w:rPr>
        <w:t>及中标人</w:t>
      </w:r>
      <w:r>
        <w:rPr>
          <w:rFonts w:hint="eastAsia" w:ascii="仿宋" w:hAnsi="仿宋" w:eastAsia="仿宋" w:cs="仿宋"/>
          <w:color w:val="auto"/>
          <w:sz w:val="24"/>
          <w:szCs w:val="24"/>
          <w:highlight w:val="none"/>
          <w:lang w:eastAsia="zh-TW"/>
        </w:rPr>
        <w:t>代表参与。</w:t>
      </w:r>
    </w:p>
    <w:p w14:paraId="02FA3E5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4.个别在超市、市场无法询定价的品种或采购人有特殊要求的货物，可参照其他市场售价，双方协商定价。</w:t>
      </w:r>
    </w:p>
    <w:p w14:paraId="56CD2EF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（二）结算</w:t>
      </w:r>
    </w:p>
    <w:p w14:paraId="1FEB8118">
      <w:pPr>
        <w:keepNext w:val="0"/>
        <w:keepLines w:val="0"/>
        <w:pageBreakBefore w:val="0"/>
        <w:widowControl w:val="0"/>
        <w:tabs>
          <w:tab w:val="left" w:pos="3360"/>
        </w:tabs>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8"/>
          <w:highlight w:val="none"/>
        </w:rPr>
        <w:t>结算价格=结算单价基</w:t>
      </w:r>
      <w:r>
        <w:rPr>
          <w:rFonts w:hint="eastAsia" w:ascii="仿宋" w:hAnsi="仿宋" w:eastAsia="仿宋" w:cs="仿宋"/>
          <w:color w:val="auto"/>
          <w:sz w:val="24"/>
          <w:szCs w:val="28"/>
          <w:highlight w:val="none"/>
          <w:lang w:val="en-US" w:eastAsia="zh-CN"/>
        </w:rPr>
        <w:t>准</w:t>
      </w:r>
      <w:r>
        <w:rPr>
          <w:rFonts w:hint="eastAsia" w:ascii="仿宋" w:hAnsi="仿宋" w:eastAsia="仿宋" w:cs="仿宋"/>
          <w:color w:val="auto"/>
          <w:sz w:val="24"/>
          <w:szCs w:val="28"/>
          <w:highlight w:val="none"/>
        </w:rPr>
        <w:t>价*实际配送数量*</w:t>
      </w:r>
      <w:r>
        <w:rPr>
          <w:rFonts w:hint="eastAsia" w:ascii="仿宋" w:hAnsi="仿宋" w:eastAsia="仿宋" w:cs="仿宋"/>
          <w:color w:val="auto"/>
          <w:sz w:val="24"/>
          <w:szCs w:val="28"/>
          <w:highlight w:val="none"/>
          <w:lang w:val="en-US" w:eastAsia="zh-CN"/>
        </w:rPr>
        <w:t>投标报价费率</w:t>
      </w:r>
      <w:r>
        <w:rPr>
          <w:rFonts w:hint="eastAsia" w:ascii="仿宋" w:hAnsi="仿宋" w:eastAsia="仿宋" w:cs="仿宋"/>
          <w:color w:val="auto"/>
          <w:sz w:val="24"/>
          <w:szCs w:val="28"/>
          <w:highlight w:val="none"/>
        </w:rPr>
        <w:t xml:space="preserve"> </w:t>
      </w:r>
    </w:p>
    <w:p w14:paraId="76C75500">
      <w:pPr>
        <w:pStyle w:val="3"/>
        <w:pageBreakBefore w:val="0"/>
        <w:widowControl w:val="0"/>
        <w:tabs>
          <w:tab w:val="left" w:pos="446"/>
        </w:tabs>
        <w:kinsoku/>
        <w:wordWrap/>
        <w:overflowPunct/>
        <w:topLinePunct w:val="0"/>
        <w:autoSpaceDE/>
        <w:autoSpaceDN/>
        <w:bidi w:val="0"/>
        <w:spacing w:before="0" w:after="0" w:line="400" w:lineRule="exact"/>
        <w:ind w:firstLine="482" w:firstLineChars="200"/>
        <w:textAlignment w:val="auto"/>
        <w:rPr>
          <w:rFonts w:hint="eastAsia" w:ascii="仿宋" w:hAnsi="仿宋" w:eastAsia="仿宋" w:cs="仿宋"/>
          <w:b/>
          <w:color w:val="auto"/>
          <w:sz w:val="24"/>
          <w:szCs w:val="24"/>
          <w:highlight w:val="none"/>
          <w:lang w:val="en-US" w:eastAsia="zh-CN"/>
        </w:rPr>
      </w:pPr>
      <w:bookmarkStart w:id="66" w:name="_Toc24037"/>
      <w:bookmarkStart w:id="67" w:name="_Toc31699"/>
      <w:bookmarkStart w:id="68" w:name="_Toc19638"/>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付款方式</w:t>
      </w:r>
      <w:bookmarkEnd w:id="66"/>
      <w:bookmarkEnd w:id="67"/>
      <w:bookmarkEnd w:id="68"/>
    </w:p>
    <w:p w14:paraId="0395CACD">
      <w:pPr>
        <w:keepNext w:val="0"/>
        <w:keepLines w:val="0"/>
        <w:pageBreakBefore w:val="0"/>
        <w:widowControl w:val="0"/>
        <w:tabs>
          <w:tab w:val="left" w:pos="3360"/>
        </w:tabs>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一</w:t>
      </w:r>
      <w:r>
        <w:rPr>
          <w:rFonts w:hint="eastAsia" w:ascii="仿宋" w:hAnsi="仿宋" w:eastAsia="仿宋" w:cs="仿宋"/>
          <w:color w:val="auto"/>
          <w:sz w:val="24"/>
          <w:szCs w:val="28"/>
          <w:highlight w:val="none"/>
          <w:lang w:eastAsia="zh-CN"/>
        </w:rPr>
        <w:t>）中标人</w:t>
      </w:r>
      <w:r>
        <w:rPr>
          <w:rFonts w:hint="eastAsia" w:ascii="仿宋" w:hAnsi="仿宋" w:eastAsia="仿宋" w:cs="仿宋"/>
          <w:color w:val="auto"/>
          <w:sz w:val="24"/>
          <w:szCs w:val="28"/>
          <w:highlight w:val="none"/>
        </w:rPr>
        <w:t>按照采购合同交货后，</w:t>
      </w:r>
      <w:r>
        <w:rPr>
          <w:rFonts w:hint="eastAsia" w:ascii="仿宋" w:hAnsi="仿宋" w:eastAsia="仿宋" w:cs="仿宋"/>
          <w:color w:val="auto"/>
          <w:sz w:val="24"/>
          <w:szCs w:val="28"/>
          <w:highlight w:val="none"/>
          <w:lang w:eastAsia="zh-CN"/>
        </w:rPr>
        <w:t>采购人</w:t>
      </w:r>
      <w:r>
        <w:rPr>
          <w:rFonts w:hint="eastAsia" w:ascii="仿宋" w:hAnsi="仿宋" w:eastAsia="仿宋" w:cs="仿宋"/>
          <w:color w:val="auto"/>
          <w:sz w:val="24"/>
          <w:szCs w:val="28"/>
          <w:highlight w:val="none"/>
        </w:rPr>
        <w:t>出具双方签字的验收清单；</w:t>
      </w:r>
    </w:p>
    <w:p w14:paraId="54367705">
      <w:pPr>
        <w:keepNext w:val="0"/>
        <w:keepLines w:val="0"/>
        <w:pageBreakBefore w:val="0"/>
        <w:widowControl w:val="0"/>
        <w:tabs>
          <w:tab w:val="left" w:pos="3360"/>
        </w:tabs>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二</w:t>
      </w:r>
      <w:r>
        <w:rPr>
          <w:rFonts w:hint="eastAsia" w:ascii="仿宋" w:hAnsi="仿宋" w:eastAsia="仿宋" w:cs="仿宋"/>
          <w:color w:val="auto"/>
          <w:sz w:val="24"/>
          <w:szCs w:val="28"/>
          <w:highlight w:val="none"/>
          <w:lang w:eastAsia="zh-CN"/>
        </w:rPr>
        <w:t>）中标人</w:t>
      </w:r>
      <w:r>
        <w:rPr>
          <w:rFonts w:hint="eastAsia" w:ascii="仿宋" w:hAnsi="仿宋" w:eastAsia="仿宋" w:cs="仿宋"/>
          <w:color w:val="auto"/>
          <w:sz w:val="24"/>
          <w:szCs w:val="28"/>
          <w:highlight w:val="none"/>
        </w:rPr>
        <w:t>应在</w:t>
      </w:r>
      <w:r>
        <w:rPr>
          <w:rFonts w:hint="eastAsia" w:ascii="仿宋" w:hAnsi="仿宋" w:eastAsia="仿宋" w:cs="仿宋"/>
          <w:color w:val="auto"/>
          <w:sz w:val="24"/>
          <w:szCs w:val="28"/>
          <w:highlight w:val="none"/>
          <w:lang w:eastAsia="zh-CN"/>
        </w:rPr>
        <w:t>次</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10日</w:t>
      </w:r>
      <w:r>
        <w:rPr>
          <w:rFonts w:hint="eastAsia" w:ascii="仿宋" w:hAnsi="仿宋" w:eastAsia="仿宋" w:cs="仿宋"/>
          <w:color w:val="auto"/>
          <w:sz w:val="24"/>
          <w:szCs w:val="28"/>
          <w:highlight w:val="none"/>
        </w:rPr>
        <w:t>前按实向采购人开具供应货品发票并申请付款；</w:t>
      </w:r>
    </w:p>
    <w:p w14:paraId="24448BBC">
      <w:pPr>
        <w:pStyle w:val="13"/>
        <w:pageBreakBefore w:val="0"/>
        <w:tabs>
          <w:tab w:val="left" w:pos="4905"/>
        </w:tabs>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三</w:t>
      </w:r>
      <w:r>
        <w:rPr>
          <w:rFonts w:hint="eastAsia" w:ascii="仿宋" w:hAnsi="仿宋" w:eastAsia="仿宋" w:cs="仿宋"/>
          <w:color w:val="auto"/>
          <w:sz w:val="24"/>
          <w:szCs w:val="28"/>
          <w:highlight w:val="none"/>
          <w:lang w:eastAsia="zh-CN"/>
        </w:rPr>
        <w:t>）采购人</w:t>
      </w:r>
      <w:r>
        <w:rPr>
          <w:rFonts w:hint="eastAsia" w:ascii="仿宋" w:hAnsi="仿宋" w:eastAsia="仿宋" w:cs="仿宋"/>
          <w:color w:val="auto"/>
          <w:sz w:val="24"/>
          <w:szCs w:val="28"/>
          <w:highlight w:val="none"/>
        </w:rPr>
        <w:t>对</w:t>
      </w:r>
      <w:r>
        <w:rPr>
          <w:rFonts w:hint="eastAsia" w:ascii="仿宋" w:hAnsi="仿宋" w:eastAsia="仿宋" w:cs="仿宋"/>
          <w:color w:val="auto"/>
          <w:sz w:val="24"/>
          <w:szCs w:val="28"/>
          <w:highlight w:val="none"/>
          <w:lang w:eastAsia="zh-CN"/>
        </w:rPr>
        <w:t>中标人</w:t>
      </w:r>
      <w:r>
        <w:rPr>
          <w:rFonts w:hint="eastAsia" w:ascii="仿宋" w:hAnsi="仿宋" w:eastAsia="仿宋" w:cs="仿宋"/>
          <w:color w:val="auto"/>
          <w:sz w:val="24"/>
          <w:szCs w:val="28"/>
          <w:highlight w:val="none"/>
        </w:rPr>
        <w:t>提供的付款资料进行审核，通过后以转账方式支付给</w:t>
      </w:r>
      <w:r>
        <w:rPr>
          <w:rFonts w:hint="eastAsia" w:ascii="仿宋" w:hAnsi="仿宋" w:eastAsia="仿宋" w:cs="仿宋"/>
          <w:color w:val="auto"/>
          <w:sz w:val="24"/>
          <w:szCs w:val="28"/>
          <w:highlight w:val="none"/>
          <w:lang w:eastAsia="zh-CN"/>
        </w:rPr>
        <w:t>中标人</w:t>
      </w:r>
      <w:r>
        <w:rPr>
          <w:rFonts w:hint="eastAsia" w:ascii="仿宋" w:hAnsi="仿宋" w:eastAsia="仿宋" w:cs="仿宋"/>
          <w:color w:val="auto"/>
          <w:sz w:val="24"/>
          <w:szCs w:val="28"/>
          <w:highlight w:val="none"/>
        </w:rPr>
        <w:t>。</w:t>
      </w:r>
    </w:p>
    <w:p w14:paraId="4DD1653B">
      <w:pPr>
        <w:pStyle w:val="3"/>
        <w:pageBreakBefore w:val="0"/>
        <w:widowControl w:val="0"/>
        <w:kinsoku/>
        <w:wordWrap/>
        <w:overflowPunct/>
        <w:topLinePunct w:val="0"/>
        <w:autoSpaceDE/>
        <w:autoSpaceDN/>
        <w:bidi w:val="0"/>
        <w:spacing w:before="0" w:after="0" w:line="400" w:lineRule="exact"/>
        <w:ind w:firstLine="482" w:firstLineChars="200"/>
        <w:textAlignment w:val="auto"/>
        <w:rPr>
          <w:rFonts w:hint="eastAsia" w:ascii="仿宋" w:hAnsi="仿宋" w:eastAsia="仿宋" w:cs="仿宋"/>
          <w:b/>
          <w:color w:val="auto"/>
          <w:sz w:val="24"/>
          <w:szCs w:val="24"/>
          <w:highlight w:val="none"/>
          <w:lang w:val="en-US" w:eastAsia="zh-CN"/>
        </w:rPr>
      </w:pPr>
      <w:bookmarkStart w:id="69" w:name="_Toc10734"/>
      <w:bookmarkStart w:id="70" w:name="_Toc12301"/>
      <w:bookmarkStart w:id="71" w:name="_Toc14629"/>
      <w:r>
        <w:rPr>
          <w:rFonts w:hint="eastAsia" w:ascii="仿宋" w:hAnsi="仿宋" w:eastAsia="仿宋" w:cs="仿宋"/>
          <w:b/>
          <w:color w:val="auto"/>
          <w:sz w:val="24"/>
          <w:szCs w:val="24"/>
          <w:highlight w:val="none"/>
          <w:lang w:val="en-US" w:eastAsia="zh-CN"/>
        </w:rPr>
        <w:t>七、其他商务要求内容</w:t>
      </w:r>
      <w:bookmarkEnd w:id="69"/>
      <w:bookmarkEnd w:id="70"/>
      <w:bookmarkEnd w:id="71"/>
    </w:p>
    <w:p w14:paraId="75E3315D">
      <w:pPr>
        <w:keepNext w:val="0"/>
        <w:keepLines w:val="0"/>
        <w:pageBreakBefore w:val="0"/>
        <w:widowControl w:val="0"/>
        <w:tabs>
          <w:tab w:val="left" w:pos="3360"/>
        </w:tabs>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w:t>
      </w:r>
      <w:r>
        <w:rPr>
          <w:rFonts w:hint="eastAsia" w:ascii="仿宋" w:hAnsi="仿宋" w:eastAsia="仿宋" w:cs="仿宋"/>
          <w:color w:val="auto"/>
          <w:sz w:val="24"/>
          <w:szCs w:val="28"/>
          <w:highlight w:val="none"/>
          <w:lang w:eastAsia="zh-CN"/>
        </w:rPr>
        <w:t>投标人</w:t>
      </w:r>
      <w:r>
        <w:rPr>
          <w:rFonts w:hint="eastAsia" w:ascii="仿宋" w:hAnsi="仿宋" w:eastAsia="仿宋" w:cs="仿宋"/>
          <w:color w:val="auto"/>
          <w:sz w:val="24"/>
          <w:szCs w:val="28"/>
          <w:highlight w:val="none"/>
        </w:rPr>
        <w:t>必须在</w:t>
      </w:r>
      <w:r>
        <w:rPr>
          <w:rFonts w:hint="eastAsia" w:ascii="仿宋" w:hAnsi="仿宋" w:eastAsia="仿宋" w:cs="仿宋"/>
          <w:color w:val="auto"/>
          <w:sz w:val="24"/>
          <w:szCs w:val="28"/>
          <w:highlight w:val="none"/>
          <w:lang w:val="en-US" w:eastAsia="zh-CN"/>
        </w:rPr>
        <w:t>投标文件</w:t>
      </w:r>
      <w:r>
        <w:rPr>
          <w:rFonts w:hint="eastAsia" w:ascii="仿宋" w:hAnsi="仿宋" w:eastAsia="仿宋" w:cs="仿宋"/>
          <w:color w:val="auto"/>
          <w:sz w:val="24"/>
          <w:szCs w:val="28"/>
          <w:highlight w:val="none"/>
        </w:rPr>
        <w:t>中对以上条款和服务承诺明确列出，承诺内容必须达到本篇及</w:t>
      </w:r>
      <w:r>
        <w:rPr>
          <w:rFonts w:hint="eastAsia" w:ascii="仿宋" w:hAnsi="仿宋" w:eastAsia="仿宋" w:cs="仿宋"/>
          <w:color w:val="auto"/>
          <w:sz w:val="24"/>
          <w:szCs w:val="28"/>
          <w:highlight w:val="none"/>
          <w:lang w:val="en-US" w:eastAsia="zh-CN"/>
        </w:rPr>
        <w:t>招标文件</w:t>
      </w:r>
      <w:r>
        <w:rPr>
          <w:rFonts w:hint="eastAsia" w:ascii="仿宋" w:hAnsi="仿宋" w:eastAsia="仿宋" w:cs="仿宋"/>
          <w:color w:val="auto"/>
          <w:sz w:val="24"/>
          <w:szCs w:val="28"/>
          <w:highlight w:val="none"/>
        </w:rPr>
        <w:t>其他条款的要求。</w:t>
      </w:r>
    </w:p>
    <w:p w14:paraId="317D5F54">
      <w:pPr>
        <w:pStyle w:val="13"/>
        <w:pageBreakBefore w:val="0"/>
        <w:tabs>
          <w:tab w:val="left" w:pos="4905"/>
        </w:tabs>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二</w:t>
      </w:r>
      <w:r>
        <w:rPr>
          <w:rFonts w:hint="eastAsia" w:ascii="仿宋" w:hAnsi="仿宋" w:eastAsia="仿宋" w:cs="仿宋"/>
          <w:color w:val="auto"/>
          <w:sz w:val="24"/>
          <w:szCs w:val="28"/>
          <w:highlight w:val="none"/>
        </w:rPr>
        <w:t>）其他未尽事宜由供需双方在采购合同中详细约定</w:t>
      </w:r>
      <w:r>
        <w:rPr>
          <w:rFonts w:hint="eastAsia" w:ascii="仿宋" w:hAnsi="仿宋" w:eastAsia="仿宋" w:cs="仿宋"/>
          <w:color w:val="auto"/>
          <w:sz w:val="24"/>
          <w:szCs w:val="24"/>
          <w:highlight w:val="none"/>
        </w:rPr>
        <w:t>。</w:t>
      </w:r>
    </w:p>
    <w:p w14:paraId="4A69DB70">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55"/>
    <w:bookmarkEnd w:id="56"/>
    <w:p w14:paraId="5ADC851C">
      <w:pPr>
        <w:pStyle w:val="2"/>
        <w:spacing w:before="0" w:beforeLines="0" w:after="0" w:afterLines="0" w:line="240" w:lineRule="auto"/>
        <w:rPr>
          <w:rFonts w:hint="eastAsia" w:ascii="仿宋" w:hAnsi="仿宋" w:eastAsia="仿宋" w:cs="仿宋"/>
          <w:color w:val="auto"/>
          <w:highlight w:val="none"/>
        </w:rPr>
      </w:pPr>
      <w:bookmarkStart w:id="72" w:name="_Toc3211"/>
      <w:r>
        <w:rPr>
          <w:rFonts w:hint="eastAsia" w:ascii="仿宋" w:hAnsi="仿宋" w:eastAsia="仿宋" w:cs="仿宋"/>
          <w:color w:val="auto"/>
          <w:highlight w:val="none"/>
        </w:rPr>
        <w:t>第四篇  比选程序及方法、评审标准、无效响应和采购终止</w:t>
      </w:r>
      <w:bookmarkEnd w:id="72"/>
    </w:p>
    <w:p w14:paraId="4EB2A117">
      <w:pPr>
        <w:pStyle w:val="3"/>
        <w:spacing w:line="400" w:lineRule="exact"/>
        <w:ind w:firstLine="482" w:firstLineChars="200"/>
        <w:rPr>
          <w:rFonts w:hint="eastAsia" w:ascii="仿宋" w:hAnsi="仿宋" w:eastAsia="仿宋" w:cs="仿宋"/>
          <w:b/>
          <w:color w:val="auto"/>
          <w:sz w:val="24"/>
          <w:szCs w:val="24"/>
          <w:highlight w:val="none"/>
        </w:rPr>
      </w:pPr>
      <w:bookmarkStart w:id="73" w:name="_Toc73632179"/>
      <w:bookmarkStart w:id="74" w:name="_Toc492721015"/>
      <w:bookmarkStart w:id="75" w:name="_Toc8761"/>
      <w:bookmarkStart w:id="76" w:name="_Toc267320057"/>
      <w:r>
        <w:rPr>
          <w:rFonts w:hint="eastAsia" w:ascii="仿宋" w:hAnsi="仿宋" w:eastAsia="仿宋" w:cs="仿宋"/>
          <w:b/>
          <w:color w:val="auto"/>
          <w:sz w:val="24"/>
          <w:szCs w:val="24"/>
          <w:highlight w:val="none"/>
        </w:rPr>
        <w:t>一、资格审查</w:t>
      </w:r>
      <w:bookmarkEnd w:id="73"/>
      <w:bookmarkEnd w:id="74"/>
      <w:bookmarkEnd w:id="75"/>
    </w:p>
    <w:p w14:paraId="0609189C">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依据政府采购相关法律法规规定,由</w:t>
      </w:r>
      <w:r>
        <w:rPr>
          <w:rFonts w:hint="eastAsia" w:ascii="仿宋" w:hAnsi="仿宋" w:eastAsia="仿宋" w:cs="仿宋"/>
          <w:color w:val="auto"/>
          <w:kern w:val="0"/>
          <w:sz w:val="24"/>
          <w:szCs w:val="24"/>
          <w:highlight w:val="none"/>
          <w:lang w:val="en-US" w:eastAsia="zh-CN"/>
        </w:rPr>
        <w:t>比选小组</w:t>
      </w:r>
      <w:r>
        <w:rPr>
          <w:rFonts w:hint="eastAsia" w:ascii="仿宋" w:hAnsi="仿宋" w:eastAsia="仿宋" w:cs="仿宋"/>
          <w:color w:val="auto"/>
          <w:kern w:val="0"/>
          <w:sz w:val="24"/>
          <w:szCs w:val="24"/>
          <w:highlight w:val="none"/>
        </w:rPr>
        <w:t>对投标文件中的资格证明文件进行审查。资格审查资料表如下：</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6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3351019">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8D0A06">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201ABE7">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685A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E2EECDB">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14:paraId="25FBDA43">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118" w:type="dxa"/>
            <w:vAlign w:val="center"/>
          </w:tcPr>
          <w:p w14:paraId="6AE21A3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14:paraId="3E1096C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法人营业执照（副本）或事业单位法人证书（副本）或个体工商户营业执照或有效的自然人身份证明或社会团体法人登记证书（提供复印件）。 </w:t>
            </w:r>
          </w:p>
          <w:p w14:paraId="69A8883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法定代表人身份证明和法定代表人授权代表委托书。</w:t>
            </w:r>
          </w:p>
        </w:tc>
      </w:tr>
      <w:tr w14:paraId="446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05AC4C">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508EE8D5">
            <w:pPr>
              <w:spacing w:line="400" w:lineRule="exact"/>
              <w:rPr>
                <w:rFonts w:hint="eastAsia" w:ascii="仿宋" w:hAnsi="仿宋" w:eastAsia="仿宋" w:cs="仿宋"/>
                <w:color w:val="auto"/>
                <w:sz w:val="24"/>
                <w:szCs w:val="24"/>
                <w:highlight w:val="none"/>
                <w:lang w:val="zh-CN"/>
              </w:rPr>
            </w:pPr>
          </w:p>
        </w:tc>
        <w:tc>
          <w:tcPr>
            <w:tcW w:w="3118" w:type="dxa"/>
            <w:vAlign w:val="center"/>
          </w:tcPr>
          <w:p w14:paraId="35A79C2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14:paraId="5354D1B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提供“基本资格条件承诺函”（详见第七篇）</w:t>
            </w:r>
          </w:p>
        </w:tc>
      </w:tr>
      <w:tr w14:paraId="37F4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C4327D">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6C11183">
            <w:pPr>
              <w:spacing w:line="400" w:lineRule="exact"/>
              <w:rPr>
                <w:rFonts w:hint="eastAsia" w:ascii="仿宋" w:hAnsi="仿宋" w:eastAsia="仿宋" w:cs="仿宋"/>
                <w:color w:val="auto"/>
                <w:sz w:val="24"/>
                <w:szCs w:val="24"/>
                <w:highlight w:val="none"/>
                <w:lang w:val="zh-CN"/>
              </w:rPr>
            </w:pPr>
          </w:p>
        </w:tc>
        <w:tc>
          <w:tcPr>
            <w:tcW w:w="3118" w:type="dxa"/>
            <w:vAlign w:val="center"/>
          </w:tcPr>
          <w:p w14:paraId="46710DB3">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14:paraId="69A89CA6">
            <w:pPr>
              <w:spacing w:line="400" w:lineRule="exact"/>
              <w:rPr>
                <w:rFonts w:hint="eastAsia" w:ascii="仿宋" w:hAnsi="仿宋" w:eastAsia="仿宋" w:cs="仿宋"/>
                <w:color w:val="auto"/>
                <w:sz w:val="24"/>
                <w:szCs w:val="24"/>
                <w:highlight w:val="none"/>
              </w:rPr>
            </w:pPr>
          </w:p>
        </w:tc>
      </w:tr>
      <w:tr w14:paraId="5CB1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A3A964">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6BE4471">
            <w:pPr>
              <w:spacing w:line="400" w:lineRule="exact"/>
              <w:rPr>
                <w:rFonts w:hint="eastAsia" w:ascii="仿宋" w:hAnsi="仿宋" w:eastAsia="仿宋" w:cs="仿宋"/>
                <w:color w:val="auto"/>
                <w:sz w:val="24"/>
                <w:szCs w:val="24"/>
                <w:highlight w:val="none"/>
                <w:lang w:val="zh-CN"/>
              </w:rPr>
            </w:pPr>
          </w:p>
        </w:tc>
        <w:tc>
          <w:tcPr>
            <w:tcW w:w="3118" w:type="dxa"/>
            <w:vAlign w:val="center"/>
          </w:tcPr>
          <w:p w14:paraId="1240B26C">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14:paraId="0A275A99">
            <w:pPr>
              <w:spacing w:line="400" w:lineRule="exact"/>
              <w:rPr>
                <w:rFonts w:hint="eastAsia" w:ascii="仿宋" w:hAnsi="仿宋" w:eastAsia="仿宋" w:cs="仿宋"/>
                <w:color w:val="auto"/>
                <w:sz w:val="24"/>
                <w:szCs w:val="24"/>
                <w:highlight w:val="none"/>
              </w:rPr>
            </w:pPr>
          </w:p>
        </w:tc>
      </w:tr>
      <w:tr w14:paraId="3105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6C383E">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56737C59">
            <w:pPr>
              <w:spacing w:line="400" w:lineRule="exact"/>
              <w:rPr>
                <w:rFonts w:hint="eastAsia" w:ascii="仿宋" w:hAnsi="仿宋" w:eastAsia="仿宋" w:cs="仿宋"/>
                <w:color w:val="auto"/>
                <w:sz w:val="24"/>
                <w:szCs w:val="24"/>
                <w:highlight w:val="none"/>
                <w:lang w:val="zh-CN"/>
              </w:rPr>
            </w:pPr>
          </w:p>
        </w:tc>
        <w:tc>
          <w:tcPr>
            <w:tcW w:w="3118" w:type="dxa"/>
            <w:vAlign w:val="center"/>
          </w:tcPr>
          <w:p w14:paraId="5BB1E2DF">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eq \o\ac(</w:instrText>
            </w:r>
            <w:r>
              <w:rPr>
                <w:rFonts w:hint="eastAsia" w:ascii="仿宋" w:hAnsi="仿宋" w:eastAsia="仿宋" w:cs="仿宋"/>
                <w:color w:val="auto"/>
                <w:kern w:val="0"/>
                <w:position w:val="-4"/>
                <w:sz w:val="36"/>
                <w:szCs w:val="24"/>
                <w:highlight w:val="none"/>
              </w:rPr>
              <w:instrText xml:space="preserve">○</w:instrText>
            </w:r>
            <w:r>
              <w:rPr>
                <w:rFonts w:hint="eastAsia" w:ascii="仿宋" w:hAnsi="仿宋" w:eastAsia="仿宋" w:cs="仿宋"/>
                <w:color w:val="auto"/>
                <w:kern w:val="0"/>
                <w:position w:val="0"/>
                <w:sz w:val="24"/>
                <w:szCs w:val="24"/>
                <w:highlight w:val="none"/>
              </w:rPr>
              <w:instrText xml:space="preserve">,2)</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sz w:val="24"/>
                <w:szCs w:val="24"/>
                <w:highlight w:val="none"/>
              </w:rPr>
              <w:t>）</w:t>
            </w:r>
          </w:p>
        </w:tc>
        <w:tc>
          <w:tcPr>
            <w:tcW w:w="4984" w:type="dxa"/>
            <w:vMerge w:val="continue"/>
            <w:vAlign w:val="center"/>
          </w:tcPr>
          <w:p w14:paraId="5BA2551C">
            <w:pPr>
              <w:spacing w:line="400" w:lineRule="exact"/>
              <w:rPr>
                <w:rFonts w:hint="eastAsia" w:ascii="仿宋" w:hAnsi="仿宋" w:eastAsia="仿宋" w:cs="仿宋"/>
                <w:color w:val="auto"/>
                <w:sz w:val="24"/>
                <w:szCs w:val="24"/>
                <w:highlight w:val="none"/>
              </w:rPr>
            </w:pPr>
          </w:p>
        </w:tc>
      </w:tr>
      <w:tr w14:paraId="1770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1C155A8">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4CC91A4">
            <w:pPr>
              <w:spacing w:line="400" w:lineRule="exact"/>
              <w:rPr>
                <w:rFonts w:hint="eastAsia" w:ascii="仿宋" w:hAnsi="仿宋" w:eastAsia="仿宋" w:cs="仿宋"/>
                <w:color w:val="auto"/>
                <w:sz w:val="24"/>
                <w:szCs w:val="24"/>
                <w:highlight w:val="none"/>
              </w:rPr>
            </w:pPr>
          </w:p>
        </w:tc>
        <w:tc>
          <w:tcPr>
            <w:tcW w:w="3118" w:type="dxa"/>
            <w:vAlign w:val="center"/>
          </w:tcPr>
          <w:p w14:paraId="44870D4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14:paraId="097D14CE">
            <w:pPr>
              <w:spacing w:line="400" w:lineRule="exact"/>
              <w:jc w:val="center"/>
              <w:rPr>
                <w:rFonts w:hint="eastAsia" w:ascii="仿宋" w:hAnsi="仿宋" w:eastAsia="仿宋" w:cs="仿宋"/>
                <w:color w:val="auto"/>
                <w:sz w:val="24"/>
                <w:szCs w:val="24"/>
                <w:highlight w:val="none"/>
              </w:rPr>
            </w:pPr>
          </w:p>
        </w:tc>
      </w:tr>
      <w:tr w14:paraId="08A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B4A9F73">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37BCA31">
            <w:pPr>
              <w:spacing w:line="400" w:lineRule="exact"/>
              <w:rPr>
                <w:rFonts w:hint="eastAsia" w:ascii="仿宋" w:hAnsi="仿宋" w:eastAsia="仿宋" w:cs="仿宋"/>
                <w:color w:val="auto"/>
                <w:sz w:val="24"/>
                <w:szCs w:val="24"/>
                <w:highlight w:val="none"/>
              </w:rPr>
            </w:pPr>
          </w:p>
        </w:tc>
        <w:tc>
          <w:tcPr>
            <w:tcW w:w="3118" w:type="dxa"/>
            <w:vAlign w:val="center"/>
          </w:tcPr>
          <w:p w14:paraId="6F1B2BA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vAlign w:val="center"/>
          </w:tcPr>
          <w:p w14:paraId="2731D858">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按第一篇“三、投标人资格要求（</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）本项目的特定资格要求”的要求提交（如果有）。</w:t>
            </w:r>
          </w:p>
        </w:tc>
      </w:tr>
      <w:tr w14:paraId="129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D302C4">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827" w:type="dxa"/>
            <w:gridSpan w:val="2"/>
            <w:vAlign w:val="center"/>
          </w:tcPr>
          <w:p w14:paraId="61F98E2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落实政府采购政策需满足的资格要求</w:t>
            </w:r>
          </w:p>
        </w:tc>
        <w:tc>
          <w:tcPr>
            <w:tcW w:w="4984" w:type="dxa"/>
            <w:vAlign w:val="center"/>
          </w:tcPr>
          <w:p w14:paraId="6BCE498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按第一篇“三、投标人资格要求（二）落实政府采购政策需满足的资格要求”的要求提交（如果有）。</w:t>
            </w:r>
          </w:p>
        </w:tc>
      </w:tr>
      <w:tr w14:paraId="3E4D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9B5C6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827" w:type="dxa"/>
            <w:gridSpan w:val="2"/>
            <w:vAlign w:val="center"/>
          </w:tcPr>
          <w:p w14:paraId="2033D78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w:t>
            </w:r>
          </w:p>
        </w:tc>
        <w:tc>
          <w:tcPr>
            <w:tcW w:w="4984" w:type="dxa"/>
            <w:vAlign w:val="center"/>
          </w:tcPr>
          <w:p w14:paraId="0165C10A">
            <w:pPr>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3866FECF">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1 \* GB3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按“三证合一”登记制度办理营业执照的，组织机构代码证和税务登记证以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所提供的法人营业执照（副本）复印件为准。</w:t>
      </w:r>
    </w:p>
    <w:p w14:paraId="3BA50874">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2 \* GB3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应对所提供的全部资料的真实性负责，如提供虚假材料，一经查实，将取消比选资格或</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资格，并且其比选保证金不予退还，并按照相关法律法规的规定进行处理。</w:t>
      </w:r>
    </w:p>
    <w:p w14:paraId="3E243BD9">
      <w:pPr>
        <w:pStyle w:val="3"/>
        <w:spacing w:line="400" w:lineRule="exact"/>
        <w:ind w:firstLine="482" w:firstLineChars="200"/>
        <w:rPr>
          <w:rFonts w:hint="eastAsia" w:ascii="仿宋" w:hAnsi="仿宋" w:eastAsia="仿宋" w:cs="仿宋"/>
          <w:b/>
          <w:color w:val="auto"/>
          <w:sz w:val="24"/>
          <w:szCs w:val="24"/>
          <w:highlight w:val="none"/>
        </w:rPr>
      </w:pPr>
      <w:bookmarkStart w:id="77" w:name="_Toc73632180"/>
      <w:bookmarkStart w:id="78" w:name="_Toc13197"/>
      <w:bookmarkStart w:id="79" w:name="_Toc492721016"/>
      <w:r>
        <w:rPr>
          <w:rFonts w:hint="eastAsia" w:ascii="仿宋" w:hAnsi="仿宋" w:eastAsia="仿宋" w:cs="仿宋"/>
          <w:b/>
          <w:color w:val="auto"/>
          <w:sz w:val="24"/>
          <w:szCs w:val="24"/>
          <w:highlight w:val="none"/>
        </w:rPr>
        <w:t>二、评审方法</w:t>
      </w:r>
      <w:bookmarkEnd w:id="77"/>
      <w:bookmarkEnd w:id="78"/>
      <w:bookmarkEnd w:id="79"/>
    </w:p>
    <w:p w14:paraId="28623A6D">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本项目采用综合评分法进行评审。</w:t>
      </w:r>
    </w:p>
    <w:p w14:paraId="1641B80A">
      <w:pPr>
        <w:snapToGrid w:val="0"/>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综合评分法，是指投标文件满足比选文件全部实质性要求且按照评审因素的量化指标评审得分最高的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的评审方法。</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总得分为价格、商务、服务等评定因素分别按照相应权重值计算分项得分后相加，满分为100分。</w:t>
      </w:r>
    </w:p>
    <w:p w14:paraId="11DD59A6">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（一）符合性审查</w:t>
      </w:r>
    </w:p>
    <w:p w14:paraId="5B1B23B6">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评审小组应当对符合资格的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的投标文件进行符合性审查，以确定其是否满足竞争性比选文件的实质性要求。符合性审查资料表如下：</w:t>
      </w:r>
    </w:p>
    <w:tbl>
      <w:tblPr>
        <w:tblStyle w:val="24"/>
        <w:tblW w:w="94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1809"/>
        <w:gridCol w:w="5409"/>
      </w:tblGrid>
      <w:tr w14:paraId="5AD0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8" w:type="dxa"/>
            <w:vAlign w:val="center"/>
          </w:tcPr>
          <w:p w14:paraId="1D4EB5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51" w:type="dxa"/>
            <w:gridSpan w:val="2"/>
            <w:vAlign w:val="center"/>
          </w:tcPr>
          <w:p w14:paraId="1C429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14:paraId="33B97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3A8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Merge w:val="restart"/>
            <w:vAlign w:val="center"/>
          </w:tcPr>
          <w:p w14:paraId="45A892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42" w:type="dxa"/>
            <w:vMerge w:val="restart"/>
            <w:vAlign w:val="center"/>
          </w:tcPr>
          <w:p w14:paraId="2E027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809" w:type="dxa"/>
            <w:vAlign w:val="center"/>
          </w:tcPr>
          <w:p w14:paraId="342567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投标文件签署</w:t>
            </w:r>
          </w:p>
        </w:tc>
        <w:tc>
          <w:tcPr>
            <w:tcW w:w="5409" w:type="dxa"/>
            <w:vAlign w:val="center"/>
          </w:tcPr>
          <w:p w14:paraId="44ECA8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投标文件上法定代表人或其授权代表人的签字齐全。</w:t>
            </w:r>
          </w:p>
        </w:tc>
      </w:tr>
      <w:tr w14:paraId="71E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vMerge w:val="continue"/>
            <w:vAlign w:val="center"/>
          </w:tcPr>
          <w:p w14:paraId="706A0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p>
        </w:tc>
        <w:tc>
          <w:tcPr>
            <w:tcW w:w="1542" w:type="dxa"/>
            <w:vMerge w:val="continue"/>
            <w:vAlign w:val="center"/>
          </w:tcPr>
          <w:p w14:paraId="26A8A9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p>
        </w:tc>
        <w:tc>
          <w:tcPr>
            <w:tcW w:w="1809" w:type="dxa"/>
            <w:vAlign w:val="center"/>
          </w:tcPr>
          <w:p w14:paraId="1EBD20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参选</w:t>
            </w:r>
            <w:r>
              <w:rPr>
                <w:rFonts w:hint="eastAsia" w:ascii="仿宋" w:hAnsi="仿宋" w:eastAsia="仿宋" w:cs="仿宋"/>
                <w:color w:val="auto"/>
                <w:sz w:val="24"/>
                <w:szCs w:val="24"/>
                <w:highlight w:val="none"/>
                <w:lang w:val="zh-CN"/>
              </w:rPr>
              <w:t>方案</w:t>
            </w:r>
          </w:p>
        </w:tc>
        <w:tc>
          <w:tcPr>
            <w:tcW w:w="5409" w:type="dxa"/>
            <w:vAlign w:val="center"/>
          </w:tcPr>
          <w:p w14:paraId="16DD84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每个包只能有一个方案参选。</w:t>
            </w:r>
          </w:p>
        </w:tc>
      </w:tr>
      <w:tr w14:paraId="6775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vMerge w:val="continue"/>
            <w:vAlign w:val="center"/>
          </w:tcPr>
          <w:p w14:paraId="10F848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p>
        </w:tc>
        <w:tc>
          <w:tcPr>
            <w:tcW w:w="1542" w:type="dxa"/>
            <w:vMerge w:val="continue"/>
            <w:vAlign w:val="center"/>
          </w:tcPr>
          <w:p w14:paraId="428EA7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p>
        </w:tc>
        <w:tc>
          <w:tcPr>
            <w:tcW w:w="1809" w:type="dxa"/>
            <w:vAlign w:val="center"/>
          </w:tcPr>
          <w:p w14:paraId="216CEC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460554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405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8" w:type="dxa"/>
            <w:vAlign w:val="center"/>
          </w:tcPr>
          <w:p w14:paraId="62A6DC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2" w:type="dxa"/>
            <w:vAlign w:val="center"/>
          </w:tcPr>
          <w:p w14:paraId="515C23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809" w:type="dxa"/>
            <w:vAlign w:val="center"/>
          </w:tcPr>
          <w:p w14:paraId="1AA8E2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投标文件份数</w:t>
            </w:r>
          </w:p>
        </w:tc>
        <w:tc>
          <w:tcPr>
            <w:tcW w:w="5409" w:type="dxa"/>
            <w:vAlign w:val="center"/>
          </w:tcPr>
          <w:p w14:paraId="72302F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投标文件正、副本、</w:t>
            </w:r>
            <w:r>
              <w:rPr>
                <w:rFonts w:hint="eastAsia" w:ascii="仿宋" w:hAnsi="仿宋" w:eastAsia="仿宋" w:cs="仿宋"/>
                <w:color w:val="auto"/>
                <w:sz w:val="24"/>
                <w:szCs w:val="24"/>
                <w:highlight w:val="none"/>
                <w:lang w:val="en-US" w:eastAsia="zh-CN"/>
              </w:rPr>
              <w:t>电子文档</w:t>
            </w:r>
            <w:r>
              <w:rPr>
                <w:rFonts w:hint="eastAsia" w:ascii="仿宋" w:hAnsi="仿宋" w:eastAsia="仿宋" w:cs="仿宋"/>
                <w:color w:val="auto"/>
                <w:sz w:val="24"/>
                <w:szCs w:val="24"/>
                <w:highlight w:val="none"/>
                <w:lang w:val="zh-CN"/>
              </w:rPr>
              <w:t>数量符合比选文件要求。</w:t>
            </w:r>
          </w:p>
        </w:tc>
      </w:tr>
      <w:tr w14:paraId="70C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dxa"/>
            <w:vAlign w:val="center"/>
          </w:tcPr>
          <w:p w14:paraId="1B41C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2" w:type="dxa"/>
            <w:vAlign w:val="center"/>
          </w:tcPr>
          <w:p w14:paraId="6F4848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服务部分</w:t>
            </w:r>
          </w:p>
        </w:tc>
        <w:tc>
          <w:tcPr>
            <w:tcW w:w="1809" w:type="dxa"/>
            <w:vAlign w:val="center"/>
          </w:tcPr>
          <w:p w14:paraId="09BC46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投标文件内容</w:t>
            </w:r>
          </w:p>
        </w:tc>
        <w:tc>
          <w:tcPr>
            <w:tcW w:w="5409" w:type="dxa"/>
            <w:vAlign w:val="center"/>
          </w:tcPr>
          <w:p w14:paraId="6D3623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本比选文件第二篇规定的比选内容作出响应</w:t>
            </w:r>
          </w:p>
        </w:tc>
      </w:tr>
      <w:tr w14:paraId="4F03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D0E7E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42" w:type="dxa"/>
            <w:vAlign w:val="center"/>
          </w:tcPr>
          <w:p w14:paraId="1287CF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809" w:type="dxa"/>
            <w:vAlign w:val="center"/>
          </w:tcPr>
          <w:p w14:paraId="1CDDB2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投标文件内容</w:t>
            </w:r>
          </w:p>
        </w:tc>
        <w:tc>
          <w:tcPr>
            <w:tcW w:w="5409" w:type="dxa"/>
            <w:vAlign w:val="center"/>
          </w:tcPr>
          <w:p w14:paraId="698A98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本比选文件第三篇规定的比选内容作出响应</w:t>
            </w:r>
          </w:p>
        </w:tc>
      </w:tr>
      <w:tr w14:paraId="66C3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AC62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542" w:type="dxa"/>
            <w:vAlign w:val="center"/>
          </w:tcPr>
          <w:p w14:paraId="2288E5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选有效期</w:t>
            </w:r>
          </w:p>
        </w:tc>
        <w:tc>
          <w:tcPr>
            <w:tcW w:w="1809" w:type="dxa"/>
            <w:vAlign w:val="center"/>
          </w:tcPr>
          <w:p w14:paraId="6ED054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投标文件内容</w:t>
            </w:r>
          </w:p>
        </w:tc>
        <w:tc>
          <w:tcPr>
            <w:tcW w:w="5409" w:type="dxa"/>
            <w:vAlign w:val="center"/>
          </w:tcPr>
          <w:p w14:paraId="3EBF1E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选有效期为</w:t>
            </w: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选截止日期后九十天内</w:t>
            </w:r>
          </w:p>
        </w:tc>
      </w:tr>
    </w:tbl>
    <w:p w14:paraId="4B3205E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（二）澄清有关问题。对投标文件中含义不明确、同类问题表述不一致或者有明显文字和计算错误的内容，评审小组可以书面形式（应当由评审小组成员签字）要求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作出必要澄清、说明或者纠正。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的澄清、说明或者补正应当采用书面形式，由其法定代表人或法定代表人授权代表签字，其澄清的内容不得超出比选文件的范围或者改变比选文件的实质性内容。</w:t>
      </w:r>
    </w:p>
    <w:p w14:paraId="008800B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（三）比较与评价。按竞争性比选文件中规定的评审方法和标准，对资格审查和符合性审查合格的投标文件分别进行商务、价格评分。</w:t>
      </w:r>
    </w:p>
    <w:p w14:paraId="5FF3245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评审小组各成员独立对每个有效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（通过资格审查、</w:t>
      </w:r>
      <w:r>
        <w:rPr>
          <w:rFonts w:hint="eastAsia" w:ascii="仿宋" w:hAnsi="仿宋" w:eastAsia="仿宋" w:cs="仿宋"/>
          <w:color w:val="auto"/>
          <w:kern w:val="0"/>
          <w:sz w:val="24"/>
          <w:szCs w:val="24"/>
          <w:highlight w:val="none"/>
        </w:rPr>
        <w:t>符合性审查的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sz w:val="24"/>
          <w:szCs w:val="24"/>
          <w:highlight w:val="none"/>
        </w:rPr>
        <w:t>）的投标文件进行评价、打分，然后由评审小组对各成员打分情况进行核查及复核，个别成员对同一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同一评分项的打分偏离较大的，应对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的投标文件进行再次核对，确属打分有误的，应及时进行修正。复核后，评审小组汇总每个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每项评分因素的得分。</w:t>
      </w:r>
    </w:p>
    <w:p w14:paraId="19FF519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A7879E4">
      <w:pPr>
        <w:pStyle w:val="3"/>
        <w:spacing w:line="400" w:lineRule="exact"/>
        <w:ind w:firstLine="482" w:firstLineChars="200"/>
        <w:rPr>
          <w:rFonts w:hint="eastAsia" w:ascii="仿宋" w:hAnsi="仿宋" w:eastAsia="仿宋" w:cs="仿宋"/>
          <w:b/>
          <w:color w:val="auto"/>
          <w:sz w:val="24"/>
          <w:szCs w:val="24"/>
          <w:highlight w:val="none"/>
        </w:rPr>
      </w:pPr>
      <w:bookmarkStart w:id="80" w:name="_Toc10151"/>
      <w:r>
        <w:rPr>
          <w:rFonts w:hint="eastAsia" w:ascii="仿宋" w:hAnsi="仿宋" w:eastAsia="仿宋" w:cs="仿宋"/>
          <w:b/>
          <w:color w:val="auto"/>
          <w:sz w:val="24"/>
          <w:szCs w:val="24"/>
          <w:highlight w:val="none"/>
        </w:rPr>
        <w:t>三、评审标准</w:t>
      </w:r>
      <w:bookmarkEnd w:id="80"/>
    </w:p>
    <w:bookmarkEnd w:id="76"/>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99"/>
        <w:gridCol w:w="943"/>
        <w:gridCol w:w="3643"/>
        <w:gridCol w:w="3112"/>
      </w:tblGrid>
      <w:tr w14:paraId="004F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0FC857D1">
            <w:pPr>
              <w:ind w:firstLine="28"/>
              <w:jc w:val="center"/>
              <w:rPr>
                <w:rFonts w:hint="eastAsia" w:ascii="仿宋" w:hAnsi="仿宋" w:eastAsia="仿宋" w:cs="仿宋"/>
                <w:b/>
                <w:color w:val="auto"/>
                <w:sz w:val="24"/>
                <w:szCs w:val="24"/>
              </w:rPr>
            </w:pPr>
            <w:bookmarkStart w:id="81" w:name="_Toc439685496"/>
            <w:r>
              <w:rPr>
                <w:rFonts w:hint="eastAsia" w:ascii="仿宋" w:hAnsi="仿宋" w:eastAsia="仿宋" w:cs="仿宋"/>
                <w:b/>
                <w:color w:val="auto"/>
                <w:sz w:val="24"/>
                <w:szCs w:val="24"/>
              </w:rPr>
              <w:t>序号</w:t>
            </w:r>
          </w:p>
        </w:tc>
        <w:tc>
          <w:tcPr>
            <w:tcW w:w="1399" w:type="dxa"/>
            <w:noWrap w:val="0"/>
            <w:vAlign w:val="center"/>
          </w:tcPr>
          <w:p w14:paraId="20119E75">
            <w:pPr>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评分因素及权值</w:t>
            </w:r>
          </w:p>
        </w:tc>
        <w:tc>
          <w:tcPr>
            <w:tcW w:w="943" w:type="dxa"/>
            <w:noWrap w:val="0"/>
            <w:vAlign w:val="center"/>
          </w:tcPr>
          <w:p w14:paraId="602C6234">
            <w:pPr>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3643" w:type="dxa"/>
            <w:noWrap w:val="0"/>
            <w:vAlign w:val="center"/>
          </w:tcPr>
          <w:p w14:paraId="7C93474C">
            <w:pPr>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c>
          <w:tcPr>
            <w:tcW w:w="3112" w:type="dxa"/>
            <w:noWrap w:val="0"/>
            <w:vAlign w:val="center"/>
          </w:tcPr>
          <w:p w14:paraId="7401246E">
            <w:pPr>
              <w:pStyle w:val="47"/>
              <w:spacing w:before="0" w:after="0" w:line="240" w:lineRule="auto"/>
              <w:ind w:left="1540" w:hanging="420"/>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14:paraId="54E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24BC653C">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99" w:type="dxa"/>
            <w:noWrap w:val="0"/>
            <w:vAlign w:val="center"/>
          </w:tcPr>
          <w:p w14:paraId="30683CFA">
            <w:pPr>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投标报价</w:t>
            </w:r>
          </w:p>
          <w:p w14:paraId="16BD7E79">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943" w:type="dxa"/>
            <w:noWrap w:val="0"/>
            <w:vAlign w:val="center"/>
          </w:tcPr>
          <w:p w14:paraId="5BC1FCCF">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3643" w:type="dxa"/>
            <w:noWrap w:val="0"/>
            <w:vAlign w:val="center"/>
          </w:tcPr>
          <w:p w14:paraId="55271A17">
            <w:pPr>
              <w:topLinePunct/>
              <w:autoSpaceDN w:val="0"/>
              <w:adjustRightInd w:val="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有效的投标报价中的最低</w:t>
            </w:r>
            <w:r>
              <w:rPr>
                <w:rFonts w:hint="eastAsia" w:ascii="仿宋" w:hAnsi="仿宋" w:eastAsia="仿宋" w:cs="仿宋"/>
                <w:color w:val="auto"/>
                <w:kern w:val="0"/>
                <w:sz w:val="24"/>
                <w:szCs w:val="24"/>
                <w:lang w:val="en-US" w:eastAsia="zh-CN"/>
              </w:rPr>
              <w:t>的投标报价</w:t>
            </w:r>
            <w:r>
              <w:rPr>
                <w:rFonts w:hint="eastAsia" w:ascii="仿宋" w:hAnsi="仿宋" w:eastAsia="仿宋" w:cs="仿宋"/>
                <w:color w:val="auto"/>
                <w:kern w:val="0"/>
                <w:sz w:val="24"/>
                <w:szCs w:val="24"/>
                <w:lang w:val="zh-CN"/>
              </w:rPr>
              <w:t>为评标基准价，其</w:t>
            </w:r>
            <w:r>
              <w:rPr>
                <w:rFonts w:hint="eastAsia" w:ascii="仿宋" w:hAnsi="仿宋" w:eastAsia="仿宋" w:cs="仿宋"/>
                <w:color w:val="auto"/>
                <w:kern w:val="0"/>
                <w:sz w:val="24"/>
                <w:szCs w:val="24"/>
                <w:lang w:eastAsia="zh-CN"/>
              </w:rPr>
              <w:t>投标报价</w:t>
            </w:r>
            <w:r>
              <w:rPr>
                <w:rFonts w:hint="eastAsia" w:ascii="仿宋" w:hAnsi="仿宋" w:eastAsia="仿宋" w:cs="仿宋"/>
                <w:color w:val="auto"/>
                <w:kern w:val="0"/>
                <w:sz w:val="24"/>
                <w:szCs w:val="24"/>
                <w:lang w:val="zh-CN"/>
              </w:rPr>
              <w:t>得分为满分。其他投标人的</w:t>
            </w:r>
            <w:r>
              <w:rPr>
                <w:rFonts w:hint="eastAsia" w:ascii="仿宋" w:hAnsi="仿宋" w:eastAsia="仿宋" w:cs="仿宋"/>
                <w:color w:val="auto"/>
                <w:kern w:val="0"/>
                <w:sz w:val="24"/>
                <w:szCs w:val="24"/>
                <w:lang w:eastAsia="zh-CN"/>
              </w:rPr>
              <w:t>投标报价</w:t>
            </w:r>
            <w:r>
              <w:rPr>
                <w:rFonts w:hint="eastAsia" w:ascii="仿宋" w:hAnsi="仿宋" w:eastAsia="仿宋" w:cs="仿宋"/>
                <w:color w:val="auto"/>
                <w:kern w:val="0"/>
                <w:sz w:val="24"/>
                <w:szCs w:val="24"/>
                <w:lang w:val="zh-CN"/>
              </w:rPr>
              <w:t>得分统一按照下列公式计算：</w:t>
            </w:r>
          </w:p>
          <w:p w14:paraId="213A180C">
            <w:pP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投标报价</w:t>
            </w:r>
            <w:r>
              <w:rPr>
                <w:rFonts w:hint="eastAsia" w:ascii="仿宋" w:hAnsi="仿宋" w:eastAsia="仿宋" w:cs="仿宋"/>
                <w:color w:val="auto"/>
                <w:kern w:val="0"/>
                <w:sz w:val="24"/>
                <w:szCs w:val="24"/>
                <w:lang w:val="zh-CN"/>
              </w:rPr>
              <w:t>得分＝（评标基准价/</w:t>
            </w:r>
            <w:r>
              <w:rPr>
                <w:rFonts w:hint="eastAsia" w:ascii="仿宋" w:hAnsi="仿宋" w:eastAsia="仿宋" w:cs="仿宋"/>
                <w:color w:val="auto"/>
                <w:kern w:val="0"/>
                <w:sz w:val="24"/>
                <w:szCs w:val="24"/>
                <w:lang w:eastAsia="zh-CN"/>
              </w:rPr>
              <w:t>投标报价</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30%</w:t>
            </w:r>
            <w:r>
              <w:rPr>
                <w:rFonts w:hint="eastAsia" w:ascii="仿宋" w:hAnsi="仿宋" w:eastAsia="仿宋" w:cs="仿宋"/>
                <w:color w:val="auto"/>
                <w:kern w:val="0"/>
                <w:sz w:val="24"/>
                <w:szCs w:val="24"/>
                <w:lang w:val="zh-CN"/>
              </w:rPr>
              <w:t>×100。</w:t>
            </w:r>
          </w:p>
        </w:tc>
        <w:tc>
          <w:tcPr>
            <w:tcW w:w="3112" w:type="dxa"/>
            <w:noWrap w:val="0"/>
            <w:vAlign w:val="center"/>
          </w:tcPr>
          <w:p w14:paraId="506C195F">
            <w:pPr>
              <w:ind w:left="-3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超过限价报价视为无效响应。</w:t>
            </w:r>
          </w:p>
        </w:tc>
      </w:tr>
      <w:tr w14:paraId="0D8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noWrap w:val="0"/>
            <w:vAlign w:val="center"/>
          </w:tcPr>
          <w:p w14:paraId="53044A6E">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99" w:type="dxa"/>
            <w:vMerge w:val="restart"/>
            <w:noWrap w:val="0"/>
            <w:vAlign w:val="center"/>
          </w:tcPr>
          <w:p w14:paraId="540CF2CC">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服务部分</w:t>
            </w:r>
          </w:p>
          <w:p w14:paraId="7764B094">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0%）</w:t>
            </w:r>
          </w:p>
        </w:tc>
        <w:tc>
          <w:tcPr>
            <w:tcW w:w="943" w:type="dxa"/>
            <w:vMerge w:val="restart"/>
            <w:noWrap w:val="0"/>
            <w:vAlign w:val="center"/>
          </w:tcPr>
          <w:p w14:paraId="4AF0FBE5">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0</w:t>
            </w:r>
          </w:p>
        </w:tc>
        <w:tc>
          <w:tcPr>
            <w:tcW w:w="3643" w:type="dxa"/>
            <w:tcBorders>
              <w:bottom w:val="single" w:color="auto" w:sz="4" w:space="0"/>
            </w:tcBorders>
            <w:noWrap w:val="0"/>
            <w:vAlign w:val="center"/>
          </w:tcPr>
          <w:p w14:paraId="354DCB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1、配送车辆（</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p w14:paraId="0428760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供应商为本项目配置配送车辆，每提供1台得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分；最高的</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3112" w:type="dxa"/>
            <w:tcBorders>
              <w:bottom w:val="single" w:color="auto" w:sz="4" w:space="0"/>
            </w:tcBorders>
            <w:noWrap w:val="0"/>
            <w:vAlign w:val="center"/>
          </w:tcPr>
          <w:p w14:paraId="2E6D6FD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1.车辆为自有的，提供常温配送车辆或冷链车辆行驶证复印件，加盖供应商公章。</w:t>
            </w:r>
          </w:p>
          <w:p w14:paraId="68D1AD60">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2.车辆为租赁的，提供常温配送车辆及冷链车辆行驶证复印件、车辆租赁合同（租赁合同的有效期须包含本项目的合同期）</w:t>
            </w:r>
          </w:p>
          <w:p w14:paraId="32C2EBE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3.提供配送车辆实拍照片（正面、侧面、车厢内部各1张），车辆照片内容与车辆行驶证一致。</w:t>
            </w:r>
          </w:p>
        </w:tc>
      </w:tr>
      <w:tr w14:paraId="688F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8" w:hRule="atLeast"/>
        </w:trPr>
        <w:tc>
          <w:tcPr>
            <w:tcW w:w="639" w:type="dxa"/>
            <w:vMerge w:val="continue"/>
            <w:noWrap w:val="0"/>
            <w:vAlign w:val="center"/>
          </w:tcPr>
          <w:p w14:paraId="31D7E9C7">
            <w:pPr>
              <w:ind w:firstLine="28"/>
              <w:jc w:val="center"/>
              <w:rPr>
                <w:rFonts w:hint="eastAsia" w:ascii="仿宋" w:hAnsi="仿宋" w:eastAsia="仿宋" w:cs="仿宋"/>
                <w:color w:val="auto"/>
                <w:sz w:val="24"/>
                <w:szCs w:val="24"/>
              </w:rPr>
            </w:pPr>
          </w:p>
        </w:tc>
        <w:tc>
          <w:tcPr>
            <w:tcW w:w="1399" w:type="dxa"/>
            <w:vMerge w:val="continue"/>
            <w:noWrap w:val="0"/>
            <w:vAlign w:val="center"/>
          </w:tcPr>
          <w:p w14:paraId="1F696A03">
            <w:pPr>
              <w:ind w:firstLine="28"/>
              <w:jc w:val="center"/>
              <w:rPr>
                <w:rFonts w:hint="eastAsia" w:ascii="仿宋" w:hAnsi="仿宋" w:eastAsia="仿宋" w:cs="仿宋"/>
                <w:color w:val="auto"/>
                <w:sz w:val="24"/>
                <w:szCs w:val="24"/>
              </w:rPr>
            </w:pPr>
          </w:p>
        </w:tc>
        <w:tc>
          <w:tcPr>
            <w:tcW w:w="943" w:type="dxa"/>
            <w:vMerge w:val="continue"/>
            <w:noWrap w:val="0"/>
            <w:vAlign w:val="center"/>
          </w:tcPr>
          <w:p w14:paraId="7E0CB9B7">
            <w:pPr>
              <w:ind w:firstLine="28"/>
              <w:jc w:val="center"/>
              <w:rPr>
                <w:rFonts w:hint="eastAsia" w:ascii="仿宋" w:hAnsi="仿宋" w:eastAsia="仿宋" w:cs="仿宋"/>
                <w:color w:val="auto"/>
                <w:sz w:val="24"/>
                <w:szCs w:val="24"/>
              </w:rPr>
            </w:pPr>
          </w:p>
        </w:tc>
        <w:tc>
          <w:tcPr>
            <w:tcW w:w="3643" w:type="dxa"/>
            <w:tcBorders>
              <w:bottom w:val="single" w:color="auto" w:sz="4" w:space="0"/>
            </w:tcBorders>
            <w:noWrap w:val="0"/>
            <w:vAlign w:val="center"/>
          </w:tcPr>
          <w:p w14:paraId="3F2C9571">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2、经营场所（</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p w14:paraId="1D1FB73B">
            <w:pPr>
              <w:rPr>
                <w:rFonts w:hint="eastAsia" w:ascii="仿宋" w:hAnsi="仿宋" w:eastAsia="仿宋" w:cs="仿宋"/>
                <w:color w:val="auto"/>
                <w:sz w:val="24"/>
                <w:szCs w:val="24"/>
              </w:rPr>
            </w:pPr>
            <w:r>
              <w:rPr>
                <w:rFonts w:hint="eastAsia" w:ascii="仿宋" w:hAnsi="仿宋" w:eastAsia="仿宋" w:cs="仿宋"/>
                <w:color w:val="auto"/>
                <w:sz w:val="24"/>
                <w:szCs w:val="24"/>
              </w:rPr>
              <w:t>供应商有固定经营场所（固定经营场所指门店或仓库或配送中心等）。</w:t>
            </w:r>
          </w:p>
          <w:p w14:paraId="456E7B0E">
            <w:pPr>
              <w:rPr>
                <w:rFonts w:hint="eastAsia" w:ascii="仿宋" w:hAnsi="仿宋" w:eastAsia="仿宋" w:cs="仿宋"/>
                <w:b/>
                <w:bCs/>
                <w:color w:val="auto"/>
                <w:sz w:val="24"/>
                <w:szCs w:val="24"/>
              </w:rPr>
            </w:pPr>
            <w:r>
              <w:rPr>
                <w:rFonts w:hint="eastAsia" w:ascii="仿宋" w:hAnsi="仿宋" w:eastAsia="仿宋" w:cs="仿宋"/>
                <w:color w:val="auto"/>
                <w:sz w:val="24"/>
                <w:szCs w:val="24"/>
              </w:rPr>
              <w:t>固定经营场所距离采购方（</w:t>
            </w:r>
            <w:r>
              <w:rPr>
                <w:rFonts w:hint="eastAsia" w:ascii="仿宋" w:hAnsi="仿宋" w:eastAsia="仿宋" w:cs="仿宋"/>
                <w:color w:val="auto"/>
                <w:sz w:val="24"/>
                <w:szCs w:val="24"/>
                <w:lang w:eastAsia="zh-CN"/>
              </w:rPr>
              <w:t>酉阳土家族苗族自治县麻旺初级中学校</w:t>
            </w:r>
            <w:r>
              <w:rPr>
                <w:rFonts w:hint="eastAsia" w:ascii="仿宋" w:hAnsi="仿宋" w:eastAsia="仿宋" w:cs="仿宋"/>
                <w:color w:val="auto"/>
                <w:sz w:val="24"/>
                <w:szCs w:val="24"/>
              </w:rPr>
              <w:t>）40分钟以内到达的，得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分，40分钟以上70分钟以内到达的，得5分；70分钟以上到达的得2分。</w:t>
            </w:r>
          </w:p>
        </w:tc>
        <w:tc>
          <w:tcPr>
            <w:tcW w:w="3112" w:type="dxa"/>
            <w:noWrap w:val="0"/>
            <w:vAlign w:val="center"/>
          </w:tcPr>
          <w:p w14:paraId="3E794883">
            <w:pPr>
              <w:numPr>
                <w:ilvl w:val="0"/>
                <w:numId w:val="2"/>
              </w:num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提供经营场所产权证明或其他有效证明材料或者租赁合同复印件，加盖供应商公章。</w:t>
            </w:r>
          </w:p>
          <w:p w14:paraId="4CE82D76">
            <w:pPr>
              <w:numPr>
                <w:ilvl w:val="0"/>
                <w:numId w:val="2"/>
              </w:num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提供经营场所实拍照片（不少于三张）。</w:t>
            </w:r>
          </w:p>
          <w:p w14:paraId="448F852A">
            <w:pPr>
              <w:spacing w:line="240" w:lineRule="atLeast"/>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（备注：供应商提供的相关证明材料须体现面积，未体现面积的须提供额外的补充证明材料，未提供或者不能证明的，不得分。</w:t>
            </w:r>
          </w:p>
          <w:p w14:paraId="65192824">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经营场所若为租赁，则租赁的时间范围应包含本项目的合同时间范围，否则不得分。）</w:t>
            </w:r>
          </w:p>
          <w:p w14:paraId="27C884AE">
            <w:pPr>
              <w:rPr>
                <w:rFonts w:hint="eastAsia" w:ascii="仿宋" w:hAnsi="仿宋" w:eastAsia="仿宋" w:cs="仿宋"/>
                <w:color w:val="auto"/>
                <w:sz w:val="24"/>
                <w:szCs w:val="24"/>
              </w:rPr>
            </w:pPr>
            <w:r>
              <w:rPr>
                <w:rFonts w:hint="eastAsia" w:ascii="仿宋" w:hAnsi="仿宋" w:eastAsia="仿宋" w:cs="仿宋"/>
                <w:color w:val="auto"/>
                <w:sz w:val="24"/>
                <w:szCs w:val="24"/>
              </w:rPr>
              <w:t>3.提供经营场所距离采购方地址的高德地图驾车导航时间截图，以显示的最短时间为准。</w:t>
            </w:r>
          </w:p>
        </w:tc>
      </w:tr>
      <w:tr w14:paraId="4665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tcBorders>
              <w:bottom w:val="single" w:color="auto" w:sz="4" w:space="0"/>
            </w:tcBorders>
            <w:noWrap w:val="0"/>
            <w:vAlign w:val="center"/>
          </w:tcPr>
          <w:p w14:paraId="4D56A493">
            <w:pPr>
              <w:ind w:firstLine="28"/>
              <w:jc w:val="center"/>
              <w:rPr>
                <w:rFonts w:hint="eastAsia" w:ascii="仿宋" w:hAnsi="仿宋" w:eastAsia="仿宋" w:cs="仿宋"/>
                <w:color w:val="auto"/>
                <w:sz w:val="24"/>
                <w:szCs w:val="24"/>
              </w:rPr>
            </w:pPr>
          </w:p>
        </w:tc>
        <w:tc>
          <w:tcPr>
            <w:tcW w:w="1399" w:type="dxa"/>
            <w:vMerge w:val="continue"/>
            <w:tcBorders>
              <w:bottom w:val="single" w:color="auto" w:sz="4" w:space="0"/>
            </w:tcBorders>
            <w:noWrap w:val="0"/>
            <w:vAlign w:val="center"/>
          </w:tcPr>
          <w:p w14:paraId="471B1593">
            <w:pPr>
              <w:ind w:firstLine="28"/>
              <w:jc w:val="center"/>
              <w:rPr>
                <w:rFonts w:hint="eastAsia" w:ascii="仿宋" w:hAnsi="仿宋" w:eastAsia="仿宋" w:cs="仿宋"/>
                <w:color w:val="auto"/>
                <w:sz w:val="24"/>
                <w:szCs w:val="24"/>
              </w:rPr>
            </w:pPr>
          </w:p>
        </w:tc>
        <w:tc>
          <w:tcPr>
            <w:tcW w:w="943" w:type="dxa"/>
            <w:vMerge w:val="continue"/>
            <w:tcBorders>
              <w:bottom w:val="single" w:color="auto" w:sz="4" w:space="0"/>
            </w:tcBorders>
            <w:noWrap w:val="0"/>
            <w:vAlign w:val="center"/>
          </w:tcPr>
          <w:p w14:paraId="7A5AB002">
            <w:pPr>
              <w:ind w:firstLine="28"/>
              <w:jc w:val="center"/>
              <w:rPr>
                <w:rFonts w:hint="eastAsia" w:ascii="仿宋" w:hAnsi="仿宋" w:eastAsia="仿宋" w:cs="仿宋"/>
                <w:color w:val="auto"/>
                <w:sz w:val="24"/>
                <w:szCs w:val="24"/>
              </w:rPr>
            </w:pPr>
          </w:p>
        </w:tc>
        <w:tc>
          <w:tcPr>
            <w:tcW w:w="3643" w:type="dxa"/>
            <w:tcBorders>
              <w:bottom w:val="single" w:color="auto" w:sz="4" w:space="0"/>
            </w:tcBorders>
            <w:noWrap w:val="0"/>
            <w:vAlign w:val="center"/>
          </w:tcPr>
          <w:p w14:paraId="5A6BD42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、服务方案（</w:t>
            </w:r>
            <w:r>
              <w:rPr>
                <w:rFonts w:hint="eastAsia" w:ascii="仿宋" w:hAnsi="仿宋" w:eastAsia="仿宋" w:cs="仿宋"/>
                <w:b/>
                <w:bCs/>
                <w:color w:val="auto"/>
                <w:sz w:val="24"/>
                <w:szCs w:val="24"/>
                <w:lang w:val="en-US" w:eastAsia="zh-CN"/>
              </w:rPr>
              <w:t>40</w:t>
            </w:r>
            <w:r>
              <w:rPr>
                <w:rFonts w:hint="eastAsia" w:ascii="仿宋" w:hAnsi="仿宋" w:eastAsia="仿宋" w:cs="仿宋"/>
                <w:b/>
                <w:bCs/>
                <w:color w:val="auto"/>
                <w:sz w:val="24"/>
                <w:szCs w:val="24"/>
              </w:rPr>
              <w:t>分）</w:t>
            </w:r>
          </w:p>
          <w:p w14:paraId="4EC6900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.1项目技术方案（</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p w14:paraId="60BA66E8">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供应商拟定本项目配送服务的各方面方案，包括不限于采购渠道、品质监控、物流配送、日常管理方案和各种规章管理制度等。</w:t>
            </w:r>
          </w:p>
          <w:p w14:paraId="795684A8">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方案全面详尽、科学合理，可行性强的，得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14:paraId="4E076736">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方案基本全面、科学合理、可行性一般的，得6分；</w:t>
            </w:r>
          </w:p>
          <w:p w14:paraId="73D6CB8B">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方案不够全面、科学合理、可行性不足的，得4分；</w:t>
            </w:r>
          </w:p>
          <w:p w14:paraId="7CFBF698">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方案内容缺失、科学合理、可行性较差的，得2分；方案不合理或者未提供的不得分。</w:t>
            </w:r>
          </w:p>
          <w:p w14:paraId="79508464">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.2应急处置方案（</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p w14:paraId="2A15E1F0">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供应商拟定本项目应急处理方案，包含但不限于：招标人发生突发事件需要增援时，能安排人员组织货源并及时送货；发生因食品质量安全问题导致的食物中毒等情况的应对措施等内容。</w:t>
            </w:r>
          </w:p>
          <w:p w14:paraId="7E763635">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方案全面详尽、科学合理，可行性强的，得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14:paraId="44ABC575">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方案基本全面、科学合理、可行性一般的，得6分；</w:t>
            </w:r>
          </w:p>
          <w:p w14:paraId="1AA947AE">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方案不够全面、科学合理、可行性不足的，得4分；</w:t>
            </w:r>
          </w:p>
          <w:p w14:paraId="4616C946">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方案内容缺失、科学合理、可行性较差的，得2分；方案不合理或者未提供的不得分。</w:t>
            </w:r>
          </w:p>
          <w:p w14:paraId="01F220E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.3质量及安全保障（10分）</w:t>
            </w:r>
          </w:p>
          <w:p w14:paraId="4D29010B">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供应商拟定本项目涉及的质量及安全保障措施，包括不限于食品安全管理方案、食品污染防控措施、食品检验、食品安全培训计划等内容。</w:t>
            </w:r>
          </w:p>
          <w:p w14:paraId="4BB4D630">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方案全面详尽、科学合理，可行性强的，得10分；</w:t>
            </w:r>
          </w:p>
          <w:p w14:paraId="62843AD1">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方案基本全面、科学合理、可行性一般的，得7分；</w:t>
            </w:r>
          </w:p>
          <w:p w14:paraId="3D9F4E9D">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方案不够全面、科学合理、可行性不足的，得4分；</w:t>
            </w:r>
          </w:p>
          <w:p w14:paraId="0A6938F3">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方案内容缺失、科学合理、可行性较差的，得1分；方案不合理或者未提供的不得分。</w:t>
            </w:r>
          </w:p>
          <w:p w14:paraId="67EE740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.4售后服务方案（</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p w14:paraId="52764C24">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供应商拟定本项目涉及的售后服务方案，包括不限于退换货的标准、退换货时效、其他增值服务等。</w:t>
            </w:r>
          </w:p>
          <w:p w14:paraId="5EC85389">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方案全面详尽、科学合理，可行性强的，得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14:paraId="1F367578">
            <w:pPr>
              <w:pStyle w:val="23"/>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方案基本全面、科学合理、可行性一般的，得6分；</w:t>
            </w:r>
          </w:p>
          <w:p w14:paraId="2B4E0F51">
            <w:pPr>
              <w:pStyle w:val="23"/>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方案不够全面、科学合理、可行性不足的，得4分；</w:t>
            </w:r>
          </w:p>
          <w:p w14:paraId="2FCCBAE7">
            <w:pPr>
              <w:pStyle w:val="23"/>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方案内容缺失、科学合理、可行性较差的，得2分；方案不合理或者未提供的不得分。</w:t>
            </w:r>
          </w:p>
        </w:tc>
        <w:tc>
          <w:tcPr>
            <w:tcW w:w="3112" w:type="dxa"/>
            <w:tcBorders>
              <w:bottom w:val="single" w:color="auto" w:sz="4" w:space="0"/>
            </w:tcBorders>
            <w:noWrap w:val="0"/>
            <w:vAlign w:val="center"/>
          </w:tcPr>
          <w:p w14:paraId="71E2DC8A">
            <w:pPr>
              <w:rPr>
                <w:rFonts w:hint="eastAsia" w:ascii="仿宋" w:hAnsi="仿宋" w:eastAsia="仿宋" w:cs="仿宋"/>
                <w:color w:val="auto"/>
                <w:sz w:val="24"/>
                <w:szCs w:val="24"/>
              </w:rPr>
            </w:pPr>
          </w:p>
          <w:p w14:paraId="2C64F4F0">
            <w:pPr>
              <w:rPr>
                <w:rFonts w:hint="eastAsia" w:ascii="仿宋" w:hAnsi="仿宋" w:eastAsia="仿宋" w:cs="仿宋"/>
                <w:color w:val="auto"/>
                <w:sz w:val="24"/>
                <w:szCs w:val="24"/>
              </w:rPr>
            </w:pPr>
          </w:p>
          <w:p w14:paraId="4D2A7C96">
            <w:pPr>
              <w:rPr>
                <w:rFonts w:hint="eastAsia" w:ascii="仿宋" w:hAnsi="仿宋" w:eastAsia="仿宋" w:cs="仿宋"/>
                <w:color w:val="auto"/>
                <w:sz w:val="24"/>
                <w:szCs w:val="24"/>
              </w:rPr>
            </w:pPr>
          </w:p>
          <w:p w14:paraId="43056B89">
            <w:pPr>
              <w:rPr>
                <w:rFonts w:hint="eastAsia" w:ascii="仿宋" w:hAnsi="仿宋" w:eastAsia="仿宋" w:cs="仿宋"/>
                <w:color w:val="auto"/>
                <w:sz w:val="24"/>
                <w:szCs w:val="24"/>
              </w:rPr>
            </w:pPr>
          </w:p>
          <w:p w14:paraId="1319F153">
            <w:pPr>
              <w:rPr>
                <w:rFonts w:hint="eastAsia" w:ascii="仿宋" w:hAnsi="仿宋" w:eastAsia="仿宋" w:cs="仿宋"/>
                <w:color w:val="auto"/>
                <w:sz w:val="24"/>
                <w:szCs w:val="24"/>
              </w:rPr>
            </w:pPr>
          </w:p>
          <w:p w14:paraId="7CC46764">
            <w:pPr>
              <w:rPr>
                <w:rFonts w:hint="eastAsia" w:ascii="仿宋" w:hAnsi="仿宋" w:eastAsia="仿宋" w:cs="仿宋"/>
                <w:color w:val="auto"/>
                <w:sz w:val="24"/>
                <w:szCs w:val="24"/>
              </w:rPr>
            </w:pPr>
          </w:p>
          <w:p w14:paraId="7689460C">
            <w:pPr>
              <w:rPr>
                <w:rFonts w:hint="eastAsia" w:ascii="仿宋" w:hAnsi="仿宋" w:eastAsia="仿宋" w:cs="仿宋"/>
                <w:color w:val="auto"/>
                <w:sz w:val="24"/>
                <w:szCs w:val="24"/>
              </w:rPr>
            </w:pPr>
            <w:r>
              <w:rPr>
                <w:rFonts w:hint="eastAsia" w:ascii="仿宋" w:hAnsi="仿宋" w:eastAsia="仿宋" w:cs="仿宋"/>
                <w:color w:val="auto"/>
                <w:sz w:val="24"/>
                <w:szCs w:val="24"/>
              </w:rPr>
              <w:t>供应商提供相关服务方案，评审小组各成员横向对比有效供应商的方案情况进行评比打分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取所有评审小组成员打分的算术平均值。</w:t>
            </w:r>
            <w:r>
              <w:rPr>
                <w:rFonts w:hint="eastAsia" w:ascii="仿宋" w:hAnsi="仿宋" w:eastAsia="仿宋" w:cs="仿宋"/>
                <w:color w:val="auto"/>
                <w:sz w:val="24"/>
                <w:szCs w:val="24"/>
              </w:rPr>
              <w:t>（格式自拟）</w:t>
            </w:r>
          </w:p>
        </w:tc>
      </w:tr>
      <w:tr w14:paraId="4248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6C099CEC">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p w14:paraId="1B8907B7">
            <w:pPr>
              <w:ind w:firstLine="28"/>
              <w:jc w:val="center"/>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61BD157">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p w14:paraId="30CF1DDF">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714A6E17">
            <w:pPr>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643" w:type="dxa"/>
            <w:tcBorders>
              <w:top w:val="single" w:color="auto" w:sz="4" w:space="0"/>
              <w:left w:val="single" w:color="auto" w:sz="4" w:space="0"/>
              <w:right w:val="single" w:color="auto" w:sz="4" w:space="0"/>
            </w:tcBorders>
            <w:noWrap w:val="0"/>
            <w:vAlign w:val="center"/>
          </w:tcPr>
          <w:p w14:paraId="13E6FA73">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食品安全责任险（</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p w14:paraId="467FDC7A">
            <w:pPr>
              <w:rPr>
                <w:rFonts w:hint="eastAsia" w:ascii="仿宋" w:hAnsi="仿宋" w:eastAsia="仿宋" w:cs="仿宋"/>
                <w:b/>
                <w:bCs/>
                <w:color w:val="auto"/>
                <w:sz w:val="24"/>
                <w:szCs w:val="24"/>
              </w:rPr>
            </w:pPr>
            <w:r>
              <w:rPr>
                <w:rFonts w:hint="eastAsia" w:ascii="仿宋" w:hAnsi="仿宋" w:eastAsia="仿宋" w:cs="仿宋"/>
                <w:color w:val="auto"/>
                <w:sz w:val="24"/>
                <w:szCs w:val="24"/>
              </w:rPr>
              <w:t>供应商需承诺，在中标后且正式合同签订之前，为本项目购买保额500万元以上的食品安全责任险，提交承诺函或相关证明材料的，得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0696417B">
            <w:pPr>
              <w:rPr>
                <w:rFonts w:hint="eastAsia" w:ascii="仿宋" w:hAnsi="仿宋" w:eastAsia="仿宋" w:cs="仿宋"/>
                <w:color w:val="auto"/>
                <w:sz w:val="24"/>
                <w:szCs w:val="24"/>
              </w:rPr>
            </w:pPr>
            <w:r>
              <w:rPr>
                <w:rFonts w:hint="eastAsia" w:ascii="仿宋" w:hAnsi="仿宋" w:eastAsia="仿宋" w:cs="仿宋"/>
                <w:color w:val="auto"/>
                <w:sz w:val="24"/>
                <w:szCs w:val="24"/>
              </w:rPr>
              <w:t>提供承诺函或相关证明材料（格式自拟），加盖供应商公章。未提供或者不满足的不得分。</w:t>
            </w:r>
          </w:p>
        </w:tc>
      </w:tr>
    </w:tbl>
    <w:p w14:paraId="647E6FE6">
      <w:pPr>
        <w:pStyle w:val="3"/>
        <w:spacing w:line="400" w:lineRule="exact"/>
        <w:rPr>
          <w:rFonts w:hint="eastAsia" w:ascii="仿宋" w:hAnsi="仿宋" w:eastAsia="仿宋" w:cs="仿宋"/>
          <w:b/>
          <w:color w:val="auto"/>
          <w:sz w:val="24"/>
          <w:szCs w:val="24"/>
          <w:highlight w:val="none"/>
        </w:rPr>
      </w:pPr>
      <w:bookmarkStart w:id="82" w:name="_Toc13703"/>
      <w:r>
        <w:rPr>
          <w:rFonts w:hint="eastAsia" w:ascii="仿宋" w:hAnsi="仿宋" w:eastAsia="仿宋" w:cs="仿宋"/>
          <w:b/>
          <w:color w:val="auto"/>
          <w:sz w:val="24"/>
          <w:szCs w:val="24"/>
          <w:highlight w:val="none"/>
        </w:rPr>
        <w:t>四、无效响应</w:t>
      </w:r>
      <w:bookmarkEnd w:id="81"/>
      <w:bookmarkEnd w:id="82"/>
    </w:p>
    <w:p w14:paraId="4AE8E542">
      <w:pPr>
        <w:snapToGrid w:val="0"/>
        <w:spacing w:line="400" w:lineRule="exact"/>
        <w:ind w:firstLine="465"/>
        <w:rPr>
          <w:rFonts w:hint="eastAsia" w:ascii="仿宋" w:hAnsi="仿宋" w:eastAsia="仿宋" w:cs="仿宋"/>
          <w:color w:val="auto"/>
          <w:sz w:val="24"/>
          <w:szCs w:val="24"/>
          <w:highlight w:val="none"/>
        </w:rPr>
      </w:pPr>
      <w:bookmarkStart w:id="83" w:name="_Toc439685497"/>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发生以下条款情况之一者，视为无效响应，其投标文件将被拒绝：</w:t>
      </w:r>
    </w:p>
    <w:p w14:paraId="7C0B305F">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不符合规定的基本资格条件或特定资格条件的；</w:t>
      </w:r>
    </w:p>
    <w:p w14:paraId="42BBFDDD">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的法定代表人或其授权代表未参加比选；</w:t>
      </w:r>
    </w:p>
    <w:p w14:paraId="7AE71A38">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未按照比选文件的要求缴纳比选保证金；</w:t>
      </w:r>
    </w:p>
    <w:p w14:paraId="66244917">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所提交的投标文件不按第七篇“投标文件编制要求”规定签字、盖章；</w:t>
      </w:r>
    </w:p>
    <w:p w14:paraId="742AB304">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的报价超过采购预算的；</w:t>
      </w:r>
    </w:p>
    <w:p w14:paraId="6E328FBC">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，参加同一合同项下的政府采购活动的；</w:t>
      </w:r>
    </w:p>
    <w:p w14:paraId="065AEDD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，再参加该采购项目的其他采购活动；</w:t>
      </w:r>
    </w:p>
    <w:p w14:paraId="35897FF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（八）所提供的产品不符合必须强制执行的国家标准的；</w:t>
      </w:r>
    </w:p>
    <w:p w14:paraId="3173BC3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的服务时间、服务质保期及比选有效期不满足比选文件要求的；</w:t>
      </w:r>
    </w:p>
    <w:p w14:paraId="2A748EEE">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投标文件内容有与国家现行法律法规相违背的内容，或附有采购人无法接受的条件。</w:t>
      </w:r>
    </w:p>
    <w:p w14:paraId="29C0A00D">
      <w:pPr>
        <w:pStyle w:val="3"/>
        <w:spacing w:line="400" w:lineRule="exact"/>
        <w:ind w:firstLine="482" w:firstLineChars="200"/>
        <w:rPr>
          <w:rFonts w:hint="eastAsia" w:ascii="仿宋" w:hAnsi="仿宋" w:eastAsia="仿宋" w:cs="仿宋"/>
          <w:b/>
          <w:color w:val="auto"/>
          <w:sz w:val="24"/>
          <w:szCs w:val="24"/>
          <w:highlight w:val="none"/>
        </w:rPr>
      </w:pPr>
      <w:bookmarkStart w:id="84" w:name="_Toc26123"/>
      <w:r>
        <w:rPr>
          <w:rFonts w:hint="eastAsia" w:ascii="仿宋" w:hAnsi="仿宋" w:eastAsia="仿宋" w:cs="仿宋"/>
          <w:b/>
          <w:color w:val="auto"/>
          <w:sz w:val="24"/>
          <w:szCs w:val="24"/>
          <w:highlight w:val="none"/>
        </w:rPr>
        <w:t>五、采购终止</w:t>
      </w:r>
      <w:bookmarkEnd w:id="83"/>
      <w:bookmarkEnd w:id="84"/>
    </w:p>
    <w:p w14:paraId="40945AE3">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出现下列情形之一的，采购人或者采购代理机构应当终止比选采购活动，发布项目终止公告并说明原因，重新开展采购活动：</w:t>
      </w:r>
    </w:p>
    <w:p w14:paraId="449A0B9C">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（一）因情况变化，不再符合规定的比选采购方式适用情形的；</w:t>
      </w:r>
    </w:p>
    <w:p w14:paraId="1C23AE91">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7CDBCE9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A486ED">
      <w:pPr>
        <w:pStyle w:val="2"/>
        <w:spacing w:before="0" w:beforeLines="0" w:after="0" w:afterLines="0" w:line="360" w:lineRule="auto"/>
        <w:jc w:val="center"/>
        <w:rPr>
          <w:rFonts w:hint="eastAsia" w:ascii="仿宋" w:hAnsi="仿宋" w:eastAsia="仿宋" w:cs="仿宋"/>
          <w:color w:val="auto"/>
          <w:highlight w:val="none"/>
        </w:rPr>
      </w:pPr>
      <w:bookmarkStart w:id="85" w:name="_Toc15362"/>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须知</w:t>
      </w:r>
      <w:bookmarkEnd w:id="85"/>
    </w:p>
    <w:p w14:paraId="3CBDD18B">
      <w:pPr>
        <w:pStyle w:val="3"/>
        <w:spacing w:line="400" w:lineRule="exact"/>
        <w:ind w:firstLine="482" w:firstLineChars="200"/>
        <w:rPr>
          <w:rFonts w:hint="eastAsia" w:ascii="仿宋" w:hAnsi="仿宋" w:eastAsia="仿宋" w:cs="仿宋"/>
          <w:b/>
          <w:color w:val="auto"/>
          <w:sz w:val="24"/>
          <w:szCs w:val="24"/>
          <w:highlight w:val="none"/>
        </w:rPr>
      </w:pPr>
      <w:bookmarkStart w:id="86" w:name="_Toc25031"/>
      <w:bookmarkStart w:id="87" w:name="_Toc439685499"/>
      <w:bookmarkStart w:id="88" w:name="_Toc342913389"/>
      <w:r>
        <w:rPr>
          <w:rFonts w:hint="eastAsia" w:ascii="仿宋" w:hAnsi="仿宋" w:eastAsia="仿宋" w:cs="仿宋"/>
          <w:b/>
          <w:color w:val="auto"/>
          <w:sz w:val="24"/>
          <w:szCs w:val="24"/>
          <w:highlight w:val="none"/>
        </w:rPr>
        <w:t>一、比选费用</w:t>
      </w:r>
      <w:bookmarkEnd w:id="86"/>
      <w:bookmarkEnd w:id="87"/>
      <w:bookmarkEnd w:id="88"/>
    </w:p>
    <w:p w14:paraId="0AED7C00">
      <w:pPr>
        <w:pStyle w:val="40"/>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参与比选的</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应承担其编制投标文件与递交投标文件所涉及的一切费用，不论比选结果如何，采购人在任何情况下无义务也无责任承担这些费用。</w:t>
      </w:r>
    </w:p>
    <w:p w14:paraId="5D487AE8">
      <w:pPr>
        <w:pStyle w:val="3"/>
        <w:spacing w:line="400" w:lineRule="exact"/>
        <w:ind w:firstLine="482" w:firstLineChars="200"/>
        <w:rPr>
          <w:rFonts w:hint="eastAsia" w:ascii="仿宋" w:hAnsi="仿宋" w:eastAsia="仿宋" w:cs="仿宋"/>
          <w:b/>
          <w:color w:val="auto"/>
          <w:sz w:val="24"/>
          <w:szCs w:val="24"/>
          <w:highlight w:val="none"/>
        </w:rPr>
      </w:pPr>
      <w:bookmarkStart w:id="89" w:name="_Toc342913391"/>
      <w:bookmarkStart w:id="90" w:name="_Toc439685500"/>
      <w:bookmarkStart w:id="91" w:name="_Toc7913"/>
      <w:r>
        <w:rPr>
          <w:rFonts w:hint="eastAsia" w:ascii="仿宋" w:hAnsi="仿宋" w:eastAsia="仿宋" w:cs="仿宋"/>
          <w:b/>
          <w:color w:val="auto"/>
          <w:sz w:val="24"/>
          <w:szCs w:val="24"/>
          <w:highlight w:val="none"/>
        </w:rPr>
        <w:t>二、</w:t>
      </w:r>
      <w:bookmarkEnd w:id="89"/>
      <w:bookmarkEnd w:id="90"/>
      <w:r>
        <w:rPr>
          <w:rFonts w:hint="eastAsia" w:ascii="仿宋" w:hAnsi="仿宋" w:eastAsia="仿宋" w:cs="仿宋"/>
          <w:b/>
          <w:color w:val="auto"/>
          <w:sz w:val="24"/>
          <w:szCs w:val="24"/>
          <w:highlight w:val="none"/>
        </w:rPr>
        <w:t>比选文件</w:t>
      </w:r>
      <w:bookmarkEnd w:id="91"/>
    </w:p>
    <w:p w14:paraId="60CFDADC">
      <w:pPr>
        <w:snapToGrid w:val="0"/>
        <w:spacing w:line="400" w:lineRule="exact"/>
        <w:ind w:firstLine="480" w:firstLineChars="200"/>
        <w:rPr>
          <w:rFonts w:hint="eastAsia" w:ascii="仿宋" w:hAnsi="仿宋" w:eastAsia="仿宋" w:cs="仿宋"/>
          <w:color w:val="auto"/>
          <w:sz w:val="24"/>
          <w:szCs w:val="24"/>
          <w:highlight w:val="none"/>
        </w:rPr>
      </w:pPr>
      <w:bookmarkStart w:id="92" w:name="_Toc439685501"/>
      <w:bookmarkStart w:id="93" w:name="_Toc102227318"/>
      <w:bookmarkStart w:id="94" w:name="_Toc342913392"/>
      <w:bookmarkStart w:id="95" w:name="_Toc179714297"/>
      <w:r>
        <w:rPr>
          <w:rFonts w:hint="eastAsia" w:ascii="仿宋" w:hAnsi="仿宋" w:eastAsia="仿宋" w:cs="仿宋"/>
          <w:color w:val="auto"/>
          <w:sz w:val="24"/>
          <w:szCs w:val="24"/>
          <w:highlight w:val="none"/>
        </w:rPr>
        <w:t>（一）比选文件由采购邀请书、项目服务需求、项目商务需求、比选程序及方法、评审标准、无效响应和采购终止、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须知、合同草案条款、投标文件编制要求七部分组成。</w:t>
      </w:r>
    </w:p>
    <w:p w14:paraId="0A4C8C7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（二）采购人或采购代理机构所作的一切有效的书面通知、修改及补充，都是比选文件不可分割的部分。</w:t>
      </w:r>
    </w:p>
    <w:p w14:paraId="0C045F3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（三）比选文件的解释</w:t>
      </w:r>
    </w:p>
    <w:p w14:paraId="47F6BB5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如对比选文件有疑问，必须以书面形式在提交投标文件截止时间3个工作日前向采购人或采购代理机构要求澄清，采购人或采购代理机构可视具体情况做出处理或答复。如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未提出疑问，视为完全理解并同意本比选文件。一经进入比选程序，即视为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已详细阅读全部文件资料，完全理解比选文件所有条款内容并同意放弃对这方面有不明白及误解的权利。</w:t>
      </w:r>
      <w:bookmarkStart w:id="96" w:name="_Toc318159160"/>
      <w:bookmarkStart w:id="97" w:name="_Toc318166429"/>
      <w:bookmarkStart w:id="98" w:name="_Toc318159349"/>
      <w:bookmarkStart w:id="99" w:name="_Toc318159780"/>
    </w:p>
    <w:p w14:paraId="067C15D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（四）本比选文件中，比选小组根据与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进行比选可能实质性变动的内容为比选文件第二、三、六篇全部内容。</w:t>
      </w:r>
    </w:p>
    <w:p w14:paraId="6878B3F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（五）评审的依据为比选文件和投标文件（含有效的书面承诺）。比选小组判断投标文件对比选文件的响应，仅基于投标文件本身而不靠外部证据。</w:t>
      </w:r>
    </w:p>
    <w:bookmarkEnd w:id="96"/>
    <w:bookmarkEnd w:id="97"/>
    <w:bookmarkEnd w:id="98"/>
    <w:bookmarkEnd w:id="99"/>
    <w:p w14:paraId="00ED5D19">
      <w:pPr>
        <w:pStyle w:val="3"/>
        <w:spacing w:line="400" w:lineRule="exact"/>
        <w:ind w:firstLine="482" w:firstLineChars="200"/>
        <w:rPr>
          <w:rFonts w:hint="eastAsia" w:ascii="仿宋" w:hAnsi="仿宋" w:eastAsia="仿宋" w:cs="仿宋"/>
          <w:b/>
          <w:color w:val="auto"/>
          <w:sz w:val="24"/>
          <w:szCs w:val="24"/>
          <w:highlight w:val="none"/>
        </w:rPr>
      </w:pPr>
      <w:bookmarkStart w:id="100" w:name="_Toc11234"/>
      <w:r>
        <w:rPr>
          <w:rFonts w:hint="eastAsia" w:ascii="仿宋" w:hAnsi="仿宋" w:eastAsia="仿宋" w:cs="仿宋"/>
          <w:b/>
          <w:color w:val="auto"/>
          <w:sz w:val="24"/>
          <w:szCs w:val="24"/>
          <w:highlight w:val="none"/>
        </w:rPr>
        <w:t>三、比选要求</w:t>
      </w:r>
      <w:bookmarkEnd w:id="92"/>
      <w:bookmarkEnd w:id="93"/>
      <w:bookmarkEnd w:id="94"/>
      <w:bookmarkEnd w:id="95"/>
      <w:bookmarkEnd w:id="100"/>
    </w:p>
    <w:p w14:paraId="3312DB78">
      <w:pPr>
        <w:spacing w:line="400" w:lineRule="exact"/>
        <w:ind w:firstLine="480" w:firstLineChars="200"/>
        <w:rPr>
          <w:rFonts w:hint="eastAsia" w:ascii="仿宋" w:hAnsi="仿宋" w:eastAsia="仿宋" w:cs="仿宋"/>
          <w:color w:val="auto"/>
          <w:sz w:val="24"/>
          <w:szCs w:val="24"/>
          <w:highlight w:val="none"/>
        </w:rPr>
      </w:pPr>
      <w:bookmarkStart w:id="101" w:name="_Toc439685502"/>
      <w:r>
        <w:rPr>
          <w:rFonts w:hint="eastAsia" w:ascii="仿宋" w:hAnsi="仿宋" w:eastAsia="仿宋" w:cs="仿宋"/>
          <w:color w:val="auto"/>
          <w:sz w:val="24"/>
          <w:szCs w:val="24"/>
          <w:highlight w:val="none"/>
        </w:rPr>
        <w:t>（一）投标文件</w:t>
      </w:r>
    </w:p>
    <w:p w14:paraId="31D879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应当按照比选文件的要求编制投标文件，并对比选文件提出的要求和条件作出实质性响应，投标文件原则上采用软面订本，同时应编制完整的页码、目录。</w:t>
      </w:r>
    </w:p>
    <w:p w14:paraId="1313007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2.投标文件组成</w:t>
      </w:r>
    </w:p>
    <w:p w14:paraId="234A478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投标文件由第七篇“投标文件编制要求”规定的部分和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应按照第七篇“投标文件编制要求”规定的目录顺序组织编写和装订，也可在基本格式基础上对表格进行扩展，未规定格式的由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自定格式。</w:t>
      </w:r>
    </w:p>
    <w:p w14:paraId="17E3BAE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4005B56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本项目不接受联合体比选。</w:t>
      </w:r>
    </w:p>
    <w:p w14:paraId="33954B6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（三）比选有效期：投标文件及有关承诺文件有效期为提交投标文件截止时间起90天。</w:t>
      </w:r>
    </w:p>
    <w:p w14:paraId="467E13B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（四）比选保证金：</w:t>
      </w:r>
    </w:p>
    <w:p w14:paraId="62C4774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提交保证金金额和方式详见本文件第一篇“五、比选保证金”；</w:t>
      </w:r>
    </w:p>
    <w:p w14:paraId="03D5792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2.发生以下情况之一者，比选保证金不予退还：</w:t>
      </w:r>
    </w:p>
    <w:p w14:paraId="5A3028C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在提交投标文件截止时间后撤回投标文件的；</w:t>
      </w:r>
    </w:p>
    <w:p w14:paraId="3159EAF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在投标文件中提供虚假材料的；</w:t>
      </w:r>
    </w:p>
    <w:p w14:paraId="6D65A96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除因不可抗力或比选文件认可的情形以外，</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不与采购人签订合同的；</w:t>
      </w:r>
    </w:p>
    <w:p w14:paraId="0C638D0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与采购人、其他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或者采购代理机构恶意串通的；</w:t>
      </w:r>
    </w:p>
    <w:p w14:paraId="1615540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不按规定的时间或拒绝按</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状态签订合同（即不按照竞争性比选文件确定的合同文本以及采购标的、规格型号、采购金额、采购数量、服务和</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要求等事项签订采购合同的。）。</w:t>
      </w:r>
    </w:p>
    <w:p w14:paraId="2BACE60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14:paraId="649EB8F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所递交的投标文件中的价格出现大写金额和小写金额不一致的错误，以大写金额修正为准。</w:t>
      </w:r>
    </w:p>
    <w:p w14:paraId="5CEB7BE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2.比选小组按上述修正错误的原则及方法修正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不接受修正后的价格，将失去成为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的资格。</w:t>
      </w:r>
    </w:p>
    <w:p w14:paraId="6A7CC78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（五）提交投标文件的份数和签署</w:t>
      </w:r>
    </w:p>
    <w:p w14:paraId="2B62D04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1.投标文件一式</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份，其中正本一份，副本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w:t>
      </w:r>
    </w:p>
    <w:p w14:paraId="1F56260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2.在投标文件中，正本必须按第七篇投标文件编制要求签字、盖章，副本可为正本的复印件，应与正本一致，如出现不一致情况以正本为准。</w:t>
      </w:r>
    </w:p>
    <w:p w14:paraId="30C56B3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（六）投标文件的递交</w:t>
      </w:r>
    </w:p>
    <w:p w14:paraId="4E415DE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1.投标文件的密封与标记</w:t>
      </w:r>
    </w:p>
    <w:p w14:paraId="40906D63">
      <w:pPr>
        <w:snapToGrid w:val="0"/>
        <w:spacing w:line="400" w:lineRule="exact"/>
        <w:ind w:firstLine="480" w:firstLineChars="200"/>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rPr>
        <w:t>投标文件的正本一份装入一个密封袋，副本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份装入一个密封袋。密封袋上注明项目编号、项目名称、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名称、“正本”、“副本”字样。密封袋的封口应加盖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公章或法人授权代表签字并有字样：</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分（北京时间）前不得开启的密封条。</w:t>
      </w:r>
    </w:p>
    <w:p w14:paraId="7CF4EAB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2.投标文件递交截止时间：参阅采购邀请书。</w:t>
      </w:r>
    </w:p>
    <w:p w14:paraId="3B720E7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3.投标文件语言：简体中文</w:t>
      </w:r>
    </w:p>
    <w:p w14:paraId="41376B0D">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参与人员</w:t>
      </w:r>
    </w:p>
    <w:p w14:paraId="3CE06EC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可派1-2名代表参与比选，至少1人应为法定代表人或具有法定代表人授权委托书的授权代表。</w:t>
      </w:r>
    </w:p>
    <w:p w14:paraId="1EBEA77C">
      <w:pPr>
        <w:pStyle w:val="3"/>
        <w:spacing w:line="400" w:lineRule="exact"/>
        <w:ind w:firstLine="482" w:firstLineChars="200"/>
        <w:rPr>
          <w:rFonts w:hint="eastAsia" w:ascii="仿宋" w:hAnsi="仿宋" w:eastAsia="仿宋" w:cs="仿宋"/>
          <w:b/>
          <w:color w:val="auto"/>
          <w:sz w:val="24"/>
          <w:szCs w:val="24"/>
          <w:highlight w:val="none"/>
        </w:rPr>
      </w:pPr>
      <w:bookmarkStart w:id="102" w:name="_Toc2249"/>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eastAsia="zh-CN"/>
        </w:rPr>
        <w:t>中标人</w:t>
      </w:r>
      <w:r>
        <w:rPr>
          <w:rFonts w:hint="eastAsia" w:ascii="仿宋" w:hAnsi="仿宋" w:eastAsia="仿宋" w:cs="仿宋"/>
          <w:b/>
          <w:color w:val="auto"/>
          <w:sz w:val="24"/>
          <w:szCs w:val="24"/>
          <w:highlight w:val="none"/>
        </w:rPr>
        <w:t>的确认和变更</w:t>
      </w:r>
      <w:bookmarkEnd w:id="101"/>
      <w:bookmarkEnd w:id="102"/>
    </w:p>
    <w:p w14:paraId="2B84449E">
      <w:pPr>
        <w:snapToGrid w:val="0"/>
        <w:spacing w:line="400" w:lineRule="exact"/>
        <w:ind w:firstLine="480" w:firstLineChars="200"/>
        <w:rPr>
          <w:rFonts w:hint="eastAsia" w:ascii="仿宋" w:hAnsi="仿宋" w:eastAsia="仿宋" w:cs="仿宋"/>
          <w:color w:val="auto"/>
          <w:sz w:val="24"/>
          <w:szCs w:val="24"/>
          <w:highlight w:val="none"/>
        </w:rPr>
      </w:pPr>
      <w:bookmarkStart w:id="103" w:name="_Toc439685503"/>
      <w:bookmarkStart w:id="104" w:name="_Toc342913395"/>
      <w:bookmarkStart w:id="105" w:name="_Toc102227321"/>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w:t>
      </w:r>
    </w:p>
    <w:p w14:paraId="4F72F1F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中，按照排序由高到低的原则确定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，也可以书面授权比选小组直接确定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。采购人逾期未确定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且不提出异议的，视为确定评审报告提出的排序第一的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2A727DA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的变更</w:t>
      </w:r>
    </w:p>
    <w:p w14:paraId="76F1CD0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拒绝签订政府采购合同的，采购人可以按照评审报告推荐的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顺序，确定排名下一位的候选人为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，也可以重新开展政府采购活动。拒绝签订政府采购合同的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不得参加对该项目重新开展的采购活动。</w:t>
      </w:r>
    </w:p>
    <w:p w14:paraId="6659B86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无充分理由放弃</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的，采购人将会同采购代理机构把相关情况报财政部门，财政部门将根据相关法律法规的规定对违规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进行处罚。</w:t>
      </w:r>
    </w:p>
    <w:p w14:paraId="76212F4B">
      <w:pPr>
        <w:pStyle w:val="3"/>
        <w:spacing w:line="400" w:lineRule="exact"/>
        <w:ind w:firstLine="482" w:firstLineChars="200"/>
        <w:rPr>
          <w:rFonts w:hint="eastAsia" w:ascii="仿宋" w:hAnsi="仿宋" w:eastAsia="仿宋" w:cs="仿宋"/>
          <w:b/>
          <w:color w:val="auto"/>
          <w:sz w:val="24"/>
          <w:szCs w:val="24"/>
          <w:highlight w:val="none"/>
        </w:rPr>
      </w:pPr>
      <w:bookmarkStart w:id="106" w:name="_Toc13263"/>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val="en-US" w:eastAsia="zh-CN"/>
        </w:rPr>
        <w:t>中标（</w:t>
      </w:r>
      <w:r>
        <w:rPr>
          <w:rFonts w:hint="eastAsia" w:ascii="仿宋" w:hAnsi="仿宋" w:eastAsia="仿宋" w:cs="仿宋"/>
          <w:b/>
          <w:color w:val="auto"/>
          <w:sz w:val="24"/>
          <w:szCs w:val="24"/>
          <w:highlight w:val="none"/>
        </w:rPr>
        <w:t>成交</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通知</w:t>
      </w:r>
      <w:bookmarkEnd w:id="103"/>
      <w:bookmarkEnd w:id="104"/>
      <w:bookmarkEnd w:id="105"/>
      <w:bookmarkEnd w:id="106"/>
    </w:p>
    <w:p w14:paraId="42FAD212">
      <w:pPr>
        <w:spacing w:line="400" w:lineRule="exact"/>
        <w:ind w:firstLine="480" w:firstLineChars="200"/>
        <w:rPr>
          <w:rFonts w:hint="eastAsia" w:ascii="仿宋" w:hAnsi="仿宋" w:eastAsia="仿宋" w:cs="仿宋"/>
          <w:color w:val="auto"/>
          <w:sz w:val="24"/>
          <w:szCs w:val="24"/>
          <w:highlight w:val="none"/>
        </w:rPr>
      </w:pPr>
      <w:bookmarkStart w:id="107" w:name="_Toc439685504"/>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确定后，采购代理机构将在</w:t>
      </w:r>
      <w:r>
        <w:rPr>
          <w:rFonts w:hint="eastAsia" w:ascii="仿宋" w:hAnsi="仿宋" w:eastAsia="仿宋" w:cs="仿宋"/>
          <w:color w:val="auto"/>
          <w:kern w:val="0"/>
          <w:sz w:val="24"/>
          <w:szCs w:val="24"/>
          <w:highlight w:val="none"/>
        </w:rPr>
        <w:t>行采家（https://www.gec123.com/）</w:t>
      </w:r>
      <w:r>
        <w:rPr>
          <w:rFonts w:hint="eastAsia" w:ascii="仿宋" w:hAnsi="仿宋" w:eastAsia="仿宋" w:cs="仿宋"/>
          <w:color w:val="auto"/>
          <w:sz w:val="24"/>
          <w:szCs w:val="24"/>
          <w:highlight w:val="none"/>
        </w:rPr>
        <w:t>上发布</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结果公告。</w:t>
      </w:r>
    </w:p>
    <w:p w14:paraId="757B1A7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通知书》一经发出即发生法律效力。</w:t>
      </w:r>
    </w:p>
    <w:p w14:paraId="5E484BE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通知书》将作为签订合同的依据。</w:t>
      </w:r>
    </w:p>
    <w:p w14:paraId="6F5B8D56">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（四）如有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结果提出质疑的，在质疑处理完毕后发出</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w:t>
      </w:r>
    </w:p>
    <w:p w14:paraId="72A01E5C">
      <w:pPr>
        <w:pStyle w:val="3"/>
        <w:spacing w:line="400" w:lineRule="exact"/>
        <w:ind w:firstLine="482" w:firstLineChars="200"/>
        <w:rPr>
          <w:rFonts w:hint="eastAsia" w:ascii="仿宋" w:hAnsi="仿宋" w:eastAsia="仿宋" w:cs="仿宋"/>
          <w:b/>
          <w:color w:val="auto"/>
          <w:sz w:val="24"/>
          <w:szCs w:val="24"/>
          <w:highlight w:val="none"/>
        </w:rPr>
      </w:pPr>
      <w:bookmarkStart w:id="108" w:name="_Toc17915"/>
      <w:r>
        <w:rPr>
          <w:rFonts w:hint="eastAsia" w:ascii="仿宋" w:hAnsi="仿宋" w:eastAsia="仿宋" w:cs="仿宋"/>
          <w:b/>
          <w:color w:val="auto"/>
          <w:sz w:val="24"/>
          <w:szCs w:val="24"/>
          <w:highlight w:val="none"/>
        </w:rPr>
        <w:t>六、关于质疑和投诉</w:t>
      </w:r>
      <w:bookmarkEnd w:id="107"/>
      <w:bookmarkEnd w:id="108"/>
    </w:p>
    <w:p w14:paraId="10E298EF">
      <w:pPr>
        <w:spacing w:line="400" w:lineRule="exact"/>
        <w:ind w:firstLine="480" w:firstLineChars="200"/>
        <w:rPr>
          <w:rFonts w:hint="eastAsia" w:ascii="仿宋" w:hAnsi="仿宋" w:eastAsia="仿宋" w:cs="仿宋"/>
          <w:color w:val="auto"/>
          <w:sz w:val="24"/>
          <w:szCs w:val="24"/>
          <w:highlight w:val="none"/>
        </w:rPr>
      </w:pPr>
      <w:bookmarkStart w:id="109" w:name="_Toc102227322"/>
      <w:bookmarkStart w:id="110" w:name="_Toc342913396"/>
      <w:bookmarkStart w:id="111" w:name="_Toc439685507"/>
      <w:r>
        <w:rPr>
          <w:rFonts w:hint="eastAsia" w:ascii="仿宋" w:hAnsi="仿宋" w:eastAsia="仿宋" w:cs="仿宋"/>
          <w:color w:val="auto"/>
          <w:sz w:val="24"/>
          <w:szCs w:val="24"/>
          <w:highlight w:val="none"/>
        </w:rPr>
        <w:t>（一）质疑</w:t>
      </w:r>
    </w:p>
    <w:p w14:paraId="216FBC3E">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认为竞争性比选文件、采购过程和</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结果使自己的权益收到伤害的，可向采购人或采购代理机构以书面形式提出质疑。</w:t>
      </w:r>
    </w:p>
    <w:p w14:paraId="6303AA2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提出质疑的应当是参与所质疑项目采购活动的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1F4472FD">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1.质疑内容、时限</w:t>
      </w:r>
    </w:p>
    <w:p w14:paraId="202EBC79">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认为竞争性比选文件、采购过程、</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结果使自己的权益受到损害的，可以在知道或者应知其权益受到损害之日起7个工作日内，以书面形式向采购人、采购代理机构提出质疑。</w:t>
      </w:r>
    </w:p>
    <w:p w14:paraId="36533BE4">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提出质疑应当提交质疑函和必要的证明材料，质疑函应当包括下列内容：</w:t>
      </w:r>
    </w:p>
    <w:p w14:paraId="59E9D7C3">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的姓名或者名称、地址、邮编、联系人及联系电话；</w:t>
      </w:r>
    </w:p>
    <w:p w14:paraId="606C7D2A">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（2）质疑项目的名称、项目号以及招标项目编号；</w:t>
      </w:r>
    </w:p>
    <w:p w14:paraId="7F11DA6F">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3C1CD2B5">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705A675A">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2E5EAE2E">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7084EB45">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（7）营业执照（或事业单位法人证书，或个体工商户营业执照或有效的自然人身份证明、组织机构代码证）复印件；</w:t>
      </w:r>
    </w:p>
    <w:p w14:paraId="18E24E7D">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（8）法定代表人授权委托书原件、法定代表人身份证复印件和其授权代表的身份证复印件（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为自然人的提供自然人身份证复印件）；</w:t>
      </w:r>
    </w:p>
    <w:p w14:paraId="12C97B07">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为自然人的，质疑函应当由本人签字；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为法人或者其他组织的，质疑函应当由法定代表人、主要负责人，或者其授权代表签字或者盖章，并加盖公章。</w:t>
      </w:r>
    </w:p>
    <w:p w14:paraId="5009D719">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2.质疑答复</w:t>
      </w:r>
    </w:p>
    <w:p w14:paraId="1F7C1769">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采购人、采购代理机构应当在收到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的书面质疑后七个工作日内作出答复，并以书面形式通知质疑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D859F0F">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w:t>
      </w:r>
    </w:p>
    <w:p w14:paraId="03FAA0AF">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应按照《政府采购质疑和投诉办法》（财政部令第94号）及相关法律法规要求，在法定质疑期内一次性提出针对同一采购程序环节的质疑。</w:t>
      </w:r>
    </w:p>
    <w:p w14:paraId="2A55C8A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质疑函范本可在财政部门户网站和中国政府采购网下载。</w:t>
      </w:r>
    </w:p>
    <w:p w14:paraId="44BE44AB">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w:t>
      </w:r>
    </w:p>
    <w:p w14:paraId="6DEC8F6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52179E75">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应按照《政府采购质疑和投诉办法》（财政部令第94号）及相关法律法规要求递交投诉书和必要的证明材料。投诉书范本可在财政部门户网站和中国政府采购网下载。</w:t>
      </w:r>
    </w:p>
    <w:p w14:paraId="19E03D67">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424D7E3">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55F0D764">
      <w:pPr>
        <w:pStyle w:val="3"/>
        <w:spacing w:line="400" w:lineRule="exact"/>
        <w:ind w:firstLine="482" w:firstLineChars="200"/>
        <w:rPr>
          <w:rFonts w:hint="eastAsia" w:ascii="仿宋" w:hAnsi="仿宋" w:eastAsia="仿宋" w:cs="仿宋"/>
          <w:b/>
          <w:color w:val="auto"/>
          <w:sz w:val="24"/>
          <w:szCs w:val="24"/>
          <w:highlight w:val="none"/>
        </w:rPr>
      </w:pPr>
      <w:bookmarkStart w:id="112" w:name="_Toc3181"/>
      <w:r>
        <w:rPr>
          <w:rFonts w:hint="eastAsia" w:ascii="仿宋" w:hAnsi="仿宋" w:eastAsia="仿宋" w:cs="仿宋"/>
          <w:b/>
          <w:color w:val="auto"/>
          <w:sz w:val="24"/>
          <w:szCs w:val="24"/>
          <w:highlight w:val="none"/>
        </w:rPr>
        <w:t>七、采购代理服务费</w:t>
      </w:r>
      <w:bookmarkEnd w:id="112"/>
    </w:p>
    <w:p w14:paraId="47886B6E">
      <w:pPr>
        <w:spacing w:line="400" w:lineRule="exact"/>
        <w:ind w:firstLine="480" w:firstLineChars="200"/>
        <w:rPr>
          <w:rFonts w:hint="eastAsia" w:ascii="仿宋" w:hAnsi="仿宋" w:eastAsia="仿宋" w:cs="仿宋"/>
          <w:color w:val="auto"/>
          <w:sz w:val="24"/>
          <w:szCs w:val="24"/>
          <w:highlight w:val="none"/>
          <w:lang w:val="en-US" w:eastAsia="zh-CN"/>
        </w:rPr>
      </w:pPr>
      <w:bookmarkStart w:id="113" w:name="OLE_LINK7"/>
      <w:bookmarkStart w:id="114" w:name="OLE_LINK8"/>
      <w:r>
        <w:rPr>
          <w:rFonts w:hint="eastAsia" w:ascii="仿宋" w:hAnsi="仿宋" w:eastAsia="仿宋" w:cs="仿宋"/>
          <w:color w:val="auto"/>
          <w:sz w:val="24"/>
          <w:szCs w:val="24"/>
          <w:highlight w:val="none"/>
          <w:lang w:val="en-US" w:eastAsia="zh-CN"/>
        </w:rPr>
        <w:t>（一）供应商成交后向采购代理机构缴纳采购代理服务费，采购代理服务费的收取标准按照以下标准“货物采购”执行:</w:t>
      </w:r>
    </w:p>
    <w:bookmarkEnd w:id="113"/>
    <w:bookmarkEnd w:id="114"/>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C2E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val="0"/>
            <w:vAlign w:val="top"/>
          </w:tcPr>
          <w:p w14:paraId="64A500B8">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75g9YAAAAIAQAADwAAAAAAAAABACAAAAAiAAAAZHJzL2Rvd25yZXYueG1sUEsBAhQAFAAAAAgA&#10;h07iQEok0gfuAQAA4gMAAA4AAAAAAAAAAQAgAAAAJQ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lang w:val="en-US" w:eastAsia="zh-CN"/>
              </w:rPr>
              <w:t>采购类型</w:t>
            </w:r>
          </w:p>
          <w:p w14:paraId="4C32596F">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成交金额（万元）</w:t>
            </w:r>
          </w:p>
        </w:tc>
        <w:tc>
          <w:tcPr>
            <w:tcW w:w="2273" w:type="dxa"/>
            <w:noWrap w:val="0"/>
            <w:vAlign w:val="center"/>
          </w:tcPr>
          <w:p w14:paraId="7B959A16">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货物采购</w:t>
            </w:r>
          </w:p>
        </w:tc>
        <w:tc>
          <w:tcPr>
            <w:tcW w:w="2273" w:type="dxa"/>
            <w:noWrap w:val="0"/>
            <w:vAlign w:val="center"/>
          </w:tcPr>
          <w:p w14:paraId="2A90355D">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服务采购</w:t>
            </w:r>
          </w:p>
        </w:tc>
        <w:tc>
          <w:tcPr>
            <w:tcW w:w="2272" w:type="dxa"/>
            <w:noWrap w:val="0"/>
            <w:vAlign w:val="center"/>
          </w:tcPr>
          <w:p w14:paraId="56D04EEF">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工程采购</w:t>
            </w:r>
          </w:p>
        </w:tc>
      </w:tr>
      <w:tr w14:paraId="3BA6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0"/>
            <w:vAlign w:val="center"/>
          </w:tcPr>
          <w:p w14:paraId="20A98734">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100以下</w:t>
            </w:r>
          </w:p>
        </w:tc>
        <w:tc>
          <w:tcPr>
            <w:tcW w:w="2273" w:type="dxa"/>
            <w:noWrap w:val="0"/>
            <w:vAlign w:val="center"/>
          </w:tcPr>
          <w:p w14:paraId="001A8146">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273" w:type="dxa"/>
            <w:noWrap w:val="0"/>
            <w:vAlign w:val="center"/>
          </w:tcPr>
          <w:p w14:paraId="0951CD0A">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272" w:type="dxa"/>
            <w:noWrap w:val="0"/>
            <w:vAlign w:val="center"/>
          </w:tcPr>
          <w:p w14:paraId="52143742">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3DF4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0"/>
            <w:vAlign w:val="center"/>
          </w:tcPr>
          <w:p w14:paraId="6EAB25C2">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100-500</w:t>
            </w:r>
          </w:p>
        </w:tc>
        <w:tc>
          <w:tcPr>
            <w:tcW w:w="2273" w:type="dxa"/>
            <w:noWrap w:val="0"/>
            <w:vAlign w:val="center"/>
          </w:tcPr>
          <w:p w14:paraId="70A68D55">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273" w:type="dxa"/>
            <w:noWrap w:val="0"/>
            <w:vAlign w:val="center"/>
          </w:tcPr>
          <w:p w14:paraId="43378AA4">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c>
          <w:tcPr>
            <w:tcW w:w="2272" w:type="dxa"/>
            <w:noWrap w:val="0"/>
            <w:vAlign w:val="center"/>
          </w:tcPr>
          <w:p w14:paraId="445ADD7D">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r>
      <w:tr w14:paraId="4AB9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noWrap w:val="0"/>
            <w:vAlign w:val="center"/>
          </w:tcPr>
          <w:p w14:paraId="7922BA90">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500-1000</w:t>
            </w:r>
          </w:p>
        </w:tc>
        <w:tc>
          <w:tcPr>
            <w:tcW w:w="2273" w:type="dxa"/>
            <w:noWrap w:val="0"/>
            <w:vAlign w:val="center"/>
          </w:tcPr>
          <w:p w14:paraId="2EE4DB01">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c>
          <w:tcPr>
            <w:tcW w:w="2273" w:type="dxa"/>
            <w:noWrap w:val="0"/>
            <w:vAlign w:val="center"/>
          </w:tcPr>
          <w:p w14:paraId="7EE477EE">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0.45%</w:t>
            </w:r>
          </w:p>
        </w:tc>
        <w:tc>
          <w:tcPr>
            <w:tcW w:w="2272" w:type="dxa"/>
            <w:noWrap w:val="0"/>
            <w:vAlign w:val="center"/>
          </w:tcPr>
          <w:p w14:paraId="38184918">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0.55%</w:t>
            </w:r>
          </w:p>
        </w:tc>
      </w:tr>
      <w:tr w14:paraId="067D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noWrap w:val="0"/>
            <w:vAlign w:val="center"/>
          </w:tcPr>
          <w:p w14:paraId="774CF317">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1000-5000</w:t>
            </w:r>
          </w:p>
        </w:tc>
        <w:tc>
          <w:tcPr>
            <w:tcW w:w="2273" w:type="dxa"/>
            <w:noWrap w:val="0"/>
            <w:vAlign w:val="center"/>
          </w:tcPr>
          <w:p w14:paraId="575DB853">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2273" w:type="dxa"/>
            <w:noWrap w:val="0"/>
            <w:vAlign w:val="center"/>
          </w:tcPr>
          <w:p w14:paraId="577A1136">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0.25%</w:t>
            </w:r>
          </w:p>
        </w:tc>
        <w:tc>
          <w:tcPr>
            <w:tcW w:w="2272" w:type="dxa"/>
            <w:noWrap w:val="0"/>
            <w:vAlign w:val="center"/>
          </w:tcPr>
          <w:p w14:paraId="64657B67">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0.35%</w:t>
            </w:r>
          </w:p>
        </w:tc>
      </w:tr>
      <w:tr w14:paraId="092B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noWrap w:val="0"/>
            <w:vAlign w:val="center"/>
          </w:tcPr>
          <w:p w14:paraId="41958AD0">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5000-10000</w:t>
            </w:r>
          </w:p>
        </w:tc>
        <w:tc>
          <w:tcPr>
            <w:tcW w:w="2273" w:type="dxa"/>
            <w:noWrap w:val="0"/>
            <w:vAlign w:val="center"/>
          </w:tcPr>
          <w:p w14:paraId="4DFFDB0B">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0.25%</w:t>
            </w:r>
          </w:p>
        </w:tc>
        <w:tc>
          <w:tcPr>
            <w:tcW w:w="2273" w:type="dxa"/>
            <w:noWrap w:val="0"/>
            <w:vAlign w:val="center"/>
          </w:tcPr>
          <w:p w14:paraId="5E17D756">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w:t>
            </w:r>
          </w:p>
        </w:tc>
        <w:tc>
          <w:tcPr>
            <w:tcW w:w="2272" w:type="dxa"/>
            <w:noWrap w:val="0"/>
            <w:vAlign w:val="center"/>
          </w:tcPr>
          <w:p w14:paraId="2D28BE10">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r>
      <w:tr w14:paraId="511E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noWrap w:val="0"/>
            <w:vAlign w:val="center"/>
          </w:tcPr>
          <w:p w14:paraId="71B1BC28">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10000-100000</w:t>
            </w:r>
          </w:p>
        </w:tc>
        <w:tc>
          <w:tcPr>
            <w:tcW w:w="2273" w:type="dxa"/>
            <w:noWrap w:val="0"/>
            <w:vAlign w:val="center"/>
          </w:tcPr>
          <w:p w14:paraId="1A18FB77">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0.05%</w:t>
            </w:r>
          </w:p>
        </w:tc>
        <w:tc>
          <w:tcPr>
            <w:tcW w:w="2273" w:type="dxa"/>
            <w:noWrap w:val="0"/>
            <w:vAlign w:val="center"/>
          </w:tcPr>
          <w:p w14:paraId="39ABA784">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0.05%</w:t>
            </w:r>
          </w:p>
        </w:tc>
        <w:tc>
          <w:tcPr>
            <w:tcW w:w="2272" w:type="dxa"/>
            <w:noWrap w:val="0"/>
            <w:vAlign w:val="center"/>
          </w:tcPr>
          <w:p w14:paraId="0BF10BCF">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0.05%</w:t>
            </w:r>
          </w:p>
        </w:tc>
      </w:tr>
      <w:tr w14:paraId="3373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0"/>
            <w:vAlign w:val="center"/>
          </w:tcPr>
          <w:p w14:paraId="6A096B9F">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1000000以上</w:t>
            </w:r>
          </w:p>
        </w:tc>
        <w:tc>
          <w:tcPr>
            <w:tcW w:w="2273" w:type="dxa"/>
            <w:noWrap w:val="0"/>
            <w:vAlign w:val="center"/>
          </w:tcPr>
          <w:p w14:paraId="373DB80E">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0.01%</w:t>
            </w:r>
          </w:p>
        </w:tc>
        <w:tc>
          <w:tcPr>
            <w:tcW w:w="2273" w:type="dxa"/>
            <w:noWrap w:val="0"/>
            <w:vAlign w:val="center"/>
          </w:tcPr>
          <w:p w14:paraId="07BC6EC8">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0.01%</w:t>
            </w:r>
          </w:p>
        </w:tc>
        <w:tc>
          <w:tcPr>
            <w:tcW w:w="2272" w:type="dxa"/>
            <w:noWrap w:val="0"/>
            <w:vAlign w:val="center"/>
          </w:tcPr>
          <w:p w14:paraId="5937984F">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0.01%</w:t>
            </w:r>
          </w:p>
        </w:tc>
      </w:tr>
    </w:tbl>
    <w:p w14:paraId="5EEE45C2">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注：采购代理服务收费按差额定率累进法计算。例如：某货物采购代理业务成交金额为500万元，计算采购代理服务收费额如下：</w:t>
      </w:r>
    </w:p>
    <w:p w14:paraId="4B3BBA0C">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100万元×1.5%=1.5万元</w:t>
      </w:r>
    </w:p>
    <w:p w14:paraId="13D383D1">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（500-100）万元×1.1%=4.4万元</w:t>
      </w:r>
    </w:p>
    <w:p w14:paraId="483715B5">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合计收费=1.5+4.4=5.9（万元）</w:t>
      </w:r>
    </w:p>
    <w:p w14:paraId="0151B3B8">
      <w:pPr>
        <w:pStyle w:val="3"/>
        <w:spacing w:line="400" w:lineRule="exact"/>
        <w:ind w:firstLine="480" w:firstLineChars="200"/>
        <w:rPr>
          <w:rFonts w:hint="eastAsia" w:ascii="仿宋" w:hAnsi="仿宋" w:eastAsia="仿宋" w:cs="仿宋"/>
          <w:color w:val="auto"/>
          <w:sz w:val="24"/>
          <w:szCs w:val="24"/>
          <w:highlight w:val="none"/>
          <w:lang w:val="en-US" w:eastAsia="zh-CN"/>
        </w:rPr>
      </w:pPr>
    </w:p>
    <w:p w14:paraId="3C3ADB49">
      <w:pPr>
        <w:pStyle w:val="3"/>
        <w:spacing w:line="400" w:lineRule="exact"/>
        <w:ind w:firstLine="482" w:firstLineChars="200"/>
        <w:rPr>
          <w:rFonts w:hint="eastAsia" w:ascii="仿宋" w:hAnsi="仿宋" w:eastAsia="仿宋" w:cs="仿宋"/>
          <w:b/>
          <w:color w:val="auto"/>
          <w:sz w:val="24"/>
          <w:szCs w:val="24"/>
          <w:highlight w:val="none"/>
        </w:rPr>
      </w:pPr>
      <w:bookmarkStart w:id="115" w:name="_Toc24099"/>
      <w:r>
        <w:rPr>
          <w:rFonts w:hint="eastAsia" w:ascii="仿宋" w:hAnsi="仿宋" w:eastAsia="仿宋" w:cs="仿宋"/>
          <w:b/>
          <w:color w:val="auto"/>
          <w:sz w:val="24"/>
          <w:szCs w:val="24"/>
          <w:highlight w:val="none"/>
        </w:rPr>
        <w:t>八、签订</w:t>
      </w:r>
      <w:bookmarkEnd w:id="109"/>
      <w:r>
        <w:rPr>
          <w:rFonts w:hint="eastAsia" w:ascii="仿宋" w:hAnsi="仿宋" w:eastAsia="仿宋" w:cs="仿宋"/>
          <w:b/>
          <w:color w:val="auto"/>
          <w:sz w:val="24"/>
          <w:szCs w:val="24"/>
          <w:highlight w:val="none"/>
        </w:rPr>
        <w:t>合同</w:t>
      </w:r>
      <w:bookmarkEnd w:id="110"/>
      <w:bookmarkEnd w:id="111"/>
      <w:bookmarkEnd w:id="115"/>
    </w:p>
    <w:p w14:paraId="2D70ECE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应当在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通知书发出之日起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日内，按照竞争性比选文件确定的合同文本以及采购标的、规格型号、采购金额、采购数量、服务和服务要求等事项签订采购合同。</w:t>
      </w:r>
    </w:p>
    <w:p w14:paraId="5A88B58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（二）比选文件、</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的投标文件及有效承诺文件等，均为签订合同的依据。</w:t>
      </w:r>
    </w:p>
    <w:p w14:paraId="631D307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放弃成交项目或在签订合同时擅自改变成交状态的，采购人将按照相关法律法规处理。</w:t>
      </w:r>
    </w:p>
    <w:p w14:paraId="408D12D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（四）采购人不得向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提出超出比选文件以外的任何要求作为签订合同的条件，不得与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订立背离比选确定的合同文本以及采购标的、规格型号、采购金额、采购数量、服务和服务要求等实质性内容的协议。</w:t>
      </w:r>
    </w:p>
    <w:p w14:paraId="45077AA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（五）除不可抗力等因素外，</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通知书发出后，采购人改变</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结果，或者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拒绝签订政府采购合同的，应当承担相应的法律责任。</w:t>
      </w:r>
    </w:p>
    <w:p w14:paraId="3D713174">
      <w:pPr>
        <w:pStyle w:val="19"/>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2" w:firstLineChars="200"/>
        <w:textAlignment w:val="auto"/>
        <w:rPr>
          <w:rFonts w:hint="default" w:eastAsia="仿宋"/>
          <w:b/>
          <w:bCs/>
          <w:lang w:val="en-US" w:eastAsia="zh-CN"/>
        </w:rPr>
      </w:pPr>
      <w:r>
        <w:rPr>
          <w:rFonts w:hint="eastAsia" w:ascii="仿宋" w:hAnsi="仿宋" w:eastAsia="仿宋" w:cs="仿宋"/>
          <w:b/>
          <w:bCs/>
          <w:color w:val="auto"/>
          <w:kern w:val="2"/>
          <w:sz w:val="24"/>
          <w:szCs w:val="24"/>
          <w:highlight w:val="none"/>
          <w:lang w:val="en-US" w:eastAsia="zh-CN" w:bidi="ar-SA"/>
        </w:rPr>
        <w:t>（六）如在采购合同履行期间，采购人因有上级政策性有变动需要合同终止的，采购人不</w:t>
      </w:r>
      <w:r>
        <w:rPr>
          <w:rFonts w:hint="eastAsia" w:ascii="仿宋" w:hAnsi="仿宋" w:eastAsia="仿宋" w:cs="仿宋"/>
          <w:b/>
          <w:bCs/>
          <w:color w:val="auto"/>
          <w:sz w:val="24"/>
          <w:szCs w:val="24"/>
          <w:highlight w:val="none"/>
        </w:rPr>
        <w:t>承担相应的法律责任。</w:t>
      </w:r>
    </w:p>
    <w:p w14:paraId="06626A9F">
      <w:pPr>
        <w:spacing w:line="400" w:lineRule="exact"/>
        <w:ind w:firstLine="480" w:firstLineChars="200"/>
        <w:rPr>
          <w:rFonts w:hint="eastAsia" w:ascii="仿宋" w:hAnsi="仿宋" w:eastAsia="仿宋" w:cs="仿宋"/>
          <w:color w:val="auto"/>
          <w:sz w:val="24"/>
          <w:szCs w:val="24"/>
          <w:highlight w:val="none"/>
        </w:rPr>
      </w:pPr>
    </w:p>
    <w:p w14:paraId="55A4B8D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37C5C88">
      <w:pPr>
        <w:spacing w:line="400" w:lineRule="exact"/>
        <w:ind w:firstLine="480" w:firstLineChars="200"/>
        <w:rPr>
          <w:rFonts w:hint="eastAsia" w:ascii="仿宋" w:hAnsi="仿宋" w:eastAsia="仿宋" w:cs="仿宋"/>
          <w:color w:val="auto"/>
          <w:sz w:val="24"/>
          <w:szCs w:val="24"/>
          <w:highlight w:val="none"/>
        </w:rPr>
      </w:pPr>
    </w:p>
    <w:p w14:paraId="1A7CE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44"/>
          <w:szCs w:val="22"/>
          <w:highlight w:val="none"/>
          <w:lang w:val="en-US" w:eastAsia="zh-CN" w:bidi="ar-SA"/>
        </w:rPr>
        <w:t>第六篇  采购合同</w:t>
      </w:r>
    </w:p>
    <w:p w14:paraId="4735BB3A">
      <w:pPr>
        <w:spacing w:line="400" w:lineRule="exact"/>
        <w:ind w:firstLine="720" w:firstLineChars="200"/>
        <w:rPr>
          <w:rFonts w:hint="eastAsia" w:ascii="仿宋" w:hAnsi="仿宋" w:eastAsia="仿宋" w:cs="仿宋"/>
          <w:color w:val="auto"/>
          <w:sz w:val="36"/>
          <w:szCs w:val="36"/>
          <w:highlight w:val="none"/>
          <w:lang w:val="en-US" w:eastAsia="zh-CN"/>
        </w:rPr>
      </w:pPr>
    </w:p>
    <w:p w14:paraId="531B6E3E">
      <w:pPr>
        <w:jc w:val="center"/>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（具体与</w:t>
      </w:r>
      <w:r>
        <w:rPr>
          <w:rFonts w:hint="eastAsia" w:ascii="仿宋" w:hAnsi="仿宋" w:eastAsia="仿宋" w:cs="仿宋"/>
          <w:color w:val="auto"/>
          <w:sz w:val="28"/>
          <w:szCs w:val="32"/>
          <w:highlight w:val="none"/>
          <w:lang w:val="en-US" w:eastAsia="zh-CN"/>
        </w:rPr>
        <w:t>采购人</w:t>
      </w:r>
      <w:r>
        <w:rPr>
          <w:rFonts w:hint="eastAsia" w:ascii="仿宋" w:hAnsi="仿宋" w:eastAsia="仿宋" w:cs="仿宋"/>
          <w:color w:val="auto"/>
          <w:sz w:val="28"/>
          <w:szCs w:val="32"/>
          <w:highlight w:val="none"/>
        </w:rPr>
        <w:t>签订的合同为准）</w:t>
      </w:r>
    </w:p>
    <w:p w14:paraId="0649E58F">
      <w:pPr>
        <w:spacing w:line="400" w:lineRule="exact"/>
        <w:ind w:firstLine="480" w:firstLineChars="200"/>
        <w:rPr>
          <w:rFonts w:hint="eastAsia" w:ascii="仿宋" w:hAnsi="仿宋" w:eastAsia="仿宋" w:cs="仿宋"/>
          <w:color w:val="auto"/>
          <w:sz w:val="24"/>
          <w:szCs w:val="24"/>
          <w:highlight w:val="none"/>
          <w:lang w:val="en-US" w:eastAsia="zh-CN"/>
        </w:rPr>
      </w:pPr>
    </w:p>
    <w:p w14:paraId="4DB4B462">
      <w:pPr>
        <w:spacing w:line="400" w:lineRule="exact"/>
        <w:ind w:firstLine="480" w:firstLineChars="200"/>
        <w:rPr>
          <w:rFonts w:hint="eastAsia" w:ascii="仿宋" w:hAnsi="仿宋" w:eastAsia="仿宋" w:cs="仿宋"/>
          <w:color w:val="auto"/>
          <w:sz w:val="24"/>
          <w:szCs w:val="24"/>
          <w:highlight w:val="none"/>
        </w:rPr>
      </w:pPr>
    </w:p>
    <w:p w14:paraId="29F4729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C3B09EB">
      <w:pPr>
        <w:spacing w:line="400" w:lineRule="exact"/>
        <w:ind w:firstLine="480" w:firstLineChars="200"/>
        <w:rPr>
          <w:rFonts w:hint="eastAsia" w:ascii="仿宋" w:hAnsi="仿宋" w:eastAsia="仿宋" w:cs="仿宋"/>
          <w:color w:val="auto"/>
          <w:sz w:val="24"/>
          <w:szCs w:val="24"/>
          <w:highlight w:val="none"/>
        </w:rPr>
      </w:pPr>
    </w:p>
    <w:p w14:paraId="45FD4A21">
      <w:pPr>
        <w:spacing w:line="400" w:lineRule="exact"/>
        <w:rPr>
          <w:rFonts w:hint="eastAsia" w:ascii="仿宋" w:hAnsi="仿宋" w:eastAsia="仿宋" w:cs="仿宋"/>
          <w:color w:val="auto"/>
          <w:sz w:val="24"/>
          <w:szCs w:val="24"/>
          <w:highlight w:val="none"/>
        </w:rPr>
      </w:pPr>
    </w:p>
    <w:p w14:paraId="150F083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57D3D69">
      <w:pPr>
        <w:pStyle w:val="2"/>
        <w:spacing w:before="0" w:beforeLines="0" w:after="0" w:afterLines="0" w:line="360" w:lineRule="auto"/>
        <w:rPr>
          <w:rFonts w:hint="eastAsia" w:ascii="仿宋" w:hAnsi="仿宋" w:eastAsia="仿宋" w:cs="仿宋"/>
          <w:color w:val="auto"/>
          <w:highlight w:val="none"/>
        </w:rPr>
      </w:pPr>
      <w:bookmarkStart w:id="116" w:name="_Toc26121"/>
      <w:r>
        <w:rPr>
          <w:rFonts w:hint="eastAsia" w:ascii="仿宋" w:hAnsi="仿宋" w:eastAsia="仿宋" w:cs="仿宋"/>
          <w:color w:val="auto"/>
          <w:highlight w:val="none"/>
        </w:rPr>
        <w:t>第七篇  投标文件编制要求</w:t>
      </w:r>
      <w:bookmarkEnd w:id="116"/>
    </w:p>
    <w:p w14:paraId="701A0148">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7A558AF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（一）比选报价函</w:t>
      </w:r>
    </w:p>
    <w:p w14:paraId="0B28D2F4">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二、服务部分</w:t>
      </w:r>
    </w:p>
    <w:p w14:paraId="7C0C7EE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（一）服务方案（格式自定）</w:t>
      </w:r>
    </w:p>
    <w:p w14:paraId="0D6FBC3A">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（二）服务响应偏离表（本表可自行设计格式）</w:t>
      </w:r>
    </w:p>
    <w:p w14:paraId="79D0F179">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三、商务部分</w:t>
      </w:r>
    </w:p>
    <w:p w14:paraId="73D4333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（一）商务要求响应情况：服务时间、服务地点、优惠承诺等（格式自定）</w:t>
      </w:r>
    </w:p>
    <w:p w14:paraId="584D584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（二）商务响应偏离表（本表可自行设计格式）</w:t>
      </w:r>
    </w:p>
    <w:p w14:paraId="7316417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（三）商务评分需提供的资料</w:t>
      </w:r>
    </w:p>
    <w:p w14:paraId="62F69BB5">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四、资格条件及其他</w:t>
      </w:r>
    </w:p>
    <w:p w14:paraId="32C0B83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法人营业执照（副本）或事业单位法人证书（副本）或个体工商户营业执照或有效的自然人身份证明或社会团体法人登记证书（提供复印件）.</w:t>
      </w:r>
    </w:p>
    <w:p w14:paraId="4FADD13D">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）法定代表人身份证明书（格式）</w:t>
      </w:r>
    </w:p>
    <w:p w14:paraId="5F4F864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）法定代表人授权委托书（格式）</w:t>
      </w:r>
    </w:p>
    <w:p w14:paraId="03479522">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）基本资格条件承诺函（格式）</w:t>
      </w:r>
    </w:p>
    <w:p w14:paraId="6F7302C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）特定资格条件证明文件</w:t>
      </w:r>
    </w:p>
    <w:p w14:paraId="74397762">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五、其他应提供的资料</w:t>
      </w:r>
    </w:p>
    <w:p w14:paraId="4EC8DB5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11E2033D">
      <w:pPr>
        <w:tabs>
          <w:tab w:val="left" w:pos="6300"/>
        </w:tabs>
        <w:snapToGrid w:val="0"/>
        <w:spacing w:line="400" w:lineRule="exact"/>
        <w:jc w:val="both"/>
        <w:outlineLvl w:val="0"/>
        <w:rPr>
          <w:rFonts w:hint="eastAsia" w:ascii="仿宋" w:hAnsi="仿宋" w:eastAsia="仿宋" w:cs="仿宋"/>
          <w:color w:val="auto"/>
          <w:sz w:val="32"/>
          <w:szCs w:val="32"/>
          <w:highlight w:val="none"/>
        </w:rPr>
      </w:pPr>
      <w:bookmarkStart w:id="117" w:name="_Toc429584884"/>
    </w:p>
    <w:p w14:paraId="216133E4">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70247A18">
      <w:pPr>
        <w:spacing w:line="700" w:lineRule="exact"/>
        <w:ind w:firstLine="360" w:firstLineChars="10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 xml:space="preserve">    项目名称：       </w:t>
      </w:r>
    </w:p>
    <w:p w14:paraId="2A5DDA3B">
      <w:pPr>
        <w:spacing w:line="700" w:lineRule="exact"/>
        <w:ind w:firstLine="360" w:firstLineChars="1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分包</w:t>
      </w:r>
      <w:r>
        <w:rPr>
          <w:rFonts w:hint="eastAsia" w:ascii="仿宋" w:hAnsi="仿宋" w:eastAsia="仿宋" w:cs="仿宋"/>
          <w:color w:val="auto"/>
          <w:sz w:val="36"/>
          <w:szCs w:val="36"/>
          <w:highlight w:val="none"/>
        </w:rPr>
        <w:t>项目名称：</w:t>
      </w:r>
    </w:p>
    <w:p w14:paraId="22E6311E">
      <w:pPr>
        <w:pStyle w:val="9"/>
        <w:rPr>
          <w:rFonts w:hint="eastAsia" w:ascii="仿宋" w:hAnsi="仿宋" w:eastAsia="仿宋" w:cs="仿宋"/>
          <w:color w:val="auto"/>
          <w:sz w:val="36"/>
          <w:szCs w:val="36"/>
          <w:highlight w:val="none"/>
        </w:rPr>
      </w:pPr>
    </w:p>
    <w:p w14:paraId="2E294D85">
      <w:pPr>
        <w:rPr>
          <w:rFonts w:hint="eastAsia" w:ascii="仿宋" w:hAnsi="仿宋" w:eastAsia="仿宋" w:cs="仿宋"/>
          <w:color w:val="auto"/>
          <w:highlight w:val="none"/>
        </w:rPr>
      </w:pPr>
    </w:p>
    <w:p w14:paraId="58AB159E">
      <w:pPr>
        <w:jc w:val="center"/>
        <w:outlineLvl w:val="0"/>
        <w:rPr>
          <w:rFonts w:hint="eastAsia" w:ascii="仿宋" w:hAnsi="仿宋" w:eastAsia="仿宋" w:cs="仿宋"/>
          <w:color w:val="auto"/>
          <w:spacing w:val="80"/>
          <w:sz w:val="112"/>
          <w:szCs w:val="112"/>
          <w:highlight w:val="none"/>
        </w:rPr>
      </w:pPr>
    </w:p>
    <w:p w14:paraId="045C2878">
      <w:pPr>
        <w:jc w:val="center"/>
        <w:outlineLvl w:val="0"/>
        <w:rPr>
          <w:rFonts w:hint="eastAsia" w:ascii="仿宋" w:hAnsi="仿宋" w:eastAsia="仿宋" w:cs="仿宋"/>
          <w:color w:val="auto"/>
          <w:spacing w:val="80"/>
          <w:sz w:val="112"/>
          <w:szCs w:val="112"/>
          <w:highlight w:val="none"/>
        </w:rPr>
      </w:pPr>
      <w:r>
        <w:rPr>
          <w:rFonts w:hint="eastAsia" w:ascii="仿宋" w:hAnsi="仿宋" w:eastAsia="仿宋" w:cs="仿宋"/>
          <w:color w:val="auto"/>
          <w:spacing w:val="80"/>
          <w:sz w:val="112"/>
          <w:szCs w:val="112"/>
          <w:highlight w:val="none"/>
        </w:rPr>
        <w:t>投标文件</w:t>
      </w:r>
    </w:p>
    <w:p w14:paraId="4C940F07">
      <w:pPr>
        <w:spacing w:line="700" w:lineRule="exact"/>
        <w:rPr>
          <w:rFonts w:hint="eastAsia" w:ascii="仿宋" w:hAnsi="仿宋" w:eastAsia="仿宋" w:cs="仿宋"/>
          <w:color w:val="auto"/>
          <w:sz w:val="32"/>
          <w:highlight w:val="none"/>
        </w:rPr>
      </w:pPr>
    </w:p>
    <w:p w14:paraId="43367557">
      <w:pPr>
        <w:spacing w:line="700" w:lineRule="exact"/>
        <w:jc w:val="center"/>
        <w:rPr>
          <w:rFonts w:hint="eastAsia" w:ascii="仿宋" w:hAnsi="仿宋" w:eastAsia="仿宋" w:cs="仿宋"/>
          <w:b/>
          <w:color w:val="auto"/>
          <w:sz w:val="36"/>
          <w:szCs w:val="36"/>
          <w:highlight w:val="none"/>
        </w:rPr>
      </w:pPr>
    </w:p>
    <w:p w14:paraId="221EB3A7">
      <w:pPr>
        <w:spacing w:line="700" w:lineRule="exact"/>
        <w:rPr>
          <w:rFonts w:hint="eastAsia" w:ascii="仿宋" w:hAnsi="仿宋" w:eastAsia="仿宋" w:cs="仿宋"/>
          <w:b/>
          <w:color w:val="auto"/>
          <w:sz w:val="36"/>
          <w:szCs w:val="36"/>
          <w:highlight w:val="none"/>
        </w:rPr>
      </w:pPr>
    </w:p>
    <w:p w14:paraId="792597E4">
      <w:pPr>
        <w:spacing w:line="700" w:lineRule="exact"/>
        <w:rPr>
          <w:rFonts w:hint="eastAsia" w:ascii="仿宋" w:hAnsi="仿宋" w:eastAsia="仿宋" w:cs="仿宋"/>
          <w:color w:val="auto"/>
          <w:sz w:val="36"/>
          <w:szCs w:val="36"/>
          <w:highlight w:val="none"/>
        </w:rPr>
      </w:pPr>
    </w:p>
    <w:p w14:paraId="03DE3764">
      <w:pPr>
        <w:spacing w:line="700" w:lineRule="exact"/>
        <w:rPr>
          <w:rFonts w:hint="eastAsia" w:ascii="仿宋" w:hAnsi="仿宋" w:eastAsia="仿宋" w:cs="仿宋"/>
          <w:color w:val="auto"/>
          <w:sz w:val="16"/>
          <w:szCs w:val="16"/>
          <w:highlight w:val="none"/>
        </w:rPr>
      </w:pPr>
      <w:r>
        <w:rPr>
          <w:rFonts w:hint="eastAsia" w:ascii="仿宋" w:hAnsi="仿宋" w:eastAsia="仿宋" w:cs="仿宋"/>
          <w:color w:val="auto"/>
          <w:sz w:val="36"/>
          <w:szCs w:val="36"/>
          <w:highlight w:val="none"/>
          <w:lang w:eastAsia="zh-CN"/>
        </w:rPr>
        <w:t>投标人</w:t>
      </w:r>
      <w:r>
        <w:rPr>
          <w:rFonts w:hint="eastAsia" w:ascii="仿宋" w:hAnsi="仿宋" w:eastAsia="仿宋" w:cs="仿宋"/>
          <w:color w:val="auto"/>
          <w:sz w:val="36"/>
          <w:szCs w:val="36"/>
          <w:highlight w:val="none"/>
        </w:rPr>
        <w:t>（公章）：</w:t>
      </w:r>
    </w:p>
    <w:p w14:paraId="0A278882">
      <w:pPr>
        <w:spacing w:line="720" w:lineRule="exact"/>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w:t>
      </w:r>
    </w:p>
    <w:p w14:paraId="2705057B">
      <w:pPr>
        <w:spacing w:line="720" w:lineRule="exact"/>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法定代表人或授权代表（签字）：</w:t>
      </w:r>
    </w:p>
    <w:p w14:paraId="73554B81">
      <w:pPr>
        <w:pStyle w:val="7"/>
        <w:rPr>
          <w:rFonts w:hint="eastAsia" w:ascii="仿宋" w:hAnsi="仿宋" w:eastAsia="仿宋" w:cs="仿宋"/>
          <w:color w:val="auto"/>
          <w:highlight w:val="none"/>
        </w:rPr>
      </w:pPr>
      <w:r>
        <w:rPr>
          <w:rFonts w:hint="eastAsia" w:ascii="仿宋" w:hAnsi="仿宋" w:eastAsia="仿宋" w:cs="仿宋"/>
          <w:color w:val="auto"/>
          <w:sz w:val="36"/>
          <w:szCs w:val="36"/>
          <w:highlight w:val="none"/>
        </w:rPr>
        <w:t>联系电话：</w:t>
      </w:r>
    </w:p>
    <w:p w14:paraId="2B863D6E">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   月   日</w:t>
      </w:r>
    </w:p>
    <w:p w14:paraId="096DE5B1">
      <w:pPr>
        <w:spacing w:line="360" w:lineRule="auto"/>
        <w:rPr>
          <w:rFonts w:hint="eastAsia" w:ascii="仿宋" w:hAnsi="仿宋" w:eastAsia="仿宋" w:cs="仿宋"/>
          <w:bCs/>
          <w:color w:val="auto"/>
          <w:sz w:val="24"/>
          <w:szCs w:val="24"/>
          <w:highlight w:val="none"/>
        </w:rPr>
      </w:pPr>
    </w:p>
    <w:p w14:paraId="5907BC0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26172B9">
      <w:pPr>
        <w:snapToGrid w:val="0"/>
        <w:spacing w:line="440" w:lineRule="exact"/>
        <w:rPr>
          <w:rFonts w:hint="eastAsia" w:ascii="仿宋" w:hAnsi="仿宋" w:eastAsia="仿宋" w:cs="仿宋"/>
          <w:b/>
          <w:color w:val="auto"/>
          <w:sz w:val="24"/>
          <w:szCs w:val="24"/>
          <w:highlight w:val="none"/>
        </w:rPr>
      </w:pPr>
      <w:bookmarkStart w:id="118" w:name="_Toc21167"/>
      <w:r>
        <w:rPr>
          <w:rStyle w:val="42"/>
          <w:rFonts w:hint="eastAsia" w:ascii="仿宋" w:hAnsi="仿宋" w:eastAsia="仿宋" w:cs="仿宋"/>
          <w:b/>
          <w:bCs/>
          <w:color w:val="auto"/>
          <w:sz w:val="24"/>
          <w:szCs w:val="24"/>
          <w:highlight w:val="none"/>
        </w:rPr>
        <w:t>一、经济</w:t>
      </w:r>
      <w:bookmarkEnd w:id="117"/>
      <w:r>
        <w:rPr>
          <w:rStyle w:val="42"/>
          <w:rFonts w:hint="eastAsia" w:ascii="仿宋" w:hAnsi="仿宋" w:eastAsia="仿宋" w:cs="仿宋"/>
          <w:b/>
          <w:bCs/>
          <w:color w:val="auto"/>
          <w:sz w:val="24"/>
          <w:szCs w:val="24"/>
          <w:highlight w:val="none"/>
        </w:rPr>
        <w:t>部分</w:t>
      </w:r>
      <w:bookmarkEnd w:id="118"/>
    </w:p>
    <w:p w14:paraId="4A358315">
      <w:pPr>
        <w:snapToGrid w:val="0"/>
        <w:spacing w:line="500" w:lineRule="exact"/>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（一）比选报价函</w:t>
      </w:r>
    </w:p>
    <w:p w14:paraId="3E349163">
      <w:pPr>
        <w:snapToGrid w:val="0"/>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比选报价函</w:t>
      </w:r>
    </w:p>
    <w:p w14:paraId="029687A4">
      <w:pPr>
        <w:tabs>
          <w:tab w:val="left" w:pos="6300"/>
        </w:tabs>
        <w:snapToGrid w:val="0"/>
        <w:spacing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33343369">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w:t>
      </w:r>
      <w:r>
        <w:rPr>
          <w:rFonts w:hint="eastAsia" w:ascii="仿宋" w:hAnsi="仿宋" w:eastAsia="仿宋" w:cs="仿宋"/>
          <w:color w:val="auto"/>
          <w:sz w:val="24"/>
          <w:szCs w:val="24"/>
          <w:highlight w:val="none"/>
          <w:lang w:val="en-US" w:eastAsia="zh-CN"/>
        </w:rPr>
        <w:t>分包</w:t>
      </w:r>
      <w:r>
        <w:rPr>
          <w:rFonts w:hint="eastAsia" w:ascii="仿宋" w:hAnsi="仿宋" w:eastAsia="仿宋" w:cs="仿宋"/>
          <w:color w:val="auto"/>
          <w:sz w:val="24"/>
          <w:szCs w:val="24"/>
          <w:highlight w:val="none"/>
        </w:rPr>
        <w:t>项目名称）的竞争性比选文件，经详细研究，决定参加该项目的比选。</w:t>
      </w:r>
    </w:p>
    <w:p w14:paraId="69DDF63F">
      <w:pPr>
        <w:keepNext w:val="0"/>
        <w:keepLines w:val="0"/>
        <w:pageBreakBefore w:val="0"/>
        <w:widowControl w:val="0"/>
        <w:numPr>
          <w:ilvl w:val="0"/>
          <w:numId w:val="0"/>
        </w:numPr>
        <w:tabs>
          <w:tab w:val="left" w:pos="0"/>
          <w:tab w:val="left" w:pos="6300"/>
        </w:tabs>
        <w:kinsoku/>
        <w:wordWrap/>
        <w:overflowPunct/>
        <w:topLinePunct w:val="0"/>
        <w:autoSpaceDE/>
        <w:autoSpaceDN/>
        <w:bidi w:val="0"/>
        <w:adjustRightInd/>
        <w:snapToGrid w:val="0"/>
        <w:spacing w:line="400" w:lineRule="exact"/>
        <w:ind w:leftChars="19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1、愿意按照竞争性比选文件中的一切要求，提供本项目的服务，</w:t>
      </w:r>
      <w:r>
        <w:rPr>
          <w:rFonts w:hint="eastAsia" w:ascii="仿宋" w:hAnsi="仿宋" w:eastAsia="仿宋" w:cs="仿宋"/>
          <w:color w:val="auto"/>
          <w:sz w:val="24"/>
          <w:szCs w:val="24"/>
          <w:highlight w:val="none"/>
          <w:lang w:val="en-US" w:eastAsia="zh-CN"/>
        </w:rPr>
        <w:t>本项目投标报价费率为</w:t>
      </w:r>
      <w:r>
        <w:rPr>
          <w:rFonts w:hint="eastAsia" w:ascii="仿宋" w:hAnsi="仿宋" w:eastAsia="仿宋" w:cs="仿宋"/>
          <w:color w:val="auto"/>
          <w:sz w:val="24"/>
          <w:szCs w:val="24"/>
          <w:highlight w:val="none"/>
          <w:u w:val="single"/>
        </w:rPr>
        <w:t>大写：</w:t>
      </w:r>
      <w:r>
        <w:rPr>
          <w:rFonts w:hint="eastAsia" w:ascii="仿宋" w:hAnsi="仿宋" w:eastAsia="仿宋" w:cs="仿宋"/>
          <w:color w:val="auto"/>
          <w:sz w:val="24"/>
          <w:szCs w:val="24"/>
          <w:highlight w:val="none"/>
          <w:u w:val="single"/>
          <w:lang w:val="en-US" w:eastAsia="zh-CN"/>
        </w:rPr>
        <w:t xml:space="preserve">百分之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小写：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rPr>
        <w:t>。</w:t>
      </w:r>
    </w:p>
    <w:p w14:paraId="33207EF0">
      <w:pPr>
        <w:tabs>
          <w:tab w:val="left" w:pos="6300"/>
        </w:tabs>
        <w:snapToGrid w:val="0"/>
        <w:spacing w:line="52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2、我方现提交的投标文件为：投标文件正本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3B670BC8">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3、我方承诺：本次比选的有效期为90天。</w:t>
      </w:r>
    </w:p>
    <w:p w14:paraId="00CB20B1">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4、我方完全理解和接受贵方竞争性比选文件的一切规定和要求及评审办法。</w:t>
      </w:r>
    </w:p>
    <w:p w14:paraId="515C13D4">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5、在整个比选过程中，我方若有违规行为，接受按照《中华人民共和国政府采购法》和《比选文件》之规定给予惩罚。</w:t>
      </w:r>
    </w:p>
    <w:p w14:paraId="6DA088F9">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，将按照最终比选结果签订合同，并且严格履行合同义务。本承诺函将成为合同不可分割的一部分，与合同具有同等的法律效力。</w:t>
      </w:r>
    </w:p>
    <w:p w14:paraId="3B183EC4">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7、我方同意按竞争性比选文件规定，交纳竞争性比选文件要求的比选保证金。</w:t>
      </w:r>
    </w:p>
    <w:p w14:paraId="3C4EBD46">
      <w:pPr>
        <w:tabs>
          <w:tab w:val="left" w:pos="6300"/>
        </w:tabs>
        <w:snapToGrid w:val="0"/>
        <w:spacing w:line="520" w:lineRule="exact"/>
        <w:ind w:firstLine="57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若我方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，愿意按有关规定及</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文件要求缴纳招标代理服务费</w:t>
      </w:r>
      <w:r>
        <w:rPr>
          <w:rFonts w:hint="eastAsia" w:ascii="仿宋" w:hAnsi="仿宋" w:eastAsia="仿宋" w:cs="仿宋"/>
          <w:color w:val="auto"/>
          <w:sz w:val="24"/>
          <w:szCs w:val="24"/>
          <w:highlight w:val="none"/>
          <w:lang w:eastAsia="zh-CN"/>
        </w:rPr>
        <w:t>。</w:t>
      </w:r>
    </w:p>
    <w:p w14:paraId="5D087798">
      <w:pPr>
        <w:tabs>
          <w:tab w:val="left" w:pos="6300"/>
        </w:tabs>
        <w:snapToGrid w:val="0"/>
        <w:spacing w:line="520" w:lineRule="exact"/>
        <w:ind w:firstLine="570"/>
        <w:rPr>
          <w:rFonts w:hint="eastAsia" w:ascii="仿宋" w:hAnsi="仿宋" w:eastAsia="仿宋" w:cs="仿宋"/>
          <w:color w:val="auto"/>
          <w:sz w:val="24"/>
          <w:szCs w:val="24"/>
          <w:highlight w:val="none"/>
        </w:rPr>
      </w:pPr>
    </w:p>
    <w:p w14:paraId="2ECAA15C">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2BEA4D6">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0CC9E496">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3C2A83FF">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2A574609">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0E249D51">
      <w:pPr>
        <w:tabs>
          <w:tab w:val="left" w:pos="6300"/>
        </w:tabs>
        <w:snapToGrid w:val="0"/>
        <w:spacing w:line="520" w:lineRule="exact"/>
        <w:ind w:firstLine="570"/>
        <w:rPr>
          <w:rFonts w:hint="eastAsia" w:ascii="仿宋" w:hAnsi="仿宋" w:eastAsia="仿宋" w:cs="仿宋"/>
          <w:color w:val="auto"/>
          <w:sz w:val="24"/>
          <w:szCs w:val="24"/>
          <w:highlight w:val="none"/>
        </w:rPr>
      </w:pPr>
    </w:p>
    <w:p w14:paraId="79B64EB2">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580D6C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FAA3579">
      <w:pPr>
        <w:snapToGrid w:val="0"/>
        <w:spacing w:line="440" w:lineRule="exact"/>
        <w:rPr>
          <w:rStyle w:val="42"/>
          <w:rFonts w:hint="eastAsia" w:ascii="仿宋" w:hAnsi="仿宋" w:eastAsia="仿宋" w:cs="仿宋"/>
          <w:b/>
          <w:bCs/>
          <w:color w:val="auto"/>
          <w:sz w:val="24"/>
          <w:szCs w:val="24"/>
          <w:highlight w:val="none"/>
        </w:rPr>
      </w:pPr>
      <w:bookmarkStart w:id="119" w:name="_Toc19815"/>
      <w:bookmarkStart w:id="120" w:name="_Toc313008358"/>
      <w:bookmarkStart w:id="121" w:name="_Toc313888362"/>
      <w:bookmarkStart w:id="122" w:name="_Toc342913421"/>
      <w:bookmarkStart w:id="123" w:name="_Toc439685512"/>
      <w:bookmarkStart w:id="124" w:name="_Toc429584885"/>
      <w:r>
        <w:rPr>
          <w:rStyle w:val="42"/>
          <w:rFonts w:hint="eastAsia" w:ascii="仿宋" w:hAnsi="仿宋" w:eastAsia="仿宋" w:cs="仿宋"/>
          <w:b/>
          <w:bCs/>
          <w:color w:val="auto"/>
          <w:sz w:val="24"/>
          <w:szCs w:val="24"/>
          <w:highlight w:val="none"/>
        </w:rPr>
        <w:t>二、服务部分</w:t>
      </w:r>
    </w:p>
    <w:bookmarkEnd w:id="119"/>
    <w:p w14:paraId="302F9BEE">
      <w:pPr>
        <w:tabs>
          <w:tab w:val="left" w:pos="6300"/>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（一）服务方案（格式自定）</w:t>
      </w:r>
    </w:p>
    <w:p w14:paraId="22CD12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9DFCFBB">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（二）服务响应偏离表（本表可自行设计格式）</w:t>
      </w:r>
    </w:p>
    <w:p w14:paraId="703BC3A1">
      <w:pPr>
        <w:spacing w:line="400" w:lineRule="exact"/>
        <w:ind w:firstLine="480" w:firstLineChars="200"/>
        <w:rPr>
          <w:rFonts w:hint="eastAsia" w:ascii="仿宋" w:hAnsi="仿宋" w:eastAsia="仿宋" w:cs="仿宋"/>
          <w:color w:val="auto"/>
          <w:sz w:val="24"/>
          <w:szCs w:val="24"/>
          <w:highlight w:val="none"/>
        </w:rPr>
      </w:pPr>
    </w:p>
    <w:p w14:paraId="6D8AE2FC">
      <w:pPr>
        <w:ind w:firstLine="72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36"/>
          <w:szCs w:val="36"/>
          <w:highlight w:val="none"/>
        </w:rPr>
        <w:t>服务响应偏离表</w:t>
      </w:r>
    </w:p>
    <w:p w14:paraId="03717F4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采购执行编号：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14:paraId="0E00312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822"/>
        <w:gridCol w:w="2759"/>
        <w:gridCol w:w="2067"/>
      </w:tblGrid>
      <w:tr w14:paraId="3D80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4" w:type="dxa"/>
            <w:vAlign w:val="center"/>
          </w:tcPr>
          <w:p w14:paraId="07A03A32">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22" w:type="dxa"/>
            <w:vAlign w:val="center"/>
          </w:tcPr>
          <w:p w14:paraId="13D036FE">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vAlign w:val="center"/>
          </w:tcPr>
          <w:p w14:paraId="2AAD8302">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vAlign w:val="center"/>
          </w:tcPr>
          <w:p w14:paraId="27F98D2B">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7C77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DE1EAA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69CD53B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1B6DD9F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47455EF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10F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A57ADD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099D887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5878D13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6ACB2A4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DF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CF9532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3303CE2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114C957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793D609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68E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1EB6F9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5728A6D7">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0E38479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6764BDA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101B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1C13AD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36A74CD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5B28977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77B1EBB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0C6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3890C07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7EB5890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0CF5758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26A11E8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2880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6272E69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5748FE3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6FE117B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50A21F4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B65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750F151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19B944B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0B660BA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53C6871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bl>
    <w:p w14:paraId="399C06D3">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法人授权代表：</w:t>
      </w:r>
    </w:p>
    <w:p w14:paraId="56014461">
      <w:pPr>
        <w:spacing w:line="400" w:lineRule="exact"/>
        <w:rPr>
          <w:rFonts w:hint="eastAsia" w:ascii="仿宋" w:hAnsi="仿宋" w:eastAsia="仿宋" w:cs="仿宋"/>
          <w:color w:val="auto"/>
          <w:sz w:val="24"/>
          <w:szCs w:val="24"/>
          <w:highlight w:val="none"/>
        </w:rPr>
      </w:pPr>
    </w:p>
    <w:p w14:paraId="09CD0CF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369F07C5">
      <w:pPr>
        <w:tabs>
          <w:tab w:val="left" w:pos="6300"/>
        </w:tabs>
        <w:snapToGrid w:val="0"/>
        <w:spacing w:line="400" w:lineRule="exact"/>
        <w:ind w:firstLine="7848" w:firstLineChars="3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3CFFB5E">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12E4012">
      <w:pPr>
        <w:tabs>
          <w:tab w:val="left" w:pos="6300"/>
        </w:tabs>
        <w:snapToGrid w:val="0"/>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 xml:space="preserve">.本表即为对本项目“第二篇 </w:t>
      </w:r>
      <w:r>
        <w:rPr>
          <w:rFonts w:hint="eastAsia" w:ascii="仿宋" w:hAnsi="仿宋" w:eastAsia="仿宋" w:cs="仿宋"/>
          <w:color w:val="auto"/>
          <w:sz w:val="24"/>
          <w:highlight w:val="none"/>
          <w:lang w:val="en-US" w:eastAsia="zh-CN"/>
        </w:rPr>
        <w:t>项目服务需求</w:t>
      </w:r>
      <w:r>
        <w:rPr>
          <w:rFonts w:hint="eastAsia" w:ascii="仿宋" w:hAnsi="仿宋" w:eastAsia="仿宋" w:cs="仿宋"/>
          <w:color w:val="auto"/>
          <w:sz w:val="24"/>
          <w:highlight w:val="none"/>
        </w:rPr>
        <w:t>”中所列条款进行比较和响应；</w:t>
      </w:r>
    </w:p>
    <w:p w14:paraId="7103150C">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2.该表可拓展。</w:t>
      </w:r>
    </w:p>
    <w:p w14:paraId="6179D277">
      <w:pPr>
        <w:spacing w:line="400" w:lineRule="exact"/>
        <w:ind w:firstLine="600" w:firstLineChars="250"/>
        <w:rPr>
          <w:rFonts w:hint="eastAsia" w:ascii="仿宋" w:hAnsi="仿宋" w:eastAsia="仿宋" w:cs="仿宋"/>
          <w:color w:val="auto"/>
          <w:sz w:val="24"/>
          <w:szCs w:val="24"/>
          <w:highlight w:val="none"/>
        </w:rPr>
      </w:pPr>
    </w:p>
    <w:p w14:paraId="018E93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E18819F">
      <w:pPr>
        <w:snapToGrid w:val="0"/>
        <w:spacing w:line="440" w:lineRule="exact"/>
        <w:rPr>
          <w:rStyle w:val="42"/>
          <w:rFonts w:hint="eastAsia" w:ascii="仿宋" w:hAnsi="仿宋" w:eastAsia="仿宋" w:cs="仿宋"/>
          <w:b/>
          <w:bCs/>
          <w:color w:val="auto"/>
          <w:sz w:val="24"/>
          <w:szCs w:val="24"/>
          <w:highlight w:val="none"/>
        </w:rPr>
      </w:pPr>
      <w:bookmarkStart w:id="125" w:name="_Toc29237"/>
      <w:r>
        <w:rPr>
          <w:rStyle w:val="42"/>
          <w:rFonts w:hint="eastAsia" w:ascii="仿宋" w:hAnsi="仿宋" w:eastAsia="仿宋" w:cs="仿宋"/>
          <w:b/>
          <w:bCs/>
          <w:color w:val="auto"/>
          <w:sz w:val="24"/>
          <w:szCs w:val="24"/>
          <w:highlight w:val="none"/>
        </w:rPr>
        <w:t>三、商务部分</w:t>
      </w:r>
      <w:bookmarkEnd w:id="120"/>
      <w:bookmarkEnd w:id="121"/>
      <w:bookmarkEnd w:id="122"/>
      <w:bookmarkEnd w:id="123"/>
    </w:p>
    <w:bookmarkEnd w:id="125"/>
    <w:p w14:paraId="2E8F8039">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（一）商务要求响应情况：服务时间、服务地点、优惠承诺等（格式自定）</w:t>
      </w:r>
    </w:p>
    <w:p w14:paraId="0D2ABD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359BAD">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（二）商务响应偏离表（本表可自行设计格式）</w:t>
      </w:r>
    </w:p>
    <w:p w14:paraId="3D62AA9C">
      <w:pPr>
        <w:snapToGrid w:val="0"/>
        <w:jc w:val="center"/>
        <w:rPr>
          <w:rFonts w:hint="eastAsia" w:ascii="仿宋" w:hAnsi="仿宋" w:eastAsia="仿宋" w:cs="仿宋"/>
          <w:b/>
          <w:color w:val="auto"/>
          <w:sz w:val="36"/>
          <w:szCs w:val="36"/>
          <w:highlight w:val="none"/>
        </w:rPr>
      </w:pPr>
    </w:p>
    <w:p w14:paraId="48774569">
      <w:pPr>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商务响应偏离表</w:t>
      </w:r>
    </w:p>
    <w:p w14:paraId="73969D84">
      <w:pPr>
        <w:spacing w:line="400" w:lineRule="exact"/>
        <w:ind w:firstLine="480" w:firstLineChars="200"/>
        <w:rPr>
          <w:rFonts w:hint="eastAsia" w:ascii="仿宋" w:hAnsi="仿宋" w:eastAsia="仿宋" w:cs="仿宋"/>
          <w:color w:val="auto"/>
          <w:sz w:val="24"/>
          <w:szCs w:val="24"/>
          <w:highlight w:val="none"/>
        </w:rPr>
      </w:pPr>
    </w:p>
    <w:p w14:paraId="1FA92EAD">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采购执行编号：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14:paraId="49AC3CC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tbl>
      <w:tblPr>
        <w:tblStyle w:val="24"/>
        <w:tblW w:w="8932"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312"/>
        <w:gridCol w:w="2434"/>
        <w:gridCol w:w="2355"/>
      </w:tblGrid>
      <w:tr w14:paraId="2E41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1" w:type="dxa"/>
            <w:vAlign w:val="center"/>
          </w:tcPr>
          <w:p w14:paraId="4E774B43">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12" w:type="dxa"/>
            <w:vAlign w:val="center"/>
          </w:tcPr>
          <w:p w14:paraId="14604746">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比选项目需求</w:t>
            </w:r>
          </w:p>
        </w:tc>
        <w:tc>
          <w:tcPr>
            <w:tcW w:w="2434" w:type="dxa"/>
            <w:vAlign w:val="center"/>
          </w:tcPr>
          <w:p w14:paraId="1EE53CF2">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6944144A">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078C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75093F9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4ACBDFE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62ADB34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008AC71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0A8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83F91E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2E8F5A4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5253B20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1DC8375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3A6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1170E1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37A27FB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6F3F33E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7392C55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370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A92473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1B7E219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78C882F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5CB4FF9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29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EB909D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611F45F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65F89F2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5BED74E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2EB5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45995C5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2A76799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0937D90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1DEC87A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bl>
    <w:p w14:paraId="064B1B16">
      <w:pPr>
        <w:snapToGrid w:val="0"/>
        <w:spacing w:line="400" w:lineRule="exact"/>
        <w:ind w:firstLine="465"/>
        <w:rPr>
          <w:rFonts w:hint="eastAsia" w:ascii="仿宋" w:hAnsi="仿宋" w:eastAsia="仿宋" w:cs="仿宋"/>
          <w:color w:val="auto"/>
          <w:sz w:val="24"/>
          <w:szCs w:val="24"/>
          <w:highlight w:val="none"/>
        </w:rPr>
      </w:pPr>
    </w:p>
    <w:p w14:paraId="28E081DD">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法人授权代表：</w:t>
      </w:r>
    </w:p>
    <w:p w14:paraId="445D9FA4">
      <w:pPr>
        <w:spacing w:line="400" w:lineRule="exact"/>
        <w:rPr>
          <w:rFonts w:hint="eastAsia" w:ascii="仿宋" w:hAnsi="仿宋" w:eastAsia="仿宋" w:cs="仿宋"/>
          <w:color w:val="auto"/>
          <w:sz w:val="24"/>
          <w:szCs w:val="24"/>
          <w:highlight w:val="none"/>
        </w:rPr>
      </w:pPr>
    </w:p>
    <w:p w14:paraId="77D97D2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22F0A775">
      <w:pPr>
        <w:tabs>
          <w:tab w:val="left" w:pos="6300"/>
        </w:tabs>
        <w:snapToGrid w:val="0"/>
        <w:spacing w:line="400" w:lineRule="exact"/>
        <w:ind w:firstLine="7848" w:firstLineChars="3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539CF9B">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8103306">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 xml:space="preserve">篇 </w:t>
      </w:r>
      <w:r>
        <w:rPr>
          <w:rFonts w:hint="eastAsia" w:ascii="仿宋" w:hAnsi="仿宋" w:eastAsia="仿宋" w:cs="仿宋"/>
          <w:color w:val="auto"/>
          <w:sz w:val="24"/>
          <w:highlight w:val="none"/>
          <w:lang w:val="en-US" w:eastAsia="zh-CN"/>
        </w:rPr>
        <w:t>项目商务需求</w:t>
      </w:r>
      <w:r>
        <w:rPr>
          <w:rFonts w:hint="eastAsia" w:ascii="仿宋" w:hAnsi="仿宋" w:eastAsia="仿宋" w:cs="仿宋"/>
          <w:color w:val="auto"/>
          <w:sz w:val="24"/>
          <w:highlight w:val="none"/>
        </w:rPr>
        <w:t>”中所列条款进行比较和响应；</w:t>
      </w:r>
    </w:p>
    <w:p w14:paraId="49B335D5">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2.该表可拓展</w:t>
      </w:r>
    </w:p>
    <w:p w14:paraId="3EB83A1F">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FBCD7C5">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（三）商务评分需提供的资料</w:t>
      </w:r>
    </w:p>
    <w:p w14:paraId="5D72C29F">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根据“第四篇 评审标准”提供相关材料（格式自定）</w:t>
      </w:r>
    </w:p>
    <w:p w14:paraId="46FB6AE9">
      <w:pPr>
        <w:spacing w:line="320" w:lineRule="atLeast"/>
        <w:ind w:firstLine="480" w:firstLineChars="200"/>
        <w:jc w:val="right"/>
        <w:rPr>
          <w:rFonts w:hint="eastAsia" w:ascii="仿宋" w:hAnsi="仿宋" w:eastAsia="仿宋" w:cs="仿宋"/>
          <w:color w:val="auto"/>
          <w:sz w:val="24"/>
          <w:szCs w:val="24"/>
          <w:highlight w:val="none"/>
        </w:rPr>
      </w:pPr>
    </w:p>
    <w:p w14:paraId="434F8174">
      <w:pPr>
        <w:spacing w:line="360" w:lineRule="auto"/>
        <w:ind w:firstLine="480" w:firstLineChars="200"/>
        <w:rPr>
          <w:rFonts w:hint="eastAsia" w:ascii="仿宋" w:hAnsi="仿宋" w:eastAsia="仿宋" w:cs="仿宋"/>
          <w:color w:val="auto"/>
          <w:sz w:val="24"/>
          <w:szCs w:val="24"/>
          <w:highlight w:val="none"/>
        </w:rPr>
        <w:sectPr>
          <w:headerReference r:id="rId9" w:type="default"/>
          <w:type w:val="nextColumn"/>
          <w:pgSz w:w="11907" w:h="16840"/>
          <w:pgMar w:top="1134" w:right="1134" w:bottom="1134" w:left="1134" w:header="851" w:footer="992" w:gutter="0"/>
          <w:pgNumType w:fmt="numberInDash"/>
          <w:cols w:space="720" w:num="1"/>
          <w:docGrid w:linePitch="380" w:charSpace="-5735"/>
        </w:sectPr>
      </w:pPr>
    </w:p>
    <w:bookmarkEnd w:id="124"/>
    <w:p w14:paraId="28A82ECC">
      <w:pPr>
        <w:snapToGrid w:val="0"/>
        <w:spacing w:line="440" w:lineRule="exact"/>
        <w:rPr>
          <w:rStyle w:val="42"/>
          <w:rFonts w:hint="eastAsia" w:ascii="仿宋" w:hAnsi="仿宋" w:eastAsia="仿宋" w:cs="仿宋"/>
          <w:b/>
          <w:bCs/>
          <w:color w:val="auto"/>
          <w:sz w:val="24"/>
          <w:szCs w:val="24"/>
          <w:highlight w:val="none"/>
        </w:rPr>
      </w:pPr>
      <w:bookmarkStart w:id="126" w:name="_Toc313008359"/>
      <w:bookmarkStart w:id="127" w:name="_Toc313888363"/>
      <w:bookmarkStart w:id="128" w:name="_Toc506310400"/>
      <w:bookmarkStart w:id="129" w:name="_Toc342913422"/>
      <w:bookmarkStart w:id="130" w:name="_Toc28"/>
      <w:r>
        <w:rPr>
          <w:rStyle w:val="42"/>
          <w:rFonts w:hint="eastAsia" w:ascii="仿宋" w:hAnsi="仿宋" w:eastAsia="仿宋" w:cs="仿宋"/>
          <w:b/>
          <w:bCs/>
          <w:color w:val="auto"/>
          <w:sz w:val="24"/>
          <w:szCs w:val="24"/>
          <w:highlight w:val="none"/>
        </w:rPr>
        <w:t>四、资格条件及其他</w:t>
      </w:r>
      <w:bookmarkEnd w:id="126"/>
      <w:bookmarkEnd w:id="127"/>
      <w:bookmarkEnd w:id="128"/>
      <w:bookmarkEnd w:id="129"/>
    </w:p>
    <w:bookmarkEnd w:id="130"/>
    <w:p w14:paraId="5E22E1C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法人营业执照（副本）或事业单位法人证书（副本）或个体工商户营业执照或有效的自然人身份证明或社会团体法人登记证书（提供复印件）</w:t>
      </w:r>
    </w:p>
    <w:p w14:paraId="15D30C21">
      <w:pPr>
        <w:spacing w:line="400" w:lineRule="exact"/>
        <w:rPr>
          <w:rFonts w:hint="eastAsia" w:ascii="仿宋" w:hAnsi="仿宋" w:eastAsia="仿宋" w:cs="仿宋"/>
          <w:color w:val="auto"/>
          <w:sz w:val="24"/>
          <w:szCs w:val="24"/>
          <w:highlight w:val="none"/>
        </w:rPr>
      </w:pPr>
    </w:p>
    <w:p w14:paraId="514A57C8">
      <w:pPr>
        <w:spacing w:line="400" w:lineRule="exact"/>
        <w:rPr>
          <w:rFonts w:hint="eastAsia" w:ascii="仿宋" w:hAnsi="仿宋" w:eastAsia="仿宋" w:cs="仿宋"/>
          <w:color w:val="auto"/>
          <w:sz w:val="24"/>
          <w:szCs w:val="24"/>
          <w:highlight w:val="none"/>
        </w:rPr>
      </w:pPr>
    </w:p>
    <w:p w14:paraId="0A048BEF">
      <w:pPr>
        <w:spacing w:line="400" w:lineRule="exact"/>
        <w:rPr>
          <w:rFonts w:hint="eastAsia" w:ascii="仿宋" w:hAnsi="仿宋" w:eastAsia="仿宋" w:cs="仿宋"/>
          <w:color w:val="auto"/>
          <w:sz w:val="24"/>
          <w:szCs w:val="24"/>
          <w:highlight w:val="none"/>
        </w:rPr>
      </w:pPr>
    </w:p>
    <w:p w14:paraId="13CA274A">
      <w:pPr>
        <w:spacing w:line="400" w:lineRule="exact"/>
        <w:rPr>
          <w:rFonts w:hint="eastAsia" w:ascii="仿宋" w:hAnsi="仿宋" w:eastAsia="仿宋" w:cs="仿宋"/>
          <w:color w:val="auto"/>
          <w:sz w:val="24"/>
          <w:szCs w:val="24"/>
          <w:highlight w:val="none"/>
        </w:rPr>
      </w:pPr>
    </w:p>
    <w:p w14:paraId="1F6C6A6A">
      <w:pPr>
        <w:spacing w:line="400" w:lineRule="exact"/>
        <w:rPr>
          <w:rFonts w:hint="eastAsia" w:ascii="仿宋" w:hAnsi="仿宋" w:eastAsia="仿宋" w:cs="仿宋"/>
          <w:color w:val="auto"/>
          <w:sz w:val="24"/>
          <w:szCs w:val="24"/>
          <w:highlight w:val="none"/>
        </w:rPr>
      </w:pPr>
    </w:p>
    <w:p w14:paraId="0580CA8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（二）法定代表人身份证明书（格式）</w:t>
      </w:r>
    </w:p>
    <w:p w14:paraId="07BC24F0">
      <w:pPr>
        <w:spacing w:line="400" w:lineRule="exact"/>
        <w:rPr>
          <w:rFonts w:hint="eastAsia" w:ascii="仿宋" w:hAnsi="仿宋" w:eastAsia="仿宋" w:cs="仿宋"/>
          <w:color w:val="auto"/>
          <w:sz w:val="24"/>
          <w:szCs w:val="24"/>
          <w:highlight w:val="none"/>
        </w:rPr>
      </w:pPr>
    </w:p>
    <w:p w14:paraId="491C0448">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法定代表人身份证明书</w:t>
      </w:r>
    </w:p>
    <w:p w14:paraId="4A292690">
      <w:pPr>
        <w:spacing w:line="400" w:lineRule="exact"/>
        <w:rPr>
          <w:rFonts w:hint="eastAsia" w:ascii="仿宋" w:hAnsi="仿宋" w:eastAsia="仿宋" w:cs="仿宋"/>
          <w:color w:val="auto"/>
          <w:sz w:val="24"/>
          <w:szCs w:val="24"/>
          <w:highlight w:val="none"/>
        </w:rPr>
      </w:pPr>
    </w:p>
    <w:p w14:paraId="6AD8A10F">
      <w:pPr>
        <w:spacing w:line="400" w:lineRule="exact"/>
        <w:rPr>
          <w:rFonts w:hint="eastAsia" w:ascii="仿宋" w:hAnsi="仿宋" w:eastAsia="仿宋" w:cs="仿宋"/>
          <w:color w:val="auto"/>
          <w:sz w:val="24"/>
          <w:szCs w:val="24"/>
          <w:highlight w:val="none"/>
        </w:rPr>
      </w:pPr>
    </w:p>
    <w:p w14:paraId="700C35EC">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比选项目名称：</w:t>
      </w:r>
      <w:r>
        <w:rPr>
          <w:rFonts w:hint="eastAsia" w:ascii="仿宋" w:hAnsi="仿宋" w:eastAsia="仿宋" w:cs="仿宋"/>
          <w:color w:val="auto"/>
          <w:sz w:val="24"/>
          <w:szCs w:val="24"/>
          <w:highlight w:val="none"/>
          <w:u w:val="single"/>
        </w:rPr>
        <w:t xml:space="preserve">                                            </w:t>
      </w:r>
    </w:p>
    <w:p w14:paraId="6ABFD42E">
      <w:pPr>
        <w:spacing w:line="400" w:lineRule="exact"/>
        <w:rPr>
          <w:rFonts w:hint="eastAsia" w:ascii="仿宋" w:hAnsi="仿宋" w:eastAsia="仿宋" w:cs="仿宋"/>
          <w:color w:val="auto"/>
          <w:sz w:val="24"/>
          <w:szCs w:val="24"/>
          <w:highlight w:val="none"/>
        </w:rPr>
      </w:pPr>
    </w:p>
    <w:p w14:paraId="595CC3D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16C94FB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5FC9314">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（法定代表人姓名）在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名称）的法定代表人。</w:t>
      </w:r>
    </w:p>
    <w:p w14:paraId="37DC5457">
      <w:pPr>
        <w:spacing w:line="400" w:lineRule="exact"/>
        <w:rPr>
          <w:rFonts w:hint="eastAsia" w:ascii="仿宋" w:hAnsi="仿宋" w:eastAsia="仿宋" w:cs="仿宋"/>
          <w:color w:val="auto"/>
          <w:sz w:val="24"/>
          <w:szCs w:val="24"/>
          <w:highlight w:val="none"/>
        </w:rPr>
      </w:pPr>
    </w:p>
    <w:p w14:paraId="05D2B9C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6F33EBC0">
      <w:pPr>
        <w:spacing w:line="400" w:lineRule="exact"/>
        <w:rPr>
          <w:rFonts w:hint="eastAsia" w:ascii="仿宋" w:hAnsi="仿宋" w:eastAsia="仿宋" w:cs="仿宋"/>
          <w:color w:val="auto"/>
          <w:sz w:val="24"/>
          <w:szCs w:val="24"/>
          <w:highlight w:val="none"/>
        </w:rPr>
      </w:pPr>
    </w:p>
    <w:p w14:paraId="44092D7B">
      <w:pPr>
        <w:spacing w:line="400" w:lineRule="exact"/>
        <w:rPr>
          <w:rFonts w:hint="eastAsia" w:ascii="仿宋" w:hAnsi="仿宋" w:eastAsia="仿宋" w:cs="仿宋"/>
          <w:color w:val="auto"/>
          <w:sz w:val="24"/>
          <w:szCs w:val="24"/>
          <w:highlight w:val="none"/>
        </w:rPr>
      </w:pPr>
    </w:p>
    <w:p w14:paraId="46242D63">
      <w:pPr>
        <w:spacing w:line="400" w:lineRule="exact"/>
        <w:rPr>
          <w:rFonts w:hint="eastAsia" w:ascii="仿宋" w:hAnsi="仿宋" w:eastAsia="仿宋" w:cs="仿宋"/>
          <w:color w:val="auto"/>
          <w:sz w:val="24"/>
          <w:szCs w:val="24"/>
          <w:highlight w:val="none"/>
        </w:rPr>
      </w:pPr>
    </w:p>
    <w:p w14:paraId="04876E7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4412F6B">
      <w:pPr>
        <w:spacing w:line="400" w:lineRule="exact"/>
        <w:rPr>
          <w:rFonts w:hint="eastAsia" w:ascii="仿宋" w:hAnsi="仿宋" w:eastAsia="仿宋" w:cs="仿宋"/>
          <w:color w:val="auto"/>
          <w:sz w:val="24"/>
          <w:szCs w:val="24"/>
          <w:highlight w:val="none"/>
        </w:rPr>
      </w:pPr>
    </w:p>
    <w:p w14:paraId="7723DC2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5F69B24">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法定代表人电话：XXXXXXX      电子邮箱：XXXXXX@XXXXX（若授权他人办理并签署投标文件的可不填写）</w:t>
      </w:r>
    </w:p>
    <w:p w14:paraId="24B33E5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4DE9C48F">
      <w:pPr>
        <w:spacing w:line="400" w:lineRule="exact"/>
        <w:rPr>
          <w:rFonts w:hint="eastAsia" w:ascii="仿宋" w:hAnsi="仿宋" w:eastAsia="仿宋" w:cs="仿宋"/>
          <w:color w:val="auto"/>
          <w:sz w:val="24"/>
          <w:szCs w:val="24"/>
          <w:highlight w:val="none"/>
        </w:rPr>
      </w:pPr>
    </w:p>
    <w:p w14:paraId="04348994">
      <w:pPr>
        <w:spacing w:line="400" w:lineRule="exact"/>
        <w:rPr>
          <w:rFonts w:hint="eastAsia" w:ascii="仿宋" w:hAnsi="仿宋" w:eastAsia="仿宋" w:cs="仿宋"/>
          <w:color w:val="auto"/>
          <w:sz w:val="24"/>
          <w:szCs w:val="24"/>
          <w:highlight w:val="none"/>
        </w:rPr>
      </w:pPr>
    </w:p>
    <w:p w14:paraId="5BC5F2FC">
      <w:pPr>
        <w:spacing w:line="400" w:lineRule="exact"/>
        <w:rPr>
          <w:rFonts w:hint="eastAsia" w:ascii="仿宋" w:hAnsi="仿宋" w:eastAsia="仿宋" w:cs="仿宋"/>
          <w:color w:val="auto"/>
          <w:sz w:val="24"/>
          <w:szCs w:val="24"/>
          <w:highlight w:val="none"/>
        </w:rPr>
      </w:pPr>
    </w:p>
    <w:p w14:paraId="5EB1B5D2">
      <w:pPr>
        <w:spacing w:line="400" w:lineRule="exact"/>
        <w:rPr>
          <w:rFonts w:hint="eastAsia" w:ascii="仿宋" w:hAnsi="仿宋" w:eastAsia="仿宋" w:cs="仿宋"/>
          <w:color w:val="auto"/>
          <w:sz w:val="24"/>
          <w:szCs w:val="24"/>
          <w:highlight w:val="none"/>
        </w:rPr>
      </w:pPr>
    </w:p>
    <w:p w14:paraId="3A198C1A">
      <w:pPr>
        <w:spacing w:line="400" w:lineRule="exact"/>
        <w:rPr>
          <w:rFonts w:hint="eastAsia" w:ascii="仿宋" w:hAnsi="仿宋" w:eastAsia="仿宋" w:cs="仿宋"/>
          <w:color w:val="auto"/>
          <w:sz w:val="24"/>
          <w:szCs w:val="24"/>
          <w:highlight w:val="none"/>
        </w:rPr>
      </w:pPr>
    </w:p>
    <w:p w14:paraId="08E8B7F2">
      <w:pPr>
        <w:spacing w:line="400" w:lineRule="exact"/>
        <w:rPr>
          <w:rFonts w:hint="eastAsia" w:ascii="仿宋" w:hAnsi="仿宋" w:eastAsia="仿宋" w:cs="仿宋"/>
          <w:color w:val="auto"/>
          <w:sz w:val="24"/>
          <w:szCs w:val="24"/>
          <w:highlight w:val="none"/>
        </w:rPr>
      </w:pPr>
    </w:p>
    <w:p w14:paraId="2B3B0AC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（三）法定代表人授权委托书（格式）</w:t>
      </w:r>
    </w:p>
    <w:p w14:paraId="3A306B42">
      <w:pPr>
        <w:spacing w:line="400" w:lineRule="exact"/>
        <w:rPr>
          <w:rFonts w:hint="eastAsia" w:ascii="仿宋" w:hAnsi="仿宋" w:eastAsia="仿宋" w:cs="仿宋"/>
          <w:color w:val="auto"/>
          <w:sz w:val="24"/>
          <w:szCs w:val="24"/>
          <w:highlight w:val="none"/>
        </w:rPr>
      </w:pPr>
    </w:p>
    <w:p w14:paraId="13F4030D">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法定代表人授权委托书</w:t>
      </w:r>
    </w:p>
    <w:p w14:paraId="3B94E9CB">
      <w:pPr>
        <w:spacing w:line="400" w:lineRule="exact"/>
        <w:rPr>
          <w:rFonts w:hint="eastAsia" w:ascii="仿宋" w:hAnsi="仿宋" w:eastAsia="仿宋" w:cs="仿宋"/>
          <w:color w:val="auto"/>
          <w:sz w:val="24"/>
          <w:szCs w:val="24"/>
          <w:highlight w:val="none"/>
        </w:rPr>
      </w:pPr>
    </w:p>
    <w:p w14:paraId="3BF092F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DB8C0CD">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比选项目名称：</w:t>
      </w:r>
      <w:r>
        <w:rPr>
          <w:rFonts w:hint="eastAsia" w:ascii="仿宋" w:hAnsi="仿宋" w:eastAsia="仿宋" w:cs="仿宋"/>
          <w:color w:val="auto"/>
          <w:sz w:val="24"/>
          <w:szCs w:val="24"/>
          <w:highlight w:val="none"/>
          <w:u w:val="single"/>
        </w:rPr>
        <w:t xml:space="preserve">                                            </w:t>
      </w:r>
    </w:p>
    <w:p w14:paraId="1AD8B1AD">
      <w:pPr>
        <w:spacing w:line="400" w:lineRule="exact"/>
        <w:rPr>
          <w:rFonts w:hint="eastAsia" w:ascii="仿宋" w:hAnsi="仿宋" w:eastAsia="仿宋" w:cs="仿宋"/>
          <w:color w:val="auto"/>
          <w:sz w:val="24"/>
          <w:szCs w:val="24"/>
          <w:highlight w:val="none"/>
        </w:rPr>
      </w:pPr>
    </w:p>
    <w:p w14:paraId="547458F5">
      <w:pPr>
        <w:spacing w:line="400" w:lineRule="exact"/>
        <w:rPr>
          <w:rFonts w:hint="eastAsia" w:ascii="仿宋" w:hAnsi="仿宋" w:eastAsia="仿宋" w:cs="仿宋"/>
          <w:color w:val="auto"/>
          <w:sz w:val="24"/>
          <w:szCs w:val="24"/>
          <w:highlight w:val="none"/>
        </w:rPr>
      </w:pPr>
    </w:p>
    <w:p w14:paraId="1285657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3B084F24">
      <w:pPr>
        <w:spacing w:line="400" w:lineRule="exact"/>
        <w:rPr>
          <w:rFonts w:hint="eastAsia" w:ascii="仿宋" w:hAnsi="仿宋" w:eastAsia="仿宋" w:cs="仿宋"/>
          <w:color w:val="auto"/>
          <w:sz w:val="24"/>
          <w:szCs w:val="24"/>
          <w:highlight w:val="none"/>
          <w:u w:val="single"/>
        </w:rPr>
      </w:pPr>
    </w:p>
    <w:p w14:paraId="33FB9C71">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名称）的法定代表人，特授权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（被授权人姓名及身份证号码）代表我单位全权办理上述项目的比选、签约等具体工作，并签署全部有关文件、协议及合同。</w:t>
      </w:r>
    </w:p>
    <w:p w14:paraId="0D55B2D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44458D45">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837BB30">
      <w:pPr>
        <w:spacing w:line="400" w:lineRule="exact"/>
        <w:rPr>
          <w:rFonts w:hint="eastAsia" w:ascii="仿宋" w:hAnsi="仿宋" w:eastAsia="仿宋" w:cs="仿宋"/>
          <w:color w:val="auto"/>
          <w:sz w:val="24"/>
          <w:szCs w:val="24"/>
          <w:highlight w:val="none"/>
        </w:rPr>
      </w:pPr>
    </w:p>
    <w:p w14:paraId="301CECE9">
      <w:pPr>
        <w:spacing w:line="400" w:lineRule="exact"/>
        <w:rPr>
          <w:rFonts w:hint="eastAsia" w:ascii="仿宋" w:hAnsi="仿宋" w:eastAsia="仿宋" w:cs="仿宋"/>
          <w:color w:val="auto"/>
          <w:sz w:val="24"/>
          <w:szCs w:val="24"/>
          <w:highlight w:val="none"/>
        </w:rPr>
      </w:pPr>
    </w:p>
    <w:p w14:paraId="7CFAFE2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w:t>
      </w:r>
    </w:p>
    <w:p w14:paraId="428C705D">
      <w:pPr>
        <w:spacing w:line="400" w:lineRule="exact"/>
        <w:rPr>
          <w:rFonts w:hint="eastAsia" w:ascii="仿宋" w:hAnsi="仿宋" w:eastAsia="仿宋" w:cs="仿宋"/>
          <w:color w:val="auto"/>
          <w:sz w:val="24"/>
          <w:szCs w:val="24"/>
          <w:highlight w:val="none"/>
        </w:rPr>
      </w:pPr>
    </w:p>
    <w:p w14:paraId="43E87B6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625789F3">
      <w:pPr>
        <w:spacing w:line="400" w:lineRule="exact"/>
        <w:rPr>
          <w:rFonts w:hint="eastAsia" w:ascii="仿宋" w:hAnsi="仿宋" w:eastAsia="仿宋" w:cs="仿宋"/>
          <w:color w:val="auto"/>
          <w:sz w:val="24"/>
          <w:szCs w:val="24"/>
          <w:highlight w:val="none"/>
        </w:rPr>
      </w:pPr>
    </w:p>
    <w:p w14:paraId="3CA3573B">
      <w:pPr>
        <w:spacing w:line="400" w:lineRule="exact"/>
        <w:rPr>
          <w:rFonts w:hint="eastAsia" w:ascii="仿宋" w:hAnsi="仿宋" w:eastAsia="仿宋" w:cs="仿宋"/>
          <w:color w:val="auto"/>
          <w:sz w:val="24"/>
          <w:szCs w:val="24"/>
          <w:highlight w:val="none"/>
        </w:rPr>
      </w:pPr>
    </w:p>
    <w:p w14:paraId="6F31C0AF">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7277B06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B42401F">
      <w:pPr>
        <w:spacing w:line="400" w:lineRule="exact"/>
        <w:rPr>
          <w:rFonts w:hint="eastAsia" w:ascii="仿宋" w:hAnsi="仿宋" w:eastAsia="仿宋" w:cs="仿宋"/>
          <w:color w:val="auto"/>
          <w:sz w:val="24"/>
          <w:szCs w:val="24"/>
          <w:highlight w:val="none"/>
        </w:rPr>
      </w:pPr>
    </w:p>
    <w:p w14:paraId="730B76C1">
      <w:pPr>
        <w:spacing w:line="400" w:lineRule="exact"/>
        <w:rPr>
          <w:rFonts w:hint="eastAsia" w:ascii="仿宋" w:hAnsi="仿宋" w:eastAsia="仿宋" w:cs="仿宋"/>
          <w:color w:val="auto"/>
          <w:sz w:val="24"/>
          <w:szCs w:val="24"/>
          <w:highlight w:val="none"/>
        </w:rPr>
      </w:pPr>
    </w:p>
    <w:p w14:paraId="10532EEB">
      <w:pPr>
        <w:spacing w:line="400" w:lineRule="exact"/>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0D8E70AB">
      <w:pPr>
        <w:spacing w:line="400" w:lineRule="exact"/>
        <w:rPr>
          <w:rFonts w:hint="eastAsia" w:ascii="仿宋" w:hAnsi="仿宋" w:eastAsia="仿宋" w:cs="仿宋"/>
          <w:color w:val="auto"/>
          <w:sz w:val="24"/>
          <w:szCs w:val="24"/>
          <w:highlight w:val="none"/>
        </w:rPr>
      </w:pPr>
    </w:p>
    <w:p w14:paraId="0993CEC2">
      <w:pPr>
        <w:spacing w:line="400" w:lineRule="exact"/>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76540CA">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被授权人电话：XXXXXXX     电子邮箱：XXXXXX@XXXXX（若法定代表人办理并签署投标文件的可不填写）</w:t>
      </w:r>
    </w:p>
    <w:p w14:paraId="165105F7">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注：</w:t>
      </w:r>
    </w:p>
    <w:p w14:paraId="643C6AC9">
      <w:pPr>
        <w:spacing w:line="480" w:lineRule="exact"/>
        <w:rPr>
          <w:rFonts w:hint="eastAsia" w:ascii="仿宋" w:hAnsi="仿宋" w:eastAsia="仿宋" w:cs="仿宋"/>
          <w:color w:val="auto"/>
          <w:sz w:val="24"/>
          <w:szCs w:val="24"/>
          <w:highlight w:val="none"/>
        </w:rPr>
      </w:pPr>
      <w:r>
        <w:rPr>
          <w:rFonts w:hint="eastAsia" w:ascii="仿宋" w:hAnsi="仿宋" w:eastAsia="仿宋" w:cs="仿宋"/>
          <w:sz w:val="24"/>
          <w:highlight w:val="none"/>
        </w:rPr>
        <w:t>1.若为法定代表人办理并签署投标文件的，不提供此文件。</w:t>
      </w:r>
    </w:p>
    <w:p w14:paraId="14C2A76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（四）基本资格条件承诺函</w:t>
      </w:r>
    </w:p>
    <w:p w14:paraId="270F4848">
      <w:pPr>
        <w:spacing w:line="400" w:lineRule="exact"/>
        <w:rPr>
          <w:rFonts w:hint="eastAsia" w:ascii="仿宋" w:hAnsi="仿宋" w:eastAsia="仿宋" w:cs="仿宋"/>
          <w:color w:val="auto"/>
          <w:sz w:val="24"/>
          <w:szCs w:val="24"/>
          <w:highlight w:val="none"/>
        </w:rPr>
      </w:pPr>
    </w:p>
    <w:p w14:paraId="13676D63">
      <w:pPr>
        <w:tabs>
          <w:tab w:val="left" w:pos="6300"/>
        </w:tabs>
        <w:snapToGrid w:val="0"/>
        <w:spacing w:line="400" w:lineRule="exact"/>
        <w:ind w:firstLine="57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70C4EAE0">
      <w:pPr>
        <w:tabs>
          <w:tab w:val="left" w:pos="6300"/>
        </w:tabs>
        <w:snapToGrid w:val="0"/>
        <w:spacing w:line="400" w:lineRule="exact"/>
        <w:rPr>
          <w:rFonts w:hint="eastAsia" w:ascii="仿宋" w:hAnsi="仿宋" w:eastAsia="仿宋" w:cs="仿宋"/>
          <w:color w:val="auto"/>
          <w:sz w:val="24"/>
          <w:szCs w:val="24"/>
          <w:highlight w:val="none"/>
        </w:rPr>
      </w:pPr>
    </w:p>
    <w:p w14:paraId="2AD27F20">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7DD99B48">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名称）郑重承诺：</w:t>
      </w:r>
    </w:p>
    <w:p w14:paraId="0DB872E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21796B1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8C0E90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基本资格条件。</w:t>
      </w:r>
    </w:p>
    <w:p w14:paraId="719F3393">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DD93CA8">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0E70A0E3">
      <w:pPr>
        <w:tabs>
          <w:tab w:val="left" w:pos="6300"/>
        </w:tabs>
        <w:snapToGrid w:val="0"/>
        <w:spacing w:line="400" w:lineRule="exact"/>
        <w:rPr>
          <w:rFonts w:hint="eastAsia" w:ascii="仿宋" w:hAnsi="仿宋" w:eastAsia="仿宋" w:cs="仿宋"/>
          <w:color w:val="auto"/>
          <w:sz w:val="24"/>
          <w:szCs w:val="24"/>
          <w:highlight w:val="none"/>
        </w:rPr>
      </w:pPr>
    </w:p>
    <w:p w14:paraId="49EF39F3">
      <w:pPr>
        <w:tabs>
          <w:tab w:val="left" w:pos="6300"/>
        </w:tabs>
        <w:snapToGrid w:val="0"/>
        <w:spacing w:line="40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4860C065">
      <w:pPr>
        <w:tabs>
          <w:tab w:val="left" w:pos="6300"/>
        </w:tabs>
        <w:snapToGrid w:val="0"/>
        <w:spacing w:line="400" w:lineRule="exact"/>
        <w:ind w:firstLine="7440" w:firstLineChars="3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9DAEA60">
      <w:pPr>
        <w:spacing w:line="400" w:lineRule="exact"/>
        <w:ind w:firstLine="7680" w:firstLineChars="3200"/>
        <w:rPr>
          <w:rFonts w:hint="eastAsia" w:ascii="仿宋" w:hAnsi="仿宋" w:eastAsia="仿宋" w:cs="仿宋"/>
          <w:color w:val="auto"/>
          <w:sz w:val="24"/>
          <w:szCs w:val="24"/>
          <w:highlight w:val="none"/>
        </w:rPr>
      </w:pPr>
    </w:p>
    <w:p w14:paraId="4B766BA1">
      <w:pPr>
        <w:spacing w:line="400" w:lineRule="exact"/>
        <w:rPr>
          <w:rFonts w:hint="eastAsia" w:ascii="仿宋" w:hAnsi="仿宋" w:eastAsia="仿宋" w:cs="仿宋"/>
          <w:color w:val="auto"/>
          <w:sz w:val="24"/>
          <w:szCs w:val="24"/>
          <w:highlight w:val="none"/>
        </w:rPr>
      </w:pPr>
    </w:p>
    <w:p w14:paraId="33E0F80A">
      <w:pPr>
        <w:spacing w:line="400" w:lineRule="exact"/>
        <w:rPr>
          <w:rFonts w:hint="eastAsia" w:ascii="仿宋" w:hAnsi="仿宋" w:eastAsia="仿宋" w:cs="仿宋"/>
          <w:color w:val="auto"/>
          <w:sz w:val="24"/>
          <w:szCs w:val="24"/>
          <w:highlight w:val="none"/>
        </w:rPr>
      </w:pPr>
    </w:p>
    <w:p w14:paraId="6C569C33">
      <w:pPr>
        <w:spacing w:line="400" w:lineRule="exact"/>
        <w:rPr>
          <w:rFonts w:hint="eastAsia" w:ascii="仿宋" w:hAnsi="仿宋" w:eastAsia="仿宋" w:cs="仿宋"/>
          <w:color w:val="auto"/>
          <w:sz w:val="24"/>
          <w:szCs w:val="24"/>
          <w:highlight w:val="none"/>
        </w:rPr>
      </w:pPr>
    </w:p>
    <w:p w14:paraId="262CED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A3F5B5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7DE5E5BC">
      <w:pPr>
        <w:spacing w:line="400" w:lineRule="exact"/>
        <w:rPr>
          <w:rFonts w:hint="eastAsia" w:ascii="仿宋" w:hAnsi="仿宋" w:eastAsia="仿宋" w:cs="仿宋"/>
          <w:color w:val="auto"/>
          <w:sz w:val="24"/>
          <w:szCs w:val="24"/>
          <w:highlight w:val="none"/>
        </w:rPr>
      </w:pPr>
    </w:p>
    <w:p w14:paraId="6B82F2B2">
      <w:pPr>
        <w:spacing w:line="400" w:lineRule="exact"/>
        <w:rPr>
          <w:rFonts w:hint="eastAsia" w:ascii="仿宋" w:hAnsi="仿宋" w:eastAsia="仿宋" w:cs="仿宋"/>
          <w:color w:val="auto"/>
          <w:sz w:val="24"/>
          <w:szCs w:val="24"/>
          <w:highlight w:val="none"/>
        </w:rPr>
      </w:pPr>
      <w:bookmarkStart w:id="131" w:name="_Toc14422"/>
      <w:r>
        <w:rPr>
          <w:rFonts w:hint="eastAsia" w:ascii="仿宋" w:hAnsi="仿宋" w:eastAsia="仿宋" w:cs="仿宋"/>
          <w:color w:val="auto"/>
          <w:sz w:val="24"/>
          <w:szCs w:val="24"/>
          <w:highlight w:val="none"/>
        </w:rPr>
        <w:br w:type="page"/>
      </w:r>
      <w:bookmarkStart w:id="132" w:name="_Toc4738"/>
      <w:bookmarkStart w:id="133" w:name="_Toc49431877"/>
      <w:bookmarkStart w:id="134" w:name="_Toc28643"/>
      <w:bookmarkStart w:id="135" w:name="_Toc1632"/>
      <w:bookmarkStart w:id="136" w:name="_Toc23612"/>
      <w:bookmarkStart w:id="137" w:name="_Toc16968"/>
      <w:r>
        <w:rPr>
          <w:rStyle w:val="42"/>
          <w:rFonts w:hint="eastAsia" w:ascii="仿宋" w:hAnsi="仿宋" w:eastAsia="仿宋" w:cs="仿宋"/>
          <w:b/>
          <w:bCs/>
          <w:color w:val="auto"/>
          <w:sz w:val="24"/>
          <w:szCs w:val="24"/>
          <w:highlight w:val="none"/>
        </w:rPr>
        <w:t>五、其他资料</w:t>
      </w:r>
      <w:bookmarkEnd w:id="131"/>
      <w:bookmarkEnd w:id="132"/>
      <w:bookmarkEnd w:id="133"/>
      <w:bookmarkEnd w:id="134"/>
      <w:bookmarkEnd w:id="135"/>
      <w:bookmarkEnd w:id="136"/>
      <w:bookmarkEnd w:id="137"/>
    </w:p>
    <w:p w14:paraId="07E0684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20528A0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总体情况介绍、其他与本项目有关的资料等。</w:t>
      </w:r>
    </w:p>
    <w:p w14:paraId="2C7ED2CD">
      <w:pPr>
        <w:spacing w:line="400" w:lineRule="exact"/>
        <w:rPr>
          <w:rFonts w:hint="eastAsia" w:ascii="仿宋" w:hAnsi="仿宋" w:eastAsia="仿宋" w:cs="仿宋"/>
          <w:color w:val="auto"/>
          <w:sz w:val="24"/>
          <w:szCs w:val="24"/>
          <w:highlight w:val="none"/>
        </w:rPr>
      </w:pPr>
    </w:p>
    <w:p w14:paraId="2CC233BC">
      <w:pPr>
        <w:spacing w:line="400" w:lineRule="exact"/>
        <w:rPr>
          <w:rFonts w:hint="eastAsia" w:ascii="仿宋" w:hAnsi="仿宋" w:eastAsia="仿宋" w:cs="仿宋"/>
          <w:color w:val="auto"/>
          <w:sz w:val="24"/>
          <w:szCs w:val="24"/>
          <w:highlight w:val="none"/>
        </w:rPr>
      </w:pPr>
    </w:p>
    <w:p w14:paraId="0B6FDC31">
      <w:pPr>
        <w:spacing w:line="400" w:lineRule="exact"/>
        <w:rPr>
          <w:rFonts w:hint="eastAsia" w:ascii="仿宋" w:hAnsi="仿宋" w:eastAsia="仿宋" w:cs="仿宋"/>
          <w:color w:val="auto"/>
          <w:sz w:val="24"/>
          <w:szCs w:val="24"/>
          <w:highlight w:val="none"/>
        </w:rPr>
      </w:pPr>
    </w:p>
    <w:p w14:paraId="460DDCCA">
      <w:pPr>
        <w:spacing w:line="400" w:lineRule="exact"/>
        <w:rPr>
          <w:rFonts w:hint="eastAsia" w:ascii="仿宋" w:hAnsi="仿宋" w:eastAsia="仿宋" w:cs="仿宋"/>
          <w:color w:val="auto"/>
          <w:sz w:val="24"/>
          <w:szCs w:val="24"/>
          <w:highlight w:val="none"/>
        </w:rPr>
      </w:pPr>
    </w:p>
    <w:p w14:paraId="28513525">
      <w:pPr>
        <w:spacing w:line="400" w:lineRule="exact"/>
        <w:rPr>
          <w:rFonts w:hint="eastAsia" w:ascii="仿宋" w:hAnsi="仿宋" w:eastAsia="仿宋" w:cs="仿宋"/>
          <w:color w:val="auto"/>
          <w:sz w:val="24"/>
          <w:szCs w:val="24"/>
          <w:highlight w:val="none"/>
        </w:rPr>
      </w:pPr>
    </w:p>
    <w:p w14:paraId="5C285FA8">
      <w:pPr>
        <w:spacing w:line="400" w:lineRule="exact"/>
        <w:rPr>
          <w:rFonts w:hint="eastAsia" w:ascii="仿宋" w:hAnsi="仿宋" w:eastAsia="仿宋" w:cs="仿宋"/>
          <w:color w:val="auto"/>
          <w:sz w:val="24"/>
          <w:szCs w:val="24"/>
          <w:highlight w:val="none"/>
        </w:rPr>
      </w:pPr>
    </w:p>
    <w:p w14:paraId="1E21546E">
      <w:pPr>
        <w:spacing w:line="400" w:lineRule="exact"/>
        <w:rPr>
          <w:rFonts w:hint="eastAsia" w:ascii="仿宋" w:hAnsi="仿宋" w:eastAsia="仿宋" w:cs="仿宋"/>
          <w:color w:val="auto"/>
          <w:sz w:val="24"/>
          <w:szCs w:val="24"/>
          <w:highlight w:val="none"/>
        </w:rPr>
      </w:pPr>
    </w:p>
    <w:p w14:paraId="1D26E192">
      <w:pPr>
        <w:spacing w:line="400" w:lineRule="exact"/>
        <w:rPr>
          <w:rFonts w:hint="eastAsia" w:ascii="仿宋" w:hAnsi="仿宋" w:eastAsia="仿宋" w:cs="仿宋"/>
          <w:color w:val="auto"/>
          <w:sz w:val="24"/>
          <w:szCs w:val="24"/>
          <w:highlight w:val="none"/>
        </w:rPr>
      </w:pPr>
    </w:p>
    <w:p w14:paraId="0F602BCD">
      <w:pPr>
        <w:spacing w:line="400" w:lineRule="exact"/>
        <w:rPr>
          <w:rFonts w:hint="eastAsia" w:ascii="仿宋" w:hAnsi="仿宋" w:eastAsia="仿宋" w:cs="仿宋"/>
          <w:color w:val="auto"/>
          <w:sz w:val="24"/>
          <w:szCs w:val="24"/>
          <w:highlight w:val="none"/>
        </w:rPr>
      </w:pPr>
    </w:p>
    <w:p w14:paraId="26BB274B">
      <w:pPr>
        <w:spacing w:line="400" w:lineRule="exact"/>
        <w:rPr>
          <w:rFonts w:hint="eastAsia" w:ascii="仿宋" w:hAnsi="仿宋" w:eastAsia="仿宋" w:cs="仿宋"/>
          <w:color w:val="auto"/>
          <w:sz w:val="24"/>
          <w:szCs w:val="24"/>
          <w:highlight w:val="none"/>
        </w:rPr>
      </w:pPr>
    </w:p>
    <w:p w14:paraId="5CEF1A93">
      <w:pPr>
        <w:spacing w:line="400" w:lineRule="exact"/>
        <w:rPr>
          <w:rFonts w:hint="eastAsia" w:ascii="仿宋" w:hAnsi="仿宋" w:eastAsia="仿宋" w:cs="仿宋"/>
          <w:color w:val="auto"/>
          <w:sz w:val="24"/>
          <w:szCs w:val="24"/>
          <w:highlight w:val="none"/>
        </w:rPr>
      </w:pPr>
    </w:p>
    <w:p w14:paraId="7B6D2488">
      <w:pPr>
        <w:spacing w:line="400" w:lineRule="exact"/>
        <w:rPr>
          <w:rFonts w:hint="eastAsia" w:ascii="仿宋" w:hAnsi="仿宋" w:eastAsia="仿宋" w:cs="仿宋"/>
          <w:color w:val="auto"/>
          <w:sz w:val="24"/>
          <w:szCs w:val="24"/>
          <w:highlight w:val="none"/>
        </w:rPr>
      </w:pPr>
    </w:p>
    <w:p w14:paraId="14212E32">
      <w:pPr>
        <w:spacing w:line="400" w:lineRule="exact"/>
        <w:rPr>
          <w:rFonts w:hint="eastAsia" w:ascii="仿宋" w:hAnsi="仿宋" w:eastAsia="仿宋" w:cs="仿宋"/>
          <w:color w:val="auto"/>
          <w:sz w:val="24"/>
          <w:szCs w:val="24"/>
          <w:highlight w:val="none"/>
        </w:rPr>
      </w:pPr>
    </w:p>
    <w:p w14:paraId="484D0107">
      <w:pPr>
        <w:spacing w:line="400" w:lineRule="exact"/>
        <w:rPr>
          <w:rFonts w:hint="eastAsia" w:ascii="仿宋" w:hAnsi="仿宋" w:eastAsia="仿宋" w:cs="仿宋"/>
          <w:color w:val="auto"/>
          <w:sz w:val="24"/>
          <w:szCs w:val="24"/>
          <w:highlight w:val="none"/>
        </w:rPr>
      </w:pPr>
    </w:p>
    <w:p w14:paraId="313364DE">
      <w:pPr>
        <w:spacing w:line="400" w:lineRule="exact"/>
        <w:rPr>
          <w:rFonts w:hint="eastAsia" w:ascii="仿宋" w:hAnsi="仿宋" w:eastAsia="仿宋" w:cs="仿宋"/>
          <w:color w:val="auto"/>
          <w:sz w:val="24"/>
          <w:szCs w:val="24"/>
          <w:highlight w:val="none"/>
        </w:rPr>
      </w:pPr>
    </w:p>
    <w:p w14:paraId="52CE8909">
      <w:pPr>
        <w:spacing w:line="400" w:lineRule="exact"/>
        <w:rPr>
          <w:rFonts w:hint="eastAsia" w:ascii="仿宋" w:hAnsi="仿宋" w:eastAsia="仿宋" w:cs="仿宋"/>
          <w:color w:val="auto"/>
          <w:sz w:val="24"/>
          <w:szCs w:val="24"/>
          <w:highlight w:val="none"/>
        </w:rPr>
      </w:pPr>
    </w:p>
    <w:p w14:paraId="7C19740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14:paraId="7423335C">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5AC843B5">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0DDF4A10">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59B673CD">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275028BF">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0B1BA289">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6C2C0F71">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4E60BC02">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6047A320">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51CA37C2">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78706DE1">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4CDCC4FE">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54A850C2">
      <w:pPr>
        <w:pStyle w:val="4"/>
        <w:jc w:val="both"/>
        <w:rPr>
          <w:rFonts w:hint="eastAsia" w:ascii="宋体" w:hAnsi="宋体" w:cs="宋体"/>
          <w:color w:val="auto"/>
          <w:highlight w:val="none"/>
        </w:rPr>
      </w:pPr>
      <w:bookmarkStart w:id="138" w:name="_Toc19176"/>
      <w:bookmarkStart w:id="139" w:name="_Toc29206"/>
      <w:r>
        <w:rPr>
          <w:rFonts w:hint="eastAsia" w:ascii="宋体" w:hAnsi="宋体" w:cs="宋体"/>
          <w:color w:val="auto"/>
          <w:sz w:val="24"/>
          <w:szCs w:val="24"/>
          <w:highlight w:val="none"/>
        </w:rPr>
        <w:t>附件：竞争性比选文件发售登记表</w:t>
      </w:r>
      <w:bookmarkEnd w:id="138"/>
      <w:bookmarkEnd w:id="139"/>
      <w:r>
        <w:rPr>
          <w:rFonts w:hint="eastAsia" w:ascii="宋体" w:hAnsi="宋体" w:cs="宋体"/>
          <w:color w:val="auto"/>
          <w:highlight w:val="none"/>
        </w:rPr>
        <w:t xml:space="preserve">         </w:t>
      </w:r>
    </w:p>
    <w:p w14:paraId="6A9FA871">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竞争性比选文件发售登记表</w:t>
      </w:r>
    </w:p>
    <w:p w14:paraId="7B23A336">
      <w:pPr>
        <w:jc w:val="left"/>
        <w:rPr>
          <w:rFonts w:hint="eastAsia" w:ascii="宋体" w:hAnsi="宋体" w:cs="宋体"/>
          <w:b/>
          <w:bCs/>
          <w:color w:val="auto"/>
          <w:spacing w:val="40"/>
          <w:highlight w:val="none"/>
        </w:rPr>
      </w:pPr>
    </w:p>
    <w:tbl>
      <w:tblPr>
        <w:tblStyle w:val="24"/>
        <w:tblW w:w="974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4835"/>
      </w:tblGrid>
      <w:tr w14:paraId="14A52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756" w:type="dxa"/>
            <w:noWrap w:val="0"/>
            <w:vAlign w:val="center"/>
          </w:tcPr>
          <w:p w14:paraId="0ED42153">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分包</w:t>
            </w:r>
            <w:r>
              <w:rPr>
                <w:rFonts w:hint="eastAsia" w:ascii="宋体" w:hAnsi="宋体" w:cs="宋体"/>
                <w:color w:val="auto"/>
                <w:sz w:val="30"/>
                <w:szCs w:val="30"/>
                <w:highlight w:val="none"/>
              </w:rPr>
              <w:t>项目名称</w:t>
            </w:r>
          </w:p>
        </w:tc>
        <w:tc>
          <w:tcPr>
            <w:tcW w:w="7991" w:type="dxa"/>
            <w:gridSpan w:val="3"/>
            <w:noWrap w:val="0"/>
            <w:vAlign w:val="center"/>
          </w:tcPr>
          <w:p w14:paraId="22074A1F">
            <w:pPr>
              <w:jc w:val="center"/>
              <w:rPr>
                <w:rFonts w:hint="eastAsia" w:ascii="宋体" w:hAnsi="宋体" w:cs="宋体"/>
                <w:color w:val="auto"/>
                <w:sz w:val="30"/>
                <w:szCs w:val="30"/>
                <w:highlight w:val="none"/>
              </w:rPr>
            </w:pPr>
          </w:p>
        </w:tc>
      </w:tr>
      <w:tr w14:paraId="2AB29F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2734D613">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eastAsia="zh-CN"/>
              </w:rPr>
              <w:t>供应商</w:t>
            </w:r>
            <w:r>
              <w:rPr>
                <w:rFonts w:hint="eastAsia" w:ascii="宋体" w:hAnsi="宋体" w:cs="宋体"/>
                <w:color w:val="auto"/>
                <w:sz w:val="30"/>
                <w:szCs w:val="30"/>
                <w:highlight w:val="none"/>
              </w:rPr>
              <w:t>名称</w:t>
            </w:r>
          </w:p>
        </w:tc>
        <w:tc>
          <w:tcPr>
            <w:tcW w:w="7991" w:type="dxa"/>
            <w:gridSpan w:val="3"/>
            <w:noWrap w:val="0"/>
            <w:vAlign w:val="bottom"/>
          </w:tcPr>
          <w:p w14:paraId="0CE1077C">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供应商</w:t>
            </w:r>
            <w:r>
              <w:rPr>
                <w:rFonts w:hint="eastAsia" w:ascii="宋体" w:hAnsi="宋体" w:cs="宋体"/>
                <w:color w:val="auto"/>
                <w:sz w:val="30"/>
                <w:szCs w:val="30"/>
                <w:highlight w:val="none"/>
              </w:rPr>
              <w:t>公章）</w:t>
            </w:r>
          </w:p>
        </w:tc>
      </w:tr>
      <w:tr w14:paraId="5CE90C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756" w:type="dxa"/>
            <w:noWrap w:val="0"/>
            <w:vAlign w:val="center"/>
          </w:tcPr>
          <w:p w14:paraId="2A8E168F">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896" w:type="dxa"/>
            <w:noWrap w:val="0"/>
            <w:vAlign w:val="center"/>
          </w:tcPr>
          <w:p w14:paraId="0928E79D">
            <w:pPr>
              <w:jc w:val="center"/>
              <w:rPr>
                <w:rFonts w:hint="eastAsia" w:ascii="宋体" w:hAnsi="宋体" w:cs="宋体"/>
                <w:color w:val="auto"/>
                <w:sz w:val="30"/>
                <w:szCs w:val="30"/>
                <w:highlight w:val="none"/>
              </w:rPr>
            </w:pPr>
          </w:p>
        </w:tc>
        <w:tc>
          <w:tcPr>
            <w:tcW w:w="1260" w:type="dxa"/>
            <w:noWrap w:val="0"/>
            <w:vAlign w:val="center"/>
          </w:tcPr>
          <w:p w14:paraId="4DDC0FED">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手机</w:t>
            </w:r>
          </w:p>
        </w:tc>
        <w:tc>
          <w:tcPr>
            <w:tcW w:w="4835" w:type="dxa"/>
            <w:noWrap w:val="0"/>
            <w:vAlign w:val="center"/>
          </w:tcPr>
          <w:p w14:paraId="7FBACF78">
            <w:pPr>
              <w:jc w:val="center"/>
              <w:rPr>
                <w:rFonts w:hint="eastAsia" w:ascii="宋体" w:hAnsi="宋体" w:cs="宋体"/>
                <w:color w:val="auto"/>
                <w:sz w:val="30"/>
                <w:szCs w:val="30"/>
                <w:highlight w:val="none"/>
              </w:rPr>
            </w:pPr>
          </w:p>
        </w:tc>
      </w:tr>
      <w:tr w14:paraId="15A04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56" w:type="dxa"/>
            <w:noWrap w:val="0"/>
            <w:vAlign w:val="center"/>
          </w:tcPr>
          <w:p w14:paraId="039EF6BD">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896" w:type="dxa"/>
            <w:noWrap w:val="0"/>
            <w:vAlign w:val="center"/>
          </w:tcPr>
          <w:p w14:paraId="5DED49A2">
            <w:pPr>
              <w:jc w:val="center"/>
              <w:rPr>
                <w:rFonts w:hint="eastAsia" w:ascii="宋体" w:hAnsi="宋体" w:cs="宋体"/>
                <w:color w:val="auto"/>
                <w:sz w:val="30"/>
                <w:szCs w:val="30"/>
                <w:highlight w:val="none"/>
              </w:rPr>
            </w:pPr>
          </w:p>
        </w:tc>
        <w:tc>
          <w:tcPr>
            <w:tcW w:w="1260" w:type="dxa"/>
            <w:noWrap w:val="0"/>
            <w:vAlign w:val="center"/>
          </w:tcPr>
          <w:p w14:paraId="2BAADEA2">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传真</w:t>
            </w:r>
          </w:p>
        </w:tc>
        <w:tc>
          <w:tcPr>
            <w:tcW w:w="4835" w:type="dxa"/>
            <w:noWrap w:val="0"/>
            <w:vAlign w:val="center"/>
          </w:tcPr>
          <w:p w14:paraId="6E75BCD7">
            <w:pPr>
              <w:jc w:val="center"/>
              <w:rPr>
                <w:rFonts w:hint="eastAsia" w:ascii="宋体" w:hAnsi="宋体" w:cs="宋体"/>
                <w:color w:val="auto"/>
                <w:sz w:val="30"/>
                <w:szCs w:val="30"/>
                <w:highlight w:val="none"/>
              </w:rPr>
            </w:pPr>
          </w:p>
        </w:tc>
      </w:tr>
      <w:tr w14:paraId="79F2C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756" w:type="dxa"/>
            <w:noWrap w:val="0"/>
            <w:vAlign w:val="center"/>
          </w:tcPr>
          <w:p w14:paraId="44B23E06">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E-mail</w:t>
            </w:r>
          </w:p>
        </w:tc>
        <w:tc>
          <w:tcPr>
            <w:tcW w:w="7991" w:type="dxa"/>
            <w:gridSpan w:val="3"/>
            <w:noWrap w:val="0"/>
            <w:vAlign w:val="center"/>
          </w:tcPr>
          <w:p w14:paraId="775D1C15">
            <w:pPr>
              <w:jc w:val="center"/>
              <w:rPr>
                <w:rFonts w:hint="eastAsia" w:ascii="宋体" w:hAnsi="宋体" w:cs="宋体"/>
                <w:color w:val="auto"/>
                <w:sz w:val="30"/>
                <w:szCs w:val="30"/>
                <w:highlight w:val="none"/>
              </w:rPr>
            </w:pPr>
          </w:p>
        </w:tc>
      </w:tr>
      <w:tr w14:paraId="5D8DD1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756" w:type="dxa"/>
            <w:noWrap w:val="0"/>
            <w:vAlign w:val="center"/>
          </w:tcPr>
          <w:p w14:paraId="2CDABEA6">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7991" w:type="dxa"/>
            <w:gridSpan w:val="3"/>
            <w:noWrap w:val="0"/>
            <w:vAlign w:val="center"/>
          </w:tcPr>
          <w:p w14:paraId="5EA11B1D">
            <w:pPr>
              <w:jc w:val="center"/>
              <w:rPr>
                <w:rFonts w:hint="eastAsia" w:ascii="宋体" w:hAnsi="宋体" w:cs="宋体"/>
                <w:color w:val="auto"/>
                <w:sz w:val="30"/>
                <w:szCs w:val="30"/>
                <w:highlight w:val="none"/>
              </w:rPr>
            </w:pPr>
          </w:p>
        </w:tc>
      </w:tr>
      <w:tr w14:paraId="475E25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747" w:type="dxa"/>
            <w:gridSpan w:val="4"/>
            <w:noWrap w:val="0"/>
            <w:vAlign w:val="center"/>
          </w:tcPr>
          <w:p w14:paraId="5A73AC2F">
            <w:pPr>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r w14:paraId="00B89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747" w:type="dxa"/>
            <w:gridSpan w:val="4"/>
            <w:noWrap w:val="0"/>
            <w:vAlign w:val="center"/>
          </w:tcPr>
          <w:p w14:paraId="62EAD2E7">
            <w:pPr>
              <w:jc w:val="left"/>
              <w:rPr>
                <w:rFonts w:hint="default" w:ascii="宋体" w:hAnsi="宋体" w:eastAsia="宋体" w:cs="宋体"/>
                <w:color w:val="auto"/>
                <w:sz w:val="30"/>
                <w:szCs w:val="30"/>
                <w:highlight w:val="none"/>
                <w:lang w:val="en-US" w:eastAsia="zh-CN"/>
              </w:rPr>
            </w:pPr>
          </w:p>
        </w:tc>
      </w:tr>
    </w:tbl>
    <w:p w14:paraId="4D199350">
      <w:pPr>
        <w:tabs>
          <w:tab w:val="left" w:pos="6300"/>
        </w:tabs>
        <w:snapToGrid w:val="0"/>
        <w:spacing w:line="500" w:lineRule="exact"/>
        <w:ind w:firstLine="560"/>
        <w:jc w:val="center"/>
        <w:rPr>
          <w:rFonts w:hint="eastAsia" w:ascii="仿宋" w:hAnsi="仿宋" w:eastAsia="仿宋" w:cs="仿宋"/>
          <w:color w:val="auto"/>
          <w:sz w:val="24"/>
          <w:szCs w:val="24"/>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2DBE3A7-CCE5-4F1E-B35A-CCAEFD7744F4}"/>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2" w:fontKey="{07E21247-F42A-4E88-85FD-B76A9E4471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92E0">
    <w:pPr>
      <w:pStyle w:val="15"/>
      <w:jc w:val="center"/>
      <w:rPr>
        <w:sz w:val="24"/>
      </w:rPr>
    </w:pPr>
    <w:r>
      <w:rPr>
        <w:sz w:val="24"/>
      </w:rPr>
      <w:fldChar w:fldCharType="begin"/>
    </w:r>
    <w:r>
      <w:rPr>
        <w:rStyle w:val="28"/>
        <w:sz w:val="24"/>
      </w:rPr>
      <w:instrText xml:space="preserve"> PAGE </w:instrText>
    </w:r>
    <w:r>
      <w:rPr>
        <w:sz w:val="24"/>
      </w:rPr>
      <w:fldChar w:fldCharType="separate"/>
    </w:r>
    <w:r>
      <w:rPr>
        <w:rStyle w:val="28"/>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5BEC">
    <w:pPr>
      <w:pStyle w:val="15"/>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13CB072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9C8D">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D499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F1D499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BEDB">
    <w:pPr>
      <w:pStyle w:val="16"/>
      <w:jc w:val="both"/>
      <w:rPr>
        <w:rFonts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A89D">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A7EE">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9CC">
    <w:pPr>
      <w:pStyle w:val="16"/>
      <w:jc w:val="both"/>
      <w:rPr>
        <w:rFonts w:hint="eastAsia" w:ascii="仿宋" w:hAnsi="仿宋" w:eastAsia="仿宋" w:cs="仿宋"/>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E6044"/>
    <w:multiLevelType w:val="singleLevel"/>
    <w:tmpl w:val="A52E6044"/>
    <w:lvl w:ilvl="0" w:tentative="0">
      <w:start w:val="1"/>
      <w:numFmt w:val="chineseCounting"/>
      <w:suff w:val="nothing"/>
      <w:lvlText w:val="%1、"/>
      <w:lvlJc w:val="left"/>
      <w:rPr>
        <w:rFonts w:hint="eastAsia"/>
      </w:rPr>
    </w:lvl>
  </w:abstractNum>
  <w:abstractNum w:abstractNumId="1">
    <w:nsid w:val="621797EA"/>
    <w:multiLevelType w:val="singleLevel"/>
    <w:tmpl w:val="621797E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ODg4ODI0ZjczZjBkMWQyMjRjOWU4M2Q0MzZmODkifQ=="/>
  </w:docVars>
  <w:rsids>
    <w:rsidRoot w:val="007A16A6"/>
    <w:rsid w:val="00001F79"/>
    <w:rsid w:val="00094313"/>
    <w:rsid w:val="000E7463"/>
    <w:rsid w:val="004371E3"/>
    <w:rsid w:val="00483F46"/>
    <w:rsid w:val="00485C2C"/>
    <w:rsid w:val="007A16A6"/>
    <w:rsid w:val="00967338"/>
    <w:rsid w:val="009A23AB"/>
    <w:rsid w:val="00B12A73"/>
    <w:rsid w:val="00BA5DF6"/>
    <w:rsid w:val="00D10673"/>
    <w:rsid w:val="00D51730"/>
    <w:rsid w:val="00D52756"/>
    <w:rsid w:val="00D53746"/>
    <w:rsid w:val="00E91541"/>
    <w:rsid w:val="00FC5295"/>
    <w:rsid w:val="00FE3AF9"/>
    <w:rsid w:val="011801B4"/>
    <w:rsid w:val="01583118"/>
    <w:rsid w:val="015E3A12"/>
    <w:rsid w:val="01872593"/>
    <w:rsid w:val="01CF1FD5"/>
    <w:rsid w:val="01D41FEB"/>
    <w:rsid w:val="01E0649E"/>
    <w:rsid w:val="01EA636A"/>
    <w:rsid w:val="01F11601"/>
    <w:rsid w:val="02013B6C"/>
    <w:rsid w:val="02186A33"/>
    <w:rsid w:val="02362B3B"/>
    <w:rsid w:val="024C0DD3"/>
    <w:rsid w:val="028E2BE3"/>
    <w:rsid w:val="02900CBF"/>
    <w:rsid w:val="0294794D"/>
    <w:rsid w:val="02AD7D25"/>
    <w:rsid w:val="02B67E79"/>
    <w:rsid w:val="02BD7F57"/>
    <w:rsid w:val="02C848FD"/>
    <w:rsid w:val="02D07A91"/>
    <w:rsid w:val="02D50DC8"/>
    <w:rsid w:val="02EC19C0"/>
    <w:rsid w:val="02FC0103"/>
    <w:rsid w:val="03011D41"/>
    <w:rsid w:val="030B47EA"/>
    <w:rsid w:val="031B20B6"/>
    <w:rsid w:val="032338E1"/>
    <w:rsid w:val="032A1D61"/>
    <w:rsid w:val="032D0F7E"/>
    <w:rsid w:val="033428D7"/>
    <w:rsid w:val="03465822"/>
    <w:rsid w:val="035E0DBD"/>
    <w:rsid w:val="036C5B3B"/>
    <w:rsid w:val="037E320E"/>
    <w:rsid w:val="038A570F"/>
    <w:rsid w:val="03975CFC"/>
    <w:rsid w:val="039E10EB"/>
    <w:rsid w:val="03B510E0"/>
    <w:rsid w:val="03B66D3C"/>
    <w:rsid w:val="03EF6039"/>
    <w:rsid w:val="03F93983"/>
    <w:rsid w:val="03FF7DE1"/>
    <w:rsid w:val="04162652"/>
    <w:rsid w:val="041D6583"/>
    <w:rsid w:val="04274F2B"/>
    <w:rsid w:val="044B0558"/>
    <w:rsid w:val="04574102"/>
    <w:rsid w:val="0473288B"/>
    <w:rsid w:val="048644D3"/>
    <w:rsid w:val="04866AD2"/>
    <w:rsid w:val="048A2FCF"/>
    <w:rsid w:val="04BE4941"/>
    <w:rsid w:val="04C210B5"/>
    <w:rsid w:val="04D806FC"/>
    <w:rsid w:val="04DA26C6"/>
    <w:rsid w:val="04F35297"/>
    <w:rsid w:val="04FB243E"/>
    <w:rsid w:val="051C0AFA"/>
    <w:rsid w:val="05243941"/>
    <w:rsid w:val="05545379"/>
    <w:rsid w:val="058E1529"/>
    <w:rsid w:val="05912AC6"/>
    <w:rsid w:val="05924D4E"/>
    <w:rsid w:val="05A21435"/>
    <w:rsid w:val="05AE3AE8"/>
    <w:rsid w:val="05C55124"/>
    <w:rsid w:val="05CF5FA2"/>
    <w:rsid w:val="05E21BDB"/>
    <w:rsid w:val="05E7729D"/>
    <w:rsid w:val="05ED5DDC"/>
    <w:rsid w:val="05FC0C11"/>
    <w:rsid w:val="06106453"/>
    <w:rsid w:val="062C120A"/>
    <w:rsid w:val="0633208D"/>
    <w:rsid w:val="065546FA"/>
    <w:rsid w:val="066466EB"/>
    <w:rsid w:val="06647D53"/>
    <w:rsid w:val="06667D6F"/>
    <w:rsid w:val="06683691"/>
    <w:rsid w:val="06745A21"/>
    <w:rsid w:val="067A40B5"/>
    <w:rsid w:val="06B86A37"/>
    <w:rsid w:val="06CE1DB6"/>
    <w:rsid w:val="070B125C"/>
    <w:rsid w:val="071023CF"/>
    <w:rsid w:val="07183F2F"/>
    <w:rsid w:val="071C6FC5"/>
    <w:rsid w:val="07231007"/>
    <w:rsid w:val="072D6361"/>
    <w:rsid w:val="072E5CE5"/>
    <w:rsid w:val="073A1725"/>
    <w:rsid w:val="07487DBA"/>
    <w:rsid w:val="0765096C"/>
    <w:rsid w:val="0768045D"/>
    <w:rsid w:val="07853019"/>
    <w:rsid w:val="078B414B"/>
    <w:rsid w:val="078E4A89"/>
    <w:rsid w:val="07A34FF1"/>
    <w:rsid w:val="07C826CF"/>
    <w:rsid w:val="07CD1340"/>
    <w:rsid w:val="07E35D35"/>
    <w:rsid w:val="080D4B60"/>
    <w:rsid w:val="0826408A"/>
    <w:rsid w:val="082C148A"/>
    <w:rsid w:val="0830253D"/>
    <w:rsid w:val="08314CF2"/>
    <w:rsid w:val="08321497"/>
    <w:rsid w:val="083640B7"/>
    <w:rsid w:val="08404F36"/>
    <w:rsid w:val="084E7652"/>
    <w:rsid w:val="089D4B4D"/>
    <w:rsid w:val="089D5EE4"/>
    <w:rsid w:val="08A2174C"/>
    <w:rsid w:val="08AC4379"/>
    <w:rsid w:val="08FB476A"/>
    <w:rsid w:val="08FF3F01"/>
    <w:rsid w:val="09440A55"/>
    <w:rsid w:val="094822F4"/>
    <w:rsid w:val="096A2333"/>
    <w:rsid w:val="09862E1C"/>
    <w:rsid w:val="09A74F2C"/>
    <w:rsid w:val="09AA4D5C"/>
    <w:rsid w:val="09AD03A9"/>
    <w:rsid w:val="09C06C05"/>
    <w:rsid w:val="09D0079B"/>
    <w:rsid w:val="09F63AFE"/>
    <w:rsid w:val="09FB1114"/>
    <w:rsid w:val="0A0A1357"/>
    <w:rsid w:val="0A0C30B6"/>
    <w:rsid w:val="0A3463D4"/>
    <w:rsid w:val="0A516121"/>
    <w:rsid w:val="0A621193"/>
    <w:rsid w:val="0A83110A"/>
    <w:rsid w:val="0A901F39"/>
    <w:rsid w:val="0A904DE1"/>
    <w:rsid w:val="0A9D56F2"/>
    <w:rsid w:val="0A9F0CE3"/>
    <w:rsid w:val="0AA90B70"/>
    <w:rsid w:val="0ACC485F"/>
    <w:rsid w:val="0AD100C7"/>
    <w:rsid w:val="0AD37F74"/>
    <w:rsid w:val="0AD72553"/>
    <w:rsid w:val="0ADD5A9C"/>
    <w:rsid w:val="0AF10769"/>
    <w:rsid w:val="0AFD5233"/>
    <w:rsid w:val="0AFF2E86"/>
    <w:rsid w:val="0B0E131B"/>
    <w:rsid w:val="0B1D0446"/>
    <w:rsid w:val="0B21487A"/>
    <w:rsid w:val="0B64584D"/>
    <w:rsid w:val="0B680A2B"/>
    <w:rsid w:val="0B7E74F7"/>
    <w:rsid w:val="0B980BE5"/>
    <w:rsid w:val="0B9C2483"/>
    <w:rsid w:val="0BBD429F"/>
    <w:rsid w:val="0BBE064B"/>
    <w:rsid w:val="0BC11EE9"/>
    <w:rsid w:val="0BC5122A"/>
    <w:rsid w:val="0C0A3ED7"/>
    <w:rsid w:val="0C2601D9"/>
    <w:rsid w:val="0C2B3807"/>
    <w:rsid w:val="0C50326D"/>
    <w:rsid w:val="0C6122B2"/>
    <w:rsid w:val="0C6A79EB"/>
    <w:rsid w:val="0C6D06E2"/>
    <w:rsid w:val="0C727688"/>
    <w:rsid w:val="0C7F57E9"/>
    <w:rsid w:val="0CB35CD6"/>
    <w:rsid w:val="0CC46135"/>
    <w:rsid w:val="0CDB0A6A"/>
    <w:rsid w:val="0CE31135"/>
    <w:rsid w:val="0CE94E0E"/>
    <w:rsid w:val="0CF06F2A"/>
    <w:rsid w:val="0CFC11DA"/>
    <w:rsid w:val="0D135FD2"/>
    <w:rsid w:val="0D2F254C"/>
    <w:rsid w:val="0D5A6955"/>
    <w:rsid w:val="0D6C40D7"/>
    <w:rsid w:val="0D780CCE"/>
    <w:rsid w:val="0D9345EC"/>
    <w:rsid w:val="0DC15B08"/>
    <w:rsid w:val="0DD644D9"/>
    <w:rsid w:val="0DF800CB"/>
    <w:rsid w:val="0E2055ED"/>
    <w:rsid w:val="0E9E3195"/>
    <w:rsid w:val="0EA63619"/>
    <w:rsid w:val="0EBA1B76"/>
    <w:rsid w:val="0ECA4CFE"/>
    <w:rsid w:val="0ECE329B"/>
    <w:rsid w:val="0EEB0949"/>
    <w:rsid w:val="0EED3AD5"/>
    <w:rsid w:val="0EFB2661"/>
    <w:rsid w:val="0F126B2F"/>
    <w:rsid w:val="0F1420B5"/>
    <w:rsid w:val="0F1A028E"/>
    <w:rsid w:val="0F4C41C0"/>
    <w:rsid w:val="0F4F5A5E"/>
    <w:rsid w:val="0F7A6104"/>
    <w:rsid w:val="0FA933C0"/>
    <w:rsid w:val="0FAF179D"/>
    <w:rsid w:val="0FF744AF"/>
    <w:rsid w:val="0FFF68D7"/>
    <w:rsid w:val="10172A20"/>
    <w:rsid w:val="101833B4"/>
    <w:rsid w:val="102B2027"/>
    <w:rsid w:val="102D2243"/>
    <w:rsid w:val="107C6D27"/>
    <w:rsid w:val="10820513"/>
    <w:rsid w:val="108765D6"/>
    <w:rsid w:val="108E2A27"/>
    <w:rsid w:val="10905347"/>
    <w:rsid w:val="10C009C2"/>
    <w:rsid w:val="10CA5CE4"/>
    <w:rsid w:val="10D91A83"/>
    <w:rsid w:val="10F644F5"/>
    <w:rsid w:val="110A4F79"/>
    <w:rsid w:val="110C1E59"/>
    <w:rsid w:val="112836B9"/>
    <w:rsid w:val="11317B11"/>
    <w:rsid w:val="1134315E"/>
    <w:rsid w:val="11496C09"/>
    <w:rsid w:val="11542D1E"/>
    <w:rsid w:val="11553800"/>
    <w:rsid w:val="11625F1D"/>
    <w:rsid w:val="11836E7B"/>
    <w:rsid w:val="118801A1"/>
    <w:rsid w:val="11A27B01"/>
    <w:rsid w:val="11BF336F"/>
    <w:rsid w:val="11C24C0D"/>
    <w:rsid w:val="11D840DD"/>
    <w:rsid w:val="11E01CC0"/>
    <w:rsid w:val="11E10C03"/>
    <w:rsid w:val="11FD5C45"/>
    <w:rsid w:val="12137217"/>
    <w:rsid w:val="121470EA"/>
    <w:rsid w:val="121E4192"/>
    <w:rsid w:val="122E5DFF"/>
    <w:rsid w:val="1232769D"/>
    <w:rsid w:val="12435D4E"/>
    <w:rsid w:val="125C6E10"/>
    <w:rsid w:val="12701699"/>
    <w:rsid w:val="12863E8D"/>
    <w:rsid w:val="12887666"/>
    <w:rsid w:val="12AD544A"/>
    <w:rsid w:val="12E017EF"/>
    <w:rsid w:val="12EB0137"/>
    <w:rsid w:val="12EE4D0D"/>
    <w:rsid w:val="130A5D94"/>
    <w:rsid w:val="13150595"/>
    <w:rsid w:val="133B7018"/>
    <w:rsid w:val="133D36D6"/>
    <w:rsid w:val="134202B1"/>
    <w:rsid w:val="13682F98"/>
    <w:rsid w:val="13715B2A"/>
    <w:rsid w:val="13BC3EEE"/>
    <w:rsid w:val="13C7650B"/>
    <w:rsid w:val="13CB5EF3"/>
    <w:rsid w:val="13CB5FFB"/>
    <w:rsid w:val="13EC1FE4"/>
    <w:rsid w:val="14327E28"/>
    <w:rsid w:val="144638D4"/>
    <w:rsid w:val="144D6A10"/>
    <w:rsid w:val="14627FE2"/>
    <w:rsid w:val="14812B5E"/>
    <w:rsid w:val="14902DA1"/>
    <w:rsid w:val="149A41EF"/>
    <w:rsid w:val="14AA1005"/>
    <w:rsid w:val="14B81816"/>
    <w:rsid w:val="14CE474B"/>
    <w:rsid w:val="150115A9"/>
    <w:rsid w:val="15035321"/>
    <w:rsid w:val="150712B5"/>
    <w:rsid w:val="15273705"/>
    <w:rsid w:val="155D250F"/>
    <w:rsid w:val="156404B5"/>
    <w:rsid w:val="157B24DC"/>
    <w:rsid w:val="157B50AD"/>
    <w:rsid w:val="15A9236C"/>
    <w:rsid w:val="15BC4035"/>
    <w:rsid w:val="15C33ED5"/>
    <w:rsid w:val="15CA64A3"/>
    <w:rsid w:val="15ED2CEB"/>
    <w:rsid w:val="15FF01DE"/>
    <w:rsid w:val="160550C9"/>
    <w:rsid w:val="160F08DF"/>
    <w:rsid w:val="1615355E"/>
    <w:rsid w:val="162605E4"/>
    <w:rsid w:val="16473933"/>
    <w:rsid w:val="164E4CC1"/>
    <w:rsid w:val="166521AC"/>
    <w:rsid w:val="166C5F35"/>
    <w:rsid w:val="16866FCF"/>
    <w:rsid w:val="16970CA9"/>
    <w:rsid w:val="16AC5558"/>
    <w:rsid w:val="16C5033A"/>
    <w:rsid w:val="16C76BDA"/>
    <w:rsid w:val="16CB00C0"/>
    <w:rsid w:val="16CB6A64"/>
    <w:rsid w:val="16CF5E02"/>
    <w:rsid w:val="16E30B31"/>
    <w:rsid w:val="16F72C63"/>
    <w:rsid w:val="16FA09A5"/>
    <w:rsid w:val="170B0B62"/>
    <w:rsid w:val="17194DCB"/>
    <w:rsid w:val="171D1C21"/>
    <w:rsid w:val="172C5003"/>
    <w:rsid w:val="174E544F"/>
    <w:rsid w:val="176D73C9"/>
    <w:rsid w:val="177B7D38"/>
    <w:rsid w:val="178A7F7B"/>
    <w:rsid w:val="17914E66"/>
    <w:rsid w:val="17B212C8"/>
    <w:rsid w:val="17BA0860"/>
    <w:rsid w:val="17BB0135"/>
    <w:rsid w:val="17C57205"/>
    <w:rsid w:val="17C7342C"/>
    <w:rsid w:val="17DC76E8"/>
    <w:rsid w:val="17E458DD"/>
    <w:rsid w:val="17EB784A"/>
    <w:rsid w:val="1813400F"/>
    <w:rsid w:val="184B14B9"/>
    <w:rsid w:val="18690A6B"/>
    <w:rsid w:val="18694035"/>
    <w:rsid w:val="1872464D"/>
    <w:rsid w:val="18745314"/>
    <w:rsid w:val="188D751D"/>
    <w:rsid w:val="188F1A4B"/>
    <w:rsid w:val="189310B2"/>
    <w:rsid w:val="18B20FCE"/>
    <w:rsid w:val="18BB3140"/>
    <w:rsid w:val="18C64D24"/>
    <w:rsid w:val="18CB43A7"/>
    <w:rsid w:val="18DC0363"/>
    <w:rsid w:val="18E216F1"/>
    <w:rsid w:val="18E53E06"/>
    <w:rsid w:val="18F558C8"/>
    <w:rsid w:val="18FE477D"/>
    <w:rsid w:val="190E4FD7"/>
    <w:rsid w:val="194D74B2"/>
    <w:rsid w:val="195715A3"/>
    <w:rsid w:val="195A572B"/>
    <w:rsid w:val="197D7D98"/>
    <w:rsid w:val="19882298"/>
    <w:rsid w:val="199724DC"/>
    <w:rsid w:val="19BF413C"/>
    <w:rsid w:val="19EF40C6"/>
    <w:rsid w:val="1A147FD0"/>
    <w:rsid w:val="1A5907D2"/>
    <w:rsid w:val="1A5F166A"/>
    <w:rsid w:val="1A606D71"/>
    <w:rsid w:val="1A7F18ED"/>
    <w:rsid w:val="1A8C697D"/>
    <w:rsid w:val="1AAE3F81"/>
    <w:rsid w:val="1AC12C8C"/>
    <w:rsid w:val="1AC35C7E"/>
    <w:rsid w:val="1AC76058"/>
    <w:rsid w:val="1AE06B70"/>
    <w:rsid w:val="1B155DAE"/>
    <w:rsid w:val="1B252495"/>
    <w:rsid w:val="1B763A45"/>
    <w:rsid w:val="1B7B2D5E"/>
    <w:rsid w:val="1B9F2C40"/>
    <w:rsid w:val="1BAF7FB0"/>
    <w:rsid w:val="1BB35CDF"/>
    <w:rsid w:val="1BF0493A"/>
    <w:rsid w:val="1C004A47"/>
    <w:rsid w:val="1C0A3439"/>
    <w:rsid w:val="1C0B07A6"/>
    <w:rsid w:val="1C1C4F1A"/>
    <w:rsid w:val="1C230AC0"/>
    <w:rsid w:val="1C252021"/>
    <w:rsid w:val="1C294ACB"/>
    <w:rsid w:val="1C2F10F1"/>
    <w:rsid w:val="1C3E5A1F"/>
    <w:rsid w:val="1C4C57FF"/>
    <w:rsid w:val="1C4F3541"/>
    <w:rsid w:val="1C56667E"/>
    <w:rsid w:val="1C662D65"/>
    <w:rsid w:val="1C7573D9"/>
    <w:rsid w:val="1C7A236C"/>
    <w:rsid w:val="1CA4563B"/>
    <w:rsid w:val="1CB13310"/>
    <w:rsid w:val="1CC979D3"/>
    <w:rsid w:val="1CD777BF"/>
    <w:rsid w:val="1CDC4DD5"/>
    <w:rsid w:val="1CE011BF"/>
    <w:rsid w:val="1CEE613C"/>
    <w:rsid w:val="1CFA0420"/>
    <w:rsid w:val="1D1D719C"/>
    <w:rsid w:val="1D1D7575"/>
    <w:rsid w:val="1D886D0B"/>
    <w:rsid w:val="1DAD35B6"/>
    <w:rsid w:val="1DB16111"/>
    <w:rsid w:val="1DE15557"/>
    <w:rsid w:val="1E0068A1"/>
    <w:rsid w:val="1E062289"/>
    <w:rsid w:val="1E0A3384"/>
    <w:rsid w:val="1E1113B2"/>
    <w:rsid w:val="1E46140E"/>
    <w:rsid w:val="1E4A3FC0"/>
    <w:rsid w:val="1E8707A4"/>
    <w:rsid w:val="1E9640D5"/>
    <w:rsid w:val="1EA00084"/>
    <w:rsid w:val="1EAC7F7A"/>
    <w:rsid w:val="1F016D75"/>
    <w:rsid w:val="1F06438B"/>
    <w:rsid w:val="1F4A26C0"/>
    <w:rsid w:val="1F582F19"/>
    <w:rsid w:val="1FA94D17"/>
    <w:rsid w:val="1FD67160"/>
    <w:rsid w:val="1FE741BD"/>
    <w:rsid w:val="1FED5F05"/>
    <w:rsid w:val="20036B1D"/>
    <w:rsid w:val="20173F0C"/>
    <w:rsid w:val="202C6073"/>
    <w:rsid w:val="20607ACB"/>
    <w:rsid w:val="207D067D"/>
    <w:rsid w:val="20A7394C"/>
    <w:rsid w:val="20B0742B"/>
    <w:rsid w:val="20B07673"/>
    <w:rsid w:val="20B37A89"/>
    <w:rsid w:val="20D65FDF"/>
    <w:rsid w:val="20E73FDC"/>
    <w:rsid w:val="20E95D13"/>
    <w:rsid w:val="20F17404"/>
    <w:rsid w:val="21112E5D"/>
    <w:rsid w:val="21115269"/>
    <w:rsid w:val="2122506F"/>
    <w:rsid w:val="21317460"/>
    <w:rsid w:val="213B5E42"/>
    <w:rsid w:val="21515666"/>
    <w:rsid w:val="21535882"/>
    <w:rsid w:val="215947D8"/>
    <w:rsid w:val="215A276C"/>
    <w:rsid w:val="21A83D12"/>
    <w:rsid w:val="21BC429F"/>
    <w:rsid w:val="21D54581"/>
    <w:rsid w:val="21F63227"/>
    <w:rsid w:val="22226997"/>
    <w:rsid w:val="22352B64"/>
    <w:rsid w:val="22383E87"/>
    <w:rsid w:val="22464D50"/>
    <w:rsid w:val="224F429B"/>
    <w:rsid w:val="224F6049"/>
    <w:rsid w:val="22565BC1"/>
    <w:rsid w:val="22633ED3"/>
    <w:rsid w:val="228C06EB"/>
    <w:rsid w:val="228C2DF9"/>
    <w:rsid w:val="22D71F89"/>
    <w:rsid w:val="22D868D3"/>
    <w:rsid w:val="22DE117B"/>
    <w:rsid w:val="230865AC"/>
    <w:rsid w:val="231150AD"/>
    <w:rsid w:val="23675344"/>
    <w:rsid w:val="236E6FF8"/>
    <w:rsid w:val="23850189"/>
    <w:rsid w:val="23897339"/>
    <w:rsid w:val="239D0A0C"/>
    <w:rsid w:val="23BE6B4B"/>
    <w:rsid w:val="23D60ACB"/>
    <w:rsid w:val="23E3039C"/>
    <w:rsid w:val="23F46EA8"/>
    <w:rsid w:val="23F724F4"/>
    <w:rsid w:val="24007AC0"/>
    <w:rsid w:val="240B41F2"/>
    <w:rsid w:val="242B4D72"/>
    <w:rsid w:val="244D65E7"/>
    <w:rsid w:val="24575689"/>
    <w:rsid w:val="245E2574"/>
    <w:rsid w:val="24992DAF"/>
    <w:rsid w:val="24997A50"/>
    <w:rsid w:val="2506571D"/>
    <w:rsid w:val="250A6257"/>
    <w:rsid w:val="252C028A"/>
    <w:rsid w:val="2545692C"/>
    <w:rsid w:val="2568677F"/>
    <w:rsid w:val="25950217"/>
    <w:rsid w:val="259D70CC"/>
    <w:rsid w:val="25AA2303"/>
    <w:rsid w:val="25BB0AAA"/>
    <w:rsid w:val="25CE6CA7"/>
    <w:rsid w:val="25E74730"/>
    <w:rsid w:val="26061115"/>
    <w:rsid w:val="260E10FE"/>
    <w:rsid w:val="26261652"/>
    <w:rsid w:val="264810FF"/>
    <w:rsid w:val="2674607E"/>
    <w:rsid w:val="26874B33"/>
    <w:rsid w:val="26C540E2"/>
    <w:rsid w:val="26C62652"/>
    <w:rsid w:val="26D21EAD"/>
    <w:rsid w:val="26EF7DFB"/>
    <w:rsid w:val="27043392"/>
    <w:rsid w:val="270F12F9"/>
    <w:rsid w:val="271D59D0"/>
    <w:rsid w:val="27286E69"/>
    <w:rsid w:val="272E26D1"/>
    <w:rsid w:val="27C11484"/>
    <w:rsid w:val="27D8088F"/>
    <w:rsid w:val="2826784C"/>
    <w:rsid w:val="282E191D"/>
    <w:rsid w:val="28393256"/>
    <w:rsid w:val="284657F9"/>
    <w:rsid w:val="287E1436"/>
    <w:rsid w:val="28885E11"/>
    <w:rsid w:val="28A6518C"/>
    <w:rsid w:val="28C01A4F"/>
    <w:rsid w:val="28C96CBB"/>
    <w:rsid w:val="28E43737"/>
    <w:rsid w:val="28EA2628"/>
    <w:rsid w:val="28FB2A87"/>
    <w:rsid w:val="291453F2"/>
    <w:rsid w:val="29360622"/>
    <w:rsid w:val="295771C4"/>
    <w:rsid w:val="29614AE4"/>
    <w:rsid w:val="29712A36"/>
    <w:rsid w:val="29AC6A1D"/>
    <w:rsid w:val="29B03871"/>
    <w:rsid w:val="29CB2141"/>
    <w:rsid w:val="29FA2D3E"/>
    <w:rsid w:val="29FF4B88"/>
    <w:rsid w:val="2A0B547C"/>
    <w:rsid w:val="2A0C024B"/>
    <w:rsid w:val="2A0E0CEC"/>
    <w:rsid w:val="2A0E2346"/>
    <w:rsid w:val="2A1D4C7F"/>
    <w:rsid w:val="2A677E90"/>
    <w:rsid w:val="2A6C2367"/>
    <w:rsid w:val="2A862824"/>
    <w:rsid w:val="2AC624D6"/>
    <w:rsid w:val="2AF15A7A"/>
    <w:rsid w:val="2B0426A5"/>
    <w:rsid w:val="2B116592"/>
    <w:rsid w:val="2B141BDE"/>
    <w:rsid w:val="2B180563"/>
    <w:rsid w:val="2B4B6F96"/>
    <w:rsid w:val="2B62401D"/>
    <w:rsid w:val="2B813779"/>
    <w:rsid w:val="2B8F21F0"/>
    <w:rsid w:val="2B942D1F"/>
    <w:rsid w:val="2B980A61"/>
    <w:rsid w:val="2BB02D46"/>
    <w:rsid w:val="2BB90F47"/>
    <w:rsid w:val="2BB97D84"/>
    <w:rsid w:val="2BCE0689"/>
    <w:rsid w:val="2BD15D21"/>
    <w:rsid w:val="2BE03161"/>
    <w:rsid w:val="2BE05F64"/>
    <w:rsid w:val="2BF35C97"/>
    <w:rsid w:val="2BF437BD"/>
    <w:rsid w:val="2C016606"/>
    <w:rsid w:val="2C0B2F55"/>
    <w:rsid w:val="2C2C2F57"/>
    <w:rsid w:val="2C384B42"/>
    <w:rsid w:val="2C6018A8"/>
    <w:rsid w:val="2C6E3570"/>
    <w:rsid w:val="2C73502A"/>
    <w:rsid w:val="2C737F26"/>
    <w:rsid w:val="2C931228"/>
    <w:rsid w:val="2CA94D64"/>
    <w:rsid w:val="2CE87E3E"/>
    <w:rsid w:val="2CF12C21"/>
    <w:rsid w:val="2CF96FB4"/>
    <w:rsid w:val="2D061C45"/>
    <w:rsid w:val="2D104627"/>
    <w:rsid w:val="2D241F75"/>
    <w:rsid w:val="2D26209C"/>
    <w:rsid w:val="2D330463"/>
    <w:rsid w:val="2D366C89"/>
    <w:rsid w:val="2D483AF4"/>
    <w:rsid w:val="2D711922"/>
    <w:rsid w:val="2D995F29"/>
    <w:rsid w:val="2D9C02BF"/>
    <w:rsid w:val="2D9F1767"/>
    <w:rsid w:val="2DC0604D"/>
    <w:rsid w:val="2DCC629E"/>
    <w:rsid w:val="2E045F3A"/>
    <w:rsid w:val="2E112405"/>
    <w:rsid w:val="2E1E4D06"/>
    <w:rsid w:val="2E273353"/>
    <w:rsid w:val="2EAE2349"/>
    <w:rsid w:val="2EAE5EA6"/>
    <w:rsid w:val="2EBD258D"/>
    <w:rsid w:val="2EC41B6D"/>
    <w:rsid w:val="2EE54BFF"/>
    <w:rsid w:val="2EF07656"/>
    <w:rsid w:val="2F1E22C8"/>
    <w:rsid w:val="2F236894"/>
    <w:rsid w:val="2F246BF9"/>
    <w:rsid w:val="2F5527C5"/>
    <w:rsid w:val="2F566C69"/>
    <w:rsid w:val="2F6046B5"/>
    <w:rsid w:val="2F642EBB"/>
    <w:rsid w:val="2F6B1FE9"/>
    <w:rsid w:val="2F9C74F7"/>
    <w:rsid w:val="2FBB4D1E"/>
    <w:rsid w:val="2FE80256"/>
    <w:rsid w:val="2FFA3A98"/>
    <w:rsid w:val="2FFD0189"/>
    <w:rsid w:val="300C557A"/>
    <w:rsid w:val="301F52AD"/>
    <w:rsid w:val="303348B4"/>
    <w:rsid w:val="303705CB"/>
    <w:rsid w:val="30433499"/>
    <w:rsid w:val="304C3BC8"/>
    <w:rsid w:val="3062519A"/>
    <w:rsid w:val="307D0225"/>
    <w:rsid w:val="3089665D"/>
    <w:rsid w:val="30AC0D80"/>
    <w:rsid w:val="30B71989"/>
    <w:rsid w:val="30BF439A"/>
    <w:rsid w:val="30DA7426"/>
    <w:rsid w:val="30ED7159"/>
    <w:rsid w:val="30F71D86"/>
    <w:rsid w:val="30FA5FEE"/>
    <w:rsid w:val="30FF5EFC"/>
    <w:rsid w:val="31050127"/>
    <w:rsid w:val="31283ADD"/>
    <w:rsid w:val="313E192D"/>
    <w:rsid w:val="31413001"/>
    <w:rsid w:val="31501725"/>
    <w:rsid w:val="31532D34"/>
    <w:rsid w:val="317E6003"/>
    <w:rsid w:val="3192385D"/>
    <w:rsid w:val="31CA6FEB"/>
    <w:rsid w:val="31D2634F"/>
    <w:rsid w:val="31E17E6B"/>
    <w:rsid w:val="31EB11BF"/>
    <w:rsid w:val="31EE2735"/>
    <w:rsid w:val="31F36F75"/>
    <w:rsid w:val="320329AC"/>
    <w:rsid w:val="320A370E"/>
    <w:rsid w:val="320F0AA4"/>
    <w:rsid w:val="322112BA"/>
    <w:rsid w:val="32594BD2"/>
    <w:rsid w:val="325E6763"/>
    <w:rsid w:val="32894C60"/>
    <w:rsid w:val="328D5DB9"/>
    <w:rsid w:val="3292549E"/>
    <w:rsid w:val="32C24F9D"/>
    <w:rsid w:val="32C35957"/>
    <w:rsid w:val="32DC56D7"/>
    <w:rsid w:val="32FA0324"/>
    <w:rsid w:val="330A1A52"/>
    <w:rsid w:val="33134E71"/>
    <w:rsid w:val="331537EB"/>
    <w:rsid w:val="33242A7F"/>
    <w:rsid w:val="332B7BEF"/>
    <w:rsid w:val="334E5A9F"/>
    <w:rsid w:val="336D632F"/>
    <w:rsid w:val="3381639C"/>
    <w:rsid w:val="33866FA8"/>
    <w:rsid w:val="339935C8"/>
    <w:rsid w:val="33A43D3B"/>
    <w:rsid w:val="33B331B5"/>
    <w:rsid w:val="33BB3FC3"/>
    <w:rsid w:val="33D50520"/>
    <w:rsid w:val="33EF143A"/>
    <w:rsid w:val="34060532"/>
    <w:rsid w:val="341B5A49"/>
    <w:rsid w:val="342514E8"/>
    <w:rsid w:val="34256C0A"/>
    <w:rsid w:val="342D5ABF"/>
    <w:rsid w:val="34B8182C"/>
    <w:rsid w:val="35064C8D"/>
    <w:rsid w:val="35284C04"/>
    <w:rsid w:val="353C420B"/>
    <w:rsid w:val="35694D08"/>
    <w:rsid w:val="356B6309"/>
    <w:rsid w:val="3589141A"/>
    <w:rsid w:val="35A40002"/>
    <w:rsid w:val="35B205C3"/>
    <w:rsid w:val="35B75F88"/>
    <w:rsid w:val="35C67F79"/>
    <w:rsid w:val="35D46F87"/>
    <w:rsid w:val="35D703D8"/>
    <w:rsid w:val="35DA1C76"/>
    <w:rsid w:val="35DC0741"/>
    <w:rsid w:val="363219AB"/>
    <w:rsid w:val="364E6A9B"/>
    <w:rsid w:val="36533F02"/>
    <w:rsid w:val="36572D3F"/>
    <w:rsid w:val="365D08DD"/>
    <w:rsid w:val="36634B09"/>
    <w:rsid w:val="36637357"/>
    <w:rsid w:val="366B04D8"/>
    <w:rsid w:val="368F0CB2"/>
    <w:rsid w:val="369167D9"/>
    <w:rsid w:val="369C3F7E"/>
    <w:rsid w:val="36BE0654"/>
    <w:rsid w:val="36C46BAE"/>
    <w:rsid w:val="370945C1"/>
    <w:rsid w:val="3733163E"/>
    <w:rsid w:val="37384DC5"/>
    <w:rsid w:val="373B350A"/>
    <w:rsid w:val="3752696B"/>
    <w:rsid w:val="37597553"/>
    <w:rsid w:val="376965A9"/>
    <w:rsid w:val="378150C3"/>
    <w:rsid w:val="37833A11"/>
    <w:rsid w:val="37851194"/>
    <w:rsid w:val="37894DEF"/>
    <w:rsid w:val="378C0D4E"/>
    <w:rsid w:val="37976071"/>
    <w:rsid w:val="379A21E5"/>
    <w:rsid w:val="37A97B52"/>
    <w:rsid w:val="37AC5E06"/>
    <w:rsid w:val="37C77810"/>
    <w:rsid w:val="37E81288"/>
    <w:rsid w:val="380F690B"/>
    <w:rsid w:val="3812164A"/>
    <w:rsid w:val="381A63F5"/>
    <w:rsid w:val="38314D5D"/>
    <w:rsid w:val="38396895"/>
    <w:rsid w:val="386A72E1"/>
    <w:rsid w:val="387A419F"/>
    <w:rsid w:val="388D1222"/>
    <w:rsid w:val="388E0998"/>
    <w:rsid w:val="38A26A7B"/>
    <w:rsid w:val="38C227B0"/>
    <w:rsid w:val="38E05A06"/>
    <w:rsid w:val="390154AF"/>
    <w:rsid w:val="39073ED2"/>
    <w:rsid w:val="39093876"/>
    <w:rsid w:val="391758F5"/>
    <w:rsid w:val="39184F8F"/>
    <w:rsid w:val="39241B86"/>
    <w:rsid w:val="392C4597"/>
    <w:rsid w:val="39400042"/>
    <w:rsid w:val="394915ED"/>
    <w:rsid w:val="39513FFD"/>
    <w:rsid w:val="3953201A"/>
    <w:rsid w:val="397F214F"/>
    <w:rsid w:val="39810D86"/>
    <w:rsid w:val="3995135A"/>
    <w:rsid w:val="39B7228B"/>
    <w:rsid w:val="3A142705"/>
    <w:rsid w:val="3A173238"/>
    <w:rsid w:val="3A1B7675"/>
    <w:rsid w:val="3A1F5B1B"/>
    <w:rsid w:val="3A301E36"/>
    <w:rsid w:val="3A30455A"/>
    <w:rsid w:val="3A3302E2"/>
    <w:rsid w:val="3A4A1178"/>
    <w:rsid w:val="3A541787"/>
    <w:rsid w:val="3A6209E7"/>
    <w:rsid w:val="3A6C6383"/>
    <w:rsid w:val="3A791A5E"/>
    <w:rsid w:val="3A812174"/>
    <w:rsid w:val="3A836438"/>
    <w:rsid w:val="3AAA452C"/>
    <w:rsid w:val="3AE0561C"/>
    <w:rsid w:val="3AEC0481"/>
    <w:rsid w:val="3AFB06C4"/>
    <w:rsid w:val="3B051543"/>
    <w:rsid w:val="3B153A8E"/>
    <w:rsid w:val="3B36136A"/>
    <w:rsid w:val="3B43343F"/>
    <w:rsid w:val="3B660234"/>
    <w:rsid w:val="3B6E1810"/>
    <w:rsid w:val="3B702E61"/>
    <w:rsid w:val="3B762441"/>
    <w:rsid w:val="3B9823B7"/>
    <w:rsid w:val="3BB276B2"/>
    <w:rsid w:val="3BDC4BF4"/>
    <w:rsid w:val="3BE06C7E"/>
    <w:rsid w:val="3BE253E0"/>
    <w:rsid w:val="3BFA4E20"/>
    <w:rsid w:val="3C314ADE"/>
    <w:rsid w:val="3C395948"/>
    <w:rsid w:val="3C3A0A68"/>
    <w:rsid w:val="3C4D4F50"/>
    <w:rsid w:val="3C4E7CED"/>
    <w:rsid w:val="3C601127"/>
    <w:rsid w:val="3C613C0E"/>
    <w:rsid w:val="3C743664"/>
    <w:rsid w:val="3C7E77FF"/>
    <w:rsid w:val="3C856F2B"/>
    <w:rsid w:val="3CEA09F1"/>
    <w:rsid w:val="3CEB6988"/>
    <w:rsid w:val="3CEC7805"/>
    <w:rsid w:val="3D2757A1"/>
    <w:rsid w:val="3D4A6ED2"/>
    <w:rsid w:val="3D612090"/>
    <w:rsid w:val="3D807B1A"/>
    <w:rsid w:val="3D931088"/>
    <w:rsid w:val="3D9848F1"/>
    <w:rsid w:val="3D9A2417"/>
    <w:rsid w:val="3D9B618F"/>
    <w:rsid w:val="3DBD4B3F"/>
    <w:rsid w:val="3DC0664E"/>
    <w:rsid w:val="3DC079A3"/>
    <w:rsid w:val="3DE1436E"/>
    <w:rsid w:val="3DE90CA8"/>
    <w:rsid w:val="3DEA4545"/>
    <w:rsid w:val="3DEB23F1"/>
    <w:rsid w:val="3DEC1BA3"/>
    <w:rsid w:val="3E012496"/>
    <w:rsid w:val="3E057E5C"/>
    <w:rsid w:val="3E0870F1"/>
    <w:rsid w:val="3E2B12C1"/>
    <w:rsid w:val="3E353EED"/>
    <w:rsid w:val="3E4578E6"/>
    <w:rsid w:val="3E573E64"/>
    <w:rsid w:val="3E6E56EE"/>
    <w:rsid w:val="3E6F7B87"/>
    <w:rsid w:val="3E8E7DEC"/>
    <w:rsid w:val="3E916FCA"/>
    <w:rsid w:val="3E937510"/>
    <w:rsid w:val="3EA30D21"/>
    <w:rsid w:val="3EA37367"/>
    <w:rsid w:val="3EB47508"/>
    <w:rsid w:val="3EE03F1C"/>
    <w:rsid w:val="3EE84604"/>
    <w:rsid w:val="3EFE4C27"/>
    <w:rsid w:val="3F044850"/>
    <w:rsid w:val="3F223B34"/>
    <w:rsid w:val="3F3142F6"/>
    <w:rsid w:val="3F327BFC"/>
    <w:rsid w:val="3F3C12AC"/>
    <w:rsid w:val="3F47037C"/>
    <w:rsid w:val="3F4F1C13"/>
    <w:rsid w:val="3F547054"/>
    <w:rsid w:val="3F6F78D3"/>
    <w:rsid w:val="3F71532A"/>
    <w:rsid w:val="3F737426"/>
    <w:rsid w:val="3F78563A"/>
    <w:rsid w:val="3F8D5C9F"/>
    <w:rsid w:val="3F934C4B"/>
    <w:rsid w:val="3F984734"/>
    <w:rsid w:val="3FB928FC"/>
    <w:rsid w:val="3FD634AE"/>
    <w:rsid w:val="3FEE07F8"/>
    <w:rsid w:val="3FFE510E"/>
    <w:rsid w:val="4001677D"/>
    <w:rsid w:val="40086045"/>
    <w:rsid w:val="402828F4"/>
    <w:rsid w:val="40430557"/>
    <w:rsid w:val="405A5E8D"/>
    <w:rsid w:val="4061225A"/>
    <w:rsid w:val="40A8309D"/>
    <w:rsid w:val="40A9536C"/>
    <w:rsid w:val="40CE503D"/>
    <w:rsid w:val="41001EB1"/>
    <w:rsid w:val="41006A35"/>
    <w:rsid w:val="41175B2C"/>
    <w:rsid w:val="41365B3D"/>
    <w:rsid w:val="41511846"/>
    <w:rsid w:val="416C170D"/>
    <w:rsid w:val="4172527C"/>
    <w:rsid w:val="4187580D"/>
    <w:rsid w:val="418C02C8"/>
    <w:rsid w:val="419B675D"/>
    <w:rsid w:val="41A05B22"/>
    <w:rsid w:val="41A50EAD"/>
    <w:rsid w:val="41AC554D"/>
    <w:rsid w:val="41B14053"/>
    <w:rsid w:val="41B85EB6"/>
    <w:rsid w:val="41EF2605"/>
    <w:rsid w:val="42293D69"/>
    <w:rsid w:val="422C5607"/>
    <w:rsid w:val="423B584A"/>
    <w:rsid w:val="42415908"/>
    <w:rsid w:val="42531754"/>
    <w:rsid w:val="42750D64"/>
    <w:rsid w:val="428764D3"/>
    <w:rsid w:val="428C0621"/>
    <w:rsid w:val="42A96B18"/>
    <w:rsid w:val="42D23768"/>
    <w:rsid w:val="42D53D7E"/>
    <w:rsid w:val="42E20147"/>
    <w:rsid w:val="42E278AA"/>
    <w:rsid w:val="42E5074D"/>
    <w:rsid w:val="43164FEF"/>
    <w:rsid w:val="43247C2B"/>
    <w:rsid w:val="432E070E"/>
    <w:rsid w:val="43566DE0"/>
    <w:rsid w:val="436A16A6"/>
    <w:rsid w:val="43785ED1"/>
    <w:rsid w:val="437F530D"/>
    <w:rsid w:val="438A12F4"/>
    <w:rsid w:val="43BE2B29"/>
    <w:rsid w:val="43CF0940"/>
    <w:rsid w:val="43D321DE"/>
    <w:rsid w:val="43EA7528"/>
    <w:rsid w:val="43F403A7"/>
    <w:rsid w:val="43FD0C1E"/>
    <w:rsid w:val="44055CF9"/>
    <w:rsid w:val="44120BB1"/>
    <w:rsid w:val="444829E0"/>
    <w:rsid w:val="445B5DD8"/>
    <w:rsid w:val="44623562"/>
    <w:rsid w:val="44655E14"/>
    <w:rsid w:val="4467501D"/>
    <w:rsid w:val="44727C49"/>
    <w:rsid w:val="44901E7E"/>
    <w:rsid w:val="449A0F4E"/>
    <w:rsid w:val="449F5DD3"/>
    <w:rsid w:val="44C25364"/>
    <w:rsid w:val="44DC42BA"/>
    <w:rsid w:val="44ED2FD3"/>
    <w:rsid w:val="44ED5522"/>
    <w:rsid w:val="44F67147"/>
    <w:rsid w:val="4509503D"/>
    <w:rsid w:val="452B1BA6"/>
    <w:rsid w:val="45312942"/>
    <w:rsid w:val="45446354"/>
    <w:rsid w:val="455F7AA2"/>
    <w:rsid w:val="45644F92"/>
    <w:rsid w:val="456B4699"/>
    <w:rsid w:val="45D0372E"/>
    <w:rsid w:val="463F7FFF"/>
    <w:rsid w:val="464C1D63"/>
    <w:rsid w:val="464E1FF0"/>
    <w:rsid w:val="46715CDF"/>
    <w:rsid w:val="46730342"/>
    <w:rsid w:val="467414CE"/>
    <w:rsid w:val="467F664E"/>
    <w:rsid w:val="46824E5A"/>
    <w:rsid w:val="46EF6F8D"/>
    <w:rsid w:val="47044DA5"/>
    <w:rsid w:val="470E1780"/>
    <w:rsid w:val="47356E70"/>
    <w:rsid w:val="473867FC"/>
    <w:rsid w:val="477E06B3"/>
    <w:rsid w:val="478D4D9A"/>
    <w:rsid w:val="479C7DAA"/>
    <w:rsid w:val="47B16162"/>
    <w:rsid w:val="47DC362C"/>
    <w:rsid w:val="47EB37C9"/>
    <w:rsid w:val="480C40F9"/>
    <w:rsid w:val="480F755D"/>
    <w:rsid w:val="48174664"/>
    <w:rsid w:val="481903DC"/>
    <w:rsid w:val="481B4154"/>
    <w:rsid w:val="481E1B94"/>
    <w:rsid w:val="482753AB"/>
    <w:rsid w:val="48461DA8"/>
    <w:rsid w:val="48592243"/>
    <w:rsid w:val="48592ECE"/>
    <w:rsid w:val="485A5112"/>
    <w:rsid w:val="485D0ECC"/>
    <w:rsid w:val="48627FD5"/>
    <w:rsid w:val="48677399"/>
    <w:rsid w:val="486907AD"/>
    <w:rsid w:val="48741AB6"/>
    <w:rsid w:val="48757D08"/>
    <w:rsid w:val="488100CD"/>
    <w:rsid w:val="489435D0"/>
    <w:rsid w:val="489857A5"/>
    <w:rsid w:val="489932CB"/>
    <w:rsid w:val="489D2DBB"/>
    <w:rsid w:val="48C7550C"/>
    <w:rsid w:val="48F13107"/>
    <w:rsid w:val="49064A23"/>
    <w:rsid w:val="490B241B"/>
    <w:rsid w:val="491C0184"/>
    <w:rsid w:val="492B03C7"/>
    <w:rsid w:val="492B175F"/>
    <w:rsid w:val="493D08D6"/>
    <w:rsid w:val="493F20C4"/>
    <w:rsid w:val="49485A93"/>
    <w:rsid w:val="49543DC1"/>
    <w:rsid w:val="49773DAE"/>
    <w:rsid w:val="49AE00AE"/>
    <w:rsid w:val="49B303BC"/>
    <w:rsid w:val="49B605D8"/>
    <w:rsid w:val="49BC2509"/>
    <w:rsid w:val="49F25388"/>
    <w:rsid w:val="49F770B6"/>
    <w:rsid w:val="49FF706F"/>
    <w:rsid w:val="4A225C6E"/>
    <w:rsid w:val="4A280C46"/>
    <w:rsid w:val="4A287F80"/>
    <w:rsid w:val="4A3C09D0"/>
    <w:rsid w:val="4A5144F5"/>
    <w:rsid w:val="4A563B69"/>
    <w:rsid w:val="4A5B4CDC"/>
    <w:rsid w:val="4A832F04"/>
    <w:rsid w:val="4A9B5A20"/>
    <w:rsid w:val="4A9F72BE"/>
    <w:rsid w:val="4AF13892"/>
    <w:rsid w:val="4AF762F7"/>
    <w:rsid w:val="4B022911"/>
    <w:rsid w:val="4B09298A"/>
    <w:rsid w:val="4B0C73E6"/>
    <w:rsid w:val="4B33219C"/>
    <w:rsid w:val="4B3F45FD"/>
    <w:rsid w:val="4B693428"/>
    <w:rsid w:val="4B6A1E13"/>
    <w:rsid w:val="4B735932"/>
    <w:rsid w:val="4B771FE9"/>
    <w:rsid w:val="4B9D4996"/>
    <w:rsid w:val="4BAF37F7"/>
    <w:rsid w:val="4BB40B47"/>
    <w:rsid w:val="4BD9235C"/>
    <w:rsid w:val="4BE70EF5"/>
    <w:rsid w:val="4BF76C86"/>
    <w:rsid w:val="4C0D05F7"/>
    <w:rsid w:val="4C147838"/>
    <w:rsid w:val="4C2102EA"/>
    <w:rsid w:val="4C253ED6"/>
    <w:rsid w:val="4C405C18"/>
    <w:rsid w:val="4C4D4AF8"/>
    <w:rsid w:val="4C505F95"/>
    <w:rsid w:val="4C6940F1"/>
    <w:rsid w:val="4C785E03"/>
    <w:rsid w:val="4C854292"/>
    <w:rsid w:val="4C8E208B"/>
    <w:rsid w:val="4CA30709"/>
    <w:rsid w:val="4CAC64B5"/>
    <w:rsid w:val="4CCD5AED"/>
    <w:rsid w:val="4CD34FFD"/>
    <w:rsid w:val="4CDD7C2A"/>
    <w:rsid w:val="4CDF1BF4"/>
    <w:rsid w:val="4CE459C5"/>
    <w:rsid w:val="4CFF2296"/>
    <w:rsid w:val="4D072EF9"/>
    <w:rsid w:val="4D13416C"/>
    <w:rsid w:val="4D2D04DF"/>
    <w:rsid w:val="4D337862"/>
    <w:rsid w:val="4D467EC5"/>
    <w:rsid w:val="4D4D1254"/>
    <w:rsid w:val="4D722A68"/>
    <w:rsid w:val="4D925B1F"/>
    <w:rsid w:val="4D9D6B08"/>
    <w:rsid w:val="4DAB5F7A"/>
    <w:rsid w:val="4DB937C7"/>
    <w:rsid w:val="4DC82688"/>
    <w:rsid w:val="4DDC2416"/>
    <w:rsid w:val="4E120C96"/>
    <w:rsid w:val="4E295882"/>
    <w:rsid w:val="4E7445BE"/>
    <w:rsid w:val="4E9407BC"/>
    <w:rsid w:val="4E9D1D67"/>
    <w:rsid w:val="4E9E662E"/>
    <w:rsid w:val="4EA0101E"/>
    <w:rsid w:val="4EA604F0"/>
    <w:rsid w:val="4EAB356F"/>
    <w:rsid w:val="4EB57961"/>
    <w:rsid w:val="4EBE7F2F"/>
    <w:rsid w:val="4EC13F43"/>
    <w:rsid w:val="4ECF13C9"/>
    <w:rsid w:val="4ED8534D"/>
    <w:rsid w:val="4ED96B17"/>
    <w:rsid w:val="4EE01C53"/>
    <w:rsid w:val="4F100246"/>
    <w:rsid w:val="4F2558B8"/>
    <w:rsid w:val="4F38383D"/>
    <w:rsid w:val="4F3A21CB"/>
    <w:rsid w:val="4F3B63E4"/>
    <w:rsid w:val="4F400944"/>
    <w:rsid w:val="4F4072EC"/>
    <w:rsid w:val="4F5023DA"/>
    <w:rsid w:val="4F5519E2"/>
    <w:rsid w:val="4F724648"/>
    <w:rsid w:val="4F9F47EA"/>
    <w:rsid w:val="4FA709C3"/>
    <w:rsid w:val="4FA70E9E"/>
    <w:rsid w:val="4FE018A1"/>
    <w:rsid w:val="4FFC2ABD"/>
    <w:rsid w:val="50083210"/>
    <w:rsid w:val="501446FD"/>
    <w:rsid w:val="50175B49"/>
    <w:rsid w:val="502838B2"/>
    <w:rsid w:val="5033485E"/>
    <w:rsid w:val="504306EC"/>
    <w:rsid w:val="50441BF3"/>
    <w:rsid w:val="504F7091"/>
    <w:rsid w:val="50631D4D"/>
    <w:rsid w:val="506B379F"/>
    <w:rsid w:val="50720FD1"/>
    <w:rsid w:val="50760AC1"/>
    <w:rsid w:val="508807F5"/>
    <w:rsid w:val="50920ED6"/>
    <w:rsid w:val="50AD3DB7"/>
    <w:rsid w:val="50BB2978"/>
    <w:rsid w:val="50C53203"/>
    <w:rsid w:val="51071719"/>
    <w:rsid w:val="51190299"/>
    <w:rsid w:val="511F6F5C"/>
    <w:rsid w:val="51217A74"/>
    <w:rsid w:val="51237AAF"/>
    <w:rsid w:val="51354F21"/>
    <w:rsid w:val="513872E4"/>
    <w:rsid w:val="51450494"/>
    <w:rsid w:val="51581F75"/>
    <w:rsid w:val="51857589"/>
    <w:rsid w:val="519923E6"/>
    <w:rsid w:val="51C615D4"/>
    <w:rsid w:val="51D33CF1"/>
    <w:rsid w:val="51DB4D99"/>
    <w:rsid w:val="51E04FA9"/>
    <w:rsid w:val="520B5239"/>
    <w:rsid w:val="52171194"/>
    <w:rsid w:val="521A2D60"/>
    <w:rsid w:val="52240AA0"/>
    <w:rsid w:val="524D7600"/>
    <w:rsid w:val="528C228E"/>
    <w:rsid w:val="52904DEF"/>
    <w:rsid w:val="52911BE2"/>
    <w:rsid w:val="52F1442F"/>
    <w:rsid w:val="53155E76"/>
    <w:rsid w:val="532A7E16"/>
    <w:rsid w:val="533342DD"/>
    <w:rsid w:val="53492B23"/>
    <w:rsid w:val="534E18C5"/>
    <w:rsid w:val="539F192F"/>
    <w:rsid w:val="53A54309"/>
    <w:rsid w:val="53B01CF2"/>
    <w:rsid w:val="53F377A8"/>
    <w:rsid w:val="541A0123"/>
    <w:rsid w:val="541C1980"/>
    <w:rsid w:val="5438608E"/>
    <w:rsid w:val="54415213"/>
    <w:rsid w:val="5463135D"/>
    <w:rsid w:val="54640C31"/>
    <w:rsid w:val="54790B80"/>
    <w:rsid w:val="548D63DA"/>
    <w:rsid w:val="54A379AB"/>
    <w:rsid w:val="54BF6BB7"/>
    <w:rsid w:val="54D66671"/>
    <w:rsid w:val="54D933CD"/>
    <w:rsid w:val="54EF2BF0"/>
    <w:rsid w:val="550A4368"/>
    <w:rsid w:val="55214D74"/>
    <w:rsid w:val="55355BDF"/>
    <w:rsid w:val="553F41FA"/>
    <w:rsid w:val="55450A62"/>
    <w:rsid w:val="5552514E"/>
    <w:rsid w:val="559A4FB0"/>
    <w:rsid w:val="55EE2161"/>
    <w:rsid w:val="55F47CCA"/>
    <w:rsid w:val="55FB55C5"/>
    <w:rsid w:val="561E0534"/>
    <w:rsid w:val="562A41F7"/>
    <w:rsid w:val="563167DC"/>
    <w:rsid w:val="565C2507"/>
    <w:rsid w:val="56707BDA"/>
    <w:rsid w:val="568E6439"/>
    <w:rsid w:val="56C667BE"/>
    <w:rsid w:val="56D976B4"/>
    <w:rsid w:val="56DB5BC3"/>
    <w:rsid w:val="56F24B88"/>
    <w:rsid w:val="56F73A0D"/>
    <w:rsid w:val="56FE00DA"/>
    <w:rsid w:val="571164F6"/>
    <w:rsid w:val="571679F1"/>
    <w:rsid w:val="571A713B"/>
    <w:rsid w:val="57437223"/>
    <w:rsid w:val="574B7E86"/>
    <w:rsid w:val="575B4C3B"/>
    <w:rsid w:val="576553EC"/>
    <w:rsid w:val="577A6460"/>
    <w:rsid w:val="57811AFA"/>
    <w:rsid w:val="57835872"/>
    <w:rsid w:val="57845D25"/>
    <w:rsid w:val="578A4E52"/>
    <w:rsid w:val="57A852D8"/>
    <w:rsid w:val="57BA40CB"/>
    <w:rsid w:val="57DF519E"/>
    <w:rsid w:val="58100414"/>
    <w:rsid w:val="58123253"/>
    <w:rsid w:val="58242BB1"/>
    <w:rsid w:val="58386C06"/>
    <w:rsid w:val="584414A5"/>
    <w:rsid w:val="58675193"/>
    <w:rsid w:val="58694A68"/>
    <w:rsid w:val="588303AC"/>
    <w:rsid w:val="588B4C8B"/>
    <w:rsid w:val="58A261CC"/>
    <w:rsid w:val="58E54CC3"/>
    <w:rsid w:val="590D1127"/>
    <w:rsid w:val="590F5E8A"/>
    <w:rsid w:val="593257A1"/>
    <w:rsid w:val="59396B30"/>
    <w:rsid w:val="59480B21"/>
    <w:rsid w:val="595D13D8"/>
    <w:rsid w:val="59771406"/>
    <w:rsid w:val="598C3104"/>
    <w:rsid w:val="59A2301C"/>
    <w:rsid w:val="59B51489"/>
    <w:rsid w:val="59D61B39"/>
    <w:rsid w:val="59D85DF8"/>
    <w:rsid w:val="59E06C63"/>
    <w:rsid w:val="59FB5B93"/>
    <w:rsid w:val="5A282BA3"/>
    <w:rsid w:val="5A292701"/>
    <w:rsid w:val="5A2E1B19"/>
    <w:rsid w:val="5A2E5F69"/>
    <w:rsid w:val="5A2F3A8F"/>
    <w:rsid w:val="5A3E3CD2"/>
    <w:rsid w:val="5A407A4A"/>
    <w:rsid w:val="5A8262B5"/>
    <w:rsid w:val="5A8A2B8D"/>
    <w:rsid w:val="5A987886"/>
    <w:rsid w:val="5AA377B1"/>
    <w:rsid w:val="5AD3266C"/>
    <w:rsid w:val="5AD703AE"/>
    <w:rsid w:val="5ADF3707"/>
    <w:rsid w:val="5AF7771D"/>
    <w:rsid w:val="5AFE1DDF"/>
    <w:rsid w:val="5B033869"/>
    <w:rsid w:val="5B1E0E25"/>
    <w:rsid w:val="5B51013E"/>
    <w:rsid w:val="5B774531"/>
    <w:rsid w:val="5B8322E4"/>
    <w:rsid w:val="5BA90C0A"/>
    <w:rsid w:val="5BAD110F"/>
    <w:rsid w:val="5BCE3119"/>
    <w:rsid w:val="5BD26DC8"/>
    <w:rsid w:val="5BE9104A"/>
    <w:rsid w:val="5C043425"/>
    <w:rsid w:val="5C074CC3"/>
    <w:rsid w:val="5C384E7D"/>
    <w:rsid w:val="5C401F83"/>
    <w:rsid w:val="5C437F40"/>
    <w:rsid w:val="5C462241"/>
    <w:rsid w:val="5C4868CC"/>
    <w:rsid w:val="5C930305"/>
    <w:rsid w:val="5C974299"/>
    <w:rsid w:val="5CB169DD"/>
    <w:rsid w:val="5CD77DE6"/>
    <w:rsid w:val="5CDF179C"/>
    <w:rsid w:val="5CFF3299"/>
    <w:rsid w:val="5D0E3E30"/>
    <w:rsid w:val="5D52169E"/>
    <w:rsid w:val="5D5C2DED"/>
    <w:rsid w:val="5D616655"/>
    <w:rsid w:val="5D621401"/>
    <w:rsid w:val="5D6323CD"/>
    <w:rsid w:val="5D6B7EBD"/>
    <w:rsid w:val="5D722610"/>
    <w:rsid w:val="5D850596"/>
    <w:rsid w:val="5DB833BF"/>
    <w:rsid w:val="5DCA7D57"/>
    <w:rsid w:val="5DE27796"/>
    <w:rsid w:val="5DE4727B"/>
    <w:rsid w:val="5E004B0E"/>
    <w:rsid w:val="5E5166CA"/>
    <w:rsid w:val="5E5B4E53"/>
    <w:rsid w:val="5E68756F"/>
    <w:rsid w:val="5E714676"/>
    <w:rsid w:val="5E736640"/>
    <w:rsid w:val="5E9860A7"/>
    <w:rsid w:val="5E9D7136"/>
    <w:rsid w:val="5EAC3900"/>
    <w:rsid w:val="5EB266CD"/>
    <w:rsid w:val="5EB872A8"/>
    <w:rsid w:val="5EEC63F2"/>
    <w:rsid w:val="5F3F29C6"/>
    <w:rsid w:val="5F5928DB"/>
    <w:rsid w:val="5F6366B5"/>
    <w:rsid w:val="5F6D4899"/>
    <w:rsid w:val="5F771D87"/>
    <w:rsid w:val="5F7A13D9"/>
    <w:rsid w:val="5F7A1C50"/>
    <w:rsid w:val="5F930AF8"/>
    <w:rsid w:val="5FA840C8"/>
    <w:rsid w:val="5FC15189"/>
    <w:rsid w:val="5FC80BD7"/>
    <w:rsid w:val="5FD411DB"/>
    <w:rsid w:val="60003F04"/>
    <w:rsid w:val="60065292"/>
    <w:rsid w:val="600D2A18"/>
    <w:rsid w:val="600F2399"/>
    <w:rsid w:val="60295997"/>
    <w:rsid w:val="60463A80"/>
    <w:rsid w:val="60624BBE"/>
    <w:rsid w:val="60786190"/>
    <w:rsid w:val="60794FF2"/>
    <w:rsid w:val="607A1B92"/>
    <w:rsid w:val="60AA20C1"/>
    <w:rsid w:val="60AF1486"/>
    <w:rsid w:val="60B66CB8"/>
    <w:rsid w:val="60C17234"/>
    <w:rsid w:val="60D630E7"/>
    <w:rsid w:val="60DC3129"/>
    <w:rsid w:val="60DD7536"/>
    <w:rsid w:val="60E46F03"/>
    <w:rsid w:val="60E5134B"/>
    <w:rsid w:val="60F33A68"/>
    <w:rsid w:val="60F93303"/>
    <w:rsid w:val="60FB291D"/>
    <w:rsid w:val="61220E83"/>
    <w:rsid w:val="612B1454"/>
    <w:rsid w:val="612B4288"/>
    <w:rsid w:val="61300818"/>
    <w:rsid w:val="6131633F"/>
    <w:rsid w:val="613A45BD"/>
    <w:rsid w:val="61512DC3"/>
    <w:rsid w:val="61572249"/>
    <w:rsid w:val="617D3332"/>
    <w:rsid w:val="61AF635B"/>
    <w:rsid w:val="61C92272"/>
    <w:rsid w:val="61D70C94"/>
    <w:rsid w:val="61DB5A7C"/>
    <w:rsid w:val="61ED495B"/>
    <w:rsid w:val="620123E4"/>
    <w:rsid w:val="62407431"/>
    <w:rsid w:val="62450C5C"/>
    <w:rsid w:val="626B78E0"/>
    <w:rsid w:val="6280757E"/>
    <w:rsid w:val="62875C56"/>
    <w:rsid w:val="62882B1C"/>
    <w:rsid w:val="62A0552A"/>
    <w:rsid w:val="62D022B3"/>
    <w:rsid w:val="62D13935"/>
    <w:rsid w:val="62E231B2"/>
    <w:rsid w:val="63035AB9"/>
    <w:rsid w:val="630F26B0"/>
    <w:rsid w:val="630F506C"/>
    <w:rsid w:val="63144C61"/>
    <w:rsid w:val="631A5652"/>
    <w:rsid w:val="63273E9D"/>
    <w:rsid w:val="634379A6"/>
    <w:rsid w:val="637C7D45"/>
    <w:rsid w:val="637F7680"/>
    <w:rsid w:val="63A80222"/>
    <w:rsid w:val="63AC3405"/>
    <w:rsid w:val="63B70D7D"/>
    <w:rsid w:val="63C57AD8"/>
    <w:rsid w:val="63DC0629"/>
    <w:rsid w:val="63F22891"/>
    <w:rsid w:val="63FB4D53"/>
    <w:rsid w:val="640A735C"/>
    <w:rsid w:val="64340620"/>
    <w:rsid w:val="643E1DDB"/>
    <w:rsid w:val="644338BB"/>
    <w:rsid w:val="644A4BFD"/>
    <w:rsid w:val="644C3818"/>
    <w:rsid w:val="644D348F"/>
    <w:rsid w:val="646B538C"/>
    <w:rsid w:val="647D600E"/>
    <w:rsid w:val="64AD3F2E"/>
    <w:rsid w:val="64B82FFF"/>
    <w:rsid w:val="64DF6129"/>
    <w:rsid w:val="64F14763"/>
    <w:rsid w:val="64F222AF"/>
    <w:rsid w:val="651C3508"/>
    <w:rsid w:val="652C50A4"/>
    <w:rsid w:val="653E102A"/>
    <w:rsid w:val="65640A91"/>
    <w:rsid w:val="6569747A"/>
    <w:rsid w:val="65875F01"/>
    <w:rsid w:val="6588405D"/>
    <w:rsid w:val="65A25A5D"/>
    <w:rsid w:val="65AE016F"/>
    <w:rsid w:val="65D86BEF"/>
    <w:rsid w:val="65DC0990"/>
    <w:rsid w:val="661C7ED9"/>
    <w:rsid w:val="6630477D"/>
    <w:rsid w:val="664072C6"/>
    <w:rsid w:val="66795AA3"/>
    <w:rsid w:val="669C06FE"/>
    <w:rsid w:val="669E5544"/>
    <w:rsid w:val="66B34B97"/>
    <w:rsid w:val="66BC0BE7"/>
    <w:rsid w:val="66CC0FE3"/>
    <w:rsid w:val="66CC2D91"/>
    <w:rsid w:val="66D659BE"/>
    <w:rsid w:val="66FE4C4B"/>
    <w:rsid w:val="67144738"/>
    <w:rsid w:val="671E1113"/>
    <w:rsid w:val="67241546"/>
    <w:rsid w:val="6727560C"/>
    <w:rsid w:val="67317098"/>
    <w:rsid w:val="67363981"/>
    <w:rsid w:val="674535A5"/>
    <w:rsid w:val="674C1365"/>
    <w:rsid w:val="6764746E"/>
    <w:rsid w:val="677551D7"/>
    <w:rsid w:val="679B7614"/>
    <w:rsid w:val="67B37AAD"/>
    <w:rsid w:val="67BA52E0"/>
    <w:rsid w:val="67C24194"/>
    <w:rsid w:val="67D839B8"/>
    <w:rsid w:val="67E450A9"/>
    <w:rsid w:val="67F87BB6"/>
    <w:rsid w:val="681D761D"/>
    <w:rsid w:val="68212C69"/>
    <w:rsid w:val="68214B88"/>
    <w:rsid w:val="68224C33"/>
    <w:rsid w:val="687C2595"/>
    <w:rsid w:val="68831F2D"/>
    <w:rsid w:val="68C55CEA"/>
    <w:rsid w:val="68D036B7"/>
    <w:rsid w:val="68E86BFA"/>
    <w:rsid w:val="6906356D"/>
    <w:rsid w:val="69270753"/>
    <w:rsid w:val="692F053C"/>
    <w:rsid w:val="69430BDA"/>
    <w:rsid w:val="694A3E5D"/>
    <w:rsid w:val="69603C65"/>
    <w:rsid w:val="696E7A57"/>
    <w:rsid w:val="69836693"/>
    <w:rsid w:val="69A24D85"/>
    <w:rsid w:val="69A262CD"/>
    <w:rsid w:val="69A41DA4"/>
    <w:rsid w:val="69B76692"/>
    <w:rsid w:val="69C17F22"/>
    <w:rsid w:val="69C34EFD"/>
    <w:rsid w:val="6A191710"/>
    <w:rsid w:val="6A246A40"/>
    <w:rsid w:val="6A505A87"/>
    <w:rsid w:val="6A5A10B5"/>
    <w:rsid w:val="6A5D25AF"/>
    <w:rsid w:val="6A6908F7"/>
    <w:rsid w:val="6ABC50DC"/>
    <w:rsid w:val="6AC23D01"/>
    <w:rsid w:val="6AD803A3"/>
    <w:rsid w:val="6AF74155"/>
    <w:rsid w:val="6AFD58BD"/>
    <w:rsid w:val="6B0C3C5A"/>
    <w:rsid w:val="6B0D4FFE"/>
    <w:rsid w:val="6B221C24"/>
    <w:rsid w:val="6B376C47"/>
    <w:rsid w:val="6B4F5D3F"/>
    <w:rsid w:val="6B667A77"/>
    <w:rsid w:val="6B774D46"/>
    <w:rsid w:val="6B7F265D"/>
    <w:rsid w:val="6BB107A8"/>
    <w:rsid w:val="6BB12556"/>
    <w:rsid w:val="6BD91AAD"/>
    <w:rsid w:val="6C1E7B69"/>
    <w:rsid w:val="6C287B41"/>
    <w:rsid w:val="6C303757"/>
    <w:rsid w:val="6C6F1EA4"/>
    <w:rsid w:val="6C8B2DA7"/>
    <w:rsid w:val="6CA6400E"/>
    <w:rsid w:val="6D214429"/>
    <w:rsid w:val="6D324605"/>
    <w:rsid w:val="6D7101EF"/>
    <w:rsid w:val="6D716441"/>
    <w:rsid w:val="6D910891"/>
    <w:rsid w:val="6D9E6B0A"/>
    <w:rsid w:val="6DB34AC8"/>
    <w:rsid w:val="6DC01C88"/>
    <w:rsid w:val="6DD00132"/>
    <w:rsid w:val="6DDE6CE4"/>
    <w:rsid w:val="6DF606F4"/>
    <w:rsid w:val="6E162B44"/>
    <w:rsid w:val="6E18729E"/>
    <w:rsid w:val="6E2E7ECC"/>
    <w:rsid w:val="6E3206D6"/>
    <w:rsid w:val="6E5642A5"/>
    <w:rsid w:val="6E602011"/>
    <w:rsid w:val="6E6243E1"/>
    <w:rsid w:val="6E6721D9"/>
    <w:rsid w:val="6E82467D"/>
    <w:rsid w:val="6E8403F6"/>
    <w:rsid w:val="6E95110E"/>
    <w:rsid w:val="6EB72579"/>
    <w:rsid w:val="6EB81D8F"/>
    <w:rsid w:val="6EC735FE"/>
    <w:rsid w:val="6ECA348F"/>
    <w:rsid w:val="6EF47329"/>
    <w:rsid w:val="6EF70BC7"/>
    <w:rsid w:val="6EF74724"/>
    <w:rsid w:val="6EFF42EB"/>
    <w:rsid w:val="6F203A84"/>
    <w:rsid w:val="6F2E3EBD"/>
    <w:rsid w:val="6F364493"/>
    <w:rsid w:val="6F5558EE"/>
    <w:rsid w:val="6F5B1156"/>
    <w:rsid w:val="6F6A6316"/>
    <w:rsid w:val="6F751AEC"/>
    <w:rsid w:val="6F7F4719"/>
    <w:rsid w:val="6F832989"/>
    <w:rsid w:val="6F861031"/>
    <w:rsid w:val="6F8A4B2B"/>
    <w:rsid w:val="6F8B0B99"/>
    <w:rsid w:val="6FA11970"/>
    <w:rsid w:val="6FB95E7D"/>
    <w:rsid w:val="6FC33ACF"/>
    <w:rsid w:val="6FCF56A0"/>
    <w:rsid w:val="6FD418AD"/>
    <w:rsid w:val="6FF92E15"/>
    <w:rsid w:val="702A251B"/>
    <w:rsid w:val="70381498"/>
    <w:rsid w:val="705A4C09"/>
    <w:rsid w:val="70617EC8"/>
    <w:rsid w:val="707A20B1"/>
    <w:rsid w:val="707E0282"/>
    <w:rsid w:val="70812E3F"/>
    <w:rsid w:val="708F4524"/>
    <w:rsid w:val="70991D7A"/>
    <w:rsid w:val="70BA3C5B"/>
    <w:rsid w:val="70E248CD"/>
    <w:rsid w:val="70F52EE5"/>
    <w:rsid w:val="712156AB"/>
    <w:rsid w:val="715B3690"/>
    <w:rsid w:val="71681909"/>
    <w:rsid w:val="7185070D"/>
    <w:rsid w:val="719426FE"/>
    <w:rsid w:val="71B22914"/>
    <w:rsid w:val="71D5345C"/>
    <w:rsid w:val="71DC2593"/>
    <w:rsid w:val="71E73175"/>
    <w:rsid w:val="720751EB"/>
    <w:rsid w:val="722872EA"/>
    <w:rsid w:val="722E1077"/>
    <w:rsid w:val="72473C14"/>
    <w:rsid w:val="72750CA3"/>
    <w:rsid w:val="728409C4"/>
    <w:rsid w:val="72943314"/>
    <w:rsid w:val="7295792B"/>
    <w:rsid w:val="72A961B1"/>
    <w:rsid w:val="72C12EE0"/>
    <w:rsid w:val="72CE6C35"/>
    <w:rsid w:val="72F826A1"/>
    <w:rsid w:val="73010267"/>
    <w:rsid w:val="73214BA5"/>
    <w:rsid w:val="734B3E2F"/>
    <w:rsid w:val="73522870"/>
    <w:rsid w:val="73696D7E"/>
    <w:rsid w:val="736E51D0"/>
    <w:rsid w:val="737E7D7B"/>
    <w:rsid w:val="739015EB"/>
    <w:rsid w:val="73AA445A"/>
    <w:rsid w:val="73AF1221"/>
    <w:rsid w:val="73CC1F06"/>
    <w:rsid w:val="73EA0CFB"/>
    <w:rsid w:val="7400407A"/>
    <w:rsid w:val="74040D09"/>
    <w:rsid w:val="745F66ED"/>
    <w:rsid w:val="747448B2"/>
    <w:rsid w:val="74826A17"/>
    <w:rsid w:val="74A013B9"/>
    <w:rsid w:val="74E514C2"/>
    <w:rsid w:val="74E90725"/>
    <w:rsid w:val="74F00593"/>
    <w:rsid w:val="74F30675"/>
    <w:rsid w:val="74F51705"/>
    <w:rsid w:val="750078FB"/>
    <w:rsid w:val="75175B20"/>
    <w:rsid w:val="751C3E82"/>
    <w:rsid w:val="752635D2"/>
    <w:rsid w:val="752B5127"/>
    <w:rsid w:val="752F3287"/>
    <w:rsid w:val="75324707"/>
    <w:rsid w:val="7534591D"/>
    <w:rsid w:val="753C3B04"/>
    <w:rsid w:val="757765BE"/>
    <w:rsid w:val="757A4300"/>
    <w:rsid w:val="757B54AB"/>
    <w:rsid w:val="759772D7"/>
    <w:rsid w:val="75BE243F"/>
    <w:rsid w:val="75C34064"/>
    <w:rsid w:val="75EB3220"/>
    <w:rsid w:val="760746A1"/>
    <w:rsid w:val="760C31AA"/>
    <w:rsid w:val="761958C7"/>
    <w:rsid w:val="762640F9"/>
    <w:rsid w:val="762C5A1A"/>
    <w:rsid w:val="767679C0"/>
    <w:rsid w:val="7682346D"/>
    <w:rsid w:val="768B79A1"/>
    <w:rsid w:val="76C07AF1"/>
    <w:rsid w:val="76CA0970"/>
    <w:rsid w:val="76CB4EF4"/>
    <w:rsid w:val="76D55916"/>
    <w:rsid w:val="76F61765"/>
    <w:rsid w:val="77040325"/>
    <w:rsid w:val="772D6E8E"/>
    <w:rsid w:val="77430769"/>
    <w:rsid w:val="77554E39"/>
    <w:rsid w:val="775D7F99"/>
    <w:rsid w:val="777519E2"/>
    <w:rsid w:val="777D1E86"/>
    <w:rsid w:val="77940F04"/>
    <w:rsid w:val="77955421"/>
    <w:rsid w:val="77996CC0"/>
    <w:rsid w:val="779B7915"/>
    <w:rsid w:val="77CB2D2F"/>
    <w:rsid w:val="77F14573"/>
    <w:rsid w:val="77F40047"/>
    <w:rsid w:val="77FF289B"/>
    <w:rsid w:val="78101336"/>
    <w:rsid w:val="781A0349"/>
    <w:rsid w:val="781C3334"/>
    <w:rsid w:val="7827085A"/>
    <w:rsid w:val="782F13D2"/>
    <w:rsid w:val="7855323B"/>
    <w:rsid w:val="78A25FC3"/>
    <w:rsid w:val="78A74E1C"/>
    <w:rsid w:val="78B33A12"/>
    <w:rsid w:val="78B410C1"/>
    <w:rsid w:val="78F14974"/>
    <w:rsid w:val="7917715F"/>
    <w:rsid w:val="795B7FA5"/>
    <w:rsid w:val="795C4A93"/>
    <w:rsid w:val="796B01E8"/>
    <w:rsid w:val="798B075D"/>
    <w:rsid w:val="79A60B66"/>
    <w:rsid w:val="79AD76D8"/>
    <w:rsid w:val="79C142AC"/>
    <w:rsid w:val="79C30024"/>
    <w:rsid w:val="79C9773E"/>
    <w:rsid w:val="79D73ACF"/>
    <w:rsid w:val="79E35140"/>
    <w:rsid w:val="79FA5A10"/>
    <w:rsid w:val="79FE105C"/>
    <w:rsid w:val="7A066163"/>
    <w:rsid w:val="7A1F5BDD"/>
    <w:rsid w:val="7A230AC3"/>
    <w:rsid w:val="7A2D7B93"/>
    <w:rsid w:val="7A3743B5"/>
    <w:rsid w:val="7A4131B6"/>
    <w:rsid w:val="7A55402C"/>
    <w:rsid w:val="7A756769"/>
    <w:rsid w:val="7A791842"/>
    <w:rsid w:val="7A9521FB"/>
    <w:rsid w:val="7A980753"/>
    <w:rsid w:val="7AA339B1"/>
    <w:rsid w:val="7AA5597C"/>
    <w:rsid w:val="7ADD5115"/>
    <w:rsid w:val="7AE04C06"/>
    <w:rsid w:val="7AEA5A84"/>
    <w:rsid w:val="7AF95CC7"/>
    <w:rsid w:val="7B3B5D1E"/>
    <w:rsid w:val="7B474C85"/>
    <w:rsid w:val="7B4A4AE8"/>
    <w:rsid w:val="7B512E8E"/>
    <w:rsid w:val="7B5C2D88"/>
    <w:rsid w:val="7B713AB0"/>
    <w:rsid w:val="7B7703D1"/>
    <w:rsid w:val="7B810197"/>
    <w:rsid w:val="7B95105C"/>
    <w:rsid w:val="7B9B28DB"/>
    <w:rsid w:val="7BBA5457"/>
    <w:rsid w:val="7BE95A94"/>
    <w:rsid w:val="7BF5648F"/>
    <w:rsid w:val="7BFC781D"/>
    <w:rsid w:val="7BFF3890"/>
    <w:rsid w:val="7C0B413F"/>
    <w:rsid w:val="7C134B67"/>
    <w:rsid w:val="7C136915"/>
    <w:rsid w:val="7C3D13B9"/>
    <w:rsid w:val="7C5E5DE2"/>
    <w:rsid w:val="7C63164A"/>
    <w:rsid w:val="7C8204B4"/>
    <w:rsid w:val="7CA3413D"/>
    <w:rsid w:val="7CBD2C36"/>
    <w:rsid w:val="7CD3115D"/>
    <w:rsid w:val="7CFB1883"/>
    <w:rsid w:val="7CFBD1B6"/>
    <w:rsid w:val="7CFC0607"/>
    <w:rsid w:val="7D1444F3"/>
    <w:rsid w:val="7D2A2168"/>
    <w:rsid w:val="7D412A8D"/>
    <w:rsid w:val="7D576338"/>
    <w:rsid w:val="7D58558B"/>
    <w:rsid w:val="7D731D61"/>
    <w:rsid w:val="7D7D2BE0"/>
    <w:rsid w:val="7D8B1E26"/>
    <w:rsid w:val="7D9F4904"/>
    <w:rsid w:val="7DA22646"/>
    <w:rsid w:val="7DA95783"/>
    <w:rsid w:val="7DBF46FC"/>
    <w:rsid w:val="7DD86068"/>
    <w:rsid w:val="7DDC7906"/>
    <w:rsid w:val="7DE71E07"/>
    <w:rsid w:val="7DF52673"/>
    <w:rsid w:val="7E3E236F"/>
    <w:rsid w:val="7E453AB3"/>
    <w:rsid w:val="7E47099D"/>
    <w:rsid w:val="7E4E5490"/>
    <w:rsid w:val="7E524281"/>
    <w:rsid w:val="7E6B3FF2"/>
    <w:rsid w:val="7E924469"/>
    <w:rsid w:val="7EB119B6"/>
    <w:rsid w:val="7EC55276"/>
    <w:rsid w:val="7EC565EC"/>
    <w:rsid w:val="7F054C3B"/>
    <w:rsid w:val="7F0828CC"/>
    <w:rsid w:val="7F086780"/>
    <w:rsid w:val="7F3A1ACE"/>
    <w:rsid w:val="7F442425"/>
    <w:rsid w:val="7F9703BE"/>
    <w:rsid w:val="7FB977D3"/>
    <w:rsid w:val="7FBC6124"/>
    <w:rsid w:val="7FBE4DEA"/>
    <w:rsid w:val="7FC461CE"/>
    <w:rsid w:val="7FDD432A"/>
    <w:rsid w:val="7FEE3921"/>
    <w:rsid w:val="DFDA3238"/>
    <w:rsid w:val="FBEFC1C6"/>
    <w:rsid w:val="FFD7E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42"/>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43"/>
    <w:autoRedefine/>
    <w:qFormat/>
    <w:uiPriority w:val="0"/>
    <w:pPr>
      <w:keepNext/>
      <w:keepLines/>
      <w:spacing w:before="260" w:after="260" w:line="413" w:lineRule="auto"/>
      <w:jc w:val="center"/>
      <w:outlineLvl w:val="2"/>
    </w:pPr>
    <w:rPr>
      <w:b/>
      <w:sz w:val="44"/>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link w:val="44"/>
    <w:autoRedefine/>
    <w:qFormat/>
    <w:uiPriority w:val="0"/>
    <w:pPr>
      <w:jc w:val="left"/>
    </w:pPr>
  </w:style>
  <w:style w:type="paragraph" w:styleId="9">
    <w:name w:val="Body Text"/>
    <w:basedOn w:val="1"/>
    <w:next w:val="1"/>
    <w:autoRedefine/>
    <w:qFormat/>
    <w:uiPriority w:val="0"/>
  </w:style>
  <w:style w:type="paragraph" w:styleId="10">
    <w:name w:val="Body Text Indent"/>
    <w:basedOn w:val="1"/>
    <w:autoRedefine/>
    <w:qFormat/>
    <w:uiPriority w:val="0"/>
    <w:pPr>
      <w:spacing w:line="700" w:lineRule="exact"/>
      <w:ind w:left="960"/>
    </w:pPr>
    <w:rPr>
      <w:sz w:val="44"/>
    </w:rPr>
  </w:style>
  <w:style w:type="paragraph" w:styleId="11">
    <w:name w:val="Plain Text"/>
    <w:basedOn w:val="1"/>
    <w:autoRedefine/>
    <w:qFormat/>
    <w:uiPriority w:val="0"/>
    <w:rPr>
      <w:rFonts w:hAnsi="Courier New"/>
      <w:kern w:val="0"/>
      <w:sz w:val="20"/>
      <w:szCs w:val="20"/>
    </w:rPr>
  </w:style>
  <w:style w:type="paragraph" w:styleId="12">
    <w:name w:val="Date"/>
    <w:basedOn w:val="1"/>
    <w:next w:val="1"/>
    <w:autoRedefine/>
    <w:qFormat/>
    <w:uiPriority w:val="0"/>
  </w:style>
  <w:style w:type="paragraph" w:styleId="13">
    <w:name w:val="Body Text Indent 2"/>
    <w:basedOn w:val="1"/>
    <w:autoRedefine/>
    <w:qFormat/>
    <w:uiPriority w:val="99"/>
    <w:pPr>
      <w:snapToGrid w:val="0"/>
      <w:spacing w:line="560" w:lineRule="atLeast"/>
      <w:ind w:firstLine="540"/>
    </w:pPr>
  </w:style>
  <w:style w:type="paragraph" w:styleId="14">
    <w:name w:val="Balloon Text"/>
    <w:basedOn w:val="1"/>
    <w:autoRedefine/>
    <w:qFormat/>
    <w:uiPriority w:val="0"/>
    <w:rPr>
      <w:sz w:val="18"/>
    </w:rPr>
  </w:style>
  <w:style w:type="paragraph" w:styleId="15">
    <w:name w:val="footer"/>
    <w:basedOn w:val="1"/>
    <w:autoRedefine/>
    <w:qFormat/>
    <w:uiPriority w:val="0"/>
    <w:pPr>
      <w:tabs>
        <w:tab w:val="center" w:pos="4153"/>
        <w:tab w:val="right" w:pos="8306"/>
      </w:tabs>
      <w:snapToGrid w:val="0"/>
      <w:jc w:val="left"/>
    </w:pPr>
    <w:rPr>
      <w:rFonts w:eastAsia="宋体"/>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rFonts w:eastAsia="宋体"/>
      <w:sz w:val="18"/>
    </w:rPr>
  </w:style>
  <w:style w:type="paragraph" w:styleId="1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8">
    <w:name w:val="toc 2"/>
    <w:basedOn w:val="1"/>
    <w:next w:val="1"/>
    <w:autoRedefine/>
    <w:qFormat/>
    <w:uiPriority w:val="39"/>
    <w:pPr>
      <w:tabs>
        <w:tab w:val="right" w:leader="dot" w:pos="8400"/>
      </w:tabs>
      <w:spacing w:line="440" w:lineRule="exact"/>
      <w:ind w:left="280" w:leftChars="100" w:right="-91" w:rightChars="-91"/>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1">
    <w:name w:val="annotation subject"/>
    <w:basedOn w:val="8"/>
    <w:next w:val="8"/>
    <w:link w:val="45"/>
    <w:autoRedefine/>
    <w:qFormat/>
    <w:uiPriority w:val="0"/>
    <w:rPr>
      <w:b/>
      <w:bCs/>
    </w:rPr>
  </w:style>
  <w:style w:type="paragraph" w:styleId="22">
    <w:name w:val="Body Text First Indent"/>
    <w:basedOn w:val="9"/>
    <w:next w:val="1"/>
    <w:autoRedefine/>
    <w:qFormat/>
    <w:uiPriority w:val="0"/>
    <w:pPr>
      <w:spacing w:line="360" w:lineRule="auto"/>
      <w:ind w:firstLine="420"/>
    </w:pPr>
    <w:rPr>
      <w:rFonts w:ascii="宋体" w:hAnsi="宋体"/>
      <w:sz w:val="24"/>
    </w:rPr>
  </w:style>
  <w:style w:type="paragraph" w:styleId="23">
    <w:name w:val="Body Text First Indent 2"/>
    <w:basedOn w:val="10"/>
    <w:autoRedefine/>
    <w:qFormat/>
    <w:uiPriority w:val="0"/>
    <w:pPr>
      <w:spacing w:line="240" w:lineRule="auto"/>
      <w:ind w:left="420" w:leftChars="200" w:firstLine="420" w:firstLineChars="200"/>
    </w:pPr>
    <w:rPr>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000000"/>
      <w:u w:val="none"/>
    </w:rPr>
  </w:style>
  <w:style w:type="character" w:styleId="30">
    <w:name w:val="Emphasis"/>
    <w:basedOn w:val="26"/>
    <w:autoRedefine/>
    <w:qFormat/>
    <w:uiPriority w:val="0"/>
    <w:rPr>
      <w:i/>
      <w:iCs/>
    </w:rPr>
  </w:style>
  <w:style w:type="character" w:styleId="31">
    <w:name w:val="Hyperlink"/>
    <w:autoRedefine/>
    <w:qFormat/>
    <w:uiPriority w:val="99"/>
    <w:rPr>
      <w:color w:val="0000FF"/>
      <w:u w:val="single"/>
    </w:rPr>
  </w:style>
  <w:style w:type="character" w:styleId="32">
    <w:name w:val="HTML Code"/>
    <w:basedOn w:val="26"/>
    <w:autoRedefine/>
    <w:qFormat/>
    <w:uiPriority w:val="0"/>
    <w:rPr>
      <w:rFonts w:ascii="Consolas" w:hAnsi="Consolas" w:eastAsia="Consolas" w:cs="Consolas"/>
      <w:color w:val="DD1144"/>
      <w:sz w:val="12"/>
      <w:szCs w:val="12"/>
      <w:bdr w:val="single" w:color="E1E1E8" w:sz="4" w:space="0"/>
      <w:shd w:val="clear" w:fill="F7F7F9"/>
    </w:rPr>
  </w:style>
  <w:style w:type="character" w:styleId="33">
    <w:name w:val="annotation reference"/>
    <w:basedOn w:val="26"/>
    <w:autoRedefine/>
    <w:qFormat/>
    <w:uiPriority w:val="0"/>
    <w:rPr>
      <w:sz w:val="21"/>
      <w:szCs w:val="21"/>
    </w:rPr>
  </w:style>
  <w:style w:type="character" w:styleId="34">
    <w:name w:val="HTML Cite"/>
    <w:basedOn w:val="26"/>
    <w:autoRedefine/>
    <w:qFormat/>
    <w:uiPriority w:val="0"/>
  </w:style>
  <w:style w:type="paragraph" w:customStyle="1" w:styleId="35">
    <w:name w:val="NormalIndent"/>
    <w:basedOn w:val="1"/>
    <w:next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36">
    <w:name w:val="样式 宋体 五号 行距: 单倍行距"/>
    <w:basedOn w:val="1"/>
    <w:autoRedefine/>
    <w:qFormat/>
    <w:uiPriority w:val="0"/>
    <w:pPr>
      <w:adjustRightInd w:val="0"/>
      <w:jc w:val="left"/>
    </w:pPr>
    <w:rPr>
      <w:rFonts w:ascii="宋体" w:hAnsi="宋体"/>
      <w:kern w:val="0"/>
      <w:sz w:val="21"/>
    </w:rPr>
  </w:style>
  <w:style w:type="paragraph" w:customStyle="1" w:styleId="37">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38">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0">
    <w:name w:val="1"/>
    <w:basedOn w:val="1"/>
    <w:autoRedefine/>
    <w:qFormat/>
    <w:uiPriority w:val="0"/>
    <w:rPr>
      <w:rFonts w:ascii="Tahoma" w:hAnsi="Tahoma"/>
      <w:sz w:val="24"/>
    </w:rPr>
  </w:style>
  <w:style w:type="paragraph" w:customStyle="1" w:styleId="41">
    <w:name w:val="标书正文1"/>
    <w:basedOn w:val="1"/>
    <w:autoRedefine/>
    <w:qFormat/>
    <w:uiPriority w:val="0"/>
    <w:pPr>
      <w:spacing w:line="520" w:lineRule="exact"/>
      <w:ind w:firstLine="640" w:firstLineChars="200"/>
    </w:pPr>
  </w:style>
  <w:style w:type="character" w:customStyle="1" w:styleId="42">
    <w:name w:val="标题 2 字符"/>
    <w:link w:val="3"/>
    <w:autoRedefine/>
    <w:qFormat/>
    <w:uiPriority w:val="0"/>
    <w:rPr>
      <w:rFonts w:ascii="宋体" w:hAnsi="宋体"/>
    </w:rPr>
  </w:style>
  <w:style w:type="character" w:customStyle="1" w:styleId="43">
    <w:name w:val="标题 3 字符"/>
    <w:link w:val="4"/>
    <w:autoRedefine/>
    <w:qFormat/>
    <w:uiPriority w:val="0"/>
    <w:rPr>
      <w:b/>
      <w:sz w:val="44"/>
    </w:rPr>
  </w:style>
  <w:style w:type="character" w:customStyle="1" w:styleId="44">
    <w:name w:val="批注文字 字符"/>
    <w:basedOn w:val="26"/>
    <w:link w:val="8"/>
    <w:autoRedefine/>
    <w:qFormat/>
    <w:uiPriority w:val="0"/>
    <w:rPr>
      <w:rFonts w:ascii="等线" w:hAnsi="等线" w:eastAsia="等线"/>
      <w:kern w:val="2"/>
      <w:sz w:val="21"/>
      <w:szCs w:val="22"/>
    </w:rPr>
  </w:style>
  <w:style w:type="character" w:customStyle="1" w:styleId="45">
    <w:name w:val="批注主题 字符"/>
    <w:basedOn w:val="44"/>
    <w:link w:val="21"/>
    <w:autoRedefine/>
    <w:qFormat/>
    <w:uiPriority w:val="0"/>
    <w:rPr>
      <w:rFonts w:ascii="等线" w:hAnsi="等线" w:eastAsia="等线"/>
      <w:b/>
      <w:bCs/>
      <w:kern w:val="2"/>
      <w:sz w:val="21"/>
      <w:szCs w:val="22"/>
    </w:rPr>
  </w:style>
  <w:style w:type="paragraph" w:customStyle="1" w:styleId="46">
    <w:name w:val="p0"/>
    <w:basedOn w:val="1"/>
    <w:autoRedefine/>
    <w:qFormat/>
    <w:uiPriority w:val="0"/>
    <w:pPr>
      <w:widowControl/>
    </w:pPr>
    <w:rPr>
      <w:kern w:val="0"/>
      <w:sz w:val="20"/>
      <w:szCs w:val="21"/>
    </w:rPr>
  </w:style>
  <w:style w:type="paragraph" w:customStyle="1" w:styleId="47">
    <w:name w:val="图例"/>
    <w:basedOn w:val="1"/>
    <w:autoRedefine/>
    <w:qFormat/>
    <w:uiPriority w:val="99"/>
    <w:pPr>
      <w:spacing w:before="120" w:after="120" w:line="360" w:lineRule="auto"/>
      <w:jc w:val="center"/>
    </w:pPr>
    <w:rPr>
      <w:rFonts w:eastAsia="仿宋_GB2312"/>
      <w:b/>
      <w:sz w:val="24"/>
    </w:rPr>
  </w:style>
  <w:style w:type="paragraph" w:customStyle="1" w:styleId="48">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paragraph" w:customStyle="1" w:styleId="49">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0">
    <w:name w:val="正文1"/>
    <w:basedOn w:val="1"/>
    <w:next w:val="1"/>
    <w:autoRedefine/>
    <w:qFormat/>
    <w:uiPriority w:val="0"/>
    <w:pPr>
      <w:spacing w:line="300" w:lineRule="auto"/>
      <w:ind w:firstLine="200" w:firstLineChars="200"/>
    </w:pPr>
    <w:rPr>
      <w:sz w:val="24"/>
    </w:rPr>
  </w:style>
  <w:style w:type="character" w:customStyle="1" w:styleId="51">
    <w:name w:val="active7"/>
    <w:basedOn w:val="26"/>
    <w:autoRedefine/>
    <w:qFormat/>
    <w:uiPriority w:val="0"/>
    <w:rPr>
      <w:color w:val="FFFFFF"/>
      <w:shd w:val="clear" w:fill="E02F23"/>
    </w:rPr>
  </w:style>
  <w:style w:type="paragraph" w:customStyle="1" w:styleId="52">
    <w:name w:val="BodyText"/>
    <w:basedOn w:val="1"/>
    <w:autoRedefine/>
    <w:qFormat/>
    <w:uiPriority w:val="99"/>
    <w:pPr>
      <w:textAlignment w:val="baseline"/>
    </w:pPr>
    <w:rPr>
      <w:rFonts w:ascii="仿宋_GB2312" w:eastAsia="仿宋_GB2312"/>
      <w:sz w:val="32"/>
    </w:rPr>
  </w:style>
  <w:style w:type="character" w:customStyle="1" w:styleId="53">
    <w:name w:val="NormalCharacter"/>
    <w:autoRedefine/>
    <w:qFormat/>
    <w:uiPriority w:val="0"/>
  </w:style>
  <w:style w:type="paragraph" w:customStyle="1" w:styleId="54">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55">
    <w:name w:val="active"/>
    <w:basedOn w:val="26"/>
    <w:autoRedefine/>
    <w:qFormat/>
    <w:uiPriority w:val="0"/>
    <w:rPr>
      <w:color w:val="FFFFFF"/>
      <w:shd w:val="clear" w:fill="E02F23"/>
    </w:rPr>
  </w:style>
  <w:style w:type="paragraph" w:customStyle="1" w:styleId="56">
    <w:name w:val="列出段落1"/>
    <w:autoRedefine/>
    <w:qFormat/>
    <w:uiPriority w:val="0"/>
    <w:pPr>
      <w:widowControl/>
      <w:ind w:left="720" w:firstLine="360"/>
      <w:jc w:val="left"/>
    </w:pPr>
    <w:rPr>
      <w:rFonts w:ascii="Calibri" w:hAnsi="Calibri" w:eastAsia="宋体" w:cs="Times New Roman"/>
      <w:kern w:val="2"/>
      <w:sz w:val="22"/>
      <w:szCs w:val="20"/>
      <w:lang w:val="en-US" w:eastAsia="en-US" w:bidi="ar-SA"/>
    </w:rPr>
  </w:style>
  <w:style w:type="character" w:customStyle="1" w:styleId="57">
    <w:name w:val="hover"/>
    <w:basedOn w:val="26"/>
    <w:qFormat/>
    <w:uiPriority w:val="0"/>
    <w:rPr>
      <w:color w:val="315EFB"/>
    </w:rPr>
  </w:style>
  <w:style w:type="character" w:customStyle="1" w:styleId="58">
    <w:name w:val="hover1"/>
    <w:basedOn w:val="26"/>
    <w:qFormat/>
    <w:uiPriority w:val="0"/>
  </w:style>
  <w:style w:type="character" w:customStyle="1" w:styleId="59">
    <w:name w:val="hover2"/>
    <w:basedOn w:val="26"/>
    <w:qFormat/>
    <w:uiPriority w:val="0"/>
    <w:rPr>
      <w:color w:val="315EFB"/>
    </w:rPr>
  </w:style>
  <w:style w:type="character" w:customStyle="1" w:styleId="60">
    <w:name w:val="c-icon28"/>
    <w:basedOn w:val="26"/>
    <w:qFormat/>
    <w:uiPriority w:val="0"/>
  </w:style>
  <w:style w:type="character" w:customStyle="1" w:styleId="61">
    <w:name w:val="hover15"/>
    <w:basedOn w:val="26"/>
    <w:qFormat/>
    <w:uiPriority w:val="0"/>
  </w:style>
  <w:style w:type="character" w:customStyle="1" w:styleId="62">
    <w:name w:val="hover16"/>
    <w:basedOn w:val="26"/>
    <w:qFormat/>
    <w:uiPriority w:val="0"/>
    <w:rPr>
      <w:color w:val="315EFB"/>
    </w:rPr>
  </w:style>
  <w:style w:type="character" w:customStyle="1" w:styleId="63">
    <w:name w:val="hover17"/>
    <w:basedOn w:val="26"/>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15240</Words>
  <Characters>15876</Characters>
  <Lines>232</Lines>
  <Paragraphs>65</Paragraphs>
  <TotalTime>19</TotalTime>
  <ScaleCrop>false</ScaleCrop>
  <LinksUpToDate>false</LinksUpToDate>
  <CharactersWithSpaces>16991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 </cp:lastModifiedBy>
  <cp:lastPrinted>2025-02-06T04:16:00Z</cp:lastPrinted>
  <dcterms:modified xsi:type="dcterms:W3CDTF">2025-03-05T03:20:38Z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14D2EE3934B2464CA270D014392F0306_13</vt:lpwstr>
  </property>
  <property fmtid="{D5CDD505-2E9C-101B-9397-08002B2CF9AE}" pid="4" name="KSOTemplateDocerSaveRecord">
    <vt:lpwstr>eyJoZGlkIjoiYzJiZjc2ZDUyYWY3MTRmZmQ3MjUyYTNmODg5YmNjOGMiLCJ1c2VySWQiOiI4MTM2NTUwNDcifQ==</vt:lpwstr>
  </property>
</Properties>
</file>