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6979E">
      <w:pPr>
        <w:spacing w:line="360" w:lineRule="auto"/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技术规格需求</w:t>
      </w:r>
    </w:p>
    <w:p w14:paraId="0316DC9F"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包二：全自动电解质分析仪（梅州康立K-Lite8）相关试剂技术规格需求</w:t>
      </w:r>
    </w:p>
    <w:p w14:paraId="61441142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遴选试剂：多参数电解质分析仪用内充液，多参数电解质分析仪用内充液，多参数电解质分析仪用测定试剂，采样针清洗液，多酶去蛋白液，电极调理液；</w:t>
      </w:r>
    </w:p>
    <w:p w14:paraId="1137574F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以上遴选试剂需完全适配中心检验科现用全自动电解质分析仪，设备厂家：梅州康立，型号：K-Lite8；</w:t>
      </w:r>
    </w:p>
    <w:p w14:paraId="4E05B291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供应商报价包含但不限于免费提供全套项目的质控、定标校准服务及该设备的维修保养服务。</w:t>
      </w:r>
    </w:p>
    <w:p w14:paraId="6BCD6C8D"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包三：血气分析仪（广州万孚BGA-120 ）相关试剂技术规格需求</w:t>
      </w:r>
    </w:p>
    <w:p w14:paraId="394E6F0A">
      <w:pPr>
        <w:numPr>
          <w:numId w:val="0"/>
        </w:num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1、遴选试剂：血气生化测试卡 检测方法：干式电化学法，血气生化试剂包；</w:t>
      </w:r>
    </w:p>
    <w:p w14:paraId="63CB8B73">
      <w:pPr>
        <w:numPr>
          <w:numId w:val="0"/>
        </w:num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2、以上遴选试剂需完全适配中心检验科现用血气分析仪，设备厂家：广州万，型号：BGA-120；</w:t>
      </w:r>
    </w:p>
    <w:p w14:paraId="433A9709">
      <w:pPr>
        <w:numPr>
          <w:numId w:val="0"/>
        </w:num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3、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供应商报价包含但不限于免费提供全套项目的质控、定标校准服务及该设备的维修保养服务。</w:t>
      </w:r>
    </w:p>
    <w:p w14:paraId="0128625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00" w:lineRule="exact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包四：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全自动化学发光分析仪（亚辉龙3000H：）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相关试剂相关试剂技术规格需求</w:t>
      </w:r>
    </w:p>
    <w:p w14:paraId="37D67B41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遴选试剂：乙型肝炎病毒表面抗体测定试剂盒， 乙型肝炎病毒核心抗体检测试剂盒，乙型肝炎病毒e抗原检测试剂盒，乙型肝炎病毒e抗体检测试剂盒，乙型肝炎病毒表面抗原检测试剂盒，肌红蛋白测定试剂盒，肌钙蛋白Ⅰ测定试剂盒，癌胚抗原测定试剂盒，甲胎蛋白测定试剂盒，清洗液，激发液，预激发液；</w:t>
      </w:r>
    </w:p>
    <w:p w14:paraId="411663A1">
      <w:pPr>
        <w:numPr>
          <w:ilvl w:val="0"/>
          <w:numId w:val="2"/>
        </w:num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以上遴选试剂需完全适配中心检验科现用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化学发光分析仪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，设备厂家：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亚辉龙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，型号：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3000H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；</w:t>
      </w:r>
    </w:p>
    <w:p w14:paraId="2DDFACBB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3、供应商报价包含但不限于免费提供全套项目的质控、定标校准服务及该设备的维修保养服务。</w:t>
      </w:r>
    </w:p>
    <w:p w14:paraId="49F4BB0A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56178C"/>
    <w:multiLevelType w:val="singleLevel"/>
    <w:tmpl w:val="425617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DD90534"/>
    <w:multiLevelType w:val="singleLevel"/>
    <w:tmpl w:val="4DD905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TBlZTMzNjcxMmI1NjBlZGE0ZTdlZTAxZTIwMTQifQ=="/>
  </w:docVars>
  <w:rsids>
    <w:rsidRoot w:val="00000000"/>
    <w:rsid w:val="08696DD1"/>
    <w:rsid w:val="11E20C64"/>
    <w:rsid w:val="2BD40774"/>
    <w:rsid w:val="364710E5"/>
    <w:rsid w:val="36B17F27"/>
    <w:rsid w:val="7264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416</Characters>
  <Lines>0</Lines>
  <Paragraphs>0</Paragraphs>
  <TotalTime>5</TotalTime>
  <ScaleCrop>false</ScaleCrop>
  <LinksUpToDate>false</LinksUpToDate>
  <CharactersWithSpaces>419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2024-09-06T13:25:00Z</dcterms:created>
  <dc:creator>Administrator</dc:creator>
  <cp:lastModifiedBy>做个低调のMan</cp:lastModifiedBy>
  <dcterms:modified xsi:type="dcterms:W3CDTF">2025-09-17T10:50:07Z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AD215BCE8CAD474A82EAC5484BA1620C_13</vt:lpwstr>
  </property>
  <property fmtid="{D5CDD505-2E9C-101B-9397-08002B2CF9AE}" pid="4" name="KSOTemplateDocerSaveRecord">
    <vt:lpwstr>eyJoZGlkIjoiMzcwY2IxNjcxNTAzNDRhMjg2ODQzZTcxYjVjYzVlN2UiLCJ1c2VySWQiOiIzMTk2MTgwOTkifQ==</vt:lpwstr>
  </property>
</Properties>
</file>