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9875D">
      <w:pPr>
        <w:jc w:val="center"/>
        <w:rPr>
          <w:rFonts w:ascii="宋体" w:hAnsi="宋体" w:cs="宋体"/>
          <w:color w:val="auto"/>
          <w:highlight w:val="none"/>
        </w:rPr>
      </w:pPr>
    </w:p>
    <w:p w14:paraId="5C3E76CC">
      <w:pPr>
        <w:spacing w:line="1600" w:lineRule="exact"/>
        <w:jc w:val="center"/>
        <w:rPr>
          <w:rFonts w:ascii="宋体" w:hAnsi="宋体" w:cs="宋体"/>
          <w:color w:val="auto"/>
          <w:sz w:val="100"/>
          <w:szCs w:val="100"/>
          <w:highlight w:val="none"/>
        </w:rPr>
      </w:pPr>
    </w:p>
    <w:p w14:paraId="5A6055F8">
      <w:pPr>
        <w:spacing w:line="1600" w:lineRule="exact"/>
        <w:jc w:val="center"/>
        <w:rPr>
          <w:rFonts w:ascii="宋体" w:hAnsi="宋体" w:cs="宋体"/>
          <w:color w:val="auto"/>
          <w:sz w:val="100"/>
          <w:szCs w:val="100"/>
          <w:highlight w:val="none"/>
        </w:rPr>
      </w:pPr>
    </w:p>
    <w:p w14:paraId="230976F8">
      <w:pPr>
        <w:spacing w:line="1600" w:lineRule="exact"/>
        <w:jc w:val="center"/>
        <w:outlineLvl w:val="0"/>
        <w:rPr>
          <w:rFonts w:ascii="宋体" w:hAnsi="宋体" w:cs="宋体"/>
          <w:color w:val="auto"/>
          <w:sz w:val="100"/>
          <w:szCs w:val="100"/>
          <w:highlight w:val="none"/>
        </w:rPr>
      </w:pPr>
      <w:bookmarkStart w:id="0" w:name="_Toc12423"/>
      <w:bookmarkStart w:id="1" w:name="_Toc16358"/>
      <w:r>
        <w:rPr>
          <w:rFonts w:hint="eastAsia" w:ascii="宋体" w:hAnsi="宋体" w:cs="宋体"/>
          <w:color w:val="auto"/>
          <w:sz w:val="100"/>
          <w:szCs w:val="100"/>
          <w:highlight w:val="none"/>
        </w:rPr>
        <w:t>竞争性磋商文件</w:t>
      </w:r>
      <w:bookmarkEnd w:id="0"/>
      <w:bookmarkEnd w:id="1"/>
    </w:p>
    <w:p w14:paraId="3269A654">
      <w:pPr>
        <w:spacing w:line="700" w:lineRule="exact"/>
        <w:jc w:val="center"/>
        <w:rPr>
          <w:rFonts w:ascii="宋体" w:hAnsi="宋体" w:cs="宋体"/>
          <w:color w:val="auto"/>
          <w:sz w:val="72"/>
          <w:szCs w:val="72"/>
          <w:highlight w:val="none"/>
        </w:rPr>
      </w:pPr>
    </w:p>
    <w:p w14:paraId="55B32358">
      <w:pPr>
        <w:spacing w:line="700" w:lineRule="exact"/>
        <w:jc w:val="center"/>
        <w:rPr>
          <w:rFonts w:ascii="宋体" w:hAnsi="宋体" w:cs="宋体"/>
          <w:color w:val="auto"/>
          <w:sz w:val="32"/>
          <w:szCs w:val="32"/>
          <w:highlight w:val="none"/>
        </w:rPr>
      </w:pPr>
    </w:p>
    <w:p w14:paraId="46993E29">
      <w:pPr>
        <w:spacing w:line="700" w:lineRule="exact"/>
        <w:jc w:val="center"/>
        <w:rPr>
          <w:rFonts w:ascii="宋体" w:hAnsi="宋体" w:cs="宋体"/>
          <w:color w:val="auto"/>
          <w:sz w:val="32"/>
          <w:szCs w:val="32"/>
          <w:highlight w:val="none"/>
        </w:rPr>
      </w:pPr>
    </w:p>
    <w:p w14:paraId="6B86604B">
      <w:pPr>
        <w:spacing w:line="700" w:lineRule="exact"/>
        <w:ind w:firstLine="1200" w:firstLineChars="400"/>
        <w:jc w:val="left"/>
        <w:outlineLvl w:val="0"/>
        <w:rPr>
          <w:rFonts w:ascii="宋体" w:hAnsi="宋体" w:cs="宋体"/>
          <w:color w:val="auto"/>
          <w:sz w:val="30"/>
          <w:szCs w:val="30"/>
          <w:highlight w:val="none"/>
        </w:rPr>
      </w:pPr>
      <w:r>
        <w:rPr>
          <w:rFonts w:hint="eastAsia" w:ascii="宋体" w:hAnsi="宋体" w:cs="宋体"/>
          <w:color w:val="auto"/>
          <w:sz w:val="30"/>
          <w:szCs w:val="30"/>
          <w:highlight w:val="none"/>
        </w:rPr>
        <w:t>项 目 编 号： PG-MZJ-2025-008</w:t>
      </w:r>
    </w:p>
    <w:p w14:paraId="3A44E670">
      <w:pPr>
        <w:spacing w:line="700" w:lineRule="exact"/>
        <w:ind w:left="3598" w:leftChars="428" w:hanging="2400" w:hangingChars="800"/>
        <w:jc w:val="left"/>
        <w:outlineLvl w:val="0"/>
        <w:rPr>
          <w:rFonts w:hint="eastAsia" w:ascii="宋体" w:hAnsi="宋体" w:cs="宋体"/>
          <w:color w:val="auto"/>
          <w:sz w:val="30"/>
          <w:szCs w:val="30"/>
          <w:highlight w:val="none"/>
        </w:rPr>
      </w:pPr>
      <w:bookmarkStart w:id="2" w:name="_Toc27872"/>
      <w:bookmarkStart w:id="3" w:name="_Toc21447"/>
      <w:r>
        <w:rPr>
          <w:rFonts w:hint="eastAsia" w:ascii="宋体" w:hAnsi="宋体" w:cs="宋体"/>
          <w:color w:val="auto"/>
          <w:sz w:val="30"/>
          <w:szCs w:val="30"/>
          <w:highlight w:val="none"/>
        </w:rPr>
        <w:t>磋商项目名称：</w:t>
      </w:r>
      <w:bookmarkEnd w:id="2"/>
      <w:bookmarkEnd w:id="3"/>
      <w:r>
        <w:rPr>
          <w:rFonts w:hint="eastAsia" w:ascii="宋体" w:hAnsi="宋体" w:cs="宋体"/>
          <w:color w:val="auto"/>
          <w:sz w:val="30"/>
          <w:szCs w:val="30"/>
          <w:highlight w:val="none"/>
          <w:lang w:eastAsia="zh-CN"/>
        </w:rPr>
        <w:t>重庆市</w:t>
      </w:r>
      <w:r>
        <w:rPr>
          <w:rFonts w:hint="eastAsia" w:ascii="宋体" w:hAnsi="宋体" w:cs="宋体"/>
          <w:color w:val="auto"/>
          <w:sz w:val="30"/>
          <w:szCs w:val="30"/>
          <w:highlight w:val="none"/>
        </w:rPr>
        <w:t>“十五五”民政服务设施</w:t>
      </w:r>
    </w:p>
    <w:p w14:paraId="6F605E94">
      <w:pPr>
        <w:spacing w:line="700" w:lineRule="exact"/>
        <w:ind w:left="3596" w:leftChars="1177" w:hanging="300" w:hangingChars="100"/>
        <w:jc w:val="left"/>
        <w:outlineLvl w:val="0"/>
        <w:rPr>
          <w:rFonts w:ascii="宋体" w:hAnsi="宋体" w:cs="宋体"/>
          <w:color w:val="auto"/>
          <w:sz w:val="36"/>
          <w:szCs w:val="36"/>
          <w:highlight w:val="none"/>
        </w:rPr>
      </w:pPr>
      <w:r>
        <w:rPr>
          <w:rFonts w:hint="eastAsia" w:ascii="宋体" w:hAnsi="宋体" w:cs="宋体"/>
          <w:color w:val="auto"/>
          <w:sz w:val="30"/>
          <w:szCs w:val="30"/>
          <w:highlight w:val="none"/>
        </w:rPr>
        <w:t>建设规划编制服务</w:t>
      </w:r>
    </w:p>
    <w:p w14:paraId="21E345FE">
      <w:pPr>
        <w:spacing w:line="700" w:lineRule="exact"/>
        <w:ind w:firstLine="1749" w:firstLineChars="486"/>
        <w:rPr>
          <w:rFonts w:ascii="宋体" w:hAnsi="宋体" w:cs="宋体"/>
          <w:color w:val="auto"/>
          <w:sz w:val="36"/>
          <w:szCs w:val="36"/>
          <w:highlight w:val="none"/>
        </w:rPr>
      </w:pPr>
    </w:p>
    <w:p w14:paraId="781181AF">
      <w:pPr>
        <w:spacing w:line="700" w:lineRule="exact"/>
        <w:ind w:firstLine="1749" w:firstLineChars="486"/>
        <w:rPr>
          <w:rFonts w:ascii="宋体" w:hAnsi="宋体" w:cs="宋体"/>
          <w:color w:val="auto"/>
          <w:sz w:val="36"/>
          <w:szCs w:val="36"/>
          <w:highlight w:val="none"/>
        </w:rPr>
      </w:pPr>
    </w:p>
    <w:p w14:paraId="0B98E3D9">
      <w:pPr>
        <w:spacing w:line="700" w:lineRule="exact"/>
        <w:ind w:firstLine="1749" w:firstLineChars="486"/>
        <w:rPr>
          <w:rFonts w:ascii="宋体" w:hAnsi="宋体" w:cs="宋体"/>
          <w:color w:val="auto"/>
          <w:sz w:val="36"/>
          <w:szCs w:val="36"/>
          <w:highlight w:val="none"/>
        </w:rPr>
      </w:pPr>
      <w:r>
        <w:rPr>
          <w:rFonts w:hint="eastAsia" w:ascii="宋体" w:hAnsi="宋体" w:cs="宋体"/>
          <w:color w:val="auto"/>
          <w:sz w:val="36"/>
          <w:szCs w:val="36"/>
          <w:highlight w:val="none"/>
        </w:rPr>
        <w:t xml:space="preserve">  </w:t>
      </w:r>
    </w:p>
    <w:p w14:paraId="4517E046">
      <w:pPr>
        <w:spacing w:line="700" w:lineRule="exact"/>
        <w:ind w:firstLine="1200" w:firstLineChars="400"/>
        <w:jc w:val="left"/>
        <w:outlineLvl w:val="0"/>
        <w:rPr>
          <w:rFonts w:ascii="宋体" w:hAnsi="宋体" w:cs="宋体"/>
          <w:color w:val="auto"/>
          <w:sz w:val="30"/>
          <w:szCs w:val="30"/>
          <w:highlight w:val="none"/>
        </w:rPr>
      </w:pPr>
      <w:bookmarkStart w:id="4" w:name="_Toc7362"/>
      <w:bookmarkStart w:id="5" w:name="_Toc18079"/>
      <w:r>
        <w:rPr>
          <w:rFonts w:hint="eastAsia" w:ascii="宋体" w:hAnsi="宋体" w:cs="宋体"/>
          <w:color w:val="auto"/>
          <w:sz w:val="30"/>
          <w:szCs w:val="30"/>
          <w:highlight w:val="none"/>
        </w:rPr>
        <w:t>采   购   人：重庆市民政局</w:t>
      </w:r>
      <w:bookmarkEnd w:id="4"/>
      <w:bookmarkEnd w:id="5"/>
    </w:p>
    <w:p w14:paraId="3A31F2BE">
      <w:pPr>
        <w:spacing w:line="700" w:lineRule="exact"/>
        <w:ind w:firstLine="1200" w:firstLineChars="400"/>
        <w:jc w:val="left"/>
        <w:outlineLvl w:val="0"/>
        <w:rPr>
          <w:rFonts w:ascii="宋体" w:hAnsi="宋体" w:cs="宋体"/>
          <w:color w:val="auto"/>
          <w:sz w:val="30"/>
          <w:szCs w:val="30"/>
          <w:highlight w:val="none"/>
        </w:rPr>
      </w:pPr>
      <w:bookmarkStart w:id="6" w:name="_Toc8311"/>
      <w:bookmarkStart w:id="7" w:name="_Toc5168"/>
      <w:r>
        <w:rPr>
          <w:rFonts w:hint="eastAsia" w:ascii="宋体" w:hAnsi="宋体" w:cs="宋体"/>
          <w:color w:val="auto"/>
          <w:sz w:val="30"/>
          <w:szCs w:val="30"/>
          <w:highlight w:val="none"/>
        </w:rPr>
        <w:t>采购代理机构：攀钢集团工科工程咨询有限公司</w:t>
      </w:r>
      <w:bookmarkEnd w:id="6"/>
      <w:bookmarkEnd w:id="7"/>
    </w:p>
    <w:p w14:paraId="0C88D9EA">
      <w:pPr>
        <w:spacing w:line="600" w:lineRule="exact"/>
        <w:ind w:firstLine="1200" w:firstLineChars="400"/>
        <w:jc w:val="left"/>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6CFE238A">
      <w:pPr>
        <w:spacing w:line="600" w:lineRule="exact"/>
        <w:jc w:val="center"/>
        <w:outlineLvl w:val="0"/>
        <w:rPr>
          <w:rFonts w:ascii="宋体" w:hAnsi="宋体" w:cs="宋体"/>
          <w:color w:val="auto"/>
          <w:sz w:val="30"/>
          <w:szCs w:val="30"/>
          <w:highlight w:val="none"/>
        </w:rPr>
      </w:pPr>
      <w:bookmarkStart w:id="8" w:name="_Toc4663"/>
      <w:bookmarkStart w:id="9" w:name="_Toc5025"/>
      <w:r>
        <w:rPr>
          <w:rFonts w:hint="eastAsia" w:ascii="宋体" w:hAnsi="宋体" w:cs="宋体"/>
          <w:color w:val="auto"/>
          <w:sz w:val="30"/>
          <w:szCs w:val="30"/>
          <w:highlight w:val="none"/>
        </w:rPr>
        <w:t>二〇二五年</w:t>
      </w:r>
      <w:r>
        <w:rPr>
          <w:rFonts w:hint="eastAsia" w:ascii="宋体" w:hAnsi="宋体" w:cs="宋体"/>
          <w:color w:val="auto"/>
          <w:sz w:val="30"/>
          <w:szCs w:val="30"/>
          <w:highlight w:val="none"/>
          <w:lang w:val="en-US" w:eastAsia="zh-CN"/>
        </w:rPr>
        <w:t>九</w:t>
      </w:r>
      <w:r>
        <w:rPr>
          <w:rFonts w:hint="eastAsia" w:ascii="宋体" w:hAnsi="宋体" w:cs="宋体"/>
          <w:color w:val="auto"/>
          <w:sz w:val="30"/>
          <w:szCs w:val="30"/>
          <w:highlight w:val="none"/>
        </w:rPr>
        <w:t>月</w:t>
      </w:r>
      <w:bookmarkEnd w:id="8"/>
      <w:bookmarkEnd w:id="9"/>
    </w:p>
    <w:p w14:paraId="000A0965">
      <w:pPr>
        <w:spacing w:line="600" w:lineRule="exact"/>
        <w:ind w:firstLine="1200" w:firstLineChars="400"/>
        <w:jc w:val="left"/>
        <w:rPr>
          <w:rFonts w:ascii="宋体" w:hAnsi="宋体" w:cs="宋体"/>
          <w:color w:val="auto"/>
          <w:sz w:val="30"/>
          <w:szCs w:val="30"/>
          <w:highlight w:val="none"/>
        </w:rPr>
        <w:sectPr>
          <w:footerReference r:id="rId4" w:type="first"/>
          <w:footerReference r:id="rId3" w:type="default"/>
          <w:pgSz w:w="11907" w:h="16840"/>
          <w:pgMar w:top="1134" w:right="1191" w:bottom="1134" w:left="1304" w:header="851" w:footer="992" w:gutter="0"/>
          <w:cols w:space="720" w:num="1"/>
          <w:titlePg/>
          <w:docGrid w:type="lines" w:linePitch="381" w:charSpace="0"/>
        </w:sectPr>
      </w:pPr>
    </w:p>
    <w:sdt>
      <w:sdtPr>
        <w:rPr>
          <w:rFonts w:hint="eastAsia" w:ascii="宋体" w:hAnsi="宋体" w:cs="宋体"/>
          <w:color w:val="auto"/>
          <w:sz w:val="32"/>
          <w:szCs w:val="32"/>
          <w:highlight w:val="none"/>
        </w:rPr>
        <w:id w:val="147465937"/>
        <w15:color w:val="DBDBDB"/>
        <w:docPartObj>
          <w:docPartGallery w:val="Table of Contents"/>
          <w:docPartUnique/>
        </w:docPartObj>
      </w:sdtPr>
      <w:sdtEndPr>
        <w:rPr>
          <w:rFonts w:hint="eastAsia" w:ascii="宋体" w:hAnsi="宋体" w:cs="宋体"/>
          <w:color w:val="auto"/>
          <w:sz w:val="28"/>
          <w:szCs w:val="44"/>
          <w:highlight w:val="none"/>
        </w:rPr>
      </w:sdtEndPr>
      <w:sdtContent>
        <w:p w14:paraId="49578622">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684A9E72">
          <w:pPr>
            <w:pStyle w:val="10"/>
            <w:tabs>
              <w:tab w:val="right" w:leader="dot" w:pos="9412"/>
            </w:tabs>
            <w:rPr>
              <w:rFonts w:ascii="宋体" w:hAnsi="宋体" w:cs="宋体"/>
              <w:color w:val="auto"/>
              <w:highlight w:val="none"/>
            </w:rPr>
          </w:pPr>
          <w:r>
            <w:rPr>
              <w:rFonts w:hint="eastAsia" w:ascii="宋体" w:hAnsi="宋体" w:cs="宋体"/>
              <w:color w:val="auto"/>
              <w:sz w:val="44"/>
              <w:szCs w:val="44"/>
              <w:highlight w:val="none"/>
            </w:rPr>
            <w:fldChar w:fldCharType="begin"/>
          </w:r>
          <w:r>
            <w:rPr>
              <w:rFonts w:hint="eastAsia" w:ascii="宋体" w:hAnsi="宋体" w:cs="宋体"/>
              <w:color w:val="auto"/>
              <w:sz w:val="44"/>
              <w:szCs w:val="44"/>
              <w:highlight w:val="none"/>
            </w:rPr>
            <w:instrText xml:space="preserve">TOC \o "1-1" \h \u </w:instrText>
          </w:r>
          <w:r>
            <w:rPr>
              <w:rFonts w:hint="eastAsia" w:ascii="宋体" w:hAnsi="宋体" w:cs="宋体"/>
              <w:color w:val="auto"/>
              <w:sz w:val="44"/>
              <w:szCs w:val="44"/>
              <w:highlight w:val="none"/>
            </w:rPr>
            <w:fldChar w:fldCharType="separate"/>
          </w:r>
        </w:p>
        <w:p w14:paraId="694ADEF6">
          <w:pPr>
            <w:pStyle w:val="10"/>
            <w:tabs>
              <w:tab w:val="right" w:leader="dot" w:pos="9412"/>
            </w:tabs>
            <w:rPr>
              <w:rFonts w:ascii="宋体" w:hAnsi="宋体" w:cs="宋体"/>
              <w:color w:val="auto"/>
              <w:highlight w:val="none"/>
            </w:rPr>
          </w:pPr>
          <w:r>
            <w:rPr>
              <w:color w:val="auto"/>
              <w:highlight w:val="none"/>
            </w:rPr>
            <w:fldChar w:fldCharType="begin"/>
          </w:r>
          <w:r>
            <w:rPr>
              <w:color w:val="auto"/>
              <w:highlight w:val="none"/>
            </w:rPr>
            <w:instrText xml:space="preserve"> HYPERLINK \l "_Toc6371" </w:instrText>
          </w:r>
          <w:r>
            <w:rPr>
              <w:color w:val="auto"/>
              <w:highlight w:val="none"/>
            </w:rPr>
            <w:fldChar w:fldCharType="separate"/>
          </w:r>
          <w:r>
            <w:rPr>
              <w:rFonts w:hint="eastAsia" w:ascii="宋体" w:hAnsi="宋体" w:cs="宋体"/>
              <w:bCs/>
              <w:color w:val="auto"/>
              <w:szCs w:val="36"/>
              <w:highlight w:val="none"/>
            </w:rPr>
            <w:t>第一篇  采购邀请书</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_Toc6371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E136F1F">
          <w:pPr>
            <w:pStyle w:val="10"/>
            <w:tabs>
              <w:tab w:val="right" w:leader="dot" w:pos="9412"/>
            </w:tabs>
            <w:rPr>
              <w:rFonts w:ascii="宋体" w:hAnsi="宋体" w:cs="宋体"/>
              <w:color w:val="auto"/>
              <w:highlight w:val="none"/>
            </w:rPr>
          </w:pPr>
          <w:r>
            <w:rPr>
              <w:color w:val="auto"/>
              <w:highlight w:val="none"/>
            </w:rPr>
            <w:fldChar w:fldCharType="begin"/>
          </w:r>
          <w:r>
            <w:rPr>
              <w:color w:val="auto"/>
              <w:highlight w:val="none"/>
            </w:rPr>
            <w:instrText xml:space="preserve"> HYPERLINK \l "_Toc14731" </w:instrText>
          </w:r>
          <w:r>
            <w:rPr>
              <w:color w:val="auto"/>
              <w:highlight w:val="none"/>
            </w:rPr>
            <w:fldChar w:fldCharType="separate"/>
          </w:r>
          <w:r>
            <w:rPr>
              <w:rFonts w:hint="eastAsia" w:ascii="宋体" w:hAnsi="宋体" w:cs="宋体"/>
              <w:bCs/>
              <w:color w:val="auto"/>
              <w:szCs w:val="36"/>
              <w:highlight w:val="none"/>
            </w:rPr>
            <w:t>第二篇  项目服务需求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_Toc14731 \h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D532917">
          <w:pPr>
            <w:pStyle w:val="10"/>
            <w:tabs>
              <w:tab w:val="right" w:leader="dot" w:pos="9412"/>
            </w:tabs>
            <w:rPr>
              <w:rFonts w:ascii="宋体" w:hAnsi="宋体" w:cs="宋体"/>
              <w:color w:val="auto"/>
              <w:highlight w:val="none"/>
            </w:rPr>
          </w:pPr>
          <w:r>
            <w:rPr>
              <w:color w:val="auto"/>
              <w:highlight w:val="none"/>
            </w:rPr>
            <w:fldChar w:fldCharType="begin"/>
          </w:r>
          <w:r>
            <w:rPr>
              <w:color w:val="auto"/>
              <w:highlight w:val="none"/>
            </w:rPr>
            <w:instrText xml:space="preserve"> HYPERLINK \l "_Toc21692" </w:instrText>
          </w:r>
          <w:r>
            <w:rPr>
              <w:color w:val="auto"/>
              <w:highlight w:val="none"/>
            </w:rPr>
            <w:fldChar w:fldCharType="separate"/>
          </w:r>
          <w:r>
            <w:rPr>
              <w:rFonts w:hint="eastAsia" w:ascii="宋体" w:hAnsi="宋体" w:cs="宋体"/>
              <w:bCs/>
              <w:color w:val="auto"/>
              <w:szCs w:val="36"/>
              <w:highlight w:val="none"/>
            </w:rPr>
            <w:t>第三篇  项目商务需求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_Toc21692 \h </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F9E8C7A">
          <w:pPr>
            <w:pStyle w:val="10"/>
            <w:tabs>
              <w:tab w:val="right" w:leader="dot" w:pos="9412"/>
            </w:tabs>
            <w:rPr>
              <w:rFonts w:ascii="宋体" w:hAnsi="宋体" w:cs="宋体"/>
              <w:color w:val="auto"/>
              <w:highlight w:val="none"/>
            </w:rPr>
          </w:pPr>
          <w:r>
            <w:rPr>
              <w:color w:val="auto"/>
              <w:highlight w:val="none"/>
            </w:rPr>
            <w:fldChar w:fldCharType="begin"/>
          </w:r>
          <w:r>
            <w:rPr>
              <w:color w:val="auto"/>
              <w:highlight w:val="none"/>
            </w:rPr>
            <w:instrText xml:space="preserve"> HYPERLINK \l "_Toc31263" </w:instrText>
          </w:r>
          <w:r>
            <w:rPr>
              <w:color w:val="auto"/>
              <w:highlight w:val="none"/>
            </w:rPr>
            <w:fldChar w:fldCharType="separate"/>
          </w:r>
          <w:r>
            <w:rPr>
              <w:rFonts w:hint="eastAsia" w:ascii="宋体" w:hAnsi="宋体" w:cs="宋体"/>
              <w:bCs/>
              <w:color w:val="auto"/>
              <w:szCs w:val="36"/>
              <w:highlight w:val="none"/>
            </w:rPr>
            <w:t>第四篇  磋商程序及方法、评审标准、无效响应和采购终止</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_Toc31263 \h </w:instrText>
          </w:r>
          <w:r>
            <w:rPr>
              <w:rFonts w:hint="eastAsia" w:ascii="宋体" w:hAnsi="宋体" w:cs="宋体"/>
              <w:color w:val="auto"/>
              <w:highlight w:val="none"/>
            </w:rPr>
            <w:fldChar w:fldCharType="separate"/>
          </w:r>
          <w:r>
            <w:rPr>
              <w:rFonts w:hint="eastAsia" w:ascii="宋体" w:hAnsi="宋体" w:cs="宋体"/>
              <w:color w:val="auto"/>
              <w:highlight w:val="none"/>
            </w:rPr>
            <w:t>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6E96674">
          <w:pPr>
            <w:pStyle w:val="10"/>
            <w:tabs>
              <w:tab w:val="right" w:leader="dot" w:pos="9412"/>
            </w:tabs>
            <w:rPr>
              <w:rFonts w:ascii="宋体" w:hAnsi="宋体" w:cs="宋体"/>
              <w:color w:val="auto"/>
              <w:highlight w:val="none"/>
            </w:rPr>
          </w:pPr>
          <w:r>
            <w:rPr>
              <w:color w:val="auto"/>
              <w:highlight w:val="none"/>
            </w:rPr>
            <w:fldChar w:fldCharType="begin"/>
          </w:r>
          <w:r>
            <w:rPr>
              <w:color w:val="auto"/>
              <w:highlight w:val="none"/>
            </w:rPr>
            <w:instrText xml:space="preserve"> HYPERLINK \l "_Toc6596" </w:instrText>
          </w:r>
          <w:r>
            <w:rPr>
              <w:color w:val="auto"/>
              <w:highlight w:val="none"/>
            </w:rPr>
            <w:fldChar w:fldCharType="separate"/>
          </w:r>
          <w:r>
            <w:rPr>
              <w:rFonts w:hint="eastAsia" w:ascii="宋体" w:hAnsi="宋体" w:cs="宋体"/>
              <w:bCs/>
              <w:color w:val="auto"/>
              <w:szCs w:val="36"/>
              <w:highlight w:val="none"/>
            </w:rPr>
            <w:t>第五篇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_Toc6596 \h </w:instrText>
          </w:r>
          <w:r>
            <w:rPr>
              <w:rFonts w:hint="eastAsia" w:ascii="宋体" w:hAnsi="宋体" w:cs="宋体"/>
              <w:color w:val="auto"/>
              <w:highlight w:val="none"/>
            </w:rPr>
            <w:fldChar w:fldCharType="separate"/>
          </w:r>
          <w:r>
            <w:rPr>
              <w:rFonts w:hint="eastAsia" w:ascii="宋体" w:hAnsi="宋体" w:cs="宋体"/>
              <w:color w:val="auto"/>
              <w:highlight w:val="none"/>
            </w:rPr>
            <w:t>14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DAB5A08">
          <w:pPr>
            <w:pStyle w:val="10"/>
            <w:tabs>
              <w:tab w:val="right" w:leader="dot" w:pos="9412"/>
            </w:tabs>
            <w:rPr>
              <w:rFonts w:ascii="宋体" w:hAnsi="宋体" w:cs="宋体"/>
              <w:color w:val="auto"/>
              <w:highlight w:val="none"/>
            </w:rPr>
          </w:pPr>
          <w:r>
            <w:rPr>
              <w:color w:val="auto"/>
              <w:highlight w:val="none"/>
            </w:rPr>
            <w:fldChar w:fldCharType="begin"/>
          </w:r>
          <w:r>
            <w:rPr>
              <w:color w:val="auto"/>
              <w:highlight w:val="none"/>
            </w:rPr>
            <w:instrText xml:space="preserve"> HYPERLINK \l "_Toc27992" </w:instrText>
          </w:r>
          <w:r>
            <w:rPr>
              <w:color w:val="auto"/>
              <w:highlight w:val="none"/>
            </w:rPr>
            <w:fldChar w:fldCharType="separate"/>
          </w:r>
          <w:r>
            <w:rPr>
              <w:rFonts w:hint="eastAsia" w:ascii="宋体" w:hAnsi="宋体" w:cs="宋体"/>
              <w:bCs/>
              <w:color w:val="auto"/>
              <w:szCs w:val="36"/>
              <w:highlight w:val="none"/>
            </w:rPr>
            <w:t>第六篇  政府采购合同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_Toc27992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448A652">
          <w:pPr>
            <w:pStyle w:val="10"/>
            <w:tabs>
              <w:tab w:val="right" w:leader="dot" w:pos="9412"/>
            </w:tabs>
            <w:rPr>
              <w:rFonts w:ascii="宋体" w:hAnsi="宋体" w:cs="宋体"/>
              <w:color w:val="auto"/>
              <w:highlight w:val="none"/>
            </w:rPr>
          </w:pPr>
          <w:r>
            <w:rPr>
              <w:color w:val="auto"/>
              <w:highlight w:val="none"/>
            </w:rPr>
            <w:fldChar w:fldCharType="begin"/>
          </w:r>
          <w:r>
            <w:rPr>
              <w:color w:val="auto"/>
              <w:highlight w:val="none"/>
            </w:rPr>
            <w:instrText xml:space="preserve"> HYPERLINK \l "_Toc30025" </w:instrText>
          </w:r>
          <w:r>
            <w:rPr>
              <w:color w:val="auto"/>
              <w:highlight w:val="none"/>
            </w:rPr>
            <w:fldChar w:fldCharType="separate"/>
          </w:r>
          <w:r>
            <w:rPr>
              <w:rFonts w:hint="eastAsia" w:ascii="宋体" w:hAnsi="宋体" w:cs="宋体"/>
              <w:bCs/>
              <w:color w:val="auto"/>
              <w:szCs w:val="36"/>
              <w:highlight w:val="none"/>
            </w:rPr>
            <w:t>第七篇  响应文件编制要求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_Toc30025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092B3F1">
          <w:pPr>
            <w:spacing w:line="480" w:lineRule="exact"/>
            <w:jc w:val="center"/>
            <w:rPr>
              <w:rFonts w:ascii="宋体" w:hAnsi="宋体" w:cs="宋体"/>
              <w:color w:val="auto"/>
              <w:sz w:val="44"/>
              <w:szCs w:val="44"/>
              <w:highlight w:val="none"/>
            </w:rPr>
            <w:sectPr>
              <w:pgSz w:w="11907" w:h="16840"/>
              <w:pgMar w:top="1134" w:right="1191" w:bottom="1134" w:left="1304" w:header="851" w:footer="992" w:gutter="0"/>
              <w:cols w:space="720" w:num="1"/>
              <w:docGrid w:type="lines" w:linePitch="381" w:charSpace="0"/>
            </w:sectPr>
          </w:pPr>
          <w:r>
            <w:rPr>
              <w:rFonts w:hint="eastAsia" w:ascii="宋体" w:hAnsi="宋体" w:cs="宋体"/>
              <w:color w:val="auto"/>
              <w:szCs w:val="44"/>
              <w:highlight w:val="none"/>
            </w:rPr>
            <w:fldChar w:fldCharType="end"/>
          </w:r>
        </w:p>
      </w:sdtContent>
    </w:sdt>
    <w:p w14:paraId="092749CA">
      <w:pPr>
        <w:pStyle w:val="2"/>
        <w:spacing w:line="360" w:lineRule="auto"/>
        <w:jc w:val="center"/>
        <w:rPr>
          <w:rFonts w:ascii="宋体" w:hAnsi="宋体" w:eastAsia="宋体" w:cs="宋体"/>
          <w:b w:val="0"/>
          <w:bCs/>
          <w:color w:val="auto"/>
          <w:highlight w:val="none"/>
        </w:rPr>
      </w:pPr>
      <w:bookmarkStart w:id="10" w:name="_Toc12789052"/>
      <w:bookmarkEnd w:id="10"/>
      <w:bookmarkStart w:id="11" w:name="_Toc11641050"/>
      <w:bookmarkEnd w:id="11"/>
      <w:bookmarkStart w:id="12" w:name="_Toc76462316"/>
      <w:bookmarkEnd w:id="12"/>
      <w:bookmarkStart w:id="13" w:name="_Toc6371"/>
      <w:bookmarkStart w:id="14" w:name="_Toc106030870"/>
      <w:r>
        <w:rPr>
          <w:rFonts w:hint="eastAsia" w:ascii="宋体" w:hAnsi="宋体" w:eastAsia="宋体" w:cs="宋体"/>
          <w:b w:val="0"/>
          <w:bCs/>
          <w:color w:val="auto"/>
          <w:sz w:val="36"/>
          <w:szCs w:val="36"/>
          <w:highlight w:val="none"/>
        </w:rPr>
        <w:t>第一篇  采购邀请书</w:t>
      </w:r>
      <w:bookmarkEnd w:id="13"/>
      <w:bookmarkEnd w:id="14"/>
    </w:p>
    <w:p w14:paraId="70C782CB">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攀钢集团工科工程咨询有限公司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rPr>
        <w:t>重庆市民政局</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重庆市</w:t>
      </w:r>
      <w:r>
        <w:rPr>
          <w:rFonts w:hint="eastAsia" w:ascii="宋体" w:hAnsi="宋体" w:cs="宋体"/>
          <w:color w:val="auto"/>
          <w:sz w:val="24"/>
          <w:szCs w:val="24"/>
          <w:highlight w:val="none"/>
          <w:u w:val="single"/>
        </w:rPr>
        <w:t>“十五五”民政服务设施建设规划编制服务</w:t>
      </w:r>
      <w:r>
        <w:rPr>
          <w:rFonts w:hint="eastAsia" w:ascii="宋体" w:hAnsi="宋体" w:cs="宋体"/>
          <w:color w:val="auto"/>
          <w:sz w:val="24"/>
          <w:szCs w:val="24"/>
          <w:highlight w:val="none"/>
        </w:rPr>
        <w:t>项目进行竞争性磋商采购。欢迎有资格的供应商前来参与磋商。</w:t>
      </w:r>
    </w:p>
    <w:p w14:paraId="2EE959B1">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15" w:name="_Toc106030871"/>
      <w:bookmarkEnd w:id="15"/>
      <w:bookmarkStart w:id="16" w:name="_Toc313893526"/>
      <w:bookmarkEnd w:id="16"/>
      <w:bookmarkStart w:id="17" w:name="_Toc317775175"/>
      <w:bookmarkEnd w:id="17"/>
      <w:bookmarkStart w:id="18" w:name="_Toc76462317"/>
      <w:r>
        <w:rPr>
          <w:rFonts w:hint="eastAsia" w:ascii="宋体" w:hAnsi="宋体" w:eastAsia="宋体" w:cs="宋体"/>
          <w:color w:val="auto"/>
          <w:sz w:val="24"/>
          <w:szCs w:val="24"/>
          <w:highlight w:val="none"/>
        </w:rPr>
        <w:t>一、竞争性磋商内容</w:t>
      </w:r>
      <w:bookmarkEnd w:id="18"/>
    </w:p>
    <w:tbl>
      <w:tblPr>
        <w:tblStyle w:val="11"/>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6"/>
        <w:gridCol w:w="1393"/>
        <w:gridCol w:w="1419"/>
        <w:gridCol w:w="2305"/>
      </w:tblGrid>
      <w:tr w14:paraId="5670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246" w:type="dxa"/>
            <w:tcBorders>
              <w:top w:val="single" w:color="auto" w:sz="4" w:space="0"/>
              <w:left w:val="single" w:color="auto" w:sz="4" w:space="0"/>
              <w:bottom w:val="single" w:color="auto" w:sz="4" w:space="0"/>
              <w:right w:val="single" w:color="auto" w:sz="4" w:space="0"/>
            </w:tcBorders>
            <w:vAlign w:val="center"/>
          </w:tcPr>
          <w:p w14:paraId="3B230EE2">
            <w:pPr>
              <w:widowControl/>
              <w:spacing w:line="50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项目名称</w:t>
            </w:r>
          </w:p>
        </w:tc>
        <w:tc>
          <w:tcPr>
            <w:tcW w:w="1393" w:type="dxa"/>
            <w:tcBorders>
              <w:top w:val="single" w:color="auto" w:sz="4" w:space="0"/>
              <w:left w:val="nil"/>
              <w:bottom w:val="single" w:color="auto" w:sz="4" w:space="0"/>
              <w:right w:val="single" w:color="auto" w:sz="4" w:space="0"/>
            </w:tcBorders>
            <w:vAlign w:val="center"/>
          </w:tcPr>
          <w:p w14:paraId="07A2643B">
            <w:pPr>
              <w:spacing w:line="50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最高限价</w:t>
            </w:r>
          </w:p>
          <w:p w14:paraId="764C2851">
            <w:pPr>
              <w:spacing w:line="50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1419" w:type="dxa"/>
            <w:tcBorders>
              <w:top w:val="single" w:color="auto" w:sz="4" w:space="0"/>
              <w:left w:val="nil"/>
              <w:bottom w:val="single" w:color="auto" w:sz="4" w:space="0"/>
              <w:right w:val="single" w:color="auto" w:sz="4" w:space="0"/>
            </w:tcBorders>
            <w:vAlign w:val="center"/>
          </w:tcPr>
          <w:p w14:paraId="4A63DA5D">
            <w:pPr>
              <w:spacing w:line="50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磋商保证金</w:t>
            </w:r>
          </w:p>
          <w:p w14:paraId="519B6BFC">
            <w:pPr>
              <w:spacing w:line="50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2305" w:type="dxa"/>
            <w:tcBorders>
              <w:top w:val="single" w:color="auto" w:sz="4" w:space="0"/>
              <w:left w:val="nil"/>
              <w:bottom w:val="single" w:color="auto" w:sz="4" w:space="0"/>
              <w:right w:val="single" w:color="auto" w:sz="4" w:space="0"/>
            </w:tcBorders>
            <w:vAlign w:val="center"/>
          </w:tcPr>
          <w:p w14:paraId="0890D823">
            <w:pPr>
              <w:spacing w:line="500" w:lineRule="exact"/>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成交供应商数量（名）</w:t>
            </w:r>
          </w:p>
        </w:tc>
      </w:tr>
      <w:tr w14:paraId="28E7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246" w:type="dxa"/>
            <w:tcBorders>
              <w:top w:val="single" w:color="auto" w:sz="4" w:space="0"/>
              <w:left w:val="single" w:color="auto" w:sz="4" w:space="0"/>
              <w:bottom w:val="single" w:color="auto" w:sz="4" w:space="0"/>
              <w:right w:val="single" w:color="auto" w:sz="4" w:space="0"/>
            </w:tcBorders>
            <w:vAlign w:val="center"/>
          </w:tcPr>
          <w:p w14:paraId="5B33A5CB">
            <w:pPr>
              <w:widowControl/>
              <w:spacing w:line="500" w:lineRule="exact"/>
              <w:jc w:val="center"/>
              <w:rPr>
                <w:rFonts w:ascii="宋体" w:hAnsi="宋体" w:cs="宋体"/>
                <w:color w:val="auto"/>
                <w:kern w:val="0"/>
                <w:sz w:val="21"/>
                <w:szCs w:val="21"/>
                <w:highlight w:val="none"/>
              </w:rPr>
            </w:pPr>
            <w:bookmarkStart w:id="19" w:name="_Hlk344477914"/>
            <w:bookmarkEnd w:id="19"/>
            <w:r>
              <w:rPr>
                <w:rFonts w:hint="eastAsia" w:ascii="宋体" w:hAnsi="宋体" w:cs="宋体"/>
                <w:color w:val="auto"/>
                <w:sz w:val="24"/>
                <w:szCs w:val="24"/>
                <w:highlight w:val="none"/>
                <w:lang w:eastAsia="zh-CN"/>
              </w:rPr>
              <w:t>重庆市</w:t>
            </w:r>
            <w:r>
              <w:rPr>
                <w:rFonts w:hint="eastAsia" w:ascii="宋体" w:hAnsi="宋体" w:cs="宋体"/>
                <w:color w:val="auto"/>
                <w:sz w:val="24"/>
                <w:szCs w:val="24"/>
                <w:highlight w:val="none"/>
              </w:rPr>
              <w:t>“十五五”民政服务设施建设规划编制服务</w:t>
            </w:r>
          </w:p>
        </w:tc>
        <w:tc>
          <w:tcPr>
            <w:tcW w:w="1393" w:type="dxa"/>
            <w:tcBorders>
              <w:top w:val="single" w:color="auto" w:sz="4" w:space="0"/>
              <w:left w:val="nil"/>
              <w:bottom w:val="single" w:color="auto" w:sz="4" w:space="0"/>
              <w:right w:val="single" w:color="auto" w:sz="4" w:space="0"/>
            </w:tcBorders>
            <w:vAlign w:val="center"/>
          </w:tcPr>
          <w:p w14:paraId="0472551E">
            <w:pPr>
              <w:widowControl/>
              <w:spacing w:line="50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9.5</w:t>
            </w:r>
          </w:p>
        </w:tc>
        <w:tc>
          <w:tcPr>
            <w:tcW w:w="1419" w:type="dxa"/>
            <w:tcBorders>
              <w:top w:val="single" w:color="auto" w:sz="4" w:space="0"/>
              <w:left w:val="nil"/>
              <w:bottom w:val="single" w:color="auto" w:sz="4" w:space="0"/>
              <w:right w:val="single" w:color="auto" w:sz="4" w:space="0"/>
            </w:tcBorders>
            <w:vAlign w:val="center"/>
          </w:tcPr>
          <w:p w14:paraId="7A8EC84C">
            <w:pPr>
              <w:widowControl/>
              <w:spacing w:line="50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不提交</w:t>
            </w:r>
          </w:p>
        </w:tc>
        <w:tc>
          <w:tcPr>
            <w:tcW w:w="2305" w:type="dxa"/>
            <w:tcBorders>
              <w:top w:val="single" w:color="auto" w:sz="4" w:space="0"/>
              <w:left w:val="nil"/>
              <w:bottom w:val="single" w:color="auto" w:sz="4" w:space="0"/>
              <w:right w:val="single" w:color="auto" w:sz="4" w:space="0"/>
            </w:tcBorders>
            <w:vAlign w:val="center"/>
          </w:tcPr>
          <w:p w14:paraId="4353671B">
            <w:pPr>
              <w:spacing w:line="50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1</w:t>
            </w:r>
          </w:p>
        </w:tc>
      </w:tr>
    </w:tbl>
    <w:p w14:paraId="41BCFDFC">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20" w:name="_Toc373860293"/>
      <w:bookmarkEnd w:id="20"/>
      <w:bookmarkStart w:id="21" w:name="_Toc76462318"/>
      <w:bookmarkEnd w:id="21"/>
      <w:bookmarkStart w:id="22" w:name="_Toc106030872"/>
      <w:bookmarkEnd w:id="22"/>
      <w:bookmarkStart w:id="23" w:name="_Toc317775178"/>
      <w:r>
        <w:rPr>
          <w:rFonts w:hint="eastAsia" w:ascii="宋体" w:hAnsi="宋体" w:eastAsia="宋体" w:cs="宋体"/>
          <w:color w:val="auto"/>
          <w:sz w:val="24"/>
          <w:szCs w:val="24"/>
          <w:highlight w:val="none"/>
        </w:rPr>
        <w:t>二、资金来源</w:t>
      </w:r>
      <w:bookmarkEnd w:id="23"/>
    </w:p>
    <w:p w14:paraId="6557EBEF">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财政预算资金，预算金额为</w:t>
      </w:r>
      <w:r>
        <w:rPr>
          <w:rFonts w:hint="eastAsia" w:ascii="宋体" w:hAnsi="宋体" w:cs="宋体"/>
          <w:color w:val="auto"/>
          <w:sz w:val="24"/>
          <w:szCs w:val="24"/>
          <w:highlight w:val="none"/>
          <w:lang w:val="en-US" w:eastAsia="zh-CN"/>
        </w:rPr>
        <w:t>9.5</w:t>
      </w:r>
      <w:r>
        <w:rPr>
          <w:rFonts w:hint="eastAsia" w:ascii="宋体" w:hAnsi="宋体" w:cs="宋体"/>
          <w:color w:val="auto"/>
          <w:sz w:val="24"/>
          <w:szCs w:val="24"/>
          <w:highlight w:val="none"/>
        </w:rPr>
        <w:t>万元。</w:t>
      </w:r>
    </w:p>
    <w:p w14:paraId="4EAB1391">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24" w:name="_Toc106030873"/>
      <w:bookmarkEnd w:id="24"/>
      <w:bookmarkStart w:id="25" w:name="_Toc76462319"/>
      <w:r>
        <w:rPr>
          <w:rFonts w:hint="eastAsia" w:ascii="宋体" w:hAnsi="宋体" w:eastAsia="宋体" w:cs="宋体"/>
          <w:color w:val="auto"/>
          <w:sz w:val="24"/>
          <w:szCs w:val="24"/>
          <w:highlight w:val="none"/>
        </w:rPr>
        <w:t>三、供应商资格条件</w:t>
      </w:r>
      <w:bookmarkEnd w:id="25"/>
    </w:p>
    <w:p w14:paraId="3BF86257">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（一）满足《中华人民共和国政府采购法》第二十二条规定；</w:t>
      </w:r>
    </w:p>
    <w:p w14:paraId="2C5F3095">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（二）本项目的特定资格要求：无。</w:t>
      </w:r>
    </w:p>
    <w:p w14:paraId="3619F119">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26" w:name="_Toc76462320"/>
      <w:bookmarkEnd w:id="26"/>
      <w:bookmarkStart w:id="27" w:name="_Toc106030874"/>
      <w:r>
        <w:rPr>
          <w:rFonts w:hint="eastAsia" w:ascii="宋体" w:hAnsi="宋体" w:eastAsia="宋体" w:cs="宋体"/>
          <w:color w:val="auto"/>
          <w:sz w:val="24"/>
          <w:szCs w:val="24"/>
          <w:highlight w:val="none"/>
        </w:rPr>
        <w:t>四、磋商有关说明</w:t>
      </w:r>
      <w:bookmarkEnd w:id="27"/>
    </w:p>
    <w:p w14:paraId="4B2D1B33">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凡有意参加磋商的供应商，请到采购代理机构领取或在“行采家”（https://www.gec123.com/）网上下载本项目磋商文件以及图纸、补遗文件等磋商前公布的所有项目资料，无论供应商领取或下载与否，均视为已知晓所有磋商内容。</w:t>
      </w:r>
    </w:p>
    <w:p w14:paraId="24680FAD">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（二）竞争性磋商公告期限：自采购公告发布之日起三个工作日。</w:t>
      </w:r>
    </w:p>
    <w:p w14:paraId="0A3905FB">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（三）竞争性磋商文件发售期限： </w:t>
      </w:r>
    </w:p>
    <w:p w14:paraId="13A62584">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1.竞争性磋商文件发售期：2025年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日至2025年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日。</w:t>
      </w:r>
    </w:p>
    <w:p w14:paraId="45AF73D7">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2.报名方式供应商在2025年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日17:00时前将《采购文件发售登记表》（加盖供应商公章）扫描后发送至电子邮箱</w:t>
      </w:r>
      <w:r>
        <w:rPr>
          <w:rFonts w:hint="eastAsia" w:ascii="宋体" w:hAnsi="宋体"/>
          <w:bCs/>
          <w:color w:val="auto"/>
          <w:kern w:val="0"/>
          <w:sz w:val="24"/>
          <w:highlight w:val="none"/>
          <w:lang w:val="en-US" w:eastAsia="zh-CN"/>
        </w:rPr>
        <w:t>790836860</w:t>
      </w:r>
      <w:r>
        <w:rPr>
          <w:rFonts w:hint="eastAsia" w:ascii="宋体" w:hAnsi="宋体"/>
          <w:bCs/>
          <w:color w:val="auto"/>
          <w:kern w:val="0"/>
          <w:sz w:val="24"/>
          <w:highlight w:val="none"/>
        </w:rPr>
        <w:t>@qq.com</w:t>
      </w:r>
      <w:r>
        <w:rPr>
          <w:rFonts w:hint="eastAsia" w:ascii="宋体" w:hAnsi="宋体" w:cs="宋体"/>
          <w:color w:val="auto"/>
          <w:sz w:val="24"/>
          <w:szCs w:val="24"/>
          <w:highlight w:val="none"/>
        </w:rPr>
        <w:t>，视为具备报名资格，否则视为无效。</w:t>
      </w:r>
    </w:p>
    <w:p w14:paraId="7EBF41E1">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3.竞争性磋商文件售价：人民币300元/包。</w:t>
      </w:r>
    </w:p>
    <w:p w14:paraId="55D6EABE">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4.磋商文件费缴纳方式：报名时缴纳</w:t>
      </w:r>
      <w:bookmarkStart w:id="175" w:name="_GoBack"/>
      <w:bookmarkEnd w:id="175"/>
    </w:p>
    <w:p w14:paraId="7558F768">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（四）供应商须满足以下三种要件，其响应文件才被接受：</w:t>
      </w:r>
    </w:p>
    <w:p w14:paraId="2D70D9D6">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1.按时递交了响应文件；</w:t>
      </w:r>
    </w:p>
    <w:p w14:paraId="0900544B">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2.按时报名、签到；</w:t>
      </w:r>
    </w:p>
    <w:p w14:paraId="0E0DC7A5">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3.按时缴纳了磋商文件购买费用。</w:t>
      </w:r>
    </w:p>
    <w:p w14:paraId="5C8E17EC">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（五）递交响应文件地点：攀钢集团工科工程咨询有限公司（重庆市渝北区力帆时代2栋9-2）</w:t>
      </w:r>
    </w:p>
    <w:p w14:paraId="596B1B33">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（六）响应文件递交截止时间：2025年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日北京时间14:30</w:t>
      </w:r>
    </w:p>
    <w:p w14:paraId="0855C939">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（七）磋商开始时间：2025年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日北京时间14:30</w:t>
      </w:r>
    </w:p>
    <w:p w14:paraId="076BC347">
      <w:pPr>
        <w:pStyle w:val="2"/>
        <w:spacing w:line="500" w:lineRule="exact"/>
        <w:ind w:firstLine="482" w:firstLineChars="200"/>
        <w:rPr>
          <w:rFonts w:ascii="宋体" w:hAnsi="宋体" w:eastAsia="宋体" w:cs="宋体"/>
          <w:color w:val="auto"/>
          <w:sz w:val="24"/>
          <w:highlight w:val="none"/>
        </w:rPr>
      </w:pPr>
      <w:bookmarkStart w:id="28" w:name="_Toc76462321"/>
      <w:bookmarkEnd w:id="28"/>
      <w:bookmarkStart w:id="29" w:name="_Toc106030876"/>
      <w:bookmarkEnd w:id="29"/>
      <w:bookmarkStart w:id="30" w:name="_Toc480466699"/>
      <w:bookmarkEnd w:id="30"/>
      <w:bookmarkStart w:id="31" w:name="_Toc373860294"/>
      <w:bookmarkEnd w:id="31"/>
      <w:bookmarkStart w:id="32" w:name="_Toc3007"/>
      <w:bookmarkStart w:id="33" w:name="_Toc76462322"/>
      <w:r>
        <w:rPr>
          <w:rFonts w:hint="eastAsia" w:ascii="宋体" w:hAnsi="宋体" w:eastAsia="宋体" w:cs="宋体"/>
          <w:color w:val="auto"/>
          <w:sz w:val="24"/>
          <w:highlight w:val="none"/>
        </w:rPr>
        <w:t>五、磋商保证金</w:t>
      </w:r>
      <w:bookmarkEnd w:id="32"/>
    </w:p>
    <w:p w14:paraId="2EB2B470">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不提交。</w:t>
      </w:r>
    </w:p>
    <w:p w14:paraId="1BA87CF3">
      <w:pPr>
        <w:pStyle w:val="2"/>
        <w:adjustRightInd w:val="0"/>
        <w:snapToGrid w:val="0"/>
        <w:spacing w:line="50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六、其它有关规定</w:t>
      </w:r>
      <w:bookmarkEnd w:id="33"/>
    </w:p>
    <w:p w14:paraId="62745E9D">
      <w:pPr>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（一）单位负责人为同一人或者存在直接控股、管理关系的不同供应商，不得参加同一合同项（包）下的政府采购活动，否则均为无效响应。</w:t>
      </w:r>
    </w:p>
    <w:p w14:paraId="411A36F4">
      <w:pPr>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2E901F8F">
      <w:pPr>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行采家”（https://www.gec123.com/）上发布，请各供应商注意下载或到采购代理机构处领取；无论供应商下载或领取与否，均视同供应商已知晓本项目澄清文件（如果有）的内容。</w:t>
      </w:r>
    </w:p>
    <w:p w14:paraId="15576B68">
      <w:pPr>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6820FE3A">
      <w:pPr>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5A617EF2">
      <w:pPr>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（六）本项目不接受联合体参与磋商，否则按无效处理。</w:t>
      </w:r>
    </w:p>
    <w:p w14:paraId="7048047A">
      <w:pPr>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（七）本项目不接受合同分包，否则按无效处理。</w:t>
      </w:r>
    </w:p>
    <w:p w14:paraId="785B6211">
      <w:pPr>
        <w:snapToGrid w:val="0"/>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（八）</w:t>
      </w:r>
      <w:bookmarkStart w:id="34" w:name="_Toc480466700"/>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bookmarkEnd w:id="34"/>
    </w:p>
    <w:p w14:paraId="6FC9DB56">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35" w:name="_Toc106030877"/>
      <w:bookmarkEnd w:id="35"/>
      <w:bookmarkStart w:id="36" w:name="_Toc76462323"/>
      <w:r>
        <w:rPr>
          <w:rFonts w:hint="eastAsia" w:ascii="宋体" w:hAnsi="宋体" w:eastAsia="宋体" w:cs="宋体"/>
          <w:color w:val="auto"/>
          <w:sz w:val="24"/>
          <w:szCs w:val="24"/>
          <w:highlight w:val="none"/>
        </w:rPr>
        <w:t>七、联系方式</w:t>
      </w:r>
      <w:bookmarkEnd w:id="36"/>
    </w:p>
    <w:p w14:paraId="3373062C">
      <w:pPr>
        <w:snapToGrid w:val="0"/>
        <w:spacing w:line="5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（一）采购人：重庆市民政局</w:t>
      </w:r>
    </w:p>
    <w:p w14:paraId="4F7D5E7E">
      <w:pPr>
        <w:snapToGrid w:val="0"/>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 xml:space="preserve">联系人：申老师 </w:t>
      </w:r>
    </w:p>
    <w:p w14:paraId="684451D6">
      <w:pPr>
        <w:snapToGrid w:val="0"/>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电  话：</w:t>
      </w:r>
      <w:r>
        <w:rPr>
          <w:rFonts w:ascii="宋体" w:hAnsi="宋体"/>
          <w:color w:val="auto"/>
          <w:sz w:val="24"/>
          <w:szCs w:val="24"/>
          <w:highlight w:val="none"/>
        </w:rPr>
        <w:t>15025551251</w:t>
      </w:r>
    </w:p>
    <w:p w14:paraId="0AA9925C">
      <w:pPr>
        <w:snapToGrid w:val="0"/>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lang w:val="zh-TW" w:eastAsia="zh-TW"/>
        </w:rPr>
        <w:t>重庆市渝北区民安大道</w:t>
      </w:r>
      <w:r>
        <w:rPr>
          <w:rFonts w:hint="eastAsia" w:ascii="宋体" w:hAnsi="宋体" w:cs="宋体"/>
          <w:color w:val="auto"/>
          <w:sz w:val="24"/>
          <w:szCs w:val="24"/>
          <w:highlight w:val="none"/>
        </w:rPr>
        <w:t>489</w:t>
      </w:r>
      <w:r>
        <w:rPr>
          <w:rFonts w:hint="eastAsia" w:ascii="宋体" w:hAnsi="宋体" w:cs="宋体"/>
          <w:color w:val="auto"/>
          <w:sz w:val="24"/>
          <w:szCs w:val="24"/>
          <w:highlight w:val="none"/>
          <w:lang w:val="zh-TW" w:eastAsia="zh-TW"/>
        </w:rPr>
        <w:t>号</w:t>
      </w:r>
    </w:p>
    <w:p w14:paraId="47DAD558">
      <w:pPr>
        <w:snapToGrid w:val="0"/>
        <w:spacing w:line="500" w:lineRule="exact"/>
        <w:ind w:firstLine="480" w:firstLineChars="200"/>
        <w:outlineLvl w:val="2"/>
        <w:rPr>
          <w:rFonts w:ascii="宋体" w:hAnsi="宋体" w:cs="宋体"/>
          <w:color w:val="auto"/>
          <w:sz w:val="24"/>
          <w:szCs w:val="24"/>
          <w:highlight w:val="none"/>
        </w:rPr>
      </w:pPr>
    </w:p>
    <w:p w14:paraId="433B9433">
      <w:pPr>
        <w:snapToGrid w:val="0"/>
        <w:spacing w:line="5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（二）采购代理机构：攀钢集团工科工程咨询有限公司</w:t>
      </w:r>
    </w:p>
    <w:p w14:paraId="6659F08C">
      <w:pPr>
        <w:snapToGrid w:val="0"/>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郑老师</w:t>
      </w:r>
      <w:r>
        <w:rPr>
          <w:rFonts w:hint="eastAsia" w:ascii="宋体" w:hAnsi="宋体" w:cs="宋体"/>
          <w:color w:val="auto"/>
          <w:sz w:val="24"/>
          <w:szCs w:val="24"/>
          <w:highlight w:val="none"/>
        </w:rPr>
        <w:t xml:space="preserve"> </w:t>
      </w:r>
    </w:p>
    <w:p w14:paraId="339D2BD7">
      <w:pPr>
        <w:snapToGrid w:val="0"/>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olor w:val="auto"/>
          <w:sz w:val="24"/>
          <w:highlight w:val="none"/>
          <w:lang w:val="en-US" w:eastAsia="zh-CN"/>
        </w:rPr>
        <w:t>17623060605</w:t>
      </w:r>
    </w:p>
    <w:p w14:paraId="5C718371">
      <w:pPr>
        <w:snapToGrid w:val="0"/>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地  址：重庆市渝北区力帆时代2栋9-2</w:t>
      </w:r>
    </w:p>
    <w:p w14:paraId="78CF641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3E0B8D4">
      <w:pPr>
        <w:widowControl/>
        <w:jc w:val="left"/>
        <w:rPr>
          <w:rFonts w:ascii="宋体" w:hAnsi="宋体" w:cs="宋体"/>
          <w:b/>
          <w:color w:val="auto"/>
          <w:sz w:val="24"/>
          <w:szCs w:val="24"/>
          <w:highlight w:val="none"/>
        </w:rPr>
        <w:sectPr>
          <w:pgSz w:w="11907" w:h="16840"/>
          <w:pgMar w:top="1134" w:right="1418" w:bottom="1134" w:left="1418" w:header="964" w:footer="992" w:gutter="0"/>
          <w:cols w:space="720" w:num="1"/>
          <w:docGrid w:type="lines" w:linePitch="312" w:charSpace="0"/>
        </w:sectPr>
      </w:pPr>
    </w:p>
    <w:p w14:paraId="0F0048C6">
      <w:pPr>
        <w:pStyle w:val="2"/>
        <w:numPr>
          <w:ilvl w:val="0"/>
          <w:numId w:val="1"/>
        </w:numPr>
        <w:spacing w:line="360" w:lineRule="auto"/>
        <w:jc w:val="center"/>
        <w:rPr>
          <w:rFonts w:ascii="宋体" w:hAnsi="宋体" w:eastAsia="宋体" w:cs="宋体"/>
          <w:b w:val="0"/>
          <w:bCs/>
          <w:color w:val="auto"/>
          <w:sz w:val="36"/>
          <w:szCs w:val="36"/>
          <w:highlight w:val="none"/>
        </w:rPr>
      </w:pPr>
      <w:bookmarkStart w:id="37" w:name="_Toc106030878"/>
      <w:bookmarkEnd w:id="37"/>
      <w:bookmarkStart w:id="38" w:name="_Toc14731"/>
      <w:bookmarkStart w:id="39" w:name="_Toc76462324"/>
      <w:r>
        <w:rPr>
          <w:rFonts w:hint="eastAsia" w:ascii="宋体" w:hAnsi="宋体" w:eastAsia="宋体" w:cs="宋体"/>
          <w:b w:val="0"/>
          <w:bCs/>
          <w:color w:val="auto"/>
          <w:sz w:val="36"/>
          <w:szCs w:val="36"/>
          <w:highlight w:val="none"/>
        </w:rPr>
        <w:t xml:space="preserve"> 项目服务需求</w:t>
      </w:r>
      <w:bookmarkEnd w:id="38"/>
      <w:bookmarkEnd w:id="39"/>
    </w:p>
    <w:p w14:paraId="6613177E">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40" w:name="_Toc106030879"/>
      <w:bookmarkEnd w:id="40"/>
      <w:bookmarkStart w:id="41" w:name="_Toc76462325"/>
      <w:bookmarkEnd w:id="41"/>
      <w:r>
        <w:rPr>
          <w:rFonts w:hint="eastAsia" w:ascii="宋体" w:hAnsi="宋体" w:eastAsia="宋体" w:cs="宋体"/>
          <w:color w:val="auto"/>
          <w:sz w:val="24"/>
          <w:szCs w:val="24"/>
          <w:highlight w:val="none"/>
        </w:rPr>
        <w:t>一、项目概况</w:t>
      </w:r>
    </w:p>
    <w:tbl>
      <w:tblPr>
        <w:tblStyle w:val="11"/>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0"/>
        <w:gridCol w:w="1559"/>
        <w:gridCol w:w="1598"/>
      </w:tblGrid>
      <w:tr w14:paraId="48EE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00" w:type="dxa"/>
            <w:vAlign w:val="center"/>
          </w:tcPr>
          <w:p w14:paraId="387CC712">
            <w:pPr>
              <w:spacing w:line="360" w:lineRule="auto"/>
              <w:jc w:val="center"/>
              <w:rPr>
                <w:rFonts w:ascii="宋体" w:hAnsi="宋体"/>
                <w:b/>
                <w:color w:val="auto"/>
                <w:sz w:val="21"/>
                <w:szCs w:val="21"/>
                <w:highlight w:val="none"/>
              </w:rPr>
            </w:pPr>
            <w:bookmarkStart w:id="42" w:name="_Toc313536013"/>
            <w:bookmarkEnd w:id="42"/>
            <w:bookmarkStart w:id="43" w:name="_Toc76462326"/>
            <w:bookmarkEnd w:id="43"/>
            <w:bookmarkStart w:id="44" w:name="_Toc106030881"/>
            <w:bookmarkEnd w:id="44"/>
            <w:bookmarkStart w:id="45" w:name="_Toc106030880"/>
            <w:bookmarkEnd w:id="45"/>
            <w:r>
              <w:rPr>
                <w:rFonts w:hint="eastAsia" w:ascii="宋体" w:hAnsi="宋体"/>
                <w:b/>
                <w:color w:val="auto"/>
                <w:sz w:val="21"/>
                <w:szCs w:val="21"/>
                <w:highlight w:val="none"/>
              </w:rPr>
              <w:t>项目名称</w:t>
            </w:r>
          </w:p>
        </w:tc>
        <w:tc>
          <w:tcPr>
            <w:tcW w:w="1559" w:type="dxa"/>
            <w:vAlign w:val="center"/>
          </w:tcPr>
          <w:p w14:paraId="28874A3F">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数量/单位</w:t>
            </w:r>
          </w:p>
        </w:tc>
        <w:tc>
          <w:tcPr>
            <w:tcW w:w="1598" w:type="dxa"/>
            <w:vAlign w:val="center"/>
          </w:tcPr>
          <w:p w14:paraId="11F9C693">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备注</w:t>
            </w:r>
          </w:p>
        </w:tc>
      </w:tr>
      <w:tr w14:paraId="662B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600" w:type="dxa"/>
            <w:vAlign w:val="center"/>
          </w:tcPr>
          <w:p w14:paraId="2EF7EA89">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重庆市</w:t>
            </w:r>
            <w:r>
              <w:rPr>
                <w:rFonts w:hint="eastAsia" w:ascii="宋体" w:hAnsi="宋体" w:cs="宋体"/>
                <w:color w:val="auto"/>
                <w:sz w:val="24"/>
                <w:szCs w:val="24"/>
                <w:highlight w:val="none"/>
              </w:rPr>
              <w:t>“十五五”民政服务设施建设规划</w:t>
            </w:r>
          </w:p>
          <w:p w14:paraId="1F4A4109">
            <w:pPr>
              <w:spacing w:line="360" w:lineRule="auto"/>
              <w:ind w:firstLine="480" w:firstLineChars="200"/>
              <w:jc w:val="center"/>
              <w:rPr>
                <w:rFonts w:ascii="宋体" w:hAnsi="宋体"/>
                <w:color w:val="auto"/>
                <w:sz w:val="21"/>
                <w:szCs w:val="21"/>
                <w:highlight w:val="none"/>
              </w:rPr>
            </w:pPr>
            <w:r>
              <w:rPr>
                <w:rFonts w:hint="eastAsia" w:ascii="宋体" w:hAnsi="宋体" w:cs="宋体"/>
                <w:color w:val="auto"/>
                <w:sz w:val="24"/>
                <w:szCs w:val="24"/>
                <w:highlight w:val="none"/>
              </w:rPr>
              <w:t>编制服务</w:t>
            </w:r>
          </w:p>
        </w:tc>
        <w:tc>
          <w:tcPr>
            <w:tcW w:w="1559" w:type="dxa"/>
            <w:vAlign w:val="center"/>
          </w:tcPr>
          <w:p w14:paraId="04DBA2CE">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1项</w:t>
            </w:r>
          </w:p>
        </w:tc>
        <w:tc>
          <w:tcPr>
            <w:tcW w:w="1598" w:type="dxa"/>
            <w:vAlign w:val="center"/>
          </w:tcPr>
          <w:p w14:paraId="45B63218">
            <w:pPr>
              <w:spacing w:line="360" w:lineRule="auto"/>
              <w:ind w:firstLine="420" w:firstLineChars="200"/>
              <w:jc w:val="center"/>
              <w:rPr>
                <w:rFonts w:ascii="宋体" w:hAnsi="宋体"/>
                <w:color w:val="auto"/>
                <w:sz w:val="21"/>
                <w:szCs w:val="21"/>
                <w:highlight w:val="none"/>
              </w:rPr>
            </w:pPr>
          </w:p>
        </w:tc>
      </w:tr>
    </w:tbl>
    <w:p w14:paraId="15A2CB78">
      <w:pPr>
        <w:snapToGrid w:val="0"/>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二、项目背景及工作内容要求</w:t>
      </w:r>
    </w:p>
    <w:p w14:paraId="4528C549">
      <w:pPr>
        <w:spacing w:line="480" w:lineRule="exact"/>
        <w:ind w:firstLine="482" w:firstLineChars="200"/>
        <w:rPr>
          <w:rFonts w:ascii="宋体" w:hAnsi="宋体" w:cs="宋体"/>
          <w:color w:val="auto"/>
          <w:sz w:val="24"/>
          <w:szCs w:val="22"/>
          <w:highlight w:val="none"/>
        </w:rPr>
      </w:pPr>
      <w:bookmarkStart w:id="46" w:name="_Toc441065663"/>
      <w:bookmarkStart w:id="47" w:name="_Toc7651"/>
      <w:bookmarkStart w:id="48" w:name="_Toc527450557"/>
      <w:r>
        <w:rPr>
          <w:rFonts w:hint="eastAsia" w:ascii="宋体" w:hAnsi="宋体" w:cs="宋体"/>
          <w:b/>
          <w:bCs/>
          <w:color w:val="auto"/>
          <w:sz w:val="24"/>
          <w:szCs w:val="22"/>
          <w:highlight w:val="none"/>
        </w:rPr>
        <w:t>（一）项目背景：</w:t>
      </w:r>
      <w:r>
        <w:rPr>
          <w:rFonts w:hint="eastAsia" w:ascii="宋体" w:hAnsi="宋体" w:cs="宋体"/>
          <w:color w:val="auto"/>
          <w:sz w:val="24"/>
          <w:szCs w:val="22"/>
          <w:highlight w:val="none"/>
        </w:rPr>
        <w:t>为认真贯彻落实关于“十四五”规划收官与“十五五</w:t>
      </w: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rPr>
        <w:t>规划谋篇布局的总体部署，根据《民政部关于做好2025年中央预算内投资民政服务设施项目建设工作的通知》，于2025年底前完成我市“十五五</w:t>
      </w: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rPr>
        <w:t>民政服务设施建设规划编制工作，并提出全市“十五五”民政服务设施建设项目清单。</w:t>
      </w:r>
    </w:p>
    <w:p w14:paraId="7C8D7680">
      <w:pPr>
        <w:spacing w:line="480" w:lineRule="exact"/>
        <w:ind w:firstLine="482" w:firstLineChars="200"/>
        <w:rPr>
          <w:rFonts w:ascii="宋体" w:hAnsi="宋体" w:cs="宋体"/>
          <w:bCs/>
          <w:color w:val="auto"/>
          <w:sz w:val="24"/>
          <w:highlight w:val="none"/>
        </w:rPr>
      </w:pPr>
      <w:r>
        <w:rPr>
          <w:rFonts w:hint="eastAsia" w:ascii="宋体" w:hAnsi="宋体" w:cs="宋体"/>
          <w:b/>
          <w:bCs/>
          <w:color w:val="auto"/>
          <w:sz w:val="24"/>
          <w:szCs w:val="22"/>
          <w:highlight w:val="none"/>
        </w:rPr>
        <w:t>（二）工作内容：</w:t>
      </w:r>
      <w:r>
        <w:rPr>
          <w:rFonts w:hint="eastAsia" w:ascii="宋体" w:hAnsi="宋体" w:cs="宋体"/>
          <w:bCs/>
          <w:color w:val="auto"/>
          <w:sz w:val="24"/>
          <w:highlight w:val="none"/>
          <w:lang w:eastAsia="zh-CN"/>
        </w:rPr>
        <w:t>按照合理满足新增需求又充分利用现有设施的原则，</w:t>
      </w:r>
      <w:r>
        <w:rPr>
          <w:rFonts w:hint="eastAsia" w:ascii="宋体" w:hAnsi="宋体" w:cs="宋体"/>
          <w:bCs/>
          <w:color w:val="auto"/>
          <w:sz w:val="24"/>
          <w:highlight w:val="none"/>
        </w:rPr>
        <w:t>分析现阶段重庆民政服务设施情况，结合</w:t>
      </w:r>
      <w:r>
        <w:rPr>
          <w:rFonts w:hint="eastAsia" w:ascii="宋体" w:hAnsi="宋体" w:cs="宋体"/>
          <w:bCs/>
          <w:color w:val="auto"/>
          <w:sz w:val="24"/>
          <w:highlight w:val="none"/>
          <w:lang w:eastAsia="zh-CN"/>
        </w:rPr>
        <w:t>我市</w:t>
      </w:r>
      <w:r>
        <w:rPr>
          <w:rFonts w:hint="eastAsia" w:ascii="宋体" w:hAnsi="宋体" w:cs="宋体"/>
          <w:bCs/>
          <w:color w:val="auto"/>
          <w:sz w:val="24"/>
          <w:highlight w:val="none"/>
        </w:rPr>
        <w:t>实际，提出</w:t>
      </w:r>
      <w:r>
        <w:rPr>
          <w:rFonts w:hint="eastAsia" w:ascii="宋体" w:hAnsi="宋体" w:cs="宋体"/>
          <w:bCs/>
          <w:color w:val="auto"/>
          <w:sz w:val="24"/>
          <w:highlight w:val="none"/>
          <w:lang w:eastAsia="zh-CN"/>
        </w:rPr>
        <w:t>全市</w:t>
      </w:r>
      <w:r>
        <w:rPr>
          <w:rFonts w:hint="eastAsia" w:ascii="宋体" w:hAnsi="宋体" w:cs="宋体"/>
          <w:bCs/>
          <w:color w:val="auto"/>
          <w:sz w:val="24"/>
          <w:highlight w:val="none"/>
        </w:rPr>
        <w:t>民政服务设施建设规划意见，</w:t>
      </w:r>
      <w:r>
        <w:rPr>
          <w:rFonts w:hint="eastAsia" w:ascii="宋体" w:hAnsi="宋体" w:cs="宋体"/>
          <w:bCs/>
          <w:color w:val="auto"/>
          <w:sz w:val="24"/>
          <w:highlight w:val="none"/>
          <w:lang w:eastAsia="zh-CN"/>
        </w:rPr>
        <w:t>明确指导思想、规划原则、发展目标和主要建设任务，并</w:t>
      </w:r>
      <w:r>
        <w:rPr>
          <w:rFonts w:hint="eastAsia" w:ascii="宋体" w:hAnsi="宋体" w:cs="宋体"/>
          <w:bCs/>
          <w:color w:val="auto"/>
          <w:sz w:val="24"/>
          <w:highlight w:val="none"/>
        </w:rPr>
        <w:t>形成我市“十五五</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民政服务设施建设规划和全市“十五五”民政服务设施建设项目清单。</w:t>
      </w:r>
    </w:p>
    <w:p w14:paraId="7A10B1A0">
      <w:pPr>
        <w:spacing w:line="480" w:lineRule="exact"/>
        <w:ind w:firstLine="482" w:firstLineChars="200"/>
        <w:rPr>
          <w:rFonts w:ascii="宋体" w:hAnsi="宋体"/>
          <w:color w:val="auto"/>
          <w:sz w:val="24"/>
          <w:szCs w:val="24"/>
          <w:highlight w:val="none"/>
        </w:rPr>
      </w:pPr>
      <w:r>
        <w:rPr>
          <w:rFonts w:hint="eastAsia" w:ascii="宋体" w:hAnsi="宋体" w:cs="宋体"/>
          <w:b/>
          <w:bCs/>
          <w:color w:val="auto"/>
          <w:sz w:val="24"/>
          <w:szCs w:val="22"/>
          <w:highlight w:val="none"/>
        </w:rPr>
        <w:t>（三）工作要求：</w:t>
      </w:r>
      <w:r>
        <w:rPr>
          <w:rFonts w:hint="eastAsia" w:ascii="宋体" w:hAnsi="宋体" w:cs="宋体"/>
          <w:color w:val="auto"/>
          <w:sz w:val="24"/>
          <w:szCs w:val="24"/>
          <w:highlight w:val="none"/>
        </w:rPr>
        <w:t>按重庆市民政局的相关要求，2025年内完成相关成果资料</w:t>
      </w:r>
      <w:r>
        <w:rPr>
          <w:rFonts w:hint="eastAsia" w:ascii="宋体" w:hAnsi="宋体"/>
          <w:color w:val="auto"/>
          <w:sz w:val="24"/>
          <w:szCs w:val="24"/>
          <w:highlight w:val="none"/>
        </w:rPr>
        <w:t>。</w:t>
      </w:r>
    </w:p>
    <w:bookmarkEnd w:id="46"/>
    <w:bookmarkEnd w:id="47"/>
    <w:bookmarkEnd w:id="48"/>
    <w:p w14:paraId="721E161F">
      <w:pPr>
        <w:pStyle w:val="3"/>
        <w:spacing w:before="0" w:after="0" w:line="480" w:lineRule="exact"/>
        <w:ind w:firstLine="482" w:firstLineChars="200"/>
        <w:jc w:val="both"/>
        <w:rPr>
          <w:rFonts w:ascii="宋体" w:hAnsi="宋体"/>
          <w:color w:val="auto"/>
          <w:sz w:val="24"/>
          <w:szCs w:val="24"/>
          <w:highlight w:val="none"/>
        </w:rPr>
      </w:pPr>
      <w:bookmarkStart w:id="49" w:name="_Toc527450558"/>
      <w:bookmarkStart w:id="50" w:name="_Toc108555074"/>
      <w:r>
        <w:rPr>
          <w:rFonts w:hint="eastAsia" w:ascii="宋体" w:hAnsi="宋体"/>
          <w:color w:val="auto"/>
          <w:sz w:val="24"/>
          <w:szCs w:val="24"/>
          <w:highlight w:val="none"/>
        </w:rPr>
        <w:t>三、</w:t>
      </w:r>
      <w:bookmarkEnd w:id="49"/>
      <w:r>
        <w:rPr>
          <w:rFonts w:hint="eastAsia" w:ascii="宋体" w:hAnsi="宋体"/>
          <w:color w:val="auto"/>
          <w:sz w:val="24"/>
          <w:szCs w:val="24"/>
          <w:highlight w:val="none"/>
        </w:rPr>
        <w:t>其他要求</w:t>
      </w:r>
      <w:bookmarkEnd w:id="50"/>
    </w:p>
    <w:p w14:paraId="7C400F44">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2"/>
          <w:highlight w:val="none"/>
        </w:rPr>
        <w:t>供应商须综合考虑本项目相关活动流程所产生所有费用，应充分衡量和估计本项目履行中可能发生的风险因素，报价接受后视为就本项目所有所需服务，且不做任何调整。服务要求中所产生的一切费用均由成交供应商支付，活动期间如因对项目理解不充足出现服务停滞情况所产生的一切损失均由成交供应商负责。</w:t>
      </w:r>
    </w:p>
    <w:p w14:paraId="6F8E239B">
      <w:pPr>
        <w:pStyle w:val="2"/>
        <w:spacing w:line="500" w:lineRule="exact"/>
        <w:jc w:val="center"/>
        <w:rPr>
          <w:rFonts w:ascii="宋体" w:hAnsi="宋体" w:eastAsia="宋体" w:cs="宋体"/>
          <w:color w:val="auto"/>
          <w:sz w:val="24"/>
          <w:szCs w:val="24"/>
          <w:highlight w:val="none"/>
        </w:rPr>
        <w:sectPr>
          <w:pgSz w:w="11907" w:h="16840"/>
          <w:pgMar w:top="1134" w:right="1191" w:bottom="1134" w:left="1304" w:header="964" w:footer="992" w:gutter="0"/>
          <w:cols w:space="720" w:num="1"/>
          <w:docGrid w:type="lines" w:linePitch="312" w:charSpace="0"/>
        </w:sectPr>
      </w:pPr>
      <w:bookmarkStart w:id="51" w:name="_Toc106030882"/>
      <w:bookmarkEnd w:id="51"/>
      <w:bookmarkStart w:id="52" w:name="_Toc76462327"/>
      <w:bookmarkStart w:id="53" w:name="_Toc21692"/>
    </w:p>
    <w:p w14:paraId="4F188AE1">
      <w:pPr>
        <w:pStyle w:val="2"/>
        <w:spacing w:line="500" w:lineRule="exact"/>
        <w:jc w:val="center"/>
        <w:rPr>
          <w:rFonts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 xml:space="preserve">第三篇  </w:t>
      </w:r>
      <w:bookmarkEnd w:id="52"/>
      <w:r>
        <w:rPr>
          <w:rFonts w:hint="eastAsia" w:ascii="宋体" w:hAnsi="宋体" w:eastAsia="宋体" w:cs="宋体"/>
          <w:b w:val="0"/>
          <w:bCs/>
          <w:color w:val="auto"/>
          <w:sz w:val="36"/>
          <w:szCs w:val="36"/>
          <w:highlight w:val="none"/>
        </w:rPr>
        <w:t>项目商务需求</w:t>
      </w:r>
      <w:bookmarkEnd w:id="53"/>
    </w:p>
    <w:p w14:paraId="6EC4CBB5">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54" w:name="_Toc76462328"/>
      <w:bookmarkEnd w:id="54"/>
      <w:bookmarkStart w:id="55" w:name="_Toc106030883"/>
      <w:bookmarkEnd w:id="55"/>
      <w:r>
        <w:rPr>
          <w:rFonts w:hint="eastAsia" w:ascii="宋体" w:hAnsi="宋体" w:eastAsia="宋体" w:cs="宋体"/>
          <w:color w:val="auto"/>
          <w:sz w:val="24"/>
          <w:szCs w:val="24"/>
          <w:highlight w:val="none"/>
        </w:rPr>
        <w:t>一、服务期、地点及验收方式</w:t>
      </w:r>
    </w:p>
    <w:p w14:paraId="09C94030">
      <w:pPr>
        <w:pStyle w:val="8"/>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（一）服务期：</w:t>
      </w:r>
      <w:r>
        <w:rPr>
          <w:rFonts w:hint="eastAsia" w:ascii="宋体" w:hAnsi="宋体" w:cs="宋体"/>
          <w:color w:val="auto"/>
          <w:sz w:val="24"/>
          <w:szCs w:val="24"/>
          <w:highlight w:val="none"/>
          <w:lang w:val="zh-CN"/>
        </w:rPr>
        <w:t>合同签订之日起至202</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年</w:t>
      </w:r>
      <w:r>
        <w:rPr>
          <w:rFonts w:ascii="宋体" w:hAnsi="宋体" w:cs="宋体"/>
          <w:color w:val="auto"/>
          <w:sz w:val="24"/>
          <w:szCs w:val="24"/>
          <w:highlight w:val="none"/>
          <w:lang w:val="zh-CN"/>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zh-CN"/>
        </w:rPr>
        <w:t>月</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val="zh-CN"/>
        </w:rPr>
        <w:t>日前</w:t>
      </w:r>
      <w:r>
        <w:rPr>
          <w:rFonts w:hint="eastAsia" w:ascii="宋体" w:hAnsi="宋体" w:cs="宋体"/>
          <w:color w:val="auto"/>
          <w:sz w:val="24"/>
          <w:szCs w:val="24"/>
          <w:highlight w:val="none"/>
        </w:rPr>
        <w:t>。</w:t>
      </w:r>
    </w:p>
    <w:p w14:paraId="46832125">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（二）服务地点：采购人指定的地点。</w:t>
      </w:r>
    </w:p>
    <w:p w14:paraId="540368B5">
      <w:pPr>
        <w:adjustRightInd w:val="0"/>
        <w:snapToGrid w:val="0"/>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（三）验收方式：供应商完成项目后，向采购人提交项目成果资料，采购人组织</w:t>
      </w:r>
      <w:r>
        <w:rPr>
          <w:rFonts w:hint="eastAsia" w:ascii="宋体" w:hAnsi="宋体" w:cs="宋体"/>
          <w:color w:val="auto"/>
          <w:sz w:val="24"/>
          <w:szCs w:val="24"/>
          <w:highlight w:val="none"/>
          <w:lang w:eastAsia="zh-CN"/>
        </w:rPr>
        <w:t>专家评审</w:t>
      </w:r>
      <w:r>
        <w:rPr>
          <w:rFonts w:hint="eastAsia" w:ascii="宋体" w:hAnsi="宋体" w:cs="宋体"/>
          <w:color w:val="auto"/>
          <w:sz w:val="24"/>
          <w:szCs w:val="24"/>
          <w:highlight w:val="none"/>
        </w:rPr>
        <w:t>验收</w:t>
      </w:r>
      <w:r>
        <w:rPr>
          <w:rFonts w:hint="eastAsia" w:ascii="宋体" w:hAnsi="宋体" w:cs="宋体"/>
          <w:color w:val="auto"/>
          <w:sz w:val="24"/>
          <w:szCs w:val="24"/>
          <w:highlight w:val="none"/>
          <w:lang w:eastAsia="zh-CN"/>
        </w:rPr>
        <w:t>。</w:t>
      </w:r>
    </w:p>
    <w:p w14:paraId="7C1EE055">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56" w:name="_Toc106030884"/>
      <w:bookmarkEnd w:id="56"/>
      <w:bookmarkStart w:id="57" w:name="_Toc344475121"/>
      <w:bookmarkEnd w:id="57"/>
      <w:bookmarkStart w:id="58" w:name="_Toc76462329"/>
      <w:r>
        <w:rPr>
          <w:rFonts w:hint="eastAsia" w:ascii="宋体" w:hAnsi="宋体" w:eastAsia="宋体" w:cs="宋体"/>
          <w:color w:val="auto"/>
          <w:sz w:val="24"/>
          <w:szCs w:val="24"/>
          <w:highlight w:val="none"/>
        </w:rPr>
        <w:t>二、</w:t>
      </w:r>
      <w:bookmarkEnd w:id="58"/>
      <w:r>
        <w:rPr>
          <w:rFonts w:hint="eastAsia" w:ascii="宋体" w:hAnsi="宋体" w:eastAsia="宋体" w:cs="宋体"/>
          <w:color w:val="auto"/>
          <w:sz w:val="24"/>
          <w:szCs w:val="24"/>
          <w:highlight w:val="none"/>
        </w:rPr>
        <w:t>报价要求</w:t>
      </w:r>
    </w:p>
    <w:p w14:paraId="63036090">
      <w:pPr>
        <w:spacing w:line="48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2"/>
          <w:highlight w:val="none"/>
        </w:rPr>
        <w:t>磋商报价包括完成本项目所需的项目执行费、人工费、培训费及各种应纳的税费等。因成交供应商自身原因造成漏报、少报皆由其自行承担责任，采购人不再补偿。</w:t>
      </w:r>
      <w:r>
        <w:rPr>
          <w:rFonts w:hint="eastAsia" w:ascii="宋体" w:hAnsi="宋体"/>
          <w:color w:val="auto"/>
          <w:sz w:val="24"/>
          <w:szCs w:val="24"/>
          <w:highlight w:val="none"/>
        </w:rPr>
        <w:t>不完整响应的将视为无效投标,</w:t>
      </w:r>
      <w:r>
        <w:rPr>
          <w:rFonts w:hint="eastAsia" w:ascii="宋体" w:hAnsi="宋体" w:cs="宋体"/>
          <w:color w:val="auto"/>
          <w:kern w:val="0"/>
          <w:sz w:val="24"/>
          <w:szCs w:val="24"/>
          <w:highlight w:val="none"/>
        </w:rPr>
        <w:t>供应商须自行考虑并承担一切安全风险</w:t>
      </w:r>
      <w:r>
        <w:rPr>
          <w:rFonts w:hint="eastAsia" w:ascii="宋体" w:hAnsi="宋体" w:cs="宋体"/>
          <w:color w:val="auto"/>
          <w:sz w:val="24"/>
          <w:szCs w:val="24"/>
          <w:highlight w:val="none"/>
        </w:rPr>
        <w:t>。</w:t>
      </w:r>
    </w:p>
    <w:p w14:paraId="6BF75F6C">
      <w:pPr>
        <w:pStyle w:val="2"/>
        <w:adjustRightInd w:val="0"/>
        <w:snapToGrid w:val="0"/>
        <w:spacing w:line="480" w:lineRule="exact"/>
        <w:ind w:firstLine="482" w:firstLineChars="200"/>
        <w:rPr>
          <w:rFonts w:ascii="宋体" w:hAnsi="宋体" w:eastAsia="宋体" w:cs="宋体"/>
          <w:color w:val="auto"/>
          <w:sz w:val="24"/>
          <w:szCs w:val="24"/>
          <w:highlight w:val="none"/>
        </w:rPr>
      </w:pPr>
      <w:bookmarkStart w:id="59" w:name="_Toc76462330"/>
      <w:bookmarkEnd w:id="59"/>
      <w:bookmarkStart w:id="60" w:name="_Toc344475122"/>
      <w:bookmarkEnd w:id="60"/>
      <w:bookmarkStart w:id="61" w:name="_Toc106030885"/>
      <w:r>
        <w:rPr>
          <w:rFonts w:hint="eastAsia" w:ascii="宋体" w:hAnsi="宋体" w:eastAsia="宋体" w:cs="宋体"/>
          <w:color w:val="auto"/>
          <w:sz w:val="24"/>
          <w:szCs w:val="24"/>
          <w:highlight w:val="none"/>
        </w:rPr>
        <w:t>三、</w:t>
      </w:r>
      <w:bookmarkEnd w:id="61"/>
      <w:r>
        <w:rPr>
          <w:rFonts w:hint="eastAsia" w:ascii="宋体" w:hAnsi="宋体" w:eastAsia="宋体" w:cs="宋体"/>
          <w:color w:val="auto"/>
          <w:sz w:val="24"/>
          <w:szCs w:val="24"/>
          <w:highlight w:val="none"/>
        </w:rPr>
        <w:t>质量保证</w:t>
      </w:r>
    </w:p>
    <w:p w14:paraId="1E0B2D8A">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2"/>
          <w:highlight w:val="none"/>
        </w:rPr>
        <w:t>对于项目实施过程中出现的问题，采购人有权对成交供应商提出整改要求。成交供应商在整改后仍不能满足规划编制工作条件的，采购人有权终止协议并向成交供应商索赔</w:t>
      </w:r>
      <w:r>
        <w:rPr>
          <w:rFonts w:hint="eastAsia" w:ascii="宋体" w:hAnsi="宋体" w:cs="宋体"/>
          <w:color w:val="auto"/>
          <w:sz w:val="24"/>
          <w:szCs w:val="24"/>
          <w:highlight w:val="none"/>
        </w:rPr>
        <w:t>。</w:t>
      </w:r>
    </w:p>
    <w:p w14:paraId="1851B7A3">
      <w:pPr>
        <w:pStyle w:val="3"/>
        <w:spacing w:before="0" w:after="0" w:line="400" w:lineRule="exact"/>
        <w:ind w:firstLine="482" w:firstLineChars="200"/>
        <w:jc w:val="both"/>
        <w:rPr>
          <w:rFonts w:ascii="仿宋" w:hAnsi="仿宋" w:eastAsia="仿宋" w:cs="仿宋"/>
          <w:color w:val="auto"/>
          <w:sz w:val="24"/>
          <w:szCs w:val="24"/>
          <w:highlight w:val="none"/>
        </w:rPr>
      </w:pPr>
      <w:bookmarkStart w:id="62" w:name="_Toc117861016"/>
      <w:r>
        <w:rPr>
          <w:rFonts w:hint="eastAsia" w:ascii="宋体" w:hAnsi="宋体" w:cs="宋体"/>
          <w:color w:val="auto"/>
          <w:sz w:val="24"/>
          <w:szCs w:val="24"/>
          <w:highlight w:val="none"/>
        </w:rPr>
        <w:t>四、</w:t>
      </w:r>
      <w:bookmarkEnd w:id="62"/>
      <w:bookmarkStart w:id="63" w:name="_Toc344475125"/>
      <w:r>
        <w:rPr>
          <w:rFonts w:hint="eastAsia" w:ascii="宋体" w:hAnsi="宋体" w:cs="宋体"/>
          <w:color w:val="auto"/>
          <w:sz w:val="24"/>
          <w:szCs w:val="24"/>
          <w:highlight w:val="none"/>
        </w:rPr>
        <w:t>付款方式</w:t>
      </w:r>
    </w:p>
    <w:bookmarkEnd w:id="63"/>
    <w:p w14:paraId="3C2D0069">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2"/>
          <w:highlight w:val="none"/>
        </w:rPr>
        <w:t>服务结束通过验收后 15 个工作日内，成交供应商向采购人开具发票后，采购人向成交供应商一次性全额支付合同款。</w:t>
      </w:r>
    </w:p>
    <w:p w14:paraId="6295E4F9">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64" w:name="_Toc76462331"/>
      <w:bookmarkEnd w:id="64"/>
      <w:bookmarkStart w:id="65" w:name="_Toc344475124"/>
      <w:bookmarkEnd w:id="65"/>
      <w:bookmarkStart w:id="66" w:name="_Toc121233363"/>
      <w:bookmarkStart w:id="67" w:name="_Toc121994844"/>
      <w:bookmarkStart w:id="68" w:name="_Toc51683179"/>
      <w:r>
        <w:rPr>
          <w:rFonts w:hint="eastAsia" w:ascii="宋体" w:hAnsi="宋体" w:eastAsia="宋体" w:cs="宋体"/>
          <w:color w:val="auto"/>
          <w:sz w:val="24"/>
          <w:szCs w:val="24"/>
          <w:highlight w:val="none"/>
        </w:rPr>
        <w:t>五、知识产权</w:t>
      </w:r>
      <w:bookmarkEnd w:id="66"/>
      <w:bookmarkEnd w:id="67"/>
      <w:bookmarkEnd w:id="68"/>
    </w:p>
    <w:p w14:paraId="392AED15">
      <w:pPr>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（一）因该项目成果部分资料信息涉及国家机密，中选供应商在项目实施过程中和完成项目实施后不可将成果用作其他用途或转售他人。若出现上述情况，中选供应商应承担由此而引起的一切法律责任和费用。</w:t>
      </w:r>
    </w:p>
    <w:p w14:paraId="4B5324DE">
      <w:pPr>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（二）采购人在中华人民共和国境内使用中选供应商提供的货物及服务时免受第三方提出的侵犯其专利权或其它知识产权的起诉。如果第三方提出侵权指控，中选供应商应承担由此而引起的一切法律责任和费用。</w:t>
      </w:r>
    </w:p>
    <w:p w14:paraId="2380B182">
      <w:pPr>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（三）涉及软件开发等服务类项目知识产权的，知识产权归采购人所有。</w:t>
      </w:r>
    </w:p>
    <w:p w14:paraId="3559F0DB">
      <w:pPr>
        <w:pStyle w:val="3"/>
        <w:spacing w:before="0" w:after="0" w:line="360" w:lineRule="auto"/>
        <w:ind w:firstLine="482"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六、其他</w:t>
      </w:r>
    </w:p>
    <w:p w14:paraId="56CD0402">
      <w:pPr>
        <w:spacing w:line="400" w:lineRule="exact"/>
        <w:ind w:firstLine="480" w:firstLineChars="200"/>
        <w:rPr>
          <w:rFonts w:ascii="仿宋" w:hAnsi="仿宋" w:eastAsia="仿宋"/>
          <w:color w:val="auto"/>
          <w:sz w:val="24"/>
          <w:szCs w:val="24"/>
          <w:highlight w:val="none"/>
        </w:rPr>
      </w:pPr>
      <w:r>
        <w:rPr>
          <w:rFonts w:hint="eastAsia" w:ascii="宋体" w:hAnsi="宋体" w:cs="宋体"/>
          <w:color w:val="auto"/>
          <w:kern w:val="0"/>
          <w:sz w:val="24"/>
          <w:szCs w:val="24"/>
          <w:highlight w:val="none"/>
        </w:rPr>
        <w:t>其他未尽事宜由供需双方在采购合同中详细约定。</w:t>
      </w:r>
    </w:p>
    <w:p w14:paraId="6EA7B5CF">
      <w:pPr>
        <w:spacing w:line="500" w:lineRule="exact"/>
        <w:ind w:firstLine="480" w:firstLineChars="200"/>
        <w:rPr>
          <w:rFonts w:ascii="宋体" w:hAnsi="宋体" w:cs="宋体"/>
          <w:color w:val="auto"/>
          <w:sz w:val="24"/>
          <w:szCs w:val="24"/>
          <w:highlight w:val="none"/>
        </w:rPr>
      </w:pPr>
    </w:p>
    <w:p w14:paraId="5B30F75C">
      <w:pPr>
        <w:pStyle w:val="2"/>
        <w:pageBreakBefore/>
        <w:spacing w:line="500" w:lineRule="exact"/>
        <w:jc w:val="center"/>
        <w:rPr>
          <w:rFonts w:ascii="宋体" w:hAnsi="宋体" w:eastAsia="宋体" w:cs="宋体"/>
          <w:b w:val="0"/>
          <w:bCs/>
          <w:color w:val="auto"/>
          <w:sz w:val="36"/>
          <w:szCs w:val="36"/>
          <w:highlight w:val="none"/>
        </w:rPr>
      </w:pPr>
      <w:bookmarkStart w:id="69" w:name="_Toc106030887"/>
      <w:bookmarkEnd w:id="69"/>
      <w:bookmarkStart w:id="70" w:name="_Toc76462332"/>
      <w:bookmarkStart w:id="71" w:name="_Toc31263"/>
      <w:r>
        <w:rPr>
          <w:rFonts w:hint="eastAsia" w:ascii="宋体" w:hAnsi="宋体" w:eastAsia="宋体" w:cs="宋体"/>
          <w:b w:val="0"/>
          <w:bCs/>
          <w:color w:val="auto"/>
          <w:sz w:val="36"/>
          <w:szCs w:val="36"/>
          <w:highlight w:val="none"/>
        </w:rPr>
        <w:t>第四篇  磋商程序及方法、评审标准、无效响应和</w:t>
      </w:r>
      <w:bookmarkEnd w:id="70"/>
      <w:r>
        <w:rPr>
          <w:rFonts w:hint="eastAsia" w:ascii="宋体" w:hAnsi="宋体" w:eastAsia="宋体" w:cs="宋体"/>
          <w:b w:val="0"/>
          <w:bCs/>
          <w:color w:val="auto"/>
          <w:sz w:val="36"/>
          <w:szCs w:val="36"/>
          <w:highlight w:val="none"/>
        </w:rPr>
        <w:t>采购终止</w:t>
      </w:r>
      <w:bookmarkEnd w:id="71"/>
    </w:p>
    <w:p w14:paraId="6071ECD9">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72" w:name="_Toc106030888"/>
      <w:bookmarkEnd w:id="72"/>
      <w:bookmarkStart w:id="73" w:name="_Toc76462333"/>
      <w:r>
        <w:rPr>
          <w:rFonts w:hint="eastAsia" w:ascii="宋体" w:hAnsi="宋体" w:eastAsia="宋体" w:cs="宋体"/>
          <w:color w:val="auto"/>
          <w:sz w:val="24"/>
          <w:szCs w:val="24"/>
          <w:highlight w:val="none"/>
        </w:rPr>
        <w:t>一、磋商程序及方法</w:t>
      </w:r>
      <w:bookmarkEnd w:id="73"/>
    </w:p>
    <w:p w14:paraId="3230F46E">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03B41824">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525E2244">
      <w:pPr>
        <w:snapToGrid w:val="0"/>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5D40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13B3668">
            <w:pPr>
              <w:spacing w:line="5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827" w:type="dxa"/>
            <w:gridSpan w:val="2"/>
            <w:tcBorders>
              <w:top w:val="single" w:color="auto" w:sz="4" w:space="0"/>
              <w:left w:val="nil"/>
              <w:bottom w:val="single" w:color="auto" w:sz="4" w:space="0"/>
              <w:right w:val="single" w:color="auto" w:sz="4" w:space="0"/>
            </w:tcBorders>
            <w:vAlign w:val="center"/>
          </w:tcPr>
          <w:p w14:paraId="2DC61B92">
            <w:pPr>
              <w:spacing w:line="5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4984" w:type="dxa"/>
            <w:tcBorders>
              <w:top w:val="single" w:color="auto" w:sz="4" w:space="0"/>
              <w:left w:val="nil"/>
              <w:bottom w:val="single" w:color="auto" w:sz="4" w:space="0"/>
              <w:right w:val="single" w:color="auto" w:sz="4" w:space="0"/>
            </w:tcBorders>
            <w:vAlign w:val="center"/>
          </w:tcPr>
          <w:p w14:paraId="6598137A">
            <w:pPr>
              <w:spacing w:line="5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6745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nil"/>
              <w:left w:val="single" w:color="auto" w:sz="4" w:space="0"/>
              <w:bottom w:val="single" w:color="auto" w:sz="4" w:space="0"/>
              <w:right w:val="single" w:color="auto" w:sz="4" w:space="0"/>
            </w:tcBorders>
            <w:vAlign w:val="center"/>
          </w:tcPr>
          <w:p w14:paraId="25587919">
            <w:pPr>
              <w:spacing w:line="5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709" w:type="dxa"/>
            <w:vMerge w:val="restart"/>
            <w:tcBorders>
              <w:top w:val="nil"/>
              <w:left w:val="single" w:color="auto" w:sz="4" w:space="0"/>
              <w:bottom w:val="single" w:color="auto" w:sz="4" w:space="0"/>
              <w:right w:val="single" w:color="auto" w:sz="4" w:space="0"/>
            </w:tcBorders>
            <w:vAlign w:val="center"/>
          </w:tcPr>
          <w:p w14:paraId="03D45793">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《中华人民共和国政府采购法》第二十二条规定</w:t>
            </w:r>
          </w:p>
        </w:tc>
        <w:tc>
          <w:tcPr>
            <w:tcW w:w="3118" w:type="dxa"/>
            <w:tcBorders>
              <w:top w:val="single" w:color="auto" w:sz="4" w:space="0"/>
              <w:left w:val="single" w:color="auto" w:sz="4" w:space="0"/>
              <w:bottom w:val="single" w:color="auto" w:sz="4" w:space="0"/>
              <w:right w:val="single" w:color="auto" w:sz="4" w:space="0"/>
            </w:tcBorders>
            <w:vAlign w:val="center"/>
          </w:tcPr>
          <w:p w14:paraId="2E8CC215">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4984" w:type="dxa"/>
            <w:tcBorders>
              <w:top w:val="single" w:color="auto" w:sz="4" w:space="0"/>
              <w:left w:val="single" w:color="auto" w:sz="4" w:space="0"/>
              <w:bottom w:val="single" w:color="auto" w:sz="4" w:space="0"/>
              <w:right w:val="single" w:color="auto" w:sz="4" w:space="0"/>
            </w:tcBorders>
            <w:vAlign w:val="center"/>
          </w:tcPr>
          <w:p w14:paraId="1378F9AF">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0901AB3B">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48F9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nil"/>
              <w:left w:val="single" w:color="auto" w:sz="4" w:space="0"/>
              <w:bottom w:val="single" w:color="auto" w:sz="4" w:space="0"/>
              <w:right w:val="single" w:color="auto" w:sz="4" w:space="0"/>
            </w:tcBorders>
            <w:vAlign w:val="center"/>
          </w:tcPr>
          <w:p w14:paraId="50FF58AA">
            <w:pPr>
              <w:widowControl/>
              <w:spacing w:line="500" w:lineRule="exact"/>
              <w:jc w:val="left"/>
              <w:rPr>
                <w:rFonts w:ascii="宋体" w:hAnsi="宋体" w:cs="宋体"/>
                <w:color w:val="auto"/>
                <w:sz w:val="21"/>
                <w:szCs w:val="21"/>
                <w:highlight w:val="none"/>
              </w:rPr>
            </w:pPr>
          </w:p>
        </w:tc>
        <w:tc>
          <w:tcPr>
            <w:tcW w:w="3827" w:type="dxa"/>
            <w:vMerge w:val="continue"/>
            <w:tcBorders>
              <w:top w:val="nil"/>
              <w:left w:val="single" w:color="auto" w:sz="4" w:space="0"/>
              <w:bottom w:val="single" w:color="auto" w:sz="4" w:space="0"/>
              <w:right w:val="single" w:color="auto" w:sz="4" w:space="0"/>
            </w:tcBorders>
            <w:vAlign w:val="center"/>
          </w:tcPr>
          <w:p w14:paraId="7094A811">
            <w:pPr>
              <w:widowControl/>
              <w:spacing w:line="500" w:lineRule="exact"/>
              <w:jc w:val="left"/>
              <w:rPr>
                <w:rFonts w:ascii="宋体" w:hAnsi="宋体" w:cs="宋体"/>
                <w:color w:val="auto"/>
                <w:sz w:val="21"/>
                <w:szCs w:val="21"/>
                <w:highlight w:val="none"/>
              </w:rPr>
            </w:pPr>
          </w:p>
        </w:tc>
        <w:tc>
          <w:tcPr>
            <w:tcW w:w="3118" w:type="dxa"/>
            <w:tcBorders>
              <w:top w:val="single" w:color="auto" w:sz="4" w:space="0"/>
              <w:left w:val="single" w:color="auto" w:sz="4" w:space="0"/>
              <w:bottom w:val="single" w:color="auto" w:sz="4" w:space="0"/>
              <w:right w:val="single" w:color="auto" w:sz="4" w:space="0"/>
            </w:tcBorders>
            <w:vAlign w:val="center"/>
          </w:tcPr>
          <w:p w14:paraId="6BA35253">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2.具有良好的商业信誉和健全的财务会计制度</w:t>
            </w:r>
          </w:p>
        </w:tc>
        <w:tc>
          <w:tcPr>
            <w:tcW w:w="4984" w:type="dxa"/>
            <w:vMerge w:val="restart"/>
            <w:tcBorders>
              <w:top w:val="nil"/>
              <w:left w:val="single" w:color="auto" w:sz="4" w:space="0"/>
              <w:bottom w:val="single" w:color="auto" w:sz="4" w:space="0"/>
              <w:right w:val="single" w:color="auto" w:sz="4" w:space="0"/>
            </w:tcBorders>
            <w:vAlign w:val="center"/>
          </w:tcPr>
          <w:p w14:paraId="077F3973">
            <w:pPr>
              <w:spacing w:line="500" w:lineRule="exact"/>
              <w:rPr>
                <w:rFonts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1D4A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nil"/>
              <w:left w:val="single" w:color="auto" w:sz="4" w:space="0"/>
              <w:bottom w:val="single" w:color="auto" w:sz="4" w:space="0"/>
              <w:right w:val="single" w:color="auto" w:sz="4" w:space="0"/>
            </w:tcBorders>
            <w:vAlign w:val="center"/>
          </w:tcPr>
          <w:p w14:paraId="7D10CD74">
            <w:pPr>
              <w:widowControl/>
              <w:spacing w:line="500" w:lineRule="exact"/>
              <w:jc w:val="left"/>
              <w:rPr>
                <w:rFonts w:ascii="宋体" w:hAnsi="宋体" w:cs="宋体"/>
                <w:color w:val="auto"/>
                <w:sz w:val="21"/>
                <w:szCs w:val="21"/>
                <w:highlight w:val="none"/>
              </w:rPr>
            </w:pPr>
          </w:p>
        </w:tc>
        <w:tc>
          <w:tcPr>
            <w:tcW w:w="3827" w:type="dxa"/>
            <w:vMerge w:val="continue"/>
            <w:tcBorders>
              <w:top w:val="nil"/>
              <w:left w:val="single" w:color="auto" w:sz="4" w:space="0"/>
              <w:bottom w:val="single" w:color="auto" w:sz="4" w:space="0"/>
              <w:right w:val="single" w:color="auto" w:sz="4" w:space="0"/>
            </w:tcBorders>
            <w:vAlign w:val="center"/>
          </w:tcPr>
          <w:p w14:paraId="03B9A676">
            <w:pPr>
              <w:widowControl/>
              <w:spacing w:line="500" w:lineRule="exact"/>
              <w:jc w:val="left"/>
              <w:rPr>
                <w:rFonts w:ascii="宋体" w:hAnsi="宋体" w:cs="宋体"/>
                <w:color w:val="auto"/>
                <w:sz w:val="21"/>
                <w:szCs w:val="21"/>
                <w:highlight w:val="none"/>
              </w:rPr>
            </w:pPr>
          </w:p>
        </w:tc>
        <w:tc>
          <w:tcPr>
            <w:tcW w:w="3118" w:type="dxa"/>
            <w:tcBorders>
              <w:top w:val="single" w:color="auto" w:sz="4" w:space="0"/>
              <w:left w:val="single" w:color="auto" w:sz="4" w:space="0"/>
              <w:bottom w:val="single" w:color="auto" w:sz="4" w:space="0"/>
              <w:right w:val="single" w:color="auto" w:sz="4" w:space="0"/>
            </w:tcBorders>
            <w:vAlign w:val="center"/>
          </w:tcPr>
          <w:p w14:paraId="1B72130E">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3.具有履行合同所必需的设备和专业技术能力</w:t>
            </w:r>
          </w:p>
        </w:tc>
        <w:tc>
          <w:tcPr>
            <w:tcW w:w="4984" w:type="dxa"/>
            <w:vMerge w:val="continue"/>
            <w:tcBorders>
              <w:top w:val="nil"/>
              <w:left w:val="single" w:color="auto" w:sz="4" w:space="0"/>
              <w:bottom w:val="single" w:color="auto" w:sz="4" w:space="0"/>
              <w:right w:val="single" w:color="auto" w:sz="4" w:space="0"/>
            </w:tcBorders>
            <w:vAlign w:val="center"/>
          </w:tcPr>
          <w:p w14:paraId="298203B6">
            <w:pPr>
              <w:widowControl/>
              <w:spacing w:line="500" w:lineRule="exact"/>
              <w:jc w:val="left"/>
              <w:rPr>
                <w:rFonts w:ascii="宋体" w:hAnsi="宋体" w:cs="宋体"/>
                <w:b/>
                <w:color w:val="auto"/>
                <w:sz w:val="21"/>
                <w:szCs w:val="21"/>
                <w:highlight w:val="none"/>
              </w:rPr>
            </w:pPr>
          </w:p>
        </w:tc>
      </w:tr>
      <w:tr w14:paraId="1A59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nil"/>
              <w:left w:val="single" w:color="auto" w:sz="4" w:space="0"/>
              <w:bottom w:val="single" w:color="auto" w:sz="4" w:space="0"/>
              <w:right w:val="single" w:color="auto" w:sz="4" w:space="0"/>
            </w:tcBorders>
            <w:vAlign w:val="center"/>
          </w:tcPr>
          <w:p w14:paraId="38AC7FEC">
            <w:pPr>
              <w:widowControl/>
              <w:spacing w:line="500" w:lineRule="exact"/>
              <w:jc w:val="left"/>
              <w:rPr>
                <w:rFonts w:ascii="宋体" w:hAnsi="宋体" w:cs="宋体"/>
                <w:color w:val="auto"/>
                <w:sz w:val="21"/>
                <w:szCs w:val="21"/>
                <w:highlight w:val="none"/>
              </w:rPr>
            </w:pPr>
          </w:p>
        </w:tc>
        <w:tc>
          <w:tcPr>
            <w:tcW w:w="3827" w:type="dxa"/>
            <w:vMerge w:val="continue"/>
            <w:tcBorders>
              <w:top w:val="nil"/>
              <w:left w:val="single" w:color="auto" w:sz="4" w:space="0"/>
              <w:bottom w:val="single" w:color="auto" w:sz="4" w:space="0"/>
              <w:right w:val="single" w:color="auto" w:sz="4" w:space="0"/>
            </w:tcBorders>
            <w:vAlign w:val="center"/>
          </w:tcPr>
          <w:p w14:paraId="3674604C">
            <w:pPr>
              <w:widowControl/>
              <w:spacing w:line="500" w:lineRule="exact"/>
              <w:jc w:val="left"/>
              <w:rPr>
                <w:rFonts w:ascii="宋体" w:hAnsi="宋体" w:cs="宋体"/>
                <w:color w:val="auto"/>
                <w:sz w:val="21"/>
                <w:szCs w:val="21"/>
                <w:highlight w:val="none"/>
              </w:rPr>
            </w:pPr>
          </w:p>
        </w:tc>
        <w:tc>
          <w:tcPr>
            <w:tcW w:w="3118" w:type="dxa"/>
            <w:tcBorders>
              <w:top w:val="single" w:color="auto" w:sz="4" w:space="0"/>
              <w:left w:val="single" w:color="auto" w:sz="4" w:space="0"/>
              <w:bottom w:val="single" w:color="auto" w:sz="4" w:space="0"/>
              <w:right w:val="single" w:color="auto" w:sz="4" w:space="0"/>
            </w:tcBorders>
            <w:vAlign w:val="center"/>
          </w:tcPr>
          <w:p w14:paraId="5DF51D67">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4.有依法缴纳税收和社会保障金的良好记录</w:t>
            </w:r>
          </w:p>
        </w:tc>
        <w:tc>
          <w:tcPr>
            <w:tcW w:w="4984" w:type="dxa"/>
            <w:vMerge w:val="continue"/>
            <w:tcBorders>
              <w:top w:val="nil"/>
              <w:left w:val="single" w:color="auto" w:sz="4" w:space="0"/>
              <w:bottom w:val="single" w:color="auto" w:sz="4" w:space="0"/>
              <w:right w:val="single" w:color="auto" w:sz="4" w:space="0"/>
            </w:tcBorders>
            <w:vAlign w:val="center"/>
          </w:tcPr>
          <w:p w14:paraId="4F5ED303">
            <w:pPr>
              <w:widowControl/>
              <w:spacing w:line="500" w:lineRule="exact"/>
              <w:jc w:val="left"/>
              <w:rPr>
                <w:rFonts w:ascii="宋体" w:hAnsi="宋体" w:cs="宋体"/>
                <w:b/>
                <w:color w:val="auto"/>
                <w:sz w:val="21"/>
                <w:szCs w:val="21"/>
                <w:highlight w:val="none"/>
              </w:rPr>
            </w:pPr>
          </w:p>
        </w:tc>
      </w:tr>
      <w:tr w14:paraId="4E6A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nil"/>
              <w:left w:val="single" w:color="auto" w:sz="4" w:space="0"/>
              <w:bottom w:val="single" w:color="auto" w:sz="4" w:space="0"/>
              <w:right w:val="single" w:color="auto" w:sz="4" w:space="0"/>
            </w:tcBorders>
            <w:vAlign w:val="center"/>
          </w:tcPr>
          <w:p w14:paraId="6EB13D0D">
            <w:pPr>
              <w:widowControl/>
              <w:spacing w:line="500" w:lineRule="exact"/>
              <w:jc w:val="left"/>
              <w:rPr>
                <w:rFonts w:ascii="宋体" w:hAnsi="宋体" w:cs="宋体"/>
                <w:color w:val="auto"/>
                <w:sz w:val="21"/>
                <w:szCs w:val="21"/>
                <w:highlight w:val="none"/>
              </w:rPr>
            </w:pPr>
          </w:p>
        </w:tc>
        <w:tc>
          <w:tcPr>
            <w:tcW w:w="3827" w:type="dxa"/>
            <w:vMerge w:val="continue"/>
            <w:tcBorders>
              <w:top w:val="nil"/>
              <w:left w:val="single" w:color="auto" w:sz="4" w:space="0"/>
              <w:bottom w:val="single" w:color="auto" w:sz="4" w:space="0"/>
              <w:right w:val="single" w:color="auto" w:sz="4" w:space="0"/>
            </w:tcBorders>
            <w:vAlign w:val="center"/>
          </w:tcPr>
          <w:p w14:paraId="70B88DFD">
            <w:pPr>
              <w:widowControl/>
              <w:spacing w:line="500" w:lineRule="exact"/>
              <w:jc w:val="left"/>
              <w:rPr>
                <w:rFonts w:ascii="宋体" w:hAnsi="宋体" w:cs="宋体"/>
                <w:color w:val="auto"/>
                <w:sz w:val="21"/>
                <w:szCs w:val="21"/>
                <w:highlight w:val="none"/>
              </w:rPr>
            </w:pPr>
          </w:p>
        </w:tc>
        <w:tc>
          <w:tcPr>
            <w:tcW w:w="3118" w:type="dxa"/>
            <w:tcBorders>
              <w:top w:val="single" w:color="auto" w:sz="4" w:space="0"/>
              <w:left w:val="single" w:color="auto" w:sz="4" w:space="0"/>
              <w:bottom w:val="single" w:color="auto" w:sz="4" w:space="0"/>
              <w:right w:val="single" w:color="auto" w:sz="4" w:space="0"/>
            </w:tcBorders>
            <w:vAlign w:val="center"/>
          </w:tcPr>
          <w:p w14:paraId="5DD7BB63">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tc>
        <w:tc>
          <w:tcPr>
            <w:tcW w:w="4984" w:type="dxa"/>
            <w:vMerge w:val="continue"/>
            <w:tcBorders>
              <w:top w:val="nil"/>
              <w:left w:val="single" w:color="auto" w:sz="4" w:space="0"/>
              <w:bottom w:val="single" w:color="auto" w:sz="4" w:space="0"/>
              <w:right w:val="single" w:color="auto" w:sz="4" w:space="0"/>
            </w:tcBorders>
            <w:vAlign w:val="center"/>
          </w:tcPr>
          <w:p w14:paraId="4A2FFCC4">
            <w:pPr>
              <w:widowControl/>
              <w:spacing w:line="500" w:lineRule="exact"/>
              <w:jc w:val="left"/>
              <w:rPr>
                <w:rFonts w:ascii="宋体" w:hAnsi="宋体" w:cs="宋体"/>
                <w:b/>
                <w:color w:val="auto"/>
                <w:sz w:val="21"/>
                <w:szCs w:val="21"/>
                <w:highlight w:val="none"/>
              </w:rPr>
            </w:pPr>
          </w:p>
        </w:tc>
      </w:tr>
      <w:tr w14:paraId="79D3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nil"/>
              <w:left w:val="single" w:color="auto" w:sz="4" w:space="0"/>
              <w:bottom w:val="single" w:color="auto" w:sz="4" w:space="0"/>
              <w:right w:val="single" w:color="auto" w:sz="4" w:space="0"/>
            </w:tcBorders>
            <w:vAlign w:val="center"/>
          </w:tcPr>
          <w:p w14:paraId="4A6EB082">
            <w:pPr>
              <w:widowControl/>
              <w:spacing w:line="500" w:lineRule="exact"/>
              <w:jc w:val="left"/>
              <w:rPr>
                <w:rFonts w:ascii="宋体" w:hAnsi="宋体" w:cs="宋体"/>
                <w:color w:val="auto"/>
                <w:sz w:val="21"/>
                <w:szCs w:val="21"/>
                <w:highlight w:val="none"/>
              </w:rPr>
            </w:pPr>
          </w:p>
        </w:tc>
        <w:tc>
          <w:tcPr>
            <w:tcW w:w="3827" w:type="dxa"/>
            <w:vMerge w:val="continue"/>
            <w:tcBorders>
              <w:top w:val="nil"/>
              <w:left w:val="single" w:color="auto" w:sz="4" w:space="0"/>
              <w:bottom w:val="single" w:color="auto" w:sz="4" w:space="0"/>
              <w:right w:val="single" w:color="auto" w:sz="4" w:space="0"/>
            </w:tcBorders>
            <w:vAlign w:val="center"/>
          </w:tcPr>
          <w:p w14:paraId="4E6BAADD">
            <w:pPr>
              <w:widowControl/>
              <w:spacing w:line="500" w:lineRule="exact"/>
              <w:jc w:val="left"/>
              <w:rPr>
                <w:rFonts w:ascii="宋体" w:hAnsi="宋体" w:cs="宋体"/>
                <w:color w:val="auto"/>
                <w:sz w:val="21"/>
                <w:szCs w:val="21"/>
                <w:highlight w:val="none"/>
              </w:rPr>
            </w:pPr>
          </w:p>
        </w:tc>
        <w:tc>
          <w:tcPr>
            <w:tcW w:w="3118" w:type="dxa"/>
            <w:tcBorders>
              <w:top w:val="single" w:color="auto" w:sz="4" w:space="0"/>
              <w:left w:val="single" w:color="auto" w:sz="4" w:space="0"/>
              <w:bottom w:val="single" w:color="auto" w:sz="4" w:space="0"/>
              <w:right w:val="single" w:color="auto" w:sz="4" w:space="0"/>
            </w:tcBorders>
            <w:vAlign w:val="center"/>
          </w:tcPr>
          <w:p w14:paraId="794D157C">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4984" w:type="dxa"/>
            <w:tcBorders>
              <w:top w:val="single" w:color="auto" w:sz="4" w:space="0"/>
              <w:left w:val="single" w:color="auto" w:sz="4" w:space="0"/>
              <w:bottom w:val="single" w:color="auto" w:sz="4" w:space="0"/>
              <w:right w:val="single" w:color="auto" w:sz="4" w:space="0"/>
            </w:tcBorders>
            <w:vAlign w:val="center"/>
          </w:tcPr>
          <w:p w14:paraId="06E686F2">
            <w:pPr>
              <w:spacing w:line="500" w:lineRule="exact"/>
              <w:rPr>
                <w:rFonts w:ascii="宋体" w:hAnsi="宋体" w:cs="宋体"/>
                <w:color w:val="auto"/>
                <w:sz w:val="21"/>
                <w:szCs w:val="21"/>
                <w:highlight w:val="none"/>
              </w:rPr>
            </w:pPr>
          </w:p>
        </w:tc>
      </w:tr>
      <w:tr w14:paraId="032A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nil"/>
              <w:left w:val="single" w:color="auto" w:sz="4" w:space="0"/>
              <w:bottom w:val="single" w:color="auto" w:sz="4" w:space="0"/>
              <w:right w:val="single" w:color="auto" w:sz="4" w:space="0"/>
            </w:tcBorders>
            <w:vAlign w:val="center"/>
          </w:tcPr>
          <w:p w14:paraId="2F9F2943">
            <w:pPr>
              <w:widowControl/>
              <w:spacing w:line="500" w:lineRule="exact"/>
              <w:jc w:val="left"/>
              <w:rPr>
                <w:rFonts w:ascii="宋体" w:hAnsi="宋体" w:cs="宋体"/>
                <w:color w:val="auto"/>
                <w:sz w:val="21"/>
                <w:szCs w:val="21"/>
                <w:highlight w:val="none"/>
              </w:rPr>
            </w:pPr>
          </w:p>
        </w:tc>
        <w:tc>
          <w:tcPr>
            <w:tcW w:w="3827" w:type="dxa"/>
            <w:vMerge w:val="continue"/>
            <w:tcBorders>
              <w:top w:val="nil"/>
              <w:left w:val="single" w:color="auto" w:sz="4" w:space="0"/>
              <w:bottom w:val="single" w:color="auto" w:sz="4" w:space="0"/>
              <w:right w:val="single" w:color="auto" w:sz="4" w:space="0"/>
            </w:tcBorders>
            <w:vAlign w:val="center"/>
          </w:tcPr>
          <w:p w14:paraId="5A856F4B">
            <w:pPr>
              <w:widowControl/>
              <w:spacing w:line="500" w:lineRule="exact"/>
              <w:jc w:val="left"/>
              <w:rPr>
                <w:rFonts w:ascii="宋体" w:hAnsi="宋体" w:cs="宋体"/>
                <w:color w:val="auto"/>
                <w:sz w:val="21"/>
                <w:szCs w:val="21"/>
                <w:highlight w:val="none"/>
              </w:rPr>
            </w:pPr>
          </w:p>
        </w:tc>
        <w:tc>
          <w:tcPr>
            <w:tcW w:w="3118" w:type="dxa"/>
            <w:tcBorders>
              <w:top w:val="single" w:color="auto" w:sz="4" w:space="0"/>
              <w:left w:val="single" w:color="auto" w:sz="4" w:space="0"/>
              <w:bottom w:val="single" w:color="auto" w:sz="4" w:space="0"/>
              <w:right w:val="single" w:color="auto" w:sz="4" w:space="0"/>
            </w:tcBorders>
            <w:vAlign w:val="center"/>
          </w:tcPr>
          <w:p w14:paraId="53F1513C">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4984" w:type="dxa"/>
            <w:tcBorders>
              <w:top w:val="single" w:color="auto" w:sz="4" w:space="0"/>
              <w:left w:val="single" w:color="auto" w:sz="4" w:space="0"/>
              <w:bottom w:val="single" w:color="auto" w:sz="4" w:space="0"/>
              <w:right w:val="single" w:color="auto" w:sz="4" w:space="0"/>
            </w:tcBorders>
            <w:vAlign w:val="center"/>
          </w:tcPr>
          <w:p w14:paraId="62F3591E">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按“第一篇三、供应商资格要求（三）本项目的特定资格要求”的要求提交（如果有）。</w:t>
            </w:r>
          </w:p>
        </w:tc>
      </w:tr>
      <w:tr w14:paraId="3DB4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DB137ED">
            <w:pPr>
              <w:spacing w:line="5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（二）</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68DBE9B7">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落实政府采购政策需满足的资格要求</w:t>
            </w:r>
          </w:p>
        </w:tc>
        <w:tc>
          <w:tcPr>
            <w:tcW w:w="4984" w:type="dxa"/>
            <w:tcBorders>
              <w:top w:val="single" w:color="auto" w:sz="4" w:space="0"/>
              <w:left w:val="single" w:color="auto" w:sz="4" w:space="0"/>
              <w:bottom w:val="single" w:color="auto" w:sz="4" w:space="0"/>
              <w:right w:val="single" w:color="auto" w:sz="4" w:space="0"/>
            </w:tcBorders>
            <w:vAlign w:val="center"/>
          </w:tcPr>
          <w:p w14:paraId="7DD1609F">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按“第一篇三、供应商资格要求（二）落实政府采购政策需满足的资格要求”的要求提交（如果有）。</w:t>
            </w:r>
          </w:p>
        </w:tc>
      </w:tr>
    </w:tbl>
    <w:p w14:paraId="3E76152F">
      <w:pPr>
        <w:snapToGrid w:val="0"/>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63049D3A">
      <w:pPr>
        <w:snapToGrid w:val="0"/>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6A0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66CAB3CD">
            <w:pPr>
              <w:spacing w:line="5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24332192">
            <w:pPr>
              <w:spacing w:line="5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5409" w:type="dxa"/>
            <w:tcBorders>
              <w:top w:val="single" w:color="auto" w:sz="4" w:space="0"/>
              <w:left w:val="single" w:color="auto" w:sz="4" w:space="0"/>
              <w:bottom w:val="single" w:color="auto" w:sz="4" w:space="0"/>
              <w:right w:val="single" w:color="auto" w:sz="4" w:space="0"/>
            </w:tcBorders>
            <w:vAlign w:val="center"/>
          </w:tcPr>
          <w:p w14:paraId="45A88A3E">
            <w:pPr>
              <w:spacing w:line="500" w:lineRule="exact"/>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77E6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nil"/>
              <w:left w:val="single" w:color="auto" w:sz="4" w:space="0"/>
              <w:bottom w:val="single" w:color="auto" w:sz="4" w:space="0"/>
              <w:right w:val="single" w:color="auto" w:sz="4" w:space="0"/>
            </w:tcBorders>
            <w:vAlign w:val="center"/>
          </w:tcPr>
          <w:p w14:paraId="40D3DEBE">
            <w:pPr>
              <w:spacing w:line="50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60" w:type="dxa"/>
            <w:vMerge w:val="restart"/>
            <w:tcBorders>
              <w:top w:val="nil"/>
              <w:left w:val="single" w:color="auto" w:sz="4" w:space="0"/>
              <w:bottom w:val="single" w:color="auto" w:sz="4" w:space="0"/>
              <w:right w:val="single" w:color="auto" w:sz="4" w:space="0"/>
            </w:tcBorders>
            <w:vAlign w:val="center"/>
          </w:tcPr>
          <w:p w14:paraId="04BAF32F">
            <w:pPr>
              <w:spacing w:line="5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984" w:type="dxa"/>
            <w:tcBorders>
              <w:top w:val="single" w:color="auto" w:sz="4" w:space="0"/>
              <w:left w:val="single" w:color="auto" w:sz="4" w:space="0"/>
              <w:bottom w:val="single" w:color="auto" w:sz="4" w:space="0"/>
              <w:right w:val="single" w:color="auto" w:sz="4" w:space="0"/>
            </w:tcBorders>
            <w:vAlign w:val="center"/>
          </w:tcPr>
          <w:p w14:paraId="65DB49C9">
            <w:pPr>
              <w:spacing w:line="50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5409" w:type="dxa"/>
            <w:tcBorders>
              <w:top w:val="single" w:color="auto" w:sz="4" w:space="0"/>
              <w:left w:val="single" w:color="auto" w:sz="4" w:space="0"/>
              <w:bottom w:val="single" w:color="auto" w:sz="4" w:space="0"/>
              <w:right w:val="single" w:color="auto" w:sz="4" w:space="0"/>
            </w:tcBorders>
            <w:vAlign w:val="center"/>
          </w:tcPr>
          <w:p w14:paraId="6C3F6CA4">
            <w:pPr>
              <w:spacing w:line="50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按竞争性磋商文件“第七篇响应文件编制要求”要求签署或盖章。</w:t>
            </w:r>
          </w:p>
        </w:tc>
      </w:tr>
      <w:tr w14:paraId="5048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top w:val="nil"/>
              <w:left w:val="single" w:color="auto" w:sz="4" w:space="0"/>
              <w:bottom w:val="single" w:color="auto" w:sz="4" w:space="0"/>
              <w:right w:val="single" w:color="auto" w:sz="4" w:space="0"/>
            </w:tcBorders>
            <w:vAlign w:val="center"/>
          </w:tcPr>
          <w:p w14:paraId="6F51588C">
            <w:pPr>
              <w:widowControl/>
              <w:spacing w:line="500" w:lineRule="exact"/>
              <w:jc w:val="left"/>
              <w:rPr>
                <w:rFonts w:ascii="宋体" w:hAnsi="宋体" w:cs="宋体"/>
                <w:color w:val="auto"/>
                <w:kern w:val="0"/>
                <w:sz w:val="21"/>
                <w:szCs w:val="21"/>
                <w:highlight w:val="none"/>
              </w:rPr>
            </w:pPr>
          </w:p>
        </w:tc>
        <w:tc>
          <w:tcPr>
            <w:tcW w:w="3544" w:type="dxa"/>
            <w:vMerge w:val="continue"/>
            <w:tcBorders>
              <w:top w:val="nil"/>
              <w:left w:val="single" w:color="auto" w:sz="4" w:space="0"/>
              <w:bottom w:val="single" w:color="auto" w:sz="4" w:space="0"/>
              <w:right w:val="single" w:color="auto" w:sz="4" w:space="0"/>
            </w:tcBorders>
            <w:vAlign w:val="center"/>
          </w:tcPr>
          <w:p w14:paraId="64C71640">
            <w:pPr>
              <w:widowControl/>
              <w:spacing w:line="500" w:lineRule="exact"/>
              <w:jc w:val="left"/>
              <w:rPr>
                <w:rFonts w:ascii="宋体" w:hAnsi="宋体" w:cs="宋体"/>
                <w:color w:val="auto"/>
                <w:kern w:val="0"/>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39707BB5">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5409" w:type="dxa"/>
            <w:tcBorders>
              <w:top w:val="single" w:color="auto" w:sz="4" w:space="0"/>
              <w:left w:val="single" w:color="auto" w:sz="4" w:space="0"/>
              <w:bottom w:val="single" w:color="auto" w:sz="4" w:space="0"/>
              <w:right w:val="single" w:color="auto" w:sz="4" w:space="0"/>
            </w:tcBorders>
            <w:vAlign w:val="center"/>
          </w:tcPr>
          <w:p w14:paraId="0C7F1A56">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法定代表人身份证明及授权委托书有效，符合竞争性磋商文件规定的格式，签署或盖章齐全。</w:t>
            </w:r>
          </w:p>
        </w:tc>
      </w:tr>
      <w:tr w14:paraId="695F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nil"/>
              <w:left w:val="single" w:color="auto" w:sz="4" w:space="0"/>
              <w:bottom w:val="single" w:color="auto" w:sz="4" w:space="0"/>
              <w:right w:val="single" w:color="auto" w:sz="4" w:space="0"/>
            </w:tcBorders>
            <w:vAlign w:val="center"/>
          </w:tcPr>
          <w:p w14:paraId="72739BC3">
            <w:pPr>
              <w:widowControl/>
              <w:spacing w:line="500" w:lineRule="exact"/>
              <w:jc w:val="left"/>
              <w:rPr>
                <w:rFonts w:ascii="宋体" w:hAnsi="宋体" w:cs="宋体"/>
                <w:color w:val="auto"/>
                <w:kern w:val="0"/>
                <w:sz w:val="21"/>
                <w:szCs w:val="21"/>
                <w:highlight w:val="none"/>
              </w:rPr>
            </w:pPr>
          </w:p>
        </w:tc>
        <w:tc>
          <w:tcPr>
            <w:tcW w:w="3544" w:type="dxa"/>
            <w:vMerge w:val="continue"/>
            <w:tcBorders>
              <w:top w:val="nil"/>
              <w:left w:val="single" w:color="auto" w:sz="4" w:space="0"/>
              <w:bottom w:val="single" w:color="auto" w:sz="4" w:space="0"/>
              <w:right w:val="single" w:color="auto" w:sz="4" w:space="0"/>
            </w:tcBorders>
            <w:vAlign w:val="center"/>
          </w:tcPr>
          <w:p w14:paraId="79194E43">
            <w:pPr>
              <w:widowControl/>
              <w:spacing w:line="500" w:lineRule="exact"/>
              <w:jc w:val="left"/>
              <w:rPr>
                <w:rFonts w:ascii="宋体" w:hAnsi="宋体" w:cs="宋体"/>
                <w:color w:val="auto"/>
                <w:kern w:val="0"/>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7A05E461">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响应方案</w:t>
            </w:r>
          </w:p>
        </w:tc>
        <w:tc>
          <w:tcPr>
            <w:tcW w:w="5409" w:type="dxa"/>
            <w:tcBorders>
              <w:top w:val="single" w:color="auto" w:sz="4" w:space="0"/>
              <w:left w:val="single" w:color="auto" w:sz="4" w:space="0"/>
              <w:bottom w:val="single" w:color="auto" w:sz="4" w:space="0"/>
              <w:right w:val="single" w:color="auto" w:sz="4" w:space="0"/>
            </w:tcBorders>
            <w:vAlign w:val="center"/>
          </w:tcPr>
          <w:p w14:paraId="079E5EA2">
            <w:pPr>
              <w:spacing w:line="50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每个包只能有一个响应方案。</w:t>
            </w:r>
          </w:p>
        </w:tc>
      </w:tr>
      <w:tr w14:paraId="2332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tcBorders>
              <w:top w:val="nil"/>
              <w:left w:val="single" w:color="auto" w:sz="4" w:space="0"/>
              <w:bottom w:val="single" w:color="auto" w:sz="4" w:space="0"/>
              <w:right w:val="single" w:color="auto" w:sz="4" w:space="0"/>
            </w:tcBorders>
            <w:vAlign w:val="center"/>
          </w:tcPr>
          <w:p w14:paraId="0EF7EBB5">
            <w:pPr>
              <w:widowControl/>
              <w:spacing w:line="500" w:lineRule="exact"/>
              <w:jc w:val="left"/>
              <w:rPr>
                <w:rFonts w:ascii="宋体" w:hAnsi="宋体" w:cs="宋体"/>
                <w:color w:val="auto"/>
                <w:kern w:val="0"/>
                <w:sz w:val="21"/>
                <w:szCs w:val="21"/>
                <w:highlight w:val="none"/>
              </w:rPr>
            </w:pPr>
          </w:p>
        </w:tc>
        <w:tc>
          <w:tcPr>
            <w:tcW w:w="3544" w:type="dxa"/>
            <w:vMerge w:val="continue"/>
            <w:tcBorders>
              <w:top w:val="nil"/>
              <w:left w:val="single" w:color="auto" w:sz="4" w:space="0"/>
              <w:bottom w:val="single" w:color="auto" w:sz="4" w:space="0"/>
              <w:right w:val="single" w:color="auto" w:sz="4" w:space="0"/>
            </w:tcBorders>
            <w:vAlign w:val="center"/>
          </w:tcPr>
          <w:p w14:paraId="0B8FCE93">
            <w:pPr>
              <w:widowControl/>
              <w:spacing w:line="500" w:lineRule="exact"/>
              <w:jc w:val="left"/>
              <w:rPr>
                <w:rFonts w:ascii="宋体" w:hAnsi="宋体" w:cs="宋体"/>
                <w:color w:val="auto"/>
                <w:kern w:val="0"/>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682FD6A9">
            <w:pPr>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报价唯一</w:t>
            </w:r>
          </w:p>
        </w:tc>
        <w:tc>
          <w:tcPr>
            <w:tcW w:w="5409" w:type="dxa"/>
            <w:tcBorders>
              <w:top w:val="single" w:color="auto" w:sz="4" w:space="0"/>
              <w:left w:val="single" w:color="auto" w:sz="4" w:space="0"/>
              <w:bottom w:val="single" w:color="auto" w:sz="4" w:space="0"/>
              <w:right w:val="single" w:color="auto" w:sz="4" w:space="0"/>
            </w:tcBorders>
            <w:vAlign w:val="center"/>
          </w:tcPr>
          <w:p w14:paraId="102A002C">
            <w:pPr>
              <w:spacing w:line="50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4FBD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tcBorders>
              <w:top w:val="single" w:color="auto" w:sz="4" w:space="0"/>
              <w:left w:val="single" w:color="auto" w:sz="4" w:space="0"/>
              <w:bottom w:val="single" w:color="auto" w:sz="4" w:space="0"/>
              <w:right w:val="single" w:color="auto" w:sz="4" w:space="0"/>
            </w:tcBorders>
            <w:vAlign w:val="center"/>
          </w:tcPr>
          <w:p w14:paraId="677D280C">
            <w:pPr>
              <w:spacing w:line="50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560" w:type="dxa"/>
            <w:tcBorders>
              <w:top w:val="single" w:color="auto" w:sz="4" w:space="0"/>
              <w:left w:val="single" w:color="auto" w:sz="4" w:space="0"/>
              <w:bottom w:val="single" w:color="auto" w:sz="4" w:space="0"/>
              <w:right w:val="single" w:color="auto" w:sz="4" w:space="0"/>
            </w:tcBorders>
            <w:vAlign w:val="center"/>
          </w:tcPr>
          <w:p w14:paraId="101B25F6">
            <w:pPr>
              <w:spacing w:line="5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984" w:type="dxa"/>
            <w:tcBorders>
              <w:top w:val="single" w:color="auto" w:sz="4" w:space="0"/>
              <w:left w:val="single" w:color="auto" w:sz="4" w:space="0"/>
              <w:bottom w:val="single" w:color="auto" w:sz="4" w:space="0"/>
              <w:right w:val="single" w:color="auto" w:sz="4" w:space="0"/>
            </w:tcBorders>
            <w:vAlign w:val="center"/>
          </w:tcPr>
          <w:p w14:paraId="2913EE5C">
            <w:pPr>
              <w:spacing w:line="50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响应文件份数</w:t>
            </w:r>
          </w:p>
        </w:tc>
        <w:tc>
          <w:tcPr>
            <w:tcW w:w="5409" w:type="dxa"/>
            <w:tcBorders>
              <w:top w:val="single" w:color="auto" w:sz="4" w:space="0"/>
              <w:left w:val="single" w:color="auto" w:sz="4" w:space="0"/>
              <w:bottom w:val="single" w:color="auto" w:sz="4" w:space="0"/>
              <w:right w:val="single" w:color="auto" w:sz="4" w:space="0"/>
            </w:tcBorders>
            <w:vAlign w:val="center"/>
          </w:tcPr>
          <w:p w14:paraId="266A137D">
            <w:pPr>
              <w:spacing w:line="500" w:lineRule="exact"/>
              <w:rPr>
                <w:rFonts w:ascii="宋体" w:hAnsi="宋体" w:cs="宋体"/>
                <w:color w:val="auto"/>
                <w:kern w:val="0"/>
                <w:sz w:val="21"/>
                <w:szCs w:val="21"/>
                <w:highlight w:val="none"/>
              </w:rPr>
            </w:pPr>
            <w:r>
              <w:rPr>
                <w:rFonts w:hint="eastAsia" w:ascii="宋体" w:hAnsi="宋体" w:cs="宋体"/>
                <w:color w:val="auto"/>
                <w:sz w:val="21"/>
                <w:szCs w:val="21"/>
                <w:highlight w:val="none"/>
              </w:rPr>
              <w:t>响应文件正、副本数量（含电子文档）符合竞争性磋商文件要求。</w:t>
            </w:r>
          </w:p>
        </w:tc>
      </w:tr>
      <w:tr w14:paraId="4B66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nil"/>
              <w:left w:val="single" w:color="auto" w:sz="4" w:space="0"/>
              <w:bottom w:val="single" w:color="auto" w:sz="4" w:space="0"/>
              <w:right w:val="single" w:color="auto" w:sz="4" w:space="0"/>
            </w:tcBorders>
            <w:vAlign w:val="center"/>
          </w:tcPr>
          <w:p w14:paraId="5E65356E">
            <w:pPr>
              <w:spacing w:line="50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560" w:type="dxa"/>
            <w:vMerge w:val="restart"/>
            <w:tcBorders>
              <w:top w:val="nil"/>
              <w:left w:val="single" w:color="auto" w:sz="4" w:space="0"/>
              <w:bottom w:val="single" w:color="auto" w:sz="4" w:space="0"/>
              <w:right w:val="single" w:color="auto" w:sz="4" w:space="0"/>
            </w:tcBorders>
            <w:vAlign w:val="center"/>
          </w:tcPr>
          <w:p w14:paraId="79203BE3">
            <w:pPr>
              <w:spacing w:line="500" w:lineRule="exact"/>
              <w:rPr>
                <w:rFonts w:ascii="宋体" w:hAnsi="宋体" w:cs="宋体"/>
                <w:color w:val="auto"/>
                <w:sz w:val="21"/>
                <w:szCs w:val="21"/>
                <w:highlight w:val="none"/>
              </w:rPr>
            </w:pPr>
            <w:r>
              <w:rPr>
                <w:rFonts w:hint="eastAsia" w:ascii="宋体" w:hAnsi="宋体" w:cs="宋体"/>
                <w:color w:val="auto"/>
                <w:kern w:val="0"/>
                <w:sz w:val="21"/>
                <w:szCs w:val="21"/>
                <w:highlight w:val="none"/>
              </w:rPr>
              <w:t>响应程度审查</w:t>
            </w:r>
          </w:p>
        </w:tc>
        <w:tc>
          <w:tcPr>
            <w:tcW w:w="1984" w:type="dxa"/>
            <w:tcBorders>
              <w:top w:val="single" w:color="auto" w:sz="4" w:space="0"/>
              <w:left w:val="single" w:color="auto" w:sz="4" w:space="0"/>
              <w:bottom w:val="single" w:color="auto" w:sz="4" w:space="0"/>
              <w:right w:val="single" w:color="auto" w:sz="4" w:space="0"/>
            </w:tcBorders>
            <w:vAlign w:val="center"/>
          </w:tcPr>
          <w:p w14:paraId="2ED742EC">
            <w:pPr>
              <w:spacing w:line="5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实质性响应</w:t>
            </w:r>
          </w:p>
        </w:tc>
        <w:tc>
          <w:tcPr>
            <w:tcW w:w="5409" w:type="dxa"/>
            <w:tcBorders>
              <w:top w:val="single" w:color="auto" w:sz="4" w:space="0"/>
              <w:left w:val="single" w:color="auto" w:sz="4" w:space="0"/>
              <w:bottom w:val="single" w:color="auto" w:sz="4" w:space="0"/>
              <w:right w:val="single" w:color="auto" w:sz="4" w:space="0"/>
            </w:tcBorders>
            <w:vAlign w:val="center"/>
          </w:tcPr>
          <w:p w14:paraId="66A8200C">
            <w:pPr>
              <w:pStyle w:val="7"/>
              <w:spacing w:line="5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竞争性磋商文件第二篇、第三篇。</w:t>
            </w:r>
          </w:p>
        </w:tc>
      </w:tr>
      <w:tr w14:paraId="6D90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tcBorders>
              <w:top w:val="nil"/>
              <w:left w:val="single" w:color="auto" w:sz="4" w:space="0"/>
              <w:bottom w:val="single" w:color="auto" w:sz="4" w:space="0"/>
              <w:right w:val="single" w:color="auto" w:sz="4" w:space="0"/>
            </w:tcBorders>
            <w:vAlign w:val="center"/>
          </w:tcPr>
          <w:p w14:paraId="31BE1CD4">
            <w:pPr>
              <w:widowControl/>
              <w:spacing w:line="500" w:lineRule="exact"/>
              <w:jc w:val="left"/>
              <w:rPr>
                <w:rFonts w:ascii="宋体" w:hAnsi="宋体" w:cs="宋体"/>
                <w:color w:val="auto"/>
                <w:kern w:val="0"/>
                <w:sz w:val="21"/>
                <w:szCs w:val="21"/>
                <w:highlight w:val="none"/>
              </w:rPr>
            </w:pPr>
          </w:p>
        </w:tc>
        <w:tc>
          <w:tcPr>
            <w:tcW w:w="3544" w:type="dxa"/>
            <w:vMerge w:val="continue"/>
            <w:tcBorders>
              <w:top w:val="nil"/>
              <w:left w:val="single" w:color="auto" w:sz="4" w:space="0"/>
              <w:bottom w:val="single" w:color="auto" w:sz="4" w:space="0"/>
              <w:right w:val="single" w:color="auto" w:sz="4" w:space="0"/>
            </w:tcBorders>
            <w:vAlign w:val="center"/>
          </w:tcPr>
          <w:p w14:paraId="2EACA352">
            <w:pPr>
              <w:widowControl/>
              <w:spacing w:line="500" w:lineRule="exact"/>
              <w:jc w:val="left"/>
              <w:rPr>
                <w:rFonts w:ascii="宋体" w:hAnsi="宋体" w:cs="宋体"/>
                <w:color w:val="auto"/>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22BEEFB9">
            <w:pPr>
              <w:spacing w:line="5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磋商有效期</w:t>
            </w:r>
          </w:p>
        </w:tc>
        <w:tc>
          <w:tcPr>
            <w:tcW w:w="5409" w:type="dxa"/>
            <w:tcBorders>
              <w:top w:val="single" w:color="auto" w:sz="4" w:space="0"/>
              <w:left w:val="single" w:color="auto" w:sz="4" w:space="0"/>
              <w:bottom w:val="single" w:color="auto" w:sz="4" w:space="0"/>
              <w:right w:val="single" w:color="auto" w:sz="4" w:space="0"/>
            </w:tcBorders>
            <w:vAlign w:val="center"/>
          </w:tcPr>
          <w:p w14:paraId="6397F0DB">
            <w:pPr>
              <w:spacing w:line="500" w:lineRule="exac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472F9791">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52214DDC">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6D285F">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F062BB4">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（五）在磋商过程中磋商的任何一方不得向他人透露与磋商有关的服务资料、价格或其他信息。</w:t>
      </w:r>
    </w:p>
    <w:p w14:paraId="22B4CE42">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30C23C5D">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（七）供应商在磋商时作出的所有书面承诺须由法定代表人（或其授权代表）或自然人（供应商为自然人）签署。</w:t>
      </w:r>
    </w:p>
    <w:p w14:paraId="490EBC43">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23777BFC">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color w:val="auto"/>
          <w:sz w:val="24"/>
          <w:szCs w:val="24"/>
          <w:highlight w:val="none"/>
        </w:rPr>
        <w:t>。</w:t>
      </w:r>
    </w:p>
    <w:p w14:paraId="69944F6F">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（十）磋商小组各成员独立对每个有效响应（通过资格性审查、</w:t>
      </w:r>
      <w:r>
        <w:rPr>
          <w:rFonts w:hint="eastAsia" w:ascii="宋体" w:hAnsi="宋体" w:cs="宋体"/>
          <w:color w:val="auto"/>
          <w:kern w:val="0"/>
          <w:sz w:val="24"/>
          <w:szCs w:val="24"/>
          <w:highlight w:val="none"/>
        </w:rPr>
        <w:t>符合性审查的供应商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服务部分得分为0分的供应商将失去成为中标候选人的资格。）</w:t>
      </w:r>
    </w:p>
    <w:p w14:paraId="3B7F7E7F">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74" w:name="_Toc106030889"/>
      <w:bookmarkEnd w:id="74"/>
      <w:bookmarkStart w:id="75" w:name="_Toc76462334"/>
      <w:r>
        <w:rPr>
          <w:rFonts w:hint="eastAsia" w:ascii="宋体" w:hAnsi="宋体" w:eastAsia="宋体" w:cs="宋体"/>
          <w:color w:val="auto"/>
          <w:sz w:val="24"/>
          <w:szCs w:val="24"/>
          <w:highlight w:val="none"/>
        </w:rPr>
        <w:t>二、</w:t>
      </w:r>
      <w:bookmarkEnd w:id="75"/>
      <w:bookmarkStart w:id="76" w:name="_Toc102227320"/>
      <w:bookmarkEnd w:id="76"/>
      <w:bookmarkStart w:id="77" w:name="_Toc342913394"/>
      <w:r>
        <w:rPr>
          <w:rFonts w:hint="eastAsia" w:ascii="宋体" w:hAnsi="宋体" w:eastAsia="宋体" w:cs="宋体"/>
          <w:color w:val="auto"/>
          <w:sz w:val="24"/>
          <w:szCs w:val="24"/>
          <w:highlight w:val="none"/>
        </w:rPr>
        <w:t>评审标准</w:t>
      </w:r>
      <w:bookmarkEnd w:id="77"/>
    </w:p>
    <w:tbl>
      <w:tblPr>
        <w:tblStyle w:val="11"/>
        <w:tblpPr w:leftFromText="180" w:rightFromText="180" w:vertAnchor="text" w:horzAnchor="page" w:tblpX="1128" w:tblpY="345"/>
        <w:tblOverlap w:val="never"/>
        <w:tblW w:w="10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141"/>
        <w:gridCol w:w="1088"/>
        <w:gridCol w:w="4900"/>
        <w:gridCol w:w="2404"/>
      </w:tblGrid>
      <w:tr w14:paraId="57D1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73" w:type="dxa"/>
            <w:noWrap/>
            <w:vAlign w:val="center"/>
          </w:tcPr>
          <w:p w14:paraId="7017FE21">
            <w:pPr>
              <w:ind w:firstLine="28"/>
              <w:jc w:val="center"/>
              <w:rPr>
                <w:rFonts w:ascii="宋体" w:hAnsi="宋体" w:cs="宋体"/>
                <w:color w:val="auto"/>
                <w:sz w:val="21"/>
                <w:szCs w:val="21"/>
                <w:highlight w:val="none"/>
              </w:rPr>
            </w:pPr>
            <w:r>
              <w:rPr>
                <w:rFonts w:hint="eastAsia" w:ascii="宋体" w:hAnsi="宋体" w:cs="宋体"/>
                <w:b/>
                <w:color w:val="auto"/>
                <w:sz w:val="21"/>
                <w:szCs w:val="21"/>
                <w:highlight w:val="none"/>
              </w:rPr>
              <w:t>序号</w:t>
            </w:r>
          </w:p>
        </w:tc>
        <w:tc>
          <w:tcPr>
            <w:tcW w:w="1141" w:type="dxa"/>
            <w:noWrap/>
            <w:vAlign w:val="center"/>
          </w:tcPr>
          <w:p w14:paraId="5CD23643">
            <w:pPr>
              <w:ind w:firstLine="28"/>
              <w:jc w:val="center"/>
              <w:rPr>
                <w:rFonts w:ascii="宋体" w:hAnsi="宋体" w:cs="宋体"/>
                <w:color w:val="auto"/>
                <w:sz w:val="21"/>
                <w:szCs w:val="21"/>
                <w:highlight w:val="none"/>
              </w:rPr>
            </w:pPr>
            <w:r>
              <w:rPr>
                <w:rFonts w:hint="eastAsia" w:ascii="宋体" w:hAnsi="宋体" w:cs="宋体"/>
                <w:b/>
                <w:color w:val="auto"/>
                <w:sz w:val="21"/>
                <w:szCs w:val="21"/>
                <w:highlight w:val="none"/>
              </w:rPr>
              <w:t>评分因素及权值</w:t>
            </w:r>
          </w:p>
        </w:tc>
        <w:tc>
          <w:tcPr>
            <w:tcW w:w="1088" w:type="dxa"/>
            <w:noWrap/>
            <w:vAlign w:val="center"/>
          </w:tcPr>
          <w:p w14:paraId="518645FC">
            <w:pPr>
              <w:ind w:firstLine="28"/>
              <w:jc w:val="center"/>
              <w:rPr>
                <w:rFonts w:ascii="宋体" w:hAnsi="宋体" w:cs="宋体"/>
                <w:color w:val="auto"/>
                <w:sz w:val="21"/>
                <w:szCs w:val="21"/>
                <w:highlight w:val="none"/>
              </w:rPr>
            </w:pPr>
            <w:r>
              <w:rPr>
                <w:rFonts w:hint="eastAsia" w:ascii="宋体" w:hAnsi="宋体" w:cs="宋体"/>
                <w:b/>
                <w:color w:val="auto"/>
                <w:sz w:val="21"/>
                <w:szCs w:val="21"/>
                <w:highlight w:val="none"/>
              </w:rPr>
              <w:t>分值</w:t>
            </w:r>
          </w:p>
        </w:tc>
        <w:tc>
          <w:tcPr>
            <w:tcW w:w="4900" w:type="dxa"/>
            <w:noWrap/>
            <w:vAlign w:val="center"/>
          </w:tcPr>
          <w:p w14:paraId="540DCC5D">
            <w:pPr>
              <w:ind w:firstLine="28"/>
              <w:jc w:val="center"/>
              <w:rPr>
                <w:rFonts w:ascii="宋体" w:hAnsi="宋体" w:cs="宋体"/>
                <w:color w:val="auto"/>
                <w:sz w:val="21"/>
                <w:szCs w:val="21"/>
                <w:highlight w:val="none"/>
              </w:rPr>
            </w:pPr>
            <w:r>
              <w:rPr>
                <w:rFonts w:hint="eastAsia" w:ascii="宋体" w:hAnsi="宋体" w:cs="宋体"/>
                <w:b/>
                <w:color w:val="auto"/>
                <w:sz w:val="21"/>
                <w:szCs w:val="21"/>
                <w:highlight w:val="none"/>
              </w:rPr>
              <w:t>评分标准</w:t>
            </w:r>
          </w:p>
        </w:tc>
        <w:tc>
          <w:tcPr>
            <w:tcW w:w="2404" w:type="dxa"/>
            <w:noWrap/>
            <w:vAlign w:val="center"/>
          </w:tcPr>
          <w:p w14:paraId="6FD384A3">
            <w:pPr>
              <w:pStyle w:val="14"/>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4C5B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73" w:type="dxa"/>
            <w:noWrap/>
            <w:vAlign w:val="center"/>
          </w:tcPr>
          <w:p w14:paraId="55AE3D2B">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141" w:type="dxa"/>
            <w:noWrap/>
            <w:vAlign w:val="center"/>
          </w:tcPr>
          <w:p w14:paraId="6DD6A735">
            <w:pPr>
              <w:kinsoku w:val="0"/>
              <w:autoSpaceDE w:val="0"/>
              <w:autoSpaceDN w:val="0"/>
              <w:adjustRightInd w:val="0"/>
              <w:snapToGrid w:val="0"/>
              <w:spacing w:line="360" w:lineRule="auto"/>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rPr>
              <w:t>磋商报价</w:t>
            </w:r>
          </w:p>
          <w:p w14:paraId="0415D828">
            <w:pPr>
              <w:kinsoku w:val="0"/>
              <w:autoSpaceDE w:val="0"/>
              <w:autoSpaceDN w:val="0"/>
              <w:adjustRightInd w:val="0"/>
              <w:snapToGrid w:val="0"/>
              <w:spacing w:line="360" w:lineRule="auto"/>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0%）</w:t>
            </w:r>
          </w:p>
        </w:tc>
        <w:tc>
          <w:tcPr>
            <w:tcW w:w="1088" w:type="dxa"/>
            <w:noWrap/>
            <w:vAlign w:val="center"/>
          </w:tcPr>
          <w:p w14:paraId="66B64FFD">
            <w:pPr>
              <w:kinsoku w:val="0"/>
              <w:autoSpaceDE w:val="0"/>
              <w:autoSpaceDN w:val="0"/>
              <w:adjustRightInd w:val="0"/>
              <w:snapToGrid w:val="0"/>
              <w:spacing w:line="360" w:lineRule="auto"/>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0分</w:t>
            </w:r>
          </w:p>
        </w:tc>
        <w:tc>
          <w:tcPr>
            <w:tcW w:w="4900" w:type="dxa"/>
            <w:noWrap/>
            <w:vAlign w:val="center"/>
          </w:tcPr>
          <w:p w14:paraId="18F0C868">
            <w:pPr>
              <w:kinsoku w:val="0"/>
              <w:autoSpaceDE w:val="0"/>
              <w:autoSpaceDN w:val="0"/>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满足资格性、符合性要求且最后报价最低的供应商的价格为磋商基准价，其价格分为满分。其他供应商的价格分统一按照下列公式计算：</w:t>
            </w:r>
          </w:p>
          <w:p w14:paraId="11FF4678">
            <w:pPr>
              <w:kinsoku w:val="0"/>
              <w:autoSpaceDE w:val="0"/>
              <w:autoSpaceDN w:val="0"/>
              <w:adjustRightInd w:val="0"/>
              <w:snapToGrid w:val="0"/>
              <w:spacing w:line="360" w:lineRule="auto"/>
              <w:ind w:firstLine="28"/>
              <w:rPr>
                <w:rFonts w:ascii="宋体" w:hAnsi="宋体" w:cs="宋体"/>
                <w:color w:val="auto"/>
                <w:sz w:val="21"/>
                <w:szCs w:val="21"/>
                <w:highlight w:val="none"/>
              </w:rPr>
            </w:pPr>
            <w:r>
              <w:rPr>
                <w:rFonts w:hint="eastAsia" w:ascii="宋体" w:hAnsi="宋体" w:cs="宋体"/>
                <w:color w:val="auto"/>
                <w:sz w:val="21"/>
                <w:szCs w:val="21"/>
                <w:highlight w:val="none"/>
              </w:rPr>
              <w:t>磋商报价得分=（磋商基准价/最后磋商报价）×价格权值×100</w:t>
            </w:r>
          </w:p>
        </w:tc>
        <w:tc>
          <w:tcPr>
            <w:tcW w:w="2404" w:type="dxa"/>
            <w:noWrap/>
            <w:vAlign w:val="center"/>
          </w:tcPr>
          <w:p w14:paraId="40593A65">
            <w:pPr>
              <w:rPr>
                <w:rFonts w:ascii="宋体" w:hAnsi="宋体" w:cs="宋体"/>
                <w:color w:val="auto"/>
                <w:sz w:val="21"/>
                <w:szCs w:val="21"/>
                <w:highlight w:val="none"/>
              </w:rPr>
            </w:pPr>
          </w:p>
        </w:tc>
      </w:tr>
      <w:tr w14:paraId="2D10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573" w:type="dxa"/>
            <w:noWrap/>
            <w:vAlign w:val="center"/>
          </w:tcPr>
          <w:p w14:paraId="647DDE02">
            <w:pPr>
              <w:snapToGrid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141" w:type="dxa"/>
            <w:noWrap/>
            <w:vAlign w:val="center"/>
          </w:tcPr>
          <w:p w14:paraId="1AD4CF78">
            <w:pPr>
              <w:pStyle w:val="15"/>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服务部分</w:t>
            </w:r>
          </w:p>
          <w:p w14:paraId="308DBFCC">
            <w:pPr>
              <w:pStyle w:val="15"/>
              <w:ind w:firstLine="2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1088" w:type="dxa"/>
            <w:noWrap/>
            <w:vAlign w:val="center"/>
          </w:tcPr>
          <w:p w14:paraId="072EEB33">
            <w:pPr>
              <w:kinsoku w:val="0"/>
              <w:autoSpaceDE w:val="0"/>
              <w:autoSpaceDN w:val="0"/>
              <w:adjustRightInd w:val="0"/>
              <w:snapToGrid w:val="0"/>
              <w:spacing w:line="360" w:lineRule="auto"/>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rPr>
              <w:t>60分</w:t>
            </w:r>
          </w:p>
        </w:tc>
        <w:tc>
          <w:tcPr>
            <w:tcW w:w="4900" w:type="dxa"/>
            <w:tcBorders>
              <w:bottom w:val="single" w:color="auto" w:sz="4" w:space="0"/>
            </w:tcBorders>
            <w:noWrap/>
            <w:vAlign w:val="center"/>
          </w:tcPr>
          <w:p w14:paraId="667A94A7">
            <w:pPr>
              <w:kinsoku w:val="0"/>
              <w:autoSpaceDE w:val="0"/>
              <w:autoSpaceDN w:val="0"/>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1、项目理解20分</w:t>
            </w:r>
          </w:p>
          <w:p w14:paraId="559BA19E">
            <w:pPr>
              <w:kinsoku w:val="0"/>
              <w:autoSpaceDE w:val="0"/>
              <w:autoSpaceDN w:val="0"/>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根据项目提供的内容对其理解程度进行评分。，主要内容为对项目背景、目标的理解，应当科学全面、条理清晰。优得20分，良得15分，一般得10分，差得5分，未提供不得分。</w:t>
            </w:r>
          </w:p>
          <w:p w14:paraId="5814E9AC">
            <w:pPr>
              <w:kinsoku w:val="0"/>
              <w:autoSpaceDE w:val="0"/>
              <w:autoSpaceDN w:val="0"/>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2、实施方案25分。</w:t>
            </w:r>
          </w:p>
          <w:p w14:paraId="6735217F">
            <w:pPr>
              <w:kinsoku w:val="0"/>
              <w:autoSpaceDE w:val="0"/>
              <w:autoSpaceDN w:val="0"/>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根据项目要求制定规划方案，有针对性、切实可行、实施措施合理。优得25分，良得17分，一般得11分，差得6分，未提供不得分。</w:t>
            </w:r>
          </w:p>
          <w:p w14:paraId="3C2E6267">
            <w:pPr>
              <w:kinsoku w:val="0"/>
              <w:autoSpaceDE w:val="0"/>
              <w:autoSpaceDN w:val="0"/>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3、服务管理方案及保障措施15分。</w:t>
            </w:r>
          </w:p>
          <w:p w14:paraId="35799CD8">
            <w:pPr>
              <w:kinsoku w:val="0"/>
              <w:autoSpaceDE w:val="0"/>
              <w:autoSpaceDN w:val="0"/>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项目质量管理制度全面与进度控制措施完善。优得15分，良得10分，一般得7分，差得5分，未提供不得分。</w:t>
            </w:r>
          </w:p>
        </w:tc>
        <w:tc>
          <w:tcPr>
            <w:tcW w:w="2404" w:type="dxa"/>
            <w:noWrap/>
            <w:vAlign w:val="center"/>
          </w:tcPr>
          <w:p w14:paraId="4B9C56FD">
            <w:pPr>
              <w:snapToGrid w:val="0"/>
              <w:jc w:val="left"/>
              <w:rPr>
                <w:rFonts w:ascii="宋体" w:hAnsi="宋体" w:cs="宋体"/>
                <w:color w:val="auto"/>
                <w:sz w:val="21"/>
                <w:szCs w:val="21"/>
                <w:highlight w:val="none"/>
              </w:rPr>
            </w:pPr>
          </w:p>
          <w:p w14:paraId="7AC181C0">
            <w:pPr>
              <w:snapToGrid w:val="0"/>
              <w:jc w:val="left"/>
              <w:rPr>
                <w:rFonts w:ascii="宋体" w:hAnsi="宋体" w:cs="宋体"/>
                <w:color w:val="auto"/>
                <w:sz w:val="21"/>
                <w:szCs w:val="21"/>
                <w:highlight w:val="none"/>
              </w:rPr>
            </w:pPr>
          </w:p>
          <w:p w14:paraId="41C95F98">
            <w:pPr>
              <w:kinsoku w:val="0"/>
              <w:autoSpaceDE w:val="0"/>
              <w:autoSpaceDN w:val="0"/>
              <w:adjustRightInd w:val="0"/>
              <w:snapToGrid w:val="0"/>
              <w:spacing w:line="360" w:lineRule="auto"/>
              <w:ind w:firstLine="28"/>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供应商提供书面方案，格式自拟。</w:t>
            </w:r>
          </w:p>
          <w:p w14:paraId="5162A5BC">
            <w:pPr>
              <w:kinsoku w:val="0"/>
              <w:autoSpaceDE w:val="0"/>
              <w:autoSpaceDN w:val="0"/>
              <w:adjustRightInd w:val="0"/>
              <w:snapToGrid w:val="0"/>
              <w:spacing w:line="360" w:lineRule="auto"/>
              <w:ind w:firstLine="28"/>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优：为分析把握透彻，理解和认识全面深刻，针对性强；</w:t>
            </w:r>
          </w:p>
          <w:p w14:paraId="546C2D8B">
            <w:pPr>
              <w:kinsoku w:val="0"/>
              <w:autoSpaceDE w:val="0"/>
              <w:autoSpaceDN w:val="0"/>
              <w:adjustRightInd w:val="0"/>
              <w:snapToGrid w:val="0"/>
              <w:spacing w:line="360" w:lineRule="auto"/>
              <w:ind w:firstLine="28"/>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良：为分析把握比较透彻，理解和认识比较深刻，针对性比较强；</w:t>
            </w:r>
          </w:p>
          <w:p w14:paraId="20BB24C4">
            <w:pPr>
              <w:kinsoku w:val="0"/>
              <w:autoSpaceDE w:val="0"/>
              <w:autoSpaceDN w:val="0"/>
              <w:adjustRightInd w:val="0"/>
              <w:snapToGrid w:val="0"/>
              <w:spacing w:line="360" w:lineRule="auto"/>
              <w:ind w:firstLine="28"/>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一般：为分析把握一般，理解和认识一般，针对性一般；</w:t>
            </w:r>
            <w:r>
              <w:rPr>
                <w:rFonts w:hint="eastAsia" w:ascii="宋体" w:hAnsi="宋体" w:cs="宋体"/>
                <w:color w:val="auto"/>
                <w:sz w:val="21"/>
                <w:szCs w:val="21"/>
                <w:highlight w:val="none"/>
                <w:lang w:val="en-US" w:eastAsia="zh-CN"/>
              </w:rPr>
              <w:br w:type="textWrapping"/>
            </w:r>
            <w:r>
              <w:rPr>
                <w:rFonts w:hint="eastAsia" w:ascii="宋体" w:hAnsi="宋体" w:cs="宋体"/>
                <w:color w:val="auto"/>
                <w:sz w:val="21"/>
                <w:szCs w:val="21"/>
                <w:highlight w:val="none"/>
                <w:lang w:val="en-US" w:eastAsia="zh-CN"/>
              </w:rPr>
              <w:t>差：为分析把握差，理解和认识差，针对性差，或没有方案。</w:t>
            </w:r>
          </w:p>
        </w:tc>
      </w:tr>
      <w:tr w14:paraId="3795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3" w:type="dxa"/>
            <w:vMerge w:val="restart"/>
            <w:noWrap/>
            <w:vAlign w:val="center"/>
          </w:tcPr>
          <w:p w14:paraId="2BA88E45">
            <w:pPr>
              <w:snapToGrid w:val="0"/>
              <w:jc w:val="center"/>
              <w:rPr>
                <w:rFonts w:ascii="宋体" w:hAnsi="宋体" w:cs="宋体"/>
                <w:color w:val="auto"/>
                <w:sz w:val="21"/>
                <w:szCs w:val="21"/>
                <w:highlight w:val="none"/>
              </w:rPr>
            </w:pPr>
          </w:p>
          <w:p w14:paraId="46EDB796">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141" w:type="dxa"/>
            <w:vMerge w:val="restart"/>
            <w:noWrap/>
            <w:vAlign w:val="center"/>
          </w:tcPr>
          <w:p w14:paraId="74C7771A">
            <w:pPr>
              <w:rPr>
                <w:rFonts w:ascii="宋体" w:hAnsi="宋体" w:cs="宋体"/>
                <w:b/>
                <w:color w:val="auto"/>
                <w:sz w:val="21"/>
                <w:szCs w:val="21"/>
                <w:highlight w:val="none"/>
              </w:rPr>
            </w:pPr>
            <w:r>
              <w:rPr>
                <w:rFonts w:hint="eastAsia" w:ascii="宋体" w:hAnsi="宋体" w:cs="宋体"/>
                <w:color w:val="auto"/>
                <w:sz w:val="21"/>
                <w:szCs w:val="21"/>
                <w:highlight w:val="none"/>
              </w:rPr>
              <w:t>商务部分（</w:t>
            </w:r>
            <w:r>
              <w:rPr>
                <w:rFonts w:hint="eastAsia" w:ascii="宋体" w:hAnsi="宋体" w:cs="宋体"/>
                <w:color w:val="auto"/>
                <w:sz w:val="21"/>
                <w:szCs w:val="21"/>
                <w:highlight w:val="none"/>
                <w:lang w:val="en-US" w:eastAsia="zh-CN"/>
              </w:rPr>
              <w:t>3</w:t>
            </w:r>
            <w:r>
              <w:rPr>
                <w:rFonts w:ascii="宋体" w:hAnsi="宋体" w:cs="宋体"/>
                <w:color w:val="auto"/>
                <w:sz w:val="21"/>
                <w:szCs w:val="21"/>
                <w:highlight w:val="none"/>
              </w:rPr>
              <w:t>0</w:t>
            </w:r>
            <w:r>
              <w:rPr>
                <w:rFonts w:hint="eastAsia" w:ascii="宋体" w:hAnsi="宋体" w:cs="宋体"/>
                <w:color w:val="auto"/>
                <w:sz w:val="21"/>
                <w:szCs w:val="21"/>
                <w:highlight w:val="none"/>
              </w:rPr>
              <w:t>%）</w:t>
            </w:r>
          </w:p>
        </w:tc>
        <w:tc>
          <w:tcPr>
            <w:tcW w:w="1088" w:type="dxa"/>
            <w:noWrap/>
            <w:vAlign w:val="center"/>
          </w:tcPr>
          <w:p w14:paraId="42011E08">
            <w:pPr>
              <w:kinsoku w:val="0"/>
              <w:autoSpaceDE w:val="0"/>
              <w:autoSpaceDN w:val="0"/>
              <w:adjustRightInd w:val="0"/>
              <w:snapToGrid w:val="0"/>
              <w:spacing w:line="360" w:lineRule="auto"/>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ascii="宋体" w:hAnsi="宋体" w:cs="宋体"/>
                <w:color w:val="auto"/>
                <w:sz w:val="21"/>
                <w:szCs w:val="21"/>
                <w:highlight w:val="none"/>
              </w:rPr>
              <w:t>0</w:t>
            </w:r>
            <w:r>
              <w:rPr>
                <w:rFonts w:hint="eastAsia" w:ascii="宋体" w:hAnsi="宋体" w:cs="宋体"/>
                <w:color w:val="auto"/>
                <w:sz w:val="21"/>
                <w:szCs w:val="21"/>
                <w:highlight w:val="none"/>
              </w:rPr>
              <w:t>分</w:t>
            </w:r>
          </w:p>
        </w:tc>
        <w:tc>
          <w:tcPr>
            <w:tcW w:w="4900" w:type="dxa"/>
            <w:noWrap/>
            <w:vAlign w:val="center"/>
          </w:tcPr>
          <w:p w14:paraId="7339E361">
            <w:pPr>
              <w:kinsoku w:val="0"/>
              <w:autoSpaceDE w:val="0"/>
              <w:autoSpaceDN w:val="0"/>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企业业绩（20分）</w:t>
            </w:r>
          </w:p>
          <w:p w14:paraId="4EB29630">
            <w:pPr>
              <w:kinsoku w:val="0"/>
              <w:autoSpaceDE w:val="0"/>
              <w:autoSpaceDN w:val="0"/>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年1月1日至投标截止日（以合同签订时间为准），供应商具有省（自治区、直辖市）</w:t>
            </w:r>
            <w:r>
              <w:rPr>
                <w:rFonts w:hint="eastAsia" w:ascii="宋体" w:hAnsi="宋体" w:cs="宋体"/>
                <w:color w:val="auto"/>
                <w:sz w:val="21"/>
                <w:szCs w:val="21"/>
                <w:highlight w:val="none"/>
                <w:lang w:val="en-US" w:eastAsia="zh-CN"/>
              </w:rPr>
              <w:t>级及以上</w:t>
            </w:r>
            <w:r>
              <w:rPr>
                <w:rFonts w:hint="eastAsia" w:ascii="宋体" w:hAnsi="宋体" w:cs="宋体"/>
                <w:color w:val="auto"/>
                <w:sz w:val="21"/>
                <w:szCs w:val="21"/>
                <w:highlight w:val="none"/>
              </w:rPr>
              <w:t>政府部门委托的</w:t>
            </w:r>
            <w:r>
              <w:rPr>
                <w:rFonts w:hint="default" w:ascii="宋体" w:hAnsi="宋体" w:cs="宋体"/>
                <w:color w:val="auto"/>
                <w:sz w:val="21"/>
                <w:szCs w:val="21"/>
                <w:highlight w:val="none"/>
                <w:lang w:eastAsia="zh-CN"/>
              </w:rPr>
              <w:t>相关</w:t>
            </w:r>
            <w:r>
              <w:rPr>
                <w:rFonts w:hint="eastAsia" w:ascii="宋体" w:hAnsi="宋体" w:cs="宋体"/>
                <w:color w:val="auto"/>
                <w:sz w:val="21"/>
                <w:szCs w:val="21"/>
                <w:highlight w:val="none"/>
              </w:rPr>
              <w:t>民政规划</w:t>
            </w:r>
            <w:r>
              <w:rPr>
                <w:rFonts w:hint="default" w:ascii="宋体" w:hAnsi="宋体" w:cs="宋体"/>
                <w:color w:val="auto"/>
                <w:sz w:val="21"/>
                <w:szCs w:val="21"/>
                <w:highlight w:val="none"/>
              </w:rPr>
              <w:t>编制</w:t>
            </w:r>
            <w:r>
              <w:rPr>
                <w:rFonts w:hint="eastAsia" w:ascii="宋体" w:hAnsi="宋体" w:cs="宋体"/>
                <w:color w:val="auto"/>
                <w:sz w:val="21"/>
                <w:szCs w:val="21"/>
                <w:highlight w:val="none"/>
              </w:rPr>
              <w:t>业绩的，每有1个得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分；具有地市级</w:t>
            </w:r>
            <w:r>
              <w:rPr>
                <w:rFonts w:hint="default" w:ascii="宋体" w:hAnsi="宋体" w:cs="宋体"/>
                <w:color w:val="auto"/>
                <w:sz w:val="21"/>
                <w:szCs w:val="21"/>
                <w:highlight w:val="none"/>
              </w:rPr>
              <w:t>或者</w:t>
            </w:r>
            <w:r>
              <w:rPr>
                <w:rFonts w:hint="eastAsia" w:ascii="宋体" w:hAnsi="宋体" w:cs="宋体"/>
                <w:color w:val="auto"/>
                <w:sz w:val="21"/>
                <w:szCs w:val="21"/>
                <w:highlight w:val="none"/>
              </w:rPr>
              <w:t>直辖市</w:t>
            </w:r>
            <w:r>
              <w:rPr>
                <w:rFonts w:hint="default" w:ascii="宋体" w:hAnsi="宋体" w:cs="宋体"/>
                <w:color w:val="auto"/>
                <w:sz w:val="21"/>
                <w:szCs w:val="21"/>
                <w:highlight w:val="none"/>
              </w:rPr>
              <w:t>的</w:t>
            </w:r>
            <w:r>
              <w:rPr>
                <w:rFonts w:hint="eastAsia" w:ascii="宋体" w:hAnsi="宋体" w:cs="宋体"/>
                <w:color w:val="auto"/>
                <w:sz w:val="21"/>
                <w:szCs w:val="21"/>
                <w:highlight w:val="none"/>
              </w:rPr>
              <w:t>区县政府部门委托的</w:t>
            </w:r>
            <w:r>
              <w:rPr>
                <w:rFonts w:hint="default" w:ascii="宋体" w:hAnsi="宋体" w:cs="宋体"/>
                <w:color w:val="auto"/>
                <w:sz w:val="21"/>
                <w:szCs w:val="21"/>
                <w:highlight w:val="none"/>
              </w:rPr>
              <w:t>相关</w:t>
            </w:r>
            <w:r>
              <w:rPr>
                <w:rFonts w:hint="eastAsia" w:ascii="宋体" w:hAnsi="宋体" w:cs="宋体"/>
                <w:color w:val="auto"/>
                <w:sz w:val="21"/>
                <w:szCs w:val="21"/>
                <w:highlight w:val="none"/>
              </w:rPr>
              <w:t>民政规划编制业绩的，每有1个得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两项合计</w:t>
            </w:r>
            <w:r>
              <w:rPr>
                <w:rFonts w:hint="eastAsia" w:ascii="宋体" w:hAnsi="宋体" w:cs="宋体"/>
                <w:color w:val="auto"/>
                <w:sz w:val="21"/>
                <w:szCs w:val="21"/>
                <w:highlight w:val="none"/>
              </w:rPr>
              <w:t>最多得</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分。不满足的不得分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tc>
        <w:tc>
          <w:tcPr>
            <w:tcW w:w="2404" w:type="dxa"/>
            <w:noWrap/>
            <w:vAlign w:val="center"/>
          </w:tcPr>
          <w:p w14:paraId="65274F02">
            <w:pPr>
              <w:kinsoku w:val="0"/>
              <w:autoSpaceDE w:val="0"/>
              <w:autoSpaceDN w:val="0"/>
              <w:adjustRightInd w:val="0"/>
              <w:snapToGrid w:val="0"/>
              <w:spacing w:line="360" w:lineRule="auto"/>
              <w:ind w:firstLine="28"/>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TW"/>
              </w:rPr>
              <w:t>提供合同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报告封面</w:t>
            </w:r>
            <w:r>
              <w:rPr>
                <w:rFonts w:hint="eastAsia" w:ascii="宋体" w:hAnsi="宋体" w:cs="宋体"/>
                <w:color w:val="auto"/>
                <w:sz w:val="21"/>
                <w:szCs w:val="21"/>
                <w:highlight w:val="none"/>
                <w:lang w:eastAsia="zh-TW"/>
              </w:rPr>
              <w:t>复印件加盖</w:t>
            </w:r>
            <w:r>
              <w:rPr>
                <w:rFonts w:hint="eastAsia" w:ascii="宋体" w:hAnsi="宋体" w:cs="宋体"/>
                <w:color w:val="auto"/>
                <w:sz w:val="21"/>
                <w:szCs w:val="21"/>
                <w:highlight w:val="none"/>
              </w:rPr>
              <w:t>供应商公章</w:t>
            </w:r>
            <w:r>
              <w:rPr>
                <w:rFonts w:hint="eastAsia" w:ascii="宋体" w:hAnsi="宋体" w:cs="宋体"/>
                <w:color w:val="auto"/>
                <w:sz w:val="21"/>
                <w:szCs w:val="21"/>
                <w:highlight w:val="none"/>
                <w:lang w:eastAsia="zh-CN"/>
              </w:rPr>
              <w:t>。</w:t>
            </w:r>
          </w:p>
        </w:tc>
      </w:tr>
      <w:tr w14:paraId="4F3C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3" w:type="dxa"/>
            <w:vMerge w:val="continue"/>
            <w:noWrap/>
            <w:vAlign w:val="center"/>
          </w:tcPr>
          <w:p w14:paraId="7D85E6CB">
            <w:pPr>
              <w:snapToGrid w:val="0"/>
              <w:jc w:val="center"/>
              <w:rPr>
                <w:rFonts w:ascii="宋体" w:hAnsi="宋体" w:cs="宋体"/>
                <w:color w:val="auto"/>
                <w:sz w:val="21"/>
                <w:szCs w:val="21"/>
                <w:highlight w:val="none"/>
              </w:rPr>
            </w:pPr>
          </w:p>
        </w:tc>
        <w:tc>
          <w:tcPr>
            <w:tcW w:w="1141" w:type="dxa"/>
            <w:vMerge w:val="continue"/>
            <w:noWrap/>
            <w:vAlign w:val="center"/>
          </w:tcPr>
          <w:p w14:paraId="7C913404">
            <w:pPr>
              <w:pStyle w:val="4"/>
              <w:rPr>
                <w:rFonts w:ascii="宋体" w:hAnsi="宋体" w:eastAsia="宋体" w:cs="宋体"/>
                <w:b/>
                <w:color w:val="auto"/>
                <w:sz w:val="21"/>
                <w:szCs w:val="21"/>
                <w:highlight w:val="none"/>
              </w:rPr>
            </w:pPr>
          </w:p>
        </w:tc>
        <w:tc>
          <w:tcPr>
            <w:tcW w:w="1088" w:type="dxa"/>
            <w:noWrap/>
            <w:vAlign w:val="center"/>
          </w:tcPr>
          <w:p w14:paraId="321B5B43">
            <w:pPr>
              <w:kinsoku w:val="0"/>
              <w:autoSpaceDE w:val="0"/>
              <w:autoSpaceDN w:val="0"/>
              <w:adjustRightInd w:val="0"/>
              <w:snapToGrid w:val="0"/>
              <w:spacing w:line="360" w:lineRule="auto"/>
              <w:ind w:firstLine="28"/>
              <w:jc w:val="center"/>
              <w:rPr>
                <w:rFonts w:ascii="宋体" w:hAnsi="宋体" w:cs="宋体"/>
                <w:color w:val="auto"/>
                <w:sz w:val="21"/>
                <w:szCs w:val="21"/>
                <w:highlight w:val="none"/>
              </w:rPr>
            </w:pPr>
            <w:r>
              <w:rPr>
                <w:rFonts w:ascii="宋体" w:hAnsi="宋体" w:cs="宋体"/>
                <w:color w:val="auto"/>
                <w:sz w:val="21"/>
                <w:szCs w:val="21"/>
                <w:highlight w:val="none"/>
              </w:rPr>
              <w:t>10</w:t>
            </w:r>
            <w:r>
              <w:rPr>
                <w:rFonts w:hint="eastAsia" w:ascii="宋体" w:hAnsi="宋体" w:cs="宋体"/>
                <w:color w:val="auto"/>
                <w:sz w:val="21"/>
                <w:szCs w:val="21"/>
                <w:highlight w:val="none"/>
              </w:rPr>
              <w:t>分</w:t>
            </w:r>
          </w:p>
        </w:tc>
        <w:tc>
          <w:tcPr>
            <w:tcW w:w="4900" w:type="dxa"/>
            <w:noWrap/>
            <w:vAlign w:val="center"/>
          </w:tcPr>
          <w:p w14:paraId="58D4C8C2">
            <w:pPr>
              <w:kinsoku w:val="0"/>
              <w:autoSpaceDE w:val="0"/>
              <w:autoSpaceDN w:val="0"/>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人员配置（10分）</w:t>
            </w:r>
          </w:p>
          <w:p w14:paraId="5060FF8E">
            <w:pPr>
              <w:kinsoku w:val="0"/>
              <w:autoSpaceDE w:val="0"/>
              <w:autoSpaceDN w:val="0"/>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1.项目负责人（4分）</w:t>
            </w:r>
          </w:p>
          <w:p w14:paraId="15CBB4D4">
            <w:pPr>
              <w:kinsoku w:val="0"/>
              <w:autoSpaceDE w:val="0"/>
              <w:autoSpaceDN w:val="0"/>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项目负责人从</w:t>
            </w:r>
            <w:r>
              <w:rPr>
                <w:rFonts w:hint="eastAsia" w:ascii="宋体" w:hAnsi="宋体" w:cs="宋体"/>
                <w:color w:val="auto"/>
                <w:sz w:val="21"/>
                <w:szCs w:val="21"/>
                <w:highlight w:val="none"/>
                <w:lang w:eastAsia="zh-CN"/>
              </w:rPr>
              <w:t>20</w:t>
            </w: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lang w:eastAsia="zh-CN"/>
              </w:rPr>
              <w:t>年1月1日至投标截止日，</w:t>
            </w:r>
            <w:r>
              <w:rPr>
                <w:rFonts w:hint="eastAsia" w:ascii="宋体" w:hAnsi="宋体" w:cs="宋体"/>
                <w:color w:val="auto"/>
                <w:sz w:val="21"/>
                <w:szCs w:val="21"/>
                <w:highlight w:val="none"/>
                <w:lang w:val="en-US" w:eastAsia="zh-CN"/>
              </w:rPr>
              <w:t>完成过政府部门委托的</w:t>
            </w:r>
            <w:r>
              <w:rPr>
                <w:rFonts w:hint="default" w:ascii="宋体" w:hAnsi="宋体" w:cs="宋体"/>
                <w:color w:val="auto"/>
                <w:sz w:val="21"/>
                <w:szCs w:val="21"/>
                <w:highlight w:val="none"/>
                <w:lang w:eastAsia="zh-CN"/>
              </w:rPr>
              <w:t>相关</w:t>
            </w:r>
            <w:r>
              <w:rPr>
                <w:rFonts w:hint="eastAsia" w:ascii="宋体" w:hAnsi="宋体" w:cs="宋体"/>
                <w:color w:val="auto"/>
                <w:sz w:val="21"/>
                <w:szCs w:val="21"/>
                <w:highlight w:val="none"/>
                <w:lang w:eastAsia="zh-CN"/>
              </w:rPr>
              <w:t>民政规划编制业绩的（</w:t>
            </w:r>
            <w:r>
              <w:rPr>
                <w:rFonts w:hint="eastAsia" w:ascii="宋体" w:hAnsi="宋体" w:cs="宋体"/>
                <w:color w:val="auto"/>
                <w:sz w:val="21"/>
                <w:szCs w:val="21"/>
                <w:highlight w:val="none"/>
                <w:lang w:val="en-US" w:eastAsia="zh-CN"/>
              </w:rPr>
              <w:t>以合同签订时间为准）</w:t>
            </w:r>
            <w:r>
              <w:rPr>
                <w:rFonts w:hint="eastAsia" w:ascii="宋体" w:hAnsi="宋体" w:cs="宋体"/>
                <w:color w:val="auto"/>
                <w:sz w:val="21"/>
                <w:szCs w:val="21"/>
                <w:highlight w:val="none"/>
                <w:lang w:eastAsia="zh-CN"/>
              </w:rPr>
              <w:t>，每有1项得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分，最多得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分</w:t>
            </w:r>
            <w:r>
              <w:rPr>
                <w:rFonts w:hint="eastAsia" w:ascii="宋体" w:hAnsi="宋体" w:cs="宋体"/>
                <w:color w:val="auto"/>
                <w:sz w:val="21"/>
                <w:szCs w:val="21"/>
                <w:highlight w:val="none"/>
                <w:lang w:val="en-US" w:eastAsia="zh-CN"/>
              </w:rPr>
              <w:t>。</w:t>
            </w:r>
          </w:p>
          <w:p w14:paraId="0FD7A908">
            <w:pPr>
              <w:kinsoku w:val="0"/>
              <w:autoSpaceDE w:val="0"/>
              <w:autoSpaceDN w:val="0"/>
              <w:adjustRightInd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2.项目组成员（项目负责人除外）（6分）</w:t>
            </w:r>
          </w:p>
          <w:p w14:paraId="383F4DF2">
            <w:pPr>
              <w:kinsoku w:val="0"/>
              <w:autoSpaceDE w:val="0"/>
              <w:autoSpaceDN w:val="0"/>
              <w:adjustRightInd w:val="0"/>
              <w:snapToGrid w:val="0"/>
              <w:spacing w:line="360" w:lineRule="auto"/>
              <w:ind w:firstLine="420" w:firstLineChars="200"/>
              <w:rPr>
                <w:rFonts w:ascii="宋体" w:hAnsi="宋体" w:eastAsia="方正仿宋_GB2312" w:cs="宋体"/>
                <w:color w:val="auto"/>
                <w:sz w:val="21"/>
                <w:szCs w:val="21"/>
                <w:highlight w:val="none"/>
              </w:rPr>
            </w:pPr>
            <w:r>
              <w:rPr>
                <w:rFonts w:hint="eastAsia" w:ascii="宋体" w:hAnsi="宋体" w:cs="宋体"/>
                <w:color w:val="auto"/>
                <w:sz w:val="21"/>
                <w:szCs w:val="21"/>
                <w:highlight w:val="none"/>
                <w:lang w:val="en-US" w:eastAsia="zh-CN"/>
              </w:rPr>
              <w:t>项目组成员（项目负责人除外）具有高级及以上职称的每有1人得1分，最多得6分。</w:t>
            </w:r>
          </w:p>
        </w:tc>
        <w:tc>
          <w:tcPr>
            <w:tcW w:w="2404" w:type="dxa"/>
            <w:noWrap/>
            <w:vAlign w:val="center"/>
          </w:tcPr>
          <w:p w14:paraId="0431A618">
            <w:pPr>
              <w:kinsoku w:val="0"/>
              <w:autoSpaceDE w:val="0"/>
              <w:autoSpaceDN w:val="0"/>
              <w:adjustRightInd w:val="0"/>
              <w:snapToGrid w:val="0"/>
              <w:spacing w:line="360" w:lineRule="auto"/>
              <w:ind w:firstLine="28"/>
              <w:rPr>
                <w:rFonts w:ascii="宋体" w:hAnsi="宋体" w:cs="宋体"/>
                <w:color w:val="auto"/>
                <w:sz w:val="21"/>
                <w:szCs w:val="21"/>
                <w:highlight w:val="none"/>
              </w:rPr>
            </w:pPr>
            <w:r>
              <w:rPr>
                <w:rFonts w:hint="eastAsia" w:ascii="宋体" w:hAnsi="宋体" w:cs="宋体"/>
                <w:color w:val="auto"/>
                <w:sz w:val="21"/>
                <w:szCs w:val="21"/>
                <w:highlight w:val="none"/>
              </w:rPr>
              <w:t>提供职称证书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业绩合同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报告封面、</w:t>
            </w:r>
            <w:r>
              <w:rPr>
                <w:rFonts w:hint="eastAsia" w:ascii="宋体" w:hAnsi="宋体" w:cs="宋体"/>
                <w:color w:val="auto"/>
                <w:sz w:val="21"/>
                <w:szCs w:val="21"/>
                <w:highlight w:val="none"/>
              </w:rPr>
              <w:t>体现编制人员名单</w:t>
            </w:r>
            <w:r>
              <w:rPr>
                <w:rFonts w:hint="eastAsia" w:ascii="宋体" w:hAnsi="宋体" w:cs="宋体"/>
                <w:color w:val="auto"/>
                <w:sz w:val="21"/>
                <w:szCs w:val="21"/>
                <w:highlight w:val="none"/>
                <w:lang w:val="en-US" w:eastAsia="zh-CN"/>
              </w:rPr>
              <w:t>证明材料</w:t>
            </w:r>
            <w:r>
              <w:rPr>
                <w:rFonts w:hint="eastAsia" w:ascii="宋体" w:hAnsi="宋体" w:cs="宋体"/>
                <w:color w:val="auto"/>
                <w:sz w:val="21"/>
                <w:szCs w:val="21"/>
                <w:highlight w:val="none"/>
              </w:rPr>
              <w:t>复印件及最近六个月任意月份在供应商单位缴纳社保的证明材料，新成立不足六个月的供应商需提供签订的劳动合同复印件，加盖供应商公章。</w:t>
            </w:r>
          </w:p>
        </w:tc>
      </w:tr>
    </w:tbl>
    <w:p w14:paraId="3A373DEE">
      <w:pPr>
        <w:snapToGrid w:val="0"/>
        <w:spacing w:line="400" w:lineRule="exact"/>
        <w:ind w:firstLine="600" w:firstLineChars="250"/>
        <w:rPr>
          <w:color w:val="auto"/>
          <w:highlight w:val="none"/>
        </w:rPr>
      </w:pPr>
      <w:r>
        <w:rPr>
          <w:rStyle w:val="13"/>
          <w:rFonts w:hint="eastAsia" w:ascii="宋体" w:hAnsi="宋体" w:cs="宋体"/>
          <w:color w:val="auto"/>
          <w:sz w:val="24"/>
          <w:szCs w:val="24"/>
          <w:highlight w:val="none"/>
          <w:lang w:val="zh-TW" w:eastAsia="zh-TW"/>
        </w:rPr>
        <w:t>说明：</w:t>
      </w:r>
      <w:r>
        <w:rPr>
          <w:rStyle w:val="13"/>
          <w:rFonts w:hint="eastAsia" w:ascii="宋体" w:hAnsi="宋体" w:cs="宋体"/>
          <w:color w:val="auto"/>
          <w:sz w:val="24"/>
          <w:szCs w:val="24"/>
          <w:highlight w:val="none"/>
          <w:lang w:val="zh-TW"/>
        </w:rPr>
        <w:t>磋商小组</w:t>
      </w:r>
      <w:r>
        <w:rPr>
          <w:rStyle w:val="13"/>
          <w:rFonts w:hint="eastAsia" w:ascii="宋体" w:hAnsi="宋体" w:cs="宋体"/>
          <w:color w:val="auto"/>
          <w:sz w:val="24"/>
          <w:szCs w:val="24"/>
          <w:highlight w:val="none"/>
          <w:lang w:val="zh-TW" w:eastAsia="zh-TW"/>
        </w:rPr>
        <w:t>认为，排名在前面的</w:t>
      </w:r>
      <w:r>
        <w:rPr>
          <w:rStyle w:val="13"/>
          <w:rFonts w:hint="eastAsia" w:ascii="宋体" w:hAnsi="宋体" w:cs="宋体"/>
          <w:color w:val="auto"/>
          <w:sz w:val="24"/>
          <w:szCs w:val="24"/>
          <w:highlight w:val="none"/>
          <w:lang w:val="zh-TW"/>
        </w:rPr>
        <w:t>成交</w:t>
      </w:r>
      <w:r>
        <w:rPr>
          <w:rStyle w:val="13"/>
          <w:rFonts w:hint="eastAsia" w:ascii="宋体" w:hAnsi="宋体" w:cs="宋体"/>
          <w:color w:val="auto"/>
          <w:sz w:val="24"/>
          <w:szCs w:val="24"/>
          <w:highlight w:val="none"/>
          <w:lang w:val="zh-TW" w:eastAsia="zh-TW"/>
        </w:rPr>
        <w:t>候选人的</w:t>
      </w:r>
      <w:r>
        <w:rPr>
          <w:rStyle w:val="13"/>
          <w:rFonts w:hint="eastAsia" w:ascii="宋体" w:hAnsi="宋体" w:cs="宋体"/>
          <w:color w:val="auto"/>
          <w:sz w:val="24"/>
          <w:szCs w:val="24"/>
          <w:highlight w:val="none"/>
          <w:lang w:val="zh-TW"/>
        </w:rPr>
        <w:t>最后</w:t>
      </w:r>
      <w:r>
        <w:rPr>
          <w:rStyle w:val="13"/>
          <w:rFonts w:hint="eastAsia" w:ascii="宋体" w:hAnsi="宋体" w:cs="宋体"/>
          <w:color w:val="auto"/>
          <w:sz w:val="24"/>
          <w:szCs w:val="24"/>
          <w:highlight w:val="none"/>
          <w:lang w:val="zh-TW" w:eastAsia="zh-TW"/>
        </w:rPr>
        <w:t>报价或者某些分项报价明显不合理或者低于成本，有可能影响服务质量和不能诚信履约的，将要求其在规定的期限内提供书面文件予以解释说明，并提交相关证明材料；否则，</w:t>
      </w:r>
      <w:r>
        <w:rPr>
          <w:rStyle w:val="13"/>
          <w:rFonts w:hint="eastAsia" w:ascii="宋体" w:hAnsi="宋体" w:cs="宋体"/>
          <w:color w:val="auto"/>
          <w:sz w:val="24"/>
          <w:szCs w:val="24"/>
          <w:highlight w:val="none"/>
          <w:lang w:val="zh-TW"/>
        </w:rPr>
        <w:t>磋商小组</w:t>
      </w:r>
      <w:r>
        <w:rPr>
          <w:rStyle w:val="13"/>
          <w:rFonts w:hint="eastAsia" w:ascii="宋体" w:hAnsi="宋体" w:cs="宋体"/>
          <w:color w:val="auto"/>
          <w:sz w:val="24"/>
          <w:szCs w:val="24"/>
          <w:highlight w:val="none"/>
          <w:lang w:val="zh-TW" w:eastAsia="zh-TW"/>
        </w:rPr>
        <w:t>可以取消该</w:t>
      </w:r>
      <w:r>
        <w:rPr>
          <w:rStyle w:val="13"/>
          <w:rFonts w:hint="eastAsia" w:ascii="宋体" w:hAnsi="宋体" w:cs="宋体"/>
          <w:color w:val="auto"/>
          <w:sz w:val="24"/>
          <w:szCs w:val="24"/>
          <w:highlight w:val="none"/>
          <w:lang w:val="zh-TW"/>
        </w:rPr>
        <w:t>成交</w:t>
      </w:r>
      <w:r>
        <w:rPr>
          <w:rStyle w:val="13"/>
          <w:rFonts w:hint="eastAsia" w:ascii="宋体" w:hAnsi="宋体" w:cs="宋体"/>
          <w:color w:val="auto"/>
          <w:sz w:val="24"/>
          <w:szCs w:val="24"/>
          <w:highlight w:val="none"/>
          <w:lang w:val="zh-TW" w:eastAsia="zh-TW"/>
        </w:rPr>
        <w:t>候选人资格，按顺序由排在后一位的</w:t>
      </w:r>
      <w:r>
        <w:rPr>
          <w:rStyle w:val="13"/>
          <w:rFonts w:hint="eastAsia" w:ascii="宋体" w:hAnsi="宋体" w:cs="宋体"/>
          <w:color w:val="auto"/>
          <w:sz w:val="24"/>
          <w:szCs w:val="24"/>
          <w:highlight w:val="none"/>
          <w:lang w:val="zh-TW"/>
        </w:rPr>
        <w:t>成交</w:t>
      </w:r>
      <w:r>
        <w:rPr>
          <w:rStyle w:val="13"/>
          <w:rFonts w:hint="eastAsia" w:ascii="宋体" w:hAnsi="宋体" w:cs="宋体"/>
          <w:color w:val="auto"/>
          <w:sz w:val="24"/>
          <w:szCs w:val="24"/>
          <w:highlight w:val="none"/>
          <w:lang w:val="zh-TW" w:eastAsia="zh-TW"/>
        </w:rPr>
        <w:t>候选人递补，以此类推。</w:t>
      </w:r>
    </w:p>
    <w:p w14:paraId="348B54E9">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78" w:name="_Toc106030890"/>
      <w:bookmarkEnd w:id="78"/>
      <w:bookmarkStart w:id="79" w:name="_Toc76462335"/>
      <w:r>
        <w:rPr>
          <w:rFonts w:hint="eastAsia" w:ascii="宋体" w:hAnsi="宋体" w:eastAsia="宋体" w:cs="宋体"/>
          <w:color w:val="auto"/>
          <w:sz w:val="24"/>
          <w:szCs w:val="24"/>
          <w:highlight w:val="none"/>
        </w:rPr>
        <w:t>三、无效响应</w:t>
      </w:r>
      <w:bookmarkEnd w:id="79"/>
    </w:p>
    <w:p w14:paraId="375BC2D2">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320B55B6">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3AB8D9DA">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（二）供应商的法定代表人（或其授权代表）或自然人未参加磋商；</w:t>
      </w:r>
    </w:p>
    <w:p w14:paraId="71D4F5A7">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（三）供应商所提交的响应文件不按“第七篇响应文件编制要求”要求签署或盖章；</w:t>
      </w:r>
    </w:p>
    <w:p w14:paraId="0A2C9670">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（四）供应商的最后报价超过采购预算或最高限价的；</w:t>
      </w:r>
    </w:p>
    <w:p w14:paraId="2798DA6D">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（五）法定代表人为同一个人的两个及两个以上法人，母公司、全资子公司及其控股公司，在同一包采购中同时参与磋商；</w:t>
      </w:r>
    </w:p>
    <w:p w14:paraId="2AC9AFFC">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（六）单位负责人为同一人或者存在直接控股、管理关系的不同供应商，参加同一合同项下的政府采购活动的；</w:t>
      </w:r>
    </w:p>
    <w:p w14:paraId="50E56F7C">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（七）为采购项目提供整体设计、规范编制或者项目管理、监理、检测等服务的供应商，再参加该采购项目的其他采购活动；</w:t>
      </w:r>
    </w:p>
    <w:p w14:paraId="4A44E834">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（八）供应商磋商有效期不满足竞争性磋商文件要求的；</w:t>
      </w:r>
    </w:p>
    <w:p w14:paraId="4A91DF3B">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（九）供应商响应文件内容有与国家现行法律法规相违背的内容，或附有采购人无法接受的条件；</w:t>
      </w:r>
    </w:p>
    <w:p w14:paraId="5ECD3AC5">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（十）法律、法规和竞争性磋商文件规定的其他无效情形。</w:t>
      </w:r>
    </w:p>
    <w:p w14:paraId="21908C22">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80" w:name="_Toc76462336"/>
      <w:bookmarkEnd w:id="80"/>
      <w:bookmarkStart w:id="81" w:name="_Toc106030891"/>
      <w:r>
        <w:rPr>
          <w:rFonts w:hint="eastAsia" w:ascii="宋体" w:hAnsi="宋体" w:eastAsia="宋体" w:cs="宋体"/>
          <w:color w:val="auto"/>
          <w:sz w:val="24"/>
          <w:szCs w:val="24"/>
          <w:highlight w:val="none"/>
        </w:rPr>
        <w:t>四、</w:t>
      </w:r>
      <w:bookmarkEnd w:id="81"/>
      <w:r>
        <w:rPr>
          <w:rFonts w:hint="eastAsia" w:ascii="宋体" w:hAnsi="宋体" w:eastAsia="宋体" w:cs="宋体"/>
          <w:color w:val="auto"/>
          <w:sz w:val="24"/>
          <w:szCs w:val="24"/>
          <w:highlight w:val="none"/>
        </w:rPr>
        <w:t>采购终止</w:t>
      </w:r>
    </w:p>
    <w:p w14:paraId="7751ADC3">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出现下列情形之一的，采购人或者采购代理机构应当终止竞争性磋商采购活动，发布项目终止公告并说明原因，重新开展采购活动：</w:t>
      </w:r>
    </w:p>
    <w:p w14:paraId="4E4E6452">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（一）因情况变化，不再符合规定的竞争性磋商采购方式适用情形的；</w:t>
      </w:r>
    </w:p>
    <w:p w14:paraId="13CE4118">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32376CCE">
      <w:pPr>
        <w:snapToGrid w:val="0"/>
        <w:spacing w:line="5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14FBF7F2">
      <w:pPr>
        <w:widowControl/>
        <w:spacing w:line="500" w:lineRule="exact"/>
        <w:jc w:val="left"/>
        <w:rPr>
          <w:rFonts w:ascii="宋体" w:hAnsi="宋体" w:cs="宋体"/>
          <w:color w:val="auto"/>
          <w:sz w:val="24"/>
          <w:szCs w:val="24"/>
          <w:highlight w:val="none"/>
        </w:rPr>
        <w:sectPr>
          <w:pgSz w:w="11907" w:h="16840"/>
          <w:pgMar w:top="1134" w:right="1191" w:bottom="1134" w:left="1304" w:header="964" w:footer="992" w:gutter="0"/>
          <w:cols w:space="720" w:num="1"/>
          <w:docGrid w:type="lines" w:linePitch="312" w:charSpace="0"/>
        </w:sectPr>
      </w:pPr>
    </w:p>
    <w:p w14:paraId="13F6FC56">
      <w:pPr>
        <w:pStyle w:val="2"/>
        <w:pageBreakBefore/>
        <w:spacing w:line="360" w:lineRule="auto"/>
        <w:jc w:val="center"/>
        <w:rPr>
          <w:rFonts w:ascii="宋体" w:hAnsi="宋体" w:eastAsia="宋体" w:cs="宋体"/>
          <w:b w:val="0"/>
          <w:bCs/>
          <w:color w:val="auto"/>
          <w:sz w:val="36"/>
          <w:szCs w:val="36"/>
          <w:highlight w:val="none"/>
        </w:rPr>
      </w:pPr>
      <w:bookmarkStart w:id="82" w:name="_Toc76462337"/>
      <w:bookmarkEnd w:id="82"/>
      <w:bookmarkStart w:id="83" w:name="_Toc106030892"/>
      <w:bookmarkEnd w:id="83"/>
      <w:bookmarkStart w:id="84" w:name="_Toc102227313"/>
      <w:bookmarkStart w:id="85" w:name="_Toc6596"/>
      <w:r>
        <w:rPr>
          <w:rFonts w:hint="eastAsia" w:ascii="宋体" w:hAnsi="宋体" w:eastAsia="宋体" w:cs="宋体"/>
          <w:b w:val="0"/>
          <w:bCs/>
          <w:color w:val="auto"/>
          <w:sz w:val="36"/>
          <w:szCs w:val="36"/>
          <w:highlight w:val="none"/>
        </w:rPr>
        <w:t>第五篇  供应商须知</w:t>
      </w:r>
      <w:bookmarkEnd w:id="84"/>
      <w:bookmarkEnd w:id="85"/>
    </w:p>
    <w:p w14:paraId="474CDF88">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86" w:name="_Toc106030893"/>
      <w:bookmarkEnd w:id="86"/>
      <w:bookmarkStart w:id="87" w:name="_Toc342913389"/>
      <w:bookmarkEnd w:id="87"/>
      <w:bookmarkStart w:id="88" w:name="_Toc76462338"/>
      <w:r>
        <w:rPr>
          <w:rFonts w:hint="eastAsia" w:ascii="宋体" w:hAnsi="宋体" w:eastAsia="宋体" w:cs="宋体"/>
          <w:color w:val="auto"/>
          <w:sz w:val="24"/>
          <w:szCs w:val="24"/>
          <w:highlight w:val="none"/>
        </w:rPr>
        <w:t>一、磋商费用</w:t>
      </w:r>
      <w:bookmarkEnd w:id="88"/>
    </w:p>
    <w:p w14:paraId="1BDAD806">
      <w:pPr>
        <w:pStyle w:val="17"/>
        <w:spacing w:line="500" w:lineRule="exact"/>
        <w:ind w:firstLine="480" w:firstLineChars="200"/>
        <w:rPr>
          <w:rFonts w:hAnsi="宋体"/>
          <w:color w:val="auto"/>
          <w:sz w:val="24"/>
          <w:szCs w:val="24"/>
          <w:highlight w:val="none"/>
        </w:rPr>
      </w:pPr>
      <w:r>
        <w:rPr>
          <w:rFonts w:hint="eastAsia" w:hAnsi="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4384F00E">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89" w:name="_Toc76462339"/>
      <w:bookmarkEnd w:id="89"/>
      <w:bookmarkStart w:id="90" w:name="_Toc342913391"/>
      <w:bookmarkEnd w:id="90"/>
      <w:bookmarkStart w:id="91" w:name="_Toc106030894"/>
      <w:r>
        <w:rPr>
          <w:rFonts w:hint="eastAsia" w:ascii="宋体" w:hAnsi="宋体" w:eastAsia="宋体" w:cs="宋体"/>
          <w:color w:val="auto"/>
          <w:sz w:val="24"/>
          <w:szCs w:val="24"/>
          <w:highlight w:val="none"/>
        </w:rPr>
        <w:t>二、竞争性磋商文件</w:t>
      </w:r>
      <w:bookmarkEnd w:id="91"/>
    </w:p>
    <w:p w14:paraId="56BBA597">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（一）竞争性磋商文件由采购邀请书、项目服务需求、供应商须知、项目商务需求、磋商程序及方法、评审标准、无效响应和采购终止、供应商须知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政府采购合同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3BE3FF68">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（二）采购人（或采购代理机构）所作的一切有效的书面通知、修改及补充，都是竞争性磋商文件不可分割的部分。</w:t>
      </w:r>
    </w:p>
    <w:p w14:paraId="31A9C3E6">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6404FA07">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92" w:name="_Toc318159780"/>
      <w:bookmarkEnd w:id="92"/>
      <w:bookmarkStart w:id="93" w:name="_Toc318159160"/>
      <w:bookmarkEnd w:id="93"/>
      <w:bookmarkStart w:id="94" w:name="_Toc318159349"/>
      <w:bookmarkEnd w:id="94"/>
      <w:bookmarkStart w:id="95" w:name="_Toc318166429"/>
      <w:bookmarkEnd w:id="95"/>
    </w:p>
    <w:p w14:paraId="25440C65">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（四）本竞争性磋商文件中，磋商小组根据与供应商进行磋商可能实质性变动的内容为竞争性磋商文件第二、三、六篇全部内容。</w:t>
      </w:r>
    </w:p>
    <w:p w14:paraId="44B43363">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p w14:paraId="57F30543">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96" w:name="_Toc342913392"/>
      <w:bookmarkEnd w:id="96"/>
      <w:bookmarkStart w:id="97" w:name="_Toc102227318"/>
      <w:bookmarkEnd w:id="97"/>
      <w:bookmarkStart w:id="98" w:name="_Toc179714297"/>
      <w:bookmarkEnd w:id="98"/>
      <w:bookmarkStart w:id="99" w:name="_Toc76462340"/>
      <w:bookmarkEnd w:id="99"/>
      <w:bookmarkStart w:id="100" w:name="_Toc106030895"/>
      <w:r>
        <w:rPr>
          <w:rFonts w:hint="eastAsia" w:ascii="宋体" w:hAnsi="宋体" w:eastAsia="宋体" w:cs="宋体"/>
          <w:color w:val="auto"/>
          <w:sz w:val="24"/>
          <w:szCs w:val="24"/>
          <w:highlight w:val="none"/>
        </w:rPr>
        <w:t>三、磋商要求</w:t>
      </w:r>
      <w:bookmarkEnd w:id="100"/>
    </w:p>
    <w:p w14:paraId="4914E688">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0D2D26C8">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D10C1E0">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4373306E">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E64E9D6">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2B53CB79">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1.两个以上供应商可以组成一个联合体，以一个供应商的身份共同参与磋商。</w:t>
      </w:r>
    </w:p>
    <w:p w14:paraId="30ECE358">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2.以联合体形式参加磋商的，联合体各方均应满足供应商资格条件（详见“第一篇”）联合体中有同类资质的供应商按照联合体分工承担相同工作的，应当按照资质等级较低的供应商确定资质等级。</w:t>
      </w:r>
    </w:p>
    <w:p w14:paraId="55D92840">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联合体各方之间应当签订共同联合协议，共同联合协议中应确定主办方（主体），代表联合体进行磋商和澄清。共同联合协议应明确约定联合体各方承担的工作和相应的责任及协议合同金额，并将共同联合协议连同响应文件一并提交采购人和采购代理机构。</w:t>
      </w:r>
    </w:p>
    <w:p w14:paraId="1D409B91">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4.以联合体形式参加政府采购活动的，联合体各方不得再单独参加或者与其他供应商另外组成联合体参加同一合同项下的政府采购活动。</w:t>
      </w:r>
    </w:p>
    <w:p w14:paraId="691B7801">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5.联合体业绩计算，按照共同联合协议分工认定。</w:t>
      </w:r>
    </w:p>
    <w:p w14:paraId="3C4D5AE6">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两个以上的自然人、法人或者其他组织组成一个联合体，以一个供应商的身份共同参加政府采购活动的，将对所有联合体成员进行信用记录查询，联合体成员存在不良信用记录的，视同联合体存在不良信用记录，将拒绝该联合体参与政府采购活动。</w:t>
      </w:r>
    </w:p>
    <w:p w14:paraId="3D7B31BA">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（三）磋商有效期：响应文件及有关承诺文件有效期为提交响应文件截止时间起90天。</w:t>
      </w:r>
    </w:p>
    <w:p w14:paraId="717D8E38">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72BB3383">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40E87655">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2461F097">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2045BCD7">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2E534E5D">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2.响应文件按竞争性磋商文件“第七篇响应文件编制要求”要求签署或盖章。</w:t>
      </w:r>
    </w:p>
    <w:p w14:paraId="404DF28F">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（六）响应文件的递交</w:t>
      </w:r>
    </w:p>
    <w:p w14:paraId="723A25E1">
      <w:pPr>
        <w:pStyle w:val="6"/>
        <w:spacing w:line="500" w:lineRule="exact"/>
        <w:ind w:firstLine="480" w:firstLineChars="200"/>
        <w:rPr>
          <w:rFonts w:hAnsi="宋体"/>
          <w:color w:val="auto"/>
          <w:sz w:val="24"/>
          <w:szCs w:val="24"/>
          <w:highlight w:val="none"/>
        </w:rPr>
      </w:pPr>
      <w:r>
        <w:rPr>
          <w:rFonts w:hint="eastAsia" w:hAnsi="宋体"/>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52B93EE7">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（七）供应商参与人员</w:t>
      </w:r>
    </w:p>
    <w:p w14:paraId="7D163A3E">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p>
    <w:p w14:paraId="547AC8BF">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101" w:name="_Toc106030896"/>
      <w:bookmarkEnd w:id="101"/>
      <w:bookmarkStart w:id="102" w:name="_Toc342913395"/>
      <w:bookmarkEnd w:id="102"/>
      <w:bookmarkStart w:id="103" w:name="_Toc76462342"/>
      <w:bookmarkEnd w:id="103"/>
      <w:bookmarkStart w:id="104" w:name="_Toc106030897"/>
      <w:bookmarkEnd w:id="104"/>
      <w:bookmarkStart w:id="105" w:name="_Toc102227321"/>
      <w:r>
        <w:rPr>
          <w:rFonts w:hint="eastAsia" w:ascii="宋体" w:hAnsi="宋体" w:eastAsia="宋体" w:cs="宋体"/>
          <w:color w:val="auto"/>
          <w:sz w:val="24"/>
          <w:szCs w:val="24"/>
          <w:highlight w:val="none"/>
        </w:rPr>
        <w:t>五、成交通知</w:t>
      </w:r>
      <w:bookmarkEnd w:id="105"/>
    </w:p>
    <w:p w14:paraId="78D632A6">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（一）成交供应商确定后，采购代理机构将在</w:t>
      </w:r>
      <w:r>
        <w:rPr>
          <w:rFonts w:hint="eastAsia" w:ascii="宋体" w:hAnsi="宋体" w:cs="宋体"/>
          <w:color w:val="auto"/>
          <w:kern w:val="0"/>
          <w:sz w:val="24"/>
          <w:szCs w:val="24"/>
          <w:highlight w:val="none"/>
        </w:rPr>
        <w:t>“重庆市行采家”（https://www.gec123.com/）</w:t>
      </w:r>
      <w:r>
        <w:rPr>
          <w:rFonts w:hint="eastAsia" w:ascii="宋体" w:hAnsi="宋体" w:cs="宋体"/>
          <w:color w:val="auto"/>
          <w:sz w:val="24"/>
          <w:szCs w:val="24"/>
          <w:highlight w:val="none"/>
        </w:rPr>
        <w:t>上发布成交结果公告。</w:t>
      </w:r>
    </w:p>
    <w:p w14:paraId="6B93A28F">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3062638A">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51769089">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106" w:name="_Toc76462343"/>
      <w:bookmarkEnd w:id="106"/>
      <w:bookmarkStart w:id="107" w:name="_Toc76462341"/>
      <w:bookmarkStart w:id="108" w:name="_Toc106030898"/>
      <w:r>
        <w:rPr>
          <w:rFonts w:hint="eastAsia" w:ascii="宋体" w:hAnsi="宋体" w:eastAsia="宋体" w:cs="宋体"/>
          <w:color w:val="auto"/>
          <w:sz w:val="24"/>
          <w:szCs w:val="24"/>
          <w:highlight w:val="none"/>
        </w:rPr>
        <w:t>四、成交供应商的确认和变更</w:t>
      </w:r>
      <w:bookmarkEnd w:id="107"/>
    </w:p>
    <w:p w14:paraId="1F344FD0">
      <w:pPr>
        <w:snapToGrid w:val="0"/>
        <w:spacing w:line="5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004C393B">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E5DD78B">
      <w:pPr>
        <w:snapToGrid w:val="0"/>
        <w:spacing w:line="5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75AEF2A4">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0DF00E84">
      <w:pPr>
        <w:pStyle w:val="2"/>
        <w:adjustRightInd w:val="0"/>
        <w:snapToGrid w:val="0"/>
        <w:spacing w:line="50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六、关于质疑和投诉</w:t>
      </w:r>
      <w:bookmarkEnd w:id="108"/>
    </w:p>
    <w:p w14:paraId="6355F648">
      <w:pPr>
        <w:spacing w:line="5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（一）质疑</w:t>
      </w:r>
    </w:p>
    <w:p w14:paraId="64AC8D16">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供应商认为采购文件、采购过程和成交结果使自己的权益收到伤害的，可向采购人或采购代理机构以书面形式提出质疑。</w:t>
      </w:r>
    </w:p>
    <w:p w14:paraId="1819806F">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提出质疑的应当是参与所质疑项目采购活动的供应商。 </w:t>
      </w:r>
    </w:p>
    <w:p w14:paraId="340C3E69">
      <w:pPr>
        <w:spacing w:line="500" w:lineRule="exact"/>
        <w:ind w:right="12" w:firstLine="480"/>
        <w:outlineLvl w:val="2"/>
        <w:rPr>
          <w:rFonts w:ascii="宋体" w:hAnsi="宋体" w:cs="宋体"/>
          <w:color w:val="auto"/>
          <w:sz w:val="24"/>
          <w:szCs w:val="24"/>
          <w:highlight w:val="none"/>
        </w:rPr>
      </w:pPr>
      <w:r>
        <w:rPr>
          <w:rFonts w:hint="eastAsia" w:ascii="宋体" w:hAnsi="宋体" w:cs="宋体"/>
          <w:color w:val="auto"/>
          <w:sz w:val="24"/>
          <w:szCs w:val="24"/>
          <w:highlight w:val="none"/>
        </w:rPr>
        <w:t>1.质疑时限、内容</w:t>
      </w:r>
    </w:p>
    <w:p w14:paraId="2B00CFD5">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供应商认为采购文件、采购过程、成交结果使自己的权益受到损害的，可以在知道或者应知其权益受到损害之日起7个工作日内，以书面形式向采购人、采购代理机构提出质疑。</w:t>
      </w:r>
    </w:p>
    <w:p w14:paraId="2F430A53">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1.2供应商提出质疑应当提交质疑函和必要的证明材料，质疑函应当包括下列内容：</w:t>
      </w:r>
    </w:p>
    <w:p w14:paraId="56A74BA6">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1.2.1供应商的姓名或者名称、地址、邮编、联系人及联系电话；</w:t>
      </w:r>
    </w:p>
    <w:p w14:paraId="4171DC2F">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1.2.2质疑项目的名称、项目号以及采购执行编号；</w:t>
      </w:r>
    </w:p>
    <w:p w14:paraId="02DFB20D">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1.2.3具体、明确的质疑事项和与质疑事项相关的请求；</w:t>
      </w:r>
    </w:p>
    <w:p w14:paraId="3C96EB56">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1.2.4事实依据；</w:t>
      </w:r>
    </w:p>
    <w:p w14:paraId="5CC51D67">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1.2.5必要的法律依据；</w:t>
      </w:r>
    </w:p>
    <w:p w14:paraId="6A623A86">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1.2.6提出质疑的日期；</w:t>
      </w:r>
    </w:p>
    <w:p w14:paraId="51E49B9F">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1.2.7营业执照（或事业单位法人证书，或个体工商户营业执照或有效的自然人身份证明）复印件；</w:t>
      </w:r>
    </w:p>
    <w:p w14:paraId="3AF8E740">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1.2.8法定代表人授权委托书原件、法定代表人身份证复印件和其授权代表的身份证复印件（供应商为自然人的提供自然人身份证复印件）；</w:t>
      </w:r>
    </w:p>
    <w:p w14:paraId="5E844EA5">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3B31D4A0">
      <w:pPr>
        <w:spacing w:line="500" w:lineRule="exact"/>
        <w:ind w:right="12" w:firstLine="480"/>
        <w:outlineLvl w:val="2"/>
        <w:rPr>
          <w:rFonts w:ascii="宋体" w:hAnsi="宋体" w:cs="宋体"/>
          <w:color w:val="auto"/>
          <w:sz w:val="24"/>
          <w:szCs w:val="24"/>
          <w:highlight w:val="none"/>
        </w:rPr>
      </w:pPr>
      <w:r>
        <w:rPr>
          <w:rFonts w:hint="eastAsia" w:ascii="宋体" w:hAnsi="宋体" w:cs="宋体"/>
          <w:color w:val="auto"/>
          <w:sz w:val="24"/>
          <w:szCs w:val="24"/>
          <w:highlight w:val="none"/>
        </w:rPr>
        <w:t>2.质疑答复</w:t>
      </w:r>
    </w:p>
    <w:p w14:paraId="5AE6554F">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采购人、采购代理机构应当在收到供应商的书面质疑后七个工作日内作出答复，并以书面形式通知质疑供应商和其他有关供应商。</w:t>
      </w:r>
    </w:p>
    <w:p w14:paraId="2068200A">
      <w:pPr>
        <w:spacing w:line="500" w:lineRule="exact"/>
        <w:ind w:right="12" w:firstLine="480"/>
        <w:outlineLvl w:val="2"/>
        <w:rPr>
          <w:rFonts w:ascii="宋体" w:hAnsi="宋体" w:cs="宋体"/>
          <w:color w:val="auto"/>
          <w:sz w:val="24"/>
          <w:szCs w:val="24"/>
          <w:highlight w:val="none"/>
        </w:rPr>
      </w:pPr>
      <w:r>
        <w:rPr>
          <w:rFonts w:hint="eastAsia" w:ascii="宋体" w:hAnsi="宋体" w:cs="宋体"/>
          <w:color w:val="auto"/>
          <w:sz w:val="24"/>
          <w:szCs w:val="24"/>
          <w:highlight w:val="none"/>
        </w:rPr>
        <w:t>3.其他</w:t>
      </w:r>
    </w:p>
    <w:p w14:paraId="4A22FAA5">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3.1供应商应按照《政府采购质疑和投诉办法》（财政部令第94号）及相关法律法规要求，在法定质疑期内一次性提出针对同一采购程序环节的质疑。</w:t>
      </w:r>
    </w:p>
    <w:p w14:paraId="18CBC756">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3.2质疑函范本可在财政部门户网站和中国政府采购网下载。</w:t>
      </w:r>
    </w:p>
    <w:p w14:paraId="753D03F1">
      <w:pPr>
        <w:spacing w:line="500" w:lineRule="exact"/>
        <w:ind w:right="12" w:firstLine="480"/>
        <w:outlineLvl w:val="2"/>
        <w:rPr>
          <w:rFonts w:ascii="宋体" w:hAnsi="宋体" w:cs="宋体"/>
          <w:color w:val="auto"/>
          <w:sz w:val="24"/>
          <w:szCs w:val="24"/>
          <w:highlight w:val="none"/>
        </w:rPr>
      </w:pPr>
      <w:r>
        <w:rPr>
          <w:rFonts w:hint="eastAsia" w:ascii="宋体" w:hAnsi="宋体" w:cs="宋体"/>
          <w:color w:val="auto"/>
          <w:sz w:val="24"/>
          <w:szCs w:val="24"/>
          <w:highlight w:val="none"/>
        </w:rPr>
        <w:t>（二）投诉</w:t>
      </w:r>
    </w:p>
    <w:p w14:paraId="414083DD">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1.供应商对采购人、采购代理机构的答复不满意，或者采购人、采购代理机构未在规定时间内作出答复的，可以在答复期满后15个工作日内按照相关法律法规向财政部门提起投诉。</w:t>
      </w:r>
    </w:p>
    <w:p w14:paraId="59C3709E">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37214EF7">
      <w:pPr>
        <w:spacing w:line="500" w:lineRule="exact"/>
        <w:ind w:right="12" w:firstLine="480"/>
        <w:rPr>
          <w:rFonts w:ascii="宋体" w:hAnsi="宋体" w:cs="宋体"/>
          <w:color w:val="auto"/>
          <w:sz w:val="24"/>
          <w:szCs w:val="24"/>
          <w:highlight w:val="none"/>
        </w:rPr>
      </w:pPr>
      <w:r>
        <w:rPr>
          <w:rFonts w:hint="eastAsia" w:ascii="宋体" w:hAnsi="宋体" w:cs="宋体"/>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6C46819">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4B97EE43">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109" w:name="_Toc106030899"/>
      <w:bookmarkEnd w:id="109"/>
      <w:bookmarkStart w:id="110" w:name="_Toc76462344"/>
      <w:r>
        <w:rPr>
          <w:rFonts w:hint="eastAsia" w:ascii="宋体" w:hAnsi="宋体" w:eastAsia="宋体" w:cs="宋体"/>
          <w:color w:val="auto"/>
          <w:sz w:val="24"/>
          <w:szCs w:val="24"/>
          <w:highlight w:val="none"/>
        </w:rPr>
        <w:t>七、采购代理服务费</w:t>
      </w:r>
      <w:bookmarkEnd w:id="110"/>
    </w:p>
    <w:p w14:paraId="087E95D2">
      <w:pPr>
        <w:spacing w:line="500" w:lineRule="exact"/>
        <w:ind w:firstLine="480" w:firstLineChars="200"/>
        <w:rPr>
          <w:rFonts w:ascii="宋体" w:hAnsi="宋体" w:cs="宋体"/>
          <w:color w:val="auto"/>
          <w:kern w:val="0"/>
          <w:sz w:val="24"/>
          <w:szCs w:val="24"/>
          <w:highlight w:val="none"/>
        </w:rPr>
      </w:pPr>
      <w:bookmarkStart w:id="111" w:name="_Toc106030900"/>
      <w:bookmarkEnd w:id="111"/>
      <w:bookmarkStart w:id="112" w:name="OLE_LINK8"/>
      <w:bookmarkEnd w:id="112"/>
      <w:bookmarkStart w:id="113" w:name="_Toc10611"/>
      <w:bookmarkStart w:id="114" w:name="_Toc76462345"/>
      <w:r>
        <w:rPr>
          <w:rFonts w:hint="eastAsia" w:ascii="宋体" w:hAnsi="宋体" w:cs="宋体"/>
          <w:color w:val="auto"/>
          <w:kern w:val="0"/>
          <w:sz w:val="24"/>
          <w:szCs w:val="24"/>
          <w:highlight w:val="none"/>
        </w:rPr>
        <w:t>（一）供应商成交后向采购代理机构缴采购代理服务费，本项目采购代理服务费的收取标准按照以下服务类标准执行。</w:t>
      </w:r>
    </w:p>
    <w:tbl>
      <w:tblPr>
        <w:tblStyle w:val="1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6DCD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10" w:type="dxa"/>
            <w:tcBorders>
              <w:tl2br w:val="single" w:color="auto" w:sz="4" w:space="0"/>
            </w:tcBorders>
          </w:tcPr>
          <w:p w14:paraId="3ED48BB2">
            <w:pPr>
              <w:spacing w:line="500" w:lineRule="exact"/>
              <w:ind w:firstLine="1265" w:firstLineChars="600"/>
              <w:rPr>
                <w:rFonts w:ascii="宋体" w:hAnsi="宋体" w:cs="宋体"/>
                <w:b/>
                <w:color w:val="auto"/>
                <w:sz w:val="21"/>
                <w:szCs w:val="24"/>
                <w:highlight w:val="none"/>
              </w:rPr>
            </w:pPr>
            <w:r>
              <w:rPr>
                <w:rFonts w:hint="eastAsia" w:ascii="宋体" w:hAnsi="宋体" w:cs="宋体"/>
                <w:b/>
                <w:color w:val="auto"/>
                <w:sz w:val="21"/>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z75&#10;g9YAAAAIAQAADwAAAAAAAAABACAAAAAiAAAAZHJzL2Rvd25yZXYueG1sUEsBAhQAFAAAAAgAh07i&#10;QHODG0HrAQAA5A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cs="宋体"/>
                <w:b/>
                <w:color w:val="auto"/>
                <w:sz w:val="21"/>
                <w:szCs w:val="24"/>
                <w:highlight w:val="none"/>
              </w:rPr>
              <w:t>采购类型</w:t>
            </w:r>
          </w:p>
          <w:p w14:paraId="1233763C">
            <w:pPr>
              <w:spacing w:line="500" w:lineRule="exact"/>
              <w:rPr>
                <w:rFonts w:ascii="宋体" w:hAnsi="宋体" w:cs="宋体"/>
                <w:b/>
                <w:color w:val="auto"/>
                <w:sz w:val="21"/>
                <w:szCs w:val="24"/>
                <w:highlight w:val="none"/>
              </w:rPr>
            </w:pPr>
            <w:r>
              <w:rPr>
                <w:rFonts w:hint="eastAsia" w:ascii="宋体" w:hAnsi="宋体" w:cs="宋体"/>
                <w:b/>
                <w:color w:val="auto"/>
                <w:sz w:val="21"/>
                <w:szCs w:val="24"/>
                <w:highlight w:val="none"/>
              </w:rPr>
              <w:t>成交金额（万元）</w:t>
            </w:r>
          </w:p>
        </w:tc>
        <w:tc>
          <w:tcPr>
            <w:tcW w:w="2273" w:type="dxa"/>
            <w:vAlign w:val="center"/>
          </w:tcPr>
          <w:p w14:paraId="37444061">
            <w:pPr>
              <w:spacing w:line="500" w:lineRule="exact"/>
              <w:jc w:val="center"/>
              <w:rPr>
                <w:rFonts w:ascii="宋体" w:hAnsi="宋体" w:cs="宋体"/>
                <w:b/>
                <w:color w:val="auto"/>
                <w:sz w:val="21"/>
                <w:szCs w:val="24"/>
                <w:highlight w:val="none"/>
              </w:rPr>
            </w:pPr>
            <w:r>
              <w:rPr>
                <w:rFonts w:hint="eastAsia" w:ascii="宋体" w:hAnsi="宋体" w:cs="宋体"/>
                <w:b/>
                <w:color w:val="auto"/>
                <w:sz w:val="21"/>
                <w:szCs w:val="24"/>
                <w:highlight w:val="none"/>
              </w:rPr>
              <w:t>货物采购</w:t>
            </w:r>
          </w:p>
        </w:tc>
        <w:tc>
          <w:tcPr>
            <w:tcW w:w="2273" w:type="dxa"/>
            <w:vAlign w:val="center"/>
          </w:tcPr>
          <w:p w14:paraId="4040B595">
            <w:pPr>
              <w:spacing w:line="500" w:lineRule="exact"/>
              <w:jc w:val="center"/>
              <w:rPr>
                <w:rFonts w:ascii="宋体" w:hAnsi="宋体" w:cs="宋体"/>
                <w:b/>
                <w:color w:val="auto"/>
                <w:sz w:val="21"/>
                <w:szCs w:val="24"/>
                <w:highlight w:val="none"/>
              </w:rPr>
            </w:pPr>
            <w:r>
              <w:rPr>
                <w:rFonts w:hint="eastAsia" w:ascii="宋体" w:hAnsi="宋体" w:cs="宋体"/>
                <w:b/>
                <w:color w:val="auto"/>
                <w:sz w:val="21"/>
                <w:szCs w:val="24"/>
                <w:highlight w:val="none"/>
              </w:rPr>
              <w:t>服务采购</w:t>
            </w:r>
          </w:p>
        </w:tc>
        <w:tc>
          <w:tcPr>
            <w:tcW w:w="2272" w:type="dxa"/>
            <w:vAlign w:val="center"/>
          </w:tcPr>
          <w:p w14:paraId="3680E3A2">
            <w:pPr>
              <w:spacing w:line="500" w:lineRule="exact"/>
              <w:jc w:val="center"/>
              <w:rPr>
                <w:rFonts w:ascii="宋体" w:hAnsi="宋体" w:cs="宋体"/>
                <w:b/>
                <w:color w:val="auto"/>
                <w:sz w:val="21"/>
                <w:szCs w:val="24"/>
                <w:highlight w:val="none"/>
              </w:rPr>
            </w:pPr>
            <w:r>
              <w:rPr>
                <w:rFonts w:hint="eastAsia" w:ascii="宋体" w:hAnsi="宋体" w:cs="宋体"/>
                <w:b/>
                <w:color w:val="auto"/>
                <w:sz w:val="21"/>
                <w:szCs w:val="24"/>
                <w:highlight w:val="none"/>
              </w:rPr>
              <w:t>工程采购</w:t>
            </w:r>
          </w:p>
        </w:tc>
      </w:tr>
      <w:tr w14:paraId="550A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810" w:type="dxa"/>
            <w:vAlign w:val="center"/>
          </w:tcPr>
          <w:p w14:paraId="22855F94">
            <w:pPr>
              <w:spacing w:line="500" w:lineRule="exact"/>
              <w:jc w:val="center"/>
              <w:rPr>
                <w:rFonts w:ascii="宋体" w:hAnsi="宋体" w:cs="宋体"/>
                <w:color w:val="auto"/>
                <w:sz w:val="21"/>
                <w:szCs w:val="24"/>
                <w:highlight w:val="none"/>
              </w:rPr>
            </w:pPr>
            <w:r>
              <w:rPr>
                <w:rFonts w:hint="eastAsia" w:ascii="宋体" w:hAnsi="宋体" w:cs="宋体"/>
                <w:color w:val="auto"/>
                <w:sz w:val="21"/>
                <w:szCs w:val="24"/>
                <w:highlight w:val="none"/>
              </w:rPr>
              <w:t>100以下</w:t>
            </w:r>
          </w:p>
        </w:tc>
        <w:tc>
          <w:tcPr>
            <w:tcW w:w="2273" w:type="dxa"/>
            <w:vAlign w:val="center"/>
          </w:tcPr>
          <w:p w14:paraId="54C9141E">
            <w:pPr>
              <w:spacing w:line="500" w:lineRule="exact"/>
              <w:jc w:val="center"/>
              <w:rPr>
                <w:rFonts w:ascii="宋体" w:hAnsi="宋体" w:cs="宋体"/>
                <w:color w:val="auto"/>
                <w:sz w:val="21"/>
                <w:szCs w:val="24"/>
                <w:highlight w:val="none"/>
              </w:rPr>
            </w:pPr>
            <w:r>
              <w:rPr>
                <w:rFonts w:hint="eastAsia" w:ascii="宋体" w:hAnsi="宋体" w:cs="宋体"/>
                <w:color w:val="auto"/>
                <w:sz w:val="21"/>
                <w:szCs w:val="24"/>
                <w:highlight w:val="none"/>
              </w:rPr>
              <w:t>1.5%</w:t>
            </w:r>
          </w:p>
        </w:tc>
        <w:tc>
          <w:tcPr>
            <w:tcW w:w="2273" w:type="dxa"/>
            <w:vAlign w:val="center"/>
          </w:tcPr>
          <w:p w14:paraId="385D638F">
            <w:pPr>
              <w:spacing w:line="500" w:lineRule="exact"/>
              <w:jc w:val="center"/>
              <w:rPr>
                <w:rFonts w:ascii="宋体" w:hAnsi="宋体" w:cs="宋体"/>
                <w:color w:val="auto"/>
                <w:sz w:val="21"/>
                <w:szCs w:val="24"/>
                <w:highlight w:val="none"/>
              </w:rPr>
            </w:pPr>
            <w:r>
              <w:rPr>
                <w:rFonts w:hint="eastAsia" w:ascii="宋体" w:hAnsi="宋体" w:cs="宋体"/>
                <w:color w:val="auto"/>
                <w:sz w:val="21"/>
                <w:szCs w:val="24"/>
                <w:highlight w:val="none"/>
              </w:rPr>
              <w:t>1.5%</w:t>
            </w:r>
          </w:p>
        </w:tc>
        <w:tc>
          <w:tcPr>
            <w:tcW w:w="2272" w:type="dxa"/>
            <w:vAlign w:val="center"/>
          </w:tcPr>
          <w:p w14:paraId="6C2D8711">
            <w:pPr>
              <w:spacing w:line="500" w:lineRule="exact"/>
              <w:jc w:val="center"/>
              <w:rPr>
                <w:rFonts w:ascii="宋体" w:hAnsi="宋体" w:cs="宋体"/>
                <w:color w:val="auto"/>
                <w:sz w:val="21"/>
                <w:szCs w:val="24"/>
                <w:highlight w:val="none"/>
              </w:rPr>
            </w:pPr>
            <w:r>
              <w:rPr>
                <w:rFonts w:hint="eastAsia" w:ascii="宋体" w:hAnsi="宋体" w:cs="宋体"/>
                <w:color w:val="auto"/>
                <w:sz w:val="21"/>
                <w:szCs w:val="24"/>
                <w:highlight w:val="none"/>
              </w:rPr>
              <w:t>1.0%</w:t>
            </w:r>
          </w:p>
        </w:tc>
      </w:tr>
      <w:tr w14:paraId="1480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jc w:val="center"/>
        </w:trPr>
        <w:tc>
          <w:tcPr>
            <w:tcW w:w="2810" w:type="dxa"/>
            <w:vAlign w:val="center"/>
          </w:tcPr>
          <w:p w14:paraId="2BBA621E">
            <w:pPr>
              <w:spacing w:line="500" w:lineRule="exact"/>
              <w:jc w:val="center"/>
              <w:rPr>
                <w:rFonts w:ascii="宋体" w:hAnsi="宋体" w:cs="宋体"/>
                <w:color w:val="auto"/>
                <w:sz w:val="21"/>
                <w:szCs w:val="24"/>
                <w:highlight w:val="none"/>
              </w:rPr>
            </w:pPr>
            <w:r>
              <w:rPr>
                <w:rFonts w:hint="eastAsia" w:ascii="宋体" w:hAnsi="宋体" w:cs="宋体"/>
                <w:color w:val="auto"/>
                <w:sz w:val="21"/>
                <w:szCs w:val="24"/>
                <w:highlight w:val="none"/>
              </w:rPr>
              <w:t>100-500</w:t>
            </w:r>
          </w:p>
        </w:tc>
        <w:tc>
          <w:tcPr>
            <w:tcW w:w="2273" w:type="dxa"/>
            <w:vAlign w:val="center"/>
          </w:tcPr>
          <w:p w14:paraId="56C72014">
            <w:pPr>
              <w:spacing w:line="500" w:lineRule="exact"/>
              <w:jc w:val="center"/>
              <w:rPr>
                <w:rFonts w:ascii="宋体" w:hAnsi="宋体" w:cs="宋体"/>
                <w:color w:val="auto"/>
                <w:sz w:val="21"/>
                <w:szCs w:val="24"/>
                <w:highlight w:val="none"/>
              </w:rPr>
            </w:pPr>
            <w:r>
              <w:rPr>
                <w:rFonts w:hint="eastAsia" w:ascii="宋体" w:hAnsi="宋体" w:cs="宋体"/>
                <w:color w:val="auto"/>
                <w:sz w:val="21"/>
                <w:szCs w:val="24"/>
                <w:highlight w:val="none"/>
              </w:rPr>
              <w:t>1.1%</w:t>
            </w:r>
          </w:p>
        </w:tc>
        <w:tc>
          <w:tcPr>
            <w:tcW w:w="2273" w:type="dxa"/>
            <w:vAlign w:val="center"/>
          </w:tcPr>
          <w:p w14:paraId="06469193">
            <w:pPr>
              <w:spacing w:line="500" w:lineRule="exact"/>
              <w:jc w:val="center"/>
              <w:rPr>
                <w:rFonts w:ascii="宋体" w:hAnsi="宋体" w:cs="宋体"/>
                <w:color w:val="auto"/>
                <w:sz w:val="21"/>
                <w:szCs w:val="24"/>
                <w:highlight w:val="none"/>
              </w:rPr>
            </w:pPr>
            <w:r>
              <w:rPr>
                <w:rFonts w:hint="eastAsia" w:ascii="宋体" w:hAnsi="宋体" w:cs="宋体"/>
                <w:color w:val="auto"/>
                <w:sz w:val="21"/>
                <w:szCs w:val="24"/>
                <w:highlight w:val="none"/>
              </w:rPr>
              <w:t>0.8%</w:t>
            </w:r>
          </w:p>
        </w:tc>
        <w:tc>
          <w:tcPr>
            <w:tcW w:w="2272" w:type="dxa"/>
            <w:vAlign w:val="center"/>
          </w:tcPr>
          <w:p w14:paraId="292190CA">
            <w:pPr>
              <w:spacing w:line="500" w:lineRule="exact"/>
              <w:jc w:val="center"/>
              <w:rPr>
                <w:rFonts w:ascii="宋体" w:hAnsi="宋体" w:cs="宋体"/>
                <w:color w:val="auto"/>
                <w:sz w:val="21"/>
                <w:szCs w:val="24"/>
                <w:highlight w:val="none"/>
              </w:rPr>
            </w:pPr>
            <w:r>
              <w:rPr>
                <w:rFonts w:hint="eastAsia" w:ascii="宋体" w:hAnsi="宋体" w:cs="宋体"/>
                <w:color w:val="auto"/>
                <w:sz w:val="21"/>
                <w:szCs w:val="24"/>
                <w:highlight w:val="none"/>
              </w:rPr>
              <w:t>0.7%</w:t>
            </w:r>
          </w:p>
        </w:tc>
      </w:tr>
    </w:tbl>
    <w:p w14:paraId="3C181D2C">
      <w:pPr>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注：采购代理服务收费按差额定率累进法计算。采购代理服务费按上标准计算出不足4000元的，按4000元记取。</w:t>
      </w:r>
    </w:p>
    <w:bookmarkEnd w:id="113"/>
    <w:p w14:paraId="331CF895">
      <w:pPr>
        <w:spacing w:line="500" w:lineRule="exact"/>
        <w:ind w:firstLine="480" w:firstLineChars="200"/>
        <w:rPr>
          <w:rFonts w:ascii="宋体" w:hAnsi="宋体" w:cs="宋体"/>
          <w:color w:val="auto"/>
          <w:sz w:val="24"/>
          <w:highlight w:val="none"/>
        </w:rPr>
      </w:pPr>
      <w:bookmarkStart w:id="115" w:name="_Toc5914"/>
      <w:r>
        <w:rPr>
          <w:rFonts w:hint="eastAsia" w:ascii="宋体" w:hAnsi="宋体" w:cs="宋体"/>
          <w:color w:val="auto"/>
          <w:sz w:val="24"/>
          <w:highlight w:val="none"/>
        </w:rPr>
        <w:t>（二）采购代理服务费以现金、电汇等形式支付。</w:t>
      </w:r>
      <w:bookmarkEnd w:id="115"/>
    </w:p>
    <w:p w14:paraId="41BF9758">
      <w:pPr>
        <w:pStyle w:val="2"/>
        <w:adjustRightInd w:val="0"/>
        <w:snapToGrid w:val="0"/>
        <w:spacing w:line="500" w:lineRule="exact"/>
        <w:ind w:left="476" w:leftChars="170"/>
        <w:rPr>
          <w:rFonts w:ascii="宋体" w:hAnsi="宋体" w:eastAsia="宋体" w:cs="宋体"/>
          <w:b w:val="0"/>
          <w:color w:val="auto"/>
          <w:sz w:val="24"/>
          <w:szCs w:val="24"/>
          <w:highlight w:val="none"/>
        </w:rPr>
      </w:pPr>
      <w:r>
        <w:rPr>
          <w:rFonts w:hint="eastAsia" w:ascii="宋体" w:hAnsi="宋体" w:eastAsia="宋体" w:cs="宋体"/>
          <w:b w:val="0"/>
          <w:color w:val="auto"/>
          <w:kern w:val="0"/>
          <w:sz w:val="24"/>
          <w:szCs w:val="24"/>
          <w:highlight w:val="none"/>
        </w:rPr>
        <w:t>（三）采购中标后如未按上述规定缴纳采购代理服务费，暂停签发成交通知书</w:t>
      </w:r>
      <w:r>
        <w:rPr>
          <w:rFonts w:hint="eastAsia" w:ascii="宋体" w:hAnsi="宋体" w:eastAsia="宋体" w:cs="宋体"/>
          <w:b w:val="0"/>
          <w:color w:val="auto"/>
          <w:sz w:val="24"/>
          <w:szCs w:val="24"/>
          <w:highlight w:val="none"/>
        </w:rPr>
        <w:t>。</w:t>
      </w:r>
    </w:p>
    <w:p w14:paraId="23DE8048">
      <w:pPr>
        <w:pStyle w:val="2"/>
        <w:adjustRightInd w:val="0"/>
        <w:snapToGrid w:val="0"/>
        <w:spacing w:line="500" w:lineRule="exact"/>
        <w:ind w:left="476" w:leftChars="1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八、交易服务费</w:t>
      </w:r>
      <w:bookmarkEnd w:id="114"/>
    </w:p>
    <w:p w14:paraId="44F12A77">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无</w:t>
      </w:r>
    </w:p>
    <w:p w14:paraId="33A5CF58">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116" w:name="_Toc106030901"/>
      <w:bookmarkEnd w:id="116"/>
      <w:bookmarkStart w:id="117" w:name="_Toc76462346"/>
      <w:bookmarkEnd w:id="117"/>
      <w:bookmarkStart w:id="118" w:name="_Toc11641055"/>
      <w:bookmarkEnd w:id="118"/>
      <w:bookmarkStart w:id="119" w:name="_Toc342913396"/>
      <w:bookmarkEnd w:id="119"/>
      <w:bookmarkStart w:id="120" w:name="_Toc102227322"/>
      <w:bookmarkEnd w:id="120"/>
      <w:bookmarkStart w:id="121" w:name="_Toc12789059"/>
      <w:r>
        <w:rPr>
          <w:rFonts w:hint="eastAsia" w:ascii="宋体" w:hAnsi="宋体" w:eastAsia="宋体" w:cs="宋体"/>
          <w:color w:val="auto"/>
          <w:sz w:val="24"/>
          <w:szCs w:val="24"/>
          <w:highlight w:val="none"/>
        </w:rPr>
        <w:t>九、签订</w:t>
      </w:r>
      <w:bookmarkEnd w:id="121"/>
      <w:r>
        <w:rPr>
          <w:rFonts w:hint="eastAsia" w:ascii="宋体" w:hAnsi="宋体" w:eastAsia="宋体" w:cs="宋体"/>
          <w:color w:val="auto"/>
          <w:sz w:val="24"/>
          <w:szCs w:val="24"/>
          <w:highlight w:val="none"/>
        </w:rPr>
        <w:t>合同</w:t>
      </w:r>
    </w:p>
    <w:p w14:paraId="473ABA1F">
      <w:pPr>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14:paraId="3309207C">
      <w:pPr>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（二）竞争性磋商文件、供应商的响应文件及澄清文件等，均为签订政府采购合同的依据。</w:t>
      </w:r>
    </w:p>
    <w:p w14:paraId="1D901CB6">
      <w:pPr>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391E617F">
      <w:pPr>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（四）合同原则上应按照《重庆市政府采购合同》签订，相关单位要求适用合同通用格式版本的，应按其要求另行签订其他合同。</w:t>
      </w:r>
    </w:p>
    <w:p w14:paraId="5FF34B60">
      <w:pPr>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（五）采购人要求成交供应商提供履约保证金的，应当在竞争性磋商文件中予以约定。成交供应商履约完毕后，采购人根据采购文件规定无息退还其履约保证金。</w:t>
      </w:r>
    </w:p>
    <w:p w14:paraId="77C6356C">
      <w:pPr>
        <w:pStyle w:val="2"/>
        <w:adjustRightInd w:val="0"/>
        <w:snapToGrid w:val="0"/>
        <w:spacing w:line="500" w:lineRule="exact"/>
        <w:ind w:firstLine="482" w:firstLineChars="200"/>
        <w:rPr>
          <w:rFonts w:ascii="宋体" w:hAnsi="宋体" w:eastAsia="宋体" w:cs="宋体"/>
          <w:color w:val="auto"/>
          <w:sz w:val="24"/>
          <w:szCs w:val="24"/>
          <w:highlight w:val="none"/>
        </w:rPr>
      </w:pPr>
      <w:bookmarkStart w:id="122" w:name="_Toc106030902"/>
      <w:bookmarkEnd w:id="122"/>
      <w:r>
        <w:rPr>
          <w:rFonts w:hint="eastAsia" w:ascii="宋体" w:hAnsi="宋体" w:eastAsia="宋体" w:cs="宋体"/>
          <w:color w:val="auto"/>
          <w:sz w:val="24"/>
          <w:szCs w:val="24"/>
          <w:highlight w:val="none"/>
        </w:rPr>
        <w:t>十、项目验收</w:t>
      </w:r>
    </w:p>
    <w:p w14:paraId="54E3D4B9">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合同执行完毕，采购人或采购代理机构原则上应在7个工作日内组织履约情况验收，不得无故拖延或附加额外条件。</w:t>
      </w:r>
    </w:p>
    <w:p w14:paraId="572782A8">
      <w:pPr>
        <w:spacing w:line="500" w:lineRule="exact"/>
        <w:ind w:firstLine="480" w:firstLineChars="200"/>
        <w:rPr>
          <w:rFonts w:ascii="宋体" w:hAnsi="宋体" w:cs="宋体"/>
          <w:color w:val="auto"/>
          <w:sz w:val="24"/>
          <w:szCs w:val="24"/>
          <w:highlight w:val="none"/>
        </w:rPr>
      </w:pPr>
      <w:bookmarkStart w:id="123" w:name="_Toc14780"/>
      <w:bookmarkEnd w:id="123"/>
      <w:bookmarkStart w:id="124" w:name="_Toc76462347"/>
      <w:bookmarkEnd w:id="124"/>
    </w:p>
    <w:p w14:paraId="76E03E3C">
      <w:pPr>
        <w:pStyle w:val="2"/>
        <w:spacing w:line="360" w:lineRule="auto"/>
        <w:jc w:val="center"/>
        <w:rPr>
          <w:rFonts w:ascii="宋体" w:hAnsi="宋体" w:eastAsia="宋体" w:cs="宋体"/>
          <w:b w:val="0"/>
          <w:bCs/>
          <w:color w:val="auto"/>
          <w:sz w:val="36"/>
          <w:szCs w:val="36"/>
          <w:highlight w:val="none"/>
        </w:rPr>
      </w:pPr>
      <w:r>
        <w:rPr>
          <w:rFonts w:hint="eastAsia" w:ascii="宋体" w:hAnsi="宋体" w:eastAsia="宋体" w:cs="宋体"/>
          <w:color w:val="auto"/>
          <w:sz w:val="36"/>
          <w:szCs w:val="36"/>
          <w:highlight w:val="none"/>
        </w:rPr>
        <w:br w:type="page"/>
      </w:r>
      <w:bookmarkStart w:id="125" w:name="_Toc76462348"/>
      <w:bookmarkEnd w:id="125"/>
      <w:bookmarkStart w:id="126" w:name="_Toc106030904"/>
      <w:bookmarkStart w:id="127" w:name="_Toc27992"/>
      <w:r>
        <w:rPr>
          <w:rFonts w:hint="eastAsia" w:ascii="宋体" w:hAnsi="宋体" w:eastAsia="宋体" w:cs="宋体"/>
          <w:b w:val="0"/>
          <w:bCs/>
          <w:color w:val="auto"/>
          <w:sz w:val="36"/>
          <w:szCs w:val="36"/>
          <w:highlight w:val="none"/>
        </w:rPr>
        <w:t xml:space="preserve">第六篇  </w:t>
      </w:r>
      <w:bookmarkEnd w:id="126"/>
      <w:r>
        <w:rPr>
          <w:rFonts w:hint="eastAsia" w:ascii="宋体" w:hAnsi="宋体" w:eastAsia="宋体" w:cs="宋体"/>
          <w:b w:val="0"/>
          <w:bCs/>
          <w:color w:val="auto"/>
          <w:sz w:val="36"/>
          <w:szCs w:val="36"/>
          <w:highlight w:val="none"/>
        </w:rPr>
        <w:t>政府采购合同</w:t>
      </w:r>
      <w:bookmarkEnd w:id="127"/>
    </w:p>
    <w:p w14:paraId="32A1346B">
      <w:pPr>
        <w:spacing w:line="50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重庆市政府采购合同</w:t>
      </w:r>
    </w:p>
    <w:p w14:paraId="0FD67146">
      <w:pPr>
        <w:spacing w:line="500" w:lineRule="exact"/>
        <w:jc w:val="center"/>
        <w:rPr>
          <w:rFonts w:ascii="宋体" w:hAnsi="宋体" w:cs="宋体"/>
          <w:color w:val="auto"/>
          <w:highlight w:val="none"/>
        </w:rPr>
      </w:pPr>
      <w:r>
        <w:rPr>
          <w:rFonts w:hint="eastAsia" w:ascii="宋体" w:hAnsi="宋体" w:cs="宋体"/>
          <w:color w:val="auto"/>
          <w:highlight w:val="none"/>
        </w:rPr>
        <w:t>（项目号：     ）</w:t>
      </w:r>
    </w:p>
    <w:p w14:paraId="3ADA9784">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甲方（需方）：___________________________      计价单位：____________</w:t>
      </w:r>
    </w:p>
    <w:p w14:paraId="798BFFC1">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乙方（供方）：___________________________      计量单位：_____________</w:t>
      </w:r>
    </w:p>
    <w:p w14:paraId="4B01AFE6">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1BA35C0">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经双方协商一致，达成以下购销合同：</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2EC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Borders>
              <w:top w:val="single" w:color="auto" w:sz="4" w:space="0"/>
              <w:left w:val="single" w:color="auto" w:sz="4" w:space="0"/>
              <w:bottom w:val="single" w:color="auto" w:sz="4" w:space="0"/>
              <w:right w:val="single" w:color="auto" w:sz="4" w:space="0"/>
            </w:tcBorders>
            <w:vAlign w:val="center"/>
          </w:tcPr>
          <w:p w14:paraId="5CAEF8B9">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磋商项目名称</w:t>
            </w:r>
          </w:p>
        </w:tc>
        <w:tc>
          <w:tcPr>
            <w:tcW w:w="984" w:type="dxa"/>
            <w:tcBorders>
              <w:top w:val="single" w:color="auto" w:sz="4" w:space="0"/>
              <w:left w:val="single" w:color="auto" w:sz="4" w:space="0"/>
              <w:bottom w:val="single" w:color="auto" w:sz="4" w:space="0"/>
              <w:right w:val="single" w:color="auto" w:sz="4" w:space="0"/>
            </w:tcBorders>
            <w:vAlign w:val="center"/>
          </w:tcPr>
          <w:p w14:paraId="0206110C">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数量</w:t>
            </w: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563F6EB4">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综合单价</w:t>
            </w:r>
          </w:p>
        </w:tc>
        <w:tc>
          <w:tcPr>
            <w:tcW w:w="1134" w:type="dxa"/>
            <w:tcBorders>
              <w:top w:val="single" w:color="auto" w:sz="4" w:space="0"/>
              <w:left w:val="single" w:color="auto" w:sz="4" w:space="0"/>
              <w:bottom w:val="single" w:color="auto" w:sz="4" w:space="0"/>
              <w:right w:val="single" w:color="auto" w:sz="4" w:space="0"/>
            </w:tcBorders>
            <w:vAlign w:val="center"/>
          </w:tcPr>
          <w:p w14:paraId="5C251108">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总价</w:t>
            </w:r>
          </w:p>
        </w:tc>
        <w:tc>
          <w:tcPr>
            <w:tcW w:w="1559" w:type="dxa"/>
            <w:tcBorders>
              <w:top w:val="single" w:color="auto" w:sz="4" w:space="0"/>
              <w:left w:val="single" w:color="auto" w:sz="4" w:space="0"/>
              <w:bottom w:val="single" w:color="auto" w:sz="4" w:space="0"/>
              <w:right w:val="single" w:color="auto" w:sz="4" w:space="0"/>
            </w:tcBorders>
            <w:vAlign w:val="center"/>
          </w:tcPr>
          <w:p w14:paraId="009A91FA">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服务时间</w:t>
            </w:r>
          </w:p>
        </w:tc>
        <w:tc>
          <w:tcPr>
            <w:tcW w:w="1567" w:type="dxa"/>
            <w:tcBorders>
              <w:top w:val="single" w:color="auto" w:sz="4" w:space="0"/>
              <w:left w:val="single" w:color="auto" w:sz="4" w:space="0"/>
              <w:bottom w:val="single" w:color="auto" w:sz="4" w:space="0"/>
              <w:right w:val="single" w:color="auto" w:sz="4" w:space="0"/>
            </w:tcBorders>
            <w:vAlign w:val="center"/>
          </w:tcPr>
          <w:p w14:paraId="2C3CB4BF">
            <w:pPr>
              <w:spacing w:line="24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服务地点</w:t>
            </w:r>
          </w:p>
        </w:tc>
      </w:tr>
      <w:tr w14:paraId="7425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Borders>
              <w:top w:val="single" w:color="auto" w:sz="4" w:space="0"/>
              <w:left w:val="single" w:color="auto" w:sz="4" w:space="0"/>
              <w:bottom w:val="single" w:color="auto" w:sz="4" w:space="0"/>
              <w:right w:val="single" w:color="auto" w:sz="4" w:space="0"/>
            </w:tcBorders>
            <w:vAlign w:val="center"/>
          </w:tcPr>
          <w:p w14:paraId="252250C3">
            <w:pPr>
              <w:spacing w:line="240" w:lineRule="atLeast"/>
              <w:jc w:val="center"/>
              <w:rPr>
                <w:rFonts w:ascii="宋体" w:hAnsi="宋体" w:cs="宋体"/>
                <w:color w:val="auto"/>
                <w:sz w:val="21"/>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2AD3DF1B">
            <w:pPr>
              <w:spacing w:line="240" w:lineRule="atLeast"/>
              <w:jc w:val="center"/>
              <w:rPr>
                <w:rFonts w:ascii="宋体" w:hAnsi="宋体" w:cs="宋体"/>
                <w:color w:val="auto"/>
                <w:sz w:val="21"/>
                <w:szCs w:val="21"/>
                <w:highlight w:val="none"/>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1AF49C30">
            <w:pPr>
              <w:spacing w:line="240" w:lineRule="atLeast"/>
              <w:jc w:val="center"/>
              <w:rPr>
                <w:rFonts w:ascii="宋体" w:hAnsi="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CE41CDB">
            <w:pPr>
              <w:spacing w:line="240" w:lineRule="atLeast"/>
              <w:jc w:val="center"/>
              <w:rPr>
                <w:rFonts w:ascii="宋体" w:hAnsi="宋体" w:cs="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04E1189">
            <w:pPr>
              <w:spacing w:line="240" w:lineRule="atLeast"/>
              <w:jc w:val="center"/>
              <w:rPr>
                <w:rFonts w:ascii="宋体" w:hAnsi="宋体" w:cs="宋体"/>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02AABCA6">
            <w:pPr>
              <w:spacing w:line="240" w:lineRule="atLeast"/>
              <w:jc w:val="center"/>
              <w:rPr>
                <w:rFonts w:ascii="宋体" w:hAnsi="宋体" w:cs="宋体"/>
                <w:color w:val="auto"/>
                <w:sz w:val="21"/>
                <w:szCs w:val="21"/>
                <w:highlight w:val="none"/>
              </w:rPr>
            </w:pPr>
          </w:p>
        </w:tc>
      </w:tr>
      <w:tr w14:paraId="1097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tcBorders>
              <w:top w:val="single" w:color="auto" w:sz="4" w:space="0"/>
              <w:left w:val="single" w:color="auto" w:sz="4" w:space="0"/>
              <w:bottom w:val="single" w:color="auto" w:sz="4" w:space="0"/>
              <w:right w:val="single" w:color="auto" w:sz="4" w:space="0"/>
            </w:tcBorders>
            <w:vAlign w:val="center"/>
          </w:tcPr>
          <w:p w14:paraId="400AF161">
            <w:pPr>
              <w:spacing w:line="240" w:lineRule="atLeast"/>
              <w:jc w:val="center"/>
              <w:rPr>
                <w:rFonts w:ascii="宋体" w:hAnsi="宋体" w:cs="宋体"/>
                <w:color w:val="auto"/>
                <w:sz w:val="21"/>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2F0CD2FB">
            <w:pPr>
              <w:spacing w:line="240" w:lineRule="atLeast"/>
              <w:jc w:val="center"/>
              <w:rPr>
                <w:rFonts w:ascii="宋体" w:hAnsi="宋体" w:cs="宋体"/>
                <w:color w:val="auto"/>
                <w:sz w:val="21"/>
                <w:szCs w:val="21"/>
                <w:highlight w:val="none"/>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18459A2C">
            <w:pPr>
              <w:spacing w:line="240" w:lineRule="atLeast"/>
              <w:jc w:val="center"/>
              <w:rPr>
                <w:rFonts w:ascii="宋体" w:hAnsi="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FEFEE8">
            <w:pPr>
              <w:spacing w:line="240" w:lineRule="atLeast"/>
              <w:jc w:val="center"/>
              <w:rPr>
                <w:rFonts w:ascii="宋体" w:hAnsi="宋体" w:cs="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ACA7D2C">
            <w:pPr>
              <w:spacing w:line="240" w:lineRule="atLeast"/>
              <w:jc w:val="center"/>
              <w:rPr>
                <w:rFonts w:ascii="宋体" w:hAnsi="宋体" w:cs="宋体"/>
                <w:color w:val="auto"/>
                <w:sz w:val="21"/>
                <w:szCs w:val="21"/>
                <w:highlight w:val="none"/>
              </w:rPr>
            </w:pPr>
          </w:p>
        </w:tc>
        <w:tc>
          <w:tcPr>
            <w:tcW w:w="1567" w:type="dxa"/>
            <w:tcBorders>
              <w:top w:val="single" w:color="auto" w:sz="4" w:space="0"/>
              <w:left w:val="single" w:color="auto" w:sz="4" w:space="0"/>
              <w:bottom w:val="single" w:color="auto" w:sz="4" w:space="0"/>
              <w:right w:val="single" w:color="auto" w:sz="4" w:space="0"/>
            </w:tcBorders>
            <w:vAlign w:val="center"/>
          </w:tcPr>
          <w:p w14:paraId="182D2D13">
            <w:pPr>
              <w:spacing w:line="240" w:lineRule="atLeast"/>
              <w:jc w:val="center"/>
              <w:rPr>
                <w:rFonts w:ascii="宋体" w:hAnsi="宋体" w:cs="宋体"/>
                <w:color w:val="auto"/>
                <w:sz w:val="21"/>
                <w:szCs w:val="21"/>
                <w:highlight w:val="none"/>
              </w:rPr>
            </w:pPr>
          </w:p>
        </w:tc>
      </w:tr>
      <w:tr w14:paraId="609D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tcBorders>
              <w:top w:val="single" w:color="auto" w:sz="4" w:space="0"/>
              <w:left w:val="single" w:color="auto" w:sz="4" w:space="0"/>
              <w:bottom w:val="single" w:color="auto" w:sz="4" w:space="0"/>
              <w:right w:val="single" w:color="auto" w:sz="4" w:space="0"/>
            </w:tcBorders>
            <w:vAlign w:val="center"/>
          </w:tcPr>
          <w:p w14:paraId="33802655">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14:paraId="28D4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tcBorders>
              <w:top w:val="single" w:color="auto" w:sz="4" w:space="0"/>
              <w:left w:val="single" w:color="auto" w:sz="4" w:space="0"/>
              <w:bottom w:val="single" w:color="auto" w:sz="4" w:space="0"/>
              <w:right w:val="single" w:color="auto" w:sz="4" w:space="0"/>
            </w:tcBorders>
            <w:vAlign w:val="center"/>
          </w:tcPr>
          <w:p w14:paraId="20EEA1CE">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14:paraId="6F7B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Borders>
              <w:top w:val="single" w:color="auto" w:sz="4" w:space="0"/>
              <w:left w:val="single" w:color="auto" w:sz="4" w:space="0"/>
              <w:bottom w:val="single" w:color="auto" w:sz="4" w:space="0"/>
              <w:right w:val="single" w:color="auto" w:sz="4" w:space="0"/>
            </w:tcBorders>
          </w:tcPr>
          <w:p w14:paraId="793206E8">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一、服务要求</w:t>
            </w:r>
          </w:p>
        </w:tc>
      </w:tr>
      <w:tr w14:paraId="79F3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Borders>
              <w:top w:val="single" w:color="auto" w:sz="4" w:space="0"/>
              <w:left w:val="single" w:color="auto" w:sz="4" w:space="0"/>
              <w:bottom w:val="single" w:color="auto" w:sz="4" w:space="0"/>
              <w:right w:val="single" w:color="auto" w:sz="4" w:space="0"/>
            </w:tcBorders>
          </w:tcPr>
          <w:p w14:paraId="7730149F">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二、考核方式</w:t>
            </w:r>
          </w:p>
        </w:tc>
      </w:tr>
      <w:tr w14:paraId="1EF3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Borders>
              <w:top w:val="single" w:color="auto" w:sz="4" w:space="0"/>
              <w:left w:val="single" w:color="auto" w:sz="4" w:space="0"/>
              <w:bottom w:val="single" w:color="auto" w:sz="4" w:space="0"/>
              <w:right w:val="single" w:color="auto" w:sz="4" w:space="0"/>
            </w:tcBorders>
          </w:tcPr>
          <w:p w14:paraId="64DC7B87">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三、付款方式：</w:t>
            </w:r>
          </w:p>
          <w:p w14:paraId="48465E2E">
            <w:pPr>
              <w:rPr>
                <w:rFonts w:ascii="宋体" w:hAnsi="宋体" w:cs="宋体"/>
                <w:color w:val="auto"/>
                <w:highlight w:val="none"/>
              </w:rPr>
            </w:pPr>
          </w:p>
        </w:tc>
      </w:tr>
      <w:tr w14:paraId="1E53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Borders>
              <w:top w:val="single" w:color="auto" w:sz="4" w:space="0"/>
              <w:left w:val="single" w:color="auto" w:sz="4" w:space="0"/>
              <w:bottom w:val="single" w:color="auto" w:sz="4" w:space="0"/>
              <w:right w:val="single" w:color="auto" w:sz="4" w:space="0"/>
            </w:tcBorders>
          </w:tcPr>
          <w:p w14:paraId="67C8CD3F">
            <w:pPr>
              <w:rPr>
                <w:rFonts w:ascii="宋体" w:hAnsi="宋体" w:cs="宋体"/>
                <w:color w:val="auto"/>
                <w:sz w:val="21"/>
                <w:szCs w:val="21"/>
                <w:highlight w:val="none"/>
              </w:rPr>
            </w:pPr>
            <w:r>
              <w:rPr>
                <w:rFonts w:hint="eastAsia" w:ascii="宋体" w:hAnsi="宋体" w:cs="宋体"/>
                <w:color w:val="auto"/>
                <w:sz w:val="21"/>
                <w:szCs w:val="21"/>
                <w:highlight w:val="none"/>
              </w:rPr>
              <w:t>X、履约保证金：</w:t>
            </w:r>
          </w:p>
        </w:tc>
      </w:tr>
      <w:tr w14:paraId="7189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Borders>
              <w:top w:val="single" w:color="auto" w:sz="4" w:space="0"/>
              <w:left w:val="single" w:color="auto" w:sz="4" w:space="0"/>
              <w:bottom w:val="single" w:color="auto" w:sz="4" w:space="0"/>
              <w:right w:val="single" w:color="auto" w:sz="4" w:space="0"/>
            </w:tcBorders>
          </w:tcPr>
          <w:p w14:paraId="36C054D8">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四、违约责任：</w:t>
            </w:r>
          </w:p>
          <w:p w14:paraId="3645719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按《中华人民共和国民法典》、《中华人民共和国政府采购法》执行，或按双方约定。</w:t>
            </w:r>
          </w:p>
        </w:tc>
      </w:tr>
      <w:tr w14:paraId="6432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Borders>
              <w:top w:val="single" w:color="auto" w:sz="4" w:space="0"/>
              <w:left w:val="single" w:color="auto" w:sz="4" w:space="0"/>
              <w:bottom w:val="single" w:color="auto" w:sz="4" w:space="0"/>
              <w:right w:val="single" w:color="auto" w:sz="4" w:space="0"/>
            </w:tcBorders>
          </w:tcPr>
          <w:p w14:paraId="3846226C">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五、其他约定事项：</w:t>
            </w:r>
          </w:p>
          <w:p w14:paraId="055AAC08">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1.采购文件及其澄清文件、响应文件和承诺是本合同不可分割的部分。</w:t>
            </w:r>
          </w:p>
          <w:p w14:paraId="615A7379">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2.本合同如发生争议由双方协商解决，协商不成向需方所在人民法院提请诉讼。</w:t>
            </w:r>
          </w:p>
          <w:p w14:paraId="1C4B8BD4">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需方__份，供方__份，具同等法律效力。</w:t>
            </w:r>
          </w:p>
          <w:p w14:paraId="0B2C01F6">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4.其他：</w:t>
            </w:r>
          </w:p>
        </w:tc>
      </w:tr>
      <w:tr w14:paraId="478B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Borders>
              <w:top w:val="single" w:color="auto" w:sz="4" w:space="0"/>
              <w:left w:val="single" w:color="auto" w:sz="4" w:space="0"/>
              <w:bottom w:val="single" w:color="auto" w:sz="4" w:space="0"/>
              <w:right w:val="single" w:color="auto" w:sz="4" w:space="0"/>
            </w:tcBorders>
          </w:tcPr>
          <w:p w14:paraId="60A57DC1">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需方：</w:t>
            </w:r>
          </w:p>
          <w:p w14:paraId="39270705">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4255A36E">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联系电话：</w:t>
            </w:r>
          </w:p>
          <w:p w14:paraId="285B772A">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4984" w:type="dxa"/>
            <w:gridSpan w:val="5"/>
            <w:tcBorders>
              <w:top w:val="single" w:color="auto" w:sz="4" w:space="0"/>
              <w:left w:val="single" w:color="auto" w:sz="4" w:space="0"/>
              <w:bottom w:val="single" w:color="auto" w:sz="4" w:space="0"/>
              <w:right w:val="single" w:color="auto" w:sz="4" w:space="0"/>
            </w:tcBorders>
          </w:tcPr>
          <w:p w14:paraId="22C6F271">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供方：</w:t>
            </w:r>
          </w:p>
          <w:p w14:paraId="3ADBC87C">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6ADC1283">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电话：</w:t>
            </w:r>
          </w:p>
          <w:p w14:paraId="78E1D73F">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传真：</w:t>
            </w:r>
          </w:p>
          <w:p w14:paraId="4741A102">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开户银行：</w:t>
            </w:r>
          </w:p>
          <w:p w14:paraId="068833C9">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账号：</w:t>
            </w:r>
          </w:p>
          <w:p w14:paraId="489D1D6C">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授权代表：</w:t>
            </w:r>
          </w:p>
          <w:p w14:paraId="00806DDE">
            <w:pPr>
              <w:widowControl/>
              <w:spacing w:line="240" w:lineRule="atLeast"/>
              <w:jc w:val="left"/>
              <w:rPr>
                <w:rFonts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14:paraId="1C23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Borders>
              <w:top w:val="single" w:color="auto" w:sz="4" w:space="0"/>
              <w:left w:val="single" w:color="auto" w:sz="4" w:space="0"/>
              <w:bottom w:val="single" w:color="auto" w:sz="4" w:space="0"/>
              <w:right w:val="single" w:color="auto" w:sz="4" w:space="0"/>
            </w:tcBorders>
          </w:tcPr>
          <w:p w14:paraId="3385AA40">
            <w:pPr>
              <w:spacing w:line="240" w:lineRule="atLeast"/>
              <w:rPr>
                <w:rFonts w:ascii="宋体" w:hAnsi="宋体" w:cs="宋体"/>
                <w:color w:val="auto"/>
                <w:sz w:val="21"/>
                <w:szCs w:val="21"/>
                <w:highlight w:val="none"/>
              </w:rPr>
            </w:pPr>
            <w:r>
              <w:rPr>
                <w:rFonts w:hint="eastAsia" w:ascii="宋体" w:hAnsi="宋体" w:cs="宋体"/>
                <w:color w:val="auto"/>
                <w:sz w:val="21"/>
                <w:szCs w:val="21"/>
                <w:highlight w:val="none"/>
              </w:rPr>
              <w:t>备注：</w:t>
            </w:r>
          </w:p>
          <w:p w14:paraId="621AFFBD">
            <w:pPr>
              <w:spacing w:line="240" w:lineRule="atLeast"/>
              <w:rPr>
                <w:rFonts w:ascii="宋体" w:hAnsi="宋体" w:cs="宋体"/>
                <w:color w:val="auto"/>
                <w:sz w:val="21"/>
                <w:szCs w:val="21"/>
                <w:highlight w:val="none"/>
              </w:rPr>
            </w:pPr>
          </w:p>
          <w:p w14:paraId="2CD983EF">
            <w:pPr>
              <w:spacing w:line="240" w:lineRule="atLeast"/>
              <w:rPr>
                <w:rFonts w:ascii="宋体" w:hAnsi="宋体" w:cs="宋体"/>
                <w:color w:val="auto"/>
                <w:sz w:val="21"/>
                <w:szCs w:val="21"/>
                <w:highlight w:val="none"/>
              </w:rPr>
            </w:pPr>
          </w:p>
        </w:tc>
      </w:tr>
    </w:tbl>
    <w:p w14:paraId="078B8308">
      <w:pPr>
        <w:rPr>
          <w:rFonts w:ascii="宋体" w:hAnsi="宋体" w:cs="宋体"/>
          <w:color w:val="auto"/>
          <w:sz w:val="24"/>
          <w:szCs w:val="24"/>
          <w:highlight w:val="none"/>
        </w:rPr>
      </w:pPr>
      <w:r>
        <w:rPr>
          <w:rFonts w:hint="eastAsia" w:ascii="宋体" w:hAnsi="宋体" w:cs="宋体"/>
          <w:color w:val="auto"/>
          <w:sz w:val="24"/>
          <w:szCs w:val="24"/>
          <w:highlight w:val="none"/>
        </w:rPr>
        <w:t>签约时间：           年   月   日      签约地点：</w:t>
      </w:r>
    </w:p>
    <w:p w14:paraId="2F2FDD86">
      <w:pPr>
        <w:widowControl/>
        <w:jc w:val="left"/>
        <w:rPr>
          <w:rFonts w:ascii="宋体" w:hAnsi="宋体" w:cs="宋体"/>
          <w:color w:val="auto"/>
          <w:sz w:val="21"/>
          <w:szCs w:val="21"/>
          <w:highlight w:val="none"/>
        </w:rPr>
        <w:sectPr>
          <w:pgSz w:w="11907" w:h="16840"/>
          <w:pgMar w:top="1134" w:right="1191" w:bottom="1134" w:left="1304" w:header="964" w:footer="992" w:gutter="0"/>
          <w:cols w:space="720" w:num="1"/>
          <w:docGrid w:type="lines" w:linePitch="312" w:charSpace="0"/>
        </w:sectPr>
      </w:pPr>
    </w:p>
    <w:p w14:paraId="76491BBC">
      <w:pPr>
        <w:pStyle w:val="2"/>
        <w:spacing w:line="360" w:lineRule="auto"/>
        <w:jc w:val="center"/>
        <w:rPr>
          <w:rFonts w:ascii="宋体" w:hAnsi="宋体" w:eastAsia="宋体" w:cs="宋体"/>
          <w:b w:val="0"/>
          <w:bCs/>
          <w:color w:val="auto"/>
          <w:sz w:val="36"/>
          <w:szCs w:val="36"/>
          <w:highlight w:val="none"/>
        </w:rPr>
      </w:pPr>
      <w:bookmarkStart w:id="128" w:name="_Toc106030905"/>
      <w:bookmarkEnd w:id="128"/>
      <w:bookmarkStart w:id="129" w:name="_Hlt41879464"/>
      <w:bookmarkEnd w:id="129"/>
      <w:bookmarkStart w:id="130" w:name="_Toc30025"/>
      <w:bookmarkStart w:id="131" w:name="_Toc76462349"/>
      <w:r>
        <w:rPr>
          <w:rFonts w:hint="eastAsia" w:ascii="宋体" w:hAnsi="宋体" w:eastAsia="宋体" w:cs="宋体"/>
          <w:b w:val="0"/>
          <w:bCs/>
          <w:color w:val="auto"/>
          <w:sz w:val="36"/>
          <w:szCs w:val="36"/>
          <w:highlight w:val="none"/>
        </w:rPr>
        <w:t>第七篇  响应文件编制要求</w:t>
      </w:r>
      <w:bookmarkEnd w:id="130"/>
      <w:bookmarkEnd w:id="131"/>
    </w:p>
    <w:p w14:paraId="7B2A50E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35B5CBC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3BBE10B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（二）最后报价表</w:t>
      </w:r>
    </w:p>
    <w:p w14:paraId="1E5D0CF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二、服务部分</w:t>
      </w:r>
    </w:p>
    <w:p w14:paraId="0145BAA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607B80D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7885E61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2A30738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250B4A1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（二）其它资料（格式自定）</w:t>
      </w:r>
    </w:p>
    <w:p w14:paraId="3F2228A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5B7637B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6AC5A93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7E34AC8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30F5C1F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11CE0EE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五、其他资料</w:t>
      </w:r>
    </w:p>
    <w:p w14:paraId="49E2954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w:t>
      </w:r>
    </w:p>
    <w:p w14:paraId="7A1F937A">
      <w:pPr>
        <w:widowControl/>
        <w:jc w:val="left"/>
        <w:rPr>
          <w:rFonts w:ascii="宋体" w:hAnsi="宋体" w:cs="宋体"/>
          <w:color w:val="auto"/>
          <w:sz w:val="24"/>
          <w:szCs w:val="24"/>
          <w:highlight w:val="none"/>
        </w:rPr>
        <w:sectPr>
          <w:pgSz w:w="11907" w:h="16840"/>
          <w:pgMar w:top="1134" w:right="1191" w:bottom="1134" w:left="1304" w:header="851" w:footer="992" w:gutter="0"/>
          <w:cols w:space="720" w:num="1"/>
          <w:docGrid w:type="lines" w:linePitch="380" w:charSpace="0"/>
        </w:sectPr>
      </w:pPr>
    </w:p>
    <w:p w14:paraId="10FCCB1A">
      <w:pPr>
        <w:pStyle w:val="2"/>
        <w:adjustRightInd w:val="0"/>
        <w:snapToGrid w:val="0"/>
        <w:spacing w:line="400" w:lineRule="exact"/>
        <w:ind w:firstLine="482" w:firstLineChars="200"/>
        <w:rPr>
          <w:rFonts w:ascii="宋体" w:hAnsi="宋体" w:eastAsia="宋体" w:cs="宋体"/>
          <w:color w:val="auto"/>
          <w:sz w:val="24"/>
          <w:szCs w:val="24"/>
          <w:highlight w:val="none"/>
        </w:rPr>
      </w:pPr>
      <w:bookmarkStart w:id="132" w:name="_Toc106030906"/>
      <w:bookmarkEnd w:id="132"/>
      <w:bookmarkStart w:id="133" w:name="_Toc313008356"/>
      <w:bookmarkEnd w:id="133"/>
      <w:bookmarkStart w:id="134" w:name="_Toc342913419"/>
      <w:bookmarkEnd w:id="134"/>
      <w:bookmarkStart w:id="135" w:name="_Toc313888360"/>
      <w:bookmarkEnd w:id="135"/>
      <w:bookmarkStart w:id="136" w:name="_Toc12789073"/>
      <w:bookmarkEnd w:id="136"/>
      <w:bookmarkStart w:id="137" w:name="_Toc76462350"/>
      <w:bookmarkEnd w:id="137"/>
      <w:bookmarkStart w:id="138" w:name="_Toc283382454"/>
      <w:r>
        <w:rPr>
          <w:rFonts w:hint="eastAsia" w:ascii="宋体" w:hAnsi="宋体" w:eastAsia="宋体" w:cs="宋体"/>
          <w:color w:val="auto"/>
          <w:sz w:val="24"/>
          <w:szCs w:val="24"/>
          <w:highlight w:val="none"/>
        </w:rPr>
        <w:t>一、经济部分</w:t>
      </w:r>
      <w:bookmarkEnd w:id="138"/>
    </w:p>
    <w:p w14:paraId="1F6FD3F2">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5928034A">
      <w:pPr>
        <w:jc w:val="center"/>
        <w:rPr>
          <w:rFonts w:ascii="宋体" w:hAnsi="宋体" w:cs="宋体"/>
          <w:b/>
          <w:color w:val="auto"/>
          <w:highlight w:val="none"/>
        </w:rPr>
      </w:pPr>
      <w:r>
        <w:rPr>
          <w:rFonts w:hint="eastAsia" w:ascii="宋体" w:hAnsi="宋体" w:cs="宋体"/>
          <w:b/>
          <w:color w:val="auto"/>
          <w:highlight w:val="none"/>
        </w:rPr>
        <w:t>竞争性磋商报价函</w:t>
      </w:r>
    </w:p>
    <w:p w14:paraId="62588086">
      <w:pPr>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0CEF8ECA">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我方收到____________________________（磋商项目名称）的竞争性磋商文件，经详细研究，决定参加该项目的磋商。</w:t>
      </w:r>
    </w:p>
    <w:p w14:paraId="43CEF070">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元。以我公司最后报价为准。</w:t>
      </w:r>
    </w:p>
    <w:p w14:paraId="0F4E9FA3">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3F91ABDE">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3.我方承诺：本次磋商的有效期为提交响应文件截止时间起90天。</w:t>
      </w:r>
    </w:p>
    <w:p w14:paraId="391DFE9B">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3EB52780">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5900ED84">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56C710C2">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7.如果我方成为成交供应商，保证在接到成交通知书后，向采购代理机构和重庆联合产权交易所集团股份有限公司缴纳竞争性磋商文件规定的采购代理服务费和交易服务费。</w:t>
      </w:r>
    </w:p>
    <w:p w14:paraId="0AF9A474">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8.我方未为采购项目提供整体设计、规范编制或者项目管理、监理、检测等服务。</w:t>
      </w:r>
    </w:p>
    <w:p w14:paraId="0EB7CD34">
      <w:pPr>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43959E9A">
      <w:pPr>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5F23180E">
      <w:pPr>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2C00DFA4">
      <w:pPr>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0DED134C">
      <w:pPr>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5EAC4085">
      <w:pPr>
        <w:snapToGrid w:val="0"/>
        <w:spacing w:line="312" w:lineRule="auto"/>
        <w:ind w:firstLine="480" w:firstLineChars="200"/>
        <w:rPr>
          <w:rFonts w:ascii="宋体" w:hAnsi="宋体" w:cs="宋体"/>
          <w:color w:val="auto"/>
          <w:highlight w:val="none"/>
        </w:rPr>
      </w:pPr>
      <w:r>
        <w:rPr>
          <w:rFonts w:hint="eastAsia" w:ascii="宋体" w:hAnsi="宋体" w:cs="宋体"/>
          <w:color w:val="auto"/>
          <w:sz w:val="24"/>
          <w:szCs w:val="24"/>
          <w:highlight w:val="none"/>
        </w:rPr>
        <w:t xml:space="preserve">                                                  年   月   日</w:t>
      </w:r>
    </w:p>
    <w:p w14:paraId="51455603">
      <w:pPr>
        <w:widowControl/>
        <w:spacing w:line="312" w:lineRule="auto"/>
        <w:jc w:val="left"/>
        <w:rPr>
          <w:rFonts w:ascii="宋体" w:hAnsi="宋体" w:cs="宋体"/>
          <w:color w:val="auto"/>
          <w:sz w:val="24"/>
          <w:szCs w:val="24"/>
          <w:highlight w:val="none"/>
        </w:rPr>
      </w:pPr>
    </w:p>
    <w:p w14:paraId="00268C35">
      <w:pPr>
        <w:widowControl/>
        <w:spacing w:line="312" w:lineRule="auto"/>
        <w:jc w:val="left"/>
        <w:rPr>
          <w:rFonts w:ascii="宋体" w:hAnsi="宋体" w:cs="宋体"/>
          <w:color w:val="auto"/>
          <w:sz w:val="24"/>
          <w:szCs w:val="24"/>
          <w:highlight w:val="none"/>
        </w:rPr>
        <w:sectPr>
          <w:pgSz w:w="11907" w:h="16840"/>
          <w:pgMar w:top="1134" w:right="1191" w:bottom="1134" w:left="1304" w:header="851" w:footer="992" w:gutter="0"/>
          <w:cols w:space="720" w:num="1"/>
          <w:docGrid w:type="lines" w:linePitch="380" w:charSpace="0"/>
        </w:sectPr>
      </w:pPr>
    </w:p>
    <w:p w14:paraId="14A64721">
      <w:pPr>
        <w:pStyle w:val="3"/>
        <w:jc w:val="both"/>
        <w:rPr>
          <w:rFonts w:ascii="宋体" w:hAnsi="宋体" w:cs="宋体"/>
          <w:b w:val="0"/>
          <w:bCs/>
          <w:color w:val="auto"/>
          <w:sz w:val="24"/>
          <w:szCs w:val="24"/>
          <w:highlight w:val="none"/>
        </w:rPr>
      </w:pPr>
      <w:bookmarkStart w:id="139" w:name="_Toc25317"/>
      <w:r>
        <w:rPr>
          <w:rFonts w:hint="eastAsia" w:ascii="宋体" w:hAnsi="宋体" w:cs="宋体"/>
          <w:b w:val="0"/>
          <w:bCs/>
          <w:color w:val="auto"/>
          <w:sz w:val="24"/>
          <w:szCs w:val="24"/>
          <w:highlight w:val="none"/>
        </w:rPr>
        <w:t>（二）</w:t>
      </w:r>
      <w:bookmarkEnd w:id="139"/>
      <w:r>
        <w:rPr>
          <w:rFonts w:hint="eastAsia" w:ascii="宋体" w:hAnsi="宋体" w:cs="宋体"/>
          <w:b w:val="0"/>
          <w:bCs/>
          <w:color w:val="auto"/>
          <w:sz w:val="24"/>
          <w:szCs w:val="24"/>
          <w:highlight w:val="none"/>
        </w:rPr>
        <w:t>最后报价表</w:t>
      </w:r>
    </w:p>
    <w:p w14:paraId="00C6A61A">
      <w:pPr>
        <w:pStyle w:val="18"/>
        <w:rPr>
          <w:rFonts w:ascii="宋体" w:hAnsi="宋体" w:cs="宋体"/>
          <w:color w:val="auto"/>
          <w:highlight w:val="none"/>
        </w:rPr>
      </w:pPr>
    </w:p>
    <w:p w14:paraId="41B3BEDC">
      <w:pPr>
        <w:snapToGrid w:val="0"/>
        <w:spacing w:line="500" w:lineRule="exact"/>
        <w:jc w:val="center"/>
        <w:rPr>
          <w:rFonts w:ascii="宋体" w:hAnsi="宋体" w:cs="宋体"/>
          <w:color w:val="auto"/>
          <w:highlight w:val="none"/>
        </w:rPr>
      </w:pPr>
      <w:r>
        <w:rPr>
          <w:rFonts w:hint="eastAsia" w:ascii="宋体" w:hAnsi="宋体" w:cs="宋体"/>
          <w:color w:val="auto"/>
          <w:highlight w:val="none"/>
        </w:rPr>
        <w:t>最后报价表</w:t>
      </w:r>
    </w:p>
    <w:p w14:paraId="2B8D9566">
      <w:pPr>
        <w:pStyle w:val="19"/>
        <w:rPr>
          <w:rFonts w:hAnsi="宋体" w:cs="宋体"/>
          <w:color w:val="auto"/>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7638"/>
      </w:tblGrid>
      <w:tr w14:paraId="06FA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trPr>
        <w:tc>
          <w:tcPr>
            <w:tcW w:w="1741" w:type="dxa"/>
            <w:vAlign w:val="center"/>
          </w:tcPr>
          <w:p w14:paraId="0DD48807">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供应商全称</w:t>
            </w:r>
          </w:p>
        </w:tc>
        <w:tc>
          <w:tcPr>
            <w:tcW w:w="7638" w:type="dxa"/>
            <w:vAlign w:val="center"/>
          </w:tcPr>
          <w:p w14:paraId="408203B3">
            <w:pPr>
              <w:spacing w:line="500" w:lineRule="exact"/>
              <w:jc w:val="center"/>
              <w:rPr>
                <w:rFonts w:ascii="宋体" w:hAnsi="宋体" w:cs="宋体"/>
                <w:color w:val="auto"/>
                <w:sz w:val="24"/>
                <w:szCs w:val="24"/>
                <w:highlight w:val="none"/>
              </w:rPr>
            </w:pPr>
          </w:p>
        </w:tc>
      </w:tr>
      <w:tr w14:paraId="1D50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trPr>
        <w:tc>
          <w:tcPr>
            <w:tcW w:w="9379" w:type="dxa"/>
            <w:gridSpan w:val="2"/>
            <w:vAlign w:val="center"/>
          </w:tcPr>
          <w:p w14:paraId="33DD4464">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r>
      <w:tr w14:paraId="3C5E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trPr>
        <w:tc>
          <w:tcPr>
            <w:tcW w:w="9379" w:type="dxa"/>
            <w:gridSpan w:val="2"/>
            <w:tcBorders>
              <w:bottom w:val="single" w:color="auto" w:sz="4" w:space="0"/>
            </w:tcBorders>
            <w:vAlign w:val="center"/>
          </w:tcPr>
          <w:p w14:paraId="486FCA4D">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最后报价：            元             大写：             元         </w:t>
            </w:r>
          </w:p>
        </w:tc>
      </w:tr>
      <w:tr w14:paraId="4EE7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trPr>
        <w:tc>
          <w:tcPr>
            <w:tcW w:w="9379" w:type="dxa"/>
            <w:gridSpan w:val="2"/>
            <w:vAlign w:val="center"/>
          </w:tcPr>
          <w:p w14:paraId="692A5E75">
            <w:pPr>
              <w:pStyle w:val="7"/>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备注：</w:t>
            </w:r>
          </w:p>
        </w:tc>
      </w:tr>
    </w:tbl>
    <w:p w14:paraId="092D4D09">
      <w:pPr>
        <w:pStyle w:val="20"/>
        <w:rPr>
          <w:rFonts w:ascii="宋体" w:hAnsi="宋体" w:cs="宋体"/>
          <w:color w:val="auto"/>
          <w:sz w:val="24"/>
          <w:szCs w:val="24"/>
          <w:highlight w:val="none"/>
        </w:rPr>
      </w:pPr>
    </w:p>
    <w:p w14:paraId="7E8942FF">
      <w:pPr>
        <w:pStyle w:val="20"/>
        <w:rPr>
          <w:rFonts w:ascii="宋体" w:hAnsi="宋体" w:cs="宋体"/>
          <w:color w:val="auto"/>
          <w:sz w:val="24"/>
          <w:szCs w:val="24"/>
          <w:highlight w:val="none"/>
        </w:rPr>
      </w:pPr>
    </w:p>
    <w:p w14:paraId="72883C57">
      <w:pPr>
        <w:snapToGrid w:val="0"/>
        <w:spacing w:line="500" w:lineRule="exact"/>
        <w:ind w:firstLine="570"/>
        <w:jc w:val="center"/>
        <w:rPr>
          <w:rFonts w:ascii="宋体" w:hAnsi="宋体" w:cs="宋体"/>
          <w:b/>
          <w:bCs/>
          <w:color w:val="auto"/>
          <w:sz w:val="24"/>
          <w:highlight w:val="none"/>
        </w:rPr>
      </w:pPr>
    </w:p>
    <w:p w14:paraId="4F936C77">
      <w:pPr>
        <w:spacing w:line="50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供应商：                        法定代表人（或其授权代表）或自然人：</w:t>
      </w:r>
    </w:p>
    <w:p w14:paraId="4632DF5D">
      <w:pPr>
        <w:spacing w:line="500" w:lineRule="exact"/>
        <w:rPr>
          <w:rFonts w:ascii="宋体" w:hAnsi="宋体" w:cs="宋体"/>
          <w:color w:val="auto"/>
          <w:sz w:val="24"/>
          <w:highlight w:val="none"/>
        </w:rPr>
      </w:pPr>
      <w:r>
        <w:rPr>
          <w:rFonts w:hint="eastAsia" w:ascii="宋体" w:hAnsi="宋体" w:cs="宋体"/>
          <w:b/>
          <w:bCs/>
          <w:color w:val="auto"/>
          <w:sz w:val="24"/>
          <w:highlight w:val="none"/>
        </w:rPr>
        <w:t xml:space="preserve">                               </w:t>
      </w:r>
    </w:p>
    <w:p w14:paraId="59297DA9">
      <w:pPr>
        <w:spacing w:line="500" w:lineRule="exact"/>
        <w:rPr>
          <w:rFonts w:ascii="宋体" w:hAnsi="宋体" w:cs="宋体"/>
          <w:color w:val="auto"/>
          <w:sz w:val="24"/>
          <w:highlight w:val="none"/>
        </w:rPr>
      </w:pPr>
      <w:r>
        <w:rPr>
          <w:rFonts w:hint="eastAsia" w:ascii="宋体" w:hAnsi="宋体" w:cs="宋体"/>
          <w:color w:val="auto"/>
          <w:sz w:val="24"/>
          <w:highlight w:val="none"/>
        </w:rPr>
        <w:t xml:space="preserve">                                                 年     月     日</w:t>
      </w:r>
    </w:p>
    <w:p w14:paraId="596D1F12">
      <w:pPr>
        <w:spacing w:line="360" w:lineRule="auto"/>
        <w:ind w:right="480"/>
        <w:rPr>
          <w:rFonts w:ascii="宋体" w:hAnsi="宋体" w:cs="宋体"/>
          <w:color w:val="auto"/>
          <w:sz w:val="24"/>
          <w:szCs w:val="24"/>
          <w:highlight w:val="none"/>
        </w:rPr>
      </w:pPr>
    </w:p>
    <w:p w14:paraId="51A68EC8">
      <w:pPr>
        <w:spacing w:line="360" w:lineRule="auto"/>
        <w:ind w:right="480"/>
        <w:rPr>
          <w:rFonts w:ascii="宋体" w:hAnsi="宋体" w:cs="宋体"/>
          <w:color w:val="auto"/>
          <w:sz w:val="24"/>
          <w:szCs w:val="24"/>
          <w:highlight w:val="none"/>
        </w:rPr>
      </w:pPr>
    </w:p>
    <w:p w14:paraId="14FB403E">
      <w:pPr>
        <w:spacing w:line="360" w:lineRule="auto"/>
        <w:ind w:right="480"/>
        <w:rPr>
          <w:rFonts w:ascii="宋体" w:hAnsi="宋体" w:cs="宋体"/>
          <w:color w:val="auto"/>
          <w:sz w:val="24"/>
          <w:szCs w:val="24"/>
          <w:highlight w:val="none"/>
        </w:rPr>
      </w:pPr>
    </w:p>
    <w:p w14:paraId="00A2B378">
      <w:pPr>
        <w:widowControl/>
        <w:spacing w:line="312" w:lineRule="auto"/>
        <w:ind w:firstLine="482" w:firstLineChars="200"/>
        <w:jc w:val="left"/>
        <w:rPr>
          <w:rFonts w:ascii="宋体" w:hAnsi="宋体" w:cs="宋体"/>
          <w:color w:val="auto"/>
          <w:sz w:val="24"/>
          <w:szCs w:val="24"/>
          <w:highlight w:val="none"/>
        </w:rPr>
        <w:sectPr>
          <w:pgSz w:w="11907" w:h="16840"/>
          <w:pgMar w:top="1134" w:right="1191" w:bottom="1134" w:left="1304" w:header="851" w:footer="992" w:gutter="0"/>
          <w:cols w:space="720" w:num="1"/>
          <w:docGrid w:type="lines" w:linePitch="380" w:charSpace="0"/>
        </w:sectPr>
      </w:pPr>
      <w:r>
        <w:rPr>
          <w:rFonts w:hint="eastAsia" w:ascii="宋体" w:hAnsi="宋体" w:cs="宋体"/>
          <w:b/>
          <w:bCs/>
          <w:color w:val="auto"/>
          <w:sz w:val="24"/>
          <w:szCs w:val="24"/>
          <w:highlight w:val="none"/>
        </w:rPr>
        <w:t>注：请各供应商将最后报价表单独打印（响应文件中不提供本表），并随身携带到磋商现场，在磋商现场填写最后报价表，务必填写清楚，准确无误，最后报价表的价格作为供应商的最终报价。如在规定时间内不填写上交最后报价表，以报价函的报价为准。最终报价不得高于报价函的报价，否则按报价函的报价为准</w:t>
      </w:r>
      <w:r>
        <w:rPr>
          <w:rFonts w:hint="eastAsia" w:ascii="宋体" w:hAnsi="宋体" w:cs="宋体"/>
          <w:color w:val="auto"/>
          <w:sz w:val="24"/>
          <w:szCs w:val="24"/>
          <w:highlight w:val="none"/>
        </w:rPr>
        <w:t>。</w:t>
      </w:r>
    </w:p>
    <w:p w14:paraId="64E75212">
      <w:pPr>
        <w:pStyle w:val="2"/>
        <w:adjustRightInd w:val="0"/>
        <w:snapToGrid w:val="0"/>
        <w:spacing w:line="400" w:lineRule="exact"/>
        <w:ind w:firstLine="482" w:firstLineChars="200"/>
        <w:rPr>
          <w:rFonts w:ascii="宋体" w:hAnsi="宋体" w:eastAsia="宋体" w:cs="宋体"/>
          <w:color w:val="auto"/>
          <w:sz w:val="24"/>
          <w:szCs w:val="24"/>
          <w:highlight w:val="none"/>
        </w:rPr>
      </w:pPr>
      <w:bookmarkStart w:id="140" w:name="_Toc106030907"/>
      <w:bookmarkEnd w:id="140"/>
      <w:bookmarkStart w:id="141" w:name="_Toc313888361"/>
      <w:bookmarkEnd w:id="141"/>
      <w:bookmarkStart w:id="142" w:name="_Toc313008357"/>
      <w:bookmarkEnd w:id="142"/>
      <w:bookmarkStart w:id="143" w:name="_Toc342913420"/>
      <w:bookmarkEnd w:id="143"/>
      <w:bookmarkStart w:id="144" w:name="_Toc76462351"/>
      <w:r>
        <w:rPr>
          <w:rFonts w:hint="eastAsia" w:ascii="宋体" w:hAnsi="宋体" w:eastAsia="宋体" w:cs="宋体"/>
          <w:color w:val="auto"/>
          <w:sz w:val="24"/>
          <w:szCs w:val="24"/>
          <w:highlight w:val="none"/>
        </w:rPr>
        <w:t>二、服务部分</w:t>
      </w:r>
      <w:bookmarkEnd w:id="144"/>
    </w:p>
    <w:p w14:paraId="29335E41">
      <w:pPr>
        <w:snapToGrid w:val="0"/>
        <w:spacing w:line="400" w:lineRule="exact"/>
        <w:ind w:firstLine="480" w:firstLineChars="200"/>
        <w:rPr>
          <w:rFonts w:ascii="宋体" w:hAnsi="宋体" w:cs="宋体"/>
          <w:color w:val="auto"/>
          <w:highlight w:val="none"/>
        </w:rPr>
      </w:pPr>
      <w:r>
        <w:rPr>
          <w:rFonts w:hint="eastAsia" w:ascii="宋体" w:hAnsi="宋体" w:cs="宋体"/>
          <w:color w:val="auto"/>
          <w:sz w:val="24"/>
          <w:szCs w:val="24"/>
          <w:highlight w:val="none"/>
        </w:rPr>
        <w:t>（一）服务响应偏离表</w:t>
      </w:r>
    </w:p>
    <w:p w14:paraId="3DC3BDC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1953E65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磋商项目名称：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352C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77A36919">
            <w:pPr>
              <w:snapToGrid w:val="0"/>
              <w:spacing w:line="500" w:lineRule="exact"/>
              <w:jc w:val="center"/>
              <w:outlineLvl w:val="0"/>
              <w:rPr>
                <w:rFonts w:ascii="宋体" w:hAnsi="宋体" w:cs="宋体"/>
                <w:color w:val="auto"/>
                <w:sz w:val="21"/>
                <w:szCs w:val="21"/>
                <w:highlight w:val="none"/>
              </w:rPr>
            </w:pPr>
            <w:bookmarkStart w:id="145" w:name="_Toc18141"/>
            <w:bookmarkStart w:id="146" w:name="_Toc26650"/>
            <w:r>
              <w:rPr>
                <w:rFonts w:hint="eastAsia" w:ascii="宋体" w:hAnsi="宋体" w:cs="宋体"/>
                <w:color w:val="auto"/>
                <w:sz w:val="21"/>
                <w:szCs w:val="21"/>
                <w:highlight w:val="none"/>
              </w:rPr>
              <w:t>序号</w:t>
            </w:r>
            <w:bookmarkEnd w:id="145"/>
            <w:bookmarkEnd w:id="146"/>
          </w:p>
        </w:tc>
        <w:tc>
          <w:tcPr>
            <w:tcW w:w="2967" w:type="dxa"/>
            <w:tcBorders>
              <w:top w:val="single" w:color="auto" w:sz="4" w:space="0"/>
              <w:left w:val="single" w:color="auto" w:sz="4" w:space="0"/>
              <w:bottom w:val="single" w:color="auto" w:sz="4" w:space="0"/>
              <w:right w:val="single" w:color="auto" w:sz="4" w:space="0"/>
            </w:tcBorders>
            <w:vAlign w:val="center"/>
          </w:tcPr>
          <w:p w14:paraId="3FFF0D7D">
            <w:pPr>
              <w:snapToGrid w:val="0"/>
              <w:spacing w:line="500" w:lineRule="exact"/>
              <w:jc w:val="center"/>
              <w:outlineLvl w:val="0"/>
              <w:rPr>
                <w:rFonts w:ascii="宋体" w:hAnsi="宋体" w:cs="宋体"/>
                <w:color w:val="auto"/>
                <w:sz w:val="21"/>
                <w:szCs w:val="21"/>
                <w:highlight w:val="none"/>
              </w:rPr>
            </w:pPr>
            <w:bookmarkStart w:id="147" w:name="_Toc411"/>
            <w:bookmarkStart w:id="148" w:name="_Toc3772"/>
            <w:r>
              <w:rPr>
                <w:rFonts w:hint="eastAsia" w:ascii="宋体" w:hAnsi="宋体" w:cs="宋体"/>
                <w:color w:val="auto"/>
                <w:sz w:val="21"/>
                <w:szCs w:val="21"/>
                <w:highlight w:val="none"/>
              </w:rPr>
              <w:t>采购需求</w:t>
            </w:r>
            <w:bookmarkEnd w:id="147"/>
            <w:bookmarkEnd w:id="148"/>
          </w:p>
        </w:tc>
        <w:tc>
          <w:tcPr>
            <w:tcW w:w="3081" w:type="dxa"/>
            <w:tcBorders>
              <w:top w:val="single" w:color="auto" w:sz="4" w:space="0"/>
              <w:left w:val="single" w:color="auto" w:sz="4" w:space="0"/>
              <w:bottom w:val="single" w:color="auto" w:sz="4" w:space="0"/>
              <w:right w:val="single" w:color="auto" w:sz="4" w:space="0"/>
            </w:tcBorders>
            <w:vAlign w:val="center"/>
          </w:tcPr>
          <w:p w14:paraId="6EBADA13">
            <w:pPr>
              <w:snapToGrid w:val="0"/>
              <w:spacing w:line="500" w:lineRule="exact"/>
              <w:jc w:val="center"/>
              <w:outlineLvl w:val="0"/>
              <w:rPr>
                <w:rFonts w:ascii="宋体" w:hAnsi="宋体" w:cs="宋体"/>
                <w:color w:val="auto"/>
                <w:sz w:val="21"/>
                <w:szCs w:val="21"/>
                <w:highlight w:val="none"/>
              </w:rPr>
            </w:pPr>
            <w:bookmarkStart w:id="149" w:name="_Toc1042"/>
            <w:bookmarkStart w:id="150" w:name="_Toc16354"/>
            <w:r>
              <w:rPr>
                <w:rFonts w:hint="eastAsia" w:ascii="宋体" w:hAnsi="宋体" w:cs="宋体"/>
                <w:color w:val="auto"/>
                <w:sz w:val="21"/>
                <w:szCs w:val="21"/>
                <w:highlight w:val="none"/>
              </w:rPr>
              <w:t>响应情况</w:t>
            </w:r>
            <w:bookmarkEnd w:id="149"/>
            <w:bookmarkEnd w:id="150"/>
          </w:p>
        </w:tc>
        <w:tc>
          <w:tcPr>
            <w:tcW w:w="2309" w:type="dxa"/>
            <w:tcBorders>
              <w:top w:val="single" w:color="auto" w:sz="4" w:space="0"/>
              <w:left w:val="single" w:color="auto" w:sz="4" w:space="0"/>
              <w:bottom w:val="single" w:color="auto" w:sz="4" w:space="0"/>
              <w:right w:val="single" w:color="auto" w:sz="4" w:space="0"/>
            </w:tcBorders>
            <w:vAlign w:val="center"/>
          </w:tcPr>
          <w:p w14:paraId="46DAD9F3">
            <w:pPr>
              <w:snapToGrid w:val="0"/>
              <w:spacing w:line="500" w:lineRule="exact"/>
              <w:jc w:val="center"/>
              <w:outlineLvl w:val="0"/>
              <w:rPr>
                <w:rFonts w:ascii="宋体" w:hAnsi="宋体" w:cs="宋体"/>
                <w:color w:val="auto"/>
                <w:sz w:val="21"/>
                <w:szCs w:val="21"/>
                <w:highlight w:val="none"/>
              </w:rPr>
            </w:pPr>
            <w:bookmarkStart w:id="151" w:name="_Toc698"/>
            <w:bookmarkStart w:id="152" w:name="_Toc14605"/>
            <w:r>
              <w:rPr>
                <w:rFonts w:hint="eastAsia" w:ascii="宋体" w:hAnsi="宋体" w:cs="宋体"/>
                <w:color w:val="auto"/>
                <w:sz w:val="21"/>
                <w:szCs w:val="21"/>
                <w:highlight w:val="none"/>
              </w:rPr>
              <w:t>差异说明</w:t>
            </w:r>
            <w:bookmarkEnd w:id="151"/>
            <w:bookmarkEnd w:id="152"/>
          </w:p>
        </w:tc>
      </w:tr>
      <w:tr w14:paraId="5C93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36979894">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70A99684">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7D314464">
            <w:pPr>
              <w:snapToGrid w:val="0"/>
              <w:spacing w:line="500" w:lineRule="exact"/>
              <w:outlineLvl w:val="0"/>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4F7036F9">
            <w:pPr>
              <w:snapToGrid w:val="0"/>
              <w:spacing w:line="500" w:lineRule="exact"/>
              <w:jc w:val="center"/>
              <w:rPr>
                <w:rFonts w:ascii="宋体" w:hAnsi="宋体" w:cs="宋体"/>
                <w:color w:val="auto"/>
                <w:sz w:val="21"/>
                <w:szCs w:val="21"/>
                <w:highlight w:val="none"/>
              </w:rPr>
            </w:pPr>
          </w:p>
        </w:tc>
      </w:tr>
      <w:tr w14:paraId="6529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2537F6B2">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33D10E15">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02923F85">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7241D118">
            <w:pPr>
              <w:snapToGrid w:val="0"/>
              <w:spacing w:line="500" w:lineRule="exact"/>
              <w:jc w:val="center"/>
              <w:rPr>
                <w:rFonts w:ascii="宋体" w:hAnsi="宋体" w:cs="宋体"/>
                <w:color w:val="auto"/>
                <w:sz w:val="21"/>
                <w:szCs w:val="21"/>
                <w:highlight w:val="none"/>
              </w:rPr>
            </w:pPr>
          </w:p>
        </w:tc>
      </w:tr>
      <w:tr w14:paraId="111C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6A83E487">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081055C5">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55C8131B">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5F1534B6">
            <w:pPr>
              <w:snapToGrid w:val="0"/>
              <w:spacing w:line="500" w:lineRule="exact"/>
              <w:jc w:val="center"/>
              <w:rPr>
                <w:rFonts w:ascii="宋体" w:hAnsi="宋体" w:cs="宋体"/>
                <w:color w:val="auto"/>
                <w:sz w:val="21"/>
                <w:szCs w:val="21"/>
                <w:highlight w:val="none"/>
              </w:rPr>
            </w:pPr>
          </w:p>
        </w:tc>
      </w:tr>
      <w:tr w14:paraId="1402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5A54652E">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1E9218CE">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5B8841A8">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2DA3CA5A">
            <w:pPr>
              <w:snapToGrid w:val="0"/>
              <w:spacing w:line="500" w:lineRule="exact"/>
              <w:jc w:val="center"/>
              <w:rPr>
                <w:rFonts w:ascii="宋体" w:hAnsi="宋体" w:cs="宋体"/>
                <w:color w:val="auto"/>
                <w:sz w:val="21"/>
                <w:szCs w:val="21"/>
                <w:highlight w:val="none"/>
              </w:rPr>
            </w:pPr>
          </w:p>
        </w:tc>
      </w:tr>
      <w:tr w14:paraId="119D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5D5DB10F">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16BECA64">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24C3A780">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586C316C">
            <w:pPr>
              <w:snapToGrid w:val="0"/>
              <w:spacing w:line="500" w:lineRule="exact"/>
              <w:jc w:val="center"/>
              <w:rPr>
                <w:rFonts w:ascii="宋体" w:hAnsi="宋体" w:cs="宋体"/>
                <w:color w:val="auto"/>
                <w:sz w:val="21"/>
                <w:szCs w:val="21"/>
                <w:highlight w:val="none"/>
              </w:rPr>
            </w:pPr>
          </w:p>
        </w:tc>
      </w:tr>
      <w:tr w14:paraId="39BF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440059F8">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318C33CE">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70C17368">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0876BEDC">
            <w:pPr>
              <w:snapToGrid w:val="0"/>
              <w:spacing w:line="500" w:lineRule="exact"/>
              <w:jc w:val="center"/>
              <w:rPr>
                <w:rFonts w:ascii="宋体" w:hAnsi="宋体" w:cs="宋体"/>
                <w:color w:val="auto"/>
                <w:sz w:val="21"/>
                <w:szCs w:val="21"/>
                <w:highlight w:val="none"/>
              </w:rPr>
            </w:pPr>
          </w:p>
        </w:tc>
      </w:tr>
      <w:tr w14:paraId="23DF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575502DA">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06A8C2B4">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66E791B8">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6EE12018">
            <w:pPr>
              <w:snapToGrid w:val="0"/>
              <w:spacing w:line="500" w:lineRule="exact"/>
              <w:jc w:val="center"/>
              <w:rPr>
                <w:rFonts w:ascii="宋体" w:hAnsi="宋体" w:cs="宋体"/>
                <w:color w:val="auto"/>
                <w:sz w:val="21"/>
                <w:szCs w:val="21"/>
                <w:highlight w:val="none"/>
              </w:rPr>
            </w:pPr>
          </w:p>
        </w:tc>
      </w:tr>
      <w:tr w14:paraId="68D2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0E1BA0AA">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1AB98305">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51AB3762">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319A5928">
            <w:pPr>
              <w:snapToGrid w:val="0"/>
              <w:spacing w:line="500" w:lineRule="exact"/>
              <w:jc w:val="center"/>
              <w:rPr>
                <w:rFonts w:ascii="宋体" w:hAnsi="宋体" w:cs="宋体"/>
                <w:color w:val="auto"/>
                <w:sz w:val="21"/>
                <w:szCs w:val="21"/>
                <w:highlight w:val="none"/>
              </w:rPr>
            </w:pPr>
          </w:p>
        </w:tc>
      </w:tr>
      <w:tr w14:paraId="0106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470DE720">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1014D2F2">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1E2E54F9">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12FCFCB5">
            <w:pPr>
              <w:snapToGrid w:val="0"/>
              <w:spacing w:line="500" w:lineRule="exact"/>
              <w:jc w:val="center"/>
              <w:rPr>
                <w:rFonts w:ascii="宋体" w:hAnsi="宋体" w:cs="宋体"/>
                <w:color w:val="auto"/>
                <w:sz w:val="21"/>
                <w:szCs w:val="21"/>
                <w:highlight w:val="none"/>
              </w:rPr>
            </w:pPr>
          </w:p>
        </w:tc>
      </w:tr>
      <w:tr w14:paraId="2F76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0CF67937">
            <w:pPr>
              <w:snapToGrid w:val="0"/>
              <w:spacing w:line="500" w:lineRule="exact"/>
              <w:jc w:val="center"/>
              <w:rPr>
                <w:rFonts w:ascii="宋体" w:hAnsi="宋体" w:cs="宋体"/>
                <w:color w:val="auto"/>
                <w:sz w:val="21"/>
                <w:szCs w:val="21"/>
                <w:highlight w:val="none"/>
              </w:rPr>
            </w:pPr>
          </w:p>
        </w:tc>
        <w:tc>
          <w:tcPr>
            <w:tcW w:w="2967" w:type="dxa"/>
            <w:tcBorders>
              <w:top w:val="single" w:color="auto" w:sz="4" w:space="0"/>
              <w:left w:val="single" w:color="auto" w:sz="4" w:space="0"/>
              <w:bottom w:val="single" w:color="auto" w:sz="4" w:space="0"/>
              <w:right w:val="single" w:color="auto" w:sz="4" w:space="0"/>
            </w:tcBorders>
            <w:vAlign w:val="center"/>
          </w:tcPr>
          <w:p w14:paraId="25AB46F8">
            <w:pPr>
              <w:snapToGrid w:val="0"/>
              <w:spacing w:line="500" w:lineRule="exact"/>
              <w:jc w:val="center"/>
              <w:rPr>
                <w:rFonts w:ascii="宋体" w:hAnsi="宋体" w:cs="宋体"/>
                <w:color w:val="auto"/>
                <w:sz w:val="21"/>
                <w:szCs w:val="21"/>
                <w:highlight w:val="none"/>
              </w:rPr>
            </w:pPr>
          </w:p>
        </w:tc>
        <w:tc>
          <w:tcPr>
            <w:tcW w:w="3081" w:type="dxa"/>
            <w:tcBorders>
              <w:top w:val="single" w:color="auto" w:sz="4" w:space="0"/>
              <w:left w:val="single" w:color="auto" w:sz="4" w:space="0"/>
              <w:bottom w:val="single" w:color="auto" w:sz="4" w:space="0"/>
              <w:right w:val="single" w:color="auto" w:sz="4" w:space="0"/>
            </w:tcBorders>
            <w:vAlign w:val="center"/>
          </w:tcPr>
          <w:p w14:paraId="04ECF824">
            <w:pPr>
              <w:snapToGrid w:val="0"/>
              <w:spacing w:line="500" w:lineRule="exact"/>
              <w:jc w:val="center"/>
              <w:rPr>
                <w:rFonts w:ascii="宋体" w:hAnsi="宋体" w:cs="宋体"/>
                <w:color w:val="auto"/>
                <w:sz w:val="21"/>
                <w:szCs w:val="21"/>
                <w:highlight w:val="none"/>
              </w:rPr>
            </w:pPr>
          </w:p>
        </w:tc>
        <w:tc>
          <w:tcPr>
            <w:tcW w:w="2309" w:type="dxa"/>
            <w:tcBorders>
              <w:top w:val="single" w:color="auto" w:sz="4" w:space="0"/>
              <w:left w:val="single" w:color="auto" w:sz="4" w:space="0"/>
              <w:bottom w:val="single" w:color="auto" w:sz="4" w:space="0"/>
              <w:right w:val="single" w:color="auto" w:sz="4" w:space="0"/>
            </w:tcBorders>
            <w:vAlign w:val="center"/>
          </w:tcPr>
          <w:p w14:paraId="2535ED4F">
            <w:pPr>
              <w:snapToGrid w:val="0"/>
              <w:spacing w:line="500" w:lineRule="exact"/>
              <w:jc w:val="center"/>
              <w:rPr>
                <w:rFonts w:ascii="宋体" w:hAnsi="宋体" w:cs="宋体"/>
                <w:color w:val="auto"/>
                <w:sz w:val="21"/>
                <w:szCs w:val="21"/>
                <w:highlight w:val="none"/>
              </w:rPr>
            </w:pPr>
          </w:p>
        </w:tc>
      </w:tr>
    </w:tbl>
    <w:p w14:paraId="6A2ACA27">
      <w:pPr>
        <w:spacing w:line="50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供应商：                            法定代表人（或其授权代表）或自然人：</w:t>
      </w:r>
    </w:p>
    <w:p w14:paraId="2FD57ED8">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BE72EC6">
      <w:pPr>
        <w:spacing w:line="5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（供应商公章）                               （签署或盖章）</w:t>
      </w:r>
    </w:p>
    <w:p w14:paraId="58D503A9">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2085EA88">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21BB2ECA">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1.本表即为对本项目“第二篇  项目服务需求”中所列条款进行比较和响应；</w:t>
      </w:r>
    </w:p>
    <w:p w14:paraId="23FD3CAA">
      <w:pPr>
        <w:snapToGrid w:val="0"/>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2.本表可扩展。</w:t>
      </w:r>
    </w:p>
    <w:p w14:paraId="5C2F0943">
      <w:pPr>
        <w:snapToGrid w:val="0"/>
        <w:spacing w:line="400" w:lineRule="exact"/>
        <w:ind w:firstLine="560" w:firstLineChars="200"/>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（二）其他资料（格式自定）</w:t>
      </w:r>
    </w:p>
    <w:p w14:paraId="570FA460">
      <w:pPr>
        <w:pStyle w:val="2"/>
        <w:adjustRightInd w:val="0"/>
        <w:snapToGrid w:val="0"/>
        <w:spacing w:line="400" w:lineRule="exact"/>
        <w:ind w:firstLine="640" w:firstLineChars="200"/>
        <w:rPr>
          <w:rFonts w:ascii="宋体" w:hAnsi="宋体" w:eastAsia="宋体" w:cs="宋体"/>
          <w:color w:val="auto"/>
          <w:sz w:val="24"/>
          <w:szCs w:val="24"/>
          <w:highlight w:val="none"/>
        </w:rPr>
      </w:pPr>
      <w:r>
        <w:rPr>
          <w:rFonts w:hint="eastAsia" w:ascii="宋体" w:hAnsi="宋体" w:eastAsia="宋体" w:cs="宋体"/>
          <w:b w:val="0"/>
          <w:bCs/>
          <w:color w:val="auto"/>
          <w:highlight w:val="none"/>
        </w:rPr>
        <w:br w:type="page"/>
      </w:r>
      <w:bookmarkStart w:id="153" w:name="_Toc313888362"/>
      <w:bookmarkEnd w:id="153"/>
      <w:bookmarkStart w:id="154" w:name="_Toc76462352"/>
      <w:bookmarkEnd w:id="154"/>
      <w:bookmarkStart w:id="155" w:name="_Toc342913421"/>
      <w:bookmarkEnd w:id="155"/>
      <w:bookmarkStart w:id="156" w:name="_Toc106030908"/>
      <w:bookmarkEnd w:id="156"/>
      <w:bookmarkStart w:id="157" w:name="_Toc313008358"/>
      <w:r>
        <w:rPr>
          <w:rFonts w:hint="eastAsia" w:ascii="宋体" w:hAnsi="宋体" w:eastAsia="宋体" w:cs="宋体"/>
          <w:color w:val="auto"/>
          <w:sz w:val="24"/>
          <w:szCs w:val="24"/>
          <w:highlight w:val="none"/>
        </w:rPr>
        <w:t>三、商务部分</w:t>
      </w:r>
      <w:bookmarkEnd w:id="157"/>
    </w:p>
    <w:p w14:paraId="1D29352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3817BA1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3C34689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磋商项目名称：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34E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tcBorders>
              <w:top w:val="single" w:color="auto" w:sz="4" w:space="0"/>
              <w:left w:val="single" w:color="auto" w:sz="4" w:space="0"/>
              <w:bottom w:val="single" w:color="auto" w:sz="4" w:space="0"/>
              <w:right w:val="single" w:color="auto" w:sz="4" w:space="0"/>
            </w:tcBorders>
            <w:vAlign w:val="center"/>
          </w:tcPr>
          <w:p w14:paraId="4B2FFB9F">
            <w:pPr>
              <w:snapToGrid w:val="0"/>
              <w:spacing w:line="360" w:lineRule="auto"/>
              <w:ind w:firstLine="465"/>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179" w:type="dxa"/>
            <w:tcBorders>
              <w:top w:val="single" w:color="auto" w:sz="4" w:space="0"/>
              <w:left w:val="single" w:color="auto" w:sz="4" w:space="0"/>
              <w:bottom w:val="single" w:color="auto" w:sz="4" w:space="0"/>
              <w:right w:val="single" w:color="auto" w:sz="4" w:space="0"/>
            </w:tcBorders>
            <w:vAlign w:val="center"/>
          </w:tcPr>
          <w:p w14:paraId="1FC47D91">
            <w:pPr>
              <w:snapToGrid w:val="0"/>
              <w:spacing w:line="360" w:lineRule="auto"/>
              <w:jc w:val="center"/>
              <w:outlineLvl w:val="0"/>
              <w:rPr>
                <w:rFonts w:ascii="宋体" w:hAnsi="宋体" w:cs="宋体"/>
                <w:color w:val="auto"/>
                <w:sz w:val="21"/>
                <w:szCs w:val="21"/>
                <w:highlight w:val="none"/>
              </w:rPr>
            </w:pPr>
            <w:bookmarkStart w:id="158" w:name="_Toc9623"/>
            <w:bookmarkStart w:id="159" w:name="_Toc546"/>
            <w:r>
              <w:rPr>
                <w:rFonts w:hint="eastAsia" w:ascii="宋体" w:hAnsi="宋体" w:cs="宋体"/>
                <w:color w:val="auto"/>
                <w:sz w:val="21"/>
                <w:szCs w:val="21"/>
                <w:highlight w:val="none"/>
              </w:rPr>
              <w:t>磋商项目商务需求</w:t>
            </w:r>
            <w:bookmarkEnd w:id="158"/>
            <w:bookmarkEnd w:id="159"/>
          </w:p>
        </w:tc>
        <w:tc>
          <w:tcPr>
            <w:tcW w:w="2434" w:type="dxa"/>
            <w:tcBorders>
              <w:top w:val="single" w:color="auto" w:sz="4" w:space="0"/>
              <w:left w:val="single" w:color="auto" w:sz="4" w:space="0"/>
              <w:bottom w:val="single" w:color="auto" w:sz="4" w:space="0"/>
              <w:right w:val="single" w:color="auto" w:sz="4" w:space="0"/>
            </w:tcBorders>
            <w:vAlign w:val="center"/>
          </w:tcPr>
          <w:p w14:paraId="1C71F092">
            <w:pPr>
              <w:snapToGrid w:val="0"/>
              <w:spacing w:line="360" w:lineRule="auto"/>
              <w:jc w:val="center"/>
              <w:outlineLvl w:val="0"/>
              <w:rPr>
                <w:rFonts w:ascii="宋体" w:hAnsi="宋体" w:cs="宋体"/>
                <w:color w:val="auto"/>
                <w:sz w:val="21"/>
                <w:szCs w:val="21"/>
                <w:highlight w:val="none"/>
              </w:rPr>
            </w:pPr>
            <w:bookmarkStart w:id="160" w:name="_Toc3457"/>
            <w:bookmarkStart w:id="161" w:name="_Toc14572"/>
            <w:r>
              <w:rPr>
                <w:rFonts w:hint="eastAsia" w:ascii="宋体" w:hAnsi="宋体" w:cs="宋体"/>
                <w:color w:val="auto"/>
                <w:sz w:val="21"/>
                <w:szCs w:val="21"/>
                <w:highlight w:val="none"/>
              </w:rPr>
              <w:t>响应情况</w:t>
            </w:r>
            <w:bookmarkEnd w:id="160"/>
            <w:bookmarkEnd w:id="161"/>
          </w:p>
        </w:tc>
        <w:tc>
          <w:tcPr>
            <w:tcW w:w="2355" w:type="dxa"/>
            <w:tcBorders>
              <w:top w:val="single" w:color="auto" w:sz="4" w:space="0"/>
              <w:left w:val="single" w:color="auto" w:sz="4" w:space="0"/>
              <w:bottom w:val="single" w:color="auto" w:sz="4" w:space="0"/>
              <w:right w:val="single" w:color="auto" w:sz="4" w:space="0"/>
            </w:tcBorders>
            <w:vAlign w:val="center"/>
          </w:tcPr>
          <w:p w14:paraId="608D88D7">
            <w:pPr>
              <w:snapToGrid w:val="0"/>
              <w:spacing w:line="360" w:lineRule="auto"/>
              <w:jc w:val="center"/>
              <w:outlineLvl w:val="0"/>
              <w:rPr>
                <w:rFonts w:ascii="宋体" w:hAnsi="宋体" w:cs="宋体"/>
                <w:color w:val="auto"/>
                <w:sz w:val="21"/>
                <w:szCs w:val="21"/>
                <w:highlight w:val="none"/>
              </w:rPr>
            </w:pPr>
            <w:bookmarkStart w:id="162" w:name="_Toc27697"/>
            <w:bookmarkStart w:id="163" w:name="_Toc22179"/>
            <w:r>
              <w:rPr>
                <w:rFonts w:hint="eastAsia" w:ascii="宋体" w:hAnsi="宋体" w:cs="宋体"/>
                <w:color w:val="auto"/>
                <w:sz w:val="21"/>
                <w:szCs w:val="21"/>
                <w:highlight w:val="none"/>
              </w:rPr>
              <w:t>偏离说明</w:t>
            </w:r>
            <w:bookmarkEnd w:id="162"/>
            <w:bookmarkEnd w:id="163"/>
          </w:p>
        </w:tc>
      </w:tr>
      <w:tr w14:paraId="0B31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14:paraId="773E6E7F">
            <w:pPr>
              <w:snapToGrid w:val="0"/>
              <w:spacing w:line="360" w:lineRule="auto"/>
              <w:jc w:val="center"/>
              <w:rPr>
                <w:rFonts w:ascii="宋体" w:hAnsi="宋体" w:cs="宋体"/>
                <w:color w:val="auto"/>
                <w:sz w:val="21"/>
                <w:szCs w:val="21"/>
                <w:highlight w:val="none"/>
              </w:rPr>
            </w:pPr>
          </w:p>
        </w:tc>
        <w:tc>
          <w:tcPr>
            <w:tcW w:w="3179" w:type="dxa"/>
            <w:tcBorders>
              <w:top w:val="single" w:color="auto" w:sz="4" w:space="0"/>
              <w:left w:val="single" w:color="auto" w:sz="4" w:space="0"/>
              <w:bottom w:val="single" w:color="auto" w:sz="4" w:space="0"/>
              <w:right w:val="single" w:color="auto" w:sz="4" w:space="0"/>
            </w:tcBorders>
            <w:vAlign w:val="center"/>
          </w:tcPr>
          <w:p w14:paraId="768A8712">
            <w:pPr>
              <w:snapToGrid w:val="0"/>
              <w:spacing w:line="360" w:lineRule="auto"/>
              <w:jc w:val="center"/>
              <w:rPr>
                <w:rFonts w:ascii="宋体" w:hAnsi="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5B2179F3">
            <w:pPr>
              <w:snapToGrid w:val="0"/>
              <w:spacing w:line="360" w:lineRule="auto"/>
              <w:outlineLvl w:val="0"/>
              <w:rPr>
                <w:rFonts w:ascii="宋体" w:hAnsi="宋体" w:cs="宋体"/>
                <w:color w:val="auto"/>
                <w:sz w:val="21"/>
                <w:szCs w:val="21"/>
                <w:highlight w:val="none"/>
              </w:rPr>
            </w:pPr>
          </w:p>
        </w:tc>
        <w:tc>
          <w:tcPr>
            <w:tcW w:w="2355" w:type="dxa"/>
            <w:tcBorders>
              <w:top w:val="single" w:color="auto" w:sz="4" w:space="0"/>
              <w:left w:val="single" w:color="auto" w:sz="4" w:space="0"/>
              <w:bottom w:val="single" w:color="auto" w:sz="4" w:space="0"/>
              <w:right w:val="single" w:color="auto" w:sz="4" w:space="0"/>
            </w:tcBorders>
            <w:vAlign w:val="center"/>
          </w:tcPr>
          <w:p w14:paraId="1F869117">
            <w:pPr>
              <w:snapToGrid w:val="0"/>
              <w:spacing w:line="360" w:lineRule="auto"/>
              <w:jc w:val="center"/>
              <w:rPr>
                <w:rFonts w:ascii="宋体" w:hAnsi="宋体" w:cs="宋体"/>
                <w:color w:val="auto"/>
                <w:sz w:val="21"/>
                <w:szCs w:val="21"/>
                <w:highlight w:val="none"/>
              </w:rPr>
            </w:pPr>
          </w:p>
        </w:tc>
      </w:tr>
      <w:tr w14:paraId="161B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14:paraId="38CD8452">
            <w:pPr>
              <w:snapToGrid w:val="0"/>
              <w:spacing w:line="360" w:lineRule="auto"/>
              <w:jc w:val="center"/>
              <w:rPr>
                <w:rFonts w:ascii="宋体" w:hAnsi="宋体" w:cs="宋体"/>
                <w:color w:val="auto"/>
                <w:sz w:val="21"/>
                <w:szCs w:val="21"/>
                <w:highlight w:val="none"/>
              </w:rPr>
            </w:pPr>
          </w:p>
        </w:tc>
        <w:tc>
          <w:tcPr>
            <w:tcW w:w="3179" w:type="dxa"/>
            <w:tcBorders>
              <w:top w:val="single" w:color="auto" w:sz="4" w:space="0"/>
              <w:left w:val="single" w:color="auto" w:sz="4" w:space="0"/>
              <w:bottom w:val="single" w:color="auto" w:sz="4" w:space="0"/>
              <w:right w:val="single" w:color="auto" w:sz="4" w:space="0"/>
            </w:tcBorders>
            <w:vAlign w:val="center"/>
          </w:tcPr>
          <w:p w14:paraId="0A178898">
            <w:pPr>
              <w:snapToGrid w:val="0"/>
              <w:spacing w:line="360" w:lineRule="auto"/>
              <w:jc w:val="center"/>
              <w:rPr>
                <w:rFonts w:ascii="宋体" w:hAnsi="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00E862DA">
            <w:pPr>
              <w:snapToGrid w:val="0"/>
              <w:spacing w:line="360" w:lineRule="auto"/>
              <w:jc w:val="center"/>
              <w:rPr>
                <w:rFonts w:ascii="宋体" w:hAnsi="宋体" w:cs="宋体"/>
                <w:color w:val="auto"/>
                <w:sz w:val="21"/>
                <w:szCs w:val="21"/>
                <w:highlight w:val="none"/>
              </w:rPr>
            </w:pPr>
          </w:p>
        </w:tc>
        <w:tc>
          <w:tcPr>
            <w:tcW w:w="2355" w:type="dxa"/>
            <w:tcBorders>
              <w:top w:val="single" w:color="auto" w:sz="4" w:space="0"/>
              <w:left w:val="single" w:color="auto" w:sz="4" w:space="0"/>
              <w:bottom w:val="single" w:color="auto" w:sz="4" w:space="0"/>
              <w:right w:val="single" w:color="auto" w:sz="4" w:space="0"/>
            </w:tcBorders>
            <w:vAlign w:val="center"/>
          </w:tcPr>
          <w:p w14:paraId="6CEDF29D">
            <w:pPr>
              <w:snapToGrid w:val="0"/>
              <w:spacing w:line="360" w:lineRule="auto"/>
              <w:jc w:val="center"/>
              <w:rPr>
                <w:rFonts w:ascii="宋体" w:hAnsi="宋体" w:cs="宋体"/>
                <w:color w:val="auto"/>
                <w:sz w:val="21"/>
                <w:szCs w:val="21"/>
                <w:highlight w:val="none"/>
              </w:rPr>
            </w:pPr>
          </w:p>
        </w:tc>
      </w:tr>
      <w:tr w14:paraId="44DB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14:paraId="727FD8BA">
            <w:pPr>
              <w:snapToGrid w:val="0"/>
              <w:spacing w:line="360" w:lineRule="auto"/>
              <w:jc w:val="center"/>
              <w:rPr>
                <w:rFonts w:ascii="宋体" w:hAnsi="宋体" w:cs="宋体"/>
                <w:color w:val="auto"/>
                <w:sz w:val="21"/>
                <w:szCs w:val="21"/>
                <w:highlight w:val="none"/>
              </w:rPr>
            </w:pPr>
          </w:p>
        </w:tc>
        <w:tc>
          <w:tcPr>
            <w:tcW w:w="3179" w:type="dxa"/>
            <w:tcBorders>
              <w:top w:val="single" w:color="auto" w:sz="4" w:space="0"/>
              <w:left w:val="single" w:color="auto" w:sz="4" w:space="0"/>
              <w:bottom w:val="single" w:color="auto" w:sz="4" w:space="0"/>
              <w:right w:val="single" w:color="auto" w:sz="4" w:space="0"/>
            </w:tcBorders>
            <w:vAlign w:val="center"/>
          </w:tcPr>
          <w:p w14:paraId="4FF38C18">
            <w:pPr>
              <w:snapToGrid w:val="0"/>
              <w:spacing w:line="360" w:lineRule="auto"/>
              <w:jc w:val="center"/>
              <w:rPr>
                <w:rFonts w:ascii="宋体" w:hAnsi="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2A944141">
            <w:pPr>
              <w:snapToGrid w:val="0"/>
              <w:spacing w:line="360" w:lineRule="auto"/>
              <w:jc w:val="center"/>
              <w:rPr>
                <w:rFonts w:ascii="宋体" w:hAnsi="宋体" w:cs="宋体"/>
                <w:color w:val="auto"/>
                <w:sz w:val="21"/>
                <w:szCs w:val="21"/>
                <w:highlight w:val="none"/>
              </w:rPr>
            </w:pPr>
          </w:p>
        </w:tc>
        <w:tc>
          <w:tcPr>
            <w:tcW w:w="2355" w:type="dxa"/>
            <w:tcBorders>
              <w:top w:val="single" w:color="auto" w:sz="4" w:space="0"/>
              <w:left w:val="single" w:color="auto" w:sz="4" w:space="0"/>
              <w:bottom w:val="single" w:color="auto" w:sz="4" w:space="0"/>
              <w:right w:val="single" w:color="auto" w:sz="4" w:space="0"/>
            </w:tcBorders>
            <w:vAlign w:val="center"/>
          </w:tcPr>
          <w:p w14:paraId="7724C2E9">
            <w:pPr>
              <w:snapToGrid w:val="0"/>
              <w:spacing w:line="360" w:lineRule="auto"/>
              <w:jc w:val="center"/>
              <w:rPr>
                <w:rFonts w:ascii="宋体" w:hAnsi="宋体" w:cs="宋体"/>
                <w:color w:val="auto"/>
                <w:sz w:val="21"/>
                <w:szCs w:val="21"/>
                <w:highlight w:val="none"/>
              </w:rPr>
            </w:pPr>
          </w:p>
        </w:tc>
      </w:tr>
      <w:tr w14:paraId="5283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14:paraId="30538272">
            <w:pPr>
              <w:snapToGrid w:val="0"/>
              <w:spacing w:line="360" w:lineRule="auto"/>
              <w:jc w:val="center"/>
              <w:rPr>
                <w:rFonts w:ascii="宋体" w:hAnsi="宋体" w:cs="宋体"/>
                <w:color w:val="auto"/>
                <w:sz w:val="21"/>
                <w:szCs w:val="21"/>
                <w:highlight w:val="none"/>
              </w:rPr>
            </w:pPr>
          </w:p>
        </w:tc>
        <w:tc>
          <w:tcPr>
            <w:tcW w:w="3179" w:type="dxa"/>
            <w:tcBorders>
              <w:top w:val="single" w:color="auto" w:sz="4" w:space="0"/>
              <w:left w:val="single" w:color="auto" w:sz="4" w:space="0"/>
              <w:bottom w:val="single" w:color="auto" w:sz="4" w:space="0"/>
              <w:right w:val="single" w:color="auto" w:sz="4" w:space="0"/>
            </w:tcBorders>
            <w:vAlign w:val="center"/>
          </w:tcPr>
          <w:p w14:paraId="30CD4FE3">
            <w:pPr>
              <w:snapToGrid w:val="0"/>
              <w:spacing w:line="360" w:lineRule="auto"/>
              <w:jc w:val="center"/>
              <w:rPr>
                <w:rFonts w:ascii="宋体" w:hAnsi="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5649B0E6">
            <w:pPr>
              <w:snapToGrid w:val="0"/>
              <w:spacing w:line="360" w:lineRule="auto"/>
              <w:jc w:val="center"/>
              <w:rPr>
                <w:rFonts w:ascii="宋体" w:hAnsi="宋体" w:cs="宋体"/>
                <w:color w:val="auto"/>
                <w:sz w:val="21"/>
                <w:szCs w:val="21"/>
                <w:highlight w:val="none"/>
              </w:rPr>
            </w:pPr>
          </w:p>
        </w:tc>
        <w:tc>
          <w:tcPr>
            <w:tcW w:w="2355" w:type="dxa"/>
            <w:tcBorders>
              <w:top w:val="single" w:color="auto" w:sz="4" w:space="0"/>
              <w:left w:val="single" w:color="auto" w:sz="4" w:space="0"/>
              <w:bottom w:val="single" w:color="auto" w:sz="4" w:space="0"/>
              <w:right w:val="single" w:color="auto" w:sz="4" w:space="0"/>
            </w:tcBorders>
            <w:vAlign w:val="center"/>
          </w:tcPr>
          <w:p w14:paraId="662D23FC">
            <w:pPr>
              <w:snapToGrid w:val="0"/>
              <w:spacing w:line="360" w:lineRule="auto"/>
              <w:jc w:val="center"/>
              <w:rPr>
                <w:rFonts w:ascii="宋体" w:hAnsi="宋体" w:cs="宋体"/>
                <w:color w:val="auto"/>
                <w:sz w:val="21"/>
                <w:szCs w:val="21"/>
                <w:highlight w:val="none"/>
              </w:rPr>
            </w:pPr>
          </w:p>
        </w:tc>
      </w:tr>
      <w:tr w14:paraId="59E8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14:paraId="021D17D6">
            <w:pPr>
              <w:snapToGrid w:val="0"/>
              <w:spacing w:line="360" w:lineRule="auto"/>
              <w:jc w:val="center"/>
              <w:rPr>
                <w:rFonts w:ascii="宋体" w:hAnsi="宋体" w:cs="宋体"/>
                <w:color w:val="auto"/>
                <w:sz w:val="21"/>
                <w:szCs w:val="21"/>
                <w:highlight w:val="none"/>
              </w:rPr>
            </w:pPr>
          </w:p>
        </w:tc>
        <w:tc>
          <w:tcPr>
            <w:tcW w:w="3179" w:type="dxa"/>
            <w:tcBorders>
              <w:top w:val="single" w:color="auto" w:sz="4" w:space="0"/>
              <w:left w:val="single" w:color="auto" w:sz="4" w:space="0"/>
              <w:bottom w:val="single" w:color="auto" w:sz="4" w:space="0"/>
              <w:right w:val="single" w:color="auto" w:sz="4" w:space="0"/>
            </w:tcBorders>
            <w:vAlign w:val="center"/>
          </w:tcPr>
          <w:p w14:paraId="134179D9">
            <w:pPr>
              <w:snapToGrid w:val="0"/>
              <w:spacing w:line="360" w:lineRule="auto"/>
              <w:jc w:val="center"/>
              <w:rPr>
                <w:rFonts w:ascii="宋体" w:hAnsi="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2D83C744">
            <w:pPr>
              <w:snapToGrid w:val="0"/>
              <w:spacing w:line="360" w:lineRule="auto"/>
              <w:jc w:val="center"/>
              <w:rPr>
                <w:rFonts w:ascii="宋体" w:hAnsi="宋体" w:cs="宋体"/>
                <w:color w:val="auto"/>
                <w:sz w:val="21"/>
                <w:szCs w:val="21"/>
                <w:highlight w:val="none"/>
              </w:rPr>
            </w:pPr>
          </w:p>
        </w:tc>
        <w:tc>
          <w:tcPr>
            <w:tcW w:w="2355" w:type="dxa"/>
            <w:tcBorders>
              <w:top w:val="single" w:color="auto" w:sz="4" w:space="0"/>
              <w:left w:val="single" w:color="auto" w:sz="4" w:space="0"/>
              <w:bottom w:val="single" w:color="auto" w:sz="4" w:space="0"/>
              <w:right w:val="single" w:color="auto" w:sz="4" w:space="0"/>
            </w:tcBorders>
            <w:vAlign w:val="center"/>
          </w:tcPr>
          <w:p w14:paraId="5E14E5D5">
            <w:pPr>
              <w:snapToGrid w:val="0"/>
              <w:spacing w:line="360" w:lineRule="auto"/>
              <w:jc w:val="center"/>
              <w:rPr>
                <w:rFonts w:ascii="宋体" w:hAnsi="宋体" w:cs="宋体"/>
                <w:color w:val="auto"/>
                <w:sz w:val="21"/>
                <w:szCs w:val="21"/>
                <w:highlight w:val="none"/>
              </w:rPr>
            </w:pPr>
          </w:p>
        </w:tc>
      </w:tr>
      <w:tr w14:paraId="0F12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vAlign w:val="center"/>
          </w:tcPr>
          <w:p w14:paraId="2A7412E4">
            <w:pPr>
              <w:snapToGrid w:val="0"/>
              <w:spacing w:line="360" w:lineRule="auto"/>
              <w:jc w:val="center"/>
              <w:rPr>
                <w:rFonts w:ascii="宋体" w:hAnsi="宋体" w:cs="宋体"/>
                <w:color w:val="auto"/>
                <w:sz w:val="21"/>
                <w:szCs w:val="21"/>
                <w:highlight w:val="none"/>
              </w:rPr>
            </w:pPr>
          </w:p>
        </w:tc>
        <w:tc>
          <w:tcPr>
            <w:tcW w:w="3179" w:type="dxa"/>
            <w:tcBorders>
              <w:top w:val="single" w:color="auto" w:sz="4" w:space="0"/>
              <w:left w:val="single" w:color="auto" w:sz="4" w:space="0"/>
              <w:bottom w:val="single" w:color="auto" w:sz="4" w:space="0"/>
              <w:right w:val="single" w:color="auto" w:sz="4" w:space="0"/>
            </w:tcBorders>
            <w:vAlign w:val="center"/>
          </w:tcPr>
          <w:p w14:paraId="54E36384">
            <w:pPr>
              <w:snapToGrid w:val="0"/>
              <w:spacing w:line="360" w:lineRule="auto"/>
              <w:jc w:val="center"/>
              <w:rPr>
                <w:rFonts w:ascii="宋体" w:hAnsi="宋体" w:cs="宋体"/>
                <w:color w:val="auto"/>
                <w:sz w:val="21"/>
                <w:szCs w:val="21"/>
                <w:highlight w:val="none"/>
              </w:rPr>
            </w:pPr>
          </w:p>
        </w:tc>
        <w:tc>
          <w:tcPr>
            <w:tcW w:w="2434" w:type="dxa"/>
            <w:tcBorders>
              <w:top w:val="single" w:color="auto" w:sz="4" w:space="0"/>
              <w:left w:val="single" w:color="auto" w:sz="4" w:space="0"/>
              <w:bottom w:val="single" w:color="auto" w:sz="4" w:space="0"/>
              <w:right w:val="single" w:color="auto" w:sz="4" w:space="0"/>
            </w:tcBorders>
            <w:vAlign w:val="center"/>
          </w:tcPr>
          <w:p w14:paraId="15BF7116">
            <w:pPr>
              <w:snapToGrid w:val="0"/>
              <w:spacing w:line="360" w:lineRule="auto"/>
              <w:jc w:val="center"/>
              <w:rPr>
                <w:rFonts w:ascii="宋体" w:hAnsi="宋体" w:cs="宋体"/>
                <w:color w:val="auto"/>
                <w:sz w:val="21"/>
                <w:szCs w:val="21"/>
                <w:highlight w:val="none"/>
              </w:rPr>
            </w:pPr>
          </w:p>
        </w:tc>
        <w:tc>
          <w:tcPr>
            <w:tcW w:w="2355" w:type="dxa"/>
            <w:tcBorders>
              <w:top w:val="single" w:color="auto" w:sz="4" w:space="0"/>
              <w:left w:val="single" w:color="auto" w:sz="4" w:space="0"/>
              <w:bottom w:val="single" w:color="auto" w:sz="4" w:space="0"/>
              <w:right w:val="single" w:color="auto" w:sz="4" w:space="0"/>
            </w:tcBorders>
            <w:vAlign w:val="center"/>
          </w:tcPr>
          <w:p w14:paraId="60FEE3C3">
            <w:pPr>
              <w:snapToGrid w:val="0"/>
              <w:spacing w:line="360" w:lineRule="auto"/>
              <w:jc w:val="center"/>
              <w:rPr>
                <w:rFonts w:ascii="宋体" w:hAnsi="宋体" w:cs="宋体"/>
                <w:color w:val="auto"/>
                <w:sz w:val="21"/>
                <w:szCs w:val="21"/>
                <w:highlight w:val="none"/>
              </w:rPr>
            </w:pPr>
          </w:p>
        </w:tc>
      </w:tr>
    </w:tbl>
    <w:p w14:paraId="36CD4467">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D33846B">
      <w:pPr>
        <w:spacing w:line="50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供应商：                          法定代表人（或其授权代表）或自然人：</w:t>
      </w:r>
    </w:p>
    <w:p w14:paraId="35C1CC56">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85B7C96">
      <w:pPr>
        <w:spacing w:line="5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（供应商公章）                                 （签署或盖章）</w:t>
      </w:r>
    </w:p>
    <w:p w14:paraId="37B2A547">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2ED123A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003A74B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1.本表即为对本项目“第三篇  项目商务需求”中所列条款进行比较和响应；</w:t>
      </w:r>
    </w:p>
    <w:p w14:paraId="17ABEA7F">
      <w:pPr>
        <w:snapToGrid w:val="0"/>
        <w:spacing w:line="400" w:lineRule="exact"/>
        <w:ind w:firstLine="480" w:firstLineChars="200"/>
        <w:rPr>
          <w:rFonts w:ascii="宋体" w:hAnsi="宋体" w:cs="宋体"/>
          <w:color w:val="auto"/>
          <w:highlight w:val="none"/>
        </w:rPr>
      </w:pPr>
      <w:r>
        <w:rPr>
          <w:rFonts w:hint="eastAsia" w:ascii="宋体" w:hAnsi="宋体" w:cs="宋体"/>
          <w:color w:val="auto"/>
          <w:sz w:val="24"/>
          <w:szCs w:val="24"/>
          <w:highlight w:val="none"/>
        </w:rPr>
        <w:t>2.本表可扩展。</w:t>
      </w:r>
    </w:p>
    <w:p w14:paraId="03508A7E">
      <w:pPr>
        <w:widowControl/>
        <w:jc w:val="left"/>
        <w:rPr>
          <w:rFonts w:ascii="宋体" w:hAnsi="宋体" w:cs="宋体"/>
          <w:b/>
          <w:color w:val="auto"/>
          <w:highlight w:val="none"/>
        </w:rPr>
        <w:sectPr>
          <w:pgSz w:w="11907" w:h="16840"/>
          <w:pgMar w:top="1134" w:right="1191" w:bottom="1134" w:left="1304" w:header="851" w:footer="992" w:gutter="0"/>
          <w:cols w:space="720" w:num="1"/>
          <w:docGrid w:type="lines" w:linePitch="380" w:charSpace="0"/>
        </w:sectPr>
      </w:pPr>
    </w:p>
    <w:p w14:paraId="66C5FFC5">
      <w:pPr>
        <w:snapToGrid w:val="0"/>
        <w:spacing w:line="400" w:lineRule="exact"/>
        <w:ind w:firstLine="480" w:firstLineChars="200"/>
        <w:rPr>
          <w:rFonts w:ascii="宋体" w:hAnsi="宋体" w:cs="宋体"/>
          <w:color w:val="auto"/>
          <w:sz w:val="24"/>
          <w:szCs w:val="24"/>
          <w:highlight w:val="none"/>
        </w:rPr>
      </w:pPr>
      <w:bookmarkStart w:id="164" w:name="_Toc283382459"/>
      <w:bookmarkEnd w:id="164"/>
      <w:r>
        <w:rPr>
          <w:rFonts w:hint="eastAsia" w:ascii="宋体" w:hAnsi="宋体" w:cs="宋体"/>
          <w:color w:val="auto"/>
          <w:sz w:val="24"/>
          <w:szCs w:val="24"/>
          <w:highlight w:val="none"/>
        </w:rPr>
        <w:t>（二）其它资料（格式自定）</w:t>
      </w:r>
    </w:p>
    <w:p w14:paraId="0384B59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7B53D71">
      <w:pPr>
        <w:pStyle w:val="2"/>
        <w:adjustRightInd w:val="0"/>
        <w:snapToGrid w:val="0"/>
        <w:spacing w:line="40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65" w:name="_Toc313888363"/>
      <w:bookmarkEnd w:id="165"/>
      <w:bookmarkStart w:id="166" w:name="_Toc76462353"/>
      <w:bookmarkEnd w:id="166"/>
      <w:bookmarkStart w:id="167" w:name="_Toc313008359"/>
      <w:bookmarkEnd w:id="167"/>
      <w:bookmarkStart w:id="168" w:name="_Toc106030909"/>
      <w:bookmarkEnd w:id="168"/>
      <w:bookmarkStart w:id="169" w:name="_Toc342913422"/>
      <w:r>
        <w:rPr>
          <w:rFonts w:hint="eastAsia" w:ascii="宋体" w:hAnsi="宋体" w:eastAsia="宋体" w:cs="宋体"/>
          <w:color w:val="auto"/>
          <w:sz w:val="24"/>
          <w:szCs w:val="24"/>
          <w:highlight w:val="none"/>
        </w:rPr>
        <w:t>四、资格条件</w:t>
      </w:r>
      <w:bookmarkEnd w:id="169"/>
    </w:p>
    <w:p w14:paraId="65A79344">
      <w:pPr>
        <w:snapToGrid w:val="0"/>
        <w:spacing w:line="4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65EE0F18">
      <w:pPr>
        <w:snapToGrid w:val="0"/>
        <w:spacing w:line="400" w:lineRule="exact"/>
        <w:ind w:firstLine="570"/>
        <w:rPr>
          <w:rFonts w:ascii="宋体" w:hAnsi="宋体" w:cs="宋体"/>
          <w:color w:val="auto"/>
          <w:highlight w:val="none"/>
        </w:rPr>
      </w:pPr>
      <w:r>
        <w:rPr>
          <w:rFonts w:hint="eastAsia" w:ascii="宋体" w:hAnsi="宋体" w:cs="宋体"/>
          <w:color w:val="auto"/>
          <w:highlight w:val="none"/>
        </w:rPr>
        <w:t xml:space="preserve"> </w:t>
      </w:r>
    </w:p>
    <w:p w14:paraId="050464D3">
      <w:pPr>
        <w:snapToGrid w:val="0"/>
        <w:spacing w:line="500" w:lineRule="exact"/>
        <w:ind w:firstLine="570"/>
        <w:rPr>
          <w:rFonts w:ascii="宋体" w:hAnsi="宋体" w:cs="宋体"/>
          <w:color w:val="auto"/>
          <w:highlight w:val="none"/>
        </w:rPr>
      </w:pPr>
      <w:r>
        <w:rPr>
          <w:rFonts w:hint="eastAsia" w:ascii="宋体" w:hAnsi="宋体" w:cs="宋体"/>
          <w:color w:val="auto"/>
          <w:highlight w:val="none"/>
        </w:rPr>
        <w:t xml:space="preserve"> </w:t>
      </w:r>
    </w:p>
    <w:p w14:paraId="11698F24">
      <w:pPr>
        <w:snapToGrid w:val="0"/>
        <w:spacing w:line="500" w:lineRule="exact"/>
        <w:ind w:firstLine="570"/>
        <w:rPr>
          <w:rFonts w:ascii="宋体" w:hAnsi="宋体" w:cs="宋体"/>
          <w:color w:val="auto"/>
          <w:highlight w:val="none"/>
        </w:rPr>
      </w:pPr>
      <w:r>
        <w:rPr>
          <w:rFonts w:hint="eastAsia" w:ascii="宋体" w:hAnsi="宋体" w:cs="宋体"/>
          <w:color w:val="auto"/>
          <w:highlight w:val="none"/>
        </w:rPr>
        <w:t xml:space="preserve"> </w:t>
      </w:r>
    </w:p>
    <w:p w14:paraId="4CA24397">
      <w:pPr>
        <w:snapToGrid w:val="0"/>
        <w:spacing w:line="500" w:lineRule="exact"/>
        <w:ind w:firstLine="570"/>
        <w:rPr>
          <w:rFonts w:ascii="宋体" w:hAnsi="宋体" w:cs="宋体"/>
          <w:color w:val="auto"/>
          <w:highlight w:val="none"/>
        </w:rPr>
      </w:pPr>
      <w:r>
        <w:rPr>
          <w:rFonts w:hint="eastAsia" w:ascii="宋体" w:hAnsi="宋体" w:cs="宋体"/>
          <w:color w:val="auto"/>
          <w:highlight w:val="none"/>
        </w:rPr>
        <w:t xml:space="preserve"> </w:t>
      </w:r>
    </w:p>
    <w:p w14:paraId="22C8FA84">
      <w:pPr>
        <w:snapToGrid w:val="0"/>
        <w:spacing w:line="500" w:lineRule="exact"/>
        <w:ind w:firstLine="570"/>
        <w:rPr>
          <w:rFonts w:ascii="宋体" w:hAnsi="宋体" w:cs="宋体"/>
          <w:color w:val="auto"/>
          <w:highlight w:val="none"/>
        </w:rPr>
      </w:pPr>
      <w:r>
        <w:rPr>
          <w:rFonts w:hint="eastAsia" w:ascii="宋体" w:hAnsi="宋体" w:cs="宋体"/>
          <w:color w:val="auto"/>
          <w:highlight w:val="none"/>
        </w:rPr>
        <w:t xml:space="preserve"> </w:t>
      </w:r>
    </w:p>
    <w:p w14:paraId="5A2D0508">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36D9CDE0">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3935A1E">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磋商项目名称：</w:t>
      </w:r>
      <w:r>
        <w:rPr>
          <w:rFonts w:hint="eastAsia" w:ascii="宋体" w:hAnsi="宋体" w:cs="宋体"/>
          <w:color w:val="auto"/>
          <w:sz w:val="24"/>
          <w:szCs w:val="24"/>
          <w:highlight w:val="none"/>
          <w:u w:val="single"/>
        </w:rPr>
        <w:t xml:space="preserve">                                                </w:t>
      </w:r>
    </w:p>
    <w:p w14:paraId="705CB1D6">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3664FD7">
      <w:pPr>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（采购代理机构名称）：</w:t>
      </w:r>
    </w:p>
    <w:p w14:paraId="3502326A">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（法定代表人姓名）在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（职务名称）职务，是（供应商名称）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的法定代表人。</w:t>
      </w:r>
    </w:p>
    <w:p w14:paraId="76988FFF">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A12488F">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特此证明。</w:t>
      </w:r>
    </w:p>
    <w:p w14:paraId="3398F4C8">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BB5D9F1">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04A271B">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9E20375">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（供应商公章）</w:t>
      </w:r>
    </w:p>
    <w:p w14:paraId="6EA7C036">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41DCB46">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79B38969">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法定代表人电话：XXXXXXX      电子邮箱：XXXXXX@XXXXX（若授权他人办理并签署响应文件的可不填写）</w:t>
      </w:r>
    </w:p>
    <w:p w14:paraId="1455C035">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（附：法定代表人身份证正反面复印件）</w:t>
      </w:r>
    </w:p>
    <w:p w14:paraId="7038101D">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422F9E0">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1BAE5D8">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0324412">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63D1D6A">
      <w:pPr>
        <w:snapToGrid w:val="0"/>
        <w:spacing w:line="500" w:lineRule="exact"/>
        <w:ind w:firstLine="570"/>
        <w:rPr>
          <w:rFonts w:ascii="宋体" w:hAnsi="宋体" w:cs="宋体"/>
          <w:color w:val="auto"/>
          <w:sz w:val="24"/>
          <w:szCs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 w:val="24"/>
          <w:szCs w:val="24"/>
          <w:highlight w:val="none"/>
        </w:rPr>
        <w:t xml:space="preserve"> </w:t>
      </w:r>
    </w:p>
    <w:p w14:paraId="7A7394F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765B0EA3">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36CDF31">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磋商项目名称：</w:t>
      </w:r>
      <w:r>
        <w:rPr>
          <w:rFonts w:hint="eastAsia" w:ascii="宋体" w:hAnsi="宋体" w:cs="宋体"/>
          <w:color w:val="auto"/>
          <w:sz w:val="24"/>
          <w:szCs w:val="24"/>
          <w:highlight w:val="none"/>
          <w:u w:val="single"/>
        </w:rPr>
        <w:t xml:space="preserve">                                                </w:t>
      </w:r>
    </w:p>
    <w:p w14:paraId="38F6202F">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F7928CC">
      <w:pPr>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（采购代理机构名称）：</w:t>
      </w:r>
    </w:p>
    <w:p w14:paraId="20FF4FBA">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（供应商法定代表人名称）是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（供应商名称）的法定代表人，特授权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（被授权人姓名及身份证代码）代表我单位全权办理上述项目的磋商、签约等具体工作，并签署全部有关文件、协议及合同。</w:t>
      </w:r>
    </w:p>
    <w:p w14:paraId="1BB7871C">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我单位对被授权人的签署负全部责任。</w:t>
      </w:r>
    </w:p>
    <w:p w14:paraId="6EAEBF94">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在撤销授权的书面通知以前，本授权书一直有效。被授权人在授权书有效期内签署的所有文件不因授权的撤销而失效。</w:t>
      </w:r>
    </w:p>
    <w:p w14:paraId="3051E99E">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028DC2C">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CE9EEA1">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被授权人：                                 供应商法定代表人：</w:t>
      </w:r>
    </w:p>
    <w:p w14:paraId="001DEDEE">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（签署或盖章）                                （签署或盖章）</w:t>
      </w:r>
    </w:p>
    <w:p w14:paraId="31F29E03">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88189DE">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（附：被授权人身份证正反面复印件）</w:t>
      </w:r>
    </w:p>
    <w:p w14:paraId="2BCE509B">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3C0A628">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6691926">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4859122">
      <w:pPr>
        <w:snapToGrid w:val="0"/>
        <w:spacing w:line="500" w:lineRule="exact"/>
        <w:ind w:right="480"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6176D744">
      <w:pPr>
        <w:snapToGrid w:val="0"/>
        <w:spacing w:line="500" w:lineRule="exact"/>
        <w:ind w:right="480"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48653BCD">
      <w:pPr>
        <w:snapToGrid w:val="0"/>
        <w:spacing w:line="500" w:lineRule="exact"/>
        <w:ind w:right="480" w:firstLine="570"/>
        <w:jc w:val="left"/>
        <w:rPr>
          <w:rFonts w:ascii="宋体" w:hAnsi="宋体" w:cs="宋体"/>
          <w:color w:val="auto"/>
          <w:sz w:val="24"/>
          <w:szCs w:val="24"/>
          <w:highlight w:val="none"/>
        </w:rPr>
      </w:pPr>
      <w:r>
        <w:rPr>
          <w:rFonts w:hint="eastAsia" w:ascii="宋体" w:hAnsi="宋体" w:cs="宋体"/>
          <w:color w:val="auto"/>
          <w:sz w:val="24"/>
          <w:szCs w:val="24"/>
          <w:highlight w:val="none"/>
        </w:rPr>
        <w:t>被授权人电话：XXXXXXX     电子邮箱：XXXXXX@XXXXX（若法定代表人办理并签署响应文件的可不填写）</w:t>
      </w:r>
    </w:p>
    <w:p w14:paraId="2F17A8ED">
      <w:pPr>
        <w:snapToGrid w:val="0"/>
        <w:spacing w:line="500" w:lineRule="exact"/>
        <w:ind w:right="480" w:firstLine="570"/>
        <w:jc w:val="left"/>
        <w:rPr>
          <w:rFonts w:ascii="宋体" w:hAnsi="宋体" w:cs="宋体"/>
          <w:color w:val="auto"/>
          <w:sz w:val="24"/>
          <w:szCs w:val="24"/>
          <w:highlight w:val="none"/>
        </w:rPr>
      </w:pPr>
      <w:r>
        <w:rPr>
          <w:rFonts w:hint="eastAsia" w:ascii="宋体" w:hAnsi="宋体" w:cs="宋体"/>
          <w:color w:val="auto"/>
          <w:sz w:val="24"/>
          <w:szCs w:val="24"/>
          <w:highlight w:val="none"/>
        </w:rPr>
        <w:t>注：1.若为法定代表人办理并签署响应文件的，不提供此文件。</w:t>
      </w:r>
    </w:p>
    <w:p w14:paraId="3E813B01">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2.若为联合体参与的，法定代表人授权委托书由联合体主办方</w:t>
      </w:r>
      <w:r>
        <w:rPr>
          <w:rFonts w:hint="eastAsia" w:ascii="宋体" w:hAnsi="宋体" w:cs="宋体"/>
          <w:color w:val="auto"/>
          <w:kern w:val="0"/>
          <w:sz w:val="24"/>
          <w:szCs w:val="24"/>
          <w:highlight w:val="none"/>
        </w:rPr>
        <w:t>（主体）</w:t>
      </w:r>
      <w:r>
        <w:rPr>
          <w:rFonts w:hint="eastAsia" w:ascii="宋体" w:hAnsi="宋体" w:cs="宋体"/>
          <w:color w:val="auto"/>
          <w:sz w:val="24"/>
          <w:szCs w:val="24"/>
          <w:highlight w:val="none"/>
        </w:rPr>
        <w:t>出具。</w:t>
      </w:r>
    </w:p>
    <w:p w14:paraId="79101315">
      <w:pPr>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w:t>
      </w:r>
    </w:p>
    <w:p w14:paraId="60F3B054">
      <w:pPr>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648D3B67">
      <w:pPr>
        <w:snapToGrid w:val="0"/>
        <w:spacing w:line="53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2184A4A">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（采购代理机构名称）：</w:t>
      </w:r>
    </w:p>
    <w:p w14:paraId="4928C1A3">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（供应商名称）郑重承诺：</w:t>
      </w:r>
    </w:p>
    <w:p w14:paraId="2BA0D140">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1A5AABA8">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12A00521">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1F264534">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1B748C2E">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0E7A5CB6">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5F9871D">
      <w:pPr>
        <w:snapToGrid w:val="0"/>
        <w:spacing w:line="500" w:lineRule="exact"/>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6433A706">
      <w:pPr>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年   月   日</w:t>
      </w:r>
      <w:bookmarkStart w:id="170" w:name="_Toc14422"/>
      <w:bookmarkEnd w:id="170"/>
      <w:r>
        <w:rPr>
          <w:rFonts w:hint="eastAsia" w:ascii="宋体" w:hAnsi="宋体" w:cs="宋体"/>
          <w:bCs/>
          <w:color w:val="auto"/>
          <w:highlight w:val="none"/>
        </w:rPr>
        <w:br w:type="page"/>
      </w:r>
      <w:bookmarkStart w:id="171" w:name="_Toc106030910"/>
      <w:bookmarkEnd w:id="171"/>
      <w:bookmarkStart w:id="172" w:name="_Toc76462354"/>
      <w:r>
        <w:rPr>
          <w:rFonts w:hint="eastAsia" w:ascii="宋体" w:hAnsi="宋体" w:cs="宋体"/>
          <w:color w:val="auto"/>
          <w:sz w:val="24"/>
          <w:szCs w:val="24"/>
          <w:highlight w:val="none"/>
        </w:rPr>
        <w:t>五、其他资料</w:t>
      </w:r>
      <w:bookmarkEnd w:id="172"/>
    </w:p>
    <w:p w14:paraId="0BD6B9F7">
      <w:pPr>
        <w:snapToGrid w:val="0"/>
        <w:spacing w:line="400" w:lineRule="exact"/>
        <w:ind w:firstLine="480" w:firstLineChars="200"/>
        <w:rPr>
          <w:rFonts w:ascii="宋体" w:hAnsi="宋体" w:cs="宋体"/>
          <w:color w:val="auto"/>
          <w:sz w:val="24"/>
          <w:szCs w:val="24"/>
          <w:highlight w:val="none"/>
        </w:rPr>
      </w:pPr>
    </w:p>
    <w:p w14:paraId="3E4E899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w:t>
      </w:r>
    </w:p>
    <w:p w14:paraId="49984C3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其他与项目有关的资料（自附）：供应商总体情况介绍、其他与本项目有关的资料等。</w:t>
      </w:r>
    </w:p>
    <w:p w14:paraId="200F85D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E382586">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AEA289A">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C29DAD8">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9ACF673">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6731014">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E2B8ED0">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45C34FC">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B4330B7">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74D0CD0">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2A7F77C">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617CA1B">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E82F665">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F686E52">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EE9915C">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9C1B19F">
      <w:pPr>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D377668">
      <w:pPr>
        <w:spacing w:line="360" w:lineRule="auto"/>
        <w:ind w:firstLine="480" w:firstLineChars="200"/>
        <w:jc w:val="center"/>
        <w:outlineLvl w:val="0"/>
        <w:rPr>
          <w:rFonts w:ascii="宋体" w:hAnsi="宋体" w:cs="宋体"/>
          <w:color w:val="auto"/>
          <w:highlight w:val="none"/>
        </w:rPr>
      </w:pPr>
      <w:bookmarkStart w:id="173" w:name="_Toc24751"/>
      <w:bookmarkStart w:id="174" w:name="_Toc13578"/>
      <w:r>
        <w:rPr>
          <w:rFonts w:hint="eastAsia" w:ascii="宋体" w:hAnsi="宋体" w:cs="宋体"/>
          <w:color w:val="auto"/>
          <w:sz w:val="24"/>
          <w:szCs w:val="24"/>
          <w:highlight w:val="none"/>
        </w:rPr>
        <w:t>（结束）</w:t>
      </w:r>
      <w:bookmarkEnd w:id="173"/>
      <w:bookmarkEnd w:id="174"/>
    </w:p>
    <w:p w14:paraId="641590FF">
      <w:pPr>
        <w:rPr>
          <w:rFonts w:ascii="宋体" w:hAnsi="宋体" w:cs="宋体"/>
          <w:color w:val="auto"/>
          <w:highlight w:val="none"/>
        </w:rPr>
      </w:pPr>
    </w:p>
    <w:p w14:paraId="6EEC8BF2">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B8DA">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430F2">
                          <w:pPr>
                            <w:pStyle w:val="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A0430F2">
                    <w:pPr>
                      <w:pStyle w:val="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C22B">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7FE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3C7FE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7AD4D"/>
    <w:multiLevelType w:val="singleLevel"/>
    <w:tmpl w:val="B217AD4D"/>
    <w:lvl w:ilvl="0" w:tentative="0">
      <w:start w:val="2"/>
      <w:numFmt w:val="chineseCounting"/>
      <w:suff w:val="space"/>
      <w:lvlText w:val="第%1篇"/>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889"/>
    <w:rsid w:val="00037889"/>
    <w:rsid w:val="001E34FF"/>
    <w:rsid w:val="005153B6"/>
    <w:rsid w:val="00530839"/>
    <w:rsid w:val="00554051"/>
    <w:rsid w:val="007C7D01"/>
    <w:rsid w:val="00AA0C74"/>
    <w:rsid w:val="00BE315D"/>
    <w:rsid w:val="00D46391"/>
    <w:rsid w:val="00D82ED4"/>
    <w:rsid w:val="00E52727"/>
    <w:rsid w:val="00F3791A"/>
    <w:rsid w:val="06A62259"/>
    <w:rsid w:val="09E63F69"/>
    <w:rsid w:val="0A4725AB"/>
    <w:rsid w:val="0AC21C32"/>
    <w:rsid w:val="0B5C1A64"/>
    <w:rsid w:val="106F460A"/>
    <w:rsid w:val="15E46C8F"/>
    <w:rsid w:val="185429E2"/>
    <w:rsid w:val="1D0A494D"/>
    <w:rsid w:val="214B0585"/>
    <w:rsid w:val="2AAC66E0"/>
    <w:rsid w:val="2C7E278A"/>
    <w:rsid w:val="3192385D"/>
    <w:rsid w:val="32997764"/>
    <w:rsid w:val="34B17299"/>
    <w:rsid w:val="39386026"/>
    <w:rsid w:val="39DF37F4"/>
    <w:rsid w:val="45B02F3B"/>
    <w:rsid w:val="4F7F6AA9"/>
    <w:rsid w:val="4F952628"/>
    <w:rsid w:val="51DD0354"/>
    <w:rsid w:val="51F779E0"/>
    <w:rsid w:val="531168BC"/>
    <w:rsid w:val="53F3D83A"/>
    <w:rsid w:val="54CC20F9"/>
    <w:rsid w:val="55F98DDE"/>
    <w:rsid w:val="58EC03E5"/>
    <w:rsid w:val="58F72073"/>
    <w:rsid w:val="592E2B23"/>
    <w:rsid w:val="5EDF204D"/>
    <w:rsid w:val="5F777212"/>
    <w:rsid w:val="64AC696C"/>
    <w:rsid w:val="69D47C39"/>
    <w:rsid w:val="6EB63344"/>
    <w:rsid w:val="6FCFA0B8"/>
    <w:rsid w:val="71E672F9"/>
    <w:rsid w:val="73DFDC08"/>
    <w:rsid w:val="757329BF"/>
    <w:rsid w:val="7DE97333"/>
    <w:rsid w:val="7F97DF4E"/>
    <w:rsid w:val="7FB4772C"/>
    <w:rsid w:val="7FBF58E1"/>
    <w:rsid w:val="7FDED973"/>
    <w:rsid w:val="8FFFFFBD"/>
    <w:rsid w:val="BC7FF38F"/>
    <w:rsid w:val="BDBAC9E2"/>
    <w:rsid w:val="BFB7D3F0"/>
    <w:rsid w:val="CD9D7DC4"/>
    <w:rsid w:val="DF37E4C5"/>
    <w:rsid w:val="DFBF529A"/>
    <w:rsid w:val="F3FDB524"/>
    <w:rsid w:val="F4EDA81E"/>
    <w:rsid w:val="FAB529C6"/>
    <w:rsid w:val="FBFFBF66"/>
    <w:rsid w:val="FED7756C"/>
    <w:rsid w:val="FFC6A589"/>
    <w:rsid w:val="FFF93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2"/>
    <w:basedOn w:val="1"/>
    <w:next w:val="1"/>
    <w:qFormat/>
    <w:uiPriority w:val="99"/>
    <w:pPr>
      <w:keepNext/>
      <w:keepLines/>
      <w:spacing w:line="412" w:lineRule="auto"/>
      <w:outlineLvl w:val="1"/>
    </w:pPr>
    <w:rPr>
      <w:rFonts w:ascii="Arial" w:hAnsi="Arial" w:eastAsia="黑体" w:cs="Arial"/>
      <w:b/>
      <w:sz w:val="32"/>
      <w:szCs w:val="32"/>
    </w:rPr>
  </w:style>
  <w:style w:type="paragraph" w:styleId="3">
    <w:name w:val="heading 3"/>
    <w:basedOn w:val="1"/>
    <w:next w:val="1"/>
    <w:qFormat/>
    <w:uiPriority w:val="0"/>
    <w:pPr>
      <w:keepNext/>
      <w:keepLines/>
      <w:spacing w:before="260" w:after="260" w:line="413" w:lineRule="auto"/>
      <w:jc w:val="center"/>
      <w:outlineLvl w:val="2"/>
    </w:pPr>
    <w:rPr>
      <w:b/>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仿宋_GB2312" w:eastAsia="仿宋_GB2312"/>
      <w:sz w:val="32"/>
    </w:rPr>
  </w:style>
  <w:style w:type="paragraph" w:styleId="5">
    <w:name w:val="Body Text Indent"/>
    <w:basedOn w:val="1"/>
    <w:unhideWhenUsed/>
    <w:qFormat/>
    <w:uiPriority w:val="99"/>
    <w:pPr>
      <w:spacing w:before="100" w:beforeAutospacing="1" w:after="100" w:afterAutospacing="1" w:line="700" w:lineRule="exact"/>
      <w:ind w:left="960"/>
    </w:pPr>
    <w:rPr>
      <w:sz w:val="44"/>
      <w:szCs w:val="44"/>
    </w:rPr>
  </w:style>
  <w:style w:type="paragraph" w:styleId="6">
    <w:name w:val="Plain Text"/>
    <w:basedOn w:val="1"/>
    <w:unhideWhenUsed/>
    <w:qFormat/>
    <w:uiPriority w:val="99"/>
    <w:rPr>
      <w:rFonts w:ascii="宋体" w:hAnsi="Courier New" w:cs="宋体"/>
      <w:sz w:val="21"/>
      <w:szCs w:val="21"/>
    </w:rPr>
  </w:style>
  <w:style w:type="paragraph" w:styleId="7">
    <w:name w:val="Date"/>
    <w:basedOn w:val="1"/>
    <w:next w:val="1"/>
    <w:unhideWhenUsed/>
    <w:qFormat/>
    <w:uiPriority w:val="99"/>
  </w:style>
  <w:style w:type="paragraph" w:styleId="8">
    <w:name w:val="Body Text Indent 2"/>
    <w:basedOn w:val="1"/>
    <w:unhideWhenUsed/>
    <w:qFormat/>
    <w:uiPriority w:val="99"/>
    <w:pPr>
      <w:snapToGrid w:val="0"/>
      <w:spacing w:line="560" w:lineRule="atLeast"/>
      <w:ind w:firstLine="540"/>
    </w:pPr>
  </w:style>
  <w:style w:type="paragraph" w:styleId="9">
    <w:name w:val="footer"/>
    <w:basedOn w:val="1"/>
    <w:unhideWhenUsed/>
    <w:qFormat/>
    <w:uiPriority w:val="99"/>
    <w:pPr>
      <w:snapToGrid w:val="0"/>
      <w:jc w:val="left"/>
    </w:pPr>
    <w:rPr>
      <w:sz w:val="18"/>
      <w:szCs w:val="18"/>
    </w:rPr>
  </w:style>
  <w:style w:type="paragraph" w:styleId="10">
    <w:name w:val="toc 1"/>
    <w:basedOn w:val="1"/>
    <w:next w:val="1"/>
    <w:unhideWhenUsed/>
    <w:qFormat/>
    <w:uiPriority w:val="99"/>
    <w:pPr>
      <w:jc w:val="center"/>
    </w:pPr>
    <w:rPr>
      <w:sz w:val="30"/>
      <w:szCs w:val="30"/>
    </w:rPr>
  </w:style>
  <w:style w:type="character" w:styleId="13">
    <w:name w:val="page number"/>
    <w:qFormat/>
    <w:uiPriority w:val="0"/>
  </w:style>
  <w:style w:type="paragraph" w:customStyle="1" w:styleId="14">
    <w:name w:val="图例"/>
    <w:basedOn w:val="1"/>
    <w:qFormat/>
    <w:uiPriority w:val="0"/>
    <w:pPr>
      <w:spacing w:line="360" w:lineRule="auto"/>
      <w:jc w:val="center"/>
    </w:pPr>
    <w:rPr>
      <w:rFonts w:eastAsia="仿宋_GB2312"/>
      <w:b/>
      <w:sz w:val="24"/>
      <w:szCs w:val="24"/>
    </w:rPr>
  </w:style>
  <w:style w:type="paragraph" w:customStyle="1" w:styleId="15">
    <w:name w:val="正文 A"/>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character" w:customStyle="1" w:styleId="16">
    <w:name w:val="Hyperlink.0"/>
    <w:qFormat/>
    <w:uiPriority w:val="0"/>
    <w:rPr>
      <w:lang w:val="en-US"/>
    </w:rPr>
  </w:style>
  <w:style w:type="paragraph" w:customStyle="1" w:styleId="17">
    <w:name w:val="1"/>
    <w:basedOn w:val="1"/>
    <w:next w:val="6"/>
    <w:qFormat/>
    <w:uiPriority w:val="0"/>
    <w:rPr>
      <w:rFonts w:ascii="宋体" w:hAnsi="Courier New" w:cs="宋体"/>
      <w:sz w:val="21"/>
      <w:szCs w:val="21"/>
    </w:rPr>
  </w:style>
  <w:style w:type="paragraph" w:customStyle="1" w:styleId="18">
    <w:name w:val="无间隔1"/>
    <w:basedOn w:val="1"/>
    <w:qFormat/>
    <w:uiPriority w:val="1"/>
    <w:pPr>
      <w:spacing w:line="400" w:lineRule="exact"/>
    </w:pPr>
    <w:rPr>
      <w:sz w:val="24"/>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0">
    <w:name w:val="无间隔2"/>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12821</Words>
  <Characters>13395</Characters>
  <Lines>110</Lines>
  <Paragraphs>31</Paragraphs>
  <TotalTime>25</TotalTime>
  <ScaleCrop>false</ScaleCrop>
  <LinksUpToDate>false</LinksUpToDate>
  <CharactersWithSpaces>14715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2025-08-29T21:50:00Z</dcterms:created>
  <dc:creator>Administrator</dc:creator>
  <cp:lastModifiedBy>余利萍</cp:lastModifiedBy>
  <dcterms:modified xsi:type="dcterms:W3CDTF">2025-09-08T02:15:27Z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eyJoZGlkIjoiZjdhOTYyYTVmY2Q3MDg1ODA5NmNjOTUxY2E3ZTljM2UiLCJ1c2VySWQiOiIzMDQzODA4ODcifQ==</vt:lpwstr>
  </property>
  <property fmtid="{D5CDD505-2E9C-101B-9397-08002B2CF9AE}" pid="4" name="ICV">
    <vt:lpwstr>01292594DFA6F4C24D95B768308B87A7_43</vt:lpwstr>
  </property>
</Properties>
</file>