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0918">
      <w:pPr>
        <w:jc w:val="center"/>
        <w:rPr>
          <w:rFonts w:ascii="宋体" w:hAnsi="宋体"/>
          <w:b/>
          <w:color w:val="auto"/>
          <w:sz w:val="44"/>
          <w:szCs w:val="44"/>
        </w:rPr>
      </w:pPr>
      <w:bookmarkStart w:id="0" w:name="_Toc287620665"/>
      <w:bookmarkStart w:id="839" w:name="_GoBack"/>
    </w:p>
    <w:p w14:paraId="3FD377CF">
      <w:pPr>
        <w:spacing w:line="360" w:lineRule="auto"/>
        <w:jc w:val="center"/>
        <w:rPr>
          <w:rFonts w:ascii="宋体" w:hAnsi="宋体"/>
          <w:color w:val="auto"/>
          <w:kern w:val="0"/>
          <w:sz w:val="36"/>
          <w:szCs w:val="36"/>
        </w:rPr>
      </w:pPr>
      <w:r>
        <w:rPr>
          <w:rFonts w:hint="eastAsia" w:ascii="宋体" w:hAnsi="宋体"/>
          <w:color w:val="auto"/>
          <w:kern w:val="0"/>
          <w:sz w:val="40"/>
          <w:szCs w:val="40"/>
          <w:u w:val="none"/>
          <w:lang w:eastAsia="zh-CN"/>
        </w:rPr>
        <w:t>铜梁区安居小学2025年幼儿园改造项目</w:t>
      </w:r>
    </w:p>
    <w:p w14:paraId="0F2B056C">
      <w:pPr>
        <w:autoSpaceDE w:val="0"/>
        <w:autoSpaceDN w:val="0"/>
        <w:adjustRightInd w:val="0"/>
        <w:snapToGrid w:val="0"/>
        <w:spacing w:line="360" w:lineRule="auto"/>
        <w:jc w:val="left"/>
        <w:rPr>
          <w:rFonts w:ascii="宋体" w:hAnsi="宋体"/>
          <w:color w:val="auto"/>
          <w:kern w:val="0"/>
          <w:sz w:val="20"/>
          <w:szCs w:val="20"/>
        </w:rPr>
      </w:pPr>
    </w:p>
    <w:p w14:paraId="20CDABCC">
      <w:pPr>
        <w:autoSpaceDE w:val="0"/>
        <w:autoSpaceDN w:val="0"/>
        <w:adjustRightInd w:val="0"/>
        <w:snapToGrid w:val="0"/>
        <w:spacing w:line="360" w:lineRule="auto"/>
        <w:jc w:val="left"/>
        <w:rPr>
          <w:rFonts w:ascii="宋体" w:hAnsi="宋体"/>
          <w:color w:val="auto"/>
          <w:kern w:val="0"/>
          <w:sz w:val="20"/>
          <w:szCs w:val="20"/>
        </w:rPr>
      </w:pPr>
    </w:p>
    <w:p w14:paraId="1B428911">
      <w:pPr>
        <w:autoSpaceDE w:val="0"/>
        <w:autoSpaceDN w:val="0"/>
        <w:adjustRightInd w:val="0"/>
        <w:snapToGrid w:val="0"/>
        <w:spacing w:line="360" w:lineRule="auto"/>
        <w:jc w:val="left"/>
        <w:rPr>
          <w:rFonts w:ascii="宋体" w:hAnsi="宋体"/>
          <w:color w:val="auto"/>
          <w:kern w:val="0"/>
          <w:sz w:val="20"/>
          <w:szCs w:val="20"/>
        </w:rPr>
      </w:pPr>
    </w:p>
    <w:p w14:paraId="041D71D4">
      <w:pPr>
        <w:autoSpaceDE w:val="0"/>
        <w:autoSpaceDN w:val="0"/>
        <w:adjustRightInd w:val="0"/>
        <w:snapToGrid w:val="0"/>
        <w:spacing w:line="360" w:lineRule="auto"/>
        <w:jc w:val="left"/>
        <w:rPr>
          <w:rFonts w:ascii="宋体" w:hAnsi="宋体"/>
          <w:color w:val="auto"/>
          <w:kern w:val="0"/>
          <w:sz w:val="20"/>
          <w:szCs w:val="20"/>
        </w:rPr>
      </w:pPr>
    </w:p>
    <w:p w14:paraId="008AE733">
      <w:pPr>
        <w:pStyle w:val="2"/>
        <w:rPr>
          <w:color w:val="auto"/>
        </w:rPr>
      </w:pPr>
    </w:p>
    <w:p w14:paraId="5D2376BB">
      <w:pPr>
        <w:autoSpaceDE w:val="0"/>
        <w:autoSpaceDN w:val="0"/>
        <w:adjustRightInd w:val="0"/>
        <w:snapToGrid w:val="0"/>
        <w:spacing w:line="360" w:lineRule="auto"/>
        <w:jc w:val="left"/>
        <w:rPr>
          <w:rFonts w:ascii="宋体" w:hAnsi="宋体"/>
          <w:color w:val="auto"/>
          <w:kern w:val="0"/>
          <w:sz w:val="20"/>
          <w:szCs w:val="20"/>
        </w:rPr>
      </w:pPr>
    </w:p>
    <w:p w14:paraId="384784E0">
      <w:pPr>
        <w:pStyle w:val="2"/>
        <w:rPr>
          <w:rFonts w:ascii="宋体" w:hAnsi="宋体"/>
          <w:color w:val="auto"/>
          <w:kern w:val="0"/>
          <w:sz w:val="20"/>
          <w:szCs w:val="20"/>
        </w:rPr>
      </w:pPr>
    </w:p>
    <w:p w14:paraId="36E75104">
      <w:pPr>
        <w:rPr>
          <w:rFonts w:ascii="宋体" w:hAnsi="宋体"/>
          <w:color w:val="auto"/>
          <w:kern w:val="0"/>
          <w:sz w:val="20"/>
          <w:szCs w:val="20"/>
        </w:rPr>
      </w:pPr>
    </w:p>
    <w:p w14:paraId="5DFBB034">
      <w:pPr>
        <w:pStyle w:val="2"/>
        <w:rPr>
          <w:color w:val="auto"/>
        </w:rPr>
      </w:pPr>
    </w:p>
    <w:p w14:paraId="051489DD">
      <w:pPr>
        <w:rPr>
          <w:color w:val="auto"/>
        </w:rPr>
      </w:pPr>
    </w:p>
    <w:p w14:paraId="7D924DFF">
      <w:pPr>
        <w:autoSpaceDE w:val="0"/>
        <w:autoSpaceDN w:val="0"/>
        <w:adjustRightInd w:val="0"/>
        <w:snapToGrid w:val="0"/>
        <w:spacing w:line="360" w:lineRule="auto"/>
        <w:jc w:val="left"/>
        <w:rPr>
          <w:rFonts w:ascii="宋体" w:hAnsi="宋体"/>
          <w:color w:val="auto"/>
          <w:kern w:val="0"/>
          <w:sz w:val="20"/>
          <w:szCs w:val="20"/>
        </w:rPr>
      </w:pPr>
    </w:p>
    <w:p w14:paraId="319AC4DA">
      <w:pPr>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b/>
          <w:bCs/>
          <w:color w:val="auto"/>
          <w:kern w:val="0"/>
          <w:sz w:val="84"/>
          <w:szCs w:val="84"/>
          <w:lang w:eastAsia="zh-CN"/>
        </w:rPr>
        <w:t>竞争性比选</w:t>
      </w:r>
      <w:r>
        <w:rPr>
          <w:rFonts w:ascii="宋体" w:hAnsi="宋体"/>
          <w:b/>
          <w:bCs/>
          <w:color w:val="auto"/>
          <w:kern w:val="0"/>
          <w:sz w:val="84"/>
          <w:szCs w:val="84"/>
        </w:rPr>
        <w:t>文件</w:t>
      </w:r>
    </w:p>
    <w:p w14:paraId="1D6116E2">
      <w:pPr>
        <w:autoSpaceDE w:val="0"/>
        <w:autoSpaceDN w:val="0"/>
        <w:adjustRightInd w:val="0"/>
        <w:snapToGrid w:val="0"/>
        <w:spacing w:line="360" w:lineRule="auto"/>
        <w:jc w:val="left"/>
        <w:rPr>
          <w:rFonts w:ascii="宋体" w:hAnsi="宋体"/>
          <w:color w:val="auto"/>
          <w:kern w:val="0"/>
          <w:sz w:val="10"/>
          <w:szCs w:val="10"/>
        </w:rPr>
      </w:pPr>
    </w:p>
    <w:p w14:paraId="7C4FACA0">
      <w:pPr>
        <w:autoSpaceDE w:val="0"/>
        <w:autoSpaceDN w:val="0"/>
        <w:adjustRightInd w:val="0"/>
        <w:snapToGrid w:val="0"/>
        <w:spacing w:line="360" w:lineRule="auto"/>
        <w:jc w:val="left"/>
        <w:rPr>
          <w:rFonts w:ascii="宋体" w:hAnsi="宋体"/>
          <w:color w:val="auto"/>
          <w:kern w:val="0"/>
          <w:sz w:val="20"/>
          <w:szCs w:val="20"/>
        </w:rPr>
      </w:pPr>
    </w:p>
    <w:p w14:paraId="558D0FF1">
      <w:pPr>
        <w:autoSpaceDE w:val="0"/>
        <w:autoSpaceDN w:val="0"/>
        <w:adjustRightInd w:val="0"/>
        <w:snapToGrid w:val="0"/>
        <w:spacing w:line="360" w:lineRule="auto"/>
        <w:jc w:val="left"/>
        <w:rPr>
          <w:rFonts w:ascii="宋体" w:hAnsi="宋体"/>
          <w:color w:val="auto"/>
          <w:kern w:val="0"/>
          <w:sz w:val="20"/>
          <w:szCs w:val="20"/>
        </w:rPr>
      </w:pPr>
    </w:p>
    <w:p w14:paraId="53AEBF7C">
      <w:pPr>
        <w:autoSpaceDE w:val="0"/>
        <w:autoSpaceDN w:val="0"/>
        <w:adjustRightInd w:val="0"/>
        <w:snapToGrid w:val="0"/>
        <w:spacing w:line="360" w:lineRule="auto"/>
        <w:jc w:val="left"/>
        <w:rPr>
          <w:rFonts w:ascii="宋体" w:hAnsi="宋体"/>
          <w:color w:val="auto"/>
          <w:kern w:val="0"/>
          <w:sz w:val="20"/>
          <w:szCs w:val="20"/>
        </w:rPr>
      </w:pPr>
    </w:p>
    <w:p w14:paraId="3EB9A66E">
      <w:pPr>
        <w:autoSpaceDE w:val="0"/>
        <w:autoSpaceDN w:val="0"/>
        <w:adjustRightInd w:val="0"/>
        <w:snapToGrid w:val="0"/>
        <w:spacing w:line="360" w:lineRule="auto"/>
        <w:jc w:val="left"/>
        <w:rPr>
          <w:rFonts w:ascii="宋体" w:hAnsi="宋体"/>
          <w:color w:val="auto"/>
          <w:kern w:val="0"/>
          <w:sz w:val="20"/>
          <w:szCs w:val="20"/>
        </w:rPr>
      </w:pPr>
    </w:p>
    <w:p w14:paraId="700F1D87">
      <w:pPr>
        <w:autoSpaceDE w:val="0"/>
        <w:autoSpaceDN w:val="0"/>
        <w:adjustRightInd w:val="0"/>
        <w:snapToGrid w:val="0"/>
        <w:spacing w:line="360" w:lineRule="auto"/>
        <w:jc w:val="left"/>
        <w:rPr>
          <w:rFonts w:ascii="宋体" w:hAnsi="宋体"/>
          <w:color w:val="auto"/>
          <w:kern w:val="0"/>
          <w:sz w:val="20"/>
          <w:szCs w:val="20"/>
        </w:rPr>
      </w:pPr>
    </w:p>
    <w:p w14:paraId="54C9E367">
      <w:pPr>
        <w:autoSpaceDE w:val="0"/>
        <w:autoSpaceDN w:val="0"/>
        <w:adjustRightInd w:val="0"/>
        <w:snapToGrid w:val="0"/>
        <w:spacing w:line="360" w:lineRule="auto"/>
        <w:jc w:val="left"/>
        <w:rPr>
          <w:rFonts w:ascii="宋体" w:hAnsi="宋体"/>
          <w:color w:val="auto"/>
          <w:kern w:val="0"/>
          <w:sz w:val="20"/>
          <w:szCs w:val="20"/>
        </w:rPr>
      </w:pPr>
    </w:p>
    <w:p w14:paraId="4D1EB7B6">
      <w:pPr>
        <w:autoSpaceDE w:val="0"/>
        <w:autoSpaceDN w:val="0"/>
        <w:adjustRightInd w:val="0"/>
        <w:snapToGrid w:val="0"/>
        <w:spacing w:line="360" w:lineRule="auto"/>
        <w:jc w:val="left"/>
        <w:rPr>
          <w:rFonts w:ascii="宋体" w:hAnsi="宋体"/>
          <w:color w:val="auto"/>
          <w:kern w:val="0"/>
          <w:sz w:val="20"/>
          <w:szCs w:val="20"/>
        </w:rPr>
      </w:pPr>
    </w:p>
    <w:p w14:paraId="29A1BEDF">
      <w:pPr>
        <w:autoSpaceDE w:val="0"/>
        <w:autoSpaceDN w:val="0"/>
        <w:adjustRightInd w:val="0"/>
        <w:snapToGrid w:val="0"/>
        <w:spacing w:line="360" w:lineRule="auto"/>
        <w:rPr>
          <w:rFonts w:ascii="宋体" w:hAnsi="宋体"/>
          <w:color w:val="auto"/>
          <w:kern w:val="0"/>
          <w:sz w:val="20"/>
          <w:szCs w:val="20"/>
        </w:rPr>
      </w:pPr>
    </w:p>
    <w:p w14:paraId="49C505FA">
      <w:pPr>
        <w:autoSpaceDE w:val="0"/>
        <w:autoSpaceDN w:val="0"/>
        <w:adjustRightInd w:val="0"/>
        <w:snapToGrid w:val="0"/>
        <w:spacing w:line="360" w:lineRule="auto"/>
        <w:rPr>
          <w:rFonts w:ascii="宋体" w:hAnsi="宋体"/>
          <w:color w:val="auto"/>
          <w:kern w:val="0"/>
          <w:sz w:val="20"/>
          <w:szCs w:val="20"/>
        </w:rPr>
      </w:pPr>
    </w:p>
    <w:p w14:paraId="0D61AC14">
      <w:pPr>
        <w:tabs>
          <w:tab w:val="left" w:pos="6219"/>
        </w:tabs>
        <w:autoSpaceDE w:val="0"/>
        <w:autoSpaceDN w:val="0"/>
        <w:adjustRightInd w:val="0"/>
        <w:snapToGrid w:val="0"/>
        <w:spacing w:line="360" w:lineRule="auto"/>
        <w:jc w:val="center"/>
        <w:rPr>
          <w:rFonts w:ascii="宋体" w:hAnsi="宋体"/>
          <w:b/>
          <w:color w:val="auto"/>
          <w:w w:val="99"/>
          <w:kern w:val="0"/>
          <w:sz w:val="28"/>
          <w:szCs w:val="28"/>
        </w:rPr>
      </w:pPr>
      <w:r>
        <w:rPr>
          <w:rFonts w:hint="eastAsia" w:ascii="宋体" w:hAnsi="宋体"/>
          <w:b/>
          <w:color w:val="auto"/>
          <w:w w:val="99"/>
          <w:kern w:val="0"/>
          <w:sz w:val="28"/>
          <w:szCs w:val="28"/>
          <w:lang w:eastAsia="zh-CN"/>
        </w:rPr>
        <w:t>比选</w:t>
      </w:r>
      <w:r>
        <w:rPr>
          <w:rFonts w:ascii="宋体" w:hAnsi="宋体"/>
          <w:b/>
          <w:color w:val="auto"/>
          <w:w w:val="99"/>
          <w:kern w:val="0"/>
          <w:sz w:val="28"/>
          <w:szCs w:val="28"/>
        </w:rPr>
        <w:t>人：</w:t>
      </w:r>
      <w:r>
        <w:rPr>
          <w:rFonts w:hint="eastAsia" w:ascii="宋体" w:hAnsi="宋体"/>
          <w:color w:val="auto"/>
          <w:kern w:val="0"/>
          <w:sz w:val="28"/>
          <w:szCs w:val="28"/>
          <w:u w:val="single"/>
          <w:lang w:eastAsia="zh-CN"/>
        </w:rPr>
        <w:t>重庆市铜梁区安居小学</w:t>
      </w:r>
      <w:r>
        <w:rPr>
          <w:rFonts w:ascii="宋体" w:hAnsi="宋体"/>
          <w:b/>
          <w:color w:val="auto"/>
          <w:w w:val="99"/>
          <w:kern w:val="0"/>
          <w:sz w:val="28"/>
          <w:szCs w:val="28"/>
        </w:rPr>
        <w:t>（盖单位法人章）</w:t>
      </w:r>
    </w:p>
    <w:p w14:paraId="12D84316">
      <w:pPr>
        <w:tabs>
          <w:tab w:val="left" w:pos="6252"/>
        </w:tabs>
        <w:autoSpaceDE w:val="0"/>
        <w:autoSpaceDN w:val="0"/>
        <w:adjustRightInd w:val="0"/>
        <w:snapToGrid w:val="0"/>
        <w:spacing w:line="360" w:lineRule="auto"/>
        <w:jc w:val="center"/>
        <w:rPr>
          <w:rFonts w:ascii="宋体" w:hAnsi="宋体"/>
          <w:b/>
          <w:color w:val="auto"/>
          <w:w w:val="99"/>
          <w:kern w:val="0"/>
          <w:sz w:val="28"/>
          <w:szCs w:val="28"/>
        </w:rPr>
      </w:pPr>
      <w:r>
        <w:rPr>
          <w:rFonts w:hint="eastAsia" w:ascii="宋体" w:hAnsi="宋体"/>
          <w:b/>
          <w:color w:val="auto"/>
          <w:spacing w:val="8"/>
          <w:kern w:val="0"/>
          <w:sz w:val="28"/>
          <w:szCs w:val="28"/>
          <w:lang w:eastAsia="zh-CN"/>
        </w:rPr>
        <w:t>比选</w:t>
      </w:r>
      <w:r>
        <w:rPr>
          <w:rFonts w:ascii="宋体" w:hAnsi="宋体"/>
          <w:b/>
          <w:color w:val="auto"/>
          <w:spacing w:val="8"/>
          <w:kern w:val="0"/>
          <w:sz w:val="28"/>
          <w:szCs w:val="28"/>
        </w:rPr>
        <w:t>代理机构：</w:t>
      </w:r>
      <w:r>
        <w:rPr>
          <w:rFonts w:hint="eastAsia" w:ascii="宋体" w:hAnsi="宋体"/>
          <w:color w:val="auto"/>
          <w:kern w:val="0"/>
          <w:sz w:val="28"/>
          <w:szCs w:val="28"/>
          <w:u w:val="single"/>
          <w:lang w:eastAsia="zh-CN"/>
        </w:rPr>
        <w:t>重庆桐宝工程管理咨询有限公司</w:t>
      </w:r>
      <w:r>
        <w:rPr>
          <w:rFonts w:ascii="宋体" w:hAnsi="宋体"/>
          <w:b/>
          <w:color w:val="auto"/>
          <w:w w:val="99"/>
          <w:kern w:val="0"/>
          <w:sz w:val="28"/>
          <w:szCs w:val="28"/>
        </w:rPr>
        <w:t>（盖单位法人章）</w:t>
      </w:r>
    </w:p>
    <w:p w14:paraId="51187506">
      <w:pPr>
        <w:autoSpaceDE w:val="0"/>
        <w:autoSpaceDN w:val="0"/>
        <w:adjustRightInd w:val="0"/>
        <w:snapToGrid w:val="0"/>
        <w:spacing w:line="360" w:lineRule="auto"/>
        <w:jc w:val="center"/>
        <w:rPr>
          <w:rFonts w:ascii="宋体" w:hAnsi="宋体"/>
          <w:b/>
          <w:color w:val="auto"/>
          <w:kern w:val="0"/>
          <w:sz w:val="20"/>
          <w:szCs w:val="20"/>
        </w:rPr>
      </w:pPr>
    </w:p>
    <w:p w14:paraId="4A4E7D45">
      <w:pPr>
        <w:autoSpaceDE w:val="0"/>
        <w:autoSpaceDN w:val="0"/>
        <w:adjustRightInd w:val="0"/>
        <w:snapToGrid w:val="0"/>
        <w:spacing w:line="360" w:lineRule="auto"/>
        <w:jc w:val="center"/>
        <w:rPr>
          <w:rFonts w:ascii="宋体" w:hAnsi="宋体"/>
          <w:b/>
          <w:color w:val="auto"/>
          <w:kern w:val="0"/>
          <w:sz w:val="28"/>
          <w:szCs w:val="28"/>
        </w:rPr>
      </w:pPr>
    </w:p>
    <w:p w14:paraId="5DC3A063">
      <w:pPr>
        <w:tabs>
          <w:tab w:val="left" w:pos="6252"/>
        </w:tabs>
        <w:autoSpaceDE w:val="0"/>
        <w:autoSpaceDN w:val="0"/>
        <w:adjustRightInd w:val="0"/>
        <w:snapToGrid w:val="0"/>
        <w:spacing w:line="360" w:lineRule="auto"/>
        <w:jc w:val="center"/>
        <w:rPr>
          <w:rFonts w:ascii="宋体" w:hAnsi="宋体"/>
          <w:bCs/>
          <w:color w:val="auto"/>
          <w:spacing w:val="8"/>
          <w:kern w:val="0"/>
          <w:sz w:val="28"/>
          <w:szCs w:val="28"/>
        </w:rPr>
      </w:pPr>
      <w:r>
        <w:rPr>
          <w:rFonts w:hint="eastAsia" w:ascii="宋体" w:hAnsi="宋体"/>
          <w:b/>
          <w:color w:val="auto"/>
          <w:spacing w:val="8"/>
          <w:kern w:val="0"/>
          <w:sz w:val="28"/>
          <w:szCs w:val="28"/>
          <w:u w:val="single"/>
          <w:lang w:val="en-US" w:eastAsia="zh-CN"/>
        </w:rPr>
        <w:t>2025</w:t>
      </w:r>
      <w:r>
        <w:rPr>
          <w:rFonts w:ascii="宋体" w:hAnsi="宋体"/>
          <w:b/>
          <w:color w:val="auto"/>
          <w:spacing w:val="8"/>
          <w:kern w:val="0"/>
          <w:sz w:val="28"/>
          <w:szCs w:val="28"/>
          <w:u w:val="single"/>
        </w:rPr>
        <w:t>　</w:t>
      </w:r>
      <w:bookmarkStart w:id="1" w:name="_Toc13210649"/>
      <w:bookmarkStart w:id="2" w:name="_Toc536797277"/>
      <w:bookmarkStart w:id="3" w:name="_Toc536621766"/>
      <w:bookmarkStart w:id="4" w:name="_Toc536796736"/>
      <w:bookmarkStart w:id="5" w:name="_Toc509218549"/>
      <w:r>
        <w:rPr>
          <w:rFonts w:ascii="宋体" w:hAnsi="宋体"/>
          <w:b/>
          <w:color w:val="auto"/>
          <w:spacing w:val="8"/>
          <w:kern w:val="0"/>
          <w:sz w:val="28"/>
          <w:szCs w:val="28"/>
        </w:rPr>
        <w:t>年</w:t>
      </w:r>
      <w:r>
        <w:rPr>
          <w:rFonts w:ascii="宋体" w:hAnsi="宋体"/>
          <w:b/>
          <w:color w:val="auto"/>
          <w:spacing w:val="8"/>
          <w:kern w:val="0"/>
          <w:sz w:val="28"/>
          <w:szCs w:val="28"/>
          <w:u w:val="single"/>
        </w:rPr>
        <w:t>　</w:t>
      </w:r>
      <w:r>
        <w:rPr>
          <w:rFonts w:hint="eastAsia" w:ascii="宋体" w:hAnsi="宋体"/>
          <w:b/>
          <w:color w:val="auto"/>
          <w:spacing w:val="8"/>
          <w:kern w:val="0"/>
          <w:sz w:val="28"/>
          <w:szCs w:val="28"/>
          <w:u w:val="single"/>
          <w:lang w:val="en-US" w:eastAsia="zh-CN"/>
        </w:rPr>
        <w:t>11</w:t>
      </w:r>
      <w:r>
        <w:rPr>
          <w:rFonts w:ascii="宋体" w:hAnsi="宋体"/>
          <w:b/>
          <w:color w:val="auto"/>
          <w:spacing w:val="8"/>
          <w:kern w:val="0"/>
          <w:sz w:val="28"/>
          <w:szCs w:val="28"/>
          <w:u w:val="single"/>
        </w:rPr>
        <w:t>　</w:t>
      </w:r>
      <w:r>
        <w:rPr>
          <w:rFonts w:ascii="宋体" w:hAnsi="宋体"/>
          <w:b/>
          <w:color w:val="auto"/>
          <w:spacing w:val="8"/>
          <w:kern w:val="0"/>
          <w:sz w:val="28"/>
          <w:szCs w:val="28"/>
        </w:rPr>
        <w:t>月</w:t>
      </w:r>
      <w:bookmarkEnd w:id="1"/>
      <w:bookmarkEnd w:id="2"/>
      <w:bookmarkEnd w:id="3"/>
      <w:bookmarkEnd w:id="4"/>
      <w:bookmarkEnd w:id="5"/>
    </w:p>
    <w:p w14:paraId="70F4EF63">
      <w:pPr>
        <w:pStyle w:val="3"/>
        <w:spacing w:line="360" w:lineRule="auto"/>
        <w:jc w:val="center"/>
        <w:rPr>
          <w:rFonts w:ascii="宋体" w:hAnsi="宋体"/>
          <w:color w:val="auto"/>
          <w:w w:val="99"/>
          <w:kern w:val="0"/>
          <w:sz w:val="24"/>
        </w:rPr>
        <w:sectPr>
          <w:headerReference r:id="rId4" w:type="default"/>
          <w:pgSz w:w="11907" w:h="16840"/>
          <w:pgMar w:top="1304" w:right="1134" w:bottom="1304" w:left="1304" w:header="851" w:footer="992" w:gutter="0"/>
          <w:pgNumType w:fmt="numberInDash" w:start="1"/>
          <w:cols w:space="720" w:num="1"/>
          <w:docGrid w:linePitch="312" w:charSpace="0"/>
        </w:sectPr>
      </w:pPr>
    </w:p>
    <w:p w14:paraId="2733A02D">
      <w:pPr>
        <w:pStyle w:val="118"/>
        <w:jc w:val="center"/>
        <w:rPr>
          <w:rFonts w:ascii="宋体" w:hAnsi="宋体"/>
          <w:color w:val="auto"/>
          <w:sz w:val="44"/>
          <w:szCs w:val="44"/>
        </w:rPr>
      </w:pPr>
      <w:bookmarkStart w:id="6" w:name="_Toc28843"/>
      <w:bookmarkStart w:id="7" w:name="_Toc5767"/>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6"/>
      <w:bookmarkEnd w:id="7"/>
    </w:p>
    <w:p w14:paraId="4AA3B52A">
      <w:pPr>
        <w:pStyle w:val="31"/>
        <w:tabs>
          <w:tab w:val="right" w:leader="dot" w:pos="9469"/>
        </w:tabs>
        <w:rPr>
          <w:b w:val="0"/>
          <w:bCs w:val="0"/>
          <w:i w:val="0"/>
          <w:iCs w:val="0"/>
          <w:color w:val="auto"/>
          <w:sz w:val="24"/>
          <w:szCs w:val="24"/>
        </w:rPr>
      </w:pPr>
      <w:r>
        <w:rPr>
          <w:rFonts w:ascii="宋体" w:hAnsi="宋体"/>
          <w:i w:val="0"/>
          <w:iCs w:val="0"/>
          <w:color w:val="auto"/>
        </w:rPr>
        <w:fldChar w:fldCharType="begin"/>
      </w:r>
      <w:r>
        <w:rPr>
          <w:rFonts w:ascii="宋体" w:hAnsi="宋体"/>
          <w:i w:val="0"/>
          <w:iCs w:val="0"/>
          <w:color w:val="auto"/>
        </w:rPr>
        <w:instrText xml:space="preserve"> TOC \o "1-3" \h \z \u </w:instrText>
      </w:r>
      <w:r>
        <w:rPr>
          <w:rFonts w:ascii="宋体" w:hAnsi="宋体"/>
          <w:i w:val="0"/>
          <w:iCs w:val="0"/>
          <w:color w:val="auto"/>
        </w:rPr>
        <w:fldChar w:fldCharType="separate"/>
      </w:r>
      <w:r>
        <w:rPr>
          <w:rFonts w:ascii="宋体" w:hAnsi="宋体"/>
          <w:b w:val="0"/>
          <w:bCs w:val="0"/>
          <w:i w:val="0"/>
          <w:iCs w:val="0"/>
          <w:color w:val="auto"/>
          <w:sz w:val="24"/>
          <w:szCs w:val="24"/>
        </w:rPr>
        <w:fldChar w:fldCharType="begin"/>
      </w:r>
      <w:r>
        <w:rPr>
          <w:rFonts w:ascii="宋体" w:hAnsi="宋体"/>
          <w:b w:val="0"/>
          <w:bCs w:val="0"/>
          <w:i w:val="0"/>
          <w:iCs w:val="0"/>
          <w:color w:val="auto"/>
          <w:sz w:val="24"/>
          <w:szCs w:val="24"/>
        </w:rPr>
        <w:instrText xml:space="preserve"> HYPERLINK \l _Toc26627 </w:instrText>
      </w:r>
      <w:r>
        <w:rPr>
          <w:rFonts w:ascii="宋体" w:hAnsi="宋体"/>
          <w:b w:val="0"/>
          <w:bCs w:val="0"/>
          <w:i w:val="0"/>
          <w:iCs w:val="0"/>
          <w:color w:val="auto"/>
          <w:sz w:val="24"/>
          <w:szCs w:val="24"/>
        </w:rPr>
        <w:fldChar w:fldCharType="separate"/>
      </w:r>
      <w:r>
        <w:rPr>
          <w:rFonts w:ascii="宋体" w:hAnsi="宋体"/>
          <w:b w:val="0"/>
          <w:bCs w:val="0"/>
          <w:i w:val="0"/>
          <w:iCs w:val="0"/>
          <w:snapToGrid w:val="0"/>
          <w:color w:val="auto"/>
          <w:kern w:val="0"/>
          <w:sz w:val="24"/>
          <w:szCs w:val="24"/>
        </w:rPr>
        <w:t xml:space="preserve">第一章  </w:t>
      </w:r>
      <w:r>
        <w:rPr>
          <w:rFonts w:hint="eastAsia" w:ascii="宋体" w:hAnsi="宋体"/>
          <w:b w:val="0"/>
          <w:bCs w:val="0"/>
          <w:i w:val="0"/>
          <w:iCs w:val="0"/>
          <w:snapToGrid w:val="0"/>
          <w:color w:val="auto"/>
          <w:kern w:val="0"/>
          <w:sz w:val="24"/>
          <w:szCs w:val="24"/>
          <w:lang w:eastAsia="zh-CN"/>
        </w:rPr>
        <w:t>竞争性比选</w:t>
      </w:r>
      <w:r>
        <w:rPr>
          <w:rFonts w:ascii="宋体" w:hAnsi="宋体"/>
          <w:b w:val="0"/>
          <w:bCs w:val="0"/>
          <w:i w:val="0"/>
          <w:iCs w:val="0"/>
          <w:snapToGrid w:val="0"/>
          <w:color w:val="auto"/>
          <w:kern w:val="0"/>
          <w:sz w:val="24"/>
          <w:szCs w:val="24"/>
        </w:rPr>
        <w:t>公告</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_Toc26627 \h </w:instrText>
      </w:r>
      <w:r>
        <w:rPr>
          <w:b w:val="0"/>
          <w:bCs w:val="0"/>
          <w:i w:val="0"/>
          <w:iCs w:val="0"/>
          <w:color w:val="auto"/>
          <w:sz w:val="24"/>
          <w:szCs w:val="24"/>
        </w:rPr>
        <w:fldChar w:fldCharType="separate"/>
      </w:r>
      <w:r>
        <w:rPr>
          <w:b w:val="0"/>
          <w:bCs w:val="0"/>
          <w:i w:val="0"/>
          <w:iCs w:val="0"/>
          <w:color w:val="auto"/>
          <w:sz w:val="24"/>
          <w:szCs w:val="24"/>
        </w:rPr>
        <w:t>2</w:t>
      </w:r>
      <w:r>
        <w:rPr>
          <w:b w:val="0"/>
          <w:bCs w:val="0"/>
          <w:i w:val="0"/>
          <w:iCs w:val="0"/>
          <w:color w:val="auto"/>
          <w:sz w:val="24"/>
          <w:szCs w:val="24"/>
        </w:rPr>
        <w:fldChar w:fldCharType="end"/>
      </w:r>
      <w:r>
        <w:rPr>
          <w:rFonts w:ascii="宋体" w:hAnsi="宋体"/>
          <w:b w:val="0"/>
          <w:bCs w:val="0"/>
          <w:i w:val="0"/>
          <w:iCs w:val="0"/>
          <w:color w:val="auto"/>
          <w:sz w:val="24"/>
          <w:szCs w:val="24"/>
        </w:rPr>
        <w:fldChar w:fldCharType="end"/>
      </w:r>
    </w:p>
    <w:p w14:paraId="69667F00">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_Toc21596 </w:instrText>
      </w:r>
      <w:r>
        <w:rPr>
          <w:rFonts w:ascii="宋体" w:hAnsi="宋体"/>
          <w:b w:val="0"/>
          <w:bCs w:val="0"/>
          <w:i w:val="0"/>
          <w:iCs w:val="0"/>
          <w:color w:val="auto"/>
          <w:sz w:val="24"/>
          <w:szCs w:val="24"/>
          <w:lang w:val="zh-CN"/>
        </w:rPr>
        <w:fldChar w:fldCharType="separate"/>
      </w:r>
      <w:r>
        <w:rPr>
          <w:rFonts w:ascii="宋体" w:hAnsi="宋体"/>
          <w:b w:val="0"/>
          <w:bCs w:val="0"/>
          <w:i w:val="0"/>
          <w:iCs w:val="0"/>
          <w:snapToGrid w:val="0"/>
          <w:color w:val="auto"/>
          <w:kern w:val="0"/>
          <w:sz w:val="24"/>
          <w:szCs w:val="24"/>
        </w:rPr>
        <w:t>第二章  投标人须知</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_Toc21596 \h </w:instrText>
      </w:r>
      <w:r>
        <w:rPr>
          <w:b w:val="0"/>
          <w:bCs w:val="0"/>
          <w:i w:val="0"/>
          <w:iCs w:val="0"/>
          <w:color w:val="auto"/>
          <w:sz w:val="24"/>
          <w:szCs w:val="24"/>
        </w:rPr>
        <w:fldChar w:fldCharType="separate"/>
      </w:r>
      <w:r>
        <w:rPr>
          <w:b w:val="0"/>
          <w:bCs w:val="0"/>
          <w:i w:val="0"/>
          <w:iCs w:val="0"/>
          <w:color w:val="auto"/>
          <w:sz w:val="24"/>
          <w:szCs w:val="24"/>
        </w:rPr>
        <w:t>4</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2C090B81">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_Toc3173 </w:instrText>
      </w:r>
      <w:r>
        <w:rPr>
          <w:rFonts w:ascii="宋体" w:hAnsi="宋体"/>
          <w:b w:val="0"/>
          <w:bCs w:val="0"/>
          <w:i w:val="0"/>
          <w:iCs w:val="0"/>
          <w:color w:val="auto"/>
          <w:sz w:val="24"/>
          <w:szCs w:val="24"/>
          <w:lang w:val="zh-CN"/>
        </w:rPr>
        <w:fldChar w:fldCharType="separate"/>
      </w:r>
      <w:r>
        <w:rPr>
          <w:rFonts w:ascii="宋体" w:hAnsi="宋体"/>
          <w:b w:val="0"/>
          <w:bCs w:val="0"/>
          <w:i w:val="0"/>
          <w:iCs w:val="0"/>
          <w:snapToGrid w:val="0"/>
          <w:color w:val="auto"/>
          <w:kern w:val="0"/>
          <w:sz w:val="24"/>
          <w:szCs w:val="24"/>
        </w:rPr>
        <w:t xml:space="preserve">第三章 </w:t>
      </w:r>
      <w:r>
        <w:rPr>
          <w:rFonts w:hint="eastAsia" w:ascii="宋体" w:hAnsi="宋体"/>
          <w:b w:val="0"/>
          <w:bCs w:val="0"/>
          <w:i w:val="0"/>
          <w:iCs w:val="0"/>
          <w:snapToGrid w:val="0"/>
          <w:color w:val="auto"/>
          <w:kern w:val="0"/>
          <w:sz w:val="24"/>
          <w:szCs w:val="24"/>
        </w:rPr>
        <w:t xml:space="preserve"> </w:t>
      </w:r>
      <w:r>
        <w:rPr>
          <w:rFonts w:ascii="宋体" w:hAnsi="宋体"/>
          <w:b w:val="0"/>
          <w:bCs w:val="0"/>
          <w:i w:val="0"/>
          <w:iCs w:val="0"/>
          <w:snapToGrid w:val="0"/>
          <w:color w:val="auto"/>
          <w:kern w:val="0"/>
          <w:sz w:val="24"/>
          <w:szCs w:val="24"/>
        </w:rPr>
        <w:t>评标办法（</w:t>
      </w:r>
      <w:r>
        <w:rPr>
          <w:rFonts w:hint="eastAsia" w:ascii="宋体" w:hAnsi="宋体"/>
          <w:b w:val="0"/>
          <w:bCs w:val="0"/>
          <w:i w:val="0"/>
          <w:iCs w:val="0"/>
          <w:snapToGrid w:val="0"/>
          <w:color w:val="auto"/>
          <w:kern w:val="0"/>
          <w:sz w:val="24"/>
          <w:szCs w:val="24"/>
        </w:rPr>
        <w:t>经评审的最低投标价法</w:t>
      </w:r>
      <w:r>
        <w:rPr>
          <w:rFonts w:ascii="宋体" w:hAnsi="宋体"/>
          <w:b w:val="0"/>
          <w:bCs w:val="0"/>
          <w:i w:val="0"/>
          <w:iCs w:val="0"/>
          <w:snapToGrid w:val="0"/>
          <w:color w:val="auto"/>
          <w:kern w:val="0"/>
          <w:sz w:val="24"/>
          <w:szCs w:val="24"/>
        </w:rPr>
        <w:t>）</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_Toc3173 \h </w:instrText>
      </w:r>
      <w:r>
        <w:rPr>
          <w:b w:val="0"/>
          <w:bCs w:val="0"/>
          <w:i w:val="0"/>
          <w:iCs w:val="0"/>
          <w:color w:val="auto"/>
          <w:sz w:val="24"/>
          <w:szCs w:val="24"/>
        </w:rPr>
        <w:fldChar w:fldCharType="separate"/>
      </w:r>
      <w:r>
        <w:rPr>
          <w:b w:val="0"/>
          <w:bCs w:val="0"/>
          <w:i w:val="0"/>
          <w:iCs w:val="0"/>
          <w:color w:val="auto"/>
          <w:sz w:val="24"/>
          <w:szCs w:val="24"/>
        </w:rPr>
        <w:t>24</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7DD38A95">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_Toc14106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kern w:val="0"/>
          <w:sz w:val="24"/>
          <w:szCs w:val="24"/>
        </w:rPr>
        <w:t>第四章  合同条款及格式</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_Toc14106 \h </w:instrText>
      </w:r>
      <w:r>
        <w:rPr>
          <w:b w:val="0"/>
          <w:bCs w:val="0"/>
          <w:i w:val="0"/>
          <w:iCs w:val="0"/>
          <w:color w:val="auto"/>
          <w:sz w:val="24"/>
          <w:szCs w:val="24"/>
        </w:rPr>
        <w:fldChar w:fldCharType="separate"/>
      </w:r>
      <w:r>
        <w:rPr>
          <w:b w:val="0"/>
          <w:bCs w:val="0"/>
          <w:i w:val="0"/>
          <w:iCs w:val="0"/>
          <w:color w:val="auto"/>
          <w:sz w:val="24"/>
          <w:szCs w:val="24"/>
        </w:rPr>
        <w:t>31</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242700C8">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_Toc29526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sz w:val="24"/>
          <w:szCs w:val="24"/>
        </w:rPr>
        <w:t>第五章  工程量清单</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_Toc29526 \h </w:instrText>
      </w:r>
      <w:r>
        <w:rPr>
          <w:b w:val="0"/>
          <w:bCs w:val="0"/>
          <w:i w:val="0"/>
          <w:iCs w:val="0"/>
          <w:color w:val="auto"/>
          <w:sz w:val="24"/>
          <w:szCs w:val="24"/>
        </w:rPr>
        <w:fldChar w:fldCharType="separate"/>
      </w:r>
      <w:r>
        <w:rPr>
          <w:b w:val="0"/>
          <w:bCs w:val="0"/>
          <w:i w:val="0"/>
          <w:iCs w:val="0"/>
          <w:color w:val="auto"/>
          <w:sz w:val="24"/>
          <w:szCs w:val="24"/>
        </w:rPr>
        <w:t>59</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166BEF49">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_Toc20092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sz w:val="24"/>
          <w:szCs w:val="24"/>
        </w:rPr>
        <w:t>第六章  图纸</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_Toc20092 \h </w:instrText>
      </w:r>
      <w:r>
        <w:rPr>
          <w:b w:val="0"/>
          <w:bCs w:val="0"/>
          <w:i w:val="0"/>
          <w:iCs w:val="0"/>
          <w:color w:val="auto"/>
          <w:sz w:val="24"/>
          <w:szCs w:val="24"/>
        </w:rPr>
        <w:fldChar w:fldCharType="separate"/>
      </w:r>
      <w:r>
        <w:rPr>
          <w:b w:val="0"/>
          <w:bCs w:val="0"/>
          <w:i w:val="0"/>
          <w:iCs w:val="0"/>
          <w:color w:val="auto"/>
          <w:sz w:val="24"/>
          <w:szCs w:val="24"/>
        </w:rPr>
        <w:t>60</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69A78E8D">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_Toc12 </w:instrText>
      </w:r>
      <w:r>
        <w:rPr>
          <w:rFonts w:ascii="宋体" w:hAnsi="宋体"/>
          <w:b w:val="0"/>
          <w:bCs w:val="0"/>
          <w:i w:val="0"/>
          <w:iCs w:val="0"/>
          <w:color w:val="auto"/>
          <w:sz w:val="24"/>
          <w:szCs w:val="24"/>
          <w:lang w:val="zh-CN"/>
        </w:rPr>
        <w:fldChar w:fldCharType="separate"/>
      </w:r>
      <w:r>
        <w:rPr>
          <w:rFonts w:ascii="宋体" w:hAnsi="宋体"/>
          <w:b w:val="0"/>
          <w:bCs w:val="0"/>
          <w:i w:val="0"/>
          <w:iCs w:val="0"/>
          <w:color w:val="auto"/>
          <w:sz w:val="24"/>
          <w:szCs w:val="24"/>
        </w:rPr>
        <w:t>第七章</w:t>
      </w:r>
      <w:r>
        <w:rPr>
          <w:rFonts w:hint="eastAsia" w:ascii="宋体" w:hAnsi="宋体"/>
          <w:b w:val="0"/>
          <w:bCs w:val="0"/>
          <w:i w:val="0"/>
          <w:iCs w:val="0"/>
          <w:color w:val="auto"/>
          <w:sz w:val="24"/>
          <w:szCs w:val="24"/>
        </w:rPr>
        <w:t xml:space="preserve">  </w:t>
      </w:r>
      <w:r>
        <w:rPr>
          <w:rFonts w:ascii="宋体" w:hAnsi="宋体"/>
          <w:b w:val="0"/>
          <w:bCs w:val="0"/>
          <w:i w:val="0"/>
          <w:iCs w:val="0"/>
          <w:color w:val="auto"/>
          <w:sz w:val="24"/>
          <w:szCs w:val="24"/>
        </w:rPr>
        <w:t>技术标准和要求</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_Toc12 \h </w:instrText>
      </w:r>
      <w:r>
        <w:rPr>
          <w:b w:val="0"/>
          <w:bCs w:val="0"/>
          <w:i w:val="0"/>
          <w:iCs w:val="0"/>
          <w:color w:val="auto"/>
          <w:sz w:val="24"/>
          <w:szCs w:val="24"/>
        </w:rPr>
        <w:fldChar w:fldCharType="separate"/>
      </w:r>
      <w:r>
        <w:rPr>
          <w:b w:val="0"/>
          <w:bCs w:val="0"/>
          <w:i w:val="0"/>
          <w:iCs w:val="0"/>
          <w:color w:val="auto"/>
          <w:sz w:val="24"/>
          <w:szCs w:val="24"/>
        </w:rPr>
        <w:t>61</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2B43FE0C">
      <w:pPr>
        <w:pStyle w:val="31"/>
        <w:tabs>
          <w:tab w:val="right" w:leader="dot" w:pos="9469"/>
        </w:tabs>
        <w:rPr>
          <w:i w:val="0"/>
          <w:iCs w:val="0"/>
          <w:color w:val="auto"/>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_Toc13509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sz w:val="24"/>
          <w:szCs w:val="24"/>
        </w:rPr>
        <w:t>第八章  投标文件格式</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_Toc13509 \h </w:instrText>
      </w:r>
      <w:r>
        <w:rPr>
          <w:b w:val="0"/>
          <w:bCs w:val="0"/>
          <w:i w:val="0"/>
          <w:iCs w:val="0"/>
          <w:color w:val="auto"/>
          <w:sz w:val="24"/>
          <w:szCs w:val="24"/>
        </w:rPr>
        <w:fldChar w:fldCharType="separate"/>
      </w:r>
      <w:r>
        <w:rPr>
          <w:b w:val="0"/>
          <w:bCs w:val="0"/>
          <w:i w:val="0"/>
          <w:iCs w:val="0"/>
          <w:color w:val="auto"/>
          <w:sz w:val="24"/>
          <w:szCs w:val="24"/>
        </w:rPr>
        <w:t>62</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43C74BDC">
      <w:pPr>
        <w:pStyle w:val="22"/>
        <w:tabs>
          <w:tab w:val="right" w:leader="dot" w:pos="9469"/>
        </w:tabs>
        <w:rPr>
          <w:i w:val="0"/>
          <w:iCs w:val="0"/>
          <w:color w:val="auto"/>
        </w:rPr>
      </w:pPr>
    </w:p>
    <w:p w14:paraId="09B16321">
      <w:pPr>
        <w:rPr>
          <w:rFonts w:ascii="宋体" w:hAnsi="宋体"/>
          <w:color w:val="auto"/>
        </w:rPr>
      </w:pPr>
      <w:r>
        <w:rPr>
          <w:rFonts w:ascii="宋体" w:hAnsi="宋体"/>
          <w:bCs/>
          <w:i w:val="0"/>
          <w:iCs w:val="0"/>
          <w:color w:val="auto"/>
          <w:szCs w:val="20"/>
          <w:lang w:val="zh-CN"/>
        </w:rPr>
        <w:fldChar w:fldCharType="end"/>
      </w:r>
    </w:p>
    <w:bookmarkEnd w:id="0"/>
    <w:p w14:paraId="489EF56E">
      <w:pPr>
        <w:spacing w:line="20" w:lineRule="exact"/>
        <w:rPr>
          <w:rFonts w:ascii="宋体" w:hAnsi="宋体"/>
          <w:color w:val="auto"/>
        </w:rPr>
      </w:pPr>
      <w:bookmarkStart w:id="8" w:name="_Toc430530414"/>
    </w:p>
    <w:p w14:paraId="7EDBB2ED">
      <w:pPr>
        <w:spacing w:line="20" w:lineRule="exact"/>
        <w:jc w:val="left"/>
        <w:rPr>
          <w:rFonts w:ascii="宋体" w:hAnsi="宋体"/>
          <w:color w:val="auto"/>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1C8F02C1">
      <w:pPr>
        <w:pStyle w:val="3"/>
        <w:spacing w:line="360" w:lineRule="auto"/>
        <w:jc w:val="center"/>
        <w:rPr>
          <w:rFonts w:ascii="宋体" w:hAnsi="宋体"/>
          <w:snapToGrid w:val="0"/>
          <w:color w:val="auto"/>
          <w:kern w:val="0"/>
        </w:rPr>
      </w:pPr>
      <w:bookmarkStart w:id="9" w:name="_Toc430530415"/>
      <w:bookmarkStart w:id="10" w:name="_Toc287607727"/>
      <w:bookmarkStart w:id="11" w:name="_Toc224103298"/>
      <w:bookmarkStart w:id="12" w:name="_Toc12819"/>
      <w:bookmarkStart w:id="13" w:name="_Toc277082535"/>
      <w:bookmarkStart w:id="14" w:name="_Toc26627"/>
      <w:bookmarkStart w:id="15" w:name="_Toc287620666"/>
      <w:bookmarkStart w:id="16" w:name="_Toc509218691"/>
      <w:r>
        <w:rPr>
          <w:rFonts w:ascii="宋体" w:hAnsi="宋体"/>
          <w:snapToGrid w:val="0"/>
          <w:color w:val="auto"/>
          <w:kern w:val="0"/>
        </w:rPr>
        <w:t xml:space="preserve">第一章  </w:t>
      </w:r>
      <w:r>
        <w:rPr>
          <w:rFonts w:hint="eastAsia" w:ascii="宋体" w:hAnsi="宋体"/>
          <w:snapToGrid w:val="0"/>
          <w:color w:val="auto"/>
          <w:kern w:val="0"/>
          <w:lang w:eastAsia="zh-CN"/>
        </w:rPr>
        <w:t>竞争性比选</w:t>
      </w:r>
      <w:r>
        <w:rPr>
          <w:rFonts w:ascii="宋体" w:hAnsi="宋体"/>
          <w:snapToGrid w:val="0"/>
          <w:color w:val="auto"/>
          <w:kern w:val="0"/>
        </w:rPr>
        <w:t>公告</w:t>
      </w:r>
      <w:bookmarkEnd w:id="9"/>
      <w:bookmarkEnd w:id="10"/>
      <w:bookmarkEnd w:id="11"/>
      <w:bookmarkEnd w:id="12"/>
      <w:bookmarkEnd w:id="13"/>
      <w:bookmarkEnd w:id="14"/>
      <w:bookmarkEnd w:id="15"/>
      <w:bookmarkEnd w:id="16"/>
    </w:p>
    <w:p w14:paraId="2269CCB7">
      <w:pPr>
        <w:autoSpaceDE w:val="0"/>
        <w:autoSpaceDN w:val="0"/>
        <w:adjustRightInd w:val="0"/>
        <w:snapToGrid w:val="0"/>
        <w:spacing w:line="360" w:lineRule="auto"/>
        <w:jc w:val="center"/>
        <w:rPr>
          <w:rFonts w:ascii="宋体" w:hAnsi="宋体"/>
          <w:snapToGrid w:val="0"/>
          <w:color w:val="auto"/>
          <w:kern w:val="0"/>
          <w:sz w:val="28"/>
          <w:szCs w:val="28"/>
        </w:rPr>
      </w:pPr>
      <w:r>
        <w:rPr>
          <w:rFonts w:hint="eastAsia" w:ascii="宋体" w:hAnsi="宋体"/>
          <w:snapToGrid w:val="0"/>
          <w:color w:val="auto"/>
          <w:kern w:val="0"/>
          <w:sz w:val="28"/>
          <w:szCs w:val="28"/>
          <w:u w:val="single"/>
          <w:lang w:eastAsia="zh-CN"/>
        </w:rPr>
        <w:t>铜梁区安居小学2025年幼儿园改造项目</w:t>
      </w:r>
      <w:r>
        <w:rPr>
          <w:rFonts w:hint="eastAsia" w:ascii="宋体" w:hAnsi="宋体"/>
          <w:snapToGrid w:val="0"/>
          <w:color w:val="auto"/>
          <w:w w:val="99"/>
          <w:kern w:val="0"/>
          <w:sz w:val="28"/>
          <w:szCs w:val="28"/>
          <w:lang w:eastAsia="zh-CN"/>
        </w:rPr>
        <w:t>比选</w:t>
      </w:r>
      <w:r>
        <w:rPr>
          <w:rFonts w:ascii="宋体" w:hAnsi="宋体"/>
          <w:snapToGrid w:val="0"/>
          <w:color w:val="auto"/>
          <w:w w:val="99"/>
          <w:kern w:val="0"/>
          <w:sz w:val="28"/>
          <w:szCs w:val="28"/>
        </w:rPr>
        <w:t>公告</w:t>
      </w:r>
    </w:p>
    <w:p w14:paraId="284AD70D">
      <w:pPr>
        <w:pStyle w:val="4"/>
        <w:spacing w:before="100" w:after="100" w:line="460" w:lineRule="exact"/>
        <w:rPr>
          <w:rFonts w:ascii="宋体" w:hAnsi="宋体"/>
          <w:snapToGrid w:val="0"/>
          <w:color w:val="auto"/>
          <w:sz w:val="28"/>
          <w:szCs w:val="28"/>
        </w:rPr>
      </w:pPr>
      <w:bookmarkStart w:id="17" w:name="_Toc509218692"/>
      <w:bookmarkStart w:id="18" w:name="_Toc287607728"/>
      <w:bookmarkStart w:id="19" w:name="_Toc27491"/>
      <w:bookmarkStart w:id="20" w:name="_Toc30134"/>
      <w:bookmarkStart w:id="21" w:name="_Toc277082536"/>
      <w:bookmarkStart w:id="22" w:name="_Toc224103299"/>
      <w:bookmarkStart w:id="23" w:name="_Toc287620667"/>
      <w:bookmarkStart w:id="24" w:name="_Toc200359427"/>
      <w:bookmarkStart w:id="25" w:name="_Toc430530416"/>
      <w:bookmarkStart w:id="26" w:name="_Toc200359238"/>
      <w:r>
        <w:rPr>
          <w:rFonts w:ascii="宋体" w:hAnsi="宋体"/>
          <w:snapToGrid w:val="0"/>
          <w:color w:val="auto"/>
          <w:sz w:val="28"/>
          <w:szCs w:val="28"/>
        </w:rPr>
        <w:t xml:space="preserve">1.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竞争性比选</w:t>
      </w:r>
      <w:r>
        <w:rPr>
          <w:rFonts w:ascii="宋体" w:hAnsi="宋体"/>
          <w:snapToGrid w:val="0"/>
          <w:color w:val="auto"/>
          <w:sz w:val="28"/>
          <w:szCs w:val="28"/>
        </w:rPr>
        <w:t>条件</w:t>
      </w:r>
      <w:bookmarkEnd w:id="17"/>
      <w:bookmarkEnd w:id="18"/>
      <w:bookmarkEnd w:id="19"/>
      <w:bookmarkEnd w:id="20"/>
      <w:bookmarkEnd w:id="21"/>
      <w:bookmarkEnd w:id="22"/>
      <w:bookmarkEnd w:id="23"/>
      <w:bookmarkEnd w:id="24"/>
      <w:bookmarkEnd w:id="25"/>
      <w:bookmarkEnd w:id="26"/>
    </w:p>
    <w:p w14:paraId="05F567BE">
      <w:pPr>
        <w:tabs>
          <w:tab w:val="left" w:pos="3315"/>
          <w:tab w:val="left" w:pos="3390"/>
          <w:tab w:val="left" w:pos="6120"/>
          <w:tab w:val="left" w:pos="8850"/>
        </w:tabs>
        <w:autoSpaceDE w:val="0"/>
        <w:autoSpaceDN w:val="0"/>
        <w:adjustRightInd w:val="0"/>
        <w:snapToGrid w:val="0"/>
        <w:spacing w:line="460" w:lineRule="exact"/>
        <w:ind w:firstLine="420"/>
        <w:jc w:val="both"/>
        <w:rPr>
          <w:rFonts w:ascii="宋体" w:hAnsi="宋体"/>
          <w:snapToGrid w:val="0"/>
          <w:color w:val="auto"/>
          <w:kern w:val="0"/>
          <w:szCs w:val="21"/>
          <w:highlight w:val="none"/>
        </w:rPr>
      </w:pPr>
      <w:r>
        <w:rPr>
          <w:rFonts w:ascii="宋体" w:hAnsi="宋体"/>
          <w:snapToGrid w:val="0"/>
          <w:color w:val="auto"/>
          <w:kern w:val="0"/>
          <w:szCs w:val="21"/>
        </w:rPr>
        <w:t>本</w:t>
      </w:r>
      <w:r>
        <w:rPr>
          <w:rFonts w:hint="eastAsia" w:ascii="宋体" w:hAnsi="宋体"/>
          <w:snapToGrid w:val="0"/>
          <w:color w:val="auto"/>
          <w:kern w:val="0"/>
          <w:szCs w:val="21"/>
          <w:lang w:eastAsia="zh-CN"/>
        </w:rPr>
        <w:t>比选项目为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铜梁区安居小学2025年幼儿园改造项目</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rPr>
        <w:t>，项目业主为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重庆市铜梁区安居小学</w:t>
      </w:r>
      <w:r>
        <w:rPr>
          <w:rFonts w:ascii="宋体" w:hAnsi="宋体"/>
          <w:snapToGrid w:val="0"/>
          <w:color w:val="auto"/>
          <w:kern w:val="0"/>
          <w:szCs w:val="21"/>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上级资金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重庆市铜梁区安居小学</w:t>
      </w:r>
      <w:r>
        <w:rPr>
          <w:rFonts w:ascii="宋体" w:hAnsi="宋体"/>
          <w:snapToGrid w:val="0"/>
          <w:color w:val="auto"/>
          <w:kern w:val="0"/>
          <w:position w:val="-2"/>
          <w:szCs w:val="21"/>
          <w:highlight w:val="none"/>
        </w:rPr>
        <w:t>。项目已具备</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w:t>
      </w:r>
      <w:r>
        <w:rPr>
          <w:rFonts w:hint="eastAsia" w:ascii="宋体" w:hAnsi="宋体"/>
          <w:snapToGrid w:val="0"/>
          <w:color w:val="auto"/>
          <w:kern w:val="0"/>
          <w:position w:val="-2"/>
          <w:szCs w:val="21"/>
          <w:highlight w:val="none"/>
          <w:lang w:eastAsia="zh-CN"/>
        </w:rPr>
        <w:t>竞争性比选</w:t>
      </w:r>
      <w:r>
        <w:rPr>
          <w:rFonts w:ascii="宋体" w:hAnsi="宋体"/>
          <w:snapToGrid w:val="0"/>
          <w:color w:val="auto"/>
          <w:kern w:val="0"/>
          <w:position w:val="-2"/>
          <w:szCs w:val="21"/>
          <w:highlight w:val="none"/>
        </w:rPr>
        <w:t>。</w:t>
      </w:r>
    </w:p>
    <w:p w14:paraId="27B6D750">
      <w:pPr>
        <w:pStyle w:val="4"/>
        <w:spacing w:before="100" w:after="100" w:line="460" w:lineRule="exact"/>
        <w:rPr>
          <w:rFonts w:ascii="宋体" w:hAnsi="宋体"/>
          <w:snapToGrid w:val="0"/>
          <w:color w:val="auto"/>
          <w:sz w:val="28"/>
          <w:szCs w:val="28"/>
          <w:highlight w:val="none"/>
        </w:rPr>
      </w:pPr>
      <w:bookmarkStart w:id="27" w:name="_Toc200359239"/>
      <w:bookmarkStart w:id="28" w:name="_Toc509218693"/>
      <w:bookmarkStart w:id="29" w:name="_Toc200359428"/>
      <w:bookmarkStart w:id="30" w:name="_Toc430530417"/>
      <w:bookmarkStart w:id="31" w:name="_Toc277082537"/>
      <w:bookmarkStart w:id="32" w:name="_Toc20699"/>
      <w:bookmarkStart w:id="33" w:name="_Toc224103300"/>
      <w:bookmarkStart w:id="34" w:name="_Toc287620668"/>
      <w:bookmarkStart w:id="35" w:name="_Toc287607729"/>
      <w:bookmarkStart w:id="36" w:name="_Toc16344"/>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27"/>
      <w:bookmarkEnd w:id="28"/>
      <w:bookmarkEnd w:id="29"/>
      <w:bookmarkEnd w:id="30"/>
      <w:bookmarkEnd w:id="31"/>
      <w:bookmarkEnd w:id="32"/>
      <w:bookmarkEnd w:id="33"/>
      <w:bookmarkEnd w:id="34"/>
      <w:bookmarkEnd w:id="35"/>
      <w:bookmarkEnd w:id="36"/>
    </w:p>
    <w:p w14:paraId="1A8A57C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u w:val="single"/>
          <w:lang w:eastAsia="zh-CN"/>
        </w:rPr>
        <w:t>重庆市铜梁区安居小学校园内</w:t>
      </w:r>
      <w:r>
        <w:rPr>
          <w:rFonts w:hint="eastAsia" w:ascii="宋体" w:hAnsi="宋体"/>
          <w:snapToGrid w:val="0"/>
          <w:color w:val="auto"/>
          <w:kern w:val="0"/>
          <w:szCs w:val="21"/>
          <w:highlight w:val="none"/>
          <w:u w:val="single"/>
          <w:lang w:eastAsia="zh-CN"/>
        </w:rPr>
        <w:t>。</w:t>
      </w:r>
    </w:p>
    <w:p w14:paraId="62BA34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eastAsia="zh-CN"/>
        </w:rPr>
        <w:t>详见本工程工程量清单。</w:t>
      </w:r>
    </w:p>
    <w:p w14:paraId="7EF53861">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u w:val="single"/>
          <w:lang w:val="en-US" w:eastAsia="zh-CN"/>
        </w:rPr>
      </w:pPr>
      <w:r>
        <w:rPr>
          <w:rFonts w:hint="eastAsia" w:ascii="宋体" w:hAnsi="宋体"/>
          <w:snapToGrid w:val="0"/>
          <w:color w:val="auto"/>
          <w:kern w:val="0"/>
          <w:szCs w:val="21"/>
          <w:highlight w:val="none"/>
        </w:rPr>
        <w:t>2.3</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rPr>
        <w:t>本次招标项目工程总投资额：</w:t>
      </w:r>
      <w:r>
        <w:rPr>
          <w:rFonts w:hint="eastAsia" w:ascii="宋体" w:hAnsi="宋体"/>
          <w:snapToGrid w:val="0"/>
          <w:color w:val="auto"/>
          <w:kern w:val="0"/>
          <w:szCs w:val="21"/>
          <w:u w:val="single"/>
          <w:lang w:eastAsia="zh-CN"/>
        </w:rPr>
        <w:t>153857.06</w:t>
      </w:r>
      <w:r>
        <w:rPr>
          <w:rFonts w:hint="eastAsia" w:ascii="宋体" w:hAnsi="宋体"/>
          <w:snapToGrid w:val="0"/>
          <w:color w:val="auto"/>
          <w:kern w:val="0"/>
          <w:szCs w:val="21"/>
          <w:u w:val="single"/>
          <w:lang w:val="en-US" w:eastAsia="zh-CN"/>
        </w:rPr>
        <w:t>元</w:t>
      </w:r>
    </w:p>
    <w:p w14:paraId="6CE15A5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eastAsia="zh-CN"/>
        </w:rPr>
        <w:t>具体以比选人发布的工程量清单为准。</w:t>
      </w:r>
    </w:p>
    <w:p w14:paraId="20CDAF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 xml:space="preserve">2.5 </w:t>
      </w:r>
      <w:r>
        <w:rPr>
          <w:rFonts w:hint="eastAsia" w:ascii="宋体" w:hAnsi="宋体"/>
          <w:snapToGrid w:val="0"/>
          <w:color w:val="auto"/>
          <w:kern w:val="0"/>
          <w:szCs w:val="21"/>
          <w:highlight w:val="none"/>
        </w:rPr>
        <w:t>工期要求：</w:t>
      </w:r>
      <w:r>
        <w:rPr>
          <w:rFonts w:hint="eastAsia" w:ascii="宋体" w:hAnsi="宋体"/>
          <w:snapToGrid w:val="0"/>
          <w:color w:val="auto"/>
          <w:kern w:val="0"/>
          <w:szCs w:val="21"/>
          <w:highlight w:val="none"/>
          <w:u w:val="single"/>
          <w:lang w:val="en-US" w:eastAsia="zh-CN"/>
        </w:rPr>
        <w:t>40日历天</w:t>
      </w:r>
    </w:p>
    <w:p w14:paraId="47A0303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438295BA">
      <w:pPr>
        <w:pStyle w:val="4"/>
        <w:spacing w:before="100" w:after="100" w:line="460" w:lineRule="exact"/>
        <w:rPr>
          <w:rFonts w:ascii="宋体" w:hAnsi="宋体"/>
          <w:snapToGrid w:val="0"/>
          <w:color w:val="auto"/>
          <w:sz w:val="28"/>
          <w:szCs w:val="28"/>
          <w:highlight w:val="none"/>
        </w:rPr>
      </w:pPr>
      <w:bookmarkStart w:id="37" w:name="_Toc430530418"/>
      <w:bookmarkStart w:id="38" w:name="_Toc509218694"/>
      <w:bookmarkStart w:id="39" w:name="_Toc200359429"/>
      <w:bookmarkStart w:id="40" w:name="_Toc19513"/>
      <w:bookmarkStart w:id="41" w:name="_Toc200359240"/>
      <w:bookmarkStart w:id="42" w:name="_Toc27677"/>
      <w:bookmarkStart w:id="43" w:name="_Toc224103301"/>
      <w:bookmarkStart w:id="44" w:name="_Toc287620669"/>
      <w:bookmarkStart w:id="45" w:name="_Toc277082538"/>
      <w:bookmarkStart w:id="46"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7"/>
      <w:bookmarkEnd w:id="38"/>
      <w:bookmarkEnd w:id="39"/>
      <w:bookmarkEnd w:id="40"/>
      <w:bookmarkEnd w:id="41"/>
      <w:bookmarkEnd w:id="42"/>
      <w:bookmarkEnd w:id="43"/>
      <w:bookmarkEnd w:id="44"/>
      <w:bookmarkEnd w:id="45"/>
      <w:bookmarkEnd w:id="46"/>
    </w:p>
    <w:p w14:paraId="54ED43B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w:t>
      </w:r>
      <w:r>
        <w:rPr>
          <w:rFonts w:hint="eastAsia" w:ascii="宋体" w:hAnsi="宋体"/>
          <w:snapToGrid w:val="0"/>
          <w:color w:val="auto"/>
          <w:kern w:val="0"/>
          <w:szCs w:val="21"/>
          <w:lang w:eastAsia="zh-CN"/>
        </w:rPr>
        <w:t>比选</w:t>
      </w:r>
      <w:r>
        <w:rPr>
          <w:rFonts w:ascii="宋体" w:hAnsi="宋体"/>
          <w:snapToGrid w:val="0"/>
          <w:color w:val="auto"/>
          <w:kern w:val="0"/>
          <w:szCs w:val="21"/>
        </w:rPr>
        <w:t>要求投标人须具备</w:t>
      </w:r>
      <w:r>
        <w:rPr>
          <w:rFonts w:hint="eastAsia" w:ascii="宋体" w:hAnsi="宋体"/>
          <w:snapToGrid w:val="0"/>
          <w:color w:val="auto"/>
          <w:kern w:val="0"/>
          <w:szCs w:val="21"/>
        </w:rPr>
        <w:t>以下条件：</w:t>
      </w:r>
    </w:p>
    <w:p w14:paraId="1CE9CA5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3.1.1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要求投标人具备的资质条件：</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具备建设行政主管部门颁发的</w:t>
      </w:r>
      <w:r>
        <w:rPr>
          <w:rFonts w:hint="eastAsia" w:ascii="宋体" w:hAnsi="宋体" w:cs="宋体"/>
          <w:i w:val="0"/>
          <w:iCs w:val="0"/>
          <w:caps w:val="0"/>
          <w:color w:val="auto"/>
          <w:spacing w:val="0"/>
          <w:kern w:val="0"/>
          <w:sz w:val="21"/>
          <w:szCs w:val="21"/>
          <w:highlight w:val="none"/>
          <w:u w:val="single"/>
          <w:shd w:val="clear" w:color="auto" w:fill="FFFFFF"/>
          <w:lang w:val="en-US" w:eastAsia="zh-CN" w:bidi="ar"/>
        </w:rPr>
        <w:t>有效的</w:t>
      </w:r>
      <w:r>
        <w:rPr>
          <w:rFonts w:hint="eastAsia" w:ascii="宋体" w:hAnsi="宋体" w:cs="宋体"/>
          <w:b/>
          <w:bCs/>
          <w:i w:val="0"/>
          <w:iCs w:val="0"/>
          <w:caps w:val="0"/>
          <w:color w:val="auto"/>
          <w:spacing w:val="0"/>
          <w:kern w:val="0"/>
          <w:sz w:val="21"/>
          <w:szCs w:val="21"/>
          <w:highlight w:val="none"/>
          <w:u w:val="single"/>
          <w:shd w:val="clear" w:color="auto" w:fill="FFFFFF"/>
          <w:lang w:val="en-US" w:eastAsia="zh-CN" w:bidi="ar"/>
        </w:rPr>
        <w:t>建筑工程施工总承包叁级</w:t>
      </w:r>
      <w:r>
        <w:rPr>
          <w:rFonts w:hint="eastAsia" w:ascii="宋体" w:hAnsi="宋体" w:eastAsia="宋体" w:cs="宋体"/>
          <w:b/>
          <w:bCs/>
          <w:i w:val="0"/>
          <w:iCs w:val="0"/>
          <w:caps w:val="0"/>
          <w:color w:val="auto"/>
          <w:spacing w:val="0"/>
          <w:kern w:val="0"/>
          <w:sz w:val="21"/>
          <w:szCs w:val="21"/>
          <w:highlight w:val="none"/>
          <w:u w:val="single"/>
          <w:shd w:val="clear" w:color="auto" w:fill="FFFFFF"/>
          <w:lang w:val="en-US" w:eastAsia="zh-CN" w:bidi="ar"/>
        </w:rPr>
        <w:t>及以上</w:t>
      </w:r>
      <w:r>
        <w:rPr>
          <w:rFonts w:hint="eastAsia" w:ascii="宋体" w:hAnsi="宋体" w:cs="宋体"/>
          <w:i w:val="0"/>
          <w:iCs w:val="0"/>
          <w:caps w:val="0"/>
          <w:color w:val="auto"/>
          <w:spacing w:val="0"/>
          <w:kern w:val="0"/>
          <w:sz w:val="21"/>
          <w:szCs w:val="21"/>
          <w:highlight w:val="none"/>
          <w:u w:val="single"/>
          <w:shd w:val="clear" w:color="auto" w:fill="FFFFFF"/>
          <w:lang w:val="en-US" w:eastAsia="zh-CN" w:bidi="ar"/>
        </w:rPr>
        <w:t>资质</w:t>
      </w:r>
      <w:r>
        <w:rPr>
          <w:rFonts w:hint="eastAsia" w:ascii="宋体" w:hAnsi="宋体"/>
          <w:snapToGrid w:val="0"/>
          <w:color w:val="auto"/>
          <w:kern w:val="0"/>
          <w:szCs w:val="21"/>
        </w:rPr>
        <w:t>；</w:t>
      </w:r>
    </w:p>
    <w:p w14:paraId="6E989BBA">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 xml:space="preserve"> 投标人还应在人员、设备、资金等方面具有相应的施工能力，详见</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第二章投标人须知前附表第1.4.1项内容。</w:t>
      </w:r>
    </w:p>
    <w:p w14:paraId="0C7540D7">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2A9460B6">
      <w:pPr>
        <w:pStyle w:val="4"/>
        <w:spacing w:before="100" w:after="100" w:line="460" w:lineRule="exact"/>
        <w:rPr>
          <w:rFonts w:ascii="宋体" w:hAnsi="宋体"/>
          <w:snapToGrid w:val="0"/>
          <w:color w:val="auto"/>
          <w:sz w:val="28"/>
          <w:szCs w:val="28"/>
        </w:rPr>
      </w:pPr>
      <w:bookmarkStart w:id="47" w:name="_Toc509218695"/>
      <w:bookmarkStart w:id="48" w:name="_Toc277082539"/>
      <w:bookmarkStart w:id="49" w:name="_Toc430530419"/>
      <w:bookmarkStart w:id="50" w:name="_Toc200359241"/>
      <w:bookmarkStart w:id="51" w:name="_Toc287620670"/>
      <w:bookmarkStart w:id="52" w:name="_Toc224103302"/>
      <w:bookmarkStart w:id="53" w:name="_Toc10229"/>
      <w:bookmarkStart w:id="54" w:name="_Toc200359430"/>
      <w:bookmarkStart w:id="55" w:name="_Toc287607731"/>
      <w:bookmarkStart w:id="56" w:name="_Toc10508"/>
      <w:r>
        <w:rPr>
          <w:rFonts w:ascii="宋体" w:hAnsi="宋体"/>
          <w:snapToGrid w:val="0"/>
          <w:color w:val="auto"/>
          <w:sz w:val="28"/>
          <w:szCs w:val="28"/>
        </w:rPr>
        <w:t xml:space="preserve">4.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比选</w:t>
      </w:r>
      <w:bookmarkEnd w:id="47"/>
      <w:bookmarkEnd w:id="48"/>
      <w:bookmarkEnd w:id="49"/>
      <w:bookmarkEnd w:id="50"/>
      <w:bookmarkEnd w:id="51"/>
      <w:bookmarkEnd w:id="52"/>
      <w:bookmarkEnd w:id="53"/>
      <w:bookmarkEnd w:id="54"/>
      <w:bookmarkEnd w:id="55"/>
      <w:bookmarkEnd w:id="56"/>
      <w:r>
        <w:rPr>
          <w:rFonts w:hint="eastAsia" w:ascii="宋体" w:hAnsi="宋体"/>
          <w:snapToGrid w:val="0"/>
          <w:color w:val="auto"/>
          <w:sz w:val="28"/>
          <w:szCs w:val="28"/>
          <w:lang w:eastAsia="zh-CN"/>
        </w:rPr>
        <w:t>有关说明</w:t>
      </w:r>
    </w:p>
    <w:p w14:paraId="0E308BD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4.1  投标人应通过“行采家”（www.gec123.com）登记加入“供应商库”。</w:t>
      </w:r>
    </w:p>
    <w:p w14:paraId="4CEDC6B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 xml:space="preserve">4.2  </w:t>
      </w:r>
      <w:r>
        <w:rPr>
          <w:rFonts w:hint="eastAsia" w:ascii="宋体" w:hAnsi="宋体" w:cs="宋体"/>
          <w:color w:val="auto"/>
          <w:kern w:val="2"/>
          <w:sz w:val="21"/>
          <w:szCs w:val="21"/>
          <w:highlight w:val="none"/>
        </w:rPr>
        <w:t>凡有意参加</w:t>
      </w:r>
      <w:r>
        <w:rPr>
          <w:rFonts w:hint="eastAsia" w:ascii="宋体" w:hAnsi="宋体" w:cs="宋体"/>
          <w:color w:val="auto"/>
          <w:kern w:val="2"/>
          <w:sz w:val="21"/>
          <w:szCs w:val="21"/>
          <w:highlight w:val="none"/>
          <w:lang w:eastAsia="zh-CN"/>
        </w:rPr>
        <w:t>投标</w:t>
      </w:r>
      <w:r>
        <w:rPr>
          <w:rFonts w:hint="eastAsia" w:ascii="宋体" w:hAnsi="宋体" w:cs="宋体"/>
          <w:color w:val="auto"/>
          <w:kern w:val="2"/>
          <w:sz w:val="21"/>
          <w:szCs w:val="21"/>
          <w:highlight w:val="none"/>
        </w:rPr>
        <w:t>者</w:t>
      </w:r>
      <w:r>
        <w:rPr>
          <w:rFonts w:hint="eastAsia" w:ascii="宋体" w:hAnsi="宋体"/>
          <w:snapToGrid w:val="0"/>
          <w:color w:val="auto"/>
          <w:kern w:val="0"/>
          <w:szCs w:val="21"/>
          <w:highlight w:val="none"/>
          <w:lang w:val="en-US" w:eastAsia="zh-CN"/>
        </w:rPr>
        <w:t>，请在“行采家”（www.gec123.com）上下载本项目竞争性比选文件、工程量清单以及变更等比选前公布的所有项目资料，无论投标人下载与否，均视为已知晓所有比选实质性要求内容。</w:t>
      </w:r>
    </w:p>
    <w:p w14:paraId="0878E03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投标人可</w:t>
      </w:r>
      <w:r>
        <w:rPr>
          <w:rFonts w:hint="eastAsia" w:ascii="宋体" w:hAnsi="宋体"/>
          <w:snapToGrid w:val="0"/>
          <w:color w:val="auto"/>
          <w:kern w:val="0"/>
          <w:szCs w:val="21"/>
          <w:highlight w:val="none"/>
          <w:lang w:eastAsia="zh-CN"/>
        </w:rPr>
        <w:t>向比选人和比选代理机构提出疑问</w:t>
      </w:r>
      <w:r>
        <w:rPr>
          <w:rFonts w:hint="eastAsia" w:ascii="宋体" w:hAnsi="宋体"/>
          <w:snapToGrid w:val="0"/>
          <w:color w:val="auto"/>
          <w:kern w:val="0"/>
          <w:szCs w:val="21"/>
          <w:highlight w:val="none"/>
        </w:rPr>
        <w:t>，提问时间从本公告发布至</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26</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12</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w:t>
      </w:r>
    </w:p>
    <w:p w14:paraId="71741F1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4.</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26</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u w:val="single"/>
          <w:lang w:eastAsia="zh-CN"/>
        </w:rPr>
        <w:t>“行采家”（www.gec123.com）</w:t>
      </w:r>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032CFAB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4.5  线上报价</w:t>
      </w:r>
    </w:p>
    <w:p w14:paraId="501EAF1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4.5.1 线上报价时间：2025年11月28日9:00-11:00。</w:t>
      </w:r>
    </w:p>
    <w:p w14:paraId="529C3F4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4.5.2 线上报价要求：按本项目规定的时间在“行采家-电子竞采平台”（https://www.gec123.com/xe/）进行网上报价并</w:t>
      </w:r>
      <w:r>
        <w:rPr>
          <w:rFonts w:hint="eastAsia" w:ascii="宋体" w:hAnsi="宋体"/>
          <w:snapToGrid w:val="0"/>
          <w:color w:val="auto"/>
          <w:kern w:val="0"/>
          <w:szCs w:val="21"/>
          <w:highlight w:val="none"/>
        </w:rPr>
        <w:t>上传签字盖章完毕的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文件电子档（PDF格式）</w:t>
      </w:r>
      <w:r>
        <w:rPr>
          <w:rFonts w:hint="eastAsia" w:ascii="宋体" w:hAnsi="宋体"/>
          <w:snapToGrid w:val="0"/>
          <w:color w:val="auto"/>
          <w:kern w:val="0"/>
          <w:szCs w:val="21"/>
          <w:highlight w:val="none"/>
          <w:lang w:val="en-US" w:eastAsia="zh-CN"/>
        </w:rPr>
        <w:t>。</w:t>
      </w:r>
    </w:p>
    <w:p w14:paraId="7CA47A5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注：</w:t>
      </w:r>
    </w:p>
    <w:p w14:paraId="0E8D403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①</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上传的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文件应按照</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文件格式要求制作，规定签字、盖章的地方必须按</w:t>
      </w:r>
      <w:r>
        <w:rPr>
          <w:rFonts w:hint="eastAsia" w:ascii="宋体" w:hAnsi="宋体"/>
          <w:snapToGrid w:val="0"/>
          <w:color w:val="auto"/>
          <w:kern w:val="0"/>
          <w:szCs w:val="21"/>
          <w:highlight w:val="none"/>
          <w:lang w:eastAsia="zh-CN"/>
        </w:rPr>
        <w:t>其</w:t>
      </w:r>
      <w:r>
        <w:rPr>
          <w:rFonts w:hint="eastAsia" w:ascii="宋体" w:hAnsi="宋体"/>
          <w:snapToGrid w:val="0"/>
          <w:color w:val="auto"/>
          <w:kern w:val="0"/>
          <w:szCs w:val="21"/>
          <w:highlight w:val="none"/>
        </w:rPr>
        <w:t>规定签字、盖章，未按要求制作</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w:t>
      </w:r>
      <w:r>
        <w:rPr>
          <w:rFonts w:hint="eastAsia" w:ascii="宋体" w:hAnsi="宋体"/>
          <w:color w:val="auto"/>
          <w:szCs w:val="21"/>
          <w:highlight w:val="none"/>
        </w:rPr>
        <w:t>由评标委员会作否决投标处理</w:t>
      </w:r>
      <w:r>
        <w:rPr>
          <w:rFonts w:hint="eastAsia" w:ascii="宋体" w:hAnsi="宋体"/>
          <w:snapToGrid w:val="0"/>
          <w:color w:val="auto"/>
          <w:kern w:val="0"/>
          <w:szCs w:val="21"/>
          <w:highlight w:val="none"/>
          <w:lang w:val="en-US" w:eastAsia="zh-CN"/>
        </w:rPr>
        <w:t>。</w:t>
      </w:r>
    </w:p>
    <w:p w14:paraId="59665F4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hint="eastAsia" w:ascii="宋体" w:hAnsi="宋体"/>
          <w:snapToGrid w:val="0"/>
          <w:color w:val="auto"/>
          <w:kern w:val="0"/>
          <w:szCs w:val="21"/>
          <w:highlight w:val="none"/>
          <w:lang w:val="en-US" w:eastAsia="zh-CN"/>
        </w:rPr>
        <w:t>②</w:t>
      </w:r>
      <w:r>
        <w:rPr>
          <w:rFonts w:hint="eastAsia" w:ascii="宋体" w:hAnsi="宋体"/>
          <w:snapToGrid w:val="0"/>
          <w:color w:val="auto"/>
          <w:kern w:val="0"/>
          <w:szCs w:val="21"/>
          <w:highlight w:val="none"/>
        </w:rPr>
        <w:t>网上报价应与</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文件报价一致，</w:t>
      </w:r>
      <w:r>
        <w:rPr>
          <w:rFonts w:hint="eastAsia" w:ascii="宋体" w:hAnsi="宋体"/>
          <w:color w:val="auto"/>
          <w:szCs w:val="21"/>
          <w:highlight w:val="none"/>
        </w:rPr>
        <w:t>否则由评标委员会作否决投标处理</w:t>
      </w:r>
      <w:r>
        <w:rPr>
          <w:rFonts w:hint="eastAsia" w:ascii="宋体" w:hAnsi="宋体"/>
          <w:color w:val="auto"/>
          <w:szCs w:val="21"/>
          <w:highlight w:val="none"/>
          <w:lang w:eastAsia="zh-CN"/>
        </w:rPr>
        <w:t>。</w:t>
      </w:r>
    </w:p>
    <w:p w14:paraId="192E5F3B">
      <w:pPr>
        <w:pStyle w:val="4"/>
        <w:spacing w:before="100" w:after="100" w:line="460" w:lineRule="exact"/>
        <w:rPr>
          <w:rFonts w:ascii="宋体" w:hAnsi="宋体"/>
          <w:snapToGrid w:val="0"/>
          <w:color w:val="auto"/>
          <w:sz w:val="28"/>
          <w:szCs w:val="28"/>
        </w:rPr>
      </w:pPr>
      <w:bookmarkStart w:id="57" w:name="_Toc277082540"/>
      <w:bookmarkStart w:id="58" w:name="_Toc430530420"/>
      <w:bookmarkStart w:id="59" w:name="_Toc509218696"/>
      <w:bookmarkStart w:id="60" w:name="_Toc200359242"/>
      <w:bookmarkStart w:id="61" w:name="_Toc20615"/>
      <w:bookmarkStart w:id="62" w:name="_Toc287620671"/>
      <w:bookmarkStart w:id="63" w:name="_Toc287607732"/>
      <w:bookmarkStart w:id="64" w:name="_Toc28449"/>
      <w:bookmarkStart w:id="65" w:name="_Toc200359431"/>
      <w:bookmarkStart w:id="66" w:name="_Toc224103303"/>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线下纸质</w:t>
      </w:r>
      <w:r>
        <w:rPr>
          <w:rFonts w:ascii="宋体" w:hAnsi="宋体"/>
          <w:snapToGrid w:val="0"/>
          <w:color w:val="auto"/>
          <w:sz w:val="28"/>
          <w:szCs w:val="28"/>
        </w:rPr>
        <w:t>投标文件的递交</w:t>
      </w:r>
      <w:bookmarkEnd w:id="57"/>
      <w:bookmarkEnd w:id="58"/>
      <w:bookmarkEnd w:id="59"/>
      <w:bookmarkEnd w:id="60"/>
      <w:bookmarkEnd w:id="61"/>
      <w:bookmarkEnd w:id="62"/>
      <w:bookmarkEnd w:id="63"/>
      <w:bookmarkEnd w:id="64"/>
      <w:bookmarkEnd w:id="65"/>
      <w:bookmarkEnd w:id="66"/>
    </w:p>
    <w:p w14:paraId="5201C1F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rPr>
        <w:t xml:space="preserve">5.1  </w:t>
      </w:r>
      <w:r>
        <w:rPr>
          <w:rFonts w:hint="eastAsia" w:ascii="宋体" w:hAnsi="宋体"/>
          <w:snapToGrid w:val="0"/>
          <w:color w:val="auto"/>
          <w:kern w:val="0"/>
          <w:szCs w:val="21"/>
          <w:lang w:eastAsia="zh-CN"/>
        </w:rPr>
        <w:t>纸质</w:t>
      </w:r>
      <w:r>
        <w:rPr>
          <w:rFonts w:ascii="宋体" w:hAnsi="宋体"/>
          <w:snapToGrid w:val="0"/>
          <w:color w:val="auto"/>
          <w:kern w:val="0"/>
          <w:szCs w:val="21"/>
        </w:rPr>
        <w:t>投标文件的递交</w:t>
      </w:r>
      <w:r>
        <w:rPr>
          <w:rFonts w:hint="eastAsia" w:ascii="宋体" w:hAnsi="宋体"/>
          <w:snapToGrid w:val="0"/>
          <w:color w:val="auto"/>
          <w:kern w:val="0"/>
          <w:szCs w:val="21"/>
          <w:lang w:eastAsia="zh-CN"/>
        </w:rPr>
        <w:t>时间为</w:t>
      </w:r>
      <w:r>
        <w:rPr>
          <w:rFonts w:hint="eastAsia" w:ascii="宋体" w:hAnsi="宋体"/>
          <w:snapToGrid w:val="0"/>
          <w:color w:val="auto"/>
          <w:kern w:val="0"/>
          <w:szCs w:val="21"/>
          <w:u w:val="single"/>
          <w:lang w:val="en-US" w:eastAsia="zh-CN"/>
        </w:rPr>
        <w:t>2025</w:t>
      </w:r>
      <w:r>
        <w:rPr>
          <w:rFonts w:hint="eastAsia" w:ascii="宋体" w:hAnsi="宋体"/>
          <w:snapToGrid w:val="0"/>
          <w:color w:val="auto"/>
          <w:kern w:val="0"/>
          <w:szCs w:val="21"/>
          <w:u w:val="none"/>
          <w:lang w:val="en-US" w:eastAsia="zh-CN"/>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28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14</w:t>
      </w:r>
      <w:r>
        <w:rPr>
          <w:rFonts w:hint="eastAsia" w:ascii="宋体" w:hAnsi="宋体"/>
          <w:snapToGrid w:val="0"/>
          <w:color w:val="auto"/>
          <w:kern w:val="0"/>
          <w:szCs w:val="21"/>
          <w:u w:val="single"/>
        </w:rPr>
        <w:t xml:space="preserve"> </w:t>
      </w:r>
      <w:r>
        <w:rPr>
          <w:rFonts w:ascii="宋体" w:hAnsi="宋体"/>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30</w:t>
      </w:r>
      <w:r>
        <w:rPr>
          <w:rFonts w:hint="eastAsia" w:ascii="宋体" w:hAnsi="宋体"/>
          <w:snapToGrid w:val="0"/>
          <w:color w:val="auto"/>
          <w:kern w:val="0"/>
          <w:szCs w:val="21"/>
          <w:u w:val="single"/>
        </w:rPr>
        <w:t xml:space="preserve"> </w:t>
      </w:r>
      <w:r>
        <w:rPr>
          <w:rFonts w:ascii="宋体" w:hAnsi="宋体"/>
          <w:snapToGrid w:val="0"/>
          <w:color w:val="auto"/>
          <w:kern w:val="0"/>
          <w:szCs w:val="21"/>
        </w:rPr>
        <w:t>分</w:t>
      </w:r>
      <w:r>
        <w:rPr>
          <w:rFonts w:hint="eastAsia" w:ascii="宋体" w:hAnsi="宋体"/>
          <w:snapToGrid w:val="0"/>
          <w:color w:val="auto"/>
          <w:kern w:val="0"/>
          <w:szCs w:val="21"/>
          <w:lang w:eastAsia="zh-CN"/>
        </w:rPr>
        <w:t>至</w:t>
      </w:r>
      <w:r>
        <w:rPr>
          <w:rFonts w:hint="eastAsia" w:ascii="宋体" w:hAnsi="宋体"/>
          <w:snapToGrid w:val="0"/>
          <w:color w:val="auto"/>
          <w:kern w:val="0"/>
          <w:szCs w:val="21"/>
          <w:u w:val="single"/>
          <w:lang w:val="en-US" w:eastAsia="zh-CN"/>
        </w:rPr>
        <w:t>2025</w:t>
      </w:r>
      <w:r>
        <w:rPr>
          <w:rFonts w:hint="eastAsia" w:ascii="宋体" w:hAnsi="宋体"/>
          <w:snapToGrid w:val="0"/>
          <w:color w:val="auto"/>
          <w:kern w:val="0"/>
          <w:szCs w:val="21"/>
          <w:u w:val="none"/>
          <w:lang w:val="en-US" w:eastAsia="zh-CN"/>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28</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15</w:t>
      </w:r>
      <w:r>
        <w:rPr>
          <w:rFonts w:hint="eastAsia" w:ascii="宋体" w:hAnsi="宋体"/>
          <w:snapToGrid w:val="0"/>
          <w:color w:val="auto"/>
          <w:kern w:val="0"/>
          <w:szCs w:val="21"/>
          <w:u w:val="single"/>
        </w:rPr>
        <w:t xml:space="preserve"> </w:t>
      </w:r>
      <w:r>
        <w:rPr>
          <w:rFonts w:ascii="宋体" w:hAnsi="宋体"/>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00</w:t>
      </w:r>
      <w:r>
        <w:rPr>
          <w:rFonts w:hint="eastAsia" w:ascii="宋体" w:hAnsi="宋体"/>
          <w:snapToGrid w:val="0"/>
          <w:color w:val="auto"/>
          <w:kern w:val="0"/>
          <w:szCs w:val="21"/>
          <w:u w:val="single"/>
        </w:rPr>
        <w:t xml:space="preserve"> </w:t>
      </w:r>
      <w:r>
        <w:rPr>
          <w:rFonts w:ascii="宋体" w:hAnsi="宋体"/>
          <w:snapToGrid w:val="0"/>
          <w:color w:val="auto"/>
          <w:kern w:val="0"/>
          <w:szCs w:val="21"/>
        </w:rPr>
        <w:t>分</w:t>
      </w:r>
      <w:r>
        <w:rPr>
          <w:rFonts w:hint="eastAsia" w:ascii="宋体" w:hAnsi="宋体"/>
          <w:snapToGrid w:val="0"/>
          <w:color w:val="auto"/>
          <w:kern w:val="0"/>
          <w:szCs w:val="21"/>
          <w:lang w:eastAsia="zh-CN"/>
        </w:rPr>
        <w:t>，</w:t>
      </w:r>
      <w:r>
        <w:rPr>
          <w:rFonts w:ascii="宋体" w:hAnsi="宋体"/>
          <w:snapToGrid w:val="0"/>
          <w:color w:val="auto"/>
          <w:kern w:val="0"/>
          <w:szCs w:val="21"/>
        </w:rPr>
        <w:t>递交的截止时间（投标截止时间，下同）为</w:t>
      </w:r>
      <w:r>
        <w:rPr>
          <w:rFonts w:hint="eastAsia" w:ascii="宋体" w:hAnsi="宋体"/>
          <w:snapToGrid w:val="0"/>
          <w:color w:val="auto"/>
          <w:kern w:val="0"/>
          <w:szCs w:val="21"/>
          <w:highlight w:val="none"/>
          <w:u w:val="single"/>
          <w:lang w:val="en-US" w:eastAsia="zh-CN"/>
        </w:rPr>
        <w:t>2025</w:t>
      </w:r>
      <w:r>
        <w:rPr>
          <w:rFonts w:hint="eastAsia" w:ascii="宋体" w:hAnsi="宋体"/>
          <w:snapToGrid w:val="0"/>
          <w:color w:val="auto"/>
          <w:kern w:val="0"/>
          <w:szCs w:val="21"/>
          <w:highlight w:val="none"/>
          <w:u w:val="none"/>
          <w:lang w:val="en-US" w:eastAsia="zh-CN"/>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11</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28</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15</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重庆市铜梁区安居小学大会议室</w:t>
      </w:r>
      <w:r>
        <w:rPr>
          <w:rFonts w:ascii="宋体" w:hAnsi="宋体"/>
          <w:snapToGrid w:val="0"/>
          <w:color w:val="auto"/>
          <w:kern w:val="0"/>
          <w:szCs w:val="21"/>
          <w:highlight w:val="none"/>
        </w:rPr>
        <w:t>。</w:t>
      </w:r>
    </w:p>
    <w:p w14:paraId="3CC2B97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w:t>
      </w:r>
      <w:r>
        <w:rPr>
          <w:rFonts w:hint="eastAsia" w:ascii="宋体" w:hAnsi="宋体"/>
          <w:snapToGrid w:val="0"/>
          <w:color w:val="auto"/>
          <w:kern w:val="0"/>
          <w:szCs w:val="21"/>
          <w:highlight w:val="none"/>
          <w:lang w:eastAsia="zh-CN"/>
        </w:rPr>
        <w:t>纸质投标文件正本须与网上上传的投标</w:t>
      </w:r>
      <w:r>
        <w:rPr>
          <w:rFonts w:hint="eastAsia" w:ascii="宋体" w:hAnsi="宋体"/>
          <w:snapToGrid w:val="0"/>
          <w:color w:val="auto"/>
          <w:kern w:val="0"/>
          <w:szCs w:val="21"/>
          <w:highlight w:val="none"/>
        </w:rPr>
        <w:t>文件电子档内容完全一致，否则由评标委员会作否决投标处理。</w:t>
      </w:r>
    </w:p>
    <w:p w14:paraId="03F2227E">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纸质</w:t>
      </w:r>
      <w:r>
        <w:rPr>
          <w:rFonts w:ascii="宋体" w:hAnsi="宋体"/>
          <w:snapToGrid w:val="0"/>
          <w:color w:val="auto"/>
          <w:kern w:val="0"/>
          <w:szCs w:val="21"/>
          <w:highlight w:val="none"/>
        </w:rPr>
        <w:t>投标文件，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33E0A7C7">
      <w:pPr>
        <w:pStyle w:val="4"/>
        <w:spacing w:before="100" w:after="100" w:line="460" w:lineRule="exact"/>
        <w:rPr>
          <w:rFonts w:ascii="宋体" w:hAnsi="宋体"/>
          <w:snapToGrid w:val="0"/>
          <w:color w:val="auto"/>
          <w:sz w:val="28"/>
          <w:szCs w:val="28"/>
          <w:highlight w:val="none"/>
        </w:rPr>
      </w:pPr>
      <w:bookmarkStart w:id="67" w:name="_Toc430530421"/>
      <w:bookmarkStart w:id="68" w:name="_Toc29618"/>
      <w:bookmarkStart w:id="69" w:name="_Toc277082541"/>
      <w:bookmarkStart w:id="70" w:name="_Toc287620672"/>
      <w:bookmarkStart w:id="71" w:name="_Toc200359243"/>
      <w:bookmarkStart w:id="72" w:name="_Toc224103304"/>
      <w:bookmarkStart w:id="73" w:name="_Toc8166"/>
      <w:bookmarkStart w:id="74" w:name="_Toc509218697"/>
      <w:bookmarkStart w:id="75" w:name="_Toc287607733"/>
      <w:bookmarkStart w:id="76" w:name="_Toc200359432"/>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7"/>
      <w:bookmarkEnd w:id="68"/>
      <w:bookmarkEnd w:id="69"/>
      <w:bookmarkEnd w:id="70"/>
      <w:bookmarkEnd w:id="71"/>
      <w:bookmarkEnd w:id="72"/>
      <w:bookmarkEnd w:id="73"/>
      <w:bookmarkEnd w:id="74"/>
      <w:bookmarkEnd w:id="75"/>
      <w:bookmarkEnd w:id="76"/>
    </w:p>
    <w:p w14:paraId="6198E36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 xml:space="preserve"> “行采家”（www.gec123.com）</w:t>
      </w:r>
      <w:r>
        <w:rPr>
          <w:rFonts w:ascii="宋体" w:hAnsi="宋体"/>
          <w:snapToGrid w:val="0"/>
          <w:color w:val="auto"/>
          <w:kern w:val="0"/>
          <w:szCs w:val="21"/>
          <w:highlight w:val="none"/>
        </w:rPr>
        <w:t>上发布。</w:t>
      </w:r>
    </w:p>
    <w:p w14:paraId="458D26DB">
      <w:pPr>
        <w:pStyle w:val="4"/>
        <w:spacing w:before="100" w:after="100" w:line="460" w:lineRule="exact"/>
        <w:rPr>
          <w:rFonts w:ascii="宋体" w:hAnsi="宋体"/>
          <w:snapToGrid w:val="0"/>
          <w:color w:val="auto"/>
          <w:sz w:val="28"/>
          <w:szCs w:val="28"/>
        </w:rPr>
      </w:pPr>
      <w:bookmarkStart w:id="77" w:name="_Toc31352"/>
      <w:bookmarkStart w:id="78" w:name="_Toc14240"/>
      <w:bookmarkStart w:id="79" w:name="_Toc277082542"/>
      <w:bookmarkStart w:id="80" w:name="_Toc287620673"/>
      <w:bookmarkStart w:id="81" w:name="_Toc224103305"/>
      <w:bookmarkStart w:id="82" w:name="_Toc24575"/>
      <w:bookmarkStart w:id="83" w:name="_Toc430530422"/>
      <w:bookmarkStart w:id="84" w:name="_Toc509218698"/>
      <w:bookmarkStart w:id="85" w:name="_Toc287607734"/>
      <w:r>
        <w:rPr>
          <w:rFonts w:hint="eastAsia" w:ascii="宋体" w:hAnsi="宋体"/>
          <w:snapToGrid w:val="0"/>
          <w:color w:val="auto"/>
          <w:sz w:val="28"/>
          <w:szCs w:val="28"/>
        </w:rPr>
        <w:t>7</w:t>
      </w:r>
      <w:r>
        <w:rPr>
          <w:rFonts w:ascii="宋体" w:hAnsi="宋体"/>
          <w:snapToGrid w:val="0"/>
          <w:color w:val="auto"/>
          <w:sz w:val="28"/>
          <w:szCs w:val="28"/>
        </w:rPr>
        <w:t xml:space="preserve">. </w:t>
      </w:r>
      <w:r>
        <w:rPr>
          <w:rFonts w:hint="eastAsia" w:ascii="宋体" w:hAnsi="宋体"/>
          <w:snapToGrid w:val="0"/>
          <w:color w:val="auto"/>
          <w:sz w:val="28"/>
          <w:szCs w:val="28"/>
        </w:rPr>
        <w:t xml:space="preserve"> </w:t>
      </w:r>
      <w:bookmarkEnd w:id="77"/>
      <w:bookmarkEnd w:id="78"/>
      <w:bookmarkStart w:id="86" w:name="_Toc589"/>
      <w:r>
        <w:rPr>
          <w:rFonts w:ascii="宋体" w:hAnsi="宋体"/>
          <w:snapToGrid w:val="0"/>
          <w:color w:val="auto"/>
          <w:sz w:val="28"/>
          <w:szCs w:val="28"/>
        </w:rPr>
        <w:t>联系方式</w:t>
      </w:r>
      <w:bookmarkEnd w:id="79"/>
      <w:bookmarkEnd w:id="80"/>
      <w:bookmarkEnd w:id="81"/>
      <w:bookmarkEnd w:id="82"/>
      <w:bookmarkEnd w:id="83"/>
      <w:bookmarkEnd w:id="84"/>
      <w:bookmarkEnd w:id="85"/>
      <w:bookmarkEnd w:id="86"/>
    </w:p>
    <w:p w14:paraId="43069986">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lang w:eastAsia="zh-CN"/>
        </w:rPr>
        <w:t>比</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lang w:eastAsia="zh-CN"/>
        </w:rPr>
        <w:t>选</w:t>
      </w:r>
      <w:r>
        <w:rPr>
          <w:rFonts w:ascii="宋体" w:hAnsi="宋体"/>
          <w:snapToGrid w:val="0"/>
          <w:color w:val="auto"/>
          <w:kern w:val="0"/>
          <w:szCs w:val="21"/>
        </w:rPr>
        <w:t xml:space="preserve"> 人：</w:t>
      </w:r>
      <w:r>
        <w:rPr>
          <w:rFonts w:hint="eastAsia" w:ascii="宋体" w:hAnsi="宋体"/>
          <w:snapToGrid w:val="0"/>
          <w:color w:val="auto"/>
          <w:kern w:val="0"/>
          <w:szCs w:val="21"/>
          <w:u w:val="single"/>
          <w:lang w:eastAsia="zh-CN"/>
        </w:rPr>
        <w:t>重庆市铜梁区安居小学</w:t>
      </w:r>
    </w:p>
    <w:p w14:paraId="618C0A8C">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position w:val="-3"/>
          <w:szCs w:val="21"/>
          <w:u w:val="single"/>
          <w:lang w:val="en-US" w:eastAsia="zh-CN"/>
        </w:rPr>
      </w:pPr>
      <w:r>
        <w:rPr>
          <w:rFonts w:ascii="宋体" w:hAnsi="宋体"/>
          <w:snapToGrid w:val="0"/>
          <w:color w:val="auto"/>
          <w:kern w:val="0"/>
          <w:szCs w:val="21"/>
        </w:rPr>
        <w:t>地    址：</w:t>
      </w:r>
      <w:r>
        <w:rPr>
          <w:rFonts w:hint="eastAsia" w:ascii="宋体" w:hAnsi="宋体"/>
          <w:snapToGrid w:val="0"/>
          <w:color w:val="auto"/>
          <w:kern w:val="0"/>
          <w:szCs w:val="21"/>
          <w:u w:val="single"/>
          <w:lang w:eastAsia="zh-CN"/>
        </w:rPr>
        <w:t>重庆市铜梁区安居镇</w:t>
      </w:r>
    </w:p>
    <w:p w14:paraId="4E332DF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eastAsia="zh-CN"/>
        </w:rPr>
        <w:t>邬老师</w:t>
      </w:r>
    </w:p>
    <w:p w14:paraId="6877E0A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eastAsia="zh-CN"/>
        </w:rPr>
        <w:t>18883843860</w:t>
      </w:r>
      <w:r>
        <w:rPr>
          <w:rFonts w:ascii="宋体" w:hAnsi="宋体"/>
          <w:snapToGrid w:val="0"/>
          <w:color w:val="auto"/>
          <w:kern w:val="0"/>
          <w:szCs w:val="21"/>
          <w:highlight w:val="none"/>
        </w:rPr>
        <w:t xml:space="preserve"> </w:t>
      </w:r>
    </w:p>
    <w:p w14:paraId="0FF1253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u w:val="single"/>
          <w:lang w:eastAsia="zh-CN"/>
        </w:rPr>
        <w:t>重庆桐宝工程管理咨询有限公司</w:t>
      </w:r>
      <w:r>
        <w:rPr>
          <w:rFonts w:ascii="宋体" w:hAnsi="宋体"/>
          <w:snapToGrid w:val="0"/>
          <w:color w:val="auto"/>
          <w:kern w:val="0"/>
          <w:szCs w:val="21"/>
          <w:highlight w:val="none"/>
          <w:u w:val="single"/>
        </w:rPr>
        <w:t xml:space="preserve"> </w:t>
      </w:r>
    </w:p>
    <w:p w14:paraId="707AC97E">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position w:val="-3"/>
          <w:szCs w:val="21"/>
          <w:highlight w:val="none"/>
          <w:u w:val="single"/>
          <w:lang w:val="en-US" w:eastAsia="zh-CN"/>
        </w:rPr>
      </w:pPr>
      <w:r>
        <w:rPr>
          <w:rFonts w:ascii="宋体" w:hAnsi="宋体"/>
          <w:snapToGrid w:val="0"/>
          <w:color w:val="auto"/>
          <w:kern w:val="0"/>
          <w:szCs w:val="21"/>
          <w:highlight w:val="none"/>
        </w:rPr>
        <w:t>地    址：</w:t>
      </w:r>
      <w:r>
        <w:rPr>
          <w:rFonts w:hint="eastAsia" w:ascii="宋体" w:hAnsi="宋体"/>
          <w:snapToGrid w:val="0"/>
          <w:color w:val="auto"/>
          <w:kern w:val="0"/>
          <w:position w:val="-3"/>
          <w:szCs w:val="21"/>
          <w:highlight w:val="none"/>
          <w:u w:val="single"/>
          <w:lang w:eastAsia="zh-CN"/>
        </w:rPr>
        <w:t>重庆市铜梁区土桥镇桃溪街82号</w:t>
      </w:r>
    </w:p>
    <w:p w14:paraId="628DB4A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eastAsia="zh-CN"/>
        </w:rPr>
        <w:t>童老师</w:t>
      </w:r>
    </w:p>
    <w:p w14:paraId="0D6CD73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u w:val="single"/>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val="en-US" w:eastAsia="zh-CN"/>
        </w:rPr>
        <w:t>18375658179</w:t>
      </w:r>
    </w:p>
    <w:p w14:paraId="6E2111A0">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rPr>
      </w:pP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2025</w:t>
      </w:r>
      <w:r>
        <w:rPr>
          <w:rFonts w:ascii="宋体" w:hAnsi="宋体"/>
          <w:snapToGrid w:val="0"/>
          <w:color w:val="auto"/>
          <w:kern w:val="0"/>
          <w:szCs w:val="21"/>
          <w:u w:val="single"/>
        </w:rPr>
        <w:t xml:space="preserve"> </w:t>
      </w:r>
      <w:r>
        <w:rPr>
          <w:rFonts w:ascii="宋体" w:hAnsi="宋体"/>
          <w:snapToGrid w:val="0"/>
          <w:color w:val="auto"/>
          <w:kern w:val="0"/>
          <w:szCs w:val="21"/>
        </w:rPr>
        <w:t>年</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67BA02F7">
      <w:pPr>
        <w:pStyle w:val="3"/>
        <w:keepNext/>
        <w:keepLines/>
        <w:pageBreakBefore w:val="0"/>
        <w:widowControl w:val="0"/>
        <w:kinsoku/>
        <w:wordWrap/>
        <w:overflowPunct/>
        <w:topLinePunct w:val="0"/>
        <w:autoSpaceDE/>
        <w:autoSpaceDN/>
        <w:bidi w:val="0"/>
        <w:adjustRightInd/>
        <w:snapToGrid/>
        <w:spacing w:before="340" w:after="330" w:line="360" w:lineRule="auto"/>
        <w:jc w:val="center"/>
        <w:textAlignment w:val="auto"/>
        <w:rPr>
          <w:rFonts w:ascii="宋体" w:hAnsi="宋体"/>
          <w:snapToGrid w:val="0"/>
          <w:color w:val="auto"/>
          <w:kern w:val="0"/>
        </w:rPr>
      </w:pPr>
      <w:r>
        <w:rPr>
          <w:rFonts w:ascii="宋体" w:hAnsi="宋体"/>
          <w:snapToGrid w:val="0"/>
          <w:color w:val="auto"/>
          <w:kern w:val="0"/>
          <w:szCs w:val="21"/>
        </w:rPr>
        <w:br w:type="page"/>
      </w:r>
      <w:bookmarkStart w:id="87" w:name="_Toc21596"/>
      <w:bookmarkStart w:id="88" w:name="_Toc287607744"/>
      <w:bookmarkStart w:id="89" w:name="_Toc32148"/>
      <w:bookmarkStart w:id="90" w:name="_Toc430530432"/>
      <w:bookmarkStart w:id="91" w:name="_Toc224103315"/>
      <w:bookmarkStart w:id="92" w:name="_Toc287620683"/>
      <w:r>
        <w:rPr>
          <w:rFonts w:ascii="宋体" w:hAnsi="宋体"/>
          <w:snapToGrid w:val="0"/>
          <w:color w:val="auto"/>
          <w:kern w:val="0"/>
        </w:rPr>
        <w:t>第二章  投标人须知</w:t>
      </w:r>
      <w:bookmarkEnd w:id="87"/>
      <w:bookmarkEnd w:id="88"/>
      <w:bookmarkEnd w:id="89"/>
      <w:bookmarkEnd w:id="90"/>
      <w:bookmarkEnd w:id="91"/>
      <w:bookmarkEnd w:id="92"/>
      <w:bookmarkStart w:id="93" w:name="_Toc277082551"/>
      <w:bookmarkStart w:id="94" w:name="_Toc224103316"/>
      <w:bookmarkStart w:id="95" w:name="_Toc430530433"/>
      <w:bookmarkStart w:id="96" w:name="_Toc287607745"/>
      <w:bookmarkStart w:id="97" w:name="_Toc287620684"/>
    </w:p>
    <w:p w14:paraId="2CB4C472">
      <w:pPr>
        <w:pStyle w:val="4"/>
        <w:spacing w:before="100" w:after="100" w:line="360" w:lineRule="auto"/>
        <w:rPr>
          <w:rFonts w:ascii="宋体" w:hAnsi="宋体"/>
          <w:color w:val="auto"/>
        </w:rPr>
      </w:pPr>
      <w:bookmarkStart w:id="98" w:name="_Toc509218708"/>
      <w:bookmarkStart w:id="99" w:name="_Toc23402"/>
      <w:bookmarkStart w:id="100" w:name="_Toc8005"/>
      <w:r>
        <w:rPr>
          <w:rFonts w:hint="eastAsia" w:ascii="宋体" w:hAnsi="宋体"/>
          <w:color w:val="auto"/>
        </w:rPr>
        <w:t>投标人须知前附表</w:t>
      </w:r>
      <w:bookmarkEnd w:id="93"/>
      <w:bookmarkEnd w:id="94"/>
      <w:bookmarkEnd w:id="95"/>
      <w:bookmarkEnd w:id="96"/>
      <w:bookmarkEnd w:id="97"/>
      <w:bookmarkEnd w:id="98"/>
      <w:bookmarkEnd w:id="99"/>
      <w:bookmarkEnd w:id="100"/>
    </w:p>
    <w:p w14:paraId="18E9C226">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26751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501793B4">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1D0F3BBD">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2D4EE164">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4C105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02BAE">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24BEA7ED">
            <w:pPr>
              <w:snapToGrid w:val="0"/>
              <w:spacing w:line="400" w:lineRule="exact"/>
              <w:jc w:val="center"/>
              <w:rPr>
                <w:rFonts w:hint="eastAsia" w:ascii="宋体" w:hAnsi="宋体" w:eastAsia="宋体"/>
                <w:color w:val="auto"/>
                <w:kern w:val="0"/>
                <w:szCs w:val="21"/>
                <w:lang w:eastAsia="zh-CN"/>
              </w:rPr>
            </w:pPr>
            <w:r>
              <w:rPr>
                <w:rFonts w:hint="eastAsia" w:ascii="宋体" w:hAnsi="宋体"/>
                <w:color w:val="auto"/>
                <w:kern w:val="0"/>
                <w:szCs w:val="21"/>
                <w:lang w:eastAsia="zh-CN"/>
              </w:rPr>
              <w:t>比选人</w:t>
            </w:r>
          </w:p>
        </w:tc>
        <w:tc>
          <w:tcPr>
            <w:tcW w:w="6490" w:type="dxa"/>
            <w:vAlign w:val="center"/>
          </w:tcPr>
          <w:p w14:paraId="2A7CC8AF">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名称：重庆市铜梁区安居小学</w:t>
            </w:r>
          </w:p>
          <w:p w14:paraId="04FC0B08">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地址：重庆市铜梁区安居镇</w:t>
            </w:r>
          </w:p>
          <w:p w14:paraId="56F149BF">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联系人：邬老师</w:t>
            </w:r>
          </w:p>
          <w:p w14:paraId="40085643">
            <w:pPr>
              <w:snapToGrid w:val="0"/>
              <w:spacing w:line="400" w:lineRule="exact"/>
              <w:jc w:val="left"/>
              <w:rPr>
                <w:rFonts w:hint="default" w:ascii="宋体" w:hAnsi="宋体" w:eastAsia="宋体"/>
                <w:color w:val="auto"/>
                <w:kern w:val="0"/>
                <w:szCs w:val="21"/>
                <w:lang w:val="en-US" w:eastAsia="zh-CN"/>
              </w:rPr>
            </w:pPr>
            <w:r>
              <w:rPr>
                <w:rFonts w:hint="eastAsia" w:ascii="宋体" w:hAnsi="宋体"/>
                <w:color w:val="auto"/>
                <w:szCs w:val="21"/>
                <w:highlight w:val="none"/>
                <w:lang w:eastAsia="zh-CN"/>
              </w:rPr>
              <w:t>电话：18883843860</w:t>
            </w:r>
          </w:p>
        </w:tc>
      </w:tr>
      <w:tr w14:paraId="57D24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6F0FC2">
            <w:pPr>
              <w:snapToGrid w:val="0"/>
              <w:spacing w:line="40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18EA910D">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代理机构</w:t>
            </w:r>
          </w:p>
        </w:tc>
        <w:tc>
          <w:tcPr>
            <w:tcW w:w="6490" w:type="dxa"/>
            <w:vAlign w:val="center"/>
          </w:tcPr>
          <w:p w14:paraId="5B826424">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名称：重庆桐宝工程管理咨询有限公司</w:t>
            </w:r>
          </w:p>
          <w:p w14:paraId="6C1680A9">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地址：重庆市铜梁区土桥镇桃溪街82号</w:t>
            </w:r>
          </w:p>
          <w:p w14:paraId="24DD0BCE">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联系人：童老师</w:t>
            </w:r>
          </w:p>
          <w:p w14:paraId="79A6645D">
            <w:pPr>
              <w:snapToGrid w:val="0"/>
              <w:spacing w:line="400" w:lineRule="exact"/>
              <w:jc w:val="left"/>
              <w:rPr>
                <w:rFonts w:hint="default" w:ascii="宋体" w:hAnsi="宋体" w:eastAsia="宋体"/>
                <w:color w:val="auto"/>
                <w:kern w:val="0"/>
                <w:szCs w:val="21"/>
                <w:lang w:val="en-US" w:eastAsia="zh-CN"/>
              </w:rPr>
            </w:pPr>
            <w:r>
              <w:rPr>
                <w:rFonts w:hint="eastAsia" w:ascii="宋体" w:hAnsi="宋体"/>
                <w:color w:val="auto"/>
                <w:szCs w:val="21"/>
                <w:highlight w:val="none"/>
                <w:lang w:eastAsia="zh-CN"/>
              </w:rPr>
              <w:t>电话：</w:t>
            </w:r>
            <w:r>
              <w:rPr>
                <w:rFonts w:hint="eastAsia" w:ascii="宋体" w:hAnsi="宋体"/>
                <w:color w:val="auto"/>
                <w:szCs w:val="21"/>
                <w:highlight w:val="none"/>
                <w:lang w:val="en-US" w:eastAsia="zh-CN"/>
              </w:rPr>
              <w:t>18375658179</w:t>
            </w:r>
          </w:p>
        </w:tc>
      </w:tr>
      <w:tr w14:paraId="0B549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29BE41">
            <w:pPr>
              <w:snapToGrid w:val="0"/>
              <w:spacing w:line="40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6EB742AE">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27893FF0">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lang w:eastAsia="zh-CN"/>
              </w:rPr>
              <w:t>铜梁区安居小学2025年幼儿园改造项目</w:t>
            </w:r>
          </w:p>
        </w:tc>
      </w:tr>
      <w:tr w14:paraId="5C1C5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B71CAF">
            <w:pPr>
              <w:snapToGrid w:val="0"/>
              <w:spacing w:line="40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5EBC4BC8">
            <w:pPr>
              <w:snapToGrid w:val="0"/>
              <w:spacing w:line="400" w:lineRule="exact"/>
              <w:jc w:val="center"/>
              <w:rPr>
                <w:rFonts w:ascii="宋体" w:hAnsi="宋体"/>
                <w:color w:val="auto"/>
                <w:kern w:val="0"/>
                <w:szCs w:val="21"/>
              </w:rPr>
            </w:pPr>
            <w:r>
              <w:rPr>
                <w:rFonts w:ascii="宋体" w:hAnsi="宋体"/>
                <w:color w:val="auto"/>
                <w:kern w:val="0"/>
                <w:szCs w:val="21"/>
              </w:rPr>
              <w:t>建设地点</w:t>
            </w:r>
          </w:p>
        </w:tc>
        <w:tc>
          <w:tcPr>
            <w:tcW w:w="6490" w:type="dxa"/>
            <w:vAlign w:val="center"/>
          </w:tcPr>
          <w:p w14:paraId="170AC5A1">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lang w:eastAsia="zh-CN"/>
              </w:rPr>
              <w:t>重庆市铜梁区安居小学校园内</w:t>
            </w:r>
          </w:p>
        </w:tc>
      </w:tr>
      <w:tr w14:paraId="55C89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F68417">
            <w:pPr>
              <w:snapToGrid w:val="0"/>
              <w:spacing w:line="40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496EF5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204EFC89">
            <w:pPr>
              <w:tabs>
                <w:tab w:val="left" w:pos="3840"/>
                <w:tab w:val="left" w:pos="5300"/>
              </w:tabs>
              <w:autoSpaceDE w:val="0"/>
              <w:autoSpaceDN w:val="0"/>
              <w:adjustRightInd w:val="0"/>
              <w:snapToGrid w:val="0"/>
              <w:spacing w:line="460" w:lineRule="exact"/>
              <w:rPr>
                <w:rFonts w:hint="eastAsia" w:ascii="宋体" w:hAnsi="宋体" w:eastAsia="宋体"/>
                <w:i/>
                <w:snapToGrid w:val="0"/>
                <w:color w:val="auto"/>
                <w:kern w:val="0"/>
                <w:szCs w:val="21"/>
                <w:highlight w:val="none"/>
                <w:lang w:eastAsia="zh-CN"/>
              </w:rPr>
            </w:pPr>
            <w:r>
              <w:rPr>
                <w:rFonts w:hint="eastAsia" w:ascii="宋体" w:hAnsi="宋体"/>
                <w:color w:val="auto"/>
                <w:szCs w:val="21"/>
                <w:highlight w:val="none"/>
                <w:lang w:eastAsia="zh-CN"/>
              </w:rPr>
              <w:t>详见本工程工程量清单。</w:t>
            </w:r>
          </w:p>
        </w:tc>
      </w:tr>
      <w:tr w14:paraId="01DCE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90573">
            <w:pPr>
              <w:snapToGrid w:val="0"/>
              <w:spacing w:line="40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2B6D1759">
            <w:pPr>
              <w:snapToGrid w:val="0"/>
              <w:spacing w:line="40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11EA235E">
            <w:pPr>
              <w:snapToGrid w:val="0"/>
              <w:spacing w:line="400" w:lineRule="exact"/>
              <w:rPr>
                <w:rFonts w:hint="eastAsia" w:ascii="宋体" w:hAnsi="宋体" w:eastAsia="宋体"/>
                <w:color w:val="auto"/>
                <w:szCs w:val="21"/>
                <w:lang w:eastAsia="zh-CN"/>
              </w:rPr>
            </w:pPr>
            <w:r>
              <w:rPr>
                <w:rFonts w:hint="eastAsia" w:ascii="宋体" w:hAnsi="宋体"/>
                <w:color w:val="auto"/>
                <w:szCs w:val="21"/>
                <w:highlight w:val="none"/>
                <w:lang w:eastAsia="zh-CN"/>
              </w:rPr>
              <w:t>上级资金</w:t>
            </w:r>
          </w:p>
        </w:tc>
      </w:tr>
      <w:tr w14:paraId="5F59C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C528CE">
            <w:pPr>
              <w:snapToGrid w:val="0"/>
              <w:spacing w:line="40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43247636">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4DBE7A9D">
            <w:pPr>
              <w:snapToGrid w:val="0"/>
              <w:spacing w:line="400" w:lineRule="exact"/>
              <w:jc w:val="left"/>
              <w:rPr>
                <w:rFonts w:ascii="宋体" w:hAnsi="宋体"/>
                <w:color w:val="auto"/>
                <w:szCs w:val="21"/>
              </w:rPr>
            </w:pPr>
            <w:r>
              <w:rPr>
                <w:rFonts w:hint="eastAsia" w:ascii="宋体" w:hAnsi="宋体"/>
                <w:color w:val="auto"/>
                <w:szCs w:val="21"/>
                <w:u w:val="none"/>
              </w:rPr>
              <w:t>100%</w:t>
            </w:r>
          </w:p>
        </w:tc>
      </w:tr>
      <w:tr w14:paraId="71A36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126E64">
            <w:pPr>
              <w:snapToGrid w:val="0"/>
              <w:spacing w:line="40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5FDA4248">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40881153">
            <w:pPr>
              <w:snapToGrid w:val="0"/>
              <w:spacing w:line="400" w:lineRule="exact"/>
              <w:jc w:val="left"/>
              <w:rPr>
                <w:rFonts w:ascii="宋体" w:hAnsi="宋体"/>
                <w:color w:val="auto"/>
                <w:szCs w:val="21"/>
              </w:rPr>
            </w:pPr>
            <w:r>
              <w:rPr>
                <w:rFonts w:hint="eastAsia" w:ascii="宋体" w:hAnsi="宋体"/>
                <w:color w:val="auto"/>
                <w:szCs w:val="21"/>
                <w:u w:val="none"/>
              </w:rPr>
              <w:t>已落实</w:t>
            </w:r>
          </w:p>
        </w:tc>
      </w:tr>
      <w:tr w14:paraId="43863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6BC43C">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3C6BB967">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范围</w:t>
            </w:r>
          </w:p>
        </w:tc>
        <w:tc>
          <w:tcPr>
            <w:tcW w:w="6490" w:type="dxa"/>
            <w:vAlign w:val="center"/>
          </w:tcPr>
          <w:p w14:paraId="14193812">
            <w:pPr>
              <w:snapToGrid w:val="0"/>
              <w:spacing w:line="400" w:lineRule="exact"/>
              <w:rPr>
                <w:rFonts w:hint="eastAsia" w:ascii="宋体" w:hAnsi="宋体" w:eastAsia="宋体"/>
                <w:i/>
                <w:color w:val="auto"/>
                <w:szCs w:val="21"/>
                <w:lang w:eastAsia="zh-CN"/>
              </w:rPr>
            </w:pPr>
            <w:r>
              <w:rPr>
                <w:rFonts w:hint="eastAsia" w:ascii="宋体" w:hAnsi="宋体"/>
                <w:color w:val="auto"/>
                <w:szCs w:val="21"/>
                <w:highlight w:val="none"/>
                <w:lang w:eastAsia="zh-CN"/>
              </w:rPr>
              <w:t>具体</w:t>
            </w:r>
            <w:r>
              <w:rPr>
                <w:rFonts w:hint="eastAsia" w:ascii="宋体" w:hAnsi="宋体"/>
                <w:i w:val="0"/>
                <w:iCs/>
                <w:color w:val="auto"/>
                <w:szCs w:val="21"/>
                <w:lang w:eastAsia="zh-CN"/>
              </w:rPr>
              <w:t>以比选人发布的工程量清单为准。</w:t>
            </w:r>
          </w:p>
        </w:tc>
      </w:tr>
      <w:tr w14:paraId="4921B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01270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38F29E6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54516A1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21778467">
            <w:pPr>
              <w:snapToGrid w:val="0"/>
              <w:spacing w:line="400" w:lineRule="exact"/>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40日历天</w:t>
            </w:r>
          </w:p>
          <w:p w14:paraId="5512ECB3">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01F35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730CED">
            <w:pPr>
              <w:snapToGrid w:val="0"/>
              <w:spacing w:line="400" w:lineRule="exact"/>
              <w:jc w:val="center"/>
              <w:rPr>
                <w:rFonts w:ascii="宋体" w:hAnsi="宋体"/>
                <w:color w:val="auto"/>
                <w:kern w:val="0"/>
                <w:szCs w:val="21"/>
              </w:rPr>
            </w:pPr>
            <w:r>
              <w:rPr>
                <w:rFonts w:ascii="宋体" w:hAnsi="宋体"/>
                <w:color w:val="auto"/>
                <w:kern w:val="0"/>
                <w:szCs w:val="21"/>
              </w:rPr>
              <w:t>1.3.3</w:t>
            </w:r>
          </w:p>
        </w:tc>
        <w:tc>
          <w:tcPr>
            <w:tcW w:w="1644" w:type="dxa"/>
            <w:vAlign w:val="center"/>
          </w:tcPr>
          <w:p w14:paraId="2CF34899">
            <w:pPr>
              <w:snapToGrid w:val="0"/>
              <w:spacing w:line="400" w:lineRule="exact"/>
              <w:jc w:val="center"/>
              <w:rPr>
                <w:rFonts w:ascii="宋体" w:hAnsi="宋体"/>
                <w:color w:val="auto"/>
                <w:kern w:val="0"/>
                <w:szCs w:val="21"/>
              </w:rPr>
            </w:pPr>
            <w:r>
              <w:rPr>
                <w:rFonts w:ascii="宋体" w:hAnsi="宋体"/>
                <w:color w:val="auto"/>
                <w:kern w:val="0"/>
                <w:szCs w:val="21"/>
              </w:rPr>
              <w:t>质量要求</w:t>
            </w:r>
          </w:p>
        </w:tc>
        <w:tc>
          <w:tcPr>
            <w:tcW w:w="6490" w:type="dxa"/>
            <w:vAlign w:val="center"/>
          </w:tcPr>
          <w:p w14:paraId="0F224A83">
            <w:pPr>
              <w:snapToGrid w:val="0"/>
              <w:spacing w:line="400" w:lineRule="exact"/>
              <w:rPr>
                <w:rFonts w:ascii="宋体" w:hAnsi="宋体"/>
                <w:color w:val="auto"/>
                <w:szCs w:val="21"/>
              </w:rPr>
            </w:pPr>
            <w:r>
              <w:rPr>
                <w:rFonts w:hint="eastAsia" w:ascii="宋体" w:hAnsi="宋体"/>
                <w:color w:val="auto"/>
                <w:szCs w:val="21"/>
                <w:u w:val="single"/>
              </w:rPr>
              <w:t>符合</w:t>
            </w:r>
            <w:r>
              <w:rPr>
                <w:rFonts w:ascii="宋体" w:hAnsi="宋体"/>
                <w:color w:val="auto"/>
                <w:szCs w:val="21"/>
                <w:u w:val="single"/>
              </w:rPr>
              <w:t>国家和重庆市现行有关施工质量验收规范要求，并达到合格标准</w:t>
            </w:r>
            <w:r>
              <w:rPr>
                <w:rFonts w:ascii="宋体" w:hAnsi="宋体"/>
                <w:color w:val="auto"/>
                <w:szCs w:val="21"/>
              </w:rPr>
              <w:t>。</w:t>
            </w:r>
          </w:p>
        </w:tc>
      </w:tr>
      <w:tr w14:paraId="45852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335" w:type="dxa"/>
            <w:vAlign w:val="center"/>
          </w:tcPr>
          <w:p w14:paraId="0298AEDB">
            <w:pPr>
              <w:snapToGrid w:val="0"/>
              <w:spacing w:line="400" w:lineRule="exact"/>
              <w:jc w:val="center"/>
              <w:rPr>
                <w:rFonts w:ascii="宋体" w:hAnsi="宋体"/>
                <w:color w:val="auto"/>
                <w:kern w:val="0"/>
                <w:szCs w:val="21"/>
              </w:rPr>
            </w:pPr>
          </w:p>
          <w:p w14:paraId="31DEBCFE">
            <w:pPr>
              <w:snapToGrid w:val="0"/>
              <w:spacing w:line="400" w:lineRule="exact"/>
              <w:jc w:val="center"/>
              <w:rPr>
                <w:rFonts w:ascii="宋体" w:hAnsi="宋体"/>
                <w:color w:val="auto"/>
                <w:kern w:val="0"/>
                <w:szCs w:val="21"/>
              </w:rPr>
            </w:pPr>
          </w:p>
          <w:p w14:paraId="4FA328CC">
            <w:pPr>
              <w:snapToGrid w:val="0"/>
              <w:spacing w:line="400" w:lineRule="exact"/>
              <w:jc w:val="center"/>
              <w:rPr>
                <w:rFonts w:ascii="宋体" w:hAnsi="宋体"/>
                <w:color w:val="auto"/>
                <w:kern w:val="0"/>
                <w:szCs w:val="21"/>
              </w:rPr>
            </w:pPr>
          </w:p>
          <w:p w14:paraId="1CC9A84E">
            <w:pPr>
              <w:snapToGrid w:val="0"/>
              <w:spacing w:line="400" w:lineRule="exact"/>
              <w:jc w:val="center"/>
              <w:rPr>
                <w:rFonts w:ascii="宋体" w:hAnsi="宋体"/>
                <w:color w:val="auto"/>
                <w:kern w:val="0"/>
                <w:szCs w:val="21"/>
              </w:rPr>
            </w:pPr>
          </w:p>
          <w:p w14:paraId="124B6464">
            <w:pPr>
              <w:snapToGrid w:val="0"/>
              <w:spacing w:line="400" w:lineRule="exact"/>
              <w:jc w:val="center"/>
              <w:rPr>
                <w:rFonts w:ascii="宋体" w:hAnsi="宋体"/>
                <w:color w:val="auto"/>
                <w:kern w:val="0"/>
                <w:szCs w:val="21"/>
              </w:rPr>
            </w:pPr>
          </w:p>
          <w:p w14:paraId="62687A56">
            <w:pPr>
              <w:snapToGrid w:val="0"/>
              <w:spacing w:line="400" w:lineRule="exact"/>
              <w:jc w:val="center"/>
              <w:rPr>
                <w:rFonts w:ascii="宋体" w:hAnsi="宋体"/>
                <w:color w:val="auto"/>
                <w:kern w:val="0"/>
                <w:szCs w:val="21"/>
              </w:rPr>
            </w:pPr>
          </w:p>
          <w:p w14:paraId="3AB910A8">
            <w:pPr>
              <w:snapToGrid w:val="0"/>
              <w:spacing w:line="400" w:lineRule="exact"/>
              <w:jc w:val="center"/>
              <w:rPr>
                <w:rFonts w:ascii="宋体" w:hAnsi="宋体"/>
                <w:color w:val="auto"/>
                <w:kern w:val="0"/>
                <w:szCs w:val="21"/>
              </w:rPr>
            </w:pPr>
          </w:p>
          <w:p w14:paraId="0A75FF6B">
            <w:pPr>
              <w:snapToGrid w:val="0"/>
              <w:spacing w:line="400" w:lineRule="exact"/>
              <w:jc w:val="center"/>
              <w:rPr>
                <w:rFonts w:ascii="宋体" w:hAnsi="宋体"/>
                <w:color w:val="auto"/>
                <w:kern w:val="0"/>
                <w:szCs w:val="21"/>
              </w:rPr>
            </w:pPr>
          </w:p>
          <w:p w14:paraId="2C12D29E">
            <w:pPr>
              <w:snapToGrid w:val="0"/>
              <w:spacing w:line="400" w:lineRule="exact"/>
              <w:jc w:val="center"/>
              <w:rPr>
                <w:rFonts w:ascii="宋体" w:hAnsi="宋体"/>
                <w:color w:val="auto"/>
                <w:kern w:val="0"/>
                <w:szCs w:val="21"/>
              </w:rPr>
            </w:pPr>
          </w:p>
          <w:p w14:paraId="5D3FF135">
            <w:pPr>
              <w:snapToGrid w:val="0"/>
              <w:spacing w:line="400" w:lineRule="exact"/>
              <w:jc w:val="center"/>
              <w:rPr>
                <w:rFonts w:ascii="宋体" w:hAnsi="宋体"/>
                <w:color w:val="auto"/>
                <w:kern w:val="0"/>
                <w:szCs w:val="21"/>
              </w:rPr>
            </w:pPr>
          </w:p>
          <w:p w14:paraId="34FDEFBB">
            <w:pPr>
              <w:snapToGrid w:val="0"/>
              <w:spacing w:line="400" w:lineRule="exact"/>
              <w:jc w:val="center"/>
              <w:rPr>
                <w:rFonts w:ascii="宋体" w:hAnsi="宋体"/>
                <w:color w:val="auto"/>
                <w:kern w:val="0"/>
                <w:szCs w:val="21"/>
              </w:rPr>
            </w:pPr>
          </w:p>
          <w:p w14:paraId="39D41EF3">
            <w:pPr>
              <w:snapToGrid w:val="0"/>
              <w:spacing w:line="400" w:lineRule="exact"/>
              <w:jc w:val="center"/>
              <w:rPr>
                <w:rFonts w:ascii="宋体" w:hAnsi="宋体"/>
                <w:color w:val="auto"/>
                <w:kern w:val="0"/>
                <w:szCs w:val="21"/>
              </w:rPr>
            </w:pPr>
          </w:p>
          <w:p w14:paraId="7BB29EF2">
            <w:pPr>
              <w:snapToGrid w:val="0"/>
              <w:spacing w:line="400" w:lineRule="exact"/>
              <w:jc w:val="center"/>
              <w:rPr>
                <w:rFonts w:ascii="宋体" w:hAnsi="宋体"/>
                <w:color w:val="auto"/>
                <w:kern w:val="0"/>
                <w:szCs w:val="21"/>
              </w:rPr>
            </w:pPr>
          </w:p>
          <w:p w14:paraId="4FDC04E6">
            <w:pPr>
              <w:snapToGrid w:val="0"/>
              <w:spacing w:line="400" w:lineRule="exact"/>
              <w:jc w:val="center"/>
              <w:rPr>
                <w:rFonts w:ascii="宋体" w:hAnsi="宋体"/>
                <w:color w:val="auto"/>
                <w:kern w:val="0"/>
                <w:szCs w:val="21"/>
              </w:rPr>
            </w:pPr>
          </w:p>
          <w:p w14:paraId="46A8BE40">
            <w:pPr>
              <w:snapToGrid w:val="0"/>
              <w:spacing w:line="400" w:lineRule="exact"/>
              <w:jc w:val="center"/>
              <w:rPr>
                <w:rFonts w:ascii="宋体" w:hAnsi="宋体"/>
                <w:color w:val="auto"/>
                <w:kern w:val="0"/>
                <w:szCs w:val="21"/>
              </w:rPr>
            </w:pPr>
          </w:p>
          <w:p w14:paraId="1FECA4C8">
            <w:pPr>
              <w:snapToGrid w:val="0"/>
              <w:spacing w:line="400" w:lineRule="exact"/>
              <w:jc w:val="center"/>
              <w:rPr>
                <w:rFonts w:ascii="宋体" w:hAnsi="宋体"/>
                <w:color w:val="auto"/>
                <w:kern w:val="0"/>
                <w:szCs w:val="21"/>
              </w:rPr>
            </w:pPr>
          </w:p>
          <w:p w14:paraId="7F1B93AC">
            <w:pPr>
              <w:snapToGrid w:val="0"/>
              <w:spacing w:line="400" w:lineRule="exact"/>
              <w:jc w:val="center"/>
              <w:rPr>
                <w:rFonts w:ascii="宋体" w:hAnsi="宋体"/>
                <w:color w:val="auto"/>
                <w:kern w:val="0"/>
                <w:szCs w:val="21"/>
              </w:rPr>
            </w:pPr>
          </w:p>
          <w:p w14:paraId="4BC668B9">
            <w:pPr>
              <w:snapToGrid w:val="0"/>
              <w:spacing w:line="400" w:lineRule="exact"/>
              <w:jc w:val="center"/>
              <w:rPr>
                <w:rFonts w:ascii="宋体" w:hAnsi="宋体"/>
                <w:color w:val="auto"/>
                <w:kern w:val="0"/>
                <w:szCs w:val="21"/>
              </w:rPr>
            </w:pPr>
            <w:r>
              <w:rPr>
                <w:rFonts w:ascii="宋体" w:hAnsi="宋体"/>
                <w:color w:val="auto"/>
                <w:kern w:val="0"/>
                <w:szCs w:val="21"/>
              </w:rPr>
              <w:t>1.4.1</w:t>
            </w:r>
          </w:p>
          <w:p w14:paraId="169E97C1">
            <w:pPr>
              <w:snapToGrid w:val="0"/>
              <w:spacing w:line="400" w:lineRule="exact"/>
              <w:jc w:val="center"/>
              <w:rPr>
                <w:rFonts w:ascii="宋体" w:hAnsi="宋体"/>
                <w:color w:val="auto"/>
                <w:kern w:val="0"/>
                <w:szCs w:val="21"/>
              </w:rPr>
            </w:pPr>
          </w:p>
          <w:p w14:paraId="60C5F92F">
            <w:pPr>
              <w:snapToGrid w:val="0"/>
              <w:spacing w:line="400" w:lineRule="exact"/>
              <w:jc w:val="center"/>
              <w:rPr>
                <w:rFonts w:ascii="宋体" w:hAnsi="宋体"/>
                <w:color w:val="auto"/>
                <w:kern w:val="0"/>
                <w:szCs w:val="21"/>
              </w:rPr>
            </w:pPr>
          </w:p>
          <w:p w14:paraId="789BE5B7">
            <w:pPr>
              <w:snapToGrid w:val="0"/>
              <w:spacing w:line="400" w:lineRule="exact"/>
              <w:jc w:val="center"/>
              <w:rPr>
                <w:rFonts w:ascii="宋体" w:hAnsi="宋体"/>
                <w:color w:val="auto"/>
                <w:kern w:val="0"/>
                <w:szCs w:val="21"/>
              </w:rPr>
            </w:pPr>
          </w:p>
          <w:p w14:paraId="4179D4BE">
            <w:pPr>
              <w:snapToGrid w:val="0"/>
              <w:spacing w:line="400" w:lineRule="exact"/>
              <w:jc w:val="center"/>
              <w:rPr>
                <w:rFonts w:ascii="宋体" w:hAnsi="宋体"/>
                <w:color w:val="auto"/>
                <w:kern w:val="0"/>
                <w:szCs w:val="21"/>
              </w:rPr>
            </w:pPr>
          </w:p>
          <w:p w14:paraId="4D5EB7D0">
            <w:pPr>
              <w:snapToGrid w:val="0"/>
              <w:spacing w:line="400" w:lineRule="exact"/>
              <w:jc w:val="center"/>
              <w:rPr>
                <w:rFonts w:ascii="宋体" w:hAnsi="宋体"/>
                <w:color w:val="auto"/>
                <w:kern w:val="0"/>
                <w:szCs w:val="21"/>
              </w:rPr>
            </w:pPr>
          </w:p>
          <w:p w14:paraId="659D2C74">
            <w:pPr>
              <w:snapToGrid w:val="0"/>
              <w:spacing w:line="400" w:lineRule="exact"/>
              <w:jc w:val="center"/>
              <w:rPr>
                <w:rFonts w:ascii="宋体" w:hAnsi="宋体"/>
                <w:color w:val="auto"/>
                <w:kern w:val="0"/>
                <w:szCs w:val="21"/>
              </w:rPr>
            </w:pPr>
          </w:p>
          <w:p w14:paraId="321518FA">
            <w:pPr>
              <w:snapToGrid w:val="0"/>
              <w:spacing w:line="400" w:lineRule="exact"/>
              <w:jc w:val="center"/>
              <w:rPr>
                <w:rFonts w:ascii="宋体" w:hAnsi="宋体"/>
                <w:color w:val="auto"/>
                <w:kern w:val="0"/>
                <w:szCs w:val="21"/>
              </w:rPr>
            </w:pPr>
          </w:p>
          <w:p w14:paraId="1C546C8B">
            <w:pPr>
              <w:snapToGrid w:val="0"/>
              <w:spacing w:line="400" w:lineRule="exact"/>
              <w:jc w:val="center"/>
              <w:rPr>
                <w:rFonts w:ascii="宋体" w:hAnsi="宋体"/>
                <w:color w:val="auto"/>
                <w:kern w:val="0"/>
                <w:szCs w:val="21"/>
              </w:rPr>
            </w:pPr>
          </w:p>
          <w:p w14:paraId="1C4D6E5C">
            <w:pPr>
              <w:snapToGrid w:val="0"/>
              <w:spacing w:line="400" w:lineRule="exact"/>
              <w:jc w:val="center"/>
              <w:rPr>
                <w:rFonts w:ascii="宋体" w:hAnsi="宋体"/>
                <w:color w:val="auto"/>
                <w:kern w:val="0"/>
                <w:szCs w:val="21"/>
              </w:rPr>
            </w:pPr>
          </w:p>
          <w:p w14:paraId="73994D4A">
            <w:pPr>
              <w:snapToGrid w:val="0"/>
              <w:spacing w:line="400" w:lineRule="exact"/>
              <w:jc w:val="center"/>
              <w:rPr>
                <w:rFonts w:ascii="宋体" w:hAnsi="宋体"/>
                <w:color w:val="auto"/>
                <w:kern w:val="0"/>
                <w:szCs w:val="21"/>
              </w:rPr>
            </w:pPr>
          </w:p>
          <w:p w14:paraId="078A51C0">
            <w:pPr>
              <w:snapToGrid w:val="0"/>
              <w:spacing w:line="400" w:lineRule="exact"/>
              <w:jc w:val="center"/>
              <w:rPr>
                <w:rFonts w:ascii="宋体" w:hAnsi="宋体"/>
                <w:color w:val="auto"/>
                <w:kern w:val="0"/>
                <w:szCs w:val="21"/>
              </w:rPr>
            </w:pPr>
          </w:p>
          <w:p w14:paraId="1DA0B4C9">
            <w:pPr>
              <w:snapToGrid w:val="0"/>
              <w:spacing w:line="400" w:lineRule="exact"/>
              <w:jc w:val="center"/>
              <w:rPr>
                <w:rFonts w:ascii="宋体" w:hAnsi="宋体"/>
                <w:color w:val="auto"/>
                <w:kern w:val="0"/>
                <w:szCs w:val="21"/>
              </w:rPr>
            </w:pPr>
          </w:p>
          <w:p w14:paraId="46367B32">
            <w:pPr>
              <w:snapToGrid w:val="0"/>
              <w:spacing w:line="400" w:lineRule="exact"/>
              <w:jc w:val="center"/>
              <w:rPr>
                <w:rFonts w:ascii="宋体" w:hAnsi="宋体"/>
                <w:color w:val="auto"/>
                <w:kern w:val="0"/>
                <w:szCs w:val="21"/>
              </w:rPr>
            </w:pPr>
          </w:p>
          <w:p w14:paraId="28F65F8D">
            <w:pPr>
              <w:snapToGrid w:val="0"/>
              <w:spacing w:line="400" w:lineRule="exact"/>
              <w:jc w:val="center"/>
              <w:rPr>
                <w:rFonts w:ascii="宋体" w:hAnsi="宋体"/>
                <w:color w:val="auto"/>
                <w:kern w:val="0"/>
                <w:szCs w:val="21"/>
              </w:rPr>
            </w:pPr>
          </w:p>
          <w:p w14:paraId="27757F0A">
            <w:pPr>
              <w:snapToGrid w:val="0"/>
              <w:spacing w:line="400" w:lineRule="exact"/>
              <w:jc w:val="center"/>
              <w:rPr>
                <w:rFonts w:ascii="宋体" w:hAnsi="宋体"/>
                <w:color w:val="auto"/>
                <w:kern w:val="0"/>
                <w:szCs w:val="21"/>
              </w:rPr>
            </w:pPr>
          </w:p>
          <w:p w14:paraId="57F07CE9">
            <w:pPr>
              <w:snapToGrid w:val="0"/>
              <w:spacing w:line="400" w:lineRule="exact"/>
              <w:jc w:val="center"/>
              <w:rPr>
                <w:rFonts w:ascii="宋体" w:hAnsi="宋体"/>
                <w:color w:val="auto"/>
                <w:kern w:val="0"/>
                <w:szCs w:val="21"/>
              </w:rPr>
            </w:pPr>
          </w:p>
          <w:p w14:paraId="3026D5A5">
            <w:pPr>
              <w:snapToGrid w:val="0"/>
              <w:spacing w:line="400" w:lineRule="exact"/>
              <w:jc w:val="center"/>
              <w:rPr>
                <w:rFonts w:ascii="宋体" w:hAnsi="宋体"/>
                <w:color w:val="auto"/>
                <w:kern w:val="0"/>
                <w:szCs w:val="21"/>
              </w:rPr>
            </w:pPr>
          </w:p>
          <w:p w14:paraId="45FE1FAE">
            <w:pPr>
              <w:snapToGrid w:val="0"/>
              <w:spacing w:line="400" w:lineRule="exact"/>
              <w:jc w:val="center"/>
              <w:rPr>
                <w:rFonts w:ascii="宋体" w:hAnsi="宋体"/>
                <w:color w:val="auto"/>
                <w:kern w:val="0"/>
                <w:szCs w:val="21"/>
              </w:rPr>
            </w:pPr>
          </w:p>
          <w:p w14:paraId="40567022">
            <w:pPr>
              <w:snapToGrid w:val="0"/>
              <w:spacing w:line="400" w:lineRule="exact"/>
              <w:jc w:val="center"/>
              <w:rPr>
                <w:rFonts w:ascii="宋体" w:hAnsi="宋体"/>
                <w:color w:val="auto"/>
                <w:kern w:val="0"/>
                <w:szCs w:val="21"/>
              </w:rPr>
            </w:pPr>
          </w:p>
          <w:p w14:paraId="285F52A7">
            <w:pPr>
              <w:snapToGrid w:val="0"/>
              <w:spacing w:line="400" w:lineRule="exact"/>
              <w:jc w:val="center"/>
              <w:rPr>
                <w:rFonts w:ascii="宋体" w:hAnsi="宋体"/>
                <w:color w:val="auto"/>
                <w:kern w:val="0"/>
                <w:szCs w:val="21"/>
              </w:rPr>
            </w:pPr>
          </w:p>
          <w:p w14:paraId="369149B0">
            <w:pPr>
              <w:snapToGrid w:val="0"/>
              <w:spacing w:line="400" w:lineRule="exact"/>
              <w:jc w:val="center"/>
              <w:rPr>
                <w:rFonts w:ascii="宋体" w:hAnsi="宋体"/>
                <w:color w:val="auto"/>
                <w:kern w:val="0"/>
                <w:szCs w:val="21"/>
              </w:rPr>
            </w:pPr>
          </w:p>
          <w:p w14:paraId="53B8C537">
            <w:pPr>
              <w:snapToGrid w:val="0"/>
              <w:spacing w:line="400" w:lineRule="exact"/>
              <w:jc w:val="center"/>
              <w:rPr>
                <w:rFonts w:ascii="宋体" w:hAnsi="宋体"/>
                <w:color w:val="auto"/>
                <w:kern w:val="0"/>
                <w:szCs w:val="21"/>
              </w:rPr>
            </w:pPr>
          </w:p>
          <w:p w14:paraId="030E04A3">
            <w:pPr>
              <w:snapToGrid w:val="0"/>
              <w:spacing w:line="400" w:lineRule="exact"/>
              <w:jc w:val="center"/>
              <w:rPr>
                <w:rFonts w:ascii="宋体" w:hAnsi="宋体"/>
                <w:color w:val="auto"/>
                <w:kern w:val="0"/>
                <w:szCs w:val="21"/>
              </w:rPr>
            </w:pPr>
          </w:p>
          <w:p w14:paraId="4D60D917">
            <w:pPr>
              <w:snapToGrid w:val="0"/>
              <w:spacing w:line="400" w:lineRule="exact"/>
              <w:jc w:val="center"/>
              <w:rPr>
                <w:rFonts w:ascii="宋体" w:hAnsi="宋体"/>
                <w:color w:val="auto"/>
                <w:kern w:val="0"/>
                <w:szCs w:val="21"/>
              </w:rPr>
            </w:pPr>
          </w:p>
          <w:p w14:paraId="77D2ADC2">
            <w:pPr>
              <w:snapToGrid w:val="0"/>
              <w:spacing w:line="400" w:lineRule="exact"/>
              <w:jc w:val="center"/>
              <w:rPr>
                <w:rFonts w:ascii="宋体" w:hAnsi="宋体"/>
                <w:color w:val="auto"/>
                <w:kern w:val="0"/>
                <w:szCs w:val="21"/>
              </w:rPr>
            </w:pPr>
          </w:p>
          <w:p w14:paraId="4DC45D8C">
            <w:pPr>
              <w:snapToGrid w:val="0"/>
              <w:spacing w:line="400" w:lineRule="exact"/>
              <w:jc w:val="center"/>
              <w:rPr>
                <w:rFonts w:ascii="宋体" w:hAnsi="宋体"/>
                <w:color w:val="auto"/>
                <w:kern w:val="0"/>
                <w:szCs w:val="21"/>
              </w:rPr>
            </w:pPr>
          </w:p>
          <w:p w14:paraId="0A49325D">
            <w:pPr>
              <w:snapToGrid w:val="0"/>
              <w:spacing w:line="400" w:lineRule="exact"/>
              <w:jc w:val="center"/>
              <w:rPr>
                <w:rFonts w:ascii="宋体" w:hAnsi="宋体"/>
                <w:color w:val="auto"/>
                <w:kern w:val="0"/>
                <w:szCs w:val="21"/>
              </w:rPr>
            </w:pPr>
          </w:p>
          <w:p w14:paraId="7CBE4435">
            <w:pPr>
              <w:snapToGrid w:val="0"/>
              <w:spacing w:line="400" w:lineRule="exact"/>
              <w:jc w:val="center"/>
              <w:rPr>
                <w:rFonts w:ascii="宋体" w:hAnsi="宋体"/>
                <w:color w:val="auto"/>
                <w:kern w:val="0"/>
                <w:szCs w:val="21"/>
              </w:rPr>
            </w:pPr>
          </w:p>
          <w:p w14:paraId="3A808D08">
            <w:pPr>
              <w:snapToGrid w:val="0"/>
              <w:spacing w:line="400" w:lineRule="exact"/>
              <w:jc w:val="center"/>
              <w:rPr>
                <w:rFonts w:ascii="宋体" w:hAnsi="宋体"/>
                <w:color w:val="auto"/>
                <w:kern w:val="0"/>
                <w:szCs w:val="21"/>
              </w:rPr>
            </w:pPr>
          </w:p>
          <w:p w14:paraId="39EF74FB">
            <w:pPr>
              <w:snapToGrid w:val="0"/>
              <w:spacing w:line="400" w:lineRule="exact"/>
              <w:jc w:val="center"/>
              <w:rPr>
                <w:rFonts w:ascii="宋体" w:hAnsi="宋体"/>
                <w:color w:val="auto"/>
                <w:kern w:val="0"/>
                <w:szCs w:val="21"/>
              </w:rPr>
            </w:pPr>
          </w:p>
          <w:p w14:paraId="6C531640">
            <w:pPr>
              <w:snapToGrid w:val="0"/>
              <w:spacing w:line="400" w:lineRule="exact"/>
              <w:jc w:val="center"/>
              <w:rPr>
                <w:rFonts w:ascii="宋体" w:hAnsi="宋体"/>
                <w:color w:val="auto"/>
                <w:kern w:val="0"/>
                <w:szCs w:val="21"/>
              </w:rPr>
            </w:pPr>
          </w:p>
          <w:p w14:paraId="66F44214">
            <w:pPr>
              <w:snapToGrid w:val="0"/>
              <w:spacing w:line="400" w:lineRule="exact"/>
              <w:jc w:val="center"/>
              <w:rPr>
                <w:rFonts w:ascii="宋体" w:hAnsi="宋体"/>
                <w:color w:val="auto"/>
                <w:kern w:val="0"/>
                <w:szCs w:val="21"/>
              </w:rPr>
            </w:pPr>
            <w:r>
              <w:rPr>
                <w:rFonts w:ascii="宋体" w:hAnsi="宋体"/>
                <w:color w:val="auto"/>
                <w:kern w:val="0"/>
                <w:szCs w:val="21"/>
              </w:rPr>
              <w:t>1.4.1</w:t>
            </w:r>
          </w:p>
          <w:p w14:paraId="1B67F87B">
            <w:pPr>
              <w:snapToGrid w:val="0"/>
              <w:spacing w:line="400" w:lineRule="exact"/>
              <w:jc w:val="center"/>
              <w:rPr>
                <w:rFonts w:ascii="宋体" w:hAnsi="宋体"/>
                <w:color w:val="auto"/>
                <w:kern w:val="0"/>
                <w:szCs w:val="21"/>
              </w:rPr>
            </w:pPr>
          </w:p>
          <w:p w14:paraId="18DB8F6E">
            <w:pPr>
              <w:snapToGrid w:val="0"/>
              <w:spacing w:line="400" w:lineRule="exact"/>
              <w:jc w:val="center"/>
              <w:rPr>
                <w:rFonts w:ascii="宋体" w:hAnsi="宋体"/>
                <w:color w:val="auto"/>
                <w:kern w:val="0"/>
                <w:szCs w:val="21"/>
              </w:rPr>
            </w:pPr>
          </w:p>
          <w:p w14:paraId="095FA43B">
            <w:pPr>
              <w:snapToGrid w:val="0"/>
              <w:spacing w:line="400" w:lineRule="exact"/>
              <w:jc w:val="center"/>
              <w:rPr>
                <w:rFonts w:ascii="宋体" w:hAnsi="宋体"/>
                <w:color w:val="auto"/>
                <w:kern w:val="0"/>
                <w:szCs w:val="21"/>
              </w:rPr>
            </w:pPr>
          </w:p>
          <w:p w14:paraId="7E0BC7DC">
            <w:pPr>
              <w:snapToGrid w:val="0"/>
              <w:spacing w:line="400" w:lineRule="exact"/>
              <w:jc w:val="center"/>
              <w:rPr>
                <w:rFonts w:ascii="宋体" w:hAnsi="宋体"/>
                <w:color w:val="auto"/>
                <w:kern w:val="0"/>
                <w:szCs w:val="21"/>
              </w:rPr>
            </w:pPr>
          </w:p>
          <w:p w14:paraId="0CAF080E">
            <w:pPr>
              <w:snapToGrid w:val="0"/>
              <w:spacing w:line="400" w:lineRule="exact"/>
              <w:jc w:val="center"/>
              <w:rPr>
                <w:rFonts w:ascii="宋体" w:hAnsi="宋体"/>
                <w:color w:val="auto"/>
                <w:kern w:val="0"/>
                <w:szCs w:val="21"/>
              </w:rPr>
            </w:pPr>
          </w:p>
          <w:p w14:paraId="608FDCF6">
            <w:pPr>
              <w:snapToGrid w:val="0"/>
              <w:spacing w:line="400" w:lineRule="exact"/>
              <w:jc w:val="center"/>
              <w:rPr>
                <w:rFonts w:ascii="宋体" w:hAnsi="宋体"/>
                <w:color w:val="auto"/>
                <w:kern w:val="0"/>
                <w:szCs w:val="21"/>
              </w:rPr>
            </w:pPr>
          </w:p>
          <w:p w14:paraId="676FA8DF">
            <w:pPr>
              <w:snapToGrid w:val="0"/>
              <w:spacing w:line="400" w:lineRule="exact"/>
              <w:jc w:val="center"/>
              <w:rPr>
                <w:rFonts w:ascii="宋体" w:hAnsi="宋体"/>
                <w:color w:val="auto"/>
                <w:kern w:val="0"/>
                <w:szCs w:val="21"/>
              </w:rPr>
            </w:pPr>
          </w:p>
          <w:p w14:paraId="30DD19D1">
            <w:pPr>
              <w:snapToGrid w:val="0"/>
              <w:spacing w:line="400" w:lineRule="exact"/>
              <w:jc w:val="center"/>
              <w:rPr>
                <w:rFonts w:ascii="宋体" w:hAnsi="宋体"/>
                <w:color w:val="auto"/>
                <w:kern w:val="0"/>
                <w:szCs w:val="21"/>
              </w:rPr>
            </w:pPr>
          </w:p>
          <w:p w14:paraId="14B48E11">
            <w:pPr>
              <w:snapToGrid w:val="0"/>
              <w:spacing w:line="400" w:lineRule="exact"/>
              <w:jc w:val="center"/>
              <w:rPr>
                <w:rFonts w:ascii="宋体" w:hAnsi="宋体"/>
                <w:color w:val="auto"/>
                <w:kern w:val="0"/>
                <w:szCs w:val="21"/>
              </w:rPr>
            </w:pPr>
          </w:p>
          <w:p w14:paraId="7BD9E9D0">
            <w:pPr>
              <w:snapToGrid w:val="0"/>
              <w:spacing w:line="400" w:lineRule="exact"/>
              <w:jc w:val="center"/>
              <w:rPr>
                <w:rFonts w:ascii="宋体" w:hAnsi="宋体"/>
                <w:color w:val="auto"/>
                <w:kern w:val="0"/>
                <w:szCs w:val="21"/>
              </w:rPr>
            </w:pPr>
          </w:p>
          <w:p w14:paraId="0E5B26B9">
            <w:pPr>
              <w:snapToGrid w:val="0"/>
              <w:spacing w:line="400" w:lineRule="exact"/>
              <w:jc w:val="center"/>
              <w:rPr>
                <w:rFonts w:ascii="宋体" w:hAnsi="宋体"/>
                <w:color w:val="auto"/>
                <w:kern w:val="0"/>
                <w:szCs w:val="21"/>
              </w:rPr>
            </w:pPr>
          </w:p>
          <w:p w14:paraId="2A7847BC">
            <w:pPr>
              <w:snapToGrid w:val="0"/>
              <w:spacing w:line="400" w:lineRule="exact"/>
              <w:jc w:val="center"/>
              <w:rPr>
                <w:rFonts w:ascii="宋体" w:hAnsi="宋体"/>
                <w:color w:val="auto"/>
                <w:kern w:val="0"/>
                <w:szCs w:val="21"/>
              </w:rPr>
            </w:pPr>
          </w:p>
          <w:p w14:paraId="2EAB0A4D">
            <w:pPr>
              <w:snapToGrid w:val="0"/>
              <w:spacing w:line="400" w:lineRule="exact"/>
              <w:jc w:val="center"/>
              <w:rPr>
                <w:rFonts w:ascii="宋体" w:hAnsi="宋体"/>
                <w:color w:val="auto"/>
                <w:kern w:val="0"/>
                <w:szCs w:val="21"/>
              </w:rPr>
            </w:pPr>
          </w:p>
          <w:p w14:paraId="1904A436">
            <w:pPr>
              <w:snapToGrid w:val="0"/>
              <w:spacing w:line="400" w:lineRule="exact"/>
              <w:jc w:val="center"/>
              <w:rPr>
                <w:rFonts w:ascii="宋体" w:hAnsi="宋体"/>
                <w:color w:val="auto"/>
                <w:kern w:val="0"/>
                <w:szCs w:val="21"/>
              </w:rPr>
            </w:pPr>
          </w:p>
          <w:p w14:paraId="67CC568B">
            <w:pPr>
              <w:snapToGrid w:val="0"/>
              <w:spacing w:line="400" w:lineRule="exact"/>
              <w:jc w:val="center"/>
              <w:rPr>
                <w:rFonts w:ascii="宋体" w:hAnsi="宋体"/>
                <w:color w:val="auto"/>
                <w:kern w:val="0"/>
                <w:szCs w:val="21"/>
              </w:rPr>
            </w:pPr>
          </w:p>
          <w:p w14:paraId="62A374F0">
            <w:pPr>
              <w:snapToGrid w:val="0"/>
              <w:spacing w:line="400" w:lineRule="exact"/>
              <w:jc w:val="center"/>
              <w:rPr>
                <w:rFonts w:ascii="宋体" w:hAnsi="宋体"/>
                <w:color w:val="auto"/>
                <w:kern w:val="0"/>
                <w:szCs w:val="21"/>
              </w:rPr>
            </w:pPr>
          </w:p>
          <w:p w14:paraId="5DE4E690">
            <w:pPr>
              <w:snapToGrid w:val="0"/>
              <w:spacing w:line="400" w:lineRule="exact"/>
              <w:jc w:val="center"/>
              <w:rPr>
                <w:rFonts w:ascii="宋体" w:hAnsi="宋体"/>
                <w:color w:val="auto"/>
                <w:kern w:val="0"/>
                <w:szCs w:val="21"/>
              </w:rPr>
            </w:pPr>
          </w:p>
          <w:p w14:paraId="033F22E4">
            <w:pPr>
              <w:snapToGrid w:val="0"/>
              <w:spacing w:line="400" w:lineRule="exact"/>
              <w:jc w:val="center"/>
              <w:rPr>
                <w:rFonts w:ascii="宋体" w:hAnsi="宋体"/>
                <w:color w:val="auto"/>
                <w:kern w:val="0"/>
                <w:szCs w:val="21"/>
              </w:rPr>
            </w:pPr>
          </w:p>
          <w:p w14:paraId="4081907F">
            <w:pPr>
              <w:snapToGrid w:val="0"/>
              <w:spacing w:line="400" w:lineRule="exact"/>
              <w:jc w:val="center"/>
              <w:rPr>
                <w:rFonts w:ascii="宋体" w:hAnsi="宋体"/>
                <w:color w:val="auto"/>
                <w:kern w:val="0"/>
                <w:szCs w:val="21"/>
              </w:rPr>
            </w:pPr>
          </w:p>
          <w:p w14:paraId="5F53B728">
            <w:pPr>
              <w:snapToGrid w:val="0"/>
              <w:spacing w:line="400" w:lineRule="exact"/>
              <w:jc w:val="center"/>
              <w:rPr>
                <w:rFonts w:ascii="宋体" w:hAnsi="宋体"/>
                <w:color w:val="auto"/>
                <w:kern w:val="0"/>
                <w:szCs w:val="21"/>
              </w:rPr>
            </w:pPr>
          </w:p>
          <w:p w14:paraId="1DC73843">
            <w:pPr>
              <w:snapToGrid w:val="0"/>
              <w:spacing w:line="400" w:lineRule="exact"/>
              <w:jc w:val="center"/>
              <w:rPr>
                <w:rFonts w:ascii="宋体" w:hAnsi="宋体"/>
                <w:color w:val="auto"/>
                <w:kern w:val="0"/>
                <w:szCs w:val="21"/>
              </w:rPr>
            </w:pPr>
          </w:p>
          <w:p w14:paraId="2A7D4150">
            <w:pPr>
              <w:snapToGrid w:val="0"/>
              <w:spacing w:line="400" w:lineRule="exact"/>
              <w:jc w:val="center"/>
              <w:rPr>
                <w:rFonts w:ascii="宋体" w:hAnsi="宋体"/>
                <w:color w:val="auto"/>
                <w:kern w:val="0"/>
                <w:szCs w:val="21"/>
              </w:rPr>
            </w:pPr>
          </w:p>
          <w:p w14:paraId="15A4F27C">
            <w:pPr>
              <w:snapToGrid w:val="0"/>
              <w:spacing w:line="400" w:lineRule="exact"/>
              <w:jc w:val="center"/>
              <w:rPr>
                <w:rFonts w:ascii="宋体" w:hAnsi="宋体"/>
                <w:color w:val="auto"/>
                <w:kern w:val="0"/>
                <w:szCs w:val="21"/>
              </w:rPr>
            </w:pPr>
          </w:p>
          <w:p w14:paraId="1BF18B1B">
            <w:pPr>
              <w:snapToGrid w:val="0"/>
              <w:spacing w:line="400" w:lineRule="exact"/>
              <w:jc w:val="center"/>
              <w:rPr>
                <w:rFonts w:ascii="宋体" w:hAnsi="宋体"/>
                <w:color w:val="auto"/>
                <w:kern w:val="0"/>
                <w:szCs w:val="21"/>
              </w:rPr>
            </w:pPr>
          </w:p>
          <w:p w14:paraId="7BFAE7A1">
            <w:pPr>
              <w:snapToGrid w:val="0"/>
              <w:spacing w:line="400" w:lineRule="exact"/>
              <w:jc w:val="center"/>
              <w:rPr>
                <w:rFonts w:ascii="宋体" w:hAnsi="宋体"/>
                <w:color w:val="auto"/>
                <w:kern w:val="0"/>
                <w:szCs w:val="21"/>
              </w:rPr>
            </w:pPr>
          </w:p>
          <w:p w14:paraId="3DD0F13E">
            <w:pPr>
              <w:snapToGrid w:val="0"/>
              <w:spacing w:line="400" w:lineRule="exact"/>
              <w:jc w:val="center"/>
              <w:rPr>
                <w:rFonts w:ascii="宋体" w:hAnsi="宋体"/>
                <w:color w:val="auto"/>
                <w:kern w:val="0"/>
                <w:szCs w:val="21"/>
              </w:rPr>
            </w:pPr>
          </w:p>
          <w:p w14:paraId="62C76AF1">
            <w:pPr>
              <w:snapToGrid w:val="0"/>
              <w:spacing w:line="400" w:lineRule="exact"/>
              <w:jc w:val="center"/>
              <w:rPr>
                <w:rFonts w:ascii="宋体" w:hAnsi="宋体"/>
                <w:color w:val="auto"/>
                <w:kern w:val="0"/>
                <w:szCs w:val="21"/>
              </w:rPr>
            </w:pPr>
          </w:p>
          <w:p w14:paraId="79CFE47A">
            <w:pPr>
              <w:snapToGrid w:val="0"/>
              <w:spacing w:line="400" w:lineRule="exact"/>
              <w:jc w:val="center"/>
              <w:rPr>
                <w:rFonts w:ascii="宋体" w:hAnsi="宋体"/>
                <w:color w:val="auto"/>
                <w:kern w:val="0"/>
                <w:szCs w:val="21"/>
              </w:rPr>
            </w:pPr>
          </w:p>
          <w:p w14:paraId="4426CA84">
            <w:pPr>
              <w:snapToGrid w:val="0"/>
              <w:spacing w:line="400" w:lineRule="exact"/>
              <w:jc w:val="center"/>
              <w:rPr>
                <w:rFonts w:ascii="宋体" w:hAnsi="宋体"/>
                <w:color w:val="auto"/>
                <w:kern w:val="0"/>
                <w:szCs w:val="21"/>
              </w:rPr>
            </w:pPr>
          </w:p>
          <w:p w14:paraId="4C51377B">
            <w:pPr>
              <w:snapToGrid w:val="0"/>
              <w:spacing w:line="400" w:lineRule="exact"/>
              <w:jc w:val="center"/>
              <w:rPr>
                <w:rFonts w:ascii="宋体" w:hAnsi="宋体"/>
                <w:color w:val="auto"/>
                <w:kern w:val="0"/>
                <w:szCs w:val="21"/>
              </w:rPr>
            </w:pPr>
          </w:p>
          <w:p w14:paraId="31F19B7A">
            <w:pPr>
              <w:snapToGrid w:val="0"/>
              <w:spacing w:line="400" w:lineRule="exact"/>
              <w:jc w:val="center"/>
              <w:rPr>
                <w:rFonts w:ascii="宋体" w:hAnsi="宋体"/>
                <w:color w:val="auto"/>
                <w:kern w:val="0"/>
                <w:szCs w:val="21"/>
              </w:rPr>
            </w:pPr>
          </w:p>
          <w:p w14:paraId="247C34D4">
            <w:pPr>
              <w:snapToGrid w:val="0"/>
              <w:spacing w:line="400" w:lineRule="exact"/>
              <w:jc w:val="center"/>
              <w:rPr>
                <w:rFonts w:ascii="宋体" w:hAnsi="宋体"/>
                <w:color w:val="auto"/>
                <w:kern w:val="0"/>
                <w:szCs w:val="21"/>
              </w:rPr>
            </w:pPr>
          </w:p>
          <w:p w14:paraId="43650EB3">
            <w:pPr>
              <w:snapToGrid w:val="0"/>
              <w:spacing w:line="400" w:lineRule="exact"/>
              <w:jc w:val="center"/>
              <w:rPr>
                <w:rFonts w:ascii="宋体" w:hAnsi="宋体"/>
                <w:color w:val="auto"/>
                <w:kern w:val="0"/>
                <w:szCs w:val="21"/>
              </w:rPr>
            </w:pPr>
            <w:r>
              <w:rPr>
                <w:rFonts w:ascii="宋体" w:hAnsi="宋体"/>
                <w:color w:val="auto"/>
                <w:kern w:val="0"/>
                <w:szCs w:val="21"/>
              </w:rPr>
              <w:t>1.4.1</w:t>
            </w:r>
          </w:p>
          <w:p w14:paraId="032FCF69">
            <w:pPr>
              <w:snapToGrid w:val="0"/>
              <w:spacing w:line="400" w:lineRule="exact"/>
              <w:jc w:val="center"/>
              <w:rPr>
                <w:rFonts w:ascii="宋体" w:hAnsi="宋体"/>
                <w:color w:val="auto"/>
                <w:kern w:val="0"/>
                <w:szCs w:val="21"/>
              </w:rPr>
            </w:pPr>
          </w:p>
          <w:p w14:paraId="27A7B77D">
            <w:pPr>
              <w:snapToGrid w:val="0"/>
              <w:spacing w:line="400" w:lineRule="exact"/>
              <w:jc w:val="center"/>
              <w:rPr>
                <w:rFonts w:ascii="宋体" w:hAnsi="宋体"/>
                <w:color w:val="auto"/>
                <w:kern w:val="0"/>
                <w:szCs w:val="21"/>
              </w:rPr>
            </w:pPr>
          </w:p>
          <w:p w14:paraId="7BC97260">
            <w:pPr>
              <w:snapToGrid w:val="0"/>
              <w:spacing w:line="400" w:lineRule="exact"/>
              <w:jc w:val="center"/>
              <w:rPr>
                <w:rFonts w:ascii="宋体" w:hAnsi="宋体"/>
                <w:color w:val="auto"/>
                <w:kern w:val="0"/>
                <w:szCs w:val="21"/>
              </w:rPr>
            </w:pPr>
          </w:p>
          <w:p w14:paraId="5076256F">
            <w:pPr>
              <w:snapToGrid w:val="0"/>
              <w:spacing w:line="400" w:lineRule="exact"/>
              <w:jc w:val="center"/>
              <w:rPr>
                <w:rFonts w:ascii="宋体" w:hAnsi="宋体"/>
                <w:color w:val="auto"/>
                <w:kern w:val="0"/>
                <w:szCs w:val="21"/>
              </w:rPr>
            </w:pPr>
          </w:p>
          <w:p w14:paraId="5F482E91">
            <w:pPr>
              <w:snapToGrid w:val="0"/>
              <w:spacing w:line="400" w:lineRule="exact"/>
              <w:jc w:val="center"/>
              <w:rPr>
                <w:rFonts w:ascii="宋体" w:hAnsi="宋体"/>
                <w:color w:val="auto"/>
                <w:kern w:val="0"/>
                <w:szCs w:val="21"/>
              </w:rPr>
            </w:pPr>
          </w:p>
          <w:p w14:paraId="296E46F4">
            <w:pPr>
              <w:snapToGrid w:val="0"/>
              <w:spacing w:line="400" w:lineRule="exact"/>
              <w:jc w:val="center"/>
              <w:rPr>
                <w:rFonts w:ascii="宋体" w:hAnsi="宋体"/>
                <w:color w:val="auto"/>
                <w:kern w:val="0"/>
                <w:szCs w:val="21"/>
              </w:rPr>
            </w:pPr>
          </w:p>
          <w:p w14:paraId="1B1ADDA0">
            <w:pPr>
              <w:snapToGrid w:val="0"/>
              <w:spacing w:line="400" w:lineRule="exact"/>
              <w:jc w:val="center"/>
              <w:rPr>
                <w:rFonts w:ascii="宋体" w:hAnsi="宋体"/>
                <w:color w:val="auto"/>
                <w:kern w:val="0"/>
                <w:szCs w:val="21"/>
              </w:rPr>
            </w:pPr>
          </w:p>
          <w:p w14:paraId="41C84EAE">
            <w:pPr>
              <w:snapToGrid w:val="0"/>
              <w:spacing w:line="400" w:lineRule="exact"/>
              <w:jc w:val="center"/>
              <w:rPr>
                <w:rFonts w:ascii="宋体" w:hAnsi="宋体"/>
                <w:color w:val="auto"/>
                <w:kern w:val="0"/>
                <w:szCs w:val="21"/>
              </w:rPr>
            </w:pPr>
          </w:p>
          <w:p w14:paraId="3B44584B">
            <w:pPr>
              <w:snapToGrid w:val="0"/>
              <w:spacing w:line="400" w:lineRule="exact"/>
              <w:jc w:val="center"/>
              <w:rPr>
                <w:rFonts w:ascii="宋体" w:hAnsi="宋体"/>
                <w:color w:val="auto"/>
                <w:kern w:val="0"/>
                <w:szCs w:val="21"/>
              </w:rPr>
            </w:pPr>
          </w:p>
          <w:p w14:paraId="09BABA88">
            <w:pPr>
              <w:snapToGrid w:val="0"/>
              <w:spacing w:line="400" w:lineRule="exact"/>
              <w:jc w:val="center"/>
              <w:rPr>
                <w:rFonts w:ascii="宋体" w:hAnsi="宋体"/>
                <w:color w:val="auto"/>
                <w:kern w:val="0"/>
                <w:szCs w:val="21"/>
              </w:rPr>
            </w:pPr>
          </w:p>
          <w:p w14:paraId="7EDEDF6A">
            <w:pPr>
              <w:snapToGrid w:val="0"/>
              <w:spacing w:line="400" w:lineRule="exact"/>
              <w:jc w:val="center"/>
              <w:rPr>
                <w:rFonts w:ascii="宋体" w:hAnsi="宋体"/>
                <w:color w:val="auto"/>
                <w:kern w:val="0"/>
                <w:szCs w:val="21"/>
              </w:rPr>
            </w:pPr>
          </w:p>
          <w:p w14:paraId="79CD0074">
            <w:pPr>
              <w:snapToGrid w:val="0"/>
              <w:spacing w:line="400" w:lineRule="exact"/>
              <w:jc w:val="center"/>
              <w:rPr>
                <w:rFonts w:ascii="宋体" w:hAnsi="宋体"/>
                <w:color w:val="auto"/>
                <w:kern w:val="0"/>
                <w:szCs w:val="21"/>
              </w:rPr>
            </w:pPr>
          </w:p>
          <w:p w14:paraId="77FD85D7">
            <w:pPr>
              <w:snapToGrid w:val="0"/>
              <w:spacing w:line="400" w:lineRule="exact"/>
              <w:jc w:val="center"/>
              <w:rPr>
                <w:rFonts w:ascii="宋体" w:hAnsi="宋体"/>
                <w:color w:val="auto"/>
                <w:kern w:val="0"/>
                <w:szCs w:val="21"/>
              </w:rPr>
            </w:pPr>
          </w:p>
          <w:p w14:paraId="72E63FA5">
            <w:pPr>
              <w:snapToGrid w:val="0"/>
              <w:spacing w:line="400" w:lineRule="exact"/>
              <w:jc w:val="center"/>
              <w:rPr>
                <w:rFonts w:ascii="宋体" w:hAnsi="宋体"/>
                <w:color w:val="auto"/>
                <w:kern w:val="0"/>
                <w:szCs w:val="21"/>
              </w:rPr>
            </w:pPr>
          </w:p>
          <w:p w14:paraId="466FBE41">
            <w:pPr>
              <w:snapToGrid w:val="0"/>
              <w:spacing w:line="400" w:lineRule="exact"/>
              <w:jc w:val="center"/>
              <w:rPr>
                <w:rFonts w:ascii="宋体" w:hAnsi="宋体"/>
                <w:color w:val="auto"/>
                <w:kern w:val="0"/>
                <w:szCs w:val="21"/>
              </w:rPr>
            </w:pPr>
          </w:p>
          <w:p w14:paraId="3F9F9C38">
            <w:pPr>
              <w:snapToGrid w:val="0"/>
              <w:spacing w:line="400" w:lineRule="exact"/>
              <w:jc w:val="center"/>
              <w:rPr>
                <w:rFonts w:ascii="宋体" w:hAnsi="宋体"/>
                <w:color w:val="auto"/>
                <w:kern w:val="0"/>
                <w:szCs w:val="21"/>
              </w:rPr>
            </w:pPr>
          </w:p>
          <w:p w14:paraId="4F89F2DD">
            <w:pPr>
              <w:snapToGrid w:val="0"/>
              <w:spacing w:line="400" w:lineRule="exact"/>
              <w:jc w:val="center"/>
              <w:rPr>
                <w:rFonts w:ascii="宋体" w:hAnsi="宋体"/>
                <w:color w:val="auto"/>
                <w:kern w:val="0"/>
                <w:szCs w:val="21"/>
              </w:rPr>
            </w:pPr>
          </w:p>
          <w:p w14:paraId="1DEAA394">
            <w:pPr>
              <w:snapToGrid w:val="0"/>
              <w:spacing w:line="400" w:lineRule="exact"/>
              <w:jc w:val="center"/>
              <w:rPr>
                <w:rFonts w:ascii="宋体" w:hAnsi="宋体"/>
                <w:color w:val="auto"/>
                <w:kern w:val="0"/>
                <w:szCs w:val="21"/>
              </w:rPr>
            </w:pPr>
          </w:p>
          <w:p w14:paraId="5AC74D65">
            <w:pPr>
              <w:snapToGrid w:val="0"/>
              <w:spacing w:line="400" w:lineRule="exact"/>
              <w:jc w:val="center"/>
              <w:rPr>
                <w:rFonts w:ascii="宋体" w:hAnsi="宋体"/>
                <w:color w:val="auto"/>
                <w:kern w:val="0"/>
                <w:szCs w:val="21"/>
              </w:rPr>
            </w:pPr>
          </w:p>
          <w:p w14:paraId="1DD4E04B">
            <w:pPr>
              <w:snapToGrid w:val="0"/>
              <w:spacing w:line="400" w:lineRule="exact"/>
              <w:jc w:val="center"/>
              <w:rPr>
                <w:rFonts w:ascii="宋体" w:hAnsi="宋体"/>
                <w:color w:val="auto"/>
                <w:kern w:val="0"/>
                <w:szCs w:val="21"/>
              </w:rPr>
            </w:pPr>
          </w:p>
          <w:p w14:paraId="5BC0FE0F">
            <w:pPr>
              <w:snapToGrid w:val="0"/>
              <w:spacing w:line="400" w:lineRule="exact"/>
              <w:jc w:val="center"/>
              <w:rPr>
                <w:rFonts w:ascii="宋体" w:hAnsi="宋体"/>
                <w:color w:val="auto"/>
                <w:kern w:val="0"/>
                <w:szCs w:val="21"/>
              </w:rPr>
            </w:pPr>
          </w:p>
          <w:p w14:paraId="2A160583">
            <w:pPr>
              <w:snapToGrid w:val="0"/>
              <w:spacing w:line="400" w:lineRule="exact"/>
              <w:jc w:val="center"/>
              <w:rPr>
                <w:rFonts w:ascii="宋体" w:hAnsi="宋体"/>
                <w:color w:val="auto"/>
                <w:kern w:val="0"/>
                <w:szCs w:val="21"/>
              </w:rPr>
            </w:pPr>
          </w:p>
          <w:p w14:paraId="7E450FAF">
            <w:pPr>
              <w:snapToGrid w:val="0"/>
              <w:spacing w:line="400" w:lineRule="exact"/>
              <w:jc w:val="center"/>
              <w:rPr>
                <w:rFonts w:ascii="宋体" w:hAnsi="宋体"/>
                <w:color w:val="auto"/>
                <w:kern w:val="0"/>
                <w:szCs w:val="21"/>
              </w:rPr>
            </w:pPr>
          </w:p>
          <w:p w14:paraId="3C4C4092">
            <w:pPr>
              <w:snapToGrid w:val="0"/>
              <w:spacing w:line="400" w:lineRule="exact"/>
              <w:jc w:val="center"/>
              <w:rPr>
                <w:rFonts w:ascii="宋体" w:hAnsi="宋体"/>
                <w:color w:val="auto"/>
                <w:kern w:val="0"/>
                <w:szCs w:val="21"/>
              </w:rPr>
            </w:pPr>
          </w:p>
          <w:p w14:paraId="05D6ABEC">
            <w:pPr>
              <w:snapToGrid w:val="0"/>
              <w:spacing w:line="400" w:lineRule="exact"/>
              <w:jc w:val="both"/>
              <w:rPr>
                <w:rFonts w:ascii="宋体" w:hAnsi="宋体"/>
                <w:color w:val="auto"/>
                <w:kern w:val="0"/>
                <w:szCs w:val="21"/>
              </w:rPr>
            </w:pPr>
          </w:p>
        </w:tc>
        <w:tc>
          <w:tcPr>
            <w:tcW w:w="1644" w:type="dxa"/>
            <w:vAlign w:val="center"/>
          </w:tcPr>
          <w:p w14:paraId="4DE508A5">
            <w:pPr>
              <w:snapToGrid w:val="0"/>
              <w:spacing w:line="400" w:lineRule="exact"/>
              <w:jc w:val="center"/>
              <w:rPr>
                <w:rFonts w:ascii="宋体" w:hAnsi="宋体"/>
                <w:color w:val="auto"/>
                <w:kern w:val="0"/>
                <w:szCs w:val="21"/>
              </w:rPr>
            </w:pPr>
          </w:p>
          <w:p w14:paraId="48F04835">
            <w:pPr>
              <w:snapToGrid w:val="0"/>
              <w:spacing w:line="400" w:lineRule="exact"/>
              <w:jc w:val="center"/>
              <w:rPr>
                <w:rFonts w:ascii="宋体" w:hAnsi="宋体"/>
                <w:color w:val="auto"/>
                <w:kern w:val="0"/>
                <w:szCs w:val="21"/>
              </w:rPr>
            </w:pPr>
          </w:p>
          <w:p w14:paraId="7A2EA2DB">
            <w:pPr>
              <w:snapToGrid w:val="0"/>
              <w:spacing w:line="400" w:lineRule="exact"/>
              <w:jc w:val="center"/>
              <w:rPr>
                <w:rFonts w:ascii="宋体" w:hAnsi="宋体"/>
                <w:color w:val="auto"/>
                <w:kern w:val="0"/>
                <w:szCs w:val="21"/>
              </w:rPr>
            </w:pPr>
          </w:p>
          <w:p w14:paraId="7F8D09AE">
            <w:pPr>
              <w:snapToGrid w:val="0"/>
              <w:spacing w:line="400" w:lineRule="exact"/>
              <w:jc w:val="center"/>
              <w:rPr>
                <w:rFonts w:ascii="宋体" w:hAnsi="宋体"/>
                <w:color w:val="auto"/>
                <w:kern w:val="0"/>
                <w:szCs w:val="21"/>
              </w:rPr>
            </w:pPr>
          </w:p>
          <w:p w14:paraId="2F9A47AF">
            <w:pPr>
              <w:snapToGrid w:val="0"/>
              <w:spacing w:line="400" w:lineRule="exact"/>
              <w:jc w:val="center"/>
              <w:rPr>
                <w:rFonts w:ascii="宋体" w:hAnsi="宋体"/>
                <w:color w:val="auto"/>
                <w:kern w:val="0"/>
                <w:szCs w:val="21"/>
              </w:rPr>
            </w:pPr>
          </w:p>
          <w:p w14:paraId="64B358C5">
            <w:pPr>
              <w:snapToGrid w:val="0"/>
              <w:spacing w:line="400" w:lineRule="exact"/>
              <w:jc w:val="center"/>
              <w:rPr>
                <w:rFonts w:ascii="宋体" w:hAnsi="宋体"/>
                <w:color w:val="auto"/>
                <w:kern w:val="0"/>
                <w:szCs w:val="21"/>
              </w:rPr>
            </w:pPr>
          </w:p>
          <w:p w14:paraId="673698B4">
            <w:pPr>
              <w:snapToGrid w:val="0"/>
              <w:spacing w:line="400" w:lineRule="exact"/>
              <w:jc w:val="center"/>
              <w:rPr>
                <w:rFonts w:ascii="宋体" w:hAnsi="宋体"/>
                <w:color w:val="auto"/>
                <w:kern w:val="0"/>
                <w:szCs w:val="21"/>
              </w:rPr>
            </w:pPr>
          </w:p>
          <w:p w14:paraId="6E080111">
            <w:pPr>
              <w:snapToGrid w:val="0"/>
              <w:spacing w:line="400" w:lineRule="exact"/>
              <w:jc w:val="center"/>
              <w:rPr>
                <w:rFonts w:ascii="宋体" w:hAnsi="宋体"/>
                <w:color w:val="auto"/>
                <w:kern w:val="0"/>
                <w:szCs w:val="21"/>
              </w:rPr>
            </w:pPr>
          </w:p>
          <w:p w14:paraId="072B32F1">
            <w:pPr>
              <w:snapToGrid w:val="0"/>
              <w:spacing w:line="400" w:lineRule="exact"/>
              <w:jc w:val="center"/>
              <w:rPr>
                <w:rFonts w:ascii="宋体" w:hAnsi="宋体"/>
                <w:color w:val="auto"/>
                <w:kern w:val="0"/>
                <w:szCs w:val="21"/>
              </w:rPr>
            </w:pPr>
          </w:p>
          <w:p w14:paraId="2E3B0524">
            <w:pPr>
              <w:snapToGrid w:val="0"/>
              <w:spacing w:line="400" w:lineRule="exact"/>
              <w:jc w:val="center"/>
              <w:rPr>
                <w:rFonts w:ascii="宋体" w:hAnsi="宋体"/>
                <w:color w:val="auto"/>
                <w:kern w:val="0"/>
                <w:szCs w:val="21"/>
              </w:rPr>
            </w:pPr>
          </w:p>
          <w:p w14:paraId="66B2D362">
            <w:pPr>
              <w:snapToGrid w:val="0"/>
              <w:spacing w:line="400" w:lineRule="exact"/>
              <w:jc w:val="center"/>
              <w:rPr>
                <w:rFonts w:ascii="宋体" w:hAnsi="宋体"/>
                <w:color w:val="auto"/>
                <w:kern w:val="0"/>
                <w:szCs w:val="21"/>
              </w:rPr>
            </w:pPr>
          </w:p>
          <w:p w14:paraId="57C12247">
            <w:pPr>
              <w:snapToGrid w:val="0"/>
              <w:spacing w:line="400" w:lineRule="exact"/>
              <w:jc w:val="center"/>
              <w:rPr>
                <w:rFonts w:ascii="宋体" w:hAnsi="宋体"/>
                <w:color w:val="auto"/>
                <w:kern w:val="0"/>
                <w:szCs w:val="21"/>
              </w:rPr>
            </w:pPr>
          </w:p>
          <w:p w14:paraId="4871BE1B">
            <w:pPr>
              <w:snapToGrid w:val="0"/>
              <w:spacing w:line="400" w:lineRule="exact"/>
              <w:jc w:val="center"/>
              <w:rPr>
                <w:rFonts w:ascii="宋体" w:hAnsi="宋体"/>
                <w:color w:val="auto"/>
                <w:kern w:val="0"/>
                <w:szCs w:val="21"/>
              </w:rPr>
            </w:pPr>
          </w:p>
          <w:p w14:paraId="2AF6682C">
            <w:pPr>
              <w:snapToGrid w:val="0"/>
              <w:spacing w:line="400" w:lineRule="exact"/>
              <w:jc w:val="center"/>
              <w:rPr>
                <w:rFonts w:ascii="宋体" w:hAnsi="宋体"/>
                <w:color w:val="auto"/>
                <w:kern w:val="0"/>
                <w:szCs w:val="21"/>
              </w:rPr>
            </w:pPr>
          </w:p>
          <w:p w14:paraId="20455924">
            <w:pPr>
              <w:snapToGrid w:val="0"/>
              <w:spacing w:line="400" w:lineRule="exact"/>
              <w:jc w:val="center"/>
              <w:rPr>
                <w:rFonts w:ascii="宋体" w:hAnsi="宋体"/>
                <w:color w:val="auto"/>
                <w:kern w:val="0"/>
                <w:szCs w:val="21"/>
              </w:rPr>
            </w:pPr>
          </w:p>
          <w:p w14:paraId="3882AAA9">
            <w:pPr>
              <w:snapToGrid w:val="0"/>
              <w:spacing w:line="400" w:lineRule="exact"/>
              <w:jc w:val="center"/>
              <w:rPr>
                <w:rFonts w:ascii="宋体" w:hAnsi="宋体"/>
                <w:color w:val="auto"/>
                <w:kern w:val="0"/>
                <w:szCs w:val="21"/>
              </w:rPr>
            </w:pPr>
          </w:p>
          <w:p w14:paraId="3410AF34">
            <w:pPr>
              <w:snapToGrid w:val="0"/>
              <w:spacing w:line="400" w:lineRule="exact"/>
              <w:jc w:val="center"/>
              <w:rPr>
                <w:rFonts w:ascii="宋体" w:hAnsi="宋体"/>
                <w:color w:val="auto"/>
                <w:kern w:val="0"/>
                <w:szCs w:val="21"/>
              </w:rPr>
            </w:pPr>
          </w:p>
          <w:p w14:paraId="433DDD56">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850ED94">
            <w:pPr>
              <w:snapToGrid w:val="0"/>
              <w:spacing w:line="400" w:lineRule="exact"/>
              <w:jc w:val="center"/>
              <w:rPr>
                <w:rFonts w:ascii="宋体" w:hAnsi="宋体"/>
                <w:color w:val="auto"/>
                <w:kern w:val="0"/>
                <w:szCs w:val="21"/>
              </w:rPr>
            </w:pPr>
          </w:p>
          <w:p w14:paraId="475E83C3">
            <w:pPr>
              <w:snapToGrid w:val="0"/>
              <w:spacing w:line="400" w:lineRule="exact"/>
              <w:jc w:val="center"/>
              <w:rPr>
                <w:rFonts w:ascii="宋体" w:hAnsi="宋体"/>
                <w:color w:val="auto"/>
                <w:kern w:val="0"/>
                <w:szCs w:val="21"/>
              </w:rPr>
            </w:pPr>
          </w:p>
          <w:p w14:paraId="594A09AC">
            <w:pPr>
              <w:snapToGrid w:val="0"/>
              <w:spacing w:line="400" w:lineRule="exact"/>
              <w:jc w:val="center"/>
              <w:rPr>
                <w:rFonts w:ascii="宋体" w:hAnsi="宋体"/>
                <w:color w:val="auto"/>
                <w:kern w:val="0"/>
                <w:szCs w:val="21"/>
              </w:rPr>
            </w:pPr>
          </w:p>
          <w:p w14:paraId="01A24C6C">
            <w:pPr>
              <w:snapToGrid w:val="0"/>
              <w:spacing w:line="400" w:lineRule="exact"/>
              <w:jc w:val="center"/>
              <w:rPr>
                <w:rFonts w:ascii="宋体" w:hAnsi="宋体"/>
                <w:color w:val="auto"/>
                <w:kern w:val="0"/>
                <w:szCs w:val="21"/>
              </w:rPr>
            </w:pPr>
          </w:p>
          <w:p w14:paraId="4A1D7DB5">
            <w:pPr>
              <w:snapToGrid w:val="0"/>
              <w:spacing w:line="400" w:lineRule="exact"/>
              <w:jc w:val="center"/>
              <w:rPr>
                <w:rFonts w:ascii="宋体" w:hAnsi="宋体"/>
                <w:color w:val="auto"/>
                <w:kern w:val="0"/>
                <w:szCs w:val="21"/>
              </w:rPr>
            </w:pPr>
          </w:p>
          <w:p w14:paraId="6C941733">
            <w:pPr>
              <w:snapToGrid w:val="0"/>
              <w:spacing w:line="400" w:lineRule="exact"/>
              <w:jc w:val="center"/>
              <w:rPr>
                <w:rFonts w:ascii="宋体" w:hAnsi="宋体"/>
                <w:color w:val="auto"/>
                <w:kern w:val="0"/>
                <w:szCs w:val="21"/>
              </w:rPr>
            </w:pPr>
          </w:p>
          <w:p w14:paraId="09B9705B">
            <w:pPr>
              <w:snapToGrid w:val="0"/>
              <w:spacing w:line="400" w:lineRule="exact"/>
              <w:jc w:val="center"/>
              <w:rPr>
                <w:rFonts w:ascii="宋体" w:hAnsi="宋体"/>
                <w:color w:val="auto"/>
                <w:kern w:val="0"/>
                <w:szCs w:val="21"/>
              </w:rPr>
            </w:pPr>
          </w:p>
          <w:p w14:paraId="14559F5E">
            <w:pPr>
              <w:snapToGrid w:val="0"/>
              <w:spacing w:line="400" w:lineRule="exact"/>
              <w:jc w:val="center"/>
              <w:rPr>
                <w:rFonts w:ascii="宋体" w:hAnsi="宋体"/>
                <w:color w:val="auto"/>
                <w:kern w:val="0"/>
                <w:szCs w:val="21"/>
              </w:rPr>
            </w:pPr>
          </w:p>
          <w:p w14:paraId="706BD600">
            <w:pPr>
              <w:snapToGrid w:val="0"/>
              <w:spacing w:line="400" w:lineRule="exact"/>
              <w:jc w:val="center"/>
              <w:rPr>
                <w:rFonts w:ascii="宋体" w:hAnsi="宋体"/>
                <w:color w:val="auto"/>
                <w:kern w:val="0"/>
                <w:szCs w:val="21"/>
              </w:rPr>
            </w:pPr>
          </w:p>
          <w:p w14:paraId="29B314BD">
            <w:pPr>
              <w:snapToGrid w:val="0"/>
              <w:spacing w:line="400" w:lineRule="exact"/>
              <w:jc w:val="center"/>
              <w:rPr>
                <w:rFonts w:ascii="宋体" w:hAnsi="宋体"/>
                <w:color w:val="auto"/>
                <w:kern w:val="0"/>
                <w:szCs w:val="21"/>
              </w:rPr>
            </w:pPr>
          </w:p>
          <w:p w14:paraId="6C265E9B">
            <w:pPr>
              <w:snapToGrid w:val="0"/>
              <w:spacing w:line="400" w:lineRule="exact"/>
              <w:jc w:val="center"/>
              <w:rPr>
                <w:rFonts w:ascii="宋体" w:hAnsi="宋体"/>
                <w:color w:val="auto"/>
                <w:kern w:val="0"/>
                <w:szCs w:val="21"/>
              </w:rPr>
            </w:pPr>
          </w:p>
          <w:p w14:paraId="2BA6FAB1">
            <w:pPr>
              <w:snapToGrid w:val="0"/>
              <w:spacing w:line="400" w:lineRule="exact"/>
              <w:jc w:val="center"/>
              <w:rPr>
                <w:rFonts w:ascii="宋体" w:hAnsi="宋体"/>
                <w:color w:val="auto"/>
                <w:kern w:val="0"/>
                <w:szCs w:val="21"/>
              </w:rPr>
            </w:pPr>
          </w:p>
          <w:p w14:paraId="02327EB1">
            <w:pPr>
              <w:snapToGrid w:val="0"/>
              <w:spacing w:line="400" w:lineRule="exact"/>
              <w:jc w:val="center"/>
              <w:rPr>
                <w:rFonts w:ascii="宋体" w:hAnsi="宋体"/>
                <w:color w:val="auto"/>
                <w:kern w:val="0"/>
                <w:szCs w:val="21"/>
              </w:rPr>
            </w:pPr>
          </w:p>
          <w:p w14:paraId="3300A08B">
            <w:pPr>
              <w:snapToGrid w:val="0"/>
              <w:spacing w:line="400" w:lineRule="exact"/>
              <w:jc w:val="center"/>
              <w:rPr>
                <w:rFonts w:ascii="宋体" w:hAnsi="宋体"/>
                <w:color w:val="auto"/>
                <w:kern w:val="0"/>
                <w:szCs w:val="21"/>
              </w:rPr>
            </w:pPr>
          </w:p>
          <w:p w14:paraId="0A587369">
            <w:pPr>
              <w:snapToGrid w:val="0"/>
              <w:spacing w:line="400" w:lineRule="exact"/>
              <w:jc w:val="center"/>
              <w:rPr>
                <w:rFonts w:ascii="宋体" w:hAnsi="宋体"/>
                <w:color w:val="auto"/>
                <w:kern w:val="0"/>
                <w:szCs w:val="21"/>
              </w:rPr>
            </w:pPr>
          </w:p>
          <w:p w14:paraId="3624B196">
            <w:pPr>
              <w:snapToGrid w:val="0"/>
              <w:spacing w:line="400" w:lineRule="exact"/>
              <w:jc w:val="center"/>
              <w:rPr>
                <w:rFonts w:ascii="宋体" w:hAnsi="宋体"/>
                <w:color w:val="auto"/>
                <w:kern w:val="0"/>
                <w:szCs w:val="21"/>
              </w:rPr>
            </w:pPr>
          </w:p>
          <w:p w14:paraId="662B07D0">
            <w:pPr>
              <w:snapToGrid w:val="0"/>
              <w:spacing w:line="400" w:lineRule="exact"/>
              <w:jc w:val="center"/>
              <w:rPr>
                <w:rFonts w:ascii="宋体" w:hAnsi="宋体"/>
                <w:color w:val="auto"/>
                <w:kern w:val="0"/>
                <w:szCs w:val="21"/>
              </w:rPr>
            </w:pPr>
          </w:p>
          <w:p w14:paraId="2B104DA5">
            <w:pPr>
              <w:snapToGrid w:val="0"/>
              <w:spacing w:line="400" w:lineRule="exact"/>
              <w:jc w:val="center"/>
              <w:rPr>
                <w:rFonts w:ascii="宋体" w:hAnsi="宋体"/>
                <w:color w:val="auto"/>
                <w:kern w:val="0"/>
                <w:szCs w:val="21"/>
              </w:rPr>
            </w:pPr>
          </w:p>
          <w:p w14:paraId="526C31B8">
            <w:pPr>
              <w:snapToGrid w:val="0"/>
              <w:spacing w:line="400" w:lineRule="exact"/>
              <w:jc w:val="center"/>
              <w:rPr>
                <w:rFonts w:ascii="宋体" w:hAnsi="宋体"/>
                <w:color w:val="auto"/>
                <w:kern w:val="0"/>
                <w:szCs w:val="21"/>
              </w:rPr>
            </w:pPr>
          </w:p>
          <w:p w14:paraId="5B721F64">
            <w:pPr>
              <w:snapToGrid w:val="0"/>
              <w:spacing w:line="400" w:lineRule="exact"/>
              <w:jc w:val="center"/>
              <w:rPr>
                <w:rFonts w:ascii="宋体" w:hAnsi="宋体"/>
                <w:color w:val="auto"/>
                <w:kern w:val="0"/>
                <w:szCs w:val="21"/>
              </w:rPr>
            </w:pPr>
          </w:p>
          <w:p w14:paraId="0FA089CA">
            <w:pPr>
              <w:snapToGrid w:val="0"/>
              <w:spacing w:line="400" w:lineRule="exact"/>
              <w:jc w:val="center"/>
              <w:rPr>
                <w:rFonts w:ascii="宋体" w:hAnsi="宋体"/>
                <w:color w:val="auto"/>
                <w:kern w:val="0"/>
                <w:szCs w:val="21"/>
              </w:rPr>
            </w:pPr>
          </w:p>
          <w:p w14:paraId="1A6FBF2E">
            <w:pPr>
              <w:snapToGrid w:val="0"/>
              <w:spacing w:line="400" w:lineRule="exact"/>
              <w:jc w:val="center"/>
              <w:rPr>
                <w:rFonts w:ascii="宋体" w:hAnsi="宋体"/>
                <w:color w:val="auto"/>
                <w:kern w:val="0"/>
                <w:szCs w:val="21"/>
              </w:rPr>
            </w:pPr>
          </w:p>
          <w:p w14:paraId="2B2D9525">
            <w:pPr>
              <w:snapToGrid w:val="0"/>
              <w:spacing w:line="400" w:lineRule="exact"/>
              <w:jc w:val="center"/>
              <w:rPr>
                <w:rFonts w:ascii="宋体" w:hAnsi="宋体"/>
                <w:color w:val="auto"/>
                <w:kern w:val="0"/>
                <w:szCs w:val="21"/>
              </w:rPr>
            </w:pPr>
          </w:p>
          <w:p w14:paraId="6D63A7BB">
            <w:pPr>
              <w:snapToGrid w:val="0"/>
              <w:spacing w:line="400" w:lineRule="exact"/>
              <w:jc w:val="center"/>
              <w:rPr>
                <w:rFonts w:ascii="宋体" w:hAnsi="宋体"/>
                <w:color w:val="auto"/>
                <w:kern w:val="0"/>
                <w:szCs w:val="21"/>
              </w:rPr>
            </w:pPr>
          </w:p>
          <w:p w14:paraId="27B3C798">
            <w:pPr>
              <w:snapToGrid w:val="0"/>
              <w:spacing w:line="400" w:lineRule="exact"/>
              <w:jc w:val="center"/>
              <w:rPr>
                <w:rFonts w:ascii="宋体" w:hAnsi="宋体"/>
                <w:color w:val="auto"/>
                <w:kern w:val="0"/>
                <w:szCs w:val="21"/>
              </w:rPr>
            </w:pPr>
          </w:p>
          <w:p w14:paraId="39D2E796">
            <w:pPr>
              <w:snapToGrid w:val="0"/>
              <w:spacing w:line="400" w:lineRule="exact"/>
              <w:jc w:val="center"/>
              <w:rPr>
                <w:rFonts w:ascii="宋体" w:hAnsi="宋体"/>
                <w:color w:val="auto"/>
                <w:kern w:val="0"/>
                <w:szCs w:val="21"/>
              </w:rPr>
            </w:pPr>
          </w:p>
          <w:p w14:paraId="7DFFB52B">
            <w:pPr>
              <w:snapToGrid w:val="0"/>
              <w:spacing w:line="400" w:lineRule="exact"/>
              <w:jc w:val="center"/>
              <w:rPr>
                <w:rFonts w:ascii="宋体" w:hAnsi="宋体"/>
                <w:color w:val="auto"/>
                <w:kern w:val="0"/>
                <w:szCs w:val="21"/>
              </w:rPr>
            </w:pPr>
          </w:p>
          <w:p w14:paraId="0DCF58AF">
            <w:pPr>
              <w:snapToGrid w:val="0"/>
              <w:spacing w:line="400" w:lineRule="exact"/>
              <w:jc w:val="center"/>
              <w:rPr>
                <w:rFonts w:ascii="宋体" w:hAnsi="宋体"/>
                <w:color w:val="auto"/>
                <w:kern w:val="0"/>
                <w:szCs w:val="21"/>
              </w:rPr>
            </w:pPr>
          </w:p>
          <w:p w14:paraId="416A9C2F">
            <w:pPr>
              <w:snapToGrid w:val="0"/>
              <w:spacing w:line="400" w:lineRule="exact"/>
              <w:jc w:val="center"/>
              <w:rPr>
                <w:rFonts w:ascii="宋体" w:hAnsi="宋体"/>
                <w:color w:val="auto"/>
                <w:kern w:val="0"/>
                <w:szCs w:val="21"/>
              </w:rPr>
            </w:pPr>
          </w:p>
          <w:p w14:paraId="675621BB">
            <w:pPr>
              <w:snapToGrid w:val="0"/>
              <w:spacing w:line="400" w:lineRule="exact"/>
              <w:jc w:val="center"/>
              <w:rPr>
                <w:rFonts w:ascii="宋体" w:hAnsi="宋体"/>
                <w:color w:val="auto"/>
                <w:kern w:val="0"/>
                <w:szCs w:val="21"/>
              </w:rPr>
            </w:pPr>
          </w:p>
          <w:p w14:paraId="2837611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33498308">
            <w:pPr>
              <w:snapToGrid w:val="0"/>
              <w:spacing w:line="400" w:lineRule="exact"/>
              <w:jc w:val="center"/>
              <w:rPr>
                <w:rFonts w:ascii="宋体" w:hAnsi="宋体"/>
                <w:color w:val="auto"/>
                <w:kern w:val="0"/>
                <w:szCs w:val="21"/>
              </w:rPr>
            </w:pPr>
          </w:p>
          <w:p w14:paraId="0B65C555">
            <w:pPr>
              <w:snapToGrid w:val="0"/>
              <w:spacing w:line="400" w:lineRule="exact"/>
              <w:jc w:val="center"/>
              <w:rPr>
                <w:rFonts w:ascii="宋体" w:hAnsi="宋体"/>
                <w:color w:val="auto"/>
                <w:kern w:val="0"/>
                <w:szCs w:val="21"/>
              </w:rPr>
            </w:pPr>
          </w:p>
          <w:p w14:paraId="4FFDA64E">
            <w:pPr>
              <w:snapToGrid w:val="0"/>
              <w:spacing w:line="400" w:lineRule="exact"/>
              <w:jc w:val="center"/>
              <w:rPr>
                <w:rFonts w:ascii="宋体" w:hAnsi="宋体"/>
                <w:color w:val="auto"/>
                <w:kern w:val="0"/>
                <w:szCs w:val="21"/>
              </w:rPr>
            </w:pPr>
          </w:p>
          <w:p w14:paraId="325A824D">
            <w:pPr>
              <w:snapToGrid w:val="0"/>
              <w:spacing w:line="400" w:lineRule="exact"/>
              <w:jc w:val="center"/>
              <w:rPr>
                <w:rFonts w:ascii="宋体" w:hAnsi="宋体"/>
                <w:color w:val="auto"/>
                <w:kern w:val="0"/>
                <w:szCs w:val="21"/>
              </w:rPr>
            </w:pPr>
          </w:p>
          <w:p w14:paraId="1039C735">
            <w:pPr>
              <w:snapToGrid w:val="0"/>
              <w:spacing w:line="400" w:lineRule="exact"/>
              <w:jc w:val="center"/>
              <w:rPr>
                <w:rFonts w:ascii="宋体" w:hAnsi="宋体"/>
                <w:color w:val="auto"/>
                <w:kern w:val="0"/>
                <w:szCs w:val="21"/>
              </w:rPr>
            </w:pPr>
          </w:p>
          <w:p w14:paraId="7E2CD32A">
            <w:pPr>
              <w:snapToGrid w:val="0"/>
              <w:spacing w:line="400" w:lineRule="exact"/>
              <w:jc w:val="center"/>
              <w:rPr>
                <w:rFonts w:ascii="宋体" w:hAnsi="宋体"/>
                <w:color w:val="auto"/>
                <w:kern w:val="0"/>
                <w:szCs w:val="21"/>
              </w:rPr>
            </w:pPr>
          </w:p>
          <w:p w14:paraId="7AD5D13C">
            <w:pPr>
              <w:snapToGrid w:val="0"/>
              <w:spacing w:line="400" w:lineRule="exact"/>
              <w:jc w:val="center"/>
              <w:rPr>
                <w:rFonts w:ascii="宋体" w:hAnsi="宋体"/>
                <w:color w:val="auto"/>
                <w:kern w:val="0"/>
                <w:szCs w:val="21"/>
              </w:rPr>
            </w:pPr>
          </w:p>
          <w:p w14:paraId="03D30391">
            <w:pPr>
              <w:snapToGrid w:val="0"/>
              <w:spacing w:line="400" w:lineRule="exact"/>
              <w:jc w:val="center"/>
              <w:rPr>
                <w:rFonts w:ascii="宋体" w:hAnsi="宋体"/>
                <w:color w:val="auto"/>
                <w:kern w:val="0"/>
                <w:szCs w:val="21"/>
              </w:rPr>
            </w:pPr>
          </w:p>
          <w:p w14:paraId="717A834F">
            <w:pPr>
              <w:snapToGrid w:val="0"/>
              <w:spacing w:line="400" w:lineRule="exact"/>
              <w:jc w:val="center"/>
              <w:rPr>
                <w:rFonts w:ascii="宋体" w:hAnsi="宋体"/>
                <w:color w:val="auto"/>
                <w:kern w:val="0"/>
                <w:szCs w:val="21"/>
              </w:rPr>
            </w:pPr>
          </w:p>
          <w:p w14:paraId="6DC21755">
            <w:pPr>
              <w:snapToGrid w:val="0"/>
              <w:spacing w:line="400" w:lineRule="exact"/>
              <w:jc w:val="center"/>
              <w:rPr>
                <w:rFonts w:ascii="宋体" w:hAnsi="宋体"/>
                <w:color w:val="auto"/>
                <w:kern w:val="0"/>
                <w:szCs w:val="21"/>
              </w:rPr>
            </w:pPr>
          </w:p>
          <w:p w14:paraId="4E6150B4">
            <w:pPr>
              <w:snapToGrid w:val="0"/>
              <w:spacing w:line="400" w:lineRule="exact"/>
              <w:jc w:val="center"/>
              <w:rPr>
                <w:rFonts w:ascii="宋体" w:hAnsi="宋体"/>
                <w:color w:val="auto"/>
                <w:kern w:val="0"/>
                <w:szCs w:val="21"/>
              </w:rPr>
            </w:pPr>
          </w:p>
          <w:p w14:paraId="01844A48">
            <w:pPr>
              <w:snapToGrid w:val="0"/>
              <w:spacing w:line="400" w:lineRule="exact"/>
              <w:jc w:val="center"/>
              <w:rPr>
                <w:rFonts w:ascii="宋体" w:hAnsi="宋体"/>
                <w:color w:val="auto"/>
                <w:kern w:val="0"/>
                <w:szCs w:val="21"/>
              </w:rPr>
            </w:pPr>
          </w:p>
          <w:p w14:paraId="0B03DDF9">
            <w:pPr>
              <w:snapToGrid w:val="0"/>
              <w:spacing w:line="400" w:lineRule="exact"/>
              <w:jc w:val="center"/>
              <w:rPr>
                <w:rFonts w:ascii="宋体" w:hAnsi="宋体"/>
                <w:color w:val="auto"/>
                <w:kern w:val="0"/>
                <w:szCs w:val="21"/>
              </w:rPr>
            </w:pPr>
          </w:p>
          <w:p w14:paraId="69FAB93F">
            <w:pPr>
              <w:snapToGrid w:val="0"/>
              <w:spacing w:line="400" w:lineRule="exact"/>
              <w:jc w:val="center"/>
              <w:rPr>
                <w:rFonts w:ascii="宋体" w:hAnsi="宋体"/>
                <w:color w:val="auto"/>
                <w:kern w:val="0"/>
                <w:szCs w:val="21"/>
              </w:rPr>
            </w:pPr>
          </w:p>
          <w:p w14:paraId="535F5DC3">
            <w:pPr>
              <w:snapToGrid w:val="0"/>
              <w:spacing w:line="400" w:lineRule="exact"/>
              <w:jc w:val="center"/>
              <w:rPr>
                <w:rFonts w:ascii="宋体" w:hAnsi="宋体"/>
                <w:color w:val="auto"/>
                <w:kern w:val="0"/>
                <w:szCs w:val="21"/>
              </w:rPr>
            </w:pPr>
          </w:p>
          <w:p w14:paraId="3B18A659">
            <w:pPr>
              <w:snapToGrid w:val="0"/>
              <w:spacing w:line="400" w:lineRule="exact"/>
              <w:jc w:val="center"/>
              <w:rPr>
                <w:rFonts w:ascii="宋体" w:hAnsi="宋体"/>
                <w:color w:val="auto"/>
                <w:kern w:val="0"/>
                <w:szCs w:val="21"/>
              </w:rPr>
            </w:pPr>
          </w:p>
          <w:p w14:paraId="3AD3994D">
            <w:pPr>
              <w:snapToGrid w:val="0"/>
              <w:spacing w:line="400" w:lineRule="exact"/>
              <w:jc w:val="center"/>
              <w:rPr>
                <w:rFonts w:ascii="宋体" w:hAnsi="宋体"/>
                <w:color w:val="auto"/>
                <w:kern w:val="0"/>
                <w:szCs w:val="21"/>
              </w:rPr>
            </w:pPr>
          </w:p>
          <w:p w14:paraId="533D642B">
            <w:pPr>
              <w:snapToGrid w:val="0"/>
              <w:spacing w:line="400" w:lineRule="exact"/>
              <w:jc w:val="center"/>
              <w:rPr>
                <w:rFonts w:ascii="宋体" w:hAnsi="宋体"/>
                <w:color w:val="auto"/>
                <w:kern w:val="0"/>
                <w:szCs w:val="21"/>
              </w:rPr>
            </w:pPr>
          </w:p>
          <w:p w14:paraId="2CD4466C">
            <w:pPr>
              <w:snapToGrid w:val="0"/>
              <w:spacing w:line="400" w:lineRule="exact"/>
              <w:jc w:val="center"/>
              <w:rPr>
                <w:rFonts w:ascii="宋体" w:hAnsi="宋体"/>
                <w:color w:val="auto"/>
                <w:kern w:val="0"/>
                <w:szCs w:val="21"/>
              </w:rPr>
            </w:pPr>
          </w:p>
          <w:p w14:paraId="05ADCA7A">
            <w:pPr>
              <w:snapToGrid w:val="0"/>
              <w:spacing w:line="400" w:lineRule="exact"/>
              <w:jc w:val="center"/>
              <w:rPr>
                <w:rFonts w:ascii="宋体" w:hAnsi="宋体"/>
                <w:color w:val="auto"/>
                <w:kern w:val="0"/>
                <w:szCs w:val="21"/>
              </w:rPr>
            </w:pPr>
          </w:p>
          <w:p w14:paraId="74997569">
            <w:pPr>
              <w:snapToGrid w:val="0"/>
              <w:spacing w:line="400" w:lineRule="exact"/>
              <w:jc w:val="center"/>
              <w:rPr>
                <w:rFonts w:ascii="宋体" w:hAnsi="宋体"/>
                <w:color w:val="auto"/>
                <w:kern w:val="0"/>
                <w:szCs w:val="21"/>
              </w:rPr>
            </w:pPr>
          </w:p>
          <w:p w14:paraId="5342AEB9">
            <w:pPr>
              <w:snapToGrid w:val="0"/>
              <w:spacing w:line="400" w:lineRule="exact"/>
              <w:jc w:val="center"/>
              <w:rPr>
                <w:rFonts w:ascii="宋体" w:hAnsi="宋体"/>
                <w:color w:val="auto"/>
                <w:kern w:val="0"/>
                <w:szCs w:val="21"/>
              </w:rPr>
            </w:pPr>
          </w:p>
          <w:p w14:paraId="2085E7F8">
            <w:pPr>
              <w:snapToGrid w:val="0"/>
              <w:spacing w:line="400" w:lineRule="exact"/>
              <w:jc w:val="center"/>
              <w:rPr>
                <w:rFonts w:ascii="宋体" w:hAnsi="宋体"/>
                <w:color w:val="auto"/>
                <w:kern w:val="0"/>
                <w:szCs w:val="21"/>
              </w:rPr>
            </w:pPr>
          </w:p>
          <w:p w14:paraId="6334C341">
            <w:pPr>
              <w:snapToGrid w:val="0"/>
              <w:spacing w:line="400" w:lineRule="exact"/>
              <w:jc w:val="center"/>
              <w:rPr>
                <w:rFonts w:ascii="宋体" w:hAnsi="宋体"/>
                <w:color w:val="auto"/>
                <w:kern w:val="0"/>
                <w:szCs w:val="21"/>
              </w:rPr>
            </w:pPr>
          </w:p>
          <w:p w14:paraId="17231214">
            <w:pPr>
              <w:snapToGrid w:val="0"/>
              <w:spacing w:line="400" w:lineRule="exact"/>
              <w:jc w:val="center"/>
              <w:rPr>
                <w:rFonts w:ascii="宋体" w:hAnsi="宋体"/>
                <w:color w:val="auto"/>
                <w:kern w:val="0"/>
                <w:szCs w:val="21"/>
              </w:rPr>
            </w:pPr>
          </w:p>
          <w:p w14:paraId="63F93B5E">
            <w:pPr>
              <w:snapToGrid w:val="0"/>
              <w:spacing w:line="400" w:lineRule="exact"/>
              <w:jc w:val="center"/>
              <w:rPr>
                <w:rFonts w:ascii="宋体" w:hAnsi="宋体"/>
                <w:color w:val="auto"/>
                <w:kern w:val="0"/>
                <w:szCs w:val="21"/>
              </w:rPr>
            </w:pPr>
          </w:p>
          <w:p w14:paraId="06722060">
            <w:pPr>
              <w:snapToGrid w:val="0"/>
              <w:spacing w:line="400" w:lineRule="exact"/>
              <w:jc w:val="center"/>
              <w:rPr>
                <w:rFonts w:ascii="宋体" w:hAnsi="宋体"/>
                <w:color w:val="auto"/>
                <w:kern w:val="0"/>
                <w:szCs w:val="21"/>
              </w:rPr>
            </w:pPr>
          </w:p>
          <w:p w14:paraId="69C548DC">
            <w:pPr>
              <w:snapToGrid w:val="0"/>
              <w:spacing w:line="400" w:lineRule="exact"/>
              <w:jc w:val="center"/>
              <w:rPr>
                <w:rFonts w:ascii="宋体" w:hAnsi="宋体"/>
                <w:color w:val="auto"/>
                <w:kern w:val="0"/>
                <w:szCs w:val="21"/>
              </w:rPr>
            </w:pPr>
          </w:p>
          <w:p w14:paraId="1F4A4B6A">
            <w:pPr>
              <w:snapToGrid w:val="0"/>
              <w:spacing w:line="400" w:lineRule="exact"/>
              <w:jc w:val="center"/>
              <w:rPr>
                <w:rFonts w:ascii="宋体" w:hAnsi="宋体"/>
                <w:color w:val="auto"/>
                <w:kern w:val="0"/>
                <w:szCs w:val="21"/>
              </w:rPr>
            </w:pPr>
          </w:p>
          <w:p w14:paraId="54291CEE">
            <w:pPr>
              <w:snapToGrid w:val="0"/>
              <w:spacing w:line="400" w:lineRule="exact"/>
              <w:jc w:val="center"/>
              <w:rPr>
                <w:rFonts w:ascii="宋体" w:hAnsi="宋体"/>
                <w:color w:val="auto"/>
                <w:kern w:val="0"/>
                <w:szCs w:val="21"/>
              </w:rPr>
            </w:pPr>
          </w:p>
          <w:p w14:paraId="213E8DAC">
            <w:pPr>
              <w:snapToGrid w:val="0"/>
              <w:spacing w:line="400" w:lineRule="exact"/>
              <w:jc w:val="center"/>
              <w:rPr>
                <w:rFonts w:ascii="宋体" w:hAnsi="宋体"/>
                <w:color w:val="auto"/>
                <w:kern w:val="0"/>
                <w:szCs w:val="21"/>
              </w:rPr>
            </w:pPr>
          </w:p>
          <w:p w14:paraId="7410861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06C3464">
            <w:pPr>
              <w:snapToGrid w:val="0"/>
              <w:spacing w:line="400" w:lineRule="exact"/>
              <w:jc w:val="center"/>
              <w:rPr>
                <w:rFonts w:ascii="宋体" w:hAnsi="宋体"/>
                <w:color w:val="auto"/>
                <w:kern w:val="0"/>
                <w:szCs w:val="21"/>
              </w:rPr>
            </w:pPr>
          </w:p>
          <w:p w14:paraId="476945CC">
            <w:pPr>
              <w:snapToGrid w:val="0"/>
              <w:spacing w:line="400" w:lineRule="exact"/>
              <w:jc w:val="center"/>
              <w:rPr>
                <w:rFonts w:ascii="宋体" w:hAnsi="宋体"/>
                <w:color w:val="auto"/>
                <w:kern w:val="0"/>
                <w:szCs w:val="21"/>
              </w:rPr>
            </w:pPr>
          </w:p>
          <w:p w14:paraId="36E6BD8A">
            <w:pPr>
              <w:snapToGrid w:val="0"/>
              <w:spacing w:line="400" w:lineRule="exact"/>
              <w:jc w:val="center"/>
              <w:rPr>
                <w:rFonts w:ascii="宋体" w:hAnsi="宋体"/>
                <w:color w:val="auto"/>
                <w:kern w:val="0"/>
                <w:szCs w:val="21"/>
              </w:rPr>
            </w:pPr>
          </w:p>
          <w:p w14:paraId="74B64256">
            <w:pPr>
              <w:snapToGrid w:val="0"/>
              <w:spacing w:line="400" w:lineRule="exact"/>
              <w:jc w:val="center"/>
              <w:rPr>
                <w:rFonts w:ascii="宋体" w:hAnsi="宋体"/>
                <w:color w:val="auto"/>
                <w:kern w:val="0"/>
                <w:szCs w:val="21"/>
              </w:rPr>
            </w:pPr>
          </w:p>
          <w:p w14:paraId="5CC7A0D5">
            <w:pPr>
              <w:snapToGrid w:val="0"/>
              <w:spacing w:line="400" w:lineRule="exact"/>
              <w:jc w:val="center"/>
              <w:rPr>
                <w:rFonts w:ascii="宋体" w:hAnsi="宋体"/>
                <w:color w:val="auto"/>
                <w:kern w:val="0"/>
                <w:szCs w:val="21"/>
              </w:rPr>
            </w:pPr>
          </w:p>
          <w:p w14:paraId="43360A6E">
            <w:pPr>
              <w:snapToGrid w:val="0"/>
              <w:spacing w:line="400" w:lineRule="exact"/>
              <w:jc w:val="center"/>
              <w:rPr>
                <w:rFonts w:ascii="宋体" w:hAnsi="宋体"/>
                <w:color w:val="auto"/>
                <w:kern w:val="0"/>
                <w:szCs w:val="21"/>
              </w:rPr>
            </w:pPr>
          </w:p>
          <w:p w14:paraId="3FE08D91">
            <w:pPr>
              <w:snapToGrid w:val="0"/>
              <w:spacing w:line="400" w:lineRule="exact"/>
              <w:jc w:val="center"/>
              <w:rPr>
                <w:rFonts w:ascii="宋体" w:hAnsi="宋体"/>
                <w:color w:val="auto"/>
                <w:kern w:val="0"/>
                <w:szCs w:val="21"/>
              </w:rPr>
            </w:pPr>
          </w:p>
          <w:p w14:paraId="77134984">
            <w:pPr>
              <w:snapToGrid w:val="0"/>
              <w:spacing w:line="400" w:lineRule="exact"/>
              <w:jc w:val="center"/>
              <w:rPr>
                <w:rFonts w:ascii="宋体" w:hAnsi="宋体"/>
                <w:color w:val="auto"/>
                <w:kern w:val="0"/>
                <w:szCs w:val="21"/>
              </w:rPr>
            </w:pPr>
          </w:p>
          <w:p w14:paraId="1ADE00FD">
            <w:pPr>
              <w:snapToGrid w:val="0"/>
              <w:spacing w:line="400" w:lineRule="exact"/>
              <w:jc w:val="center"/>
              <w:rPr>
                <w:rFonts w:ascii="宋体" w:hAnsi="宋体"/>
                <w:color w:val="auto"/>
                <w:kern w:val="0"/>
                <w:szCs w:val="21"/>
              </w:rPr>
            </w:pPr>
          </w:p>
          <w:p w14:paraId="02FB39E8">
            <w:pPr>
              <w:snapToGrid w:val="0"/>
              <w:spacing w:line="400" w:lineRule="exact"/>
              <w:jc w:val="center"/>
              <w:rPr>
                <w:rFonts w:ascii="宋体" w:hAnsi="宋体"/>
                <w:color w:val="auto"/>
                <w:kern w:val="0"/>
                <w:szCs w:val="21"/>
              </w:rPr>
            </w:pPr>
          </w:p>
          <w:p w14:paraId="1EE9996E">
            <w:pPr>
              <w:snapToGrid w:val="0"/>
              <w:spacing w:line="400" w:lineRule="exact"/>
              <w:jc w:val="center"/>
              <w:rPr>
                <w:rFonts w:ascii="宋体" w:hAnsi="宋体"/>
                <w:color w:val="auto"/>
                <w:kern w:val="0"/>
                <w:szCs w:val="21"/>
              </w:rPr>
            </w:pPr>
          </w:p>
          <w:p w14:paraId="430E78CF">
            <w:pPr>
              <w:snapToGrid w:val="0"/>
              <w:spacing w:line="400" w:lineRule="exact"/>
              <w:jc w:val="center"/>
              <w:rPr>
                <w:rFonts w:ascii="宋体" w:hAnsi="宋体"/>
                <w:color w:val="auto"/>
                <w:kern w:val="0"/>
                <w:szCs w:val="21"/>
              </w:rPr>
            </w:pPr>
          </w:p>
          <w:p w14:paraId="4CE74B91">
            <w:pPr>
              <w:snapToGrid w:val="0"/>
              <w:spacing w:line="400" w:lineRule="exact"/>
              <w:jc w:val="center"/>
              <w:rPr>
                <w:rFonts w:ascii="宋体" w:hAnsi="宋体"/>
                <w:color w:val="auto"/>
                <w:kern w:val="0"/>
                <w:szCs w:val="21"/>
              </w:rPr>
            </w:pPr>
          </w:p>
          <w:p w14:paraId="47250D05">
            <w:pPr>
              <w:snapToGrid w:val="0"/>
              <w:spacing w:line="400" w:lineRule="exact"/>
              <w:jc w:val="center"/>
              <w:rPr>
                <w:rFonts w:ascii="宋体" w:hAnsi="宋体"/>
                <w:color w:val="auto"/>
                <w:kern w:val="0"/>
                <w:szCs w:val="21"/>
              </w:rPr>
            </w:pPr>
          </w:p>
          <w:p w14:paraId="35FB9175">
            <w:pPr>
              <w:snapToGrid w:val="0"/>
              <w:spacing w:line="400" w:lineRule="exact"/>
              <w:jc w:val="center"/>
              <w:rPr>
                <w:rFonts w:ascii="宋体" w:hAnsi="宋体"/>
                <w:color w:val="auto"/>
                <w:kern w:val="0"/>
                <w:szCs w:val="21"/>
              </w:rPr>
            </w:pPr>
          </w:p>
          <w:p w14:paraId="187249CE">
            <w:pPr>
              <w:snapToGrid w:val="0"/>
              <w:spacing w:line="400" w:lineRule="exact"/>
              <w:jc w:val="center"/>
              <w:rPr>
                <w:rFonts w:ascii="宋体" w:hAnsi="宋体"/>
                <w:color w:val="auto"/>
                <w:kern w:val="0"/>
                <w:szCs w:val="21"/>
              </w:rPr>
            </w:pPr>
          </w:p>
          <w:p w14:paraId="24B42D75">
            <w:pPr>
              <w:snapToGrid w:val="0"/>
              <w:spacing w:line="400" w:lineRule="exact"/>
              <w:jc w:val="center"/>
              <w:rPr>
                <w:rFonts w:ascii="宋体" w:hAnsi="宋体"/>
                <w:color w:val="auto"/>
                <w:kern w:val="0"/>
                <w:szCs w:val="21"/>
              </w:rPr>
            </w:pPr>
          </w:p>
          <w:p w14:paraId="2E104F3E">
            <w:pPr>
              <w:snapToGrid w:val="0"/>
              <w:spacing w:line="400" w:lineRule="exact"/>
              <w:jc w:val="center"/>
              <w:rPr>
                <w:rFonts w:ascii="宋体" w:hAnsi="宋体"/>
                <w:color w:val="auto"/>
                <w:kern w:val="0"/>
                <w:szCs w:val="21"/>
              </w:rPr>
            </w:pPr>
          </w:p>
          <w:p w14:paraId="432B1849">
            <w:pPr>
              <w:snapToGrid w:val="0"/>
              <w:spacing w:line="400" w:lineRule="exact"/>
              <w:jc w:val="center"/>
              <w:rPr>
                <w:rFonts w:ascii="宋体" w:hAnsi="宋体"/>
                <w:color w:val="auto"/>
                <w:kern w:val="0"/>
                <w:szCs w:val="21"/>
              </w:rPr>
            </w:pPr>
          </w:p>
          <w:p w14:paraId="78E1EADB">
            <w:pPr>
              <w:snapToGrid w:val="0"/>
              <w:spacing w:line="400" w:lineRule="exact"/>
              <w:jc w:val="center"/>
              <w:rPr>
                <w:rFonts w:ascii="宋体" w:hAnsi="宋体"/>
                <w:color w:val="auto"/>
                <w:kern w:val="0"/>
                <w:szCs w:val="21"/>
              </w:rPr>
            </w:pPr>
          </w:p>
          <w:p w14:paraId="033BDF08">
            <w:pPr>
              <w:snapToGrid w:val="0"/>
              <w:spacing w:line="400" w:lineRule="exact"/>
              <w:jc w:val="center"/>
              <w:rPr>
                <w:rFonts w:ascii="宋体" w:hAnsi="宋体"/>
                <w:color w:val="auto"/>
                <w:kern w:val="0"/>
                <w:szCs w:val="21"/>
              </w:rPr>
            </w:pPr>
          </w:p>
          <w:p w14:paraId="2B0CFCA1">
            <w:pPr>
              <w:snapToGrid w:val="0"/>
              <w:spacing w:line="400" w:lineRule="exact"/>
              <w:jc w:val="center"/>
              <w:rPr>
                <w:rFonts w:ascii="宋体" w:hAnsi="宋体"/>
                <w:color w:val="auto"/>
                <w:kern w:val="0"/>
                <w:szCs w:val="21"/>
              </w:rPr>
            </w:pPr>
          </w:p>
          <w:p w14:paraId="5CA69F4B">
            <w:pPr>
              <w:snapToGrid w:val="0"/>
              <w:spacing w:line="400" w:lineRule="exact"/>
              <w:jc w:val="center"/>
              <w:rPr>
                <w:rFonts w:ascii="宋体" w:hAnsi="宋体"/>
                <w:color w:val="auto"/>
                <w:kern w:val="0"/>
                <w:szCs w:val="21"/>
              </w:rPr>
            </w:pPr>
          </w:p>
          <w:p w14:paraId="0078D621">
            <w:pPr>
              <w:snapToGrid w:val="0"/>
              <w:spacing w:line="400" w:lineRule="exact"/>
              <w:jc w:val="both"/>
              <w:rPr>
                <w:rFonts w:ascii="宋体" w:hAnsi="宋体"/>
                <w:color w:val="auto"/>
                <w:kern w:val="0"/>
                <w:szCs w:val="21"/>
              </w:rPr>
            </w:pPr>
          </w:p>
        </w:tc>
        <w:tc>
          <w:tcPr>
            <w:tcW w:w="6490" w:type="dxa"/>
            <w:vAlign w:val="center"/>
          </w:tcPr>
          <w:p w14:paraId="1C5551C9">
            <w:pPr>
              <w:autoSpaceDE w:val="0"/>
              <w:autoSpaceDN w:val="0"/>
              <w:adjustRightInd w:val="0"/>
              <w:snapToGrid w:val="0"/>
              <w:spacing w:line="400" w:lineRule="exact"/>
              <w:ind w:firstLine="420" w:firstLineChars="200"/>
              <w:rPr>
                <w:rFonts w:ascii="宋体" w:hAnsi="宋体"/>
                <w:color w:val="auto"/>
                <w:szCs w:val="21"/>
              </w:rPr>
            </w:pPr>
            <w:bookmarkStart w:id="101" w:name="OLE_LINK1"/>
            <w:r>
              <w:rPr>
                <w:rFonts w:ascii="宋体" w:hAnsi="宋体"/>
                <w:color w:val="auto"/>
                <w:szCs w:val="21"/>
              </w:rPr>
              <w:t>本工程施工</w:t>
            </w:r>
            <w:r>
              <w:rPr>
                <w:rFonts w:hint="eastAsia" w:ascii="宋体" w:hAnsi="宋体"/>
                <w:color w:val="auto"/>
                <w:szCs w:val="21"/>
                <w:lang w:eastAsia="zh-CN"/>
              </w:rPr>
              <w:t>比选</w:t>
            </w:r>
            <w:r>
              <w:rPr>
                <w:rFonts w:ascii="宋体" w:hAnsi="宋体"/>
                <w:color w:val="auto"/>
                <w:szCs w:val="21"/>
              </w:rPr>
              <w:t>实行资格后审，投标人应</w:t>
            </w:r>
            <w:bookmarkStart w:id="102" w:name="一是"/>
            <w:bookmarkEnd w:id="102"/>
            <w:r>
              <w:rPr>
                <w:rFonts w:ascii="宋体" w:hAnsi="宋体"/>
                <w:color w:val="auto"/>
                <w:szCs w:val="21"/>
              </w:rPr>
              <w:t>具备以下资格条件：</w:t>
            </w:r>
          </w:p>
          <w:bookmarkEnd w:id="101"/>
          <w:p w14:paraId="6EE0A19E">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1.资质条件、营业执照及安全生产条件</w:t>
            </w:r>
          </w:p>
          <w:p w14:paraId="39253DA2">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（1）具备建设行政主管部门颁发的有效的</w:t>
            </w:r>
            <w:r>
              <w:rPr>
                <w:rFonts w:hint="eastAsia" w:ascii="宋体" w:hAnsi="宋体"/>
                <w:color w:val="auto"/>
                <w:szCs w:val="21"/>
                <w:highlight w:val="none"/>
                <w:u w:val="single"/>
                <w:lang w:eastAsia="zh-CN"/>
              </w:rPr>
              <w:t>建筑</w:t>
            </w:r>
            <w:r>
              <w:rPr>
                <w:rFonts w:hint="eastAsia" w:ascii="宋体" w:hAnsi="宋体"/>
                <w:color w:val="auto"/>
                <w:szCs w:val="21"/>
                <w:u w:val="single"/>
                <w:lang w:eastAsia="zh-CN"/>
              </w:rPr>
              <w:t>工程施工总承包叁级</w:t>
            </w:r>
            <w:r>
              <w:rPr>
                <w:rFonts w:ascii="宋体" w:hAnsi="宋体"/>
                <w:color w:val="auto"/>
                <w:szCs w:val="21"/>
                <w:u w:val="single"/>
              </w:rPr>
              <w:t>及以上</w:t>
            </w:r>
            <w:r>
              <w:rPr>
                <w:rFonts w:hint="eastAsia" w:ascii="宋体" w:hAnsi="宋体"/>
                <w:color w:val="auto"/>
                <w:szCs w:val="21"/>
              </w:rPr>
              <w:t>资质</w:t>
            </w:r>
            <w:r>
              <w:rPr>
                <w:rFonts w:ascii="宋体" w:hAnsi="宋体"/>
                <w:color w:val="auto"/>
                <w:szCs w:val="21"/>
              </w:rPr>
              <w:t>。</w:t>
            </w:r>
          </w:p>
          <w:p w14:paraId="7911E8D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有效的资质证书</w:t>
            </w:r>
            <w:r>
              <w:rPr>
                <w:rFonts w:ascii="宋体" w:hAnsi="宋体"/>
                <w:color w:val="auto"/>
                <w:szCs w:val="21"/>
              </w:rPr>
              <w:t>复印件。</w:t>
            </w:r>
          </w:p>
          <w:p w14:paraId="4F40442B">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（2）具备有效的营业执照。</w:t>
            </w:r>
          </w:p>
          <w:p w14:paraId="40EBFA7C">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p>
          <w:p w14:paraId="7079DF2D">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（3）具备建设行政主管部门颁发的有效的安全生产许可证，企业</w:t>
            </w:r>
            <w:r>
              <w:rPr>
                <w:rFonts w:hint="eastAsia" w:ascii="宋体" w:hAnsi="宋体"/>
                <w:color w:val="auto"/>
                <w:szCs w:val="21"/>
              </w:rPr>
              <w:t>主要</w:t>
            </w:r>
            <w:r>
              <w:rPr>
                <w:rFonts w:ascii="宋体" w:hAnsi="宋体"/>
                <w:color w:val="auto"/>
                <w:szCs w:val="21"/>
              </w:rPr>
              <w:t>负责人、拟担任该项目项目经理具备相应的由建设行政主管部门颁发的有效的安全生产考核合格证书</w:t>
            </w:r>
            <w:r>
              <w:rPr>
                <w:rFonts w:hint="eastAsia" w:ascii="宋体" w:hAnsi="宋体"/>
                <w:color w:val="auto"/>
                <w:szCs w:val="21"/>
              </w:rPr>
              <w:t>。</w:t>
            </w:r>
          </w:p>
          <w:p w14:paraId="25E45D9D">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投标人须在投标文件资格审查部分提供有效的安全生产许可证</w:t>
            </w:r>
            <w:r>
              <w:rPr>
                <w:rFonts w:ascii="宋体" w:hAnsi="宋体"/>
                <w:color w:val="auto"/>
                <w:szCs w:val="21"/>
              </w:rPr>
              <w:t>及安全生产考核合格证书复印件。</w:t>
            </w:r>
          </w:p>
          <w:p w14:paraId="6AE6F708">
            <w:p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2</w:t>
            </w:r>
            <w:r>
              <w:rPr>
                <w:rFonts w:ascii="宋体" w:hAnsi="宋体"/>
                <w:b/>
                <w:color w:val="auto"/>
                <w:szCs w:val="21"/>
              </w:rPr>
              <w:t>.投标截止日投标资格情况</w:t>
            </w:r>
          </w:p>
          <w:p w14:paraId="6C105E7B">
            <w:pPr>
              <w:snapToGrid w:val="0"/>
              <w:spacing w:line="400" w:lineRule="exact"/>
              <w:ind w:firstLine="420" w:firstLineChars="200"/>
              <w:rPr>
                <w:rFonts w:ascii="宋体" w:hAnsi="宋体"/>
                <w:color w:val="auto"/>
                <w:szCs w:val="21"/>
              </w:rPr>
            </w:pPr>
            <w:r>
              <w:rPr>
                <w:rFonts w:hint="eastAsia" w:ascii="宋体" w:hAnsi="宋体"/>
                <w:color w:val="auto"/>
                <w:szCs w:val="21"/>
              </w:rPr>
              <w:t>投标人自行承诺（格式见第八章投标文件格式）不得存在下列情形之一：</w:t>
            </w:r>
          </w:p>
          <w:p w14:paraId="1E9DFF92">
            <w:pPr>
              <w:snapToGrid w:val="0"/>
              <w:spacing w:line="4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506F1D68">
            <w:pPr>
              <w:snapToGrid w:val="0"/>
              <w:spacing w:line="400" w:lineRule="exact"/>
              <w:ind w:firstLine="420" w:firstLineChars="200"/>
              <w:rPr>
                <w:rFonts w:ascii="宋体" w:hAnsi="宋体"/>
                <w:color w:val="auto"/>
                <w:szCs w:val="21"/>
              </w:rPr>
            </w:pPr>
            <w:r>
              <w:rPr>
                <w:rFonts w:hint="eastAsia" w:ascii="宋体" w:hAnsi="宋体"/>
                <w:color w:val="auto"/>
                <w:szCs w:val="21"/>
              </w:rPr>
              <w:t>（2）被列入《重庆市工程建设领域招标投标信用管理暂行办法》规定的重点关注名单且记分达到12分且在记分有效期内；</w:t>
            </w:r>
          </w:p>
          <w:p w14:paraId="32720A16">
            <w:pPr>
              <w:snapToGrid w:val="0"/>
              <w:spacing w:line="400" w:lineRule="exact"/>
              <w:ind w:firstLine="420" w:firstLineChars="200"/>
              <w:rPr>
                <w:rFonts w:ascii="宋体" w:hAnsi="宋体"/>
                <w:color w:val="auto"/>
                <w:szCs w:val="21"/>
              </w:rPr>
            </w:pPr>
            <w:r>
              <w:rPr>
                <w:rFonts w:hint="eastAsia" w:ascii="宋体" w:hAnsi="宋体"/>
                <w:color w:val="auto"/>
                <w:szCs w:val="21"/>
              </w:rPr>
              <w:t>（3）被列入《重庆市工程建设领域招标投标信用管理暂行办法》规定的重庆市工程建设领域招标投标失信惩戒对象名单（以下称黑名单）且在记分有效期内；</w:t>
            </w:r>
          </w:p>
          <w:p w14:paraId="5EF216AD">
            <w:pPr>
              <w:snapToGrid w:val="0"/>
              <w:spacing w:line="40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0044D1DC">
            <w:pPr>
              <w:snapToGrid w:val="0"/>
              <w:spacing w:line="40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rPr>
              <w:t>主管部门暂停在渝承揽新业务且在暂停期内。</w:t>
            </w:r>
          </w:p>
          <w:p w14:paraId="6768D9DE">
            <w:pPr>
              <w:spacing w:line="400" w:lineRule="exact"/>
              <w:ind w:firstLine="420" w:firstLineChars="200"/>
              <w:rPr>
                <w:color w:val="auto"/>
              </w:rPr>
            </w:pPr>
            <w:r>
              <w:rPr>
                <w:rFonts w:hint="eastAsia"/>
                <w:color w:val="auto"/>
              </w:rPr>
              <w:t>投标人须在投标文件资格审查部分提供承诺。</w:t>
            </w:r>
          </w:p>
          <w:p w14:paraId="3DAFBEED">
            <w:pPr>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3</w:t>
            </w:r>
            <w:r>
              <w:rPr>
                <w:rFonts w:ascii="宋体" w:hAnsi="宋体"/>
                <w:b/>
                <w:color w:val="auto"/>
                <w:szCs w:val="21"/>
              </w:rPr>
              <w:t>.项目经理资格要求</w:t>
            </w:r>
          </w:p>
          <w:p w14:paraId="0D1E8EA1">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.1</w:t>
            </w:r>
            <w:r>
              <w:rPr>
                <w:rFonts w:hint="eastAsia"/>
                <w:color w:val="auto"/>
                <w:szCs w:val="21"/>
              </w:rPr>
              <w:t>投标人拟派的</w:t>
            </w:r>
            <w:r>
              <w:rPr>
                <w:color w:val="auto"/>
                <w:szCs w:val="21"/>
              </w:rPr>
              <w:t>项目经理必须已在</w:t>
            </w:r>
            <w:r>
              <w:rPr>
                <w:rFonts w:hint="eastAsia"/>
                <w:color w:val="auto"/>
                <w:szCs w:val="21"/>
              </w:rPr>
              <w:t>投标人本</w:t>
            </w:r>
            <w:r>
              <w:rPr>
                <w:color w:val="auto"/>
                <w:szCs w:val="21"/>
              </w:rPr>
              <w:t>单位注册并应具有</w:t>
            </w:r>
            <w:r>
              <w:rPr>
                <w:color w:val="auto"/>
                <w:szCs w:val="21"/>
                <w:u w:val="single"/>
              </w:rPr>
              <w:t xml:space="preserve"> </w:t>
            </w:r>
            <w:r>
              <w:rPr>
                <w:rFonts w:hint="eastAsia"/>
                <w:color w:val="auto"/>
                <w:szCs w:val="21"/>
                <w:u w:val="single"/>
              </w:rPr>
              <w:t xml:space="preserve">   </w:t>
            </w:r>
            <w:r>
              <w:rPr>
                <w:rFonts w:hint="eastAsia"/>
                <w:i w:val="0"/>
                <w:iCs/>
                <w:color w:val="auto"/>
                <w:szCs w:val="21"/>
                <w:u w:val="single"/>
                <w:lang w:eastAsia="zh-CN"/>
              </w:rPr>
              <w:t>建筑工程</w:t>
            </w:r>
            <w:r>
              <w:rPr>
                <w:rFonts w:hint="eastAsia"/>
                <w:i/>
                <w:color w:val="auto"/>
                <w:szCs w:val="21"/>
                <w:u w:val="single"/>
              </w:rPr>
              <w:t xml:space="preserve"> </w:t>
            </w:r>
            <w:r>
              <w:rPr>
                <w:rFonts w:hint="eastAsia"/>
                <w:color w:val="auto"/>
                <w:szCs w:val="21"/>
              </w:rPr>
              <w:t>专业</w:t>
            </w:r>
            <w:r>
              <w:rPr>
                <w:color w:val="auto"/>
                <w:szCs w:val="21"/>
                <w:u w:val="single"/>
              </w:rPr>
              <w:t xml:space="preserve"> </w:t>
            </w:r>
            <w:r>
              <w:rPr>
                <w:rFonts w:hint="eastAsia"/>
                <w:color w:val="auto"/>
                <w:szCs w:val="21"/>
                <w:u w:val="single"/>
                <w:lang w:eastAsia="zh-CN"/>
              </w:rPr>
              <w:t>二</w:t>
            </w:r>
            <w:r>
              <w:rPr>
                <w:rFonts w:hint="eastAsia"/>
                <w:color w:val="auto"/>
                <w:szCs w:val="21"/>
                <w:u w:val="single"/>
              </w:rPr>
              <w:t xml:space="preserve"> </w:t>
            </w:r>
            <w:r>
              <w:rPr>
                <w:color w:val="auto"/>
                <w:szCs w:val="21"/>
                <w:u w:val="single"/>
              </w:rPr>
              <w:t>级及以上</w:t>
            </w:r>
            <w:r>
              <w:rPr>
                <w:color w:val="auto"/>
                <w:szCs w:val="21"/>
              </w:rPr>
              <w:t>注册建造师执业</w:t>
            </w:r>
            <w:r>
              <w:rPr>
                <w:rFonts w:ascii="宋体" w:hAnsi="宋体"/>
                <w:color w:val="auto"/>
                <w:szCs w:val="21"/>
              </w:rPr>
              <w:t>资格</w:t>
            </w:r>
            <w:r>
              <w:rPr>
                <w:rFonts w:hint="eastAsia" w:ascii="宋体" w:hAnsi="宋体"/>
                <w:color w:val="auto"/>
                <w:szCs w:val="21"/>
              </w:rPr>
              <w:t>。</w:t>
            </w:r>
          </w:p>
          <w:p w14:paraId="7F2E5182">
            <w:pPr>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.2项目经理承诺要求：投标人须承诺拟派项目经理按注册建造师的相关规定到岗履职和未被禁止参与投标。</w:t>
            </w:r>
          </w:p>
          <w:p w14:paraId="2567513C">
            <w:pPr>
              <w:snapToGrid w:val="0"/>
              <w:spacing w:line="400" w:lineRule="exact"/>
              <w:ind w:firstLine="420" w:firstLineChars="200"/>
              <w:rPr>
                <w:rFonts w:ascii="宋体" w:hAnsi="宋体"/>
                <w:color w:val="auto"/>
              </w:rPr>
            </w:pPr>
            <w:r>
              <w:rPr>
                <w:rFonts w:hint="eastAsia" w:ascii="宋体" w:hAnsi="宋体"/>
                <w:color w:val="auto"/>
                <w:lang w:val="en-US" w:eastAsia="zh-CN"/>
              </w:rPr>
              <w:t>3</w:t>
            </w:r>
            <w:r>
              <w:rPr>
                <w:rFonts w:ascii="宋体" w:hAnsi="宋体"/>
                <w:color w:val="auto"/>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lang w:eastAsia="zh-CN"/>
              </w:rPr>
              <w:t>比选人</w:t>
            </w:r>
            <w:r>
              <w:rPr>
                <w:rFonts w:ascii="宋体" w:hAnsi="宋体"/>
                <w:color w:val="auto"/>
              </w:rPr>
              <w:t>造成损失的，投标人依法承担违约赔偿责任。拟派项目经理中标后不得随意更换。</w:t>
            </w:r>
          </w:p>
          <w:p w14:paraId="5D728C5A">
            <w:pPr>
              <w:snapToGrid w:val="0"/>
              <w:spacing w:line="400" w:lineRule="exact"/>
              <w:ind w:firstLine="420" w:firstLineChars="200"/>
              <w:rPr>
                <w:rFonts w:ascii="宋体" w:hAnsi="宋体"/>
                <w:color w:val="auto"/>
              </w:rPr>
            </w:pPr>
            <w:r>
              <w:rPr>
                <w:rFonts w:hint="eastAsia" w:ascii="宋体" w:hAnsi="宋体"/>
                <w:color w:val="auto"/>
                <w:lang w:val="en-US" w:eastAsia="zh-CN"/>
              </w:rPr>
              <w:t>3</w:t>
            </w:r>
            <w:r>
              <w:rPr>
                <w:rFonts w:ascii="宋体" w:hAnsi="宋体"/>
                <w:color w:val="auto"/>
              </w:rPr>
              <w:t>.2.2未被禁止参与投标承诺要求：承诺拟派项目经理未被重庆市</w:t>
            </w:r>
            <w:r>
              <w:rPr>
                <w:rFonts w:hint="eastAsia" w:ascii="宋体" w:hAnsi="宋体"/>
                <w:color w:val="auto"/>
                <w:lang w:val="en-US" w:eastAsia="zh-CN"/>
              </w:rPr>
              <w:t>市级有关行业</w:t>
            </w:r>
            <w:r>
              <w:rPr>
                <w:rFonts w:ascii="宋体" w:hAnsi="宋体"/>
                <w:color w:val="auto"/>
              </w:rPr>
              <w:t>主管部门暂停在渝承揽新业务。若被暂停在渝承揽新业务但仍参加投标，将被否决投标；已取得中标候选人资格或中标资格的，</w:t>
            </w:r>
            <w:r>
              <w:rPr>
                <w:rFonts w:hint="eastAsia" w:ascii="宋体" w:hAnsi="宋体"/>
                <w:color w:val="auto"/>
                <w:lang w:eastAsia="zh-CN"/>
              </w:rPr>
              <w:t>比选人</w:t>
            </w:r>
            <w:r>
              <w:rPr>
                <w:rFonts w:ascii="宋体" w:hAnsi="宋体"/>
                <w:color w:val="auto"/>
              </w:rPr>
              <w:t>有权取消其中标候选人资格或中标资格；给</w:t>
            </w:r>
            <w:r>
              <w:rPr>
                <w:rFonts w:hint="eastAsia" w:ascii="宋体" w:hAnsi="宋体"/>
                <w:color w:val="auto"/>
                <w:lang w:eastAsia="zh-CN"/>
              </w:rPr>
              <w:t>比选人</w:t>
            </w:r>
            <w:r>
              <w:rPr>
                <w:rFonts w:ascii="宋体" w:hAnsi="宋体"/>
                <w:color w:val="auto"/>
              </w:rPr>
              <w:t>造成损失的，投标人依法承担违约赔偿责任。</w:t>
            </w:r>
          </w:p>
          <w:p w14:paraId="3EA5F805">
            <w:pPr>
              <w:snapToGrid w:val="0"/>
              <w:spacing w:line="400" w:lineRule="exact"/>
              <w:ind w:firstLine="420" w:firstLineChars="200"/>
              <w:rPr>
                <w:rFonts w:ascii="宋体" w:hAnsi="宋体"/>
                <w:color w:val="auto"/>
              </w:rPr>
            </w:pPr>
            <w:r>
              <w:rPr>
                <w:rFonts w:hint="eastAsia" w:ascii="宋体" w:hAnsi="宋体"/>
                <w:color w:val="auto"/>
                <w:lang w:val="en-US" w:eastAsia="zh-CN"/>
              </w:rPr>
              <w:t>3</w:t>
            </w:r>
            <w:r>
              <w:rPr>
                <w:rFonts w:ascii="宋体" w:hAnsi="宋体"/>
                <w:color w:val="auto"/>
              </w:rPr>
              <w:t>.2.3项目经理的其它承诺要求：为保证</w:t>
            </w:r>
            <w:r>
              <w:rPr>
                <w:rFonts w:hint="eastAsia" w:ascii="宋体" w:hAnsi="宋体"/>
                <w:color w:val="auto"/>
              </w:rPr>
              <w:t>投标人</w:t>
            </w:r>
            <w:r>
              <w:rPr>
                <w:rFonts w:ascii="宋体" w:hAnsi="宋体"/>
                <w:color w:val="auto"/>
              </w:rPr>
              <w:t>拟派的项目经理到本项目到岗履职，</w:t>
            </w:r>
            <w:r>
              <w:rPr>
                <w:rFonts w:hint="eastAsia" w:ascii="宋体" w:hAnsi="宋体"/>
                <w:color w:val="auto"/>
              </w:rPr>
              <w:t>投标人</w:t>
            </w:r>
            <w:r>
              <w:rPr>
                <w:rFonts w:ascii="宋体" w:hAnsi="宋体"/>
                <w:color w:val="auto"/>
              </w:rPr>
              <w:t>还需承诺：</w:t>
            </w:r>
          </w:p>
          <w:p w14:paraId="69E6EEEA">
            <w:pPr>
              <w:snapToGrid w:val="0"/>
              <w:spacing w:line="400" w:lineRule="exact"/>
              <w:ind w:firstLine="420" w:firstLineChars="200"/>
              <w:rPr>
                <w:rFonts w:ascii="宋体" w:hAnsi="宋体"/>
                <w:color w:val="auto"/>
              </w:rPr>
            </w:pPr>
            <w:r>
              <w:rPr>
                <w:rFonts w:ascii="宋体" w:hAnsi="宋体"/>
                <w:color w:val="auto"/>
              </w:rPr>
              <w:t>若</w:t>
            </w:r>
            <w:r>
              <w:rPr>
                <w:rFonts w:hint="eastAsia" w:ascii="宋体" w:hAnsi="宋体"/>
                <w:color w:val="auto"/>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日（7～30日）内，办理完成放弃在其他项目任职的手续（或办理完成放弃在其他项目中标或拟中标的手续），</w:t>
            </w:r>
            <w:r>
              <w:rPr>
                <w:rFonts w:hint="eastAsia" w:ascii="宋体" w:hAnsi="宋体"/>
                <w:color w:val="auto"/>
                <w:lang w:eastAsia="zh-CN"/>
              </w:rPr>
              <w:t>比选人</w:t>
            </w:r>
            <w:r>
              <w:rPr>
                <w:rFonts w:ascii="宋体" w:hAnsi="宋体"/>
                <w:color w:val="auto"/>
              </w:rPr>
              <w:t>在合同签订前有权对</w:t>
            </w:r>
            <w:r>
              <w:rPr>
                <w:rFonts w:hint="eastAsia" w:ascii="宋体" w:hAnsi="宋体"/>
                <w:color w:val="auto"/>
              </w:rPr>
              <w:t>投标人</w:t>
            </w:r>
            <w:r>
              <w:rPr>
                <w:rFonts w:ascii="宋体" w:hAnsi="宋体"/>
                <w:color w:val="auto"/>
              </w:rPr>
              <w:t>拟派项目经理在其他项目的任职情形（或在其他项目的中标或拟中标情形）进行核查，若与</w:t>
            </w:r>
            <w:r>
              <w:rPr>
                <w:rFonts w:hint="eastAsia" w:ascii="宋体" w:hAnsi="宋体"/>
                <w:color w:val="auto"/>
              </w:rPr>
              <w:t>投标人</w:t>
            </w:r>
            <w:r>
              <w:rPr>
                <w:rFonts w:ascii="宋体" w:hAnsi="宋体"/>
                <w:color w:val="auto"/>
              </w:rPr>
              <w:t>承诺内容不符或</w:t>
            </w:r>
            <w:r>
              <w:rPr>
                <w:rFonts w:hint="eastAsia" w:ascii="宋体" w:hAnsi="宋体"/>
                <w:color w:val="auto"/>
              </w:rPr>
              <w:t>投标人</w:t>
            </w:r>
            <w:r>
              <w:rPr>
                <w:rFonts w:ascii="宋体" w:hAnsi="宋体"/>
                <w:color w:val="auto"/>
              </w:rPr>
              <w:t>未在上述时间内按照</w:t>
            </w:r>
            <w:r>
              <w:rPr>
                <w:rFonts w:hint="eastAsia" w:ascii="宋体" w:hAnsi="宋体"/>
                <w:color w:val="auto"/>
                <w:lang w:eastAsia="zh-CN"/>
              </w:rPr>
              <w:t>比选文件</w:t>
            </w:r>
            <w:r>
              <w:rPr>
                <w:rFonts w:ascii="宋体" w:hAnsi="宋体"/>
                <w:color w:val="auto"/>
              </w:rPr>
              <w:t>规定递交放弃在其他项目任职、中标或拟中标的相关资料，视为</w:t>
            </w:r>
            <w:r>
              <w:rPr>
                <w:rFonts w:hint="eastAsia" w:ascii="宋体" w:hAnsi="宋体"/>
                <w:color w:val="auto"/>
              </w:rPr>
              <w:t>投标人</w:t>
            </w:r>
            <w:r>
              <w:rPr>
                <w:rFonts w:ascii="宋体" w:hAnsi="宋体"/>
                <w:color w:val="auto"/>
              </w:rPr>
              <w:t>放弃中标资格。在合同签订时，</w:t>
            </w:r>
            <w:r>
              <w:rPr>
                <w:rFonts w:hint="eastAsia" w:ascii="宋体" w:hAnsi="宋体"/>
                <w:color w:val="auto"/>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rPr>
              <w:t>投标人</w:t>
            </w:r>
            <w:r>
              <w:rPr>
                <w:rFonts w:ascii="宋体" w:hAnsi="宋体"/>
                <w:color w:val="auto"/>
              </w:rPr>
              <w:t>放弃中标资格。</w:t>
            </w:r>
          </w:p>
          <w:p w14:paraId="7F98204F">
            <w:pPr>
              <w:snapToGrid w:val="0"/>
              <w:spacing w:line="400" w:lineRule="exact"/>
              <w:ind w:firstLine="420" w:firstLineChars="200"/>
              <w:rPr>
                <w:rFonts w:ascii="宋体" w:hAnsi="宋体"/>
                <w:color w:val="auto"/>
              </w:rPr>
            </w:pPr>
            <w:r>
              <w:rPr>
                <w:rFonts w:ascii="宋体" w:hAnsi="宋体"/>
                <w:color w:val="auto"/>
              </w:rPr>
              <w:t>放弃在其他项目任职的需提供：①经业主或建设单位同意任职变更的文件；②负责项目监管的行业行政主管部门出具同意任职变更的证明材料。</w:t>
            </w:r>
          </w:p>
          <w:p w14:paraId="73D96510">
            <w:pPr>
              <w:snapToGrid w:val="0"/>
              <w:spacing w:line="400" w:lineRule="exact"/>
              <w:ind w:firstLine="420" w:firstLineChars="200"/>
              <w:rPr>
                <w:rFonts w:ascii="宋体" w:hAnsi="宋体"/>
                <w:color w:val="auto"/>
              </w:rPr>
            </w:pPr>
            <w:r>
              <w:rPr>
                <w:rFonts w:ascii="宋体" w:hAnsi="宋体"/>
                <w:color w:val="auto"/>
              </w:rPr>
              <w:t>放弃在其他项目中标或拟中标的需提供：①经中标或拟中标的其他项目建设单位同意的放弃中标函</w:t>
            </w:r>
            <w:r>
              <w:rPr>
                <w:rFonts w:hint="eastAsia" w:ascii="宋体" w:hAnsi="宋体"/>
                <w:color w:val="auto"/>
              </w:rPr>
              <w:t>。</w:t>
            </w:r>
          </w:p>
          <w:p w14:paraId="249F59F6">
            <w:pPr>
              <w:snapToGrid w:val="0"/>
              <w:spacing w:line="400" w:lineRule="exact"/>
              <w:ind w:firstLine="420" w:firstLineChars="200"/>
              <w:rPr>
                <w:rFonts w:ascii="宋体" w:hAnsi="宋体"/>
                <w:color w:val="auto"/>
                <w:szCs w:val="21"/>
              </w:rPr>
            </w:pPr>
            <w:r>
              <w:rPr>
                <w:rFonts w:hint="eastAsia" w:ascii="宋体" w:hAnsi="宋体"/>
                <w:color w:val="auto"/>
                <w:lang w:val="en-US" w:eastAsia="zh-CN"/>
              </w:rPr>
              <w:t>3</w:t>
            </w:r>
            <w:r>
              <w:rPr>
                <w:rFonts w:hint="eastAsia" w:ascii="宋体" w:hAnsi="宋体"/>
                <w:color w:val="auto"/>
              </w:rPr>
              <w:t>.2.4未提供上述承诺或承诺内容不符合要求的，由评标委员会作否决投标处理</w:t>
            </w:r>
            <w:r>
              <w:rPr>
                <w:rFonts w:ascii="宋体" w:hAnsi="宋体"/>
                <w:color w:val="auto"/>
              </w:rPr>
              <w:t>。</w:t>
            </w:r>
          </w:p>
          <w:p w14:paraId="2EC82B26">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5355920B">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7C9AE225">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5BB70E4B">
            <w:pPr>
              <w:autoSpaceDE w:val="0"/>
              <w:autoSpaceDN w:val="0"/>
              <w:adjustRightInd w:val="0"/>
              <w:snapToGrid w:val="0"/>
              <w:spacing w:line="400" w:lineRule="exact"/>
              <w:ind w:firstLine="420" w:firstLineChars="200"/>
              <w:rPr>
                <w:rFonts w:ascii="宋体" w:hAnsi="宋体"/>
                <w:color w:val="auto"/>
                <w:spacing w:val="-24"/>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2D3711AA">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4</w:t>
            </w:r>
            <w:r>
              <w:rPr>
                <w:rFonts w:ascii="宋体" w:hAnsi="宋体"/>
                <w:b/>
                <w:color w:val="auto"/>
                <w:szCs w:val="21"/>
              </w:rPr>
              <w:t>.其他要求</w:t>
            </w:r>
          </w:p>
          <w:p w14:paraId="0CCB8D3E">
            <w:pPr>
              <w:snapToGrid w:val="0"/>
              <w:spacing w:line="400" w:lineRule="exact"/>
              <w:ind w:firstLine="420" w:firstLineChars="200"/>
              <w:rPr>
                <w:rFonts w:ascii="宋体" w:hAnsi="宋体"/>
                <w:color w:val="auto"/>
                <w:szCs w:val="21"/>
              </w:rPr>
            </w:pPr>
            <w:r>
              <w:rPr>
                <w:rFonts w:ascii="宋体" w:hAnsi="宋体"/>
                <w:color w:val="auto"/>
                <w:kern w:val="0"/>
                <w:szCs w:val="21"/>
              </w:rPr>
              <w:t>（1）</w:t>
            </w:r>
            <w:r>
              <w:rPr>
                <w:rFonts w:ascii="宋体" w:hAnsi="宋体"/>
                <w:color w:val="auto"/>
                <w:szCs w:val="21"/>
              </w:rPr>
              <w:t>项目技术负责人：</w:t>
            </w:r>
          </w:p>
          <w:p w14:paraId="041CC89D">
            <w:pPr>
              <w:snapToGrid w:val="0"/>
              <w:spacing w:line="400" w:lineRule="exact"/>
              <w:ind w:firstLine="420" w:firstLineChars="200"/>
              <w:rPr>
                <w:rFonts w:ascii="宋体" w:hAnsi="宋体"/>
                <w:color w:val="auto"/>
                <w:szCs w:val="21"/>
              </w:rPr>
            </w:pPr>
            <w:r>
              <w:rPr>
                <w:rFonts w:ascii="宋体" w:hAnsi="宋体"/>
                <w:color w:val="auto"/>
                <w:szCs w:val="21"/>
              </w:rPr>
              <w:t>应具有</w:t>
            </w:r>
            <w:r>
              <w:rPr>
                <w:rFonts w:hint="eastAsia" w:ascii="宋体" w:hAnsi="宋体"/>
                <w:color w:val="auto"/>
                <w:szCs w:val="21"/>
                <w:u w:val="single"/>
              </w:rPr>
              <w:t xml:space="preserve">工程类 </w:t>
            </w:r>
            <w:r>
              <w:rPr>
                <w:rFonts w:hint="eastAsia" w:ascii="宋体" w:hAnsi="宋体"/>
                <w:color w:val="auto"/>
                <w:szCs w:val="21"/>
                <w:u w:val="single"/>
                <w:lang w:eastAsia="zh-CN"/>
              </w:rPr>
              <w:t>中</w:t>
            </w:r>
            <w:r>
              <w:rPr>
                <w:rFonts w:hint="eastAsia" w:ascii="宋体" w:hAnsi="宋体"/>
                <w:color w:val="auto"/>
                <w:szCs w:val="21"/>
                <w:u w:val="single"/>
              </w:rPr>
              <w:t xml:space="preserve"> </w:t>
            </w:r>
            <w:r>
              <w:rPr>
                <w:rFonts w:ascii="宋体" w:hAnsi="宋体"/>
                <w:color w:val="auto"/>
                <w:szCs w:val="21"/>
                <w:u w:val="single"/>
              </w:rPr>
              <w:t>级及以上</w:t>
            </w:r>
            <w:r>
              <w:rPr>
                <w:rFonts w:ascii="宋体" w:hAnsi="宋体"/>
                <w:color w:val="auto"/>
                <w:szCs w:val="21"/>
              </w:rPr>
              <w:t>职称；</w:t>
            </w:r>
          </w:p>
          <w:p w14:paraId="2CF70721">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投标人须在投标文件资格审查部分提供拟派技术负责人身份证、职称证及投标人本单位为其缴纳的养老保险证明材料复印件。</w:t>
            </w:r>
          </w:p>
          <w:p w14:paraId="0E9ADF6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kern w:val="0"/>
                <w:szCs w:val="21"/>
              </w:rPr>
              <w:t>（2）</w:t>
            </w:r>
            <w:r>
              <w:rPr>
                <w:rFonts w:ascii="宋体" w:hAnsi="宋体"/>
                <w:color w:val="auto"/>
                <w:szCs w:val="21"/>
              </w:rPr>
              <w:t>主要管理人员：</w:t>
            </w:r>
          </w:p>
          <w:p w14:paraId="14D7365C">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color w:val="auto"/>
                <w:szCs w:val="21"/>
                <w:lang w:eastAsia="zh-CN"/>
              </w:rPr>
              <w:t>比选人</w:t>
            </w:r>
            <w:r>
              <w:rPr>
                <w:rFonts w:hint="eastAsia" w:ascii="宋体" w:hAnsi="宋体"/>
                <w:color w:val="auto"/>
                <w:szCs w:val="21"/>
              </w:rPr>
              <w:t>可取消其中标资格，给</w:t>
            </w:r>
            <w:r>
              <w:rPr>
                <w:rFonts w:hint="eastAsia" w:ascii="宋体" w:hAnsi="宋体"/>
                <w:color w:val="auto"/>
                <w:szCs w:val="21"/>
                <w:lang w:eastAsia="zh-CN"/>
              </w:rPr>
              <w:t>比选人</w:t>
            </w:r>
            <w:r>
              <w:rPr>
                <w:rFonts w:hint="eastAsia" w:ascii="宋体" w:hAnsi="宋体"/>
                <w:color w:val="auto"/>
                <w:szCs w:val="21"/>
              </w:rPr>
              <w:t>造成损失的，投标人依法承担违约赔偿责任。</w:t>
            </w:r>
          </w:p>
          <w:p w14:paraId="43BB8C69">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投标人须在投标文件资格审查部分提供承诺（承诺格式见第八章投标文件格式）。</w:t>
            </w:r>
          </w:p>
          <w:p w14:paraId="590BDC36">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）委托代理人</w:t>
            </w:r>
            <w:r>
              <w:rPr>
                <w:rFonts w:hint="eastAsia" w:ascii="宋体" w:hAnsi="宋体"/>
                <w:color w:val="auto"/>
                <w:kern w:val="0"/>
                <w:szCs w:val="21"/>
              </w:rPr>
              <w:t>：</w:t>
            </w:r>
          </w:p>
          <w:p w14:paraId="33A07740">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1F8341EA">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缴纳的养老保险证明复印件。否则，将由评标委员会作否决投标处理。</w:t>
            </w:r>
          </w:p>
          <w:p w14:paraId="7C73CCA6">
            <w:pPr>
              <w:autoSpaceDE w:val="0"/>
              <w:autoSpaceDN w:val="0"/>
              <w:adjustRightInd w:val="0"/>
              <w:snapToGrid w:val="0"/>
              <w:spacing w:line="40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27340151">
            <w:pPr>
              <w:autoSpaceDE w:val="0"/>
              <w:autoSpaceDN w:val="0"/>
              <w:adjustRightInd w:val="0"/>
              <w:snapToGrid w:val="0"/>
              <w:spacing w:line="400" w:lineRule="exact"/>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上述要求须提交的相关证明材料复印件均应加盖投标单位法人章并装入投标文件资格审查部分中。上述要求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45C32B31">
            <w:pPr>
              <w:autoSpaceDE w:val="0"/>
              <w:autoSpaceDN w:val="0"/>
              <w:adjustRightInd w:val="0"/>
              <w:snapToGrid w:val="0"/>
              <w:spacing w:line="400" w:lineRule="exact"/>
              <w:ind w:firstLine="415" w:firstLineChars="198"/>
              <w:rPr>
                <w:rFonts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（2）投标人须自行承诺其提供的上述相关证明材料真实有效，不存在弄虚作假情形（格式见第八章投标文件格式）。</w:t>
            </w:r>
            <w:r>
              <w:rPr>
                <w:rFonts w:hint="eastAsia" w:ascii="宋体" w:hAnsi="宋体" w:cs="宋体"/>
                <w:color w:val="auto"/>
                <w:szCs w:val="21"/>
                <w:u w:val="single"/>
                <w:lang w:eastAsia="zh-CN"/>
              </w:rPr>
              <w:t>比选人</w:t>
            </w:r>
            <w:r>
              <w:rPr>
                <w:rFonts w:hint="eastAsia" w:ascii="宋体" w:hAnsi="宋体" w:cs="宋体"/>
                <w:color w:val="auto"/>
                <w:szCs w:val="21"/>
                <w:u w:val="single"/>
              </w:rPr>
              <w:t>在合同签订前均有权对投标人提供的资料进行核实，若发现弄虚作假，</w:t>
            </w:r>
            <w:r>
              <w:rPr>
                <w:rFonts w:hint="eastAsia" w:ascii="宋体" w:hAnsi="宋体" w:cs="宋体"/>
                <w:color w:val="auto"/>
                <w:szCs w:val="21"/>
                <w:u w:val="single"/>
                <w:lang w:val="en-US" w:eastAsia="zh-CN"/>
              </w:rPr>
              <w:t>按相关规定</w:t>
            </w:r>
            <w:r>
              <w:rPr>
                <w:rFonts w:hint="eastAsia" w:ascii="宋体" w:hAnsi="宋体" w:cs="宋体"/>
                <w:color w:val="auto"/>
                <w:szCs w:val="21"/>
                <w:u w:val="single"/>
              </w:rPr>
              <w:t>取消其中标资格，并按相关法律法规报招标投标监督部门，投标人承担因此造成的相关责任并赔偿相应损失</w:t>
            </w:r>
            <w:r>
              <w:rPr>
                <w:rFonts w:hint="eastAsia" w:ascii="宋体" w:hAnsi="宋体" w:cs="宋体"/>
                <w:color w:val="auto"/>
                <w:szCs w:val="21"/>
              </w:rPr>
              <w:t>。</w:t>
            </w:r>
          </w:p>
          <w:p w14:paraId="4EE3F19F">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lang w:eastAsia="zh-CN"/>
              </w:rPr>
              <w:t>比选文件</w:t>
            </w:r>
            <w:r>
              <w:rPr>
                <w:rFonts w:ascii="宋体" w:hAnsi="宋体"/>
                <w:bCs/>
                <w:color w:val="auto"/>
                <w:kern w:val="0"/>
                <w:szCs w:val="21"/>
              </w:rPr>
              <w:t>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01C6BDCE">
            <w:pPr>
              <w:spacing w:line="400" w:lineRule="exact"/>
              <w:ind w:firstLine="420" w:firstLineChars="200"/>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5870D1D3">
            <w:pPr>
              <w:spacing w:line="400" w:lineRule="exact"/>
              <w:ind w:firstLine="420" w:firstLineChars="200"/>
              <w:rPr>
                <w:rFonts w:ascii="宋体" w:hAnsi="宋体"/>
                <w:bCs/>
                <w:snapToGrid w:val="0"/>
                <w:color w:val="auto"/>
                <w:kern w:val="0"/>
                <w:szCs w:val="21"/>
              </w:rPr>
            </w:pPr>
            <w:r>
              <w:rPr>
                <w:rFonts w:ascii="宋体" w:hAnsi="宋体"/>
                <w:bCs/>
                <w:color w:val="auto"/>
                <w:kern w:val="0"/>
                <w:szCs w:val="21"/>
              </w:rPr>
              <w:t>②</w:t>
            </w:r>
            <w:r>
              <w:rPr>
                <w:rFonts w:hint="eastAsia" w:ascii="宋体" w:hAnsi="宋体"/>
                <w:bCs/>
                <w:snapToGrid w:val="0"/>
                <w:color w:val="auto"/>
                <w:kern w:val="0"/>
                <w:szCs w:val="21"/>
              </w:rPr>
              <w:t>项目经理、</w:t>
            </w:r>
            <w:r>
              <w:rPr>
                <w:rFonts w:ascii="宋体" w:hAnsi="宋体"/>
                <w:bCs/>
                <w:snapToGrid w:val="0"/>
                <w:color w:val="auto"/>
                <w:kern w:val="0"/>
                <w:szCs w:val="21"/>
              </w:rPr>
              <w:t>项目技术负责人</w:t>
            </w:r>
            <w:r>
              <w:rPr>
                <w:rFonts w:hint="eastAsia" w:ascii="宋体" w:hAnsi="宋体"/>
                <w:bCs/>
                <w:snapToGrid w:val="0"/>
                <w:color w:val="auto"/>
                <w:kern w:val="0"/>
                <w:szCs w:val="21"/>
                <w:lang w:eastAsia="zh-CN"/>
              </w:rPr>
              <w:t>和委托代理人</w:t>
            </w:r>
            <w:r>
              <w:rPr>
                <w:rFonts w:ascii="宋体" w:hAnsi="宋体"/>
                <w:bCs/>
                <w:snapToGrid w:val="0"/>
                <w:color w:val="auto"/>
                <w:kern w:val="0"/>
                <w:szCs w:val="21"/>
              </w:rPr>
              <w:t>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lang w:val="en-US" w:eastAsia="zh-CN"/>
              </w:rPr>
              <w:t>2025</w:t>
            </w:r>
            <w:r>
              <w:rPr>
                <w:rFonts w:hint="eastAsia" w:ascii="宋体" w:hAnsi="宋体"/>
                <w:bCs/>
                <w:snapToGrid w:val="0"/>
                <w:color w:val="auto"/>
                <w:kern w:val="0"/>
                <w:szCs w:val="21"/>
                <w:u w:val="none"/>
                <w:lang w:val="en-US" w:eastAsia="zh-CN"/>
              </w:rPr>
              <w:t>年</w:t>
            </w:r>
            <w:r>
              <w:rPr>
                <w:rFonts w:hint="eastAsia" w:ascii="宋体" w:hAnsi="宋体"/>
                <w:bCs/>
                <w:snapToGrid w:val="0"/>
                <w:color w:val="auto"/>
                <w:kern w:val="0"/>
                <w:szCs w:val="21"/>
                <w:u w:val="single"/>
                <w:lang w:val="en-US" w:eastAsia="zh-CN"/>
              </w:rPr>
              <w:t xml:space="preserve"> 5</w:t>
            </w:r>
            <w:r>
              <w:rPr>
                <w:rFonts w:ascii="宋体" w:hAnsi="宋体"/>
                <w:bCs/>
                <w:snapToGrid w:val="0"/>
                <w:color w:val="auto"/>
                <w:kern w:val="0"/>
                <w:szCs w:val="21"/>
              </w:rPr>
              <w:t>月至</w:t>
            </w:r>
            <w:r>
              <w:rPr>
                <w:rFonts w:hint="eastAsia" w:ascii="宋体" w:hAnsi="宋体"/>
                <w:bCs/>
                <w:snapToGrid w:val="0"/>
                <w:color w:val="auto"/>
                <w:kern w:val="0"/>
                <w:szCs w:val="21"/>
                <w:u w:val="single"/>
                <w:lang w:val="en-US" w:eastAsia="zh-CN"/>
              </w:rPr>
              <w:t>2025</w:t>
            </w:r>
            <w:r>
              <w:rPr>
                <w:rFonts w:hint="eastAsia" w:ascii="宋体" w:hAnsi="宋体"/>
                <w:bCs/>
                <w:snapToGrid w:val="0"/>
                <w:color w:val="auto"/>
                <w:kern w:val="0"/>
                <w:szCs w:val="21"/>
                <w:u w:val="none"/>
                <w:lang w:val="en-US" w:eastAsia="zh-CN"/>
              </w:rPr>
              <w:t>年</w:t>
            </w:r>
            <w:r>
              <w:rPr>
                <w:rFonts w:hint="eastAsia" w:ascii="宋体" w:hAnsi="宋体"/>
                <w:bCs/>
                <w:snapToGrid w:val="0"/>
                <w:color w:val="auto"/>
                <w:kern w:val="0"/>
                <w:szCs w:val="21"/>
                <w:u w:val="single"/>
                <w:lang w:val="en-US" w:eastAsia="zh-CN"/>
              </w:rPr>
              <w:t>10</w:t>
            </w:r>
            <w:r>
              <w:rPr>
                <w:rFonts w:ascii="宋体" w:hAnsi="宋体"/>
                <w:bCs/>
                <w:snapToGrid w:val="0"/>
                <w:color w:val="auto"/>
                <w:kern w:val="0"/>
                <w:szCs w:val="21"/>
              </w:rPr>
              <w:t>月</w:t>
            </w:r>
            <w:r>
              <w:rPr>
                <w:rFonts w:hint="eastAsia" w:ascii="宋体" w:hAnsi="宋体"/>
                <w:bCs/>
                <w:color w:val="auto"/>
                <w:szCs w:val="21"/>
              </w:rPr>
              <w:t>。提供的养老保险参保证明须体现上述人员的姓名、身份证号（或社保号）、单位名称、本单位参保时间（或起始参保时间），并带有社保部门公章或社保部门的有效电子印章。</w:t>
            </w:r>
          </w:p>
        </w:tc>
      </w:tr>
      <w:tr w14:paraId="75362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F438F2">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6F0116CB">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27D2FEA2">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不接受</w:t>
            </w:r>
          </w:p>
        </w:tc>
      </w:tr>
      <w:tr w14:paraId="47DE0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FC87CC">
            <w:pPr>
              <w:snapToGrid w:val="0"/>
              <w:spacing w:line="40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6CB1A474">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67C433F7">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不组织</w:t>
            </w:r>
          </w:p>
        </w:tc>
      </w:tr>
      <w:tr w14:paraId="73349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BD7C45">
            <w:pPr>
              <w:snapToGrid w:val="0"/>
              <w:spacing w:line="40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0AACB1B1">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203CE7B2">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不召开</w:t>
            </w:r>
          </w:p>
        </w:tc>
      </w:tr>
      <w:tr w14:paraId="071E1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47B909">
            <w:pPr>
              <w:snapToGrid w:val="0"/>
              <w:spacing w:line="40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13012D2E">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38BA02E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不允许</w:t>
            </w:r>
          </w:p>
        </w:tc>
      </w:tr>
      <w:tr w14:paraId="6EA7E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ACE58A">
            <w:pPr>
              <w:snapToGrid w:val="0"/>
              <w:spacing w:line="40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0E6A1D5C">
            <w:pPr>
              <w:snapToGrid w:val="0"/>
              <w:spacing w:after="15" w:afterLines="5" w:line="400" w:lineRule="exact"/>
              <w:jc w:val="center"/>
              <w:rPr>
                <w:rFonts w:ascii="宋体" w:hAnsi="宋体"/>
                <w:color w:val="auto"/>
                <w:kern w:val="0"/>
                <w:szCs w:val="21"/>
              </w:rPr>
            </w:pPr>
            <w:r>
              <w:rPr>
                <w:rFonts w:ascii="宋体" w:hAnsi="宋体"/>
                <w:color w:val="auto"/>
                <w:kern w:val="0"/>
                <w:szCs w:val="21"/>
              </w:rPr>
              <w:t>构成</w:t>
            </w:r>
            <w:r>
              <w:rPr>
                <w:rFonts w:hint="eastAsia" w:ascii="宋体" w:hAnsi="宋体"/>
                <w:color w:val="auto"/>
                <w:kern w:val="0"/>
                <w:szCs w:val="21"/>
                <w:lang w:eastAsia="zh-CN"/>
              </w:rPr>
              <w:t>比选文件</w:t>
            </w:r>
            <w:r>
              <w:rPr>
                <w:rFonts w:ascii="宋体" w:hAnsi="宋体"/>
                <w:color w:val="auto"/>
                <w:kern w:val="0"/>
                <w:szCs w:val="21"/>
              </w:rPr>
              <w:t>的其他材料</w:t>
            </w:r>
          </w:p>
        </w:tc>
        <w:tc>
          <w:tcPr>
            <w:tcW w:w="6490" w:type="dxa"/>
            <w:vAlign w:val="center"/>
          </w:tcPr>
          <w:p w14:paraId="4EE1E47B">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比选人</w:t>
            </w:r>
            <w:r>
              <w:rPr>
                <w:rFonts w:ascii="宋体" w:hAnsi="宋体"/>
                <w:color w:val="auto"/>
                <w:szCs w:val="21"/>
              </w:rPr>
              <w:t>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11F3B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934F58">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79D8496F">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比选文件</w:t>
            </w:r>
            <w:r>
              <w:rPr>
                <w:rFonts w:ascii="宋体" w:hAnsi="宋体"/>
                <w:color w:val="auto"/>
                <w:kern w:val="0"/>
                <w:szCs w:val="21"/>
              </w:rPr>
              <w:t>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0E7BB82C">
            <w:pPr>
              <w:snapToGrid w:val="0"/>
              <w:spacing w:line="400" w:lineRule="exact"/>
              <w:ind w:firstLine="420" w:firstLineChars="200"/>
              <w:rPr>
                <w:rFonts w:ascii="宋体" w:hAnsi="宋体"/>
                <w:color w:val="auto"/>
                <w:kern w:val="0"/>
                <w:szCs w:val="21"/>
              </w:rPr>
            </w:pPr>
            <w:r>
              <w:rPr>
                <w:rFonts w:ascii="宋体" w:hAnsi="宋体"/>
                <w:color w:val="auto"/>
                <w:kern w:val="0"/>
                <w:szCs w:val="21"/>
              </w:rPr>
              <w:t>投标人应仔细</w:t>
            </w:r>
            <w:r>
              <w:rPr>
                <w:rFonts w:hint="eastAsia" w:ascii="宋体" w:hAnsi="宋体"/>
                <w:color w:val="auto"/>
                <w:kern w:val="0"/>
                <w:szCs w:val="21"/>
              </w:rPr>
              <w:t>阅读</w:t>
            </w:r>
            <w:r>
              <w:rPr>
                <w:rFonts w:hint="eastAsia" w:ascii="宋体" w:hAnsi="宋体"/>
                <w:color w:val="auto"/>
                <w:kern w:val="0"/>
                <w:szCs w:val="21"/>
                <w:lang w:eastAsia="zh-CN"/>
              </w:rPr>
              <w:t>比选文件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w:t>
            </w:r>
            <w:r>
              <w:rPr>
                <w:rFonts w:hint="eastAsia" w:ascii="宋体" w:hAnsi="宋体" w:cs="宋体"/>
                <w:color w:val="auto"/>
                <w:kern w:val="0"/>
                <w:szCs w:val="21"/>
                <w:lang w:eastAsia="zh-CN"/>
              </w:rPr>
              <w:t>比选公告</w:t>
            </w:r>
            <w:r>
              <w:rPr>
                <w:rFonts w:hint="eastAsia" w:ascii="宋体" w:hAnsi="宋体" w:cs="宋体"/>
                <w:color w:val="auto"/>
                <w:kern w:val="0"/>
                <w:szCs w:val="21"/>
              </w:rPr>
              <w:t>规定的时间</w:t>
            </w:r>
            <w:r>
              <w:rPr>
                <w:rFonts w:ascii="宋体" w:hAnsi="宋体"/>
                <w:color w:val="auto"/>
                <w:kern w:val="0"/>
                <w:szCs w:val="21"/>
              </w:rPr>
              <w:t>前</w:t>
            </w:r>
            <w:r>
              <w:rPr>
                <w:rFonts w:hint="eastAsia" w:ascii="宋体" w:hAnsi="宋体"/>
                <w:color w:val="auto"/>
                <w:kern w:val="0"/>
                <w:szCs w:val="21"/>
                <w:lang w:eastAsia="zh-CN"/>
              </w:rPr>
              <w:t>提出</w:t>
            </w:r>
            <w:r>
              <w:rPr>
                <w:rFonts w:ascii="宋体" w:hAnsi="宋体"/>
                <w:color w:val="auto"/>
                <w:kern w:val="0"/>
                <w:szCs w:val="21"/>
              </w:rPr>
              <w:t>。</w:t>
            </w:r>
          </w:p>
        </w:tc>
      </w:tr>
      <w:tr w14:paraId="590F6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E6B8B71">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668F03D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比选人</w:t>
            </w:r>
            <w:r>
              <w:rPr>
                <w:rFonts w:ascii="宋体" w:hAnsi="宋体"/>
                <w:color w:val="auto"/>
                <w:kern w:val="0"/>
                <w:szCs w:val="21"/>
              </w:rPr>
              <w:t>对</w:t>
            </w:r>
            <w:r>
              <w:rPr>
                <w:rFonts w:hint="eastAsia" w:ascii="宋体" w:hAnsi="宋体"/>
                <w:color w:val="auto"/>
                <w:kern w:val="0"/>
                <w:szCs w:val="21"/>
                <w:lang w:eastAsia="zh-CN"/>
              </w:rPr>
              <w:t>比选文件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1B013539">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lang w:eastAsia="zh-CN"/>
              </w:rPr>
              <w:t>比选人</w:t>
            </w:r>
            <w:r>
              <w:rPr>
                <w:rFonts w:hint="eastAsia" w:ascii="宋体" w:hAnsi="宋体"/>
                <w:color w:val="auto"/>
                <w:szCs w:val="21"/>
              </w:rPr>
              <w:t>应在</w:t>
            </w:r>
            <w:r>
              <w:rPr>
                <w:rFonts w:hint="eastAsia" w:ascii="宋体" w:hAnsi="宋体"/>
                <w:color w:val="auto"/>
                <w:szCs w:val="21"/>
                <w:lang w:eastAsia="zh-CN"/>
              </w:rPr>
              <w:t>比选公告</w:t>
            </w:r>
            <w:r>
              <w:rPr>
                <w:rFonts w:hint="eastAsia" w:ascii="宋体" w:hAnsi="宋体"/>
                <w:color w:val="auto"/>
                <w:szCs w:val="21"/>
              </w:rPr>
              <w:t>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highlight w:val="none"/>
                <w:u w:val="single"/>
                <w:lang w:eastAsia="zh-CN"/>
              </w:rPr>
              <w:t xml:space="preserve"> “行采家”（www.gec123.com）</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0F5C8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9FA2041">
            <w:pPr>
              <w:snapToGrid w:val="0"/>
              <w:spacing w:line="400" w:lineRule="exact"/>
              <w:jc w:val="center"/>
              <w:rPr>
                <w:rFonts w:ascii="宋体" w:hAnsi="宋体"/>
                <w:color w:val="auto"/>
                <w:kern w:val="0"/>
                <w:szCs w:val="21"/>
              </w:rPr>
            </w:pPr>
          </w:p>
        </w:tc>
        <w:tc>
          <w:tcPr>
            <w:tcW w:w="1644" w:type="dxa"/>
            <w:vAlign w:val="center"/>
          </w:tcPr>
          <w:p w14:paraId="1486F85B">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490" w:type="dxa"/>
            <w:vAlign w:val="center"/>
          </w:tcPr>
          <w:p w14:paraId="5DA24CF4">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w:t>
            </w:r>
            <w:r>
              <w:rPr>
                <w:rFonts w:hint="eastAsia" w:ascii="宋体" w:hAnsi="宋体"/>
                <w:color w:val="auto"/>
                <w:szCs w:val="21"/>
                <w:lang w:eastAsia="zh-CN"/>
              </w:rPr>
              <w:t>比选公告</w:t>
            </w:r>
            <w:r>
              <w:rPr>
                <w:rFonts w:hint="eastAsia" w:ascii="宋体" w:hAnsi="宋体"/>
                <w:color w:val="auto"/>
                <w:szCs w:val="21"/>
              </w:rPr>
              <w:t>规定的投标截止时间。</w:t>
            </w:r>
          </w:p>
        </w:tc>
      </w:tr>
      <w:tr w14:paraId="56455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C2B971">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076900CF">
            <w:pPr>
              <w:snapToGrid w:val="0"/>
              <w:spacing w:after="15" w:afterLines="5" w:line="400" w:lineRule="exact"/>
              <w:jc w:val="center"/>
              <w:rPr>
                <w:rFonts w:ascii="宋体" w:hAnsi="宋体"/>
                <w:color w:val="auto"/>
                <w:kern w:val="0"/>
                <w:szCs w:val="21"/>
              </w:rPr>
            </w:pPr>
            <w:r>
              <w:rPr>
                <w:rFonts w:hint="eastAsia" w:ascii="宋体" w:hAnsi="宋体"/>
                <w:color w:val="auto"/>
                <w:kern w:val="0"/>
                <w:szCs w:val="21"/>
                <w:lang w:eastAsia="zh-CN"/>
              </w:rPr>
              <w:t>比选人</w:t>
            </w:r>
            <w:r>
              <w:rPr>
                <w:rFonts w:ascii="宋体" w:hAnsi="宋体"/>
                <w:color w:val="auto"/>
                <w:kern w:val="0"/>
                <w:szCs w:val="21"/>
              </w:rPr>
              <w:t>对</w:t>
            </w:r>
            <w:r>
              <w:rPr>
                <w:rFonts w:hint="eastAsia" w:ascii="宋体" w:hAnsi="宋体"/>
                <w:color w:val="auto"/>
                <w:kern w:val="0"/>
                <w:szCs w:val="21"/>
                <w:lang w:eastAsia="zh-CN"/>
              </w:rPr>
              <w:t>比选文件</w:t>
            </w:r>
            <w:r>
              <w:rPr>
                <w:rFonts w:ascii="宋体" w:hAnsi="宋体"/>
                <w:color w:val="auto"/>
                <w:kern w:val="0"/>
                <w:szCs w:val="21"/>
              </w:rPr>
              <w:t>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30EBD655">
            <w:pPr>
              <w:snapToGrid w:val="0"/>
              <w:spacing w:line="40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日的，须相应延后投标截止时间。</w:t>
            </w:r>
          </w:p>
        </w:tc>
      </w:tr>
      <w:tr w14:paraId="6847C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48839E">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7D5FBB9B">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比选文件</w:t>
            </w:r>
            <w:r>
              <w:rPr>
                <w:rFonts w:ascii="宋体" w:hAnsi="宋体"/>
                <w:color w:val="auto"/>
                <w:kern w:val="0"/>
                <w:szCs w:val="21"/>
              </w:rPr>
              <w:t>及澄清修改提出异议的截止时间</w:t>
            </w:r>
          </w:p>
        </w:tc>
        <w:tc>
          <w:tcPr>
            <w:tcW w:w="6490" w:type="dxa"/>
            <w:vAlign w:val="center"/>
          </w:tcPr>
          <w:p w14:paraId="0F070EE3">
            <w:pPr>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w:t>
            </w:r>
            <w:r>
              <w:rPr>
                <w:rFonts w:hint="eastAsia" w:ascii="宋体" w:hAnsi="宋体"/>
                <w:snapToGrid w:val="0"/>
                <w:color w:val="auto"/>
                <w:kern w:val="0"/>
                <w:szCs w:val="21"/>
                <w:lang w:eastAsia="zh-CN"/>
              </w:rPr>
              <w:t>比选文件</w:t>
            </w:r>
            <w:r>
              <w:rPr>
                <w:rFonts w:ascii="宋体" w:hAnsi="宋体"/>
                <w:snapToGrid w:val="0"/>
                <w:color w:val="auto"/>
                <w:kern w:val="0"/>
                <w:szCs w:val="21"/>
              </w:rPr>
              <w:t>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w:t>
            </w:r>
            <w:r>
              <w:rPr>
                <w:rFonts w:hint="eastAsia" w:ascii="宋体" w:hAnsi="宋体"/>
                <w:snapToGrid w:val="0"/>
                <w:color w:val="auto"/>
                <w:kern w:val="0"/>
                <w:szCs w:val="21"/>
              </w:rPr>
              <w:t>以书面形式通知</w:t>
            </w:r>
            <w:r>
              <w:rPr>
                <w:rFonts w:hint="eastAsia" w:ascii="宋体" w:hAnsi="宋体"/>
                <w:snapToGrid w:val="0"/>
                <w:color w:val="auto"/>
                <w:kern w:val="0"/>
                <w:szCs w:val="21"/>
                <w:lang w:eastAsia="zh-CN"/>
              </w:rPr>
              <w:t>比选人</w:t>
            </w:r>
            <w:r>
              <w:rPr>
                <w:rFonts w:hint="eastAsia" w:ascii="宋体" w:hAnsi="宋体"/>
                <w:snapToGrid w:val="0"/>
                <w:color w:val="auto"/>
                <w:kern w:val="0"/>
                <w:szCs w:val="21"/>
              </w:rPr>
              <w:t>或</w:t>
            </w:r>
            <w:r>
              <w:rPr>
                <w:rFonts w:hint="eastAsia" w:ascii="宋体" w:hAnsi="宋体"/>
                <w:snapToGrid w:val="0"/>
                <w:color w:val="auto"/>
                <w:kern w:val="0"/>
                <w:szCs w:val="21"/>
                <w:lang w:eastAsia="zh-CN"/>
              </w:rPr>
              <w:t>比选代理机构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比选人</w:t>
            </w:r>
            <w:r>
              <w:rPr>
                <w:rFonts w:ascii="宋体" w:hAnsi="宋体"/>
                <w:snapToGrid w:val="0"/>
                <w:color w:val="auto"/>
                <w:kern w:val="0"/>
                <w:szCs w:val="21"/>
              </w:rPr>
              <w:t>应当自收到异议之日起3日内做出答复，</w:t>
            </w:r>
            <w:r>
              <w:rPr>
                <w:rFonts w:hint="eastAsia" w:ascii="宋体" w:hAnsi="宋体"/>
                <w:snapToGrid w:val="0"/>
                <w:color w:val="auto"/>
                <w:kern w:val="0"/>
                <w:szCs w:val="21"/>
              </w:rPr>
              <w:t>答复内容可能影响投标文件编制的，将以修改的形式于投标截止时间</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日前在</w:t>
            </w:r>
            <w:r>
              <w:rPr>
                <w:rFonts w:hint="eastAsia" w:ascii="宋体" w:hAnsi="宋体"/>
                <w:snapToGrid w:val="0"/>
                <w:color w:val="auto"/>
                <w:kern w:val="0"/>
                <w:szCs w:val="21"/>
                <w:highlight w:val="none"/>
                <w:u w:val="single"/>
                <w:lang w:eastAsia="zh-CN"/>
              </w:rPr>
              <w:t xml:space="preserve"> “行采家”（www.gec123.com）</w:t>
            </w:r>
            <w:r>
              <w:rPr>
                <w:rFonts w:hint="eastAsia" w:ascii="宋体" w:hAnsi="宋体"/>
                <w:snapToGrid w:val="0"/>
                <w:color w:val="auto"/>
                <w:kern w:val="0"/>
                <w:szCs w:val="21"/>
              </w:rPr>
              <w:t>澄清修改区发布。发布时间至投标截止时间不足</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日的，须相应延后投标截止时间</w:t>
            </w:r>
            <w:r>
              <w:rPr>
                <w:rFonts w:ascii="宋体" w:hAnsi="宋体"/>
                <w:snapToGrid w:val="0"/>
                <w:color w:val="auto"/>
                <w:kern w:val="0"/>
                <w:szCs w:val="21"/>
              </w:rPr>
              <w:t>。</w:t>
            </w:r>
          </w:p>
        </w:tc>
      </w:tr>
      <w:tr w14:paraId="11FA8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533687">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2931D0E9">
            <w:pPr>
              <w:snapToGrid w:val="0"/>
              <w:spacing w:after="31"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50F87368">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54B0B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62DCD5">
            <w:pPr>
              <w:snapToGrid w:val="0"/>
              <w:spacing w:line="40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774F9EF9">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6C45D248">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olor w:val="auto"/>
                <w:szCs w:val="21"/>
              </w:rPr>
              <w:t>1.</w:t>
            </w:r>
            <w:r>
              <w:rPr>
                <w:rFonts w:hint="eastAsia" w:ascii="宋体" w:hAnsi="宋体" w:cs="宋体"/>
                <w:color w:val="auto"/>
                <w:szCs w:val="21"/>
              </w:rPr>
              <w:t>使用国有资金投资的建设工程发承包，必须采用工程量清单计价。工程量清单应采用综合单价计价。</w:t>
            </w:r>
          </w:p>
          <w:p w14:paraId="69A01E5D">
            <w:pPr>
              <w:pStyle w:val="2"/>
              <w:tabs>
                <w:tab w:val="left" w:pos="546"/>
                <w:tab w:val="left" w:pos="711"/>
              </w:tabs>
              <w:snapToGrid w:val="0"/>
              <w:spacing w:after="0" w:line="400" w:lineRule="exact"/>
              <w:ind w:left="6" w:leftChars="3"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ascii="宋体" w:hAnsi="宋体" w:cs="宋体"/>
                <w:color w:val="auto"/>
                <w:sz w:val="28"/>
                <w:szCs w:val="28"/>
                <w:vertAlign w:val="superscript"/>
              </w:rPr>
              <w:footnoteReference w:id="0"/>
            </w:r>
            <w:r>
              <w:rPr>
                <w:rFonts w:hint="eastAsia" w:ascii="宋体" w:hAnsi="宋体" w:cs="宋体"/>
                <w:color w:val="auto"/>
                <w:szCs w:val="21"/>
              </w:rPr>
              <w:t>为依据。</w:t>
            </w:r>
          </w:p>
          <w:p w14:paraId="48BAF805">
            <w:pPr>
              <w:tabs>
                <w:tab w:val="left" w:pos="546"/>
                <w:tab w:val="left" w:pos="711"/>
              </w:tabs>
              <w:snapToGrid w:val="0"/>
              <w:spacing w:line="400" w:lineRule="exact"/>
              <w:ind w:left="6" w:leftChars="3" w:firstLine="420" w:firstLineChars="200"/>
              <w:rPr>
                <w:rFonts w:ascii="宋体" w:hAnsi="宋体"/>
                <w:color w:val="auto"/>
                <w:szCs w:val="21"/>
              </w:rPr>
            </w:pPr>
            <w:r>
              <w:rPr>
                <w:rFonts w:ascii="宋体" w:hAnsi="宋体" w:cs="宋体"/>
                <w:color w:val="auto"/>
                <w:szCs w:val="21"/>
              </w:rPr>
              <w:t>3.</w:t>
            </w:r>
            <w:r>
              <w:rPr>
                <w:rFonts w:hint="eastAsia" w:ascii="宋体" w:hAnsi="宋体" w:cs="宋体"/>
                <w:color w:val="auto"/>
                <w:szCs w:val="21"/>
              </w:rPr>
              <w:t>投标人应认真填写工程量清单中所列的本合同各工程子目的单价或总价。投标人没有填入单价或总价的工程子目，</w:t>
            </w:r>
            <w:r>
              <w:rPr>
                <w:rFonts w:hint="eastAsia" w:ascii="宋体" w:hAnsi="宋体" w:cs="宋体"/>
                <w:color w:val="auto"/>
                <w:szCs w:val="21"/>
                <w:lang w:eastAsia="zh-CN"/>
              </w:rPr>
              <w:t>比选人</w:t>
            </w:r>
            <w:r>
              <w:rPr>
                <w:rFonts w:hint="eastAsia" w:ascii="宋体" w:hAnsi="宋体" w:cs="宋体"/>
                <w:color w:val="auto"/>
                <w:szCs w:val="21"/>
              </w:rPr>
              <w:t>将认为该子目的价款已包括在工程量清单其他子目的单价和总价中。投标人必须按招标工程量清单填报价格。项目编码、项目名称、项目特征、计量单位、工程量必须与招标工程量清单一致。</w:t>
            </w:r>
            <w:r>
              <w:rPr>
                <w:rFonts w:hint="eastAsia" w:ascii="宋体" w:hAnsi="宋体" w:cs="宋体"/>
                <w:color w:val="auto"/>
                <w:szCs w:val="21"/>
              </w:rPr>
              <w:t>否则交由评标委员会作</w:t>
            </w:r>
            <w:r>
              <w:rPr>
                <w:rFonts w:hint="eastAsia" w:ascii="宋体" w:hAnsi="宋体"/>
                <w:color w:val="auto"/>
                <w:szCs w:val="21"/>
              </w:rPr>
              <w:t>否决投标处理。</w:t>
            </w:r>
          </w:p>
          <w:p w14:paraId="58C182B1">
            <w:pPr>
              <w:tabs>
                <w:tab w:val="left" w:pos="546"/>
                <w:tab w:val="left" w:pos="711"/>
              </w:tabs>
              <w:snapToGrid w:val="0"/>
              <w:spacing w:line="400" w:lineRule="exact"/>
              <w:ind w:left="6" w:leftChars="3"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投标函中的总报价必须与已标价工程量清单总报价一致。否则由评标委员会作否决投标处理。</w:t>
            </w:r>
          </w:p>
          <w:p w14:paraId="5D402469">
            <w:pPr>
              <w:pStyle w:val="2"/>
              <w:tabs>
                <w:tab w:val="left" w:pos="546"/>
                <w:tab w:val="left" w:pos="711"/>
              </w:tabs>
              <w:snapToGrid w:val="0"/>
              <w:spacing w:after="0" w:line="400" w:lineRule="exact"/>
              <w:ind w:left="6" w:leftChars="3" w:firstLine="420" w:firstLineChars="200"/>
              <w:rPr>
                <w:rFonts w:hint="eastAsia" w:ascii="宋体" w:hAnsi="宋体" w:eastAsia="宋体" w:cs="宋体"/>
                <w:color w:val="auto"/>
                <w:szCs w:val="21"/>
                <w:lang w:eastAsia="zh-CN"/>
              </w:rPr>
            </w:pPr>
            <w:r>
              <w:rPr>
                <w:rFonts w:ascii="宋体" w:hAnsi="宋体" w:cs="宋体"/>
                <w:color w:val="auto"/>
                <w:szCs w:val="21"/>
              </w:rPr>
              <w:t>5.</w:t>
            </w:r>
            <w:r>
              <w:rPr>
                <w:rFonts w:hint="eastAsia" w:ascii="宋体" w:hAnsi="宋体" w:cs="宋体"/>
                <w:color w:val="auto"/>
                <w:szCs w:val="21"/>
              </w:rPr>
              <w:t>增值税计税方法由</w:t>
            </w:r>
            <w:r>
              <w:rPr>
                <w:rFonts w:hint="eastAsia" w:ascii="宋体" w:hAnsi="宋体" w:cs="宋体"/>
                <w:color w:val="auto"/>
                <w:szCs w:val="21"/>
                <w:lang w:eastAsia="zh-CN"/>
              </w:rPr>
              <w:t>比选人</w:t>
            </w:r>
            <w:r>
              <w:rPr>
                <w:rFonts w:hint="eastAsia" w:ascii="宋体" w:hAnsi="宋体" w:cs="宋体"/>
                <w:color w:val="auto"/>
                <w:szCs w:val="21"/>
              </w:rPr>
              <w:t>依据国家税法规定选择：一般计税法</w:t>
            </w:r>
            <w:r>
              <w:rPr>
                <w:rFonts w:hint="eastAsia" w:ascii="宋体" w:hAnsi="宋体" w:cs="宋体"/>
                <w:color w:val="auto"/>
                <w:szCs w:val="21"/>
                <w:lang w:eastAsia="zh-CN"/>
              </w:rPr>
              <w:t>。</w:t>
            </w:r>
          </w:p>
          <w:p w14:paraId="18BD1B3F">
            <w:pPr>
              <w:pStyle w:val="2"/>
              <w:tabs>
                <w:tab w:val="left" w:pos="546"/>
                <w:tab w:val="left" w:pos="711"/>
              </w:tabs>
              <w:snapToGrid w:val="0"/>
              <w:spacing w:after="0" w:line="400" w:lineRule="exact"/>
              <w:ind w:left="6" w:leftChars="3"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如发现工程量清单中的数量与图纸中数量不一致，应于本须知第2.2.1项中规定的时间前书面通知</w:t>
            </w:r>
            <w:r>
              <w:rPr>
                <w:rFonts w:hint="eastAsia" w:ascii="宋体" w:hAnsi="宋体" w:cs="宋体"/>
                <w:color w:val="auto"/>
                <w:szCs w:val="21"/>
                <w:lang w:eastAsia="zh-CN"/>
              </w:rPr>
              <w:t>比选人</w:t>
            </w:r>
            <w:r>
              <w:rPr>
                <w:rFonts w:hint="eastAsia" w:ascii="宋体" w:hAnsi="宋体" w:cs="宋体"/>
                <w:color w:val="auto"/>
                <w:szCs w:val="21"/>
              </w:rPr>
              <w:t>核查，除非</w:t>
            </w:r>
            <w:r>
              <w:rPr>
                <w:rFonts w:hint="eastAsia" w:ascii="宋体" w:hAnsi="宋体" w:cs="宋体"/>
                <w:color w:val="auto"/>
                <w:szCs w:val="21"/>
                <w:lang w:eastAsia="zh-CN"/>
              </w:rPr>
              <w:t>比选人</w:t>
            </w:r>
            <w:r>
              <w:rPr>
                <w:rFonts w:hint="eastAsia" w:ascii="宋体" w:hAnsi="宋体" w:cs="宋体"/>
                <w:color w:val="auto"/>
                <w:szCs w:val="21"/>
              </w:rPr>
              <w:t>以修改的形式予以更正，否则，应以工程量清单中列出的数量为准。</w:t>
            </w:r>
          </w:p>
          <w:p w14:paraId="03C39691">
            <w:pPr>
              <w:tabs>
                <w:tab w:val="left" w:pos="546"/>
                <w:tab w:val="left" w:pos="711"/>
              </w:tabs>
              <w:snapToGrid w:val="0"/>
              <w:spacing w:line="400" w:lineRule="exact"/>
              <w:ind w:firstLine="420" w:firstLineChars="200"/>
              <w:rPr>
                <w:rFonts w:ascii="宋体" w:hAnsi="宋体"/>
                <w:color w:val="auto"/>
                <w:szCs w:val="21"/>
              </w:rPr>
            </w:pPr>
            <w:r>
              <w:rPr>
                <w:rFonts w:ascii="宋体" w:hAnsi="宋体" w:cs="宋体"/>
                <w:color w:val="auto"/>
                <w:szCs w:val="21"/>
              </w:rPr>
              <w:t>7.</w:t>
            </w:r>
            <w:r>
              <w:rPr>
                <w:rFonts w:hint="eastAsia" w:ascii="宋体" w:hAnsi="宋体" w:cs="宋体"/>
                <w:color w:val="auto"/>
                <w:szCs w:val="21"/>
                <w:lang w:eastAsia="zh-CN"/>
              </w:rPr>
              <w:t>比选人</w:t>
            </w:r>
            <w:r>
              <w:rPr>
                <w:rFonts w:hint="eastAsia" w:ascii="宋体" w:hAnsi="宋体" w:cs="宋体"/>
                <w:color w:val="auto"/>
                <w:szCs w:val="21"/>
              </w:rPr>
              <w:t>在工程量清单中所列出的暂列金额、暂估价等</w:t>
            </w:r>
            <w:r>
              <w:rPr>
                <w:rFonts w:hint="eastAsia" w:ascii="宋体" w:hAnsi="宋体" w:cs="宋体"/>
                <w:color w:val="auto"/>
                <w:szCs w:val="21"/>
                <w:lang w:eastAsia="zh-CN"/>
              </w:rPr>
              <w:t>暂定金额</w:t>
            </w:r>
            <w:r>
              <w:rPr>
                <w:rFonts w:hint="eastAsia" w:ascii="宋体" w:hAnsi="宋体" w:cs="宋体"/>
                <w:color w:val="auto"/>
                <w:szCs w:val="21"/>
              </w:rPr>
              <w:t>，投标人不得修改</w:t>
            </w:r>
            <w:r>
              <w:rPr>
                <w:rFonts w:hint="eastAsia" w:ascii="宋体" w:hAnsi="宋体"/>
                <w:color w:val="auto"/>
                <w:szCs w:val="21"/>
              </w:rPr>
              <w:t>。</w:t>
            </w:r>
          </w:p>
          <w:p w14:paraId="4B35DC33">
            <w:pPr>
              <w:tabs>
                <w:tab w:val="left" w:pos="546"/>
                <w:tab w:val="left" w:pos="711"/>
              </w:tabs>
              <w:snapToGrid w:val="0"/>
              <w:spacing w:line="400" w:lineRule="exact"/>
              <w:ind w:firstLine="420" w:firstLineChars="200"/>
              <w:rPr>
                <w:rFonts w:hint="eastAsia" w:ascii="宋体" w:hAnsi="宋体" w:eastAsia="宋体"/>
                <w:color w:val="auto"/>
                <w:szCs w:val="21"/>
                <w:lang w:eastAsia="zh-CN"/>
              </w:rPr>
            </w:pPr>
            <w:r>
              <w:rPr>
                <w:rFonts w:ascii="宋体" w:hAnsi="宋体" w:cs="宋体"/>
                <w:color w:val="auto"/>
                <w:szCs w:val="21"/>
              </w:rPr>
              <w:t>8.</w:t>
            </w:r>
            <w:r>
              <w:rPr>
                <w:rFonts w:hint="eastAsia" w:ascii="宋体" w:hAnsi="宋体" w:cs="宋体"/>
                <w:color w:val="auto"/>
                <w:szCs w:val="21"/>
              </w:rPr>
              <w:t>本工程招标将设置投标总报价最高限价，投标总报价最高限价</w:t>
            </w:r>
            <w:r>
              <w:rPr>
                <w:rFonts w:hint="eastAsia" w:ascii="宋体" w:hAnsi="宋体" w:cs="宋体"/>
                <w:color w:val="auto"/>
                <w:szCs w:val="21"/>
                <w:lang w:eastAsia="zh-CN"/>
              </w:rPr>
              <w:t>为</w:t>
            </w:r>
            <w:r>
              <w:rPr>
                <w:rFonts w:hint="eastAsia" w:ascii="宋体" w:hAnsi="宋体" w:cs="宋体"/>
                <w:color w:val="auto"/>
                <w:szCs w:val="21"/>
                <w:u w:val="single"/>
                <w:lang w:val="en-US" w:eastAsia="zh-CN"/>
              </w:rPr>
              <w:t>153857.06</w:t>
            </w:r>
            <w:r>
              <w:rPr>
                <w:rFonts w:hint="eastAsia" w:ascii="宋体" w:hAnsi="宋体" w:cs="宋体"/>
                <w:color w:val="auto"/>
                <w:szCs w:val="21"/>
                <w:lang w:val="en-US" w:eastAsia="zh-CN"/>
              </w:rPr>
              <w:t>元（大写：</w:t>
            </w:r>
            <w:r>
              <w:rPr>
                <w:rFonts w:hint="eastAsia" w:ascii="宋体" w:hAnsi="宋体" w:cs="宋体"/>
                <w:color w:val="auto"/>
                <w:szCs w:val="21"/>
                <w:highlight w:val="none"/>
                <w:u w:val="single"/>
                <w:lang w:val="en-US" w:eastAsia="zh-CN"/>
              </w:rPr>
              <w:t>壹拾伍万叁仟捌佰伍拾柒元零陆分</w:t>
            </w:r>
            <w:r>
              <w:rPr>
                <w:rFonts w:hint="eastAsia" w:ascii="宋体" w:hAnsi="宋体" w:cs="宋体"/>
                <w:color w:val="auto"/>
                <w:szCs w:val="21"/>
                <w:lang w:val="en-US" w:eastAsia="zh-CN"/>
              </w:rPr>
              <w:t>）</w:t>
            </w:r>
            <w:r>
              <w:rPr>
                <w:rFonts w:hint="eastAsia" w:ascii="宋体" w:hAnsi="宋体" w:cs="宋体"/>
                <w:color w:val="auto"/>
                <w:szCs w:val="21"/>
              </w:rPr>
              <w:t>，投标人的投标总报价不得超过投标总报价最高限价，否则由评标委员会作</w:t>
            </w:r>
            <w:r>
              <w:rPr>
                <w:rFonts w:hint="eastAsia" w:ascii="宋体" w:hAnsi="宋体"/>
                <w:color w:val="auto"/>
                <w:szCs w:val="21"/>
              </w:rPr>
              <w:t>否决投标处理。</w:t>
            </w:r>
          </w:p>
          <w:p w14:paraId="0B85F8FE">
            <w:pPr>
              <w:tabs>
                <w:tab w:val="left" w:pos="546"/>
                <w:tab w:val="left" w:pos="711"/>
              </w:tabs>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本工程招标将设置全部工程量清单综合单价最高限价，全部清单综合单价最高限价</w:t>
            </w:r>
            <w:r>
              <w:rPr>
                <w:rFonts w:hint="eastAsia" w:ascii="宋体" w:hAnsi="宋体" w:cs="宋体"/>
                <w:color w:val="auto"/>
                <w:szCs w:val="21"/>
                <w:lang w:eastAsia="zh-CN"/>
              </w:rPr>
              <w:t>详见附件工程量清单</w:t>
            </w:r>
            <w:r>
              <w:rPr>
                <w:rFonts w:hint="eastAsia" w:ascii="宋体" w:hAnsi="宋体" w:cs="宋体"/>
                <w:color w:val="auto"/>
                <w:szCs w:val="21"/>
              </w:rPr>
              <w:t>，投标人的每项清单综合单价报价不得超过每项清单综合单价最高限价</w:t>
            </w:r>
            <w:r>
              <w:rPr>
                <w:rFonts w:hint="eastAsia" w:ascii="宋体" w:hAnsi="宋体" w:cs="宋体"/>
                <w:color w:val="auto"/>
                <w:szCs w:val="21"/>
              </w:rPr>
              <w:t>，否则由评标委员会作否决投标处理</w:t>
            </w:r>
            <w:r>
              <w:rPr>
                <w:rFonts w:hint="eastAsia" w:ascii="宋体" w:hAnsi="宋体" w:cs="宋体"/>
                <w:color w:val="auto"/>
                <w:szCs w:val="21"/>
                <w:lang w:eastAsia="zh-CN"/>
              </w:rPr>
              <w:t>。</w:t>
            </w:r>
          </w:p>
          <w:p w14:paraId="54383E3D">
            <w:pPr>
              <w:pStyle w:val="2"/>
              <w:spacing w:after="0" w:line="400" w:lineRule="exact"/>
              <w:ind w:firstLine="420" w:firstLineChars="200"/>
              <w:rPr>
                <w:rFonts w:ascii="宋体" w:hAnsi="宋体" w:cs="宋体"/>
                <w:color w:val="auto"/>
                <w:szCs w:val="21"/>
              </w:rPr>
            </w:pPr>
            <w:r>
              <w:rPr>
                <w:rFonts w:ascii="宋体" w:hAnsi="宋体" w:cs="宋体"/>
                <w:color w:val="auto"/>
                <w:szCs w:val="21"/>
              </w:rPr>
              <w:t>9.安全文明施工费：</w:t>
            </w:r>
          </w:p>
          <w:p w14:paraId="72EFDBBE">
            <w:pPr>
              <w:pStyle w:val="2"/>
              <w:tabs>
                <w:tab w:val="left" w:pos="546"/>
                <w:tab w:val="left" w:pos="711"/>
              </w:tabs>
              <w:snapToGrid w:val="0"/>
              <w:spacing w:after="0" w:line="400" w:lineRule="exact"/>
              <w:ind w:firstLine="420" w:firstLineChars="200"/>
              <w:rPr>
                <w:rFonts w:hint="eastAsia" w:ascii="宋体" w:hAnsi="宋体" w:cs="宋体"/>
                <w:color w:val="auto"/>
                <w:szCs w:val="21"/>
              </w:rPr>
            </w:pPr>
            <w:r>
              <w:rPr>
                <w:rFonts w:ascii="宋体" w:hAnsi="宋体" w:cs="宋体"/>
                <w:color w:val="auto"/>
                <w:szCs w:val="21"/>
              </w:rPr>
              <w:t>9.1</w:t>
            </w:r>
            <w:r>
              <w:rPr>
                <w:rFonts w:hint="eastAsia" w:ascii="宋体" w:hAnsi="宋体" w:cs="宋体"/>
                <w:color w:val="auto"/>
                <w:szCs w:val="21"/>
              </w:rPr>
              <w:t>根据</w:t>
            </w:r>
            <w:r>
              <w:rPr>
                <w:rFonts w:hint="eastAsia" w:ascii="宋体" w:hAnsi="宋体" w:cs="宋体"/>
                <w:color w:val="auto"/>
                <w:szCs w:val="21"/>
                <w:lang w:eastAsia="zh-CN"/>
              </w:rPr>
              <w:t>《重庆市住房和城乡建设委员会关于修订发布&lt;重庆市建设工程安全文明施工费计取及使用管理规定&gt;的通知》（渝建管〔2024〕38号）</w:t>
            </w:r>
            <w:r>
              <w:rPr>
                <w:rFonts w:hint="eastAsia" w:ascii="宋体" w:hAnsi="宋体" w:cs="宋体"/>
                <w:color w:val="auto"/>
                <w:szCs w:val="21"/>
              </w:rPr>
              <w:t>规定，安全文明施工费由安全施工费、文明施工费、环境保护费及临时设施费组成。</w:t>
            </w:r>
          </w:p>
          <w:p w14:paraId="232B588B">
            <w:pPr>
              <w:pStyle w:val="2"/>
              <w:tabs>
                <w:tab w:val="left" w:pos="546"/>
                <w:tab w:val="left" w:pos="711"/>
              </w:tabs>
              <w:snapToGrid w:val="0"/>
              <w:spacing w:after="0" w:line="400" w:lineRule="exact"/>
              <w:ind w:firstLine="420" w:firstLineChars="200"/>
              <w:rPr>
                <w:rFonts w:hint="eastAsia" w:ascii="宋体" w:hAnsi="宋体" w:cs="宋体"/>
                <w:color w:val="auto"/>
                <w:szCs w:val="21"/>
              </w:rPr>
            </w:pPr>
            <w:r>
              <w:rPr>
                <w:rFonts w:hint="eastAsia" w:ascii="宋体" w:hAnsi="宋体" w:eastAsia="宋体" w:cs="宋体"/>
                <w:color w:val="auto"/>
                <w:sz w:val="21"/>
                <w:szCs w:val="21"/>
                <w:highlight w:val="none"/>
              </w:rPr>
              <w:t>9.2</w:t>
            </w:r>
            <w:r>
              <w:rPr>
                <w:color w:val="auto"/>
                <w:sz w:val="21"/>
                <w:szCs w:val="21"/>
                <w:highlight w:val="none"/>
              </w:rPr>
              <w:t>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ascii="宋体" w:hAnsi="宋体" w:cs="宋体"/>
                <w:color w:val="auto"/>
                <w:szCs w:val="21"/>
                <w:highlight w:val="none"/>
                <w:lang w:eastAsia="zh-CN"/>
              </w:rPr>
              <w:t>《重庆市住房和城乡建设委员会关于修订发布&lt;重庆市建设工程安全文明施工费计取及使用管理规定&gt;的通知》（渝建管〔2024〕38号）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w:t>
            </w:r>
            <w:r>
              <w:rPr>
                <w:rFonts w:hint="eastAsia"/>
                <w:color w:val="auto"/>
                <w:sz w:val="21"/>
                <w:szCs w:val="21"/>
                <w:highlight w:val="none"/>
                <w:u w:val="single"/>
                <w:lang w:val="en-US" w:eastAsia="zh-CN"/>
              </w:rPr>
              <w:t>3989.37</w:t>
            </w:r>
            <w:r>
              <w:rPr>
                <w:rFonts w:hint="eastAsia"/>
                <w:color w:val="auto"/>
                <w:sz w:val="21"/>
                <w:szCs w:val="21"/>
                <w:highlight w:val="none"/>
                <w:lang w:val="en-US" w:eastAsia="zh-CN"/>
              </w:rPr>
              <w:t>元</w:t>
            </w:r>
            <w:r>
              <w:rPr>
                <w:color w:val="auto"/>
                <w:sz w:val="21"/>
                <w:szCs w:val="21"/>
                <w:highlight w:val="none"/>
              </w:rPr>
              <w:t>。《投标函》中的安全文明施工费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比选人</w:t>
            </w:r>
            <w:r>
              <w:rPr>
                <w:color w:val="auto"/>
                <w:sz w:val="21"/>
                <w:szCs w:val="21"/>
                <w:highlight w:val="none"/>
              </w:rPr>
              <w:t>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比选</w:t>
            </w:r>
            <w:r>
              <w:rPr>
                <w:color w:val="auto"/>
                <w:sz w:val="21"/>
                <w:szCs w:val="21"/>
                <w:highlight w:val="none"/>
              </w:rPr>
              <w:t>文件不作实质性响应，其投标文件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14:paraId="2F740523">
            <w:pPr>
              <w:tabs>
                <w:tab w:val="left" w:pos="546"/>
                <w:tab w:val="left" w:pos="711"/>
              </w:tabs>
              <w:snapToGrid w:val="0"/>
              <w:spacing w:line="400" w:lineRule="exact"/>
              <w:ind w:firstLine="420" w:firstLineChars="200"/>
              <w:rPr>
                <w:rFonts w:ascii="宋体" w:hAnsi="宋体" w:cs="宋体"/>
                <w:color w:val="auto"/>
                <w:szCs w:val="21"/>
              </w:rPr>
            </w:pPr>
            <w:r>
              <w:rPr>
                <w:rFonts w:hint="eastAsia" w:ascii="宋体" w:hAnsi="宋体"/>
                <w:color w:val="auto"/>
                <w:szCs w:val="21"/>
                <w:lang w:val="en-US" w:eastAsia="zh-CN"/>
              </w:rPr>
              <w:t>10</w:t>
            </w:r>
            <w:r>
              <w:rPr>
                <w:rFonts w:ascii="宋体" w:hAnsi="宋体"/>
                <w:color w:val="auto"/>
                <w:szCs w:val="21"/>
              </w:rPr>
              <w:t>.</w:t>
            </w:r>
            <w:r>
              <w:rPr>
                <w:rFonts w:hint="eastAsia" w:ascii="宋体" w:hAnsi="宋体"/>
                <w:color w:val="auto"/>
                <w:szCs w:val="21"/>
              </w:rPr>
              <w:t>本工程所需材料（含设备）价格由投标人参照重庆市建设工</w:t>
            </w:r>
            <w:r>
              <w:rPr>
                <w:rFonts w:hint="eastAsia" w:ascii="宋体" w:hAnsi="宋体" w:cs="宋体"/>
                <w:color w:val="auto"/>
                <w:szCs w:val="21"/>
              </w:rPr>
              <w:t>程造价管理总站发布的</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第11期</w:t>
            </w:r>
            <w:r>
              <w:rPr>
                <w:rFonts w:hint="eastAsia" w:ascii="宋体" w:hAnsi="宋体" w:cs="宋体"/>
                <w:color w:val="auto"/>
                <w:szCs w:val="21"/>
                <w:highlight w:val="none"/>
              </w:rPr>
              <w:t>《重庆工程造价信息》</w:t>
            </w:r>
            <w:r>
              <w:rPr>
                <w:rFonts w:hint="eastAsia" w:ascii="宋体" w:hAnsi="宋体" w:cs="宋体"/>
                <w:color w:val="auto"/>
                <w:szCs w:val="21"/>
              </w:rPr>
              <w:t>并结合市场行情及自身实力进行自主报价。</w:t>
            </w:r>
          </w:p>
          <w:p w14:paraId="28707CBE">
            <w:pPr>
              <w:pStyle w:val="2"/>
              <w:tabs>
                <w:tab w:val="left" w:pos="546"/>
                <w:tab w:val="left" w:pos="711"/>
              </w:tabs>
              <w:snapToGrid w:val="0"/>
              <w:spacing w:after="0" w:line="400" w:lineRule="exact"/>
              <w:ind w:firstLine="420" w:firstLineChars="200"/>
              <w:rPr>
                <w:rFonts w:hint="default" w:ascii="宋体" w:hAnsi="宋体" w:eastAsia="宋体" w:cs="宋体"/>
                <w:color w:val="auto"/>
                <w:szCs w:val="21"/>
                <w:u w:val="single"/>
                <w:lang w:val="en-US" w:eastAsia="zh-CN"/>
              </w:rPr>
            </w:pPr>
            <w:r>
              <w:rPr>
                <w:rFonts w:hint="eastAsia" w:ascii="宋体" w:hAnsi="宋体" w:cs="宋体"/>
                <w:color w:val="auto"/>
                <w:szCs w:val="21"/>
                <w:lang w:val="en-US" w:eastAsia="zh-CN"/>
              </w:rPr>
              <w:t>11</w:t>
            </w:r>
            <w:r>
              <w:rPr>
                <w:rFonts w:hint="eastAsia" w:ascii="宋体" w:hAnsi="宋体" w:cs="宋体"/>
                <w:color w:val="auto"/>
                <w:szCs w:val="21"/>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不调整</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w:t>
            </w:r>
          </w:p>
          <w:p w14:paraId="4A193EC4">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s="宋体"/>
                <w:color w:val="auto"/>
                <w:szCs w:val="21"/>
                <w:lang w:val="en-US" w:eastAsia="zh-CN"/>
              </w:rPr>
              <w:t>12</w:t>
            </w:r>
            <w:r>
              <w:rPr>
                <w:rFonts w:ascii="宋体" w:hAnsi="宋体" w:cs="宋体"/>
                <w:color w:val="auto"/>
                <w:szCs w:val="21"/>
              </w:rPr>
              <w:t>.</w:t>
            </w:r>
            <w:r>
              <w:rPr>
                <w:rFonts w:hint="eastAsia" w:ascii="宋体" w:hAnsi="宋体" w:cs="宋体"/>
                <w:color w:val="auto"/>
                <w:szCs w:val="21"/>
              </w:rPr>
              <w:t>本项目所采用技术、工艺和产品等必须执行重庆市住房和城乡建设委员会关于发布《重庆市建设领域禁止、限制使用落后技术通告（2019年版）（渝建发〔2019〕25号）的规定。</w:t>
            </w:r>
          </w:p>
        </w:tc>
      </w:tr>
      <w:tr w14:paraId="7EF04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DC1C96">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66E042F1">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5357AF8F">
            <w:pPr>
              <w:snapToGrid w:val="0"/>
              <w:spacing w:line="400" w:lineRule="exact"/>
              <w:ind w:firstLine="420" w:firstLineChars="200"/>
              <w:rPr>
                <w:rFonts w:ascii="宋体" w:hAnsi="宋体"/>
                <w:color w:val="auto"/>
                <w:szCs w:val="21"/>
              </w:rPr>
            </w:pPr>
            <w:r>
              <w:rPr>
                <w:rFonts w:hint="eastAsia" w:ascii="宋体" w:hAnsi="宋体"/>
                <w:color w:val="auto"/>
                <w:szCs w:val="21"/>
                <w:u w:val="single"/>
                <w:lang w:val="en-US" w:eastAsia="zh-CN"/>
              </w:rPr>
              <w:t>90</w:t>
            </w:r>
            <w:r>
              <w:rPr>
                <w:rFonts w:ascii="宋体" w:hAnsi="宋体"/>
                <w:color w:val="auto"/>
                <w:szCs w:val="21"/>
              </w:rPr>
              <w:t>日历天（从提交投标文件截止日起计算）</w:t>
            </w:r>
          </w:p>
        </w:tc>
      </w:tr>
      <w:tr w14:paraId="0890A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85647">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09A184CE">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17FE7B0F">
            <w:pPr>
              <w:snapToGrid w:val="0"/>
              <w:spacing w:line="400" w:lineRule="exact"/>
              <w:ind w:firstLine="420" w:firstLineChars="200"/>
              <w:rPr>
                <w:rFonts w:ascii="宋体" w:hAnsi="宋体"/>
                <w:color w:val="auto"/>
                <w:kern w:val="0"/>
                <w:szCs w:val="21"/>
              </w:rPr>
            </w:pPr>
            <w:r>
              <w:rPr>
                <w:rFonts w:hint="eastAsia" w:ascii="宋体" w:hAnsi="宋体" w:cs="宋体"/>
                <w:color w:val="auto"/>
                <w:kern w:val="0"/>
                <w:szCs w:val="21"/>
                <w:lang w:eastAsia="zh-CN"/>
              </w:rPr>
              <w:t>无</w:t>
            </w:r>
          </w:p>
        </w:tc>
      </w:tr>
      <w:tr w14:paraId="25FA0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D11095">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05ED88A9">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0B38334C">
            <w:pPr>
              <w:snapToGrid w:val="0"/>
              <w:spacing w:after="93"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5C0CA980">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3F32D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476B2B">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26DFD63E">
            <w:pPr>
              <w:snapToGrid w:val="0"/>
              <w:spacing w:after="93"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0590955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485FD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5C8D19">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0C3F18F0">
            <w:pPr>
              <w:snapToGrid w:val="0"/>
              <w:spacing w:line="40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2B500AF8">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w:t>
            </w:r>
            <w:r>
              <w:rPr>
                <w:rFonts w:hint="eastAsia" w:ascii="宋体" w:hAnsi="宋体"/>
                <w:color w:val="auto"/>
                <w:szCs w:val="21"/>
                <w:lang w:eastAsia="zh-CN"/>
              </w:rPr>
              <w:t>比选文件</w:t>
            </w:r>
            <w:r>
              <w:rPr>
                <w:rFonts w:hint="eastAsia" w:ascii="宋体" w:hAnsi="宋体"/>
                <w:color w:val="auto"/>
                <w:szCs w:val="21"/>
              </w:rPr>
              <w:t>规定的位置按</w:t>
            </w:r>
            <w:r>
              <w:rPr>
                <w:rFonts w:hint="eastAsia" w:ascii="宋体" w:hAnsi="宋体"/>
                <w:color w:val="auto"/>
                <w:szCs w:val="21"/>
                <w:lang w:eastAsia="zh-CN"/>
              </w:rPr>
              <w:t>比选文件</w:t>
            </w:r>
            <w:r>
              <w:rPr>
                <w:rFonts w:hint="eastAsia" w:ascii="宋体" w:hAnsi="宋体"/>
                <w:color w:val="auto"/>
                <w:szCs w:val="21"/>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6754F8B">
            <w:pPr>
              <w:snapToGrid w:val="0"/>
              <w:spacing w:line="40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6A388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1FBC77">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43F5040A">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005A7E0F">
            <w:pPr>
              <w:autoSpaceDE w:val="0"/>
              <w:autoSpaceDN w:val="0"/>
              <w:adjustRightInd w:val="0"/>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eastAsia="zh-CN"/>
              </w:rPr>
              <w:t>电子投标文件一份（网上递交）；</w:t>
            </w:r>
          </w:p>
          <w:p w14:paraId="04590B58">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纸质</w:t>
            </w:r>
            <w:r>
              <w:rPr>
                <w:rFonts w:ascii="宋体" w:hAnsi="宋体"/>
                <w:color w:val="auto"/>
                <w:kern w:val="0"/>
                <w:szCs w:val="21"/>
              </w:rPr>
              <w:t>投标文件正本</w:t>
            </w:r>
            <w:r>
              <w:rPr>
                <w:rFonts w:hint="eastAsia" w:ascii="宋体" w:hAnsi="宋体"/>
                <w:color w:val="auto"/>
                <w:kern w:val="0"/>
                <w:szCs w:val="21"/>
              </w:rPr>
              <w:t>1份、副本2份。当副本和正本不一致时，以正本为准。否则由评标委员会作否决投标处理。</w:t>
            </w:r>
          </w:p>
        </w:tc>
      </w:tr>
      <w:tr w14:paraId="520E0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4DF58E">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15C04224">
            <w:pPr>
              <w:snapToGrid w:val="0"/>
              <w:spacing w:line="40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758F0386">
            <w:pPr>
              <w:adjustRightInd w:val="0"/>
              <w:snapToGrid w:val="0"/>
              <w:spacing w:line="400" w:lineRule="exact"/>
              <w:ind w:firstLine="420" w:firstLineChars="200"/>
              <w:rPr>
                <w:rFonts w:ascii="宋体" w:hAnsi="宋体"/>
                <w:color w:val="auto"/>
                <w:szCs w:val="21"/>
              </w:rPr>
            </w:pPr>
            <w:r>
              <w:rPr>
                <w:rFonts w:ascii="宋体" w:hAnsi="宋体"/>
                <w:color w:val="auto"/>
                <w:szCs w:val="21"/>
              </w:rPr>
              <w:t>1、应将投标函部分、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kern w:val="0"/>
                <w:szCs w:val="21"/>
              </w:rPr>
              <w:t>资格审查部分</w:t>
            </w:r>
            <w:r>
              <w:rPr>
                <w:rFonts w:ascii="宋体" w:hAnsi="宋体"/>
                <w:color w:val="auto"/>
                <w:szCs w:val="21"/>
              </w:rPr>
              <w:t>各自分别装订成册</w:t>
            </w:r>
            <w:r>
              <w:rPr>
                <w:rFonts w:hint="eastAsia" w:ascii="宋体" w:hAnsi="宋体"/>
                <w:color w:val="auto"/>
                <w:szCs w:val="21"/>
              </w:rPr>
              <w:t>订</w:t>
            </w:r>
            <w:r>
              <w:rPr>
                <w:rFonts w:ascii="宋体" w:hAnsi="宋体"/>
                <w:color w:val="auto"/>
                <w:szCs w:val="21"/>
              </w:rPr>
              <w:t>。</w:t>
            </w:r>
          </w:p>
          <w:p w14:paraId="38885820">
            <w:pPr>
              <w:adjustRightInd w:val="0"/>
              <w:snapToGrid w:val="0"/>
              <w:spacing w:line="400" w:lineRule="exact"/>
              <w:ind w:firstLine="420" w:firstLineChars="200"/>
              <w:rPr>
                <w:rFonts w:ascii="宋体" w:hAnsi="宋体"/>
                <w:color w:val="auto"/>
                <w:szCs w:val="21"/>
              </w:rPr>
            </w:pPr>
            <w:r>
              <w:rPr>
                <w:rFonts w:ascii="宋体" w:hAnsi="宋体"/>
                <w:color w:val="auto"/>
                <w:szCs w:val="21"/>
              </w:rPr>
              <w:t>2、装订</w:t>
            </w:r>
          </w:p>
          <w:p w14:paraId="13B2D010">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1</w:t>
            </w:r>
            <w:r>
              <w:rPr>
                <w:rFonts w:ascii="宋体" w:hAnsi="宋体"/>
                <w:color w:val="auto"/>
                <w:szCs w:val="21"/>
              </w:rPr>
              <w:t>）投标函部分的装订要求</w:t>
            </w:r>
          </w:p>
          <w:p w14:paraId="03206A80">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w:t>
            </w:r>
          </w:p>
          <w:p w14:paraId="64510DF9">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经济</w:t>
            </w:r>
            <w:r>
              <w:rPr>
                <w:rFonts w:ascii="宋体" w:hAnsi="宋体"/>
                <w:color w:val="auto"/>
                <w:szCs w:val="21"/>
              </w:rPr>
              <w:t>部分的装订要求</w:t>
            </w:r>
          </w:p>
          <w:p w14:paraId="39486F49">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hint="eastAsia" w:ascii="宋体" w:hAnsi="宋体"/>
                <w:color w:val="auto"/>
                <w:szCs w:val="21"/>
              </w:rPr>
              <w:t>。</w:t>
            </w:r>
          </w:p>
          <w:p w14:paraId="58A23053">
            <w:pPr>
              <w:adjustRightInd w:val="0"/>
              <w:snapToGrid w:val="0"/>
              <w:spacing w:line="400" w:lineRule="exact"/>
              <w:ind w:firstLine="420" w:firstLineChars="200"/>
              <w:rPr>
                <w:rFonts w:ascii="宋体" w:hAnsi="宋体"/>
                <w:color w:val="auto"/>
                <w:kern w:val="0"/>
                <w:szCs w:val="21"/>
              </w:rPr>
            </w:pPr>
            <w:r>
              <w:rPr>
                <w:rFonts w:ascii="宋体" w:hAnsi="宋体"/>
                <w:color w:val="auto"/>
                <w:szCs w:val="21"/>
              </w:rPr>
              <w:t>（</w:t>
            </w: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kern w:val="0"/>
                <w:szCs w:val="21"/>
              </w:rPr>
              <w:t>资格审查部分</w:t>
            </w:r>
            <w:r>
              <w:rPr>
                <w:rFonts w:ascii="宋体" w:hAnsi="宋体"/>
                <w:color w:val="auto"/>
                <w:kern w:val="0"/>
                <w:szCs w:val="21"/>
              </w:rPr>
              <w:t>的装订要求</w:t>
            </w:r>
          </w:p>
          <w:p w14:paraId="28AF9703">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hint="eastAsia" w:ascii="宋体" w:hAnsi="宋体"/>
                <w:color w:val="auto"/>
                <w:szCs w:val="21"/>
              </w:rPr>
              <w:t>。</w:t>
            </w:r>
          </w:p>
        </w:tc>
      </w:tr>
      <w:tr w14:paraId="27CF1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87225C">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75BF83E5">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35823478">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w:t>
            </w:r>
            <w:r>
              <w:rPr>
                <w:rFonts w:ascii="宋体" w:hAnsi="宋体"/>
                <w:color w:val="auto"/>
                <w:szCs w:val="21"/>
              </w:rPr>
              <w:t>”袋以及“投标文件”大袋。</w:t>
            </w:r>
          </w:p>
          <w:p w14:paraId="2BF52655">
            <w:pPr>
              <w:spacing w:line="400" w:lineRule="exact"/>
              <w:ind w:firstLine="420" w:firstLineChars="200"/>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投标函部分装入“投标函部分”袋中，密封并在袋上加盖投标人单位</w:t>
            </w:r>
            <w:r>
              <w:rPr>
                <w:rFonts w:hint="eastAsia" w:ascii="宋体" w:hAnsi="宋体"/>
                <w:color w:val="auto"/>
                <w:szCs w:val="21"/>
              </w:rPr>
              <w:t>法人</w:t>
            </w:r>
            <w:r>
              <w:rPr>
                <w:rFonts w:ascii="宋体" w:hAnsi="宋体"/>
                <w:color w:val="auto"/>
                <w:szCs w:val="21"/>
              </w:rPr>
              <w:t>章。</w:t>
            </w:r>
          </w:p>
          <w:p w14:paraId="4225C07E">
            <w:pPr>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szCs w:val="21"/>
              </w:rPr>
              <w:t xml:space="preserve"> </w:t>
            </w:r>
            <w:r>
              <w:rPr>
                <w:rFonts w:hint="eastAsia" w:ascii="宋体" w:hAnsi="宋体"/>
                <w:color w:val="auto"/>
                <w:spacing w:val="4"/>
                <w:szCs w:val="21"/>
              </w:rPr>
              <w:t>经济</w:t>
            </w:r>
            <w:r>
              <w:rPr>
                <w:rFonts w:ascii="宋体" w:hAnsi="宋体"/>
                <w:color w:val="auto"/>
                <w:spacing w:val="4"/>
                <w:szCs w:val="21"/>
              </w:rPr>
              <w:t>部分装入“</w:t>
            </w:r>
            <w:r>
              <w:rPr>
                <w:rFonts w:hint="eastAsia" w:ascii="宋体" w:hAnsi="宋体"/>
                <w:color w:val="auto"/>
                <w:spacing w:val="4"/>
                <w:szCs w:val="21"/>
              </w:rPr>
              <w:t>经济</w:t>
            </w:r>
            <w:r>
              <w:rPr>
                <w:rFonts w:ascii="宋体" w:hAnsi="宋体"/>
                <w:color w:val="auto"/>
                <w:spacing w:val="4"/>
                <w:szCs w:val="21"/>
              </w:rPr>
              <w:t>部分”袋中，密封并在袋上加盖投标人单</w:t>
            </w:r>
            <w:r>
              <w:rPr>
                <w:rFonts w:ascii="宋体" w:hAnsi="宋体"/>
                <w:color w:val="auto"/>
                <w:szCs w:val="21"/>
              </w:rPr>
              <w:t>位</w:t>
            </w:r>
            <w:r>
              <w:rPr>
                <w:rFonts w:hint="eastAsia" w:ascii="宋体" w:hAnsi="宋体"/>
                <w:color w:val="auto"/>
                <w:szCs w:val="21"/>
              </w:rPr>
              <w:t>法人</w:t>
            </w:r>
            <w:r>
              <w:rPr>
                <w:rFonts w:ascii="宋体" w:hAnsi="宋体"/>
                <w:color w:val="auto"/>
                <w:szCs w:val="21"/>
              </w:rPr>
              <w:t>章。</w:t>
            </w:r>
          </w:p>
          <w:p w14:paraId="48CA53F2">
            <w:pPr>
              <w:spacing w:line="40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资格审查部分装入“资格审查部分”袋中，密封并在袋上加盖投标人单位法人章。</w:t>
            </w:r>
          </w:p>
          <w:p w14:paraId="36BBC952">
            <w:pPr>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等小袋装入“投标文件”大袋中，密封并在大袋上加盖投标人单位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w:t>
            </w:r>
            <w:r>
              <w:rPr>
                <w:rFonts w:hint="eastAsia" w:ascii="宋体" w:hAnsi="宋体"/>
                <w:color w:val="auto"/>
                <w:szCs w:val="21"/>
                <w:lang w:eastAsia="zh-CN"/>
              </w:rPr>
              <w:t>比选人</w:t>
            </w:r>
            <w:r>
              <w:rPr>
                <w:rFonts w:hint="eastAsia" w:ascii="宋体" w:hAnsi="宋体"/>
                <w:color w:val="auto"/>
                <w:szCs w:val="21"/>
              </w:rPr>
              <w:t>或代理机构应该拒收。</w:t>
            </w:r>
          </w:p>
          <w:p w14:paraId="673EC71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注：“投标函部分”袋、“经济部分”袋、“资格审查部分”袋只为方便投标文件分装，不作为判定密封合格与否的条件。但为了方便开标，请各投标人主动配合，按要求分装。</w:t>
            </w:r>
          </w:p>
        </w:tc>
      </w:tr>
      <w:tr w14:paraId="68B62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722C8F">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563B1D13">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4115B45C">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1780B8DE">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比选人</w:t>
            </w:r>
            <w:r>
              <w:rPr>
                <w:rFonts w:ascii="宋体" w:hAnsi="宋体"/>
                <w:color w:val="auto"/>
                <w:kern w:val="0"/>
                <w:szCs w:val="21"/>
              </w:rPr>
              <w:t>名称：</w:t>
            </w:r>
            <w:r>
              <w:rPr>
                <w:rFonts w:hint="eastAsia" w:ascii="宋体" w:hAnsi="宋体"/>
                <w:color w:val="auto"/>
                <w:kern w:val="0"/>
                <w:szCs w:val="21"/>
                <w:u w:val="single"/>
              </w:rPr>
              <w:t xml:space="preserve">            </w:t>
            </w:r>
          </w:p>
          <w:p w14:paraId="16FFB9A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71A033D2">
            <w:pPr>
              <w:snapToGrid w:val="0"/>
              <w:spacing w:line="400" w:lineRule="exact"/>
              <w:ind w:firstLine="420" w:firstLineChars="200"/>
              <w:rPr>
                <w:rFonts w:ascii="宋体" w:hAnsi="宋体"/>
                <w:color w:val="auto"/>
                <w:kern w:val="0"/>
                <w:szCs w:val="21"/>
              </w:rPr>
            </w:pPr>
            <w:r>
              <w:rPr>
                <w:rFonts w:ascii="宋体" w:hAnsi="宋体"/>
                <w:color w:val="auto"/>
                <w:kern w:val="0"/>
                <w:szCs w:val="21"/>
                <w:u w:val="single"/>
              </w:rPr>
              <w:t xml:space="preserve">                （项目名称）</w:t>
            </w:r>
            <w:r>
              <w:rPr>
                <w:rFonts w:ascii="宋体" w:hAnsi="宋体"/>
                <w:color w:val="auto"/>
                <w:kern w:val="0"/>
                <w:szCs w:val="21"/>
              </w:rPr>
              <w:t>投标文件</w:t>
            </w:r>
          </w:p>
          <w:p w14:paraId="50588209">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35436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962E3B">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56758132">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2B585B2D">
            <w:pPr>
              <w:snapToGrid w:val="0"/>
              <w:spacing w:line="400" w:lineRule="exact"/>
              <w:ind w:firstLine="420" w:firstLineChars="200"/>
              <w:rPr>
                <w:rFonts w:hint="eastAsia" w:ascii="宋体" w:hAnsi="宋体" w:eastAsia="宋体"/>
                <w:bCs/>
                <w:i/>
                <w:color w:val="auto"/>
                <w:szCs w:val="21"/>
                <w:lang w:eastAsia="zh-CN"/>
              </w:rPr>
            </w:pPr>
            <w:r>
              <w:rPr>
                <w:rFonts w:hint="eastAsia" w:ascii="宋体" w:hAnsi="宋体"/>
                <w:bCs/>
                <w:color w:val="auto"/>
                <w:szCs w:val="21"/>
                <w:highlight w:val="none"/>
                <w:u w:val="single"/>
                <w:lang w:eastAsia="zh-CN"/>
              </w:rPr>
              <w:t>重庆市铜梁区安居小学大会议室</w:t>
            </w:r>
          </w:p>
        </w:tc>
      </w:tr>
      <w:tr w14:paraId="5DA96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818831">
            <w:pPr>
              <w:snapToGrid w:val="0"/>
              <w:spacing w:line="40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43B9FAFA">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4ED661C4">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否</w:t>
            </w:r>
          </w:p>
        </w:tc>
      </w:tr>
      <w:tr w14:paraId="2FF95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18BFD0">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781BB8CC">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75EA0A59">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42C4ED6E">
            <w:pPr>
              <w:snapToGrid w:val="0"/>
              <w:spacing w:line="40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01F4DDF8">
            <w:pPr>
              <w:snapToGrid w:val="0"/>
              <w:spacing w:line="400" w:lineRule="exact"/>
              <w:ind w:firstLine="420" w:firstLineChars="200"/>
              <w:rPr>
                <w:rFonts w:ascii="宋体" w:hAnsi="宋体"/>
                <w:bCs/>
                <w:i/>
                <w:color w:val="auto"/>
                <w:szCs w:val="21"/>
              </w:rPr>
            </w:pPr>
            <w:r>
              <w:rPr>
                <w:rFonts w:ascii="宋体" w:hAnsi="宋体"/>
                <w:color w:val="auto"/>
                <w:kern w:val="0"/>
                <w:szCs w:val="21"/>
              </w:rPr>
              <w:t>开标地点：</w:t>
            </w:r>
            <w:r>
              <w:rPr>
                <w:rFonts w:hint="eastAsia" w:ascii="宋体" w:hAnsi="宋体"/>
                <w:bCs/>
                <w:color w:val="auto"/>
                <w:szCs w:val="21"/>
                <w:highlight w:val="none"/>
                <w:u w:val="single"/>
                <w:lang w:eastAsia="zh-CN"/>
              </w:rPr>
              <w:t>重庆市铜梁区安居小学大会议室</w:t>
            </w:r>
          </w:p>
        </w:tc>
      </w:tr>
      <w:tr w14:paraId="54FE8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886B3">
            <w:pPr>
              <w:snapToGrid w:val="0"/>
              <w:spacing w:line="400" w:lineRule="exact"/>
              <w:jc w:val="center"/>
              <w:rPr>
                <w:rFonts w:ascii="宋体" w:hAnsi="宋体"/>
                <w:color w:val="auto"/>
                <w:szCs w:val="21"/>
              </w:rPr>
            </w:pPr>
            <w:r>
              <w:rPr>
                <w:rFonts w:ascii="宋体" w:hAnsi="宋体"/>
                <w:color w:val="auto"/>
                <w:szCs w:val="21"/>
              </w:rPr>
              <w:t>5.2</w:t>
            </w:r>
          </w:p>
        </w:tc>
        <w:tc>
          <w:tcPr>
            <w:tcW w:w="1644" w:type="dxa"/>
            <w:vAlign w:val="center"/>
          </w:tcPr>
          <w:p w14:paraId="370CD80C">
            <w:pPr>
              <w:snapToGrid w:val="0"/>
              <w:spacing w:line="40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4A164F0C">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主持人按下列程序进行开标：</w:t>
            </w:r>
          </w:p>
          <w:p w14:paraId="232DA0D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712DFE6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 宣布开标人、唱标人、记录人、监标人等有关人员姓名</w:t>
            </w:r>
            <w:r>
              <w:rPr>
                <w:rFonts w:hint="eastAsia" w:ascii="宋体" w:hAnsi="宋体"/>
                <w:color w:val="auto"/>
                <w:szCs w:val="21"/>
              </w:rPr>
              <w:t>。</w:t>
            </w:r>
          </w:p>
          <w:p w14:paraId="144C19AD">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ascii="宋体" w:hAnsi="宋体"/>
                <w:color w:val="auto"/>
                <w:szCs w:val="21"/>
              </w:rPr>
              <w:t>. 公布在投标截止时间前递交投标文件的投标人名称</w:t>
            </w:r>
            <w:r>
              <w:rPr>
                <w:rFonts w:hint="eastAsia" w:ascii="宋体" w:hAnsi="宋体"/>
                <w:color w:val="auto"/>
                <w:szCs w:val="21"/>
              </w:rPr>
              <w:t>。</w:t>
            </w:r>
          </w:p>
          <w:p w14:paraId="4097954F">
            <w:pPr>
              <w:autoSpaceDE w:val="0"/>
              <w:autoSpaceDN w:val="0"/>
              <w:adjustRightInd w:val="0"/>
              <w:snapToGrid w:val="0"/>
              <w:spacing w:line="400" w:lineRule="exact"/>
              <w:ind w:firstLine="420" w:firstLineChars="200"/>
              <w:rPr>
                <w:rFonts w:ascii="宋体" w:hAnsi="宋体"/>
                <w:color w:val="auto"/>
                <w:sz w:val="18"/>
                <w:szCs w:val="18"/>
              </w:rPr>
            </w:pPr>
            <w:r>
              <w:rPr>
                <w:rFonts w:hint="eastAsia" w:ascii="宋体" w:hAnsi="宋体"/>
                <w:color w:val="auto"/>
                <w:szCs w:val="21"/>
                <w:lang w:val="en-US" w:eastAsia="zh-CN"/>
              </w:rPr>
              <w:t>4</w:t>
            </w:r>
            <w:r>
              <w:rPr>
                <w:rFonts w:ascii="宋体" w:hAnsi="宋体"/>
                <w:color w:val="auto"/>
                <w:szCs w:val="21"/>
              </w:rPr>
              <w:t>.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w:t>
            </w:r>
            <w:r>
              <w:rPr>
                <w:rFonts w:hint="eastAsia" w:ascii="宋体" w:hAnsi="宋体"/>
                <w:color w:val="auto"/>
                <w:szCs w:val="21"/>
              </w:rPr>
              <w:t>、</w:t>
            </w:r>
            <w:r>
              <w:rPr>
                <w:rFonts w:hint="eastAsia" w:ascii="宋体" w:hAnsi="宋体"/>
                <w:color w:val="auto"/>
                <w:szCs w:val="21"/>
              </w:rPr>
              <w:t>养老保险证明材料</w:t>
            </w:r>
            <w:r>
              <w:rPr>
                <w:rFonts w:hint="eastAsia" w:ascii="宋体" w:hAnsi="宋体"/>
                <w:color w:val="auto"/>
                <w:szCs w:val="21"/>
              </w:rPr>
              <w:t>复印件</w:t>
            </w:r>
            <w:r>
              <w:rPr>
                <w:rFonts w:hint="eastAsia" w:ascii="宋体" w:hAnsi="宋体"/>
                <w:color w:val="auto"/>
                <w:szCs w:val="21"/>
                <w:lang w:eastAsia="zh-CN"/>
              </w:rPr>
              <w:t>，</w:t>
            </w:r>
            <w:r>
              <w:rPr>
                <w:rFonts w:ascii="宋体" w:hAnsi="宋体"/>
                <w:color w:val="auto"/>
                <w:szCs w:val="21"/>
              </w:rPr>
              <w:t>以确认其身份合法有效；</w:t>
            </w:r>
            <w:r>
              <w:rPr>
                <w:rFonts w:hint="eastAsia" w:ascii="宋体" w:hAnsi="宋体"/>
                <w:color w:val="auto"/>
                <w:szCs w:val="21"/>
              </w:rPr>
              <w:t>若经核实委托代理人提供资料与实际不符的，不得参加开标会。核验合格的法定代表人或委托代理人可自行选择是否参加开标会，不参加开标会的视为默认开标结果。</w:t>
            </w:r>
          </w:p>
          <w:p w14:paraId="5A0AF979">
            <w:pPr>
              <w:snapToGrid w:val="0"/>
              <w:spacing w:line="40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0DAEC971">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ascii="宋体" w:hAnsi="宋体"/>
                <w:color w:val="auto"/>
                <w:szCs w:val="21"/>
              </w:rPr>
              <w:t>. 公布最高限价</w:t>
            </w:r>
            <w:r>
              <w:rPr>
                <w:rFonts w:hint="eastAsia" w:ascii="宋体" w:hAnsi="宋体"/>
                <w:color w:val="auto"/>
                <w:szCs w:val="21"/>
              </w:rPr>
              <w:t>。</w:t>
            </w:r>
          </w:p>
          <w:p w14:paraId="5647EB80">
            <w:pPr>
              <w:snapToGrid w:val="0"/>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7</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逐单位随机开启投标文件。开启投标文件大袋及投标函部分袋、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、资格审查部分袋</w:t>
            </w:r>
            <w:r>
              <w:rPr>
                <w:rFonts w:ascii="宋体" w:hAnsi="宋体"/>
                <w:color w:val="auto"/>
                <w:szCs w:val="21"/>
              </w:rPr>
              <w:t>；公布投标人名称、投标报价、质量要求、工期及其他内容并记录在案</w:t>
            </w:r>
            <w:r>
              <w:rPr>
                <w:rFonts w:hint="eastAsia" w:ascii="宋体" w:hAnsi="宋体"/>
                <w:color w:val="auto"/>
                <w:szCs w:val="21"/>
              </w:rPr>
              <w:t>。</w:t>
            </w:r>
          </w:p>
          <w:p w14:paraId="1C55E501">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8</w:t>
            </w:r>
            <w:r>
              <w:rPr>
                <w:rFonts w:hint="eastAsia" w:ascii="宋体" w:hAnsi="宋体"/>
                <w:color w:val="auto"/>
                <w:szCs w:val="21"/>
              </w:rPr>
              <w:t>. 投标人对开标有异议的，应当场提出，由</w:t>
            </w:r>
            <w:r>
              <w:rPr>
                <w:rFonts w:hint="eastAsia" w:ascii="宋体" w:hAnsi="宋体"/>
                <w:color w:val="auto"/>
                <w:szCs w:val="21"/>
                <w:lang w:eastAsia="zh-CN"/>
              </w:rPr>
              <w:t>比选人</w:t>
            </w:r>
            <w:r>
              <w:rPr>
                <w:rFonts w:hint="eastAsia" w:ascii="宋体" w:hAnsi="宋体"/>
                <w:color w:val="auto"/>
                <w:szCs w:val="21"/>
              </w:rPr>
              <w:t>或代理机构当场答复，并记录到开标记录表中。异议处理完毕后，汇总开标情况，打印开标记录表</w:t>
            </w:r>
            <w:r>
              <w:rPr>
                <w:rFonts w:hint="eastAsia" w:ascii="宋体" w:hAnsi="宋体"/>
                <w:color w:val="auto"/>
                <w:szCs w:val="21"/>
                <w:lang w:eastAsia="zh-CN"/>
              </w:rPr>
              <w:t>。</w:t>
            </w:r>
          </w:p>
          <w:p w14:paraId="6B7FF764">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9</w:t>
            </w:r>
            <w:r>
              <w:rPr>
                <w:rFonts w:ascii="宋体" w:hAnsi="宋体"/>
                <w:color w:val="auto"/>
                <w:szCs w:val="21"/>
              </w:rPr>
              <w:t>. 投标人代表、</w:t>
            </w:r>
            <w:r>
              <w:rPr>
                <w:rFonts w:hint="eastAsia" w:ascii="宋体" w:hAnsi="宋体"/>
                <w:color w:val="auto"/>
                <w:szCs w:val="21"/>
                <w:lang w:eastAsia="zh-CN"/>
              </w:rPr>
              <w:t>比选人</w:t>
            </w:r>
            <w:r>
              <w:rPr>
                <w:rFonts w:ascii="宋体" w:hAnsi="宋体"/>
                <w:color w:val="auto"/>
                <w:szCs w:val="21"/>
              </w:rPr>
              <w:t>代表、监标人</w:t>
            </w:r>
            <w:r>
              <w:rPr>
                <w:rFonts w:hint="eastAsia" w:ascii="宋体" w:hAnsi="宋体"/>
                <w:color w:val="auto"/>
                <w:szCs w:val="21"/>
              </w:rPr>
              <w:t>、</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143F9BAE">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10</w:t>
            </w:r>
            <w:r>
              <w:rPr>
                <w:rFonts w:ascii="宋体" w:hAnsi="宋体"/>
                <w:color w:val="auto"/>
                <w:szCs w:val="21"/>
              </w:rPr>
              <w:t>. 开标结束。</w:t>
            </w:r>
          </w:p>
        </w:tc>
      </w:tr>
      <w:tr w14:paraId="52CD0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137FDF">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71737EBD">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3CEF06F6">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w:t>
            </w:r>
            <w:r>
              <w:rPr>
                <w:rFonts w:hint="eastAsia" w:ascii="宋体" w:hAnsi="宋体"/>
                <w:color w:val="auto"/>
                <w:spacing w:val="4"/>
                <w:kern w:val="0"/>
                <w:szCs w:val="21"/>
                <w:lang w:eastAsia="zh-CN"/>
              </w:rPr>
              <w:t>比选人</w:t>
            </w:r>
            <w:r>
              <w:rPr>
                <w:rFonts w:hint="eastAsia" w:ascii="宋体" w:hAnsi="宋体"/>
                <w:color w:val="auto"/>
                <w:spacing w:val="4"/>
                <w:kern w:val="0"/>
                <w:szCs w:val="21"/>
              </w:rPr>
              <w:t>按法律法规及相关规定依法组建评标委员会</w:t>
            </w:r>
            <w:r>
              <w:rPr>
                <w:rFonts w:hint="eastAsia" w:ascii="宋体" w:hAnsi="宋体"/>
                <w:color w:val="auto"/>
                <w:kern w:val="0"/>
                <w:szCs w:val="21"/>
              </w:rPr>
              <w:t>。</w:t>
            </w:r>
          </w:p>
        </w:tc>
      </w:tr>
      <w:tr w14:paraId="49487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9154B3">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08DE7ECF">
            <w:pPr>
              <w:snapToGrid w:val="0"/>
              <w:spacing w:after="62"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7F526D9C">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是</w:t>
            </w:r>
          </w:p>
          <w:p w14:paraId="478FA01E">
            <w:pPr>
              <w:snapToGrid w:val="0"/>
              <w:spacing w:line="400" w:lineRule="exact"/>
              <w:ind w:firstLine="420" w:firstLineChars="200"/>
              <w:rPr>
                <w:rFonts w:ascii="宋体" w:hAnsi="宋体"/>
                <w:i/>
                <w:color w:val="auto"/>
                <w:kern w:val="0"/>
                <w:szCs w:val="21"/>
              </w:rPr>
            </w:pPr>
            <w:r>
              <w:rPr>
                <w:rFonts w:hint="eastAsia" w:ascii="宋体" w:hAnsi="宋体"/>
                <w:color w:val="auto"/>
                <w:kern w:val="0"/>
                <w:szCs w:val="21"/>
                <w:lang w:eastAsia="zh-CN"/>
              </w:rPr>
              <w:t>☑</w:t>
            </w: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由低到高排名前三名为中标候选人。</w:t>
            </w:r>
          </w:p>
        </w:tc>
      </w:tr>
      <w:tr w14:paraId="06043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AE8B96">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5C1B01A3">
            <w:pPr>
              <w:snapToGrid w:val="0"/>
              <w:spacing w:after="62" w:afterLines="20" w:line="40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061FEC0F">
            <w:pPr>
              <w:snapToGrid w:val="0"/>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比选人</w:t>
            </w:r>
            <w:r>
              <w:rPr>
                <w:rFonts w:hint="eastAsia" w:ascii="宋体" w:hAnsi="宋体" w:cs="宋体"/>
                <w:color w:val="auto"/>
                <w:szCs w:val="21"/>
              </w:rPr>
              <w:t>在收到评标报告后3日内将评标结果在</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 xml:space="preserve"> “行采家”（www.gec123.com）</w:t>
            </w:r>
            <w:r>
              <w:rPr>
                <w:rFonts w:hint="eastAsia" w:ascii="宋体" w:hAnsi="宋体" w:cs="宋体"/>
                <w:color w:val="auto"/>
                <w:szCs w:val="21"/>
                <w:u w:val="single"/>
              </w:rPr>
              <w:t xml:space="preserve"> </w:t>
            </w:r>
            <w:r>
              <w:rPr>
                <w:rFonts w:hint="eastAsia" w:ascii="宋体" w:hAnsi="宋体" w:cs="宋体"/>
                <w:color w:val="auto"/>
                <w:szCs w:val="21"/>
              </w:rPr>
              <w:t>上进行公示，公示期为3日。</w:t>
            </w:r>
          </w:p>
        </w:tc>
      </w:tr>
      <w:tr w14:paraId="79B2B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92CE60">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0B928E89">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7DCD86A6">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1.担保形式：</w:t>
            </w:r>
            <w:r>
              <w:rPr>
                <w:rFonts w:hint="eastAsia" w:ascii="宋体" w:hAnsi="宋体"/>
                <w:color w:val="auto"/>
                <w:kern w:val="0"/>
                <w:szCs w:val="21"/>
                <w:highlight w:val="none"/>
                <w:lang w:eastAsia="zh-CN"/>
              </w:rPr>
              <w:t>银行转账</w:t>
            </w:r>
            <w:r>
              <w:rPr>
                <w:rFonts w:hint="eastAsia" w:ascii="宋体" w:hAnsi="宋体"/>
                <w:color w:val="auto"/>
                <w:kern w:val="0"/>
                <w:szCs w:val="21"/>
                <w:highlight w:val="none"/>
              </w:rPr>
              <w:t>。</w:t>
            </w:r>
          </w:p>
          <w:p w14:paraId="3E9C98F9">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2.金额：</w:t>
            </w:r>
            <w:r>
              <w:rPr>
                <w:rFonts w:hint="eastAsia" w:ascii="宋体" w:hAnsi="宋体"/>
                <w:color w:val="auto"/>
                <w:kern w:val="0"/>
                <w:szCs w:val="21"/>
                <w:highlight w:val="none"/>
              </w:rPr>
              <w:t>中标价的10%</w:t>
            </w:r>
            <w:r>
              <w:rPr>
                <w:rFonts w:hint="eastAsia" w:ascii="宋体" w:hAnsi="宋体"/>
                <w:color w:val="auto"/>
                <w:kern w:val="0"/>
                <w:szCs w:val="21"/>
                <w:highlight w:val="none"/>
                <w:lang w:eastAsia="zh-CN"/>
              </w:rPr>
              <w:t>。</w:t>
            </w:r>
          </w:p>
          <w:p w14:paraId="43F19CAE">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3.递交时间：中标人应在收到中标通知书后</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日内，施工合同签订前提交，若未按时提交，则视为中标人放弃中标。</w:t>
            </w:r>
          </w:p>
          <w:p w14:paraId="42B06BE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highlight w:val="none"/>
              </w:rPr>
              <w:t>4.履约保证金的退还：工程竣工验收合格后28日内一次性返还（不计息）。</w:t>
            </w:r>
          </w:p>
        </w:tc>
      </w:tr>
      <w:tr w14:paraId="7F3A0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77312F">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74938A96">
            <w:pPr>
              <w:snapToGrid w:val="0"/>
              <w:spacing w:line="400" w:lineRule="exact"/>
              <w:jc w:val="center"/>
              <w:rPr>
                <w:rFonts w:ascii="宋体" w:hAnsi="宋体"/>
                <w:color w:val="auto"/>
                <w:kern w:val="0"/>
                <w:szCs w:val="21"/>
              </w:rPr>
            </w:pPr>
            <w:r>
              <w:rPr>
                <w:rFonts w:ascii="宋体" w:hAnsi="宋体"/>
                <w:color w:val="auto"/>
                <w:kern w:val="0"/>
                <w:szCs w:val="21"/>
              </w:rPr>
              <w:t>重新招标</w:t>
            </w:r>
            <w:r>
              <w:rPr>
                <w:rFonts w:hint="eastAsia" w:ascii="宋体" w:hAnsi="宋体"/>
                <w:color w:val="auto"/>
                <w:kern w:val="0"/>
                <w:szCs w:val="21"/>
              </w:rPr>
              <w:t>的情形</w:t>
            </w:r>
          </w:p>
        </w:tc>
        <w:tc>
          <w:tcPr>
            <w:tcW w:w="6490" w:type="dxa"/>
            <w:vAlign w:val="center"/>
          </w:tcPr>
          <w:p w14:paraId="2E530BA7">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6D490927">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649DEBA7">
            <w:pPr>
              <w:widowControl/>
              <w:spacing w:line="400" w:lineRule="exact"/>
              <w:ind w:firstLine="420" w:firstLineChars="200"/>
              <w:rPr>
                <w:rFonts w:ascii="宋体" w:hAnsi="宋体"/>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5A8341DE">
            <w:pPr>
              <w:widowControl/>
              <w:spacing w:line="400" w:lineRule="exact"/>
              <w:ind w:firstLine="420" w:firstLineChars="200"/>
              <w:rPr>
                <w:rFonts w:hint="eastAsia"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600BAEEC">
            <w:pPr>
              <w:widowControl/>
              <w:spacing w:after="62" w:afterLines="20"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注：本款只适用于首次招标</w:t>
            </w:r>
            <w:r>
              <w:rPr>
                <w:rFonts w:hint="eastAsia" w:ascii="宋体" w:hAnsi="宋体"/>
                <w:color w:val="auto"/>
                <w:kern w:val="0"/>
                <w:szCs w:val="21"/>
                <w:lang w:eastAsia="zh-CN"/>
              </w:rPr>
              <w:t>。</w:t>
            </w:r>
          </w:p>
        </w:tc>
      </w:tr>
      <w:tr w14:paraId="2081A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813E40">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12D0EF08">
            <w:pPr>
              <w:snapToGrid w:val="0"/>
              <w:spacing w:line="400" w:lineRule="exact"/>
              <w:jc w:val="center"/>
              <w:rPr>
                <w:color w:val="auto"/>
              </w:rPr>
            </w:pPr>
            <w:bookmarkStart w:id="103" w:name="_Toc13210670"/>
            <w:bookmarkStart w:id="104" w:name="_Toc430530434"/>
            <w:bookmarkStart w:id="105" w:name="_Toc536628250"/>
            <w:bookmarkStart w:id="106" w:name="_Toc16930431"/>
            <w:bookmarkStart w:id="107" w:name="_Toc509218709"/>
            <w:r>
              <w:rPr>
                <w:rFonts w:hint="eastAsia" w:ascii="宋体" w:hAnsi="宋体"/>
                <w:color w:val="auto"/>
                <w:kern w:val="0"/>
                <w:szCs w:val="21"/>
              </w:rPr>
              <w:t>重新</w:t>
            </w:r>
            <w:r>
              <w:rPr>
                <w:rFonts w:ascii="宋体" w:hAnsi="宋体"/>
                <w:color w:val="auto"/>
                <w:kern w:val="0"/>
                <w:szCs w:val="21"/>
              </w:rPr>
              <w:t>招标和不再招标</w:t>
            </w:r>
            <w:bookmarkEnd w:id="103"/>
            <w:bookmarkEnd w:id="104"/>
            <w:bookmarkEnd w:id="105"/>
            <w:bookmarkEnd w:id="106"/>
            <w:bookmarkEnd w:id="107"/>
          </w:p>
        </w:tc>
        <w:tc>
          <w:tcPr>
            <w:tcW w:w="6490" w:type="dxa"/>
            <w:vAlign w:val="center"/>
          </w:tcPr>
          <w:p w14:paraId="1840D122">
            <w:pPr>
              <w:autoSpaceDE w:val="0"/>
              <w:autoSpaceDN w:val="0"/>
              <w:adjustRightInd w:val="0"/>
              <w:snapToGrid w:val="0"/>
              <w:spacing w:after="62"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rPr>
              <w:t>。</w:t>
            </w:r>
          </w:p>
        </w:tc>
      </w:tr>
      <w:tr w14:paraId="7DF60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9BCDFD">
            <w:pPr>
              <w:snapToGrid w:val="0"/>
              <w:spacing w:line="40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2B66D3D2">
            <w:pPr>
              <w:snapToGrid w:val="0"/>
              <w:spacing w:line="400" w:lineRule="exact"/>
              <w:jc w:val="center"/>
              <w:rPr>
                <w:rFonts w:ascii="宋体" w:hAnsi="宋体"/>
                <w:color w:val="auto"/>
                <w:kern w:val="0"/>
                <w:szCs w:val="21"/>
              </w:rPr>
            </w:pPr>
            <w:r>
              <w:rPr>
                <w:rFonts w:ascii="宋体" w:hAnsi="宋体"/>
                <w:color w:val="auto"/>
                <w:kern w:val="0"/>
                <w:szCs w:val="21"/>
              </w:rPr>
              <w:t>需要补充的其他内容</w:t>
            </w:r>
          </w:p>
        </w:tc>
      </w:tr>
      <w:tr w14:paraId="0D6B3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E572F0">
            <w:pPr>
              <w:keepNext w:val="0"/>
              <w:keepLines w:val="0"/>
              <w:pageBreakBefore w:val="0"/>
              <w:widowControl w:val="0"/>
              <w:kinsoku/>
              <w:wordWrap/>
              <w:overflowPunct/>
              <w:topLinePunct w:val="0"/>
              <w:bidi w:val="0"/>
              <w:spacing w:line="320" w:lineRule="exact"/>
              <w:ind w:right="0" w:rightChars="0"/>
              <w:jc w:val="center"/>
              <w:textAlignment w:val="auto"/>
              <w:outlineLvl w:val="9"/>
              <w:rPr>
                <w:rFonts w:hint="default" w:ascii="宋体" w:hAnsi="宋体"/>
                <w:color w:val="auto"/>
                <w:kern w:val="0"/>
                <w:szCs w:val="21"/>
                <w:lang w:val="en-US"/>
              </w:rPr>
            </w:pPr>
            <w:r>
              <w:rPr>
                <w:rFonts w:hint="eastAsia" w:ascii="宋体" w:hAnsi="宋体" w:eastAsia="宋体" w:cs="宋体"/>
                <w:color w:val="auto"/>
                <w:sz w:val="21"/>
                <w:szCs w:val="21"/>
                <w:lang w:eastAsia="zh-CN"/>
              </w:rPr>
              <w:t>10.</w:t>
            </w:r>
            <w:r>
              <w:rPr>
                <w:rFonts w:hint="eastAsia" w:ascii="宋体" w:hAnsi="宋体" w:cs="宋体"/>
                <w:color w:val="auto"/>
                <w:sz w:val="21"/>
                <w:szCs w:val="21"/>
                <w:lang w:val="en-US" w:eastAsia="zh-CN"/>
              </w:rPr>
              <w:t>1</w:t>
            </w:r>
          </w:p>
        </w:tc>
        <w:tc>
          <w:tcPr>
            <w:tcW w:w="1644" w:type="dxa"/>
            <w:vAlign w:val="center"/>
          </w:tcPr>
          <w:p w14:paraId="5033B242">
            <w:pPr>
              <w:widowControl/>
              <w:spacing w:line="400" w:lineRule="exact"/>
              <w:jc w:val="center"/>
              <w:rPr>
                <w:rFonts w:hint="eastAsia" w:ascii="宋体" w:hAnsi="宋体"/>
                <w:color w:val="auto"/>
                <w:kern w:val="0"/>
                <w:szCs w:val="21"/>
              </w:rPr>
            </w:pPr>
            <w:r>
              <w:rPr>
                <w:rFonts w:hint="eastAsia" w:ascii="宋体" w:hAnsi="宋体"/>
                <w:color w:val="auto"/>
                <w:kern w:val="0"/>
                <w:szCs w:val="21"/>
                <w:lang w:eastAsia="zh-CN"/>
              </w:rPr>
              <w:t>工程款支付</w:t>
            </w:r>
          </w:p>
        </w:tc>
        <w:tc>
          <w:tcPr>
            <w:tcW w:w="6490" w:type="dxa"/>
            <w:vAlign w:val="center"/>
          </w:tcPr>
          <w:p w14:paraId="3B8E266F">
            <w:pPr>
              <w:widowControl/>
              <w:spacing w:line="400" w:lineRule="exact"/>
              <w:ind w:firstLine="420" w:firstLineChars="200"/>
              <w:rPr>
                <w:rFonts w:hint="eastAsia" w:ascii="宋体" w:hAnsi="宋体"/>
                <w:color w:val="auto"/>
                <w:kern w:val="0"/>
                <w:szCs w:val="21"/>
              </w:rPr>
            </w:pPr>
            <w:r>
              <w:rPr>
                <w:rFonts w:hint="eastAsia" w:ascii="宋体" w:hAnsi="宋体"/>
                <w:color w:val="auto"/>
                <w:kern w:val="0"/>
                <w:szCs w:val="21"/>
                <w:highlight w:val="none"/>
                <w:lang w:eastAsia="zh-CN"/>
              </w:rPr>
              <w:t>本工程无预付款，待上级资金到位后，工程竣工验收合格后支付签约合同价的70%，结算审核完成后支付至审定金额的97%，余下审定金额的3%作为工程质保金，缺陷责任期满后一次性支付质保金（不计息）</w:t>
            </w:r>
            <w:r>
              <w:rPr>
                <w:rFonts w:hint="eastAsia" w:ascii="宋体" w:hAnsi="宋体"/>
                <w:color w:val="auto"/>
                <w:kern w:val="0"/>
                <w:szCs w:val="21"/>
                <w:highlight w:val="none"/>
                <w:lang w:eastAsia="zh-CN"/>
              </w:rPr>
              <w:t>。</w:t>
            </w:r>
          </w:p>
        </w:tc>
      </w:tr>
      <w:tr w14:paraId="59852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55C0C4">
            <w:pPr>
              <w:keepNext w:val="0"/>
              <w:keepLines w:val="0"/>
              <w:pageBreakBefore w:val="0"/>
              <w:widowControl w:val="0"/>
              <w:kinsoku/>
              <w:wordWrap/>
              <w:overflowPunct/>
              <w:topLinePunct w:val="0"/>
              <w:bidi w:val="0"/>
              <w:spacing w:line="320" w:lineRule="exact"/>
              <w:ind w:right="0" w:rightChars="0"/>
              <w:jc w:val="center"/>
              <w:textAlignment w:val="auto"/>
              <w:outlineLvl w:val="9"/>
              <w:rPr>
                <w:rFonts w:hint="default" w:ascii="宋体" w:hAnsi="宋体" w:eastAsia="宋体"/>
                <w:color w:val="auto"/>
                <w:kern w:val="0"/>
                <w:szCs w:val="21"/>
                <w:lang w:val="en-US" w:eastAsia="zh-CN"/>
              </w:rPr>
            </w:pPr>
            <w:r>
              <w:rPr>
                <w:rFonts w:hint="eastAsia" w:ascii="宋体" w:hAnsi="宋体" w:eastAsia="宋体" w:cs="宋体"/>
                <w:color w:val="auto"/>
                <w:sz w:val="21"/>
                <w:szCs w:val="21"/>
                <w:lang w:eastAsia="zh-CN"/>
              </w:rPr>
              <w:t>10.</w:t>
            </w:r>
            <w:r>
              <w:rPr>
                <w:rFonts w:hint="eastAsia" w:ascii="宋体" w:hAnsi="宋体" w:cs="宋体"/>
                <w:color w:val="auto"/>
                <w:sz w:val="21"/>
                <w:szCs w:val="21"/>
                <w:lang w:val="en-US" w:eastAsia="zh-CN"/>
              </w:rPr>
              <w:t>2</w:t>
            </w:r>
          </w:p>
        </w:tc>
        <w:tc>
          <w:tcPr>
            <w:tcW w:w="1644" w:type="dxa"/>
            <w:vAlign w:val="center"/>
          </w:tcPr>
          <w:p w14:paraId="02FAB0D2">
            <w:pPr>
              <w:widowControl/>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比选代理服务费</w:t>
            </w:r>
          </w:p>
        </w:tc>
        <w:tc>
          <w:tcPr>
            <w:tcW w:w="6490" w:type="dxa"/>
            <w:vAlign w:val="center"/>
          </w:tcPr>
          <w:p w14:paraId="22632B6B">
            <w:pPr>
              <w:widowControl/>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本项目比选代理服务费金额为</w:t>
            </w:r>
            <w:r>
              <w:rPr>
                <w:rFonts w:hint="eastAsia" w:ascii="宋体" w:hAnsi="宋体"/>
                <w:color w:val="auto"/>
                <w:kern w:val="0"/>
                <w:szCs w:val="21"/>
                <w:lang w:val="en-US" w:eastAsia="zh-CN"/>
              </w:rPr>
              <w:t>3000</w:t>
            </w:r>
            <w:r>
              <w:rPr>
                <w:rFonts w:hint="eastAsia" w:ascii="宋体" w:hAnsi="宋体"/>
                <w:color w:val="auto"/>
                <w:kern w:val="0"/>
                <w:szCs w:val="21"/>
                <w:lang w:eastAsia="zh-CN"/>
              </w:rPr>
              <w:t>元，由中标人在领中标通知书时一次性支付给比选代理机构。</w:t>
            </w:r>
          </w:p>
        </w:tc>
      </w:tr>
    </w:tbl>
    <w:p w14:paraId="0CAF56DE">
      <w:pPr>
        <w:rPr>
          <w:rFonts w:ascii="宋体" w:hAnsi="宋体"/>
          <w:b w:val="0"/>
          <w:snapToGrid w:val="0"/>
          <w:color w:val="auto"/>
        </w:rPr>
      </w:pPr>
      <w:bookmarkStart w:id="108" w:name="_Toc287607746"/>
      <w:bookmarkStart w:id="109" w:name="_Toc277082552"/>
      <w:bookmarkStart w:id="110" w:name="_Toc509218710"/>
      <w:bookmarkStart w:id="111" w:name="_Toc10749"/>
      <w:bookmarkStart w:id="112" w:name="_Toc200513126"/>
      <w:bookmarkStart w:id="113" w:name="_Toc430530435"/>
      <w:bookmarkStart w:id="114" w:name="_Toc840"/>
      <w:bookmarkStart w:id="115" w:name="_Toc287620685"/>
      <w:bookmarkStart w:id="116" w:name="_Toc224103317"/>
      <w:r>
        <w:rPr>
          <w:rFonts w:ascii="宋体" w:hAnsi="宋体"/>
          <w:b w:val="0"/>
          <w:snapToGrid w:val="0"/>
          <w:color w:val="auto"/>
        </w:rPr>
        <w:br w:type="page"/>
      </w:r>
    </w:p>
    <w:p w14:paraId="7F7DDAB6">
      <w:pPr>
        <w:pStyle w:val="4"/>
        <w:spacing w:before="0" w:after="0" w:line="360" w:lineRule="auto"/>
        <w:rPr>
          <w:rFonts w:ascii="宋体" w:hAnsi="宋体"/>
          <w:b w:val="0"/>
          <w:snapToGrid w:val="0"/>
          <w:color w:val="auto"/>
        </w:rPr>
      </w:pPr>
      <w:r>
        <w:rPr>
          <w:rFonts w:ascii="宋体" w:hAnsi="宋体"/>
          <w:b w:val="0"/>
          <w:snapToGrid w:val="0"/>
          <w:color w:val="auto"/>
        </w:rPr>
        <w:t>1.  总则</w:t>
      </w:r>
      <w:bookmarkEnd w:id="108"/>
      <w:bookmarkEnd w:id="109"/>
      <w:bookmarkEnd w:id="110"/>
      <w:bookmarkEnd w:id="111"/>
      <w:bookmarkEnd w:id="112"/>
      <w:bookmarkEnd w:id="113"/>
      <w:bookmarkEnd w:id="114"/>
      <w:bookmarkEnd w:id="115"/>
      <w:bookmarkEnd w:id="116"/>
    </w:p>
    <w:p w14:paraId="5A66D4E3">
      <w:pPr>
        <w:pStyle w:val="5"/>
        <w:snapToGrid w:val="0"/>
        <w:spacing w:before="0" w:after="0" w:line="360" w:lineRule="auto"/>
        <w:rPr>
          <w:rFonts w:ascii="宋体" w:hAnsi="宋体"/>
          <w:b w:val="0"/>
          <w:snapToGrid w:val="0"/>
          <w:color w:val="auto"/>
          <w:sz w:val="24"/>
          <w:szCs w:val="24"/>
        </w:rPr>
      </w:pPr>
      <w:bookmarkStart w:id="117" w:name="_Toc200513127"/>
      <w:bookmarkStart w:id="118" w:name="_Toc287620686"/>
      <w:bookmarkStart w:id="119" w:name="_Toc32232"/>
      <w:bookmarkStart w:id="120" w:name="_Toc277082553"/>
      <w:bookmarkStart w:id="121" w:name="_Toc509218711"/>
      <w:bookmarkStart w:id="122" w:name="_Toc224103318"/>
      <w:bookmarkStart w:id="123" w:name="_Toc287607747"/>
      <w:bookmarkStart w:id="124" w:name="_Toc8830"/>
      <w:bookmarkStart w:id="125" w:name="_Toc430530436"/>
      <w:r>
        <w:rPr>
          <w:rFonts w:ascii="宋体" w:hAnsi="宋体"/>
          <w:b w:val="0"/>
          <w:snapToGrid w:val="0"/>
          <w:color w:val="auto"/>
          <w:sz w:val="24"/>
          <w:szCs w:val="24"/>
        </w:rPr>
        <w:t>1.1  项目概况</w:t>
      </w:r>
      <w:bookmarkEnd w:id="117"/>
      <w:bookmarkEnd w:id="118"/>
      <w:bookmarkEnd w:id="119"/>
      <w:bookmarkEnd w:id="120"/>
      <w:bookmarkEnd w:id="121"/>
      <w:bookmarkEnd w:id="122"/>
      <w:bookmarkEnd w:id="123"/>
      <w:bookmarkEnd w:id="124"/>
      <w:bookmarkEnd w:id="125"/>
    </w:p>
    <w:p w14:paraId="12A79197">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根据《中华人民共和国招标投标法》等有关法律、法规和规章的规定，本</w:t>
      </w:r>
      <w:r>
        <w:rPr>
          <w:rFonts w:hint="eastAsia" w:ascii="宋体" w:hAnsi="宋体"/>
          <w:snapToGrid w:val="0"/>
          <w:color w:val="auto"/>
          <w:kern w:val="0"/>
          <w:szCs w:val="21"/>
          <w:lang w:eastAsia="zh-CN"/>
        </w:rPr>
        <w:t>比选项目</w:t>
      </w:r>
      <w:r>
        <w:rPr>
          <w:rFonts w:ascii="宋体" w:hAnsi="宋体"/>
          <w:snapToGrid w:val="0"/>
          <w:color w:val="auto"/>
          <w:kern w:val="0"/>
          <w:szCs w:val="21"/>
        </w:rPr>
        <w:t>已具备招标条件，现对本</w:t>
      </w:r>
      <w:r>
        <w:rPr>
          <w:rFonts w:hint="eastAsia" w:ascii="宋体" w:hAnsi="宋体"/>
          <w:snapToGrid w:val="0"/>
          <w:color w:val="auto"/>
          <w:kern w:val="0"/>
          <w:szCs w:val="21"/>
        </w:rPr>
        <w:t>项目</w:t>
      </w:r>
      <w:r>
        <w:rPr>
          <w:rFonts w:ascii="宋体" w:hAnsi="宋体"/>
          <w:snapToGrid w:val="0"/>
          <w:color w:val="auto"/>
          <w:kern w:val="0"/>
          <w:szCs w:val="21"/>
        </w:rPr>
        <w:t>施工进行招标。</w:t>
      </w:r>
    </w:p>
    <w:p w14:paraId="2952E4E6">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w:t>
      </w:r>
      <w:r>
        <w:rPr>
          <w:rFonts w:hint="eastAsia" w:ascii="宋体" w:hAnsi="宋体"/>
          <w:snapToGrid w:val="0"/>
          <w:color w:val="auto"/>
          <w:kern w:val="0"/>
          <w:szCs w:val="21"/>
          <w:lang w:eastAsia="zh-CN"/>
        </w:rPr>
        <w:t>比选项目比选人</w:t>
      </w:r>
      <w:r>
        <w:rPr>
          <w:rFonts w:ascii="宋体" w:hAnsi="宋体"/>
          <w:snapToGrid w:val="0"/>
          <w:color w:val="auto"/>
          <w:kern w:val="0"/>
          <w:szCs w:val="21"/>
        </w:rPr>
        <w:t>：见投标人须知前附表。</w:t>
      </w:r>
    </w:p>
    <w:p w14:paraId="24A03A3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w:t>
      </w:r>
      <w:r>
        <w:rPr>
          <w:rFonts w:hint="eastAsia" w:ascii="宋体" w:hAnsi="宋体"/>
          <w:snapToGrid w:val="0"/>
          <w:color w:val="auto"/>
          <w:kern w:val="0"/>
          <w:szCs w:val="21"/>
          <w:lang w:eastAsia="zh-CN"/>
        </w:rPr>
        <w:t>比选项目比选代理机构</w:t>
      </w:r>
      <w:r>
        <w:rPr>
          <w:rFonts w:ascii="宋体" w:hAnsi="宋体"/>
          <w:snapToGrid w:val="0"/>
          <w:color w:val="auto"/>
          <w:kern w:val="0"/>
          <w:szCs w:val="21"/>
        </w:rPr>
        <w:t>：见投标人须知前附表。</w:t>
      </w:r>
    </w:p>
    <w:p w14:paraId="66BEBD9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w:t>
      </w:r>
      <w:r>
        <w:rPr>
          <w:rFonts w:hint="eastAsia" w:ascii="宋体" w:hAnsi="宋体"/>
          <w:snapToGrid w:val="0"/>
          <w:color w:val="auto"/>
          <w:kern w:val="0"/>
          <w:szCs w:val="21"/>
          <w:lang w:eastAsia="zh-CN"/>
        </w:rPr>
        <w:t>比选项目</w:t>
      </w:r>
      <w:r>
        <w:rPr>
          <w:rFonts w:ascii="宋体" w:hAnsi="宋体"/>
          <w:snapToGrid w:val="0"/>
          <w:color w:val="auto"/>
          <w:kern w:val="0"/>
          <w:szCs w:val="21"/>
        </w:rPr>
        <w:t>名称：见投标人须知前附表。</w:t>
      </w:r>
    </w:p>
    <w:p w14:paraId="1A93FA1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w:t>
      </w:r>
      <w:r>
        <w:rPr>
          <w:rFonts w:hint="eastAsia" w:ascii="宋体" w:hAnsi="宋体"/>
          <w:snapToGrid w:val="0"/>
          <w:color w:val="auto"/>
          <w:kern w:val="0"/>
          <w:szCs w:val="21"/>
          <w:lang w:eastAsia="zh-CN"/>
        </w:rPr>
        <w:t>比选项目</w:t>
      </w:r>
      <w:r>
        <w:rPr>
          <w:rFonts w:ascii="宋体" w:hAnsi="宋体"/>
          <w:snapToGrid w:val="0"/>
          <w:color w:val="auto"/>
          <w:kern w:val="0"/>
          <w:szCs w:val="21"/>
        </w:rPr>
        <w:t>建设地点：见投标人须知前附表。</w:t>
      </w:r>
    </w:p>
    <w:p w14:paraId="0EBCFAF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w:t>
      </w:r>
      <w:r>
        <w:rPr>
          <w:rFonts w:hint="eastAsia" w:ascii="宋体" w:hAnsi="宋体"/>
          <w:snapToGrid w:val="0"/>
          <w:color w:val="auto"/>
          <w:kern w:val="0"/>
          <w:szCs w:val="21"/>
          <w:lang w:eastAsia="zh-CN"/>
        </w:rPr>
        <w:t>比选项目</w:t>
      </w:r>
      <w:r>
        <w:rPr>
          <w:rFonts w:ascii="宋体" w:hAnsi="宋体"/>
          <w:snapToGrid w:val="0"/>
          <w:color w:val="auto"/>
          <w:kern w:val="0"/>
          <w:szCs w:val="21"/>
        </w:rPr>
        <w:t>建设规模：见投标人须知前附表。</w:t>
      </w:r>
    </w:p>
    <w:p w14:paraId="2055512B">
      <w:pPr>
        <w:pStyle w:val="5"/>
        <w:snapToGrid w:val="0"/>
        <w:spacing w:before="0" w:after="0" w:line="360" w:lineRule="auto"/>
        <w:rPr>
          <w:rFonts w:ascii="宋体" w:hAnsi="宋体"/>
          <w:b w:val="0"/>
          <w:snapToGrid w:val="0"/>
          <w:color w:val="auto"/>
          <w:sz w:val="24"/>
          <w:szCs w:val="24"/>
        </w:rPr>
      </w:pPr>
      <w:bookmarkStart w:id="126" w:name="_Toc21567"/>
      <w:bookmarkStart w:id="127" w:name="_Toc224103319"/>
      <w:bookmarkStart w:id="128" w:name="_Toc287607748"/>
      <w:bookmarkStart w:id="129" w:name="_Toc430530437"/>
      <w:bookmarkStart w:id="130" w:name="_Toc287620687"/>
      <w:bookmarkStart w:id="131" w:name="_Toc509218712"/>
      <w:bookmarkStart w:id="132" w:name="_Toc277082554"/>
      <w:bookmarkStart w:id="133" w:name="_Toc7680"/>
      <w:bookmarkStart w:id="134" w:name="_Toc200513128"/>
      <w:r>
        <w:rPr>
          <w:rFonts w:ascii="宋体" w:hAnsi="宋体"/>
          <w:b w:val="0"/>
          <w:snapToGrid w:val="0"/>
          <w:color w:val="auto"/>
          <w:sz w:val="24"/>
          <w:szCs w:val="24"/>
        </w:rPr>
        <w:t>1.2  资金来源和落实情况</w:t>
      </w:r>
      <w:bookmarkEnd w:id="126"/>
      <w:bookmarkEnd w:id="127"/>
      <w:bookmarkEnd w:id="128"/>
      <w:bookmarkEnd w:id="129"/>
      <w:bookmarkEnd w:id="130"/>
      <w:bookmarkEnd w:id="131"/>
      <w:bookmarkEnd w:id="132"/>
      <w:bookmarkEnd w:id="133"/>
      <w:bookmarkEnd w:id="134"/>
    </w:p>
    <w:p w14:paraId="36A2E21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w:t>
      </w:r>
      <w:r>
        <w:rPr>
          <w:rFonts w:hint="eastAsia" w:ascii="宋体" w:hAnsi="宋体"/>
          <w:snapToGrid w:val="0"/>
          <w:color w:val="auto"/>
          <w:kern w:val="0"/>
          <w:szCs w:val="21"/>
          <w:lang w:eastAsia="zh-CN"/>
        </w:rPr>
        <w:t>比选项目</w:t>
      </w:r>
      <w:r>
        <w:rPr>
          <w:rFonts w:ascii="宋体" w:hAnsi="宋体"/>
          <w:snapToGrid w:val="0"/>
          <w:color w:val="auto"/>
          <w:kern w:val="0"/>
          <w:szCs w:val="21"/>
        </w:rPr>
        <w:t>的资金来源：见投标人须知前附表。</w:t>
      </w:r>
    </w:p>
    <w:p w14:paraId="320FA5A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w:t>
      </w:r>
      <w:r>
        <w:rPr>
          <w:rFonts w:hint="eastAsia" w:ascii="宋体" w:hAnsi="宋体"/>
          <w:snapToGrid w:val="0"/>
          <w:color w:val="auto"/>
          <w:kern w:val="0"/>
          <w:szCs w:val="21"/>
          <w:lang w:eastAsia="zh-CN"/>
        </w:rPr>
        <w:t>比选项目</w:t>
      </w:r>
      <w:r>
        <w:rPr>
          <w:rFonts w:ascii="宋体" w:hAnsi="宋体"/>
          <w:snapToGrid w:val="0"/>
          <w:color w:val="auto"/>
          <w:kern w:val="0"/>
          <w:szCs w:val="21"/>
        </w:rPr>
        <w:t>的出资比例：见投标人须知前附表。</w:t>
      </w:r>
    </w:p>
    <w:p w14:paraId="31BCCA5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w:t>
      </w:r>
      <w:r>
        <w:rPr>
          <w:rFonts w:hint="eastAsia" w:ascii="宋体" w:hAnsi="宋体"/>
          <w:snapToGrid w:val="0"/>
          <w:color w:val="auto"/>
          <w:kern w:val="0"/>
          <w:szCs w:val="21"/>
          <w:lang w:eastAsia="zh-CN"/>
        </w:rPr>
        <w:t>比选项目</w:t>
      </w:r>
      <w:r>
        <w:rPr>
          <w:rFonts w:ascii="宋体" w:hAnsi="宋体"/>
          <w:snapToGrid w:val="0"/>
          <w:color w:val="auto"/>
          <w:kern w:val="0"/>
          <w:szCs w:val="21"/>
        </w:rPr>
        <w:t>的资金落实情况：见投标人须知前附表。</w:t>
      </w:r>
    </w:p>
    <w:p w14:paraId="33B68AD4">
      <w:pPr>
        <w:pStyle w:val="5"/>
        <w:snapToGrid w:val="0"/>
        <w:spacing w:before="0" w:after="0" w:line="360" w:lineRule="auto"/>
        <w:rPr>
          <w:rFonts w:ascii="宋体" w:hAnsi="宋体"/>
          <w:b w:val="0"/>
          <w:snapToGrid w:val="0"/>
          <w:color w:val="auto"/>
          <w:sz w:val="24"/>
          <w:szCs w:val="24"/>
        </w:rPr>
      </w:pPr>
      <w:bookmarkStart w:id="135" w:name="_Toc509218713"/>
      <w:bookmarkStart w:id="136" w:name="_Toc224103320"/>
      <w:bookmarkStart w:id="137" w:name="_Toc430530438"/>
      <w:bookmarkStart w:id="138" w:name="_Toc200513129"/>
      <w:bookmarkStart w:id="139" w:name="_Toc277082555"/>
      <w:bookmarkStart w:id="140" w:name="_Toc4104"/>
      <w:bookmarkStart w:id="141" w:name="_Toc1879"/>
      <w:bookmarkStart w:id="142" w:name="_Toc287607749"/>
      <w:bookmarkStart w:id="143" w:name="_Toc287620688"/>
      <w:r>
        <w:rPr>
          <w:rFonts w:ascii="宋体" w:hAnsi="宋体"/>
          <w:b w:val="0"/>
          <w:snapToGrid w:val="0"/>
          <w:color w:val="auto"/>
          <w:sz w:val="24"/>
          <w:szCs w:val="24"/>
        </w:rPr>
        <w:t xml:space="preserve">1.3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范围、计划工期和质量要求</w:t>
      </w:r>
      <w:bookmarkEnd w:id="135"/>
      <w:bookmarkEnd w:id="136"/>
      <w:bookmarkEnd w:id="137"/>
      <w:bookmarkEnd w:id="138"/>
      <w:bookmarkEnd w:id="139"/>
      <w:bookmarkEnd w:id="140"/>
      <w:bookmarkEnd w:id="141"/>
      <w:bookmarkEnd w:id="142"/>
      <w:bookmarkEnd w:id="143"/>
    </w:p>
    <w:p w14:paraId="58103A5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1.3.1  </w:t>
      </w:r>
      <w:r>
        <w:rPr>
          <w:rFonts w:hint="eastAsia" w:ascii="宋体" w:hAnsi="宋体"/>
          <w:snapToGrid w:val="0"/>
          <w:color w:val="auto"/>
          <w:kern w:val="0"/>
          <w:szCs w:val="21"/>
          <w:lang w:eastAsia="zh-CN"/>
        </w:rPr>
        <w:t>比选</w:t>
      </w:r>
      <w:r>
        <w:rPr>
          <w:rFonts w:ascii="宋体" w:hAnsi="宋体"/>
          <w:snapToGrid w:val="0"/>
          <w:color w:val="auto"/>
          <w:kern w:val="0"/>
          <w:szCs w:val="21"/>
        </w:rPr>
        <w:t>范围：见投标人须知前附表。</w:t>
      </w:r>
    </w:p>
    <w:p w14:paraId="468A5C8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1.3.2  计划工期：见投标人须知前附表。</w:t>
      </w:r>
    </w:p>
    <w:p w14:paraId="0433347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163E5B7A">
      <w:pPr>
        <w:pStyle w:val="5"/>
        <w:snapToGrid w:val="0"/>
        <w:spacing w:before="0" w:after="0" w:line="360" w:lineRule="auto"/>
        <w:rPr>
          <w:rFonts w:ascii="宋体" w:hAnsi="宋体"/>
          <w:b w:val="0"/>
          <w:snapToGrid w:val="0"/>
          <w:color w:val="auto"/>
          <w:sz w:val="24"/>
          <w:szCs w:val="24"/>
        </w:rPr>
      </w:pPr>
      <w:bookmarkStart w:id="144" w:name="_Toc287620690"/>
      <w:bookmarkStart w:id="145" w:name="_Toc1894"/>
      <w:bookmarkStart w:id="146" w:name="_Toc200513131"/>
      <w:bookmarkStart w:id="147" w:name="_Toc287607751"/>
      <w:bookmarkStart w:id="148" w:name="_Toc430530440"/>
      <w:bookmarkStart w:id="149" w:name="_Toc277082557"/>
      <w:bookmarkStart w:id="150" w:name="_Toc22249"/>
      <w:bookmarkStart w:id="151" w:name="_Toc224103322"/>
      <w:bookmarkStart w:id="152" w:name="_Toc509218715"/>
      <w:r>
        <w:rPr>
          <w:rFonts w:ascii="宋体" w:hAnsi="宋体"/>
          <w:b w:val="0"/>
          <w:snapToGrid w:val="0"/>
          <w:color w:val="auto"/>
          <w:sz w:val="24"/>
          <w:szCs w:val="24"/>
        </w:rPr>
        <w:t>1.4  投标人资格要求</w:t>
      </w:r>
      <w:bookmarkEnd w:id="144"/>
      <w:bookmarkEnd w:id="145"/>
      <w:bookmarkEnd w:id="146"/>
      <w:bookmarkEnd w:id="147"/>
      <w:bookmarkEnd w:id="148"/>
      <w:bookmarkEnd w:id="149"/>
      <w:bookmarkEnd w:id="150"/>
      <w:bookmarkEnd w:id="151"/>
      <w:bookmarkEnd w:id="152"/>
    </w:p>
    <w:p w14:paraId="6FAC4E60">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投标人应具备承担本标段施工的资质条件、能力和信誉。</w:t>
      </w:r>
    </w:p>
    <w:p w14:paraId="3B4209B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资质条件、营业执照及安全生产条件</w:t>
      </w:r>
      <w:r>
        <w:rPr>
          <w:rFonts w:ascii="宋体" w:hAnsi="宋体"/>
          <w:snapToGrid w:val="0"/>
          <w:color w:val="auto"/>
          <w:kern w:val="0"/>
          <w:szCs w:val="21"/>
        </w:rPr>
        <w:t>：见投标人须知前附表；</w:t>
      </w:r>
    </w:p>
    <w:p w14:paraId="546860B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（2）财务要求：见投标人须知前附表；</w:t>
      </w:r>
    </w:p>
    <w:p w14:paraId="5216F3FB">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（3）业绩要求：见投标人须知前附表；</w:t>
      </w:r>
    </w:p>
    <w:p w14:paraId="0B344AC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71E10E2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（5）项目经理资格</w:t>
      </w:r>
      <w:r>
        <w:rPr>
          <w:rFonts w:hint="eastAsia" w:ascii="宋体" w:hAnsi="宋体"/>
          <w:snapToGrid w:val="0"/>
          <w:color w:val="auto"/>
          <w:kern w:val="0"/>
          <w:szCs w:val="21"/>
        </w:rPr>
        <w:t>要求</w:t>
      </w:r>
      <w:r>
        <w:rPr>
          <w:rFonts w:ascii="宋体" w:hAnsi="宋体"/>
          <w:snapToGrid w:val="0"/>
          <w:color w:val="auto"/>
          <w:kern w:val="0"/>
          <w:szCs w:val="21"/>
        </w:rPr>
        <w:t>：见投标人须知前附表；</w:t>
      </w:r>
    </w:p>
    <w:p w14:paraId="6D6605E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（6）其他要求：见投标人须知前附表。</w:t>
      </w:r>
    </w:p>
    <w:p w14:paraId="19BA50A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67C7BC9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（1）联合体各方应按</w:t>
      </w:r>
      <w:r>
        <w:rPr>
          <w:rFonts w:hint="eastAsia" w:ascii="宋体" w:hAnsi="宋体"/>
          <w:snapToGrid w:val="0"/>
          <w:color w:val="auto"/>
          <w:kern w:val="0"/>
          <w:szCs w:val="21"/>
          <w:lang w:eastAsia="zh-CN"/>
        </w:rPr>
        <w:t>比选文件</w:t>
      </w:r>
      <w:r>
        <w:rPr>
          <w:rFonts w:ascii="宋体" w:hAnsi="宋体"/>
          <w:snapToGrid w:val="0"/>
          <w:color w:val="auto"/>
          <w:kern w:val="0"/>
          <w:szCs w:val="21"/>
        </w:rPr>
        <w:t>提供的格式签订联合体协议书，明确联合体牵头人和各方权利义务；</w:t>
      </w:r>
    </w:p>
    <w:p w14:paraId="7CFA93A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（2）联合体各方均应当具备承担</w:t>
      </w:r>
      <w:r>
        <w:rPr>
          <w:rFonts w:hint="eastAsia" w:ascii="宋体" w:hAnsi="宋体"/>
          <w:snapToGrid w:val="0"/>
          <w:color w:val="auto"/>
          <w:kern w:val="0"/>
          <w:szCs w:val="21"/>
          <w:lang w:eastAsia="zh-CN"/>
        </w:rPr>
        <w:t>比选项目</w:t>
      </w:r>
      <w:r>
        <w:rPr>
          <w:rFonts w:ascii="宋体" w:hAnsi="宋体"/>
          <w:snapToGrid w:val="0"/>
          <w:color w:val="auto"/>
          <w:kern w:val="0"/>
          <w:szCs w:val="21"/>
        </w:rPr>
        <w:t>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45563CF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3A28622B">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727D037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position w:val="-2"/>
          <w:szCs w:val="21"/>
        </w:rPr>
        <w:t>（1）与</w:t>
      </w:r>
      <w:r>
        <w:rPr>
          <w:rFonts w:hint="eastAsia" w:ascii="宋体" w:hAnsi="宋体"/>
          <w:snapToGrid w:val="0"/>
          <w:color w:val="auto"/>
          <w:kern w:val="0"/>
          <w:position w:val="-2"/>
          <w:szCs w:val="21"/>
          <w:lang w:eastAsia="zh-CN"/>
        </w:rPr>
        <w:t>比选人</w:t>
      </w:r>
      <w:r>
        <w:rPr>
          <w:rFonts w:ascii="宋体" w:hAnsi="宋体"/>
          <w:snapToGrid w:val="0"/>
          <w:color w:val="auto"/>
          <w:kern w:val="0"/>
          <w:position w:val="-2"/>
          <w:szCs w:val="21"/>
        </w:rPr>
        <w:t>存在利害关系可能影响招标公正性的法人、其他组织或者个人；</w:t>
      </w:r>
    </w:p>
    <w:p w14:paraId="3713939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053E9F6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（3）为本标段的监理人；</w:t>
      </w:r>
    </w:p>
    <w:p w14:paraId="3939CF7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（4）为本标段的代建人；</w:t>
      </w:r>
    </w:p>
    <w:p w14:paraId="5A4E6C8B">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（5）为本标段提供招标代理服务的；</w:t>
      </w:r>
    </w:p>
    <w:p w14:paraId="0A961D40">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（6）与本标段的监理人或代建人或</w:t>
      </w:r>
      <w:r>
        <w:rPr>
          <w:rFonts w:hint="eastAsia" w:ascii="宋体" w:hAnsi="宋体"/>
          <w:snapToGrid w:val="0"/>
          <w:color w:val="auto"/>
          <w:kern w:val="0"/>
          <w:szCs w:val="21"/>
          <w:lang w:eastAsia="zh-CN"/>
        </w:rPr>
        <w:t>比选代理机构</w:t>
      </w:r>
      <w:r>
        <w:rPr>
          <w:rFonts w:ascii="宋体" w:hAnsi="宋体"/>
          <w:snapToGrid w:val="0"/>
          <w:color w:val="auto"/>
          <w:kern w:val="0"/>
          <w:szCs w:val="21"/>
        </w:rPr>
        <w:t>同为一个法定代表人的；</w:t>
      </w:r>
    </w:p>
    <w:p w14:paraId="3D55547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（7）与本标段的监理人或代建人或</w:t>
      </w:r>
      <w:r>
        <w:rPr>
          <w:rFonts w:hint="eastAsia" w:ascii="宋体" w:hAnsi="宋体"/>
          <w:snapToGrid w:val="0"/>
          <w:color w:val="auto"/>
          <w:kern w:val="0"/>
          <w:szCs w:val="21"/>
          <w:lang w:eastAsia="zh-CN"/>
        </w:rPr>
        <w:t>比选代理机构</w:t>
      </w:r>
      <w:r>
        <w:rPr>
          <w:rFonts w:hint="eastAsia" w:ascii="宋体" w:hAnsi="宋体"/>
          <w:snapToGrid w:val="0"/>
          <w:color w:val="auto"/>
          <w:kern w:val="0"/>
          <w:szCs w:val="21"/>
          <w:lang w:val="en-US" w:eastAsia="zh-CN"/>
        </w:rPr>
        <w:t>存在</w:t>
      </w:r>
      <w:r>
        <w:rPr>
          <w:rFonts w:ascii="宋体" w:hAnsi="宋体"/>
          <w:snapToGrid w:val="0"/>
          <w:color w:val="auto"/>
          <w:kern w:val="0"/>
          <w:szCs w:val="21"/>
        </w:rPr>
        <w:t>控股或参股的；</w:t>
      </w:r>
    </w:p>
    <w:p w14:paraId="473C246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（8）与本标段的监理人或代建人或</w:t>
      </w:r>
      <w:r>
        <w:rPr>
          <w:rFonts w:hint="eastAsia" w:ascii="宋体" w:hAnsi="宋体"/>
          <w:snapToGrid w:val="0"/>
          <w:color w:val="auto"/>
          <w:kern w:val="0"/>
          <w:szCs w:val="21"/>
          <w:lang w:eastAsia="zh-CN"/>
        </w:rPr>
        <w:t>比选代理机构</w:t>
      </w:r>
      <w:r>
        <w:rPr>
          <w:rFonts w:hint="default" w:ascii="宋体" w:hAnsi="宋体"/>
          <w:snapToGrid w:val="0"/>
          <w:color w:val="auto"/>
          <w:kern w:val="0"/>
          <w:szCs w:val="21"/>
          <w:lang w:val="en-US"/>
        </w:rPr>
        <w:t>相互</w:t>
      </w:r>
      <w:r>
        <w:rPr>
          <w:rFonts w:ascii="宋体" w:hAnsi="宋体"/>
          <w:snapToGrid w:val="0"/>
          <w:color w:val="auto"/>
          <w:kern w:val="0"/>
          <w:szCs w:val="21"/>
        </w:rPr>
        <w:t>任职或工作的；</w:t>
      </w:r>
    </w:p>
    <w:p w14:paraId="17A9243F">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（9）被责令停业的；</w:t>
      </w:r>
    </w:p>
    <w:p w14:paraId="482F4EE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563A24A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（11）财产被接管或冻结的；</w:t>
      </w:r>
    </w:p>
    <w:p w14:paraId="564EA9AE">
      <w:pPr>
        <w:autoSpaceDE w:val="0"/>
        <w:autoSpaceDN w:val="0"/>
        <w:adjustRightInd w:val="0"/>
        <w:snapToGrid w:val="0"/>
        <w:spacing w:line="360" w:lineRule="auto"/>
        <w:ind w:left="459" w:leftChars="190" w:hanging="60" w:hangingChars="29"/>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 w:val="22"/>
          <w:szCs w:val="22"/>
        </w:rPr>
        <w:t>单位负责人为同一人或者存在控股、管理关系的不同单位，不得在同一标段中同时投</w:t>
      </w:r>
      <w:r>
        <w:rPr>
          <w:rFonts w:hint="eastAsia" w:ascii="宋体" w:hAnsi="宋体"/>
          <w:color w:val="auto"/>
          <w:sz w:val="22"/>
          <w:szCs w:val="22"/>
        </w:rPr>
        <w:t>标。</w:t>
      </w:r>
    </w:p>
    <w:p w14:paraId="2CABF7FA">
      <w:pPr>
        <w:pStyle w:val="5"/>
        <w:snapToGrid w:val="0"/>
        <w:spacing w:before="0" w:after="0" w:line="360" w:lineRule="auto"/>
        <w:rPr>
          <w:rFonts w:ascii="宋体" w:hAnsi="宋体"/>
          <w:b w:val="0"/>
          <w:snapToGrid w:val="0"/>
          <w:color w:val="auto"/>
          <w:sz w:val="24"/>
          <w:szCs w:val="24"/>
        </w:rPr>
      </w:pPr>
      <w:bookmarkStart w:id="153" w:name="_Toc277082558"/>
      <w:bookmarkStart w:id="154" w:name="_Toc200513132"/>
      <w:bookmarkStart w:id="155" w:name="_Toc224103323"/>
      <w:bookmarkStart w:id="156" w:name="_Toc10211"/>
      <w:bookmarkStart w:id="157" w:name="_Toc509218716"/>
      <w:bookmarkStart w:id="158" w:name="_Toc20662"/>
      <w:bookmarkStart w:id="159" w:name="_Toc287620691"/>
      <w:bookmarkStart w:id="160" w:name="_Toc287607752"/>
      <w:bookmarkStart w:id="161" w:name="_Toc430530441"/>
      <w:r>
        <w:rPr>
          <w:rFonts w:ascii="宋体" w:hAnsi="宋体"/>
          <w:b w:val="0"/>
          <w:snapToGrid w:val="0"/>
          <w:color w:val="auto"/>
          <w:sz w:val="24"/>
          <w:szCs w:val="24"/>
        </w:rPr>
        <w:t>1.5  费用承担</w:t>
      </w:r>
      <w:bookmarkEnd w:id="153"/>
      <w:bookmarkEnd w:id="154"/>
      <w:bookmarkEnd w:id="155"/>
      <w:bookmarkEnd w:id="156"/>
      <w:bookmarkEnd w:id="157"/>
      <w:bookmarkEnd w:id="158"/>
      <w:bookmarkEnd w:id="159"/>
      <w:bookmarkEnd w:id="160"/>
      <w:bookmarkEnd w:id="161"/>
    </w:p>
    <w:p w14:paraId="0D06E78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68AA62E2">
      <w:pPr>
        <w:pStyle w:val="5"/>
        <w:snapToGrid w:val="0"/>
        <w:spacing w:before="0" w:after="0" w:line="360" w:lineRule="auto"/>
        <w:rPr>
          <w:rFonts w:ascii="宋体" w:hAnsi="宋体"/>
          <w:b w:val="0"/>
          <w:snapToGrid w:val="0"/>
          <w:color w:val="auto"/>
          <w:sz w:val="24"/>
          <w:szCs w:val="24"/>
        </w:rPr>
      </w:pPr>
      <w:bookmarkStart w:id="162" w:name="_Toc287607753"/>
      <w:bookmarkStart w:id="163" w:name="_Toc277082559"/>
      <w:bookmarkStart w:id="164" w:name="_Toc3737"/>
      <w:bookmarkStart w:id="165" w:name="_Toc200513133"/>
      <w:bookmarkStart w:id="166" w:name="_Toc224103324"/>
      <w:bookmarkStart w:id="167" w:name="_Toc287620692"/>
      <w:bookmarkStart w:id="168" w:name="_Toc509218717"/>
      <w:bookmarkStart w:id="169" w:name="_Toc430530442"/>
      <w:bookmarkStart w:id="170" w:name="_Toc26130"/>
      <w:r>
        <w:rPr>
          <w:rFonts w:ascii="宋体" w:hAnsi="宋体"/>
          <w:b w:val="0"/>
          <w:snapToGrid w:val="0"/>
          <w:color w:val="auto"/>
          <w:sz w:val="24"/>
          <w:szCs w:val="24"/>
        </w:rPr>
        <w:t>1.6  保密</w:t>
      </w:r>
      <w:bookmarkEnd w:id="162"/>
      <w:bookmarkEnd w:id="163"/>
      <w:bookmarkEnd w:id="164"/>
      <w:bookmarkEnd w:id="165"/>
      <w:bookmarkEnd w:id="166"/>
      <w:bookmarkEnd w:id="167"/>
      <w:bookmarkEnd w:id="168"/>
      <w:bookmarkEnd w:id="169"/>
      <w:bookmarkEnd w:id="170"/>
    </w:p>
    <w:p w14:paraId="0346966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参与招标投标活动的各方应对</w:t>
      </w:r>
      <w:r>
        <w:rPr>
          <w:rFonts w:hint="eastAsia" w:ascii="宋体" w:hAnsi="宋体"/>
          <w:snapToGrid w:val="0"/>
          <w:color w:val="auto"/>
          <w:kern w:val="0"/>
          <w:szCs w:val="21"/>
          <w:lang w:eastAsia="zh-CN"/>
        </w:rPr>
        <w:t>比选文件</w:t>
      </w:r>
      <w:r>
        <w:rPr>
          <w:rFonts w:ascii="宋体" w:hAnsi="宋体"/>
          <w:snapToGrid w:val="0"/>
          <w:color w:val="auto"/>
          <w:kern w:val="0"/>
          <w:szCs w:val="21"/>
        </w:rPr>
        <w:t>和投标文件中的商业和技术等秘密保密，违者应对由此造成的后果承担法律责任。</w:t>
      </w:r>
    </w:p>
    <w:p w14:paraId="41761626">
      <w:pPr>
        <w:pStyle w:val="5"/>
        <w:snapToGrid w:val="0"/>
        <w:spacing w:before="0" w:after="0" w:line="360" w:lineRule="auto"/>
        <w:rPr>
          <w:rFonts w:ascii="宋体" w:hAnsi="宋体"/>
          <w:b w:val="0"/>
          <w:snapToGrid w:val="0"/>
          <w:color w:val="auto"/>
          <w:sz w:val="24"/>
          <w:szCs w:val="24"/>
        </w:rPr>
      </w:pPr>
      <w:bookmarkStart w:id="171" w:name="_Toc509218718"/>
      <w:bookmarkStart w:id="172" w:name="_Toc287620693"/>
      <w:bookmarkStart w:id="173" w:name="_Toc224103325"/>
      <w:bookmarkStart w:id="174" w:name="_Toc17273"/>
      <w:bookmarkStart w:id="175" w:name="_Toc200513134"/>
      <w:bookmarkStart w:id="176" w:name="_Toc1222"/>
      <w:bookmarkStart w:id="177" w:name="_Toc430530443"/>
      <w:bookmarkStart w:id="178" w:name="_Toc287607754"/>
      <w:bookmarkStart w:id="179" w:name="_Toc277082560"/>
      <w:r>
        <w:rPr>
          <w:rFonts w:ascii="宋体" w:hAnsi="宋体"/>
          <w:b w:val="0"/>
          <w:snapToGrid w:val="0"/>
          <w:color w:val="auto"/>
          <w:sz w:val="24"/>
          <w:szCs w:val="24"/>
        </w:rPr>
        <w:t>1.7  语言文字</w:t>
      </w:r>
      <w:bookmarkEnd w:id="171"/>
      <w:bookmarkEnd w:id="172"/>
      <w:bookmarkEnd w:id="173"/>
      <w:bookmarkEnd w:id="174"/>
      <w:bookmarkEnd w:id="175"/>
      <w:bookmarkEnd w:id="176"/>
      <w:bookmarkEnd w:id="177"/>
      <w:bookmarkEnd w:id="178"/>
      <w:bookmarkEnd w:id="179"/>
    </w:p>
    <w:p w14:paraId="4F73F4D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除专用术语外，与招标投标有关的语言均使用中文。必要时专用术语应附有中文注释。</w:t>
      </w:r>
    </w:p>
    <w:p w14:paraId="4F0FE6D7">
      <w:pPr>
        <w:pStyle w:val="5"/>
        <w:snapToGrid w:val="0"/>
        <w:spacing w:before="0" w:after="0" w:line="360" w:lineRule="auto"/>
        <w:rPr>
          <w:rFonts w:ascii="宋体" w:hAnsi="宋体"/>
          <w:b w:val="0"/>
          <w:snapToGrid w:val="0"/>
          <w:color w:val="auto"/>
          <w:sz w:val="24"/>
          <w:szCs w:val="24"/>
        </w:rPr>
      </w:pPr>
      <w:bookmarkStart w:id="180" w:name="_Toc13374"/>
      <w:bookmarkStart w:id="181" w:name="_Toc287607755"/>
      <w:bookmarkStart w:id="182" w:name="_Toc509218719"/>
      <w:bookmarkStart w:id="183" w:name="_Toc18435"/>
      <w:bookmarkStart w:id="184" w:name="_Toc200513135"/>
      <w:bookmarkStart w:id="185" w:name="_Toc224103326"/>
      <w:bookmarkStart w:id="186" w:name="_Toc277082561"/>
      <w:bookmarkStart w:id="187" w:name="_Toc287620694"/>
      <w:bookmarkStart w:id="188" w:name="_Toc430530444"/>
      <w:r>
        <w:rPr>
          <w:rFonts w:ascii="宋体" w:hAnsi="宋体"/>
          <w:b w:val="0"/>
          <w:snapToGrid w:val="0"/>
          <w:color w:val="auto"/>
          <w:sz w:val="24"/>
          <w:szCs w:val="24"/>
        </w:rPr>
        <w:t>1.8  计量单位</w:t>
      </w:r>
      <w:bookmarkEnd w:id="180"/>
      <w:bookmarkEnd w:id="181"/>
      <w:bookmarkEnd w:id="182"/>
      <w:bookmarkEnd w:id="183"/>
      <w:bookmarkEnd w:id="184"/>
      <w:bookmarkEnd w:id="185"/>
      <w:bookmarkEnd w:id="186"/>
      <w:bookmarkEnd w:id="187"/>
      <w:bookmarkEnd w:id="188"/>
    </w:p>
    <w:p w14:paraId="24695216">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7BD3362F">
      <w:pPr>
        <w:pStyle w:val="5"/>
        <w:snapToGrid w:val="0"/>
        <w:spacing w:before="0" w:after="0" w:line="360" w:lineRule="auto"/>
        <w:rPr>
          <w:rFonts w:ascii="宋体" w:hAnsi="宋体"/>
          <w:b w:val="0"/>
          <w:snapToGrid w:val="0"/>
          <w:color w:val="auto"/>
          <w:sz w:val="24"/>
          <w:szCs w:val="24"/>
        </w:rPr>
      </w:pPr>
      <w:bookmarkStart w:id="189" w:name="_Toc224103327"/>
      <w:bookmarkStart w:id="190" w:name="_Toc200513136"/>
      <w:bookmarkStart w:id="191" w:name="_Toc509218720"/>
      <w:bookmarkStart w:id="192" w:name="_Toc19275"/>
      <w:bookmarkStart w:id="193" w:name="_Toc430530445"/>
      <w:bookmarkStart w:id="194" w:name="_Toc287620695"/>
      <w:bookmarkStart w:id="195" w:name="_Toc287607756"/>
      <w:bookmarkStart w:id="196" w:name="_Toc30293"/>
      <w:bookmarkStart w:id="197" w:name="_Toc277082562"/>
      <w:r>
        <w:rPr>
          <w:rFonts w:ascii="宋体" w:hAnsi="宋体"/>
          <w:b w:val="0"/>
          <w:snapToGrid w:val="0"/>
          <w:color w:val="auto"/>
          <w:sz w:val="24"/>
          <w:szCs w:val="24"/>
        </w:rPr>
        <w:t>1.9  踏勘现场</w:t>
      </w:r>
      <w:bookmarkEnd w:id="189"/>
      <w:bookmarkEnd w:id="190"/>
      <w:bookmarkEnd w:id="191"/>
      <w:bookmarkEnd w:id="192"/>
      <w:bookmarkEnd w:id="193"/>
      <w:bookmarkEnd w:id="194"/>
      <w:bookmarkEnd w:id="195"/>
      <w:bookmarkEnd w:id="196"/>
      <w:bookmarkEnd w:id="197"/>
    </w:p>
    <w:p w14:paraId="17487B83">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1.9.1  投标人须知前附表规定组织踏勘现场的，</w:t>
      </w:r>
      <w:r>
        <w:rPr>
          <w:rFonts w:hint="eastAsia" w:ascii="宋体" w:hAnsi="宋体"/>
          <w:snapToGrid w:val="0"/>
          <w:color w:val="auto"/>
          <w:kern w:val="0"/>
          <w:szCs w:val="21"/>
          <w:lang w:eastAsia="zh-CN"/>
        </w:rPr>
        <w:t>比选人</w:t>
      </w:r>
      <w:r>
        <w:rPr>
          <w:rFonts w:ascii="宋体" w:hAnsi="宋体"/>
          <w:snapToGrid w:val="0"/>
          <w:color w:val="auto"/>
          <w:kern w:val="0"/>
          <w:szCs w:val="21"/>
        </w:rPr>
        <w:t>按投标人须知前附表规定的时间、地点组织投标人踏勘项目现场。</w:t>
      </w:r>
    </w:p>
    <w:p w14:paraId="269BA9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3391B1CF">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1.9.3  除</w:t>
      </w:r>
      <w:r>
        <w:rPr>
          <w:rFonts w:hint="eastAsia" w:ascii="宋体" w:hAnsi="宋体"/>
          <w:snapToGrid w:val="0"/>
          <w:color w:val="auto"/>
          <w:kern w:val="0"/>
          <w:szCs w:val="21"/>
          <w:lang w:eastAsia="zh-CN"/>
        </w:rPr>
        <w:t>比选人</w:t>
      </w:r>
      <w:r>
        <w:rPr>
          <w:rFonts w:ascii="宋体" w:hAnsi="宋体"/>
          <w:snapToGrid w:val="0"/>
          <w:color w:val="auto"/>
          <w:kern w:val="0"/>
          <w:szCs w:val="21"/>
        </w:rPr>
        <w:t>的原因外，投标人自行负责在踏勘现场中所发生的人员伤亡和财产损失。</w:t>
      </w:r>
    </w:p>
    <w:p w14:paraId="7E6EC0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1.9.4  </w:t>
      </w:r>
      <w:r>
        <w:rPr>
          <w:rFonts w:hint="eastAsia" w:ascii="宋体" w:hAnsi="宋体"/>
          <w:snapToGrid w:val="0"/>
          <w:color w:val="auto"/>
          <w:kern w:val="0"/>
          <w:szCs w:val="21"/>
          <w:lang w:eastAsia="zh-CN"/>
        </w:rPr>
        <w:t>比选人</w:t>
      </w:r>
      <w:r>
        <w:rPr>
          <w:rFonts w:ascii="宋体" w:hAnsi="宋体"/>
          <w:snapToGrid w:val="0"/>
          <w:color w:val="auto"/>
          <w:kern w:val="0"/>
          <w:szCs w:val="21"/>
        </w:rPr>
        <w:t>在踏勘现场中介绍的工程场地和相关的周边环境情况，供投标人在编制投标文件时参考，</w:t>
      </w:r>
      <w:r>
        <w:rPr>
          <w:rFonts w:hint="eastAsia" w:ascii="宋体" w:hAnsi="宋体"/>
          <w:snapToGrid w:val="0"/>
          <w:color w:val="auto"/>
          <w:kern w:val="0"/>
          <w:szCs w:val="21"/>
          <w:lang w:eastAsia="zh-CN"/>
        </w:rPr>
        <w:t>比选人</w:t>
      </w:r>
      <w:r>
        <w:rPr>
          <w:rFonts w:ascii="宋体" w:hAnsi="宋体"/>
          <w:snapToGrid w:val="0"/>
          <w:color w:val="auto"/>
          <w:kern w:val="0"/>
          <w:szCs w:val="21"/>
        </w:rPr>
        <w:t>不对投标人据此做出的判断和决策负责。</w:t>
      </w:r>
    </w:p>
    <w:p w14:paraId="3BBADB5C">
      <w:pPr>
        <w:pStyle w:val="5"/>
        <w:snapToGrid w:val="0"/>
        <w:spacing w:before="0" w:after="0" w:line="360" w:lineRule="auto"/>
        <w:rPr>
          <w:rFonts w:ascii="宋体" w:hAnsi="宋体"/>
          <w:b w:val="0"/>
          <w:snapToGrid w:val="0"/>
          <w:color w:val="auto"/>
          <w:sz w:val="24"/>
          <w:szCs w:val="24"/>
        </w:rPr>
      </w:pPr>
      <w:bookmarkStart w:id="198" w:name="_Toc509218721"/>
      <w:bookmarkStart w:id="199" w:name="_Toc200513137"/>
      <w:bookmarkStart w:id="200" w:name="_Toc287620696"/>
      <w:bookmarkStart w:id="201" w:name="_Toc224103328"/>
      <w:bookmarkStart w:id="202" w:name="_Toc1854"/>
      <w:bookmarkStart w:id="203" w:name="_Toc430530446"/>
      <w:bookmarkStart w:id="204" w:name="_Toc287607757"/>
      <w:bookmarkStart w:id="205" w:name="_Toc277082563"/>
      <w:bookmarkStart w:id="206" w:name="_Toc32057"/>
      <w:r>
        <w:rPr>
          <w:rFonts w:ascii="宋体" w:hAnsi="宋体"/>
          <w:b w:val="0"/>
          <w:snapToGrid w:val="0"/>
          <w:color w:val="auto"/>
          <w:sz w:val="24"/>
          <w:szCs w:val="24"/>
        </w:rPr>
        <w:t>1.10  投标预备会</w:t>
      </w:r>
      <w:bookmarkEnd w:id="198"/>
      <w:bookmarkEnd w:id="199"/>
      <w:bookmarkEnd w:id="200"/>
      <w:bookmarkEnd w:id="201"/>
      <w:bookmarkEnd w:id="202"/>
      <w:bookmarkEnd w:id="203"/>
      <w:bookmarkEnd w:id="204"/>
      <w:bookmarkEnd w:id="205"/>
      <w:bookmarkEnd w:id="206"/>
    </w:p>
    <w:p w14:paraId="36AB0B1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w:t>
      </w:r>
      <w:r>
        <w:rPr>
          <w:rFonts w:hint="eastAsia" w:ascii="宋体" w:hAnsi="宋体"/>
          <w:snapToGrid w:val="0"/>
          <w:color w:val="auto"/>
          <w:kern w:val="0"/>
          <w:szCs w:val="21"/>
          <w:lang w:eastAsia="zh-CN"/>
        </w:rPr>
        <w:t>比选人</w:t>
      </w:r>
      <w:r>
        <w:rPr>
          <w:rFonts w:ascii="宋体" w:hAnsi="宋体"/>
          <w:snapToGrid w:val="0"/>
          <w:color w:val="auto"/>
          <w:kern w:val="0"/>
          <w:szCs w:val="21"/>
        </w:rPr>
        <w:t>按投标人须知前附表规定的时间和地点召开投标预备会，澄清投标人提出的问题。</w:t>
      </w:r>
    </w:p>
    <w:p w14:paraId="2C9A90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w:t>
      </w:r>
      <w:r>
        <w:rPr>
          <w:rFonts w:hint="eastAsia" w:ascii="宋体" w:hAnsi="宋体"/>
          <w:snapToGrid w:val="0"/>
          <w:color w:val="auto"/>
          <w:kern w:val="0"/>
          <w:szCs w:val="21"/>
        </w:rPr>
        <w:t>第</w:t>
      </w:r>
      <w:r>
        <w:rPr>
          <w:rFonts w:ascii="宋体" w:hAnsi="宋体"/>
          <w:color w:val="auto"/>
          <w:kern w:val="0"/>
          <w:szCs w:val="21"/>
        </w:rPr>
        <w:t>2.2.4</w:t>
      </w:r>
      <w:r>
        <w:rPr>
          <w:rFonts w:hint="eastAsia" w:ascii="宋体" w:hAnsi="宋体"/>
          <w:color w:val="auto"/>
          <w:kern w:val="0"/>
          <w:szCs w:val="21"/>
        </w:rPr>
        <w:t>项</w:t>
      </w:r>
      <w:r>
        <w:rPr>
          <w:rFonts w:ascii="宋体" w:hAnsi="宋体"/>
          <w:snapToGrid w:val="0"/>
          <w:color w:val="auto"/>
          <w:kern w:val="0"/>
          <w:szCs w:val="21"/>
        </w:rPr>
        <w:t>规定的时间前，以书面形式将提出的问题送达</w:t>
      </w:r>
      <w:r>
        <w:rPr>
          <w:rFonts w:hint="eastAsia" w:ascii="宋体" w:hAnsi="宋体"/>
          <w:snapToGrid w:val="0"/>
          <w:color w:val="auto"/>
          <w:kern w:val="0"/>
          <w:szCs w:val="21"/>
          <w:lang w:eastAsia="zh-CN"/>
        </w:rPr>
        <w:t>比选人</w:t>
      </w:r>
      <w:r>
        <w:rPr>
          <w:rFonts w:ascii="宋体" w:hAnsi="宋体"/>
          <w:snapToGrid w:val="0"/>
          <w:color w:val="auto"/>
          <w:kern w:val="0"/>
          <w:szCs w:val="21"/>
        </w:rPr>
        <w:t>，以便</w:t>
      </w:r>
      <w:r>
        <w:rPr>
          <w:rFonts w:hint="eastAsia" w:ascii="宋体" w:hAnsi="宋体"/>
          <w:snapToGrid w:val="0"/>
          <w:color w:val="auto"/>
          <w:kern w:val="0"/>
          <w:szCs w:val="21"/>
          <w:lang w:eastAsia="zh-CN"/>
        </w:rPr>
        <w:t>比选人</w:t>
      </w:r>
      <w:r>
        <w:rPr>
          <w:rFonts w:ascii="宋体" w:hAnsi="宋体"/>
          <w:snapToGrid w:val="0"/>
          <w:color w:val="auto"/>
          <w:kern w:val="0"/>
          <w:szCs w:val="21"/>
        </w:rPr>
        <w:t>澄清。</w:t>
      </w:r>
    </w:p>
    <w:p w14:paraId="1A6552B8">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 xml:space="preserve">1.10.3  </w:t>
      </w:r>
      <w:r>
        <w:rPr>
          <w:rFonts w:hint="eastAsia" w:ascii="宋体" w:hAnsi="宋体"/>
          <w:snapToGrid w:val="0"/>
          <w:color w:val="auto"/>
          <w:kern w:val="0"/>
          <w:szCs w:val="21"/>
          <w:lang w:eastAsia="zh-CN"/>
        </w:rPr>
        <w:t>比选人</w:t>
      </w:r>
      <w:r>
        <w:rPr>
          <w:rFonts w:ascii="宋体" w:hAnsi="宋体"/>
          <w:snapToGrid w:val="0"/>
          <w:color w:val="auto"/>
          <w:kern w:val="0"/>
          <w:szCs w:val="21"/>
        </w:rPr>
        <w:t>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w:t>
      </w:r>
      <w:r>
        <w:rPr>
          <w:rFonts w:hint="eastAsia" w:ascii="宋体" w:hAnsi="宋体"/>
          <w:snapToGrid w:val="0"/>
          <w:color w:val="auto"/>
          <w:kern w:val="0"/>
          <w:position w:val="-2"/>
          <w:szCs w:val="21"/>
          <w:lang w:eastAsia="zh-CN"/>
        </w:rPr>
        <w:t>比选文件</w:t>
      </w:r>
      <w:r>
        <w:rPr>
          <w:rFonts w:ascii="宋体" w:hAnsi="宋体"/>
          <w:snapToGrid w:val="0"/>
          <w:color w:val="auto"/>
          <w:kern w:val="0"/>
          <w:position w:val="-2"/>
          <w:szCs w:val="21"/>
        </w:rPr>
        <w:t>的组成部分。</w:t>
      </w:r>
    </w:p>
    <w:p w14:paraId="1805FD90">
      <w:pPr>
        <w:pStyle w:val="5"/>
        <w:snapToGrid w:val="0"/>
        <w:spacing w:before="0" w:after="0" w:line="360" w:lineRule="auto"/>
        <w:rPr>
          <w:rFonts w:ascii="宋体" w:hAnsi="宋体"/>
          <w:b w:val="0"/>
          <w:snapToGrid w:val="0"/>
          <w:color w:val="auto"/>
          <w:sz w:val="24"/>
          <w:szCs w:val="24"/>
        </w:rPr>
      </w:pPr>
      <w:bookmarkStart w:id="207" w:name="_Toc430530447"/>
      <w:bookmarkStart w:id="208" w:name="_Toc20948"/>
      <w:bookmarkStart w:id="209" w:name="_Toc287607758"/>
      <w:bookmarkStart w:id="210" w:name="_Toc3036"/>
      <w:bookmarkStart w:id="211" w:name="_Toc277082564"/>
      <w:bookmarkStart w:id="212" w:name="_Toc200513138"/>
      <w:bookmarkStart w:id="213" w:name="_Toc287620697"/>
      <w:bookmarkStart w:id="214" w:name="_Toc224103329"/>
      <w:bookmarkStart w:id="215" w:name="_Toc509218722"/>
      <w:r>
        <w:rPr>
          <w:rFonts w:ascii="宋体" w:hAnsi="宋体"/>
          <w:b w:val="0"/>
          <w:snapToGrid w:val="0"/>
          <w:color w:val="auto"/>
          <w:sz w:val="24"/>
          <w:szCs w:val="24"/>
        </w:rPr>
        <w:t>1.11  分包</w:t>
      </w:r>
      <w:bookmarkEnd w:id="207"/>
      <w:bookmarkEnd w:id="208"/>
      <w:bookmarkEnd w:id="209"/>
      <w:bookmarkEnd w:id="210"/>
      <w:bookmarkEnd w:id="211"/>
      <w:bookmarkEnd w:id="212"/>
      <w:bookmarkEnd w:id="213"/>
      <w:bookmarkEnd w:id="214"/>
      <w:bookmarkEnd w:id="215"/>
    </w:p>
    <w:p w14:paraId="0C3210AB">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5FD79822">
      <w:pPr>
        <w:pStyle w:val="5"/>
        <w:snapToGrid w:val="0"/>
        <w:spacing w:before="0" w:after="0" w:line="360" w:lineRule="auto"/>
        <w:rPr>
          <w:rFonts w:ascii="宋体" w:hAnsi="宋体"/>
          <w:b w:val="0"/>
          <w:snapToGrid w:val="0"/>
          <w:color w:val="auto"/>
          <w:sz w:val="24"/>
          <w:szCs w:val="24"/>
        </w:rPr>
      </w:pPr>
      <w:bookmarkStart w:id="216" w:name="_Toc224103330"/>
      <w:bookmarkStart w:id="217" w:name="_Toc5536"/>
      <w:bookmarkStart w:id="218" w:name="_Toc287620698"/>
      <w:bookmarkStart w:id="219" w:name="_Toc277082565"/>
      <w:bookmarkStart w:id="220" w:name="_Toc18254"/>
      <w:bookmarkStart w:id="221" w:name="_Toc287607759"/>
      <w:bookmarkStart w:id="222" w:name="_Toc200513139"/>
      <w:bookmarkStart w:id="223" w:name="_Toc430530448"/>
      <w:bookmarkStart w:id="224" w:name="_Toc509218723"/>
      <w:r>
        <w:rPr>
          <w:rFonts w:ascii="宋体" w:hAnsi="宋体"/>
          <w:b w:val="0"/>
          <w:snapToGrid w:val="0"/>
          <w:color w:val="auto"/>
          <w:sz w:val="24"/>
          <w:szCs w:val="24"/>
        </w:rPr>
        <w:t>1.12  偏离</w:t>
      </w:r>
      <w:bookmarkEnd w:id="216"/>
      <w:bookmarkEnd w:id="217"/>
      <w:bookmarkEnd w:id="218"/>
      <w:bookmarkEnd w:id="219"/>
      <w:bookmarkEnd w:id="220"/>
      <w:bookmarkEnd w:id="221"/>
      <w:bookmarkEnd w:id="222"/>
      <w:bookmarkEnd w:id="223"/>
      <w:bookmarkEnd w:id="224"/>
    </w:p>
    <w:p w14:paraId="735BF3A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w:t>
      </w:r>
      <w:r>
        <w:rPr>
          <w:rFonts w:hint="eastAsia" w:ascii="宋体" w:hAnsi="宋体"/>
          <w:snapToGrid w:val="0"/>
          <w:color w:val="auto"/>
          <w:kern w:val="0"/>
          <w:szCs w:val="21"/>
          <w:lang w:eastAsia="zh-CN"/>
        </w:rPr>
        <w:t>比选文件</w:t>
      </w:r>
      <w:r>
        <w:rPr>
          <w:rFonts w:ascii="宋体" w:hAnsi="宋体"/>
          <w:snapToGrid w:val="0"/>
          <w:color w:val="auto"/>
          <w:kern w:val="0"/>
          <w:szCs w:val="21"/>
        </w:rPr>
        <w:t>某些要求的，偏离应当符合</w:t>
      </w:r>
      <w:r>
        <w:rPr>
          <w:rFonts w:hint="eastAsia" w:ascii="宋体" w:hAnsi="宋体"/>
          <w:snapToGrid w:val="0"/>
          <w:color w:val="auto"/>
          <w:kern w:val="0"/>
          <w:szCs w:val="21"/>
          <w:lang w:eastAsia="zh-CN"/>
        </w:rPr>
        <w:t>比选文件</w:t>
      </w:r>
      <w:r>
        <w:rPr>
          <w:rFonts w:ascii="宋体" w:hAnsi="宋体"/>
          <w:snapToGrid w:val="0"/>
          <w:color w:val="auto"/>
          <w:kern w:val="0"/>
          <w:szCs w:val="21"/>
        </w:rPr>
        <w:t>规定的偏离范围和幅度。</w:t>
      </w:r>
    </w:p>
    <w:p w14:paraId="566B5A4E">
      <w:pPr>
        <w:pStyle w:val="4"/>
        <w:spacing w:before="0" w:after="0" w:line="360" w:lineRule="auto"/>
        <w:rPr>
          <w:rFonts w:hint="eastAsia" w:ascii="宋体" w:hAnsi="宋体" w:eastAsia="宋体"/>
          <w:b w:val="0"/>
          <w:snapToGrid w:val="0"/>
          <w:color w:val="auto"/>
          <w:lang w:eastAsia="zh-CN"/>
        </w:rPr>
      </w:pPr>
      <w:bookmarkStart w:id="225" w:name="_Toc509218724"/>
      <w:bookmarkStart w:id="226" w:name="_Toc430530449"/>
      <w:bookmarkStart w:id="227" w:name="_Toc287607760"/>
      <w:bookmarkStart w:id="228" w:name="_Toc287620699"/>
      <w:bookmarkStart w:id="229" w:name="_Toc200513140"/>
      <w:bookmarkStart w:id="230" w:name="_Toc11902"/>
      <w:bookmarkStart w:id="231" w:name="_Toc224103331"/>
      <w:bookmarkStart w:id="232" w:name="_Toc277082566"/>
      <w:bookmarkStart w:id="233" w:name="_Toc16287"/>
      <w:r>
        <w:rPr>
          <w:rFonts w:ascii="宋体" w:hAnsi="宋体"/>
          <w:b w:val="0"/>
          <w:snapToGrid w:val="0"/>
          <w:color w:val="auto"/>
        </w:rPr>
        <w:t xml:space="preserve">2.  </w:t>
      </w:r>
      <w:bookmarkEnd w:id="225"/>
      <w:bookmarkEnd w:id="226"/>
      <w:bookmarkEnd w:id="227"/>
      <w:bookmarkEnd w:id="228"/>
      <w:bookmarkEnd w:id="229"/>
      <w:bookmarkEnd w:id="230"/>
      <w:bookmarkEnd w:id="231"/>
      <w:bookmarkEnd w:id="232"/>
      <w:r>
        <w:rPr>
          <w:rFonts w:hint="eastAsia" w:ascii="宋体" w:hAnsi="宋体"/>
          <w:b w:val="0"/>
          <w:snapToGrid w:val="0"/>
          <w:color w:val="auto"/>
          <w:lang w:eastAsia="zh-CN"/>
        </w:rPr>
        <w:t>比选文件</w:t>
      </w:r>
      <w:bookmarkEnd w:id="233"/>
    </w:p>
    <w:p w14:paraId="0563E445">
      <w:pPr>
        <w:pStyle w:val="5"/>
        <w:snapToGrid w:val="0"/>
        <w:spacing w:before="0" w:after="0" w:line="360" w:lineRule="auto"/>
        <w:rPr>
          <w:rFonts w:ascii="宋体" w:hAnsi="宋体"/>
          <w:b w:val="0"/>
          <w:snapToGrid w:val="0"/>
          <w:color w:val="auto"/>
          <w:sz w:val="24"/>
          <w:szCs w:val="24"/>
        </w:rPr>
      </w:pPr>
      <w:bookmarkStart w:id="234" w:name="_Toc800"/>
      <w:bookmarkStart w:id="235" w:name="_Toc430530450"/>
      <w:bookmarkStart w:id="236" w:name="_Toc277082567"/>
      <w:bookmarkStart w:id="237" w:name="_Toc200513141"/>
      <w:bookmarkStart w:id="238" w:name="_Toc224103332"/>
      <w:bookmarkStart w:id="239" w:name="_Toc31696"/>
      <w:bookmarkStart w:id="240" w:name="_Toc287607761"/>
      <w:bookmarkStart w:id="241" w:name="_Toc509218725"/>
      <w:bookmarkStart w:id="242" w:name="_Toc287620700"/>
      <w:r>
        <w:rPr>
          <w:rFonts w:ascii="宋体" w:hAnsi="宋体"/>
          <w:b w:val="0"/>
          <w:snapToGrid w:val="0"/>
          <w:color w:val="auto"/>
          <w:sz w:val="24"/>
          <w:szCs w:val="24"/>
        </w:rPr>
        <w:t xml:space="preserve">2.1  </w:t>
      </w:r>
      <w:r>
        <w:rPr>
          <w:rFonts w:hint="eastAsia" w:ascii="宋体" w:hAnsi="宋体"/>
          <w:b w:val="0"/>
          <w:snapToGrid w:val="0"/>
          <w:color w:val="auto"/>
          <w:sz w:val="24"/>
          <w:szCs w:val="24"/>
          <w:lang w:eastAsia="zh-CN"/>
        </w:rPr>
        <w:t>比选文件</w:t>
      </w:r>
      <w:r>
        <w:rPr>
          <w:rFonts w:ascii="宋体" w:hAnsi="宋体"/>
          <w:b w:val="0"/>
          <w:snapToGrid w:val="0"/>
          <w:color w:val="auto"/>
          <w:sz w:val="24"/>
          <w:szCs w:val="24"/>
        </w:rPr>
        <w:t>的组成</w:t>
      </w:r>
      <w:bookmarkEnd w:id="234"/>
      <w:bookmarkEnd w:id="235"/>
      <w:bookmarkEnd w:id="236"/>
      <w:bookmarkEnd w:id="237"/>
      <w:bookmarkEnd w:id="238"/>
      <w:bookmarkEnd w:id="239"/>
      <w:bookmarkEnd w:id="240"/>
      <w:bookmarkEnd w:id="241"/>
      <w:bookmarkEnd w:id="242"/>
    </w:p>
    <w:p w14:paraId="35633DE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eastAsia="zh-CN"/>
        </w:rPr>
        <w:t>比选文件</w:t>
      </w:r>
      <w:r>
        <w:rPr>
          <w:rFonts w:ascii="宋体" w:hAnsi="宋体"/>
          <w:snapToGrid w:val="0"/>
          <w:color w:val="auto"/>
          <w:kern w:val="0"/>
          <w:szCs w:val="21"/>
        </w:rPr>
        <w:t>包括：</w:t>
      </w:r>
    </w:p>
    <w:p w14:paraId="3296E36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lang w:eastAsia="zh-CN"/>
        </w:rPr>
        <w:t>比选公告</w:t>
      </w:r>
      <w:r>
        <w:rPr>
          <w:rFonts w:ascii="宋体" w:hAnsi="宋体"/>
          <w:snapToGrid w:val="0"/>
          <w:color w:val="auto"/>
          <w:kern w:val="0"/>
          <w:szCs w:val="21"/>
        </w:rPr>
        <w:t>；</w:t>
      </w:r>
    </w:p>
    <w:p w14:paraId="34A9D0A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02AE49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2993E5D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1623A50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（5）工程量清单；</w:t>
      </w:r>
    </w:p>
    <w:p w14:paraId="45811E0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（6）图纸；</w:t>
      </w:r>
    </w:p>
    <w:p w14:paraId="7E66E19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（7）技术标准和要求；</w:t>
      </w:r>
    </w:p>
    <w:p w14:paraId="1ABC362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（8）投标文件格式；</w:t>
      </w:r>
    </w:p>
    <w:p w14:paraId="28FD3F6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（9）投标人须知前附表规定的其他材料。</w:t>
      </w:r>
    </w:p>
    <w:p w14:paraId="1C34460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w:t>
      </w:r>
      <w:r>
        <w:rPr>
          <w:rFonts w:hint="eastAsia" w:ascii="宋体" w:hAnsi="宋体"/>
          <w:snapToGrid w:val="0"/>
          <w:color w:val="auto"/>
          <w:kern w:val="0"/>
          <w:szCs w:val="21"/>
          <w:lang w:eastAsia="zh-CN"/>
        </w:rPr>
        <w:t>比选文件</w:t>
      </w:r>
      <w:r>
        <w:rPr>
          <w:rFonts w:ascii="宋体" w:hAnsi="宋体"/>
          <w:snapToGrid w:val="0"/>
          <w:color w:val="auto"/>
          <w:kern w:val="0"/>
          <w:szCs w:val="21"/>
        </w:rPr>
        <w:t>所作的澄清、修改，构成</w:t>
      </w:r>
      <w:r>
        <w:rPr>
          <w:rFonts w:hint="eastAsia" w:ascii="宋体" w:hAnsi="宋体"/>
          <w:snapToGrid w:val="0"/>
          <w:color w:val="auto"/>
          <w:kern w:val="0"/>
          <w:szCs w:val="21"/>
          <w:lang w:eastAsia="zh-CN"/>
        </w:rPr>
        <w:t>比选文件</w:t>
      </w:r>
      <w:r>
        <w:rPr>
          <w:rFonts w:ascii="宋体" w:hAnsi="宋体"/>
          <w:snapToGrid w:val="0"/>
          <w:color w:val="auto"/>
          <w:kern w:val="0"/>
          <w:szCs w:val="21"/>
        </w:rPr>
        <w:t>的组成部分。</w:t>
      </w:r>
    </w:p>
    <w:p w14:paraId="4CCDD21F">
      <w:pPr>
        <w:pStyle w:val="5"/>
        <w:snapToGrid w:val="0"/>
        <w:spacing w:before="0" w:after="0" w:line="360" w:lineRule="auto"/>
        <w:rPr>
          <w:rFonts w:ascii="宋体" w:hAnsi="宋体"/>
          <w:b w:val="0"/>
          <w:snapToGrid w:val="0"/>
          <w:color w:val="auto"/>
          <w:sz w:val="24"/>
          <w:szCs w:val="24"/>
        </w:rPr>
      </w:pPr>
      <w:bookmarkStart w:id="243" w:name="_Toc430530451"/>
      <w:bookmarkStart w:id="244" w:name="_Toc509218726"/>
      <w:bookmarkStart w:id="245" w:name="_Toc23750"/>
      <w:bookmarkStart w:id="246" w:name="_Toc20267"/>
      <w:r>
        <w:rPr>
          <w:rFonts w:ascii="宋体" w:hAnsi="宋体"/>
          <w:b w:val="0"/>
          <w:snapToGrid w:val="0"/>
          <w:color w:val="auto"/>
          <w:sz w:val="24"/>
          <w:szCs w:val="24"/>
        </w:rPr>
        <w:t xml:space="preserve">2.2  </w:t>
      </w:r>
      <w:r>
        <w:rPr>
          <w:rFonts w:hint="eastAsia" w:ascii="宋体" w:hAnsi="宋体"/>
          <w:b w:val="0"/>
          <w:snapToGrid w:val="0"/>
          <w:color w:val="auto"/>
          <w:sz w:val="24"/>
          <w:szCs w:val="24"/>
          <w:lang w:eastAsia="zh-CN"/>
        </w:rPr>
        <w:t>比选文件</w:t>
      </w:r>
      <w:r>
        <w:rPr>
          <w:rFonts w:ascii="宋体" w:hAnsi="宋体"/>
          <w:b w:val="0"/>
          <w:snapToGrid w:val="0"/>
          <w:color w:val="auto"/>
          <w:sz w:val="24"/>
          <w:szCs w:val="24"/>
        </w:rPr>
        <w:t>的澄清</w:t>
      </w:r>
      <w:bookmarkEnd w:id="243"/>
      <w:bookmarkEnd w:id="244"/>
      <w:bookmarkEnd w:id="245"/>
      <w:bookmarkEnd w:id="246"/>
    </w:p>
    <w:p w14:paraId="49AAE7F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w:t>
      </w:r>
      <w:r>
        <w:rPr>
          <w:rFonts w:hint="eastAsia" w:ascii="宋体" w:hAnsi="宋体"/>
          <w:snapToGrid w:val="0"/>
          <w:color w:val="auto"/>
          <w:kern w:val="0"/>
          <w:szCs w:val="21"/>
          <w:lang w:eastAsia="zh-CN"/>
        </w:rPr>
        <w:t>比选文件</w:t>
      </w:r>
      <w:r>
        <w:rPr>
          <w:rFonts w:ascii="宋体" w:hAnsi="宋体"/>
          <w:snapToGrid w:val="0"/>
          <w:color w:val="auto"/>
          <w:kern w:val="0"/>
          <w:szCs w:val="21"/>
        </w:rPr>
        <w:t>的全部内容。如发现缺页或附件不全，应及时向</w:t>
      </w:r>
      <w:r>
        <w:rPr>
          <w:rFonts w:hint="eastAsia" w:ascii="宋体" w:hAnsi="宋体"/>
          <w:snapToGrid w:val="0"/>
          <w:color w:val="auto"/>
          <w:kern w:val="0"/>
          <w:szCs w:val="21"/>
          <w:lang w:eastAsia="zh-CN"/>
        </w:rPr>
        <w:t>比选人</w:t>
      </w:r>
      <w:r>
        <w:rPr>
          <w:rFonts w:ascii="宋体" w:hAnsi="宋体"/>
          <w:snapToGrid w:val="0"/>
          <w:color w:val="auto"/>
          <w:kern w:val="0"/>
          <w:szCs w:val="21"/>
        </w:rPr>
        <w:t>提出，以便补齐。如有疑问，应在投标人须知前附表规定的时间前</w:t>
      </w:r>
      <w:r>
        <w:rPr>
          <w:rFonts w:hint="eastAsia" w:ascii="宋体" w:hAnsi="宋体"/>
          <w:color w:val="auto"/>
          <w:kern w:val="0"/>
          <w:szCs w:val="21"/>
        </w:rPr>
        <w:t>提问</w:t>
      </w:r>
      <w:r>
        <w:rPr>
          <w:rFonts w:ascii="宋体" w:hAnsi="宋体"/>
          <w:snapToGrid w:val="0"/>
          <w:color w:val="auto"/>
          <w:kern w:val="0"/>
          <w:szCs w:val="21"/>
        </w:rPr>
        <w:t>，要求</w:t>
      </w:r>
      <w:r>
        <w:rPr>
          <w:rFonts w:hint="eastAsia" w:ascii="宋体" w:hAnsi="宋体"/>
          <w:snapToGrid w:val="0"/>
          <w:color w:val="auto"/>
          <w:kern w:val="0"/>
          <w:szCs w:val="21"/>
          <w:lang w:eastAsia="zh-CN"/>
        </w:rPr>
        <w:t>比选人</w:t>
      </w:r>
      <w:r>
        <w:rPr>
          <w:rFonts w:ascii="宋体" w:hAnsi="宋体"/>
          <w:snapToGrid w:val="0"/>
          <w:color w:val="auto"/>
          <w:kern w:val="0"/>
          <w:szCs w:val="21"/>
        </w:rPr>
        <w:t>对</w:t>
      </w:r>
      <w:r>
        <w:rPr>
          <w:rFonts w:hint="eastAsia" w:ascii="宋体" w:hAnsi="宋体"/>
          <w:snapToGrid w:val="0"/>
          <w:color w:val="auto"/>
          <w:kern w:val="0"/>
          <w:szCs w:val="21"/>
          <w:lang w:eastAsia="zh-CN"/>
        </w:rPr>
        <w:t>比选文件</w:t>
      </w:r>
      <w:r>
        <w:rPr>
          <w:rFonts w:ascii="宋体" w:hAnsi="宋体"/>
          <w:snapToGrid w:val="0"/>
          <w:color w:val="auto"/>
          <w:kern w:val="0"/>
          <w:szCs w:val="21"/>
        </w:rPr>
        <w:t>予以澄清。</w:t>
      </w:r>
    </w:p>
    <w:p w14:paraId="41F2314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2.2.2  </w:t>
      </w:r>
      <w:r>
        <w:rPr>
          <w:rFonts w:hint="eastAsia" w:ascii="宋体" w:hAnsi="宋体"/>
          <w:snapToGrid w:val="0"/>
          <w:color w:val="auto"/>
          <w:kern w:val="0"/>
          <w:szCs w:val="21"/>
          <w:lang w:eastAsia="zh-CN"/>
        </w:rPr>
        <w:t>比选文件</w:t>
      </w:r>
      <w:r>
        <w:rPr>
          <w:rFonts w:ascii="宋体" w:hAnsi="宋体"/>
          <w:snapToGrid w:val="0"/>
          <w:color w:val="auto"/>
          <w:kern w:val="0"/>
          <w:szCs w:val="21"/>
        </w:rPr>
        <w:t>的澄清将在投标人须知前附表规定的投标截止时间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天前</w:t>
      </w:r>
      <w:r>
        <w:rPr>
          <w:rFonts w:ascii="宋体" w:hAnsi="宋体"/>
          <w:color w:val="auto"/>
          <w:kern w:val="0"/>
          <w:szCs w:val="21"/>
        </w:rPr>
        <w:t>在</w:t>
      </w:r>
      <w:r>
        <w:rPr>
          <w:rFonts w:hint="eastAsia" w:ascii="宋体" w:hAnsi="宋体"/>
          <w:color w:val="auto"/>
          <w:kern w:val="0"/>
          <w:szCs w:val="21"/>
          <w:highlight w:val="none"/>
        </w:rPr>
        <w:t>相应法定网站</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天，相应延长投标截止时间。</w:t>
      </w:r>
    </w:p>
    <w:p w14:paraId="03389BC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hint="eastAsia" w:ascii="宋体" w:hAnsi="宋体"/>
          <w:color w:val="auto"/>
          <w:kern w:val="0"/>
          <w:szCs w:val="21"/>
          <w:lang w:eastAsia="zh-CN"/>
        </w:rPr>
        <w:t>比选人</w:t>
      </w:r>
      <w:r>
        <w:rPr>
          <w:rFonts w:ascii="宋体" w:hAnsi="宋体"/>
          <w:color w:val="auto"/>
          <w:kern w:val="0"/>
          <w:szCs w:val="21"/>
        </w:rPr>
        <w:t>对</w:t>
      </w:r>
      <w:r>
        <w:rPr>
          <w:rFonts w:hint="eastAsia" w:ascii="宋体" w:hAnsi="宋体"/>
          <w:color w:val="auto"/>
          <w:kern w:val="0"/>
          <w:szCs w:val="21"/>
          <w:lang w:eastAsia="zh-CN"/>
        </w:rPr>
        <w:t>比选文件</w:t>
      </w:r>
      <w:r>
        <w:rPr>
          <w:rFonts w:ascii="宋体" w:hAnsi="宋体"/>
          <w:color w:val="auto"/>
          <w:kern w:val="0"/>
          <w:szCs w:val="21"/>
        </w:rPr>
        <w:t>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日的，须相应延后投标截止时间。</w:t>
      </w:r>
    </w:p>
    <w:p w14:paraId="4BEB80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w:t>
      </w:r>
      <w:r>
        <w:rPr>
          <w:rFonts w:hint="eastAsia" w:ascii="宋体" w:hAnsi="宋体"/>
          <w:snapToGrid w:val="0"/>
          <w:color w:val="auto"/>
          <w:kern w:val="0"/>
          <w:position w:val="-2"/>
          <w:szCs w:val="21"/>
          <w:lang w:eastAsia="zh-CN"/>
        </w:rPr>
        <w:t>比选文件</w:t>
      </w:r>
      <w:r>
        <w:rPr>
          <w:rFonts w:ascii="宋体" w:hAnsi="宋体"/>
          <w:snapToGrid w:val="0"/>
          <w:color w:val="auto"/>
          <w:kern w:val="0"/>
          <w:position w:val="-2"/>
          <w:szCs w:val="21"/>
        </w:rPr>
        <w:t>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w:t>
      </w:r>
      <w:r>
        <w:rPr>
          <w:rFonts w:hint="eastAsia" w:ascii="宋体" w:hAnsi="宋体"/>
          <w:snapToGrid w:val="0"/>
          <w:color w:val="auto"/>
          <w:kern w:val="0"/>
          <w:position w:val="-2"/>
          <w:szCs w:val="21"/>
          <w:lang w:val="en-US" w:eastAsia="zh-CN"/>
        </w:rPr>
        <w:t>3</w:t>
      </w:r>
      <w:r>
        <w:rPr>
          <w:rFonts w:ascii="宋体" w:hAnsi="宋体"/>
          <w:snapToGrid w:val="0"/>
          <w:color w:val="auto"/>
          <w:kern w:val="0"/>
          <w:position w:val="-2"/>
          <w:szCs w:val="21"/>
        </w:rPr>
        <w:t>日前，以书面形式通知</w:t>
      </w:r>
      <w:r>
        <w:rPr>
          <w:rFonts w:hint="eastAsia" w:ascii="宋体" w:hAnsi="宋体"/>
          <w:snapToGrid w:val="0"/>
          <w:color w:val="auto"/>
          <w:kern w:val="0"/>
          <w:position w:val="-2"/>
          <w:szCs w:val="21"/>
          <w:lang w:eastAsia="zh-CN"/>
        </w:rPr>
        <w:t>比选人</w:t>
      </w:r>
      <w:r>
        <w:rPr>
          <w:rFonts w:ascii="宋体" w:hAnsi="宋体"/>
          <w:snapToGrid w:val="0"/>
          <w:color w:val="auto"/>
          <w:kern w:val="0"/>
          <w:szCs w:val="21"/>
        </w:rPr>
        <w:t>或</w:t>
      </w:r>
      <w:r>
        <w:rPr>
          <w:rFonts w:hint="eastAsia" w:ascii="宋体" w:hAnsi="宋体"/>
          <w:snapToGrid w:val="0"/>
          <w:color w:val="auto"/>
          <w:kern w:val="0"/>
          <w:szCs w:val="21"/>
          <w:lang w:eastAsia="zh-CN"/>
        </w:rPr>
        <w:t>比选代理机构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比选人</w:t>
      </w:r>
      <w:r>
        <w:rPr>
          <w:rFonts w:ascii="宋体" w:hAnsi="宋体"/>
          <w:snapToGrid w:val="0"/>
          <w:color w:val="auto"/>
          <w:kern w:val="0"/>
          <w:szCs w:val="21"/>
        </w:rPr>
        <w:t>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ascii="宋体" w:hAnsi="宋体"/>
          <w:color w:val="auto"/>
          <w:kern w:val="0"/>
          <w:szCs w:val="21"/>
        </w:rPr>
        <w:t>在</w:t>
      </w:r>
      <w:r>
        <w:rPr>
          <w:rFonts w:hint="eastAsia" w:ascii="宋体" w:hAnsi="宋体"/>
          <w:color w:val="auto"/>
          <w:kern w:val="0"/>
          <w:szCs w:val="21"/>
          <w:highlight w:val="none"/>
        </w:rPr>
        <w:t>相应法定网站</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日的，须相应延后投标截止时间。</w:t>
      </w:r>
    </w:p>
    <w:p w14:paraId="3DAA59CF">
      <w:pPr>
        <w:pStyle w:val="5"/>
        <w:snapToGrid w:val="0"/>
        <w:spacing w:before="0" w:after="0" w:line="360" w:lineRule="auto"/>
        <w:rPr>
          <w:rFonts w:ascii="宋体" w:hAnsi="宋体"/>
          <w:b w:val="0"/>
          <w:snapToGrid w:val="0"/>
          <w:color w:val="auto"/>
          <w:sz w:val="24"/>
          <w:szCs w:val="24"/>
        </w:rPr>
      </w:pPr>
      <w:bookmarkStart w:id="247" w:name="_Toc277082569"/>
      <w:bookmarkStart w:id="248" w:name="_Toc287607763"/>
      <w:bookmarkStart w:id="249" w:name="_Toc509218727"/>
      <w:bookmarkStart w:id="250" w:name="_Toc27922"/>
      <w:bookmarkStart w:id="251" w:name="_Toc287620702"/>
      <w:bookmarkStart w:id="252" w:name="_Toc5010"/>
      <w:bookmarkStart w:id="253" w:name="_Toc430530452"/>
      <w:bookmarkStart w:id="254" w:name="_Toc224103334"/>
      <w:bookmarkStart w:id="255" w:name="_Toc200513143"/>
      <w:r>
        <w:rPr>
          <w:rFonts w:ascii="宋体" w:hAnsi="宋体"/>
          <w:b w:val="0"/>
          <w:snapToGrid w:val="0"/>
          <w:color w:val="auto"/>
          <w:sz w:val="24"/>
          <w:szCs w:val="24"/>
        </w:rPr>
        <w:t xml:space="preserve">2.3  </w:t>
      </w:r>
      <w:r>
        <w:rPr>
          <w:rFonts w:hint="eastAsia" w:ascii="宋体" w:hAnsi="宋体"/>
          <w:b w:val="0"/>
          <w:snapToGrid w:val="0"/>
          <w:color w:val="auto"/>
          <w:sz w:val="24"/>
          <w:szCs w:val="24"/>
          <w:lang w:eastAsia="zh-CN"/>
        </w:rPr>
        <w:t>比选文件</w:t>
      </w:r>
      <w:r>
        <w:rPr>
          <w:rFonts w:ascii="宋体" w:hAnsi="宋体"/>
          <w:b w:val="0"/>
          <w:snapToGrid w:val="0"/>
          <w:color w:val="auto"/>
          <w:sz w:val="24"/>
          <w:szCs w:val="24"/>
        </w:rPr>
        <w:t>的修改</w:t>
      </w:r>
      <w:bookmarkEnd w:id="247"/>
      <w:bookmarkEnd w:id="248"/>
      <w:bookmarkEnd w:id="249"/>
      <w:bookmarkEnd w:id="250"/>
      <w:bookmarkEnd w:id="251"/>
      <w:bookmarkEnd w:id="252"/>
      <w:bookmarkEnd w:id="253"/>
      <w:bookmarkEnd w:id="254"/>
      <w:bookmarkEnd w:id="255"/>
    </w:p>
    <w:p w14:paraId="6F53516A">
      <w:pPr>
        <w:autoSpaceDE w:val="0"/>
        <w:autoSpaceDN w:val="0"/>
        <w:adjustRightInd w:val="0"/>
        <w:snapToGrid w:val="0"/>
        <w:spacing w:line="360" w:lineRule="auto"/>
        <w:ind w:firstLine="420"/>
        <w:rPr>
          <w:rFonts w:ascii="宋体" w:hAnsi="宋体"/>
          <w:snapToGrid w:val="0"/>
          <w:color w:val="auto"/>
        </w:rPr>
      </w:pPr>
      <w:bookmarkStart w:id="256" w:name="_Toc277082570"/>
      <w:bookmarkStart w:id="257" w:name="_Toc200513144"/>
      <w:bookmarkStart w:id="258" w:name="_Toc287607764"/>
      <w:bookmarkStart w:id="259" w:name="_Toc224103335"/>
      <w:bookmarkStart w:id="260" w:name="_Toc287620703"/>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hint="eastAsia" w:ascii="宋体" w:hAnsi="宋体"/>
          <w:snapToGrid w:val="0"/>
          <w:color w:val="auto"/>
          <w:lang w:eastAsia="zh-CN"/>
        </w:rPr>
        <w:t>比选文件</w:t>
      </w:r>
      <w:r>
        <w:rPr>
          <w:rFonts w:ascii="宋体" w:hAnsi="宋体"/>
          <w:snapToGrid w:val="0"/>
          <w:color w:val="auto"/>
        </w:rPr>
        <w:t>的澄清相关内容及方式执行。</w:t>
      </w:r>
    </w:p>
    <w:p w14:paraId="73EF6C20">
      <w:pPr>
        <w:pStyle w:val="4"/>
        <w:spacing w:before="0" w:after="0" w:line="360" w:lineRule="auto"/>
        <w:rPr>
          <w:rFonts w:ascii="宋体" w:hAnsi="宋体"/>
          <w:b w:val="0"/>
          <w:snapToGrid w:val="0"/>
          <w:color w:val="auto"/>
        </w:rPr>
      </w:pPr>
      <w:bookmarkStart w:id="261" w:name="_Toc14543"/>
      <w:bookmarkStart w:id="262" w:name="_Toc509218728"/>
      <w:bookmarkStart w:id="263" w:name="_Toc18484"/>
      <w:bookmarkStart w:id="264" w:name="_Toc430530453"/>
      <w:r>
        <w:rPr>
          <w:rFonts w:ascii="宋体" w:hAnsi="宋体"/>
          <w:b w:val="0"/>
          <w:snapToGrid w:val="0"/>
          <w:color w:val="auto"/>
        </w:rPr>
        <w:t>3.  投标文件</w:t>
      </w:r>
      <w:bookmarkEnd w:id="256"/>
      <w:bookmarkEnd w:id="257"/>
      <w:bookmarkEnd w:id="258"/>
      <w:bookmarkEnd w:id="259"/>
      <w:bookmarkEnd w:id="260"/>
      <w:bookmarkEnd w:id="261"/>
      <w:bookmarkEnd w:id="262"/>
      <w:bookmarkEnd w:id="263"/>
      <w:bookmarkEnd w:id="264"/>
    </w:p>
    <w:p w14:paraId="226647AB">
      <w:pPr>
        <w:pStyle w:val="5"/>
        <w:snapToGrid w:val="0"/>
        <w:spacing w:before="0" w:after="0" w:line="360" w:lineRule="auto"/>
        <w:rPr>
          <w:rFonts w:ascii="宋体" w:hAnsi="宋体"/>
          <w:b w:val="0"/>
          <w:snapToGrid w:val="0"/>
          <w:color w:val="auto"/>
          <w:sz w:val="24"/>
          <w:szCs w:val="24"/>
        </w:rPr>
      </w:pPr>
      <w:bookmarkStart w:id="265" w:name="_Toc287607765"/>
      <w:bookmarkStart w:id="266" w:name="_Toc224103336"/>
      <w:bookmarkStart w:id="267" w:name="_Toc29304"/>
      <w:bookmarkStart w:id="268" w:name="_Toc277082571"/>
      <w:bookmarkStart w:id="269" w:name="_Toc287620704"/>
      <w:bookmarkStart w:id="270" w:name="_Toc430530454"/>
      <w:bookmarkStart w:id="271" w:name="_Toc509218729"/>
      <w:bookmarkStart w:id="272" w:name="_Toc200513145"/>
      <w:bookmarkStart w:id="273" w:name="_Toc8482"/>
      <w:r>
        <w:rPr>
          <w:rFonts w:ascii="宋体" w:hAnsi="宋体"/>
          <w:b w:val="0"/>
          <w:snapToGrid w:val="0"/>
          <w:color w:val="auto"/>
          <w:sz w:val="24"/>
          <w:szCs w:val="24"/>
        </w:rPr>
        <w:t>3.1  投标文件的组成</w:t>
      </w:r>
      <w:bookmarkEnd w:id="265"/>
      <w:bookmarkEnd w:id="266"/>
      <w:bookmarkEnd w:id="267"/>
      <w:bookmarkEnd w:id="268"/>
      <w:bookmarkEnd w:id="269"/>
      <w:bookmarkEnd w:id="270"/>
      <w:bookmarkEnd w:id="271"/>
      <w:bookmarkEnd w:id="272"/>
      <w:bookmarkEnd w:id="273"/>
    </w:p>
    <w:p w14:paraId="02B6F001">
      <w:pPr>
        <w:autoSpaceDE w:val="0"/>
        <w:autoSpaceDN w:val="0"/>
        <w:adjustRightInd w:val="0"/>
        <w:snapToGrid w:val="0"/>
        <w:spacing w:line="360" w:lineRule="auto"/>
        <w:ind w:firstLine="420" w:firstLineChars="200"/>
        <w:rPr>
          <w:rFonts w:ascii="宋体" w:hAnsi="宋体"/>
          <w:color w:val="auto"/>
        </w:rPr>
      </w:pPr>
      <w:r>
        <w:rPr>
          <w:rFonts w:ascii="宋体" w:hAnsi="宋体"/>
          <w:snapToGrid w:val="0"/>
          <w:color w:val="auto"/>
          <w:kern w:val="0"/>
          <w:szCs w:val="21"/>
        </w:rPr>
        <w:t>3.1.1 投标文件应包括下列内容：</w:t>
      </w:r>
    </w:p>
    <w:p w14:paraId="5D366CD2">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1</w:t>
      </w:r>
      <w:r>
        <w:rPr>
          <w:rFonts w:hint="eastAsia" w:ascii="宋体" w:hAnsi="宋体"/>
          <w:color w:val="auto"/>
        </w:rPr>
        <w:t>投标函部分</w:t>
      </w:r>
    </w:p>
    <w:p w14:paraId="224837BA">
      <w:pPr>
        <w:spacing w:line="360" w:lineRule="auto"/>
        <w:ind w:firstLine="420" w:firstLineChars="200"/>
        <w:rPr>
          <w:rFonts w:ascii="宋体" w:hAnsi="宋体"/>
          <w:color w:val="auto"/>
        </w:rPr>
      </w:pPr>
      <w:r>
        <w:rPr>
          <w:rFonts w:hint="eastAsia" w:ascii="宋体" w:hAnsi="宋体"/>
          <w:color w:val="auto"/>
        </w:rPr>
        <w:t>（1）投标函</w:t>
      </w:r>
    </w:p>
    <w:p w14:paraId="18A3AA96">
      <w:pPr>
        <w:spacing w:line="360" w:lineRule="auto"/>
        <w:ind w:firstLine="420" w:firstLineChars="200"/>
        <w:rPr>
          <w:rFonts w:ascii="宋体" w:hAnsi="宋体"/>
          <w:color w:val="auto"/>
        </w:rPr>
      </w:pPr>
      <w:r>
        <w:rPr>
          <w:rFonts w:hint="eastAsia" w:ascii="宋体" w:hAnsi="宋体"/>
          <w:color w:val="auto"/>
        </w:rPr>
        <w:t>（2）投标函附录</w:t>
      </w:r>
    </w:p>
    <w:p w14:paraId="039B86D6">
      <w:pPr>
        <w:spacing w:line="360" w:lineRule="auto"/>
        <w:ind w:firstLine="420" w:firstLineChars="200"/>
        <w:rPr>
          <w:rFonts w:ascii="宋体" w:hAnsi="宋体"/>
          <w:color w:val="auto"/>
        </w:rPr>
      </w:pPr>
      <w:r>
        <w:rPr>
          <w:rFonts w:hint="eastAsia" w:ascii="宋体" w:hAnsi="宋体"/>
          <w:color w:val="auto"/>
        </w:rPr>
        <w:t>（3）法定代表人身份证明或附有法定代表人身份证明的授权委托书</w:t>
      </w:r>
    </w:p>
    <w:p w14:paraId="42F52E4B">
      <w:pPr>
        <w:spacing w:line="360" w:lineRule="auto"/>
        <w:ind w:firstLine="420" w:firstLineChars="200"/>
        <w:rPr>
          <w:rFonts w:ascii="宋体" w:hAnsi="宋体"/>
          <w:color w:val="auto"/>
        </w:rPr>
      </w:pPr>
      <w:r>
        <w:rPr>
          <w:rFonts w:hint="eastAsia" w:ascii="宋体" w:hAnsi="宋体"/>
          <w:color w:val="auto"/>
        </w:rPr>
        <w:t>（4）低价风险担保提交承诺书（如有）</w:t>
      </w:r>
    </w:p>
    <w:p w14:paraId="1EC88066">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2</w:t>
      </w:r>
      <w:r>
        <w:rPr>
          <w:rFonts w:hint="eastAsia" w:ascii="宋体" w:hAnsi="宋体"/>
          <w:color w:val="auto"/>
        </w:rPr>
        <w:t>经济部分</w:t>
      </w:r>
    </w:p>
    <w:p w14:paraId="7647B10B">
      <w:pPr>
        <w:spacing w:line="360" w:lineRule="auto"/>
        <w:ind w:firstLine="420" w:firstLineChars="200"/>
        <w:rPr>
          <w:rFonts w:ascii="宋体" w:hAnsi="宋体"/>
          <w:color w:val="auto"/>
        </w:rPr>
      </w:pPr>
      <w:r>
        <w:rPr>
          <w:rFonts w:hint="eastAsia" w:ascii="宋体" w:hAnsi="宋体"/>
          <w:color w:val="auto"/>
        </w:rPr>
        <w:t>（1）已标价工程量清单</w:t>
      </w:r>
    </w:p>
    <w:p w14:paraId="49858A62">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3</w:t>
      </w:r>
      <w:r>
        <w:rPr>
          <w:rFonts w:hint="eastAsia" w:ascii="宋体" w:hAnsi="宋体"/>
          <w:color w:val="auto"/>
        </w:rPr>
        <w:t>资格审查部分</w:t>
      </w:r>
    </w:p>
    <w:p w14:paraId="2816921C">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519ED25B">
      <w:pPr>
        <w:spacing w:line="360" w:lineRule="auto"/>
        <w:ind w:firstLine="420" w:firstLineChars="200"/>
        <w:rPr>
          <w:rFonts w:ascii="宋体" w:hAnsi="宋体"/>
          <w:color w:val="auto"/>
        </w:rPr>
      </w:pPr>
      <w:r>
        <w:rPr>
          <w:rFonts w:hint="eastAsia" w:ascii="宋体" w:hAnsi="宋体"/>
          <w:color w:val="auto"/>
        </w:rPr>
        <w:t>（2）联合体协议书（如有）</w:t>
      </w:r>
    </w:p>
    <w:p w14:paraId="42266D8A">
      <w:pPr>
        <w:spacing w:line="360" w:lineRule="auto"/>
        <w:ind w:firstLine="420" w:firstLineChars="200"/>
        <w:rPr>
          <w:rFonts w:ascii="宋体" w:hAnsi="宋体"/>
          <w:color w:val="auto"/>
        </w:rPr>
      </w:pPr>
      <w:r>
        <w:rPr>
          <w:rFonts w:hint="eastAsia" w:ascii="宋体" w:hAnsi="宋体"/>
          <w:color w:val="auto"/>
        </w:rPr>
        <w:t>（3）投标人基本情况表</w:t>
      </w:r>
    </w:p>
    <w:p w14:paraId="1832BB76">
      <w:pPr>
        <w:spacing w:line="360" w:lineRule="auto"/>
        <w:ind w:firstLine="420" w:firstLineChars="200"/>
        <w:rPr>
          <w:rFonts w:ascii="宋体" w:hAnsi="宋体"/>
          <w:color w:val="auto"/>
        </w:rPr>
      </w:pPr>
      <w:r>
        <w:rPr>
          <w:rFonts w:hint="eastAsia" w:ascii="宋体" w:hAnsi="宋体"/>
          <w:color w:val="auto"/>
        </w:rPr>
        <w:t>（4）项目管理机构</w:t>
      </w:r>
    </w:p>
    <w:p w14:paraId="51C1743F">
      <w:pPr>
        <w:spacing w:line="360" w:lineRule="auto"/>
        <w:ind w:firstLine="420" w:firstLineChars="200"/>
        <w:rPr>
          <w:rFonts w:ascii="宋体" w:hAnsi="宋体"/>
          <w:color w:val="auto"/>
        </w:rPr>
      </w:pPr>
      <w:r>
        <w:rPr>
          <w:rFonts w:hint="eastAsia" w:ascii="宋体" w:hAnsi="宋体"/>
          <w:color w:val="auto"/>
        </w:rPr>
        <w:t>（5）近年财务状况表（如有）</w:t>
      </w:r>
    </w:p>
    <w:p w14:paraId="6A0C8659">
      <w:pPr>
        <w:spacing w:line="360" w:lineRule="auto"/>
        <w:ind w:firstLine="420" w:firstLineChars="200"/>
        <w:rPr>
          <w:rFonts w:ascii="宋体" w:hAnsi="宋体"/>
          <w:color w:val="auto"/>
        </w:rPr>
      </w:pPr>
      <w:r>
        <w:rPr>
          <w:rFonts w:hint="eastAsia" w:ascii="宋体" w:hAnsi="宋体"/>
          <w:color w:val="auto"/>
        </w:rPr>
        <w:t>（6）类似项目情况表（如有）</w:t>
      </w:r>
    </w:p>
    <w:p w14:paraId="030F0D24">
      <w:pPr>
        <w:spacing w:line="360" w:lineRule="auto"/>
        <w:ind w:firstLine="420" w:firstLineChars="200"/>
        <w:rPr>
          <w:rFonts w:ascii="宋体" w:hAnsi="宋体"/>
          <w:color w:val="auto"/>
        </w:rPr>
      </w:pPr>
      <w:r>
        <w:rPr>
          <w:rFonts w:hint="eastAsia" w:ascii="宋体" w:hAnsi="宋体"/>
          <w:color w:val="auto"/>
        </w:rPr>
        <w:t>（7）承诺</w:t>
      </w:r>
    </w:p>
    <w:p w14:paraId="016A71A2">
      <w:pPr>
        <w:spacing w:line="360" w:lineRule="auto"/>
        <w:ind w:firstLine="420" w:firstLineChars="200"/>
        <w:rPr>
          <w:rFonts w:ascii="宋体" w:hAnsi="宋体"/>
          <w:color w:val="auto"/>
        </w:rPr>
      </w:pPr>
      <w:r>
        <w:rPr>
          <w:rFonts w:hint="eastAsia" w:ascii="宋体" w:hAnsi="宋体"/>
          <w:color w:val="auto"/>
        </w:rPr>
        <w:t>（8）其他资料</w:t>
      </w:r>
    </w:p>
    <w:p w14:paraId="5C7AA85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11404981">
      <w:pPr>
        <w:pStyle w:val="5"/>
        <w:snapToGrid w:val="0"/>
        <w:spacing w:before="0" w:after="0" w:line="360" w:lineRule="auto"/>
        <w:rPr>
          <w:rFonts w:ascii="宋体" w:hAnsi="宋体"/>
          <w:b w:val="0"/>
          <w:snapToGrid w:val="0"/>
          <w:color w:val="auto"/>
          <w:sz w:val="24"/>
          <w:szCs w:val="24"/>
        </w:rPr>
      </w:pPr>
      <w:bookmarkStart w:id="274" w:name="_Toc224103337"/>
      <w:bookmarkStart w:id="275" w:name="_Toc29217"/>
      <w:bookmarkStart w:id="276" w:name="_Toc287607766"/>
      <w:bookmarkStart w:id="277" w:name="_Toc277082572"/>
      <w:bookmarkStart w:id="278" w:name="_Toc430530455"/>
      <w:bookmarkStart w:id="279" w:name="_Toc11028"/>
      <w:bookmarkStart w:id="280" w:name="_Toc509218730"/>
      <w:bookmarkStart w:id="281" w:name="_Toc287620705"/>
      <w:bookmarkStart w:id="282" w:name="_Toc200513146"/>
      <w:r>
        <w:rPr>
          <w:rFonts w:ascii="宋体" w:hAnsi="宋体"/>
          <w:b w:val="0"/>
          <w:snapToGrid w:val="0"/>
          <w:color w:val="auto"/>
          <w:sz w:val="24"/>
          <w:szCs w:val="24"/>
        </w:rPr>
        <w:t>3.2  投标报价</w:t>
      </w:r>
      <w:bookmarkEnd w:id="274"/>
      <w:bookmarkEnd w:id="275"/>
      <w:bookmarkEnd w:id="276"/>
      <w:bookmarkEnd w:id="277"/>
      <w:bookmarkEnd w:id="278"/>
      <w:bookmarkEnd w:id="279"/>
      <w:bookmarkEnd w:id="280"/>
      <w:bookmarkEnd w:id="281"/>
      <w:bookmarkEnd w:id="282"/>
    </w:p>
    <w:p w14:paraId="75C3F6F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3.2.1  投标人应按第五章“工程量清单”的要求填写相应表格。</w:t>
      </w:r>
    </w:p>
    <w:p w14:paraId="61BFC73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w:t>
      </w:r>
      <w:r>
        <w:rPr>
          <w:rFonts w:ascii="宋体" w:hAnsi="宋体"/>
          <w:snapToGrid w:val="0"/>
          <w:color w:val="auto"/>
          <w:kern w:val="0"/>
          <w:szCs w:val="21"/>
        </w:rPr>
        <w:t>投标人在投标截止时间前修改投标函中的投标总报价，应同时修改第五章“工程量清单”中的相应报价。此修改须符合本章第 4.3 款的有关要求。</w:t>
      </w:r>
    </w:p>
    <w:p w14:paraId="6110942C">
      <w:pPr>
        <w:pStyle w:val="5"/>
        <w:snapToGrid w:val="0"/>
        <w:spacing w:before="0" w:after="0" w:line="360" w:lineRule="auto"/>
        <w:rPr>
          <w:rFonts w:ascii="宋体" w:hAnsi="宋体"/>
          <w:b w:val="0"/>
          <w:snapToGrid w:val="0"/>
          <w:color w:val="auto"/>
          <w:sz w:val="24"/>
          <w:szCs w:val="24"/>
        </w:rPr>
      </w:pPr>
      <w:bookmarkStart w:id="283" w:name="_Toc13048"/>
      <w:bookmarkStart w:id="284" w:name="_Toc277082573"/>
      <w:bookmarkStart w:id="285" w:name="_Toc509218731"/>
      <w:bookmarkStart w:id="286" w:name="_Toc430530456"/>
      <w:bookmarkStart w:id="287" w:name="_Toc200513147"/>
      <w:bookmarkStart w:id="288" w:name="_Toc287607767"/>
      <w:bookmarkStart w:id="289" w:name="_Toc287620706"/>
      <w:bookmarkStart w:id="290" w:name="_Toc224103338"/>
      <w:bookmarkStart w:id="291" w:name="_Toc4304"/>
      <w:r>
        <w:rPr>
          <w:rFonts w:ascii="宋体" w:hAnsi="宋体"/>
          <w:b w:val="0"/>
          <w:snapToGrid w:val="0"/>
          <w:color w:val="auto"/>
          <w:sz w:val="24"/>
          <w:szCs w:val="24"/>
        </w:rPr>
        <w:t>3.3  投标有效期</w:t>
      </w:r>
      <w:bookmarkEnd w:id="283"/>
      <w:bookmarkEnd w:id="284"/>
      <w:bookmarkEnd w:id="285"/>
      <w:bookmarkEnd w:id="286"/>
      <w:bookmarkEnd w:id="287"/>
      <w:bookmarkEnd w:id="288"/>
      <w:bookmarkEnd w:id="289"/>
      <w:bookmarkEnd w:id="290"/>
      <w:bookmarkEnd w:id="291"/>
    </w:p>
    <w:p w14:paraId="6C41BC7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1C0BD0E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3.3.2  出现特殊情况需要延长投标有效期的，</w:t>
      </w:r>
      <w:r>
        <w:rPr>
          <w:rFonts w:hint="eastAsia" w:ascii="宋体" w:hAnsi="宋体"/>
          <w:snapToGrid w:val="0"/>
          <w:color w:val="auto"/>
          <w:kern w:val="0"/>
          <w:szCs w:val="21"/>
          <w:lang w:eastAsia="zh-CN"/>
        </w:rPr>
        <w:t>比选人</w:t>
      </w:r>
      <w:r>
        <w:rPr>
          <w:rFonts w:ascii="宋体" w:hAnsi="宋体"/>
          <w:snapToGrid w:val="0"/>
          <w:color w:val="auto"/>
          <w:kern w:val="0"/>
          <w:szCs w:val="21"/>
        </w:rPr>
        <w:t>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1E1CD84F">
      <w:pPr>
        <w:autoSpaceDE w:val="0"/>
        <w:autoSpaceDN w:val="0"/>
        <w:adjustRightInd w:val="0"/>
        <w:snapToGrid w:val="0"/>
        <w:spacing w:line="360" w:lineRule="auto"/>
        <w:ind w:firstLine="42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w:t>
      </w:r>
      <w:r>
        <w:rPr>
          <w:rFonts w:hint="eastAsia" w:ascii="宋体" w:hAnsi="宋体" w:cs="MingLiU"/>
          <w:snapToGrid w:val="0"/>
          <w:color w:val="auto"/>
          <w:kern w:val="0"/>
          <w:szCs w:val="21"/>
          <w:lang w:eastAsia="zh-CN"/>
        </w:rPr>
        <w:t>比选人</w:t>
      </w:r>
      <w:r>
        <w:rPr>
          <w:rFonts w:hint="eastAsia" w:ascii="宋体" w:hAnsi="宋体" w:cs="MingLiU"/>
          <w:snapToGrid w:val="0"/>
          <w:color w:val="auto"/>
          <w:kern w:val="0"/>
          <w:szCs w:val="21"/>
        </w:rPr>
        <w:t>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116FB17">
      <w:pPr>
        <w:pStyle w:val="5"/>
        <w:keepNext w:val="0"/>
        <w:keepLines w:val="0"/>
        <w:snapToGrid w:val="0"/>
        <w:spacing w:before="0" w:after="0" w:line="360" w:lineRule="auto"/>
        <w:rPr>
          <w:rFonts w:ascii="宋体" w:hAnsi="宋体"/>
          <w:b w:val="0"/>
          <w:snapToGrid w:val="0"/>
          <w:color w:val="auto"/>
          <w:sz w:val="24"/>
          <w:szCs w:val="24"/>
        </w:rPr>
      </w:pPr>
      <w:bookmarkStart w:id="292" w:name="_Toc430530457"/>
      <w:bookmarkStart w:id="293" w:name="_Toc287620707"/>
      <w:bookmarkStart w:id="294" w:name="_Toc200513148"/>
      <w:bookmarkStart w:id="295" w:name="_Toc509218732"/>
      <w:bookmarkStart w:id="296" w:name="_Toc277082574"/>
      <w:bookmarkStart w:id="297" w:name="_Toc224103339"/>
      <w:bookmarkStart w:id="298" w:name="_Toc287607768"/>
      <w:bookmarkStart w:id="299" w:name="_Toc1366"/>
      <w:bookmarkStart w:id="300" w:name="_Toc16240"/>
      <w:r>
        <w:rPr>
          <w:rFonts w:ascii="宋体" w:hAnsi="宋体"/>
          <w:b w:val="0"/>
          <w:snapToGrid w:val="0"/>
          <w:color w:val="auto"/>
          <w:sz w:val="24"/>
          <w:szCs w:val="24"/>
        </w:rPr>
        <w:t xml:space="preserve">3.4  </w:t>
      </w:r>
      <w:bookmarkEnd w:id="292"/>
      <w:bookmarkEnd w:id="293"/>
      <w:bookmarkEnd w:id="294"/>
      <w:bookmarkEnd w:id="295"/>
      <w:bookmarkEnd w:id="296"/>
      <w:bookmarkEnd w:id="297"/>
      <w:bookmarkEnd w:id="298"/>
      <w:r>
        <w:rPr>
          <w:rFonts w:ascii="宋体" w:hAnsi="宋体"/>
          <w:b w:val="0"/>
          <w:snapToGrid w:val="0"/>
          <w:color w:val="auto"/>
          <w:sz w:val="24"/>
          <w:szCs w:val="24"/>
        </w:rPr>
        <w:t>投标</w:t>
      </w:r>
      <w:bookmarkEnd w:id="299"/>
      <w:r>
        <w:rPr>
          <w:rFonts w:hint="eastAsia" w:ascii="宋体" w:hAnsi="宋体"/>
          <w:b w:val="0"/>
          <w:snapToGrid w:val="0"/>
          <w:color w:val="auto"/>
          <w:sz w:val="24"/>
          <w:szCs w:val="24"/>
        </w:rPr>
        <w:t>保证金</w:t>
      </w:r>
      <w:bookmarkEnd w:id="300"/>
    </w:p>
    <w:p w14:paraId="6EE5321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3117B24B">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1183FE57">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w:t>
      </w:r>
      <w:r>
        <w:rPr>
          <w:rFonts w:ascii="宋体" w:hAnsi="宋体"/>
          <w:snapToGrid w:val="0"/>
          <w:color w:val="auto"/>
          <w:kern w:val="0"/>
          <w:position w:val="-2"/>
          <w:szCs w:val="21"/>
        </w:rPr>
        <w:t>保证金（投标保函）</w:t>
      </w:r>
      <w:r>
        <w:rPr>
          <w:rFonts w:ascii="宋体" w:hAnsi="宋体"/>
          <w:snapToGrid w:val="0"/>
          <w:color w:val="auto"/>
          <w:kern w:val="0"/>
          <w:szCs w:val="21"/>
        </w:rPr>
        <w:t>退还：见投标人须知前附表</w:t>
      </w:r>
      <w:r>
        <w:rPr>
          <w:rFonts w:ascii="宋体" w:hAnsi="宋体"/>
          <w:snapToGrid w:val="0"/>
          <w:color w:val="auto"/>
          <w:kern w:val="0"/>
          <w:position w:val="-2"/>
          <w:szCs w:val="21"/>
        </w:rPr>
        <w:t>。</w:t>
      </w:r>
    </w:p>
    <w:p w14:paraId="04F72D1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711BA23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1E5F050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w:t>
      </w:r>
      <w:r>
        <w:rPr>
          <w:rFonts w:hint="eastAsia" w:ascii="宋体" w:hAnsi="宋体"/>
          <w:color w:val="auto"/>
          <w:kern w:val="0"/>
          <w:szCs w:val="21"/>
          <w:lang w:eastAsia="zh-CN"/>
        </w:rPr>
        <w:t>比选人</w:t>
      </w:r>
      <w:r>
        <w:rPr>
          <w:rFonts w:hint="eastAsia" w:ascii="宋体" w:hAnsi="宋体"/>
          <w:color w:val="auto"/>
          <w:kern w:val="0"/>
          <w:szCs w:val="21"/>
        </w:rPr>
        <w:t>订立合同，在签订合同时向</w:t>
      </w:r>
      <w:r>
        <w:rPr>
          <w:rFonts w:hint="eastAsia" w:ascii="宋体" w:hAnsi="宋体"/>
          <w:color w:val="auto"/>
          <w:kern w:val="0"/>
          <w:szCs w:val="21"/>
          <w:lang w:eastAsia="zh-CN"/>
        </w:rPr>
        <w:t>比选人</w:t>
      </w:r>
      <w:r>
        <w:rPr>
          <w:rFonts w:hint="eastAsia" w:ascii="宋体" w:hAnsi="宋体"/>
          <w:color w:val="auto"/>
          <w:kern w:val="0"/>
          <w:szCs w:val="21"/>
        </w:rPr>
        <w:t>提出附加条件，或者不按照</w:t>
      </w:r>
      <w:r>
        <w:rPr>
          <w:rFonts w:hint="eastAsia" w:ascii="宋体" w:hAnsi="宋体"/>
          <w:color w:val="auto"/>
          <w:kern w:val="0"/>
          <w:szCs w:val="21"/>
          <w:lang w:eastAsia="zh-CN"/>
        </w:rPr>
        <w:t>比选文件</w:t>
      </w:r>
      <w:r>
        <w:rPr>
          <w:rFonts w:hint="eastAsia" w:ascii="宋体" w:hAnsi="宋体"/>
          <w:color w:val="auto"/>
          <w:kern w:val="0"/>
          <w:szCs w:val="21"/>
        </w:rPr>
        <w:t>要求提交履约保证金</w:t>
      </w:r>
      <w:r>
        <w:rPr>
          <w:rFonts w:ascii="宋体" w:hAnsi="宋体"/>
          <w:snapToGrid w:val="0"/>
          <w:color w:val="auto"/>
          <w:kern w:val="0"/>
          <w:szCs w:val="21"/>
        </w:rPr>
        <w:t>；</w:t>
      </w:r>
    </w:p>
    <w:p w14:paraId="655311D8">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lang w:eastAsia="zh-CN"/>
        </w:rPr>
        <w:t>）</w:t>
      </w:r>
      <w:r>
        <w:rPr>
          <w:rFonts w:hint="eastAsia" w:ascii="宋体" w:hAnsi="宋体"/>
          <w:color w:val="auto"/>
          <w:kern w:val="0"/>
          <w:szCs w:val="21"/>
        </w:rPr>
        <w:t>中标人</w:t>
      </w:r>
      <w:r>
        <w:rPr>
          <w:rFonts w:hint="eastAsia" w:ascii="宋体" w:hAnsi="宋体"/>
          <w:color w:val="auto"/>
          <w:kern w:val="0"/>
          <w:szCs w:val="21"/>
          <w:lang w:eastAsia="zh-CN"/>
        </w:rPr>
        <w:t>（或拟中标人）</w:t>
      </w:r>
      <w:r>
        <w:rPr>
          <w:rFonts w:hint="eastAsia" w:ascii="宋体" w:hAnsi="宋体"/>
          <w:color w:val="auto"/>
          <w:kern w:val="0"/>
          <w:szCs w:val="21"/>
        </w:rPr>
        <w:t>拒不提供或者不按时提供低价风险担保（适用于经评审的最低投标价法）</w:t>
      </w:r>
      <w:r>
        <w:rPr>
          <w:rFonts w:hint="eastAsia" w:ascii="宋体" w:hAnsi="宋体"/>
          <w:color w:val="auto"/>
          <w:kern w:val="0"/>
          <w:szCs w:val="21"/>
          <w:lang w:eastAsia="zh-CN"/>
        </w:rPr>
        <w:t>；</w:t>
      </w:r>
    </w:p>
    <w:p w14:paraId="5BA10B2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5B446EB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）法律法规规定的其他情形。</w:t>
      </w:r>
    </w:p>
    <w:p w14:paraId="05469B20">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16059B15">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w:t>
      </w:r>
      <w:r>
        <w:rPr>
          <w:rFonts w:hint="eastAsia" w:ascii="宋体" w:hAnsi="宋体"/>
          <w:color w:val="auto"/>
          <w:kern w:val="0"/>
          <w:lang w:eastAsia="zh-CN"/>
        </w:rPr>
        <w:t>比选人</w:t>
      </w:r>
      <w:r>
        <w:rPr>
          <w:rFonts w:hint="eastAsia" w:ascii="宋体" w:hAnsi="宋体"/>
          <w:color w:val="auto"/>
          <w:kern w:val="0"/>
        </w:rPr>
        <w:t>。</w:t>
      </w:r>
    </w:p>
    <w:p w14:paraId="2367AD26">
      <w:pPr>
        <w:pStyle w:val="5"/>
        <w:keepNext w:val="0"/>
        <w:keepLines w:val="0"/>
        <w:snapToGrid w:val="0"/>
        <w:spacing w:before="0" w:after="0" w:line="360" w:lineRule="auto"/>
        <w:rPr>
          <w:rFonts w:ascii="宋体" w:hAnsi="宋体"/>
          <w:b w:val="0"/>
          <w:snapToGrid w:val="0"/>
          <w:color w:val="auto"/>
          <w:sz w:val="24"/>
          <w:szCs w:val="24"/>
        </w:rPr>
      </w:pPr>
      <w:bookmarkStart w:id="301" w:name="_Toc224103341"/>
      <w:bookmarkStart w:id="302" w:name="_Toc16830"/>
      <w:bookmarkStart w:id="303" w:name="_Toc277082576"/>
      <w:bookmarkStart w:id="304" w:name="_Toc16639"/>
      <w:bookmarkStart w:id="305" w:name="_Toc287620709"/>
      <w:bookmarkStart w:id="306" w:name="_Toc287607770"/>
      <w:bookmarkStart w:id="307" w:name="_Toc200513150"/>
      <w:bookmarkStart w:id="308" w:name="_Toc509218734"/>
      <w:bookmarkStart w:id="309" w:name="_Toc430530459"/>
      <w:r>
        <w:rPr>
          <w:rFonts w:ascii="宋体" w:hAnsi="宋体"/>
          <w:b w:val="0"/>
          <w:snapToGrid w:val="0"/>
          <w:color w:val="auto"/>
          <w:sz w:val="24"/>
          <w:szCs w:val="24"/>
        </w:rPr>
        <w:t>3.5  资格审查资料</w:t>
      </w:r>
      <w:bookmarkEnd w:id="301"/>
      <w:bookmarkEnd w:id="302"/>
      <w:bookmarkEnd w:id="303"/>
      <w:bookmarkEnd w:id="304"/>
      <w:bookmarkEnd w:id="305"/>
      <w:bookmarkEnd w:id="306"/>
      <w:bookmarkEnd w:id="307"/>
      <w:bookmarkEnd w:id="308"/>
      <w:bookmarkEnd w:id="309"/>
    </w:p>
    <w:p w14:paraId="0492F806">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26294EAB">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0247ED9D">
      <w:pPr>
        <w:pStyle w:val="5"/>
        <w:snapToGrid w:val="0"/>
        <w:spacing w:before="0" w:after="0" w:line="360" w:lineRule="auto"/>
        <w:rPr>
          <w:rFonts w:ascii="宋体" w:hAnsi="宋体"/>
          <w:b w:val="0"/>
          <w:snapToGrid w:val="0"/>
          <w:color w:val="auto"/>
          <w:sz w:val="24"/>
          <w:szCs w:val="24"/>
        </w:rPr>
      </w:pPr>
      <w:bookmarkStart w:id="310" w:name="_Toc287620710"/>
      <w:bookmarkStart w:id="311" w:name="_Toc287607771"/>
      <w:bookmarkStart w:id="312" w:name="_Toc224103342"/>
      <w:bookmarkStart w:id="313" w:name="_Toc430530460"/>
      <w:bookmarkStart w:id="314" w:name="_Toc200513151"/>
      <w:bookmarkStart w:id="315" w:name="_Toc17822"/>
      <w:bookmarkStart w:id="316" w:name="_Toc509218735"/>
      <w:bookmarkStart w:id="317" w:name="_Toc277082577"/>
      <w:bookmarkStart w:id="318" w:name="_Toc24446"/>
      <w:r>
        <w:rPr>
          <w:rFonts w:ascii="宋体" w:hAnsi="宋体"/>
          <w:b w:val="0"/>
          <w:snapToGrid w:val="0"/>
          <w:color w:val="auto"/>
          <w:sz w:val="24"/>
          <w:szCs w:val="24"/>
        </w:rPr>
        <w:t>3.6  备选投标方案</w:t>
      </w:r>
      <w:bookmarkEnd w:id="310"/>
      <w:bookmarkEnd w:id="311"/>
      <w:bookmarkEnd w:id="312"/>
      <w:bookmarkEnd w:id="313"/>
      <w:bookmarkEnd w:id="314"/>
      <w:bookmarkEnd w:id="315"/>
      <w:bookmarkEnd w:id="316"/>
      <w:bookmarkEnd w:id="317"/>
      <w:bookmarkEnd w:id="318"/>
    </w:p>
    <w:p w14:paraId="5BE0E28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lang w:eastAsia="zh-CN"/>
        </w:rPr>
        <w:t>比选文件</w:t>
      </w:r>
      <w:r>
        <w:rPr>
          <w:rFonts w:ascii="宋体" w:hAnsi="宋体"/>
          <w:snapToGrid w:val="0"/>
          <w:color w:val="auto"/>
          <w:kern w:val="0"/>
          <w:szCs w:val="21"/>
        </w:rPr>
        <w:t>要求编制的投标方案的，</w:t>
      </w:r>
      <w:r>
        <w:rPr>
          <w:rFonts w:hint="eastAsia" w:ascii="宋体" w:hAnsi="宋体"/>
          <w:snapToGrid w:val="0"/>
          <w:color w:val="auto"/>
          <w:kern w:val="0"/>
          <w:szCs w:val="21"/>
          <w:lang w:eastAsia="zh-CN"/>
        </w:rPr>
        <w:t>比选人</w:t>
      </w:r>
      <w:r>
        <w:rPr>
          <w:rFonts w:ascii="宋体" w:hAnsi="宋体"/>
          <w:snapToGrid w:val="0"/>
          <w:color w:val="auto"/>
          <w:kern w:val="0"/>
          <w:szCs w:val="21"/>
        </w:rPr>
        <w:t>可以接受该备选投标方案。</w:t>
      </w:r>
    </w:p>
    <w:p w14:paraId="16E70A24">
      <w:pPr>
        <w:pStyle w:val="5"/>
        <w:snapToGrid w:val="0"/>
        <w:spacing w:before="0" w:after="0" w:line="360" w:lineRule="auto"/>
        <w:rPr>
          <w:rFonts w:ascii="宋体" w:hAnsi="宋体"/>
          <w:b w:val="0"/>
          <w:snapToGrid w:val="0"/>
          <w:color w:val="auto"/>
          <w:sz w:val="24"/>
          <w:szCs w:val="24"/>
        </w:rPr>
      </w:pPr>
      <w:bookmarkStart w:id="319" w:name="_Toc200513152"/>
      <w:bookmarkStart w:id="320" w:name="_Toc224103343"/>
      <w:bookmarkStart w:id="321" w:name="_Toc287620711"/>
      <w:bookmarkStart w:id="322" w:name="_Toc277082578"/>
      <w:bookmarkStart w:id="323" w:name="_Toc21460"/>
      <w:bookmarkStart w:id="324" w:name="_Toc16951"/>
      <w:bookmarkStart w:id="325" w:name="_Toc430530461"/>
      <w:bookmarkStart w:id="326" w:name="_Toc287607772"/>
      <w:bookmarkStart w:id="327" w:name="_Toc509218736"/>
      <w:r>
        <w:rPr>
          <w:rFonts w:ascii="宋体" w:hAnsi="宋体"/>
          <w:b w:val="0"/>
          <w:snapToGrid w:val="0"/>
          <w:color w:val="auto"/>
          <w:sz w:val="24"/>
          <w:szCs w:val="24"/>
        </w:rPr>
        <w:t>3.7  投标文件的编制</w:t>
      </w:r>
      <w:bookmarkEnd w:id="319"/>
      <w:bookmarkEnd w:id="320"/>
      <w:bookmarkEnd w:id="321"/>
      <w:bookmarkEnd w:id="322"/>
      <w:bookmarkEnd w:id="323"/>
      <w:bookmarkEnd w:id="324"/>
      <w:bookmarkEnd w:id="325"/>
      <w:bookmarkEnd w:id="326"/>
      <w:bookmarkEnd w:id="327"/>
    </w:p>
    <w:p w14:paraId="331CECC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lang w:eastAsia="zh-CN"/>
        </w:rPr>
        <w:t>比选文件</w:t>
      </w:r>
      <w:r>
        <w:rPr>
          <w:rFonts w:ascii="宋体" w:hAnsi="宋体"/>
          <w:snapToGrid w:val="0"/>
          <w:color w:val="auto"/>
          <w:kern w:val="0"/>
          <w:szCs w:val="21"/>
        </w:rPr>
        <w:t>实质性要求的基础上，可以提出比</w:t>
      </w:r>
      <w:r>
        <w:rPr>
          <w:rFonts w:hint="eastAsia" w:ascii="宋体" w:hAnsi="宋体"/>
          <w:snapToGrid w:val="0"/>
          <w:color w:val="auto"/>
          <w:kern w:val="0"/>
          <w:szCs w:val="21"/>
          <w:lang w:eastAsia="zh-CN"/>
        </w:rPr>
        <w:t>比选文件</w:t>
      </w:r>
      <w:r>
        <w:rPr>
          <w:rFonts w:ascii="宋体" w:hAnsi="宋体"/>
          <w:snapToGrid w:val="0"/>
          <w:color w:val="auto"/>
          <w:kern w:val="0"/>
          <w:szCs w:val="21"/>
        </w:rPr>
        <w:t>要求更有利于</w:t>
      </w:r>
      <w:r>
        <w:rPr>
          <w:rFonts w:hint="eastAsia" w:ascii="宋体" w:hAnsi="宋体"/>
          <w:snapToGrid w:val="0"/>
          <w:color w:val="auto"/>
          <w:kern w:val="0"/>
          <w:szCs w:val="21"/>
          <w:lang w:eastAsia="zh-CN"/>
        </w:rPr>
        <w:t>比选人</w:t>
      </w:r>
      <w:r>
        <w:rPr>
          <w:rFonts w:ascii="宋体" w:hAnsi="宋体"/>
          <w:snapToGrid w:val="0"/>
          <w:color w:val="auto"/>
          <w:kern w:val="0"/>
          <w:szCs w:val="21"/>
        </w:rPr>
        <w:t>的承诺。</w:t>
      </w:r>
    </w:p>
    <w:p w14:paraId="47DCDB6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w:t>
      </w:r>
      <w:r>
        <w:rPr>
          <w:rFonts w:hint="eastAsia" w:ascii="宋体" w:hAnsi="宋体"/>
          <w:snapToGrid w:val="0"/>
          <w:color w:val="auto"/>
          <w:kern w:val="0"/>
          <w:szCs w:val="21"/>
          <w:lang w:eastAsia="zh-CN"/>
        </w:rPr>
        <w:t>比选文件</w:t>
      </w:r>
      <w:r>
        <w:rPr>
          <w:rFonts w:ascii="宋体" w:hAnsi="宋体"/>
          <w:snapToGrid w:val="0"/>
          <w:color w:val="auto"/>
          <w:kern w:val="0"/>
          <w:szCs w:val="21"/>
        </w:rPr>
        <w:t>有关工期、投标有效期、质量要求、技术标准和要求、</w:t>
      </w:r>
      <w:r>
        <w:rPr>
          <w:rFonts w:hint="eastAsia" w:ascii="宋体" w:hAnsi="宋体"/>
          <w:snapToGrid w:val="0"/>
          <w:color w:val="auto"/>
          <w:kern w:val="0"/>
          <w:szCs w:val="21"/>
          <w:lang w:eastAsia="zh-CN"/>
        </w:rPr>
        <w:t>比选</w:t>
      </w:r>
      <w:r>
        <w:rPr>
          <w:rFonts w:ascii="宋体" w:hAnsi="宋体"/>
          <w:snapToGrid w:val="0"/>
          <w:color w:val="auto"/>
          <w:kern w:val="0"/>
          <w:szCs w:val="21"/>
        </w:rPr>
        <w:t>范围等实质性内容做出响应。</w:t>
      </w:r>
    </w:p>
    <w:p w14:paraId="426576C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54891643">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w:t>
      </w:r>
      <w:r>
        <w:rPr>
          <w:rFonts w:hint="eastAsia" w:ascii="宋体" w:hAnsi="宋体"/>
          <w:snapToGrid w:val="0"/>
          <w:color w:val="auto"/>
          <w:kern w:val="0"/>
          <w:szCs w:val="21"/>
        </w:rPr>
        <w:t>技术方案</w:t>
      </w:r>
      <w:r>
        <w:rPr>
          <w:rFonts w:ascii="宋体" w:hAnsi="宋体"/>
          <w:snapToGrid w:val="0"/>
          <w:color w:val="auto"/>
          <w:kern w:val="0"/>
          <w:szCs w:val="21"/>
        </w:rPr>
        <w:t>》不分正副本。正本和副本的封面上应清楚地标记“正本”或“副本”的字样，正本和副本封面均须加盖单位法人章。当副本和正本不一致时，以正本为准。</w:t>
      </w:r>
    </w:p>
    <w:p w14:paraId="08B90439">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64B2A7B0">
      <w:pPr>
        <w:pStyle w:val="4"/>
        <w:keepNext w:val="0"/>
        <w:keepLines w:val="0"/>
        <w:spacing w:before="0" w:after="0" w:line="360" w:lineRule="auto"/>
        <w:rPr>
          <w:rFonts w:ascii="宋体" w:hAnsi="宋体"/>
          <w:b w:val="0"/>
          <w:snapToGrid w:val="0"/>
          <w:color w:val="auto"/>
        </w:rPr>
      </w:pPr>
      <w:bookmarkStart w:id="328" w:name="_Toc287620712"/>
      <w:bookmarkStart w:id="329" w:name="_Toc27937"/>
      <w:bookmarkStart w:id="330" w:name="_Toc9499"/>
      <w:bookmarkStart w:id="331" w:name="_Toc509218737"/>
      <w:bookmarkStart w:id="332" w:name="_Toc200513153"/>
      <w:bookmarkStart w:id="333" w:name="_Toc224103344"/>
      <w:bookmarkStart w:id="334" w:name="_Toc277082579"/>
      <w:bookmarkStart w:id="335" w:name="_Toc430530462"/>
      <w:bookmarkStart w:id="336" w:name="_Toc287607773"/>
      <w:r>
        <w:rPr>
          <w:rFonts w:ascii="宋体" w:hAnsi="宋体"/>
          <w:b w:val="0"/>
          <w:snapToGrid w:val="0"/>
          <w:color w:val="auto"/>
        </w:rPr>
        <w:t>4.  投标</w:t>
      </w:r>
      <w:bookmarkEnd w:id="328"/>
      <w:bookmarkEnd w:id="329"/>
      <w:bookmarkEnd w:id="330"/>
      <w:bookmarkEnd w:id="331"/>
      <w:bookmarkEnd w:id="332"/>
      <w:bookmarkEnd w:id="333"/>
      <w:bookmarkEnd w:id="334"/>
      <w:bookmarkEnd w:id="335"/>
      <w:bookmarkEnd w:id="336"/>
    </w:p>
    <w:p w14:paraId="7D9EAEF9">
      <w:pPr>
        <w:pStyle w:val="5"/>
        <w:keepNext w:val="0"/>
        <w:keepLines w:val="0"/>
        <w:snapToGrid w:val="0"/>
        <w:spacing w:before="0" w:after="0" w:line="360" w:lineRule="auto"/>
        <w:rPr>
          <w:rFonts w:ascii="宋体" w:hAnsi="宋体"/>
          <w:b w:val="0"/>
          <w:snapToGrid w:val="0"/>
          <w:color w:val="auto"/>
          <w:sz w:val="24"/>
          <w:szCs w:val="24"/>
        </w:rPr>
      </w:pPr>
      <w:bookmarkStart w:id="337" w:name="_Toc287620713"/>
      <w:bookmarkStart w:id="338" w:name="_Toc200513154"/>
      <w:bookmarkStart w:id="339" w:name="_Toc509218738"/>
      <w:bookmarkStart w:id="340" w:name="_Toc430530463"/>
      <w:bookmarkStart w:id="341" w:name="_Toc277082580"/>
      <w:bookmarkStart w:id="342" w:name="_Toc287607774"/>
      <w:bookmarkStart w:id="343" w:name="_Toc224103345"/>
      <w:bookmarkStart w:id="344" w:name="_Toc18995"/>
      <w:bookmarkStart w:id="345" w:name="_Toc24860"/>
      <w:r>
        <w:rPr>
          <w:rFonts w:ascii="宋体" w:hAnsi="宋体"/>
          <w:b w:val="0"/>
          <w:snapToGrid w:val="0"/>
          <w:color w:val="auto"/>
          <w:sz w:val="24"/>
          <w:szCs w:val="24"/>
        </w:rPr>
        <w:t>4.1  投标文件的密封和标记</w:t>
      </w:r>
      <w:bookmarkEnd w:id="337"/>
      <w:bookmarkEnd w:id="338"/>
      <w:bookmarkEnd w:id="339"/>
      <w:bookmarkEnd w:id="340"/>
      <w:bookmarkEnd w:id="341"/>
      <w:bookmarkEnd w:id="342"/>
      <w:bookmarkEnd w:id="343"/>
      <w:bookmarkEnd w:id="344"/>
      <w:bookmarkEnd w:id="345"/>
    </w:p>
    <w:p w14:paraId="2323B964">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46"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E0D22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88C4B99">
      <w:pPr>
        <w:pStyle w:val="5"/>
        <w:keepNext w:val="0"/>
        <w:keepLines w:val="0"/>
        <w:snapToGrid w:val="0"/>
        <w:spacing w:before="0" w:after="0" w:line="360" w:lineRule="auto"/>
        <w:rPr>
          <w:rFonts w:ascii="宋体" w:hAnsi="宋体"/>
          <w:b w:val="0"/>
          <w:snapToGrid w:val="0"/>
          <w:color w:val="auto"/>
          <w:sz w:val="24"/>
          <w:szCs w:val="24"/>
        </w:rPr>
      </w:pPr>
      <w:bookmarkStart w:id="347" w:name="_Toc287607775"/>
      <w:bookmarkStart w:id="348" w:name="_Toc25809"/>
      <w:bookmarkStart w:id="349" w:name="_Toc430530464"/>
      <w:bookmarkStart w:id="350" w:name="_Toc25204"/>
      <w:bookmarkStart w:id="351" w:name="_Toc277082581"/>
      <w:bookmarkStart w:id="352" w:name="_Toc287620714"/>
      <w:bookmarkStart w:id="353" w:name="_Toc509218739"/>
      <w:bookmarkStart w:id="354" w:name="_Toc224103346"/>
      <w:r>
        <w:rPr>
          <w:rFonts w:ascii="宋体" w:hAnsi="宋体"/>
          <w:b w:val="0"/>
          <w:snapToGrid w:val="0"/>
          <w:color w:val="auto"/>
          <w:sz w:val="24"/>
          <w:szCs w:val="24"/>
        </w:rPr>
        <w:t>4.2  投标文件的递交</w:t>
      </w:r>
      <w:bookmarkEnd w:id="346"/>
      <w:bookmarkEnd w:id="347"/>
      <w:bookmarkEnd w:id="348"/>
      <w:bookmarkEnd w:id="349"/>
      <w:bookmarkEnd w:id="350"/>
      <w:bookmarkEnd w:id="351"/>
      <w:bookmarkEnd w:id="352"/>
      <w:bookmarkEnd w:id="353"/>
      <w:bookmarkEnd w:id="354"/>
    </w:p>
    <w:p w14:paraId="0921F4F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7CDEDF3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798E65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56976BF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4.2.4  </w:t>
      </w:r>
      <w:r>
        <w:rPr>
          <w:rFonts w:hint="eastAsia" w:ascii="宋体" w:hAnsi="宋体"/>
          <w:snapToGrid w:val="0"/>
          <w:color w:val="auto"/>
          <w:kern w:val="0"/>
          <w:szCs w:val="21"/>
          <w:lang w:eastAsia="zh-CN"/>
        </w:rPr>
        <w:t>比选人</w:t>
      </w:r>
      <w:r>
        <w:rPr>
          <w:rFonts w:ascii="宋体" w:hAnsi="宋体"/>
          <w:snapToGrid w:val="0"/>
          <w:color w:val="auto"/>
          <w:kern w:val="0"/>
          <w:szCs w:val="21"/>
        </w:rPr>
        <w:t>收到投标文件后，向投标人出具签收凭证。</w:t>
      </w:r>
    </w:p>
    <w:p w14:paraId="450CF24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w:t>
      </w:r>
      <w:r>
        <w:rPr>
          <w:rFonts w:hint="eastAsia" w:ascii="宋体" w:hAnsi="宋体"/>
          <w:snapToGrid w:val="0"/>
          <w:color w:val="auto"/>
          <w:kern w:val="0"/>
          <w:szCs w:val="21"/>
          <w:lang w:eastAsia="zh-CN"/>
        </w:rPr>
        <w:t>比选人</w:t>
      </w:r>
      <w:r>
        <w:rPr>
          <w:rFonts w:ascii="宋体" w:hAnsi="宋体"/>
          <w:snapToGrid w:val="0"/>
          <w:color w:val="auto"/>
          <w:kern w:val="0"/>
          <w:szCs w:val="21"/>
        </w:rPr>
        <w:t>不予受理。</w:t>
      </w:r>
    </w:p>
    <w:p w14:paraId="4CE15BF1">
      <w:pPr>
        <w:pStyle w:val="5"/>
        <w:keepNext w:val="0"/>
        <w:keepLines w:val="0"/>
        <w:snapToGrid w:val="0"/>
        <w:spacing w:before="0" w:after="0" w:line="360" w:lineRule="auto"/>
        <w:rPr>
          <w:rFonts w:ascii="宋体" w:hAnsi="宋体"/>
          <w:b w:val="0"/>
          <w:snapToGrid w:val="0"/>
          <w:color w:val="auto"/>
          <w:sz w:val="24"/>
          <w:szCs w:val="24"/>
        </w:rPr>
      </w:pPr>
      <w:bookmarkStart w:id="355" w:name="_Toc287620715"/>
      <w:bookmarkStart w:id="356" w:name="_Toc277082582"/>
      <w:bookmarkStart w:id="357" w:name="_Toc287607776"/>
      <w:bookmarkStart w:id="358" w:name="_Toc200513156"/>
      <w:bookmarkStart w:id="359" w:name="_Toc23986"/>
      <w:bookmarkStart w:id="360" w:name="_Toc509218740"/>
      <w:bookmarkStart w:id="361" w:name="_Toc224103347"/>
      <w:bookmarkStart w:id="362" w:name="_Toc12226"/>
      <w:bookmarkStart w:id="363" w:name="_Toc430530465"/>
      <w:r>
        <w:rPr>
          <w:rFonts w:ascii="宋体" w:hAnsi="宋体"/>
          <w:b w:val="0"/>
          <w:snapToGrid w:val="0"/>
          <w:color w:val="auto"/>
          <w:sz w:val="24"/>
          <w:szCs w:val="24"/>
        </w:rPr>
        <w:t>4.3  投标文件的修改与撤回</w:t>
      </w:r>
      <w:bookmarkEnd w:id="355"/>
      <w:bookmarkEnd w:id="356"/>
      <w:bookmarkEnd w:id="357"/>
      <w:bookmarkEnd w:id="358"/>
      <w:bookmarkEnd w:id="359"/>
      <w:bookmarkEnd w:id="360"/>
      <w:bookmarkEnd w:id="361"/>
      <w:bookmarkEnd w:id="362"/>
      <w:bookmarkEnd w:id="363"/>
    </w:p>
    <w:p w14:paraId="520740A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lang w:eastAsia="zh-CN"/>
        </w:rPr>
        <w:t>比选人</w:t>
      </w:r>
      <w:r>
        <w:rPr>
          <w:rFonts w:ascii="宋体" w:hAnsi="宋体"/>
          <w:snapToGrid w:val="0"/>
          <w:color w:val="auto"/>
          <w:kern w:val="0"/>
          <w:szCs w:val="21"/>
        </w:rPr>
        <w:t>。</w:t>
      </w:r>
    </w:p>
    <w:p w14:paraId="1A26BC0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w:t>
      </w:r>
      <w:r>
        <w:rPr>
          <w:rFonts w:hint="eastAsia" w:ascii="宋体" w:hAnsi="宋体"/>
          <w:snapToGrid w:val="0"/>
          <w:color w:val="auto"/>
          <w:kern w:val="0"/>
          <w:szCs w:val="21"/>
          <w:lang w:eastAsia="zh-CN"/>
        </w:rPr>
        <w:t>比选人</w:t>
      </w:r>
      <w:r>
        <w:rPr>
          <w:rFonts w:ascii="宋体" w:hAnsi="宋体"/>
          <w:snapToGrid w:val="0"/>
          <w:color w:val="auto"/>
          <w:kern w:val="0"/>
          <w:szCs w:val="21"/>
        </w:rPr>
        <w:t>收到书面通知后，向投标人出具签收凭证。</w:t>
      </w:r>
    </w:p>
    <w:p w14:paraId="0845615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09AC4CCD">
      <w:pPr>
        <w:pStyle w:val="4"/>
        <w:keepNext w:val="0"/>
        <w:keepLines w:val="0"/>
        <w:spacing w:before="0" w:after="0" w:line="360" w:lineRule="auto"/>
        <w:rPr>
          <w:rFonts w:ascii="宋体" w:hAnsi="宋体"/>
          <w:b w:val="0"/>
          <w:snapToGrid w:val="0"/>
          <w:color w:val="auto"/>
        </w:rPr>
      </w:pPr>
      <w:bookmarkStart w:id="364" w:name="_Toc287607777"/>
      <w:bookmarkStart w:id="365" w:name="_Toc430530466"/>
      <w:bookmarkStart w:id="366" w:name="_Toc224103348"/>
      <w:bookmarkStart w:id="367" w:name="_Toc287620716"/>
      <w:bookmarkStart w:id="368" w:name="_Toc277082583"/>
      <w:bookmarkStart w:id="369" w:name="_Toc9614"/>
      <w:bookmarkStart w:id="370" w:name="_Toc22598"/>
      <w:bookmarkStart w:id="371" w:name="_Toc200513157"/>
      <w:bookmarkStart w:id="372" w:name="_Toc509218741"/>
      <w:r>
        <w:rPr>
          <w:rFonts w:ascii="宋体" w:hAnsi="宋体"/>
          <w:b w:val="0"/>
          <w:snapToGrid w:val="0"/>
          <w:color w:val="auto"/>
        </w:rPr>
        <w:t>5.  开标</w:t>
      </w:r>
      <w:bookmarkEnd w:id="364"/>
      <w:bookmarkEnd w:id="365"/>
      <w:bookmarkEnd w:id="366"/>
      <w:bookmarkEnd w:id="367"/>
      <w:bookmarkEnd w:id="368"/>
      <w:bookmarkEnd w:id="369"/>
      <w:bookmarkEnd w:id="370"/>
      <w:bookmarkEnd w:id="371"/>
      <w:bookmarkEnd w:id="372"/>
    </w:p>
    <w:p w14:paraId="44AE7AEF">
      <w:pPr>
        <w:pStyle w:val="5"/>
        <w:keepNext w:val="0"/>
        <w:keepLines w:val="0"/>
        <w:snapToGrid w:val="0"/>
        <w:spacing w:before="0" w:after="0" w:line="360" w:lineRule="auto"/>
        <w:rPr>
          <w:rFonts w:ascii="宋体" w:hAnsi="宋体"/>
          <w:b w:val="0"/>
          <w:snapToGrid w:val="0"/>
          <w:color w:val="auto"/>
          <w:sz w:val="24"/>
          <w:szCs w:val="24"/>
        </w:rPr>
      </w:pPr>
      <w:bookmarkStart w:id="373" w:name="_Toc24610"/>
      <w:bookmarkStart w:id="374" w:name="_Toc20593"/>
      <w:bookmarkStart w:id="375" w:name="_Toc224103349"/>
      <w:bookmarkStart w:id="376" w:name="_Toc200513158"/>
      <w:bookmarkStart w:id="377" w:name="_Toc509218742"/>
      <w:bookmarkStart w:id="378" w:name="_Toc430530467"/>
      <w:bookmarkStart w:id="379" w:name="_Toc287607778"/>
      <w:bookmarkStart w:id="380" w:name="_Toc287620717"/>
      <w:bookmarkStart w:id="381" w:name="_Toc277082584"/>
      <w:r>
        <w:rPr>
          <w:rFonts w:ascii="宋体" w:hAnsi="宋体"/>
          <w:b w:val="0"/>
          <w:snapToGrid w:val="0"/>
          <w:color w:val="auto"/>
          <w:sz w:val="24"/>
          <w:szCs w:val="24"/>
        </w:rPr>
        <w:t>5.1  开标时间和地点</w:t>
      </w:r>
      <w:bookmarkEnd w:id="373"/>
      <w:bookmarkEnd w:id="374"/>
      <w:bookmarkEnd w:id="375"/>
      <w:bookmarkEnd w:id="376"/>
      <w:bookmarkEnd w:id="377"/>
      <w:bookmarkEnd w:id="378"/>
      <w:bookmarkEnd w:id="379"/>
      <w:bookmarkEnd w:id="380"/>
      <w:bookmarkEnd w:id="381"/>
    </w:p>
    <w:p w14:paraId="0E7B018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lang w:eastAsia="zh-CN"/>
        </w:rPr>
        <w:t>比选人</w:t>
      </w:r>
      <w:r>
        <w:rPr>
          <w:rFonts w:ascii="宋体" w:hAnsi="宋体"/>
          <w:snapToGrid w:val="0"/>
          <w:color w:val="auto"/>
          <w:kern w:val="0"/>
          <w:szCs w:val="21"/>
        </w:rPr>
        <w:t>在投标人须知前附表第 2.2.2 项规定的投标截止时间（开标时间）和投标人须知前附表规定的地点公开开标，并邀请所有投标人的法定代表人或其委托代理人准时参加。</w:t>
      </w:r>
    </w:p>
    <w:p w14:paraId="605C84F3">
      <w:pPr>
        <w:pStyle w:val="5"/>
        <w:keepNext w:val="0"/>
        <w:keepLines w:val="0"/>
        <w:snapToGrid w:val="0"/>
        <w:spacing w:before="0" w:after="0" w:line="360" w:lineRule="auto"/>
        <w:rPr>
          <w:rFonts w:ascii="宋体" w:hAnsi="宋体"/>
          <w:b w:val="0"/>
          <w:snapToGrid w:val="0"/>
          <w:color w:val="auto"/>
          <w:sz w:val="24"/>
          <w:szCs w:val="24"/>
        </w:rPr>
      </w:pPr>
      <w:bookmarkStart w:id="382" w:name="_Toc200513159"/>
      <w:bookmarkStart w:id="383" w:name="_Toc287620718"/>
      <w:bookmarkStart w:id="384" w:name="_Toc287607779"/>
      <w:bookmarkStart w:id="385" w:name="_Toc224103350"/>
      <w:bookmarkStart w:id="386" w:name="_Toc509218743"/>
      <w:bookmarkStart w:id="387" w:name="_Toc430530468"/>
      <w:bookmarkStart w:id="388" w:name="_Toc14994"/>
      <w:bookmarkStart w:id="389" w:name="_Toc27715"/>
      <w:bookmarkStart w:id="390" w:name="_Toc277082585"/>
      <w:r>
        <w:rPr>
          <w:rFonts w:ascii="宋体" w:hAnsi="宋体"/>
          <w:b w:val="0"/>
          <w:snapToGrid w:val="0"/>
          <w:color w:val="auto"/>
          <w:sz w:val="24"/>
          <w:szCs w:val="24"/>
        </w:rPr>
        <w:t>5.2  开标程序</w:t>
      </w:r>
      <w:bookmarkEnd w:id="382"/>
      <w:bookmarkEnd w:id="383"/>
      <w:bookmarkEnd w:id="384"/>
      <w:bookmarkEnd w:id="385"/>
      <w:bookmarkEnd w:id="386"/>
      <w:bookmarkEnd w:id="387"/>
      <w:bookmarkEnd w:id="388"/>
      <w:bookmarkEnd w:id="389"/>
      <w:bookmarkEnd w:id="390"/>
    </w:p>
    <w:p w14:paraId="3FA6F2A5">
      <w:pPr>
        <w:autoSpaceDE w:val="0"/>
        <w:autoSpaceDN w:val="0"/>
        <w:adjustRightInd w:val="0"/>
        <w:snapToGrid w:val="0"/>
        <w:spacing w:line="360" w:lineRule="auto"/>
        <w:ind w:firstLine="420" w:firstLineChars="200"/>
        <w:rPr>
          <w:rFonts w:ascii="宋体" w:hAnsi="宋体"/>
          <w:color w:val="auto"/>
          <w:szCs w:val="21"/>
        </w:rPr>
      </w:pPr>
      <w:bookmarkStart w:id="391" w:name="_Toc287620719"/>
      <w:bookmarkStart w:id="392" w:name="_Toc287607780"/>
      <w:bookmarkStart w:id="393" w:name="_Toc200513160"/>
      <w:bookmarkStart w:id="394" w:name="_Toc224103351"/>
      <w:bookmarkStart w:id="395" w:name="_Toc277082586"/>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323DA1A7">
      <w:pPr>
        <w:pStyle w:val="5"/>
        <w:keepNext w:val="0"/>
        <w:keepLines w:val="0"/>
        <w:snapToGrid w:val="0"/>
        <w:spacing w:before="0" w:after="0" w:line="360" w:lineRule="auto"/>
        <w:rPr>
          <w:rFonts w:ascii="宋体" w:hAnsi="宋体"/>
          <w:b w:val="0"/>
          <w:snapToGrid w:val="0"/>
          <w:color w:val="auto"/>
          <w:sz w:val="24"/>
          <w:szCs w:val="24"/>
        </w:rPr>
      </w:pPr>
      <w:bookmarkStart w:id="396" w:name="_Toc9460"/>
      <w:bookmarkStart w:id="397" w:name="_Toc57820594"/>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396"/>
      <w:bookmarkEnd w:id="397"/>
    </w:p>
    <w:p w14:paraId="110FC2AE">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w:t>
      </w:r>
      <w:r>
        <w:rPr>
          <w:rFonts w:hint="eastAsia" w:ascii="宋体" w:hAnsi="宋体"/>
          <w:color w:val="auto"/>
          <w:szCs w:val="21"/>
          <w:lang w:eastAsia="zh-CN"/>
        </w:rPr>
        <w:t>比选人</w:t>
      </w:r>
      <w:r>
        <w:rPr>
          <w:rFonts w:hint="eastAsia" w:ascii="宋体" w:hAnsi="宋体"/>
          <w:color w:val="auto"/>
          <w:szCs w:val="21"/>
        </w:rPr>
        <w:t>当场作出答复，并制作记录，有异议的投标人代表、</w:t>
      </w:r>
      <w:r>
        <w:rPr>
          <w:rFonts w:hint="eastAsia" w:ascii="宋体" w:hAnsi="宋体"/>
          <w:color w:val="auto"/>
          <w:szCs w:val="21"/>
          <w:lang w:eastAsia="zh-CN"/>
        </w:rPr>
        <w:t>比选人</w:t>
      </w:r>
      <w:r>
        <w:rPr>
          <w:rFonts w:hint="eastAsia" w:ascii="宋体" w:hAnsi="宋体"/>
          <w:color w:val="auto"/>
          <w:szCs w:val="21"/>
        </w:rPr>
        <w:t>代表、主持人、记录人等有关人员在记录上签名确认</w:t>
      </w:r>
      <w:r>
        <w:rPr>
          <w:rFonts w:ascii="宋体" w:hAnsi="宋体"/>
          <w:color w:val="auto"/>
          <w:szCs w:val="21"/>
        </w:rPr>
        <w:t>。</w:t>
      </w:r>
    </w:p>
    <w:p w14:paraId="32417527">
      <w:pPr>
        <w:pStyle w:val="4"/>
        <w:keepNext w:val="0"/>
        <w:keepLines w:val="0"/>
        <w:spacing w:before="0" w:after="0" w:line="360" w:lineRule="auto"/>
        <w:rPr>
          <w:rFonts w:ascii="宋体" w:hAnsi="宋体"/>
          <w:b w:val="0"/>
          <w:snapToGrid w:val="0"/>
          <w:color w:val="auto"/>
        </w:rPr>
      </w:pPr>
      <w:bookmarkStart w:id="398" w:name="_Toc9533"/>
      <w:bookmarkStart w:id="399" w:name="_Toc430530469"/>
      <w:bookmarkStart w:id="400" w:name="_Toc19223"/>
      <w:bookmarkStart w:id="401" w:name="_Toc509218744"/>
      <w:r>
        <w:rPr>
          <w:rFonts w:ascii="宋体" w:hAnsi="宋体"/>
          <w:b w:val="0"/>
          <w:snapToGrid w:val="0"/>
          <w:color w:val="auto"/>
        </w:rPr>
        <w:t>6.  评标</w:t>
      </w:r>
      <w:bookmarkEnd w:id="391"/>
      <w:bookmarkEnd w:id="392"/>
      <w:bookmarkEnd w:id="393"/>
      <w:bookmarkEnd w:id="394"/>
      <w:bookmarkEnd w:id="395"/>
      <w:bookmarkEnd w:id="398"/>
      <w:bookmarkEnd w:id="399"/>
      <w:bookmarkEnd w:id="400"/>
      <w:bookmarkEnd w:id="401"/>
    </w:p>
    <w:p w14:paraId="5F5BE996">
      <w:pPr>
        <w:pStyle w:val="5"/>
        <w:keepNext w:val="0"/>
        <w:keepLines w:val="0"/>
        <w:snapToGrid w:val="0"/>
        <w:spacing w:before="0" w:after="0" w:line="360" w:lineRule="auto"/>
        <w:rPr>
          <w:rFonts w:ascii="宋体" w:hAnsi="宋体"/>
          <w:b w:val="0"/>
          <w:snapToGrid w:val="0"/>
          <w:color w:val="auto"/>
          <w:sz w:val="24"/>
          <w:szCs w:val="24"/>
        </w:rPr>
      </w:pPr>
      <w:bookmarkStart w:id="402" w:name="_Toc224103352"/>
      <w:bookmarkStart w:id="403" w:name="_Toc509218745"/>
      <w:bookmarkStart w:id="404" w:name="_Toc28100"/>
      <w:bookmarkStart w:id="405" w:name="_Toc287620720"/>
      <w:bookmarkStart w:id="406" w:name="_Toc29115"/>
      <w:bookmarkStart w:id="407" w:name="_Toc430530470"/>
      <w:bookmarkStart w:id="408" w:name="_Toc277082587"/>
      <w:bookmarkStart w:id="409" w:name="_Toc287607781"/>
      <w:bookmarkStart w:id="410" w:name="_Toc200513161"/>
      <w:r>
        <w:rPr>
          <w:rFonts w:ascii="宋体" w:hAnsi="宋体"/>
          <w:b w:val="0"/>
          <w:snapToGrid w:val="0"/>
          <w:color w:val="auto"/>
          <w:sz w:val="24"/>
          <w:szCs w:val="24"/>
        </w:rPr>
        <w:t>6.1  评标委员会</w:t>
      </w:r>
      <w:bookmarkEnd w:id="402"/>
      <w:bookmarkEnd w:id="403"/>
      <w:bookmarkEnd w:id="404"/>
      <w:bookmarkEnd w:id="405"/>
      <w:bookmarkEnd w:id="406"/>
      <w:bookmarkEnd w:id="407"/>
      <w:bookmarkEnd w:id="408"/>
      <w:bookmarkEnd w:id="409"/>
      <w:bookmarkEnd w:id="410"/>
    </w:p>
    <w:p w14:paraId="3772E728">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w:t>
      </w:r>
      <w:r>
        <w:rPr>
          <w:rFonts w:hint="eastAsia" w:ascii="宋体" w:hAnsi="宋体"/>
          <w:snapToGrid w:val="0"/>
          <w:color w:val="auto"/>
          <w:kern w:val="0"/>
          <w:szCs w:val="21"/>
          <w:lang w:eastAsia="zh-CN"/>
        </w:rPr>
        <w:t>比选人</w:t>
      </w:r>
      <w:r>
        <w:rPr>
          <w:rFonts w:ascii="宋体" w:hAnsi="宋体"/>
          <w:snapToGrid w:val="0"/>
          <w:color w:val="auto"/>
          <w:kern w:val="0"/>
          <w:szCs w:val="21"/>
        </w:rPr>
        <w:t>依据法律法规和相关规范性文件组建的评标委员会负责。</w:t>
      </w:r>
    </w:p>
    <w:p w14:paraId="034FA21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3CBA858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6180C92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52380A7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1B90088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（4）曾因在招标、评标以及其他与招标投标有关活动中从事违法行为而受过行政处罚或刑事处罚的</w:t>
      </w:r>
      <w:r>
        <w:rPr>
          <w:rFonts w:hint="eastAsia" w:ascii="宋体" w:hAnsi="宋体"/>
          <w:snapToGrid w:val="0"/>
          <w:color w:val="auto"/>
          <w:kern w:val="0"/>
          <w:szCs w:val="21"/>
        </w:rPr>
        <w:t>；</w:t>
      </w:r>
    </w:p>
    <w:p w14:paraId="353AE44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3E07054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0150A97F">
      <w:pPr>
        <w:pStyle w:val="5"/>
        <w:snapToGrid w:val="0"/>
        <w:spacing w:before="0" w:after="0" w:line="360" w:lineRule="auto"/>
        <w:rPr>
          <w:rFonts w:ascii="宋体" w:hAnsi="宋体"/>
          <w:b w:val="0"/>
          <w:snapToGrid w:val="0"/>
          <w:color w:val="auto"/>
          <w:sz w:val="24"/>
          <w:szCs w:val="24"/>
        </w:rPr>
      </w:pPr>
      <w:bookmarkStart w:id="411" w:name="_Toc277082588"/>
      <w:bookmarkStart w:id="412" w:name="_Toc430530471"/>
      <w:bookmarkStart w:id="413" w:name="_Toc200513162"/>
      <w:bookmarkStart w:id="414" w:name="_Toc12166"/>
      <w:bookmarkStart w:id="415" w:name="_Toc224103353"/>
      <w:bookmarkStart w:id="416" w:name="_Toc287620721"/>
      <w:bookmarkStart w:id="417" w:name="_Toc287607782"/>
      <w:bookmarkStart w:id="418" w:name="_Toc21914"/>
      <w:bookmarkStart w:id="419" w:name="_Toc509218746"/>
      <w:r>
        <w:rPr>
          <w:rFonts w:ascii="宋体" w:hAnsi="宋体"/>
          <w:b w:val="0"/>
          <w:snapToGrid w:val="0"/>
          <w:color w:val="auto"/>
          <w:sz w:val="24"/>
          <w:szCs w:val="24"/>
        </w:rPr>
        <w:t>6.2  评标原则</w:t>
      </w:r>
      <w:bookmarkEnd w:id="411"/>
      <w:bookmarkEnd w:id="412"/>
      <w:bookmarkEnd w:id="413"/>
      <w:bookmarkEnd w:id="414"/>
      <w:bookmarkEnd w:id="415"/>
      <w:bookmarkEnd w:id="416"/>
      <w:bookmarkEnd w:id="417"/>
      <w:bookmarkEnd w:id="418"/>
      <w:bookmarkEnd w:id="419"/>
    </w:p>
    <w:p w14:paraId="336F46A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6A2D271A">
      <w:pPr>
        <w:pStyle w:val="5"/>
        <w:snapToGrid w:val="0"/>
        <w:spacing w:before="0" w:after="0" w:line="360" w:lineRule="auto"/>
        <w:rPr>
          <w:rFonts w:ascii="宋体" w:hAnsi="宋体"/>
          <w:b w:val="0"/>
          <w:snapToGrid w:val="0"/>
          <w:color w:val="auto"/>
          <w:sz w:val="24"/>
          <w:szCs w:val="24"/>
        </w:rPr>
      </w:pPr>
      <w:bookmarkStart w:id="420" w:name="_Toc224103354"/>
      <w:bookmarkStart w:id="421" w:name="_Toc14701"/>
      <w:bookmarkStart w:id="422" w:name="_Toc287620722"/>
      <w:bookmarkStart w:id="423" w:name="_Toc200513163"/>
      <w:bookmarkStart w:id="424" w:name="_Toc509218747"/>
      <w:bookmarkStart w:id="425" w:name="_Toc287607783"/>
      <w:bookmarkStart w:id="426" w:name="_Toc430530472"/>
      <w:bookmarkStart w:id="427" w:name="_Toc31178"/>
      <w:bookmarkStart w:id="428" w:name="_Toc277082589"/>
      <w:r>
        <w:rPr>
          <w:rFonts w:ascii="宋体" w:hAnsi="宋体"/>
          <w:b w:val="0"/>
          <w:snapToGrid w:val="0"/>
          <w:color w:val="auto"/>
          <w:sz w:val="24"/>
          <w:szCs w:val="24"/>
        </w:rPr>
        <w:t>6.3  评标</w:t>
      </w:r>
      <w:bookmarkEnd w:id="420"/>
      <w:bookmarkEnd w:id="421"/>
      <w:bookmarkEnd w:id="422"/>
      <w:bookmarkEnd w:id="423"/>
      <w:bookmarkEnd w:id="424"/>
      <w:bookmarkEnd w:id="425"/>
      <w:bookmarkEnd w:id="426"/>
      <w:bookmarkEnd w:id="427"/>
      <w:bookmarkEnd w:id="428"/>
    </w:p>
    <w:p w14:paraId="5EDD0E9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245FA5C6">
      <w:pPr>
        <w:pStyle w:val="4"/>
        <w:spacing w:before="0" w:after="0" w:line="360" w:lineRule="auto"/>
        <w:rPr>
          <w:rFonts w:ascii="宋体" w:hAnsi="宋体"/>
          <w:b w:val="0"/>
          <w:snapToGrid w:val="0"/>
          <w:color w:val="auto"/>
        </w:rPr>
      </w:pPr>
      <w:bookmarkStart w:id="429" w:name="_Toc430530473"/>
      <w:bookmarkStart w:id="430" w:name="_Toc22597"/>
      <w:bookmarkStart w:id="431" w:name="_Toc2723"/>
      <w:bookmarkStart w:id="432" w:name="_Toc287607784"/>
      <w:bookmarkStart w:id="433" w:name="_Toc287620723"/>
      <w:bookmarkStart w:id="434" w:name="_Toc509218748"/>
      <w:bookmarkStart w:id="435" w:name="_Toc200513164"/>
      <w:bookmarkStart w:id="436" w:name="_Toc277082590"/>
      <w:bookmarkStart w:id="437" w:name="_Toc224103355"/>
      <w:r>
        <w:rPr>
          <w:rFonts w:ascii="宋体" w:hAnsi="宋体"/>
          <w:b w:val="0"/>
          <w:snapToGrid w:val="0"/>
          <w:color w:val="auto"/>
        </w:rPr>
        <w:t>7.  合同授予</w:t>
      </w:r>
      <w:bookmarkEnd w:id="429"/>
      <w:bookmarkEnd w:id="430"/>
      <w:bookmarkEnd w:id="431"/>
      <w:bookmarkEnd w:id="432"/>
      <w:bookmarkEnd w:id="433"/>
      <w:bookmarkEnd w:id="434"/>
      <w:bookmarkEnd w:id="435"/>
      <w:bookmarkEnd w:id="436"/>
      <w:bookmarkEnd w:id="437"/>
    </w:p>
    <w:p w14:paraId="0B55F664">
      <w:pPr>
        <w:pStyle w:val="5"/>
        <w:snapToGrid w:val="0"/>
        <w:spacing w:before="0" w:after="0" w:line="360" w:lineRule="auto"/>
        <w:rPr>
          <w:rFonts w:ascii="宋体" w:hAnsi="宋体"/>
          <w:b w:val="0"/>
          <w:snapToGrid w:val="0"/>
          <w:color w:val="auto"/>
          <w:sz w:val="24"/>
          <w:szCs w:val="24"/>
        </w:rPr>
      </w:pPr>
      <w:bookmarkStart w:id="438" w:name="_Toc287607785"/>
      <w:bookmarkStart w:id="439" w:name="_Toc509218749"/>
      <w:bookmarkStart w:id="440" w:name="_Toc29937"/>
      <w:bookmarkStart w:id="441" w:name="_Toc287620724"/>
      <w:bookmarkStart w:id="442" w:name="_Toc430530474"/>
      <w:bookmarkStart w:id="443" w:name="_Toc224103356"/>
      <w:bookmarkStart w:id="444" w:name="_Toc277082591"/>
      <w:bookmarkStart w:id="445" w:name="_Toc27744"/>
      <w:bookmarkStart w:id="446" w:name="_Toc200513165"/>
      <w:r>
        <w:rPr>
          <w:rFonts w:ascii="宋体" w:hAnsi="宋体"/>
          <w:b w:val="0"/>
          <w:snapToGrid w:val="0"/>
          <w:color w:val="auto"/>
          <w:sz w:val="24"/>
          <w:szCs w:val="24"/>
        </w:rPr>
        <w:t>7.1  定标方式</w:t>
      </w:r>
      <w:bookmarkEnd w:id="438"/>
      <w:bookmarkEnd w:id="439"/>
      <w:bookmarkEnd w:id="440"/>
      <w:bookmarkEnd w:id="441"/>
      <w:bookmarkEnd w:id="442"/>
      <w:bookmarkEnd w:id="443"/>
      <w:bookmarkEnd w:id="444"/>
      <w:bookmarkEnd w:id="445"/>
      <w:bookmarkEnd w:id="446"/>
    </w:p>
    <w:p w14:paraId="6C760E6A">
      <w:pPr>
        <w:spacing w:line="360" w:lineRule="auto"/>
        <w:ind w:firstLine="420" w:firstLineChars="200"/>
        <w:rPr>
          <w:rFonts w:ascii="宋体" w:hAnsi="宋体"/>
          <w:color w:val="auto"/>
          <w:szCs w:val="21"/>
        </w:rPr>
      </w:pPr>
      <w:r>
        <w:rPr>
          <w:rFonts w:hint="eastAsia" w:ascii="宋体" w:hAnsi="宋体"/>
          <w:color w:val="auto"/>
          <w:szCs w:val="21"/>
          <w:lang w:eastAsia="zh-CN"/>
        </w:rPr>
        <w:t>比选人</w:t>
      </w:r>
      <w:r>
        <w:rPr>
          <w:rFonts w:ascii="宋体" w:hAnsi="宋体"/>
          <w:color w:val="auto"/>
          <w:szCs w:val="21"/>
        </w:rPr>
        <w:t>应当确定排名第一的中标候选人为中标人。排名第一的中标候选人放弃中标、因不可抗力不能履行合同、不按照</w:t>
      </w:r>
      <w:r>
        <w:rPr>
          <w:rFonts w:hint="eastAsia" w:ascii="宋体" w:hAnsi="宋体"/>
          <w:color w:val="auto"/>
          <w:szCs w:val="21"/>
          <w:lang w:eastAsia="zh-CN"/>
        </w:rPr>
        <w:t>比选文件</w:t>
      </w:r>
      <w:r>
        <w:rPr>
          <w:rFonts w:ascii="宋体" w:hAnsi="宋体"/>
          <w:color w:val="auto"/>
          <w:szCs w:val="21"/>
        </w:rPr>
        <w:t>要求提交履约保证金，或者被查实存在影响中标结果的违法行为等情形，不符合中标条件的，</w:t>
      </w:r>
      <w:r>
        <w:rPr>
          <w:rFonts w:hint="eastAsia" w:ascii="宋体" w:hAnsi="宋体"/>
          <w:color w:val="auto"/>
          <w:szCs w:val="21"/>
          <w:lang w:eastAsia="zh-CN"/>
        </w:rPr>
        <w:t>比选人</w:t>
      </w:r>
      <w:r>
        <w:rPr>
          <w:rFonts w:ascii="宋体" w:hAnsi="宋体"/>
          <w:color w:val="auto"/>
          <w:szCs w:val="21"/>
        </w:rPr>
        <w:t>可以按照评标委员会提出的中标候选人名单排序依次确定其他中标候选人为中标人，也可以重新招标。</w:t>
      </w:r>
    </w:p>
    <w:p w14:paraId="3B0F9C60">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25B617CB">
      <w:pPr>
        <w:pStyle w:val="5"/>
        <w:snapToGrid w:val="0"/>
        <w:spacing w:before="0" w:after="0" w:line="360" w:lineRule="auto"/>
        <w:rPr>
          <w:rFonts w:ascii="宋体" w:hAnsi="宋体"/>
          <w:b w:val="0"/>
          <w:snapToGrid w:val="0"/>
          <w:color w:val="auto"/>
          <w:sz w:val="24"/>
          <w:szCs w:val="24"/>
        </w:rPr>
      </w:pPr>
      <w:bookmarkStart w:id="447" w:name="_Toc12126"/>
      <w:bookmarkStart w:id="448" w:name="_Toc23594"/>
      <w:bookmarkStart w:id="449" w:name="_Toc430530475"/>
      <w:bookmarkStart w:id="450" w:name="_Toc509218750"/>
      <w:r>
        <w:rPr>
          <w:rFonts w:ascii="宋体" w:hAnsi="宋体"/>
          <w:b w:val="0"/>
          <w:snapToGrid w:val="0"/>
          <w:color w:val="auto"/>
          <w:sz w:val="24"/>
          <w:szCs w:val="24"/>
        </w:rPr>
        <w:t>7.2  中标公示及中标通知</w:t>
      </w:r>
      <w:bookmarkEnd w:id="447"/>
      <w:bookmarkEnd w:id="448"/>
      <w:bookmarkEnd w:id="449"/>
      <w:bookmarkEnd w:id="450"/>
    </w:p>
    <w:p w14:paraId="4001D2FC">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snapToGrid w:val="0"/>
          <w:color w:val="auto"/>
          <w:kern w:val="0"/>
          <w:szCs w:val="21"/>
          <w:lang w:eastAsia="zh-CN"/>
        </w:rPr>
        <w:t>比选人</w:t>
      </w:r>
      <w:r>
        <w:rPr>
          <w:rFonts w:ascii="宋体" w:hAnsi="宋体"/>
          <w:snapToGrid w:val="0"/>
          <w:color w:val="auto"/>
          <w:kern w:val="0"/>
          <w:szCs w:val="21"/>
        </w:rPr>
        <w:t>在收到评标报告之日起3日内公示中标候选人，公示期不得少于3日</w:t>
      </w:r>
      <w:r>
        <w:rPr>
          <w:rFonts w:hint="eastAsia" w:ascii="宋体" w:hAnsi="宋体"/>
          <w:color w:val="auto"/>
          <w:szCs w:val="21"/>
        </w:rPr>
        <w:t>。</w:t>
      </w:r>
    </w:p>
    <w:p w14:paraId="04342D0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w:t>
      </w:r>
      <w:r>
        <w:rPr>
          <w:rFonts w:hint="eastAsia" w:ascii="宋体" w:hAnsi="宋体"/>
          <w:snapToGrid w:val="0"/>
          <w:color w:val="auto"/>
          <w:kern w:val="0"/>
          <w:szCs w:val="21"/>
          <w:lang w:eastAsia="zh-CN"/>
        </w:rPr>
        <w:t>比选人</w:t>
      </w:r>
      <w:r>
        <w:rPr>
          <w:rFonts w:ascii="宋体" w:hAnsi="宋体"/>
          <w:snapToGrid w:val="0"/>
          <w:color w:val="auto"/>
          <w:kern w:val="0"/>
          <w:szCs w:val="21"/>
        </w:rPr>
        <w:t>以书面形式向中标人发出中标通知书。</w:t>
      </w:r>
    </w:p>
    <w:p w14:paraId="20DDCE45">
      <w:pPr>
        <w:pStyle w:val="5"/>
        <w:snapToGrid w:val="0"/>
        <w:spacing w:before="0" w:after="0" w:line="360" w:lineRule="auto"/>
        <w:rPr>
          <w:rFonts w:ascii="宋体" w:hAnsi="宋体"/>
          <w:b w:val="0"/>
          <w:snapToGrid w:val="0"/>
          <w:color w:val="auto"/>
          <w:sz w:val="24"/>
          <w:szCs w:val="24"/>
        </w:rPr>
      </w:pPr>
      <w:bookmarkStart w:id="451" w:name="_Toc224103358"/>
      <w:bookmarkStart w:id="452" w:name="_Toc200513167"/>
      <w:bookmarkStart w:id="453" w:name="_Toc430530476"/>
      <w:bookmarkStart w:id="454" w:name="_Toc287607787"/>
      <w:bookmarkStart w:id="455" w:name="_Toc287620726"/>
      <w:bookmarkStart w:id="456" w:name="_Toc509218751"/>
      <w:bookmarkStart w:id="457" w:name="_Toc13383"/>
      <w:bookmarkStart w:id="458" w:name="_Toc32419"/>
      <w:bookmarkStart w:id="459" w:name="_Toc277082593"/>
      <w:r>
        <w:rPr>
          <w:rFonts w:ascii="宋体" w:hAnsi="宋体"/>
          <w:b w:val="0"/>
          <w:snapToGrid w:val="0"/>
          <w:color w:val="auto"/>
          <w:sz w:val="24"/>
          <w:szCs w:val="24"/>
        </w:rPr>
        <w:t>7.3  履约担保</w:t>
      </w:r>
      <w:bookmarkEnd w:id="451"/>
      <w:bookmarkEnd w:id="452"/>
      <w:bookmarkEnd w:id="453"/>
      <w:bookmarkEnd w:id="454"/>
      <w:bookmarkEnd w:id="455"/>
      <w:bookmarkEnd w:id="456"/>
      <w:bookmarkEnd w:id="457"/>
      <w:bookmarkEnd w:id="458"/>
      <w:bookmarkEnd w:id="459"/>
    </w:p>
    <w:p w14:paraId="5B2B37E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w:t>
      </w:r>
      <w:r>
        <w:rPr>
          <w:rFonts w:hint="eastAsia" w:ascii="宋体" w:hAnsi="宋体"/>
          <w:snapToGrid w:val="0"/>
          <w:color w:val="auto"/>
          <w:kern w:val="0"/>
          <w:szCs w:val="21"/>
          <w:lang w:eastAsia="zh-CN"/>
        </w:rPr>
        <w:t>比选文件</w:t>
      </w:r>
      <w:r>
        <w:rPr>
          <w:rFonts w:ascii="宋体" w:hAnsi="宋体"/>
          <w:snapToGrid w:val="0"/>
          <w:color w:val="auto"/>
          <w:kern w:val="0"/>
          <w:szCs w:val="21"/>
        </w:rPr>
        <w:t>第四章“合同条款及格式”规定的履约担保格式向</w:t>
      </w:r>
      <w:r>
        <w:rPr>
          <w:rFonts w:hint="eastAsia" w:ascii="宋体" w:hAnsi="宋体"/>
          <w:snapToGrid w:val="0"/>
          <w:color w:val="auto"/>
          <w:kern w:val="0"/>
          <w:szCs w:val="21"/>
          <w:lang w:eastAsia="zh-CN"/>
        </w:rPr>
        <w:t>比选人</w:t>
      </w:r>
      <w:r>
        <w:rPr>
          <w:rFonts w:ascii="宋体" w:hAnsi="宋体"/>
          <w:snapToGrid w:val="0"/>
          <w:color w:val="auto"/>
          <w:kern w:val="0"/>
          <w:szCs w:val="21"/>
        </w:rPr>
        <w:t>提交履约担保。联合体中标的，其履约担保由牵头人递交，并应符合投标人须知前附表规定的金额、担保形式和</w:t>
      </w:r>
      <w:r>
        <w:rPr>
          <w:rFonts w:hint="eastAsia" w:ascii="宋体" w:hAnsi="宋体"/>
          <w:snapToGrid w:val="0"/>
          <w:color w:val="auto"/>
          <w:kern w:val="0"/>
          <w:szCs w:val="21"/>
          <w:lang w:eastAsia="zh-CN"/>
        </w:rPr>
        <w:t>比选文件</w:t>
      </w:r>
      <w:r>
        <w:rPr>
          <w:rFonts w:ascii="宋体" w:hAnsi="宋体"/>
          <w:snapToGrid w:val="0"/>
          <w:color w:val="auto"/>
          <w:kern w:val="0"/>
          <w:szCs w:val="21"/>
        </w:rPr>
        <w:t>第四章“合同条款及格式”规定的履约担保格式要求。</w:t>
      </w:r>
    </w:p>
    <w:p w14:paraId="532E79F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w:t>
      </w:r>
      <w:r>
        <w:rPr>
          <w:rFonts w:hint="eastAsia" w:ascii="宋体" w:hAnsi="宋体"/>
          <w:snapToGrid w:val="0"/>
          <w:color w:val="auto"/>
          <w:kern w:val="0"/>
          <w:szCs w:val="21"/>
          <w:lang w:eastAsia="zh-CN"/>
        </w:rPr>
        <w:t>比选人</w:t>
      </w:r>
      <w:r>
        <w:rPr>
          <w:rFonts w:ascii="宋体" w:hAnsi="宋体"/>
          <w:snapToGrid w:val="0"/>
          <w:color w:val="auto"/>
          <w:kern w:val="0"/>
          <w:szCs w:val="21"/>
        </w:rPr>
        <w:t>造成的损失超过投标保证金数额的，中标人还应当对超过部分予以赔偿。</w:t>
      </w:r>
    </w:p>
    <w:p w14:paraId="1E7931E3">
      <w:pPr>
        <w:pStyle w:val="5"/>
        <w:snapToGrid w:val="0"/>
        <w:spacing w:before="0" w:after="0" w:line="360" w:lineRule="auto"/>
        <w:rPr>
          <w:rFonts w:ascii="宋体" w:hAnsi="宋体"/>
          <w:b w:val="0"/>
          <w:snapToGrid w:val="0"/>
          <w:color w:val="auto"/>
          <w:sz w:val="24"/>
          <w:szCs w:val="24"/>
        </w:rPr>
      </w:pPr>
      <w:bookmarkStart w:id="460" w:name="_Toc224103359"/>
      <w:bookmarkStart w:id="461" w:name="_Toc287607788"/>
      <w:bookmarkStart w:id="462" w:name="_Toc16900"/>
      <w:bookmarkStart w:id="463" w:name="_Toc277082594"/>
      <w:bookmarkStart w:id="464" w:name="_Toc17794"/>
      <w:bookmarkStart w:id="465" w:name="_Toc287620727"/>
      <w:bookmarkStart w:id="466" w:name="_Toc430530477"/>
      <w:bookmarkStart w:id="467" w:name="_Toc509218752"/>
      <w:bookmarkStart w:id="468" w:name="_Toc200513168"/>
      <w:r>
        <w:rPr>
          <w:rFonts w:ascii="宋体" w:hAnsi="宋体"/>
          <w:b w:val="0"/>
          <w:snapToGrid w:val="0"/>
          <w:color w:val="auto"/>
          <w:sz w:val="24"/>
          <w:szCs w:val="24"/>
        </w:rPr>
        <w:t>7.4  签订合同</w:t>
      </w:r>
      <w:bookmarkEnd w:id="460"/>
      <w:bookmarkEnd w:id="461"/>
      <w:bookmarkEnd w:id="462"/>
      <w:bookmarkEnd w:id="463"/>
      <w:bookmarkEnd w:id="464"/>
      <w:bookmarkEnd w:id="465"/>
      <w:bookmarkEnd w:id="466"/>
      <w:bookmarkEnd w:id="467"/>
      <w:bookmarkEnd w:id="468"/>
    </w:p>
    <w:p w14:paraId="54A3027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lang w:eastAsia="zh-CN"/>
        </w:rPr>
        <w:t>比选人</w:t>
      </w:r>
      <w:r>
        <w:rPr>
          <w:rFonts w:ascii="宋体" w:hAnsi="宋体"/>
          <w:snapToGrid w:val="0"/>
          <w:color w:val="auto"/>
          <w:kern w:val="0"/>
          <w:szCs w:val="21"/>
        </w:rPr>
        <w:t xml:space="preserve">和中标人应当自中标通知书发出之日起 </w:t>
      </w:r>
      <w:r>
        <w:rPr>
          <w:rFonts w:hint="eastAsia" w:ascii="宋体" w:hAnsi="宋体"/>
          <w:snapToGrid w:val="0"/>
          <w:color w:val="auto"/>
          <w:kern w:val="0"/>
          <w:szCs w:val="21"/>
          <w:lang w:val="en-US" w:eastAsia="zh-CN"/>
        </w:rPr>
        <w:t>1</w:t>
      </w:r>
      <w:r>
        <w:rPr>
          <w:rFonts w:ascii="宋体" w:hAnsi="宋体"/>
          <w:snapToGrid w:val="0"/>
          <w:color w:val="auto"/>
          <w:kern w:val="0"/>
          <w:szCs w:val="21"/>
        </w:rPr>
        <w:t>0 天内，根据</w:t>
      </w:r>
      <w:r>
        <w:rPr>
          <w:rFonts w:hint="eastAsia" w:ascii="宋体" w:hAnsi="宋体"/>
          <w:snapToGrid w:val="0"/>
          <w:color w:val="auto"/>
          <w:kern w:val="0"/>
          <w:szCs w:val="21"/>
          <w:lang w:eastAsia="zh-CN"/>
        </w:rPr>
        <w:t>比选文件</w:t>
      </w:r>
      <w:r>
        <w:rPr>
          <w:rFonts w:ascii="宋体" w:hAnsi="宋体"/>
          <w:snapToGrid w:val="0"/>
          <w:color w:val="auto"/>
          <w:kern w:val="0"/>
          <w:szCs w:val="21"/>
        </w:rPr>
        <w:t>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w:t>
      </w:r>
      <w:r>
        <w:rPr>
          <w:rFonts w:hint="eastAsia" w:ascii="宋体" w:hAnsi="宋体"/>
          <w:snapToGrid w:val="0"/>
          <w:color w:val="auto"/>
          <w:kern w:val="0"/>
          <w:szCs w:val="21"/>
          <w:lang w:eastAsia="zh-CN"/>
        </w:rPr>
        <w:t>比选人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w:t>
      </w:r>
      <w:r>
        <w:rPr>
          <w:rFonts w:hint="eastAsia" w:ascii="宋体" w:hAnsi="宋体"/>
          <w:snapToGrid w:val="0"/>
          <w:color w:val="auto"/>
          <w:kern w:val="0"/>
          <w:szCs w:val="21"/>
          <w:lang w:eastAsia="zh-CN"/>
        </w:rPr>
        <w:t>比选人</w:t>
      </w:r>
      <w:r>
        <w:rPr>
          <w:rFonts w:hint="eastAsia" w:ascii="宋体" w:hAnsi="宋体"/>
          <w:snapToGrid w:val="0"/>
          <w:color w:val="auto"/>
          <w:kern w:val="0"/>
          <w:szCs w:val="21"/>
        </w:rPr>
        <w:t>提出附加条件或者更改合同实质性内容的</w:t>
      </w:r>
      <w:r>
        <w:rPr>
          <w:rFonts w:ascii="宋体" w:hAnsi="宋体"/>
          <w:snapToGrid w:val="0"/>
          <w:color w:val="auto"/>
          <w:kern w:val="0"/>
          <w:szCs w:val="21"/>
        </w:rPr>
        <w:t>，</w:t>
      </w:r>
      <w:r>
        <w:rPr>
          <w:rFonts w:hint="eastAsia" w:ascii="宋体" w:hAnsi="宋体" w:cs="宋体"/>
          <w:color w:val="auto"/>
          <w:szCs w:val="21"/>
        </w:rPr>
        <w:t>或不按照</w:t>
      </w:r>
      <w:r>
        <w:rPr>
          <w:rFonts w:hint="eastAsia" w:ascii="宋体" w:hAnsi="宋体" w:cs="宋体"/>
          <w:color w:val="auto"/>
          <w:szCs w:val="21"/>
          <w:lang w:eastAsia="zh-CN"/>
        </w:rPr>
        <w:t>比选文件</w:t>
      </w:r>
      <w:r>
        <w:rPr>
          <w:rFonts w:hint="eastAsia" w:ascii="宋体" w:hAnsi="宋体" w:cs="宋体"/>
          <w:color w:val="auto"/>
          <w:szCs w:val="21"/>
        </w:rPr>
        <w:t>要求提交低价风险担保（适用于经评审最低投标价法）或履约保证金的，</w:t>
      </w:r>
      <w:r>
        <w:rPr>
          <w:rFonts w:hint="eastAsia" w:ascii="宋体" w:hAnsi="宋体"/>
          <w:snapToGrid w:val="0"/>
          <w:color w:val="auto"/>
          <w:kern w:val="0"/>
          <w:szCs w:val="21"/>
          <w:lang w:eastAsia="zh-CN"/>
        </w:rPr>
        <w:t>比选人</w:t>
      </w:r>
      <w:r>
        <w:rPr>
          <w:rFonts w:ascii="宋体" w:hAnsi="宋体"/>
          <w:snapToGrid w:val="0"/>
          <w:color w:val="auto"/>
          <w:kern w:val="0"/>
          <w:szCs w:val="21"/>
        </w:rPr>
        <w:t>取消其中标资格，其投标保证金不予退还；给</w:t>
      </w:r>
      <w:r>
        <w:rPr>
          <w:rFonts w:hint="eastAsia" w:ascii="宋体" w:hAnsi="宋体"/>
          <w:snapToGrid w:val="0"/>
          <w:color w:val="auto"/>
          <w:kern w:val="0"/>
          <w:szCs w:val="21"/>
          <w:lang w:eastAsia="zh-CN"/>
        </w:rPr>
        <w:t>比选人</w:t>
      </w:r>
      <w:r>
        <w:rPr>
          <w:rFonts w:ascii="宋体" w:hAnsi="宋体"/>
          <w:snapToGrid w:val="0"/>
          <w:color w:val="auto"/>
          <w:kern w:val="0"/>
          <w:szCs w:val="21"/>
        </w:rPr>
        <w:t>造成的损失超过投标保证金数额的，中标人还应当对超过部分予以赔偿。</w:t>
      </w:r>
    </w:p>
    <w:p w14:paraId="3155394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w:t>
      </w:r>
      <w:r>
        <w:rPr>
          <w:rFonts w:hint="eastAsia" w:ascii="宋体" w:hAnsi="宋体"/>
          <w:snapToGrid w:val="0"/>
          <w:color w:val="auto"/>
          <w:kern w:val="0"/>
          <w:szCs w:val="21"/>
          <w:lang w:eastAsia="zh-CN"/>
        </w:rPr>
        <w:t>比选人</w:t>
      </w:r>
      <w:r>
        <w:rPr>
          <w:rFonts w:ascii="宋体" w:hAnsi="宋体"/>
          <w:snapToGrid w:val="0"/>
          <w:color w:val="auto"/>
          <w:kern w:val="0"/>
          <w:szCs w:val="21"/>
        </w:rPr>
        <w:t>无正当理由拒签合同的，</w:t>
      </w:r>
      <w:r>
        <w:rPr>
          <w:rFonts w:hint="eastAsia" w:ascii="宋体" w:hAnsi="宋体"/>
          <w:snapToGrid w:val="0"/>
          <w:color w:val="auto"/>
          <w:kern w:val="0"/>
          <w:szCs w:val="21"/>
          <w:lang w:eastAsia="zh-CN"/>
        </w:rPr>
        <w:t>比选人</w:t>
      </w:r>
      <w:r>
        <w:rPr>
          <w:rFonts w:ascii="宋体" w:hAnsi="宋体"/>
          <w:snapToGrid w:val="0"/>
          <w:color w:val="auto"/>
          <w:kern w:val="0"/>
          <w:szCs w:val="21"/>
        </w:rPr>
        <w:t>向中标人退还投标保证金；给中标人造成损失的，还应当赔偿损失。</w:t>
      </w:r>
    </w:p>
    <w:p w14:paraId="2D5AB359">
      <w:pPr>
        <w:pStyle w:val="4"/>
        <w:spacing w:before="0" w:after="0" w:line="360" w:lineRule="auto"/>
        <w:rPr>
          <w:rFonts w:ascii="宋体" w:hAnsi="宋体"/>
          <w:b w:val="0"/>
          <w:snapToGrid w:val="0"/>
          <w:color w:val="auto"/>
        </w:rPr>
      </w:pPr>
      <w:bookmarkStart w:id="469" w:name="_Toc287607789"/>
      <w:bookmarkStart w:id="470" w:name="_Toc22591"/>
      <w:bookmarkStart w:id="471" w:name="_Toc287620728"/>
      <w:bookmarkStart w:id="472" w:name="_Toc200513169"/>
      <w:bookmarkStart w:id="473" w:name="_Toc509218753"/>
      <w:bookmarkStart w:id="474" w:name="_Toc277082595"/>
      <w:bookmarkStart w:id="475" w:name="_Toc430530478"/>
      <w:bookmarkStart w:id="476" w:name="_Toc224103360"/>
      <w:bookmarkStart w:id="477" w:name="_Toc6795"/>
      <w:r>
        <w:rPr>
          <w:rFonts w:ascii="宋体" w:hAnsi="宋体"/>
          <w:b w:val="0"/>
          <w:snapToGrid w:val="0"/>
          <w:color w:val="auto"/>
        </w:rPr>
        <w:t>8.  重新招标和不再招标</w:t>
      </w:r>
      <w:bookmarkEnd w:id="469"/>
      <w:bookmarkEnd w:id="470"/>
      <w:bookmarkEnd w:id="471"/>
      <w:bookmarkEnd w:id="472"/>
      <w:bookmarkEnd w:id="473"/>
      <w:bookmarkEnd w:id="474"/>
      <w:bookmarkEnd w:id="475"/>
      <w:bookmarkEnd w:id="476"/>
      <w:bookmarkEnd w:id="477"/>
    </w:p>
    <w:p w14:paraId="1A9E4B68">
      <w:pPr>
        <w:pStyle w:val="5"/>
        <w:snapToGrid w:val="0"/>
        <w:spacing w:before="0" w:after="0" w:line="360" w:lineRule="auto"/>
        <w:rPr>
          <w:rFonts w:ascii="宋体" w:hAnsi="宋体"/>
          <w:b w:val="0"/>
          <w:snapToGrid w:val="0"/>
          <w:color w:val="auto"/>
          <w:sz w:val="24"/>
          <w:szCs w:val="24"/>
        </w:rPr>
      </w:pPr>
      <w:bookmarkStart w:id="478" w:name="_Toc287607790"/>
      <w:bookmarkStart w:id="479" w:name="_Toc287620729"/>
      <w:bookmarkStart w:id="480" w:name="_Toc4647"/>
      <w:bookmarkStart w:id="481" w:name="_Toc430530479"/>
      <w:bookmarkStart w:id="482" w:name="_Toc200513170"/>
      <w:bookmarkStart w:id="483" w:name="_Toc277082596"/>
      <w:bookmarkStart w:id="484" w:name="_Toc224103361"/>
      <w:bookmarkStart w:id="485" w:name="_Toc509218754"/>
      <w:bookmarkStart w:id="486" w:name="_Toc1904"/>
      <w:r>
        <w:rPr>
          <w:rFonts w:ascii="宋体" w:hAnsi="宋体"/>
          <w:b w:val="0"/>
          <w:snapToGrid w:val="0"/>
          <w:color w:val="auto"/>
          <w:sz w:val="24"/>
          <w:szCs w:val="24"/>
        </w:rPr>
        <w:t>8.1  重新招标</w:t>
      </w:r>
      <w:bookmarkEnd w:id="478"/>
      <w:bookmarkEnd w:id="479"/>
      <w:bookmarkEnd w:id="480"/>
      <w:bookmarkEnd w:id="481"/>
      <w:bookmarkEnd w:id="482"/>
      <w:bookmarkEnd w:id="483"/>
      <w:bookmarkEnd w:id="484"/>
      <w:bookmarkEnd w:id="485"/>
      <w:r>
        <w:rPr>
          <w:rFonts w:hint="eastAsia" w:ascii="宋体" w:hAnsi="宋体"/>
          <w:b w:val="0"/>
          <w:snapToGrid w:val="0"/>
          <w:color w:val="auto"/>
          <w:sz w:val="24"/>
          <w:szCs w:val="24"/>
        </w:rPr>
        <w:t>的情形</w:t>
      </w:r>
      <w:bookmarkEnd w:id="486"/>
    </w:p>
    <w:p w14:paraId="76D7916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w:t>
      </w:r>
      <w:r>
        <w:rPr>
          <w:rFonts w:hint="eastAsia" w:ascii="宋体" w:hAnsi="宋体"/>
          <w:snapToGrid w:val="0"/>
          <w:color w:val="auto"/>
          <w:kern w:val="0"/>
          <w:szCs w:val="21"/>
          <w:lang w:eastAsia="zh-CN"/>
        </w:rPr>
        <w:t>比选人</w:t>
      </w:r>
      <w:r>
        <w:rPr>
          <w:rFonts w:ascii="宋体" w:hAnsi="宋体"/>
          <w:snapToGrid w:val="0"/>
          <w:color w:val="auto"/>
          <w:kern w:val="0"/>
          <w:szCs w:val="21"/>
        </w:rPr>
        <w:t>将重新招标：</w:t>
      </w:r>
    </w:p>
    <w:p w14:paraId="544890A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 3 个的；</w:t>
      </w:r>
    </w:p>
    <w:p w14:paraId="2642AC5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481F663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要求的，评标委员会可以继续评标并确定中标候选人；</w:t>
      </w:r>
    </w:p>
    <w:p w14:paraId="3DC0B76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0B9976DE">
      <w:pPr>
        <w:pStyle w:val="5"/>
        <w:snapToGrid w:val="0"/>
        <w:spacing w:before="0" w:after="0" w:line="360" w:lineRule="auto"/>
        <w:rPr>
          <w:rFonts w:ascii="宋体" w:hAnsi="宋体"/>
          <w:b w:val="0"/>
          <w:snapToGrid w:val="0"/>
          <w:color w:val="auto"/>
          <w:sz w:val="24"/>
          <w:szCs w:val="24"/>
        </w:rPr>
      </w:pPr>
      <w:bookmarkStart w:id="487" w:name="_Toc287620730"/>
      <w:bookmarkStart w:id="488" w:name="_Toc224103362"/>
      <w:bookmarkStart w:id="489" w:name="_Toc200513171"/>
      <w:bookmarkStart w:id="490" w:name="_Toc287607791"/>
      <w:bookmarkStart w:id="491" w:name="_Toc509218755"/>
      <w:bookmarkStart w:id="492" w:name="_Toc32210"/>
      <w:bookmarkStart w:id="493" w:name="_Toc500"/>
      <w:bookmarkStart w:id="494" w:name="_Toc277082597"/>
      <w:bookmarkStart w:id="495" w:name="_Toc430530480"/>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ascii="宋体" w:hAnsi="宋体"/>
          <w:b w:val="0"/>
          <w:snapToGrid w:val="0"/>
          <w:color w:val="auto"/>
          <w:sz w:val="24"/>
          <w:szCs w:val="24"/>
        </w:rPr>
        <w:t>招标和不再招标</w:t>
      </w:r>
      <w:bookmarkEnd w:id="487"/>
      <w:bookmarkEnd w:id="488"/>
      <w:bookmarkEnd w:id="489"/>
      <w:bookmarkEnd w:id="490"/>
      <w:bookmarkEnd w:id="491"/>
      <w:bookmarkEnd w:id="492"/>
      <w:bookmarkEnd w:id="493"/>
      <w:bookmarkEnd w:id="494"/>
      <w:bookmarkEnd w:id="495"/>
    </w:p>
    <w:p w14:paraId="125DE544">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rPr>
        <w:t>。</w:t>
      </w:r>
    </w:p>
    <w:p w14:paraId="2E43B98F">
      <w:pPr>
        <w:pStyle w:val="4"/>
        <w:spacing w:before="0" w:after="0" w:line="360" w:lineRule="auto"/>
        <w:rPr>
          <w:rFonts w:ascii="宋体" w:hAnsi="宋体"/>
          <w:b w:val="0"/>
          <w:snapToGrid w:val="0"/>
          <w:color w:val="auto"/>
        </w:rPr>
      </w:pPr>
      <w:bookmarkStart w:id="496" w:name="_Toc277082598"/>
      <w:bookmarkStart w:id="497" w:name="_Toc430530481"/>
      <w:bookmarkStart w:id="498" w:name="_Toc224103363"/>
      <w:bookmarkStart w:id="499" w:name="_Toc287607792"/>
      <w:bookmarkStart w:id="500" w:name="_Toc287620731"/>
      <w:bookmarkStart w:id="501" w:name="_Toc285"/>
      <w:bookmarkStart w:id="502" w:name="_Toc509218756"/>
      <w:bookmarkStart w:id="503" w:name="_Toc200513172"/>
      <w:bookmarkStart w:id="504" w:name="_Toc32580"/>
      <w:r>
        <w:rPr>
          <w:rFonts w:ascii="宋体" w:hAnsi="宋体"/>
          <w:b w:val="0"/>
          <w:snapToGrid w:val="0"/>
          <w:color w:val="auto"/>
        </w:rPr>
        <w:t>9.  纪律和监督</w:t>
      </w:r>
      <w:bookmarkEnd w:id="496"/>
      <w:bookmarkEnd w:id="497"/>
      <w:bookmarkEnd w:id="498"/>
      <w:bookmarkEnd w:id="499"/>
      <w:bookmarkEnd w:id="500"/>
      <w:bookmarkEnd w:id="501"/>
      <w:bookmarkEnd w:id="502"/>
      <w:bookmarkEnd w:id="503"/>
      <w:bookmarkEnd w:id="504"/>
    </w:p>
    <w:p w14:paraId="13EDE4A9">
      <w:pPr>
        <w:pStyle w:val="5"/>
        <w:snapToGrid w:val="0"/>
        <w:spacing w:before="0" w:after="0" w:line="360" w:lineRule="auto"/>
        <w:rPr>
          <w:rFonts w:ascii="宋体" w:hAnsi="宋体"/>
          <w:b w:val="0"/>
          <w:snapToGrid w:val="0"/>
          <w:color w:val="auto"/>
          <w:sz w:val="24"/>
          <w:szCs w:val="24"/>
        </w:rPr>
      </w:pPr>
      <w:bookmarkStart w:id="505" w:name="_Toc28527"/>
      <w:bookmarkStart w:id="506" w:name="_Toc509218757"/>
      <w:bookmarkStart w:id="507" w:name="_Toc430530482"/>
      <w:bookmarkStart w:id="508" w:name="_Toc224103364"/>
      <w:bookmarkStart w:id="509" w:name="_Toc11532"/>
      <w:bookmarkStart w:id="510" w:name="_Toc277082599"/>
      <w:bookmarkStart w:id="511" w:name="_Toc287607793"/>
      <w:bookmarkStart w:id="512" w:name="_Toc287620732"/>
      <w:bookmarkStart w:id="513" w:name="_Toc200513173"/>
      <w:r>
        <w:rPr>
          <w:rFonts w:ascii="宋体" w:hAnsi="宋体"/>
          <w:b w:val="0"/>
          <w:snapToGrid w:val="0"/>
          <w:color w:val="auto"/>
          <w:sz w:val="24"/>
          <w:szCs w:val="24"/>
        </w:rPr>
        <w:t>9.1  对</w:t>
      </w:r>
      <w:r>
        <w:rPr>
          <w:rFonts w:hint="eastAsia" w:ascii="宋体" w:hAnsi="宋体"/>
          <w:b w:val="0"/>
          <w:snapToGrid w:val="0"/>
          <w:color w:val="auto"/>
          <w:sz w:val="24"/>
          <w:szCs w:val="24"/>
          <w:lang w:eastAsia="zh-CN"/>
        </w:rPr>
        <w:t>比选人</w:t>
      </w:r>
      <w:r>
        <w:rPr>
          <w:rFonts w:ascii="宋体" w:hAnsi="宋体"/>
          <w:b w:val="0"/>
          <w:snapToGrid w:val="0"/>
          <w:color w:val="auto"/>
          <w:sz w:val="24"/>
          <w:szCs w:val="24"/>
        </w:rPr>
        <w:t>的纪律要求</w:t>
      </w:r>
      <w:bookmarkEnd w:id="505"/>
      <w:bookmarkEnd w:id="506"/>
      <w:bookmarkEnd w:id="507"/>
      <w:bookmarkEnd w:id="508"/>
      <w:bookmarkEnd w:id="509"/>
      <w:bookmarkEnd w:id="510"/>
      <w:bookmarkEnd w:id="511"/>
      <w:bookmarkEnd w:id="512"/>
      <w:bookmarkEnd w:id="513"/>
    </w:p>
    <w:p w14:paraId="779ABDAD">
      <w:pPr>
        <w:autoSpaceDE w:val="0"/>
        <w:autoSpaceDN w:val="0"/>
        <w:adjustRightInd w:val="0"/>
        <w:snapToGrid w:val="0"/>
        <w:spacing w:line="360" w:lineRule="auto"/>
        <w:ind w:firstLine="420"/>
        <w:rPr>
          <w:rFonts w:ascii="宋体" w:hAnsi="宋体"/>
          <w:color w:val="auto"/>
        </w:rPr>
      </w:pPr>
      <w:r>
        <w:rPr>
          <w:rFonts w:hint="eastAsia" w:ascii="宋体" w:hAnsi="宋体"/>
          <w:snapToGrid w:val="0"/>
          <w:color w:val="auto"/>
          <w:kern w:val="0"/>
          <w:szCs w:val="21"/>
          <w:lang w:eastAsia="zh-CN"/>
        </w:rPr>
        <w:t>比选人</w:t>
      </w:r>
      <w:r>
        <w:rPr>
          <w:rFonts w:ascii="宋体" w:hAnsi="宋体"/>
          <w:snapToGrid w:val="0"/>
          <w:color w:val="auto"/>
          <w:kern w:val="0"/>
          <w:szCs w:val="21"/>
        </w:rPr>
        <w:t>不得泄漏招标投标活动中应当保密的情况和资料，不得与投标人串通损害国家利 益、社会公共利益或者他人合法权益，</w:t>
      </w:r>
      <w:r>
        <w:rPr>
          <w:rFonts w:ascii="宋体" w:hAnsi="宋体"/>
          <w:color w:val="auto"/>
        </w:rPr>
        <w:t>禁止</w:t>
      </w:r>
      <w:r>
        <w:rPr>
          <w:rFonts w:hint="eastAsia" w:ascii="宋体" w:hAnsi="宋体"/>
          <w:color w:val="auto"/>
          <w:lang w:eastAsia="zh-CN"/>
        </w:rPr>
        <w:t>比选人</w:t>
      </w:r>
      <w:r>
        <w:rPr>
          <w:rFonts w:ascii="宋体" w:hAnsi="宋体"/>
          <w:color w:val="auto"/>
        </w:rPr>
        <w:t>与投标人串通投标。</w:t>
      </w:r>
    </w:p>
    <w:p w14:paraId="06EDA81E">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w:t>
      </w:r>
      <w:r>
        <w:rPr>
          <w:rFonts w:hint="eastAsia" w:ascii="宋体" w:hAnsi="宋体"/>
          <w:color w:val="auto"/>
          <w:lang w:eastAsia="zh-CN"/>
        </w:rPr>
        <w:t>比选人</w:t>
      </w:r>
      <w:r>
        <w:rPr>
          <w:rFonts w:ascii="宋体" w:hAnsi="宋体"/>
          <w:color w:val="auto"/>
        </w:rPr>
        <w:t>与投标人串通投标：</w:t>
      </w:r>
    </w:p>
    <w:p w14:paraId="2B0B88AD">
      <w:pPr>
        <w:autoSpaceDE w:val="0"/>
        <w:autoSpaceDN w:val="0"/>
        <w:adjustRightInd w:val="0"/>
        <w:snapToGrid w:val="0"/>
        <w:spacing w:line="360" w:lineRule="auto"/>
        <w:ind w:firstLine="420"/>
        <w:rPr>
          <w:rFonts w:ascii="宋体" w:hAnsi="宋体"/>
          <w:color w:val="auto"/>
        </w:rPr>
      </w:pPr>
      <w:r>
        <w:rPr>
          <w:rFonts w:ascii="宋体" w:hAnsi="宋体"/>
          <w:color w:val="auto"/>
        </w:rPr>
        <w:t>（1）</w:t>
      </w:r>
      <w:r>
        <w:rPr>
          <w:rFonts w:hint="eastAsia" w:ascii="宋体" w:hAnsi="宋体"/>
          <w:color w:val="auto"/>
          <w:lang w:eastAsia="zh-CN"/>
        </w:rPr>
        <w:t>比选人</w:t>
      </w:r>
      <w:r>
        <w:rPr>
          <w:rFonts w:ascii="宋体" w:hAnsi="宋体"/>
          <w:color w:val="auto"/>
        </w:rPr>
        <w:t>在开标前开启投标文件并将有关信息泄露给其他投标人</w:t>
      </w:r>
      <w:r>
        <w:rPr>
          <w:rFonts w:hint="eastAsia" w:ascii="宋体" w:hAnsi="宋体"/>
          <w:color w:val="auto"/>
        </w:rPr>
        <w:t>；</w:t>
      </w:r>
    </w:p>
    <w:p w14:paraId="3CC367A0">
      <w:pPr>
        <w:autoSpaceDE w:val="0"/>
        <w:autoSpaceDN w:val="0"/>
        <w:adjustRightInd w:val="0"/>
        <w:snapToGrid w:val="0"/>
        <w:spacing w:line="360" w:lineRule="auto"/>
        <w:ind w:firstLine="420"/>
        <w:rPr>
          <w:rFonts w:ascii="宋体" w:hAnsi="宋体"/>
          <w:color w:val="auto"/>
        </w:rPr>
      </w:pPr>
      <w:r>
        <w:rPr>
          <w:rFonts w:ascii="宋体" w:hAnsi="宋体"/>
          <w:color w:val="auto"/>
        </w:rPr>
        <w:t>（2）</w:t>
      </w:r>
      <w:r>
        <w:rPr>
          <w:rFonts w:hint="eastAsia" w:ascii="宋体" w:hAnsi="宋体"/>
          <w:color w:val="auto"/>
          <w:lang w:eastAsia="zh-CN"/>
        </w:rPr>
        <w:t>比选人</w:t>
      </w:r>
      <w:r>
        <w:rPr>
          <w:rFonts w:ascii="宋体" w:hAnsi="宋体"/>
          <w:color w:val="auto"/>
        </w:rPr>
        <w:t>直接或者间接向投标人泄露标底、评标委员会成员等信息；</w:t>
      </w:r>
    </w:p>
    <w:p w14:paraId="42E64B7D">
      <w:pPr>
        <w:autoSpaceDE w:val="0"/>
        <w:autoSpaceDN w:val="0"/>
        <w:adjustRightInd w:val="0"/>
        <w:snapToGrid w:val="0"/>
        <w:spacing w:line="360" w:lineRule="auto"/>
        <w:ind w:firstLine="420"/>
        <w:rPr>
          <w:rFonts w:ascii="宋体" w:hAnsi="宋体"/>
          <w:color w:val="auto"/>
        </w:rPr>
      </w:pPr>
      <w:r>
        <w:rPr>
          <w:rFonts w:ascii="宋体" w:hAnsi="宋体"/>
          <w:color w:val="auto"/>
        </w:rPr>
        <w:t>（3）</w:t>
      </w:r>
      <w:r>
        <w:rPr>
          <w:rFonts w:hint="eastAsia" w:ascii="宋体" w:hAnsi="宋体"/>
          <w:color w:val="auto"/>
          <w:lang w:eastAsia="zh-CN"/>
        </w:rPr>
        <w:t>比选人</w:t>
      </w:r>
      <w:r>
        <w:rPr>
          <w:rFonts w:ascii="宋体" w:hAnsi="宋体"/>
          <w:color w:val="auto"/>
        </w:rPr>
        <w:t>明示或者暗示投标人压低或者抬高投标报价；</w:t>
      </w:r>
    </w:p>
    <w:p w14:paraId="31B7EEA5">
      <w:pPr>
        <w:autoSpaceDE w:val="0"/>
        <w:autoSpaceDN w:val="0"/>
        <w:adjustRightInd w:val="0"/>
        <w:snapToGrid w:val="0"/>
        <w:spacing w:line="360" w:lineRule="auto"/>
        <w:ind w:firstLine="420"/>
        <w:rPr>
          <w:rFonts w:ascii="宋体" w:hAnsi="宋体"/>
          <w:color w:val="auto"/>
        </w:rPr>
      </w:pPr>
      <w:r>
        <w:rPr>
          <w:rFonts w:ascii="宋体" w:hAnsi="宋体"/>
          <w:color w:val="auto"/>
        </w:rPr>
        <w:t>（4）</w:t>
      </w:r>
      <w:r>
        <w:rPr>
          <w:rFonts w:hint="eastAsia" w:ascii="宋体" w:hAnsi="宋体"/>
          <w:color w:val="auto"/>
          <w:lang w:eastAsia="zh-CN"/>
        </w:rPr>
        <w:t>比选人</w:t>
      </w:r>
      <w:r>
        <w:rPr>
          <w:rFonts w:ascii="宋体" w:hAnsi="宋体"/>
          <w:color w:val="auto"/>
        </w:rPr>
        <w:t>授意投标人撤换、修改投标文件；</w:t>
      </w:r>
    </w:p>
    <w:p w14:paraId="6EF8B674">
      <w:pPr>
        <w:autoSpaceDE w:val="0"/>
        <w:autoSpaceDN w:val="0"/>
        <w:adjustRightInd w:val="0"/>
        <w:snapToGrid w:val="0"/>
        <w:spacing w:line="360" w:lineRule="auto"/>
        <w:ind w:firstLine="420"/>
        <w:rPr>
          <w:rFonts w:ascii="宋体" w:hAnsi="宋体"/>
          <w:color w:val="auto"/>
        </w:rPr>
      </w:pPr>
      <w:r>
        <w:rPr>
          <w:rFonts w:ascii="宋体" w:hAnsi="宋体"/>
          <w:color w:val="auto"/>
        </w:rPr>
        <w:t>（5）</w:t>
      </w:r>
      <w:r>
        <w:rPr>
          <w:rFonts w:hint="eastAsia" w:ascii="宋体" w:hAnsi="宋体"/>
          <w:color w:val="auto"/>
          <w:lang w:eastAsia="zh-CN"/>
        </w:rPr>
        <w:t>比选人</w:t>
      </w:r>
      <w:r>
        <w:rPr>
          <w:rFonts w:ascii="宋体" w:hAnsi="宋体"/>
          <w:color w:val="auto"/>
        </w:rPr>
        <w:t>明示或者暗示投标人为特定投标人中标提供方便；</w:t>
      </w:r>
    </w:p>
    <w:p w14:paraId="4DD33D2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w:t>
      </w:r>
      <w:r>
        <w:rPr>
          <w:rFonts w:hint="eastAsia" w:ascii="宋体" w:hAnsi="宋体"/>
          <w:color w:val="auto"/>
          <w:lang w:eastAsia="zh-CN"/>
        </w:rPr>
        <w:t>比选人</w:t>
      </w:r>
      <w:r>
        <w:rPr>
          <w:rFonts w:ascii="宋体" w:hAnsi="宋体"/>
          <w:color w:val="auto"/>
        </w:rPr>
        <w:t>与投标人为谋求特定投标人中标而采取的其他串通行为。</w:t>
      </w:r>
    </w:p>
    <w:p w14:paraId="685EE5AF">
      <w:pPr>
        <w:pStyle w:val="5"/>
        <w:snapToGrid w:val="0"/>
        <w:spacing w:before="0" w:after="0" w:line="360" w:lineRule="auto"/>
        <w:rPr>
          <w:rFonts w:ascii="宋体" w:hAnsi="宋体"/>
          <w:b w:val="0"/>
          <w:snapToGrid w:val="0"/>
          <w:color w:val="auto"/>
          <w:sz w:val="24"/>
          <w:szCs w:val="24"/>
        </w:rPr>
      </w:pPr>
      <w:bookmarkStart w:id="514" w:name="_Toc287607794"/>
      <w:bookmarkStart w:id="515" w:name="_Toc277082600"/>
      <w:bookmarkStart w:id="516" w:name="_Toc200513174"/>
      <w:bookmarkStart w:id="517" w:name="_Toc224103365"/>
      <w:bookmarkStart w:id="518" w:name="_Toc6794"/>
      <w:bookmarkStart w:id="519" w:name="_Toc11710"/>
      <w:bookmarkStart w:id="520" w:name="_Toc509218758"/>
      <w:bookmarkStart w:id="521" w:name="_Toc430530483"/>
      <w:bookmarkStart w:id="522" w:name="_Toc287620733"/>
      <w:r>
        <w:rPr>
          <w:rFonts w:ascii="宋体" w:hAnsi="宋体"/>
          <w:b w:val="0"/>
          <w:snapToGrid w:val="0"/>
          <w:color w:val="auto"/>
          <w:sz w:val="24"/>
          <w:szCs w:val="24"/>
        </w:rPr>
        <w:t>9.2  对投标人的纪律要求</w:t>
      </w:r>
      <w:bookmarkEnd w:id="514"/>
      <w:bookmarkEnd w:id="515"/>
      <w:bookmarkEnd w:id="516"/>
      <w:bookmarkEnd w:id="517"/>
      <w:bookmarkEnd w:id="518"/>
      <w:bookmarkEnd w:id="519"/>
      <w:bookmarkEnd w:id="520"/>
      <w:bookmarkEnd w:id="521"/>
      <w:bookmarkEnd w:id="522"/>
    </w:p>
    <w:p w14:paraId="61767AC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w:t>
      </w:r>
      <w:r>
        <w:rPr>
          <w:rFonts w:hint="eastAsia" w:ascii="宋体" w:hAnsi="宋体"/>
          <w:snapToGrid w:val="0"/>
          <w:color w:val="auto"/>
          <w:kern w:val="0"/>
          <w:szCs w:val="21"/>
          <w:lang w:eastAsia="zh-CN"/>
        </w:rPr>
        <w:t>比选人</w:t>
      </w:r>
      <w:r>
        <w:rPr>
          <w:rFonts w:ascii="宋体" w:hAnsi="宋体"/>
          <w:snapToGrid w:val="0"/>
          <w:color w:val="auto"/>
          <w:kern w:val="0"/>
          <w:szCs w:val="21"/>
        </w:rPr>
        <w:t>串通投标，不得向</w:t>
      </w:r>
      <w:r>
        <w:rPr>
          <w:rFonts w:hint="eastAsia" w:ascii="宋体" w:hAnsi="宋体"/>
          <w:snapToGrid w:val="0"/>
          <w:color w:val="auto"/>
          <w:kern w:val="0"/>
          <w:szCs w:val="21"/>
          <w:lang w:eastAsia="zh-CN"/>
        </w:rPr>
        <w:t>比选人</w:t>
      </w:r>
      <w:r>
        <w:rPr>
          <w:rFonts w:ascii="宋体" w:hAnsi="宋体"/>
          <w:snapToGrid w:val="0"/>
          <w:color w:val="auto"/>
          <w:kern w:val="0"/>
          <w:szCs w:val="21"/>
        </w:rPr>
        <w:t>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3DC9AE67">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230ED89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71A435A5">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02784FB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26C76E0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1AED9E6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47ADEC3E">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7C627865">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31214C6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0022D96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6CDDBF5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6F79412B">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33777E7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60D4A41A">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0D2F0015">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67DF4594">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3279F921">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48D7941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58F3F85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37785D7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0BAF0AF8">
      <w:pPr>
        <w:pStyle w:val="5"/>
        <w:snapToGrid w:val="0"/>
        <w:spacing w:before="0" w:after="0" w:line="360" w:lineRule="auto"/>
        <w:rPr>
          <w:rFonts w:ascii="宋体" w:hAnsi="宋体"/>
          <w:b w:val="0"/>
          <w:snapToGrid w:val="0"/>
          <w:color w:val="auto"/>
          <w:sz w:val="24"/>
          <w:szCs w:val="24"/>
        </w:rPr>
      </w:pPr>
      <w:bookmarkStart w:id="523" w:name="_Toc200513175"/>
      <w:bookmarkStart w:id="524" w:name="_Toc224103366"/>
      <w:bookmarkStart w:id="525" w:name="_Toc19095"/>
      <w:bookmarkStart w:id="526" w:name="_Toc430530484"/>
      <w:bookmarkStart w:id="527" w:name="_Toc509218759"/>
      <w:bookmarkStart w:id="528" w:name="_Toc287620734"/>
      <w:bookmarkStart w:id="529" w:name="_Toc277082601"/>
      <w:bookmarkStart w:id="530" w:name="_Toc287607795"/>
      <w:bookmarkStart w:id="531" w:name="_Toc27742"/>
      <w:r>
        <w:rPr>
          <w:rFonts w:ascii="宋体" w:hAnsi="宋体"/>
          <w:b w:val="0"/>
          <w:snapToGrid w:val="0"/>
          <w:color w:val="auto"/>
          <w:sz w:val="24"/>
          <w:szCs w:val="24"/>
        </w:rPr>
        <w:t>9.3  对评标委员会成员的纪律要求</w:t>
      </w:r>
      <w:bookmarkEnd w:id="523"/>
      <w:bookmarkEnd w:id="524"/>
      <w:bookmarkEnd w:id="525"/>
      <w:bookmarkEnd w:id="526"/>
      <w:bookmarkEnd w:id="527"/>
      <w:bookmarkEnd w:id="528"/>
      <w:bookmarkEnd w:id="529"/>
      <w:bookmarkEnd w:id="530"/>
      <w:bookmarkEnd w:id="531"/>
    </w:p>
    <w:p w14:paraId="23243EB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1A52F43E">
      <w:pPr>
        <w:pStyle w:val="5"/>
        <w:snapToGrid w:val="0"/>
        <w:spacing w:before="0" w:after="0" w:line="360" w:lineRule="auto"/>
        <w:rPr>
          <w:rFonts w:ascii="宋体" w:hAnsi="宋体"/>
          <w:b w:val="0"/>
          <w:snapToGrid w:val="0"/>
          <w:color w:val="auto"/>
          <w:sz w:val="24"/>
          <w:szCs w:val="24"/>
        </w:rPr>
      </w:pPr>
      <w:bookmarkStart w:id="532" w:name="_Toc509218760"/>
      <w:bookmarkStart w:id="533" w:name="_Toc287620735"/>
      <w:bookmarkStart w:id="534" w:name="_Toc17353"/>
      <w:bookmarkStart w:id="535" w:name="_Toc31174"/>
      <w:bookmarkStart w:id="536" w:name="_Toc430530485"/>
      <w:bookmarkStart w:id="537" w:name="_Toc200513176"/>
      <w:bookmarkStart w:id="538" w:name="_Toc224103367"/>
      <w:bookmarkStart w:id="539" w:name="_Toc277082602"/>
      <w:bookmarkStart w:id="540" w:name="_Toc287607796"/>
      <w:r>
        <w:rPr>
          <w:rFonts w:ascii="宋体" w:hAnsi="宋体"/>
          <w:b w:val="0"/>
          <w:snapToGrid w:val="0"/>
          <w:color w:val="auto"/>
          <w:sz w:val="24"/>
          <w:szCs w:val="24"/>
        </w:rPr>
        <w:t>9.4  对与评标活动有关的工作人员的纪律要求</w:t>
      </w:r>
      <w:bookmarkEnd w:id="532"/>
      <w:bookmarkEnd w:id="533"/>
      <w:bookmarkEnd w:id="534"/>
      <w:bookmarkEnd w:id="535"/>
      <w:bookmarkEnd w:id="536"/>
      <w:bookmarkEnd w:id="537"/>
      <w:bookmarkEnd w:id="538"/>
      <w:bookmarkEnd w:id="539"/>
      <w:bookmarkEnd w:id="540"/>
    </w:p>
    <w:p w14:paraId="25EEB99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16B56208">
      <w:pPr>
        <w:pStyle w:val="5"/>
        <w:snapToGrid w:val="0"/>
        <w:spacing w:before="0" w:after="0" w:line="360" w:lineRule="auto"/>
        <w:rPr>
          <w:rFonts w:ascii="宋体" w:hAnsi="宋体"/>
          <w:b w:val="0"/>
          <w:snapToGrid w:val="0"/>
          <w:color w:val="auto"/>
          <w:sz w:val="24"/>
          <w:szCs w:val="24"/>
        </w:rPr>
      </w:pPr>
      <w:bookmarkStart w:id="541" w:name="_Toc509218761"/>
      <w:bookmarkStart w:id="542" w:name="_Toc287620736"/>
      <w:bookmarkStart w:id="543" w:name="_Toc200513177"/>
      <w:bookmarkStart w:id="544" w:name="_Toc430530486"/>
      <w:bookmarkStart w:id="545" w:name="_Toc224103368"/>
      <w:bookmarkStart w:id="546" w:name="_Toc287607797"/>
      <w:bookmarkStart w:id="547" w:name="_Toc277082603"/>
      <w:bookmarkStart w:id="548" w:name="_Toc29670"/>
      <w:bookmarkStart w:id="549" w:name="_Toc17234"/>
      <w:r>
        <w:rPr>
          <w:rFonts w:ascii="宋体" w:hAnsi="宋体"/>
          <w:b w:val="0"/>
          <w:snapToGrid w:val="0"/>
          <w:color w:val="auto"/>
          <w:sz w:val="24"/>
          <w:szCs w:val="24"/>
        </w:rPr>
        <w:t>9.5  投诉</w:t>
      </w:r>
      <w:bookmarkEnd w:id="541"/>
      <w:bookmarkEnd w:id="542"/>
      <w:bookmarkEnd w:id="543"/>
      <w:bookmarkEnd w:id="544"/>
      <w:bookmarkEnd w:id="545"/>
      <w:bookmarkEnd w:id="546"/>
      <w:bookmarkEnd w:id="547"/>
      <w:bookmarkEnd w:id="548"/>
      <w:bookmarkEnd w:id="549"/>
    </w:p>
    <w:p w14:paraId="3301626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投标人和其他利害关系人认为本次招标活动违反法律、法规和规章规定的，有权向有关行政监督部门投诉。</w:t>
      </w:r>
    </w:p>
    <w:p w14:paraId="43D54E09">
      <w:pPr>
        <w:pStyle w:val="4"/>
        <w:spacing w:before="0" w:after="0" w:line="360" w:lineRule="auto"/>
        <w:rPr>
          <w:rFonts w:ascii="宋体" w:hAnsi="宋体"/>
          <w:b w:val="0"/>
          <w:snapToGrid w:val="0"/>
          <w:color w:val="auto"/>
        </w:rPr>
      </w:pPr>
      <w:bookmarkStart w:id="550" w:name="_Toc287620737"/>
      <w:bookmarkStart w:id="551" w:name="_Toc287607798"/>
      <w:bookmarkStart w:id="552" w:name="_Toc23914"/>
      <w:bookmarkStart w:id="553" w:name="_Toc277082604"/>
      <w:bookmarkStart w:id="554" w:name="_Toc13382"/>
      <w:bookmarkStart w:id="555" w:name="_Toc224103369"/>
      <w:bookmarkStart w:id="556" w:name="_Toc200513178"/>
      <w:bookmarkStart w:id="557" w:name="_Toc430530487"/>
      <w:bookmarkStart w:id="558" w:name="_Toc509218762"/>
      <w:r>
        <w:rPr>
          <w:rFonts w:ascii="宋体" w:hAnsi="宋体"/>
          <w:b w:val="0"/>
          <w:snapToGrid w:val="0"/>
          <w:color w:val="auto"/>
        </w:rPr>
        <w:t>10. 需要补充的其他内容</w:t>
      </w:r>
      <w:bookmarkEnd w:id="550"/>
      <w:bookmarkEnd w:id="551"/>
      <w:bookmarkEnd w:id="552"/>
      <w:bookmarkEnd w:id="553"/>
      <w:bookmarkEnd w:id="554"/>
      <w:bookmarkEnd w:id="555"/>
      <w:bookmarkEnd w:id="556"/>
      <w:bookmarkEnd w:id="557"/>
      <w:bookmarkEnd w:id="558"/>
    </w:p>
    <w:p w14:paraId="7918D47B">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3D8F638C">
      <w:pPr>
        <w:pStyle w:val="3"/>
        <w:spacing w:line="360" w:lineRule="auto"/>
        <w:jc w:val="center"/>
        <w:rPr>
          <w:rFonts w:ascii="宋体" w:hAnsi="宋体"/>
          <w:snapToGrid w:val="0"/>
          <w:color w:val="auto"/>
          <w:kern w:val="0"/>
        </w:rPr>
      </w:pPr>
      <w:bookmarkStart w:id="559" w:name="_Toc20466"/>
      <w:bookmarkStart w:id="560" w:name="_Toc3173"/>
      <w:r>
        <w:rPr>
          <w:rFonts w:ascii="宋体" w:hAnsi="宋体"/>
          <w:snapToGrid w:val="0"/>
          <w:color w:val="auto"/>
          <w:kern w:val="0"/>
        </w:rPr>
        <w:t xml:space="preserve">第三章 </w:t>
      </w:r>
      <w:r>
        <w:rPr>
          <w:rFonts w:hint="eastAsia" w:ascii="宋体" w:hAnsi="宋体"/>
          <w:snapToGrid w:val="0"/>
          <w:color w:val="auto"/>
          <w:kern w:val="0"/>
        </w:rPr>
        <w:t xml:space="preserve"> </w:t>
      </w:r>
      <w:r>
        <w:rPr>
          <w:rFonts w:ascii="宋体" w:hAnsi="宋体"/>
          <w:snapToGrid w:val="0"/>
          <w:color w:val="auto"/>
          <w:kern w:val="0"/>
        </w:rPr>
        <w:t>评标办法（</w:t>
      </w:r>
      <w:r>
        <w:rPr>
          <w:rFonts w:hint="eastAsia" w:ascii="宋体" w:hAnsi="宋体"/>
          <w:snapToGrid w:val="0"/>
          <w:color w:val="auto"/>
          <w:kern w:val="0"/>
        </w:rPr>
        <w:t>经评审的最低投标价法</w:t>
      </w:r>
      <w:r>
        <w:rPr>
          <w:rFonts w:ascii="宋体" w:hAnsi="宋体"/>
          <w:snapToGrid w:val="0"/>
          <w:color w:val="auto"/>
          <w:kern w:val="0"/>
        </w:rPr>
        <w:t>）</w:t>
      </w:r>
      <w:bookmarkEnd w:id="559"/>
      <w:bookmarkEnd w:id="560"/>
    </w:p>
    <w:p w14:paraId="07AD140F">
      <w:pPr>
        <w:keepNext/>
        <w:keepLines/>
        <w:spacing w:before="100" w:after="100" w:line="360" w:lineRule="auto"/>
        <w:outlineLvl w:val="1"/>
        <w:rPr>
          <w:rFonts w:ascii="宋体" w:hAnsi="宋体"/>
          <w:b/>
          <w:color w:val="auto"/>
          <w:sz w:val="32"/>
          <w:szCs w:val="32"/>
        </w:rPr>
      </w:pPr>
      <w:bookmarkStart w:id="561" w:name="_Toc9040"/>
      <w:bookmarkStart w:id="562" w:name="_Toc14792"/>
      <w:r>
        <w:rPr>
          <w:rFonts w:hint="eastAsia" w:ascii="宋体" w:hAnsi="宋体"/>
          <w:b/>
          <w:color w:val="auto"/>
          <w:sz w:val="32"/>
          <w:szCs w:val="32"/>
        </w:rPr>
        <w:t>评标办法前附表</w:t>
      </w:r>
      <w:bookmarkEnd w:id="561"/>
      <w:bookmarkEnd w:id="562"/>
    </w:p>
    <w:p w14:paraId="0266CE66">
      <w:pPr>
        <w:spacing w:line="400" w:lineRule="exact"/>
        <w:ind w:firstLine="427" w:firstLineChars="196"/>
        <w:rPr>
          <w:rFonts w:ascii="宋体" w:hAnsi="宋体"/>
          <w:color w:val="auto"/>
          <w:spacing w:val="4"/>
          <w:kern w:val="0"/>
          <w:szCs w:val="21"/>
        </w:rPr>
      </w:pPr>
      <w:bookmarkStart w:id="563"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563"/>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6837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4F60687">
            <w:pPr>
              <w:spacing w:line="400" w:lineRule="exact"/>
              <w:jc w:val="center"/>
              <w:rPr>
                <w:rFonts w:ascii="宋体" w:hAnsi="宋体"/>
                <w:b/>
                <w:color w:val="auto"/>
                <w:kern w:val="0"/>
              </w:rPr>
            </w:pPr>
            <w:r>
              <w:rPr>
                <w:rFonts w:ascii="宋体" w:hAnsi="宋体"/>
                <w:b/>
                <w:color w:val="auto"/>
                <w:kern w:val="0"/>
              </w:rPr>
              <w:t>条款号</w:t>
            </w:r>
          </w:p>
        </w:tc>
        <w:tc>
          <w:tcPr>
            <w:tcW w:w="1560" w:type="dxa"/>
            <w:tcBorders>
              <w:left w:val="single" w:color="auto" w:sz="4" w:space="0"/>
            </w:tcBorders>
            <w:vAlign w:val="center"/>
          </w:tcPr>
          <w:p w14:paraId="3F824DD7">
            <w:pPr>
              <w:spacing w:line="400" w:lineRule="exact"/>
              <w:jc w:val="center"/>
              <w:rPr>
                <w:rFonts w:ascii="宋体" w:hAnsi="宋体"/>
                <w:b/>
                <w:color w:val="auto"/>
                <w:kern w:val="0"/>
              </w:rPr>
            </w:pPr>
            <w:r>
              <w:rPr>
                <w:rFonts w:ascii="宋体" w:hAnsi="宋体"/>
                <w:b/>
                <w:color w:val="auto"/>
                <w:kern w:val="0"/>
              </w:rPr>
              <w:t>评审因素</w:t>
            </w:r>
          </w:p>
        </w:tc>
        <w:tc>
          <w:tcPr>
            <w:tcW w:w="6882" w:type="dxa"/>
            <w:gridSpan w:val="2"/>
            <w:vAlign w:val="center"/>
          </w:tcPr>
          <w:p w14:paraId="1DE502F5">
            <w:pPr>
              <w:spacing w:line="400" w:lineRule="exact"/>
              <w:jc w:val="center"/>
              <w:rPr>
                <w:rFonts w:ascii="宋体" w:hAnsi="宋体"/>
                <w:b/>
                <w:color w:val="auto"/>
                <w:kern w:val="0"/>
              </w:rPr>
            </w:pPr>
            <w:r>
              <w:rPr>
                <w:rFonts w:ascii="宋体" w:hAnsi="宋体"/>
                <w:b/>
                <w:color w:val="auto"/>
                <w:kern w:val="0"/>
              </w:rPr>
              <w:t>评审标准</w:t>
            </w:r>
          </w:p>
        </w:tc>
      </w:tr>
      <w:tr w14:paraId="5A61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64336EEB">
            <w:pPr>
              <w:pStyle w:val="85"/>
              <w:spacing w:line="400" w:lineRule="exact"/>
              <w:ind w:firstLine="420"/>
              <w:rPr>
                <w:color w:val="auto"/>
                <w:sz w:val="21"/>
                <w:szCs w:val="21"/>
              </w:rPr>
            </w:pPr>
            <w:r>
              <w:rPr>
                <w:color w:val="auto"/>
                <w:sz w:val="21"/>
                <w:szCs w:val="21"/>
              </w:rPr>
              <w:t>1</w:t>
            </w:r>
          </w:p>
        </w:tc>
        <w:tc>
          <w:tcPr>
            <w:tcW w:w="1560" w:type="dxa"/>
            <w:tcBorders>
              <w:left w:val="single" w:color="auto" w:sz="4" w:space="0"/>
            </w:tcBorders>
            <w:vAlign w:val="center"/>
          </w:tcPr>
          <w:p w14:paraId="0BB24514">
            <w:pPr>
              <w:pStyle w:val="85"/>
              <w:spacing w:line="400" w:lineRule="exact"/>
              <w:ind w:firstLine="0" w:firstLineChars="0"/>
              <w:jc w:val="center"/>
              <w:rPr>
                <w:color w:val="auto"/>
                <w:sz w:val="21"/>
                <w:szCs w:val="21"/>
              </w:rPr>
            </w:pPr>
            <w:r>
              <w:rPr>
                <w:rFonts w:hint="eastAsia"/>
                <w:color w:val="auto"/>
                <w:sz w:val="21"/>
                <w:szCs w:val="21"/>
              </w:rPr>
              <w:t>评标办法</w:t>
            </w:r>
          </w:p>
        </w:tc>
        <w:tc>
          <w:tcPr>
            <w:tcW w:w="6882" w:type="dxa"/>
            <w:gridSpan w:val="2"/>
            <w:vAlign w:val="center"/>
          </w:tcPr>
          <w:p w14:paraId="4A378139">
            <w:pPr>
              <w:spacing w:line="400" w:lineRule="exact"/>
              <w:ind w:firstLine="436" w:firstLineChars="200"/>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若出现投标人投标报价相同的，由评标委员会</w:t>
            </w:r>
            <w:r>
              <w:rPr>
                <w:rFonts w:hint="eastAsia" w:ascii="宋体" w:hAnsi="宋体"/>
                <w:color w:val="auto"/>
                <w:spacing w:val="4"/>
                <w:kern w:val="0"/>
                <w:szCs w:val="21"/>
                <w:u w:val="single"/>
              </w:rPr>
              <w:t xml:space="preserve"> </w:t>
            </w:r>
            <w:r>
              <w:rPr>
                <w:rFonts w:hint="eastAsia" w:ascii="宋体" w:hAnsi="宋体" w:cs="宋体"/>
                <w:color w:val="auto"/>
                <w:spacing w:val="-7"/>
                <w:highlight w:val="none"/>
                <w:u w:val="single"/>
              </w:rPr>
              <w:t>全体成员投票，并按简单多数</w:t>
            </w:r>
            <w:r>
              <w:rPr>
                <w:rFonts w:hint="eastAsia" w:ascii="宋体" w:hAnsi="宋体" w:cs="宋体"/>
                <w:color w:val="auto"/>
                <w:highlight w:val="none"/>
                <w:u w:val="single"/>
                <w:lang w:val="en-US" w:eastAsia="zh-CN"/>
              </w:rPr>
              <w:t>的</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411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C8E0891">
            <w:pPr>
              <w:spacing w:line="400" w:lineRule="exact"/>
              <w:jc w:val="center"/>
              <w:rPr>
                <w:rFonts w:ascii="宋体" w:hAnsi="宋体"/>
                <w:color w:val="auto"/>
                <w:kern w:val="0"/>
              </w:rPr>
            </w:pPr>
            <w:r>
              <w:rPr>
                <w:rFonts w:hint="eastAsia" w:ascii="宋体" w:hAnsi="宋体"/>
                <w:color w:val="auto"/>
                <w:kern w:val="0"/>
              </w:rPr>
              <w:t>2.1</w:t>
            </w:r>
          </w:p>
        </w:tc>
        <w:tc>
          <w:tcPr>
            <w:tcW w:w="1560" w:type="dxa"/>
            <w:tcBorders>
              <w:left w:val="single" w:color="auto" w:sz="4" w:space="0"/>
              <w:right w:val="single" w:color="auto" w:sz="4" w:space="0"/>
            </w:tcBorders>
            <w:vAlign w:val="center"/>
          </w:tcPr>
          <w:p w14:paraId="07A5E4BD">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6882" w:type="dxa"/>
            <w:gridSpan w:val="2"/>
            <w:tcBorders>
              <w:left w:val="single" w:color="auto" w:sz="4" w:space="0"/>
            </w:tcBorders>
            <w:vAlign w:val="center"/>
          </w:tcPr>
          <w:p w14:paraId="1071739F">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14:paraId="3F8E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C75BD43">
            <w:pPr>
              <w:spacing w:line="400" w:lineRule="exact"/>
              <w:jc w:val="center"/>
              <w:rPr>
                <w:rFonts w:ascii="宋体" w:hAnsi="宋体"/>
                <w:color w:val="auto"/>
                <w:kern w:val="0"/>
              </w:rPr>
            </w:pPr>
            <w:r>
              <w:rPr>
                <w:rFonts w:hint="eastAsia" w:ascii="宋体" w:hAnsi="宋体"/>
                <w:color w:val="auto"/>
                <w:kern w:val="0"/>
              </w:rPr>
              <w:t>2.2</w:t>
            </w:r>
          </w:p>
        </w:tc>
        <w:tc>
          <w:tcPr>
            <w:tcW w:w="1560" w:type="dxa"/>
            <w:tcBorders>
              <w:left w:val="single" w:color="auto" w:sz="4" w:space="0"/>
              <w:right w:val="single" w:color="auto" w:sz="4" w:space="0"/>
            </w:tcBorders>
            <w:vAlign w:val="center"/>
          </w:tcPr>
          <w:p w14:paraId="53C46558">
            <w:pPr>
              <w:spacing w:line="400" w:lineRule="exact"/>
              <w:jc w:val="center"/>
              <w:rPr>
                <w:rFonts w:ascii="宋体" w:hAnsi="宋体"/>
                <w:color w:val="auto"/>
                <w:kern w:val="0"/>
              </w:rPr>
            </w:pPr>
            <w:r>
              <w:rPr>
                <w:rFonts w:hint="eastAsia" w:ascii="宋体" w:hAnsi="宋体"/>
                <w:color w:val="auto"/>
                <w:kern w:val="0"/>
              </w:rPr>
              <w:t>符合性审查</w:t>
            </w:r>
          </w:p>
        </w:tc>
        <w:tc>
          <w:tcPr>
            <w:tcW w:w="6882" w:type="dxa"/>
            <w:gridSpan w:val="2"/>
            <w:tcBorders>
              <w:left w:val="single" w:color="auto" w:sz="4" w:space="0"/>
            </w:tcBorders>
            <w:vAlign w:val="center"/>
          </w:tcPr>
          <w:p w14:paraId="5DFFD014">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ascii="宋体" w:hAnsi="宋体"/>
                <w:color w:val="auto"/>
                <w:kern w:val="0"/>
                <w:lang w:eastAsia="zh-CN"/>
              </w:rPr>
              <w:t>☑</w:t>
            </w:r>
            <w:r>
              <w:rPr>
                <w:rFonts w:hint="eastAsia" w:ascii="宋体" w:hAnsi="宋体"/>
                <w:color w:val="auto"/>
                <w:kern w:val="0"/>
              </w:rPr>
              <w:t>5名（若实际投标人数量小于勾选数量，</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rPr>
              <w:t>合格的投标人中，报价最低的成为第一中标候选人，报价次低的成为第二中标候选人，依次类推。</w:t>
            </w:r>
          </w:p>
        </w:tc>
      </w:tr>
      <w:tr w14:paraId="55DF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6DEC779C">
            <w:pPr>
              <w:spacing w:line="400" w:lineRule="exact"/>
              <w:jc w:val="center"/>
              <w:rPr>
                <w:rFonts w:ascii="宋体" w:hAnsi="宋体" w:cs="宋体"/>
                <w:color w:val="auto"/>
                <w:szCs w:val="21"/>
              </w:rPr>
            </w:pPr>
            <w:r>
              <w:rPr>
                <w:rFonts w:hint="eastAsia" w:ascii="宋体" w:hAnsi="宋体" w:cs="宋体"/>
                <w:color w:val="auto"/>
                <w:szCs w:val="21"/>
              </w:rPr>
              <w:t>2.2.2</w:t>
            </w:r>
          </w:p>
        </w:tc>
        <w:tc>
          <w:tcPr>
            <w:tcW w:w="1560" w:type="dxa"/>
            <w:vMerge w:val="restart"/>
            <w:tcBorders>
              <w:left w:val="single" w:color="auto" w:sz="4" w:space="0"/>
              <w:right w:val="single" w:color="auto" w:sz="4" w:space="0"/>
            </w:tcBorders>
            <w:vAlign w:val="center"/>
          </w:tcPr>
          <w:p w14:paraId="41661B5C">
            <w:pPr>
              <w:spacing w:line="400" w:lineRule="exact"/>
              <w:jc w:val="center"/>
              <w:rPr>
                <w:rFonts w:ascii="宋体" w:hAnsi="宋体"/>
                <w:color w:val="auto"/>
                <w:kern w:val="0"/>
              </w:rPr>
            </w:pPr>
            <w:r>
              <w:rPr>
                <w:rFonts w:hint="eastAsia" w:ascii="宋体" w:hAnsi="宋体"/>
                <w:color w:val="auto"/>
                <w:kern w:val="0"/>
              </w:rPr>
              <w:t>资格评审标准</w:t>
            </w:r>
          </w:p>
        </w:tc>
        <w:tc>
          <w:tcPr>
            <w:tcW w:w="2267" w:type="dxa"/>
            <w:tcBorders>
              <w:top w:val="single" w:color="auto" w:sz="4" w:space="0"/>
              <w:left w:val="single" w:color="auto" w:sz="4" w:space="0"/>
              <w:right w:val="single" w:color="auto" w:sz="4" w:space="0"/>
            </w:tcBorders>
            <w:vAlign w:val="center"/>
          </w:tcPr>
          <w:p w14:paraId="7679EC6A">
            <w:pPr>
              <w:snapToGrid w:val="0"/>
              <w:spacing w:line="400" w:lineRule="exact"/>
              <w:jc w:val="left"/>
              <w:rPr>
                <w:rFonts w:ascii="宋体" w:hAnsi="宋体" w:cs="宋体"/>
                <w:color w:val="auto"/>
                <w:kern w:val="0"/>
              </w:rPr>
            </w:pPr>
            <w:r>
              <w:rPr>
                <w:rFonts w:hint="eastAsia" w:ascii="宋体" w:hAnsi="宋体" w:cs="宋体"/>
                <w:color w:val="auto"/>
                <w:kern w:val="0"/>
              </w:rPr>
              <w:t>资质条件</w:t>
            </w:r>
          </w:p>
        </w:tc>
        <w:tc>
          <w:tcPr>
            <w:tcW w:w="4615" w:type="dxa"/>
            <w:tcBorders>
              <w:top w:val="single" w:color="auto" w:sz="4" w:space="0"/>
              <w:left w:val="single" w:color="auto" w:sz="4" w:space="0"/>
            </w:tcBorders>
            <w:vAlign w:val="center"/>
          </w:tcPr>
          <w:p w14:paraId="5F0DBAE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7432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EF8C2F4">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918BEC3">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664F1B15">
            <w:pPr>
              <w:snapToGrid w:val="0"/>
              <w:spacing w:line="400" w:lineRule="exact"/>
              <w:jc w:val="left"/>
              <w:rPr>
                <w:rFonts w:ascii="宋体" w:hAnsi="宋体" w:cs="宋体"/>
                <w:color w:val="auto"/>
                <w:kern w:val="0"/>
              </w:rPr>
            </w:pPr>
            <w:r>
              <w:rPr>
                <w:rFonts w:hint="eastAsia" w:ascii="宋体" w:hAnsi="宋体" w:cs="宋体"/>
                <w:color w:val="auto"/>
                <w:kern w:val="0"/>
              </w:rPr>
              <w:t>营业执照</w:t>
            </w:r>
          </w:p>
        </w:tc>
        <w:tc>
          <w:tcPr>
            <w:tcW w:w="4615" w:type="dxa"/>
            <w:tcBorders>
              <w:top w:val="single" w:color="auto" w:sz="4" w:space="0"/>
              <w:left w:val="single" w:color="auto" w:sz="4" w:space="0"/>
            </w:tcBorders>
            <w:vAlign w:val="center"/>
          </w:tcPr>
          <w:p w14:paraId="22E869C2">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26CA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6FC0F4C">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D7504E1">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1493716">
            <w:pPr>
              <w:snapToGrid w:val="0"/>
              <w:spacing w:line="400" w:lineRule="exact"/>
              <w:jc w:val="left"/>
              <w:rPr>
                <w:rFonts w:ascii="宋体" w:hAnsi="宋体" w:cs="宋体"/>
                <w:color w:val="auto"/>
                <w:kern w:val="0"/>
              </w:rPr>
            </w:pPr>
            <w:r>
              <w:rPr>
                <w:rFonts w:hint="eastAsia" w:ascii="宋体" w:hAnsi="宋体" w:cs="宋体"/>
                <w:color w:val="auto"/>
                <w:kern w:val="0"/>
              </w:rPr>
              <w:t>安全生产条件</w:t>
            </w:r>
          </w:p>
        </w:tc>
        <w:tc>
          <w:tcPr>
            <w:tcW w:w="4615" w:type="dxa"/>
            <w:tcBorders>
              <w:top w:val="single" w:color="auto" w:sz="4" w:space="0"/>
              <w:left w:val="single" w:color="auto" w:sz="4" w:space="0"/>
            </w:tcBorders>
            <w:vAlign w:val="center"/>
          </w:tcPr>
          <w:p w14:paraId="63334AF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0F08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5AE68E5">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24E0E71">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FC359F6">
            <w:pPr>
              <w:snapToGrid w:val="0"/>
              <w:spacing w:after="78" w:afterLines="25" w:line="400" w:lineRule="exact"/>
              <w:jc w:val="left"/>
              <w:rPr>
                <w:rFonts w:ascii="宋体" w:hAnsi="宋体" w:eastAsia="宋体" w:cs="宋体"/>
                <w:color w:val="auto"/>
                <w:kern w:val="0"/>
                <w:sz w:val="21"/>
                <w:szCs w:val="24"/>
                <w:lang w:val="en-US" w:eastAsia="zh-CN" w:bidi="ar-SA"/>
              </w:rPr>
            </w:pPr>
            <w:r>
              <w:rPr>
                <w:rFonts w:hint="eastAsia" w:ascii="宋体" w:hAnsi="宋体" w:cs="宋体"/>
                <w:color w:val="auto"/>
                <w:szCs w:val="21"/>
              </w:rPr>
              <w:t>投标截止日投标资格情况</w:t>
            </w:r>
          </w:p>
        </w:tc>
        <w:tc>
          <w:tcPr>
            <w:tcW w:w="4615" w:type="dxa"/>
            <w:tcBorders>
              <w:top w:val="single" w:color="auto" w:sz="4" w:space="0"/>
              <w:left w:val="single" w:color="auto" w:sz="4" w:space="0"/>
            </w:tcBorders>
            <w:vAlign w:val="center"/>
          </w:tcPr>
          <w:p w14:paraId="6D8B55EB">
            <w:pPr>
              <w:snapToGrid w:val="0"/>
              <w:spacing w:line="400" w:lineRule="exact"/>
              <w:ind w:firstLine="420" w:firstLineChars="200"/>
              <w:rPr>
                <w:rFonts w:ascii="宋体" w:hAnsi="宋体" w:eastAsia="宋体" w:cs="宋体"/>
                <w:color w:val="auto"/>
                <w:kern w:val="0"/>
                <w:sz w:val="21"/>
                <w:szCs w:val="24"/>
                <w:lang w:val="en-US" w:eastAsia="zh-CN" w:bidi="ar-SA"/>
              </w:rPr>
            </w:pPr>
            <w:r>
              <w:rPr>
                <w:rFonts w:hint="eastAsia" w:ascii="宋体" w:hAnsi="宋体" w:cs="宋体"/>
                <w:color w:val="auto"/>
                <w:kern w:val="0"/>
              </w:rPr>
              <w:t>符合第二章“投标人须知”第1.4.1项规定</w:t>
            </w:r>
          </w:p>
        </w:tc>
      </w:tr>
      <w:tr w14:paraId="2506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631435C">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04790CE2">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0A829812">
            <w:pPr>
              <w:snapToGrid w:val="0"/>
              <w:spacing w:line="400" w:lineRule="exact"/>
              <w:jc w:val="left"/>
              <w:rPr>
                <w:rFonts w:ascii="宋体" w:hAnsi="宋体" w:eastAsia="宋体" w:cs="宋体"/>
                <w:color w:val="auto"/>
                <w:kern w:val="0"/>
                <w:sz w:val="21"/>
                <w:szCs w:val="24"/>
                <w:lang w:val="en-US" w:eastAsia="zh-CN" w:bidi="ar-SA"/>
              </w:rPr>
            </w:pPr>
            <w:r>
              <w:rPr>
                <w:rFonts w:hint="eastAsia" w:ascii="宋体" w:hAnsi="宋体" w:cs="宋体"/>
                <w:color w:val="auto"/>
                <w:kern w:val="0"/>
              </w:rPr>
              <w:t>项目经理资格要求</w:t>
            </w:r>
          </w:p>
        </w:tc>
        <w:tc>
          <w:tcPr>
            <w:tcW w:w="4615" w:type="dxa"/>
            <w:tcBorders>
              <w:top w:val="single" w:color="auto" w:sz="4" w:space="0"/>
              <w:left w:val="single" w:color="auto" w:sz="4" w:space="0"/>
            </w:tcBorders>
            <w:vAlign w:val="center"/>
          </w:tcPr>
          <w:p w14:paraId="4A97626A">
            <w:pPr>
              <w:snapToGrid w:val="0"/>
              <w:spacing w:line="400" w:lineRule="exact"/>
              <w:ind w:firstLine="420" w:firstLineChars="200"/>
              <w:rPr>
                <w:rFonts w:ascii="宋体" w:hAnsi="宋体" w:eastAsia="宋体" w:cs="宋体"/>
                <w:color w:val="auto"/>
                <w:kern w:val="0"/>
                <w:sz w:val="21"/>
                <w:szCs w:val="24"/>
                <w:lang w:val="en-US" w:eastAsia="zh-CN" w:bidi="ar-SA"/>
              </w:rPr>
            </w:pPr>
            <w:r>
              <w:rPr>
                <w:rFonts w:hint="eastAsia" w:ascii="宋体" w:hAnsi="宋体" w:cs="宋体"/>
                <w:color w:val="auto"/>
                <w:kern w:val="0"/>
              </w:rPr>
              <w:t>符合第二章“投标人须知”第1.4.1项规定</w:t>
            </w:r>
          </w:p>
        </w:tc>
      </w:tr>
      <w:tr w14:paraId="1DFC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243" w:type="dxa"/>
            <w:vMerge w:val="continue"/>
            <w:tcBorders>
              <w:right w:val="single" w:color="auto" w:sz="4" w:space="0"/>
            </w:tcBorders>
            <w:vAlign w:val="center"/>
          </w:tcPr>
          <w:p w14:paraId="6773E229">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2DCD0C8">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7CE326D1">
            <w:pPr>
              <w:snapToGrid w:val="0"/>
              <w:spacing w:line="400" w:lineRule="exact"/>
              <w:jc w:val="left"/>
              <w:rPr>
                <w:rFonts w:ascii="宋体" w:hAnsi="宋体" w:eastAsia="宋体" w:cs="宋体"/>
                <w:color w:val="auto"/>
                <w:kern w:val="0"/>
                <w:sz w:val="21"/>
                <w:szCs w:val="24"/>
                <w:lang w:val="en-US" w:eastAsia="zh-CN" w:bidi="ar-SA"/>
              </w:rPr>
            </w:pPr>
            <w:r>
              <w:rPr>
                <w:rFonts w:hint="eastAsia" w:ascii="宋体" w:hAnsi="宋体" w:cs="宋体"/>
                <w:color w:val="auto"/>
                <w:kern w:val="0"/>
              </w:rPr>
              <w:t>其他要求</w:t>
            </w:r>
          </w:p>
        </w:tc>
        <w:tc>
          <w:tcPr>
            <w:tcW w:w="4615" w:type="dxa"/>
            <w:tcBorders>
              <w:top w:val="single" w:color="auto" w:sz="4" w:space="0"/>
              <w:left w:val="single" w:color="auto" w:sz="4" w:space="0"/>
            </w:tcBorders>
            <w:vAlign w:val="center"/>
          </w:tcPr>
          <w:p w14:paraId="54593FD7">
            <w:pPr>
              <w:snapToGrid w:val="0"/>
              <w:spacing w:line="400" w:lineRule="exact"/>
              <w:ind w:firstLine="420" w:firstLineChars="200"/>
              <w:rPr>
                <w:rFonts w:ascii="宋体" w:hAnsi="宋体" w:eastAsia="宋体" w:cs="宋体"/>
                <w:color w:val="auto"/>
                <w:kern w:val="0"/>
                <w:sz w:val="21"/>
                <w:szCs w:val="24"/>
                <w:u w:val="single"/>
                <w:lang w:val="en-US" w:eastAsia="zh-CN" w:bidi="ar-SA"/>
              </w:rPr>
            </w:pPr>
            <w:r>
              <w:rPr>
                <w:rFonts w:hint="eastAsia" w:ascii="宋体" w:hAnsi="宋体" w:cs="宋体"/>
                <w:color w:val="auto"/>
                <w:kern w:val="0"/>
              </w:rPr>
              <w:t>符合第二章“投标人须知”第1.4.1项规定</w:t>
            </w:r>
          </w:p>
        </w:tc>
      </w:tr>
      <w:tr w14:paraId="417D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49659EBE">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60" w:type="dxa"/>
            <w:vMerge w:val="restart"/>
            <w:tcBorders>
              <w:left w:val="single" w:color="auto" w:sz="4" w:space="0"/>
            </w:tcBorders>
            <w:vAlign w:val="center"/>
          </w:tcPr>
          <w:p w14:paraId="50DF9D89">
            <w:pPr>
              <w:spacing w:line="400" w:lineRule="exact"/>
              <w:jc w:val="center"/>
              <w:rPr>
                <w:rFonts w:ascii="宋体" w:hAnsi="宋体"/>
                <w:color w:val="auto"/>
                <w:kern w:val="0"/>
              </w:rPr>
            </w:pPr>
            <w:r>
              <w:rPr>
                <w:rFonts w:hint="eastAsia" w:ascii="宋体" w:hAnsi="宋体"/>
                <w:color w:val="auto"/>
                <w:kern w:val="0"/>
              </w:rPr>
              <w:t>形式评审标准</w:t>
            </w:r>
          </w:p>
        </w:tc>
        <w:tc>
          <w:tcPr>
            <w:tcW w:w="2267" w:type="dxa"/>
            <w:tcBorders>
              <w:right w:val="single" w:color="auto" w:sz="4" w:space="0"/>
            </w:tcBorders>
            <w:vAlign w:val="center"/>
          </w:tcPr>
          <w:p w14:paraId="79D7EE24">
            <w:pPr>
              <w:spacing w:line="400" w:lineRule="exact"/>
              <w:jc w:val="left"/>
              <w:rPr>
                <w:rFonts w:ascii="宋体" w:hAnsi="宋体" w:cs="宋体"/>
                <w:color w:val="auto"/>
                <w:kern w:val="0"/>
              </w:rPr>
            </w:pPr>
            <w:r>
              <w:rPr>
                <w:rFonts w:hint="eastAsia" w:ascii="宋体" w:hAnsi="宋体" w:cs="宋体"/>
                <w:color w:val="auto"/>
                <w:kern w:val="0"/>
              </w:rPr>
              <w:t>投标人名称</w:t>
            </w:r>
          </w:p>
        </w:tc>
        <w:tc>
          <w:tcPr>
            <w:tcW w:w="4615" w:type="dxa"/>
            <w:tcBorders>
              <w:left w:val="single" w:color="auto" w:sz="4" w:space="0"/>
            </w:tcBorders>
            <w:vAlign w:val="center"/>
          </w:tcPr>
          <w:p w14:paraId="6A039CA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6E24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9221E9A">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0F3F75C">
            <w:pPr>
              <w:spacing w:line="400" w:lineRule="exact"/>
              <w:jc w:val="center"/>
              <w:rPr>
                <w:rFonts w:ascii="宋体" w:hAnsi="宋体"/>
                <w:b/>
                <w:color w:val="auto"/>
                <w:kern w:val="0"/>
              </w:rPr>
            </w:pPr>
          </w:p>
        </w:tc>
        <w:tc>
          <w:tcPr>
            <w:tcW w:w="2267" w:type="dxa"/>
            <w:tcBorders>
              <w:right w:val="single" w:color="auto" w:sz="4" w:space="0"/>
            </w:tcBorders>
            <w:vAlign w:val="center"/>
          </w:tcPr>
          <w:p w14:paraId="55FB60FC">
            <w:pPr>
              <w:spacing w:line="400" w:lineRule="exact"/>
              <w:jc w:val="left"/>
              <w:rPr>
                <w:rFonts w:ascii="宋体" w:hAnsi="宋体" w:cs="宋体"/>
                <w:color w:val="auto"/>
                <w:kern w:val="0"/>
              </w:rPr>
            </w:pPr>
            <w:r>
              <w:rPr>
                <w:rFonts w:hint="eastAsia" w:ascii="宋体" w:hAnsi="宋体" w:cs="宋体"/>
                <w:color w:val="auto"/>
                <w:kern w:val="0"/>
              </w:rPr>
              <w:t>投标函签名盖章</w:t>
            </w:r>
          </w:p>
        </w:tc>
        <w:tc>
          <w:tcPr>
            <w:tcW w:w="4615" w:type="dxa"/>
            <w:tcBorders>
              <w:left w:val="single" w:color="auto" w:sz="4" w:space="0"/>
            </w:tcBorders>
            <w:vAlign w:val="center"/>
          </w:tcPr>
          <w:p w14:paraId="4F8BB33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投标函格式规定签名、盖章的位置有法定代表人或其委托代理人签名（或盖章）、加盖单位法人章。</w:t>
            </w:r>
          </w:p>
        </w:tc>
      </w:tr>
      <w:tr w14:paraId="7A16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A7E80B5">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EBD7880">
            <w:pPr>
              <w:spacing w:line="400" w:lineRule="exact"/>
              <w:jc w:val="center"/>
              <w:rPr>
                <w:rFonts w:ascii="宋体" w:hAnsi="宋体"/>
                <w:b/>
                <w:color w:val="auto"/>
                <w:kern w:val="0"/>
              </w:rPr>
            </w:pPr>
          </w:p>
        </w:tc>
        <w:tc>
          <w:tcPr>
            <w:tcW w:w="2267" w:type="dxa"/>
            <w:tcBorders>
              <w:right w:val="single" w:color="auto" w:sz="4" w:space="0"/>
            </w:tcBorders>
            <w:vAlign w:val="center"/>
          </w:tcPr>
          <w:p w14:paraId="73057260">
            <w:pPr>
              <w:spacing w:line="400" w:lineRule="exact"/>
              <w:jc w:val="left"/>
              <w:rPr>
                <w:rFonts w:ascii="宋体" w:hAnsi="宋体" w:cs="宋体"/>
                <w:color w:val="auto"/>
                <w:kern w:val="0"/>
              </w:rPr>
            </w:pPr>
            <w:r>
              <w:rPr>
                <w:rFonts w:hint="eastAsia" w:ascii="宋体" w:hAnsi="宋体" w:cs="宋体"/>
                <w:color w:val="auto"/>
                <w:kern w:val="0"/>
              </w:rPr>
              <w:t>投标文件格式</w:t>
            </w:r>
          </w:p>
        </w:tc>
        <w:tc>
          <w:tcPr>
            <w:tcW w:w="4615" w:type="dxa"/>
            <w:tcBorders>
              <w:left w:val="single" w:color="auto" w:sz="4" w:space="0"/>
            </w:tcBorders>
            <w:vAlign w:val="center"/>
          </w:tcPr>
          <w:p w14:paraId="4D1ED6CB">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w:t>
            </w:r>
          </w:p>
        </w:tc>
      </w:tr>
      <w:tr w14:paraId="649D6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97DB84B">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B8DC927">
            <w:pPr>
              <w:spacing w:line="400" w:lineRule="exact"/>
              <w:jc w:val="center"/>
              <w:rPr>
                <w:rFonts w:ascii="宋体" w:hAnsi="宋体"/>
                <w:b/>
                <w:color w:val="auto"/>
                <w:kern w:val="0"/>
              </w:rPr>
            </w:pPr>
          </w:p>
        </w:tc>
        <w:tc>
          <w:tcPr>
            <w:tcW w:w="2267" w:type="dxa"/>
            <w:tcBorders>
              <w:right w:val="single" w:color="auto" w:sz="4" w:space="0"/>
            </w:tcBorders>
            <w:vAlign w:val="center"/>
          </w:tcPr>
          <w:p w14:paraId="744A71EB">
            <w:pPr>
              <w:spacing w:line="400" w:lineRule="exact"/>
              <w:jc w:val="left"/>
              <w:rPr>
                <w:rFonts w:ascii="宋体" w:hAnsi="宋体" w:cs="宋体"/>
                <w:color w:val="auto"/>
                <w:kern w:val="0"/>
              </w:rPr>
            </w:pPr>
            <w:r>
              <w:rPr>
                <w:rFonts w:hint="eastAsia" w:ascii="宋体" w:hAnsi="宋体" w:cs="宋体"/>
                <w:color w:val="auto"/>
                <w:kern w:val="0"/>
              </w:rPr>
              <w:t>投标文件份数</w:t>
            </w:r>
          </w:p>
        </w:tc>
        <w:tc>
          <w:tcPr>
            <w:tcW w:w="4615" w:type="dxa"/>
            <w:tcBorders>
              <w:left w:val="single" w:color="auto" w:sz="4" w:space="0"/>
            </w:tcBorders>
            <w:vAlign w:val="center"/>
          </w:tcPr>
          <w:p w14:paraId="1EFBAEEC">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符合第二章“投标人须知”第3.7.4项规定。</w:t>
            </w:r>
          </w:p>
        </w:tc>
      </w:tr>
      <w:tr w14:paraId="6B810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1F6CD3C">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F45DAB2">
            <w:pPr>
              <w:spacing w:line="400" w:lineRule="exact"/>
              <w:jc w:val="center"/>
              <w:rPr>
                <w:rFonts w:ascii="宋体" w:hAnsi="宋体"/>
                <w:b/>
                <w:color w:val="auto"/>
                <w:kern w:val="0"/>
              </w:rPr>
            </w:pPr>
          </w:p>
        </w:tc>
        <w:tc>
          <w:tcPr>
            <w:tcW w:w="2267" w:type="dxa"/>
            <w:tcBorders>
              <w:right w:val="single" w:color="auto" w:sz="4" w:space="0"/>
            </w:tcBorders>
            <w:vAlign w:val="center"/>
          </w:tcPr>
          <w:p w14:paraId="2520F592">
            <w:pPr>
              <w:spacing w:line="400" w:lineRule="exact"/>
              <w:jc w:val="left"/>
              <w:rPr>
                <w:rFonts w:ascii="宋体" w:hAnsi="宋体" w:cs="宋体"/>
                <w:color w:val="auto"/>
                <w:kern w:val="0"/>
              </w:rPr>
            </w:pPr>
            <w:r>
              <w:rPr>
                <w:rFonts w:hint="eastAsia" w:ascii="宋体" w:hAnsi="宋体" w:cs="宋体"/>
                <w:color w:val="auto"/>
                <w:kern w:val="0"/>
              </w:rPr>
              <w:t>报价唯一</w:t>
            </w:r>
          </w:p>
        </w:tc>
        <w:tc>
          <w:tcPr>
            <w:tcW w:w="4615" w:type="dxa"/>
            <w:tcBorders>
              <w:left w:val="single" w:color="auto" w:sz="4" w:space="0"/>
            </w:tcBorders>
            <w:vAlign w:val="center"/>
          </w:tcPr>
          <w:p w14:paraId="5A2955A8">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kern w:val="0"/>
                <w:lang w:eastAsia="zh-CN"/>
              </w:rPr>
              <w:t>比选文件</w:t>
            </w:r>
            <w:r>
              <w:rPr>
                <w:rFonts w:hint="eastAsia" w:ascii="宋体" w:hAnsi="宋体" w:cs="宋体"/>
                <w:color w:val="auto"/>
                <w:kern w:val="0"/>
              </w:rPr>
              <w:t>没有规定的情况下，不得提交选择性报价。</w:t>
            </w:r>
          </w:p>
        </w:tc>
      </w:tr>
      <w:tr w14:paraId="4930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CBBAC10">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B6BAE1F">
            <w:pPr>
              <w:spacing w:line="400" w:lineRule="exact"/>
              <w:jc w:val="center"/>
              <w:rPr>
                <w:rFonts w:ascii="宋体" w:hAnsi="宋体"/>
                <w:b/>
                <w:color w:val="auto"/>
                <w:kern w:val="0"/>
              </w:rPr>
            </w:pPr>
          </w:p>
        </w:tc>
        <w:tc>
          <w:tcPr>
            <w:tcW w:w="2267" w:type="dxa"/>
            <w:tcBorders>
              <w:right w:val="single" w:color="auto" w:sz="4" w:space="0"/>
            </w:tcBorders>
            <w:vAlign w:val="center"/>
          </w:tcPr>
          <w:p w14:paraId="1623BB11">
            <w:pPr>
              <w:spacing w:line="400" w:lineRule="exact"/>
              <w:jc w:val="left"/>
              <w:rPr>
                <w:rFonts w:ascii="宋体" w:hAnsi="宋体" w:cs="宋体"/>
                <w:color w:val="auto"/>
                <w:kern w:val="0"/>
              </w:rPr>
            </w:pPr>
            <w:r>
              <w:rPr>
                <w:rFonts w:hint="eastAsia" w:ascii="宋体" w:hAnsi="宋体" w:cs="宋体"/>
                <w:color w:val="auto"/>
                <w:kern w:val="0"/>
              </w:rPr>
              <w:t>投标文件的签署</w:t>
            </w:r>
          </w:p>
        </w:tc>
        <w:tc>
          <w:tcPr>
            <w:tcW w:w="4615" w:type="dxa"/>
            <w:tcBorders>
              <w:left w:val="single" w:color="auto" w:sz="4" w:space="0"/>
            </w:tcBorders>
            <w:vAlign w:val="center"/>
          </w:tcPr>
          <w:p w14:paraId="0B7EAFC0">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tc>
      </w:tr>
      <w:tr w14:paraId="4AD0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43" w:type="dxa"/>
            <w:vMerge w:val="continue"/>
            <w:tcBorders>
              <w:right w:val="single" w:color="auto" w:sz="4" w:space="0"/>
            </w:tcBorders>
            <w:vAlign w:val="center"/>
          </w:tcPr>
          <w:p w14:paraId="234C5BEF">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4BA02538">
            <w:pPr>
              <w:spacing w:line="400" w:lineRule="exact"/>
              <w:jc w:val="center"/>
              <w:rPr>
                <w:rFonts w:ascii="宋体" w:hAnsi="宋体"/>
                <w:b/>
                <w:color w:val="auto"/>
                <w:kern w:val="0"/>
              </w:rPr>
            </w:pPr>
          </w:p>
        </w:tc>
        <w:tc>
          <w:tcPr>
            <w:tcW w:w="2267" w:type="dxa"/>
            <w:tcBorders>
              <w:right w:val="single" w:color="auto" w:sz="4" w:space="0"/>
            </w:tcBorders>
            <w:vAlign w:val="center"/>
          </w:tcPr>
          <w:p w14:paraId="48362370">
            <w:pPr>
              <w:spacing w:line="400" w:lineRule="exact"/>
              <w:jc w:val="left"/>
              <w:rPr>
                <w:rFonts w:ascii="宋体" w:hAnsi="宋体" w:cs="宋体"/>
                <w:color w:val="auto"/>
                <w:kern w:val="0"/>
              </w:rPr>
            </w:pPr>
            <w:r>
              <w:rPr>
                <w:rFonts w:hint="eastAsia" w:ascii="宋体" w:hAnsi="宋体" w:cs="宋体"/>
                <w:color w:val="auto"/>
                <w:kern w:val="0"/>
              </w:rPr>
              <w:t>委托代理人</w:t>
            </w:r>
          </w:p>
        </w:tc>
        <w:tc>
          <w:tcPr>
            <w:tcW w:w="4615" w:type="dxa"/>
            <w:tcBorders>
              <w:left w:val="single" w:color="auto" w:sz="4" w:space="0"/>
            </w:tcBorders>
            <w:vAlign w:val="center"/>
          </w:tcPr>
          <w:p w14:paraId="0772EBE3">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73D5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53EA755">
            <w:pPr>
              <w:spacing w:line="400" w:lineRule="exact"/>
              <w:jc w:val="center"/>
              <w:rPr>
                <w:rFonts w:ascii="宋体" w:hAnsi="宋体"/>
                <w:color w:val="auto"/>
                <w:kern w:val="0"/>
              </w:rPr>
            </w:pPr>
            <w:r>
              <w:rPr>
                <w:rFonts w:hint="eastAsia" w:ascii="宋体" w:hAnsi="宋体"/>
                <w:color w:val="auto"/>
                <w:kern w:val="0"/>
              </w:rPr>
              <w:t>2.2.4</w:t>
            </w:r>
          </w:p>
        </w:tc>
        <w:tc>
          <w:tcPr>
            <w:tcW w:w="1560" w:type="dxa"/>
            <w:vMerge w:val="restart"/>
            <w:tcBorders>
              <w:left w:val="single" w:color="auto" w:sz="4" w:space="0"/>
            </w:tcBorders>
            <w:vAlign w:val="center"/>
          </w:tcPr>
          <w:p w14:paraId="101EC004">
            <w:pPr>
              <w:spacing w:line="400" w:lineRule="exact"/>
              <w:jc w:val="center"/>
              <w:rPr>
                <w:rFonts w:ascii="宋体" w:hAnsi="宋体"/>
                <w:color w:val="auto"/>
                <w:kern w:val="0"/>
              </w:rPr>
            </w:pPr>
            <w:r>
              <w:rPr>
                <w:rFonts w:hint="eastAsia" w:ascii="宋体" w:hAnsi="宋体"/>
                <w:color w:val="auto"/>
                <w:kern w:val="0"/>
              </w:rPr>
              <w:t>响应性评审标准</w:t>
            </w:r>
          </w:p>
        </w:tc>
        <w:tc>
          <w:tcPr>
            <w:tcW w:w="2267" w:type="dxa"/>
            <w:tcBorders>
              <w:right w:val="single" w:color="auto" w:sz="4" w:space="0"/>
            </w:tcBorders>
            <w:vAlign w:val="center"/>
          </w:tcPr>
          <w:p w14:paraId="4E9DECFB">
            <w:pPr>
              <w:snapToGrid w:val="0"/>
              <w:spacing w:line="400" w:lineRule="exact"/>
              <w:jc w:val="left"/>
              <w:rPr>
                <w:rFonts w:ascii="宋体" w:hAnsi="宋体" w:cs="宋体"/>
                <w:color w:val="auto"/>
                <w:kern w:val="0"/>
              </w:rPr>
            </w:pPr>
            <w:r>
              <w:rPr>
                <w:rFonts w:hint="eastAsia" w:ascii="宋体" w:hAnsi="宋体" w:cs="宋体"/>
                <w:color w:val="auto"/>
                <w:kern w:val="0"/>
              </w:rPr>
              <w:t>投标总报价</w:t>
            </w:r>
          </w:p>
        </w:tc>
        <w:tc>
          <w:tcPr>
            <w:tcW w:w="4615" w:type="dxa"/>
            <w:tcBorders>
              <w:left w:val="single" w:color="auto" w:sz="4" w:space="0"/>
            </w:tcBorders>
            <w:vAlign w:val="center"/>
          </w:tcPr>
          <w:p w14:paraId="4D807969">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1.投标总报价必须与已标价工程量清单总报价一致。</w:t>
            </w:r>
          </w:p>
          <w:p w14:paraId="72C104DD">
            <w:pPr>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投标总报价不得高于</w:t>
            </w:r>
            <w:r>
              <w:rPr>
                <w:rFonts w:hint="eastAsia" w:ascii="宋体" w:hAnsi="宋体" w:cs="宋体"/>
                <w:color w:val="auto"/>
                <w:szCs w:val="21"/>
                <w:lang w:eastAsia="zh-CN"/>
              </w:rPr>
              <w:t>比选人</w:t>
            </w:r>
            <w:r>
              <w:rPr>
                <w:rFonts w:hint="eastAsia" w:ascii="宋体" w:hAnsi="宋体" w:cs="宋体"/>
                <w:color w:val="auto"/>
                <w:szCs w:val="21"/>
              </w:rPr>
              <w:t>公布的投标总报价最高限价。</w:t>
            </w:r>
          </w:p>
        </w:tc>
      </w:tr>
      <w:tr w14:paraId="3D02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CD5505">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1941509">
            <w:pPr>
              <w:spacing w:line="400" w:lineRule="exact"/>
              <w:jc w:val="center"/>
              <w:rPr>
                <w:rFonts w:ascii="宋体" w:hAnsi="宋体"/>
                <w:color w:val="auto"/>
                <w:kern w:val="0"/>
              </w:rPr>
            </w:pPr>
          </w:p>
        </w:tc>
        <w:tc>
          <w:tcPr>
            <w:tcW w:w="2267" w:type="dxa"/>
            <w:tcBorders>
              <w:right w:val="single" w:color="auto" w:sz="4" w:space="0"/>
            </w:tcBorders>
            <w:vAlign w:val="center"/>
          </w:tcPr>
          <w:p w14:paraId="1C862462">
            <w:pPr>
              <w:snapToGrid w:val="0"/>
              <w:spacing w:line="400" w:lineRule="exact"/>
              <w:jc w:val="left"/>
              <w:rPr>
                <w:rFonts w:ascii="宋体" w:hAnsi="宋体" w:cs="宋体"/>
                <w:color w:val="auto"/>
                <w:kern w:val="0"/>
              </w:rPr>
            </w:pPr>
            <w:r>
              <w:rPr>
                <w:rFonts w:hint="eastAsia" w:ascii="宋体" w:hAnsi="宋体" w:cs="宋体"/>
                <w:color w:val="auto"/>
                <w:kern w:val="0"/>
              </w:rPr>
              <w:t>暂定金额</w:t>
            </w:r>
          </w:p>
        </w:tc>
        <w:tc>
          <w:tcPr>
            <w:tcW w:w="4615" w:type="dxa"/>
            <w:tcBorders>
              <w:left w:val="single" w:color="auto" w:sz="4" w:space="0"/>
            </w:tcBorders>
            <w:vAlign w:val="center"/>
          </w:tcPr>
          <w:p w14:paraId="0ACD56B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kern w:val="0"/>
                <w:lang w:eastAsia="zh-CN"/>
              </w:rPr>
              <w:t>比选文件</w:t>
            </w:r>
            <w:r>
              <w:rPr>
                <w:rFonts w:hint="eastAsia" w:ascii="宋体" w:hAnsi="宋体" w:cs="宋体"/>
                <w:color w:val="auto"/>
                <w:kern w:val="0"/>
              </w:rPr>
              <w:t>给定的金额填报。</w:t>
            </w:r>
          </w:p>
        </w:tc>
      </w:tr>
      <w:tr w14:paraId="701D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629B79">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C05D36B">
            <w:pPr>
              <w:spacing w:line="400" w:lineRule="exact"/>
              <w:jc w:val="center"/>
              <w:rPr>
                <w:rFonts w:ascii="宋体" w:hAnsi="宋体"/>
                <w:color w:val="auto"/>
                <w:kern w:val="0"/>
              </w:rPr>
            </w:pPr>
          </w:p>
        </w:tc>
        <w:tc>
          <w:tcPr>
            <w:tcW w:w="2267" w:type="dxa"/>
            <w:tcBorders>
              <w:right w:val="single" w:color="auto" w:sz="4" w:space="0"/>
            </w:tcBorders>
            <w:vAlign w:val="center"/>
          </w:tcPr>
          <w:p w14:paraId="615796F5">
            <w:pPr>
              <w:snapToGrid w:val="0"/>
              <w:spacing w:line="400" w:lineRule="exact"/>
              <w:jc w:val="left"/>
              <w:rPr>
                <w:rFonts w:ascii="宋体" w:hAnsi="宋体" w:cs="宋体"/>
                <w:color w:val="auto"/>
                <w:kern w:val="0"/>
              </w:rPr>
            </w:pPr>
            <w:r>
              <w:rPr>
                <w:rFonts w:hint="eastAsia" w:ascii="宋体" w:hAnsi="宋体" w:cs="宋体"/>
                <w:color w:val="auto"/>
                <w:kern w:val="0"/>
              </w:rPr>
              <w:t>投标内容</w:t>
            </w:r>
          </w:p>
        </w:tc>
        <w:tc>
          <w:tcPr>
            <w:tcW w:w="4615" w:type="dxa"/>
            <w:tcBorders>
              <w:left w:val="single" w:color="auto" w:sz="4" w:space="0"/>
            </w:tcBorders>
            <w:vAlign w:val="center"/>
          </w:tcPr>
          <w:p w14:paraId="223B8E4F">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41A03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C37F5CE">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ABE9897">
            <w:pPr>
              <w:spacing w:line="400" w:lineRule="exact"/>
              <w:jc w:val="center"/>
              <w:rPr>
                <w:rFonts w:ascii="宋体" w:hAnsi="宋体"/>
                <w:color w:val="auto"/>
                <w:kern w:val="0"/>
              </w:rPr>
            </w:pPr>
          </w:p>
        </w:tc>
        <w:tc>
          <w:tcPr>
            <w:tcW w:w="2267" w:type="dxa"/>
            <w:tcBorders>
              <w:right w:val="single" w:color="auto" w:sz="4" w:space="0"/>
            </w:tcBorders>
            <w:vAlign w:val="center"/>
          </w:tcPr>
          <w:p w14:paraId="56B2E0E7">
            <w:pPr>
              <w:snapToGrid w:val="0"/>
              <w:spacing w:line="400" w:lineRule="exact"/>
              <w:jc w:val="left"/>
              <w:rPr>
                <w:rFonts w:ascii="宋体" w:hAnsi="宋体" w:cs="宋体"/>
                <w:color w:val="auto"/>
                <w:kern w:val="0"/>
              </w:rPr>
            </w:pPr>
            <w:r>
              <w:rPr>
                <w:rFonts w:hint="eastAsia" w:ascii="宋体" w:hAnsi="宋体" w:cs="宋体"/>
                <w:color w:val="auto"/>
                <w:kern w:val="0"/>
              </w:rPr>
              <w:t>工期</w:t>
            </w:r>
          </w:p>
        </w:tc>
        <w:tc>
          <w:tcPr>
            <w:tcW w:w="4615" w:type="dxa"/>
            <w:tcBorders>
              <w:left w:val="single" w:color="auto" w:sz="4" w:space="0"/>
            </w:tcBorders>
            <w:vAlign w:val="center"/>
          </w:tcPr>
          <w:p w14:paraId="08D45F33">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符合第二章“投标人须知”第1.3.2项规定</w:t>
            </w:r>
          </w:p>
        </w:tc>
      </w:tr>
      <w:tr w14:paraId="5DF1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4B254E">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E8E0F3A">
            <w:pPr>
              <w:spacing w:line="400" w:lineRule="exact"/>
              <w:jc w:val="center"/>
              <w:rPr>
                <w:rFonts w:ascii="宋体" w:hAnsi="宋体"/>
                <w:color w:val="auto"/>
                <w:kern w:val="0"/>
              </w:rPr>
            </w:pPr>
          </w:p>
        </w:tc>
        <w:tc>
          <w:tcPr>
            <w:tcW w:w="2267" w:type="dxa"/>
            <w:tcBorders>
              <w:right w:val="single" w:color="auto" w:sz="4" w:space="0"/>
            </w:tcBorders>
            <w:vAlign w:val="center"/>
          </w:tcPr>
          <w:p w14:paraId="65B53F0D">
            <w:pPr>
              <w:snapToGrid w:val="0"/>
              <w:spacing w:line="400" w:lineRule="exact"/>
              <w:jc w:val="left"/>
              <w:rPr>
                <w:rFonts w:ascii="宋体" w:hAnsi="宋体" w:cs="宋体"/>
                <w:color w:val="auto"/>
                <w:kern w:val="0"/>
              </w:rPr>
            </w:pPr>
            <w:r>
              <w:rPr>
                <w:rFonts w:hint="eastAsia" w:ascii="宋体" w:hAnsi="宋体" w:cs="宋体"/>
                <w:color w:val="auto"/>
                <w:kern w:val="0"/>
              </w:rPr>
              <w:t>工程质量</w:t>
            </w:r>
          </w:p>
        </w:tc>
        <w:tc>
          <w:tcPr>
            <w:tcW w:w="4615" w:type="dxa"/>
            <w:tcBorders>
              <w:left w:val="single" w:color="auto" w:sz="4" w:space="0"/>
            </w:tcBorders>
            <w:vAlign w:val="center"/>
          </w:tcPr>
          <w:p w14:paraId="5D918654">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符合第二章“投标人须知”第1.3.3项规定</w:t>
            </w:r>
          </w:p>
        </w:tc>
      </w:tr>
      <w:tr w14:paraId="5EE3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E924263">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926E01E">
            <w:pPr>
              <w:spacing w:line="400" w:lineRule="exact"/>
              <w:jc w:val="center"/>
              <w:rPr>
                <w:rFonts w:ascii="宋体" w:hAnsi="宋体"/>
                <w:color w:val="auto"/>
                <w:kern w:val="0"/>
              </w:rPr>
            </w:pPr>
          </w:p>
        </w:tc>
        <w:tc>
          <w:tcPr>
            <w:tcW w:w="2267" w:type="dxa"/>
            <w:tcBorders>
              <w:right w:val="single" w:color="auto" w:sz="4" w:space="0"/>
            </w:tcBorders>
            <w:vAlign w:val="center"/>
          </w:tcPr>
          <w:p w14:paraId="7467D8F5">
            <w:pPr>
              <w:snapToGrid w:val="0"/>
              <w:spacing w:line="400" w:lineRule="exact"/>
              <w:jc w:val="left"/>
              <w:rPr>
                <w:rFonts w:ascii="宋体" w:hAnsi="宋体" w:cs="宋体"/>
                <w:color w:val="auto"/>
                <w:kern w:val="0"/>
              </w:rPr>
            </w:pPr>
            <w:r>
              <w:rPr>
                <w:rFonts w:hint="eastAsia" w:ascii="宋体" w:hAnsi="宋体" w:cs="宋体"/>
                <w:color w:val="auto"/>
                <w:kern w:val="0"/>
              </w:rPr>
              <w:t>投标有效期</w:t>
            </w:r>
          </w:p>
        </w:tc>
        <w:tc>
          <w:tcPr>
            <w:tcW w:w="4615" w:type="dxa"/>
            <w:tcBorders>
              <w:left w:val="single" w:color="auto" w:sz="4" w:space="0"/>
            </w:tcBorders>
            <w:vAlign w:val="center"/>
          </w:tcPr>
          <w:p w14:paraId="0E0ECB82">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符合第二章“投标人须知”第3.3.1项规定</w:t>
            </w:r>
          </w:p>
        </w:tc>
      </w:tr>
      <w:tr w14:paraId="2353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F3E33D">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BF92AC3">
            <w:pPr>
              <w:spacing w:line="400" w:lineRule="exact"/>
              <w:jc w:val="center"/>
              <w:rPr>
                <w:rFonts w:ascii="宋体" w:hAnsi="宋体"/>
                <w:color w:val="auto"/>
                <w:kern w:val="0"/>
              </w:rPr>
            </w:pPr>
          </w:p>
        </w:tc>
        <w:tc>
          <w:tcPr>
            <w:tcW w:w="2267" w:type="dxa"/>
            <w:tcBorders>
              <w:right w:val="single" w:color="auto" w:sz="4" w:space="0"/>
            </w:tcBorders>
            <w:vAlign w:val="center"/>
          </w:tcPr>
          <w:p w14:paraId="54E6F5E6">
            <w:pPr>
              <w:spacing w:line="400" w:lineRule="exact"/>
              <w:jc w:val="left"/>
              <w:rPr>
                <w:rFonts w:ascii="宋体" w:hAnsi="宋体" w:cs="宋体"/>
                <w:color w:val="auto"/>
                <w:kern w:val="0"/>
              </w:rPr>
            </w:pPr>
            <w:r>
              <w:rPr>
                <w:rFonts w:hint="eastAsia" w:ascii="宋体" w:hAnsi="宋体" w:cs="宋体"/>
                <w:color w:val="auto"/>
                <w:kern w:val="0"/>
              </w:rPr>
              <w:t>投标保证金</w:t>
            </w:r>
          </w:p>
        </w:tc>
        <w:tc>
          <w:tcPr>
            <w:tcW w:w="4615" w:type="dxa"/>
            <w:tcBorders>
              <w:left w:val="single" w:color="auto" w:sz="4" w:space="0"/>
            </w:tcBorders>
            <w:vAlign w:val="center"/>
          </w:tcPr>
          <w:p w14:paraId="20BC874C">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符合第二章“投标人须知前附表”第3.4项规定。</w:t>
            </w:r>
          </w:p>
        </w:tc>
      </w:tr>
      <w:tr w14:paraId="1F50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74510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3CB3261">
            <w:pPr>
              <w:spacing w:line="400" w:lineRule="exact"/>
              <w:jc w:val="center"/>
              <w:rPr>
                <w:rFonts w:ascii="宋体" w:hAnsi="宋体"/>
                <w:color w:val="auto"/>
                <w:kern w:val="0"/>
              </w:rPr>
            </w:pPr>
          </w:p>
        </w:tc>
        <w:tc>
          <w:tcPr>
            <w:tcW w:w="2267" w:type="dxa"/>
            <w:tcBorders>
              <w:right w:val="single" w:color="auto" w:sz="4" w:space="0"/>
            </w:tcBorders>
            <w:vAlign w:val="center"/>
          </w:tcPr>
          <w:p w14:paraId="05838F45">
            <w:pPr>
              <w:snapToGrid w:val="0"/>
              <w:spacing w:line="400" w:lineRule="exact"/>
              <w:jc w:val="left"/>
              <w:rPr>
                <w:rFonts w:ascii="宋体" w:hAnsi="宋体" w:cs="宋体"/>
                <w:color w:val="auto"/>
                <w:kern w:val="0"/>
              </w:rPr>
            </w:pPr>
            <w:r>
              <w:rPr>
                <w:rFonts w:hint="eastAsia" w:ascii="宋体" w:hAnsi="宋体" w:cs="宋体"/>
                <w:color w:val="auto"/>
                <w:kern w:val="0"/>
              </w:rPr>
              <w:t>权利义务</w:t>
            </w:r>
          </w:p>
        </w:tc>
        <w:tc>
          <w:tcPr>
            <w:tcW w:w="4615" w:type="dxa"/>
            <w:tcBorders>
              <w:left w:val="single" w:color="auto" w:sz="4" w:space="0"/>
            </w:tcBorders>
            <w:vAlign w:val="center"/>
          </w:tcPr>
          <w:p w14:paraId="0CE69C75">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kern w:val="0"/>
                <w:lang w:eastAsia="zh-CN"/>
              </w:rPr>
              <w:t>比选人</w:t>
            </w:r>
            <w:r>
              <w:rPr>
                <w:rFonts w:hint="eastAsia" w:ascii="宋体" w:hAnsi="宋体" w:cs="宋体"/>
                <w:color w:val="auto"/>
                <w:kern w:val="0"/>
              </w:rPr>
              <w:t>不能接受的条件。（由投标人承诺，承诺书格式详见第八章投标文件格式。）</w:t>
            </w:r>
          </w:p>
        </w:tc>
      </w:tr>
      <w:tr w14:paraId="1F15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F57D24E">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21035F4">
            <w:pPr>
              <w:spacing w:line="400" w:lineRule="exact"/>
              <w:jc w:val="center"/>
              <w:rPr>
                <w:rFonts w:ascii="宋体" w:hAnsi="宋体"/>
                <w:color w:val="auto"/>
                <w:kern w:val="0"/>
              </w:rPr>
            </w:pPr>
          </w:p>
        </w:tc>
        <w:tc>
          <w:tcPr>
            <w:tcW w:w="2267" w:type="dxa"/>
            <w:tcBorders>
              <w:right w:val="single" w:color="auto" w:sz="4" w:space="0"/>
            </w:tcBorders>
            <w:vAlign w:val="center"/>
          </w:tcPr>
          <w:p w14:paraId="6EF8C611">
            <w:pPr>
              <w:snapToGrid w:val="0"/>
              <w:spacing w:line="400" w:lineRule="exact"/>
              <w:jc w:val="left"/>
              <w:rPr>
                <w:rFonts w:ascii="宋体" w:hAnsi="宋体" w:cs="宋体"/>
                <w:color w:val="auto"/>
                <w:kern w:val="0"/>
              </w:rPr>
            </w:pPr>
            <w:r>
              <w:rPr>
                <w:rFonts w:hint="eastAsia" w:ascii="宋体" w:hAnsi="宋体" w:cs="宋体"/>
                <w:color w:val="auto"/>
                <w:kern w:val="0"/>
              </w:rPr>
              <w:t>技术标准和要求</w:t>
            </w:r>
          </w:p>
        </w:tc>
        <w:tc>
          <w:tcPr>
            <w:tcW w:w="4615" w:type="dxa"/>
            <w:tcBorders>
              <w:left w:val="single" w:color="auto" w:sz="4" w:space="0"/>
            </w:tcBorders>
            <w:vAlign w:val="center"/>
          </w:tcPr>
          <w:p w14:paraId="48F5DF5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6B58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B2EF965">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07518E2">
            <w:pPr>
              <w:spacing w:line="400" w:lineRule="exact"/>
              <w:jc w:val="center"/>
              <w:rPr>
                <w:rFonts w:ascii="宋体" w:hAnsi="宋体"/>
                <w:color w:val="auto"/>
                <w:kern w:val="0"/>
              </w:rPr>
            </w:pPr>
          </w:p>
        </w:tc>
        <w:tc>
          <w:tcPr>
            <w:tcW w:w="2267" w:type="dxa"/>
            <w:tcBorders>
              <w:right w:val="single" w:color="auto" w:sz="4" w:space="0"/>
            </w:tcBorders>
            <w:vAlign w:val="center"/>
          </w:tcPr>
          <w:p w14:paraId="094A3637">
            <w:pPr>
              <w:snapToGrid w:val="0"/>
              <w:spacing w:line="400" w:lineRule="exact"/>
              <w:jc w:val="left"/>
              <w:rPr>
                <w:rFonts w:ascii="宋体" w:hAnsi="宋体" w:cs="宋体"/>
                <w:color w:val="auto"/>
                <w:kern w:val="0"/>
              </w:rPr>
            </w:pPr>
            <w:r>
              <w:rPr>
                <w:rFonts w:hint="eastAsia" w:ascii="宋体" w:hAnsi="宋体" w:cs="宋体"/>
                <w:color w:val="auto"/>
                <w:kern w:val="0"/>
              </w:rPr>
              <w:t>已标价工程量清单</w:t>
            </w:r>
          </w:p>
        </w:tc>
        <w:tc>
          <w:tcPr>
            <w:tcW w:w="4615" w:type="dxa"/>
            <w:tcBorders>
              <w:left w:val="single" w:color="auto" w:sz="4" w:space="0"/>
            </w:tcBorders>
            <w:vAlign w:val="center"/>
          </w:tcPr>
          <w:p w14:paraId="616B580C">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投标人</w:t>
            </w:r>
            <w:r>
              <w:rPr>
                <w:rFonts w:hint="eastAsia" w:ascii="宋体" w:hAnsi="宋体"/>
                <w:color w:val="auto"/>
                <w:szCs w:val="21"/>
                <w:lang w:val="en-US" w:eastAsia="zh-CN"/>
              </w:rPr>
              <w:t>应当</w:t>
            </w:r>
            <w:r>
              <w:rPr>
                <w:rFonts w:hint="eastAsia" w:ascii="宋体" w:hAnsi="宋体"/>
                <w:color w:val="auto"/>
                <w:szCs w:val="21"/>
              </w:rPr>
              <w:t>按招标工程量清单填报价格。项目编码、项目名称、项目特征、计量单位、工程量</w:t>
            </w:r>
            <w:r>
              <w:rPr>
                <w:rFonts w:hint="eastAsia" w:ascii="宋体" w:hAnsi="宋体"/>
                <w:color w:val="auto"/>
                <w:szCs w:val="21"/>
                <w:lang w:val="en-US" w:eastAsia="zh-CN"/>
              </w:rPr>
              <w:t>应当</w:t>
            </w:r>
            <w:r>
              <w:rPr>
                <w:rFonts w:hint="eastAsia" w:ascii="宋体" w:hAnsi="宋体"/>
                <w:color w:val="auto"/>
                <w:szCs w:val="21"/>
              </w:rPr>
              <w:t>与招标工程量清单一致</w:t>
            </w:r>
            <w:r>
              <w:rPr>
                <w:rFonts w:hint="eastAsia" w:ascii="宋体" w:hAnsi="宋体" w:cs="宋体"/>
                <w:color w:val="auto"/>
                <w:kern w:val="0"/>
              </w:rPr>
              <w:t>。</w:t>
            </w:r>
          </w:p>
          <w:p w14:paraId="6A7670BE">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2.每项清单综合单价报价不得高于每项清单综合单价最高限价。</w:t>
            </w:r>
          </w:p>
        </w:tc>
      </w:tr>
      <w:tr w14:paraId="3F64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5DF6B06">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BF5723C">
            <w:pPr>
              <w:spacing w:line="400" w:lineRule="exact"/>
              <w:jc w:val="center"/>
              <w:rPr>
                <w:rFonts w:ascii="宋体" w:hAnsi="宋体"/>
                <w:color w:val="auto"/>
                <w:kern w:val="0"/>
              </w:rPr>
            </w:pPr>
          </w:p>
        </w:tc>
        <w:tc>
          <w:tcPr>
            <w:tcW w:w="2267" w:type="dxa"/>
            <w:tcBorders>
              <w:right w:val="single" w:color="auto" w:sz="4" w:space="0"/>
            </w:tcBorders>
            <w:vAlign w:val="center"/>
          </w:tcPr>
          <w:p w14:paraId="1C1409B0">
            <w:pPr>
              <w:snapToGrid w:val="0"/>
              <w:spacing w:line="400" w:lineRule="exact"/>
              <w:jc w:val="left"/>
              <w:rPr>
                <w:rFonts w:ascii="宋体" w:hAnsi="宋体" w:cs="宋体"/>
                <w:color w:val="auto"/>
                <w:kern w:val="0"/>
              </w:rPr>
            </w:pPr>
            <w:r>
              <w:rPr>
                <w:rFonts w:hint="eastAsia" w:ascii="宋体" w:hAnsi="宋体" w:cs="宋体"/>
                <w:color w:val="auto"/>
                <w:kern w:val="0"/>
              </w:rPr>
              <w:t>投标报价算术错误修正</w:t>
            </w:r>
          </w:p>
        </w:tc>
        <w:tc>
          <w:tcPr>
            <w:tcW w:w="4615" w:type="dxa"/>
            <w:tcBorders>
              <w:left w:val="single" w:color="auto" w:sz="4" w:space="0"/>
            </w:tcBorders>
            <w:vAlign w:val="center"/>
          </w:tcPr>
          <w:p w14:paraId="672E825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符合第三章3.评标程序第3.2.3项规定。</w:t>
            </w:r>
          </w:p>
        </w:tc>
      </w:tr>
      <w:tr w14:paraId="1B592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1D8E5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1D88990">
            <w:pPr>
              <w:spacing w:line="400" w:lineRule="exact"/>
              <w:jc w:val="center"/>
              <w:rPr>
                <w:rFonts w:ascii="宋体" w:hAnsi="宋体"/>
                <w:color w:val="auto"/>
                <w:kern w:val="0"/>
              </w:rPr>
            </w:pPr>
          </w:p>
        </w:tc>
        <w:tc>
          <w:tcPr>
            <w:tcW w:w="2267" w:type="dxa"/>
            <w:tcBorders>
              <w:right w:val="single" w:color="auto" w:sz="4" w:space="0"/>
            </w:tcBorders>
            <w:vAlign w:val="center"/>
          </w:tcPr>
          <w:p w14:paraId="40C184D6">
            <w:pPr>
              <w:snapToGrid w:val="0"/>
              <w:spacing w:line="400" w:lineRule="exact"/>
              <w:jc w:val="left"/>
              <w:rPr>
                <w:rFonts w:ascii="宋体" w:hAnsi="宋体" w:cs="宋体"/>
                <w:color w:val="auto"/>
                <w:kern w:val="0"/>
              </w:rPr>
            </w:pPr>
            <w:r>
              <w:rPr>
                <w:rFonts w:hint="eastAsia" w:ascii="宋体" w:hAnsi="宋体" w:cs="宋体"/>
                <w:color w:val="auto"/>
                <w:kern w:val="0"/>
              </w:rPr>
              <w:t>实质性要求</w:t>
            </w:r>
          </w:p>
        </w:tc>
        <w:tc>
          <w:tcPr>
            <w:tcW w:w="4615" w:type="dxa"/>
            <w:tcBorders>
              <w:left w:val="single" w:color="auto" w:sz="4" w:space="0"/>
            </w:tcBorders>
            <w:vAlign w:val="center"/>
          </w:tcPr>
          <w:p w14:paraId="4ED1CC2C">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573D92C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1799111E">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00F4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44D94F3">
            <w:pPr>
              <w:spacing w:line="400" w:lineRule="exact"/>
              <w:jc w:val="center"/>
              <w:rPr>
                <w:rFonts w:ascii="宋体" w:hAnsi="宋体"/>
                <w:color w:val="auto"/>
              </w:rPr>
            </w:pPr>
            <w:r>
              <w:rPr>
                <w:rFonts w:ascii="宋体" w:hAnsi="宋体"/>
                <w:color w:val="auto"/>
              </w:rPr>
              <w:t>3</w:t>
            </w:r>
          </w:p>
        </w:tc>
        <w:tc>
          <w:tcPr>
            <w:tcW w:w="1560" w:type="dxa"/>
            <w:tcBorders>
              <w:left w:val="single" w:color="auto" w:sz="4" w:space="0"/>
              <w:right w:val="single" w:color="auto" w:sz="4" w:space="0"/>
            </w:tcBorders>
            <w:vAlign w:val="center"/>
          </w:tcPr>
          <w:p w14:paraId="26E49984">
            <w:pPr>
              <w:spacing w:line="400" w:lineRule="exact"/>
              <w:jc w:val="center"/>
              <w:rPr>
                <w:rFonts w:ascii="宋体" w:hAnsi="宋体"/>
                <w:color w:val="auto"/>
              </w:rPr>
            </w:pPr>
            <w:r>
              <w:rPr>
                <w:rFonts w:hint="eastAsia" w:ascii="宋体" w:hAnsi="宋体"/>
                <w:color w:val="auto"/>
              </w:rPr>
              <w:t>评标程序</w:t>
            </w:r>
          </w:p>
        </w:tc>
        <w:tc>
          <w:tcPr>
            <w:tcW w:w="6882" w:type="dxa"/>
            <w:gridSpan w:val="2"/>
            <w:tcBorders>
              <w:left w:val="single" w:color="auto" w:sz="4" w:space="0"/>
            </w:tcBorders>
            <w:vAlign w:val="center"/>
          </w:tcPr>
          <w:p w14:paraId="0BB26A2F">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w:t>
            </w:r>
          </w:p>
          <w:p w14:paraId="2F947EF1">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14:paraId="3296CEC7">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5CEAB2C0">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olor w:val="auto"/>
                <w:kern w:val="0"/>
                <w:szCs w:val="21"/>
                <w:lang w:eastAsia="zh-CN"/>
              </w:rPr>
              <w:t>比选文件</w:t>
            </w:r>
            <w:r>
              <w:rPr>
                <w:rFonts w:hint="eastAsia" w:ascii="宋体" w:hAnsi="宋体"/>
                <w:color w:val="auto"/>
                <w:kern w:val="0"/>
                <w:szCs w:val="21"/>
              </w:rPr>
              <w:t>要求的，评标委员会可以继续评标并确定中标候选人。</w:t>
            </w:r>
          </w:p>
          <w:p w14:paraId="747C8A6A">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w:t>
            </w:r>
            <w:r>
              <w:rPr>
                <w:rFonts w:hint="eastAsia" w:ascii="宋体" w:hAnsi="宋体"/>
                <w:color w:val="auto"/>
                <w:spacing w:val="4"/>
                <w:kern w:val="0"/>
                <w:szCs w:val="21"/>
              </w:rPr>
              <w:t>由评标委员会</w:t>
            </w:r>
            <w:r>
              <w:rPr>
                <w:rFonts w:hint="eastAsia" w:ascii="宋体" w:hAnsi="宋体"/>
                <w:color w:val="auto"/>
                <w:spacing w:val="4"/>
                <w:kern w:val="0"/>
                <w:szCs w:val="21"/>
                <w:u w:val="single"/>
              </w:rPr>
              <w:t xml:space="preserve"> </w:t>
            </w:r>
            <w:r>
              <w:rPr>
                <w:rFonts w:hint="eastAsia" w:ascii="宋体" w:hAnsi="宋体" w:cs="宋体"/>
                <w:color w:val="auto"/>
                <w:spacing w:val="-7"/>
                <w:highlight w:val="none"/>
                <w:u w:val="single"/>
              </w:rPr>
              <w:t>全体成员投票，并按简单多数</w:t>
            </w:r>
            <w:r>
              <w:rPr>
                <w:rFonts w:hint="eastAsia" w:ascii="宋体" w:hAnsi="宋体" w:cs="宋体"/>
                <w:color w:val="auto"/>
                <w:highlight w:val="none"/>
                <w:u w:val="single"/>
                <w:lang w:val="en-US" w:eastAsia="zh-CN"/>
              </w:rPr>
              <w:t>的</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3503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4A709BF8">
            <w:pPr>
              <w:spacing w:line="400" w:lineRule="exact"/>
              <w:jc w:val="center"/>
              <w:rPr>
                <w:rFonts w:ascii="宋体" w:hAnsi="宋体"/>
                <w:color w:val="auto"/>
              </w:rPr>
            </w:pPr>
            <w:r>
              <w:rPr>
                <w:rFonts w:hint="eastAsia" w:ascii="宋体" w:hAnsi="宋体"/>
                <w:color w:val="auto"/>
              </w:rPr>
              <w:t>3.4</w:t>
            </w:r>
          </w:p>
        </w:tc>
        <w:tc>
          <w:tcPr>
            <w:tcW w:w="1560" w:type="dxa"/>
            <w:tcBorders>
              <w:left w:val="single" w:color="auto" w:sz="4" w:space="0"/>
              <w:right w:val="single" w:color="auto" w:sz="4" w:space="0"/>
            </w:tcBorders>
            <w:vAlign w:val="center"/>
          </w:tcPr>
          <w:p w14:paraId="3E76813B">
            <w:pPr>
              <w:spacing w:line="400" w:lineRule="exact"/>
              <w:jc w:val="center"/>
              <w:rPr>
                <w:rFonts w:ascii="宋体" w:hAnsi="宋体"/>
                <w:color w:val="auto"/>
              </w:rPr>
            </w:pPr>
            <w:r>
              <w:rPr>
                <w:rFonts w:ascii="宋体" w:hAnsi="宋体"/>
                <w:color w:val="auto"/>
              </w:rPr>
              <w:t>评标结果</w:t>
            </w:r>
          </w:p>
        </w:tc>
        <w:tc>
          <w:tcPr>
            <w:tcW w:w="6882" w:type="dxa"/>
            <w:gridSpan w:val="2"/>
            <w:tcBorders>
              <w:left w:val="single" w:color="auto" w:sz="4" w:space="0"/>
            </w:tcBorders>
            <w:vAlign w:val="center"/>
          </w:tcPr>
          <w:p w14:paraId="067F774D">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5E3BBC91">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olor w:val="auto"/>
                <w:kern w:val="0"/>
                <w:szCs w:val="21"/>
                <w:lang w:eastAsia="zh-CN"/>
              </w:rPr>
              <w:t>比选人</w:t>
            </w:r>
            <w:r>
              <w:rPr>
                <w:rFonts w:ascii="宋体" w:hAnsi="宋体"/>
                <w:color w:val="auto"/>
                <w:kern w:val="0"/>
                <w:szCs w:val="21"/>
              </w:rPr>
              <w:t>提交书面评标报告。</w:t>
            </w:r>
          </w:p>
        </w:tc>
      </w:tr>
    </w:tbl>
    <w:p w14:paraId="1FBD4796">
      <w:pPr>
        <w:pStyle w:val="4"/>
        <w:spacing w:before="0" w:after="0" w:line="360" w:lineRule="auto"/>
        <w:rPr>
          <w:rFonts w:ascii="宋体" w:hAnsi="宋体"/>
          <w:bCs w:val="0"/>
          <w:snapToGrid w:val="0"/>
          <w:color w:val="auto"/>
        </w:rPr>
      </w:pPr>
      <w:r>
        <w:rPr>
          <w:rFonts w:ascii="宋体" w:hAnsi="宋体"/>
          <w:bCs w:val="0"/>
          <w:snapToGrid w:val="0"/>
          <w:color w:val="auto"/>
        </w:rPr>
        <w:br w:type="page"/>
      </w:r>
      <w:bookmarkStart w:id="564" w:name="_Toc32683"/>
      <w:bookmarkStart w:id="565" w:name="_Toc27750"/>
      <w:r>
        <w:rPr>
          <w:rFonts w:ascii="宋体" w:hAnsi="宋体"/>
          <w:b w:val="0"/>
          <w:snapToGrid w:val="0"/>
          <w:color w:val="auto"/>
        </w:rPr>
        <w:t>1.  评标方法</w:t>
      </w:r>
      <w:bookmarkEnd w:id="564"/>
      <w:bookmarkEnd w:id="565"/>
    </w:p>
    <w:p w14:paraId="78C27116">
      <w:pPr>
        <w:spacing w:line="360" w:lineRule="auto"/>
        <w:ind w:firstLine="420" w:firstLineChars="200"/>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lang w:eastAsia="zh-CN"/>
        </w:rPr>
        <w:t>比选人</w:t>
      </w:r>
      <w:r>
        <w:rPr>
          <w:rFonts w:hint="eastAsia" w:ascii="宋体" w:hAnsi="宋体"/>
          <w:color w:val="auto"/>
        </w:rPr>
        <w:t>授权直接确定中标人。若出现投标人投标报价相同的，以评标办法前附表约定的原则确定排序。</w:t>
      </w:r>
    </w:p>
    <w:p w14:paraId="3C7DB60F">
      <w:pPr>
        <w:pStyle w:val="4"/>
        <w:spacing w:before="0" w:after="0" w:line="360" w:lineRule="auto"/>
        <w:rPr>
          <w:rFonts w:ascii="宋体" w:hAnsi="宋体"/>
          <w:b w:val="0"/>
          <w:snapToGrid w:val="0"/>
          <w:color w:val="auto"/>
        </w:rPr>
      </w:pPr>
      <w:bookmarkStart w:id="566" w:name="_Toc8499"/>
      <w:bookmarkStart w:id="567" w:name="_Toc20502"/>
      <w:r>
        <w:rPr>
          <w:rFonts w:ascii="宋体" w:hAnsi="宋体"/>
          <w:b w:val="0"/>
          <w:snapToGrid w:val="0"/>
          <w:color w:val="auto"/>
        </w:rPr>
        <w:t>2.  评审标准</w:t>
      </w:r>
      <w:bookmarkEnd w:id="566"/>
      <w:bookmarkEnd w:id="567"/>
    </w:p>
    <w:p w14:paraId="09C96EAE">
      <w:pPr>
        <w:pStyle w:val="5"/>
        <w:spacing w:before="0" w:after="0" w:line="360" w:lineRule="auto"/>
        <w:rPr>
          <w:rFonts w:ascii="宋体" w:hAnsi="宋体" w:cs="宋体"/>
          <w:color w:val="auto"/>
          <w:sz w:val="21"/>
          <w:szCs w:val="21"/>
        </w:rPr>
      </w:pPr>
      <w:bookmarkStart w:id="568" w:name="_Toc3739"/>
      <w:bookmarkStart w:id="569" w:name="_Toc2822"/>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bookmarkEnd w:id="568"/>
      <w:r>
        <w:rPr>
          <w:rFonts w:hint="eastAsia" w:ascii="宋体" w:hAnsi="宋体" w:cs="宋体"/>
          <w:color w:val="auto"/>
          <w:sz w:val="21"/>
          <w:szCs w:val="21"/>
        </w:rPr>
        <w:t>标准</w:t>
      </w:r>
      <w:bookmarkEnd w:id="569"/>
    </w:p>
    <w:p w14:paraId="5ED0CFE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14175BC8">
      <w:pPr>
        <w:pStyle w:val="5"/>
        <w:spacing w:before="0" w:after="0" w:line="360" w:lineRule="auto"/>
        <w:rPr>
          <w:rFonts w:ascii="宋体" w:hAnsi="宋体" w:cs="宋体"/>
          <w:color w:val="auto"/>
          <w:sz w:val="21"/>
          <w:szCs w:val="21"/>
        </w:rPr>
      </w:pPr>
      <w:bookmarkStart w:id="570" w:name="_Toc16832"/>
      <w:bookmarkStart w:id="571" w:name="_Toc19385"/>
      <w:r>
        <w:rPr>
          <w:rFonts w:ascii="宋体" w:hAnsi="宋体" w:cs="宋体"/>
          <w:color w:val="auto"/>
          <w:sz w:val="21"/>
          <w:szCs w:val="21"/>
        </w:rPr>
        <w:t>2.</w:t>
      </w:r>
      <w:r>
        <w:rPr>
          <w:rFonts w:hint="eastAsia" w:ascii="宋体" w:hAnsi="宋体" w:cs="宋体"/>
          <w:color w:val="auto"/>
          <w:sz w:val="21"/>
          <w:szCs w:val="21"/>
        </w:rPr>
        <w:t>2符合性审查</w:t>
      </w:r>
      <w:bookmarkEnd w:id="570"/>
      <w:r>
        <w:rPr>
          <w:rFonts w:hint="eastAsia" w:ascii="宋体" w:hAnsi="宋体" w:cs="宋体"/>
          <w:color w:val="auto"/>
          <w:sz w:val="21"/>
          <w:szCs w:val="21"/>
        </w:rPr>
        <w:t>标准</w:t>
      </w:r>
      <w:bookmarkEnd w:id="571"/>
    </w:p>
    <w:p w14:paraId="6252FAB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。符合性审查内容：资格评审、形式评审、响应性评审。</w:t>
      </w:r>
    </w:p>
    <w:p w14:paraId="71F47BB4">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  资格评审标准：见评标办法前附表。</w:t>
      </w:r>
    </w:p>
    <w:p w14:paraId="552F85E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017676E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1D782E6F">
      <w:pPr>
        <w:pStyle w:val="4"/>
        <w:spacing w:before="0" w:after="0" w:line="360" w:lineRule="auto"/>
        <w:rPr>
          <w:rFonts w:ascii="宋体" w:hAnsi="宋体"/>
          <w:b w:val="0"/>
          <w:snapToGrid w:val="0"/>
          <w:color w:val="auto"/>
        </w:rPr>
      </w:pPr>
      <w:bookmarkStart w:id="572" w:name="_Toc4809"/>
      <w:bookmarkStart w:id="573" w:name="_Toc6630"/>
      <w:r>
        <w:rPr>
          <w:rFonts w:ascii="宋体" w:hAnsi="宋体"/>
          <w:b w:val="0"/>
          <w:snapToGrid w:val="0"/>
          <w:color w:val="auto"/>
        </w:rPr>
        <w:t>3.  评标程序</w:t>
      </w:r>
      <w:bookmarkEnd w:id="572"/>
      <w:bookmarkEnd w:id="573"/>
    </w:p>
    <w:p w14:paraId="127BAEFD">
      <w:pPr>
        <w:pStyle w:val="5"/>
        <w:spacing w:before="0" w:after="0" w:line="360" w:lineRule="auto"/>
        <w:rPr>
          <w:rFonts w:ascii="宋体" w:hAnsi="宋体" w:cs="宋体"/>
          <w:color w:val="auto"/>
          <w:sz w:val="21"/>
          <w:szCs w:val="21"/>
        </w:rPr>
      </w:pPr>
      <w:bookmarkStart w:id="574" w:name="_Toc22288"/>
      <w:bookmarkStart w:id="575" w:name="_Toc17317"/>
      <w:r>
        <w:rPr>
          <w:rFonts w:ascii="宋体" w:hAnsi="宋体" w:cs="宋体"/>
          <w:color w:val="auto"/>
          <w:sz w:val="21"/>
          <w:szCs w:val="21"/>
        </w:rPr>
        <w:t>3.1</w:t>
      </w:r>
      <w:r>
        <w:rPr>
          <w:rFonts w:hint="eastAsia" w:ascii="宋体" w:hAnsi="宋体" w:cs="宋体"/>
          <w:color w:val="auto"/>
          <w:sz w:val="21"/>
          <w:szCs w:val="21"/>
        </w:rPr>
        <w:t>报价排序</w:t>
      </w:r>
      <w:bookmarkEnd w:id="574"/>
      <w:bookmarkEnd w:id="575"/>
    </w:p>
    <w:p w14:paraId="6E22299C">
      <w:pPr>
        <w:spacing w:line="360" w:lineRule="auto"/>
        <w:ind w:firstLine="413" w:firstLineChars="197"/>
        <w:rPr>
          <w:rFonts w:ascii="宋体" w:hAnsi="宋体" w:cs="宋体"/>
          <w:color w:val="auto"/>
          <w:szCs w:val="21"/>
        </w:rPr>
      </w:pPr>
      <w:r>
        <w:rPr>
          <w:rFonts w:hint="eastAsia" w:ascii="宋体" w:hAnsi="宋体" w:cs="宋体"/>
          <w:color w:val="auto"/>
          <w:szCs w:val="21"/>
        </w:rPr>
        <w:t>对报价不高于最高限价的所有投标人的投标文件，按照报价由低到高的顺序排序。</w:t>
      </w:r>
    </w:p>
    <w:p w14:paraId="14295216">
      <w:pPr>
        <w:pStyle w:val="5"/>
        <w:spacing w:before="0" w:after="0" w:line="360" w:lineRule="auto"/>
        <w:rPr>
          <w:rFonts w:ascii="宋体" w:hAnsi="宋体" w:cs="宋体"/>
          <w:color w:val="auto"/>
          <w:sz w:val="21"/>
          <w:szCs w:val="21"/>
        </w:rPr>
      </w:pPr>
      <w:bookmarkStart w:id="576" w:name="_Toc23300"/>
      <w:bookmarkStart w:id="577" w:name="_Toc24328"/>
      <w:r>
        <w:rPr>
          <w:rFonts w:ascii="宋体" w:hAnsi="宋体" w:cs="宋体"/>
          <w:color w:val="auto"/>
          <w:sz w:val="21"/>
          <w:szCs w:val="21"/>
        </w:rPr>
        <w:t>3.</w:t>
      </w:r>
      <w:r>
        <w:rPr>
          <w:rFonts w:hint="eastAsia" w:ascii="宋体" w:hAnsi="宋体" w:cs="宋体"/>
          <w:color w:val="auto"/>
          <w:sz w:val="21"/>
          <w:szCs w:val="21"/>
        </w:rPr>
        <w:t>2符合性审查</w:t>
      </w:r>
      <w:bookmarkEnd w:id="576"/>
      <w:bookmarkEnd w:id="577"/>
    </w:p>
    <w:p w14:paraId="559D84BB">
      <w:pPr>
        <w:spacing w:line="360" w:lineRule="auto"/>
        <w:ind w:firstLine="413" w:firstLineChars="197"/>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款规定的标准对投标文件进行符合性审查。符合性审查顺序：资格评审、形式评审、响应性评审。</w:t>
      </w:r>
    </w:p>
    <w:p w14:paraId="31189839">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725B24FF">
      <w:pPr>
        <w:spacing w:line="360" w:lineRule="auto"/>
        <w:ind w:firstLine="405" w:firstLineChars="193"/>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017DEA9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6DEBF10F">
      <w:pPr>
        <w:spacing w:line="360" w:lineRule="auto"/>
        <w:ind w:firstLine="420" w:firstLineChars="200"/>
        <w:rPr>
          <w:rFonts w:ascii="宋体" w:hAnsi="宋体" w:cs="宋体"/>
          <w:color w:val="auto"/>
          <w:szCs w:val="21"/>
        </w:rPr>
      </w:pPr>
      <w:r>
        <w:rPr>
          <w:rFonts w:hint="eastAsia" w:ascii="宋体" w:hAnsi="宋体" w:cs="宋体"/>
          <w:color w:val="auto"/>
          <w:szCs w:val="21"/>
        </w:rPr>
        <w:t>（3）拒绝按评标委员会要求澄清、说明或补正的。</w:t>
      </w:r>
    </w:p>
    <w:p w14:paraId="3CC6964A">
      <w:pPr>
        <w:spacing w:line="360" w:lineRule="auto"/>
        <w:ind w:firstLine="420" w:firstLineChars="200"/>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167F5837">
      <w:pPr>
        <w:spacing w:line="360" w:lineRule="auto"/>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0754116E">
      <w:pPr>
        <w:spacing w:line="360" w:lineRule="auto"/>
        <w:ind w:firstLine="420" w:firstLineChars="200"/>
        <w:rPr>
          <w:rFonts w:ascii="宋体" w:hAnsi="宋体" w:cs="宋体"/>
          <w:color w:val="auto"/>
          <w:szCs w:val="21"/>
        </w:rPr>
      </w:pPr>
      <w:r>
        <w:rPr>
          <w:rFonts w:hint="eastAsia" w:ascii="宋体" w:hAnsi="宋体" w:cs="宋体"/>
          <w:color w:val="auto"/>
          <w:szCs w:val="21"/>
        </w:rPr>
        <w:t>（2）投标函中的总报价与已标价工程量清单总报价不一致的，由评标委员会作否决投标处理。</w:t>
      </w:r>
    </w:p>
    <w:p w14:paraId="4D187775">
      <w:pPr>
        <w:pStyle w:val="5"/>
        <w:spacing w:before="0" w:after="0" w:line="360" w:lineRule="auto"/>
        <w:rPr>
          <w:rFonts w:ascii="宋体" w:hAnsi="宋体" w:cs="宋体"/>
          <w:color w:val="auto"/>
          <w:sz w:val="21"/>
          <w:szCs w:val="21"/>
        </w:rPr>
      </w:pPr>
      <w:bookmarkStart w:id="578" w:name="_Toc5505"/>
      <w:bookmarkStart w:id="579" w:name="_Toc9514"/>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578"/>
      <w:bookmarkEnd w:id="579"/>
    </w:p>
    <w:p w14:paraId="1EE896A6">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1169B253">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4FD28405">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1965FFA1">
      <w:pPr>
        <w:pStyle w:val="5"/>
        <w:spacing w:before="0" w:after="0" w:line="360" w:lineRule="auto"/>
        <w:rPr>
          <w:rFonts w:ascii="宋体" w:hAnsi="宋体" w:cs="宋体"/>
          <w:color w:val="auto"/>
          <w:sz w:val="21"/>
          <w:szCs w:val="21"/>
        </w:rPr>
      </w:pPr>
      <w:bookmarkStart w:id="580" w:name="_Toc484465184"/>
      <w:bookmarkStart w:id="581" w:name="_Toc479262406"/>
      <w:bookmarkStart w:id="582" w:name="_Toc25427"/>
      <w:bookmarkStart w:id="583" w:name="_Toc26860"/>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580"/>
      <w:bookmarkEnd w:id="581"/>
      <w:bookmarkEnd w:id="582"/>
      <w:bookmarkEnd w:id="583"/>
    </w:p>
    <w:p w14:paraId="56C9A891">
      <w:pPr>
        <w:autoSpaceDE w:val="0"/>
        <w:autoSpaceDN w:val="0"/>
        <w:adjustRightInd w:val="0"/>
        <w:spacing w:line="360" w:lineRule="auto"/>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除第二章“投标人须知”前附表授权直接确定中标人外，评标委员会按经评审的最低投标价法推荐中标候选人。</w:t>
      </w:r>
    </w:p>
    <w:p w14:paraId="29AFBFD0">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eastAsia="zh-CN"/>
        </w:rPr>
        <w:t>比选人</w:t>
      </w:r>
      <w:r>
        <w:rPr>
          <w:rFonts w:hint="eastAsia" w:ascii="宋体" w:hAnsi="宋体" w:cs="宋体"/>
          <w:color w:val="auto"/>
          <w:szCs w:val="21"/>
        </w:rPr>
        <w:t>提交书面评标报告和中标候选人名单。</w:t>
      </w:r>
    </w:p>
    <w:p w14:paraId="4CEC080D">
      <w:pPr>
        <w:pStyle w:val="33"/>
        <w:spacing w:line="360" w:lineRule="auto"/>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14:paraId="27E99D94">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3E2E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B9AEB55">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49AD6110">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1B5A3D09">
            <w:pPr>
              <w:spacing w:line="400" w:lineRule="exact"/>
              <w:jc w:val="center"/>
              <w:rPr>
                <w:rFonts w:ascii="宋体" w:hAnsi="宋体"/>
                <w:b/>
                <w:color w:val="auto"/>
                <w:szCs w:val="21"/>
              </w:rPr>
            </w:pPr>
            <w:r>
              <w:rPr>
                <w:rFonts w:ascii="宋体" w:hAnsi="宋体"/>
                <w:b/>
                <w:color w:val="auto"/>
                <w:szCs w:val="21"/>
              </w:rPr>
              <w:t>否决投标条件</w:t>
            </w:r>
          </w:p>
        </w:tc>
      </w:tr>
      <w:tr w14:paraId="550B8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95" w:hRule="atLeast"/>
          <w:tblHeader/>
          <w:jc w:val="center"/>
        </w:trPr>
        <w:tc>
          <w:tcPr>
            <w:tcW w:w="1237" w:type="dxa"/>
            <w:vMerge w:val="restart"/>
            <w:vAlign w:val="center"/>
          </w:tcPr>
          <w:p w14:paraId="406E2E43">
            <w:pPr>
              <w:spacing w:line="400" w:lineRule="exact"/>
              <w:jc w:val="center"/>
              <w:rPr>
                <w:rFonts w:ascii="宋体" w:hAnsi="宋体"/>
                <w:color w:val="auto"/>
                <w:szCs w:val="21"/>
              </w:rPr>
            </w:pPr>
            <w:r>
              <w:rPr>
                <w:rFonts w:hint="eastAsia" w:ascii="宋体" w:hAnsi="宋体"/>
                <w:color w:val="auto"/>
                <w:szCs w:val="21"/>
              </w:rPr>
              <w:t>第三章</w:t>
            </w:r>
          </w:p>
        </w:tc>
        <w:tc>
          <w:tcPr>
            <w:tcW w:w="1899" w:type="dxa"/>
            <w:vMerge w:val="restart"/>
            <w:vAlign w:val="center"/>
          </w:tcPr>
          <w:p w14:paraId="7C9ABC9A">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7E8EF6B4">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w:t>
            </w:r>
            <w:r>
              <w:rPr>
                <w:rFonts w:hint="eastAsia" w:ascii="宋体" w:hAnsi="宋体"/>
                <w:color w:val="auto"/>
                <w:szCs w:val="21"/>
              </w:rPr>
              <w:t>投标人的资质条件、营业执照及安全生产条件须满足投标人须知前附表第1.4.1项的要求，否则由评标委员会作否决投标处理。</w:t>
            </w:r>
          </w:p>
        </w:tc>
      </w:tr>
      <w:tr w14:paraId="4CC24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FB53023">
            <w:pPr>
              <w:spacing w:line="400" w:lineRule="exact"/>
              <w:jc w:val="center"/>
              <w:rPr>
                <w:rFonts w:ascii="宋体" w:hAnsi="宋体"/>
                <w:color w:val="auto"/>
                <w:szCs w:val="21"/>
              </w:rPr>
            </w:pPr>
          </w:p>
        </w:tc>
        <w:tc>
          <w:tcPr>
            <w:tcW w:w="1899" w:type="dxa"/>
            <w:vMerge w:val="continue"/>
            <w:vAlign w:val="center"/>
          </w:tcPr>
          <w:p w14:paraId="42CB1335">
            <w:pPr>
              <w:spacing w:line="400" w:lineRule="exact"/>
              <w:jc w:val="center"/>
              <w:rPr>
                <w:rFonts w:ascii="宋体" w:hAnsi="宋体"/>
                <w:color w:val="auto"/>
                <w:szCs w:val="21"/>
              </w:rPr>
            </w:pPr>
          </w:p>
        </w:tc>
        <w:tc>
          <w:tcPr>
            <w:tcW w:w="6333" w:type="dxa"/>
            <w:vAlign w:val="center"/>
          </w:tcPr>
          <w:p w14:paraId="2F317892">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w:t>
            </w:r>
            <w:r>
              <w:rPr>
                <w:rFonts w:hint="eastAsia" w:ascii="宋体" w:hAnsi="宋体"/>
                <w:color w:val="auto"/>
                <w:szCs w:val="21"/>
              </w:rPr>
              <w:t>投标人的投标截止日投标资格情况须满足投标人须知前附表1.4.1项的要求，否则由评标委员会作否决投标处理。</w:t>
            </w:r>
          </w:p>
        </w:tc>
      </w:tr>
      <w:tr w14:paraId="02FA9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716F73B">
            <w:pPr>
              <w:spacing w:line="400" w:lineRule="exact"/>
              <w:jc w:val="center"/>
              <w:rPr>
                <w:rFonts w:ascii="宋体" w:hAnsi="宋体"/>
                <w:color w:val="auto"/>
                <w:szCs w:val="21"/>
              </w:rPr>
            </w:pPr>
          </w:p>
        </w:tc>
        <w:tc>
          <w:tcPr>
            <w:tcW w:w="1899" w:type="dxa"/>
            <w:vMerge w:val="continue"/>
            <w:vAlign w:val="center"/>
          </w:tcPr>
          <w:p w14:paraId="72BD333B">
            <w:pPr>
              <w:spacing w:line="400" w:lineRule="exact"/>
              <w:jc w:val="center"/>
              <w:rPr>
                <w:rFonts w:ascii="宋体" w:hAnsi="宋体"/>
                <w:color w:val="auto"/>
                <w:szCs w:val="21"/>
              </w:rPr>
            </w:pPr>
          </w:p>
        </w:tc>
        <w:tc>
          <w:tcPr>
            <w:tcW w:w="6333" w:type="dxa"/>
            <w:vAlign w:val="center"/>
          </w:tcPr>
          <w:p w14:paraId="6598FEAD">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3</w:t>
            </w:r>
            <w:r>
              <w:rPr>
                <w:rFonts w:hint="eastAsia" w:ascii="宋体" w:hAnsi="宋体"/>
                <w:color w:val="auto"/>
                <w:szCs w:val="21"/>
              </w:rPr>
              <w:t>投标人的项目经理资格须满足投标人须知前附表第1.4.1项的要求，否则由评标委员会作否决投标处理。</w:t>
            </w:r>
          </w:p>
        </w:tc>
      </w:tr>
      <w:tr w14:paraId="0ECE8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0" w:hRule="atLeast"/>
          <w:tblHeader/>
          <w:jc w:val="center"/>
        </w:trPr>
        <w:tc>
          <w:tcPr>
            <w:tcW w:w="1237" w:type="dxa"/>
            <w:vMerge w:val="continue"/>
            <w:vAlign w:val="center"/>
          </w:tcPr>
          <w:p w14:paraId="109642CD">
            <w:pPr>
              <w:spacing w:line="400" w:lineRule="exact"/>
              <w:jc w:val="center"/>
              <w:rPr>
                <w:rFonts w:ascii="宋体" w:hAnsi="宋体"/>
                <w:color w:val="auto"/>
                <w:szCs w:val="21"/>
              </w:rPr>
            </w:pPr>
          </w:p>
        </w:tc>
        <w:tc>
          <w:tcPr>
            <w:tcW w:w="1899" w:type="dxa"/>
            <w:vMerge w:val="continue"/>
            <w:vAlign w:val="center"/>
          </w:tcPr>
          <w:p w14:paraId="76A066CA">
            <w:pPr>
              <w:spacing w:line="400" w:lineRule="exact"/>
              <w:jc w:val="center"/>
              <w:rPr>
                <w:rFonts w:ascii="宋体" w:hAnsi="宋体"/>
                <w:color w:val="auto"/>
                <w:szCs w:val="21"/>
              </w:rPr>
            </w:pPr>
          </w:p>
        </w:tc>
        <w:tc>
          <w:tcPr>
            <w:tcW w:w="6333" w:type="dxa"/>
            <w:vAlign w:val="center"/>
          </w:tcPr>
          <w:p w14:paraId="38ADF1B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4</w:t>
            </w:r>
            <w:r>
              <w:rPr>
                <w:rFonts w:hint="eastAsia" w:ascii="宋体" w:hAnsi="宋体"/>
                <w:color w:val="auto"/>
                <w:szCs w:val="21"/>
              </w:rPr>
              <w:t>投标人的其他要求须满足投标人须知前附表第1.4.1项的要求，否则由评标委员会作否决投标处理。</w:t>
            </w:r>
          </w:p>
        </w:tc>
      </w:tr>
      <w:tr w14:paraId="221A25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07D330">
            <w:pPr>
              <w:spacing w:line="400" w:lineRule="exact"/>
              <w:jc w:val="center"/>
              <w:rPr>
                <w:rFonts w:ascii="宋体" w:hAnsi="宋体"/>
                <w:color w:val="auto"/>
                <w:szCs w:val="21"/>
              </w:rPr>
            </w:pPr>
          </w:p>
        </w:tc>
        <w:tc>
          <w:tcPr>
            <w:tcW w:w="1899" w:type="dxa"/>
            <w:vMerge w:val="restart"/>
            <w:vAlign w:val="center"/>
          </w:tcPr>
          <w:p w14:paraId="7D758DA3">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4046A773">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5</w:t>
            </w:r>
            <w:r>
              <w:rPr>
                <w:rFonts w:hint="eastAsia" w:ascii="宋体" w:hAnsi="宋体"/>
                <w:color w:val="auto"/>
                <w:szCs w:val="21"/>
              </w:rPr>
              <w:t>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56C461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3657E7">
            <w:pPr>
              <w:spacing w:line="400" w:lineRule="exact"/>
              <w:jc w:val="center"/>
              <w:rPr>
                <w:rFonts w:ascii="宋体" w:hAnsi="宋体"/>
                <w:color w:val="auto"/>
                <w:szCs w:val="21"/>
              </w:rPr>
            </w:pPr>
          </w:p>
        </w:tc>
        <w:tc>
          <w:tcPr>
            <w:tcW w:w="1899" w:type="dxa"/>
            <w:vMerge w:val="continue"/>
            <w:vAlign w:val="center"/>
          </w:tcPr>
          <w:p w14:paraId="5374C1ED">
            <w:pPr>
              <w:spacing w:line="400" w:lineRule="exact"/>
              <w:jc w:val="center"/>
              <w:rPr>
                <w:rFonts w:ascii="宋体" w:hAnsi="宋体"/>
                <w:color w:val="auto"/>
                <w:szCs w:val="21"/>
              </w:rPr>
            </w:pPr>
          </w:p>
        </w:tc>
        <w:tc>
          <w:tcPr>
            <w:tcW w:w="6333" w:type="dxa"/>
          </w:tcPr>
          <w:p w14:paraId="3493CBEB">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6</w:t>
            </w:r>
            <w:r>
              <w:rPr>
                <w:rFonts w:hint="eastAsia" w:ascii="宋体" w:hAnsi="宋体"/>
                <w:color w:val="auto"/>
                <w:szCs w:val="21"/>
              </w:rPr>
              <w:t>投标函格式规定签名、盖章的位置有法定代表人或其委托代理人签名（或盖章）、加盖单位法人章，否则由评标委员会作否决投标处理。</w:t>
            </w:r>
          </w:p>
        </w:tc>
      </w:tr>
      <w:tr w14:paraId="17820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D93999B">
            <w:pPr>
              <w:spacing w:line="400" w:lineRule="exact"/>
              <w:jc w:val="center"/>
              <w:rPr>
                <w:rFonts w:ascii="宋体" w:hAnsi="宋体"/>
                <w:color w:val="auto"/>
                <w:szCs w:val="21"/>
              </w:rPr>
            </w:pPr>
          </w:p>
        </w:tc>
        <w:tc>
          <w:tcPr>
            <w:tcW w:w="1899" w:type="dxa"/>
            <w:vMerge w:val="continue"/>
            <w:vAlign w:val="center"/>
          </w:tcPr>
          <w:p w14:paraId="6B608460">
            <w:pPr>
              <w:spacing w:line="400" w:lineRule="exact"/>
              <w:jc w:val="center"/>
              <w:rPr>
                <w:rFonts w:ascii="宋体" w:hAnsi="宋体"/>
                <w:color w:val="auto"/>
                <w:szCs w:val="21"/>
              </w:rPr>
            </w:pPr>
          </w:p>
        </w:tc>
        <w:tc>
          <w:tcPr>
            <w:tcW w:w="6333" w:type="dxa"/>
          </w:tcPr>
          <w:p w14:paraId="388F9B06">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7</w:t>
            </w:r>
            <w:r>
              <w:rPr>
                <w:rFonts w:hint="eastAsia" w:ascii="宋体" w:hAnsi="宋体"/>
                <w:color w:val="auto"/>
                <w:szCs w:val="21"/>
              </w:rPr>
              <w:t>投标文件格式符合第二章“投标人须知”第3.7款的要求，否则由评标委员会作否决投标处理。</w:t>
            </w:r>
          </w:p>
          <w:p w14:paraId="58E659E3">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46407D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237" w:type="dxa"/>
            <w:vMerge w:val="continue"/>
            <w:vAlign w:val="center"/>
          </w:tcPr>
          <w:p w14:paraId="0820E0C7">
            <w:pPr>
              <w:spacing w:line="400" w:lineRule="exact"/>
              <w:jc w:val="center"/>
              <w:rPr>
                <w:rFonts w:ascii="宋体" w:hAnsi="宋体"/>
                <w:color w:val="auto"/>
                <w:szCs w:val="21"/>
              </w:rPr>
            </w:pPr>
          </w:p>
        </w:tc>
        <w:tc>
          <w:tcPr>
            <w:tcW w:w="1899" w:type="dxa"/>
            <w:vMerge w:val="continue"/>
            <w:vAlign w:val="center"/>
          </w:tcPr>
          <w:p w14:paraId="2B2BBC44">
            <w:pPr>
              <w:spacing w:line="400" w:lineRule="exact"/>
              <w:jc w:val="center"/>
              <w:rPr>
                <w:rFonts w:ascii="宋体" w:hAnsi="宋体"/>
                <w:color w:val="auto"/>
                <w:szCs w:val="21"/>
              </w:rPr>
            </w:pPr>
          </w:p>
        </w:tc>
        <w:tc>
          <w:tcPr>
            <w:tcW w:w="6333" w:type="dxa"/>
          </w:tcPr>
          <w:p w14:paraId="63003D94">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8</w:t>
            </w:r>
            <w:r>
              <w:rPr>
                <w:rFonts w:hint="eastAsia" w:ascii="宋体" w:hAnsi="宋体"/>
                <w:color w:val="auto"/>
                <w:szCs w:val="21"/>
              </w:rPr>
              <w:t>投标文件份数符合第二章“投标人须知”第3.7.4项的规定，</w:t>
            </w:r>
            <w:r>
              <w:rPr>
                <w:rFonts w:hint="eastAsia" w:ascii="宋体" w:hAnsi="宋体"/>
                <w:color w:val="auto"/>
                <w:kern w:val="0"/>
                <w:szCs w:val="21"/>
              </w:rPr>
              <w:t>否则由评标委员会作否决投标处理。</w:t>
            </w:r>
          </w:p>
        </w:tc>
      </w:tr>
      <w:tr w14:paraId="1BE74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E7EE05">
            <w:pPr>
              <w:spacing w:line="400" w:lineRule="exact"/>
              <w:jc w:val="center"/>
              <w:rPr>
                <w:rFonts w:ascii="宋体" w:hAnsi="宋体"/>
                <w:color w:val="auto"/>
                <w:szCs w:val="21"/>
              </w:rPr>
            </w:pPr>
          </w:p>
        </w:tc>
        <w:tc>
          <w:tcPr>
            <w:tcW w:w="1899" w:type="dxa"/>
            <w:vMerge w:val="continue"/>
            <w:vAlign w:val="center"/>
          </w:tcPr>
          <w:p w14:paraId="17E0B586">
            <w:pPr>
              <w:spacing w:line="400" w:lineRule="exact"/>
              <w:jc w:val="center"/>
              <w:rPr>
                <w:rFonts w:ascii="宋体" w:hAnsi="宋体"/>
                <w:color w:val="auto"/>
                <w:szCs w:val="21"/>
              </w:rPr>
            </w:pPr>
          </w:p>
        </w:tc>
        <w:tc>
          <w:tcPr>
            <w:tcW w:w="6333" w:type="dxa"/>
          </w:tcPr>
          <w:p w14:paraId="59445C07">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9</w:t>
            </w:r>
            <w:r>
              <w:rPr>
                <w:rFonts w:hint="eastAsia" w:ascii="宋体" w:hAnsi="宋体"/>
                <w:color w:val="auto"/>
                <w:szCs w:val="21"/>
              </w:rPr>
              <w:t>只能有一个有效报价。在</w:t>
            </w:r>
            <w:r>
              <w:rPr>
                <w:rFonts w:hint="eastAsia" w:ascii="宋体" w:hAnsi="宋体"/>
                <w:color w:val="auto"/>
                <w:szCs w:val="21"/>
                <w:lang w:eastAsia="zh-CN"/>
              </w:rPr>
              <w:t>比选文件</w:t>
            </w:r>
            <w:r>
              <w:rPr>
                <w:rFonts w:hint="eastAsia" w:ascii="宋体" w:hAnsi="宋体"/>
                <w:color w:val="auto"/>
                <w:szCs w:val="21"/>
              </w:rPr>
              <w:t>没有规定的情况下，不得提交选择性报价，否则由评标委员会作否决投标处理。</w:t>
            </w:r>
          </w:p>
        </w:tc>
      </w:tr>
      <w:tr w14:paraId="10D60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27E53A">
            <w:pPr>
              <w:spacing w:line="400" w:lineRule="exact"/>
              <w:jc w:val="center"/>
              <w:rPr>
                <w:rFonts w:ascii="宋体" w:hAnsi="宋体"/>
                <w:color w:val="auto"/>
                <w:szCs w:val="21"/>
              </w:rPr>
            </w:pPr>
          </w:p>
        </w:tc>
        <w:tc>
          <w:tcPr>
            <w:tcW w:w="1899" w:type="dxa"/>
            <w:vMerge w:val="continue"/>
            <w:vAlign w:val="center"/>
          </w:tcPr>
          <w:p w14:paraId="39FB75BC">
            <w:pPr>
              <w:spacing w:line="400" w:lineRule="exact"/>
              <w:jc w:val="center"/>
              <w:rPr>
                <w:rFonts w:ascii="宋体" w:hAnsi="宋体"/>
                <w:color w:val="auto"/>
                <w:szCs w:val="21"/>
              </w:rPr>
            </w:pPr>
          </w:p>
        </w:tc>
        <w:tc>
          <w:tcPr>
            <w:tcW w:w="6333" w:type="dxa"/>
          </w:tcPr>
          <w:p w14:paraId="43CEDE60">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0</w:t>
            </w:r>
            <w:r>
              <w:rPr>
                <w:rFonts w:hint="eastAsia" w:ascii="宋体" w:hAnsi="宋体" w:cs="宋体"/>
                <w:color w:val="auto"/>
                <w:kern w:val="0"/>
              </w:rPr>
              <w:t>第八章 投标文件格式要求法定代表人或其委托代理人签名（或盖章）的须齐全。</w:t>
            </w:r>
          </w:p>
        </w:tc>
      </w:tr>
      <w:tr w14:paraId="4FF513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15FEAC">
            <w:pPr>
              <w:spacing w:line="400" w:lineRule="exact"/>
              <w:jc w:val="center"/>
              <w:rPr>
                <w:rFonts w:ascii="宋体" w:hAnsi="宋体"/>
                <w:color w:val="auto"/>
                <w:szCs w:val="21"/>
              </w:rPr>
            </w:pPr>
          </w:p>
        </w:tc>
        <w:tc>
          <w:tcPr>
            <w:tcW w:w="1899" w:type="dxa"/>
            <w:vMerge w:val="continue"/>
            <w:vAlign w:val="center"/>
          </w:tcPr>
          <w:p w14:paraId="54405181">
            <w:pPr>
              <w:spacing w:line="400" w:lineRule="exact"/>
              <w:jc w:val="center"/>
              <w:rPr>
                <w:rFonts w:ascii="宋体" w:hAnsi="宋体"/>
                <w:color w:val="auto"/>
                <w:szCs w:val="21"/>
              </w:rPr>
            </w:pPr>
          </w:p>
        </w:tc>
        <w:tc>
          <w:tcPr>
            <w:tcW w:w="6333" w:type="dxa"/>
          </w:tcPr>
          <w:p w14:paraId="2CFE95F2">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1</w:t>
            </w:r>
            <w:r>
              <w:rPr>
                <w:rFonts w:hint="eastAsia" w:ascii="宋体" w:hAnsi="宋体"/>
                <w:color w:val="auto"/>
                <w:szCs w:val="21"/>
              </w:rPr>
              <w:t>投标人法定代表人的委托代理人有法定代表人签署的授权委托书和投标人为其缴纳的养老保险证明材料，否则由评标委员会作否决投标处理。</w:t>
            </w:r>
          </w:p>
        </w:tc>
      </w:tr>
      <w:tr w14:paraId="777A2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F4AB76">
            <w:pPr>
              <w:spacing w:line="400" w:lineRule="exact"/>
              <w:jc w:val="center"/>
              <w:rPr>
                <w:rFonts w:ascii="宋体" w:hAnsi="宋体"/>
                <w:color w:val="auto"/>
                <w:szCs w:val="21"/>
              </w:rPr>
            </w:pPr>
          </w:p>
        </w:tc>
        <w:tc>
          <w:tcPr>
            <w:tcW w:w="1899" w:type="dxa"/>
            <w:vMerge w:val="restart"/>
            <w:vAlign w:val="center"/>
          </w:tcPr>
          <w:p w14:paraId="34DC8279">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6A1E2D92">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2</w:t>
            </w:r>
            <w:r>
              <w:rPr>
                <w:rFonts w:hint="eastAsia" w:ascii="宋体" w:hAnsi="宋体" w:cs="宋体"/>
                <w:color w:val="auto"/>
                <w:szCs w:val="21"/>
              </w:rPr>
              <w:t>投标总报价必须与已标价工程量清单总报价一致</w:t>
            </w:r>
            <w:r>
              <w:rPr>
                <w:rFonts w:hint="eastAsia" w:ascii="宋体" w:hAnsi="宋体"/>
                <w:color w:val="auto"/>
                <w:szCs w:val="21"/>
              </w:rPr>
              <w:t>，否则由评标委员会作否决投标处理。</w:t>
            </w:r>
          </w:p>
        </w:tc>
      </w:tr>
      <w:tr w14:paraId="3365EE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237" w:type="dxa"/>
            <w:vMerge w:val="continue"/>
            <w:vAlign w:val="center"/>
          </w:tcPr>
          <w:p w14:paraId="08831F31">
            <w:pPr>
              <w:spacing w:line="400" w:lineRule="exact"/>
              <w:jc w:val="center"/>
              <w:rPr>
                <w:rFonts w:ascii="宋体" w:hAnsi="宋体"/>
                <w:color w:val="auto"/>
                <w:szCs w:val="21"/>
              </w:rPr>
            </w:pPr>
          </w:p>
        </w:tc>
        <w:tc>
          <w:tcPr>
            <w:tcW w:w="1899" w:type="dxa"/>
            <w:vMerge w:val="continue"/>
            <w:vAlign w:val="center"/>
          </w:tcPr>
          <w:p w14:paraId="43BA203E">
            <w:pPr>
              <w:spacing w:line="400" w:lineRule="exact"/>
              <w:jc w:val="center"/>
              <w:rPr>
                <w:rFonts w:ascii="宋体" w:hAnsi="宋体"/>
                <w:color w:val="auto"/>
                <w:szCs w:val="21"/>
              </w:rPr>
            </w:pPr>
          </w:p>
        </w:tc>
        <w:tc>
          <w:tcPr>
            <w:tcW w:w="6333" w:type="dxa"/>
            <w:vAlign w:val="center"/>
          </w:tcPr>
          <w:p w14:paraId="70D89E5C">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3</w:t>
            </w:r>
            <w:r>
              <w:rPr>
                <w:rFonts w:hint="eastAsia" w:ascii="宋体" w:hAnsi="宋体"/>
                <w:color w:val="auto"/>
                <w:szCs w:val="21"/>
              </w:rPr>
              <w:t>投标总报价不得高于</w:t>
            </w:r>
            <w:r>
              <w:rPr>
                <w:rFonts w:hint="eastAsia" w:ascii="宋体" w:hAnsi="宋体"/>
                <w:color w:val="auto"/>
                <w:szCs w:val="21"/>
                <w:lang w:eastAsia="zh-CN"/>
              </w:rPr>
              <w:t>比选人</w:t>
            </w:r>
            <w:r>
              <w:rPr>
                <w:rFonts w:hint="eastAsia" w:ascii="宋体" w:hAnsi="宋体"/>
                <w:color w:val="auto"/>
                <w:szCs w:val="21"/>
              </w:rPr>
              <w:t>公布的投标总报价最高限价，否则由评标委员会作否决投标处理。</w:t>
            </w:r>
          </w:p>
        </w:tc>
      </w:tr>
      <w:tr w14:paraId="5E4C73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FD51DF">
            <w:pPr>
              <w:spacing w:line="400" w:lineRule="exact"/>
              <w:jc w:val="center"/>
              <w:rPr>
                <w:rFonts w:ascii="宋体" w:hAnsi="宋体"/>
                <w:color w:val="auto"/>
                <w:szCs w:val="21"/>
              </w:rPr>
            </w:pPr>
          </w:p>
        </w:tc>
        <w:tc>
          <w:tcPr>
            <w:tcW w:w="1899" w:type="dxa"/>
            <w:vMerge w:val="continue"/>
            <w:vAlign w:val="center"/>
          </w:tcPr>
          <w:p w14:paraId="3F12FCC0">
            <w:pPr>
              <w:spacing w:line="400" w:lineRule="exact"/>
              <w:jc w:val="center"/>
              <w:rPr>
                <w:rFonts w:ascii="宋体" w:hAnsi="宋体"/>
                <w:color w:val="auto"/>
                <w:szCs w:val="21"/>
              </w:rPr>
            </w:pPr>
          </w:p>
        </w:tc>
        <w:tc>
          <w:tcPr>
            <w:tcW w:w="6333" w:type="dxa"/>
            <w:vAlign w:val="center"/>
          </w:tcPr>
          <w:p w14:paraId="555C3958">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14</w:t>
            </w:r>
            <w:r>
              <w:rPr>
                <w:rFonts w:hint="eastAsia" w:ascii="宋体" w:hAnsi="宋体"/>
                <w:color w:val="auto"/>
                <w:szCs w:val="21"/>
              </w:rPr>
              <w:t>暂列金额、暂估价、安全文明施工费等暂定金额必须按照</w:t>
            </w:r>
            <w:r>
              <w:rPr>
                <w:rFonts w:hint="eastAsia" w:ascii="宋体" w:hAnsi="宋体"/>
                <w:color w:val="auto"/>
                <w:szCs w:val="21"/>
                <w:lang w:eastAsia="zh-CN"/>
              </w:rPr>
              <w:t>比选文件</w:t>
            </w:r>
            <w:r>
              <w:rPr>
                <w:rFonts w:hint="eastAsia" w:ascii="宋体" w:hAnsi="宋体"/>
                <w:color w:val="auto"/>
                <w:szCs w:val="21"/>
              </w:rPr>
              <w:t>给定的金额填报，否则由评标委员会作否决投标处理。</w:t>
            </w:r>
          </w:p>
        </w:tc>
      </w:tr>
      <w:tr w14:paraId="6ECB0B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167BC6">
            <w:pPr>
              <w:spacing w:line="400" w:lineRule="exact"/>
              <w:jc w:val="center"/>
              <w:rPr>
                <w:rFonts w:ascii="宋体" w:hAnsi="宋体"/>
                <w:color w:val="auto"/>
                <w:szCs w:val="21"/>
              </w:rPr>
            </w:pPr>
          </w:p>
        </w:tc>
        <w:tc>
          <w:tcPr>
            <w:tcW w:w="1899" w:type="dxa"/>
            <w:vMerge w:val="continue"/>
            <w:vAlign w:val="center"/>
          </w:tcPr>
          <w:p w14:paraId="34E45B90">
            <w:pPr>
              <w:spacing w:line="400" w:lineRule="exact"/>
              <w:jc w:val="center"/>
              <w:rPr>
                <w:rFonts w:ascii="宋体" w:hAnsi="宋体"/>
                <w:color w:val="auto"/>
                <w:szCs w:val="21"/>
              </w:rPr>
            </w:pPr>
          </w:p>
        </w:tc>
        <w:tc>
          <w:tcPr>
            <w:tcW w:w="6333" w:type="dxa"/>
            <w:vAlign w:val="center"/>
          </w:tcPr>
          <w:p w14:paraId="3AF0CB31">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15</w:t>
            </w:r>
            <w:r>
              <w:rPr>
                <w:rFonts w:hint="eastAsia" w:ascii="宋体" w:hAnsi="宋体"/>
                <w:color w:val="auto"/>
                <w:szCs w:val="21"/>
              </w:rPr>
              <w:t>投标内容符合第二章“投标人须知”第1.3.1项规定，否则由评标委员会作否决投标处理。</w:t>
            </w:r>
          </w:p>
        </w:tc>
      </w:tr>
      <w:tr w14:paraId="2E37BA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66DA16">
            <w:pPr>
              <w:spacing w:line="400" w:lineRule="exact"/>
              <w:jc w:val="center"/>
              <w:rPr>
                <w:rFonts w:ascii="宋体" w:hAnsi="宋体"/>
                <w:color w:val="auto"/>
                <w:szCs w:val="21"/>
              </w:rPr>
            </w:pPr>
          </w:p>
        </w:tc>
        <w:tc>
          <w:tcPr>
            <w:tcW w:w="1899" w:type="dxa"/>
            <w:vMerge w:val="continue"/>
            <w:vAlign w:val="center"/>
          </w:tcPr>
          <w:p w14:paraId="167DB425">
            <w:pPr>
              <w:spacing w:line="400" w:lineRule="exact"/>
              <w:jc w:val="center"/>
              <w:rPr>
                <w:rFonts w:ascii="宋体" w:hAnsi="宋体"/>
                <w:color w:val="auto"/>
                <w:szCs w:val="21"/>
              </w:rPr>
            </w:pPr>
          </w:p>
        </w:tc>
        <w:tc>
          <w:tcPr>
            <w:tcW w:w="6333" w:type="dxa"/>
            <w:vAlign w:val="center"/>
          </w:tcPr>
          <w:p w14:paraId="445EEE24">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16</w:t>
            </w:r>
            <w:r>
              <w:rPr>
                <w:rFonts w:hint="eastAsia" w:ascii="宋体" w:hAnsi="宋体"/>
                <w:color w:val="auto"/>
                <w:szCs w:val="21"/>
              </w:rPr>
              <w:t>工期符合第二章“投标人须知”第1.3.2项规定，否则由评标委员会作否决投标处理。</w:t>
            </w:r>
          </w:p>
        </w:tc>
      </w:tr>
      <w:tr w14:paraId="18B64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F53E9E">
            <w:pPr>
              <w:spacing w:line="400" w:lineRule="exact"/>
              <w:jc w:val="center"/>
              <w:rPr>
                <w:rFonts w:ascii="宋体" w:hAnsi="宋体"/>
                <w:color w:val="auto"/>
                <w:szCs w:val="21"/>
              </w:rPr>
            </w:pPr>
          </w:p>
        </w:tc>
        <w:tc>
          <w:tcPr>
            <w:tcW w:w="1899" w:type="dxa"/>
            <w:vMerge w:val="continue"/>
            <w:vAlign w:val="center"/>
          </w:tcPr>
          <w:p w14:paraId="6779D835">
            <w:pPr>
              <w:spacing w:line="400" w:lineRule="exact"/>
              <w:jc w:val="center"/>
              <w:rPr>
                <w:rFonts w:ascii="宋体" w:hAnsi="宋体"/>
                <w:color w:val="auto"/>
                <w:szCs w:val="21"/>
              </w:rPr>
            </w:pPr>
          </w:p>
        </w:tc>
        <w:tc>
          <w:tcPr>
            <w:tcW w:w="6333" w:type="dxa"/>
            <w:vAlign w:val="center"/>
          </w:tcPr>
          <w:p w14:paraId="7BE0EB7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17</w:t>
            </w:r>
            <w:r>
              <w:rPr>
                <w:rFonts w:hint="eastAsia" w:ascii="宋体" w:hAnsi="宋体"/>
                <w:color w:val="auto"/>
                <w:szCs w:val="21"/>
              </w:rPr>
              <w:t>工程质量符合第二章“投标人须知”第1.3.3项规定，否则由评标委员会作否决投标处理。</w:t>
            </w:r>
          </w:p>
        </w:tc>
      </w:tr>
      <w:tr w14:paraId="73005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7FCA2F">
            <w:pPr>
              <w:spacing w:line="400" w:lineRule="exact"/>
              <w:jc w:val="center"/>
              <w:rPr>
                <w:rFonts w:ascii="宋体" w:hAnsi="宋体"/>
                <w:color w:val="auto"/>
                <w:szCs w:val="21"/>
              </w:rPr>
            </w:pPr>
          </w:p>
        </w:tc>
        <w:tc>
          <w:tcPr>
            <w:tcW w:w="1899" w:type="dxa"/>
            <w:vMerge w:val="continue"/>
            <w:vAlign w:val="center"/>
          </w:tcPr>
          <w:p w14:paraId="2255087B">
            <w:pPr>
              <w:spacing w:line="400" w:lineRule="exact"/>
              <w:jc w:val="center"/>
              <w:rPr>
                <w:rFonts w:ascii="宋体" w:hAnsi="宋体"/>
                <w:color w:val="auto"/>
                <w:szCs w:val="21"/>
              </w:rPr>
            </w:pPr>
          </w:p>
        </w:tc>
        <w:tc>
          <w:tcPr>
            <w:tcW w:w="6333" w:type="dxa"/>
            <w:vAlign w:val="center"/>
          </w:tcPr>
          <w:p w14:paraId="46A08FE7">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18</w:t>
            </w:r>
            <w:r>
              <w:rPr>
                <w:rFonts w:hint="eastAsia" w:ascii="宋体" w:hAnsi="宋体"/>
                <w:color w:val="auto"/>
                <w:szCs w:val="21"/>
              </w:rPr>
              <w:t>投标有效期符合第二章“投标人须知”第3.3.1项规定，否则由评标委员会作否决投标处理。</w:t>
            </w:r>
          </w:p>
        </w:tc>
      </w:tr>
      <w:tr w14:paraId="7BD73D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772E893">
            <w:pPr>
              <w:spacing w:line="400" w:lineRule="exact"/>
              <w:jc w:val="center"/>
              <w:rPr>
                <w:rFonts w:ascii="宋体" w:hAnsi="宋体"/>
                <w:color w:val="auto"/>
                <w:szCs w:val="21"/>
              </w:rPr>
            </w:pPr>
          </w:p>
        </w:tc>
        <w:tc>
          <w:tcPr>
            <w:tcW w:w="1899" w:type="dxa"/>
            <w:vMerge w:val="continue"/>
            <w:vAlign w:val="center"/>
          </w:tcPr>
          <w:p w14:paraId="483027F1">
            <w:pPr>
              <w:spacing w:line="400" w:lineRule="exact"/>
              <w:jc w:val="center"/>
              <w:rPr>
                <w:rFonts w:ascii="宋体" w:hAnsi="宋体"/>
                <w:color w:val="auto"/>
                <w:szCs w:val="21"/>
              </w:rPr>
            </w:pPr>
          </w:p>
        </w:tc>
        <w:tc>
          <w:tcPr>
            <w:tcW w:w="6333" w:type="dxa"/>
            <w:vAlign w:val="center"/>
          </w:tcPr>
          <w:p w14:paraId="6AFF1F31">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19</w:t>
            </w: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5D22F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ADB1F0">
            <w:pPr>
              <w:spacing w:line="400" w:lineRule="exact"/>
              <w:jc w:val="center"/>
              <w:rPr>
                <w:rFonts w:ascii="宋体" w:hAnsi="宋体"/>
                <w:color w:val="auto"/>
                <w:szCs w:val="21"/>
              </w:rPr>
            </w:pPr>
          </w:p>
        </w:tc>
        <w:tc>
          <w:tcPr>
            <w:tcW w:w="1899" w:type="dxa"/>
            <w:vMerge w:val="continue"/>
            <w:vAlign w:val="center"/>
          </w:tcPr>
          <w:p w14:paraId="429AA9E4">
            <w:pPr>
              <w:spacing w:line="400" w:lineRule="exact"/>
              <w:jc w:val="center"/>
              <w:rPr>
                <w:rFonts w:ascii="宋体" w:hAnsi="宋体"/>
                <w:color w:val="auto"/>
                <w:szCs w:val="21"/>
              </w:rPr>
            </w:pPr>
          </w:p>
        </w:tc>
        <w:tc>
          <w:tcPr>
            <w:tcW w:w="6333" w:type="dxa"/>
            <w:vAlign w:val="center"/>
          </w:tcPr>
          <w:p w14:paraId="49F82E78">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0</w:t>
            </w:r>
            <w:r>
              <w:rPr>
                <w:rFonts w:hint="eastAsia" w:ascii="宋体" w:hAnsi="宋体"/>
                <w:color w:val="auto"/>
                <w:szCs w:val="21"/>
              </w:rPr>
              <w:t>符合第四章“合同条款及格式”规定，投标文件不应附有</w:t>
            </w:r>
            <w:r>
              <w:rPr>
                <w:rFonts w:hint="eastAsia" w:ascii="宋体" w:hAnsi="宋体"/>
                <w:color w:val="auto"/>
                <w:szCs w:val="21"/>
                <w:lang w:eastAsia="zh-CN"/>
              </w:rPr>
              <w:t>比选人</w:t>
            </w:r>
            <w:r>
              <w:rPr>
                <w:rFonts w:hint="eastAsia" w:ascii="宋体" w:hAnsi="宋体"/>
                <w:color w:val="auto"/>
                <w:szCs w:val="21"/>
              </w:rPr>
              <w:t>不能接受的条件，否则由评标委员会作否决投标处理。（由投标人承诺，承诺书格式详见第八章投标文件格式。）</w:t>
            </w:r>
          </w:p>
        </w:tc>
      </w:tr>
      <w:tr w14:paraId="2185A7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323058A">
            <w:pPr>
              <w:spacing w:line="400" w:lineRule="exact"/>
              <w:jc w:val="center"/>
              <w:rPr>
                <w:rFonts w:ascii="宋体" w:hAnsi="宋体"/>
                <w:color w:val="auto"/>
                <w:szCs w:val="21"/>
              </w:rPr>
            </w:pPr>
          </w:p>
        </w:tc>
        <w:tc>
          <w:tcPr>
            <w:tcW w:w="1899" w:type="dxa"/>
            <w:vMerge w:val="continue"/>
            <w:vAlign w:val="center"/>
          </w:tcPr>
          <w:p w14:paraId="63F413AC">
            <w:pPr>
              <w:spacing w:line="400" w:lineRule="exact"/>
              <w:jc w:val="center"/>
              <w:rPr>
                <w:rFonts w:ascii="宋体" w:hAnsi="宋体"/>
                <w:color w:val="auto"/>
                <w:szCs w:val="21"/>
              </w:rPr>
            </w:pPr>
          </w:p>
        </w:tc>
        <w:tc>
          <w:tcPr>
            <w:tcW w:w="6333" w:type="dxa"/>
            <w:vAlign w:val="center"/>
          </w:tcPr>
          <w:p w14:paraId="2E5657A1">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1</w:t>
            </w:r>
            <w:r>
              <w:rPr>
                <w:rFonts w:hint="eastAsia" w:ascii="宋体" w:hAnsi="宋体"/>
                <w:color w:val="auto"/>
                <w:szCs w:val="21"/>
              </w:rPr>
              <w:t>符合第七章“技术标准和要求”规定。否则由评标委员会作否决投标处理（如有）。（由投标人承诺，承诺书格式详见第八章投标文件格式。）</w:t>
            </w:r>
          </w:p>
        </w:tc>
      </w:tr>
      <w:tr w14:paraId="63AC25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237" w:type="dxa"/>
            <w:vMerge w:val="continue"/>
            <w:vAlign w:val="center"/>
          </w:tcPr>
          <w:p w14:paraId="4C8ED407">
            <w:pPr>
              <w:spacing w:line="400" w:lineRule="exact"/>
              <w:jc w:val="center"/>
              <w:rPr>
                <w:rFonts w:ascii="宋体" w:hAnsi="宋体"/>
                <w:color w:val="auto"/>
                <w:szCs w:val="21"/>
              </w:rPr>
            </w:pPr>
          </w:p>
        </w:tc>
        <w:tc>
          <w:tcPr>
            <w:tcW w:w="1899" w:type="dxa"/>
            <w:vMerge w:val="continue"/>
            <w:vAlign w:val="center"/>
          </w:tcPr>
          <w:p w14:paraId="76A6F96B">
            <w:pPr>
              <w:spacing w:line="400" w:lineRule="exact"/>
              <w:jc w:val="center"/>
              <w:rPr>
                <w:rFonts w:ascii="宋体" w:hAnsi="宋体"/>
                <w:color w:val="auto"/>
                <w:szCs w:val="21"/>
              </w:rPr>
            </w:pPr>
          </w:p>
        </w:tc>
        <w:tc>
          <w:tcPr>
            <w:tcW w:w="6333" w:type="dxa"/>
            <w:tcBorders>
              <w:bottom w:val="single" w:color="auto" w:sz="4" w:space="0"/>
            </w:tcBorders>
            <w:vAlign w:val="center"/>
          </w:tcPr>
          <w:p w14:paraId="1D14F200">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2</w:t>
            </w:r>
            <w:r>
              <w:rPr>
                <w:rFonts w:hint="eastAsia" w:ascii="宋体" w:hAnsi="宋体"/>
                <w:color w:val="auto"/>
                <w:szCs w:val="21"/>
              </w:rPr>
              <w:t>投标人必须按招标工程量清单填报价格。项目编码、项目名称、项目特征、计量单位、工程量必须与招标工程量清单一致。否则交由评标委员会作否决投标处理。</w:t>
            </w:r>
          </w:p>
        </w:tc>
      </w:tr>
      <w:tr w14:paraId="6EEE43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1237" w:type="dxa"/>
            <w:vMerge w:val="continue"/>
            <w:vAlign w:val="center"/>
          </w:tcPr>
          <w:p w14:paraId="47E254BE">
            <w:pPr>
              <w:spacing w:line="400" w:lineRule="exact"/>
              <w:jc w:val="center"/>
              <w:rPr>
                <w:rFonts w:ascii="宋体" w:hAnsi="宋体"/>
                <w:color w:val="auto"/>
                <w:szCs w:val="21"/>
              </w:rPr>
            </w:pPr>
          </w:p>
        </w:tc>
        <w:tc>
          <w:tcPr>
            <w:tcW w:w="1899" w:type="dxa"/>
            <w:vMerge w:val="continue"/>
            <w:vAlign w:val="center"/>
          </w:tcPr>
          <w:p w14:paraId="0805AF4E">
            <w:pPr>
              <w:spacing w:line="400" w:lineRule="exact"/>
              <w:jc w:val="center"/>
              <w:rPr>
                <w:rFonts w:ascii="宋体" w:hAnsi="宋体"/>
                <w:color w:val="auto"/>
                <w:szCs w:val="21"/>
              </w:rPr>
            </w:pPr>
          </w:p>
        </w:tc>
        <w:tc>
          <w:tcPr>
            <w:tcW w:w="6333" w:type="dxa"/>
            <w:tcBorders>
              <w:top w:val="single" w:color="auto" w:sz="4" w:space="0"/>
            </w:tcBorders>
            <w:vAlign w:val="center"/>
          </w:tcPr>
          <w:p w14:paraId="3F793463">
            <w:pPr>
              <w:spacing w:line="400" w:lineRule="exact"/>
              <w:ind w:firstLine="420" w:firstLineChars="200"/>
              <w:rPr>
                <w:rFonts w:hint="eastAsia"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23</w:t>
            </w:r>
            <w:r>
              <w:rPr>
                <w:rFonts w:hint="eastAsia" w:ascii="宋体" w:hAnsi="宋体"/>
                <w:color w:val="auto"/>
                <w:szCs w:val="21"/>
              </w:rPr>
              <w:t>投标人的每项清单综合单价报价不得超过每项清单综合单价最高限价，否则由评标委员会作否决投标处理。</w:t>
            </w:r>
          </w:p>
        </w:tc>
      </w:tr>
      <w:tr w14:paraId="748FCE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B9E0B6">
            <w:pPr>
              <w:spacing w:line="400" w:lineRule="exact"/>
              <w:jc w:val="center"/>
              <w:rPr>
                <w:rFonts w:ascii="宋体" w:hAnsi="宋体"/>
                <w:color w:val="auto"/>
                <w:szCs w:val="21"/>
              </w:rPr>
            </w:pPr>
          </w:p>
        </w:tc>
        <w:tc>
          <w:tcPr>
            <w:tcW w:w="1899" w:type="dxa"/>
            <w:vMerge w:val="continue"/>
            <w:vAlign w:val="center"/>
          </w:tcPr>
          <w:p w14:paraId="0B5747E1">
            <w:pPr>
              <w:spacing w:line="400" w:lineRule="exact"/>
              <w:jc w:val="center"/>
              <w:rPr>
                <w:rFonts w:ascii="宋体" w:hAnsi="宋体"/>
                <w:color w:val="auto"/>
                <w:szCs w:val="21"/>
              </w:rPr>
            </w:pPr>
          </w:p>
        </w:tc>
        <w:tc>
          <w:tcPr>
            <w:tcW w:w="6333" w:type="dxa"/>
            <w:vAlign w:val="center"/>
          </w:tcPr>
          <w:p w14:paraId="393FEA50">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4</w:t>
            </w:r>
            <w:r>
              <w:rPr>
                <w:rFonts w:hint="eastAsia" w:ascii="宋体" w:hAnsi="宋体"/>
                <w:color w:val="auto"/>
                <w:szCs w:val="21"/>
              </w:rPr>
              <w:t>投标报价有算术错误的，按照第三章“评标办法”第3.2.3项规定执行，否则由评标委员会作否决投标处理。</w:t>
            </w:r>
          </w:p>
        </w:tc>
      </w:tr>
      <w:tr w14:paraId="01EF7A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6F2ACE">
            <w:pPr>
              <w:spacing w:line="400" w:lineRule="exact"/>
              <w:jc w:val="center"/>
              <w:rPr>
                <w:rFonts w:ascii="宋体" w:hAnsi="宋体"/>
                <w:color w:val="auto"/>
                <w:szCs w:val="21"/>
              </w:rPr>
            </w:pPr>
          </w:p>
        </w:tc>
        <w:tc>
          <w:tcPr>
            <w:tcW w:w="1899" w:type="dxa"/>
            <w:vMerge w:val="continue"/>
            <w:vAlign w:val="center"/>
          </w:tcPr>
          <w:p w14:paraId="36B7797A">
            <w:pPr>
              <w:spacing w:line="400" w:lineRule="exact"/>
              <w:jc w:val="center"/>
              <w:rPr>
                <w:rFonts w:ascii="宋体" w:hAnsi="宋体"/>
                <w:color w:val="auto"/>
                <w:szCs w:val="21"/>
              </w:rPr>
            </w:pPr>
          </w:p>
        </w:tc>
        <w:tc>
          <w:tcPr>
            <w:tcW w:w="6333" w:type="dxa"/>
            <w:vAlign w:val="center"/>
          </w:tcPr>
          <w:p w14:paraId="3E01965A">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25</w:t>
            </w:r>
            <w:r>
              <w:rPr>
                <w:rFonts w:hint="eastAsia" w:ascii="宋体" w:hAnsi="宋体"/>
                <w:color w:val="auto"/>
                <w:szCs w:val="21"/>
              </w:rPr>
              <w:t>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5A03C4EB">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7D8CDBF8">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52FBF876">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610CC5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E320889">
            <w:pPr>
              <w:spacing w:line="400" w:lineRule="exact"/>
              <w:jc w:val="center"/>
              <w:rPr>
                <w:rFonts w:ascii="宋体" w:hAnsi="宋体"/>
                <w:color w:val="auto"/>
                <w:szCs w:val="21"/>
              </w:rPr>
            </w:pPr>
            <w:r>
              <w:rPr>
                <w:rFonts w:ascii="宋体" w:hAnsi="宋体"/>
                <w:color w:val="auto"/>
                <w:szCs w:val="21"/>
              </w:rPr>
              <w:t>其他</w:t>
            </w:r>
          </w:p>
        </w:tc>
        <w:tc>
          <w:tcPr>
            <w:tcW w:w="1899" w:type="dxa"/>
            <w:vAlign w:val="center"/>
          </w:tcPr>
          <w:p w14:paraId="4B711584">
            <w:pPr>
              <w:spacing w:line="400" w:lineRule="exact"/>
              <w:jc w:val="center"/>
              <w:rPr>
                <w:rFonts w:ascii="宋体" w:hAnsi="宋体"/>
                <w:color w:val="auto"/>
                <w:szCs w:val="21"/>
              </w:rPr>
            </w:pPr>
          </w:p>
        </w:tc>
        <w:tc>
          <w:tcPr>
            <w:tcW w:w="6333" w:type="dxa"/>
          </w:tcPr>
          <w:p w14:paraId="4C4E07B2">
            <w:pPr>
              <w:spacing w:line="400" w:lineRule="exact"/>
              <w:ind w:firstLine="420" w:firstLineChars="200"/>
              <w:rPr>
                <w:rFonts w:hint="eastAsia" w:ascii="宋体" w:hAnsi="宋体" w:eastAsia="宋体"/>
                <w:i/>
                <w:color w:val="auto"/>
                <w:szCs w:val="21"/>
                <w:lang w:eastAsia="zh-CN"/>
              </w:rPr>
            </w:pPr>
            <w:r>
              <w:rPr>
                <w:rFonts w:hint="eastAsia" w:ascii="宋体" w:hAnsi="宋体"/>
                <w:i w:val="0"/>
                <w:iCs/>
                <w:color w:val="auto"/>
                <w:szCs w:val="21"/>
                <w:lang w:eastAsia="zh-CN"/>
              </w:rPr>
              <w:t>无。</w:t>
            </w:r>
          </w:p>
        </w:tc>
      </w:tr>
    </w:tbl>
    <w:p w14:paraId="37BFEB52">
      <w:pPr>
        <w:spacing w:line="200" w:lineRule="exact"/>
        <w:rPr>
          <w:rFonts w:ascii="宋体" w:hAnsi="宋体"/>
          <w:color w:val="auto"/>
          <w:kern w:val="0"/>
        </w:rPr>
      </w:pPr>
      <w:r>
        <w:rPr>
          <w:rFonts w:ascii="宋体" w:hAnsi="宋体"/>
          <w:snapToGrid w:val="0"/>
          <w:color w:val="auto"/>
          <w:kern w:val="0"/>
        </w:rPr>
        <w:br w:type="page"/>
      </w:r>
      <w:bookmarkStart w:id="584" w:name="招标文件03章02评标办法综合评估法00"/>
      <w:bookmarkEnd w:id="584"/>
      <w:bookmarkStart w:id="585" w:name="招标文件03章02评标办法综合评估法"/>
      <w:bookmarkEnd w:id="585"/>
      <w:bookmarkStart w:id="586" w:name="_Toc277082618"/>
      <w:bookmarkStart w:id="587" w:name="_Toc287607812"/>
      <w:bookmarkStart w:id="588" w:name="_Toc200513198"/>
      <w:bookmarkStart w:id="589" w:name="_Toc287620751"/>
      <w:bookmarkStart w:id="590" w:name="_Toc224103384"/>
      <w:bookmarkStart w:id="591" w:name="_Toc430530500"/>
    </w:p>
    <w:bookmarkEnd w:id="586"/>
    <w:bookmarkEnd w:id="587"/>
    <w:bookmarkEnd w:id="588"/>
    <w:bookmarkEnd w:id="589"/>
    <w:bookmarkEnd w:id="590"/>
    <w:bookmarkEnd w:id="591"/>
    <w:p w14:paraId="480E9529">
      <w:pPr>
        <w:pStyle w:val="3"/>
        <w:spacing w:line="360" w:lineRule="auto"/>
        <w:jc w:val="center"/>
        <w:rPr>
          <w:rFonts w:ascii="宋体" w:hAnsi="宋体"/>
          <w:color w:val="auto"/>
          <w:kern w:val="0"/>
        </w:rPr>
      </w:pPr>
      <w:bookmarkStart w:id="592" w:name="招标文件04章合同条款及格式"/>
      <w:bookmarkEnd w:id="592"/>
      <w:bookmarkStart w:id="593" w:name="招标文件03章02评标办法综合评估法02附件02"/>
      <w:bookmarkEnd w:id="593"/>
      <w:bookmarkStart w:id="594" w:name="_Toc509218785"/>
      <w:bookmarkStart w:id="595" w:name="_Toc8427"/>
      <w:bookmarkStart w:id="596" w:name="_Toc14106"/>
      <w:bookmarkStart w:id="597" w:name="_Toc430530509"/>
      <w:r>
        <w:rPr>
          <w:rFonts w:hint="eastAsia" w:ascii="宋体" w:hAnsi="宋体"/>
          <w:color w:val="auto"/>
          <w:kern w:val="0"/>
        </w:rPr>
        <w:t>第四章  合同条款及格式</w:t>
      </w:r>
      <w:bookmarkEnd w:id="594"/>
      <w:bookmarkEnd w:id="595"/>
      <w:bookmarkEnd w:id="596"/>
      <w:bookmarkEnd w:id="597"/>
    </w:p>
    <w:p w14:paraId="3B3A9984">
      <w:pPr>
        <w:rPr>
          <w:rFonts w:ascii="宋体" w:hAnsi="宋体"/>
          <w:color w:val="auto"/>
          <w:sz w:val="44"/>
          <w:szCs w:val="44"/>
        </w:rPr>
      </w:pPr>
      <w:r>
        <w:rPr>
          <w:rFonts w:ascii="宋体" w:hAnsi="宋体"/>
          <w:color w:val="auto"/>
        </w:rPr>
        <w:br w:type="page"/>
      </w:r>
      <w:bookmarkStart w:id="598" w:name="_Toc296890982"/>
      <w:bookmarkStart w:id="599" w:name="_Toc351203480"/>
      <w:bookmarkStart w:id="600" w:name="_Toc296503025"/>
    </w:p>
    <w:p w14:paraId="2D5577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color w:val="auto"/>
          <w:sz w:val="32"/>
          <w:szCs w:val="32"/>
        </w:rPr>
      </w:pPr>
      <w:r>
        <w:rPr>
          <w:rFonts w:hint="eastAsia"/>
          <w:b/>
          <w:color w:val="auto"/>
          <w:sz w:val="32"/>
          <w:szCs w:val="32"/>
          <w:u w:val="single"/>
          <w:lang w:eastAsia="zh-CN"/>
        </w:rPr>
        <w:t>铜梁区安居小学2025年幼儿园改造项目</w:t>
      </w:r>
      <w:r>
        <w:rPr>
          <w:rFonts w:hint="eastAsia"/>
          <w:b/>
          <w:color w:val="auto"/>
          <w:sz w:val="32"/>
          <w:szCs w:val="32"/>
        </w:rPr>
        <w:t>施工合同</w:t>
      </w:r>
    </w:p>
    <w:p w14:paraId="6192C55B">
      <w:pPr>
        <w:spacing w:line="360" w:lineRule="auto"/>
        <w:jc w:val="center"/>
        <w:outlineLvl w:val="1"/>
        <w:rPr>
          <w:b/>
          <w:color w:val="auto"/>
          <w:sz w:val="32"/>
          <w:szCs w:val="32"/>
        </w:rPr>
      </w:pPr>
      <w:bookmarkStart w:id="601" w:name="_Toc28358"/>
      <w:bookmarkStart w:id="602" w:name="_Toc4399"/>
      <w:r>
        <w:rPr>
          <w:rFonts w:hint="eastAsia"/>
          <w:b/>
          <w:color w:val="auto"/>
          <w:sz w:val="32"/>
          <w:szCs w:val="32"/>
        </w:rPr>
        <w:t>第一节  合同协议书</w:t>
      </w:r>
      <w:bookmarkEnd w:id="601"/>
      <w:bookmarkEnd w:id="602"/>
    </w:p>
    <w:p w14:paraId="325C5540">
      <w:pPr>
        <w:pageBreakBefore w:val="0"/>
        <w:kinsoku/>
        <w:wordWrap/>
        <w:overflowPunct/>
        <w:topLinePunct w:val="0"/>
        <w:autoSpaceDE/>
        <w:autoSpaceDN/>
        <w:bidi w:val="0"/>
        <w:spacing w:line="400" w:lineRule="exact"/>
        <w:textAlignment w:val="auto"/>
        <w:rPr>
          <w:rFonts w:hint="eastAsia" w:eastAsiaTheme="minorEastAsia"/>
          <w:color w:val="auto"/>
          <w:lang w:eastAsia="zh-CN"/>
        </w:rPr>
      </w:pPr>
      <w:r>
        <w:rPr>
          <w:color w:val="auto"/>
        </w:rPr>
        <w:t>发包人(全称)：</w:t>
      </w:r>
      <w:r>
        <w:rPr>
          <w:rFonts w:hint="eastAsia"/>
          <w:color w:val="auto"/>
          <w:u w:val="single"/>
          <w:lang w:eastAsia="zh-CN"/>
        </w:rPr>
        <w:t>重庆市铜梁区安居小学</w:t>
      </w:r>
    </w:p>
    <w:p w14:paraId="529B7D5D">
      <w:pPr>
        <w:pageBreakBefore w:val="0"/>
        <w:kinsoku/>
        <w:wordWrap/>
        <w:overflowPunct/>
        <w:topLinePunct w:val="0"/>
        <w:autoSpaceDE/>
        <w:autoSpaceDN/>
        <w:bidi w:val="0"/>
        <w:spacing w:line="400" w:lineRule="exact"/>
        <w:textAlignment w:val="auto"/>
        <w:rPr>
          <w:color w:val="auto"/>
        </w:rPr>
      </w:pPr>
      <w:r>
        <w:rPr>
          <w:color w:val="auto"/>
        </w:rPr>
        <w:t>法定代表人：</w:t>
      </w:r>
    </w:p>
    <w:p w14:paraId="4F20FC72">
      <w:pPr>
        <w:pageBreakBefore w:val="0"/>
        <w:kinsoku/>
        <w:wordWrap/>
        <w:overflowPunct/>
        <w:topLinePunct w:val="0"/>
        <w:autoSpaceDE/>
        <w:autoSpaceDN/>
        <w:bidi w:val="0"/>
        <w:spacing w:line="400" w:lineRule="exact"/>
        <w:textAlignment w:val="auto"/>
        <w:rPr>
          <w:rFonts w:ascii="宋体" w:hAnsi="宋体" w:cs="宋体"/>
          <w:color w:val="auto"/>
          <w:kern w:val="0"/>
          <w:szCs w:val="21"/>
        </w:rPr>
      </w:pPr>
      <w:r>
        <w:rPr>
          <w:color w:val="auto"/>
        </w:rPr>
        <w:t>法定注册地址：</w:t>
      </w:r>
    </w:p>
    <w:p w14:paraId="3126ED72">
      <w:pPr>
        <w:pageBreakBefore w:val="0"/>
        <w:kinsoku/>
        <w:wordWrap/>
        <w:overflowPunct/>
        <w:topLinePunct w:val="0"/>
        <w:autoSpaceDE/>
        <w:autoSpaceDN/>
        <w:bidi w:val="0"/>
        <w:spacing w:line="400" w:lineRule="exact"/>
        <w:textAlignment w:val="auto"/>
        <w:rPr>
          <w:color w:val="auto"/>
        </w:rPr>
      </w:pPr>
      <w:r>
        <w:rPr>
          <w:color w:val="auto"/>
        </w:rPr>
        <w:t>承包人(全称)</w:t>
      </w:r>
      <w:r>
        <w:rPr>
          <w:rFonts w:hint="eastAsia"/>
          <w:color w:val="auto"/>
        </w:rPr>
        <w:t xml:space="preserve">： </w:t>
      </w:r>
    </w:p>
    <w:p w14:paraId="654642DE">
      <w:pPr>
        <w:pageBreakBefore w:val="0"/>
        <w:kinsoku/>
        <w:wordWrap/>
        <w:overflowPunct/>
        <w:topLinePunct w:val="0"/>
        <w:autoSpaceDE/>
        <w:autoSpaceDN/>
        <w:bidi w:val="0"/>
        <w:spacing w:line="400" w:lineRule="exact"/>
        <w:textAlignment w:val="auto"/>
        <w:rPr>
          <w:color w:val="auto"/>
        </w:rPr>
      </w:pPr>
      <w:r>
        <w:rPr>
          <w:color w:val="auto"/>
        </w:rPr>
        <w:t>法定代表人：</w:t>
      </w:r>
    </w:p>
    <w:p w14:paraId="0756722A">
      <w:pPr>
        <w:pageBreakBefore w:val="0"/>
        <w:kinsoku/>
        <w:wordWrap/>
        <w:overflowPunct/>
        <w:topLinePunct w:val="0"/>
        <w:autoSpaceDE/>
        <w:autoSpaceDN/>
        <w:bidi w:val="0"/>
        <w:spacing w:line="400" w:lineRule="exact"/>
        <w:textAlignment w:val="auto"/>
        <w:rPr>
          <w:color w:val="auto"/>
        </w:rPr>
      </w:pPr>
      <w:r>
        <w:rPr>
          <w:color w:val="auto"/>
        </w:rPr>
        <w:t>法定注册地址：</w:t>
      </w:r>
    </w:p>
    <w:p w14:paraId="77AAACB6">
      <w:pPr>
        <w:pageBreakBefore w:val="0"/>
        <w:kinsoku/>
        <w:wordWrap/>
        <w:overflowPunct/>
        <w:topLinePunct w:val="0"/>
        <w:autoSpaceDE/>
        <w:autoSpaceDN/>
        <w:bidi w:val="0"/>
        <w:spacing w:line="400" w:lineRule="exact"/>
        <w:ind w:firstLine="420" w:firstLineChars="200"/>
        <w:textAlignment w:val="auto"/>
        <w:rPr>
          <w:color w:val="auto"/>
        </w:rPr>
      </w:pPr>
      <w:r>
        <w:rPr>
          <w:color w:val="auto"/>
        </w:rPr>
        <w:t>发包人为</w:t>
      </w:r>
      <w:r>
        <w:rPr>
          <w:rFonts w:hint="eastAsia"/>
          <w:color w:val="auto"/>
        </w:rPr>
        <w:t>建设</w:t>
      </w:r>
      <w:r>
        <w:rPr>
          <w:rFonts w:hint="eastAsia" w:ascii="宋体" w:hAnsi="宋体" w:cs="宋体"/>
          <w:color w:val="auto"/>
          <w:kern w:val="0"/>
          <w:szCs w:val="21"/>
          <w:u w:val="single"/>
          <w:lang w:eastAsia="zh-CN"/>
        </w:rPr>
        <w:t>铜梁区安居小学2025年幼儿园改造项目</w:t>
      </w:r>
      <w:r>
        <w:rPr>
          <w:color w:val="auto"/>
        </w:rPr>
        <w:t>(以下简称“本工程”)，</w:t>
      </w:r>
      <w:r>
        <w:rPr>
          <w:rFonts w:hint="eastAsia"/>
          <w:color w:val="auto"/>
        </w:rPr>
        <w:t>经竞争性比选，</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55BE8E9E">
      <w:pPr>
        <w:pageBreakBefore w:val="0"/>
        <w:kinsoku/>
        <w:wordWrap/>
        <w:overflowPunct/>
        <w:topLinePunct w:val="0"/>
        <w:autoSpaceDE/>
        <w:autoSpaceDN/>
        <w:bidi w:val="0"/>
        <w:spacing w:line="400" w:lineRule="exact"/>
        <w:textAlignment w:val="auto"/>
        <w:rPr>
          <w:color w:val="auto"/>
        </w:rPr>
      </w:pPr>
      <w:r>
        <w:rPr>
          <w:color w:val="auto"/>
        </w:rPr>
        <w:t> 一、工程概况</w:t>
      </w:r>
    </w:p>
    <w:p w14:paraId="189DD61C">
      <w:pPr>
        <w:pageBreakBefore w:val="0"/>
        <w:kinsoku/>
        <w:wordWrap/>
        <w:overflowPunct/>
        <w:topLinePunct w:val="0"/>
        <w:autoSpaceDE/>
        <w:autoSpaceDN/>
        <w:bidi w:val="0"/>
        <w:spacing w:line="400" w:lineRule="exact"/>
        <w:ind w:firstLine="420" w:firstLineChars="200"/>
        <w:textAlignment w:val="auto"/>
        <w:rPr>
          <w:rFonts w:hint="eastAsia" w:eastAsiaTheme="minorEastAsia"/>
          <w:color w:val="auto"/>
          <w:u w:val="single"/>
          <w:lang w:val="en-US" w:eastAsia="zh-CN"/>
        </w:rPr>
      </w:pPr>
      <w:r>
        <w:rPr>
          <w:rFonts w:hint="eastAsia"/>
          <w:color w:val="auto"/>
        </w:rPr>
        <w:t>建设地点：</w:t>
      </w:r>
      <w:r>
        <w:rPr>
          <w:rFonts w:hint="eastAsia" w:ascii="宋体" w:hAnsi="宋体" w:cs="宋体"/>
          <w:color w:val="auto"/>
          <w:kern w:val="0"/>
          <w:szCs w:val="21"/>
          <w:u w:val="single"/>
          <w:lang w:eastAsia="zh-CN"/>
        </w:rPr>
        <w:t>重庆市铜梁区安居小学校园内</w:t>
      </w:r>
      <w:r>
        <w:rPr>
          <w:rFonts w:hint="eastAsia"/>
          <w:color w:val="auto"/>
          <w:u w:val="single"/>
          <w:lang w:val="en-US" w:eastAsia="zh-CN"/>
        </w:rPr>
        <w:t>。</w:t>
      </w:r>
    </w:p>
    <w:p w14:paraId="3E170291">
      <w:pPr>
        <w:pageBreakBefore w:val="0"/>
        <w:kinsoku/>
        <w:wordWrap/>
        <w:overflowPunct/>
        <w:topLinePunct w:val="0"/>
        <w:autoSpaceDE/>
        <w:autoSpaceDN/>
        <w:bidi w:val="0"/>
        <w:spacing w:line="400" w:lineRule="exact"/>
        <w:ind w:firstLine="420" w:firstLineChars="200"/>
        <w:textAlignment w:val="auto"/>
        <w:rPr>
          <w:rFonts w:hint="eastAsia" w:eastAsiaTheme="minorEastAsia"/>
          <w:color w:val="auto"/>
          <w:highlight w:val="yellow"/>
          <w:u w:val="single"/>
          <w:lang w:val="en-US" w:eastAsia="zh-CN"/>
        </w:rPr>
      </w:pPr>
      <w:r>
        <w:rPr>
          <w:rFonts w:hint="eastAsia"/>
          <w:color w:val="auto"/>
          <w:highlight w:val="none"/>
        </w:rPr>
        <w:t>建设</w:t>
      </w:r>
      <w:r>
        <w:rPr>
          <w:rFonts w:hint="eastAsia"/>
          <w:color w:val="auto"/>
          <w:highlight w:val="none"/>
          <w:lang w:eastAsia="zh-CN"/>
        </w:rPr>
        <w:t>内容</w:t>
      </w:r>
      <w:r>
        <w:rPr>
          <w:rFonts w:hint="eastAsia"/>
          <w:color w:val="auto"/>
          <w:highlight w:val="none"/>
        </w:rPr>
        <w:t>：</w:t>
      </w:r>
      <w:r>
        <w:rPr>
          <w:rFonts w:hint="eastAsia" w:ascii="宋体" w:hAnsi="宋体" w:cs="宋体"/>
          <w:color w:val="auto"/>
          <w:sz w:val="21"/>
          <w:szCs w:val="21"/>
          <w:highlight w:val="none"/>
          <w:u w:val="single"/>
          <w:lang w:eastAsia="zh-CN"/>
        </w:rPr>
        <w:t>具体内容详见本工程工程量清单。</w:t>
      </w:r>
    </w:p>
    <w:p w14:paraId="7012C9C1">
      <w:pPr>
        <w:pageBreakBefore w:val="0"/>
        <w:kinsoku/>
        <w:wordWrap/>
        <w:overflowPunct/>
        <w:topLinePunct w:val="0"/>
        <w:autoSpaceDE/>
        <w:autoSpaceDN/>
        <w:bidi w:val="0"/>
        <w:spacing w:line="400" w:lineRule="exact"/>
        <w:textAlignment w:val="auto"/>
        <w:rPr>
          <w:color w:val="auto"/>
        </w:rPr>
      </w:pPr>
      <w:r>
        <w:rPr>
          <w:color w:val="auto"/>
        </w:rPr>
        <w:t>二、工程承包范围</w:t>
      </w:r>
    </w:p>
    <w:p w14:paraId="4780488D">
      <w:pPr>
        <w:pageBreakBefore w:val="0"/>
        <w:kinsoku/>
        <w:wordWrap/>
        <w:overflowPunct/>
        <w:topLinePunct w:val="0"/>
        <w:autoSpaceDE/>
        <w:autoSpaceDN/>
        <w:bidi w:val="0"/>
        <w:spacing w:line="400" w:lineRule="exact"/>
        <w:ind w:firstLine="420" w:firstLineChars="200"/>
        <w:textAlignment w:val="auto"/>
        <w:rPr>
          <w:color w:val="auto"/>
          <w:highlight w:val="yellow"/>
        </w:rPr>
      </w:pPr>
      <w:r>
        <w:rPr>
          <w:color w:val="auto"/>
          <w:highlight w:val="none"/>
        </w:rPr>
        <w:t>承包范围：</w:t>
      </w:r>
      <w:r>
        <w:rPr>
          <w:rFonts w:hint="eastAsia"/>
          <w:color w:val="auto"/>
          <w:highlight w:val="none"/>
          <w:lang w:eastAsia="zh-CN"/>
        </w:rPr>
        <w:t>具体以比选人发布的工程量清单为准</w:t>
      </w:r>
      <w:r>
        <w:rPr>
          <w:rFonts w:hint="eastAsia"/>
          <w:color w:val="auto"/>
          <w:highlight w:val="none"/>
        </w:rPr>
        <w:t>。</w:t>
      </w:r>
    </w:p>
    <w:p w14:paraId="15C37A5B">
      <w:pPr>
        <w:pageBreakBefore w:val="0"/>
        <w:kinsoku/>
        <w:wordWrap/>
        <w:overflowPunct/>
        <w:topLinePunct w:val="0"/>
        <w:autoSpaceDE/>
        <w:autoSpaceDN/>
        <w:bidi w:val="0"/>
        <w:spacing w:line="400" w:lineRule="exact"/>
        <w:textAlignment w:val="auto"/>
        <w:rPr>
          <w:color w:val="auto"/>
        </w:rPr>
      </w:pPr>
      <w:r>
        <w:rPr>
          <w:color w:val="auto"/>
        </w:rPr>
        <w:t> 三、合同工期</w:t>
      </w:r>
    </w:p>
    <w:p w14:paraId="1D06494B">
      <w:pPr>
        <w:pageBreakBefore w:val="0"/>
        <w:kinsoku/>
        <w:wordWrap/>
        <w:overflowPunct/>
        <w:topLinePunct w:val="0"/>
        <w:autoSpaceDE/>
        <w:autoSpaceDN/>
        <w:bidi w:val="0"/>
        <w:spacing w:line="400" w:lineRule="exact"/>
        <w:ind w:firstLine="420" w:firstLineChars="200"/>
        <w:textAlignment w:val="auto"/>
        <w:rPr>
          <w:rFonts w:hint="eastAsia" w:eastAsia="宋体"/>
          <w:color w:val="auto"/>
          <w:highlight w:val="none"/>
          <w:lang w:eastAsia="zh-CN"/>
        </w:rPr>
      </w:pPr>
      <w:r>
        <w:rPr>
          <w:color w:val="auto"/>
          <w:highlight w:val="none"/>
        </w:rPr>
        <w:t>工期总天数</w:t>
      </w:r>
      <w:r>
        <w:rPr>
          <w:rFonts w:hint="eastAsia"/>
          <w:color w:val="auto"/>
          <w:highlight w:val="none"/>
          <w:lang w:val="en-US" w:eastAsia="zh-CN"/>
        </w:rPr>
        <w:t>40日历天</w:t>
      </w:r>
      <w:r>
        <w:rPr>
          <w:color w:val="auto"/>
          <w:highlight w:val="none"/>
        </w:rPr>
        <w:t>。</w:t>
      </w:r>
    </w:p>
    <w:p w14:paraId="477943F5">
      <w:pPr>
        <w:pageBreakBefore w:val="0"/>
        <w:kinsoku/>
        <w:wordWrap/>
        <w:overflowPunct/>
        <w:topLinePunct w:val="0"/>
        <w:autoSpaceDE/>
        <w:autoSpaceDN/>
        <w:bidi w:val="0"/>
        <w:spacing w:line="400" w:lineRule="exact"/>
        <w:textAlignment w:val="auto"/>
        <w:rPr>
          <w:color w:val="auto"/>
        </w:rPr>
      </w:pPr>
      <w:r>
        <w:rPr>
          <w:color w:val="auto"/>
        </w:rPr>
        <w:t> 四、质量标准</w:t>
      </w:r>
    </w:p>
    <w:p w14:paraId="4B63466F">
      <w:pPr>
        <w:pageBreakBefore w:val="0"/>
        <w:kinsoku/>
        <w:wordWrap/>
        <w:overflowPunct/>
        <w:topLinePunct w:val="0"/>
        <w:autoSpaceDE/>
        <w:autoSpaceDN/>
        <w:bidi w:val="0"/>
        <w:spacing w:line="400" w:lineRule="exact"/>
        <w:ind w:firstLine="420" w:firstLineChars="200"/>
        <w:textAlignment w:val="auto"/>
        <w:rPr>
          <w:color w:val="auto"/>
        </w:rPr>
      </w:pPr>
      <w:r>
        <w:rPr>
          <w:color w:val="auto"/>
        </w:rPr>
        <w:t> 工程质量标准：</w:t>
      </w:r>
      <w:r>
        <w:rPr>
          <w:rFonts w:hint="eastAsia"/>
          <w:color w:val="auto"/>
        </w:rPr>
        <w:t>符合国家和重庆市现行有关施工质量验收规范要求，并达到合格标准</w:t>
      </w:r>
      <w:r>
        <w:rPr>
          <w:rFonts w:hint="eastAsia"/>
          <w:color w:val="auto"/>
          <w:lang w:eastAsia="zh-CN"/>
        </w:rPr>
        <w:t>。</w:t>
      </w:r>
    </w:p>
    <w:p w14:paraId="226BB02B">
      <w:pPr>
        <w:pageBreakBefore w:val="0"/>
        <w:kinsoku/>
        <w:wordWrap/>
        <w:overflowPunct/>
        <w:topLinePunct w:val="0"/>
        <w:autoSpaceDE/>
        <w:autoSpaceDN/>
        <w:bidi w:val="0"/>
        <w:spacing w:line="400" w:lineRule="exact"/>
        <w:textAlignment w:val="auto"/>
        <w:rPr>
          <w:color w:val="auto"/>
        </w:rPr>
      </w:pPr>
      <w:r>
        <w:rPr>
          <w:color w:val="auto"/>
        </w:rPr>
        <w:t> 五、合同形式</w:t>
      </w:r>
    </w:p>
    <w:p w14:paraId="36B63C71">
      <w:pPr>
        <w:pageBreakBefore w:val="0"/>
        <w:kinsoku/>
        <w:wordWrap/>
        <w:overflowPunct/>
        <w:topLinePunct w:val="0"/>
        <w:autoSpaceDE/>
        <w:autoSpaceDN/>
        <w:bidi w:val="0"/>
        <w:spacing w:line="400" w:lineRule="exact"/>
        <w:textAlignment w:val="auto"/>
        <w:rPr>
          <w:color w:val="auto"/>
        </w:rPr>
      </w:pPr>
      <w:r>
        <w:rPr>
          <w:color w:val="auto"/>
        </w:rPr>
        <w:t xml:space="preserve">  </w:t>
      </w:r>
      <w:r>
        <w:rPr>
          <w:rFonts w:hint="eastAsia"/>
          <w:color w:val="auto"/>
          <w:lang w:val="en-US" w:eastAsia="zh-CN"/>
        </w:rPr>
        <w:t xml:space="preserve">  </w:t>
      </w:r>
      <w:r>
        <w:rPr>
          <w:color w:val="auto"/>
        </w:rPr>
        <w:t>本合同采用</w:t>
      </w:r>
      <w:r>
        <w:rPr>
          <w:rFonts w:hint="eastAsia"/>
          <w:color w:val="auto"/>
          <w:u w:val="single"/>
          <w:lang w:val="en-US" w:eastAsia="zh-CN"/>
        </w:rPr>
        <w:t xml:space="preserve"> </w:t>
      </w:r>
      <w:r>
        <w:rPr>
          <w:rFonts w:hint="eastAsia"/>
          <w:color w:val="auto"/>
          <w:u w:val="single"/>
        </w:rPr>
        <w:t>固定单价</w:t>
      </w:r>
      <w:r>
        <w:rPr>
          <w:rFonts w:hint="eastAsia"/>
          <w:color w:val="auto"/>
          <w:u w:val="single"/>
          <w:lang w:val="en-US" w:eastAsia="zh-CN"/>
        </w:rPr>
        <w:t xml:space="preserve"> </w:t>
      </w:r>
      <w:r>
        <w:rPr>
          <w:color w:val="auto"/>
        </w:rPr>
        <w:t>合同形式。</w:t>
      </w:r>
    </w:p>
    <w:p w14:paraId="47147A9E">
      <w:pPr>
        <w:pageBreakBefore w:val="0"/>
        <w:kinsoku/>
        <w:wordWrap/>
        <w:overflowPunct/>
        <w:topLinePunct w:val="0"/>
        <w:autoSpaceDE/>
        <w:autoSpaceDN/>
        <w:bidi w:val="0"/>
        <w:spacing w:line="400" w:lineRule="exact"/>
        <w:textAlignment w:val="auto"/>
        <w:rPr>
          <w:color w:val="auto"/>
        </w:rPr>
      </w:pPr>
      <w:r>
        <w:rPr>
          <w:color w:val="auto"/>
        </w:rPr>
        <w:t> 六、签约合同价</w:t>
      </w:r>
    </w:p>
    <w:p w14:paraId="631FEF80">
      <w:pPr>
        <w:pageBreakBefore w:val="0"/>
        <w:kinsoku/>
        <w:wordWrap/>
        <w:overflowPunct/>
        <w:topLinePunct w:val="0"/>
        <w:autoSpaceDE/>
        <w:autoSpaceDN/>
        <w:bidi w:val="0"/>
        <w:spacing w:line="400" w:lineRule="exact"/>
        <w:ind w:firstLine="420" w:firstLineChars="200"/>
        <w:textAlignment w:val="auto"/>
        <w:rPr>
          <w:color w:val="auto"/>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，材料和工程设备暂估价</w:t>
      </w:r>
      <w:r>
        <w:rPr>
          <w:rFonts w:hint="eastAsia"/>
          <w:color w:val="auto"/>
          <w:u w:val="single"/>
          <w:lang w:val="en-US" w:eastAsia="zh-CN"/>
        </w:rPr>
        <w:t xml:space="preserve">       </w:t>
      </w:r>
      <w:r>
        <w:rPr>
          <w:rFonts w:hint="eastAsia"/>
          <w:color w:val="auto"/>
        </w:rPr>
        <w:t>元，专业工程暂估价</w:t>
      </w:r>
      <w:r>
        <w:rPr>
          <w:rFonts w:hint="eastAsia"/>
          <w:color w:val="auto"/>
          <w:u w:val="single"/>
          <w:lang w:val="en-US" w:eastAsia="zh-CN"/>
        </w:rPr>
        <w:t xml:space="preserve">      </w:t>
      </w:r>
      <w:r>
        <w:rPr>
          <w:rFonts w:hint="eastAsia"/>
          <w:color w:val="auto"/>
        </w:rPr>
        <w:t>元，暂列金额</w:t>
      </w:r>
      <w:r>
        <w:rPr>
          <w:rFonts w:hint="eastAsia"/>
          <w:color w:val="auto"/>
          <w:u w:val="single"/>
          <w:lang w:val="en-US" w:eastAsia="zh-CN"/>
        </w:rPr>
        <w:t xml:space="preserve">      </w:t>
      </w:r>
      <w:r>
        <w:rPr>
          <w:rFonts w:hint="eastAsia"/>
          <w:color w:val="auto"/>
        </w:rPr>
        <w:t>元）。</w:t>
      </w:r>
      <w:r>
        <w:rPr>
          <w:rFonts w:hint="eastAsia"/>
          <w:b/>
          <w:color w:val="auto"/>
        </w:rPr>
        <w:t>本工程最终结算金额以审计机构审定的金额为准。</w:t>
      </w:r>
    </w:p>
    <w:p w14:paraId="0C49AE5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rPr>
      </w:pPr>
      <w:r>
        <w:rPr>
          <w:rFonts w:hint="eastAsia" w:ascii="宋体" w:hAnsi="宋体"/>
          <w:color w:val="auto"/>
        </w:rPr>
        <w:t>七、承包人项目经理</w:t>
      </w:r>
    </w:p>
    <w:p w14:paraId="573C9BB4">
      <w:pPr>
        <w:keepNext w:val="0"/>
        <w:keepLines w:val="0"/>
        <w:pageBreakBefore w:val="0"/>
        <w:widowControl w:val="0"/>
        <w:kinsoku/>
        <w:wordWrap/>
        <w:overflowPunct/>
        <w:topLinePunct w:val="0"/>
        <w:autoSpaceDE/>
        <w:autoSpaceDN/>
        <w:bidi w:val="0"/>
        <w:adjustRightInd/>
        <w:snapToGrid/>
        <w:spacing w:line="400" w:lineRule="exact"/>
        <w:ind w:firstLine="405"/>
        <w:textAlignment w:val="auto"/>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6BBE7A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2DC0A083">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A0B5A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0490C518">
      <w:pPr>
        <w:pageBreakBefore w:val="0"/>
        <w:kinsoku/>
        <w:wordWrap/>
        <w:overflowPunct/>
        <w:topLinePunct w:val="0"/>
        <w:autoSpaceDE/>
        <w:autoSpaceDN/>
        <w:bidi w:val="0"/>
        <w:spacing w:line="400" w:lineRule="exact"/>
        <w:ind w:firstLine="405"/>
        <w:textAlignment w:val="auto"/>
        <w:rPr>
          <w:rFonts w:hint="eastAsia" w:ascii="宋体" w:hAnsi="宋体"/>
          <w:color w:val="auto"/>
        </w:rPr>
      </w:pPr>
      <w:r>
        <w:rPr>
          <w:rFonts w:hint="eastAsia" w:ascii="宋体" w:hAnsi="宋体"/>
          <w:color w:val="auto"/>
        </w:rPr>
        <w:t>安全生产考核合格证书号：</w:t>
      </w:r>
      <w:r>
        <w:rPr>
          <w:rFonts w:hint="eastAsia" w:ascii="宋体" w:hAnsi="宋体"/>
          <w:color w:val="auto"/>
          <w:u w:val="single"/>
        </w:rPr>
        <w:t xml:space="preserve">　　　　　　 </w:t>
      </w:r>
      <w:r>
        <w:rPr>
          <w:rFonts w:hint="eastAsia" w:ascii="宋体" w:hAnsi="宋体"/>
          <w:color w:val="auto"/>
        </w:rPr>
        <w:t>。　</w:t>
      </w:r>
    </w:p>
    <w:p w14:paraId="4115864B">
      <w:pPr>
        <w:spacing w:line="500" w:lineRule="exact"/>
        <w:rPr>
          <w:rFonts w:hint="eastAsia" w:ascii="宋体" w:hAnsi="宋体"/>
          <w:color w:val="auto"/>
        </w:rPr>
      </w:pPr>
      <w:r>
        <w:rPr>
          <w:rFonts w:hint="eastAsia" w:ascii="宋体" w:hAnsi="宋体"/>
          <w:color w:val="auto"/>
        </w:rPr>
        <w:t>八、承包人项目主要管理人员</w:t>
      </w:r>
    </w:p>
    <w:p w14:paraId="616B7518">
      <w:pPr>
        <w:spacing w:line="500" w:lineRule="exact"/>
        <w:ind w:firstLine="420" w:firstLineChars="200"/>
        <w:rPr>
          <w:rFonts w:hint="eastAsia" w:ascii="宋体" w:hAnsi="宋体"/>
          <w:color w:val="auto"/>
        </w:rPr>
      </w:pPr>
      <w:r>
        <w:rPr>
          <w:rFonts w:hint="eastAsia" w:ascii="宋体" w:hAnsi="宋体"/>
          <w:color w:val="auto"/>
        </w:rPr>
        <w:t>1、项目技术负责人</w:t>
      </w:r>
    </w:p>
    <w:p w14:paraId="38EDB1CD">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4999001E">
      <w:pPr>
        <w:pageBreakBefore w:val="0"/>
        <w:kinsoku/>
        <w:wordWrap/>
        <w:overflowPunct/>
        <w:topLinePunct w:val="0"/>
        <w:autoSpaceDE/>
        <w:autoSpaceDN/>
        <w:bidi w:val="0"/>
        <w:spacing w:line="400" w:lineRule="exact"/>
        <w:ind w:firstLine="420"/>
        <w:textAlignment w:val="auto"/>
        <w:rPr>
          <w:rFonts w:hint="eastAsia" w:ascii="宋体" w:hAnsi="宋体"/>
          <w:color w:val="auto"/>
        </w:rPr>
      </w:pPr>
      <w:r>
        <w:rPr>
          <w:rFonts w:hint="eastAsia" w:ascii="宋体" w:hAnsi="宋体"/>
          <w:color w:val="auto"/>
        </w:rPr>
        <w:t>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410D3D1E">
      <w:pPr>
        <w:pageBreakBefore w:val="0"/>
        <w:kinsoku/>
        <w:wordWrap/>
        <w:overflowPunct/>
        <w:topLinePunct w:val="0"/>
        <w:autoSpaceDE/>
        <w:autoSpaceDN/>
        <w:bidi w:val="0"/>
        <w:spacing w:line="400" w:lineRule="exact"/>
        <w:ind w:firstLine="420"/>
        <w:textAlignment w:val="auto"/>
        <w:rPr>
          <w:rFonts w:ascii="宋体" w:hAnsi="宋体"/>
          <w:color w:val="auto"/>
        </w:rPr>
      </w:pPr>
      <w:r>
        <w:rPr>
          <w:rFonts w:hint="eastAsia" w:ascii="宋体" w:hAnsi="宋体"/>
          <w:color w:val="auto"/>
        </w:rPr>
        <w:t>　　</w:t>
      </w:r>
    </w:p>
    <w:p w14:paraId="08868211">
      <w:pPr>
        <w:pageBreakBefore w:val="0"/>
        <w:kinsoku/>
        <w:wordWrap/>
        <w:overflowPunct/>
        <w:topLinePunct w:val="0"/>
        <w:autoSpaceDE/>
        <w:autoSpaceDN/>
        <w:bidi w:val="0"/>
        <w:spacing w:line="400" w:lineRule="exact"/>
        <w:textAlignment w:val="auto"/>
        <w:rPr>
          <w:rFonts w:ascii="宋体" w:hAnsi="宋体"/>
          <w:color w:val="auto"/>
        </w:rPr>
      </w:pPr>
      <w:r>
        <w:rPr>
          <w:rFonts w:hint="eastAsia" w:ascii="宋体" w:hAnsi="宋体"/>
          <w:color w:val="auto"/>
          <w:lang w:eastAsia="zh-CN"/>
        </w:rPr>
        <w:t>九</w:t>
      </w:r>
      <w:r>
        <w:rPr>
          <w:rFonts w:hint="eastAsia" w:ascii="宋体" w:hAnsi="宋体"/>
          <w:color w:val="auto"/>
        </w:rPr>
        <w:t>、合同文件的组成</w:t>
      </w:r>
    </w:p>
    <w:p w14:paraId="548ED632">
      <w:pPr>
        <w:pageBreakBefore w:val="0"/>
        <w:kinsoku/>
        <w:wordWrap/>
        <w:overflowPunct/>
        <w:topLinePunct w:val="0"/>
        <w:autoSpaceDE/>
        <w:autoSpaceDN/>
        <w:bidi w:val="0"/>
        <w:spacing w:line="400" w:lineRule="exact"/>
        <w:textAlignment w:val="auto"/>
        <w:rPr>
          <w:rFonts w:ascii="宋体" w:hAnsi="宋体"/>
          <w:color w:val="auto"/>
        </w:rPr>
      </w:pPr>
      <w:r>
        <w:rPr>
          <w:rFonts w:hint="eastAsia" w:ascii="宋体" w:hAnsi="宋体"/>
          <w:color w:val="auto"/>
        </w:rPr>
        <w:t>　　下列文件共同构成合同文件：</w:t>
      </w:r>
    </w:p>
    <w:p w14:paraId="28D79950">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（1）合同协议书；</w:t>
      </w:r>
    </w:p>
    <w:p w14:paraId="54B6D6C4">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（2）中标通知书；</w:t>
      </w:r>
    </w:p>
    <w:p w14:paraId="41A8FF58">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（3）投标函及投标函附录；</w:t>
      </w:r>
    </w:p>
    <w:p w14:paraId="55A46CA6">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（4）专用合同条款；</w:t>
      </w:r>
    </w:p>
    <w:p w14:paraId="094135CA">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（5）通用合同条款；</w:t>
      </w:r>
    </w:p>
    <w:p w14:paraId="17269D84">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（6）技术标准和要求；</w:t>
      </w:r>
    </w:p>
    <w:p w14:paraId="6D5F6F68">
      <w:pPr>
        <w:pageBreakBefore w:val="0"/>
        <w:kinsoku/>
        <w:wordWrap/>
        <w:overflowPunct/>
        <w:topLinePunct w:val="0"/>
        <w:autoSpaceDE/>
        <w:autoSpaceDN/>
        <w:bidi w:val="0"/>
        <w:spacing w:line="400" w:lineRule="exact"/>
        <w:ind w:firstLine="420" w:firstLineChars="200"/>
        <w:textAlignment w:val="auto"/>
        <w:rPr>
          <w:rFonts w:hint="eastAsia" w:ascii="宋体" w:hAnsi="宋体" w:eastAsiaTheme="minorEastAsia"/>
          <w:color w:val="auto"/>
          <w:lang w:eastAsia="zh-CN"/>
        </w:rPr>
      </w:pPr>
      <w:r>
        <w:rPr>
          <w:rFonts w:hint="eastAsia" w:ascii="宋体" w:hAnsi="宋体"/>
          <w:color w:val="auto"/>
          <w:lang w:eastAsia="zh-CN"/>
        </w:rPr>
        <w:t>（</w:t>
      </w:r>
      <w:r>
        <w:rPr>
          <w:rFonts w:hint="eastAsia" w:ascii="宋体" w:hAnsi="宋体"/>
          <w:color w:val="auto"/>
          <w:lang w:val="en-US" w:eastAsia="zh-CN"/>
        </w:rPr>
        <w:t>7</w:t>
      </w:r>
      <w:r>
        <w:rPr>
          <w:rFonts w:hint="eastAsia" w:ascii="宋体" w:hAnsi="宋体"/>
          <w:color w:val="auto"/>
          <w:lang w:eastAsia="zh-CN"/>
        </w:rPr>
        <w:t>）图纸；</w:t>
      </w:r>
    </w:p>
    <w:p w14:paraId="3E05E138">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）已标价工程量清单；</w:t>
      </w:r>
    </w:p>
    <w:p w14:paraId="34F26257">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）比选文件；</w:t>
      </w:r>
    </w:p>
    <w:p w14:paraId="15F1A9A1">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）工程质量保修书；</w:t>
      </w:r>
    </w:p>
    <w:p w14:paraId="3E41E17E">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）建</w:t>
      </w:r>
      <w:r>
        <w:rPr>
          <w:rFonts w:hint="eastAsia"/>
          <w:color w:val="auto"/>
        </w:rPr>
        <w:t>设工程廉政责任书；</w:t>
      </w:r>
    </w:p>
    <w:p w14:paraId="337BEDDC">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）其他合同文件。</w:t>
      </w:r>
    </w:p>
    <w:p w14:paraId="41C4B8F8">
      <w:pPr>
        <w:pageBreakBefore w:val="0"/>
        <w:kinsoku/>
        <w:wordWrap/>
        <w:overflowPunct/>
        <w:topLinePunct w:val="0"/>
        <w:autoSpaceDE/>
        <w:autoSpaceDN/>
        <w:bidi w:val="0"/>
        <w:spacing w:line="400" w:lineRule="exact"/>
        <w:ind w:firstLine="420"/>
        <w:textAlignment w:val="auto"/>
        <w:rPr>
          <w:rFonts w:hint="eastAsia" w:ascii="宋体" w:hAnsi="宋体"/>
          <w:color w:val="auto"/>
        </w:rPr>
      </w:pPr>
      <w:r>
        <w:rPr>
          <w:rFonts w:hint="eastAsia" w:ascii="宋体" w:hAnsi="宋体"/>
          <w:color w:val="auto"/>
        </w:rPr>
        <w:t>上述文件互相补充和解释，如有不明确或不一致之处，以合同约定次序在先者为准。</w:t>
      </w:r>
    </w:p>
    <w:p w14:paraId="10FBA35F">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lang w:eastAsia="zh-CN"/>
        </w:rPr>
        <w:t>十</w:t>
      </w:r>
      <w:r>
        <w:rPr>
          <w:rFonts w:hint="eastAsia" w:ascii="宋体" w:hAnsi="宋体"/>
          <w:color w:val="auto"/>
        </w:rPr>
        <w:t>、本协议书中有关词语定义与合同条款中的定义相同。</w:t>
      </w:r>
    </w:p>
    <w:p w14:paraId="71D64186">
      <w:pPr>
        <w:pageBreakBefore w:val="0"/>
        <w:kinsoku/>
        <w:wordWrap/>
        <w:overflowPunct/>
        <w:topLinePunct w:val="0"/>
        <w:autoSpaceDE/>
        <w:autoSpaceDN/>
        <w:bidi w:val="0"/>
        <w:spacing w:line="400" w:lineRule="exact"/>
        <w:ind w:left="420" w:leftChars="200" w:firstLine="0" w:firstLineChars="0"/>
        <w:textAlignment w:val="auto"/>
        <w:rPr>
          <w:rFonts w:ascii="宋体" w:hAnsi="宋体"/>
          <w:color w:val="auto"/>
        </w:rPr>
      </w:pPr>
      <w:r>
        <w:rPr>
          <w:rFonts w:hint="eastAsia" w:ascii="宋体" w:hAnsi="宋体"/>
          <w:color w:val="auto"/>
        </w:rPr>
        <w:t>十</w:t>
      </w:r>
      <w:r>
        <w:rPr>
          <w:rFonts w:hint="eastAsia" w:ascii="宋体" w:hAnsi="宋体"/>
          <w:color w:val="auto"/>
          <w:lang w:eastAsia="zh-CN"/>
        </w:rPr>
        <w:t>一</w:t>
      </w:r>
      <w:r>
        <w:rPr>
          <w:rFonts w:hint="eastAsia" w:ascii="宋体" w:hAnsi="宋体"/>
          <w:color w:val="auto"/>
        </w:rPr>
        <w:t>、承包人承诺按照合同约定进行施工、竣工、交付并在缺陷责任期内对工程缺陷承担维修责任。十</w:t>
      </w:r>
      <w:r>
        <w:rPr>
          <w:rFonts w:hint="eastAsia" w:ascii="宋体" w:hAnsi="宋体"/>
          <w:color w:val="auto"/>
          <w:lang w:eastAsia="zh-CN"/>
        </w:rPr>
        <w:t>二</w:t>
      </w:r>
      <w:r>
        <w:rPr>
          <w:rFonts w:hint="eastAsia" w:ascii="宋体" w:hAnsi="宋体"/>
          <w:color w:val="auto"/>
        </w:rPr>
        <w:t>、发包人承诺按照合同约定的条件、期限和方式向承包人支付合同价款。</w:t>
      </w:r>
    </w:p>
    <w:p w14:paraId="05075683">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szCs w:val="21"/>
        </w:rPr>
      </w:pPr>
      <w:r>
        <w:rPr>
          <w:rFonts w:hint="eastAsia" w:ascii="宋体" w:hAnsi="宋体"/>
          <w:color w:val="auto"/>
        </w:rPr>
        <w:t>十</w:t>
      </w:r>
      <w:r>
        <w:rPr>
          <w:rFonts w:hint="eastAsia" w:ascii="宋体" w:hAnsi="宋体"/>
          <w:color w:val="auto"/>
          <w:lang w:eastAsia="zh-CN"/>
        </w:rPr>
        <w:t>三</w:t>
      </w:r>
      <w:r>
        <w:rPr>
          <w:rFonts w:hint="eastAsia" w:ascii="宋体" w:hAnsi="宋体"/>
          <w:color w:val="auto"/>
        </w:rPr>
        <w:t>、本协议自承包人向发包人提交了履约保证金后，并经</w:t>
      </w:r>
      <w:r>
        <w:rPr>
          <w:rFonts w:hint="eastAsia" w:ascii="宋体" w:hAnsi="宋体"/>
          <w:color w:val="auto"/>
          <w:lang w:eastAsia="zh-CN"/>
        </w:rPr>
        <w:t>双方</w:t>
      </w:r>
      <w:r>
        <w:rPr>
          <w:rFonts w:hint="eastAsia" w:ascii="宋体" w:hAnsi="宋体"/>
          <w:color w:val="auto"/>
        </w:rPr>
        <w:t>法定代表人或其委托代理人签字盖单位章后生效，本协议连同其他合同文件</w:t>
      </w:r>
      <w:r>
        <w:rPr>
          <w:rFonts w:hint="eastAsia" w:ascii="宋体" w:hAnsi="宋体"/>
          <w:color w:val="auto"/>
          <w:szCs w:val="21"/>
        </w:rPr>
        <w:t>正本一式</w:t>
      </w:r>
      <w:r>
        <w:rPr>
          <w:rFonts w:hint="eastAsia" w:ascii="宋体" w:hAnsi="宋体"/>
          <w:color w:val="auto"/>
          <w:szCs w:val="21"/>
          <w:lang w:eastAsia="zh-CN"/>
        </w:rPr>
        <w:t>陆</w:t>
      </w:r>
      <w:r>
        <w:rPr>
          <w:rFonts w:hint="eastAsia" w:ascii="宋体" w:hAnsi="宋体"/>
          <w:color w:val="auto"/>
          <w:szCs w:val="21"/>
        </w:rPr>
        <w:t>份，合同双方各执</w:t>
      </w:r>
      <w:r>
        <w:rPr>
          <w:rFonts w:hint="eastAsia" w:ascii="宋体" w:hAnsi="宋体"/>
          <w:color w:val="auto"/>
          <w:szCs w:val="21"/>
          <w:lang w:eastAsia="zh-CN"/>
        </w:rPr>
        <w:t>叁</w:t>
      </w:r>
      <w:r>
        <w:rPr>
          <w:rFonts w:hint="eastAsia" w:ascii="宋体" w:hAnsi="宋体"/>
          <w:color w:val="auto"/>
          <w:szCs w:val="21"/>
        </w:rPr>
        <w:t>份；</w:t>
      </w:r>
    </w:p>
    <w:p w14:paraId="71344FD9">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十</w:t>
      </w:r>
      <w:r>
        <w:rPr>
          <w:rFonts w:hint="eastAsia" w:ascii="宋体" w:hAnsi="宋体"/>
          <w:color w:val="auto"/>
          <w:lang w:eastAsia="zh-CN"/>
        </w:rPr>
        <w:t>四</w:t>
      </w:r>
      <w:r>
        <w:rPr>
          <w:rFonts w:hint="eastAsia" w:ascii="宋体" w:hAnsi="宋体"/>
          <w:color w:val="auto"/>
        </w:rPr>
        <w:t>、合同未尽事宜，双方另行签订补充协议，但不得背离本协议第九条所约定的合同文件的实质性内容。补充协议是合同文件的组成部分。</w:t>
      </w:r>
    </w:p>
    <w:p w14:paraId="0056FF26">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p>
    <w:p w14:paraId="1C7F3F50">
      <w:pPr>
        <w:pageBreakBefore w:val="0"/>
        <w:kinsoku/>
        <w:wordWrap/>
        <w:overflowPunct/>
        <w:topLinePunct w:val="0"/>
        <w:autoSpaceDE/>
        <w:autoSpaceDN/>
        <w:bidi w:val="0"/>
        <w:spacing w:line="400" w:lineRule="exact"/>
        <w:textAlignment w:val="auto"/>
        <w:rPr>
          <w:rFonts w:hint="eastAsia" w:ascii="宋体" w:hAnsi="宋体"/>
          <w:color w:val="auto"/>
        </w:rPr>
      </w:pPr>
    </w:p>
    <w:p w14:paraId="42AD583C">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w:t>
      </w:r>
      <w:r>
        <w:rPr>
          <w:rFonts w:hint="eastAsia" w:ascii="宋体" w:hAnsi="宋体" w:cs="MingLiUfalt"/>
          <w:snapToGrid w:val="0"/>
          <w:color w:val="auto"/>
          <w:kern w:val="0"/>
          <w:szCs w:val="21"/>
          <w:lang w:val="en-US" w:eastAsia="zh-CN"/>
        </w:rPr>
        <w:t xml:space="preserve">  </w:t>
      </w:r>
      <w:r>
        <w:rPr>
          <w:rFonts w:hint="eastAsia" w:ascii="宋体" w:hAnsi="宋体" w:cs="MingLiUfalt"/>
          <w:snapToGrid w:val="0"/>
          <w:color w:val="auto"/>
          <w:kern w:val="0"/>
          <w:szCs w:val="21"/>
        </w:rPr>
        <w:t>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6F2D7296">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法定地址：</w:t>
      </w:r>
      <w:r>
        <w:rPr>
          <w:rFonts w:hint="eastAsia" w:ascii="宋体" w:hAnsi="宋体"/>
          <w:color w:val="auto"/>
          <w:u w:val="single"/>
        </w:rPr>
        <w:t>　　　　　　　　    　　</w:t>
      </w:r>
    </w:p>
    <w:p w14:paraId="74BCA57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w:t>
      </w:r>
      <w:r>
        <w:rPr>
          <w:rFonts w:hint="eastAsia" w:ascii="宋体" w:hAnsi="宋体" w:cs="MingLiUfalt"/>
          <w:snapToGrid w:val="0"/>
          <w:color w:val="auto"/>
          <w:kern w:val="0"/>
          <w:szCs w:val="21"/>
          <w:lang w:val="en-US" w:eastAsia="zh-CN"/>
        </w:rPr>
        <w:t xml:space="preserve">  </w:t>
      </w: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p>
    <w:p w14:paraId="436C3A16">
      <w:pPr>
        <w:spacing w:line="4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2566DEF9">
      <w:pPr>
        <w:spacing w:line="4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9CA2D75">
      <w:pPr>
        <w:spacing w:line="4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0B40C994">
      <w:pPr>
        <w:spacing w:line="4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55F50C30">
      <w:pPr>
        <w:spacing w:line="4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42B1BE7">
      <w:pPr>
        <w:spacing w:line="400" w:lineRule="exact"/>
        <w:ind w:firstLine="105" w:firstLineChars="50"/>
        <w:rPr>
          <w:rFonts w:ascii="宋体" w:hAnsi="宋体"/>
          <w:color w:val="auto"/>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14:paraId="6CB810EC">
      <w:pPr>
        <w:spacing w:line="460" w:lineRule="exact"/>
        <w:ind w:firstLine="1260" w:firstLineChars="600"/>
        <w:rPr>
          <w:rFonts w:hint="eastAsia" w:ascii="宋体" w:hAnsi="宋体" w:cs="宋体"/>
          <w:color w:val="auto"/>
          <w:u w:val="single"/>
        </w:rPr>
      </w:pPr>
    </w:p>
    <w:p w14:paraId="63940FE1">
      <w:pPr>
        <w:pageBreakBefore w:val="0"/>
        <w:kinsoku/>
        <w:wordWrap/>
        <w:overflowPunct/>
        <w:topLinePunct w:val="0"/>
        <w:autoSpaceDE/>
        <w:autoSpaceDN/>
        <w:bidi w:val="0"/>
        <w:spacing w:line="400" w:lineRule="exact"/>
        <w:jc w:val="center"/>
        <w:textAlignment w:val="auto"/>
        <w:rPr>
          <w:rFonts w:hint="eastAsia"/>
          <w:b/>
          <w:color w:val="auto"/>
          <w:sz w:val="32"/>
          <w:szCs w:val="32"/>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r>
        <w:rPr>
          <w:rFonts w:hint="eastAsia"/>
          <w:b/>
          <w:color w:val="auto"/>
          <w:sz w:val="32"/>
          <w:szCs w:val="32"/>
        </w:rPr>
        <w:br w:type="page"/>
      </w:r>
      <w:bookmarkStart w:id="603" w:name="_Toc428455509"/>
      <w:bookmarkStart w:id="604" w:name="_Toc418077865"/>
      <w:bookmarkStart w:id="605" w:name="_Toc3637"/>
      <w:bookmarkStart w:id="606" w:name="_Toc452058738"/>
      <w:bookmarkStart w:id="607" w:name="_Toc11318"/>
    </w:p>
    <w:p w14:paraId="140A7A2E">
      <w:pPr>
        <w:pageBreakBefore w:val="0"/>
        <w:kinsoku/>
        <w:wordWrap/>
        <w:overflowPunct/>
        <w:topLinePunct w:val="0"/>
        <w:autoSpaceDE/>
        <w:autoSpaceDN/>
        <w:bidi w:val="0"/>
        <w:spacing w:line="400" w:lineRule="exact"/>
        <w:jc w:val="center"/>
        <w:textAlignment w:val="auto"/>
        <w:rPr>
          <w:rFonts w:hint="eastAsia" w:eastAsiaTheme="minorEastAsia"/>
          <w:b/>
          <w:color w:val="auto"/>
          <w:sz w:val="28"/>
          <w:szCs w:val="28"/>
          <w:lang w:val="en-US" w:eastAsia="zh-CN"/>
        </w:rPr>
      </w:pPr>
      <w:r>
        <w:rPr>
          <w:rFonts w:hint="eastAsia"/>
          <w:b/>
          <w:color w:val="auto"/>
          <w:sz w:val="28"/>
          <w:szCs w:val="28"/>
          <w:lang w:eastAsia="zh-CN"/>
        </w:rPr>
        <w:t>第二节</w:t>
      </w:r>
      <w:r>
        <w:rPr>
          <w:rFonts w:hint="eastAsia"/>
          <w:b/>
          <w:color w:val="auto"/>
          <w:sz w:val="28"/>
          <w:szCs w:val="28"/>
          <w:lang w:val="en-US" w:eastAsia="zh-CN"/>
        </w:rPr>
        <w:t xml:space="preserve">  通用合同条款</w:t>
      </w:r>
    </w:p>
    <w:p w14:paraId="370B1FCA">
      <w:pPr>
        <w:pageBreakBefore w:val="0"/>
        <w:kinsoku/>
        <w:wordWrap/>
        <w:overflowPunct/>
        <w:topLinePunct w:val="0"/>
        <w:autoSpaceDE/>
        <w:autoSpaceDN/>
        <w:bidi w:val="0"/>
        <w:spacing w:line="400" w:lineRule="exact"/>
        <w:jc w:val="both"/>
        <w:textAlignment w:val="auto"/>
        <w:rPr>
          <w:rFonts w:hint="eastAsia"/>
          <w:b/>
          <w:color w:val="auto"/>
          <w:sz w:val="32"/>
          <w:szCs w:val="32"/>
        </w:rPr>
      </w:pPr>
    </w:p>
    <w:p w14:paraId="77BCEB95">
      <w:pPr>
        <w:pageBreakBefore w:val="0"/>
        <w:kinsoku/>
        <w:wordWrap/>
        <w:overflowPunct/>
        <w:topLinePunct w:val="0"/>
        <w:autoSpaceDE/>
        <w:autoSpaceDN/>
        <w:bidi w:val="0"/>
        <w:spacing w:line="400" w:lineRule="exact"/>
        <w:ind w:firstLine="470" w:firstLineChars="196"/>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rPr>
        <w:t>采用《中华人民共和国标准施工招标文件（2007版）》第四章第一节的“通用合同条款”</w:t>
      </w:r>
      <w:r>
        <w:rPr>
          <w:rFonts w:hint="eastAsia" w:ascii="宋体" w:hAnsi="宋体"/>
          <w:b w:val="0"/>
          <w:bCs/>
          <w:color w:val="auto"/>
          <w:sz w:val="24"/>
          <w:szCs w:val="24"/>
          <w:lang w:eastAsia="zh-CN"/>
        </w:rPr>
        <w:t>。</w:t>
      </w:r>
    </w:p>
    <w:p w14:paraId="2DD6F248">
      <w:pPr>
        <w:pageBreakBefore w:val="0"/>
        <w:kinsoku/>
        <w:wordWrap/>
        <w:overflowPunct/>
        <w:topLinePunct w:val="0"/>
        <w:autoSpaceDE/>
        <w:autoSpaceDN/>
        <w:bidi w:val="0"/>
        <w:spacing w:line="400" w:lineRule="exact"/>
        <w:jc w:val="both"/>
        <w:textAlignment w:val="auto"/>
        <w:rPr>
          <w:rFonts w:hint="eastAsia"/>
          <w:b/>
          <w:color w:val="auto"/>
          <w:sz w:val="32"/>
          <w:szCs w:val="32"/>
        </w:rPr>
      </w:pPr>
    </w:p>
    <w:p w14:paraId="2917514E">
      <w:pPr>
        <w:pageBreakBefore w:val="0"/>
        <w:kinsoku/>
        <w:wordWrap/>
        <w:overflowPunct/>
        <w:topLinePunct w:val="0"/>
        <w:autoSpaceDE/>
        <w:autoSpaceDN/>
        <w:bidi w:val="0"/>
        <w:spacing w:line="400" w:lineRule="exact"/>
        <w:jc w:val="center"/>
        <w:textAlignment w:val="auto"/>
        <w:outlineLvl w:val="1"/>
        <w:rPr>
          <w:b/>
          <w:color w:val="auto"/>
          <w:sz w:val="28"/>
          <w:szCs w:val="28"/>
        </w:rPr>
      </w:pPr>
      <w:bookmarkStart w:id="608" w:name="_Toc16932"/>
      <w:r>
        <w:rPr>
          <w:rFonts w:hint="eastAsia" w:asciiTheme="minorEastAsia" w:hAnsiTheme="minorEastAsia" w:eastAsiaTheme="minorEastAsia" w:cstheme="minorEastAsia"/>
          <w:b/>
          <w:color w:val="auto"/>
          <w:sz w:val="28"/>
          <w:szCs w:val="28"/>
        </w:rPr>
        <w:t>第三节  合同专用条款</w:t>
      </w:r>
      <w:bookmarkEnd w:id="603"/>
      <w:bookmarkEnd w:id="604"/>
      <w:bookmarkEnd w:id="605"/>
      <w:bookmarkEnd w:id="606"/>
      <w:bookmarkEnd w:id="607"/>
      <w:bookmarkEnd w:id="608"/>
    </w:p>
    <w:p w14:paraId="16E953D8">
      <w:pPr>
        <w:pageBreakBefore w:val="0"/>
        <w:kinsoku/>
        <w:wordWrap/>
        <w:overflowPunct/>
        <w:topLinePunct w:val="0"/>
        <w:autoSpaceDE/>
        <w:autoSpaceDN/>
        <w:bidi w:val="0"/>
        <w:spacing w:line="400" w:lineRule="exact"/>
        <w:textAlignment w:val="auto"/>
        <w:rPr>
          <w:b/>
          <w:color w:val="auto"/>
          <w:szCs w:val="24"/>
        </w:rPr>
      </w:pPr>
      <w:r>
        <w:rPr>
          <w:rFonts w:hint="eastAsia"/>
          <w:b/>
          <w:color w:val="auto"/>
          <w:szCs w:val="24"/>
        </w:rPr>
        <w:t>1. 一般约定</w:t>
      </w:r>
    </w:p>
    <w:p w14:paraId="23CCA569">
      <w:pPr>
        <w:pageBreakBefore w:val="0"/>
        <w:kinsoku/>
        <w:wordWrap/>
        <w:overflowPunct/>
        <w:topLinePunct w:val="0"/>
        <w:autoSpaceDE/>
        <w:autoSpaceDN/>
        <w:bidi w:val="0"/>
        <w:spacing w:line="400" w:lineRule="exact"/>
        <w:textAlignment w:val="auto"/>
        <w:rPr>
          <w:b/>
          <w:color w:val="auto"/>
          <w:szCs w:val="24"/>
        </w:rPr>
      </w:pPr>
      <w:r>
        <w:rPr>
          <w:rFonts w:hint="eastAsia"/>
          <w:b/>
          <w:color w:val="auto"/>
          <w:szCs w:val="24"/>
        </w:rPr>
        <w:t>1.1  词语定义</w:t>
      </w:r>
    </w:p>
    <w:p w14:paraId="2BDF91AA">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1.1.2  合同当事人和人员</w:t>
      </w:r>
    </w:p>
    <w:p w14:paraId="778E9755">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eastAsiaTheme="minorEastAsia"/>
          <w:color w:val="auto"/>
          <w:szCs w:val="24"/>
          <w:lang w:eastAsia="zh-CN"/>
        </w:rPr>
      </w:pPr>
      <w:r>
        <w:rPr>
          <w:rFonts w:hint="eastAsia"/>
          <w:color w:val="auto"/>
          <w:szCs w:val="24"/>
        </w:rPr>
        <w:t>1.1.2.2  发包人：</w:t>
      </w:r>
      <w:r>
        <w:rPr>
          <w:rFonts w:hint="eastAsia" w:ascii="宋体" w:hAnsi="宋体"/>
          <w:b/>
          <w:bCs/>
          <w:color w:val="auto"/>
          <w:szCs w:val="21"/>
          <w:u w:val="single"/>
          <w:lang w:eastAsia="zh-CN"/>
        </w:rPr>
        <w:t>重庆市铜梁区安居小学</w:t>
      </w:r>
    </w:p>
    <w:p w14:paraId="13B2A6EB">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1.1.2.3  承包人：</w:t>
      </w:r>
    </w:p>
    <w:p w14:paraId="79FBF19C">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1.1.2.6  监理人：</w:t>
      </w:r>
    </w:p>
    <w:p w14:paraId="1BC49C2C">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1.1.3  工程和设备</w:t>
      </w:r>
    </w:p>
    <w:p w14:paraId="2A78D27D">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1.1.3.2  永久工程：</w:t>
      </w:r>
      <w:r>
        <w:rPr>
          <w:rFonts w:hint="eastAsia"/>
          <w:b/>
          <w:color w:val="auto"/>
          <w:szCs w:val="24"/>
          <w:u w:val="single"/>
        </w:rPr>
        <w:t xml:space="preserve">本工程比选范围内的各项工程。 </w:t>
      </w:r>
    </w:p>
    <w:p w14:paraId="45EE7AAA">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 xml:space="preserve">1.1.3.3  临时工程： </w:t>
      </w:r>
      <w:r>
        <w:rPr>
          <w:rFonts w:hint="eastAsia"/>
          <w:b/>
          <w:color w:val="auto"/>
          <w:szCs w:val="24"/>
          <w:u w:val="single"/>
        </w:rPr>
        <w:t xml:space="preserve">为完成前款工程所修建的各类临时性工程。 </w:t>
      </w:r>
    </w:p>
    <w:p w14:paraId="205C72D1">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1.1.3.10  永久占地：</w:t>
      </w:r>
    </w:p>
    <w:p w14:paraId="65686A2B">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 xml:space="preserve">1.1.3.11  临时占地： </w:t>
      </w:r>
      <w:r>
        <w:rPr>
          <w:rFonts w:hint="eastAsia"/>
          <w:b/>
          <w:color w:val="auto"/>
          <w:szCs w:val="24"/>
          <w:u w:val="single"/>
        </w:rPr>
        <w:t>施工临设用地、施工便道用地等，由承包人根据现场实际情况决定，临时占地发生的费用由承包人自行承担。</w:t>
      </w:r>
    </w:p>
    <w:p w14:paraId="4B778990">
      <w:pPr>
        <w:keepNext w:val="0"/>
        <w:keepLines w:val="0"/>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color w:val="auto"/>
          <w:szCs w:val="24"/>
        </w:rPr>
      </w:pPr>
      <w:r>
        <w:rPr>
          <w:rFonts w:hint="eastAsia"/>
          <w:color w:val="auto"/>
          <w:szCs w:val="24"/>
        </w:rPr>
        <w:t xml:space="preserve">1.1.4  </w:t>
      </w:r>
      <w:r>
        <w:rPr>
          <w:rFonts w:hint="eastAsia"/>
          <w:color w:val="auto"/>
          <w:szCs w:val="24"/>
          <w:lang w:eastAsia="zh-CN"/>
        </w:rPr>
        <w:t>日</w:t>
      </w:r>
      <w:r>
        <w:rPr>
          <w:rFonts w:hint="eastAsia"/>
          <w:color w:val="auto"/>
          <w:szCs w:val="24"/>
        </w:rPr>
        <w:t>期</w:t>
      </w:r>
    </w:p>
    <w:p w14:paraId="1F1EFD9E">
      <w:pPr>
        <w:keepNext w:val="0"/>
        <w:keepLines w:val="0"/>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eastAsiaTheme="minorEastAsia"/>
          <w:color w:val="auto"/>
          <w:szCs w:val="24"/>
          <w:lang w:eastAsia="zh-CN"/>
        </w:rPr>
      </w:pPr>
      <w:r>
        <w:rPr>
          <w:rFonts w:hint="eastAsia"/>
          <w:color w:val="auto"/>
          <w:szCs w:val="24"/>
        </w:rPr>
        <w:t>1.1.4.5 缺陷责任期：</w:t>
      </w:r>
      <w:r>
        <w:rPr>
          <w:rFonts w:hint="eastAsia"/>
          <w:b/>
          <w:bCs/>
          <w:color w:val="auto"/>
          <w:u w:val="single"/>
          <w:lang w:val="en-US" w:eastAsia="zh-CN"/>
        </w:rPr>
        <w:t>24个月</w:t>
      </w:r>
      <w:r>
        <w:rPr>
          <w:rFonts w:hint="eastAsia"/>
          <w:b/>
          <w:color w:val="auto"/>
          <w:highlight w:val="none"/>
          <w:u w:val="single"/>
        </w:rPr>
        <w:t>，</w:t>
      </w:r>
      <w:r>
        <w:rPr>
          <w:rFonts w:hint="eastAsia"/>
          <w:b/>
          <w:color w:val="auto"/>
          <w:u w:val="single"/>
        </w:rPr>
        <w:t>自工程</w:t>
      </w:r>
      <w:r>
        <w:rPr>
          <w:rFonts w:hint="eastAsia"/>
          <w:b/>
          <w:color w:val="auto"/>
          <w:u w:val="single"/>
          <w:lang w:eastAsia="zh-CN"/>
        </w:rPr>
        <w:t>竣工</w:t>
      </w:r>
      <w:r>
        <w:rPr>
          <w:rFonts w:hint="eastAsia"/>
          <w:b/>
          <w:color w:val="auto"/>
          <w:u w:val="single"/>
        </w:rPr>
        <w:t>验收合格之日起计算</w:t>
      </w:r>
      <w:r>
        <w:rPr>
          <w:rFonts w:hint="eastAsia"/>
          <w:b/>
          <w:color w:val="auto"/>
          <w:u w:val="single"/>
          <w:lang w:eastAsia="zh-CN"/>
        </w:rPr>
        <w:t>。</w:t>
      </w:r>
    </w:p>
    <w:p w14:paraId="7853836C">
      <w:pPr>
        <w:pageBreakBefore w:val="0"/>
        <w:kinsoku/>
        <w:wordWrap/>
        <w:overflowPunct/>
        <w:topLinePunct w:val="0"/>
        <w:autoSpaceDE/>
        <w:autoSpaceDN/>
        <w:bidi w:val="0"/>
        <w:spacing w:line="400" w:lineRule="exact"/>
        <w:textAlignment w:val="auto"/>
        <w:rPr>
          <w:b/>
          <w:color w:val="auto"/>
          <w:szCs w:val="24"/>
        </w:rPr>
      </w:pPr>
      <w:r>
        <w:rPr>
          <w:rFonts w:hint="eastAsia"/>
          <w:b/>
          <w:color w:val="auto"/>
          <w:szCs w:val="24"/>
        </w:rPr>
        <w:t>1.4  合同文件的优先顺序</w:t>
      </w:r>
    </w:p>
    <w:p w14:paraId="29A2C093">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合同文件组成及解释顺序：</w:t>
      </w:r>
    </w:p>
    <w:p w14:paraId="30F4E6AC">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（1）合同协议书；</w:t>
      </w:r>
    </w:p>
    <w:p w14:paraId="3DDBB496">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（2）中标通知书；</w:t>
      </w:r>
    </w:p>
    <w:p w14:paraId="38C5668A">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（3）投标函及投标函附录；</w:t>
      </w:r>
    </w:p>
    <w:p w14:paraId="026B54ED">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（4）专用合同条款；</w:t>
      </w:r>
    </w:p>
    <w:p w14:paraId="05E3C484">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（5）通用合同条款；</w:t>
      </w:r>
    </w:p>
    <w:p w14:paraId="7F9ED234">
      <w:pPr>
        <w:pageBreakBefore w:val="0"/>
        <w:kinsoku/>
        <w:wordWrap/>
        <w:overflowPunct/>
        <w:topLinePunct w:val="0"/>
        <w:autoSpaceDE/>
        <w:autoSpaceDN/>
        <w:bidi w:val="0"/>
        <w:spacing w:line="400" w:lineRule="exact"/>
        <w:ind w:firstLine="420" w:firstLineChars="200"/>
        <w:textAlignment w:val="auto"/>
        <w:rPr>
          <w:rFonts w:hint="eastAsia"/>
          <w:color w:val="auto"/>
          <w:szCs w:val="24"/>
        </w:rPr>
      </w:pPr>
      <w:r>
        <w:rPr>
          <w:rFonts w:hint="eastAsia"/>
          <w:color w:val="auto"/>
          <w:szCs w:val="24"/>
        </w:rPr>
        <w:t>（6）技术标准和要求；</w:t>
      </w:r>
    </w:p>
    <w:p w14:paraId="465935E0">
      <w:pPr>
        <w:pageBreakBefore w:val="0"/>
        <w:kinsoku/>
        <w:wordWrap/>
        <w:overflowPunct/>
        <w:topLinePunct w:val="0"/>
        <w:autoSpaceDE/>
        <w:autoSpaceDN/>
        <w:bidi w:val="0"/>
        <w:spacing w:line="400" w:lineRule="exact"/>
        <w:ind w:firstLine="420" w:firstLineChars="200"/>
        <w:textAlignment w:val="auto"/>
        <w:rPr>
          <w:rFonts w:hint="eastAsia" w:eastAsiaTheme="minorEastAsia"/>
          <w:color w:val="auto"/>
          <w:szCs w:val="24"/>
          <w:lang w:eastAsia="zh-CN"/>
        </w:rPr>
      </w:pPr>
      <w:r>
        <w:rPr>
          <w:rFonts w:hint="eastAsia"/>
          <w:color w:val="auto"/>
          <w:szCs w:val="24"/>
          <w:lang w:eastAsia="zh-CN"/>
        </w:rPr>
        <w:t>（</w:t>
      </w:r>
      <w:r>
        <w:rPr>
          <w:rFonts w:hint="eastAsia"/>
          <w:color w:val="auto"/>
          <w:szCs w:val="24"/>
          <w:lang w:val="en-US" w:eastAsia="zh-CN"/>
        </w:rPr>
        <w:t>7</w:t>
      </w:r>
      <w:r>
        <w:rPr>
          <w:rFonts w:hint="eastAsia"/>
          <w:color w:val="auto"/>
          <w:szCs w:val="24"/>
          <w:lang w:eastAsia="zh-CN"/>
        </w:rPr>
        <w:t>）图纸；</w:t>
      </w:r>
    </w:p>
    <w:p w14:paraId="522486CB">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8</w:t>
      </w:r>
      <w:r>
        <w:rPr>
          <w:rFonts w:hint="eastAsia"/>
          <w:color w:val="auto"/>
          <w:szCs w:val="24"/>
        </w:rPr>
        <w:t>）已标价工程量清单；</w:t>
      </w:r>
    </w:p>
    <w:p w14:paraId="1C749613">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9</w:t>
      </w:r>
      <w:r>
        <w:rPr>
          <w:rFonts w:hint="eastAsia"/>
          <w:color w:val="auto"/>
          <w:szCs w:val="24"/>
        </w:rPr>
        <w:t>）比选文件；</w:t>
      </w:r>
    </w:p>
    <w:p w14:paraId="1D77E635">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10</w:t>
      </w:r>
      <w:r>
        <w:rPr>
          <w:rFonts w:hint="eastAsia"/>
          <w:color w:val="auto"/>
          <w:szCs w:val="24"/>
        </w:rPr>
        <w:t>）工程质量保修书；</w:t>
      </w:r>
    </w:p>
    <w:p w14:paraId="5EE68B70">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11</w:t>
      </w:r>
      <w:r>
        <w:rPr>
          <w:rFonts w:hint="eastAsia"/>
          <w:color w:val="auto"/>
          <w:szCs w:val="24"/>
        </w:rPr>
        <w:t>）建设工程廉政责任书；</w:t>
      </w:r>
    </w:p>
    <w:p w14:paraId="7A910CF7">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（1</w:t>
      </w:r>
      <w:r>
        <w:rPr>
          <w:rFonts w:hint="eastAsia"/>
          <w:color w:val="auto"/>
          <w:szCs w:val="24"/>
          <w:lang w:val="en-US" w:eastAsia="zh-CN"/>
        </w:rPr>
        <w:t>2</w:t>
      </w:r>
      <w:r>
        <w:rPr>
          <w:rFonts w:hint="eastAsia"/>
          <w:color w:val="auto"/>
          <w:szCs w:val="24"/>
        </w:rPr>
        <w:t>）其他合同文件。</w:t>
      </w:r>
    </w:p>
    <w:p w14:paraId="0FF042E5">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1.5  合同生效的条件</w:t>
      </w:r>
    </w:p>
    <w:p w14:paraId="6C3C0E89">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lang w:eastAsia="zh-CN"/>
        </w:rPr>
        <w:t>经发包人和承包人的</w:t>
      </w:r>
      <w:r>
        <w:rPr>
          <w:rFonts w:hint="eastAsia" w:ascii="宋体" w:hAnsi="宋体" w:cs="宋体"/>
          <w:b/>
          <w:color w:val="auto"/>
          <w:szCs w:val="21"/>
          <w:u w:val="single"/>
        </w:rPr>
        <w:t>法定代表人或其委托代理人签字并盖公章后生效。在双方履行完本合同约定的各自的权利和义务后自动失效。</w:t>
      </w:r>
    </w:p>
    <w:p w14:paraId="31158F72">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1.6  图纸和承包人文件</w:t>
      </w:r>
    </w:p>
    <w:p w14:paraId="199B7275">
      <w:pPr>
        <w:pageBreakBefore w:val="0"/>
        <w:widowControl w:val="0"/>
        <w:kinsoku/>
        <w:wordWrap/>
        <w:overflowPunct/>
        <w:topLinePunct w:val="0"/>
        <w:autoSpaceDE/>
        <w:autoSpaceDN/>
        <w:bidi w:val="0"/>
        <w:adjustRightInd w:val="0"/>
        <w:snapToGrid w:val="0"/>
        <w:spacing w:line="400" w:lineRule="exact"/>
        <w:ind w:left="0" w:leftChars="0" w:right="0" w:rightChars="0" w:firstLine="420"/>
        <w:textAlignment w:val="auto"/>
        <w:rPr>
          <w:rFonts w:hint="eastAsia" w:eastAsia="宋体"/>
          <w:b/>
          <w:color w:val="auto"/>
          <w:u w:val="single"/>
          <w:lang w:val="en-US" w:eastAsia="zh-CN"/>
        </w:rPr>
      </w:pPr>
      <w:r>
        <w:rPr>
          <w:rFonts w:hint="eastAsia" w:ascii="宋体" w:hAnsi="宋体"/>
          <w:color w:val="auto"/>
          <w:szCs w:val="21"/>
        </w:rPr>
        <w:t>1.6.1  发包人提供图纸的期限、数量：</w:t>
      </w:r>
      <w:r>
        <w:rPr>
          <w:rFonts w:hint="eastAsia" w:ascii="宋体" w:hAnsi="宋体" w:cs="宋体"/>
          <w:b/>
          <w:color w:val="auto"/>
          <w:sz w:val="21"/>
          <w:szCs w:val="21"/>
          <w:highlight w:val="none"/>
          <w:u w:val="single"/>
          <w:lang w:val="en-US" w:eastAsia="zh-CN"/>
        </w:rPr>
        <w:t>/</w:t>
      </w:r>
      <w:r>
        <w:rPr>
          <w:rFonts w:hint="eastAsia" w:ascii="宋体" w:hAnsi="宋体" w:eastAsia="宋体" w:cs="宋体"/>
          <w:b/>
          <w:color w:val="auto"/>
          <w:sz w:val="21"/>
          <w:szCs w:val="21"/>
          <w:u w:val="single"/>
          <w:lang w:val="en-US" w:eastAsia="zh-CN"/>
        </w:rPr>
        <w:t>。</w:t>
      </w:r>
    </w:p>
    <w:p w14:paraId="4CE6DD91">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1.6.2  承包人提供的文件范围：</w:t>
      </w:r>
      <w:r>
        <w:rPr>
          <w:rFonts w:hint="eastAsia" w:ascii="宋体" w:hAnsi="宋体"/>
          <w:b/>
          <w:bCs/>
          <w:color w:val="auto"/>
          <w:szCs w:val="21"/>
          <w:u w:val="single"/>
        </w:rPr>
        <w:t xml:space="preserve"> 施工组织设计和进度计划、专项施工方案、安全应急方案、施工扬尘专项控制方案等按发包人要求提供相关资料（含电子文档）。</w:t>
      </w:r>
    </w:p>
    <w:p w14:paraId="6875F010">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承包人提供文件的期限、数量：</w:t>
      </w:r>
      <w:r>
        <w:rPr>
          <w:rFonts w:hint="eastAsia" w:ascii="宋体" w:hAnsi="宋体"/>
          <w:b/>
          <w:color w:val="auto"/>
          <w:szCs w:val="21"/>
          <w:u w:val="single"/>
        </w:rPr>
        <w:t>图纸会审交底后</w:t>
      </w:r>
      <w:r>
        <w:rPr>
          <w:rFonts w:hint="eastAsia" w:ascii="宋体" w:hAnsi="宋体"/>
          <w:b/>
          <w:color w:val="auto"/>
          <w:szCs w:val="21"/>
          <w:u w:val="single"/>
          <w:lang w:eastAsia="zh-CN"/>
        </w:rPr>
        <w:t>并在</w:t>
      </w:r>
      <w:r>
        <w:rPr>
          <w:rFonts w:hint="eastAsia" w:ascii="宋体" w:hAnsi="宋体"/>
          <w:b/>
          <w:color w:val="auto"/>
          <w:szCs w:val="21"/>
          <w:u w:val="single"/>
        </w:rPr>
        <w:t>距开工令发出7天前，提供一式3套。</w:t>
      </w:r>
    </w:p>
    <w:p w14:paraId="1132AB79">
      <w:pPr>
        <w:pageBreakBefore w:val="0"/>
        <w:widowControl w:val="0"/>
        <w:kinsoku/>
        <w:wordWrap/>
        <w:overflowPunct/>
        <w:topLinePunct w:val="0"/>
        <w:autoSpaceDE/>
        <w:autoSpaceDN/>
        <w:bidi w:val="0"/>
        <w:adjustRightInd w:val="0"/>
        <w:snapToGrid w:val="0"/>
        <w:spacing w:line="400" w:lineRule="exact"/>
        <w:ind w:left="0" w:leftChars="0" w:right="0" w:rightChars="0" w:firstLine="480"/>
        <w:textAlignment w:val="auto"/>
        <w:rPr>
          <w:rFonts w:hint="eastAsia" w:ascii="宋体" w:hAnsi="宋体"/>
          <w:color w:val="auto"/>
          <w:szCs w:val="21"/>
          <w:u w:val="single"/>
        </w:rPr>
      </w:pPr>
      <w:r>
        <w:rPr>
          <w:rFonts w:hint="eastAsia" w:ascii="宋体" w:hAnsi="宋体"/>
          <w:color w:val="auto"/>
          <w:szCs w:val="21"/>
        </w:rPr>
        <w:t>监理人批复承包人提供文件的期限：</w:t>
      </w:r>
      <w:r>
        <w:rPr>
          <w:rFonts w:hint="eastAsia" w:ascii="宋体" w:hAnsi="宋体"/>
          <w:b/>
          <w:bCs/>
          <w:color w:val="auto"/>
          <w:szCs w:val="21"/>
          <w:u w:val="single"/>
        </w:rPr>
        <w:t xml:space="preserve"> 开工前5天。</w:t>
      </w:r>
    </w:p>
    <w:p w14:paraId="2590892A">
      <w:pPr>
        <w:pageBreakBefore w:val="0"/>
        <w:widowControl w:val="0"/>
        <w:kinsoku/>
        <w:wordWrap/>
        <w:overflowPunct/>
        <w:topLinePunct w:val="0"/>
        <w:autoSpaceDE/>
        <w:autoSpaceDN/>
        <w:bidi w:val="0"/>
        <w:adjustRightInd w:val="0"/>
        <w:snapToGrid w:val="0"/>
        <w:spacing w:line="400" w:lineRule="exact"/>
        <w:ind w:left="0" w:leftChars="0" w:right="0" w:rightChars="0" w:firstLine="480"/>
        <w:textAlignment w:val="auto"/>
        <w:rPr>
          <w:rFonts w:hint="eastAsia" w:ascii="宋体" w:hAnsi="宋体"/>
          <w:color w:val="auto"/>
          <w:szCs w:val="21"/>
          <w:u w:val="single"/>
        </w:rPr>
      </w:pPr>
      <w:r>
        <w:rPr>
          <w:rFonts w:hint="eastAsia" w:ascii="宋体" w:hAnsi="宋体"/>
          <w:color w:val="auto"/>
          <w:szCs w:val="21"/>
        </w:rPr>
        <w:t>1.6.3  监理签发图纸修改的期限：</w:t>
      </w:r>
      <w:r>
        <w:rPr>
          <w:rFonts w:hint="eastAsia" w:ascii="宋体" w:hAnsi="宋体"/>
          <w:b/>
          <w:bCs/>
          <w:color w:val="auto"/>
          <w:szCs w:val="21"/>
          <w:u w:val="single"/>
        </w:rPr>
        <w:t xml:space="preserve"> 在该工程或工程部位施工前5天。</w:t>
      </w:r>
    </w:p>
    <w:p w14:paraId="0DB779B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snapToGrid w:val="0"/>
          <w:color w:val="auto"/>
          <w:szCs w:val="21"/>
        </w:rPr>
      </w:pPr>
      <w:r>
        <w:rPr>
          <w:rFonts w:hint="eastAsia" w:ascii="宋体" w:hAnsi="宋体"/>
          <w:b/>
          <w:bCs/>
          <w:snapToGrid w:val="0"/>
          <w:color w:val="auto"/>
          <w:szCs w:val="21"/>
        </w:rPr>
        <w:t>1.7  联络</w:t>
      </w:r>
    </w:p>
    <w:p w14:paraId="66BD8669">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1.7.2  联络送达的期限：</w:t>
      </w:r>
      <w:r>
        <w:rPr>
          <w:rFonts w:hint="eastAsia"/>
          <w:b/>
          <w:color w:val="auto"/>
          <w:u w:val="single"/>
        </w:rPr>
        <w:t>各类文件在正式签发后，1天内现场送达项目代表，并办理签收手续</w:t>
      </w:r>
      <w:r>
        <w:rPr>
          <w:rFonts w:hint="eastAsia" w:ascii="宋体" w:hAnsi="宋体"/>
          <w:color w:val="auto"/>
          <w:szCs w:val="21"/>
          <w:u w:val="single"/>
        </w:rPr>
        <w:t>。</w:t>
      </w:r>
    </w:p>
    <w:p w14:paraId="53B79C5C">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snapToGrid w:val="0"/>
          <w:color w:val="auto"/>
          <w:szCs w:val="21"/>
        </w:rPr>
      </w:pPr>
      <w:r>
        <w:rPr>
          <w:rFonts w:hint="eastAsia" w:ascii="宋体" w:hAnsi="宋体"/>
          <w:b/>
          <w:bCs/>
          <w:snapToGrid w:val="0"/>
          <w:color w:val="auto"/>
          <w:szCs w:val="21"/>
        </w:rPr>
        <w:t>2.  发包人义务</w:t>
      </w:r>
    </w:p>
    <w:p w14:paraId="4DBF9D9A">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2.3  提供施工场地</w:t>
      </w:r>
    </w:p>
    <w:p w14:paraId="2F41F070">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发包人提供施工场地和有关资料的时间：</w:t>
      </w:r>
      <w:r>
        <w:rPr>
          <w:rFonts w:hint="eastAsia"/>
          <w:b/>
          <w:color w:val="auto"/>
          <w:u w:val="single"/>
        </w:rPr>
        <w:t>开工前完成，施工场地以现状为准。</w:t>
      </w:r>
    </w:p>
    <w:p w14:paraId="4B94ABBF">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2.8  其他义务</w:t>
      </w:r>
    </w:p>
    <w:p w14:paraId="0DC958A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eastAsia="宋体"/>
          <w:color w:val="auto"/>
          <w:lang w:eastAsia="zh-CN"/>
        </w:rPr>
      </w:pPr>
      <w:r>
        <w:rPr>
          <w:rFonts w:hint="eastAsia"/>
          <w:color w:val="auto"/>
        </w:rPr>
        <w:t>发包人应按约定的时间和要求完成以下工作</w:t>
      </w:r>
      <w:r>
        <w:rPr>
          <w:rFonts w:hint="eastAsia"/>
          <w:color w:val="auto"/>
          <w:lang w:eastAsia="zh-CN"/>
        </w:rPr>
        <w:t>：</w:t>
      </w:r>
    </w:p>
    <w:p w14:paraId="34ABA0B7">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2.8.1施工场地具备施工条件的要求及完成的时间</w:t>
      </w:r>
      <w:r>
        <w:rPr>
          <w:rFonts w:hint="eastAsia"/>
          <w:color w:val="auto"/>
          <w:lang w:eastAsia="zh-CN"/>
        </w:rPr>
        <w:t>：</w:t>
      </w:r>
      <w:r>
        <w:rPr>
          <w:rFonts w:hint="eastAsia"/>
          <w:b/>
          <w:color w:val="auto"/>
          <w:u w:val="single"/>
        </w:rPr>
        <w:t>以现状为准</w:t>
      </w:r>
      <w:r>
        <w:rPr>
          <w:rFonts w:hint="eastAsia"/>
          <w:color w:val="auto"/>
        </w:rPr>
        <w:t>。</w:t>
      </w:r>
    </w:p>
    <w:p w14:paraId="7D6924A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2.8.2将施工所需的水、电、电讯线路接至施工场地的时间、地点和供应要求</w:t>
      </w:r>
      <w:r>
        <w:rPr>
          <w:rFonts w:hint="eastAsia"/>
          <w:color w:val="auto"/>
          <w:lang w:eastAsia="zh-CN"/>
        </w:rPr>
        <w:t>：</w:t>
      </w:r>
      <w:r>
        <w:rPr>
          <w:rFonts w:hint="eastAsia"/>
          <w:b/>
          <w:color w:val="auto"/>
          <w:u w:val="single"/>
        </w:rPr>
        <w:t>发包人解决施工用电、用水接口；接口后由承包人自行搭接、并装表计量，并承担相应费用；施工所需的电讯线路由承包人自行解决。</w:t>
      </w:r>
    </w:p>
    <w:p w14:paraId="1CE008E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2.8.3施工场地与公共道路的通道开通时间和要求</w:t>
      </w:r>
      <w:r>
        <w:rPr>
          <w:rFonts w:hint="eastAsia"/>
          <w:color w:val="auto"/>
          <w:lang w:eastAsia="zh-CN"/>
        </w:rPr>
        <w:t>：</w:t>
      </w:r>
      <w:r>
        <w:rPr>
          <w:rFonts w:hint="eastAsia"/>
          <w:b/>
          <w:color w:val="auto"/>
          <w:u w:val="single"/>
        </w:rPr>
        <w:t>施工场地与公共道路的通道以现状为准</w:t>
      </w:r>
      <w:r>
        <w:rPr>
          <w:rFonts w:hint="eastAsia"/>
          <w:b/>
          <w:color w:val="auto"/>
        </w:rPr>
        <w:t>。</w:t>
      </w:r>
    </w:p>
    <w:p w14:paraId="36B636C5">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2.8.4由发包人办理的施工所需证件、批件的名称和完成时间</w:t>
      </w:r>
      <w:r>
        <w:rPr>
          <w:rFonts w:hint="eastAsia"/>
          <w:color w:val="auto"/>
          <w:lang w:eastAsia="zh-CN"/>
        </w:rPr>
        <w:t>：</w:t>
      </w:r>
      <w:r>
        <w:rPr>
          <w:rFonts w:hint="eastAsia"/>
          <w:b/>
          <w:color w:val="auto"/>
          <w:u w:val="single"/>
        </w:rPr>
        <w:t>合同签订后，发包人在开工前依法办理施工许可证等相关建设手续。</w:t>
      </w:r>
    </w:p>
    <w:p w14:paraId="0416F797">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2.8.5水准点与座标控制点交验要求</w:t>
      </w:r>
      <w:r>
        <w:rPr>
          <w:rFonts w:hint="eastAsia"/>
          <w:color w:val="auto"/>
          <w:lang w:eastAsia="zh-CN"/>
        </w:rPr>
        <w:t>：</w:t>
      </w:r>
      <w:r>
        <w:rPr>
          <w:rFonts w:hint="eastAsia"/>
          <w:b/>
          <w:color w:val="auto"/>
          <w:u w:val="single"/>
        </w:rPr>
        <w:t>开工前发包人通过监理人以书面形式通知承包人，并组织相关单位进行现场交验，同时作好交验记录</w:t>
      </w:r>
      <w:r>
        <w:rPr>
          <w:rFonts w:hint="eastAsia"/>
          <w:color w:val="auto"/>
        </w:rPr>
        <w:t>。</w:t>
      </w:r>
    </w:p>
    <w:p w14:paraId="337449F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2.8.6图纸会审和设计交底时间</w:t>
      </w:r>
      <w:r>
        <w:rPr>
          <w:rFonts w:hint="eastAsia"/>
          <w:color w:val="auto"/>
          <w:lang w:eastAsia="zh-CN"/>
        </w:rPr>
        <w:t>：</w:t>
      </w:r>
      <w:r>
        <w:rPr>
          <w:rFonts w:hint="eastAsia"/>
          <w:b/>
          <w:color w:val="auto"/>
          <w:u w:val="single"/>
        </w:rPr>
        <w:t>开工前3天。</w:t>
      </w:r>
    </w:p>
    <w:p w14:paraId="1494058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0F0DCEE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rPr>
      </w:pPr>
      <w:r>
        <w:rPr>
          <w:rFonts w:hint="eastAsia"/>
          <w:color w:val="auto"/>
        </w:rPr>
        <w:t>2.8.8双方约定发包人应做的其他工作</w:t>
      </w:r>
      <w:r>
        <w:rPr>
          <w:rFonts w:hint="eastAsia"/>
          <w:color w:val="auto"/>
          <w:lang w:eastAsia="zh-CN"/>
        </w:rPr>
        <w:t>：</w:t>
      </w:r>
      <w:r>
        <w:rPr>
          <w:rFonts w:hint="eastAsia"/>
          <w:b/>
          <w:color w:val="auto"/>
          <w:u w:val="single"/>
        </w:rPr>
        <w:t>协助承包人处理周边关系</w:t>
      </w:r>
      <w:r>
        <w:rPr>
          <w:rFonts w:hint="eastAsia"/>
          <w:b/>
          <w:color w:val="auto"/>
        </w:rPr>
        <w:t>。</w:t>
      </w:r>
    </w:p>
    <w:p w14:paraId="72102871">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snapToGrid w:val="0"/>
          <w:color w:val="auto"/>
          <w:szCs w:val="21"/>
        </w:rPr>
      </w:pPr>
      <w:r>
        <w:rPr>
          <w:rFonts w:hint="eastAsia" w:ascii="宋体" w:hAnsi="宋体"/>
          <w:b/>
          <w:bCs/>
          <w:snapToGrid w:val="0"/>
          <w:color w:val="auto"/>
          <w:szCs w:val="21"/>
        </w:rPr>
        <w:t>3.  监理人</w:t>
      </w:r>
    </w:p>
    <w:p w14:paraId="77F12CFD">
      <w:pPr>
        <w:pageBreakBefore w:val="0"/>
        <w:widowControl w:val="0"/>
        <w:kinsoku/>
        <w:wordWrap/>
        <w:overflowPunct/>
        <w:topLinePunct w:val="0"/>
        <w:autoSpaceDE/>
        <w:autoSpaceDN/>
        <w:bidi w:val="0"/>
        <w:snapToGrid w:val="0"/>
        <w:spacing w:before="0" w:beforeLines="0" w:after="0" w:afterLines="0" w:line="400" w:lineRule="exact"/>
        <w:ind w:left="0" w:leftChars="0" w:right="0" w:rightChars="0" w:firstLine="420" w:firstLineChars="200"/>
        <w:jc w:val="both"/>
        <w:textAlignment w:val="auto"/>
        <w:outlineLvl w:val="9"/>
        <w:rPr>
          <w:rFonts w:hint="eastAsia" w:ascii="宋体" w:hAnsi="宋体"/>
          <w:b w:val="0"/>
          <w:snapToGrid w:val="0"/>
          <w:color w:val="auto"/>
          <w:sz w:val="21"/>
          <w:szCs w:val="21"/>
        </w:rPr>
      </w:pPr>
      <w:r>
        <w:rPr>
          <w:rFonts w:hint="eastAsia" w:ascii="宋体" w:hAnsi="宋体"/>
          <w:b w:val="0"/>
          <w:snapToGrid w:val="0"/>
          <w:color w:val="auto"/>
          <w:sz w:val="21"/>
          <w:szCs w:val="21"/>
        </w:rPr>
        <w:t>3.1  监理人的职责和权力</w:t>
      </w:r>
    </w:p>
    <w:p w14:paraId="453DACD1">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 xml:space="preserve">3.1.1  发包人委托的职权: </w:t>
      </w:r>
      <w:r>
        <w:rPr>
          <w:rFonts w:hint="eastAsia" w:ascii="宋体" w:hAnsi="宋体"/>
          <w:b/>
          <w:bCs/>
          <w:color w:val="auto"/>
          <w:szCs w:val="21"/>
          <w:u w:val="single"/>
        </w:rPr>
        <w:t xml:space="preserve"> 代表发包人对工程质量、进度、投资进行控制，对合同和信息进行管理，对文明施工、环保和环卫进行监督，对现场施工组织进行协调，并履行安全生产管理法定职责，具体以监理合同为准。</w:t>
      </w:r>
    </w:p>
    <w:p w14:paraId="7DADB218">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须经发包人事先批准行使的权力：</w:t>
      </w:r>
      <w:r>
        <w:rPr>
          <w:rFonts w:hint="eastAsia" w:ascii="宋体" w:hAnsi="宋体"/>
          <w:b/>
          <w:bCs/>
          <w:color w:val="auto"/>
          <w:szCs w:val="21"/>
          <w:u w:val="single"/>
        </w:rPr>
        <w:t xml:space="preserve"> 工程开工、停工、复工令的签发需经发包人同意，工期延长、材料设备认质核价、工程变更、现场签证、价款调整、工程计量与支付、索赔及与工程价款相关事宜等需经发包人核定和批准。</w:t>
      </w:r>
    </w:p>
    <w:p w14:paraId="525E9616">
      <w:pPr>
        <w:pageBreakBefore w:val="0"/>
        <w:widowControl w:val="0"/>
        <w:kinsoku/>
        <w:wordWrap/>
        <w:overflowPunct/>
        <w:topLinePunct w:val="0"/>
        <w:autoSpaceDE/>
        <w:autoSpaceDN/>
        <w:bidi w:val="0"/>
        <w:adjustRightInd w:val="0"/>
        <w:snapToGrid w:val="0"/>
        <w:spacing w:line="400" w:lineRule="exact"/>
        <w:ind w:left="0" w:leftChars="0" w:right="0" w:rightChars="0" w:firstLine="315" w:firstLineChars="150"/>
        <w:textAlignment w:val="auto"/>
        <w:rPr>
          <w:rFonts w:hint="eastAsia" w:ascii="宋体" w:hAnsi="宋体"/>
          <w:color w:val="auto"/>
          <w:szCs w:val="21"/>
        </w:rPr>
      </w:pPr>
      <w:r>
        <w:rPr>
          <w:rFonts w:hint="eastAsia" w:ascii="宋体" w:hAnsi="宋体"/>
          <w:color w:val="auto"/>
          <w:szCs w:val="21"/>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r>
        <w:rPr>
          <w:rFonts w:hint="eastAsia" w:ascii="宋体" w:hAnsi="宋体"/>
          <w:color w:val="auto"/>
          <w:szCs w:val="21"/>
          <w:u w:val="single"/>
        </w:rPr>
        <w:t>。</w:t>
      </w:r>
    </w:p>
    <w:p w14:paraId="44CD1FC1">
      <w:pPr>
        <w:pageBreakBefore w:val="0"/>
        <w:widowControl w:val="0"/>
        <w:kinsoku/>
        <w:wordWrap/>
        <w:overflowPunct/>
        <w:topLinePunct w:val="0"/>
        <w:autoSpaceDE/>
        <w:autoSpaceDN/>
        <w:bidi w:val="0"/>
        <w:snapToGrid w:val="0"/>
        <w:spacing w:before="0" w:beforeLines="0" w:after="0" w:afterLines="0" w:line="400" w:lineRule="exact"/>
        <w:ind w:left="0" w:leftChars="0" w:right="0" w:rightChars="0" w:firstLine="420" w:firstLineChars="200"/>
        <w:jc w:val="both"/>
        <w:textAlignment w:val="auto"/>
        <w:outlineLvl w:val="9"/>
        <w:rPr>
          <w:rFonts w:hint="eastAsia" w:ascii="宋体" w:hAnsi="宋体"/>
          <w:b w:val="0"/>
          <w:snapToGrid w:val="0"/>
          <w:color w:val="auto"/>
          <w:sz w:val="21"/>
          <w:szCs w:val="21"/>
        </w:rPr>
      </w:pPr>
      <w:r>
        <w:rPr>
          <w:rFonts w:hint="eastAsia" w:ascii="宋体" w:hAnsi="宋体"/>
          <w:b w:val="0"/>
          <w:snapToGrid w:val="0"/>
          <w:color w:val="auto"/>
          <w:sz w:val="21"/>
          <w:szCs w:val="21"/>
        </w:rPr>
        <w:t>3.4  监理人的指示</w:t>
      </w:r>
    </w:p>
    <w:p w14:paraId="17DC3E2C">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3.4.4  如果发包人认为有必要，可直接向承包人发出指示，并抄送监理人。</w:t>
      </w:r>
    </w:p>
    <w:p w14:paraId="30B657D7">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s="宋体"/>
          <w:b/>
          <w:snapToGrid w:val="0"/>
          <w:color w:val="auto"/>
        </w:rPr>
      </w:pPr>
      <w:r>
        <w:rPr>
          <w:rFonts w:hint="eastAsia" w:ascii="宋体" w:hAnsi="宋体" w:cs="宋体"/>
          <w:b/>
          <w:snapToGrid w:val="0"/>
          <w:color w:val="auto"/>
        </w:rPr>
        <w:t xml:space="preserve">4、承包人 </w:t>
      </w:r>
    </w:p>
    <w:p w14:paraId="648866D8">
      <w:pPr>
        <w:pageBreakBefore w:val="0"/>
        <w:widowControl w:val="0"/>
        <w:kinsoku/>
        <w:wordWrap/>
        <w:overflowPunct/>
        <w:topLinePunct w:val="0"/>
        <w:autoSpaceDE/>
        <w:autoSpaceDN/>
        <w:bidi w:val="0"/>
        <w:adjustRightInd w:val="0"/>
        <w:snapToGrid w:val="0"/>
        <w:spacing w:line="400" w:lineRule="exact"/>
        <w:ind w:left="0" w:leftChars="0" w:right="0" w:rightChars="0"/>
        <w:jc w:val="left"/>
        <w:textAlignment w:val="auto"/>
        <w:rPr>
          <w:rFonts w:hint="eastAsia" w:ascii="宋体" w:hAnsi="宋体"/>
          <w:b/>
          <w:bCs/>
          <w:color w:val="auto"/>
          <w:szCs w:val="21"/>
        </w:rPr>
      </w:pPr>
      <w:r>
        <w:rPr>
          <w:rFonts w:hint="eastAsia" w:ascii="宋体" w:hAnsi="宋体"/>
          <w:b/>
          <w:bCs/>
          <w:color w:val="auto"/>
          <w:szCs w:val="21"/>
        </w:rPr>
        <w:t>4.1  承包人的一般义务</w:t>
      </w:r>
    </w:p>
    <w:p w14:paraId="6104F59A">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4.1.8 为他人提供方便</w:t>
      </w:r>
    </w:p>
    <w:p w14:paraId="63B215B5">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4F671252">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1B55ECDE">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费用的处理方法：</w:t>
      </w:r>
      <w:r>
        <w:rPr>
          <w:rFonts w:hint="eastAsia"/>
          <w:b/>
          <w:color w:val="auto"/>
          <w:u w:val="single"/>
        </w:rPr>
        <w:t>费用已含在投标报价中，不作调整。</w:t>
      </w:r>
    </w:p>
    <w:p w14:paraId="3FDCC477">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4.1.10 其他义务</w:t>
      </w:r>
    </w:p>
    <w:p w14:paraId="4429AFBD">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309600BE">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7AF2FE10">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（3）根据工程需要，提供施工使用的所有照明、围栏设施，由此所发生的费用由承包人承担。</w:t>
      </w:r>
    </w:p>
    <w:p w14:paraId="6A19A66B">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61BEBBE5">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（5）按重庆市政府有关主管部门（包括建设、交通、消防、环保等）的规定办理施工中所需相关手续（如临时用地、占道、爆破、夜间施工等），由此所发生的费用已进入投标报价内。</w:t>
      </w:r>
    </w:p>
    <w:p w14:paraId="43FBAF5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42CD7590">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（7）负责施工中为满足施工条件采取的各项措施，由此产生的费用由承包人承担。</w:t>
      </w:r>
    </w:p>
    <w:p w14:paraId="717E4BF3">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25F642B6">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551BFCE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（10）承包人应按照监理人审定的施工组织设计进行施工。</w:t>
      </w:r>
    </w:p>
    <w:p w14:paraId="11DADF51">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17201A2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（12）承包人应履行合同约定的其他义务，农民工保证金按相关规定执行。</w:t>
      </w:r>
    </w:p>
    <w:p w14:paraId="7CCC97A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（13）负责施工中所有材料采购、运输、储存保管，且应遵守国家、地方有关规定，并完善相关手续，费用自行承担。</w:t>
      </w:r>
    </w:p>
    <w:p w14:paraId="13DB6946">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（14）开工前，承包人应主动汇同监理人、发包人共同确认需交接部位，并作好记录，未经确认的不得开工，否则，由此造成的损失全部由承包人承担。</w:t>
      </w:r>
    </w:p>
    <w:p w14:paraId="20606F39">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D5942A0">
      <w:pPr>
        <w:pageBreakBefore w:val="0"/>
        <w:widowControl w:val="0"/>
        <w:kinsoku/>
        <w:wordWrap/>
        <w:overflowPunct/>
        <w:topLinePunct w:val="0"/>
        <w:autoSpaceDE/>
        <w:autoSpaceDN/>
        <w:bidi w:val="0"/>
        <w:spacing w:line="400" w:lineRule="exact"/>
        <w:ind w:left="0" w:leftChars="0" w:right="0" w:rightChars="0" w:firstLine="422" w:firstLineChars="200"/>
        <w:textAlignment w:val="auto"/>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D6082F">
      <w:pPr>
        <w:spacing w:line="440" w:lineRule="exact"/>
        <w:rPr>
          <w:rFonts w:hint="eastAsia"/>
          <w:b/>
          <w:color w:val="auto"/>
          <w:u w:val="single"/>
        </w:rPr>
      </w:pPr>
      <w:r>
        <w:rPr>
          <w:rFonts w:hint="eastAsia"/>
          <w:b/>
          <w:color w:val="auto"/>
        </w:rPr>
        <w:t>4.2 履约担保</w:t>
      </w:r>
    </w:p>
    <w:p w14:paraId="3587E90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4.2.1承包人是否提供履约担保：</w:t>
      </w:r>
      <w:r>
        <w:rPr>
          <w:rFonts w:hint="eastAsia"/>
          <w:b/>
          <w:color w:val="auto"/>
          <w:highlight w:val="none"/>
          <w:u w:val="single"/>
        </w:rPr>
        <w:t>是。</w:t>
      </w:r>
    </w:p>
    <w:p w14:paraId="29943BD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b/>
          <w:color w:val="auto"/>
          <w:highlight w:val="none"/>
          <w:u w:val="single"/>
        </w:rPr>
      </w:pPr>
      <w:r>
        <w:rPr>
          <w:rFonts w:hint="eastAsia"/>
          <w:color w:val="auto"/>
          <w:highlight w:val="none"/>
        </w:rPr>
        <w:t>4.2.2承包人提供履约担保的形式、金额及期限的：</w:t>
      </w:r>
      <w:r>
        <w:rPr>
          <w:rFonts w:hint="eastAsia"/>
          <w:b/>
          <w:color w:val="auto"/>
          <w:highlight w:val="none"/>
          <w:u w:val="single"/>
        </w:rPr>
        <w:t>履约保证金为</w:t>
      </w:r>
      <w:r>
        <w:rPr>
          <w:rFonts w:hint="eastAsia"/>
          <w:b/>
          <w:color w:val="auto"/>
          <w:highlight w:val="none"/>
          <w:u w:val="single"/>
          <w:lang w:eastAsia="zh-CN"/>
        </w:rPr>
        <w:t>中标</w:t>
      </w:r>
      <w:r>
        <w:rPr>
          <w:rFonts w:hint="eastAsia"/>
          <w:b/>
          <w:color w:val="auto"/>
          <w:highlight w:val="none"/>
          <w:u w:val="single"/>
        </w:rPr>
        <w:t>合同金额的10%</w:t>
      </w:r>
      <w:r>
        <w:rPr>
          <w:rFonts w:hint="eastAsia"/>
          <w:b/>
          <w:color w:val="auto"/>
          <w:highlight w:val="none"/>
          <w:u w:val="single"/>
          <w:lang w:val="en-US" w:eastAsia="zh-CN"/>
        </w:rPr>
        <w:t>，</w:t>
      </w:r>
      <w:r>
        <w:rPr>
          <w:rFonts w:hint="eastAsia"/>
          <w:b/>
          <w:color w:val="auto"/>
          <w:highlight w:val="none"/>
          <w:u w:val="single"/>
        </w:rPr>
        <w:t>承包人应在收到</w:t>
      </w:r>
      <w:r>
        <w:rPr>
          <w:rFonts w:hint="eastAsia"/>
          <w:b/>
          <w:color w:val="auto"/>
          <w:highlight w:val="none"/>
          <w:u w:val="single"/>
          <w:lang w:eastAsia="zh-CN"/>
        </w:rPr>
        <w:t>中标</w:t>
      </w:r>
      <w:r>
        <w:rPr>
          <w:rFonts w:hint="eastAsia"/>
          <w:b/>
          <w:color w:val="auto"/>
          <w:highlight w:val="none"/>
          <w:u w:val="single"/>
        </w:rPr>
        <w:t>通知书后</w:t>
      </w:r>
      <w:r>
        <w:rPr>
          <w:rFonts w:hint="eastAsia"/>
          <w:b/>
          <w:color w:val="auto"/>
          <w:highlight w:val="none"/>
          <w:u w:val="single"/>
          <w:lang w:val="en-US" w:eastAsia="zh-CN"/>
        </w:rPr>
        <w:t>7</w:t>
      </w:r>
      <w:r>
        <w:rPr>
          <w:rFonts w:hint="eastAsia"/>
          <w:b/>
          <w:color w:val="auto"/>
          <w:highlight w:val="none"/>
          <w:u w:val="single"/>
        </w:rPr>
        <w:t>日内，施工合同签订前</w:t>
      </w:r>
      <w:r>
        <w:rPr>
          <w:rFonts w:hint="eastAsia"/>
          <w:b/>
          <w:color w:val="auto"/>
          <w:highlight w:val="none"/>
          <w:u w:val="single"/>
          <w:lang w:eastAsia="zh-CN"/>
        </w:rPr>
        <w:t>提交</w:t>
      </w:r>
      <w:r>
        <w:rPr>
          <w:rFonts w:hint="eastAsia"/>
          <w:b/>
          <w:color w:val="auto"/>
          <w:highlight w:val="none"/>
          <w:u w:val="single"/>
        </w:rPr>
        <w:t>，若未按时提交，则视为承包人放弃</w:t>
      </w:r>
      <w:r>
        <w:rPr>
          <w:rFonts w:hint="eastAsia"/>
          <w:b/>
          <w:color w:val="auto"/>
          <w:highlight w:val="none"/>
          <w:u w:val="single"/>
          <w:lang w:eastAsia="zh-CN"/>
        </w:rPr>
        <w:t>中标</w:t>
      </w:r>
      <w:r>
        <w:rPr>
          <w:rFonts w:hint="eastAsia"/>
          <w:b/>
          <w:color w:val="auto"/>
          <w:highlight w:val="none"/>
          <w:u w:val="single"/>
        </w:rPr>
        <w:t>。</w:t>
      </w:r>
    </w:p>
    <w:p w14:paraId="2DE1879D">
      <w:pPr>
        <w:pStyle w:val="4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宋体" w:hAnsi="宋体" w:cs="宋体"/>
          <w:color w:val="auto"/>
          <w:kern w:val="0"/>
          <w:sz w:val="21"/>
          <w:szCs w:val="18"/>
          <w:highlight w:val="none"/>
          <w:lang w:val="en-US" w:eastAsia="zh-CN"/>
        </w:rPr>
      </w:pPr>
      <w:r>
        <w:rPr>
          <w:rFonts w:hint="eastAsia" w:asciiTheme="minorHAnsi" w:hAnsiTheme="minorHAnsi" w:eastAsiaTheme="minorEastAsia" w:cstheme="minorBidi"/>
          <w:color w:val="auto"/>
          <w:kern w:val="2"/>
          <w:sz w:val="21"/>
          <w:szCs w:val="22"/>
          <w:highlight w:val="none"/>
          <w:lang w:val="en-US" w:eastAsia="zh-CN" w:bidi="ar-SA"/>
        </w:rPr>
        <w:t>4.2.</w:t>
      </w:r>
      <w:r>
        <w:rPr>
          <w:rFonts w:hint="eastAsia" w:asciiTheme="minorHAnsi" w:hAnsiTheme="minorHAnsi" w:cstheme="minorBidi"/>
          <w:color w:val="auto"/>
          <w:kern w:val="2"/>
          <w:sz w:val="21"/>
          <w:szCs w:val="22"/>
          <w:highlight w:val="none"/>
          <w:lang w:val="en-US" w:eastAsia="zh-CN" w:bidi="ar-SA"/>
        </w:rPr>
        <w:t>3</w:t>
      </w:r>
      <w:r>
        <w:rPr>
          <w:rFonts w:hint="eastAsia" w:ascii="宋体" w:hAnsi="宋体" w:cs="宋体"/>
          <w:color w:val="auto"/>
          <w:kern w:val="0"/>
          <w:sz w:val="21"/>
          <w:szCs w:val="18"/>
          <w:highlight w:val="none"/>
        </w:rPr>
        <w:t>履约保证金</w:t>
      </w:r>
      <w:r>
        <w:rPr>
          <w:rFonts w:hint="eastAsia" w:cs="宋体"/>
          <w:color w:val="auto"/>
          <w:kern w:val="0"/>
          <w:sz w:val="21"/>
          <w:szCs w:val="18"/>
          <w:highlight w:val="none"/>
          <w:lang w:eastAsia="zh-CN"/>
        </w:rPr>
        <w:t>的</w:t>
      </w:r>
      <w:r>
        <w:rPr>
          <w:rFonts w:hint="eastAsia" w:ascii="宋体" w:hAnsi="宋体" w:cs="宋体"/>
          <w:color w:val="auto"/>
          <w:kern w:val="0"/>
          <w:sz w:val="21"/>
          <w:szCs w:val="18"/>
          <w:highlight w:val="none"/>
        </w:rPr>
        <w:t>退还：</w:t>
      </w:r>
      <w:r>
        <w:rPr>
          <w:rFonts w:hint="eastAsia" w:ascii="宋体" w:hAnsi="宋体" w:cs="宋体"/>
          <w:color w:val="auto"/>
          <w:kern w:val="0"/>
          <w:sz w:val="21"/>
          <w:szCs w:val="18"/>
          <w:highlight w:val="none"/>
          <w:lang w:val="en-US" w:eastAsia="zh-CN"/>
        </w:rPr>
        <w:t>工程竣工验收合格后28日内一次性返还（不计息）。</w:t>
      </w:r>
    </w:p>
    <w:p w14:paraId="030D0663">
      <w:pPr>
        <w:pStyle w:val="4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4.2.4</w:t>
      </w:r>
      <w:r>
        <w:rPr>
          <w:rFonts w:hint="eastAsia" w:ascii="宋体" w:hAnsi="宋体" w:eastAsia="宋体" w:cs="宋体"/>
          <w:b/>
          <w:bCs/>
          <w:color w:val="auto"/>
          <w:sz w:val="21"/>
          <w:szCs w:val="21"/>
        </w:rPr>
        <w:t>农民工工资保证金</w:t>
      </w:r>
    </w:p>
    <w:p w14:paraId="4896587D">
      <w:pPr>
        <w:pStyle w:val="4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Times New Roman" w:hAnsi="Times New Roman" w:cs="Times New Roman"/>
          <w:color w:val="auto"/>
          <w:szCs w:val="22"/>
          <w:highlight w:val="yellow"/>
        </w:rPr>
      </w:pPr>
      <w:r>
        <w:rPr>
          <w:rFonts w:hint="eastAsia" w:ascii="宋体" w:hAnsi="宋体" w:eastAsia="宋体" w:cs="宋体"/>
          <w:color w:val="auto"/>
          <w:sz w:val="21"/>
          <w:szCs w:val="21"/>
        </w:rPr>
        <w:t>农民工工资保证金为中标</w:t>
      </w:r>
      <w:r>
        <w:rPr>
          <w:rFonts w:hint="eastAsia" w:eastAsia="宋体" w:cs="宋体"/>
          <w:color w:val="auto"/>
          <w:sz w:val="21"/>
          <w:szCs w:val="21"/>
          <w:lang w:eastAsia="zh-CN"/>
        </w:rPr>
        <w:t>合同金额</w:t>
      </w:r>
      <w:r>
        <w:rPr>
          <w:rFonts w:hint="eastAsia" w:ascii="宋体" w:hAnsi="宋体" w:eastAsia="宋体" w:cs="宋体"/>
          <w:color w:val="auto"/>
          <w:sz w:val="21"/>
          <w:szCs w:val="21"/>
        </w:rPr>
        <w:t>的2%，由中标人在与</w:t>
      </w:r>
      <w:r>
        <w:rPr>
          <w:rFonts w:hint="eastAsia" w:ascii="宋体" w:hAnsi="宋体" w:eastAsia="宋体" w:cs="宋体"/>
          <w:color w:val="auto"/>
          <w:sz w:val="21"/>
          <w:szCs w:val="21"/>
          <w:lang w:eastAsia="zh-CN"/>
        </w:rPr>
        <w:t>发包</w:t>
      </w:r>
      <w:r>
        <w:rPr>
          <w:rFonts w:hint="eastAsia" w:ascii="宋体" w:hAnsi="宋体" w:eastAsia="宋体" w:cs="宋体"/>
          <w:color w:val="auto"/>
          <w:sz w:val="21"/>
          <w:szCs w:val="21"/>
        </w:rPr>
        <w:t>人签订合同前，按照</w:t>
      </w:r>
      <w:r>
        <w:rPr>
          <w:rFonts w:hint="eastAsia" w:ascii="宋体" w:hAnsi="宋体" w:eastAsia="宋体" w:cs="宋体"/>
          <w:color w:val="auto"/>
          <w:sz w:val="21"/>
          <w:szCs w:val="21"/>
          <w:lang w:eastAsia="zh-CN"/>
        </w:rPr>
        <w:t>发包人</w:t>
      </w:r>
      <w:r>
        <w:rPr>
          <w:rFonts w:hint="eastAsia" w:ascii="宋体" w:hAnsi="宋体" w:eastAsia="宋体" w:cs="宋体"/>
          <w:color w:val="auto"/>
          <w:sz w:val="21"/>
          <w:szCs w:val="21"/>
        </w:rPr>
        <w:t>要求提交，工程竣工验收合格</w:t>
      </w:r>
      <w:r>
        <w:rPr>
          <w:rFonts w:hint="eastAsia" w:eastAsia="宋体" w:cs="宋体"/>
          <w:color w:val="auto"/>
          <w:sz w:val="21"/>
          <w:szCs w:val="21"/>
          <w:lang w:eastAsia="zh-CN"/>
        </w:rPr>
        <w:t>且支付完农民工工资</w:t>
      </w:r>
      <w:r>
        <w:rPr>
          <w:rFonts w:hint="eastAsia" w:ascii="宋体" w:hAnsi="宋体" w:eastAsia="宋体" w:cs="宋体"/>
          <w:color w:val="auto"/>
          <w:sz w:val="21"/>
          <w:szCs w:val="21"/>
        </w:rPr>
        <w:t>后28天内一次性返还（不计息）。</w:t>
      </w:r>
    </w:p>
    <w:p w14:paraId="3C6BC2CD">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4.3 分包</w:t>
      </w:r>
    </w:p>
    <w:p w14:paraId="5079FEC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4.3.2 分包的内容</w:t>
      </w:r>
    </w:p>
    <w:p w14:paraId="60474A89">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487B3596">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4.5 承包人项目经理</w:t>
      </w:r>
    </w:p>
    <w:p w14:paraId="077A54F1">
      <w:pPr>
        <w:pageBreakBefore w:val="0"/>
        <w:widowControl w:val="0"/>
        <w:kinsoku/>
        <w:wordWrap/>
        <w:overflowPunct/>
        <w:topLinePunct w:val="0"/>
        <w:autoSpaceDE/>
        <w:autoSpaceDN/>
        <w:bidi w:val="0"/>
        <w:spacing w:line="400" w:lineRule="exact"/>
        <w:ind w:left="0" w:leftChars="0" w:right="0" w:rightChars="0" w:firstLine="480"/>
        <w:jc w:val="left"/>
        <w:textAlignment w:val="auto"/>
        <w:rPr>
          <w:rFonts w:hint="eastAsia"/>
          <w:color w:val="auto"/>
        </w:rPr>
      </w:pPr>
      <w:bookmarkStart w:id="609" w:name="_Toc359579051"/>
      <w:bookmarkStart w:id="610" w:name="_Toc327347168"/>
      <w:bookmarkStart w:id="611" w:name="_Toc418077882"/>
      <w:bookmarkStart w:id="612" w:name="_Toc5889"/>
      <w:bookmarkStart w:id="613" w:name="_Toc19197"/>
      <w:bookmarkStart w:id="614" w:name="_Toc224103411"/>
      <w:bookmarkStart w:id="615" w:name="_Toc266027434"/>
      <w:r>
        <w:rPr>
          <w:rFonts w:hint="eastAsia"/>
          <w:color w:val="auto"/>
        </w:rPr>
        <w:t>4.5.1承包人项目经理必须与承包人投标时所承诺的人员一致，并在根据通用合同条款第11.1.1项确定的开工日期前到任。项目经理不得同时兼任其他任何项目的项目经理。未经发包人书面许可，承包人不得更换项目经理。</w:t>
      </w:r>
    </w:p>
    <w:p w14:paraId="588FCFE9">
      <w:pPr>
        <w:pageBreakBefore w:val="0"/>
        <w:widowControl w:val="0"/>
        <w:kinsoku/>
        <w:wordWrap/>
        <w:overflowPunct/>
        <w:topLinePunct w:val="0"/>
        <w:autoSpaceDE/>
        <w:autoSpaceDN/>
        <w:bidi w:val="0"/>
        <w:spacing w:line="400" w:lineRule="exact"/>
        <w:ind w:left="0" w:leftChars="0" w:right="0" w:rightChars="0"/>
        <w:textAlignment w:val="auto"/>
        <w:rPr>
          <w:b/>
          <w:color w:val="auto"/>
        </w:rPr>
      </w:pPr>
      <w:r>
        <w:rPr>
          <w:rFonts w:hint="eastAsia"/>
          <w:b/>
          <w:color w:val="auto"/>
        </w:rPr>
        <w:t>4.11  不利物质条件</w:t>
      </w:r>
      <w:bookmarkEnd w:id="609"/>
      <w:bookmarkEnd w:id="610"/>
      <w:bookmarkEnd w:id="611"/>
      <w:bookmarkEnd w:id="612"/>
      <w:bookmarkEnd w:id="613"/>
      <w:bookmarkEnd w:id="614"/>
      <w:bookmarkEnd w:id="615"/>
    </w:p>
    <w:p w14:paraId="6309521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4.11.1  不利物质条件的范围：</w:t>
      </w:r>
      <w:r>
        <w:rPr>
          <w:rFonts w:hint="eastAsia"/>
          <w:b/>
          <w:color w:val="auto"/>
          <w:u w:val="single"/>
        </w:rPr>
        <w:t xml:space="preserve">按通用条款执行。 </w:t>
      </w:r>
    </w:p>
    <w:p w14:paraId="573E4E98">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5.  材料和工程设备</w:t>
      </w:r>
    </w:p>
    <w:p w14:paraId="2803D497">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5.1  承包人提供的材料和工程设备</w:t>
      </w:r>
    </w:p>
    <w:p w14:paraId="74B01880">
      <w:pPr>
        <w:pageBreakBefore w:val="0"/>
        <w:widowControl w:val="0"/>
        <w:kinsoku/>
        <w:wordWrap/>
        <w:overflowPunct/>
        <w:topLinePunct w:val="0"/>
        <w:autoSpaceDE/>
        <w:autoSpaceDN/>
        <w:bidi w:val="0"/>
        <w:spacing w:line="400" w:lineRule="exact"/>
        <w:ind w:right="0" w:rightChars="0" w:firstLine="420" w:firstLineChars="200"/>
        <w:jc w:val="left"/>
        <w:textAlignment w:val="auto"/>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1DA6CB90">
      <w:pPr>
        <w:pageBreakBefore w:val="0"/>
        <w:widowControl w:val="0"/>
        <w:kinsoku/>
        <w:wordWrap/>
        <w:overflowPunct/>
        <w:topLinePunct w:val="0"/>
        <w:autoSpaceDE/>
        <w:autoSpaceDN/>
        <w:bidi w:val="0"/>
        <w:spacing w:line="400" w:lineRule="exact"/>
        <w:ind w:right="0" w:rightChars="0" w:firstLine="420" w:firstLineChars="200"/>
        <w:jc w:val="left"/>
        <w:textAlignment w:val="auto"/>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承包人应将各项材料和工程设备的供货人及品种、规格、数量和供货时间等，在材料、设备采购计划进场15日前以书面形式报送监理人审批。监理工程师和发包人收到承包人的书面报告后5日内予以确认。 承包人应向监理人提交其负责提供的材料和工程设备的质量证明文件，并满足合同约定的质量标准。 </w:t>
      </w:r>
    </w:p>
    <w:p w14:paraId="40A761B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2AF9661F">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b/>
          <w:bCs/>
          <w:snapToGrid w:val="0"/>
          <w:color w:val="auto"/>
          <w:w w:val="99"/>
          <w:szCs w:val="21"/>
        </w:rPr>
      </w:pPr>
      <w:r>
        <w:rPr>
          <w:rFonts w:hint="eastAsia" w:ascii="宋体" w:hAnsi="宋体"/>
          <w:b/>
          <w:bCs/>
          <w:snapToGrid w:val="0"/>
          <w:color w:val="auto"/>
          <w:szCs w:val="21"/>
        </w:rPr>
        <w:t>5.2  发包人提供的材料和工程设备</w:t>
      </w:r>
    </w:p>
    <w:p w14:paraId="1D47A4CC">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5.2.1 材料的名称、规格、数量和价格：</w:t>
      </w:r>
      <w:r>
        <w:rPr>
          <w:rFonts w:hint="eastAsia" w:ascii="宋体" w:hAnsi="宋体"/>
          <w:b/>
          <w:bCs/>
          <w:color w:val="auto"/>
          <w:szCs w:val="21"/>
          <w:u w:val="single"/>
        </w:rPr>
        <w:t xml:space="preserve"> 无。</w:t>
      </w:r>
      <w:r>
        <w:rPr>
          <w:rFonts w:hint="eastAsia" w:ascii="宋体" w:hAnsi="宋体"/>
          <w:color w:val="auto"/>
          <w:szCs w:val="21"/>
        </w:rPr>
        <w:t xml:space="preserve"> </w:t>
      </w:r>
    </w:p>
    <w:p w14:paraId="02EB3788">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材料的交货方式、地点和日期：</w:t>
      </w:r>
      <w:r>
        <w:rPr>
          <w:rFonts w:hint="eastAsia" w:ascii="宋体" w:hAnsi="宋体"/>
          <w:b/>
          <w:bCs/>
          <w:color w:val="auto"/>
          <w:szCs w:val="21"/>
          <w:u w:val="single"/>
        </w:rPr>
        <w:t>无。</w:t>
      </w:r>
    </w:p>
    <w:p w14:paraId="673EA475">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b/>
          <w:bCs/>
          <w:color w:val="auto"/>
          <w:szCs w:val="21"/>
          <w:u w:val="single"/>
        </w:rPr>
      </w:pPr>
      <w:r>
        <w:rPr>
          <w:rFonts w:hint="eastAsia" w:ascii="宋体" w:hAnsi="宋体"/>
          <w:color w:val="auto"/>
          <w:szCs w:val="21"/>
        </w:rPr>
        <w:t>工程设备的名称、规格、数量和价格：</w:t>
      </w:r>
      <w:r>
        <w:rPr>
          <w:rFonts w:hint="eastAsia" w:ascii="宋体" w:hAnsi="宋体"/>
          <w:b/>
          <w:bCs/>
          <w:color w:val="auto"/>
          <w:szCs w:val="21"/>
          <w:u w:val="single"/>
        </w:rPr>
        <w:t>无。</w:t>
      </w:r>
    </w:p>
    <w:p w14:paraId="70D56B4D">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工程设备的交货方式、地点和日期：</w:t>
      </w:r>
      <w:r>
        <w:rPr>
          <w:rFonts w:hint="eastAsia" w:ascii="宋体" w:hAnsi="宋体"/>
          <w:b/>
          <w:bCs/>
          <w:color w:val="auto"/>
          <w:szCs w:val="21"/>
          <w:u w:val="single"/>
        </w:rPr>
        <w:t>无。</w:t>
      </w:r>
    </w:p>
    <w:p w14:paraId="5BDB00C9">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5.2.3材料和工程设备的接收、运输与保管：</w:t>
      </w:r>
      <w:r>
        <w:rPr>
          <w:rFonts w:hint="eastAsia" w:ascii="宋体" w:hAnsi="宋体"/>
          <w:b/>
          <w:bCs/>
          <w:color w:val="auto"/>
          <w:szCs w:val="21"/>
          <w:u w:val="single"/>
        </w:rPr>
        <w:t>无。</w:t>
      </w:r>
    </w:p>
    <w:p w14:paraId="7DEF94E9">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6.  施工设备和临时设施</w:t>
      </w:r>
    </w:p>
    <w:p w14:paraId="6F1BE7FC">
      <w:pPr>
        <w:pageBreakBefore w:val="0"/>
        <w:widowControl w:val="0"/>
        <w:kinsoku/>
        <w:wordWrap/>
        <w:overflowPunct/>
        <w:topLinePunct w:val="0"/>
        <w:autoSpaceDE/>
        <w:autoSpaceDN/>
        <w:bidi w:val="0"/>
        <w:spacing w:line="400" w:lineRule="exact"/>
        <w:ind w:left="0" w:leftChars="0" w:right="0" w:rightChars="0" w:firstLine="422" w:firstLineChars="200"/>
        <w:textAlignment w:val="auto"/>
        <w:rPr>
          <w:rFonts w:hint="eastAsia"/>
          <w:b/>
          <w:color w:val="auto"/>
        </w:rPr>
      </w:pPr>
      <w:r>
        <w:rPr>
          <w:rFonts w:hint="eastAsia"/>
          <w:b/>
          <w:color w:val="auto"/>
        </w:rPr>
        <w:t>6.1  承包人提供的施工设备和临时设施</w:t>
      </w:r>
    </w:p>
    <w:p w14:paraId="792BD83B">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06FE1EC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300BDB1F">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6.2  发包人提供的施工设备和临时设施：</w:t>
      </w:r>
      <w:r>
        <w:rPr>
          <w:rFonts w:hint="eastAsia"/>
          <w:b/>
          <w:color w:val="auto"/>
          <w:u w:val="single"/>
        </w:rPr>
        <w:t>无。</w:t>
      </w:r>
    </w:p>
    <w:p w14:paraId="20B52C5B">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  交通运输</w:t>
      </w:r>
    </w:p>
    <w:p w14:paraId="2FADD3A4">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7.1  道路通行权和场外设施</w:t>
      </w:r>
    </w:p>
    <w:p w14:paraId="123AD38C">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73C13A7B">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color w:val="auto"/>
        </w:rPr>
        <w:t xml:space="preserve">    相关费用： </w:t>
      </w:r>
      <w:r>
        <w:rPr>
          <w:rFonts w:hint="eastAsia"/>
          <w:b/>
          <w:color w:val="auto"/>
          <w:u w:val="single"/>
        </w:rPr>
        <w:t>由承包人负责，费用由承包人承担。</w:t>
      </w:r>
    </w:p>
    <w:p w14:paraId="4A6FF80F">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7.2  场内施工道路</w:t>
      </w:r>
    </w:p>
    <w:p w14:paraId="4EE03BEE">
      <w:pPr>
        <w:pageBreakBefore w:val="0"/>
        <w:widowControl w:val="0"/>
        <w:kinsoku/>
        <w:wordWrap/>
        <w:overflowPunct/>
        <w:topLinePunct w:val="0"/>
        <w:autoSpaceDE/>
        <w:autoSpaceDN/>
        <w:bidi w:val="0"/>
        <w:spacing w:line="400" w:lineRule="exact"/>
        <w:ind w:left="0" w:leftChars="0" w:right="0" w:rightChars="0" w:firstLine="420"/>
        <w:textAlignment w:val="auto"/>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3F732EBE">
      <w:pPr>
        <w:pageBreakBefore w:val="0"/>
        <w:widowControl w:val="0"/>
        <w:kinsoku/>
        <w:wordWrap/>
        <w:overflowPunct/>
        <w:topLinePunct w:val="0"/>
        <w:autoSpaceDE/>
        <w:autoSpaceDN/>
        <w:bidi w:val="0"/>
        <w:spacing w:line="400" w:lineRule="exact"/>
        <w:ind w:left="0" w:leftChars="0" w:right="0" w:rightChars="0" w:firstLine="420"/>
        <w:textAlignment w:val="auto"/>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4FB3989">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7.4  超大件和超重件的运输</w:t>
      </w:r>
    </w:p>
    <w:p w14:paraId="15B30487">
      <w:pPr>
        <w:pageBreakBefore w:val="0"/>
        <w:widowControl w:val="0"/>
        <w:kinsoku/>
        <w:wordWrap/>
        <w:overflowPunct/>
        <w:topLinePunct w:val="0"/>
        <w:autoSpaceDE/>
        <w:autoSpaceDN/>
        <w:bidi w:val="0"/>
        <w:spacing w:line="400" w:lineRule="exact"/>
        <w:ind w:right="0" w:rightChars="0" w:firstLine="420" w:firstLineChars="200"/>
        <w:textAlignment w:val="auto"/>
        <w:rPr>
          <w:rFonts w:hint="eastAsia" w:ascii="宋体" w:hAnsi="宋体"/>
          <w:color w:val="auto"/>
          <w:szCs w:val="21"/>
        </w:rPr>
      </w:pPr>
      <w:r>
        <w:rPr>
          <w:rFonts w:hint="eastAsia"/>
          <w:color w:val="auto"/>
        </w:rPr>
        <w:t>道路和桥梁临时加固改造费用和其他有关费用的承担：</w:t>
      </w:r>
      <w:r>
        <w:rPr>
          <w:rFonts w:hint="eastAsia"/>
          <w:b/>
          <w:color w:val="auto"/>
          <w:u w:val="single"/>
        </w:rPr>
        <w:t>由承包人承担。</w:t>
      </w:r>
    </w:p>
    <w:p w14:paraId="1FB53D9F">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8.  测量放线</w:t>
      </w:r>
    </w:p>
    <w:p w14:paraId="38B5ACE1">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8.1  施工控制网</w:t>
      </w:r>
    </w:p>
    <w:p w14:paraId="2D18BA5B">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8.1.1  发包人提供测量基准点、基准线和水准点的期限：</w:t>
      </w:r>
      <w:r>
        <w:rPr>
          <w:rFonts w:hint="eastAsia" w:ascii="宋体" w:hAnsi="宋体"/>
          <w:b/>
          <w:bCs/>
          <w:color w:val="auto"/>
          <w:szCs w:val="21"/>
          <w:u w:val="single"/>
        </w:rPr>
        <w:t xml:space="preserve"> 开工前5天。</w:t>
      </w:r>
    </w:p>
    <w:p w14:paraId="23EBFFAB">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施工控制网的测设：</w:t>
      </w:r>
      <w:r>
        <w:rPr>
          <w:rFonts w:hint="eastAsia" w:ascii="宋体" w:hAnsi="宋体"/>
          <w:b/>
          <w:bCs/>
          <w:color w:val="auto"/>
          <w:szCs w:val="21"/>
          <w:u w:val="single"/>
        </w:rPr>
        <w:t xml:space="preserve"> 由承包人负责。</w:t>
      </w:r>
      <w:r>
        <w:rPr>
          <w:rFonts w:hint="eastAsia" w:ascii="宋体" w:hAnsi="宋体"/>
          <w:color w:val="auto"/>
          <w:szCs w:val="21"/>
        </w:rPr>
        <w:t xml:space="preserve"> </w:t>
      </w:r>
    </w:p>
    <w:p w14:paraId="1A33DE8F">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报监理人审批施工控制网资料的期限：</w:t>
      </w:r>
      <w:r>
        <w:rPr>
          <w:rFonts w:hint="eastAsia" w:ascii="宋体" w:hAnsi="宋体"/>
          <w:b/>
          <w:bCs/>
          <w:color w:val="auto"/>
          <w:szCs w:val="21"/>
          <w:u w:val="single"/>
        </w:rPr>
        <w:t xml:space="preserve"> 开工前7天。</w:t>
      </w:r>
    </w:p>
    <w:p w14:paraId="4063015A">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9.  施工安全、治安保卫和环境保护</w:t>
      </w:r>
    </w:p>
    <w:p w14:paraId="46F633DE">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9.2  承包人的施工安全责任</w:t>
      </w:r>
    </w:p>
    <w:p w14:paraId="2658FBD9">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9.2.1报监理人审批的施工安全措施计划期限：</w:t>
      </w:r>
      <w:r>
        <w:rPr>
          <w:rFonts w:hint="eastAsia" w:ascii="宋体" w:hAnsi="宋体"/>
          <w:b/>
          <w:bCs/>
          <w:color w:val="auto"/>
          <w:szCs w:val="21"/>
          <w:u w:val="single"/>
        </w:rPr>
        <w:t xml:space="preserve"> 开工前5天。</w:t>
      </w:r>
    </w:p>
    <w:p w14:paraId="4A28879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监理人收到承包人报送的施工安全措施计划后应当在</w:t>
      </w:r>
      <w:r>
        <w:rPr>
          <w:rFonts w:hint="eastAsia"/>
          <w:b/>
          <w:color w:val="auto"/>
          <w:u w:val="single"/>
          <w:lang w:val="en-US" w:eastAsia="zh-CN"/>
        </w:rPr>
        <w:t xml:space="preserve">  </w:t>
      </w:r>
      <w:r>
        <w:rPr>
          <w:rFonts w:hint="eastAsia"/>
          <w:b/>
          <w:bCs w:val="0"/>
          <w:color w:val="auto"/>
          <w:u w:val="single"/>
          <w:lang w:val="en-US" w:eastAsia="zh-CN"/>
        </w:rPr>
        <w:t>2</w:t>
      </w:r>
      <w:r>
        <w:rPr>
          <w:rFonts w:hint="eastAsia"/>
          <w:b/>
          <w:color w:val="auto"/>
          <w:u w:val="single"/>
          <w:lang w:val="en-US" w:eastAsia="zh-CN"/>
        </w:rPr>
        <w:t xml:space="preserve"> </w:t>
      </w:r>
      <w:r>
        <w:rPr>
          <w:rFonts w:hint="eastAsia"/>
          <w:b/>
          <w:color w:val="auto"/>
          <w:u w:val="single"/>
        </w:rPr>
        <w:t xml:space="preserve"> </w:t>
      </w:r>
      <w:r>
        <w:rPr>
          <w:rFonts w:hint="eastAsia"/>
          <w:color w:val="auto"/>
        </w:rPr>
        <w:t>天内给予批复。</w:t>
      </w:r>
    </w:p>
    <w:p w14:paraId="4855BB1D">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9.3  治安保卫</w:t>
      </w:r>
    </w:p>
    <w:p w14:paraId="6F40CDC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b/>
          <w:bCs/>
          <w:color w:val="auto"/>
          <w:szCs w:val="21"/>
          <w:u w:val="single"/>
        </w:rPr>
        <w:t xml:space="preserve"> 承包人 </w:t>
      </w:r>
      <w:r>
        <w:rPr>
          <w:rFonts w:hint="eastAsia" w:ascii="宋体" w:hAnsi="宋体" w:cs="宋体"/>
          <w:color w:val="auto"/>
          <w:szCs w:val="21"/>
        </w:rPr>
        <w:t>承担。</w:t>
      </w:r>
    </w:p>
    <w:p w14:paraId="54C3DB6C">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rPr>
      </w:pPr>
      <w:r>
        <w:rPr>
          <w:rFonts w:hint="eastAsia"/>
          <w:color w:val="auto"/>
        </w:rPr>
        <w:t xml:space="preserve">    9.3.3  施工场地治安管理计划和突发治安事件紧急预案的编制责任人：</w:t>
      </w:r>
      <w:r>
        <w:rPr>
          <w:rFonts w:hint="eastAsia" w:ascii="宋体" w:hAnsi="宋体"/>
          <w:b/>
          <w:bCs/>
          <w:color w:val="auto"/>
          <w:szCs w:val="21"/>
          <w:u w:val="single"/>
        </w:rPr>
        <w:t xml:space="preserve">  由承包人负责 </w:t>
      </w:r>
      <w:r>
        <w:rPr>
          <w:rFonts w:hint="eastAsia"/>
          <w:b/>
          <w:color w:val="auto"/>
        </w:rPr>
        <w:t>。</w:t>
      </w:r>
    </w:p>
    <w:p w14:paraId="456D9001">
      <w:pPr>
        <w:pageBreakBefore w:val="0"/>
        <w:widowControl w:val="0"/>
        <w:kinsoku/>
        <w:wordWrap/>
        <w:overflowPunct/>
        <w:topLinePunct w:val="0"/>
        <w:autoSpaceDE/>
        <w:autoSpaceDN/>
        <w:bidi w:val="0"/>
        <w:spacing w:line="400" w:lineRule="exact"/>
        <w:ind w:right="0" w:rightChars="0"/>
        <w:textAlignment w:val="auto"/>
        <w:rPr>
          <w:rFonts w:hint="eastAsia" w:ascii="宋体" w:hAnsi="宋体"/>
          <w:b/>
          <w:bCs/>
          <w:color w:val="auto"/>
          <w:szCs w:val="21"/>
        </w:rPr>
      </w:pPr>
      <w:r>
        <w:rPr>
          <w:rFonts w:hint="eastAsia" w:ascii="宋体" w:hAnsi="宋体"/>
          <w:b/>
          <w:bCs/>
          <w:color w:val="auto"/>
          <w:szCs w:val="21"/>
        </w:rPr>
        <w:t>9.4  环境保护</w:t>
      </w:r>
    </w:p>
    <w:p w14:paraId="7700E1A4">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ascii="宋体" w:hAnsi="宋体"/>
          <w:b/>
          <w:bCs/>
          <w:color w:val="auto"/>
          <w:szCs w:val="21"/>
          <w:u w:val="single"/>
        </w:rPr>
        <w:t xml:space="preserve"> 开工前5天 </w:t>
      </w:r>
      <w:r>
        <w:rPr>
          <w:rFonts w:hint="eastAsia" w:ascii="宋体" w:hAnsi="宋体" w:cs="宋体"/>
          <w:color w:val="auto"/>
          <w:szCs w:val="21"/>
        </w:rPr>
        <w:t>。</w:t>
      </w:r>
    </w:p>
    <w:p w14:paraId="134F8A80">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2</w:t>
      </w:r>
      <w:r>
        <w:rPr>
          <w:rFonts w:hint="eastAsia" w:ascii="宋体" w:hAnsi="宋体" w:cs="宋体"/>
          <w:b/>
          <w:color w:val="auto"/>
          <w:szCs w:val="21"/>
          <w:u w:val="single"/>
          <w:lang w:val="en-US" w:eastAsia="zh-CN"/>
        </w:rPr>
        <w:t xml:space="preserve"> </w:t>
      </w:r>
      <w:r>
        <w:rPr>
          <w:rFonts w:hint="eastAsia" w:ascii="宋体" w:hAnsi="宋体" w:cs="宋体"/>
          <w:b/>
          <w:color w:val="auto"/>
          <w:szCs w:val="21"/>
          <w:u w:val="single"/>
        </w:rPr>
        <w:t xml:space="preserve"> </w:t>
      </w:r>
      <w:r>
        <w:rPr>
          <w:rFonts w:hint="eastAsia" w:ascii="宋体" w:hAnsi="宋体" w:cs="宋体"/>
          <w:color w:val="auto"/>
          <w:szCs w:val="21"/>
        </w:rPr>
        <w:t>天内给予批复。</w:t>
      </w:r>
    </w:p>
    <w:p w14:paraId="1A2E7F84">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10.  进度计划</w:t>
      </w:r>
    </w:p>
    <w:p w14:paraId="4F65BB6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10.1  合同进度计划</w:t>
      </w:r>
    </w:p>
    <w:p w14:paraId="223D7D2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b/>
          <w:bCs/>
          <w:color w:val="auto"/>
          <w:szCs w:val="21"/>
          <w:u w:val="single"/>
        </w:rPr>
        <w:t xml:space="preserve"> 7 </w:t>
      </w:r>
      <w:r>
        <w:rPr>
          <w:rFonts w:hint="eastAsia" w:ascii="宋体" w:hAnsi="宋体" w:cs="宋体"/>
          <w:color w:val="auto"/>
          <w:szCs w:val="21"/>
        </w:rPr>
        <w:t>天内，编制详细的施工进度计划和施工方案说明并报送监理人。</w:t>
      </w:r>
    </w:p>
    <w:p w14:paraId="2295AD7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0CFA93D2">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自监理人收到承包人报送的相关进度计划和施工方案说明后5天内。</w:t>
      </w:r>
    </w:p>
    <w:p w14:paraId="5E453F5E">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11.  开工和竣工</w:t>
      </w:r>
    </w:p>
    <w:p w14:paraId="01056BA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11.4  异常恶劣的气候条件</w:t>
      </w:r>
    </w:p>
    <w:p w14:paraId="3D69359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异常恶劣的气候条件的范围：</w:t>
      </w:r>
      <w:r>
        <w:rPr>
          <w:rFonts w:hint="eastAsia" w:ascii="宋体" w:hAnsi="宋体"/>
          <w:b/>
          <w:bCs/>
          <w:color w:val="auto"/>
          <w:szCs w:val="21"/>
          <w:u w:val="single"/>
        </w:rPr>
        <w:t xml:space="preserve"> 50年一遇的自然灾害（包括台风、雪灾、洪水等）。</w:t>
      </w:r>
    </w:p>
    <w:p w14:paraId="5D5A09C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11.5  承包人的工期延误</w:t>
      </w:r>
    </w:p>
    <w:p w14:paraId="1E7A6B4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由于包人原因造成不能按期竣工的，发包人有权得到按本款约定的下列标准和方法计算的逾期竣工违约金，但最终违约金的金额不能超过本款约定的逾期竣工违约金最高限额。</w:t>
      </w:r>
    </w:p>
    <w:p w14:paraId="2485FA9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逾期竣工违约金的计算方法：</w:t>
      </w:r>
      <w:r>
        <w:rPr>
          <w:rFonts w:hint="eastAsia" w:ascii="宋体" w:hAnsi="宋体"/>
          <w:b/>
          <w:bCs/>
          <w:color w:val="auto"/>
          <w:szCs w:val="21"/>
          <w:highlight w:val="none"/>
          <w:u w:val="single"/>
        </w:rPr>
        <w:t xml:space="preserve"> 按</w:t>
      </w:r>
      <w:r>
        <w:rPr>
          <w:rFonts w:hint="eastAsia" w:ascii="宋体" w:hAnsi="宋体"/>
          <w:b/>
          <w:bCs/>
          <w:color w:val="auto"/>
          <w:szCs w:val="21"/>
          <w:highlight w:val="none"/>
          <w:u w:val="single"/>
          <w:lang w:val="en-US" w:eastAsia="zh-CN"/>
        </w:rPr>
        <w:t>500</w:t>
      </w:r>
      <w:r>
        <w:rPr>
          <w:rFonts w:hint="eastAsia" w:ascii="宋体" w:hAnsi="宋体"/>
          <w:b/>
          <w:bCs/>
          <w:color w:val="auto"/>
          <w:szCs w:val="21"/>
          <w:highlight w:val="none"/>
          <w:u w:val="single"/>
        </w:rPr>
        <w:t xml:space="preserve">元/天计违约金 </w:t>
      </w:r>
      <w:r>
        <w:rPr>
          <w:rFonts w:hint="eastAsia"/>
          <w:color w:val="auto"/>
          <w:highlight w:val="none"/>
        </w:rPr>
        <w:t>。</w:t>
      </w:r>
    </w:p>
    <w:p w14:paraId="28AB3AB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yellow"/>
        </w:rPr>
      </w:pPr>
      <w:r>
        <w:rPr>
          <w:rFonts w:hint="eastAsia"/>
          <w:color w:val="auto"/>
          <w:highlight w:val="none"/>
        </w:rPr>
        <w:t>逾期竣工违约金的最高限额：</w:t>
      </w:r>
      <w:r>
        <w:rPr>
          <w:rFonts w:hint="eastAsia" w:ascii="宋体" w:hAnsi="宋体"/>
          <w:b/>
          <w:bCs/>
          <w:color w:val="auto"/>
          <w:szCs w:val="21"/>
          <w:highlight w:val="none"/>
          <w:u w:val="single"/>
        </w:rPr>
        <w:t xml:space="preserve"> 签约合同价的</w:t>
      </w:r>
      <w:r>
        <w:rPr>
          <w:rFonts w:hint="eastAsia" w:ascii="宋体" w:hAnsi="宋体"/>
          <w:b/>
          <w:bCs/>
          <w:color w:val="auto"/>
          <w:szCs w:val="21"/>
          <w:highlight w:val="none"/>
          <w:u w:val="single"/>
          <w:lang w:val="en-US" w:eastAsia="zh-CN"/>
        </w:rPr>
        <w:t>10</w:t>
      </w:r>
      <w:r>
        <w:rPr>
          <w:rFonts w:hint="eastAsia" w:ascii="宋体" w:hAnsi="宋体"/>
          <w:b/>
          <w:bCs/>
          <w:color w:val="auto"/>
          <w:szCs w:val="21"/>
          <w:highlight w:val="none"/>
          <w:u w:val="single"/>
        </w:rPr>
        <w:t xml:space="preserve">% </w:t>
      </w:r>
      <w:r>
        <w:rPr>
          <w:rFonts w:hint="eastAsia"/>
          <w:color w:val="auto"/>
          <w:highlight w:val="none"/>
        </w:rPr>
        <w:t>。</w:t>
      </w:r>
    </w:p>
    <w:p w14:paraId="7FF8CC4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11.6  工期提前</w:t>
      </w:r>
    </w:p>
    <w:p w14:paraId="7525468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b/>
          <w:bCs/>
          <w:color w:val="auto"/>
          <w:szCs w:val="21"/>
          <w:u w:val="single"/>
        </w:rPr>
      </w:pPr>
      <w:r>
        <w:rPr>
          <w:rFonts w:hint="eastAsia" w:ascii="宋体" w:hAnsi="宋体"/>
          <w:color w:val="auto"/>
          <w:szCs w:val="21"/>
        </w:rPr>
        <w:t>提前竣工的奖励办法：</w:t>
      </w:r>
      <w:r>
        <w:rPr>
          <w:rFonts w:hint="eastAsia" w:ascii="宋体" w:hAnsi="宋体"/>
          <w:b/>
          <w:bCs/>
          <w:color w:val="auto"/>
          <w:szCs w:val="21"/>
          <w:u w:val="single"/>
        </w:rPr>
        <w:t xml:space="preserve">    /   。</w:t>
      </w:r>
    </w:p>
    <w:p w14:paraId="28EFAAE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12．暂停施工</w:t>
      </w:r>
    </w:p>
    <w:p w14:paraId="3C728617">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1AE56A6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13．工程质量</w:t>
      </w:r>
    </w:p>
    <w:p w14:paraId="72099C53">
      <w:pPr>
        <w:pageBreakBefore w:val="0"/>
        <w:widowControl w:val="0"/>
        <w:kinsoku/>
        <w:wordWrap/>
        <w:overflowPunct/>
        <w:topLinePunct w:val="0"/>
        <w:autoSpaceDE/>
        <w:autoSpaceDN/>
        <w:bidi w:val="0"/>
        <w:spacing w:line="400" w:lineRule="exact"/>
        <w:ind w:right="0" w:rightChars="0"/>
        <w:textAlignment w:val="auto"/>
        <w:rPr>
          <w:rFonts w:hint="eastAsia" w:ascii="宋体" w:hAnsi="宋体"/>
          <w:b/>
          <w:bCs/>
          <w:color w:val="auto"/>
          <w:szCs w:val="21"/>
        </w:rPr>
      </w:pPr>
      <w:r>
        <w:rPr>
          <w:rFonts w:hint="eastAsia" w:ascii="宋体" w:hAnsi="宋体"/>
          <w:b/>
          <w:bCs/>
          <w:color w:val="auto"/>
          <w:szCs w:val="21"/>
        </w:rPr>
        <w:t>13.2 承包人的质量检查</w:t>
      </w:r>
    </w:p>
    <w:p w14:paraId="2A660B5A">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开工前7天</w:t>
      </w:r>
      <w:r>
        <w:rPr>
          <w:rFonts w:hint="eastAsia"/>
          <w:b/>
          <w:color w:val="auto"/>
        </w:rPr>
        <w:t>。</w:t>
      </w:r>
    </w:p>
    <w:p w14:paraId="3CB85278">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Cs/>
          <w:color w:val="auto"/>
        </w:rPr>
      </w:pPr>
      <w:r>
        <w:rPr>
          <w:rFonts w:hint="eastAsia"/>
          <w:bCs/>
          <w:color w:val="auto"/>
        </w:rPr>
        <w:t>监理人收到承包人报送的施工环保措施计划后应当在</w:t>
      </w:r>
      <w:r>
        <w:rPr>
          <w:rFonts w:hint="eastAsia" w:ascii="宋体" w:hAnsi="宋体"/>
          <w:b/>
          <w:bCs/>
          <w:color w:val="auto"/>
          <w:szCs w:val="21"/>
          <w:u w:val="single"/>
        </w:rPr>
        <w:t xml:space="preserve">  1 </w:t>
      </w:r>
      <w:r>
        <w:rPr>
          <w:rFonts w:hint="eastAsia"/>
          <w:bCs/>
          <w:color w:val="auto"/>
        </w:rPr>
        <w:t>天内给予批复。</w:t>
      </w:r>
    </w:p>
    <w:p w14:paraId="21B894AE">
      <w:pPr>
        <w:pageBreakBefore w:val="0"/>
        <w:widowControl w:val="0"/>
        <w:kinsoku/>
        <w:wordWrap/>
        <w:overflowPunct/>
        <w:topLinePunct w:val="0"/>
        <w:autoSpaceDE/>
        <w:autoSpaceDN/>
        <w:bidi w:val="0"/>
        <w:spacing w:line="400" w:lineRule="exact"/>
        <w:ind w:right="0" w:rightChars="0"/>
        <w:textAlignment w:val="auto"/>
        <w:rPr>
          <w:rFonts w:hint="eastAsia" w:ascii="宋体" w:hAnsi="宋体"/>
          <w:b/>
          <w:bCs/>
          <w:color w:val="auto"/>
          <w:szCs w:val="21"/>
        </w:rPr>
      </w:pPr>
      <w:r>
        <w:rPr>
          <w:rFonts w:hint="eastAsia" w:ascii="宋体" w:hAnsi="宋体"/>
          <w:b/>
          <w:bCs/>
          <w:color w:val="auto"/>
          <w:szCs w:val="21"/>
        </w:rPr>
        <w:t>13.5 工程隐蔽部位覆盖前的检查</w:t>
      </w:r>
    </w:p>
    <w:p w14:paraId="43587551">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工程部位隐蔽前24小时以书面形式通知发包人和监理人验收。</w:t>
      </w:r>
    </w:p>
    <w:p w14:paraId="6960A979">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15.  变更</w:t>
      </w:r>
    </w:p>
    <w:p w14:paraId="0DB6410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所有工程变更等现场签证的确定只有经发包人审批同意后才能生效。</w:t>
      </w:r>
    </w:p>
    <w:p w14:paraId="2B0B893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color w:val="auto"/>
          <w:szCs w:val="21"/>
          <w:u w:val="single"/>
        </w:rPr>
      </w:pPr>
      <w:r>
        <w:rPr>
          <w:rFonts w:hint="eastAsia"/>
          <w:color w:val="auto"/>
        </w:rPr>
        <w:t>15.1 变更的范围和内容：</w:t>
      </w:r>
      <w:r>
        <w:rPr>
          <w:rFonts w:hint="eastAsia"/>
          <w:b/>
          <w:color w:val="auto"/>
          <w:u w:val="single"/>
        </w:rPr>
        <w:t>变更的范围和内容以发包人认可为准。</w:t>
      </w:r>
    </w:p>
    <w:p w14:paraId="4FDAEF19">
      <w:pPr>
        <w:keepNext w:val="0"/>
        <w:keepLines w:val="0"/>
        <w:pageBreakBefore w:val="0"/>
        <w:widowControl w:val="0"/>
        <w:kinsoku/>
        <w:wordWrap/>
        <w:overflowPunct/>
        <w:topLinePunct w:val="0"/>
        <w:autoSpaceDE/>
        <w:autoSpaceDN/>
        <w:bidi w:val="0"/>
        <w:spacing w:line="400" w:lineRule="exact"/>
        <w:textAlignment w:val="auto"/>
        <w:outlineLvl w:val="9"/>
        <w:rPr>
          <w:rFonts w:hint="eastAsia"/>
          <w:b/>
          <w:color w:val="auto"/>
        </w:rPr>
      </w:pPr>
      <w:r>
        <w:rPr>
          <w:rFonts w:hint="eastAsia"/>
          <w:b/>
          <w:color w:val="auto"/>
        </w:rPr>
        <w:t>15.3  变更程序</w:t>
      </w:r>
    </w:p>
    <w:p w14:paraId="0099D599">
      <w:pPr>
        <w:keepNext w:val="0"/>
        <w:keepLines w:val="0"/>
        <w:pageBreakBefore w:val="0"/>
        <w:widowControl w:val="0"/>
        <w:kinsoku/>
        <w:wordWrap/>
        <w:overflowPunct/>
        <w:topLinePunct w:val="0"/>
        <w:autoSpaceDE/>
        <w:autoSpaceDN/>
        <w:bidi w:val="0"/>
        <w:spacing w:line="400" w:lineRule="exact"/>
        <w:textAlignment w:val="auto"/>
        <w:outlineLvl w:val="9"/>
        <w:rPr>
          <w:rFonts w:hint="eastAsia"/>
          <w:b/>
          <w:color w:val="auto"/>
        </w:rPr>
      </w:pPr>
      <w:r>
        <w:rPr>
          <w:rFonts w:hint="eastAsia"/>
          <w:b/>
          <w:color w:val="auto"/>
        </w:rPr>
        <w:t>15.3.1 变更的原则</w:t>
      </w:r>
    </w:p>
    <w:p w14:paraId="191ECD36">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rFonts w:hint="eastAsia"/>
          <w:b/>
          <w:color w:val="auto"/>
        </w:rPr>
        <w:t xml:space="preserve">    </w:t>
      </w:r>
      <w:r>
        <w:rPr>
          <w:rFonts w:hint="eastAsia"/>
          <w:color w:val="auto"/>
        </w:rPr>
        <w:t xml:space="preserve"> 工程设计变更严格遵守“先批准，后变更</w:t>
      </w:r>
      <w:r>
        <w:rPr>
          <w:rFonts w:hint="eastAsia"/>
          <w:color w:val="auto"/>
          <w:lang w:eastAsia="zh-CN"/>
        </w:rPr>
        <w:t>；</w:t>
      </w:r>
      <w:r>
        <w:rPr>
          <w:rFonts w:hint="eastAsia"/>
          <w:color w:val="auto"/>
        </w:rPr>
        <w:t>先变更，后实施”的原则，对于未经批准而先行实施的工程变更，不予认可。</w:t>
      </w:r>
    </w:p>
    <w:p w14:paraId="6EFB8ABF">
      <w:pPr>
        <w:keepNext w:val="0"/>
        <w:keepLines w:val="0"/>
        <w:pageBreakBefore w:val="0"/>
        <w:widowControl w:val="0"/>
        <w:kinsoku/>
        <w:wordWrap/>
        <w:overflowPunct/>
        <w:topLinePunct w:val="0"/>
        <w:autoSpaceDE/>
        <w:autoSpaceDN/>
        <w:bidi w:val="0"/>
        <w:spacing w:line="400" w:lineRule="exact"/>
        <w:textAlignment w:val="auto"/>
        <w:outlineLvl w:val="9"/>
        <w:rPr>
          <w:rFonts w:hint="eastAsia"/>
          <w:b/>
          <w:color w:val="auto"/>
        </w:rPr>
      </w:pPr>
      <w:r>
        <w:rPr>
          <w:rFonts w:hint="eastAsia"/>
          <w:b/>
          <w:color w:val="auto"/>
        </w:rPr>
        <w:t>15.3.2  变更估价</w:t>
      </w:r>
    </w:p>
    <w:p w14:paraId="26085C6D">
      <w:pPr>
        <w:keepNext w:val="0"/>
        <w:keepLines w:val="0"/>
        <w:pageBreakBefore w:val="0"/>
        <w:widowControl w:val="0"/>
        <w:kinsoku/>
        <w:wordWrap/>
        <w:overflowPunct/>
        <w:topLinePunct w:val="0"/>
        <w:autoSpaceDE/>
        <w:autoSpaceDN/>
        <w:bidi w:val="0"/>
        <w:adjustRightInd w:val="0"/>
        <w:snapToGrid w:val="0"/>
        <w:spacing w:line="400" w:lineRule="exact"/>
        <w:ind w:firstLine="462" w:firstLineChars="220"/>
        <w:textAlignment w:val="auto"/>
        <w:outlineLvl w:val="9"/>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w:t>
      </w:r>
      <w:r>
        <w:rPr>
          <w:rFonts w:hint="eastAsia" w:ascii="宋体" w:hAnsi="宋体" w:cs="宋体"/>
          <w:color w:val="auto"/>
          <w:szCs w:val="21"/>
          <w:u w:val="single"/>
          <w:lang w:val="en-US" w:eastAsia="zh-CN"/>
        </w:rPr>
        <w:t>5</w:t>
      </w:r>
      <w:r>
        <w:rPr>
          <w:rFonts w:hint="eastAsia" w:ascii="宋体" w:hAnsi="宋体" w:cs="宋体"/>
          <w:color w:val="auto"/>
          <w:szCs w:val="21"/>
          <w:u w:val="single"/>
        </w:rPr>
        <w:t>天内，向监理人提交变更报价书。</w:t>
      </w:r>
    </w:p>
    <w:p w14:paraId="1C337AE1">
      <w:pPr>
        <w:keepNext w:val="0"/>
        <w:keepLines w:val="0"/>
        <w:pageBreakBefore w:val="0"/>
        <w:widowControl w:val="0"/>
        <w:kinsoku/>
        <w:wordWrap/>
        <w:overflowPunct/>
        <w:topLinePunct w:val="0"/>
        <w:autoSpaceDE/>
        <w:autoSpaceDN/>
        <w:bidi w:val="0"/>
        <w:adjustRightInd w:val="0"/>
        <w:snapToGrid w:val="0"/>
        <w:spacing w:line="400" w:lineRule="exact"/>
        <w:ind w:firstLine="462" w:firstLineChars="220"/>
        <w:textAlignment w:val="auto"/>
        <w:outlineLvl w:val="9"/>
        <w:rPr>
          <w:rFonts w:hint="eastAsia" w:ascii="宋体" w:hAnsi="宋体" w:cs="宋体"/>
          <w:color w:val="auto"/>
          <w:szCs w:val="21"/>
          <w:u w:val="single"/>
        </w:rPr>
      </w:pPr>
      <w:r>
        <w:rPr>
          <w:rFonts w:hint="eastAsia" w:ascii="宋体" w:hAnsi="宋体" w:cs="宋体"/>
          <w:color w:val="auto"/>
          <w:szCs w:val="21"/>
        </w:rPr>
        <w:t>监理人商定或确定变更价格的期限：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天。  </w:t>
      </w:r>
    </w:p>
    <w:p w14:paraId="4D11C8D9">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cs="宋体"/>
          <w:color w:val="auto"/>
          <w:szCs w:val="21"/>
          <w:u w:val="single"/>
        </w:rPr>
      </w:pPr>
      <w:r>
        <w:rPr>
          <w:rFonts w:hint="eastAsia"/>
          <w:b/>
          <w:color w:val="auto"/>
        </w:rPr>
        <w:t>15.4变更的估价原则</w:t>
      </w:r>
    </w:p>
    <w:p w14:paraId="42B87BDF">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color w:val="auto"/>
        </w:rPr>
      </w:pPr>
      <w:r>
        <w:rPr>
          <w:rFonts w:hint="eastAsia"/>
          <w:color w:val="auto"/>
        </w:rPr>
        <w:t>（1）工程内容与已标价工程量清单中有相同的子项或类似子项，则按投标时的相同子项或类似子项的综合单价执行（类似子项及</w:t>
      </w:r>
      <w:r>
        <w:rPr>
          <w:rFonts w:hint="eastAsia"/>
          <w:color w:val="auto"/>
          <w:lang w:eastAsia="zh-CN"/>
        </w:rPr>
        <w:t>其</w:t>
      </w:r>
      <w:r>
        <w:rPr>
          <w:rFonts w:hint="eastAsia"/>
          <w:color w:val="auto"/>
        </w:rPr>
        <w:t>综合单价由比选人审定）；</w:t>
      </w:r>
    </w:p>
    <w:p w14:paraId="37F92C27">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MingLiU"/>
          <w:snapToGrid w:val="0"/>
          <w:color w:val="auto"/>
          <w:kern w:val="0"/>
          <w:szCs w:val="21"/>
          <w:highlight w:val="yellow"/>
        </w:rPr>
      </w:pPr>
      <w:r>
        <w:rPr>
          <w:rFonts w:hint="eastAsia" w:ascii="宋体" w:hAnsi="宋体" w:cs="MingLiU"/>
          <w:snapToGrid w:val="0"/>
          <w:color w:val="auto"/>
          <w:kern w:val="0"/>
          <w:szCs w:val="21"/>
        </w:rPr>
        <w:t>（2）</w:t>
      </w:r>
      <w:r>
        <w:rPr>
          <w:rFonts w:hint="eastAsia" w:ascii="宋体" w:hAnsi="宋体" w:eastAsia="宋体" w:cs="宋体"/>
          <w:snapToGrid w:val="0"/>
          <w:color w:val="auto"/>
          <w:kern w:val="0"/>
          <w:sz w:val="21"/>
          <w:szCs w:val="21"/>
        </w:rPr>
        <w:t>工程内容如有与已标价工程量清单不同的子项（既无相同子项，又无类似子项），</w:t>
      </w:r>
      <w:r>
        <w:rPr>
          <w:rFonts w:hint="eastAsia" w:ascii="宋体" w:hAnsi="宋体" w:eastAsia="宋体" w:cs="宋体"/>
          <w:snapToGrid w:val="0"/>
          <w:color w:val="auto"/>
          <w:kern w:val="0"/>
          <w:sz w:val="21"/>
          <w:szCs w:val="21"/>
          <w:lang w:eastAsia="zh-CN"/>
        </w:rPr>
        <w:t>按</w:t>
      </w:r>
      <w:r>
        <w:rPr>
          <w:rFonts w:hint="eastAsia" w:ascii="宋体" w:hAnsi="宋体" w:eastAsia="宋体" w:cs="宋体"/>
          <w:color w:val="auto"/>
          <w:sz w:val="21"/>
          <w:szCs w:val="21"/>
          <w:lang w:eastAsia="zh-CN"/>
        </w:rPr>
        <w:t>《建设工程工程量清单计价规范》（GB50500-2013）、《重庆市建设工程工程量清单计价规则》（CQJJ</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lang w:eastAsia="zh-CN"/>
        </w:rPr>
        <w:t>Z-2013）、《重庆市建设工程工程量计算规则》（CQJLGZ-2013）；</w:t>
      </w:r>
      <w:r>
        <w:rPr>
          <w:rFonts w:hint="eastAsia" w:ascii="宋体" w:hAnsi="宋体" w:eastAsia="宋体" w:cs="宋体"/>
          <w:color w:val="auto"/>
          <w:sz w:val="21"/>
          <w:szCs w:val="21"/>
          <w:highlight w:val="none"/>
          <w:lang w:eastAsia="zh-CN"/>
        </w:rPr>
        <w:t>2018年《重庆市通用安装工程计价定额》、2018年《重庆市房屋建筑与装饰工程计价定额》、2018年《重庆市市政工程计价定额》、2018年《重庆市房屋修缮工程计价定额》、2018年《重庆市绿色建筑工程计价定额》、2018年《重庆市建设工程费用定额》</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highlight w:val="none"/>
        </w:rPr>
        <w:t>《重庆市城乡建设委员会关于适用增值税新税税率调整建筑工程计价依据的通知》（渝建〔201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号）</w:t>
      </w:r>
      <w:r>
        <w:rPr>
          <w:rFonts w:hint="eastAsia" w:ascii="宋体" w:hAnsi="宋体" w:eastAsia="宋体" w:cs="宋体"/>
          <w:color w:val="auto"/>
          <w:sz w:val="21"/>
          <w:szCs w:val="21"/>
          <w:lang w:eastAsia="zh-CN"/>
        </w:rPr>
        <w:t>及相关配套文件计算后，再按承包人报价浮动率【承包人报价浮动率=（1-中标</w:t>
      </w:r>
      <w:r>
        <w:rPr>
          <w:rFonts w:hint="eastAsia" w:ascii="宋体" w:hAnsi="宋体" w:eastAsia="宋体" w:cs="宋体"/>
          <w:color w:val="auto"/>
          <w:sz w:val="21"/>
          <w:szCs w:val="21"/>
          <w:highlight w:val="none"/>
          <w:lang w:eastAsia="zh-CN"/>
        </w:rPr>
        <w:t>价/投标总报价最高限价）×100%】进行下浮后结算【其中：</w:t>
      </w:r>
      <w:r>
        <w:rPr>
          <w:rFonts w:hint="eastAsia" w:ascii="宋体" w:hAnsi="宋体" w:eastAsia="宋体" w:cs="宋体"/>
          <w:color w:val="auto"/>
          <w:sz w:val="21"/>
          <w:szCs w:val="21"/>
          <w:highlight w:val="none"/>
          <w:lang w:eastAsia="zh-CN"/>
        </w:rPr>
        <w:t>人工工日单价按</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lang w:eastAsia="zh-CN"/>
        </w:rPr>
        <w:t>《重庆工程造价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》公布的渝西片区人工信息价调整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材料价格参照2025年第</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lang w:eastAsia="zh-CN"/>
        </w:rPr>
        <w:t>《重庆工程造价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》公布的渝西片区材料价格并结合铜梁当地近期市场价进行调整</w:t>
      </w:r>
      <w:r>
        <w:rPr>
          <w:rFonts w:hint="eastAsia" w:ascii="宋体" w:hAnsi="宋体" w:eastAsia="宋体" w:cs="宋体"/>
          <w:color w:val="auto"/>
          <w:sz w:val="21"/>
          <w:szCs w:val="21"/>
          <w:highlight w:val="none"/>
        </w:rPr>
        <w:t>，材料价格按不含税价格计算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下浮基数不含安全文明施工费、认质核价的材料费、规费、</w:t>
      </w:r>
      <w:r>
        <w:rPr>
          <w:rFonts w:hint="eastAsia" w:ascii="宋体" w:hAnsi="宋体" w:eastAsia="宋体" w:cs="宋体"/>
          <w:color w:val="auto"/>
          <w:sz w:val="21"/>
          <w:szCs w:val="21"/>
          <w:highlight w:val="none"/>
          <w:lang w:eastAsia="zh-CN"/>
        </w:rPr>
        <w:t>税金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p>
    <w:p w14:paraId="482A4B43">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b/>
          <w:color w:val="auto"/>
        </w:rPr>
      </w:pPr>
      <w:r>
        <w:rPr>
          <w:rFonts w:hint="eastAsia"/>
          <w:b/>
          <w:color w:val="auto"/>
        </w:rPr>
        <w:t>15.5  承包人的合理化建议</w:t>
      </w:r>
    </w:p>
    <w:p w14:paraId="71FE5C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9"/>
        <w:rPr>
          <w:rFonts w:hint="eastAsia"/>
          <w:b/>
          <w:color w:val="auto"/>
          <w:u w:val="single"/>
        </w:rPr>
      </w:pPr>
      <w:r>
        <w:rPr>
          <w:rFonts w:hint="eastAsia"/>
          <w:color w:val="auto"/>
        </w:rPr>
        <w:t>对承包人提出合理化建议的奖励方法：</w:t>
      </w:r>
      <w:r>
        <w:rPr>
          <w:rFonts w:hint="eastAsia"/>
          <w:b/>
          <w:color w:val="auto"/>
          <w:u w:val="single"/>
        </w:rPr>
        <w:t>无。</w:t>
      </w:r>
    </w:p>
    <w:p w14:paraId="784CD299">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lang w:eastAsia="zh-CN"/>
        </w:rPr>
      </w:pPr>
      <w:r>
        <w:rPr>
          <w:rFonts w:hint="eastAsia" w:ascii="宋体" w:hAnsi="宋体"/>
          <w:color w:val="auto"/>
          <w:szCs w:val="21"/>
        </w:rPr>
        <w:t>15.6  暂列金额</w:t>
      </w:r>
      <w:r>
        <w:rPr>
          <w:rFonts w:hint="eastAsia" w:ascii="宋体" w:hAnsi="宋体"/>
          <w:color w:val="auto"/>
          <w:szCs w:val="21"/>
          <w:lang w:eastAsia="zh-CN"/>
        </w:rPr>
        <w:t>：</w:t>
      </w:r>
      <w:r>
        <w:rPr>
          <w:rFonts w:hint="eastAsia" w:ascii="宋体" w:hAnsi="宋体"/>
          <w:b/>
          <w:bCs/>
          <w:color w:val="auto"/>
          <w:szCs w:val="21"/>
          <w:u w:val="single"/>
        </w:rPr>
        <w:t>无</w:t>
      </w:r>
      <w:r>
        <w:rPr>
          <w:rFonts w:hint="eastAsia" w:ascii="宋体" w:hAnsi="宋体"/>
          <w:color w:val="auto"/>
          <w:szCs w:val="21"/>
        </w:rPr>
        <w:t>。</w:t>
      </w:r>
    </w:p>
    <w:p w14:paraId="572A0DC0">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color w:val="auto"/>
          <w:szCs w:val="21"/>
        </w:rPr>
        <w:t>15.8  暂估价：</w:t>
      </w:r>
      <w:r>
        <w:rPr>
          <w:rFonts w:hint="eastAsia" w:ascii="宋体" w:hAnsi="宋体"/>
          <w:b/>
          <w:bCs/>
          <w:color w:val="auto"/>
          <w:szCs w:val="21"/>
          <w:u w:val="single"/>
        </w:rPr>
        <w:t>无</w:t>
      </w:r>
      <w:r>
        <w:rPr>
          <w:rFonts w:hint="eastAsia" w:ascii="宋体" w:hAnsi="宋体"/>
          <w:color w:val="auto"/>
          <w:szCs w:val="21"/>
        </w:rPr>
        <w:t>。</w:t>
      </w:r>
    </w:p>
    <w:p w14:paraId="68DBF95C">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16. 价格调整</w:t>
      </w:r>
    </w:p>
    <w:p w14:paraId="200A811C">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rPr>
      </w:pPr>
      <w:r>
        <w:rPr>
          <w:rFonts w:hint="eastAsia"/>
          <w:b/>
          <w:color w:val="auto"/>
        </w:rPr>
        <w:t>16.1  物价波动引起的价格调整</w:t>
      </w:r>
    </w:p>
    <w:p w14:paraId="2955F012">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b/>
          <w:color w:val="auto"/>
          <w:u w:val="single"/>
        </w:rPr>
      </w:pPr>
      <w:r>
        <w:rPr>
          <w:rFonts w:hint="eastAsia"/>
          <w:color w:val="auto"/>
        </w:rPr>
        <w:t>物价波动引起的价格调整方法：</w:t>
      </w:r>
      <w:r>
        <w:rPr>
          <w:rFonts w:hint="eastAsia" w:ascii="宋体" w:hAnsi="宋体"/>
          <w:b/>
          <w:bCs/>
          <w:color w:val="auto"/>
          <w:szCs w:val="21"/>
          <w:u w:val="single"/>
        </w:rPr>
        <w:t xml:space="preserve">   </w:t>
      </w:r>
      <w:r>
        <w:rPr>
          <w:rFonts w:hint="eastAsia" w:ascii="宋体" w:hAnsi="宋体"/>
          <w:b/>
          <w:bCs/>
          <w:color w:val="auto"/>
          <w:szCs w:val="21"/>
          <w:u w:val="single"/>
          <w:lang w:eastAsia="zh-CN"/>
        </w:rPr>
        <w:t>承包范围内</w:t>
      </w:r>
      <w:r>
        <w:rPr>
          <w:rFonts w:hint="eastAsia" w:ascii="宋体" w:hAnsi="宋体"/>
          <w:b/>
          <w:bCs/>
          <w:color w:val="auto"/>
          <w:szCs w:val="21"/>
          <w:u w:val="single"/>
        </w:rPr>
        <w:t>不调整    。</w:t>
      </w:r>
    </w:p>
    <w:p w14:paraId="389549C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color w:val="auto"/>
          <w:szCs w:val="21"/>
          <w:highlight w:val="yellow"/>
        </w:rPr>
      </w:pPr>
      <w:r>
        <w:rPr>
          <w:rFonts w:hint="eastAsia" w:ascii="宋体" w:hAnsi="宋体"/>
          <w:b/>
          <w:bCs/>
          <w:color w:val="auto"/>
          <w:szCs w:val="21"/>
        </w:rPr>
        <w:t>17.2 预付款</w:t>
      </w:r>
    </w:p>
    <w:p w14:paraId="36CB5A5E">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color w:val="auto"/>
        </w:rPr>
      </w:pPr>
      <w:r>
        <w:rPr>
          <w:rFonts w:hint="eastAsia"/>
          <w:color w:val="auto"/>
        </w:rPr>
        <w:t>17.2.1 预付款</w:t>
      </w:r>
    </w:p>
    <w:p w14:paraId="35B78BBE">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u w:val="single"/>
        </w:rPr>
      </w:pPr>
      <w:r>
        <w:rPr>
          <w:rFonts w:hint="eastAsia"/>
          <w:color w:val="auto"/>
        </w:rPr>
        <w:t xml:space="preserve">    预付款额度和预付方法：</w:t>
      </w:r>
      <w:r>
        <w:rPr>
          <w:rFonts w:hint="eastAsia" w:ascii="宋体" w:hAnsi="宋体"/>
          <w:b/>
          <w:bCs/>
          <w:color w:val="auto"/>
          <w:szCs w:val="21"/>
          <w:u w:val="single"/>
        </w:rPr>
        <w:t xml:space="preserve"> 无 。</w:t>
      </w:r>
    </w:p>
    <w:p w14:paraId="67475BB4">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color w:val="auto"/>
        </w:rPr>
      </w:pPr>
      <w:r>
        <w:rPr>
          <w:rFonts w:hint="eastAsia"/>
          <w:color w:val="auto"/>
        </w:rPr>
        <w:t>17.2.2 预付款保函</w:t>
      </w:r>
    </w:p>
    <w:p w14:paraId="3F1447C4">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rPr>
      </w:pPr>
      <w:r>
        <w:rPr>
          <w:rFonts w:hint="eastAsia"/>
          <w:color w:val="auto"/>
        </w:rPr>
        <w:t xml:space="preserve">    预付款保函的提交时间：</w:t>
      </w:r>
      <w:r>
        <w:rPr>
          <w:rFonts w:hint="eastAsia" w:ascii="宋体" w:hAnsi="宋体"/>
          <w:b/>
          <w:bCs/>
          <w:color w:val="auto"/>
          <w:szCs w:val="21"/>
          <w:u w:val="single"/>
        </w:rPr>
        <w:t xml:space="preserve"> 无   。</w:t>
      </w:r>
    </w:p>
    <w:p w14:paraId="23004171">
      <w:pPr>
        <w:pageBreakBefore w:val="0"/>
        <w:widowControl w:val="0"/>
        <w:kinsoku/>
        <w:wordWrap/>
        <w:overflowPunct/>
        <w:topLinePunct w:val="0"/>
        <w:autoSpaceDE/>
        <w:autoSpaceDN/>
        <w:bidi w:val="0"/>
        <w:spacing w:line="400" w:lineRule="exact"/>
        <w:ind w:right="0" w:rightChars="0"/>
        <w:textAlignment w:val="auto"/>
        <w:rPr>
          <w:rFonts w:hint="eastAsia"/>
          <w:b/>
          <w:color w:val="auto"/>
        </w:rPr>
      </w:pPr>
      <w:r>
        <w:rPr>
          <w:rFonts w:hint="eastAsia"/>
          <w:color w:val="auto"/>
        </w:rPr>
        <w:t>17.2.3 预付款的扣回与还清</w:t>
      </w:r>
    </w:p>
    <w:p w14:paraId="3F59CEAD">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rPr>
      </w:pPr>
      <w:r>
        <w:rPr>
          <w:rFonts w:hint="eastAsia"/>
          <w:color w:val="auto"/>
        </w:rPr>
        <w:t>预付款的扣回办法：</w:t>
      </w:r>
      <w:r>
        <w:rPr>
          <w:rFonts w:hint="eastAsia" w:ascii="宋体" w:hAnsi="宋体"/>
          <w:b/>
          <w:bCs/>
          <w:color w:val="auto"/>
          <w:szCs w:val="21"/>
          <w:u w:val="single"/>
        </w:rPr>
        <w:t xml:space="preserve"> 无  。</w:t>
      </w:r>
    </w:p>
    <w:p w14:paraId="1E40ADF2">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17.3  工程付款</w:t>
      </w:r>
    </w:p>
    <w:p w14:paraId="0C21065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jc w:val="both"/>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rPr>
        <w:t>17.3.3工程付款及最终结清付款：</w:t>
      </w:r>
    </w:p>
    <w:p w14:paraId="4A81F80E">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jc w:val="both"/>
        <w:textAlignment w:val="auto"/>
        <w:outlineLvl w:val="9"/>
        <w:rPr>
          <w:rFonts w:hint="eastAsia" w:ascii="宋体" w:hAnsi="宋体"/>
          <w:color w:val="auto"/>
          <w:szCs w:val="21"/>
          <w:highlight w:val="none"/>
          <w:lang w:eastAsia="zh-CN"/>
        </w:rPr>
      </w:pPr>
      <w:r>
        <w:rPr>
          <w:rFonts w:hint="eastAsia" w:ascii="宋体" w:hAnsi="宋体"/>
          <w:color w:val="auto"/>
          <w:szCs w:val="21"/>
          <w:highlight w:val="none"/>
          <w:lang w:eastAsia="zh-CN"/>
        </w:rPr>
        <w:t>本工程无预付款，待上级资金到位后，工程竣工验收合格后支付签约合同价的70%，结算审核完成后支付至审定金额的97%，余下审定金额的3%作为工程质保金，缺陷责任期满后一次性支付质保金（不计息）。</w:t>
      </w:r>
    </w:p>
    <w:p w14:paraId="57E31B1B">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21"/>
          <w:highlight w:val="none"/>
        </w:rPr>
        <w:t>注：所有工程款均支付至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p>
    <w:p w14:paraId="5203C1D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cs="宋体"/>
          <w:color w:val="auto"/>
        </w:rPr>
      </w:pPr>
      <w:r>
        <w:rPr>
          <w:rFonts w:hint="eastAsia" w:ascii="宋体" w:hAnsi="宋体" w:cs="宋体"/>
          <w:b/>
          <w:bCs/>
          <w:color w:val="auto"/>
        </w:rPr>
        <w:t>17.4  质量保证金</w:t>
      </w:r>
    </w:p>
    <w:p w14:paraId="289D96C8">
      <w:pPr>
        <w:keepNext w:val="0"/>
        <w:keepLines w:val="0"/>
        <w:pageBreakBefore w:val="0"/>
        <w:widowControl w:val="0"/>
        <w:kinsoku/>
        <w:wordWrap/>
        <w:overflowPunct/>
        <w:topLinePunct w:val="0"/>
        <w:autoSpaceDE/>
        <w:autoSpaceDN/>
        <w:bidi w:val="0"/>
        <w:adjustRightInd w:val="0"/>
        <w:snapToGrid w:val="0"/>
        <w:spacing w:line="400" w:lineRule="exact"/>
        <w:ind w:right="0" w:rightChars="0"/>
        <w:textAlignment w:val="auto"/>
        <w:outlineLvl w:val="9"/>
        <w:rPr>
          <w:rFonts w:hint="eastAsia" w:ascii="宋体" w:hAnsi="宋体"/>
          <w:b/>
          <w:bCs/>
          <w:color w:val="auto"/>
          <w:szCs w:val="21"/>
          <w:highlight w:val="none"/>
        </w:rPr>
      </w:pPr>
      <w:r>
        <w:rPr>
          <w:rFonts w:hint="eastAsia"/>
          <w:color w:val="auto"/>
        </w:rPr>
        <w:t xml:space="preserve">    17.4.1 </w:t>
      </w:r>
      <w:r>
        <w:rPr>
          <w:rFonts w:hint="eastAsia"/>
          <w:color w:val="auto"/>
          <w:highlight w:val="none"/>
        </w:rPr>
        <w:t>质量保证金的金额或比例：</w:t>
      </w:r>
      <w:r>
        <w:rPr>
          <w:rFonts w:hint="eastAsia"/>
          <w:b/>
          <w:color w:val="auto"/>
          <w:u w:val="single"/>
        </w:rPr>
        <w:t>工程结算审定金额的</w:t>
      </w:r>
      <w:r>
        <w:rPr>
          <w:rFonts w:hint="eastAsia"/>
          <w:b/>
          <w:color w:val="auto"/>
          <w:highlight w:val="none"/>
          <w:u w:val="single"/>
          <w:lang w:val="en-US" w:eastAsia="zh-CN"/>
        </w:rPr>
        <w:t>3</w:t>
      </w:r>
      <w:r>
        <w:rPr>
          <w:rFonts w:hint="eastAsia"/>
          <w:b/>
          <w:color w:val="auto"/>
          <w:highlight w:val="none"/>
          <w:u w:val="single"/>
        </w:rPr>
        <w:t xml:space="preserve"> %。</w:t>
      </w:r>
    </w:p>
    <w:p w14:paraId="506759DD">
      <w:pPr>
        <w:pageBreakBefore w:val="0"/>
        <w:widowControl w:val="0"/>
        <w:kinsoku/>
        <w:wordWrap/>
        <w:overflowPunct/>
        <w:topLinePunct w:val="0"/>
        <w:autoSpaceDE/>
        <w:autoSpaceDN/>
        <w:bidi w:val="0"/>
        <w:adjustRightInd w:val="0"/>
        <w:snapToGrid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17.5  竣工结算</w:t>
      </w:r>
    </w:p>
    <w:p w14:paraId="3800B802">
      <w:pPr>
        <w:pageBreakBefore w:val="0"/>
        <w:widowControl w:val="0"/>
        <w:kinsoku/>
        <w:wordWrap/>
        <w:overflowPunct/>
        <w:topLinePunct w:val="0"/>
        <w:autoSpaceDE/>
        <w:autoSpaceDN/>
        <w:bidi w:val="0"/>
        <w:spacing w:line="400" w:lineRule="exact"/>
        <w:ind w:left="0" w:leftChars="0" w:right="0" w:rightChars="0"/>
        <w:textAlignment w:val="auto"/>
        <w:rPr>
          <w:b/>
          <w:color w:val="auto"/>
        </w:rPr>
      </w:pPr>
      <w:r>
        <w:rPr>
          <w:rFonts w:hint="eastAsia"/>
          <w:b/>
          <w:color w:val="auto"/>
        </w:rPr>
        <w:t>17.5.1  竣工付款申请单</w:t>
      </w:r>
    </w:p>
    <w:p w14:paraId="65FC0ABC">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0ABEC7DE">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5FF871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b/>
          <w:color w:val="auto"/>
        </w:rPr>
      </w:pPr>
      <w:r>
        <w:rPr>
          <w:rFonts w:hint="eastAsia"/>
          <w:b/>
          <w:color w:val="auto"/>
        </w:rPr>
        <w:t>17.5.3 竣工结算原则：</w:t>
      </w:r>
    </w:p>
    <w:p w14:paraId="225B64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color w:val="auto"/>
        </w:rPr>
      </w:pPr>
      <w:bookmarkStart w:id="616" w:name="_Toc327347214"/>
      <w:bookmarkStart w:id="617" w:name="_Toc224103452"/>
      <w:bookmarkStart w:id="618" w:name="_Toc359579095"/>
      <w:bookmarkStart w:id="619" w:name="_Toc266027476"/>
      <w:bookmarkStart w:id="620" w:name="_Toc24412"/>
      <w:bookmarkStart w:id="621" w:name="_Toc18141"/>
      <w:bookmarkStart w:id="622" w:name="_Toc418077924"/>
      <w:r>
        <w:rPr>
          <w:rFonts w:hint="eastAsia"/>
          <w:color w:val="auto"/>
          <w:highlight w:val="none"/>
        </w:rPr>
        <w:t>1.结算总价</w:t>
      </w:r>
      <w:r>
        <w:rPr>
          <w:color w:val="auto"/>
          <w:highlight w:val="none"/>
        </w:rPr>
        <w:t>=</w:t>
      </w:r>
      <w:r>
        <w:rPr>
          <w:rFonts w:hint="eastAsia"/>
          <w:color w:val="auto"/>
          <w:highlight w:val="none"/>
        </w:rPr>
        <w:t>中标价±经发包人确认的应计增减（变更）工程造价±合同约定</w:t>
      </w:r>
      <w:r>
        <w:rPr>
          <w:rFonts w:hint="eastAsia"/>
          <w:color w:val="auto"/>
          <w:highlight w:val="none"/>
          <w:lang w:eastAsia="zh-CN"/>
        </w:rPr>
        <w:t>的</w:t>
      </w:r>
      <w:r>
        <w:rPr>
          <w:rFonts w:hint="eastAsia"/>
          <w:color w:val="auto"/>
          <w:highlight w:val="none"/>
        </w:rPr>
        <w:t>其他费用</w:t>
      </w:r>
      <w:r>
        <w:rPr>
          <w:rFonts w:hint="eastAsia"/>
          <w:color w:val="auto"/>
        </w:rPr>
        <w:t>，最终结算金额以</w:t>
      </w:r>
      <w:r>
        <w:rPr>
          <w:rFonts w:hint="eastAsia"/>
          <w:color w:val="auto"/>
          <w:lang w:eastAsia="zh-CN"/>
        </w:rPr>
        <w:t>比选人委托的审计机构</w:t>
      </w:r>
      <w:r>
        <w:rPr>
          <w:rFonts w:hint="eastAsia"/>
          <w:color w:val="auto"/>
        </w:rPr>
        <w:t>审定的金额为准。承包人要认真准确办理结算，审减率在10%（含）以上的项目，审计费用由承包人承担。</w:t>
      </w:r>
    </w:p>
    <w:p w14:paraId="0E9C49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color w:val="auto"/>
        </w:rPr>
      </w:pPr>
      <w:r>
        <w:rPr>
          <w:rFonts w:hint="eastAsia"/>
          <w:color w:val="auto"/>
          <w:lang w:val="en-US" w:eastAsia="zh-CN"/>
        </w:rPr>
        <w:t>2</w:t>
      </w:r>
      <w:r>
        <w:rPr>
          <w:rFonts w:hint="eastAsia"/>
          <w:color w:val="auto"/>
        </w:rPr>
        <w:t xml:space="preserve">.增减（变更）工程结算： </w:t>
      </w:r>
    </w:p>
    <w:p w14:paraId="435A74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color w:val="auto"/>
        </w:rPr>
      </w:pPr>
      <w:r>
        <w:rPr>
          <w:rFonts w:hint="eastAsia"/>
          <w:color w:val="auto"/>
        </w:rPr>
        <w:t>（1）工程内容与已标价工程量清单中有相同的子项或类似子项，则按投标时的相同子项或类似子项的综合单价执行（类似子项及</w:t>
      </w:r>
      <w:r>
        <w:rPr>
          <w:rFonts w:hint="eastAsia"/>
          <w:color w:val="auto"/>
          <w:lang w:eastAsia="zh-CN"/>
        </w:rPr>
        <w:t>其</w:t>
      </w:r>
      <w:r>
        <w:rPr>
          <w:rFonts w:hint="eastAsia"/>
          <w:color w:val="auto"/>
        </w:rPr>
        <w:t>综合单价由比选人审定）；</w:t>
      </w:r>
    </w:p>
    <w:p w14:paraId="4AFB6DD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snapToGrid w:val="0"/>
          <w:color w:val="auto"/>
          <w:kern w:val="0"/>
          <w:sz w:val="21"/>
          <w:szCs w:val="21"/>
        </w:rPr>
        <w:t>工程内容如有与已标价工程量清单不同的子项（既无相同子项，又无类似子项），</w:t>
      </w:r>
      <w:r>
        <w:rPr>
          <w:rFonts w:hint="eastAsia" w:ascii="宋体" w:hAnsi="宋体" w:eastAsia="宋体" w:cs="宋体"/>
          <w:snapToGrid w:val="0"/>
          <w:color w:val="auto"/>
          <w:kern w:val="0"/>
          <w:sz w:val="21"/>
          <w:szCs w:val="21"/>
          <w:lang w:eastAsia="zh-CN"/>
        </w:rPr>
        <w:t>按</w:t>
      </w:r>
      <w:r>
        <w:rPr>
          <w:rFonts w:hint="eastAsia" w:ascii="宋体" w:hAnsi="宋体" w:eastAsia="宋体" w:cs="宋体"/>
          <w:color w:val="auto"/>
          <w:sz w:val="21"/>
          <w:szCs w:val="21"/>
          <w:lang w:eastAsia="zh-CN"/>
        </w:rPr>
        <w:t>《建设工程工程量清单计价规范》（GB50500-2013）、《重庆市建设工程工程量清单计价规则》（CQJJ</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lang w:eastAsia="zh-CN"/>
        </w:rPr>
        <w:t>Z-2013）、《重庆市建设工程工程量计算规则》（CQJLGZ-2013）；</w:t>
      </w:r>
      <w:r>
        <w:rPr>
          <w:rFonts w:hint="eastAsia" w:ascii="宋体" w:hAnsi="宋体" w:eastAsia="宋体" w:cs="宋体"/>
          <w:color w:val="auto"/>
          <w:sz w:val="21"/>
          <w:szCs w:val="21"/>
          <w:highlight w:val="none"/>
          <w:lang w:eastAsia="zh-CN"/>
        </w:rPr>
        <w:t>2018年《重庆市通用安装工程计价定额》、2018年《重庆市房屋建筑与装饰工程计价定额》、2018年《重庆市市政工程计价定额》、2018年《重庆市房屋修缮工程计价定额》、2018年《重庆市绿色建筑工程计价定额》、2018年《重庆市建设工程费用定额》</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highlight w:val="none"/>
        </w:rPr>
        <w:t>《重庆市城乡建设委员会关于适用增值税新税税率调整建筑工程计价依据的通知》（渝建〔201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号）</w:t>
      </w:r>
      <w:r>
        <w:rPr>
          <w:rFonts w:hint="eastAsia" w:ascii="宋体" w:hAnsi="宋体" w:eastAsia="宋体" w:cs="宋体"/>
          <w:color w:val="auto"/>
          <w:sz w:val="21"/>
          <w:szCs w:val="21"/>
          <w:lang w:eastAsia="zh-CN"/>
        </w:rPr>
        <w:t>及相关配套文件计算后，再按承包人报价浮动率【承包人报价浮动率=（1-中标</w:t>
      </w:r>
      <w:r>
        <w:rPr>
          <w:rFonts w:hint="eastAsia" w:ascii="宋体" w:hAnsi="宋体" w:eastAsia="宋体" w:cs="宋体"/>
          <w:color w:val="auto"/>
          <w:sz w:val="21"/>
          <w:szCs w:val="21"/>
          <w:highlight w:val="none"/>
          <w:lang w:eastAsia="zh-CN"/>
        </w:rPr>
        <w:t>价/投标总报价最高限价）×100%】进行下浮后结算【其中：</w:t>
      </w:r>
      <w:r>
        <w:rPr>
          <w:rFonts w:hint="eastAsia" w:ascii="宋体" w:hAnsi="宋体" w:eastAsia="宋体" w:cs="宋体"/>
          <w:color w:val="auto"/>
          <w:sz w:val="21"/>
          <w:szCs w:val="21"/>
          <w:highlight w:val="none"/>
          <w:lang w:eastAsia="zh-CN"/>
        </w:rPr>
        <w:t>人工工日单价按202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lang w:eastAsia="zh-CN"/>
        </w:rPr>
        <w:t>季度《重庆工程造价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》公布的渝西片区人工信息价调整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材料价格参照2025年第</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lang w:eastAsia="zh-CN"/>
        </w:rPr>
        <w:t>《重庆工程造价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》公布的渝西片区材料价格并结合铜梁当地近期市场价进行调整</w:t>
      </w:r>
      <w:r>
        <w:rPr>
          <w:rFonts w:hint="eastAsia" w:ascii="宋体" w:hAnsi="宋体" w:eastAsia="宋体" w:cs="宋体"/>
          <w:color w:val="auto"/>
          <w:sz w:val="21"/>
          <w:szCs w:val="21"/>
          <w:highlight w:val="none"/>
        </w:rPr>
        <w:t>，材料价格按不含税价格计算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下浮基数不含安全文明施工费、认质核价的材料费、规费、</w:t>
      </w:r>
      <w:r>
        <w:rPr>
          <w:rFonts w:hint="eastAsia" w:ascii="宋体" w:hAnsi="宋体" w:eastAsia="宋体" w:cs="宋体"/>
          <w:color w:val="auto"/>
          <w:sz w:val="21"/>
          <w:szCs w:val="21"/>
          <w:highlight w:val="none"/>
          <w:lang w:eastAsia="zh-CN"/>
        </w:rPr>
        <w:t>税金</w:t>
      </w:r>
      <w:r>
        <w:rPr>
          <w:rFonts w:hint="eastAsia" w:ascii="宋体" w:hAnsi="宋体" w:eastAsia="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w:t>
      </w:r>
      <w:r>
        <w:rPr>
          <w:rFonts w:hint="eastAsia"/>
          <w:color w:val="auto"/>
          <w:lang w:eastAsia="zh-CN"/>
        </w:rPr>
        <w:t>《重庆市住房和城乡建设委员会关于修订发布&lt;重庆市建设工程安全文明施工费计取及使用管理规定&gt;的通知》（渝建管〔2024〕38号）</w:t>
      </w:r>
      <w:r>
        <w:rPr>
          <w:rFonts w:hint="eastAsia"/>
          <w:color w:val="auto"/>
          <w:lang w:eastAsia="zh-CN"/>
        </w:rPr>
        <w:t>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1F1232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MingLiU"/>
          <w:snapToGrid w:val="0"/>
          <w:color w:val="auto"/>
          <w:kern w:val="0"/>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491BE874">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  竣工验收</w:t>
      </w:r>
      <w:bookmarkEnd w:id="616"/>
      <w:bookmarkEnd w:id="617"/>
      <w:bookmarkEnd w:id="618"/>
      <w:bookmarkEnd w:id="619"/>
      <w:bookmarkEnd w:id="620"/>
      <w:bookmarkEnd w:id="621"/>
      <w:bookmarkEnd w:id="622"/>
    </w:p>
    <w:p w14:paraId="53AC0AF4">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18.2  竣工验收申请报告</w:t>
      </w:r>
    </w:p>
    <w:p w14:paraId="609CF1F8">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6C9EA1A2">
      <w:pPr>
        <w:pageBreakBefore w:val="0"/>
        <w:widowControl w:val="0"/>
        <w:kinsoku/>
        <w:wordWrap/>
        <w:overflowPunct/>
        <w:topLinePunct w:val="0"/>
        <w:autoSpaceDE/>
        <w:autoSpaceDN/>
        <w:bidi w:val="0"/>
        <w:adjustRightInd w:val="0"/>
        <w:snapToGrid w:val="0"/>
        <w:spacing w:line="400" w:lineRule="exact"/>
        <w:ind w:left="0" w:leftChars="0" w:right="0" w:rightChars="0" w:firstLine="435"/>
        <w:textAlignment w:val="auto"/>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w:t>
      </w:r>
      <w:r>
        <w:rPr>
          <w:rFonts w:hint="eastAsia" w:ascii="宋体" w:hAnsi="宋体"/>
          <w:b/>
          <w:color w:val="auto"/>
          <w:szCs w:val="21"/>
          <w:u w:val="single"/>
          <w:lang w:val="en-US" w:eastAsia="zh-CN"/>
        </w:rPr>
        <w:t>3</w:t>
      </w:r>
      <w:r>
        <w:rPr>
          <w:rFonts w:hint="eastAsia" w:ascii="宋体" w:hAnsi="宋体"/>
          <w:b/>
          <w:color w:val="auto"/>
          <w:szCs w:val="21"/>
          <w:u w:val="single"/>
        </w:rPr>
        <w:t>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54C47EF7">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18.3  验收</w:t>
      </w:r>
    </w:p>
    <w:p w14:paraId="3C22B66E">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061DBAFA">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b/>
          <w:color w:val="auto"/>
        </w:rPr>
        <w:t>18.5 施工期运行</w:t>
      </w:r>
    </w:p>
    <w:p w14:paraId="6D0162FC">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412E805E">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18.6 试运行</w:t>
      </w:r>
    </w:p>
    <w:p w14:paraId="0387364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17C890F0">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18.7 竣工清场</w:t>
      </w:r>
    </w:p>
    <w:p w14:paraId="3159B6C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18.7.1 竣工清场：</w:t>
      </w:r>
      <w:r>
        <w:rPr>
          <w:rFonts w:hint="eastAsia"/>
          <w:b/>
          <w:color w:val="auto"/>
          <w:u w:val="single"/>
        </w:rPr>
        <w:t>由承包人按发包人要求执行。</w:t>
      </w:r>
    </w:p>
    <w:p w14:paraId="2F67C085">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18.8 施工队伍的撤离</w:t>
      </w:r>
    </w:p>
    <w:p w14:paraId="40ECDD3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291C7051">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19.  缺陷责任与保修责任</w:t>
      </w:r>
    </w:p>
    <w:p w14:paraId="3C3F2066">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19.7  保修责任</w:t>
      </w:r>
    </w:p>
    <w:p w14:paraId="528A86CC">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0FC9373B">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  保险</w:t>
      </w:r>
    </w:p>
    <w:p w14:paraId="77819BD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20.1工程保险</w:t>
      </w:r>
    </w:p>
    <w:p w14:paraId="413513A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3643C7C4">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投保内容： </w:t>
      </w:r>
      <w:r>
        <w:rPr>
          <w:rFonts w:hint="eastAsia"/>
          <w:b/>
          <w:color w:val="auto"/>
          <w:u w:val="single"/>
        </w:rPr>
        <w:t>按国家相关规定执行。</w:t>
      </w:r>
    </w:p>
    <w:p w14:paraId="63034E5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57B1DA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20.4 第三责任险</w:t>
      </w:r>
    </w:p>
    <w:p w14:paraId="06E8FC6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第三者责任险的保险费率：</w:t>
      </w:r>
      <w:r>
        <w:rPr>
          <w:rFonts w:hint="eastAsia"/>
          <w:b/>
          <w:color w:val="auto"/>
          <w:u w:val="single"/>
        </w:rPr>
        <w:t>按相关规定执行。</w:t>
      </w:r>
    </w:p>
    <w:p w14:paraId="28E6E4D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4BE8DFE0">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20.5 其他保险</w:t>
      </w:r>
    </w:p>
    <w:p w14:paraId="3E02EECB">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70EA411F">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20.6  对各项保险的一般要求</w:t>
      </w:r>
    </w:p>
    <w:p w14:paraId="71C2F76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20.6.1  保险凭证</w:t>
      </w:r>
    </w:p>
    <w:p w14:paraId="6BFBBEC5">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保险条件：</w:t>
      </w:r>
      <w:r>
        <w:rPr>
          <w:rFonts w:hint="eastAsia"/>
          <w:b/>
          <w:color w:val="auto"/>
          <w:u w:val="single"/>
        </w:rPr>
        <w:t>按国家相关规定和发包人要求执行。</w:t>
      </w:r>
    </w:p>
    <w:p w14:paraId="684C30F2">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 xml:space="preserve">承包人提交保险凭证的期限： </w:t>
      </w:r>
      <w:r>
        <w:rPr>
          <w:rFonts w:hint="eastAsia"/>
          <w:b/>
          <w:color w:val="auto"/>
          <w:u w:val="single"/>
        </w:rPr>
        <w:t>工程开工前。</w:t>
      </w:r>
    </w:p>
    <w:p w14:paraId="2549E20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20.6.4  对各项保险的一般要求</w:t>
      </w:r>
    </w:p>
    <w:p w14:paraId="6D48C605">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A092D97">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21. 不可抗力</w:t>
      </w:r>
    </w:p>
    <w:p w14:paraId="4120AA4B">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21.1 不可抗力的确认</w:t>
      </w:r>
    </w:p>
    <w:p w14:paraId="09484D4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D5AD135">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21.3 不可抗力后果及其处理</w:t>
      </w:r>
    </w:p>
    <w:p w14:paraId="3148614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21.3.1不可抗力造成损害的责任</w:t>
      </w:r>
    </w:p>
    <w:p w14:paraId="2F4E4752">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753798A0">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22. 违约</w:t>
      </w:r>
    </w:p>
    <w:p w14:paraId="0F22BFA1">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22.1承包人违约</w:t>
      </w:r>
    </w:p>
    <w:p w14:paraId="3E05F451">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cs="宋体"/>
          <w:b/>
          <w:color w:val="auto"/>
          <w:szCs w:val="21"/>
        </w:rPr>
      </w:pPr>
      <w:r>
        <w:rPr>
          <w:rFonts w:hint="eastAsia" w:ascii="宋体" w:hAnsi="宋体" w:cs="宋体"/>
          <w:b/>
          <w:color w:val="auto"/>
          <w:szCs w:val="21"/>
        </w:rPr>
        <w:t>22.1.1 承包人违约的情形</w:t>
      </w:r>
    </w:p>
    <w:p w14:paraId="4C8291A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ascii="宋体" w:hAnsi="宋体" w:cs="宋体"/>
          <w:b/>
          <w:color w:val="auto"/>
          <w:szCs w:val="21"/>
        </w:rPr>
      </w:pPr>
      <w:r>
        <w:rPr>
          <w:rFonts w:hint="eastAsia" w:ascii="宋体" w:hAnsi="宋体" w:cs="宋体"/>
          <w:b/>
          <w:color w:val="auto"/>
          <w:szCs w:val="21"/>
        </w:rPr>
        <w:t>增加下列条款：</w:t>
      </w:r>
    </w:p>
    <w:p w14:paraId="036B0F3B">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w:t>
      </w:r>
      <w:r>
        <w:rPr>
          <w:rFonts w:hint="eastAsia"/>
          <w:b/>
          <w:color w:val="auto"/>
          <w:u w:val="single"/>
          <w:lang w:val="en-US" w:eastAsia="zh-CN"/>
        </w:rPr>
        <w:t>5</w:t>
      </w:r>
      <w:r>
        <w:rPr>
          <w:rFonts w:hint="eastAsia"/>
          <w:b/>
          <w:color w:val="auto"/>
          <w:u w:val="single"/>
        </w:rPr>
        <w:t>日内纠正，否则发包人有权单方解除合同，并按通用合同条款第22.1.3项、第22.1.4项和第22.1.5项的约定进行处理，同时不退还承包人全部履约保证金</w:t>
      </w:r>
      <w:r>
        <w:rPr>
          <w:rFonts w:hint="eastAsia"/>
          <w:b/>
          <w:color w:val="auto"/>
          <w:u w:val="single"/>
          <w:lang w:eastAsia="zh-CN"/>
        </w:rPr>
        <w:t>，</w:t>
      </w:r>
      <w:r>
        <w:rPr>
          <w:rFonts w:hint="eastAsia"/>
          <w:b/>
          <w:color w:val="auto"/>
          <w:u w:val="single"/>
        </w:rPr>
        <w:t>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3974F31B">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w:t>
      </w:r>
      <w:r>
        <w:rPr>
          <w:rFonts w:hint="eastAsia"/>
          <w:b/>
          <w:color w:val="auto"/>
          <w:u w:val="single"/>
          <w:lang w:val="en-US" w:eastAsia="zh-CN"/>
        </w:rPr>
        <w:t>2</w:t>
      </w:r>
      <w:r>
        <w:rPr>
          <w:rFonts w:hint="eastAsia"/>
          <w:b/>
          <w:color w:val="auto"/>
          <w:u w:val="single"/>
        </w:rPr>
        <w:t>000元违约金，同时承包人必须按监理人或发包人的要求立即进行整改直至合格。</w:t>
      </w:r>
    </w:p>
    <w:p w14:paraId="4E79A80F">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w:t>
      </w:r>
      <w:r>
        <w:rPr>
          <w:rFonts w:hint="eastAsia"/>
          <w:b/>
          <w:color w:val="auto"/>
          <w:u w:val="single"/>
          <w:lang w:val="en-US" w:eastAsia="zh-CN"/>
        </w:rPr>
        <w:t>2</w:t>
      </w:r>
      <w:r>
        <w:rPr>
          <w:rFonts w:hint="eastAsia"/>
          <w:b/>
          <w:color w:val="auto"/>
          <w:u w:val="single"/>
        </w:rPr>
        <w:t>000元违约金。</w:t>
      </w:r>
    </w:p>
    <w:p w14:paraId="393D35E3">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（11）承包人在工程收方中采用欺骗手段或弄虚作假的，每发现一次，发包人有权要求承包人支付5-10万元的违约金。</w:t>
      </w:r>
    </w:p>
    <w:p w14:paraId="6587505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12）在施工过程中因承包人自身原因停工10日以上，发包人或监理人应发出限期整改通知书，承包人在规定期限内仍不整改的，视为承包人不履行合同，发包人有权单方解除合同。承包人在接到发包人解除合同通知后3日内自行退场，其履约保证金不予退还</w:t>
      </w:r>
      <w:r>
        <w:rPr>
          <w:rFonts w:hint="eastAsia"/>
          <w:b/>
          <w:color w:val="auto"/>
          <w:u w:val="single"/>
          <w:lang w:eastAsia="zh-CN"/>
        </w:rPr>
        <w:t>，</w:t>
      </w:r>
      <w:r>
        <w:rPr>
          <w:rFonts w:hint="eastAsia"/>
          <w:b/>
          <w:color w:val="auto"/>
          <w:u w:val="single"/>
        </w:rPr>
        <w:t>给发包人造成的损失超过履约保证金数额的，承包人还应进行赔偿。</w:t>
      </w:r>
    </w:p>
    <w:p w14:paraId="407386BC">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1</w:t>
      </w:r>
      <w:r>
        <w:rPr>
          <w:rFonts w:ascii="Arial" w:hAnsi="Arial" w:cs="Arial"/>
          <w:b/>
          <w:color w:val="auto"/>
          <w:u w:val="single"/>
        </w:rPr>
        <w:t>‰</w:t>
      </w:r>
      <w:r>
        <w:rPr>
          <w:rFonts w:hint="eastAsia"/>
          <w:b/>
          <w:color w:val="auto"/>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w:t>
      </w:r>
      <w:r>
        <w:rPr>
          <w:rFonts w:hint="eastAsia"/>
          <w:b/>
          <w:color w:val="auto"/>
          <w:u w:val="single"/>
          <w:lang w:val="en-US" w:eastAsia="zh-CN"/>
        </w:rPr>
        <w:t>2</w:t>
      </w:r>
      <w:r>
        <w:rPr>
          <w:rFonts w:hint="eastAsia"/>
          <w:b/>
          <w:color w:val="auto"/>
          <w:u w:val="single"/>
        </w:rPr>
        <w:t>000元。</w:t>
      </w:r>
    </w:p>
    <w:p w14:paraId="4E51509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r>
        <w:rPr>
          <w:rFonts w:hint="eastAsia"/>
          <w:b/>
          <w:color w:val="auto"/>
          <w:u w:val="single"/>
          <w:lang w:val="en-US" w:eastAsia="zh-CN"/>
        </w:rPr>
        <w:t>1000</w:t>
      </w:r>
      <w:r>
        <w:rPr>
          <w:rFonts w:hint="eastAsia"/>
          <w:b/>
          <w:color w:val="auto"/>
          <w:u w:val="single"/>
        </w:rPr>
        <w:t>元违约金。</w:t>
      </w:r>
    </w:p>
    <w:p w14:paraId="24ADC233">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15）发包人发现承包人将承接的工程转包、违法分包、挂靠（指承包人允许他人以承包人的名义承担本合同项目）的，发包人应当报相关行政主管部门依法处理。承包人拒不改正违法行为的，发包人有权解除合同，履约保证金不予退还，给发包人造成的损失超过履约保证金数额的，承包人还应进行赔偿。</w:t>
      </w:r>
    </w:p>
    <w:p w14:paraId="15FC62F9">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w:t>
      </w:r>
      <w:r>
        <w:rPr>
          <w:rFonts w:hint="eastAsia"/>
          <w:b/>
          <w:color w:val="auto"/>
          <w:u w:val="single"/>
          <w:lang w:val="en-US" w:eastAsia="zh-CN"/>
        </w:rPr>
        <w:t>2</w:t>
      </w:r>
      <w:r>
        <w:rPr>
          <w:rFonts w:hint="eastAsia"/>
          <w:b/>
          <w:color w:val="auto"/>
          <w:u w:val="single"/>
        </w:rPr>
        <w:t>000元。</w:t>
      </w:r>
    </w:p>
    <w:p w14:paraId="18B0FDB5">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b/>
          <w:color w:val="auto"/>
          <w:u w:val="single"/>
        </w:rPr>
      </w:pPr>
      <w:r>
        <w:rPr>
          <w:rFonts w:hint="eastAsia"/>
          <w:b/>
          <w:color w:val="auto"/>
          <w:u w:val="single"/>
        </w:rPr>
        <w:t>（17）工程项目部管理人员必须与投标文件中拟派人员相符，并到位履职，否则发包人有权单方解除合同，承包人的履约保证金不予退还，给发包人造成的损失超过履约保证金数额的，承包人还应予以赔偿。</w:t>
      </w:r>
    </w:p>
    <w:p w14:paraId="695A2BC0">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b/>
          <w:color w:val="auto"/>
          <w:u w:val="single"/>
        </w:rPr>
      </w:pPr>
      <w:r>
        <w:rPr>
          <w:rFonts w:hint="eastAsia"/>
          <w:b/>
          <w:color w:val="auto"/>
          <w:u w:val="single"/>
        </w:rPr>
        <w:t>（18）除通用合同条款规定外，工程项目部主要管理人员不按约定（特殊情况如生病除外，每周在现场的时间少于5天）常驻施工现场，发包人有权要求承包人无条件更换，并有权要求承包人支付5万元违约金。</w:t>
      </w:r>
    </w:p>
    <w:p w14:paraId="6A323CAF">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（19）若承包人出现以下情形之一，经发包人催告后仍不配合，则视为承包人严重违约，发包人有权解除合同</w:t>
      </w:r>
      <w:r>
        <w:rPr>
          <w:rFonts w:hint="eastAsia"/>
          <w:b/>
          <w:color w:val="auto"/>
          <w:u w:val="single"/>
          <w:lang w:eastAsia="zh-CN"/>
        </w:rPr>
        <w:t>，</w:t>
      </w:r>
      <w:r>
        <w:rPr>
          <w:rFonts w:hint="eastAsia"/>
          <w:b/>
          <w:color w:val="auto"/>
          <w:u w:val="single"/>
        </w:rPr>
        <w:t>其履约保证金不予退还。</w:t>
      </w:r>
    </w:p>
    <w:p w14:paraId="23E58A5E">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a.本工程施工合同签订后7日内，承包人必须向建设行政主管部门等部门缴纳办理本工程开工前的建设手续的相关费用（如农民工工资保障金等）而未行办理缴纳的；</w:t>
      </w:r>
    </w:p>
    <w:p w14:paraId="1BFAA97A">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b.本工程施工合同签订后7日内，承包人必须配合发包人办理完成本工程开工前的相关建设手续而未行配合的；</w:t>
      </w:r>
    </w:p>
    <w:p w14:paraId="0278E6A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c.本工程施工合同签订后7日内，承包人必须按监理人要求向监理人提供相关资料而未行提交的；</w:t>
      </w:r>
    </w:p>
    <w:p w14:paraId="0B85F70D">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d.本工程开工令下达后，承包人未按监理单位批准的施工组织设计方案正常组织施工的。</w:t>
      </w:r>
    </w:p>
    <w:p w14:paraId="43350C19">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b/>
          <w:color w:val="auto"/>
          <w:u w:val="single"/>
        </w:rPr>
      </w:pPr>
      <w:r>
        <w:rPr>
          <w:rFonts w:hint="eastAsia"/>
          <w:b/>
          <w:color w:val="auto"/>
          <w:u w:val="single"/>
        </w:rPr>
        <w:t>（20）承包人违返上述条款的约定的违法金和损失款，发包人有权直接在工程款或履约保证金中直接扣除。</w:t>
      </w:r>
    </w:p>
    <w:p w14:paraId="21EA3EF3">
      <w:pPr>
        <w:pageBreakBefore w:val="0"/>
        <w:widowControl w:val="0"/>
        <w:numPr>
          <w:ilvl w:val="0"/>
          <w:numId w:val="1"/>
        </w:numPr>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索赔</w:t>
      </w:r>
    </w:p>
    <w:p w14:paraId="004FBD23">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b/>
          <w:color w:val="auto"/>
        </w:rPr>
        <w:t>23.1  承包人索赔的提出</w:t>
      </w:r>
    </w:p>
    <w:p w14:paraId="50012C04">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0ED0314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24.  争议的解决</w:t>
      </w:r>
    </w:p>
    <w:p w14:paraId="5109854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24.1  争议的解决方式</w:t>
      </w:r>
    </w:p>
    <w:p w14:paraId="5782430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争议的解决方式：</w:t>
      </w:r>
      <w:r>
        <w:rPr>
          <w:rFonts w:hint="eastAsia"/>
          <w:b/>
          <w:color w:val="auto"/>
          <w:highlight w:val="none"/>
        </w:rPr>
        <w:t>本合同履行地为工程项目所在地，发包人和承包人在履行合同中发生争议的，协商解决；合同当事人友好协商解决不成的，向重庆</w:t>
      </w:r>
      <w:r>
        <w:rPr>
          <w:rFonts w:hint="eastAsia"/>
          <w:b/>
          <w:color w:val="auto"/>
          <w:highlight w:val="none"/>
          <w:lang w:eastAsia="zh-CN"/>
        </w:rPr>
        <w:t>市铜梁区人民法院起诉</w:t>
      </w:r>
      <w:r>
        <w:rPr>
          <w:rFonts w:hint="eastAsia"/>
          <w:b/>
          <w:color w:val="auto"/>
          <w:highlight w:val="none"/>
        </w:rPr>
        <w:t>，但承包人不得因此而停工</w:t>
      </w:r>
      <w:r>
        <w:rPr>
          <w:rFonts w:hint="eastAsia"/>
          <w:color w:val="auto"/>
          <w:highlight w:val="none"/>
        </w:rPr>
        <w:t>。</w:t>
      </w:r>
    </w:p>
    <w:p w14:paraId="6657C63C">
      <w:pPr>
        <w:pStyle w:val="6"/>
        <w:keepNext/>
        <w:keepLines/>
        <w:pageBreakBefore w:val="0"/>
        <w:kinsoku/>
        <w:wordWrap/>
        <w:overflowPunct/>
        <w:topLinePunct w:val="0"/>
        <w:bidi w:val="0"/>
        <w:spacing w:before="0" w:beforeAutospacing="0" w:after="0" w:afterAutospacing="0" w:line="400" w:lineRule="exact"/>
        <w:ind w:right="0" w:rightChars="0"/>
        <w:jc w:val="both"/>
        <w:textAlignment w:val="auto"/>
        <w:rPr>
          <w:rFonts w:hint="eastAsia" w:ascii="宋体" w:hAnsi="宋体" w:eastAsia="宋体" w:cs="宋体"/>
          <w:bCs w:val="0"/>
          <w:color w:val="auto"/>
          <w:kern w:val="2"/>
          <w:sz w:val="21"/>
          <w:szCs w:val="21"/>
        </w:rPr>
      </w:pPr>
      <w:bookmarkStart w:id="623" w:name="_Toc532377425"/>
      <w:bookmarkStart w:id="624" w:name="_Toc532375686"/>
      <w:r>
        <w:rPr>
          <w:rFonts w:hint="eastAsia" w:ascii="宋体" w:hAnsi="宋体" w:eastAsia="宋体" w:cs="宋体"/>
          <w:color w:val="auto"/>
          <w:kern w:val="2"/>
          <w:sz w:val="21"/>
          <w:szCs w:val="21"/>
          <w:lang w:val="en-US" w:eastAsia="zh-CN"/>
        </w:rPr>
        <w:t>25</w:t>
      </w:r>
      <w:r>
        <w:rPr>
          <w:rFonts w:hint="eastAsia" w:ascii="宋体" w:hAnsi="宋体" w:eastAsia="宋体" w:cs="宋体"/>
          <w:color w:val="auto"/>
          <w:kern w:val="2"/>
          <w:sz w:val="21"/>
          <w:szCs w:val="21"/>
        </w:rPr>
        <w:t>. 合同附件</w:t>
      </w:r>
      <w:bookmarkEnd w:id="623"/>
      <w:bookmarkEnd w:id="624"/>
    </w:p>
    <w:p w14:paraId="2B0AEBC9">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w:t>
      </w:r>
      <w:r>
        <w:rPr>
          <w:rFonts w:hint="eastAsia" w:ascii="宋体" w:hAnsi="宋体" w:cs="宋体"/>
          <w:color w:val="auto"/>
          <w:sz w:val="21"/>
          <w:szCs w:val="21"/>
          <w:lang w:eastAsia="zh-CN"/>
        </w:rPr>
        <w:t>四</w:t>
      </w:r>
      <w:r>
        <w:rPr>
          <w:rFonts w:hint="eastAsia" w:ascii="宋体" w:hAnsi="宋体" w:eastAsia="宋体" w:cs="宋体"/>
          <w:color w:val="auto"/>
          <w:sz w:val="21"/>
          <w:szCs w:val="21"/>
        </w:rPr>
        <w:t>个附件是本合同的有效组成部分：</w:t>
      </w:r>
    </w:p>
    <w:p w14:paraId="49EF099C">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附件1：工程质量保修书</w:t>
      </w:r>
    </w:p>
    <w:p w14:paraId="7DFD2253">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：廉洁从业协议</w:t>
      </w:r>
    </w:p>
    <w:p w14:paraId="3D6EEEB2">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：安全管理协议</w:t>
      </w:r>
    </w:p>
    <w:p w14:paraId="7B034098">
      <w:pPr>
        <w:keepNext w:val="0"/>
        <w:keepLines w:val="0"/>
        <w:pageBreakBefore w:val="0"/>
        <w:widowControl w:val="0"/>
        <w:kinsoku/>
        <w:wordWrap/>
        <w:overflowPunct/>
        <w:topLinePunct w:val="0"/>
        <w:bidi w:val="0"/>
        <w:spacing w:line="400" w:lineRule="exact"/>
        <w:ind w:right="0" w:rightChars="0"/>
        <w:textAlignment w:val="auto"/>
        <w:rPr>
          <w:rFonts w:ascii="宋体" w:hAnsi="宋体"/>
          <w:color w:val="auto"/>
          <w:sz w:val="21"/>
          <w:szCs w:val="21"/>
        </w:rPr>
      </w:pPr>
      <w:r>
        <w:rPr>
          <w:rFonts w:hint="eastAsia" w:ascii="宋体" w:hAnsi="宋体" w:cs="宋体"/>
          <w:color w:val="auto"/>
          <w:sz w:val="21"/>
          <w:szCs w:val="21"/>
        </w:rPr>
        <w:br w:type="page"/>
      </w:r>
      <w:r>
        <w:rPr>
          <w:rFonts w:hint="eastAsia" w:ascii="宋体" w:hAnsi="宋体"/>
          <w:color w:val="auto"/>
          <w:sz w:val="21"/>
          <w:szCs w:val="21"/>
        </w:rPr>
        <w:t>附</w:t>
      </w:r>
      <w:bookmarkStart w:id="625" w:name="_Toc296503226"/>
      <w:bookmarkStart w:id="626" w:name="_Toc296891054"/>
      <w:bookmarkStart w:id="627" w:name="_Toc296347225"/>
      <w:bookmarkStart w:id="628" w:name="_Toc296944565"/>
      <w:bookmarkStart w:id="629" w:name="_Toc296891266"/>
      <w:bookmarkStart w:id="630" w:name="_Toc296346727"/>
      <w:bookmarkStart w:id="631" w:name="_Toc267261693"/>
      <w:r>
        <w:rPr>
          <w:rFonts w:hint="eastAsia" w:ascii="宋体" w:hAnsi="宋体"/>
          <w:color w:val="auto"/>
          <w:sz w:val="21"/>
          <w:szCs w:val="21"/>
        </w:rPr>
        <w:t>件1：</w:t>
      </w:r>
      <w:bookmarkEnd w:id="625"/>
      <w:bookmarkEnd w:id="626"/>
      <w:bookmarkEnd w:id="627"/>
      <w:bookmarkEnd w:id="628"/>
      <w:bookmarkEnd w:id="629"/>
      <w:bookmarkEnd w:id="630"/>
      <w:bookmarkEnd w:id="631"/>
    </w:p>
    <w:p w14:paraId="6D98FF0B">
      <w:pPr>
        <w:keepNext w:val="0"/>
        <w:keepLines w:val="0"/>
        <w:pageBreakBefore w:val="0"/>
        <w:widowControl w:val="0"/>
        <w:kinsoku/>
        <w:wordWrap/>
        <w:overflowPunct/>
        <w:topLinePunct w:val="0"/>
        <w:bidi w:val="0"/>
        <w:spacing w:before="120" w:beforeLines="50" w:after="120" w:afterLines="50" w:line="400" w:lineRule="exact"/>
        <w:jc w:val="center"/>
        <w:textAlignment w:val="auto"/>
        <w:rPr>
          <w:rFonts w:ascii="宋体" w:hAnsi="宋体"/>
          <w:color w:val="auto"/>
          <w:szCs w:val="21"/>
        </w:rPr>
      </w:pPr>
      <w:r>
        <w:rPr>
          <w:rFonts w:hint="eastAsia" w:ascii="宋体" w:hAnsi="宋体"/>
          <w:color w:val="auto"/>
          <w:sz w:val="21"/>
          <w:szCs w:val="21"/>
        </w:rPr>
        <w:t>工程质量保修书</w:t>
      </w:r>
    </w:p>
    <w:p w14:paraId="6715AE96">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发包人（全称）：</w:t>
      </w:r>
      <w:r>
        <w:rPr>
          <w:rFonts w:hint="eastAsia" w:ascii="宋体" w:hAnsi="宋体"/>
          <w:color w:val="auto"/>
          <w:sz w:val="21"/>
          <w:szCs w:val="21"/>
          <w:u w:val="single"/>
        </w:rPr>
        <w:t></w:t>
      </w:r>
      <w:r>
        <w:rPr>
          <w:rFonts w:hint="eastAsia" w:ascii="宋体" w:hAnsi="宋体"/>
          <w:color w:val="auto"/>
          <w:sz w:val="21"/>
          <w:szCs w:val="21"/>
          <w:u w:val="single"/>
          <w:lang w:val="en-US" w:eastAsia="zh-CN"/>
        </w:rPr>
        <w:t xml:space="preserve">                        </w:t>
      </w:r>
    </w:p>
    <w:p w14:paraId="5921A74C">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承包人（全称）：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p>
    <w:p w14:paraId="32C5E84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发包人和承包人根据《中华人民共和国建筑法》和《建设工程质量管理条例》，经协商一致就</w:t>
      </w:r>
      <w:r>
        <w:rPr>
          <w:rFonts w:hint="eastAsia" w:ascii="宋体" w:hAnsi="宋体"/>
          <w:color w:val="auto"/>
          <w:szCs w:val="21"/>
          <w:u w:val="single"/>
        </w:rPr>
        <w:t xml:space="preserve">  </w:t>
      </w:r>
      <w:r>
        <w:rPr>
          <w:rFonts w:hint="eastAsia" w:ascii="宋体" w:hAnsi="宋体"/>
          <w:color w:val="auto"/>
          <w:sz w:val="21"/>
          <w:szCs w:val="21"/>
        </w:rPr>
        <w:t>（工程全称）签订工程质量保修书。</w:t>
      </w:r>
    </w:p>
    <w:p w14:paraId="6508BC5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2" w:name="_Toc532375687"/>
      <w:r>
        <w:rPr>
          <w:rFonts w:hint="eastAsia" w:ascii="宋体" w:hAnsi="宋体"/>
          <w:color w:val="auto"/>
          <w:sz w:val="21"/>
          <w:szCs w:val="21"/>
        </w:rPr>
        <w:t>一、工程质量保修范围和内容</w:t>
      </w:r>
      <w:bookmarkEnd w:id="632"/>
    </w:p>
    <w:p w14:paraId="3A3F7D7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承包人在质量保修期内，按照有关法律规定和合同约定，承担工程质量保修责任。</w:t>
      </w:r>
    </w:p>
    <w:p w14:paraId="2323C24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88DFBB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承包人承包范围内容均属质量保修范围内容；其中：</w:t>
      </w:r>
    </w:p>
    <w:p w14:paraId="28C6099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1.属于设计原因造成的质量问题，承包人负责维修，不留隐患，费用由发包人承担；</w:t>
      </w:r>
    </w:p>
    <w:p w14:paraId="485BA18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2.属于施工造成的质量问题，承包人负责维修，不留隐患；</w:t>
      </w:r>
    </w:p>
    <w:p w14:paraId="6BDF1FE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3.属于业主使用不当造成的质量问题，配合抢修，费用由发包人承担。</w:t>
      </w:r>
    </w:p>
    <w:p w14:paraId="5A8CEA1D">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3" w:name="_Toc532375688"/>
      <w:r>
        <w:rPr>
          <w:rFonts w:hint="eastAsia" w:ascii="宋体" w:hAnsi="宋体"/>
          <w:color w:val="auto"/>
          <w:sz w:val="21"/>
          <w:szCs w:val="21"/>
        </w:rPr>
        <w:t>二、质量保修期</w:t>
      </w:r>
      <w:bookmarkEnd w:id="633"/>
    </w:p>
    <w:p w14:paraId="5707949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根据《建设工程质量管理条例》及有关规定，本工程质量保修期约定如下：</w:t>
      </w:r>
    </w:p>
    <w:p w14:paraId="4EBEFA2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1.基础设施工程、房屋建筑的地基基础工程和主体结构工程，为设计文件规定的该工程的合理使用年限；</w:t>
      </w:r>
    </w:p>
    <w:p w14:paraId="5C3E24F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2.屋面防水工程、有防水要求的卫生间、房间和外墙面的防渗漏，为5年；</w:t>
      </w:r>
    </w:p>
    <w:p w14:paraId="6AD2FB1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3.供热与供冷系统，为2个采暖期、供冷期；</w:t>
      </w:r>
    </w:p>
    <w:p w14:paraId="2EAD084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4.电气管线、给排水管道、设备安装和装修工程，为2年；</w:t>
      </w:r>
    </w:p>
    <w:p w14:paraId="68DD364D">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i w:val="0"/>
          <w:iCs/>
          <w:color w:val="auto"/>
          <w:sz w:val="21"/>
          <w:szCs w:val="21"/>
        </w:rPr>
      </w:pPr>
      <w:r>
        <w:rPr>
          <w:rFonts w:hint="eastAsia" w:ascii="宋体" w:hAnsi="宋体"/>
          <w:color w:val="auto"/>
          <w:sz w:val="21"/>
          <w:szCs w:val="21"/>
        </w:rPr>
        <w:t>5.其他项目保修期限：</w:t>
      </w:r>
      <w:r>
        <w:rPr>
          <w:rFonts w:hint="eastAsia" w:ascii="宋体" w:hAnsi="宋体"/>
          <w:color w:val="auto"/>
          <w:sz w:val="21"/>
          <w:szCs w:val="21"/>
          <w:lang w:val="en-US" w:eastAsia="zh-CN"/>
        </w:rPr>
        <w:t>2</w:t>
      </w:r>
      <w:r>
        <w:rPr>
          <w:rFonts w:hint="eastAsia" w:ascii="宋体" w:hAnsi="宋体"/>
          <w:color w:val="auto"/>
          <w:sz w:val="21"/>
          <w:szCs w:val="21"/>
        </w:rPr>
        <w:t>年；</w:t>
      </w:r>
    </w:p>
    <w:p w14:paraId="53021AE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建设工程的保修期，自工程竣工验收合格之日起计算。</w:t>
      </w:r>
    </w:p>
    <w:p w14:paraId="137BEA93">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4" w:name="_Toc532375689"/>
      <w:r>
        <w:rPr>
          <w:rFonts w:hint="eastAsia" w:ascii="宋体" w:hAnsi="宋体"/>
          <w:color w:val="auto"/>
          <w:sz w:val="21"/>
          <w:szCs w:val="21"/>
        </w:rPr>
        <w:t>三、质量保修责任</w:t>
      </w:r>
      <w:bookmarkEnd w:id="634"/>
    </w:p>
    <w:p w14:paraId="442298A3">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1.属于保修范围、内容的项目，承包人应当在接到保修通知之日起7天内派人保修。承包人不在约定期限内派人保修的，发包人可以委托他人修理。</w:t>
      </w:r>
    </w:p>
    <w:p w14:paraId="5A0D260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2.发生紧急事故需抢修的，承包人在接到事故通知后，应当立即到达事故现场抢修。</w:t>
      </w:r>
    </w:p>
    <w:p w14:paraId="64854BC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F81920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4.质量保修完成后，由发包人组织验收。</w:t>
      </w:r>
    </w:p>
    <w:p w14:paraId="1791360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5" w:name="_Toc532375690"/>
      <w:r>
        <w:rPr>
          <w:rFonts w:hint="eastAsia" w:ascii="宋体" w:hAnsi="宋体"/>
          <w:color w:val="auto"/>
          <w:sz w:val="21"/>
          <w:szCs w:val="21"/>
        </w:rPr>
        <w:t>四、保修费用</w:t>
      </w:r>
      <w:bookmarkEnd w:id="635"/>
    </w:p>
    <w:p w14:paraId="694B617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保修费用由质量缺陷的责任方承担。</w:t>
      </w:r>
    </w:p>
    <w:p w14:paraId="7CC8DB9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6" w:name="_Toc532375691"/>
      <w:r>
        <w:rPr>
          <w:rFonts w:hint="eastAsia" w:ascii="宋体" w:hAnsi="宋体"/>
          <w:color w:val="auto"/>
          <w:sz w:val="21"/>
          <w:szCs w:val="21"/>
        </w:rPr>
        <w:t>五、双方约定的其他工程质量保修事项</w:t>
      </w:r>
    </w:p>
    <w:p w14:paraId="2CDD62F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u w:val="single"/>
        </w:rPr>
        <w:t>按国家相关法律和规定执行</w:t>
      </w:r>
      <w:r>
        <w:rPr>
          <w:rFonts w:hint="eastAsia" w:ascii="宋体" w:hAnsi="宋体"/>
          <w:color w:val="auto"/>
          <w:sz w:val="21"/>
          <w:szCs w:val="21"/>
        </w:rPr>
        <w:t>。</w:t>
      </w:r>
      <w:bookmarkEnd w:id="636"/>
    </w:p>
    <w:p w14:paraId="4A4C859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本工程质量保修书由发包人、承包人在工程竣工验收前共同签署，作为施工合同附件，其有效期限至保修期满。</w:t>
      </w:r>
    </w:p>
    <w:p w14:paraId="5C8D561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ascii="宋体" w:hAnsi="宋体"/>
          <w:color w:val="auto"/>
          <w:sz w:val="21"/>
          <w:szCs w:val="21"/>
        </w:rPr>
        <w:t>六</w:t>
      </w:r>
      <w:r>
        <w:rPr>
          <w:rFonts w:hint="eastAsia" w:ascii="宋体" w:hAnsi="宋体"/>
          <w:color w:val="auto"/>
          <w:sz w:val="21"/>
          <w:szCs w:val="21"/>
        </w:rPr>
        <w:t>、</w:t>
      </w:r>
      <w:r>
        <w:rPr>
          <w:rFonts w:ascii="宋体" w:hAnsi="宋体"/>
          <w:color w:val="auto"/>
          <w:sz w:val="21"/>
          <w:szCs w:val="21"/>
        </w:rPr>
        <w:t>本文件生效</w:t>
      </w:r>
    </w:p>
    <w:p w14:paraId="67D6096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本工程质量保修书经发包人与承包人盖章后生效。</w:t>
      </w:r>
    </w:p>
    <w:p w14:paraId="192AB923">
      <w:pPr>
        <w:pStyle w:val="2"/>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p>
    <w:p w14:paraId="5A3D773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r>
        <w:rPr>
          <w:rFonts w:hint="eastAsia" w:ascii="宋体" w:hAnsi="宋体"/>
          <w:snapToGrid w:val="0"/>
          <w:color w:val="auto"/>
          <w:kern w:val="0"/>
          <w:sz w:val="21"/>
          <w:szCs w:val="21"/>
        </w:rPr>
        <w:t>发包人：</w:t>
      </w:r>
      <w:r>
        <w:rPr>
          <w:rFonts w:hint="eastAsia" w:ascii="宋体" w:hAnsi="宋体"/>
          <w:color w:val="auto"/>
          <w:sz w:val="21"/>
          <w:szCs w:val="21"/>
          <w:u w:val="single"/>
          <w:lang w:val="en-US" w:eastAsia="zh-CN"/>
        </w:rPr>
        <w:t xml:space="preserve">                  </w:t>
      </w:r>
      <w:r>
        <w:rPr>
          <w:rFonts w:hint="eastAsia" w:ascii="宋体" w:hAnsi="宋体"/>
          <w:snapToGrid w:val="0"/>
          <w:color w:val="auto"/>
          <w:kern w:val="0"/>
          <w:sz w:val="21"/>
          <w:szCs w:val="21"/>
        </w:rPr>
        <w:t>（盖单位公章）</w:t>
      </w:r>
    </w:p>
    <w:p w14:paraId="5F45E1E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3BE0AB4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5455208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r>
        <w:rPr>
          <w:rFonts w:hint="eastAsia" w:ascii="宋体" w:hAnsi="宋体"/>
          <w:snapToGrid w:val="0"/>
          <w:color w:val="auto"/>
          <w:kern w:val="0"/>
          <w:sz w:val="21"/>
          <w:szCs w:val="21"/>
        </w:rPr>
        <w:t>法定代表人或其委托代理人：（签字）</w:t>
      </w:r>
    </w:p>
    <w:p w14:paraId="4FAFB57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3D83B3F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04B837F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snapToGrid w:val="0"/>
          <w:color w:val="auto"/>
          <w:kern w:val="0"/>
          <w:sz w:val="21"/>
          <w:szCs w:val="21"/>
        </w:rPr>
        <w:t>承包人：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snapToGrid w:val="0"/>
          <w:color w:val="auto"/>
          <w:kern w:val="0"/>
          <w:sz w:val="21"/>
          <w:szCs w:val="21"/>
        </w:rPr>
        <w:t>（盖单位公章）</w:t>
      </w:r>
    </w:p>
    <w:p w14:paraId="4592777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623352B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11D911E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bCs/>
          <w:color w:val="auto"/>
          <w:kern w:val="0"/>
          <w:sz w:val="21"/>
          <w:szCs w:val="21"/>
        </w:rPr>
      </w:pPr>
      <w:r>
        <w:rPr>
          <w:rFonts w:hint="eastAsia" w:ascii="宋体" w:hAnsi="宋体"/>
          <w:snapToGrid w:val="0"/>
          <w:color w:val="auto"/>
          <w:kern w:val="0"/>
          <w:sz w:val="21"/>
          <w:szCs w:val="21"/>
        </w:rPr>
        <w:t>法定代表人或其委托代理人：（签字）</w:t>
      </w:r>
    </w:p>
    <w:p w14:paraId="6FC7A4F3">
      <w:pPr>
        <w:keepNext w:val="0"/>
        <w:keepLines w:val="0"/>
        <w:pageBreakBefore w:val="0"/>
        <w:widowControl w:val="0"/>
        <w:kinsoku/>
        <w:wordWrap/>
        <w:overflowPunct/>
        <w:topLinePunct w:val="0"/>
        <w:bidi w:val="0"/>
        <w:spacing w:line="400" w:lineRule="exact"/>
        <w:ind w:firstLine="418" w:firstLineChars="200"/>
        <w:textAlignment w:val="auto"/>
        <w:rPr>
          <w:rFonts w:ascii="宋体" w:hAnsi="宋体"/>
          <w:snapToGrid w:val="0"/>
          <w:color w:val="auto"/>
          <w:spacing w:val="1"/>
          <w:w w:val="99"/>
          <w:kern w:val="0"/>
          <w:position w:val="-2"/>
          <w:sz w:val="21"/>
          <w:szCs w:val="21"/>
        </w:rPr>
      </w:pPr>
    </w:p>
    <w:p w14:paraId="43D436D9">
      <w:pPr>
        <w:keepNext w:val="0"/>
        <w:keepLines w:val="0"/>
        <w:pageBreakBefore w:val="0"/>
        <w:widowControl w:val="0"/>
        <w:kinsoku/>
        <w:wordWrap/>
        <w:overflowPunct/>
        <w:topLinePunct w:val="0"/>
        <w:bidi w:val="0"/>
        <w:spacing w:line="400" w:lineRule="exact"/>
        <w:ind w:firstLine="418" w:firstLineChars="200"/>
        <w:textAlignment w:val="auto"/>
        <w:rPr>
          <w:rFonts w:ascii="宋体" w:hAnsi="宋体"/>
          <w:snapToGrid w:val="0"/>
          <w:color w:val="auto"/>
          <w:spacing w:val="1"/>
          <w:w w:val="99"/>
          <w:kern w:val="0"/>
          <w:position w:val="-2"/>
          <w:sz w:val="21"/>
          <w:szCs w:val="21"/>
        </w:rPr>
      </w:pPr>
    </w:p>
    <w:p w14:paraId="5246087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r>
        <w:rPr>
          <w:rFonts w:hint="eastAsia" w:ascii="宋体" w:hAnsi="宋体"/>
          <w:snapToGrid w:val="0"/>
          <w:color w:val="auto"/>
          <w:kern w:val="0"/>
          <w:sz w:val="21"/>
          <w:szCs w:val="21"/>
        </w:rPr>
        <w:t>签约时间：</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年</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月</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日</w:t>
      </w:r>
    </w:p>
    <w:p w14:paraId="1BFDD8AC">
      <w:pPr>
        <w:keepNext w:val="0"/>
        <w:keepLines w:val="0"/>
        <w:pageBreakBefore w:val="0"/>
        <w:widowControl w:val="0"/>
        <w:kinsoku/>
        <w:wordWrap/>
        <w:overflowPunct/>
        <w:topLinePunct w:val="0"/>
        <w:bidi w:val="0"/>
        <w:spacing w:line="400" w:lineRule="exact"/>
        <w:textAlignment w:val="auto"/>
        <w:rPr>
          <w:rFonts w:ascii="宋体" w:hAnsi="宋体"/>
          <w:color w:val="auto"/>
          <w:szCs w:val="21"/>
        </w:rPr>
      </w:pPr>
    </w:p>
    <w:p w14:paraId="06B3655F">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184A1E7B">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1B8DA829">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0A84600C">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2EC4F7F1">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7048FC20">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1586D3D5">
      <w:pPr>
        <w:rPr>
          <w:rFonts w:ascii="宋体" w:hAnsi="宋体"/>
          <w:color w:val="auto"/>
          <w:sz w:val="21"/>
          <w:szCs w:val="21"/>
        </w:rPr>
      </w:pPr>
      <w:r>
        <w:rPr>
          <w:rFonts w:hint="eastAsia" w:ascii="宋体" w:hAnsi="宋体"/>
          <w:color w:val="auto"/>
          <w:szCs w:val="21"/>
        </w:rPr>
        <w:br w:type="page"/>
      </w:r>
      <w:r>
        <w:rPr>
          <w:rFonts w:hint="eastAsia" w:ascii="宋体" w:hAnsi="宋体"/>
          <w:color w:val="auto"/>
          <w:sz w:val="21"/>
          <w:szCs w:val="21"/>
        </w:rPr>
        <w:t>附件</w:t>
      </w:r>
      <w:r>
        <w:rPr>
          <w:rFonts w:hint="eastAsia" w:ascii="宋体" w:hAnsi="宋体"/>
          <w:color w:val="auto"/>
          <w:sz w:val="21"/>
          <w:szCs w:val="21"/>
          <w:lang w:val="en-US" w:eastAsia="zh-CN"/>
        </w:rPr>
        <w:t>2</w:t>
      </w:r>
      <w:r>
        <w:rPr>
          <w:rFonts w:hint="eastAsia" w:ascii="宋体" w:hAnsi="宋体"/>
          <w:color w:val="auto"/>
          <w:sz w:val="21"/>
          <w:szCs w:val="21"/>
        </w:rPr>
        <w:t>：廉洁从业协议</w:t>
      </w:r>
    </w:p>
    <w:p w14:paraId="13AD5815">
      <w:pPr>
        <w:keepNext w:val="0"/>
        <w:keepLines w:val="0"/>
        <w:pageBreakBefore w:val="0"/>
        <w:widowControl w:val="0"/>
        <w:kinsoku/>
        <w:wordWrap/>
        <w:overflowPunct/>
        <w:topLinePunct w:val="0"/>
        <w:bidi w:val="0"/>
        <w:spacing w:before="120" w:beforeLines="50" w:after="120" w:afterLines="50" w:line="400" w:lineRule="exact"/>
        <w:jc w:val="center"/>
        <w:textAlignment w:val="auto"/>
        <w:rPr>
          <w:rFonts w:ascii="宋体" w:hAnsi="宋体"/>
          <w:color w:val="auto"/>
          <w:szCs w:val="21"/>
        </w:rPr>
      </w:pPr>
      <w:r>
        <w:rPr>
          <w:rFonts w:hint="eastAsia" w:ascii="宋体" w:hAnsi="宋体"/>
          <w:color w:val="auto"/>
          <w:sz w:val="21"/>
          <w:szCs w:val="21"/>
        </w:rPr>
        <w:t>廉洁从业协议</w:t>
      </w:r>
    </w:p>
    <w:p w14:paraId="7EC0B987">
      <w:pPr>
        <w:keepNext w:val="0"/>
        <w:keepLines w:val="0"/>
        <w:pageBreakBefore w:val="0"/>
        <w:widowControl w:val="0"/>
        <w:kinsoku/>
        <w:wordWrap/>
        <w:overflowPunct/>
        <w:topLinePunct w:val="0"/>
        <w:bidi w:val="0"/>
        <w:snapToGrid w:val="0"/>
        <w:spacing w:line="400" w:lineRule="exact"/>
        <w:ind w:firstLine="422" w:firstLineChars="200"/>
        <w:textAlignment w:val="auto"/>
        <w:rPr>
          <w:rFonts w:hint="eastAsia" w:ascii="宋体" w:hAnsi="宋体"/>
          <w:color w:val="auto"/>
          <w:sz w:val="21"/>
          <w:szCs w:val="21"/>
          <w:u w:val="single"/>
          <w:lang w:val="en-US" w:eastAsia="zh-CN"/>
        </w:rPr>
      </w:pPr>
      <w:r>
        <w:rPr>
          <w:rFonts w:hint="eastAsia" w:ascii="宋体" w:hAnsi="宋体"/>
          <w:b/>
          <w:color w:val="auto"/>
          <w:sz w:val="21"/>
          <w:szCs w:val="21"/>
        </w:rPr>
        <w:t>发包人（全称）：</w:t>
      </w:r>
      <w:r>
        <w:rPr>
          <w:rFonts w:hint="eastAsia" w:ascii="宋体" w:hAnsi="宋体"/>
          <w:color w:val="auto"/>
          <w:sz w:val="21"/>
          <w:szCs w:val="21"/>
          <w:u w:val="single"/>
        </w:rPr>
        <w:t></w:t>
      </w:r>
      <w:r>
        <w:rPr>
          <w:rFonts w:hint="eastAsia" w:ascii="宋体" w:hAnsi="宋体"/>
          <w:color w:val="auto"/>
          <w:sz w:val="21"/>
          <w:szCs w:val="21"/>
          <w:u w:val="single"/>
          <w:lang w:val="en-US" w:eastAsia="zh-CN"/>
        </w:rPr>
        <w:t xml:space="preserve">                       </w:t>
      </w:r>
    </w:p>
    <w:p w14:paraId="089074D5">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承包人（全称）：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p>
    <w:p w14:paraId="41ADEBC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5B8836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 xml:space="preserve"> 1. 发包人承包人的权利和义务</w:t>
      </w:r>
    </w:p>
    <w:p w14:paraId="651F287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（1）严格遵守党的政策规定和国家有关法律法规及相关部门的有关规定。</w:t>
      </w:r>
    </w:p>
    <w:p w14:paraId="62C62E1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（2）严格执行 工程的合同文件，自觉按合同办事。</w:t>
      </w:r>
    </w:p>
    <w:p w14:paraId="53A0118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（3）双方的业务活动坚持公开、公正、诚信、透明的原则（法律认定的商业秘密和合同文件另有规定除外），不得损害国家和集体利益，违反工程建设管理规章制度。</w:t>
      </w:r>
    </w:p>
    <w:p w14:paraId="244001D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（4）建立健全廉政制度，开展廉政教育，设立廉政告示牌，公布举报电话，监督并认真查处违法违纪行为。</w:t>
      </w:r>
    </w:p>
    <w:p w14:paraId="1564D33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（5）发现对方在业务活动中有违反廉政规定的行为，有及时提醒对方纠正的权利和义务。</w:t>
      </w:r>
    </w:p>
    <w:p w14:paraId="54A21EE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（6）发现对方严重违反协议义务条款的行为，有向其上级有关部门举报、建议给予处理并要求告知处理结果的权利。</w:t>
      </w:r>
    </w:p>
    <w:p w14:paraId="54EF809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 发包人的义务</w:t>
      </w:r>
    </w:p>
    <w:p w14:paraId="627AECB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（1）发包人及其工作人员不得索要或接受承包人的礼金、有价证券和贵重物品，不得在承包人报销任何应由发包人或发包人工作人员个人支付的费用等。</w:t>
      </w:r>
    </w:p>
    <w:p w14:paraId="7FE86C73">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（2）发包人工作人员不得参加承包人安排的超标准宴请和娱乐活动；不得接受承包人提供的通讯工具、交通工具和高档办公用品等。</w:t>
      </w:r>
    </w:p>
    <w:p w14:paraId="25DF2E4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（3）发包人及其工作人员不得要求或者接受承包人为其住房装修、婚丧嫁娶活动、配偶子女的工作安排以及出国出境、旅游等提供方便等。</w:t>
      </w:r>
    </w:p>
    <w:p w14:paraId="6FAB2B7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（4）发包人工作人员及其配偶、子女不得从事与发包人工程有关的材料设备供应、工程分包、劳务等经济活动等。</w:t>
      </w:r>
    </w:p>
    <w:p w14:paraId="0EB016B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（5）发包人及其工作人员不得以任何理由向承包人推荐分包单位或推销材料，不得要求承包人购买合同规定外的材料和设备。</w:t>
      </w:r>
    </w:p>
    <w:p w14:paraId="484EA3B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（6）发包人工作人员要秉公办事，不准营私舞弊，不准利用职权从事各种个人有偿中介活动和安排个人施工队伍。</w:t>
      </w:r>
    </w:p>
    <w:p w14:paraId="3876BEE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 承包人义务</w:t>
      </w:r>
    </w:p>
    <w:p w14:paraId="4C4DDBC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（1）承包人不得以任何理由向发包人及其工作人员行贿或馈赠礼金、有价证券、贵重礼品。</w:t>
      </w:r>
    </w:p>
    <w:p w14:paraId="7BEC8CA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（2）承包人不得以任何名义为发包人及其工作人员报销应由发包人单位或个人支付的任何费用。</w:t>
      </w:r>
    </w:p>
    <w:p w14:paraId="73DAFB9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（3）承包人不得以任何理由安排发包人工作人员参加超标准宴请及娱乐活动。</w:t>
      </w:r>
    </w:p>
    <w:p w14:paraId="5D9F736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（4）承包人不得为发包人单位和个人购置或提供通讯工具、交通工具和高档办公用品等。</w:t>
      </w:r>
    </w:p>
    <w:p w14:paraId="1BF336D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 违约责任</w:t>
      </w:r>
    </w:p>
    <w:p w14:paraId="7067D73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（1）发包人及其工作人员违反合同第1、2条，按管理权限，依据有关规定给予党纪、政纪或组织处理；涉嫌犯罪的，移交司法机关追究刑事责任；给承包人单位造成经济损失的，应予以赔偿。</w:t>
      </w:r>
    </w:p>
    <w:p w14:paraId="4797195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（2）承包人及其工作人员违反合同第1、3条，按管理权限，依据有关规定给予党纪、政纪或组织处理；给发包人单位造成经济损失的，应予以赔偿。</w:t>
      </w:r>
    </w:p>
    <w:p w14:paraId="630C250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F0186E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6. 协议有效期为甲乙双方签署之日起至该工程项目竣工验收后止。</w:t>
      </w:r>
    </w:p>
    <w:p w14:paraId="30ECB4C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7.协议作为 工程施工合同的附件，与工程施工合同具有同等的法律效力，经合同双方签署立即生效。</w:t>
      </w:r>
    </w:p>
    <w:p w14:paraId="1DEB584D">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（以下无正文）</w:t>
      </w:r>
    </w:p>
    <w:p w14:paraId="3FFF5E8D">
      <w:pPr>
        <w:pStyle w:val="2"/>
        <w:rPr>
          <w:color w:val="auto"/>
        </w:rPr>
      </w:pPr>
    </w:p>
    <w:p w14:paraId="79136E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甲     方：                         乙     方：</w:t>
      </w:r>
    </w:p>
    <w:p w14:paraId="27C5A7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p>
    <w:p w14:paraId="60498A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 xml:space="preserve">法定代表人                          法定代表人                      </w:t>
      </w:r>
    </w:p>
    <w:p w14:paraId="7885A4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或其授权的代理人：                  或授权的代理人：</w:t>
      </w:r>
    </w:p>
    <w:p w14:paraId="1CFE1A7D">
      <w:pPr>
        <w:pStyle w:val="2"/>
        <w:keepNext w:val="0"/>
        <w:keepLines w:val="0"/>
        <w:pageBreakBefore w:val="0"/>
        <w:widowControl w:val="0"/>
        <w:kinsoku/>
        <w:wordWrap/>
        <w:overflowPunct/>
        <w:topLinePunct w:val="0"/>
        <w:bidi w:val="0"/>
        <w:spacing w:line="400" w:lineRule="exact"/>
        <w:jc w:val="right"/>
        <w:textAlignment w:val="auto"/>
        <w:rPr>
          <w:rFonts w:hint="eastAsia" w:ascii="宋体" w:hAnsi="宋体" w:eastAsia="宋体" w:cs="宋体"/>
          <w:color w:val="auto"/>
          <w:sz w:val="21"/>
          <w:szCs w:val="21"/>
        </w:rPr>
      </w:pPr>
    </w:p>
    <w:p w14:paraId="0BEAAD6B">
      <w:pPr>
        <w:pStyle w:val="2"/>
        <w:keepNext w:val="0"/>
        <w:keepLines w:val="0"/>
        <w:pageBreakBefore w:val="0"/>
        <w:widowControl w:val="0"/>
        <w:kinsoku/>
        <w:wordWrap/>
        <w:overflowPunct/>
        <w:topLinePunct w:val="0"/>
        <w:bidi w:val="0"/>
        <w:spacing w:line="400" w:lineRule="exact"/>
        <w:ind w:firstLine="2310" w:firstLineChars="11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签订时间：    年   月   日</w:t>
      </w:r>
    </w:p>
    <w:p w14:paraId="30C30F4D">
      <w:pPr>
        <w:keepNext w:val="0"/>
        <w:keepLines w:val="0"/>
        <w:pageBreakBefore w:val="0"/>
        <w:widowControl w:val="0"/>
        <w:kinsoku/>
        <w:wordWrap/>
        <w:overflowPunct/>
        <w:topLinePunct w:val="0"/>
        <w:bidi w:val="0"/>
        <w:spacing w:line="400" w:lineRule="exact"/>
        <w:textAlignment w:val="auto"/>
        <w:rPr>
          <w:rFonts w:ascii="宋体" w:hAnsi="宋体"/>
          <w:color w:val="auto"/>
          <w:sz w:val="21"/>
          <w:szCs w:val="21"/>
        </w:rPr>
      </w:pPr>
      <w:r>
        <w:rPr>
          <w:rFonts w:hint="eastAsia" w:ascii="宋体" w:hAnsi="宋体"/>
          <w:color w:val="auto"/>
          <w:szCs w:val="21"/>
        </w:rPr>
        <w:br w:type="page"/>
      </w:r>
      <w:r>
        <w:rPr>
          <w:rFonts w:hint="eastAsia" w:ascii="宋体" w:hAnsi="宋体"/>
          <w:color w:val="auto"/>
          <w:sz w:val="21"/>
          <w:szCs w:val="21"/>
        </w:rPr>
        <w:t>附件</w:t>
      </w:r>
      <w:r>
        <w:rPr>
          <w:rFonts w:hint="eastAsia" w:ascii="宋体" w:hAnsi="宋体"/>
          <w:color w:val="auto"/>
          <w:sz w:val="21"/>
          <w:szCs w:val="21"/>
          <w:lang w:val="en-US" w:eastAsia="zh-CN"/>
        </w:rPr>
        <w:t>3</w:t>
      </w:r>
      <w:r>
        <w:rPr>
          <w:rFonts w:hint="eastAsia" w:ascii="宋体" w:hAnsi="宋体"/>
          <w:color w:val="auto"/>
          <w:sz w:val="21"/>
          <w:szCs w:val="21"/>
        </w:rPr>
        <w:t>：安全管理协议</w:t>
      </w:r>
    </w:p>
    <w:p w14:paraId="241BEE39">
      <w:pPr>
        <w:keepNext w:val="0"/>
        <w:keepLines w:val="0"/>
        <w:pageBreakBefore w:val="0"/>
        <w:widowControl w:val="0"/>
        <w:kinsoku/>
        <w:wordWrap/>
        <w:overflowPunct/>
        <w:topLinePunct w:val="0"/>
        <w:bidi w:val="0"/>
        <w:spacing w:before="120" w:beforeLines="50" w:after="120" w:afterLines="50" w:line="400" w:lineRule="exact"/>
        <w:jc w:val="center"/>
        <w:textAlignment w:val="auto"/>
        <w:rPr>
          <w:rFonts w:ascii="宋体" w:hAnsi="宋体"/>
          <w:color w:val="auto"/>
          <w:szCs w:val="21"/>
        </w:rPr>
      </w:pPr>
      <w:bookmarkStart w:id="637" w:name="_Toc247431422"/>
      <w:bookmarkStart w:id="638" w:name="_Toc435690184"/>
      <w:bookmarkStart w:id="639" w:name="_Toc336680145"/>
      <w:bookmarkStart w:id="640" w:name="_Toc435689499"/>
      <w:bookmarkStart w:id="641" w:name="_Toc239510288"/>
      <w:bookmarkStart w:id="642" w:name="_Toc448406299"/>
      <w:r>
        <w:rPr>
          <w:rFonts w:hint="eastAsia" w:ascii="宋体" w:hAnsi="宋体"/>
          <w:color w:val="auto"/>
          <w:sz w:val="21"/>
          <w:szCs w:val="21"/>
        </w:rPr>
        <w:t>安全管理协议</w:t>
      </w:r>
      <w:bookmarkEnd w:id="637"/>
      <w:bookmarkEnd w:id="638"/>
      <w:bookmarkEnd w:id="639"/>
      <w:bookmarkEnd w:id="640"/>
      <w:bookmarkEnd w:id="641"/>
      <w:bookmarkEnd w:id="642"/>
    </w:p>
    <w:p w14:paraId="4AF77DF6">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发包人（全称）：</w:t>
      </w:r>
      <w:r>
        <w:rPr>
          <w:rFonts w:hint="eastAsia" w:ascii="宋体" w:hAnsi="宋体"/>
          <w:color w:val="auto"/>
          <w:sz w:val="21"/>
          <w:szCs w:val="21"/>
          <w:u w:val="single"/>
        </w:rPr>
        <w:t></w:t>
      </w:r>
      <w:r>
        <w:rPr>
          <w:rFonts w:hint="eastAsia" w:ascii="宋体" w:hAnsi="宋体"/>
          <w:color w:val="auto"/>
          <w:sz w:val="21"/>
          <w:szCs w:val="21"/>
          <w:u w:val="single"/>
          <w:lang w:val="en-US" w:eastAsia="zh-CN"/>
        </w:rPr>
        <w:t xml:space="preserve">                           </w:t>
      </w:r>
    </w:p>
    <w:p w14:paraId="42C972CA">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承包人（全称）：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p>
    <w:p w14:paraId="693111C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为了确保实现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安全生产目标，进一步明确双方的安全管理责任，加强安全生产管理工作的协调、管理力度，</w:t>
      </w:r>
      <w:r>
        <w:rPr>
          <w:rFonts w:hint="eastAsia" w:ascii="宋体" w:hAnsi="宋体"/>
          <w:color w:val="auto"/>
          <w:sz w:val="21"/>
          <w:szCs w:val="21"/>
          <w:u w:val="single"/>
          <w:lang w:val="en-US" w:eastAsia="zh-CN"/>
        </w:rPr>
        <w:t xml:space="preserve">                </w:t>
      </w:r>
      <w:r>
        <w:rPr>
          <w:rFonts w:hint="eastAsia" w:ascii="宋体" w:hAnsi="宋体"/>
          <w:color w:val="auto"/>
          <w:sz w:val="21"/>
          <w:szCs w:val="21"/>
        </w:rPr>
        <w:t>（以下简称“发包人”）与</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067B53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43" w:name="_Toc532375700"/>
      <w:bookmarkStart w:id="644" w:name="_Toc247431423"/>
      <w:bookmarkStart w:id="645" w:name="_Toc247418263"/>
      <w:bookmarkStart w:id="646" w:name="_Toc239510289"/>
      <w:r>
        <w:rPr>
          <w:rFonts w:hint="eastAsia" w:ascii="宋体" w:hAnsi="宋体"/>
          <w:color w:val="auto"/>
          <w:sz w:val="21"/>
          <w:szCs w:val="21"/>
        </w:rPr>
        <w:t>一、协议有效期限</w:t>
      </w:r>
      <w:bookmarkEnd w:id="643"/>
      <w:bookmarkEnd w:id="644"/>
      <w:bookmarkEnd w:id="645"/>
      <w:bookmarkEnd w:id="646"/>
    </w:p>
    <w:p w14:paraId="68F410EC">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本协议中所涉及的安全管理责任自合同签订之日起开始生效，至合同工程全部完工验收且经发包人与承包人签订移交协议生效后之日终止。</w:t>
      </w:r>
    </w:p>
    <w:p w14:paraId="232FE11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47" w:name="_Toc247418264"/>
      <w:bookmarkStart w:id="648" w:name="_Toc239510290"/>
      <w:bookmarkStart w:id="649" w:name="_Toc532375701"/>
      <w:bookmarkStart w:id="650" w:name="_Toc247431424"/>
      <w:r>
        <w:rPr>
          <w:rFonts w:hint="eastAsia" w:ascii="宋体" w:hAnsi="宋体"/>
          <w:color w:val="auto"/>
          <w:sz w:val="21"/>
          <w:szCs w:val="21"/>
        </w:rPr>
        <w:t>二、责任目标</w:t>
      </w:r>
      <w:bookmarkEnd w:id="647"/>
      <w:bookmarkEnd w:id="648"/>
      <w:bookmarkEnd w:id="649"/>
      <w:bookmarkEnd w:id="650"/>
    </w:p>
    <w:p w14:paraId="36855A5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（一）承包人承诺承担和履行合同和发包人所规定的安全责任，且满足要求。</w:t>
      </w:r>
    </w:p>
    <w:p w14:paraId="39C995D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（二）承包人的安全控制目标是确保本工程在实施过程中：</w:t>
      </w:r>
    </w:p>
    <w:p w14:paraId="793BEE9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1．不发生人身重伤事故；</w:t>
      </w:r>
    </w:p>
    <w:p w14:paraId="138029A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2．不发生火灾事故；</w:t>
      </w:r>
    </w:p>
    <w:p w14:paraId="522A286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3．不发生负有同等及以上事故责任的造成人身重伤的一般交通事故；</w:t>
      </w:r>
    </w:p>
    <w:p w14:paraId="238BF68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4．不发生集体食物中毒事件（同时5人及以上的食物中毒）；</w:t>
      </w:r>
    </w:p>
    <w:p w14:paraId="4773245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5．不发生流行性传染病 （无甲型传染病、其他常见传染病未形成多人同时患病）；</w:t>
      </w:r>
    </w:p>
    <w:p w14:paraId="0A15188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6．不发生重大环境污染事件（生活、工业垃圾及其他污染物造成环境污染和大面积水土流失）；</w:t>
      </w:r>
    </w:p>
    <w:p w14:paraId="2E0C362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7．不发生对施工区附近生产、生活造成重大影响的事件（如造成重大设备损坏、重大财产损失、人员伤害等）；</w:t>
      </w:r>
    </w:p>
    <w:p w14:paraId="457C667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8．不发生治安保卫事件（构成刑事拘留及以上的事件、盗窃直接损失超过1万元人民币的事件）。</w:t>
      </w:r>
    </w:p>
    <w:p w14:paraId="5D4D1FC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651" w:name="_Toc239510291"/>
      <w:bookmarkStart w:id="652" w:name="_Toc247431425"/>
      <w:bookmarkStart w:id="653" w:name="_Toc247418265"/>
      <w:r>
        <w:rPr>
          <w:rFonts w:hint="eastAsia" w:ascii="宋体" w:hAnsi="宋体"/>
          <w:color w:val="auto"/>
          <w:sz w:val="21"/>
          <w:szCs w:val="21"/>
        </w:rPr>
        <w:t>（三）承包人承诺在施工中控制以下安全事故的发生：</w:t>
      </w:r>
      <w:bookmarkEnd w:id="651"/>
      <w:bookmarkEnd w:id="652"/>
      <w:bookmarkEnd w:id="653"/>
    </w:p>
    <w:p w14:paraId="5E354B7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1．人员轻伤事故。</w:t>
      </w:r>
    </w:p>
    <w:p w14:paraId="318717C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2．负有同等及以上事故责任的人身轻伤交通事故。</w:t>
      </w:r>
    </w:p>
    <w:p w14:paraId="0A548C3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3．其他安全未遂事故和异常事件。</w:t>
      </w:r>
    </w:p>
    <w:p w14:paraId="1011309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54" w:name="_Toc532375702"/>
      <w:bookmarkStart w:id="655" w:name="_Toc239510292"/>
      <w:bookmarkStart w:id="656" w:name="_Toc247418266"/>
      <w:bookmarkStart w:id="657" w:name="_Toc247431426"/>
      <w:r>
        <w:rPr>
          <w:rFonts w:hint="eastAsia" w:ascii="宋体" w:hAnsi="宋体"/>
          <w:color w:val="auto"/>
          <w:sz w:val="21"/>
          <w:szCs w:val="21"/>
        </w:rPr>
        <w:t>三、安全责任</w:t>
      </w:r>
      <w:bookmarkEnd w:id="654"/>
      <w:bookmarkEnd w:id="655"/>
      <w:bookmarkEnd w:id="656"/>
      <w:bookmarkEnd w:id="657"/>
    </w:p>
    <w:p w14:paraId="0411731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1．承包人负有安全生产的管理责任和直接责任。</w:t>
      </w:r>
    </w:p>
    <w:p w14:paraId="4C8BA9A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2．承包人的法人或签署合同的公司总经理或受委托的代理人对合同安全负有全面的领导责任。</w:t>
      </w:r>
    </w:p>
    <w:p w14:paraId="588E471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3．承包人项目经理对施工现场的安全工作负有全面的直接领导责任。</w:t>
      </w:r>
    </w:p>
    <w:p w14:paraId="6EDDA2A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4．承包人保证执行“谁施工、谁负责”的施工安全原则。</w:t>
      </w:r>
    </w:p>
    <w:p w14:paraId="7189100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5．承包人保证服从发包人对安全工作的统一协调和管理。</w:t>
      </w:r>
    </w:p>
    <w:p w14:paraId="065FA6F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6．承包人保证对本工程项目安全生产条件及其管理资源自行投入，保证安全资金的专款专用。</w:t>
      </w:r>
    </w:p>
    <w:p w14:paraId="690CA54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7．承包人保证建立本工程项目的安全管理体系及安全保证体系（注：项目安全管理大纲/手册、管理性的程序文件等）。</w:t>
      </w:r>
    </w:p>
    <w:p w14:paraId="47F4571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8．承包人保证现场的安全管理专职人员必须持有建设主管部门安全生产培训考核合格证书。</w:t>
      </w:r>
    </w:p>
    <w:p w14:paraId="394D32B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9．承包人保证为现场所有工作人员（含分包商员工及劳务人员）配备符合国家标准的有承包人和/或其下属分包商标志的个人基本劳动保护用品。</w:t>
      </w:r>
    </w:p>
    <w:p w14:paraId="60CA958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10．承包人保证按照国家法律规定为现场所有工作人员（含分包商员工及劳务人员）购买意外伤害保险。</w:t>
      </w:r>
    </w:p>
    <w:p w14:paraId="1A967A6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11．承包人保证施工生活营地（包括自建的和租用的营地）满足消防、安全用电、卫生防疫、防暴雨、防雷击等方面的安全要求。</w:t>
      </w:r>
    </w:p>
    <w:p w14:paraId="5BC755D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12．承包人保证对带入现场的设备、工具、材料按照国家法规和标准进行检测、试验，并持有法定部门出具的检验证书。</w:t>
      </w:r>
    </w:p>
    <w:p w14:paraId="5677004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13．承包人保证制订施工现场的文明施工措施，保护环境、树木和植被，保持施工现场的良好秩序和整洁的作业环境。</w:t>
      </w:r>
    </w:p>
    <w:p w14:paraId="532558D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14．承包人负责在施工过程中与当地政府、周边群众及其他承包商保持良好的沟通和交流。承包人遇到与周边群众发生纠纷时，应负责协调工作，确保工程能够顺利进行。</w:t>
      </w:r>
    </w:p>
    <w:p w14:paraId="0EBEBE5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58" w:name="_Toc239510293"/>
      <w:bookmarkStart w:id="659" w:name="_Toc247431427"/>
      <w:bookmarkStart w:id="660" w:name="_Toc247418267"/>
      <w:bookmarkStart w:id="661" w:name="_Toc532375703"/>
      <w:r>
        <w:rPr>
          <w:rFonts w:hint="eastAsia" w:ascii="宋体" w:hAnsi="宋体"/>
          <w:color w:val="auto"/>
          <w:sz w:val="21"/>
          <w:szCs w:val="21"/>
        </w:rPr>
        <w:t>四、接口及协调</w:t>
      </w:r>
      <w:bookmarkEnd w:id="658"/>
      <w:bookmarkEnd w:id="659"/>
      <w:bookmarkEnd w:id="660"/>
      <w:bookmarkEnd w:id="661"/>
    </w:p>
    <w:p w14:paraId="67715F5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1．发包人委托监理公司对该工程实施监理，监理公司在安全管理方面代表发包人行使监督检查职能，承包人必须给予配合和支持。</w:t>
      </w:r>
    </w:p>
    <w:p w14:paraId="30CF665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2．承包人人员、车辆的出入，带入现场的设备、机具、材料，在现场使用的或直接管理的办公、生活、生产性设施的安全管理须满足发包人现场管理的基本要求。</w:t>
      </w:r>
    </w:p>
    <w:p w14:paraId="6E869B6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500681E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7D008F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5．承包人指定的专职安全管理人员应与发包人委托的监理公司建立联系，在业务上接受发包人委托的监理公司的协调和指导。</w:t>
      </w:r>
    </w:p>
    <w:p w14:paraId="174283D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6．开工后承包人的专职安全管理人员应按照发包人委托的监理公司的规定，定期报送安全月度快报、季报、年报和各种专项事故报告等。</w:t>
      </w:r>
    </w:p>
    <w:p w14:paraId="71C4C5B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7．在工程实体未全部正式移交发包人施工管理部门之前，承包人依旧对施工范围内的安全管理负责。</w:t>
      </w:r>
    </w:p>
    <w:p w14:paraId="0F0E5D8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62" w:name="_Toc239510294"/>
      <w:bookmarkStart w:id="663" w:name="_Toc532375704"/>
      <w:bookmarkStart w:id="664" w:name="_Toc247418268"/>
      <w:bookmarkStart w:id="665" w:name="_Toc247431428"/>
      <w:r>
        <w:rPr>
          <w:rFonts w:hint="eastAsia" w:ascii="宋体" w:hAnsi="宋体"/>
          <w:color w:val="auto"/>
          <w:sz w:val="21"/>
          <w:szCs w:val="21"/>
        </w:rPr>
        <w:t>五、安全资质审查</w:t>
      </w:r>
      <w:bookmarkEnd w:id="662"/>
      <w:bookmarkEnd w:id="663"/>
      <w:bookmarkEnd w:id="664"/>
      <w:bookmarkEnd w:id="665"/>
    </w:p>
    <w:p w14:paraId="7C97F6D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承包人在项目开工前5个工作天内向发包人委托的监理公司提供以下安全资质供审查和存档：</w:t>
      </w:r>
    </w:p>
    <w:p w14:paraId="696BFC5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1．企业安全生产许可证书复印件。</w:t>
      </w:r>
    </w:p>
    <w:p w14:paraId="4EECA25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2．企业近三年的施工简历及安全施工业绩证明文件。</w:t>
      </w:r>
    </w:p>
    <w:p w14:paraId="4DF1DC2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3．企业主要安全管理人员（包括项目经理、专职安全管理人员）经建设主管部门安全生产知识考核合格证书。</w:t>
      </w:r>
    </w:p>
    <w:p w14:paraId="1B0A6AE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4．特种作业人员资格证书。</w:t>
      </w:r>
    </w:p>
    <w:p w14:paraId="178AE7B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5．项目安全管理机构及其人员配备（承包人必须配有专职的安全员）。</w:t>
      </w:r>
    </w:p>
    <w:p w14:paraId="24339ED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6．适用于项目的安全管理体系及保证体系文件（安全管理大纲及管理程序文件）。</w:t>
      </w:r>
    </w:p>
    <w:p w14:paraId="626CE90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66" w:name="_Toc239510295"/>
      <w:bookmarkStart w:id="667" w:name="_Toc247418269"/>
      <w:bookmarkStart w:id="668" w:name="_Toc532375705"/>
      <w:bookmarkStart w:id="669" w:name="_Toc247431429"/>
      <w:r>
        <w:rPr>
          <w:rFonts w:hint="eastAsia" w:ascii="宋体" w:hAnsi="宋体"/>
          <w:color w:val="auto"/>
          <w:sz w:val="21"/>
          <w:szCs w:val="21"/>
        </w:rPr>
        <w:t>六、人员基本素质</w:t>
      </w:r>
      <w:bookmarkEnd w:id="666"/>
      <w:bookmarkEnd w:id="667"/>
      <w:bookmarkEnd w:id="668"/>
      <w:bookmarkEnd w:id="669"/>
    </w:p>
    <w:p w14:paraId="0E5C542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承包人提供的人员必须满足下列要求：</w:t>
      </w:r>
    </w:p>
    <w:p w14:paraId="6438569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6633B27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2．无刑事案件牵连。</w:t>
      </w:r>
    </w:p>
    <w:p w14:paraId="0D3DB3E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3．无吸毒、酗酒、赌博、嫖娼等恶习及违法行为。</w:t>
      </w:r>
    </w:p>
    <w:p w14:paraId="3993C45D">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70" w:name="_Toc247418270"/>
      <w:bookmarkStart w:id="671" w:name="_Toc247431430"/>
      <w:bookmarkStart w:id="672" w:name="_Toc532375706"/>
      <w:bookmarkStart w:id="673" w:name="_Toc239510296"/>
      <w:r>
        <w:rPr>
          <w:rFonts w:hint="eastAsia" w:ascii="宋体" w:hAnsi="宋体"/>
          <w:color w:val="auto"/>
          <w:sz w:val="21"/>
          <w:szCs w:val="21"/>
        </w:rPr>
        <w:t>七、劳动保护</w:t>
      </w:r>
      <w:bookmarkEnd w:id="670"/>
      <w:bookmarkEnd w:id="671"/>
      <w:bookmarkEnd w:id="672"/>
      <w:bookmarkEnd w:id="673"/>
    </w:p>
    <w:p w14:paraId="28EE015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1．承包人负责为本单位任何用工形式的员工提供个人劳动保护用品（包括工作服、安全帽、安全鞋等）。</w:t>
      </w:r>
    </w:p>
    <w:p w14:paraId="51CEEF3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2．承包人负责向特殊工种的员工提供特殊劳动保护，否则不得从事特殊工种作业。</w:t>
      </w:r>
    </w:p>
    <w:p w14:paraId="28B1E44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3．发包人委托的监理公司有权检查承包人的个人劳动保护用品是否符合国家的相应标准。</w:t>
      </w:r>
    </w:p>
    <w:p w14:paraId="6B9692C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 承包人在特殊风险场所作业而需要特殊防护用品或安全仪表时，必须在上述防护用品全部到位后才能开工。</w:t>
      </w:r>
    </w:p>
    <w:p w14:paraId="7D22F4B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5．承包人应配备临时安全围栏、警示带、警告标志、防火布等集体防护用品。</w:t>
      </w:r>
    </w:p>
    <w:p w14:paraId="36C9E3C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74" w:name="_Toc247418271"/>
      <w:bookmarkStart w:id="675" w:name="_Toc247431431"/>
      <w:bookmarkStart w:id="676" w:name="_Toc532375707"/>
      <w:bookmarkStart w:id="677" w:name="_Toc239510297"/>
      <w:r>
        <w:rPr>
          <w:rFonts w:hint="eastAsia" w:ascii="宋体" w:hAnsi="宋体"/>
          <w:color w:val="auto"/>
          <w:sz w:val="21"/>
          <w:szCs w:val="21"/>
        </w:rPr>
        <w:t>八、施工机具与材料</w:t>
      </w:r>
      <w:bookmarkEnd w:id="674"/>
      <w:bookmarkEnd w:id="675"/>
      <w:bookmarkEnd w:id="676"/>
      <w:bookmarkEnd w:id="677"/>
    </w:p>
    <w:p w14:paraId="41F92D1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1．承包人对带入现场的施工机械和工器具的安全负责。</w:t>
      </w:r>
    </w:p>
    <w:p w14:paraId="22B2086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2．对于承包人带入现场的特殊工器具，如起重设备、索具、机动车辆、压缩气瓶等，承包人必须按国家法规和标准进行检测、试验，并持有法定部门出具的检验证书。</w:t>
      </w:r>
    </w:p>
    <w:p w14:paraId="08DE9F0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3．对于不属于法定检测的工器具，承包人也必须建立相应的管理、检测制度，这些工器具包括登高工具、脚手架材料、电动工具、安全防护设备及用具等。</w:t>
      </w:r>
    </w:p>
    <w:p w14:paraId="1786492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78" w:name="_Toc247431432"/>
      <w:bookmarkStart w:id="679" w:name="_Toc239510298"/>
      <w:bookmarkStart w:id="680" w:name="_Toc532375708"/>
      <w:bookmarkStart w:id="681" w:name="_Toc247418272"/>
      <w:r>
        <w:rPr>
          <w:rFonts w:hint="eastAsia" w:ascii="宋体" w:hAnsi="宋体"/>
          <w:color w:val="auto"/>
          <w:sz w:val="21"/>
          <w:szCs w:val="21"/>
        </w:rPr>
        <w:t>九、开工前安全条件检查</w:t>
      </w:r>
      <w:bookmarkEnd w:id="678"/>
      <w:bookmarkEnd w:id="679"/>
      <w:bookmarkEnd w:id="680"/>
      <w:bookmarkEnd w:id="681"/>
    </w:p>
    <w:p w14:paraId="15518A8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C5628C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77105D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2C1280C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82" w:name="_Toc532375709"/>
      <w:bookmarkStart w:id="683" w:name="_Toc247418273"/>
      <w:bookmarkStart w:id="684" w:name="_Toc239510299"/>
      <w:bookmarkStart w:id="685" w:name="_Toc247431433"/>
      <w:r>
        <w:rPr>
          <w:rFonts w:hint="eastAsia" w:ascii="宋体" w:hAnsi="宋体"/>
          <w:color w:val="auto"/>
          <w:sz w:val="21"/>
          <w:szCs w:val="21"/>
        </w:rPr>
        <w:t>十、安全监督</w:t>
      </w:r>
      <w:bookmarkEnd w:id="682"/>
      <w:bookmarkEnd w:id="683"/>
      <w:bookmarkEnd w:id="684"/>
      <w:bookmarkEnd w:id="685"/>
    </w:p>
    <w:p w14:paraId="6368D83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1．承包人应配备有满足项目安全管理需要的专职安全管理人员。</w:t>
      </w:r>
    </w:p>
    <w:p w14:paraId="0CC68C6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2．承包人的专职安全管理人员必须持建设主管部门颁发的安全生产知识考核合格证书。</w:t>
      </w:r>
    </w:p>
    <w:p w14:paraId="4EA77CD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3．承包人的专职安全管理人员在业务上接受发包人委托的监理公司和发包人安全管理部门的协调和指导。</w:t>
      </w:r>
    </w:p>
    <w:p w14:paraId="606D29A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4．承包人应建立班前安全交底制度；施工期间坚持开展安全检查和日常安全监督并形成相应的记录。</w:t>
      </w:r>
    </w:p>
    <w:p w14:paraId="68A6C7A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5．承包人应在每个作业区任命兼职安全员，赋予兼职安全员相应的授权和义务，并对兼职安全员进行定期考核。</w:t>
      </w:r>
    </w:p>
    <w:p w14:paraId="3862C67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6．承包人应接受和配合发包人专业部门及委托的监理公司的监督与安全评价。</w:t>
      </w:r>
    </w:p>
    <w:p w14:paraId="2D3316A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5E8C558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86" w:name="_Toc239510300"/>
      <w:bookmarkStart w:id="687" w:name="_Toc247431434"/>
      <w:bookmarkStart w:id="688" w:name="_Toc247418274"/>
      <w:bookmarkStart w:id="689" w:name="_Toc532375710"/>
      <w:r>
        <w:rPr>
          <w:rFonts w:hint="eastAsia" w:ascii="宋体" w:hAnsi="宋体"/>
          <w:color w:val="auto"/>
          <w:sz w:val="21"/>
          <w:szCs w:val="21"/>
        </w:rPr>
        <w:t>十一、安全培训与授权</w:t>
      </w:r>
      <w:bookmarkEnd w:id="686"/>
      <w:bookmarkEnd w:id="687"/>
      <w:bookmarkEnd w:id="688"/>
      <w:bookmarkEnd w:id="689"/>
    </w:p>
    <w:p w14:paraId="2F97428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35E723F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2．承包人应在特殊工种之外的其他工种中，筛选出高风险工种，并对其开展针对性的专题安全培训。</w:t>
      </w:r>
    </w:p>
    <w:p w14:paraId="4477390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3．承包人应组织 “入场培训”和考核。发包人委托的监理公司有权监督培训、考核情况或组织抽查考核。</w:t>
      </w:r>
    </w:p>
    <w:p w14:paraId="1C2B156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4．承包人应建立安全培训和考核机制，编制培训教材和培训滚动计划。承包人应组织安全考试/考核，建立培训考核记录，发包人委托的监理公司有权查看这些记录。</w:t>
      </w:r>
    </w:p>
    <w:p w14:paraId="439DF95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90" w:name="_Toc239510301"/>
      <w:bookmarkStart w:id="691" w:name="_Toc247431435"/>
      <w:bookmarkStart w:id="692" w:name="_Toc532375711"/>
      <w:bookmarkStart w:id="693" w:name="_Toc247418275"/>
      <w:r>
        <w:rPr>
          <w:rFonts w:hint="eastAsia" w:ascii="宋体" w:hAnsi="宋体"/>
          <w:color w:val="auto"/>
          <w:sz w:val="21"/>
          <w:szCs w:val="21"/>
        </w:rPr>
        <w:t>十二、职业健康与卫生防疫</w:t>
      </w:r>
      <w:bookmarkEnd w:id="690"/>
      <w:bookmarkEnd w:id="691"/>
      <w:bookmarkEnd w:id="692"/>
      <w:bookmarkEnd w:id="693"/>
    </w:p>
    <w:p w14:paraId="174B192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1E35AAE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2．承包人应保证卫生防疫基本设施的投入，以满足医疗、急救的要求，建立外部医疗支持渠道。</w:t>
      </w:r>
    </w:p>
    <w:p w14:paraId="065BEDD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6DE46F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94" w:name="_Toc247418276"/>
      <w:bookmarkStart w:id="695" w:name="_Toc247431436"/>
      <w:bookmarkStart w:id="696" w:name="_Toc532375712"/>
      <w:bookmarkStart w:id="697" w:name="_Toc239510302"/>
      <w:r>
        <w:rPr>
          <w:rFonts w:hint="eastAsia" w:ascii="宋体" w:hAnsi="宋体"/>
          <w:color w:val="auto"/>
          <w:sz w:val="21"/>
          <w:szCs w:val="21"/>
        </w:rPr>
        <w:t>十三、文明施工与环保要求</w:t>
      </w:r>
      <w:bookmarkEnd w:id="694"/>
      <w:bookmarkEnd w:id="695"/>
      <w:bookmarkEnd w:id="696"/>
      <w:bookmarkEnd w:id="697"/>
    </w:p>
    <w:p w14:paraId="315E75E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1．承包人需制订施工现场的文明施工措施，保持良好的施工现场秩序。施工现场的物料堆放要摆放整齐，安全标志和宣传标志要清楚醒目，废料、废物要分类收集，安全通道要畅通。</w:t>
      </w:r>
    </w:p>
    <w:p w14:paraId="5793EF7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2．承包人作业时应避免建筑材料抛洒、飞扬、流淌；应尽可能降低噪音、震动。</w:t>
      </w:r>
    </w:p>
    <w:p w14:paraId="24747F1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3．承包人应根据实际需要，在施工现场布置临时卫生设施（洗手间、卫生间等），施工作业不破坏环境卫生，不污染现场环境。</w:t>
      </w:r>
    </w:p>
    <w:p w14:paraId="32A91C4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4．承包人在施工中应充分重视对环境的保护，保护绿色植被，保护古树。施工如需伤害古树，必须报告发包人委托的监理公司，在未得到指令前，禁止擅自伤害古树。</w:t>
      </w:r>
    </w:p>
    <w:p w14:paraId="066C071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9DEE6A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6．承包人在施工中应禁止向环境，排放工业污水、生活污水、废油或其他有害物质。</w:t>
      </w:r>
    </w:p>
    <w:p w14:paraId="305FA5B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58CF2C1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98" w:name="_Toc247418277"/>
      <w:bookmarkStart w:id="699" w:name="_Toc239510303"/>
      <w:bookmarkStart w:id="700" w:name="_Toc532375713"/>
      <w:bookmarkStart w:id="701" w:name="_Toc247431437"/>
      <w:r>
        <w:rPr>
          <w:rFonts w:hint="eastAsia" w:ascii="宋体" w:hAnsi="宋体"/>
          <w:color w:val="auto"/>
          <w:sz w:val="21"/>
          <w:szCs w:val="21"/>
        </w:rPr>
        <w:t>十四、工程风险管理与事故预防</w:t>
      </w:r>
      <w:bookmarkEnd w:id="698"/>
      <w:bookmarkEnd w:id="699"/>
      <w:bookmarkEnd w:id="700"/>
      <w:bookmarkEnd w:id="701"/>
    </w:p>
    <w:p w14:paraId="5A871A3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702" w:name="_Toc247418278"/>
      <w:bookmarkStart w:id="703" w:name="_Toc239510304"/>
      <w:bookmarkStart w:id="704" w:name="_Toc247431438"/>
      <w:r>
        <w:rPr>
          <w:rFonts w:hint="eastAsia" w:ascii="宋体" w:hAnsi="宋体"/>
          <w:color w:val="auto"/>
          <w:sz w:val="21"/>
          <w:szCs w:val="21"/>
        </w:rPr>
        <w:t>（一）基本要求</w:t>
      </w:r>
      <w:bookmarkEnd w:id="702"/>
      <w:bookmarkEnd w:id="703"/>
      <w:bookmarkEnd w:id="704"/>
    </w:p>
    <w:p w14:paraId="5DA9E86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705" w:name="_Toc532375714"/>
      <w:r>
        <w:rPr>
          <w:rFonts w:hint="eastAsia" w:ascii="宋体" w:hAnsi="宋体"/>
          <w:color w:val="auto"/>
          <w:sz w:val="21"/>
          <w:szCs w:val="21"/>
        </w:rPr>
        <w:t>1．承包人应对施工过程进行全面、深入的危险源识别和风险分析。在施工安全组织设计中提供危险源及重要危险源清单、作业风险分析报告，该报告应包括（但不限于）如下信息：</w:t>
      </w:r>
      <w:bookmarkEnd w:id="705"/>
    </w:p>
    <w:p w14:paraId="2C9EF42C">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（1）高风险作业和工种清单：作业名称、类别和数量、主要事故风险。</w:t>
      </w:r>
    </w:p>
    <w:p w14:paraId="38339E2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（2）施工能源和机械的种类、数量和主要事故风险。</w:t>
      </w:r>
    </w:p>
    <w:p w14:paraId="273C786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（3）施工作业条件的类型和主要事故风险。</w:t>
      </w:r>
    </w:p>
    <w:p w14:paraId="6E77F54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（4）主要工艺过程（或施工活动）的类别及其相关的事故风险。</w:t>
      </w:r>
    </w:p>
    <w:p w14:paraId="397EB0D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（5）主要火灾危险（可燃物、点火源）。</w:t>
      </w:r>
    </w:p>
    <w:p w14:paraId="76BBC6C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（6）主要自然灾害（洪水、大风、雷暴、暴雨、地质灾害等）。</w:t>
      </w:r>
    </w:p>
    <w:p w14:paraId="21BCCCF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（7）主要环境保护事件（有害垃圾、机械的跑冒滴漏、原材料流失、水土流失等）。</w:t>
      </w:r>
    </w:p>
    <w:p w14:paraId="0055B8C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（8）其他。</w:t>
      </w:r>
    </w:p>
    <w:p w14:paraId="0AB2030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2．承包人应针对识别出的危险源制定有针对性的事故预防措施并确保在施工中得到有效落实。</w:t>
      </w:r>
    </w:p>
    <w:p w14:paraId="4F2E3CB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3．承包人应建立日常施工活动的动态作业风险分析和安全交底制度。该制度应明确规定风险分析的方法、责任和交底的内容、时间及记录。</w:t>
      </w:r>
    </w:p>
    <w:p w14:paraId="0BF1145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706" w:name="_Toc247418279"/>
      <w:bookmarkStart w:id="707" w:name="_Toc247431439"/>
      <w:bookmarkStart w:id="708" w:name="_Toc239510305"/>
      <w:r>
        <w:rPr>
          <w:rFonts w:hint="eastAsia" w:ascii="宋体" w:hAnsi="宋体"/>
          <w:color w:val="auto"/>
          <w:sz w:val="21"/>
          <w:szCs w:val="21"/>
        </w:rPr>
        <w:t>（二）现场作业基本安全条件</w:t>
      </w:r>
      <w:bookmarkEnd w:id="706"/>
      <w:bookmarkEnd w:id="707"/>
      <w:bookmarkEnd w:id="708"/>
    </w:p>
    <w:p w14:paraId="594B3AF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1A4D47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709" w:name="_Toc247418280"/>
      <w:bookmarkStart w:id="710" w:name="_Toc239510306"/>
      <w:bookmarkStart w:id="711" w:name="_Toc247431440"/>
      <w:bookmarkStart w:id="712" w:name="_Toc532375715"/>
      <w:r>
        <w:rPr>
          <w:rFonts w:hint="eastAsia" w:ascii="宋体" w:hAnsi="宋体"/>
          <w:color w:val="auto"/>
          <w:sz w:val="21"/>
          <w:szCs w:val="21"/>
        </w:rPr>
        <w:t>十五、事故报告与应急救援</w:t>
      </w:r>
      <w:bookmarkEnd w:id="709"/>
      <w:bookmarkEnd w:id="710"/>
      <w:bookmarkEnd w:id="711"/>
      <w:bookmarkEnd w:id="712"/>
    </w:p>
    <w:p w14:paraId="3FA4C52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1．承包人应制定对于未遂事故及以上级别的安全事件和事故，定期报送安全月度快报、季报、年报和各种专项事故报告等。</w:t>
      </w:r>
    </w:p>
    <w:p w14:paraId="1E36554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2．承包人应建立安全事故统计记录、未遂事故统计记录、违章统计记录，并根据统计情况进行分析，并就分析结果制定相应的预防措施。</w:t>
      </w:r>
    </w:p>
    <w:p w14:paraId="5A46795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3．承包人应建立事故应急救援机制，明确事故处置的基本原则，即现场发生事故时，首先抢救生命，向救援组织报警，并采取措施限制事故扩大。</w:t>
      </w:r>
    </w:p>
    <w:p w14:paraId="565907D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4．承包人应建立相应的应急响应组织，以便能迅速处理突发意外。</w:t>
      </w:r>
    </w:p>
    <w:p w14:paraId="56C1335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5．承包人应建立专项应急响应预案，包括重大人身伤亡事故的救护预案、火灾响应预案、“四防”预案（防风、防冻、防雷、防暴雨）、重大疫病防护预案、环境污染防护预案、地质灾害防护预案等。</w:t>
      </w:r>
    </w:p>
    <w:p w14:paraId="3F843E1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6．承包人应对应急预案进行适当演练，保证应急预案的可操作性。</w:t>
      </w:r>
    </w:p>
    <w:p w14:paraId="57287E6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7．在工地的其他施工单位发生重大事故时，承包人应无条件立即配合、支持事故抢险。</w:t>
      </w:r>
    </w:p>
    <w:p w14:paraId="396E611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8．承包人必须为事故处置支付各项费用，包括受伤者的抚恤、补偿等费用，并按合同要求赔偿对发包人造成的损失。</w:t>
      </w:r>
    </w:p>
    <w:p w14:paraId="3551896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9．由于发包人原因而造成的事故，发包人应负责按事故的具体损失情况给予承包人经济赔偿。</w:t>
      </w:r>
    </w:p>
    <w:p w14:paraId="089F445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10．涉及承包人员工的伤害事故，承包人除要报告发包人委托的监理公司外，还应负责按照国家、行业和本单位上级公司的要求，上报事故。</w:t>
      </w:r>
    </w:p>
    <w:p w14:paraId="3E5557C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713" w:name="_Toc239510307"/>
      <w:bookmarkStart w:id="714" w:name="_Toc247418281"/>
      <w:bookmarkStart w:id="715" w:name="_Toc532375716"/>
      <w:bookmarkStart w:id="716" w:name="_Toc247431441"/>
      <w:r>
        <w:rPr>
          <w:rFonts w:hint="eastAsia" w:ascii="宋体" w:hAnsi="宋体"/>
          <w:color w:val="auto"/>
          <w:sz w:val="21"/>
          <w:szCs w:val="21"/>
        </w:rPr>
        <w:t>十六、安全业绩考核</w:t>
      </w:r>
      <w:bookmarkEnd w:id="713"/>
      <w:bookmarkEnd w:id="714"/>
      <w:bookmarkEnd w:id="715"/>
      <w:bookmarkEnd w:id="716"/>
    </w:p>
    <w:p w14:paraId="6571EA9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为了落实安全管理的责任，承包人在施工过程中发生安全事故时，承包人除应按国家有关规定承担责任和处罚外，发包人还将按照以下标准进行考核：</w:t>
      </w:r>
    </w:p>
    <w:tbl>
      <w:tblPr>
        <w:tblStyle w:val="45"/>
        <w:tblW w:w="0" w:type="auto"/>
        <w:jc w:val="center"/>
        <w:tblLayout w:type="fixed"/>
        <w:tblCellMar>
          <w:top w:w="0" w:type="dxa"/>
          <w:left w:w="0" w:type="dxa"/>
          <w:bottom w:w="0" w:type="dxa"/>
          <w:right w:w="0" w:type="dxa"/>
        </w:tblCellMar>
      </w:tblPr>
      <w:tblGrid>
        <w:gridCol w:w="3240"/>
        <w:gridCol w:w="3765"/>
      </w:tblGrid>
      <w:tr w14:paraId="7E45FE16">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605B7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02C8D7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违约金额</w:t>
            </w:r>
          </w:p>
        </w:tc>
      </w:tr>
      <w:tr w14:paraId="6E7A4CE6">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17114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14:paraId="42936DF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kern w:val="0"/>
                <w:sz w:val="21"/>
                <w:szCs w:val="21"/>
              </w:rPr>
              <w:t>签约合同价</w:t>
            </w:r>
            <w:r>
              <w:rPr>
                <w:rFonts w:hint="eastAsia" w:ascii="宋体" w:hAnsi="宋体"/>
                <w:color w:val="auto"/>
                <w:sz w:val="21"/>
                <w:szCs w:val="21"/>
              </w:rPr>
              <w:t>的0.5‰</w:t>
            </w:r>
          </w:p>
        </w:tc>
      </w:tr>
      <w:tr w14:paraId="1A9E584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A1FB8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14:paraId="57BDCBA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签约合同价的2‰</w:t>
            </w:r>
          </w:p>
        </w:tc>
      </w:tr>
      <w:tr w14:paraId="2FD59CD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8A6F9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61BD386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签约合同价的4‰</w:t>
            </w:r>
          </w:p>
        </w:tc>
      </w:tr>
    </w:tbl>
    <w:p w14:paraId="2F41081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（1）较大事故，是指造成3人以上10人以下死亡，或者10人以上50人以下重伤，或者1000万元以上5000万元以下直接经济损失的事故；</w:t>
      </w:r>
    </w:p>
    <w:p w14:paraId="73D5E1B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（2）重大事故，是指造成10人以上30人以下死亡，或者50人以上100人以下重伤，或者5000万元以上1亿元以下直接经济损失的事故；</w:t>
      </w:r>
    </w:p>
    <w:p w14:paraId="25A828C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（3）特别重大事故，是指造成30人以上死亡，或者100人以上重伤（包括急性工业中毒，下同），或者1亿元以上直接经济损失的事故；</w:t>
      </w:r>
    </w:p>
    <w:p w14:paraId="05DD4E6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（4）所称的“以上”包括本数，所称的“以下”不包括本数。</w:t>
      </w:r>
    </w:p>
    <w:p w14:paraId="10F5DA7C">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（5）如整个施工过程未发生以上安全事故，则给予承包人建安费总额的1‰的安全奖励。</w:t>
      </w:r>
    </w:p>
    <w:p w14:paraId="3C8B8E9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5B864E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717" w:name="_Toc247431442"/>
      <w:bookmarkStart w:id="718" w:name="_Toc239510308"/>
      <w:bookmarkStart w:id="719" w:name="_Toc247418282"/>
      <w:bookmarkStart w:id="720" w:name="_Toc532375717"/>
      <w:r>
        <w:rPr>
          <w:rFonts w:hint="eastAsia" w:ascii="宋体" w:hAnsi="宋体"/>
          <w:color w:val="auto"/>
          <w:sz w:val="21"/>
          <w:szCs w:val="21"/>
        </w:rPr>
        <w:t>十七、协议条款的修订</w:t>
      </w:r>
      <w:bookmarkEnd w:id="717"/>
      <w:bookmarkEnd w:id="718"/>
      <w:bookmarkEnd w:id="719"/>
      <w:bookmarkEnd w:id="720"/>
    </w:p>
    <w:p w14:paraId="15A8F32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在项目实施过程中，经双方友好协商，本协议的有关条款也可做出相应的修改。</w:t>
      </w:r>
    </w:p>
    <w:p w14:paraId="0A1EE75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本工程安全管理协议，由发包人、承包人双方在施工承包合同签订后7天内共同签署，作为施工合同附件。</w:t>
      </w:r>
    </w:p>
    <w:p w14:paraId="577A6567">
      <w:pPr>
        <w:keepNext w:val="0"/>
        <w:keepLines w:val="0"/>
        <w:pageBreakBefore w:val="0"/>
        <w:widowControl w:val="0"/>
        <w:kinsoku/>
        <w:wordWrap/>
        <w:overflowPunct/>
        <w:topLinePunct w:val="0"/>
        <w:bidi w:val="0"/>
        <w:spacing w:line="400" w:lineRule="exact"/>
        <w:ind w:firstLine="420" w:firstLineChars="200"/>
        <w:jc w:val="left"/>
        <w:textAlignment w:val="auto"/>
        <w:rPr>
          <w:rFonts w:hint="eastAsia" w:ascii="宋体" w:hAnsi="宋体"/>
          <w:color w:val="auto"/>
          <w:sz w:val="21"/>
          <w:szCs w:val="21"/>
          <w:u w:val="single"/>
          <w:lang w:val="en-US" w:eastAsia="zh-CN"/>
        </w:rPr>
      </w:pPr>
      <w:r>
        <w:rPr>
          <w:rFonts w:hint="eastAsia" w:ascii="宋体" w:hAnsi="宋体"/>
          <w:color w:val="auto"/>
          <w:sz w:val="21"/>
          <w:szCs w:val="21"/>
        </w:rPr>
        <w:t>发  包  人（公章）：</w:t>
      </w:r>
      <w:r>
        <w:rPr>
          <w:rFonts w:hint="eastAsia" w:ascii="宋体" w:hAnsi="宋体"/>
          <w:color w:val="auto"/>
          <w:sz w:val="21"/>
          <w:szCs w:val="21"/>
          <w:u w:val="single"/>
          <w:lang w:val="en-US" w:eastAsia="zh-CN"/>
        </w:rPr>
        <w:t xml:space="preserve">                             </w:t>
      </w:r>
    </w:p>
    <w:p w14:paraId="2759C2A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法定代表人（签字）：</w:t>
      </w:r>
    </w:p>
    <w:p w14:paraId="68BBDBF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或其委托代理人（签字）：</w:t>
      </w:r>
    </w:p>
    <w:p w14:paraId="39C910B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kern w:val="0"/>
          <w:sz w:val="21"/>
          <w:szCs w:val="21"/>
        </w:rPr>
      </w:pPr>
      <w:r>
        <w:rPr>
          <w:rFonts w:hint="eastAsia" w:ascii="宋体" w:hAnsi="宋体"/>
          <w:color w:val="auto"/>
          <w:sz w:val="21"/>
          <w:szCs w:val="21"/>
        </w:rPr>
        <w:t>承  包  人（公章）：</w:t>
      </w:r>
      <w:r>
        <w:rPr>
          <w:rFonts w:hint="eastAsia" w:ascii="宋体" w:hAnsi="宋体"/>
          <w:color w:val="auto"/>
          <w:sz w:val="21"/>
          <w:szCs w:val="21"/>
          <w:u w:val="single"/>
        </w:rPr>
        <w:t xml:space="preserve">  </w:t>
      </w:r>
      <w:r>
        <w:rPr>
          <w:rFonts w:ascii="宋体" w:hAnsi="宋体"/>
          <w:color w:val="auto"/>
          <w:sz w:val="21"/>
          <w:szCs w:val="21"/>
          <w:u w:val="single"/>
        </w:rPr>
        <w:t xml:space="preserve">                         </w:t>
      </w:r>
    </w:p>
    <w:p w14:paraId="3828C38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法定代表人（签字）：</w:t>
      </w:r>
    </w:p>
    <w:p w14:paraId="673F2D1E">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ascii="宋体" w:hAnsi="宋体"/>
          <w:color w:val="auto"/>
          <w:sz w:val="21"/>
          <w:szCs w:val="21"/>
        </w:rPr>
        <w:t>或其委托代理人（签字）：</w:t>
      </w:r>
    </w:p>
    <w:p w14:paraId="184892B2">
      <w:pPr>
        <w:spacing w:beforeLines="50" w:afterLines="50" w:line="360" w:lineRule="auto"/>
        <w:ind w:firstLine="1260" w:firstLineChars="600"/>
        <w:rPr>
          <w:rFonts w:hint="eastAsia"/>
          <w:color w:val="auto"/>
        </w:rPr>
      </w:pPr>
      <w:r>
        <w:rPr>
          <w:rFonts w:hint="eastAsia"/>
          <w:color w:val="auto"/>
        </w:rPr>
        <w:br w:type="page"/>
      </w:r>
    </w:p>
    <w:p w14:paraId="55FCC5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napToGrid w:val="0"/>
          <w:color w:val="auto"/>
          <w:kern w:val="0"/>
          <w:szCs w:val="21"/>
        </w:rPr>
      </w:pPr>
    </w:p>
    <w:p w14:paraId="63BEBA55">
      <w:pPr>
        <w:rPr>
          <w:color w:val="auto"/>
        </w:rPr>
      </w:pPr>
    </w:p>
    <w:p w14:paraId="5D3EE44D">
      <w:pPr>
        <w:rPr>
          <w:rFonts w:ascii="宋体" w:hAnsi="宋体"/>
          <w:b/>
          <w:color w:val="auto"/>
        </w:rPr>
      </w:pPr>
      <w:r>
        <w:rPr>
          <w:rFonts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12B241D1"/>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12B241D1"/>
                  </w:txbxContent>
                </v:textbox>
              </v:rect>
            </w:pict>
          </mc:Fallback>
        </mc:AlternateContent>
      </w:r>
      <w:r>
        <w:rPr>
          <w:rFonts w:ascii="宋体" w:hAnsi="宋体"/>
          <w:color w:val="auto"/>
        </w:rPr>
        <w:br w:type="page"/>
      </w:r>
    </w:p>
    <w:p w14:paraId="22C51F7F">
      <w:pPr>
        <w:spacing w:line="360" w:lineRule="auto"/>
        <w:ind w:firstLine="420" w:firstLineChars="200"/>
        <w:rPr>
          <w:rFonts w:ascii="宋体" w:hAnsi="宋体"/>
          <w:color w:val="auto"/>
          <w:szCs w:val="20"/>
        </w:rPr>
      </w:pPr>
      <w:bookmarkStart w:id="721" w:name="招标文件05章工程量清单"/>
      <w:bookmarkEnd w:id="721"/>
    </w:p>
    <w:p w14:paraId="12545FD7">
      <w:pPr>
        <w:pStyle w:val="3"/>
        <w:spacing w:before="0" w:after="0" w:line="360" w:lineRule="auto"/>
        <w:jc w:val="center"/>
        <w:rPr>
          <w:rFonts w:ascii="宋体" w:hAnsi="宋体"/>
          <w:color w:val="auto"/>
        </w:rPr>
      </w:pPr>
      <w:bookmarkStart w:id="722" w:name="_Toc509218843"/>
      <w:bookmarkStart w:id="723" w:name="_Toc16194"/>
      <w:bookmarkStart w:id="724" w:name="_Toc534185822"/>
      <w:bookmarkStart w:id="725" w:name="_Toc29526"/>
      <w:bookmarkStart w:id="726" w:name="_Toc430530513"/>
      <w:bookmarkStart w:id="727" w:name="_Toc287620797"/>
      <w:bookmarkStart w:id="728" w:name="_Toc287607855"/>
      <w:r>
        <w:rPr>
          <w:rFonts w:hint="eastAsia" w:ascii="宋体" w:hAnsi="宋体"/>
          <w:color w:val="auto"/>
        </w:rPr>
        <w:t>第五章  工程量清单</w:t>
      </w:r>
      <w:bookmarkEnd w:id="722"/>
      <w:bookmarkEnd w:id="723"/>
      <w:bookmarkEnd w:id="724"/>
      <w:bookmarkEnd w:id="725"/>
      <w:bookmarkEnd w:id="726"/>
      <w:bookmarkEnd w:id="727"/>
      <w:bookmarkEnd w:id="728"/>
      <w:bookmarkStart w:id="729" w:name="招标文件05章工程量清单01"/>
      <w:bookmarkEnd w:id="729"/>
      <w:bookmarkStart w:id="730" w:name="_Toc287620798"/>
      <w:bookmarkStart w:id="731" w:name="_Toc430530514"/>
      <w:bookmarkStart w:id="732" w:name="_Toc277082638"/>
      <w:bookmarkStart w:id="733" w:name="_Toc287607856"/>
      <w:bookmarkStart w:id="734" w:name="_Toc224103477"/>
    </w:p>
    <w:bookmarkEnd w:id="730"/>
    <w:bookmarkEnd w:id="731"/>
    <w:bookmarkEnd w:id="732"/>
    <w:bookmarkEnd w:id="733"/>
    <w:bookmarkEnd w:id="734"/>
    <w:p w14:paraId="1360444F">
      <w:pPr>
        <w:snapToGrid w:val="0"/>
        <w:spacing w:line="360" w:lineRule="auto"/>
        <w:jc w:val="center"/>
        <w:rPr>
          <w:rFonts w:ascii="宋体" w:hAnsi="宋体"/>
          <w:color w:val="auto"/>
          <w:sz w:val="24"/>
        </w:rPr>
      </w:pPr>
    </w:p>
    <w:p w14:paraId="26532EFB">
      <w:pPr>
        <w:snapToGrid w:val="0"/>
        <w:spacing w:line="360" w:lineRule="auto"/>
        <w:jc w:val="center"/>
        <w:rPr>
          <w:rFonts w:ascii="宋体" w:hAnsi="宋体"/>
          <w:color w:val="auto"/>
          <w:szCs w:val="21"/>
        </w:rPr>
      </w:pPr>
      <w:r>
        <w:rPr>
          <w:rFonts w:hint="eastAsia" w:ascii="宋体" w:hAnsi="宋体"/>
          <w:color w:val="auto"/>
          <w:szCs w:val="20"/>
          <w:highlight w:val="none"/>
        </w:rPr>
        <w:t>在</w:t>
      </w:r>
      <w:r>
        <w:rPr>
          <w:rFonts w:hint="eastAsia" w:ascii="宋体" w:hAnsi="宋体"/>
          <w:color w:val="auto"/>
          <w:szCs w:val="20"/>
          <w:highlight w:val="none"/>
          <w:u w:val="single"/>
          <w:lang w:eastAsia="zh-CN"/>
        </w:rPr>
        <w:t>“行采家”（www.gec123.com）</w:t>
      </w:r>
      <w:r>
        <w:rPr>
          <w:rFonts w:hint="eastAsia" w:ascii="宋体" w:hAnsi="宋体"/>
          <w:color w:val="auto"/>
          <w:szCs w:val="20"/>
          <w:highlight w:val="none"/>
          <w:u w:val="none"/>
          <w:lang w:eastAsia="zh-CN"/>
        </w:rPr>
        <w:t>下载</w:t>
      </w:r>
      <w:r>
        <w:rPr>
          <w:rFonts w:hint="eastAsia" w:ascii="宋体" w:hAnsi="宋体"/>
          <w:color w:val="auto"/>
          <w:szCs w:val="20"/>
        </w:rPr>
        <w:t>。</w:t>
      </w:r>
    </w:p>
    <w:p w14:paraId="6B2B3000">
      <w:pPr>
        <w:ind w:right="561"/>
        <w:rPr>
          <w:rFonts w:ascii="宋体" w:hAnsi="宋体"/>
          <w:color w:val="auto"/>
          <w:szCs w:val="21"/>
        </w:rPr>
      </w:pPr>
      <w:r>
        <w:rPr>
          <w:rFonts w:ascii="宋体" w:hAnsi="宋体"/>
          <w:color w:val="auto"/>
          <w:sz w:val="24"/>
        </w:rPr>
        <w:br w:type="page"/>
      </w:r>
    </w:p>
    <w:p w14:paraId="36001AF5">
      <w:pPr>
        <w:pStyle w:val="3"/>
        <w:spacing w:line="360" w:lineRule="auto"/>
        <w:jc w:val="center"/>
        <w:rPr>
          <w:rFonts w:ascii="宋体" w:hAnsi="宋体"/>
          <w:color w:val="auto"/>
        </w:rPr>
      </w:pPr>
      <w:bookmarkStart w:id="735" w:name="招标文件06章图纸"/>
      <w:bookmarkEnd w:id="735"/>
      <w:bookmarkStart w:id="736" w:name="_Toc287607861"/>
      <w:bookmarkStart w:id="737" w:name="_Toc509218846"/>
      <w:bookmarkStart w:id="738" w:name="_Toc287620803"/>
      <w:bookmarkStart w:id="739" w:name="_Toc430530519"/>
      <w:bookmarkStart w:id="740" w:name="_Toc22154"/>
      <w:bookmarkStart w:id="741" w:name="_Toc20092"/>
      <w:bookmarkStart w:id="742" w:name="_Toc534185825"/>
      <w:r>
        <w:rPr>
          <w:rFonts w:hint="eastAsia" w:ascii="宋体" w:hAnsi="宋体"/>
          <w:color w:val="auto"/>
        </w:rPr>
        <w:t>第六章  图纸</w:t>
      </w:r>
      <w:bookmarkEnd w:id="736"/>
      <w:bookmarkEnd w:id="737"/>
      <w:bookmarkEnd w:id="738"/>
      <w:bookmarkEnd w:id="739"/>
      <w:bookmarkEnd w:id="740"/>
      <w:bookmarkEnd w:id="741"/>
      <w:bookmarkEnd w:id="742"/>
    </w:p>
    <w:p w14:paraId="1D3A178E">
      <w:pPr>
        <w:spacing w:line="360" w:lineRule="auto"/>
        <w:jc w:val="center"/>
        <w:rPr>
          <w:rFonts w:ascii="宋体" w:hAnsi="宋体"/>
          <w:color w:val="auto"/>
          <w:szCs w:val="20"/>
        </w:rPr>
      </w:pPr>
      <w:r>
        <w:rPr>
          <w:rFonts w:hint="eastAsia" w:ascii="宋体" w:hAnsi="宋体"/>
          <w:color w:val="auto"/>
          <w:szCs w:val="20"/>
          <w:lang w:eastAsia="zh-CN"/>
        </w:rPr>
        <w:t>无</w:t>
      </w:r>
      <w:r>
        <w:rPr>
          <w:rFonts w:hint="eastAsia" w:ascii="宋体" w:hAnsi="宋体"/>
          <w:color w:val="auto"/>
          <w:szCs w:val="20"/>
        </w:rPr>
        <w:t>。</w:t>
      </w:r>
    </w:p>
    <w:p w14:paraId="786686FF">
      <w:pPr>
        <w:spacing w:line="360" w:lineRule="auto"/>
        <w:rPr>
          <w:rFonts w:ascii="宋体" w:hAnsi="宋体"/>
          <w:color w:val="auto"/>
          <w:szCs w:val="20"/>
        </w:rPr>
      </w:pPr>
      <w:bookmarkStart w:id="743" w:name="招标文件06章图纸01"/>
      <w:bookmarkEnd w:id="743"/>
      <w:bookmarkStart w:id="744" w:name="_Toc430530520"/>
      <w:bookmarkStart w:id="745" w:name="_Toc287620804"/>
    </w:p>
    <w:bookmarkEnd w:id="744"/>
    <w:bookmarkEnd w:id="745"/>
    <w:p w14:paraId="41C3B5FB">
      <w:pPr>
        <w:spacing w:line="360" w:lineRule="auto"/>
        <w:rPr>
          <w:rFonts w:ascii="宋体" w:hAnsi="宋体"/>
          <w:color w:val="auto"/>
        </w:rPr>
      </w:pPr>
      <w:r>
        <w:rPr>
          <w:rFonts w:ascii="宋体" w:hAnsi="宋体"/>
          <w:color w:val="auto"/>
          <w:szCs w:val="20"/>
        </w:rPr>
        <w:br w:type="page"/>
      </w:r>
    </w:p>
    <w:p w14:paraId="25C5B5BC">
      <w:pPr>
        <w:pStyle w:val="3"/>
        <w:spacing w:line="360" w:lineRule="auto"/>
        <w:jc w:val="center"/>
        <w:rPr>
          <w:rFonts w:ascii="宋体" w:hAnsi="宋体"/>
          <w:color w:val="auto"/>
        </w:rPr>
      </w:pPr>
      <w:bookmarkStart w:id="746" w:name="招标文件07章技术标准和要求"/>
      <w:bookmarkEnd w:id="746"/>
      <w:bookmarkStart w:id="747" w:name="_Toc17170"/>
      <w:bookmarkStart w:id="748" w:name="_Toc12"/>
      <w:r>
        <w:rPr>
          <w:rFonts w:ascii="宋体" w:hAnsi="宋体"/>
          <w:color w:val="auto"/>
        </w:rPr>
        <w:t>第七章</w:t>
      </w:r>
      <w:r>
        <w:rPr>
          <w:rFonts w:hint="eastAsia" w:ascii="宋体" w:hAnsi="宋体"/>
          <w:color w:val="auto"/>
        </w:rPr>
        <w:t xml:space="preserve">  </w:t>
      </w:r>
      <w:r>
        <w:rPr>
          <w:rFonts w:ascii="宋体" w:hAnsi="宋体"/>
          <w:color w:val="auto"/>
        </w:rPr>
        <w:t>技术标准和要求</w:t>
      </w:r>
      <w:bookmarkEnd w:id="747"/>
      <w:bookmarkEnd w:id="748"/>
      <w:bookmarkStart w:id="749" w:name="招标文件07章技术标准和要求01"/>
      <w:bookmarkEnd w:id="749"/>
      <w:bookmarkStart w:id="750" w:name="_Toc430530524"/>
      <w:bookmarkStart w:id="751" w:name="_Toc287620808"/>
    </w:p>
    <w:bookmarkEnd w:id="750"/>
    <w:bookmarkEnd w:id="751"/>
    <w:p w14:paraId="10220826">
      <w:pPr>
        <w:spacing w:line="360" w:lineRule="auto"/>
        <w:jc w:val="center"/>
        <w:rPr>
          <w:rFonts w:ascii="宋体" w:hAnsi="宋体"/>
          <w:color w:val="auto"/>
          <w:szCs w:val="21"/>
        </w:rPr>
      </w:pPr>
      <w:r>
        <w:rPr>
          <w:rFonts w:ascii="宋体" w:hAnsi="宋体"/>
          <w:color w:val="auto"/>
          <w:szCs w:val="21"/>
        </w:rPr>
        <w:t>由</w:t>
      </w:r>
      <w:r>
        <w:rPr>
          <w:rFonts w:hint="eastAsia" w:ascii="宋体" w:hAnsi="宋体"/>
          <w:color w:val="auto"/>
          <w:szCs w:val="21"/>
          <w:lang w:eastAsia="zh-CN"/>
        </w:rPr>
        <w:t>比选人</w:t>
      </w:r>
      <w:r>
        <w:rPr>
          <w:rFonts w:ascii="宋体" w:hAnsi="宋体"/>
          <w:color w:val="auto"/>
          <w:szCs w:val="21"/>
        </w:rPr>
        <w:t>根据</w:t>
      </w:r>
      <w:r>
        <w:rPr>
          <w:rFonts w:hint="eastAsia" w:ascii="宋体" w:hAnsi="宋体"/>
          <w:color w:val="auto"/>
          <w:szCs w:val="21"/>
          <w:lang w:eastAsia="zh-CN"/>
        </w:rPr>
        <w:t>比选项目</w:t>
      </w:r>
      <w:r>
        <w:rPr>
          <w:rFonts w:ascii="宋体" w:hAnsi="宋体"/>
          <w:color w:val="auto"/>
          <w:szCs w:val="21"/>
        </w:rPr>
        <w:t>的实际情况编写</w:t>
      </w:r>
      <w:r>
        <w:rPr>
          <w:rFonts w:hint="eastAsia" w:ascii="宋体" w:hAnsi="宋体"/>
          <w:color w:val="auto"/>
          <w:szCs w:val="21"/>
        </w:rPr>
        <w:t>（如有）。</w:t>
      </w:r>
    </w:p>
    <w:p w14:paraId="21AA3EC3">
      <w:pPr>
        <w:spacing w:line="360" w:lineRule="auto"/>
        <w:rPr>
          <w:rFonts w:ascii="宋体" w:hAnsi="宋体"/>
          <w:color w:val="auto"/>
        </w:rPr>
      </w:pPr>
      <w:r>
        <w:rPr>
          <w:rFonts w:ascii="宋体" w:hAnsi="宋体"/>
          <w:color w:val="auto"/>
        </w:rPr>
        <w:br w:type="page"/>
      </w:r>
    </w:p>
    <w:p w14:paraId="6A0F62A9">
      <w:pPr>
        <w:pStyle w:val="3"/>
        <w:spacing w:line="360" w:lineRule="auto"/>
        <w:jc w:val="center"/>
        <w:rPr>
          <w:rFonts w:ascii="宋体" w:hAnsi="宋体"/>
          <w:color w:val="auto"/>
        </w:rPr>
      </w:pPr>
      <w:bookmarkStart w:id="752" w:name="_Toc534185829"/>
      <w:bookmarkStart w:id="753" w:name="_Toc287607865"/>
      <w:bookmarkStart w:id="754" w:name="_Toc287620812"/>
      <w:bookmarkStart w:id="755" w:name="_Toc13509"/>
      <w:bookmarkStart w:id="756" w:name="_Toc430530528"/>
      <w:bookmarkStart w:id="757" w:name="_Toc23843"/>
      <w:bookmarkStart w:id="758" w:name="_Toc509218852"/>
      <w:r>
        <w:rPr>
          <w:rFonts w:hint="eastAsia" w:ascii="宋体" w:hAnsi="宋体"/>
          <w:color w:val="auto"/>
        </w:rPr>
        <w:t>第八章  投标文件格式</w:t>
      </w:r>
      <w:bookmarkEnd w:id="752"/>
      <w:bookmarkEnd w:id="753"/>
      <w:bookmarkEnd w:id="754"/>
      <w:bookmarkEnd w:id="755"/>
      <w:bookmarkEnd w:id="756"/>
      <w:bookmarkEnd w:id="757"/>
      <w:bookmarkEnd w:id="758"/>
    </w:p>
    <w:p w14:paraId="271F35D7">
      <w:pPr>
        <w:spacing w:line="360" w:lineRule="auto"/>
        <w:rPr>
          <w:rFonts w:ascii="宋体" w:hAnsi="宋体"/>
          <w:color w:val="auto"/>
          <w:sz w:val="32"/>
          <w:szCs w:val="32"/>
        </w:rPr>
      </w:pPr>
    </w:p>
    <w:p w14:paraId="594C6B01">
      <w:pPr>
        <w:spacing w:line="360" w:lineRule="auto"/>
        <w:jc w:val="center"/>
        <w:rPr>
          <w:rFonts w:ascii="宋体" w:hAnsi="宋体"/>
          <w:color w:val="auto"/>
          <w:sz w:val="36"/>
          <w:szCs w:val="36"/>
        </w:rPr>
      </w:pPr>
      <w:r>
        <w:rPr>
          <w:rFonts w:ascii="宋体" w:hAnsi="宋体"/>
          <w:color w:val="auto"/>
          <w:szCs w:val="20"/>
        </w:rPr>
        <w:br w:type="page"/>
      </w:r>
      <w:bookmarkStart w:id="759" w:name="_Toc224103493"/>
      <w:r>
        <w:rPr>
          <w:rFonts w:hint="eastAsia" w:ascii="宋体" w:hAnsi="宋体"/>
          <w:color w:val="auto"/>
          <w:sz w:val="36"/>
          <w:szCs w:val="36"/>
        </w:rPr>
        <w:t>目  录</w:t>
      </w:r>
      <w:bookmarkEnd w:id="759"/>
    </w:p>
    <w:p w14:paraId="63D8B6C4">
      <w:pPr>
        <w:spacing w:line="360" w:lineRule="auto"/>
        <w:jc w:val="center"/>
        <w:rPr>
          <w:rFonts w:ascii="宋体" w:hAnsi="宋体"/>
          <w:color w:val="auto"/>
          <w:szCs w:val="20"/>
        </w:rPr>
      </w:pPr>
    </w:p>
    <w:p w14:paraId="0677B2E1">
      <w:pPr>
        <w:spacing w:line="360" w:lineRule="auto"/>
        <w:rPr>
          <w:rFonts w:ascii="宋体" w:hAnsi="宋体"/>
          <w:b/>
          <w:color w:val="auto"/>
        </w:rPr>
      </w:pPr>
      <w:r>
        <w:rPr>
          <w:rFonts w:hint="eastAsia" w:ascii="宋体" w:hAnsi="宋体"/>
          <w:b/>
          <w:color w:val="auto"/>
          <w:lang w:eastAsia="zh-CN"/>
        </w:rPr>
        <w:t>一</w:t>
      </w:r>
      <w:r>
        <w:rPr>
          <w:rFonts w:ascii="宋体" w:hAnsi="宋体"/>
          <w:b/>
          <w:color w:val="auto"/>
        </w:rPr>
        <w:t>、投标函部分</w:t>
      </w:r>
    </w:p>
    <w:p w14:paraId="749B097D">
      <w:pPr>
        <w:spacing w:line="360" w:lineRule="auto"/>
        <w:ind w:firstLine="420" w:firstLineChars="200"/>
        <w:rPr>
          <w:rFonts w:ascii="宋体" w:hAnsi="宋体"/>
          <w:color w:val="auto"/>
        </w:rPr>
      </w:pPr>
      <w:r>
        <w:rPr>
          <w:rFonts w:ascii="宋体" w:hAnsi="宋体"/>
          <w:color w:val="auto"/>
        </w:rPr>
        <w:t>（一）投标函</w:t>
      </w:r>
    </w:p>
    <w:p w14:paraId="1660D688">
      <w:pPr>
        <w:spacing w:line="360" w:lineRule="auto"/>
        <w:ind w:firstLine="420" w:firstLineChars="200"/>
        <w:rPr>
          <w:rFonts w:ascii="宋体" w:hAnsi="宋体"/>
          <w:color w:val="auto"/>
        </w:rPr>
      </w:pPr>
      <w:r>
        <w:rPr>
          <w:rFonts w:ascii="宋体" w:hAnsi="宋体"/>
          <w:color w:val="auto"/>
        </w:rPr>
        <w:t>（二）投标函附录</w:t>
      </w:r>
    </w:p>
    <w:p w14:paraId="5C58E795">
      <w:pPr>
        <w:spacing w:line="360" w:lineRule="auto"/>
        <w:ind w:firstLine="420" w:firstLineChars="200"/>
        <w:rPr>
          <w:rFonts w:ascii="宋体" w:hAnsi="宋体"/>
          <w:color w:val="auto"/>
        </w:rPr>
      </w:pPr>
      <w:r>
        <w:rPr>
          <w:rFonts w:ascii="宋体" w:hAnsi="宋体"/>
          <w:color w:val="auto"/>
        </w:rPr>
        <w:t>（三）</w:t>
      </w:r>
      <w:r>
        <w:rPr>
          <w:rFonts w:hint="eastAsia" w:ascii="宋体" w:hAnsi="宋体"/>
          <w:color w:val="auto"/>
        </w:rPr>
        <w:t>法定代表人身份证明或附有法定代表人身份证明的授权委托书</w:t>
      </w:r>
    </w:p>
    <w:p w14:paraId="699F9188">
      <w:pPr>
        <w:spacing w:line="360" w:lineRule="auto"/>
        <w:rPr>
          <w:rFonts w:ascii="宋体" w:hAnsi="宋体"/>
          <w:b/>
          <w:color w:val="auto"/>
        </w:rPr>
      </w:pPr>
      <w:r>
        <w:rPr>
          <w:rFonts w:hint="eastAsia" w:ascii="宋体" w:hAnsi="宋体"/>
          <w:b/>
          <w:color w:val="auto"/>
          <w:lang w:eastAsia="zh-CN"/>
        </w:rPr>
        <w:t>二</w:t>
      </w:r>
      <w:r>
        <w:rPr>
          <w:rFonts w:ascii="宋体" w:hAnsi="宋体"/>
          <w:b/>
          <w:color w:val="auto"/>
        </w:rPr>
        <w:t>、</w:t>
      </w:r>
      <w:r>
        <w:rPr>
          <w:rFonts w:hint="eastAsia" w:ascii="宋体" w:hAnsi="宋体"/>
          <w:b/>
          <w:color w:val="auto"/>
        </w:rPr>
        <w:t>经济</w:t>
      </w:r>
      <w:r>
        <w:rPr>
          <w:rFonts w:ascii="宋体" w:hAnsi="宋体"/>
          <w:b/>
          <w:color w:val="auto"/>
        </w:rPr>
        <w:t>部分</w:t>
      </w:r>
    </w:p>
    <w:p w14:paraId="7EF9383B">
      <w:pPr>
        <w:spacing w:line="360" w:lineRule="auto"/>
        <w:ind w:firstLine="420" w:firstLineChars="200"/>
        <w:rPr>
          <w:rFonts w:ascii="宋体" w:hAnsi="宋体"/>
          <w:color w:val="auto"/>
        </w:rPr>
      </w:pPr>
      <w:r>
        <w:rPr>
          <w:rFonts w:ascii="宋体" w:hAnsi="宋体"/>
          <w:color w:val="auto"/>
        </w:rPr>
        <w:t>已标价工程量清单</w:t>
      </w:r>
    </w:p>
    <w:p w14:paraId="6BC632DF">
      <w:pPr>
        <w:spacing w:line="360" w:lineRule="auto"/>
        <w:rPr>
          <w:rFonts w:ascii="宋体" w:hAnsi="宋体"/>
          <w:b/>
          <w:color w:val="auto"/>
        </w:rPr>
      </w:pPr>
      <w:r>
        <w:rPr>
          <w:rFonts w:hint="eastAsia" w:ascii="宋体" w:hAnsi="宋体"/>
          <w:b/>
          <w:color w:val="auto"/>
          <w:lang w:eastAsia="zh-CN"/>
        </w:rPr>
        <w:t>三</w:t>
      </w:r>
      <w:r>
        <w:rPr>
          <w:rFonts w:ascii="宋体" w:hAnsi="宋体"/>
          <w:b/>
          <w:color w:val="auto"/>
        </w:rPr>
        <w:t>、</w:t>
      </w:r>
      <w:r>
        <w:rPr>
          <w:rFonts w:hint="eastAsia" w:ascii="宋体" w:hAnsi="宋体"/>
          <w:b/>
          <w:color w:val="auto"/>
        </w:rPr>
        <w:t>资格审查部分</w:t>
      </w:r>
    </w:p>
    <w:p w14:paraId="1B881CDB">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6463DADB">
      <w:pPr>
        <w:spacing w:line="360" w:lineRule="auto"/>
        <w:ind w:firstLine="420" w:firstLineChars="200"/>
        <w:rPr>
          <w:rFonts w:ascii="宋体" w:hAnsi="宋体"/>
          <w:color w:val="auto"/>
        </w:rPr>
      </w:pPr>
      <w:r>
        <w:rPr>
          <w:rFonts w:ascii="宋体" w:hAnsi="宋体"/>
          <w:color w:val="auto"/>
        </w:rPr>
        <w:t>（二）投标人基本情况表</w:t>
      </w:r>
    </w:p>
    <w:p w14:paraId="089C13A2">
      <w:pPr>
        <w:spacing w:line="360" w:lineRule="auto"/>
        <w:ind w:firstLine="420" w:firstLineChars="200"/>
        <w:rPr>
          <w:rFonts w:ascii="宋体" w:hAnsi="宋体"/>
          <w:color w:val="auto"/>
        </w:rPr>
      </w:pPr>
      <w:r>
        <w:rPr>
          <w:rFonts w:ascii="宋体" w:hAnsi="宋体"/>
          <w:color w:val="auto"/>
        </w:rPr>
        <w:t>（三）项目管理机构</w:t>
      </w:r>
    </w:p>
    <w:p w14:paraId="1F5AE3F0">
      <w:pPr>
        <w:spacing w:line="360" w:lineRule="auto"/>
        <w:ind w:firstLine="420" w:firstLineChars="200"/>
        <w:rPr>
          <w:rFonts w:ascii="宋体" w:hAnsi="宋体"/>
          <w:color w:val="auto"/>
        </w:rPr>
      </w:pPr>
      <w:r>
        <w:rPr>
          <w:rFonts w:ascii="宋体" w:hAnsi="宋体"/>
          <w:color w:val="auto"/>
        </w:rPr>
        <w:t>（四）</w:t>
      </w:r>
      <w:r>
        <w:rPr>
          <w:rFonts w:hint="eastAsia" w:ascii="宋体" w:hAnsi="宋体"/>
          <w:color w:val="auto"/>
        </w:rPr>
        <w:t>承诺</w:t>
      </w:r>
    </w:p>
    <w:p w14:paraId="0CC7B847">
      <w:pPr>
        <w:spacing w:line="360" w:lineRule="auto"/>
        <w:ind w:firstLine="420" w:firstLineChars="200"/>
        <w:rPr>
          <w:rFonts w:ascii="宋体" w:hAnsi="宋体"/>
          <w:color w:val="auto"/>
        </w:rPr>
      </w:pPr>
      <w:r>
        <w:rPr>
          <w:rFonts w:ascii="宋体" w:hAnsi="宋体"/>
          <w:color w:val="auto"/>
        </w:rPr>
        <w:t>（五）其他资料</w:t>
      </w:r>
    </w:p>
    <w:p w14:paraId="036B2417">
      <w:pPr>
        <w:autoSpaceDE w:val="0"/>
        <w:autoSpaceDN w:val="0"/>
        <w:adjustRightInd w:val="0"/>
        <w:spacing w:line="276" w:lineRule="auto"/>
        <w:ind w:right="-23"/>
        <w:jc w:val="left"/>
        <w:rPr>
          <w:rFonts w:ascii="宋体" w:hAnsi="宋体"/>
          <w:b/>
          <w:color w:val="auto"/>
          <w:kern w:val="0"/>
          <w:sz w:val="24"/>
        </w:rPr>
      </w:pPr>
      <w:r>
        <w:rPr>
          <w:rFonts w:ascii="宋体" w:hAnsi="宋体"/>
          <w:b/>
          <w:color w:val="auto"/>
          <w:kern w:val="0"/>
          <w:sz w:val="24"/>
        </w:rPr>
        <w:br w:type="page"/>
      </w:r>
      <w:bookmarkStart w:id="760" w:name="_Toc224103494"/>
      <w:bookmarkStart w:id="761" w:name="_Toc430530529"/>
      <w:bookmarkStart w:id="762" w:name="_Toc287607866"/>
      <w:bookmarkStart w:id="763" w:name="_Toc287620813"/>
      <w:bookmarkStart w:id="764" w:name="_Toc277082642"/>
    </w:p>
    <w:p w14:paraId="00FD1422">
      <w:pPr>
        <w:pStyle w:val="4"/>
        <w:spacing w:line="360" w:lineRule="auto"/>
        <w:jc w:val="center"/>
        <w:rPr>
          <w:rFonts w:ascii="宋体" w:hAnsi="宋体"/>
          <w:b w:val="0"/>
          <w:bCs w:val="0"/>
          <w:color w:val="auto"/>
          <w:sz w:val="44"/>
          <w:szCs w:val="44"/>
        </w:rPr>
      </w:pPr>
      <w:bookmarkStart w:id="765" w:name="_Toc17164"/>
      <w:bookmarkStart w:id="766" w:name="_Toc19476"/>
      <w:r>
        <w:rPr>
          <w:rFonts w:hint="eastAsia" w:ascii="宋体" w:hAnsi="宋体"/>
          <w:b w:val="0"/>
          <w:bCs w:val="0"/>
          <w:color w:val="auto"/>
          <w:sz w:val="44"/>
          <w:szCs w:val="44"/>
          <w:lang w:eastAsia="zh-CN"/>
        </w:rPr>
        <w:t>一</w:t>
      </w:r>
      <w:r>
        <w:rPr>
          <w:rFonts w:hint="eastAsia" w:ascii="宋体" w:hAnsi="宋体"/>
          <w:b w:val="0"/>
          <w:bCs w:val="0"/>
          <w:color w:val="auto"/>
          <w:sz w:val="44"/>
          <w:szCs w:val="44"/>
        </w:rPr>
        <w:t>、投标函部分</w:t>
      </w:r>
      <w:bookmarkEnd w:id="760"/>
      <w:bookmarkEnd w:id="761"/>
      <w:bookmarkEnd w:id="762"/>
      <w:bookmarkEnd w:id="763"/>
      <w:bookmarkEnd w:id="764"/>
      <w:bookmarkEnd w:id="765"/>
      <w:bookmarkEnd w:id="766"/>
    </w:p>
    <w:p w14:paraId="431BF13D">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60AEA956">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5A504D91">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77EAEEE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7B0421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F350A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3F00FCE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E27871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B62AA7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8FEDBD7">
      <w:pPr>
        <w:autoSpaceDE w:val="0"/>
        <w:autoSpaceDN w:val="0"/>
        <w:adjustRightInd w:val="0"/>
        <w:snapToGrid w:val="0"/>
        <w:spacing w:line="360" w:lineRule="auto"/>
        <w:jc w:val="left"/>
        <w:rPr>
          <w:rFonts w:ascii="宋体" w:hAnsi="宋体"/>
          <w:color w:val="auto"/>
          <w:kern w:val="0"/>
          <w:sz w:val="16"/>
          <w:szCs w:val="16"/>
        </w:rPr>
      </w:pPr>
    </w:p>
    <w:p w14:paraId="726C0874">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2090C3B9">
      <w:pPr>
        <w:autoSpaceDE w:val="0"/>
        <w:autoSpaceDN w:val="0"/>
        <w:adjustRightInd w:val="0"/>
        <w:snapToGrid w:val="0"/>
        <w:spacing w:line="360" w:lineRule="auto"/>
        <w:jc w:val="left"/>
        <w:rPr>
          <w:rFonts w:ascii="宋体" w:hAnsi="宋体"/>
          <w:b/>
          <w:color w:val="auto"/>
          <w:kern w:val="0"/>
          <w:sz w:val="20"/>
          <w:szCs w:val="20"/>
        </w:rPr>
      </w:pPr>
    </w:p>
    <w:p w14:paraId="38252FC4">
      <w:pPr>
        <w:autoSpaceDE w:val="0"/>
        <w:autoSpaceDN w:val="0"/>
        <w:adjustRightInd w:val="0"/>
        <w:snapToGrid w:val="0"/>
        <w:spacing w:line="360" w:lineRule="auto"/>
        <w:jc w:val="left"/>
        <w:rPr>
          <w:rFonts w:ascii="宋体" w:hAnsi="宋体"/>
          <w:b/>
          <w:color w:val="auto"/>
          <w:kern w:val="0"/>
          <w:sz w:val="20"/>
          <w:szCs w:val="20"/>
        </w:rPr>
      </w:pPr>
    </w:p>
    <w:p w14:paraId="20D4A24A">
      <w:pPr>
        <w:autoSpaceDE w:val="0"/>
        <w:autoSpaceDN w:val="0"/>
        <w:adjustRightInd w:val="0"/>
        <w:snapToGrid w:val="0"/>
        <w:spacing w:line="360" w:lineRule="auto"/>
        <w:jc w:val="left"/>
        <w:rPr>
          <w:rFonts w:ascii="宋体" w:hAnsi="宋体"/>
          <w:b/>
          <w:color w:val="auto"/>
          <w:kern w:val="0"/>
          <w:sz w:val="20"/>
          <w:szCs w:val="20"/>
        </w:rPr>
      </w:pPr>
    </w:p>
    <w:p w14:paraId="396D6C89">
      <w:pPr>
        <w:autoSpaceDE w:val="0"/>
        <w:autoSpaceDN w:val="0"/>
        <w:adjustRightInd w:val="0"/>
        <w:snapToGrid w:val="0"/>
        <w:spacing w:line="360" w:lineRule="auto"/>
        <w:jc w:val="left"/>
        <w:rPr>
          <w:rFonts w:ascii="宋体" w:hAnsi="宋体"/>
          <w:b/>
          <w:color w:val="auto"/>
          <w:kern w:val="0"/>
          <w:sz w:val="20"/>
          <w:szCs w:val="20"/>
        </w:rPr>
      </w:pPr>
    </w:p>
    <w:p w14:paraId="3D65144B">
      <w:pPr>
        <w:autoSpaceDE w:val="0"/>
        <w:autoSpaceDN w:val="0"/>
        <w:adjustRightInd w:val="0"/>
        <w:snapToGrid w:val="0"/>
        <w:spacing w:line="360" w:lineRule="auto"/>
        <w:jc w:val="left"/>
        <w:rPr>
          <w:rFonts w:ascii="宋体" w:hAnsi="宋体"/>
          <w:b/>
          <w:color w:val="auto"/>
          <w:kern w:val="0"/>
          <w:sz w:val="20"/>
          <w:szCs w:val="20"/>
        </w:rPr>
      </w:pPr>
    </w:p>
    <w:p w14:paraId="3548EEA1">
      <w:pPr>
        <w:autoSpaceDE w:val="0"/>
        <w:autoSpaceDN w:val="0"/>
        <w:adjustRightInd w:val="0"/>
        <w:snapToGrid w:val="0"/>
        <w:spacing w:line="360" w:lineRule="auto"/>
        <w:jc w:val="left"/>
        <w:rPr>
          <w:rFonts w:ascii="宋体" w:hAnsi="宋体"/>
          <w:b/>
          <w:color w:val="auto"/>
          <w:kern w:val="0"/>
          <w:sz w:val="20"/>
          <w:szCs w:val="20"/>
        </w:rPr>
      </w:pPr>
    </w:p>
    <w:p w14:paraId="7E7AD551">
      <w:pPr>
        <w:autoSpaceDE w:val="0"/>
        <w:autoSpaceDN w:val="0"/>
        <w:adjustRightInd w:val="0"/>
        <w:snapToGrid w:val="0"/>
        <w:spacing w:line="360" w:lineRule="auto"/>
        <w:jc w:val="left"/>
        <w:rPr>
          <w:rFonts w:ascii="宋体" w:hAnsi="宋体"/>
          <w:b/>
          <w:color w:val="auto"/>
          <w:kern w:val="0"/>
          <w:sz w:val="20"/>
          <w:szCs w:val="20"/>
        </w:rPr>
      </w:pPr>
    </w:p>
    <w:p w14:paraId="12F52728">
      <w:pPr>
        <w:autoSpaceDE w:val="0"/>
        <w:autoSpaceDN w:val="0"/>
        <w:adjustRightInd w:val="0"/>
        <w:snapToGrid w:val="0"/>
        <w:spacing w:line="360" w:lineRule="auto"/>
        <w:jc w:val="left"/>
        <w:rPr>
          <w:rFonts w:ascii="宋体" w:hAnsi="宋体"/>
          <w:b/>
          <w:color w:val="auto"/>
          <w:kern w:val="0"/>
          <w:sz w:val="20"/>
          <w:szCs w:val="20"/>
        </w:rPr>
      </w:pPr>
    </w:p>
    <w:p w14:paraId="27DA3FC0">
      <w:pPr>
        <w:autoSpaceDE w:val="0"/>
        <w:autoSpaceDN w:val="0"/>
        <w:adjustRightInd w:val="0"/>
        <w:snapToGrid w:val="0"/>
        <w:spacing w:line="360" w:lineRule="auto"/>
        <w:jc w:val="left"/>
        <w:rPr>
          <w:rFonts w:ascii="宋体" w:hAnsi="宋体"/>
          <w:b/>
          <w:color w:val="auto"/>
          <w:kern w:val="0"/>
          <w:sz w:val="20"/>
          <w:szCs w:val="20"/>
        </w:rPr>
      </w:pPr>
    </w:p>
    <w:p w14:paraId="6D24FFF9">
      <w:pPr>
        <w:autoSpaceDE w:val="0"/>
        <w:autoSpaceDN w:val="0"/>
        <w:adjustRightInd w:val="0"/>
        <w:snapToGrid w:val="0"/>
        <w:spacing w:line="360" w:lineRule="auto"/>
        <w:jc w:val="left"/>
        <w:rPr>
          <w:rFonts w:ascii="宋体" w:hAnsi="宋体"/>
          <w:b/>
          <w:color w:val="auto"/>
          <w:kern w:val="0"/>
          <w:sz w:val="20"/>
          <w:szCs w:val="20"/>
        </w:rPr>
      </w:pPr>
    </w:p>
    <w:p w14:paraId="329EC0CF">
      <w:pPr>
        <w:autoSpaceDE w:val="0"/>
        <w:autoSpaceDN w:val="0"/>
        <w:adjustRightInd w:val="0"/>
        <w:snapToGrid w:val="0"/>
        <w:spacing w:line="360" w:lineRule="auto"/>
        <w:jc w:val="left"/>
        <w:rPr>
          <w:rFonts w:ascii="宋体" w:hAnsi="宋体"/>
          <w:b/>
          <w:color w:val="auto"/>
          <w:kern w:val="0"/>
          <w:sz w:val="20"/>
          <w:szCs w:val="20"/>
        </w:rPr>
      </w:pPr>
    </w:p>
    <w:p w14:paraId="55CFC7B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6F04D8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6117DE90">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5F022013">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3181B920">
      <w:pPr>
        <w:autoSpaceDE w:val="0"/>
        <w:autoSpaceDN w:val="0"/>
        <w:adjustRightInd w:val="0"/>
        <w:snapToGrid w:val="0"/>
        <w:spacing w:line="360" w:lineRule="auto"/>
        <w:jc w:val="left"/>
        <w:rPr>
          <w:rFonts w:ascii="宋体" w:hAnsi="宋体"/>
          <w:color w:val="auto"/>
          <w:kern w:val="0"/>
          <w:sz w:val="24"/>
          <w:szCs w:val="21"/>
        </w:rPr>
      </w:pPr>
    </w:p>
    <w:p w14:paraId="0405BE8C">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7F3ED5C4">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（二）投标函附录</w:t>
      </w:r>
    </w:p>
    <w:p w14:paraId="7A1B3A29">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（三）</w:t>
      </w:r>
      <w:r>
        <w:rPr>
          <w:rFonts w:hint="eastAsia" w:ascii="宋体" w:hAnsi="宋体"/>
          <w:color w:val="auto"/>
          <w:kern w:val="0"/>
          <w:sz w:val="24"/>
        </w:rPr>
        <w:t>法定代表人身份证明或附有法定代表人身份证明的授权委托书</w:t>
      </w:r>
    </w:p>
    <w:p w14:paraId="45E50835">
      <w:pPr>
        <w:autoSpaceDE w:val="0"/>
        <w:autoSpaceDN w:val="0"/>
        <w:adjustRightInd w:val="0"/>
        <w:snapToGrid w:val="0"/>
        <w:spacing w:line="360" w:lineRule="auto"/>
        <w:jc w:val="left"/>
        <w:rPr>
          <w:rFonts w:ascii="宋体" w:hAnsi="宋体"/>
          <w:color w:val="auto"/>
          <w:w w:val="99"/>
          <w:kern w:val="0"/>
          <w:sz w:val="28"/>
          <w:szCs w:val="28"/>
        </w:rPr>
      </w:pPr>
    </w:p>
    <w:p w14:paraId="35D0043C">
      <w:pPr>
        <w:pStyle w:val="5"/>
        <w:spacing w:before="0" w:after="0" w:line="400" w:lineRule="exact"/>
        <w:jc w:val="center"/>
        <w:rPr>
          <w:rFonts w:ascii="宋体" w:hAnsi="宋体"/>
          <w:b w:val="0"/>
          <w:color w:val="auto"/>
        </w:rPr>
      </w:pPr>
      <w:bookmarkStart w:id="767" w:name="_Toc430530530"/>
      <w:bookmarkStart w:id="768" w:name="_Toc277082643"/>
      <w:bookmarkStart w:id="769" w:name="_Toc509218854"/>
      <w:bookmarkStart w:id="770" w:name="_Toc224103495"/>
      <w:bookmarkStart w:id="771" w:name="_Toc534185831"/>
      <w:bookmarkStart w:id="772" w:name="_Toc287607867"/>
      <w:bookmarkStart w:id="773" w:name="_Toc287620814"/>
      <w:r>
        <w:rPr>
          <w:rFonts w:ascii="宋体" w:hAnsi="宋体"/>
          <w:color w:val="auto"/>
        </w:rPr>
        <w:br w:type="page"/>
      </w:r>
      <w:bookmarkStart w:id="774" w:name="_Toc26071"/>
      <w:bookmarkStart w:id="775" w:name="_Toc14548"/>
      <w:r>
        <w:rPr>
          <w:rFonts w:hint="eastAsia"/>
          <w:color w:val="auto"/>
        </w:rPr>
        <w:t>（一）投标函</w:t>
      </w:r>
      <w:bookmarkEnd w:id="767"/>
      <w:bookmarkEnd w:id="768"/>
      <w:bookmarkEnd w:id="769"/>
      <w:bookmarkEnd w:id="770"/>
      <w:bookmarkEnd w:id="771"/>
      <w:bookmarkEnd w:id="772"/>
      <w:bookmarkEnd w:id="773"/>
      <w:bookmarkEnd w:id="774"/>
      <w:bookmarkEnd w:id="775"/>
    </w:p>
    <w:p w14:paraId="5E88856E">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lang w:eastAsia="zh-CN"/>
        </w:rPr>
        <w:t>比选人</w:t>
      </w:r>
      <w:r>
        <w:rPr>
          <w:rFonts w:ascii="宋体" w:hAnsi="宋体"/>
          <w:snapToGrid w:val="0"/>
          <w:color w:val="auto"/>
          <w:kern w:val="0"/>
          <w:szCs w:val="21"/>
          <w:u w:val="single"/>
        </w:rPr>
        <w:t>名称）</w:t>
      </w:r>
      <w:r>
        <w:rPr>
          <w:rFonts w:ascii="宋体" w:hAnsi="宋体"/>
          <w:snapToGrid w:val="0"/>
          <w:color w:val="auto"/>
          <w:kern w:val="0"/>
          <w:szCs w:val="21"/>
        </w:rPr>
        <w:t>：</w:t>
      </w:r>
    </w:p>
    <w:p w14:paraId="549D6D01">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lang w:eastAsia="zh-CN"/>
        </w:rPr>
        <w:t>比选文件</w:t>
      </w:r>
      <w:r>
        <w:rPr>
          <w:rFonts w:ascii="宋体" w:hAnsi="宋体"/>
          <w:snapToGrid w:val="0"/>
          <w:color w:val="auto"/>
          <w:kern w:val="0"/>
          <w:szCs w:val="21"/>
        </w:rPr>
        <w:t>的全部内容，愿意以人民币（大写）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ascii="宋体" w:hAnsi="宋体"/>
          <w:snapToGrid w:val="0"/>
          <w:color w:val="auto"/>
          <w:kern w:val="0"/>
          <w:szCs w:val="21"/>
          <w:u w:val="single"/>
        </w:rPr>
        <w:tab/>
      </w:r>
      <w:r>
        <w:rPr>
          <w:rFonts w:ascii="宋体" w:hAnsi="宋体"/>
          <w:snapToGrid w:val="0"/>
          <w:color w:val="auto"/>
          <w:kern w:val="0"/>
          <w:szCs w:val="21"/>
        </w:rPr>
        <w:t>）的投标总报价进行报价，</w:t>
      </w:r>
      <w:r>
        <w:rPr>
          <w:rFonts w:ascii="宋体" w:hAnsi="宋体"/>
          <w:snapToGrid w:val="0"/>
          <w:color w:val="auto"/>
          <w:kern w:val="0"/>
          <w:szCs w:val="21"/>
          <w:highlight w:val="none"/>
        </w:rPr>
        <w:t>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rPr>
        <w:t>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rPr>
        <w:t>达到</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按合同约定实施和完成承包工程，修补工程中的任何缺陷，工程质量达到</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的要求</w:t>
      </w:r>
      <w:r>
        <w:rPr>
          <w:rFonts w:ascii="宋体" w:hAnsi="宋体"/>
          <w:snapToGrid w:val="0"/>
          <w:color w:val="auto"/>
          <w:kern w:val="0"/>
          <w:szCs w:val="21"/>
        </w:rPr>
        <w:t>。</w:t>
      </w:r>
    </w:p>
    <w:p w14:paraId="139F3C27">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规定的投标有效期，</w:t>
      </w:r>
      <w:r>
        <w:rPr>
          <w:rFonts w:ascii="宋体" w:hAnsi="宋体"/>
          <w:snapToGrid w:val="0"/>
          <w:color w:val="auto"/>
          <w:kern w:val="0"/>
          <w:szCs w:val="21"/>
        </w:rPr>
        <w:t>在投标有效期内不修改、撤销投标文件。</w:t>
      </w:r>
    </w:p>
    <w:p w14:paraId="0C3F987F">
      <w:pPr>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5E0FB5B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0E32D57A">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5004099C">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lang w:eastAsia="zh-CN"/>
        </w:rPr>
        <w:t>比选文件</w:t>
      </w:r>
      <w:r>
        <w:rPr>
          <w:rFonts w:ascii="宋体" w:hAnsi="宋体"/>
          <w:snapToGrid w:val="0"/>
          <w:color w:val="auto"/>
          <w:kern w:val="0"/>
          <w:szCs w:val="21"/>
        </w:rPr>
        <w:t>规定向你方递交履约担保。</w:t>
      </w:r>
    </w:p>
    <w:p w14:paraId="31B38050">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14:paraId="4ECAAB3A">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第七章 技术标准和要求中所列的技术指标和参数要求完成全部合同工程。</w:t>
      </w:r>
    </w:p>
    <w:p w14:paraId="70790769">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lang w:eastAsia="zh-CN"/>
        </w:rPr>
        <w:t>比选文件</w:t>
      </w:r>
      <w:r>
        <w:rPr>
          <w:rFonts w:ascii="宋体" w:hAnsi="宋体"/>
          <w:snapToGrid w:val="0"/>
          <w:color w:val="auto"/>
          <w:kern w:val="0"/>
          <w:szCs w:val="21"/>
        </w:rPr>
        <w:t>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6A44EE9C">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7B750C5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C7884B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674EDE30">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77E4559C">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0CB56CE6">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B6345EC">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1C4EF2CC">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A6F0B61">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09F6CAD7">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03F13267">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0D3A0F6D">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rPr>
      </w:pPr>
    </w:p>
    <w:p w14:paraId="29944AB9">
      <w:pPr>
        <w:pStyle w:val="5"/>
        <w:jc w:val="center"/>
        <w:rPr>
          <w:rFonts w:ascii="宋体" w:hAnsi="宋体"/>
          <w:snapToGrid w:val="0"/>
          <w:color w:val="auto"/>
          <w:kern w:val="0"/>
          <w:szCs w:val="21"/>
        </w:rPr>
      </w:pPr>
      <w:bookmarkStart w:id="776" w:name="_Toc287607868"/>
      <w:bookmarkStart w:id="777" w:name="_Toc277082644"/>
      <w:bookmarkStart w:id="778" w:name="_Toc430530531"/>
      <w:bookmarkStart w:id="779" w:name="_Toc287620815"/>
      <w:bookmarkStart w:id="780" w:name="_Toc224103496"/>
      <w:r>
        <w:rPr>
          <w:rFonts w:ascii="宋体" w:hAnsi="宋体"/>
          <w:color w:val="auto"/>
          <w:sz w:val="28"/>
        </w:rPr>
        <w:br w:type="page"/>
      </w:r>
      <w:bookmarkStart w:id="781" w:name="_Toc30967"/>
      <w:bookmarkStart w:id="782" w:name="_Toc509218855"/>
      <w:bookmarkStart w:id="783" w:name="_Toc17361"/>
      <w:bookmarkStart w:id="784" w:name="_Toc534185832"/>
      <w:r>
        <w:rPr>
          <w:color w:val="auto"/>
        </w:rPr>
        <w:t>（二）投标函附录</w:t>
      </w:r>
      <w:bookmarkEnd w:id="776"/>
      <w:bookmarkEnd w:id="777"/>
      <w:bookmarkEnd w:id="778"/>
      <w:bookmarkEnd w:id="779"/>
      <w:bookmarkEnd w:id="780"/>
      <w:bookmarkEnd w:id="781"/>
      <w:bookmarkEnd w:id="782"/>
      <w:bookmarkEnd w:id="783"/>
      <w:bookmarkEnd w:id="784"/>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2C796F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FB9C422">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14:paraId="53EF9D6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1899A07A">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7F0815C1">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14:paraId="1D717DB5">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03C11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1401D1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14:paraId="1AB99B2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4164224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14:paraId="582D0A45">
            <w:pPr>
              <w:tabs>
                <w:tab w:val="left" w:pos="1560"/>
              </w:tabs>
              <w:autoSpaceDE w:val="0"/>
              <w:autoSpaceDN w:val="0"/>
              <w:adjustRightInd w:val="0"/>
              <w:ind w:firstLine="630" w:firstLineChars="300"/>
              <w:jc w:val="center"/>
              <w:rPr>
                <w:rFonts w:ascii="宋体" w:hAnsi="宋体"/>
                <w:snapToGrid w:val="0"/>
                <w:color w:val="auto"/>
                <w:kern w:val="0"/>
                <w:szCs w:val="21"/>
              </w:rPr>
            </w:pPr>
          </w:p>
        </w:tc>
        <w:tc>
          <w:tcPr>
            <w:tcW w:w="792" w:type="dxa"/>
            <w:vAlign w:val="center"/>
          </w:tcPr>
          <w:p w14:paraId="1250DC43">
            <w:pPr>
              <w:autoSpaceDE w:val="0"/>
              <w:autoSpaceDN w:val="0"/>
              <w:adjustRightInd w:val="0"/>
              <w:jc w:val="center"/>
              <w:rPr>
                <w:rFonts w:ascii="宋体" w:hAnsi="宋体"/>
                <w:snapToGrid w:val="0"/>
                <w:color w:val="auto"/>
                <w:kern w:val="0"/>
                <w:szCs w:val="21"/>
              </w:rPr>
            </w:pPr>
          </w:p>
        </w:tc>
      </w:tr>
      <w:tr w14:paraId="77766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15DD78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14:paraId="6E5D65DC">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63611851">
            <w:pPr>
              <w:tabs>
                <w:tab w:val="left" w:pos="2051"/>
              </w:tabs>
              <w:autoSpaceDE w:val="0"/>
              <w:autoSpaceDN w:val="0"/>
              <w:adjustRightInd w:val="0"/>
              <w:jc w:val="center"/>
              <w:rPr>
                <w:rFonts w:hint="default" w:ascii="宋体" w:hAnsi="宋体"/>
                <w:snapToGrid w:val="0"/>
                <w:color w:val="auto"/>
                <w:kern w:val="0"/>
                <w:szCs w:val="21"/>
                <w:lang w:val="en-US"/>
              </w:rPr>
            </w:pPr>
            <w:r>
              <w:rPr>
                <w:rFonts w:hint="eastAsia" w:ascii="宋体" w:hAnsi="宋体"/>
                <w:snapToGrid w:val="0"/>
                <w:color w:val="auto"/>
                <w:kern w:val="0"/>
                <w:szCs w:val="21"/>
                <w:lang w:val="en-US" w:eastAsia="zh-CN"/>
              </w:rPr>
              <w:t>4.3</w:t>
            </w:r>
          </w:p>
        </w:tc>
        <w:tc>
          <w:tcPr>
            <w:tcW w:w="2987" w:type="dxa"/>
            <w:vAlign w:val="center"/>
          </w:tcPr>
          <w:p w14:paraId="60FA3FC9">
            <w:pPr>
              <w:autoSpaceDE w:val="0"/>
              <w:autoSpaceDN w:val="0"/>
              <w:adjustRightInd w:val="0"/>
              <w:jc w:val="center"/>
              <w:rPr>
                <w:rFonts w:ascii="宋体" w:hAnsi="宋体"/>
                <w:snapToGrid w:val="0"/>
                <w:color w:val="auto"/>
                <w:kern w:val="0"/>
                <w:szCs w:val="21"/>
              </w:rPr>
            </w:pPr>
          </w:p>
        </w:tc>
        <w:tc>
          <w:tcPr>
            <w:tcW w:w="792" w:type="dxa"/>
            <w:vAlign w:val="center"/>
          </w:tcPr>
          <w:p w14:paraId="3B4DAA02">
            <w:pPr>
              <w:autoSpaceDE w:val="0"/>
              <w:autoSpaceDN w:val="0"/>
              <w:adjustRightInd w:val="0"/>
              <w:jc w:val="center"/>
              <w:rPr>
                <w:rFonts w:ascii="宋体" w:hAnsi="宋体"/>
                <w:snapToGrid w:val="0"/>
                <w:color w:val="auto"/>
                <w:kern w:val="0"/>
                <w:szCs w:val="21"/>
              </w:rPr>
            </w:pPr>
          </w:p>
        </w:tc>
      </w:tr>
      <w:tr w14:paraId="6FE3FA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E087643">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14:paraId="5A2B0235">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4E22089C">
            <w:pPr>
              <w:tabs>
                <w:tab w:val="left" w:pos="2051"/>
              </w:tabs>
              <w:autoSpaceDE w:val="0"/>
              <w:autoSpaceDN w:val="0"/>
              <w:adjustRightInd w:val="0"/>
              <w:jc w:val="center"/>
              <w:rPr>
                <w:rFonts w:hint="default" w:ascii="宋体" w:hAnsi="宋体"/>
                <w:snapToGrid w:val="0"/>
                <w:color w:val="auto"/>
                <w:kern w:val="0"/>
                <w:szCs w:val="21"/>
                <w:lang w:val="en-US"/>
              </w:rPr>
            </w:pPr>
            <w:r>
              <w:rPr>
                <w:rFonts w:hint="eastAsia" w:ascii="宋体" w:hAnsi="宋体"/>
                <w:snapToGrid w:val="0"/>
                <w:color w:val="auto"/>
                <w:kern w:val="0"/>
                <w:szCs w:val="21"/>
                <w:lang w:val="en-US" w:eastAsia="zh-CN"/>
              </w:rPr>
              <w:t>13.1</w:t>
            </w:r>
          </w:p>
        </w:tc>
        <w:tc>
          <w:tcPr>
            <w:tcW w:w="2987" w:type="dxa"/>
            <w:vAlign w:val="center"/>
          </w:tcPr>
          <w:p w14:paraId="2EF23A1F">
            <w:pPr>
              <w:autoSpaceDE w:val="0"/>
              <w:autoSpaceDN w:val="0"/>
              <w:adjustRightInd w:val="0"/>
              <w:jc w:val="center"/>
              <w:rPr>
                <w:rFonts w:ascii="宋体" w:hAnsi="宋体"/>
                <w:snapToGrid w:val="0"/>
                <w:color w:val="auto"/>
                <w:kern w:val="0"/>
                <w:szCs w:val="21"/>
              </w:rPr>
            </w:pPr>
          </w:p>
        </w:tc>
        <w:tc>
          <w:tcPr>
            <w:tcW w:w="792" w:type="dxa"/>
            <w:vAlign w:val="center"/>
          </w:tcPr>
          <w:p w14:paraId="02A0081B">
            <w:pPr>
              <w:autoSpaceDE w:val="0"/>
              <w:autoSpaceDN w:val="0"/>
              <w:adjustRightInd w:val="0"/>
              <w:jc w:val="center"/>
              <w:rPr>
                <w:rFonts w:ascii="宋体" w:hAnsi="宋体"/>
                <w:snapToGrid w:val="0"/>
                <w:color w:val="auto"/>
                <w:kern w:val="0"/>
                <w:szCs w:val="21"/>
              </w:rPr>
            </w:pPr>
          </w:p>
        </w:tc>
      </w:tr>
      <w:tr w14:paraId="190FA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7729A9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14FDF52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68437361">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286CAF5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2B7519D3">
            <w:pPr>
              <w:autoSpaceDE w:val="0"/>
              <w:autoSpaceDN w:val="0"/>
              <w:adjustRightInd w:val="0"/>
              <w:jc w:val="center"/>
              <w:rPr>
                <w:rFonts w:ascii="宋体" w:hAnsi="宋体"/>
                <w:snapToGrid w:val="0"/>
                <w:color w:val="auto"/>
                <w:kern w:val="0"/>
                <w:szCs w:val="21"/>
              </w:rPr>
            </w:pPr>
          </w:p>
        </w:tc>
      </w:tr>
      <w:tr w14:paraId="41BB9F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026BA33">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592F6C5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1DBCD6C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00A5397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50B56C6C">
            <w:pPr>
              <w:autoSpaceDE w:val="0"/>
              <w:autoSpaceDN w:val="0"/>
              <w:adjustRightInd w:val="0"/>
              <w:jc w:val="center"/>
              <w:rPr>
                <w:rFonts w:ascii="宋体" w:hAnsi="宋体"/>
                <w:snapToGrid w:val="0"/>
                <w:color w:val="auto"/>
                <w:kern w:val="0"/>
                <w:szCs w:val="21"/>
              </w:rPr>
            </w:pPr>
          </w:p>
        </w:tc>
      </w:tr>
    </w:tbl>
    <w:p w14:paraId="63D1514D">
      <w:pPr>
        <w:spacing w:line="360" w:lineRule="auto"/>
        <w:rPr>
          <w:rFonts w:ascii="宋体" w:hAnsi="宋体"/>
          <w:snapToGrid w:val="0"/>
          <w:color w:val="auto"/>
          <w:w w:val="99"/>
        </w:rPr>
      </w:pPr>
    </w:p>
    <w:p w14:paraId="68776135">
      <w:pPr>
        <w:spacing w:line="360" w:lineRule="auto"/>
        <w:rPr>
          <w:rFonts w:ascii="宋体" w:hAnsi="宋体"/>
          <w:snapToGrid w:val="0"/>
          <w:color w:val="auto"/>
        </w:rPr>
      </w:pPr>
    </w:p>
    <w:p w14:paraId="36B0A9C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07D0ACA9">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7073D38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7D5A98AD">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348E826D">
      <w:pPr>
        <w:pStyle w:val="5"/>
        <w:jc w:val="center"/>
        <w:rPr>
          <w:rFonts w:ascii="宋体" w:hAnsi="宋体"/>
          <w:b w:val="0"/>
          <w:snapToGrid w:val="0"/>
          <w:color w:val="auto"/>
          <w:kern w:val="0"/>
          <w:sz w:val="30"/>
          <w:szCs w:val="30"/>
        </w:rPr>
      </w:pPr>
      <w:r>
        <w:rPr>
          <w:rFonts w:ascii="宋体" w:hAnsi="宋体"/>
          <w:snapToGrid w:val="0"/>
          <w:color w:val="auto"/>
        </w:rPr>
        <w:br w:type="page"/>
      </w:r>
      <w:bookmarkStart w:id="785" w:name="_Toc287620816"/>
      <w:bookmarkStart w:id="786" w:name="_Toc287607869"/>
      <w:bookmarkStart w:id="787" w:name="_Toc224103497"/>
      <w:bookmarkStart w:id="788" w:name="_Toc8650"/>
      <w:bookmarkStart w:id="789" w:name="_Toc277082645"/>
      <w:bookmarkStart w:id="790" w:name="_Toc13127"/>
      <w:bookmarkStart w:id="791" w:name="_Toc430530532"/>
      <w:r>
        <w:rPr>
          <w:color w:val="auto"/>
          <w:sz w:val="30"/>
          <w:szCs w:val="30"/>
        </w:rPr>
        <w:t>（三）</w:t>
      </w:r>
      <w:r>
        <w:rPr>
          <w:rFonts w:hint="eastAsia"/>
          <w:color w:val="auto"/>
          <w:sz w:val="30"/>
          <w:szCs w:val="30"/>
        </w:rPr>
        <w:t>法定代表人身份证明或附有法定代表人身份证明的授权委托书</w:t>
      </w:r>
      <w:bookmarkEnd w:id="785"/>
      <w:bookmarkEnd w:id="786"/>
      <w:bookmarkEnd w:id="787"/>
      <w:bookmarkEnd w:id="788"/>
      <w:bookmarkEnd w:id="789"/>
      <w:bookmarkEnd w:id="790"/>
      <w:bookmarkEnd w:id="791"/>
    </w:p>
    <w:p w14:paraId="3A987E47">
      <w:pPr>
        <w:spacing w:line="480" w:lineRule="auto"/>
        <w:jc w:val="center"/>
        <w:rPr>
          <w:rFonts w:ascii="宋体" w:hAnsi="宋体"/>
          <w:color w:val="auto"/>
          <w:sz w:val="28"/>
        </w:rPr>
      </w:pPr>
      <w:r>
        <w:rPr>
          <w:rFonts w:hint="eastAsia" w:ascii="宋体" w:hAnsi="宋体"/>
          <w:color w:val="auto"/>
          <w:sz w:val="28"/>
        </w:rPr>
        <w:t>法定代表人身份证明</w:t>
      </w:r>
    </w:p>
    <w:p w14:paraId="32DB3B63">
      <w:pPr>
        <w:spacing w:line="480" w:lineRule="auto"/>
        <w:jc w:val="center"/>
        <w:rPr>
          <w:rFonts w:ascii="宋体" w:hAnsi="宋体"/>
          <w:color w:val="auto"/>
        </w:rPr>
      </w:pPr>
    </w:p>
    <w:p w14:paraId="1BB9E1C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D87E4E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AA4BD6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861708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7E46EBD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D5D90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2F03DAB5">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70F3206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3C33A2B3">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0EF4560C">
      <w:pPr>
        <w:pStyle w:val="2"/>
        <w:spacing w:after="0" w:line="360" w:lineRule="auto"/>
        <w:rPr>
          <w:rFonts w:ascii="宋体" w:hAnsi="宋体"/>
          <w:color w:val="auto"/>
          <w:szCs w:val="21"/>
        </w:rPr>
      </w:pPr>
    </w:p>
    <w:p w14:paraId="2DCEE965">
      <w:pPr>
        <w:pStyle w:val="2"/>
        <w:spacing w:after="0" w:line="360" w:lineRule="auto"/>
        <w:rPr>
          <w:rFonts w:ascii="宋体" w:hAnsi="宋体"/>
          <w:color w:val="auto"/>
          <w:szCs w:val="21"/>
        </w:rPr>
      </w:pPr>
    </w:p>
    <w:p w14:paraId="10ADB8AF">
      <w:pPr>
        <w:pStyle w:val="2"/>
        <w:spacing w:after="0" w:line="360" w:lineRule="auto"/>
        <w:rPr>
          <w:rFonts w:ascii="宋体" w:hAnsi="宋体"/>
          <w:color w:val="auto"/>
          <w:szCs w:val="21"/>
        </w:rPr>
      </w:pPr>
    </w:p>
    <w:p w14:paraId="3AEBA763">
      <w:pPr>
        <w:pStyle w:val="2"/>
        <w:spacing w:after="0" w:line="360" w:lineRule="auto"/>
        <w:rPr>
          <w:rFonts w:ascii="宋体" w:hAnsi="宋体"/>
          <w:color w:val="auto"/>
          <w:szCs w:val="21"/>
        </w:rPr>
      </w:pPr>
    </w:p>
    <w:p w14:paraId="778E7CC8">
      <w:pPr>
        <w:pStyle w:val="2"/>
        <w:spacing w:after="0" w:line="360" w:lineRule="auto"/>
        <w:rPr>
          <w:rFonts w:ascii="宋体" w:hAnsi="宋体"/>
          <w:color w:val="auto"/>
          <w:szCs w:val="21"/>
        </w:rPr>
      </w:pPr>
    </w:p>
    <w:p w14:paraId="43E98CE0">
      <w:pPr>
        <w:pStyle w:val="2"/>
        <w:spacing w:after="0" w:line="360" w:lineRule="auto"/>
        <w:rPr>
          <w:rFonts w:ascii="宋体" w:hAnsi="宋体"/>
          <w:color w:val="auto"/>
          <w:szCs w:val="21"/>
        </w:rPr>
      </w:pPr>
    </w:p>
    <w:p w14:paraId="5B9A1ABF">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32FE1BEA">
      <w:pPr>
        <w:autoSpaceDE w:val="0"/>
        <w:autoSpaceDN w:val="0"/>
        <w:adjustRightInd w:val="0"/>
        <w:snapToGrid w:val="0"/>
        <w:spacing w:line="480" w:lineRule="auto"/>
        <w:jc w:val="left"/>
        <w:rPr>
          <w:rFonts w:ascii="宋体" w:hAnsi="宋体"/>
          <w:color w:val="auto"/>
          <w:kern w:val="0"/>
          <w:sz w:val="20"/>
          <w:szCs w:val="20"/>
        </w:rPr>
      </w:pPr>
    </w:p>
    <w:p w14:paraId="4418B973">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14B785D">
      <w:pPr>
        <w:autoSpaceDE w:val="0"/>
        <w:autoSpaceDN w:val="0"/>
        <w:adjustRightInd w:val="0"/>
        <w:snapToGrid w:val="0"/>
        <w:spacing w:line="360" w:lineRule="auto"/>
        <w:jc w:val="left"/>
        <w:rPr>
          <w:rFonts w:ascii="宋体" w:hAnsi="宋体"/>
          <w:color w:val="auto"/>
          <w:kern w:val="0"/>
        </w:rPr>
      </w:pPr>
    </w:p>
    <w:p w14:paraId="31F8ED87">
      <w:pPr>
        <w:autoSpaceDE w:val="0"/>
        <w:autoSpaceDN w:val="0"/>
        <w:adjustRightInd w:val="0"/>
        <w:snapToGrid w:val="0"/>
        <w:spacing w:line="360" w:lineRule="auto"/>
        <w:jc w:val="left"/>
        <w:rPr>
          <w:rFonts w:ascii="宋体" w:hAnsi="宋体"/>
          <w:color w:val="auto"/>
          <w:kern w:val="0"/>
        </w:rPr>
      </w:pPr>
    </w:p>
    <w:p w14:paraId="65220383">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218C9CC5">
      <w:pPr>
        <w:autoSpaceDE w:val="0"/>
        <w:autoSpaceDN w:val="0"/>
        <w:adjustRightInd w:val="0"/>
        <w:snapToGrid w:val="0"/>
        <w:spacing w:line="360" w:lineRule="auto"/>
        <w:jc w:val="left"/>
        <w:rPr>
          <w:rFonts w:ascii="宋体" w:hAnsi="宋体"/>
          <w:color w:val="auto"/>
          <w:kern w:val="0"/>
        </w:rPr>
      </w:pPr>
    </w:p>
    <w:p w14:paraId="516A1FF2">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1E2FC74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4B95B67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64FFE5D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7130E4C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2B96997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3C1FA8E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6FD89C4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3074F5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2DDCD3A7">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5B8274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007CC7F0">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056B884F">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021012B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62CEC64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5C6F89B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DDC4E8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A8AD02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9C29D5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BFBD26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6F5DFA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0E954DD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F8B203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9659A80">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34A3F39E">
      <w:pPr>
        <w:spacing w:line="360" w:lineRule="auto"/>
        <w:ind w:firstLine="420" w:firstLineChars="200"/>
        <w:jc w:val="left"/>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10C54545">
      <w:pPr>
        <w:spacing w:line="360" w:lineRule="auto"/>
        <w:ind w:firstLine="420" w:firstLineChars="200"/>
        <w:rPr>
          <w:rFonts w:ascii="宋体" w:hAnsi="宋体"/>
          <w:color w:val="auto"/>
        </w:rPr>
      </w:pPr>
      <w:r>
        <w:rPr>
          <w:rFonts w:ascii="宋体" w:hAnsi="宋体"/>
          <w:color w:val="auto"/>
        </w:rPr>
        <w:br w:type="page"/>
      </w:r>
    </w:p>
    <w:p w14:paraId="5AB143E3">
      <w:pPr>
        <w:tabs>
          <w:tab w:val="left" w:pos="2580"/>
          <w:tab w:val="left" w:pos="5940"/>
        </w:tabs>
        <w:autoSpaceDE w:val="0"/>
        <w:autoSpaceDN w:val="0"/>
        <w:adjustRightInd w:val="0"/>
        <w:snapToGrid w:val="0"/>
        <w:spacing w:line="360" w:lineRule="auto"/>
        <w:jc w:val="left"/>
        <w:rPr>
          <w:rFonts w:ascii="宋体" w:hAnsi="宋体"/>
          <w:color w:val="auto"/>
        </w:rPr>
      </w:pPr>
      <w:bookmarkStart w:id="792" w:name="_Toc287607872"/>
      <w:bookmarkStart w:id="793" w:name="_Toc287620819"/>
      <w:bookmarkStart w:id="794" w:name="_Toc430530534"/>
      <w:bookmarkStart w:id="795" w:name="_Toc224103500"/>
    </w:p>
    <w:p w14:paraId="7F8A1CFD">
      <w:pPr>
        <w:pStyle w:val="4"/>
        <w:spacing w:line="360" w:lineRule="auto"/>
        <w:jc w:val="center"/>
        <w:rPr>
          <w:rFonts w:ascii="宋体" w:hAnsi="宋体"/>
          <w:b w:val="0"/>
          <w:bCs w:val="0"/>
          <w:color w:val="auto"/>
          <w:sz w:val="44"/>
          <w:szCs w:val="44"/>
        </w:rPr>
      </w:pPr>
      <w:bookmarkStart w:id="796" w:name="_Toc29522"/>
      <w:bookmarkStart w:id="797" w:name="_Toc23891"/>
      <w:r>
        <w:rPr>
          <w:rFonts w:hint="eastAsia" w:ascii="宋体" w:hAnsi="宋体"/>
          <w:b w:val="0"/>
          <w:bCs w:val="0"/>
          <w:color w:val="auto"/>
          <w:sz w:val="44"/>
          <w:szCs w:val="44"/>
          <w:lang w:eastAsia="zh-CN"/>
        </w:rPr>
        <w:t>二</w:t>
      </w:r>
      <w:r>
        <w:rPr>
          <w:rFonts w:hint="eastAsia" w:ascii="宋体" w:hAnsi="宋体"/>
          <w:b w:val="0"/>
          <w:bCs w:val="0"/>
          <w:color w:val="auto"/>
          <w:sz w:val="44"/>
          <w:szCs w:val="44"/>
        </w:rPr>
        <w:t>、经济部分</w:t>
      </w:r>
      <w:bookmarkEnd w:id="792"/>
      <w:bookmarkEnd w:id="793"/>
      <w:bookmarkEnd w:id="794"/>
      <w:bookmarkEnd w:id="795"/>
      <w:bookmarkEnd w:id="796"/>
      <w:bookmarkEnd w:id="797"/>
    </w:p>
    <w:p w14:paraId="68A5F98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77AE19A5">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480FDABB">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5DD2C97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22A350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19CEFE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E3DC46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B2158A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791EF754">
      <w:pPr>
        <w:autoSpaceDE w:val="0"/>
        <w:autoSpaceDN w:val="0"/>
        <w:adjustRightInd w:val="0"/>
        <w:snapToGrid w:val="0"/>
        <w:spacing w:line="360" w:lineRule="auto"/>
        <w:jc w:val="left"/>
        <w:rPr>
          <w:rFonts w:ascii="宋体" w:hAnsi="宋体"/>
          <w:color w:val="auto"/>
          <w:kern w:val="0"/>
          <w:sz w:val="16"/>
          <w:szCs w:val="16"/>
        </w:rPr>
      </w:pPr>
    </w:p>
    <w:p w14:paraId="75CE5867">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7872CC60">
      <w:pPr>
        <w:autoSpaceDE w:val="0"/>
        <w:autoSpaceDN w:val="0"/>
        <w:adjustRightInd w:val="0"/>
        <w:snapToGrid w:val="0"/>
        <w:spacing w:line="360" w:lineRule="auto"/>
        <w:jc w:val="left"/>
        <w:rPr>
          <w:rFonts w:ascii="宋体" w:hAnsi="宋体"/>
          <w:b/>
          <w:color w:val="auto"/>
          <w:kern w:val="0"/>
          <w:sz w:val="20"/>
          <w:szCs w:val="20"/>
        </w:rPr>
      </w:pPr>
    </w:p>
    <w:p w14:paraId="27AB7CD7">
      <w:pPr>
        <w:autoSpaceDE w:val="0"/>
        <w:autoSpaceDN w:val="0"/>
        <w:adjustRightInd w:val="0"/>
        <w:snapToGrid w:val="0"/>
        <w:spacing w:line="360" w:lineRule="auto"/>
        <w:jc w:val="left"/>
        <w:rPr>
          <w:rFonts w:ascii="宋体" w:hAnsi="宋体"/>
          <w:b/>
          <w:color w:val="auto"/>
          <w:kern w:val="0"/>
          <w:sz w:val="20"/>
          <w:szCs w:val="20"/>
        </w:rPr>
      </w:pPr>
    </w:p>
    <w:p w14:paraId="44B78CC8">
      <w:pPr>
        <w:autoSpaceDE w:val="0"/>
        <w:autoSpaceDN w:val="0"/>
        <w:adjustRightInd w:val="0"/>
        <w:snapToGrid w:val="0"/>
        <w:spacing w:line="360" w:lineRule="auto"/>
        <w:jc w:val="left"/>
        <w:rPr>
          <w:rFonts w:ascii="宋体" w:hAnsi="宋体"/>
          <w:b/>
          <w:color w:val="auto"/>
          <w:kern w:val="0"/>
          <w:sz w:val="20"/>
          <w:szCs w:val="20"/>
        </w:rPr>
      </w:pPr>
    </w:p>
    <w:p w14:paraId="78737B4A">
      <w:pPr>
        <w:autoSpaceDE w:val="0"/>
        <w:autoSpaceDN w:val="0"/>
        <w:adjustRightInd w:val="0"/>
        <w:snapToGrid w:val="0"/>
        <w:spacing w:line="360" w:lineRule="auto"/>
        <w:jc w:val="left"/>
        <w:rPr>
          <w:rFonts w:ascii="宋体" w:hAnsi="宋体"/>
          <w:b/>
          <w:color w:val="auto"/>
          <w:kern w:val="0"/>
          <w:sz w:val="20"/>
          <w:szCs w:val="20"/>
        </w:rPr>
      </w:pPr>
    </w:p>
    <w:p w14:paraId="67BDA8FA">
      <w:pPr>
        <w:autoSpaceDE w:val="0"/>
        <w:autoSpaceDN w:val="0"/>
        <w:adjustRightInd w:val="0"/>
        <w:snapToGrid w:val="0"/>
        <w:spacing w:line="360" w:lineRule="auto"/>
        <w:jc w:val="left"/>
        <w:rPr>
          <w:rFonts w:ascii="宋体" w:hAnsi="宋体"/>
          <w:b/>
          <w:color w:val="auto"/>
          <w:kern w:val="0"/>
          <w:sz w:val="20"/>
          <w:szCs w:val="20"/>
        </w:rPr>
      </w:pPr>
    </w:p>
    <w:p w14:paraId="168552A3">
      <w:pPr>
        <w:autoSpaceDE w:val="0"/>
        <w:autoSpaceDN w:val="0"/>
        <w:adjustRightInd w:val="0"/>
        <w:snapToGrid w:val="0"/>
        <w:spacing w:line="360" w:lineRule="auto"/>
        <w:jc w:val="left"/>
        <w:rPr>
          <w:rFonts w:ascii="宋体" w:hAnsi="宋体"/>
          <w:b/>
          <w:color w:val="auto"/>
          <w:kern w:val="0"/>
          <w:sz w:val="20"/>
          <w:szCs w:val="20"/>
        </w:rPr>
      </w:pPr>
    </w:p>
    <w:p w14:paraId="2E2C472F">
      <w:pPr>
        <w:autoSpaceDE w:val="0"/>
        <w:autoSpaceDN w:val="0"/>
        <w:adjustRightInd w:val="0"/>
        <w:snapToGrid w:val="0"/>
        <w:spacing w:line="360" w:lineRule="auto"/>
        <w:jc w:val="left"/>
        <w:rPr>
          <w:rFonts w:ascii="宋体" w:hAnsi="宋体"/>
          <w:b/>
          <w:color w:val="auto"/>
          <w:kern w:val="0"/>
          <w:sz w:val="20"/>
          <w:szCs w:val="20"/>
        </w:rPr>
      </w:pPr>
    </w:p>
    <w:p w14:paraId="2420A9A5">
      <w:pPr>
        <w:autoSpaceDE w:val="0"/>
        <w:autoSpaceDN w:val="0"/>
        <w:adjustRightInd w:val="0"/>
        <w:snapToGrid w:val="0"/>
        <w:spacing w:line="360" w:lineRule="auto"/>
        <w:jc w:val="left"/>
        <w:rPr>
          <w:rFonts w:ascii="宋体" w:hAnsi="宋体"/>
          <w:b/>
          <w:color w:val="auto"/>
          <w:kern w:val="0"/>
          <w:sz w:val="20"/>
          <w:szCs w:val="20"/>
        </w:rPr>
      </w:pPr>
    </w:p>
    <w:p w14:paraId="320465A8">
      <w:pPr>
        <w:autoSpaceDE w:val="0"/>
        <w:autoSpaceDN w:val="0"/>
        <w:adjustRightInd w:val="0"/>
        <w:snapToGrid w:val="0"/>
        <w:spacing w:line="360" w:lineRule="auto"/>
        <w:jc w:val="left"/>
        <w:rPr>
          <w:rFonts w:ascii="宋体" w:hAnsi="宋体"/>
          <w:b/>
          <w:color w:val="auto"/>
          <w:kern w:val="0"/>
          <w:sz w:val="20"/>
          <w:szCs w:val="20"/>
        </w:rPr>
      </w:pPr>
    </w:p>
    <w:p w14:paraId="4A0AA9CD">
      <w:pPr>
        <w:autoSpaceDE w:val="0"/>
        <w:autoSpaceDN w:val="0"/>
        <w:adjustRightInd w:val="0"/>
        <w:snapToGrid w:val="0"/>
        <w:spacing w:line="360" w:lineRule="auto"/>
        <w:jc w:val="left"/>
        <w:rPr>
          <w:rFonts w:ascii="宋体" w:hAnsi="宋体"/>
          <w:b/>
          <w:color w:val="auto"/>
          <w:kern w:val="0"/>
          <w:sz w:val="20"/>
          <w:szCs w:val="20"/>
        </w:rPr>
      </w:pPr>
    </w:p>
    <w:p w14:paraId="744C8033">
      <w:pPr>
        <w:autoSpaceDE w:val="0"/>
        <w:autoSpaceDN w:val="0"/>
        <w:adjustRightInd w:val="0"/>
        <w:snapToGrid w:val="0"/>
        <w:spacing w:line="360" w:lineRule="auto"/>
        <w:jc w:val="left"/>
        <w:rPr>
          <w:rFonts w:ascii="宋体" w:hAnsi="宋体"/>
          <w:b/>
          <w:color w:val="auto"/>
          <w:kern w:val="0"/>
          <w:sz w:val="20"/>
          <w:szCs w:val="20"/>
        </w:rPr>
      </w:pPr>
    </w:p>
    <w:p w14:paraId="732CA35C">
      <w:pPr>
        <w:autoSpaceDE w:val="0"/>
        <w:autoSpaceDN w:val="0"/>
        <w:adjustRightInd w:val="0"/>
        <w:snapToGrid w:val="0"/>
        <w:spacing w:line="360" w:lineRule="auto"/>
        <w:jc w:val="left"/>
        <w:rPr>
          <w:rFonts w:ascii="宋体" w:hAnsi="宋体"/>
          <w:b/>
          <w:color w:val="auto"/>
          <w:kern w:val="0"/>
          <w:sz w:val="20"/>
          <w:szCs w:val="20"/>
        </w:rPr>
      </w:pPr>
    </w:p>
    <w:p w14:paraId="665850D8">
      <w:pPr>
        <w:autoSpaceDE w:val="0"/>
        <w:autoSpaceDN w:val="0"/>
        <w:adjustRightInd w:val="0"/>
        <w:snapToGrid w:val="0"/>
        <w:spacing w:line="360" w:lineRule="auto"/>
        <w:jc w:val="left"/>
        <w:rPr>
          <w:rFonts w:ascii="宋体" w:hAnsi="宋体"/>
          <w:b/>
          <w:color w:val="auto"/>
          <w:kern w:val="0"/>
          <w:sz w:val="20"/>
          <w:szCs w:val="20"/>
        </w:rPr>
      </w:pPr>
    </w:p>
    <w:p w14:paraId="50E8AE3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6DD92921">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506CC927">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16103194">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14:paraId="53C40785">
      <w:pPr>
        <w:autoSpaceDE w:val="0"/>
        <w:autoSpaceDN w:val="0"/>
        <w:adjustRightInd w:val="0"/>
        <w:snapToGrid w:val="0"/>
        <w:spacing w:line="360" w:lineRule="auto"/>
        <w:jc w:val="center"/>
        <w:rPr>
          <w:rFonts w:ascii="宋体" w:hAnsi="宋体"/>
          <w:color w:val="auto"/>
          <w:kern w:val="0"/>
          <w:szCs w:val="21"/>
        </w:rPr>
      </w:pPr>
      <w:r>
        <w:rPr>
          <w:rFonts w:hint="eastAsia" w:ascii="宋体" w:hAnsi="宋体"/>
          <w:color w:val="auto"/>
          <w:kern w:val="0"/>
          <w:sz w:val="36"/>
          <w:szCs w:val="36"/>
        </w:rPr>
        <w:t>目  录</w:t>
      </w:r>
    </w:p>
    <w:p w14:paraId="1B5213B9">
      <w:pPr>
        <w:autoSpaceDE w:val="0"/>
        <w:autoSpaceDN w:val="0"/>
        <w:adjustRightInd w:val="0"/>
        <w:snapToGrid w:val="0"/>
        <w:spacing w:line="360" w:lineRule="auto"/>
        <w:jc w:val="left"/>
        <w:rPr>
          <w:rFonts w:ascii="宋体" w:hAnsi="宋体"/>
          <w:color w:val="auto"/>
          <w:kern w:val="0"/>
          <w:szCs w:val="21"/>
        </w:rPr>
      </w:pPr>
    </w:p>
    <w:p w14:paraId="79E28E5E">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14:paraId="31D867B0">
      <w:pPr>
        <w:autoSpaceDE w:val="0"/>
        <w:autoSpaceDN w:val="0"/>
        <w:adjustRightInd w:val="0"/>
        <w:snapToGrid w:val="0"/>
        <w:spacing w:line="360" w:lineRule="auto"/>
        <w:jc w:val="left"/>
        <w:rPr>
          <w:rFonts w:ascii="宋体" w:hAnsi="宋体"/>
          <w:color w:val="auto"/>
          <w:w w:val="99"/>
          <w:kern w:val="0"/>
          <w:sz w:val="28"/>
          <w:szCs w:val="28"/>
        </w:rPr>
      </w:pPr>
    </w:p>
    <w:p w14:paraId="0F094517">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rPr>
        <w:br w:type="page"/>
      </w:r>
      <w:bookmarkStart w:id="798" w:name="_Toc430530535"/>
      <w:bookmarkStart w:id="799" w:name="_Toc277082648"/>
      <w:bookmarkStart w:id="800" w:name="_Toc224103501"/>
      <w:bookmarkStart w:id="801" w:name="_Toc287620820"/>
      <w:bookmarkStart w:id="802" w:name="_Toc287607873"/>
    </w:p>
    <w:p w14:paraId="1C145CD1">
      <w:pPr>
        <w:pStyle w:val="5"/>
        <w:jc w:val="center"/>
        <w:rPr>
          <w:color w:val="auto"/>
        </w:rPr>
      </w:pPr>
      <w:bookmarkStart w:id="803" w:name="_Toc28475"/>
      <w:bookmarkStart w:id="804" w:name="_Toc2269"/>
      <w:r>
        <w:rPr>
          <w:rFonts w:hint="eastAsia"/>
          <w:color w:val="auto"/>
        </w:rPr>
        <w:t>（一）已标价工程量清单</w:t>
      </w:r>
      <w:bookmarkEnd w:id="798"/>
      <w:bookmarkEnd w:id="799"/>
      <w:bookmarkEnd w:id="800"/>
      <w:bookmarkEnd w:id="801"/>
      <w:bookmarkEnd w:id="802"/>
      <w:bookmarkEnd w:id="803"/>
      <w:bookmarkEnd w:id="804"/>
    </w:p>
    <w:p w14:paraId="7858CE4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431E5689">
      <w:pPr>
        <w:autoSpaceDE w:val="0"/>
        <w:autoSpaceDN w:val="0"/>
        <w:adjustRightInd w:val="0"/>
        <w:snapToGrid w:val="0"/>
        <w:spacing w:line="360" w:lineRule="auto"/>
        <w:jc w:val="left"/>
        <w:rPr>
          <w:rFonts w:ascii="宋体" w:hAnsi="宋体"/>
          <w:color w:val="auto"/>
          <w:kern w:val="0"/>
          <w:sz w:val="24"/>
          <w:szCs w:val="21"/>
        </w:rPr>
      </w:pPr>
      <w:bookmarkStart w:id="805" w:name="_Toc287607874"/>
      <w:bookmarkStart w:id="806" w:name="_Toc224103502"/>
      <w:bookmarkStart w:id="807" w:name="_Toc287620821"/>
      <w:bookmarkStart w:id="808" w:name="_Toc430530536"/>
      <w:r>
        <w:rPr>
          <w:rFonts w:ascii="宋体" w:hAnsi="宋体"/>
          <w:color w:val="auto"/>
        </w:rPr>
        <w:br w:type="page"/>
      </w:r>
    </w:p>
    <w:bookmarkEnd w:id="805"/>
    <w:bookmarkEnd w:id="806"/>
    <w:bookmarkEnd w:id="807"/>
    <w:bookmarkEnd w:id="808"/>
    <w:p w14:paraId="252FF5AE">
      <w:pPr>
        <w:pStyle w:val="4"/>
        <w:spacing w:line="360" w:lineRule="auto"/>
        <w:jc w:val="center"/>
        <w:rPr>
          <w:rFonts w:ascii="宋体" w:hAnsi="宋体"/>
          <w:b w:val="0"/>
          <w:bCs w:val="0"/>
          <w:color w:val="auto"/>
          <w:sz w:val="44"/>
          <w:szCs w:val="44"/>
        </w:rPr>
      </w:pPr>
      <w:bookmarkStart w:id="809" w:name="_Toc224103510"/>
      <w:bookmarkStart w:id="810" w:name="_Toc287607882"/>
      <w:bookmarkStart w:id="811" w:name="_Toc430530545"/>
      <w:bookmarkStart w:id="812" w:name="_Toc287620829"/>
      <w:bookmarkStart w:id="813" w:name="_Toc277082656"/>
      <w:bookmarkStart w:id="814" w:name="_Toc27141"/>
      <w:bookmarkStart w:id="815" w:name="_Toc1124"/>
      <w:r>
        <w:rPr>
          <w:rFonts w:hint="eastAsia" w:ascii="宋体" w:hAnsi="宋体"/>
          <w:b w:val="0"/>
          <w:bCs w:val="0"/>
          <w:color w:val="auto"/>
          <w:sz w:val="44"/>
          <w:szCs w:val="44"/>
          <w:lang w:eastAsia="zh-CN"/>
        </w:rPr>
        <w:t>三</w:t>
      </w:r>
      <w:r>
        <w:rPr>
          <w:rFonts w:hint="eastAsia" w:ascii="宋体" w:hAnsi="宋体"/>
          <w:b w:val="0"/>
          <w:bCs w:val="0"/>
          <w:color w:val="auto"/>
          <w:sz w:val="44"/>
          <w:szCs w:val="44"/>
        </w:rPr>
        <w:t>、</w:t>
      </w:r>
      <w:bookmarkEnd w:id="809"/>
      <w:bookmarkEnd w:id="810"/>
      <w:bookmarkEnd w:id="811"/>
      <w:bookmarkEnd w:id="812"/>
      <w:bookmarkEnd w:id="813"/>
      <w:r>
        <w:rPr>
          <w:rFonts w:hint="eastAsia" w:ascii="宋体" w:hAnsi="宋体"/>
          <w:b w:val="0"/>
          <w:bCs w:val="0"/>
          <w:color w:val="auto"/>
          <w:sz w:val="44"/>
          <w:szCs w:val="44"/>
        </w:rPr>
        <w:t>资格审查部分</w:t>
      </w:r>
      <w:bookmarkEnd w:id="814"/>
      <w:bookmarkEnd w:id="815"/>
    </w:p>
    <w:p w14:paraId="379A8F96">
      <w:pPr>
        <w:spacing w:line="360" w:lineRule="auto"/>
        <w:rPr>
          <w:rFonts w:ascii="宋体" w:hAnsi="宋体"/>
          <w:color w:val="auto"/>
          <w:sz w:val="32"/>
          <w:szCs w:val="32"/>
        </w:rPr>
      </w:pPr>
    </w:p>
    <w:p w14:paraId="46AAEA2C">
      <w:pPr>
        <w:spacing w:line="360" w:lineRule="auto"/>
        <w:rPr>
          <w:rFonts w:ascii="宋体" w:hAnsi="宋体"/>
          <w:color w:val="auto"/>
          <w:sz w:val="32"/>
          <w:szCs w:val="32"/>
        </w:rPr>
      </w:pPr>
      <w:r>
        <w:rPr>
          <w:rFonts w:ascii="宋体" w:hAnsi="宋体"/>
          <w:color w:val="auto"/>
          <w:sz w:val="32"/>
          <w:szCs w:val="32"/>
        </w:rPr>
        <w:br w:type="page"/>
      </w:r>
    </w:p>
    <w:p w14:paraId="3F1937A7">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4A823CAA">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0FB7DAD5">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2047998A">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3A723C1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5E022F62">
      <w:pPr>
        <w:autoSpaceDE w:val="0"/>
        <w:autoSpaceDN w:val="0"/>
        <w:adjustRightInd w:val="0"/>
        <w:snapToGrid w:val="0"/>
        <w:spacing w:line="360" w:lineRule="auto"/>
        <w:jc w:val="left"/>
        <w:rPr>
          <w:rFonts w:ascii="宋体" w:hAnsi="宋体"/>
          <w:color w:val="auto"/>
          <w:kern w:val="0"/>
          <w:sz w:val="16"/>
          <w:szCs w:val="16"/>
        </w:rPr>
      </w:pPr>
    </w:p>
    <w:p w14:paraId="7A0A9944">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0652C99A">
      <w:pPr>
        <w:autoSpaceDE w:val="0"/>
        <w:autoSpaceDN w:val="0"/>
        <w:adjustRightInd w:val="0"/>
        <w:snapToGrid w:val="0"/>
        <w:spacing w:line="360" w:lineRule="auto"/>
        <w:jc w:val="left"/>
        <w:rPr>
          <w:rFonts w:ascii="宋体" w:hAnsi="宋体" w:cs="MingLiU"/>
          <w:color w:val="auto"/>
          <w:kern w:val="0"/>
          <w:sz w:val="20"/>
          <w:szCs w:val="20"/>
        </w:rPr>
      </w:pPr>
    </w:p>
    <w:p w14:paraId="421DE41E">
      <w:pPr>
        <w:adjustRightInd w:val="0"/>
        <w:snapToGrid w:val="0"/>
        <w:spacing w:line="264" w:lineRule="auto"/>
        <w:rPr>
          <w:rFonts w:ascii="宋体" w:hAnsi="宋体"/>
          <w:color w:val="auto"/>
          <w:szCs w:val="21"/>
        </w:rPr>
      </w:pPr>
    </w:p>
    <w:p w14:paraId="2C642B71">
      <w:pPr>
        <w:autoSpaceDE w:val="0"/>
        <w:autoSpaceDN w:val="0"/>
        <w:adjustRightInd w:val="0"/>
        <w:snapToGrid w:val="0"/>
        <w:spacing w:line="360" w:lineRule="auto"/>
        <w:jc w:val="left"/>
        <w:rPr>
          <w:rFonts w:ascii="宋体" w:hAnsi="宋体" w:cs="MingLiU"/>
          <w:color w:val="auto"/>
          <w:kern w:val="0"/>
          <w:sz w:val="20"/>
          <w:szCs w:val="20"/>
        </w:rPr>
      </w:pPr>
    </w:p>
    <w:p w14:paraId="17D29048">
      <w:pPr>
        <w:autoSpaceDE w:val="0"/>
        <w:autoSpaceDN w:val="0"/>
        <w:adjustRightInd w:val="0"/>
        <w:snapToGrid w:val="0"/>
        <w:spacing w:line="360" w:lineRule="auto"/>
        <w:jc w:val="left"/>
        <w:rPr>
          <w:rFonts w:ascii="宋体" w:hAnsi="宋体" w:cs="MingLiU"/>
          <w:color w:val="auto"/>
          <w:kern w:val="0"/>
          <w:sz w:val="20"/>
          <w:szCs w:val="20"/>
        </w:rPr>
      </w:pPr>
    </w:p>
    <w:p w14:paraId="737197AD">
      <w:pPr>
        <w:autoSpaceDE w:val="0"/>
        <w:autoSpaceDN w:val="0"/>
        <w:adjustRightInd w:val="0"/>
        <w:snapToGrid w:val="0"/>
        <w:spacing w:line="360" w:lineRule="auto"/>
        <w:jc w:val="left"/>
        <w:rPr>
          <w:rFonts w:ascii="宋体" w:hAnsi="宋体" w:cs="MingLiU"/>
          <w:color w:val="auto"/>
          <w:kern w:val="0"/>
          <w:sz w:val="20"/>
          <w:szCs w:val="20"/>
        </w:rPr>
      </w:pPr>
    </w:p>
    <w:p w14:paraId="38D9FAFC">
      <w:pPr>
        <w:autoSpaceDE w:val="0"/>
        <w:autoSpaceDN w:val="0"/>
        <w:adjustRightInd w:val="0"/>
        <w:snapToGrid w:val="0"/>
        <w:spacing w:line="360" w:lineRule="auto"/>
        <w:jc w:val="left"/>
        <w:rPr>
          <w:rFonts w:ascii="宋体" w:hAnsi="宋体" w:cs="MingLiU"/>
          <w:color w:val="auto"/>
          <w:kern w:val="0"/>
          <w:sz w:val="20"/>
          <w:szCs w:val="20"/>
        </w:rPr>
      </w:pPr>
    </w:p>
    <w:p w14:paraId="34F11CD1">
      <w:pPr>
        <w:autoSpaceDE w:val="0"/>
        <w:autoSpaceDN w:val="0"/>
        <w:adjustRightInd w:val="0"/>
        <w:snapToGrid w:val="0"/>
        <w:spacing w:line="360" w:lineRule="auto"/>
        <w:jc w:val="left"/>
        <w:rPr>
          <w:rFonts w:ascii="宋体" w:hAnsi="宋体" w:cs="MingLiU"/>
          <w:color w:val="auto"/>
          <w:kern w:val="0"/>
          <w:sz w:val="20"/>
          <w:szCs w:val="20"/>
        </w:rPr>
      </w:pPr>
    </w:p>
    <w:p w14:paraId="6703BE1F">
      <w:pPr>
        <w:autoSpaceDE w:val="0"/>
        <w:autoSpaceDN w:val="0"/>
        <w:adjustRightInd w:val="0"/>
        <w:snapToGrid w:val="0"/>
        <w:spacing w:line="360" w:lineRule="auto"/>
        <w:jc w:val="left"/>
        <w:rPr>
          <w:rFonts w:ascii="宋体" w:hAnsi="宋体" w:cs="MingLiU"/>
          <w:color w:val="auto"/>
          <w:kern w:val="0"/>
          <w:sz w:val="20"/>
          <w:szCs w:val="20"/>
        </w:rPr>
      </w:pPr>
    </w:p>
    <w:p w14:paraId="79902EB1">
      <w:pPr>
        <w:autoSpaceDE w:val="0"/>
        <w:autoSpaceDN w:val="0"/>
        <w:adjustRightInd w:val="0"/>
        <w:snapToGrid w:val="0"/>
        <w:spacing w:line="360" w:lineRule="auto"/>
        <w:jc w:val="left"/>
        <w:rPr>
          <w:rFonts w:ascii="宋体" w:hAnsi="宋体" w:cs="MingLiU"/>
          <w:color w:val="auto"/>
          <w:kern w:val="0"/>
          <w:sz w:val="20"/>
          <w:szCs w:val="20"/>
        </w:rPr>
      </w:pPr>
    </w:p>
    <w:p w14:paraId="34FA2716">
      <w:pPr>
        <w:autoSpaceDE w:val="0"/>
        <w:autoSpaceDN w:val="0"/>
        <w:adjustRightInd w:val="0"/>
        <w:snapToGrid w:val="0"/>
        <w:spacing w:line="360" w:lineRule="auto"/>
        <w:jc w:val="left"/>
        <w:rPr>
          <w:rFonts w:ascii="宋体" w:hAnsi="宋体" w:cs="MingLiU"/>
          <w:color w:val="auto"/>
          <w:kern w:val="0"/>
          <w:sz w:val="20"/>
          <w:szCs w:val="20"/>
        </w:rPr>
      </w:pPr>
    </w:p>
    <w:p w14:paraId="1592DC8B">
      <w:pPr>
        <w:autoSpaceDE w:val="0"/>
        <w:autoSpaceDN w:val="0"/>
        <w:adjustRightInd w:val="0"/>
        <w:snapToGrid w:val="0"/>
        <w:spacing w:line="360" w:lineRule="auto"/>
        <w:jc w:val="left"/>
        <w:rPr>
          <w:rFonts w:ascii="宋体" w:hAnsi="宋体" w:cs="MingLiU"/>
          <w:color w:val="auto"/>
          <w:kern w:val="0"/>
          <w:sz w:val="20"/>
          <w:szCs w:val="20"/>
        </w:rPr>
      </w:pPr>
    </w:p>
    <w:p w14:paraId="7B21297C">
      <w:pPr>
        <w:autoSpaceDE w:val="0"/>
        <w:autoSpaceDN w:val="0"/>
        <w:adjustRightInd w:val="0"/>
        <w:snapToGrid w:val="0"/>
        <w:spacing w:line="360" w:lineRule="auto"/>
        <w:jc w:val="left"/>
        <w:rPr>
          <w:rFonts w:ascii="宋体" w:hAnsi="宋体" w:cs="MingLiU"/>
          <w:color w:val="auto"/>
          <w:kern w:val="0"/>
          <w:sz w:val="20"/>
          <w:szCs w:val="20"/>
        </w:rPr>
      </w:pPr>
    </w:p>
    <w:p w14:paraId="786B97A4">
      <w:pPr>
        <w:autoSpaceDE w:val="0"/>
        <w:autoSpaceDN w:val="0"/>
        <w:adjustRightInd w:val="0"/>
        <w:snapToGrid w:val="0"/>
        <w:spacing w:line="360" w:lineRule="auto"/>
        <w:jc w:val="left"/>
        <w:rPr>
          <w:rFonts w:ascii="宋体" w:hAnsi="宋体" w:cs="MingLiU"/>
          <w:color w:val="auto"/>
          <w:kern w:val="0"/>
          <w:sz w:val="20"/>
          <w:szCs w:val="20"/>
        </w:rPr>
      </w:pPr>
    </w:p>
    <w:p w14:paraId="428E7127">
      <w:pPr>
        <w:autoSpaceDE w:val="0"/>
        <w:autoSpaceDN w:val="0"/>
        <w:adjustRightInd w:val="0"/>
        <w:snapToGrid w:val="0"/>
        <w:spacing w:line="360" w:lineRule="auto"/>
        <w:jc w:val="left"/>
        <w:rPr>
          <w:rFonts w:ascii="宋体" w:hAnsi="宋体" w:cs="MingLiU"/>
          <w:color w:val="auto"/>
          <w:kern w:val="0"/>
          <w:sz w:val="20"/>
          <w:szCs w:val="20"/>
        </w:rPr>
      </w:pPr>
    </w:p>
    <w:p w14:paraId="37994F9C">
      <w:pPr>
        <w:autoSpaceDE w:val="0"/>
        <w:autoSpaceDN w:val="0"/>
        <w:adjustRightInd w:val="0"/>
        <w:snapToGrid w:val="0"/>
        <w:spacing w:line="360" w:lineRule="auto"/>
        <w:jc w:val="left"/>
        <w:rPr>
          <w:rFonts w:ascii="宋体" w:hAnsi="宋体" w:cs="MingLiU"/>
          <w:color w:val="auto"/>
          <w:kern w:val="0"/>
          <w:sz w:val="20"/>
          <w:szCs w:val="20"/>
        </w:rPr>
      </w:pPr>
    </w:p>
    <w:p w14:paraId="1D6450BE">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B30FF4F">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464CCF64">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43B81B3B">
      <w:pPr>
        <w:rPr>
          <w:rFonts w:hint="eastAsia" w:ascii="宋体" w:hAnsi="宋体"/>
          <w:color w:val="auto"/>
          <w:kern w:val="0"/>
          <w:sz w:val="36"/>
          <w:szCs w:val="36"/>
        </w:rPr>
      </w:pPr>
      <w:r>
        <w:rPr>
          <w:rFonts w:hint="eastAsia" w:ascii="宋体" w:hAnsi="宋体"/>
          <w:color w:val="auto"/>
          <w:kern w:val="0"/>
          <w:sz w:val="36"/>
          <w:szCs w:val="36"/>
        </w:rPr>
        <w:br w:type="page"/>
      </w:r>
    </w:p>
    <w:p w14:paraId="4FF7112A">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6C44AA78">
      <w:pPr>
        <w:spacing w:line="360" w:lineRule="auto"/>
        <w:jc w:val="center"/>
        <w:rPr>
          <w:rFonts w:ascii="宋体" w:hAnsi="宋体"/>
          <w:b/>
          <w:color w:val="auto"/>
          <w:kern w:val="0"/>
          <w:sz w:val="32"/>
          <w:szCs w:val="32"/>
        </w:rPr>
      </w:pPr>
    </w:p>
    <w:p w14:paraId="061446C7">
      <w:pPr>
        <w:spacing w:line="360" w:lineRule="auto"/>
        <w:ind w:firstLine="420" w:firstLineChars="200"/>
        <w:rPr>
          <w:rFonts w:ascii="宋体" w:hAnsi="宋体"/>
          <w:color w:val="auto"/>
          <w:szCs w:val="21"/>
        </w:rPr>
      </w:pPr>
      <w:r>
        <w:rPr>
          <w:rFonts w:ascii="宋体" w:hAnsi="宋体"/>
          <w:color w:val="auto"/>
          <w:szCs w:val="21"/>
        </w:rPr>
        <w:t>（一）</w:t>
      </w:r>
      <w:r>
        <w:rPr>
          <w:rFonts w:hint="eastAsia" w:ascii="宋体" w:hAnsi="宋体"/>
          <w:color w:val="auto"/>
          <w:szCs w:val="21"/>
        </w:rPr>
        <w:t>法定代表人身份证明或附有法定代表人身份证明的授权委托书</w:t>
      </w:r>
    </w:p>
    <w:p w14:paraId="4F39692F">
      <w:pPr>
        <w:spacing w:line="360" w:lineRule="auto"/>
        <w:ind w:firstLine="420" w:firstLineChars="200"/>
        <w:rPr>
          <w:rFonts w:ascii="宋体" w:hAnsi="宋体"/>
          <w:color w:val="auto"/>
          <w:szCs w:val="21"/>
        </w:rPr>
      </w:pPr>
      <w:r>
        <w:rPr>
          <w:rFonts w:ascii="宋体" w:hAnsi="宋体"/>
          <w:color w:val="auto"/>
          <w:szCs w:val="21"/>
        </w:rPr>
        <w:t>（二）投标人基本情况表</w:t>
      </w:r>
    </w:p>
    <w:p w14:paraId="71D319B2">
      <w:pPr>
        <w:spacing w:line="360" w:lineRule="auto"/>
        <w:ind w:firstLine="420" w:firstLineChars="200"/>
        <w:rPr>
          <w:rFonts w:ascii="宋体" w:hAnsi="宋体"/>
          <w:color w:val="auto"/>
          <w:szCs w:val="21"/>
        </w:rPr>
      </w:pPr>
      <w:r>
        <w:rPr>
          <w:rFonts w:ascii="宋体" w:hAnsi="宋体"/>
          <w:color w:val="auto"/>
          <w:szCs w:val="21"/>
        </w:rPr>
        <w:t>（三）项目管理机构</w:t>
      </w:r>
    </w:p>
    <w:p w14:paraId="2DEE8E4B">
      <w:pPr>
        <w:spacing w:line="360" w:lineRule="auto"/>
        <w:ind w:firstLine="420" w:firstLineChars="200"/>
        <w:rPr>
          <w:rFonts w:ascii="宋体" w:hAnsi="宋体"/>
          <w:color w:val="auto"/>
          <w:szCs w:val="21"/>
        </w:rPr>
      </w:pPr>
      <w:r>
        <w:rPr>
          <w:rFonts w:ascii="宋体" w:hAnsi="宋体"/>
          <w:color w:val="auto"/>
          <w:szCs w:val="21"/>
        </w:rPr>
        <w:t>（四）</w:t>
      </w:r>
      <w:r>
        <w:rPr>
          <w:rFonts w:hint="eastAsia" w:ascii="宋体" w:hAnsi="宋体"/>
          <w:color w:val="auto"/>
          <w:szCs w:val="21"/>
        </w:rPr>
        <w:t>承诺</w:t>
      </w:r>
    </w:p>
    <w:p w14:paraId="47B8D7F4">
      <w:pPr>
        <w:spacing w:line="360" w:lineRule="auto"/>
        <w:ind w:firstLine="420" w:firstLineChars="200"/>
        <w:rPr>
          <w:rFonts w:ascii="宋体" w:hAnsi="宋体"/>
          <w:color w:val="auto"/>
          <w:szCs w:val="21"/>
        </w:rPr>
      </w:pPr>
      <w:r>
        <w:rPr>
          <w:rFonts w:ascii="宋体" w:hAnsi="宋体"/>
          <w:color w:val="auto"/>
          <w:szCs w:val="21"/>
        </w:rPr>
        <w:t>（五）其他资料</w:t>
      </w:r>
    </w:p>
    <w:p w14:paraId="75D7F8D8">
      <w:pPr>
        <w:spacing w:line="360" w:lineRule="auto"/>
        <w:jc w:val="center"/>
        <w:rPr>
          <w:rFonts w:ascii="宋体" w:hAnsi="宋体"/>
          <w:b/>
          <w:color w:val="auto"/>
          <w:kern w:val="0"/>
          <w:sz w:val="32"/>
          <w:szCs w:val="32"/>
        </w:rPr>
      </w:pPr>
    </w:p>
    <w:p w14:paraId="5B32CB5E">
      <w:pPr>
        <w:spacing w:line="360" w:lineRule="auto"/>
        <w:jc w:val="center"/>
        <w:rPr>
          <w:rFonts w:ascii="宋体" w:hAnsi="宋体"/>
          <w:b/>
          <w:color w:val="auto"/>
          <w:kern w:val="0"/>
          <w:sz w:val="32"/>
          <w:szCs w:val="32"/>
        </w:rPr>
      </w:pPr>
    </w:p>
    <w:p w14:paraId="22897901">
      <w:pPr>
        <w:pStyle w:val="5"/>
        <w:jc w:val="center"/>
        <w:rPr>
          <w:rFonts w:ascii="宋体" w:hAnsi="宋体"/>
          <w:snapToGrid w:val="0"/>
          <w:color w:val="auto"/>
          <w:kern w:val="0"/>
          <w:sz w:val="30"/>
          <w:szCs w:val="30"/>
        </w:rPr>
      </w:pPr>
      <w:r>
        <w:rPr>
          <w:rFonts w:ascii="宋体" w:hAnsi="宋体"/>
          <w:color w:val="auto"/>
        </w:rPr>
        <w:br w:type="page"/>
      </w:r>
      <w:bookmarkStart w:id="816" w:name="_Toc26057"/>
      <w:bookmarkStart w:id="817" w:name="_Toc5633"/>
      <w:bookmarkStart w:id="818" w:name="_Toc277082657"/>
      <w:bookmarkStart w:id="819" w:name="_Toc287620830"/>
      <w:bookmarkStart w:id="820" w:name="_Toc224103511"/>
      <w:bookmarkStart w:id="821" w:name="_Toc287607883"/>
      <w:bookmarkStart w:id="822" w:name="_Toc430530546"/>
      <w:r>
        <w:rPr>
          <w:color w:val="auto"/>
          <w:sz w:val="30"/>
          <w:szCs w:val="30"/>
        </w:rPr>
        <w:t>（一）</w:t>
      </w:r>
      <w:r>
        <w:rPr>
          <w:rFonts w:hint="eastAsia"/>
          <w:color w:val="auto"/>
          <w:sz w:val="30"/>
          <w:szCs w:val="30"/>
        </w:rPr>
        <w:t>法定代表人身份证明或附有法定代表人身份证明的授权委托书</w:t>
      </w:r>
      <w:bookmarkEnd w:id="816"/>
      <w:bookmarkEnd w:id="817"/>
    </w:p>
    <w:p w14:paraId="0F111065">
      <w:pPr>
        <w:spacing w:line="480" w:lineRule="auto"/>
        <w:jc w:val="center"/>
        <w:rPr>
          <w:rFonts w:ascii="宋体" w:hAnsi="宋体"/>
          <w:color w:val="auto"/>
          <w:sz w:val="28"/>
        </w:rPr>
      </w:pPr>
      <w:r>
        <w:rPr>
          <w:rFonts w:hint="eastAsia" w:ascii="宋体" w:hAnsi="宋体"/>
          <w:color w:val="auto"/>
          <w:sz w:val="28"/>
        </w:rPr>
        <w:t>法定代表人身份证明</w:t>
      </w:r>
    </w:p>
    <w:p w14:paraId="5DB5A549">
      <w:pPr>
        <w:spacing w:line="480" w:lineRule="auto"/>
        <w:jc w:val="center"/>
        <w:rPr>
          <w:rFonts w:ascii="宋体" w:hAnsi="宋体"/>
          <w:color w:val="auto"/>
        </w:rPr>
      </w:pPr>
    </w:p>
    <w:p w14:paraId="04BBB32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72CEBC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ABA5D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1FD7AA1">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323CE49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0913D1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1E79074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221A867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7271A4AC">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3B4C82A3">
      <w:pPr>
        <w:autoSpaceDE w:val="0"/>
        <w:autoSpaceDN w:val="0"/>
        <w:adjustRightInd w:val="0"/>
        <w:snapToGrid w:val="0"/>
        <w:spacing w:line="360" w:lineRule="auto"/>
        <w:jc w:val="left"/>
        <w:rPr>
          <w:rFonts w:ascii="宋体" w:hAnsi="宋体"/>
          <w:color w:val="auto"/>
          <w:szCs w:val="21"/>
        </w:rPr>
      </w:pPr>
    </w:p>
    <w:p w14:paraId="60E5EA2A">
      <w:pPr>
        <w:pStyle w:val="2"/>
        <w:spacing w:after="0" w:line="360" w:lineRule="auto"/>
        <w:rPr>
          <w:rFonts w:ascii="宋体" w:hAnsi="宋体"/>
          <w:color w:val="auto"/>
          <w:szCs w:val="21"/>
        </w:rPr>
      </w:pPr>
    </w:p>
    <w:p w14:paraId="5392B198">
      <w:pPr>
        <w:pStyle w:val="2"/>
        <w:spacing w:after="0" w:line="360" w:lineRule="auto"/>
        <w:rPr>
          <w:rFonts w:ascii="宋体" w:hAnsi="宋体"/>
          <w:color w:val="auto"/>
          <w:szCs w:val="21"/>
        </w:rPr>
      </w:pPr>
    </w:p>
    <w:p w14:paraId="3D7703F2">
      <w:pPr>
        <w:pStyle w:val="2"/>
        <w:spacing w:after="0" w:line="360" w:lineRule="auto"/>
        <w:rPr>
          <w:rFonts w:ascii="宋体" w:hAnsi="宋体"/>
          <w:color w:val="auto"/>
          <w:szCs w:val="21"/>
        </w:rPr>
      </w:pPr>
    </w:p>
    <w:p w14:paraId="3249B213">
      <w:pPr>
        <w:pStyle w:val="2"/>
        <w:spacing w:after="0" w:line="360" w:lineRule="auto"/>
        <w:rPr>
          <w:rFonts w:ascii="宋体" w:hAnsi="宋体"/>
          <w:color w:val="auto"/>
          <w:szCs w:val="21"/>
        </w:rPr>
      </w:pPr>
    </w:p>
    <w:p w14:paraId="719ABD7E">
      <w:pPr>
        <w:pStyle w:val="2"/>
        <w:spacing w:after="0" w:line="360" w:lineRule="auto"/>
        <w:rPr>
          <w:rFonts w:ascii="宋体" w:hAnsi="宋体"/>
          <w:color w:val="auto"/>
          <w:szCs w:val="21"/>
        </w:rPr>
      </w:pPr>
    </w:p>
    <w:p w14:paraId="30DC44F7">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0FE1559C">
      <w:pPr>
        <w:autoSpaceDE w:val="0"/>
        <w:autoSpaceDN w:val="0"/>
        <w:adjustRightInd w:val="0"/>
        <w:snapToGrid w:val="0"/>
        <w:spacing w:line="480" w:lineRule="auto"/>
        <w:jc w:val="left"/>
        <w:rPr>
          <w:rFonts w:ascii="宋体" w:hAnsi="宋体"/>
          <w:color w:val="auto"/>
          <w:kern w:val="0"/>
          <w:sz w:val="20"/>
          <w:szCs w:val="20"/>
        </w:rPr>
      </w:pPr>
    </w:p>
    <w:p w14:paraId="126C5DD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6261A88">
      <w:pPr>
        <w:autoSpaceDE w:val="0"/>
        <w:autoSpaceDN w:val="0"/>
        <w:adjustRightInd w:val="0"/>
        <w:snapToGrid w:val="0"/>
        <w:spacing w:line="360" w:lineRule="auto"/>
        <w:jc w:val="left"/>
        <w:rPr>
          <w:rFonts w:ascii="宋体" w:hAnsi="宋体"/>
          <w:color w:val="auto"/>
          <w:kern w:val="0"/>
        </w:rPr>
      </w:pPr>
    </w:p>
    <w:p w14:paraId="0665FA36">
      <w:pPr>
        <w:autoSpaceDE w:val="0"/>
        <w:autoSpaceDN w:val="0"/>
        <w:adjustRightInd w:val="0"/>
        <w:snapToGrid w:val="0"/>
        <w:spacing w:line="360" w:lineRule="auto"/>
        <w:jc w:val="left"/>
        <w:rPr>
          <w:rFonts w:ascii="宋体" w:hAnsi="宋体"/>
          <w:color w:val="auto"/>
          <w:kern w:val="0"/>
        </w:rPr>
      </w:pPr>
    </w:p>
    <w:p w14:paraId="37C4A084">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818"/>
      <w:bookmarkEnd w:id="819"/>
      <w:bookmarkEnd w:id="820"/>
      <w:bookmarkEnd w:id="821"/>
      <w:bookmarkEnd w:id="822"/>
      <w:r>
        <w:rPr>
          <w:rFonts w:hint="eastAsia" w:ascii="宋体" w:hAnsi="宋体"/>
          <w:color w:val="auto"/>
          <w:kern w:val="0"/>
          <w:szCs w:val="21"/>
        </w:rPr>
        <w:t>。</w:t>
      </w:r>
    </w:p>
    <w:p w14:paraId="744DC58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193C990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F5141C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59C0398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02DCC36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61E0F53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72E5B66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76D15A4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B7F9A5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43A0BC2B">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9F0D3C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4BAE5E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3571EC89">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4C06644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3FE2AAE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26B9A7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DCDA05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773536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2559A2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rPr>
      </w:pPr>
    </w:p>
    <w:p w14:paraId="0D2FD61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12F89F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17D27F75">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8538A87">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73E10C56">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2F7B0C0C">
      <w:pPr>
        <w:pStyle w:val="5"/>
        <w:spacing w:before="0" w:after="0" w:line="240" w:lineRule="auto"/>
        <w:jc w:val="center"/>
        <w:rPr>
          <w:rFonts w:ascii="宋体" w:hAnsi="宋体"/>
          <w:color w:val="auto"/>
        </w:rPr>
      </w:pPr>
      <w:bookmarkStart w:id="823" w:name="_Toc27740"/>
      <w:bookmarkStart w:id="824" w:name="_Toc277082659"/>
      <w:bookmarkStart w:id="825" w:name="_Toc287607887"/>
      <w:r>
        <w:rPr>
          <w:rFonts w:hint="eastAsia" w:ascii="宋体" w:hAnsi="宋体"/>
          <w:b w:val="0"/>
          <w:bCs w:val="0"/>
          <w:color w:val="auto"/>
        </w:rPr>
        <w:t>（</w:t>
      </w:r>
      <w:r>
        <w:rPr>
          <w:rFonts w:hint="eastAsia" w:ascii="宋体" w:hAnsi="宋体"/>
          <w:b w:val="0"/>
          <w:bCs w:val="0"/>
          <w:color w:val="auto"/>
          <w:lang w:eastAsia="zh-CN"/>
        </w:rPr>
        <w:t>二</w:t>
      </w:r>
      <w:r>
        <w:rPr>
          <w:rFonts w:hint="eastAsia" w:ascii="宋体" w:hAnsi="宋体"/>
          <w:b w:val="0"/>
          <w:bCs w:val="0"/>
          <w:color w:val="auto"/>
        </w:rPr>
        <w:t>）投标人基本情况表</w:t>
      </w:r>
      <w:bookmarkEnd w:id="82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4CC66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F2DF53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03650AC9">
            <w:pPr>
              <w:autoSpaceDE w:val="0"/>
              <w:autoSpaceDN w:val="0"/>
              <w:adjustRightInd w:val="0"/>
              <w:snapToGrid w:val="0"/>
              <w:jc w:val="center"/>
              <w:rPr>
                <w:rFonts w:ascii="宋体" w:hAnsi="宋体"/>
                <w:color w:val="auto"/>
                <w:kern w:val="0"/>
                <w:szCs w:val="21"/>
              </w:rPr>
            </w:pPr>
          </w:p>
        </w:tc>
      </w:tr>
      <w:tr w14:paraId="458A66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3FC5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62ACEAAD">
            <w:pPr>
              <w:autoSpaceDE w:val="0"/>
              <w:autoSpaceDN w:val="0"/>
              <w:adjustRightInd w:val="0"/>
              <w:snapToGrid w:val="0"/>
              <w:jc w:val="center"/>
              <w:rPr>
                <w:rFonts w:ascii="宋体" w:hAnsi="宋体"/>
                <w:color w:val="auto"/>
                <w:kern w:val="0"/>
                <w:szCs w:val="21"/>
              </w:rPr>
            </w:pPr>
          </w:p>
        </w:tc>
        <w:tc>
          <w:tcPr>
            <w:tcW w:w="1392" w:type="dxa"/>
            <w:vAlign w:val="center"/>
          </w:tcPr>
          <w:p w14:paraId="20AF559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5D9A0A09">
            <w:pPr>
              <w:autoSpaceDE w:val="0"/>
              <w:autoSpaceDN w:val="0"/>
              <w:adjustRightInd w:val="0"/>
              <w:snapToGrid w:val="0"/>
              <w:jc w:val="center"/>
              <w:rPr>
                <w:rFonts w:ascii="宋体" w:hAnsi="宋体"/>
                <w:color w:val="auto"/>
                <w:kern w:val="0"/>
                <w:szCs w:val="21"/>
              </w:rPr>
            </w:pPr>
          </w:p>
        </w:tc>
      </w:tr>
      <w:tr w14:paraId="115767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4ECA7C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0B28794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27BCBA2A">
            <w:pPr>
              <w:autoSpaceDE w:val="0"/>
              <w:autoSpaceDN w:val="0"/>
              <w:adjustRightInd w:val="0"/>
              <w:snapToGrid w:val="0"/>
              <w:jc w:val="center"/>
              <w:rPr>
                <w:rFonts w:ascii="宋体" w:hAnsi="宋体"/>
                <w:color w:val="auto"/>
                <w:kern w:val="0"/>
                <w:szCs w:val="21"/>
              </w:rPr>
            </w:pPr>
          </w:p>
        </w:tc>
        <w:tc>
          <w:tcPr>
            <w:tcW w:w="1392" w:type="dxa"/>
            <w:vAlign w:val="center"/>
          </w:tcPr>
          <w:p w14:paraId="5AD420B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271C36A8">
            <w:pPr>
              <w:autoSpaceDE w:val="0"/>
              <w:autoSpaceDN w:val="0"/>
              <w:adjustRightInd w:val="0"/>
              <w:snapToGrid w:val="0"/>
              <w:jc w:val="center"/>
              <w:rPr>
                <w:rFonts w:ascii="宋体" w:hAnsi="宋体"/>
                <w:color w:val="auto"/>
                <w:kern w:val="0"/>
                <w:szCs w:val="21"/>
              </w:rPr>
            </w:pPr>
          </w:p>
        </w:tc>
      </w:tr>
      <w:tr w14:paraId="07038B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D19F98A">
            <w:pPr>
              <w:autoSpaceDE w:val="0"/>
              <w:autoSpaceDN w:val="0"/>
              <w:adjustRightInd w:val="0"/>
              <w:snapToGrid w:val="0"/>
              <w:jc w:val="center"/>
              <w:rPr>
                <w:rFonts w:ascii="宋体" w:hAnsi="宋体"/>
                <w:color w:val="auto"/>
                <w:kern w:val="0"/>
                <w:szCs w:val="21"/>
              </w:rPr>
            </w:pPr>
          </w:p>
        </w:tc>
        <w:tc>
          <w:tcPr>
            <w:tcW w:w="967" w:type="dxa"/>
            <w:vAlign w:val="center"/>
          </w:tcPr>
          <w:p w14:paraId="2C8BA4E2">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7D75B5F7">
            <w:pPr>
              <w:autoSpaceDE w:val="0"/>
              <w:autoSpaceDN w:val="0"/>
              <w:adjustRightInd w:val="0"/>
              <w:snapToGrid w:val="0"/>
              <w:jc w:val="center"/>
              <w:rPr>
                <w:rFonts w:ascii="宋体" w:hAnsi="宋体"/>
                <w:color w:val="auto"/>
                <w:kern w:val="0"/>
                <w:szCs w:val="21"/>
              </w:rPr>
            </w:pPr>
          </w:p>
        </w:tc>
        <w:tc>
          <w:tcPr>
            <w:tcW w:w="1392" w:type="dxa"/>
            <w:vAlign w:val="center"/>
          </w:tcPr>
          <w:p w14:paraId="12881E8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31AEAE32">
            <w:pPr>
              <w:autoSpaceDE w:val="0"/>
              <w:autoSpaceDN w:val="0"/>
              <w:adjustRightInd w:val="0"/>
              <w:snapToGrid w:val="0"/>
              <w:jc w:val="center"/>
              <w:rPr>
                <w:rFonts w:ascii="宋体" w:hAnsi="宋体"/>
                <w:color w:val="auto"/>
                <w:kern w:val="0"/>
                <w:szCs w:val="21"/>
              </w:rPr>
            </w:pPr>
          </w:p>
        </w:tc>
      </w:tr>
      <w:tr w14:paraId="46A06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3EDB94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5E4EC5D1">
            <w:pPr>
              <w:autoSpaceDE w:val="0"/>
              <w:autoSpaceDN w:val="0"/>
              <w:adjustRightInd w:val="0"/>
              <w:snapToGrid w:val="0"/>
              <w:jc w:val="center"/>
              <w:rPr>
                <w:rFonts w:ascii="宋体" w:hAnsi="宋体"/>
                <w:color w:val="auto"/>
                <w:kern w:val="0"/>
                <w:szCs w:val="21"/>
              </w:rPr>
            </w:pPr>
          </w:p>
        </w:tc>
      </w:tr>
      <w:tr w14:paraId="41E7D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3193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6C3489B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5AD3F383">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33B4147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636E01C5">
            <w:pPr>
              <w:autoSpaceDE w:val="0"/>
              <w:autoSpaceDN w:val="0"/>
              <w:adjustRightInd w:val="0"/>
              <w:snapToGrid w:val="0"/>
              <w:jc w:val="center"/>
              <w:rPr>
                <w:rFonts w:ascii="宋体" w:hAnsi="宋体"/>
                <w:color w:val="auto"/>
                <w:kern w:val="0"/>
                <w:szCs w:val="21"/>
              </w:rPr>
            </w:pPr>
          </w:p>
        </w:tc>
        <w:tc>
          <w:tcPr>
            <w:tcW w:w="925" w:type="dxa"/>
            <w:vAlign w:val="center"/>
          </w:tcPr>
          <w:p w14:paraId="61BD1C7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4B8F3DD3">
            <w:pPr>
              <w:autoSpaceDE w:val="0"/>
              <w:autoSpaceDN w:val="0"/>
              <w:adjustRightInd w:val="0"/>
              <w:snapToGrid w:val="0"/>
              <w:jc w:val="center"/>
              <w:rPr>
                <w:rFonts w:ascii="宋体" w:hAnsi="宋体"/>
                <w:color w:val="auto"/>
                <w:kern w:val="0"/>
                <w:szCs w:val="21"/>
              </w:rPr>
            </w:pPr>
          </w:p>
        </w:tc>
      </w:tr>
      <w:tr w14:paraId="1D4E44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C4C14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7815D0A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3319739D">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26DF84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2E94C2F5">
            <w:pPr>
              <w:autoSpaceDE w:val="0"/>
              <w:autoSpaceDN w:val="0"/>
              <w:adjustRightInd w:val="0"/>
              <w:snapToGrid w:val="0"/>
              <w:jc w:val="center"/>
              <w:rPr>
                <w:rFonts w:ascii="宋体" w:hAnsi="宋体"/>
                <w:color w:val="auto"/>
                <w:kern w:val="0"/>
                <w:szCs w:val="21"/>
              </w:rPr>
            </w:pPr>
          </w:p>
        </w:tc>
        <w:tc>
          <w:tcPr>
            <w:tcW w:w="925" w:type="dxa"/>
            <w:vAlign w:val="center"/>
          </w:tcPr>
          <w:p w14:paraId="014F5EF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7CD54746">
            <w:pPr>
              <w:autoSpaceDE w:val="0"/>
              <w:autoSpaceDN w:val="0"/>
              <w:adjustRightInd w:val="0"/>
              <w:snapToGrid w:val="0"/>
              <w:jc w:val="center"/>
              <w:rPr>
                <w:rFonts w:ascii="宋体" w:hAnsi="宋体"/>
                <w:color w:val="auto"/>
                <w:kern w:val="0"/>
                <w:szCs w:val="21"/>
              </w:rPr>
            </w:pPr>
          </w:p>
        </w:tc>
      </w:tr>
      <w:tr w14:paraId="1654E3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AD81C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4F5B24AC">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514C613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4AF0A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AE6F5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350B0C75">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3693041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5268023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653D776D">
            <w:pPr>
              <w:autoSpaceDE w:val="0"/>
              <w:autoSpaceDN w:val="0"/>
              <w:adjustRightInd w:val="0"/>
              <w:snapToGrid w:val="0"/>
              <w:jc w:val="center"/>
              <w:rPr>
                <w:rFonts w:ascii="宋体" w:hAnsi="宋体"/>
                <w:color w:val="auto"/>
                <w:kern w:val="0"/>
                <w:szCs w:val="21"/>
              </w:rPr>
            </w:pPr>
          </w:p>
        </w:tc>
      </w:tr>
      <w:tr w14:paraId="2302D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F8515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1991" w:type="dxa"/>
            <w:gridSpan w:val="2"/>
            <w:vAlign w:val="center"/>
          </w:tcPr>
          <w:p w14:paraId="26D4905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4E789AA">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711316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5E824CF4">
            <w:pPr>
              <w:autoSpaceDE w:val="0"/>
              <w:autoSpaceDN w:val="0"/>
              <w:adjustRightInd w:val="0"/>
              <w:snapToGrid w:val="0"/>
              <w:jc w:val="center"/>
              <w:rPr>
                <w:rFonts w:ascii="宋体" w:hAnsi="宋体"/>
                <w:color w:val="auto"/>
                <w:kern w:val="0"/>
                <w:szCs w:val="21"/>
              </w:rPr>
            </w:pPr>
          </w:p>
        </w:tc>
      </w:tr>
      <w:tr w14:paraId="6884C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2C435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4E0DA6AB">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3504C47B">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6BFF2E9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4D3A7524">
            <w:pPr>
              <w:autoSpaceDE w:val="0"/>
              <w:autoSpaceDN w:val="0"/>
              <w:adjustRightInd w:val="0"/>
              <w:snapToGrid w:val="0"/>
              <w:jc w:val="center"/>
              <w:rPr>
                <w:rFonts w:ascii="宋体" w:hAnsi="宋体"/>
                <w:color w:val="auto"/>
                <w:kern w:val="0"/>
                <w:szCs w:val="21"/>
              </w:rPr>
            </w:pPr>
          </w:p>
        </w:tc>
      </w:tr>
      <w:tr w14:paraId="2EF827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6577C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3D594F95">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AE5AC66">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583FCFF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1A68A98D">
            <w:pPr>
              <w:autoSpaceDE w:val="0"/>
              <w:autoSpaceDN w:val="0"/>
              <w:adjustRightInd w:val="0"/>
              <w:snapToGrid w:val="0"/>
              <w:jc w:val="center"/>
              <w:rPr>
                <w:rFonts w:ascii="宋体" w:hAnsi="宋体"/>
                <w:color w:val="auto"/>
                <w:kern w:val="0"/>
                <w:szCs w:val="21"/>
              </w:rPr>
            </w:pPr>
          </w:p>
        </w:tc>
      </w:tr>
      <w:tr w14:paraId="29F10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9698C1">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148C6BB3">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6B79F245">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2A9E343A">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38A6B450">
            <w:pPr>
              <w:autoSpaceDE w:val="0"/>
              <w:autoSpaceDN w:val="0"/>
              <w:adjustRightInd w:val="0"/>
              <w:snapToGrid w:val="0"/>
              <w:jc w:val="center"/>
              <w:rPr>
                <w:rFonts w:ascii="宋体" w:hAnsi="宋体"/>
                <w:color w:val="auto"/>
                <w:kern w:val="0"/>
                <w:szCs w:val="21"/>
              </w:rPr>
            </w:pPr>
          </w:p>
        </w:tc>
      </w:tr>
      <w:tr w14:paraId="658003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4153ED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2ECDCA4E">
            <w:pPr>
              <w:autoSpaceDE w:val="0"/>
              <w:autoSpaceDN w:val="0"/>
              <w:adjustRightInd w:val="0"/>
              <w:snapToGrid w:val="0"/>
              <w:jc w:val="center"/>
              <w:rPr>
                <w:rFonts w:ascii="宋体" w:hAnsi="宋体"/>
                <w:color w:val="auto"/>
                <w:kern w:val="0"/>
                <w:szCs w:val="21"/>
              </w:rPr>
            </w:pPr>
          </w:p>
        </w:tc>
      </w:tr>
      <w:tr w14:paraId="7A01D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3B230A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22ED7DF0">
            <w:pPr>
              <w:autoSpaceDE w:val="0"/>
              <w:autoSpaceDN w:val="0"/>
              <w:adjustRightInd w:val="0"/>
              <w:snapToGrid w:val="0"/>
              <w:jc w:val="center"/>
              <w:rPr>
                <w:rFonts w:ascii="宋体" w:hAnsi="宋体"/>
                <w:color w:val="auto"/>
                <w:kern w:val="0"/>
                <w:szCs w:val="21"/>
              </w:rPr>
            </w:pPr>
          </w:p>
        </w:tc>
      </w:tr>
    </w:tbl>
    <w:p w14:paraId="65133312">
      <w:pPr>
        <w:spacing w:line="360" w:lineRule="auto"/>
        <w:jc w:val="center"/>
        <w:rPr>
          <w:rFonts w:ascii="宋体" w:hAnsi="宋体"/>
          <w:color w:val="auto"/>
          <w:szCs w:val="21"/>
        </w:rPr>
      </w:pPr>
    </w:p>
    <w:p w14:paraId="01B9F9B2">
      <w:pPr>
        <w:pStyle w:val="5"/>
        <w:spacing w:before="0" w:after="0" w:line="240" w:lineRule="auto"/>
        <w:jc w:val="center"/>
        <w:rPr>
          <w:rFonts w:ascii="宋体" w:hAnsi="宋体"/>
          <w:b w:val="0"/>
          <w:bCs w:val="0"/>
          <w:color w:val="auto"/>
        </w:rPr>
      </w:pPr>
      <w:r>
        <w:rPr>
          <w:rFonts w:ascii="宋体" w:hAnsi="宋体"/>
          <w:color w:val="auto"/>
          <w:szCs w:val="21"/>
        </w:rPr>
        <w:br w:type="page"/>
      </w:r>
      <w:bookmarkStart w:id="826" w:name="_Toc509218863"/>
      <w:bookmarkStart w:id="827" w:name="_Toc534185840"/>
      <w:bookmarkStart w:id="828" w:name="_Toc9292"/>
      <w:r>
        <w:rPr>
          <w:rFonts w:hint="eastAsia" w:ascii="宋体" w:hAnsi="宋体"/>
          <w:b w:val="0"/>
          <w:bCs w:val="0"/>
          <w:color w:val="auto"/>
        </w:rPr>
        <w:t>（</w:t>
      </w:r>
      <w:r>
        <w:rPr>
          <w:rFonts w:hint="eastAsia" w:ascii="宋体" w:hAnsi="宋体"/>
          <w:b w:val="0"/>
          <w:bCs w:val="0"/>
          <w:color w:val="auto"/>
          <w:lang w:eastAsia="zh-CN"/>
        </w:rPr>
        <w:t>三</w:t>
      </w:r>
      <w:r>
        <w:rPr>
          <w:rFonts w:hint="eastAsia" w:ascii="宋体" w:hAnsi="宋体"/>
          <w:b w:val="0"/>
          <w:bCs w:val="0"/>
          <w:color w:val="auto"/>
        </w:rPr>
        <w:t>）项目管理机构</w:t>
      </w:r>
      <w:bookmarkEnd w:id="826"/>
      <w:bookmarkEnd w:id="827"/>
      <w:bookmarkEnd w:id="828"/>
    </w:p>
    <w:p w14:paraId="2B9A4FE4">
      <w:pPr>
        <w:spacing w:line="360" w:lineRule="auto"/>
        <w:rPr>
          <w:rFonts w:ascii="宋体" w:hAnsi="宋体"/>
          <w:color w:val="auto"/>
        </w:rPr>
      </w:pPr>
    </w:p>
    <w:p w14:paraId="228A37E3">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241B3B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7B8A0E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34" w:type="dxa"/>
            <w:vMerge w:val="restart"/>
            <w:vAlign w:val="center"/>
          </w:tcPr>
          <w:p w14:paraId="1785044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76" w:type="dxa"/>
            <w:vMerge w:val="restart"/>
            <w:vAlign w:val="center"/>
          </w:tcPr>
          <w:p w14:paraId="0A89B4C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6220" w:type="dxa"/>
            <w:gridSpan w:val="5"/>
            <w:vAlign w:val="center"/>
          </w:tcPr>
          <w:p w14:paraId="6968953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896" w:type="dxa"/>
            <w:vAlign w:val="center"/>
          </w:tcPr>
          <w:p w14:paraId="13C98D8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14:paraId="1AF6F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185E6548">
            <w:pPr>
              <w:autoSpaceDE w:val="0"/>
              <w:autoSpaceDN w:val="0"/>
              <w:adjustRightInd w:val="0"/>
              <w:snapToGrid w:val="0"/>
              <w:jc w:val="left"/>
              <w:rPr>
                <w:rFonts w:ascii="宋体" w:hAnsi="宋体"/>
                <w:color w:val="auto"/>
                <w:kern w:val="0"/>
                <w:szCs w:val="21"/>
              </w:rPr>
            </w:pPr>
          </w:p>
        </w:tc>
        <w:tc>
          <w:tcPr>
            <w:tcW w:w="734" w:type="dxa"/>
            <w:vMerge w:val="continue"/>
          </w:tcPr>
          <w:p w14:paraId="374DB4BC">
            <w:pPr>
              <w:autoSpaceDE w:val="0"/>
              <w:autoSpaceDN w:val="0"/>
              <w:adjustRightInd w:val="0"/>
              <w:snapToGrid w:val="0"/>
              <w:jc w:val="left"/>
              <w:rPr>
                <w:rFonts w:ascii="宋体" w:hAnsi="宋体"/>
                <w:color w:val="auto"/>
                <w:kern w:val="0"/>
                <w:szCs w:val="21"/>
              </w:rPr>
            </w:pPr>
          </w:p>
        </w:tc>
        <w:tc>
          <w:tcPr>
            <w:tcW w:w="776" w:type="dxa"/>
            <w:vMerge w:val="continue"/>
          </w:tcPr>
          <w:p w14:paraId="3F4EED81">
            <w:pPr>
              <w:autoSpaceDE w:val="0"/>
              <w:autoSpaceDN w:val="0"/>
              <w:adjustRightInd w:val="0"/>
              <w:snapToGrid w:val="0"/>
              <w:jc w:val="left"/>
              <w:rPr>
                <w:rFonts w:ascii="宋体" w:hAnsi="宋体"/>
                <w:color w:val="auto"/>
                <w:kern w:val="0"/>
                <w:szCs w:val="21"/>
              </w:rPr>
            </w:pPr>
          </w:p>
        </w:tc>
        <w:tc>
          <w:tcPr>
            <w:tcW w:w="1167" w:type="dxa"/>
            <w:vAlign w:val="center"/>
          </w:tcPr>
          <w:p w14:paraId="6FCB0FC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76" w:type="dxa"/>
            <w:vAlign w:val="center"/>
          </w:tcPr>
          <w:p w14:paraId="5F3B861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78" w:type="dxa"/>
            <w:vAlign w:val="center"/>
          </w:tcPr>
          <w:p w14:paraId="7236A66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776" w:type="dxa"/>
            <w:vAlign w:val="center"/>
          </w:tcPr>
          <w:p w14:paraId="6DFC0E1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723" w:type="dxa"/>
            <w:vAlign w:val="center"/>
          </w:tcPr>
          <w:p w14:paraId="04F5056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896" w:type="dxa"/>
          </w:tcPr>
          <w:p w14:paraId="4CA002C3">
            <w:pPr>
              <w:autoSpaceDE w:val="0"/>
              <w:autoSpaceDN w:val="0"/>
              <w:adjustRightInd w:val="0"/>
              <w:snapToGrid w:val="0"/>
              <w:jc w:val="left"/>
              <w:rPr>
                <w:rFonts w:ascii="宋体" w:hAnsi="宋体"/>
                <w:color w:val="auto"/>
                <w:kern w:val="0"/>
                <w:szCs w:val="21"/>
              </w:rPr>
            </w:pPr>
          </w:p>
        </w:tc>
      </w:tr>
      <w:tr w14:paraId="20A5A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64E3BEDD">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34" w:type="dxa"/>
          </w:tcPr>
          <w:p w14:paraId="48D28894">
            <w:pPr>
              <w:autoSpaceDE w:val="0"/>
              <w:autoSpaceDN w:val="0"/>
              <w:adjustRightInd w:val="0"/>
              <w:snapToGrid w:val="0"/>
              <w:jc w:val="left"/>
              <w:rPr>
                <w:rFonts w:ascii="宋体" w:hAnsi="宋体"/>
                <w:color w:val="auto"/>
                <w:kern w:val="0"/>
                <w:szCs w:val="21"/>
              </w:rPr>
            </w:pPr>
          </w:p>
        </w:tc>
        <w:tc>
          <w:tcPr>
            <w:tcW w:w="776" w:type="dxa"/>
          </w:tcPr>
          <w:p w14:paraId="1830EACC">
            <w:pPr>
              <w:autoSpaceDE w:val="0"/>
              <w:autoSpaceDN w:val="0"/>
              <w:adjustRightInd w:val="0"/>
              <w:snapToGrid w:val="0"/>
              <w:jc w:val="left"/>
              <w:rPr>
                <w:rFonts w:ascii="宋体" w:hAnsi="宋体"/>
                <w:color w:val="auto"/>
                <w:kern w:val="0"/>
                <w:szCs w:val="21"/>
              </w:rPr>
            </w:pPr>
          </w:p>
        </w:tc>
        <w:tc>
          <w:tcPr>
            <w:tcW w:w="1167" w:type="dxa"/>
          </w:tcPr>
          <w:p w14:paraId="28FFB66C">
            <w:pPr>
              <w:autoSpaceDE w:val="0"/>
              <w:autoSpaceDN w:val="0"/>
              <w:adjustRightInd w:val="0"/>
              <w:snapToGrid w:val="0"/>
              <w:jc w:val="left"/>
              <w:rPr>
                <w:rFonts w:ascii="宋体" w:hAnsi="宋体"/>
                <w:color w:val="auto"/>
                <w:kern w:val="0"/>
                <w:szCs w:val="21"/>
              </w:rPr>
            </w:pPr>
          </w:p>
        </w:tc>
        <w:tc>
          <w:tcPr>
            <w:tcW w:w="776" w:type="dxa"/>
          </w:tcPr>
          <w:p w14:paraId="0AF0898A">
            <w:pPr>
              <w:autoSpaceDE w:val="0"/>
              <w:autoSpaceDN w:val="0"/>
              <w:adjustRightInd w:val="0"/>
              <w:snapToGrid w:val="0"/>
              <w:jc w:val="left"/>
              <w:rPr>
                <w:rFonts w:ascii="宋体" w:hAnsi="宋体"/>
                <w:color w:val="auto"/>
                <w:kern w:val="0"/>
                <w:szCs w:val="21"/>
              </w:rPr>
            </w:pPr>
          </w:p>
        </w:tc>
        <w:tc>
          <w:tcPr>
            <w:tcW w:w="778" w:type="dxa"/>
          </w:tcPr>
          <w:p w14:paraId="76D1FDC0">
            <w:pPr>
              <w:autoSpaceDE w:val="0"/>
              <w:autoSpaceDN w:val="0"/>
              <w:adjustRightInd w:val="0"/>
              <w:snapToGrid w:val="0"/>
              <w:jc w:val="left"/>
              <w:rPr>
                <w:rFonts w:ascii="宋体" w:hAnsi="宋体"/>
                <w:color w:val="auto"/>
                <w:kern w:val="0"/>
                <w:szCs w:val="21"/>
              </w:rPr>
            </w:pPr>
          </w:p>
        </w:tc>
        <w:tc>
          <w:tcPr>
            <w:tcW w:w="776" w:type="dxa"/>
          </w:tcPr>
          <w:p w14:paraId="2161CAE4">
            <w:pPr>
              <w:autoSpaceDE w:val="0"/>
              <w:autoSpaceDN w:val="0"/>
              <w:adjustRightInd w:val="0"/>
              <w:snapToGrid w:val="0"/>
              <w:jc w:val="left"/>
              <w:rPr>
                <w:rFonts w:ascii="宋体" w:hAnsi="宋体"/>
                <w:color w:val="auto"/>
                <w:kern w:val="0"/>
                <w:szCs w:val="21"/>
              </w:rPr>
            </w:pPr>
          </w:p>
        </w:tc>
        <w:tc>
          <w:tcPr>
            <w:tcW w:w="2723" w:type="dxa"/>
          </w:tcPr>
          <w:p w14:paraId="5605A2DC">
            <w:pPr>
              <w:autoSpaceDE w:val="0"/>
              <w:autoSpaceDN w:val="0"/>
              <w:adjustRightInd w:val="0"/>
              <w:snapToGrid w:val="0"/>
              <w:jc w:val="left"/>
              <w:rPr>
                <w:rFonts w:ascii="宋体" w:hAnsi="宋体"/>
                <w:color w:val="auto"/>
                <w:kern w:val="0"/>
                <w:szCs w:val="21"/>
              </w:rPr>
            </w:pPr>
          </w:p>
        </w:tc>
        <w:tc>
          <w:tcPr>
            <w:tcW w:w="896" w:type="dxa"/>
          </w:tcPr>
          <w:p w14:paraId="12A0E45B">
            <w:pPr>
              <w:autoSpaceDE w:val="0"/>
              <w:autoSpaceDN w:val="0"/>
              <w:adjustRightInd w:val="0"/>
              <w:snapToGrid w:val="0"/>
              <w:jc w:val="left"/>
              <w:rPr>
                <w:rFonts w:ascii="宋体" w:hAnsi="宋体"/>
                <w:color w:val="auto"/>
                <w:kern w:val="0"/>
                <w:szCs w:val="21"/>
              </w:rPr>
            </w:pPr>
          </w:p>
        </w:tc>
      </w:tr>
      <w:tr w14:paraId="6ED715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60F0716B">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项目技术负责人</w:t>
            </w:r>
          </w:p>
        </w:tc>
        <w:tc>
          <w:tcPr>
            <w:tcW w:w="734" w:type="dxa"/>
          </w:tcPr>
          <w:p w14:paraId="16C2ED10">
            <w:pPr>
              <w:autoSpaceDE w:val="0"/>
              <w:autoSpaceDN w:val="0"/>
              <w:adjustRightInd w:val="0"/>
              <w:snapToGrid w:val="0"/>
              <w:jc w:val="left"/>
              <w:rPr>
                <w:rFonts w:ascii="宋体" w:hAnsi="宋体"/>
                <w:color w:val="auto"/>
                <w:kern w:val="0"/>
                <w:szCs w:val="21"/>
              </w:rPr>
            </w:pPr>
          </w:p>
        </w:tc>
        <w:tc>
          <w:tcPr>
            <w:tcW w:w="776" w:type="dxa"/>
          </w:tcPr>
          <w:p w14:paraId="60435BED">
            <w:pPr>
              <w:autoSpaceDE w:val="0"/>
              <w:autoSpaceDN w:val="0"/>
              <w:adjustRightInd w:val="0"/>
              <w:snapToGrid w:val="0"/>
              <w:jc w:val="left"/>
              <w:rPr>
                <w:rFonts w:ascii="宋体" w:hAnsi="宋体"/>
                <w:color w:val="auto"/>
                <w:kern w:val="0"/>
                <w:szCs w:val="21"/>
              </w:rPr>
            </w:pPr>
          </w:p>
        </w:tc>
        <w:tc>
          <w:tcPr>
            <w:tcW w:w="1167" w:type="dxa"/>
          </w:tcPr>
          <w:p w14:paraId="341F10F2">
            <w:pPr>
              <w:autoSpaceDE w:val="0"/>
              <w:autoSpaceDN w:val="0"/>
              <w:adjustRightInd w:val="0"/>
              <w:snapToGrid w:val="0"/>
              <w:jc w:val="left"/>
              <w:rPr>
                <w:rFonts w:ascii="宋体" w:hAnsi="宋体"/>
                <w:color w:val="auto"/>
                <w:kern w:val="0"/>
                <w:szCs w:val="21"/>
              </w:rPr>
            </w:pPr>
          </w:p>
        </w:tc>
        <w:tc>
          <w:tcPr>
            <w:tcW w:w="776" w:type="dxa"/>
          </w:tcPr>
          <w:p w14:paraId="621D0375">
            <w:pPr>
              <w:autoSpaceDE w:val="0"/>
              <w:autoSpaceDN w:val="0"/>
              <w:adjustRightInd w:val="0"/>
              <w:snapToGrid w:val="0"/>
              <w:jc w:val="left"/>
              <w:rPr>
                <w:rFonts w:ascii="宋体" w:hAnsi="宋体"/>
                <w:color w:val="auto"/>
                <w:kern w:val="0"/>
                <w:szCs w:val="21"/>
              </w:rPr>
            </w:pPr>
          </w:p>
        </w:tc>
        <w:tc>
          <w:tcPr>
            <w:tcW w:w="778" w:type="dxa"/>
          </w:tcPr>
          <w:p w14:paraId="6C71CBC7">
            <w:pPr>
              <w:autoSpaceDE w:val="0"/>
              <w:autoSpaceDN w:val="0"/>
              <w:adjustRightInd w:val="0"/>
              <w:snapToGrid w:val="0"/>
              <w:jc w:val="left"/>
              <w:rPr>
                <w:rFonts w:ascii="宋体" w:hAnsi="宋体"/>
                <w:color w:val="auto"/>
                <w:kern w:val="0"/>
                <w:szCs w:val="21"/>
              </w:rPr>
            </w:pPr>
          </w:p>
        </w:tc>
        <w:tc>
          <w:tcPr>
            <w:tcW w:w="776" w:type="dxa"/>
          </w:tcPr>
          <w:p w14:paraId="29ABD93D">
            <w:pPr>
              <w:autoSpaceDE w:val="0"/>
              <w:autoSpaceDN w:val="0"/>
              <w:adjustRightInd w:val="0"/>
              <w:snapToGrid w:val="0"/>
              <w:jc w:val="left"/>
              <w:rPr>
                <w:rFonts w:ascii="宋体" w:hAnsi="宋体"/>
                <w:color w:val="auto"/>
                <w:kern w:val="0"/>
                <w:szCs w:val="21"/>
              </w:rPr>
            </w:pPr>
          </w:p>
        </w:tc>
        <w:tc>
          <w:tcPr>
            <w:tcW w:w="2723" w:type="dxa"/>
          </w:tcPr>
          <w:p w14:paraId="6F6DBD70">
            <w:pPr>
              <w:autoSpaceDE w:val="0"/>
              <w:autoSpaceDN w:val="0"/>
              <w:adjustRightInd w:val="0"/>
              <w:snapToGrid w:val="0"/>
              <w:jc w:val="left"/>
              <w:rPr>
                <w:rFonts w:ascii="宋体" w:hAnsi="宋体"/>
                <w:color w:val="auto"/>
                <w:kern w:val="0"/>
                <w:szCs w:val="21"/>
              </w:rPr>
            </w:pPr>
          </w:p>
        </w:tc>
        <w:tc>
          <w:tcPr>
            <w:tcW w:w="896" w:type="dxa"/>
          </w:tcPr>
          <w:p w14:paraId="3299BF22">
            <w:pPr>
              <w:autoSpaceDE w:val="0"/>
              <w:autoSpaceDN w:val="0"/>
              <w:adjustRightInd w:val="0"/>
              <w:snapToGrid w:val="0"/>
              <w:jc w:val="left"/>
              <w:rPr>
                <w:rFonts w:ascii="宋体" w:hAnsi="宋体"/>
                <w:color w:val="auto"/>
                <w:kern w:val="0"/>
                <w:szCs w:val="21"/>
              </w:rPr>
            </w:pPr>
          </w:p>
        </w:tc>
      </w:tr>
      <w:tr w14:paraId="3F89C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9D817CE">
            <w:pPr>
              <w:autoSpaceDE w:val="0"/>
              <w:autoSpaceDN w:val="0"/>
              <w:adjustRightInd w:val="0"/>
              <w:snapToGrid w:val="0"/>
              <w:jc w:val="left"/>
              <w:rPr>
                <w:rFonts w:ascii="宋体" w:hAnsi="宋体"/>
                <w:color w:val="auto"/>
                <w:kern w:val="0"/>
                <w:szCs w:val="21"/>
              </w:rPr>
            </w:pPr>
          </w:p>
        </w:tc>
        <w:tc>
          <w:tcPr>
            <w:tcW w:w="734" w:type="dxa"/>
          </w:tcPr>
          <w:p w14:paraId="2D5ED4D8">
            <w:pPr>
              <w:autoSpaceDE w:val="0"/>
              <w:autoSpaceDN w:val="0"/>
              <w:adjustRightInd w:val="0"/>
              <w:snapToGrid w:val="0"/>
              <w:jc w:val="left"/>
              <w:rPr>
                <w:rFonts w:ascii="宋体" w:hAnsi="宋体"/>
                <w:color w:val="auto"/>
                <w:kern w:val="0"/>
                <w:szCs w:val="21"/>
              </w:rPr>
            </w:pPr>
          </w:p>
        </w:tc>
        <w:tc>
          <w:tcPr>
            <w:tcW w:w="776" w:type="dxa"/>
          </w:tcPr>
          <w:p w14:paraId="42F12881">
            <w:pPr>
              <w:autoSpaceDE w:val="0"/>
              <w:autoSpaceDN w:val="0"/>
              <w:adjustRightInd w:val="0"/>
              <w:snapToGrid w:val="0"/>
              <w:jc w:val="left"/>
              <w:rPr>
                <w:rFonts w:ascii="宋体" w:hAnsi="宋体"/>
                <w:color w:val="auto"/>
                <w:kern w:val="0"/>
                <w:szCs w:val="21"/>
              </w:rPr>
            </w:pPr>
          </w:p>
        </w:tc>
        <w:tc>
          <w:tcPr>
            <w:tcW w:w="1167" w:type="dxa"/>
          </w:tcPr>
          <w:p w14:paraId="3D7AD7E7">
            <w:pPr>
              <w:autoSpaceDE w:val="0"/>
              <w:autoSpaceDN w:val="0"/>
              <w:adjustRightInd w:val="0"/>
              <w:snapToGrid w:val="0"/>
              <w:jc w:val="left"/>
              <w:rPr>
                <w:rFonts w:ascii="宋体" w:hAnsi="宋体"/>
                <w:color w:val="auto"/>
                <w:kern w:val="0"/>
                <w:szCs w:val="21"/>
              </w:rPr>
            </w:pPr>
          </w:p>
        </w:tc>
        <w:tc>
          <w:tcPr>
            <w:tcW w:w="776" w:type="dxa"/>
          </w:tcPr>
          <w:p w14:paraId="42DC1F71">
            <w:pPr>
              <w:autoSpaceDE w:val="0"/>
              <w:autoSpaceDN w:val="0"/>
              <w:adjustRightInd w:val="0"/>
              <w:snapToGrid w:val="0"/>
              <w:jc w:val="left"/>
              <w:rPr>
                <w:rFonts w:ascii="宋体" w:hAnsi="宋体"/>
                <w:color w:val="auto"/>
                <w:kern w:val="0"/>
                <w:szCs w:val="21"/>
              </w:rPr>
            </w:pPr>
          </w:p>
        </w:tc>
        <w:tc>
          <w:tcPr>
            <w:tcW w:w="778" w:type="dxa"/>
          </w:tcPr>
          <w:p w14:paraId="48854263">
            <w:pPr>
              <w:autoSpaceDE w:val="0"/>
              <w:autoSpaceDN w:val="0"/>
              <w:adjustRightInd w:val="0"/>
              <w:snapToGrid w:val="0"/>
              <w:jc w:val="left"/>
              <w:rPr>
                <w:rFonts w:ascii="宋体" w:hAnsi="宋体"/>
                <w:color w:val="auto"/>
                <w:kern w:val="0"/>
                <w:szCs w:val="21"/>
              </w:rPr>
            </w:pPr>
          </w:p>
        </w:tc>
        <w:tc>
          <w:tcPr>
            <w:tcW w:w="776" w:type="dxa"/>
          </w:tcPr>
          <w:p w14:paraId="3D280D40">
            <w:pPr>
              <w:autoSpaceDE w:val="0"/>
              <w:autoSpaceDN w:val="0"/>
              <w:adjustRightInd w:val="0"/>
              <w:snapToGrid w:val="0"/>
              <w:jc w:val="left"/>
              <w:rPr>
                <w:rFonts w:ascii="宋体" w:hAnsi="宋体"/>
                <w:color w:val="auto"/>
                <w:kern w:val="0"/>
                <w:szCs w:val="21"/>
              </w:rPr>
            </w:pPr>
          </w:p>
        </w:tc>
        <w:tc>
          <w:tcPr>
            <w:tcW w:w="2723" w:type="dxa"/>
          </w:tcPr>
          <w:p w14:paraId="53938AED">
            <w:pPr>
              <w:autoSpaceDE w:val="0"/>
              <w:autoSpaceDN w:val="0"/>
              <w:adjustRightInd w:val="0"/>
              <w:snapToGrid w:val="0"/>
              <w:jc w:val="left"/>
              <w:rPr>
                <w:rFonts w:ascii="宋体" w:hAnsi="宋体"/>
                <w:color w:val="auto"/>
                <w:kern w:val="0"/>
                <w:szCs w:val="21"/>
              </w:rPr>
            </w:pPr>
          </w:p>
        </w:tc>
        <w:tc>
          <w:tcPr>
            <w:tcW w:w="896" w:type="dxa"/>
          </w:tcPr>
          <w:p w14:paraId="65764286">
            <w:pPr>
              <w:autoSpaceDE w:val="0"/>
              <w:autoSpaceDN w:val="0"/>
              <w:adjustRightInd w:val="0"/>
              <w:snapToGrid w:val="0"/>
              <w:jc w:val="left"/>
              <w:rPr>
                <w:rFonts w:ascii="宋体" w:hAnsi="宋体"/>
                <w:color w:val="auto"/>
                <w:kern w:val="0"/>
                <w:szCs w:val="21"/>
              </w:rPr>
            </w:pPr>
          </w:p>
        </w:tc>
      </w:tr>
      <w:tr w14:paraId="61E846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97BCAD">
            <w:pPr>
              <w:autoSpaceDE w:val="0"/>
              <w:autoSpaceDN w:val="0"/>
              <w:adjustRightInd w:val="0"/>
              <w:snapToGrid w:val="0"/>
              <w:jc w:val="left"/>
              <w:rPr>
                <w:rFonts w:ascii="宋体" w:hAnsi="宋体"/>
                <w:color w:val="auto"/>
                <w:kern w:val="0"/>
                <w:szCs w:val="21"/>
              </w:rPr>
            </w:pPr>
          </w:p>
        </w:tc>
        <w:tc>
          <w:tcPr>
            <w:tcW w:w="734" w:type="dxa"/>
          </w:tcPr>
          <w:p w14:paraId="0A8B5B8B">
            <w:pPr>
              <w:autoSpaceDE w:val="0"/>
              <w:autoSpaceDN w:val="0"/>
              <w:adjustRightInd w:val="0"/>
              <w:snapToGrid w:val="0"/>
              <w:jc w:val="left"/>
              <w:rPr>
                <w:rFonts w:ascii="宋体" w:hAnsi="宋体"/>
                <w:color w:val="auto"/>
                <w:kern w:val="0"/>
                <w:szCs w:val="21"/>
              </w:rPr>
            </w:pPr>
          </w:p>
        </w:tc>
        <w:tc>
          <w:tcPr>
            <w:tcW w:w="776" w:type="dxa"/>
          </w:tcPr>
          <w:p w14:paraId="646BB1A7">
            <w:pPr>
              <w:autoSpaceDE w:val="0"/>
              <w:autoSpaceDN w:val="0"/>
              <w:adjustRightInd w:val="0"/>
              <w:snapToGrid w:val="0"/>
              <w:jc w:val="left"/>
              <w:rPr>
                <w:rFonts w:ascii="宋体" w:hAnsi="宋体"/>
                <w:color w:val="auto"/>
                <w:kern w:val="0"/>
                <w:szCs w:val="21"/>
              </w:rPr>
            </w:pPr>
          </w:p>
        </w:tc>
        <w:tc>
          <w:tcPr>
            <w:tcW w:w="1167" w:type="dxa"/>
          </w:tcPr>
          <w:p w14:paraId="479A0BB2">
            <w:pPr>
              <w:autoSpaceDE w:val="0"/>
              <w:autoSpaceDN w:val="0"/>
              <w:adjustRightInd w:val="0"/>
              <w:snapToGrid w:val="0"/>
              <w:jc w:val="left"/>
              <w:rPr>
                <w:rFonts w:ascii="宋体" w:hAnsi="宋体"/>
                <w:color w:val="auto"/>
                <w:kern w:val="0"/>
                <w:szCs w:val="21"/>
              </w:rPr>
            </w:pPr>
          </w:p>
        </w:tc>
        <w:tc>
          <w:tcPr>
            <w:tcW w:w="776" w:type="dxa"/>
          </w:tcPr>
          <w:p w14:paraId="58D06A10">
            <w:pPr>
              <w:autoSpaceDE w:val="0"/>
              <w:autoSpaceDN w:val="0"/>
              <w:adjustRightInd w:val="0"/>
              <w:snapToGrid w:val="0"/>
              <w:jc w:val="left"/>
              <w:rPr>
                <w:rFonts w:ascii="宋体" w:hAnsi="宋体"/>
                <w:color w:val="auto"/>
                <w:kern w:val="0"/>
                <w:szCs w:val="21"/>
              </w:rPr>
            </w:pPr>
          </w:p>
        </w:tc>
        <w:tc>
          <w:tcPr>
            <w:tcW w:w="778" w:type="dxa"/>
          </w:tcPr>
          <w:p w14:paraId="021E782F">
            <w:pPr>
              <w:autoSpaceDE w:val="0"/>
              <w:autoSpaceDN w:val="0"/>
              <w:adjustRightInd w:val="0"/>
              <w:snapToGrid w:val="0"/>
              <w:jc w:val="left"/>
              <w:rPr>
                <w:rFonts w:ascii="宋体" w:hAnsi="宋体"/>
                <w:color w:val="auto"/>
                <w:kern w:val="0"/>
                <w:szCs w:val="21"/>
              </w:rPr>
            </w:pPr>
          </w:p>
        </w:tc>
        <w:tc>
          <w:tcPr>
            <w:tcW w:w="776" w:type="dxa"/>
          </w:tcPr>
          <w:p w14:paraId="604EC96C">
            <w:pPr>
              <w:autoSpaceDE w:val="0"/>
              <w:autoSpaceDN w:val="0"/>
              <w:adjustRightInd w:val="0"/>
              <w:snapToGrid w:val="0"/>
              <w:jc w:val="left"/>
              <w:rPr>
                <w:rFonts w:ascii="宋体" w:hAnsi="宋体"/>
                <w:color w:val="auto"/>
                <w:kern w:val="0"/>
                <w:szCs w:val="21"/>
              </w:rPr>
            </w:pPr>
          </w:p>
        </w:tc>
        <w:tc>
          <w:tcPr>
            <w:tcW w:w="2723" w:type="dxa"/>
          </w:tcPr>
          <w:p w14:paraId="27A6136C">
            <w:pPr>
              <w:autoSpaceDE w:val="0"/>
              <w:autoSpaceDN w:val="0"/>
              <w:adjustRightInd w:val="0"/>
              <w:snapToGrid w:val="0"/>
              <w:jc w:val="left"/>
              <w:rPr>
                <w:rFonts w:ascii="宋体" w:hAnsi="宋体"/>
                <w:color w:val="auto"/>
                <w:kern w:val="0"/>
                <w:szCs w:val="21"/>
              </w:rPr>
            </w:pPr>
          </w:p>
        </w:tc>
        <w:tc>
          <w:tcPr>
            <w:tcW w:w="896" w:type="dxa"/>
          </w:tcPr>
          <w:p w14:paraId="243FC29F">
            <w:pPr>
              <w:autoSpaceDE w:val="0"/>
              <w:autoSpaceDN w:val="0"/>
              <w:adjustRightInd w:val="0"/>
              <w:snapToGrid w:val="0"/>
              <w:jc w:val="left"/>
              <w:rPr>
                <w:rFonts w:ascii="宋体" w:hAnsi="宋体"/>
                <w:color w:val="auto"/>
                <w:kern w:val="0"/>
                <w:szCs w:val="21"/>
              </w:rPr>
            </w:pPr>
          </w:p>
        </w:tc>
      </w:tr>
      <w:tr w14:paraId="6A9F7D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0930BE5">
            <w:pPr>
              <w:autoSpaceDE w:val="0"/>
              <w:autoSpaceDN w:val="0"/>
              <w:adjustRightInd w:val="0"/>
              <w:snapToGrid w:val="0"/>
              <w:jc w:val="left"/>
              <w:rPr>
                <w:rFonts w:ascii="宋体" w:hAnsi="宋体"/>
                <w:color w:val="auto"/>
                <w:kern w:val="0"/>
                <w:szCs w:val="21"/>
              </w:rPr>
            </w:pPr>
          </w:p>
        </w:tc>
        <w:tc>
          <w:tcPr>
            <w:tcW w:w="734" w:type="dxa"/>
          </w:tcPr>
          <w:p w14:paraId="1AC31A41">
            <w:pPr>
              <w:autoSpaceDE w:val="0"/>
              <w:autoSpaceDN w:val="0"/>
              <w:adjustRightInd w:val="0"/>
              <w:snapToGrid w:val="0"/>
              <w:jc w:val="left"/>
              <w:rPr>
                <w:rFonts w:ascii="宋体" w:hAnsi="宋体"/>
                <w:color w:val="auto"/>
                <w:kern w:val="0"/>
                <w:szCs w:val="21"/>
              </w:rPr>
            </w:pPr>
          </w:p>
        </w:tc>
        <w:tc>
          <w:tcPr>
            <w:tcW w:w="776" w:type="dxa"/>
          </w:tcPr>
          <w:p w14:paraId="04273F86">
            <w:pPr>
              <w:autoSpaceDE w:val="0"/>
              <w:autoSpaceDN w:val="0"/>
              <w:adjustRightInd w:val="0"/>
              <w:snapToGrid w:val="0"/>
              <w:jc w:val="left"/>
              <w:rPr>
                <w:rFonts w:ascii="宋体" w:hAnsi="宋体"/>
                <w:color w:val="auto"/>
                <w:kern w:val="0"/>
                <w:szCs w:val="21"/>
              </w:rPr>
            </w:pPr>
          </w:p>
        </w:tc>
        <w:tc>
          <w:tcPr>
            <w:tcW w:w="1167" w:type="dxa"/>
          </w:tcPr>
          <w:p w14:paraId="6B79D18B">
            <w:pPr>
              <w:autoSpaceDE w:val="0"/>
              <w:autoSpaceDN w:val="0"/>
              <w:adjustRightInd w:val="0"/>
              <w:snapToGrid w:val="0"/>
              <w:jc w:val="left"/>
              <w:rPr>
                <w:rFonts w:ascii="宋体" w:hAnsi="宋体"/>
                <w:color w:val="auto"/>
                <w:kern w:val="0"/>
                <w:szCs w:val="21"/>
              </w:rPr>
            </w:pPr>
          </w:p>
        </w:tc>
        <w:tc>
          <w:tcPr>
            <w:tcW w:w="776" w:type="dxa"/>
          </w:tcPr>
          <w:p w14:paraId="11CB7324">
            <w:pPr>
              <w:autoSpaceDE w:val="0"/>
              <w:autoSpaceDN w:val="0"/>
              <w:adjustRightInd w:val="0"/>
              <w:snapToGrid w:val="0"/>
              <w:jc w:val="left"/>
              <w:rPr>
                <w:rFonts w:ascii="宋体" w:hAnsi="宋体"/>
                <w:color w:val="auto"/>
                <w:kern w:val="0"/>
                <w:szCs w:val="21"/>
              </w:rPr>
            </w:pPr>
          </w:p>
        </w:tc>
        <w:tc>
          <w:tcPr>
            <w:tcW w:w="778" w:type="dxa"/>
          </w:tcPr>
          <w:p w14:paraId="1D2ECE61">
            <w:pPr>
              <w:autoSpaceDE w:val="0"/>
              <w:autoSpaceDN w:val="0"/>
              <w:adjustRightInd w:val="0"/>
              <w:snapToGrid w:val="0"/>
              <w:jc w:val="left"/>
              <w:rPr>
                <w:rFonts w:ascii="宋体" w:hAnsi="宋体"/>
                <w:color w:val="auto"/>
                <w:kern w:val="0"/>
                <w:szCs w:val="21"/>
              </w:rPr>
            </w:pPr>
          </w:p>
        </w:tc>
        <w:tc>
          <w:tcPr>
            <w:tcW w:w="776" w:type="dxa"/>
          </w:tcPr>
          <w:p w14:paraId="291CB12F">
            <w:pPr>
              <w:autoSpaceDE w:val="0"/>
              <w:autoSpaceDN w:val="0"/>
              <w:adjustRightInd w:val="0"/>
              <w:snapToGrid w:val="0"/>
              <w:jc w:val="left"/>
              <w:rPr>
                <w:rFonts w:ascii="宋体" w:hAnsi="宋体"/>
                <w:color w:val="auto"/>
                <w:kern w:val="0"/>
                <w:szCs w:val="21"/>
              </w:rPr>
            </w:pPr>
          </w:p>
        </w:tc>
        <w:tc>
          <w:tcPr>
            <w:tcW w:w="2723" w:type="dxa"/>
          </w:tcPr>
          <w:p w14:paraId="7CB193C6">
            <w:pPr>
              <w:autoSpaceDE w:val="0"/>
              <w:autoSpaceDN w:val="0"/>
              <w:adjustRightInd w:val="0"/>
              <w:snapToGrid w:val="0"/>
              <w:jc w:val="left"/>
              <w:rPr>
                <w:rFonts w:ascii="宋体" w:hAnsi="宋体"/>
                <w:color w:val="auto"/>
                <w:kern w:val="0"/>
                <w:szCs w:val="21"/>
              </w:rPr>
            </w:pPr>
          </w:p>
        </w:tc>
        <w:tc>
          <w:tcPr>
            <w:tcW w:w="896" w:type="dxa"/>
          </w:tcPr>
          <w:p w14:paraId="2BD50AB8">
            <w:pPr>
              <w:autoSpaceDE w:val="0"/>
              <w:autoSpaceDN w:val="0"/>
              <w:adjustRightInd w:val="0"/>
              <w:snapToGrid w:val="0"/>
              <w:jc w:val="left"/>
              <w:rPr>
                <w:rFonts w:ascii="宋体" w:hAnsi="宋体"/>
                <w:color w:val="auto"/>
                <w:kern w:val="0"/>
                <w:szCs w:val="21"/>
              </w:rPr>
            </w:pPr>
          </w:p>
        </w:tc>
      </w:tr>
      <w:tr w14:paraId="07BF89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C10A99">
            <w:pPr>
              <w:autoSpaceDE w:val="0"/>
              <w:autoSpaceDN w:val="0"/>
              <w:adjustRightInd w:val="0"/>
              <w:snapToGrid w:val="0"/>
              <w:jc w:val="left"/>
              <w:rPr>
                <w:rFonts w:ascii="宋体" w:hAnsi="宋体"/>
                <w:color w:val="auto"/>
                <w:kern w:val="0"/>
                <w:szCs w:val="21"/>
              </w:rPr>
            </w:pPr>
          </w:p>
        </w:tc>
        <w:tc>
          <w:tcPr>
            <w:tcW w:w="734" w:type="dxa"/>
          </w:tcPr>
          <w:p w14:paraId="593BCB9E">
            <w:pPr>
              <w:autoSpaceDE w:val="0"/>
              <w:autoSpaceDN w:val="0"/>
              <w:adjustRightInd w:val="0"/>
              <w:snapToGrid w:val="0"/>
              <w:jc w:val="left"/>
              <w:rPr>
                <w:rFonts w:ascii="宋体" w:hAnsi="宋体"/>
                <w:color w:val="auto"/>
                <w:kern w:val="0"/>
                <w:szCs w:val="21"/>
              </w:rPr>
            </w:pPr>
          </w:p>
        </w:tc>
        <w:tc>
          <w:tcPr>
            <w:tcW w:w="776" w:type="dxa"/>
          </w:tcPr>
          <w:p w14:paraId="77850715">
            <w:pPr>
              <w:autoSpaceDE w:val="0"/>
              <w:autoSpaceDN w:val="0"/>
              <w:adjustRightInd w:val="0"/>
              <w:snapToGrid w:val="0"/>
              <w:jc w:val="left"/>
              <w:rPr>
                <w:rFonts w:ascii="宋体" w:hAnsi="宋体"/>
                <w:color w:val="auto"/>
                <w:kern w:val="0"/>
                <w:szCs w:val="21"/>
              </w:rPr>
            </w:pPr>
          </w:p>
        </w:tc>
        <w:tc>
          <w:tcPr>
            <w:tcW w:w="1167" w:type="dxa"/>
          </w:tcPr>
          <w:p w14:paraId="6305DD3F">
            <w:pPr>
              <w:autoSpaceDE w:val="0"/>
              <w:autoSpaceDN w:val="0"/>
              <w:adjustRightInd w:val="0"/>
              <w:snapToGrid w:val="0"/>
              <w:jc w:val="left"/>
              <w:rPr>
                <w:rFonts w:ascii="宋体" w:hAnsi="宋体"/>
                <w:color w:val="auto"/>
                <w:kern w:val="0"/>
                <w:szCs w:val="21"/>
              </w:rPr>
            </w:pPr>
          </w:p>
        </w:tc>
        <w:tc>
          <w:tcPr>
            <w:tcW w:w="776" w:type="dxa"/>
          </w:tcPr>
          <w:p w14:paraId="5D07CD53">
            <w:pPr>
              <w:autoSpaceDE w:val="0"/>
              <w:autoSpaceDN w:val="0"/>
              <w:adjustRightInd w:val="0"/>
              <w:snapToGrid w:val="0"/>
              <w:jc w:val="left"/>
              <w:rPr>
                <w:rFonts w:ascii="宋体" w:hAnsi="宋体"/>
                <w:color w:val="auto"/>
                <w:kern w:val="0"/>
                <w:szCs w:val="21"/>
              </w:rPr>
            </w:pPr>
          </w:p>
        </w:tc>
        <w:tc>
          <w:tcPr>
            <w:tcW w:w="778" w:type="dxa"/>
          </w:tcPr>
          <w:p w14:paraId="223E72D8">
            <w:pPr>
              <w:autoSpaceDE w:val="0"/>
              <w:autoSpaceDN w:val="0"/>
              <w:adjustRightInd w:val="0"/>
              <w:snapToGrid w:val="0"/>
              <w:jc w:val="left"/>
              <w:rPr>
                <w:rFonts w:ascii="宋体" w:hAnsi="宋体"/>
                <w:color w:val="auto"/>
                <w:kern w:val="0"/>
                <w:szCs w:val="21"/>
              </w:rPr>
            </w:pPr>
          </w:p>
        </w:tc>
        <w:tc>
          <w:tcPr>
            <w:tcW w:w="776" w:type="dxa"/>
          </w:tcPr>
          <w:p w14:paraId="5B679B7D">
            <w:pPr>
              <w:autoSpaceDE w:val="0"/>
              <w:autoSpaceDN w:val="0"/>
              <w:adjustRightInd w:val="0"/>
              <w:snapToGrid w:val="0"/>
              <w:jc w:val="left"/>
              <w:rPr>
                <w:rFonts w:ascii="宋体" w:hAnsi="宋体"/>
                <w:color w:val="auto"/>
                <w:kern w:val="0"/>
                <w:szCs w:val="21"/>
              </w:rPr>
            </w:pPr>
          </w:p>
        </w:tc>
        <w:tc>
          <w:tcPr>
            <w:tcW w:w="2723" w:type="dxa"/>
          </w:tcPr>
          <w:p w14:paraId="1C35287D">
            <w:pPr>
              <w:autoSpaceDE w:val="0"/>
              <w:autoSpaceDN w:val="0"/>
              <w:adjustRightInd w:val="0"/>
              <w:snapToGrid w:val="0"/>
              <w:jc w:val="left"/>
              <w:rPr>
                <w:rFonts w:ascii="宋体" w:hAnsi="宋体"/>
                <w:color w:val="auto"/>
                <w:kern w:val="0"/>
                <w:szCs w:val="21"/>
              </w:rPr>
            </w:pPr>
          </w:p>
        </w:tc>
        <w:tc>
          <w:tcPr>
            <w:tcW w:w="896" w:type="dxa"/>
          </w:tcPr>
          <w:p w14:paraId="0EA79BE4">
            <w:pPr>
              <w:autoSpaceDE w:val="0"/>
              <w:autoSpaceDN w:val="0"/>
              <w:adjustRightInd w:val="0"/>
              <w:snapToGrid w:val="0"/>
              <w:jc w:val="left"/>
              <w:rPr>
                <w:rFonts w:ascii="宋体" w:hAnsi="宋体"/>
                <w:color w:val="auto"/>
                <w:kern w:val="0"/>
                <w:szCs w:val="21"/>
              </w:rPr>
            </w:pPr>
          </w:p>
        </w:tc>
      </w:tr>
      <w:tr w14:paraId="4BEAA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B0C504A">
            <w:pPr>
              <w:autoSpaceDE w:val="0"/>
              <w:autoSpaceDN w:val="0"/>
              <w:adjustRightInd w:val="0"/>
              <w:snapToGrid w:val="0"/>
              <w:jc w:val="left"/>
              <w:rPr>
                <w:rFonts w:ascii="宋体" w:hAnsi="宋体"/>
                <w:color w:val="auto"/>
                <w:kern w:val="0"/>
                <w:szCs w:val="21"/>
              </w:rPr>
            </w:pPr>
          </w:p>
        </w:tc>
        <w:tc>
          <w:tcPr>
            <w:tcW w:w="734" w:type="dxa"/>
          </w:tcPr>
          <w:p w14:paraId="5AF02D1A">
            <w:pPr>
              <w:autoSpaceDE w:val="0"/>
              <w:autoSpaceDN w:val="0"/>
              <w:adjustRightInd w:val="0"/>
              <w:snapToGrid w:val="0"/>
              <w:jc w:val="left"/>
              <w:rPr>
                <w:rFonts w:ascii="宋体" w:hAnsi="宋体"/>
                <w:color w:val="auto"/>
                <w:kern w:val="0"/>
                <w:szCs w:val="21"/>
              </w:rPr>
            </w:pPr>
          </w:p>
        </w:tc>
        <w:tc>
          <w:tcPr>
            <w:tcW w:w="776" w:type="dxa"/>
          </w:tcPr>
          <w:p w14:paraId="667BCC18">
            <w:pPr>
              <w:autoSpaceDE w:val="0"/>
              <w:autoSpaceDN w:val="0"/>
              <w:adjustRightInd w:val="0"/>
              <w:snapToGrid w:val="0"/>
              <w:jc w:val="left"/>
              <w:rPr>
                <w:rFonts w:ascii="宋体" w:hAnsi="宋体"/>
                <w:color w:val="auto"/>
                <w:kern w:val="0"/>
                <w:szCs w:val="21"/>
              </w:rPr>
            </w:pPr>
          </w:p>
        </w:tc>
        <w:tc>
          <w:tcPr>
            <w:tcW w:w="1167" w:type="dxa"/>
          </w:tcPr>
          <w:p w14:paraId="1DD25423">
            <w:pPr>
              <w:autoSpaceDE w:val="0"/>
              <w:autoSpaceDN w:val="0"/>
              <w:adjustRightInd w:val="0"/>
              <w:snapToGrid w:val="0"/>
              <w:jc w:val="left"/>
              <w:rPr>
                <w:rFonts w:ascii="宋体" w:hAnsi="宋体"/>
                <w:color w:val="auto"/>
                <w:kern w:val="0"/>
                <w:szCs w:val="21"/>
              </w:rPr>
            </w:pPr>
          </w:p>
        </w:tc>
        <w:tc>
          <w:tcPr>
            <w:tcW w:w="776" w:type="dxa"/>
          </w:tcPr>
          <w:p w14:paraId="23D1970B">
            <w:pPr>
              <w:autoSpaceDE w:val="0"/>
              <w:autoSpaceDN w:val="0"/>
              <w:adjustRightInd w:val="0"/>
              <w:snapToGrid w:val="0"/>
              <w:jc w:val="left"/>
              <w:rPr>
                <w:rFonts w:ascii="宋体" w:hAnsi="宋体"/>
                <w:color w:val="auto"/>
                <w:kern w:val="0"/>
                <w:szCs w:val="21"/>
              </w:rPr>
            </w:pPr>
          </w:p>
        </w:tc>
        <w:tc>
          <w:tcPr>
            <w:tcW w:w="778" w:type="dxa"/>
          </w:tcPr>
          <w:p w14:paraId="7CD3C645">
            <w:pPr>
              <w:autoSpaceDE w:val="0"/>
              <w:autoSpaceDN w:val="0"/>
              <w:adjustRightInd w:val="0"/>
              <w:snapToGrid w:val="0"/>
              <w:jc w:val="left"/>
              <w:rPr>
                <w:rFonts w:ascii="宋体" w:hAnsi="宋体"/>
                <w:color w:val="auto"/>
                <w:kern w:val="0"/>
                <w:szCs w:val="21"/>
              </w:rPr>
            </w:pPr>
          </w:p>
        </w:tc>
        <w:tc>
          <w:tcPr>
            <w:tcW w:w="776" w:type="dxa"/>
          </w:tcPr>
          <w:p w14:paraId="488E1AEA">
            <w:pPr>
              <w:autoSpaceDE w:val="0"/>
              <w:autoSpaceDN w:val="0"/>
              <w:adjustRightInd w:val="0"/>
              <w:snapToGrid w:val="0"/>
              <w:jc w:val="left"/>
              <w:rPr>
                <w:rFonts w:ascii="宋体" w:hAnsi="宋体"/>
                <w:color w:val="auto"/>
                <w:kern w:val="0"/>
                <w:szCs w:val="21"/>
              </w:rPr>
            </w:pPr>
          </w:p>
        </w:tc>
        <w:tc>
          <w:tcPr>
            <w:tcW w:w="2723" w:type="dxa"/>
          </w:tcPr>
          <w:p w14:paraId="7CC7E733">
            <w:pPr>
              <w:autoSpaceDE w:val="0"/>
              <w:autoSpaceDN w:val="0"/>
              <w:adjustRightInd w:val="0"/>
              <w:snapToGrid w:val="0"/>
              <w:jc w:val="left"/>
              <w:rPr>
                <w:rFonts w:ascii="宋体" w:hAnsi="宋体"/>
                <w:color w:val="auto"/>
                <w:kern w:val="0"/>
                <w:szCs w:val="21"/>
              </w:rPr>
            </w:pPr>
          </w:p>
        </w:tc>
        <w:tc>
          <w:tcPr>
            <w:tcW w:w="896" w:type="dxa"/>
          </w:tcPr>
          <w:p w14:paraId="37D24DC2">
            <w:pPr>
              <w:autoSpaceDE w:val="0"/>
              <w:autoSpaceDN w:val="0"/>
              <w:adjustRightInd w:val="0"/>
              <w:snapToGrid w:val="0"/>
              <w:jc w:val="left"/>
              <w:rPr>
                <w:rFonts w:ascii="宋体" w:hAnsi="宋体"/>
                <w:color w:val="auto"/>
                <w:kern w:val="0"/>
                <w:szCs w:val="21"/>
              </w:rPr>
            </w:pPr>
          </w:p>
        </w:tc>
      </w:tr>
      <w:tr w14:paraId="432DE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FA7F81C">
            <w:pPr>
              <w:autoSpaceDE w:val="0"/>
              <w:autoSpaceDN w:val="0"/>
              <w:adjustRightInd w:val="0"/>
              <w:snapToGrid w:val="0"/>
              <w:jc w:val="left"/>
              <w:rPr>
                <w:rFonts w:ascii="宋体" w:hAnsi="宋体"/>
                <w:color w:val="auto"/>
                <w:kern w:val="0"/>
                <w:szCs w:val="21"/>
              </w:rPr>
            </w:pPr>
          </w:p>
        </w:tc>
        <w:tc>
          <w:tcPr>
            <w:tcW w:w="734" w:type="dxa"/>
          </w:tcPr>
          <w:p w14:paraId="1CF8B9FA">
            <w:pPr>
              <w:autoSpaceDE w:val="0"/>
              <w:autoSpaceDN w:val="0"/>
              <w:adjustRightInd w:val="0"/>
              <w:snapToGrid w:val="0"/>
              <w:jc w:val="left"/>
              <w:rPr>
                <w:rFonts w:ascii="宋体" w:hAnsi="宋体"/>
                <w:color w:val="auto"/>
                <w:kern w:val="0"/>
                <w:szCs w:val="21"/>
              </w:rPr>
            </w:pPr>
          </w:p>
        </w:tc>
        <w:tc>
          <w:tcPr>
            <w:tcW w:w="776" w:type="dxa"/>
          </w:tcPr>
          <w:p w14:paraId="01C302EB">
            <w:pPr>
              <w:autoSpaceDE w:val="0"/>
              <w:autoSpaceDN w:val="0"/>
              <w:adjustRightInd w:val="0"/>
              <w:snapToGrid w:val="0"/>
              <w:jc w:val="left"/>
              <w:rPr>
                <w:rFonts w:ascii="宋体" w:hAnsi="宋体"/>
                <w:color w:val="auto"/>
                <w:kern w:val="0"/>
                <w:szCs w:val="21"/>
              </w:rPr>
            </w:pPr>
          </w:p>
        </w:tc>
        <w:tc>
          <w:tcPr>
            <w:tcW w:w="1167" w:type="dxa"/>
          </w:tcPr>
          <w:p w14:paraId="1516E839">
            <w:pPr>
              <w:autoSpaceDE w:val="0"/>
              <w:autoSpaceDN w:val="0"/>
              <w:adjustRightInd w:val="0"/>
              <w:snapToGrid w:val="0"/>
              <w:jc w:val="left"/>
              <w:rPr>
                <w:rFonts w:ascii="宋体" w:hAnsi="宋体"/>
                <w:color w:val="auto"/>
                <w:kern w:val="0"/>
                <w:szCs w:val="21"/>
              </w:rPr>
            </w:pPr>
          </w:p>
        </w:tc>
        <w:tc>
          <w:tcPr>
            <w:tcW w:w="776" w:type="dxa"/>
          </w:tcPr>
          <w:p w14:paraId="5576D552">
            <w:pPr>
              <w:autoSpaceDE w:val="0"/>
              <w:autoSpaceDN w:val="0"/>
              <w:adjustRightInd w:val="0"/>
              <w:snapToGrid w:val="0"/>
              <w:jc w:val="left"/>
              <w:rPr>
                <w:rFonts w:ascii="宋体" w:hAnsi="宋体"/>
                <w:color w:val="auto"/>
                <w:kern w:val="0"/>
                <w:szCs w:val="21"/>
              </w:rPr>
            </w:pPr>
          </w:p>
        </w:tc>
        <w:tc>
          <w:tcPr>
            <w:tcW w:w="778" w:type="dxa"/>
          </w:tcPr>
          <w:p w14:paraId="4BE9C96A">
            <w:pPr>
              <w:autoSpaceDE w:val="0"/>
              <w:autoSpaceDN w:val="0"/>
              <w:adjustRightInd w:val="0"/>
              <w:snapToGrid w:val="0"/>
              <w:jc w:val="left"/>
              <w:rPr>
                <w:rFonts w:ascii="宋体" w:hAnsi="宋体"/>
                <w:color w:val="auto"/>
                <w:kern w:val="0"/>
                <w:szCs w:val="21"/>
              </w:rPr>
            </w:pPr>
          </w:p>
        </w:tc>
        <w:tc>
          <w:tcPr>
            <w:tcW w:w="776" w:type="dxa"/>
          </w:tcPr>
          <w:p w14:paraId="0ADEF307">
            <w:pPr>
              <w:autoSpaceDE w:val="0"/>
              <w:autoSpaceDN w:val="0"/>
              <w:adjustRightInd w:val="0"/>
              <w:snapToGrid w:val="0"/>
              <w:jc w:val="left"/>
              <w:rPr>
                <w:rFonts w:ascii="宋体" w:hAnsi="宋体"/>
                <w:color w:val="auto"/>
                <w:kern w:val="0"/>
                <w:szCs w:val="21"/>
              </w:rPr>
            </w:pPr>
          </w:p>
        </w:tc>
        <w:tc>
          <w:tcPr>
            <w:tcW w:w="2723" w:type="dxa"/>
          </w:tcPr>
          <w:p w14:paraId="0A6CA575">
            <w:pPr>
              <w:autoSpaceDE w:val="0"/>
              <w:autoSpaceDN w:val="0"/>
              <w:adjustRightInd w:val="0"/>
              <w:snapToGrid w:val="0"/>
              <w:jc w:val="left"/>
              <w:rPr>
                <w:rFonts w:ascii="宋体" w:hAnsi="宋体"/>
                <w:color w:val="auto"/>
                <w:kern w:val="0"/>
                <w:szCs w:val="21"/>
              </w:rPr>
            </w:pPr>
          </w:p>
        </w:tc>
        <w:tc>
          <w:tcPr>
            <w:tcW w:w="896" w:type="dxa"/>
          </w:tcPr>
          <w:p w14:paraId="33E7A5D6">
            <w:pPr>
              <w:autoSpaceDE w:val="0"/>
              <w:autoSpaceDN w:val="0"/>
              <w:adjustRightInd w:val="0"/>
              <w:snapToGrid w:val="0"/>
              <w:jc w:val="left"/>
              <w:rPr>
                <w:rFonts w:ascii="宋体" w:hAnsi="宋体"/>
                <w:color w:val="auto"/>
                <w:kern w:val="0"/>
                <w:szCs w:val="21"/>
              </w:rPr>
            </w:pPr>
          </w:p>
        </w:tc>
      </w:tr>
      <w:tr w14:paraId="096C5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8172247">
            <w:pPr>
              <w:autoSpaceDE w:val="0"/>
              <w:autoSpaceDN w:val="0"/>
              <w:adjustRightInd w:val="0"/>
              <w:snapToGrid w:val="0"/>
              <w:jc w:val="left"/>
              <w:rPr>
                <w:rFonts w:ascii="宋体" w:hAnsi="宋体"/>
                <w:color w:val="auto"/>
                <w:kern w:val="0"/>
                <w:szCs w:val="21"/>
              </w:rPr>
            </w:pPr>
          </w:p>
        </w:tc>
        <w:tc>
          <w:tcPr>
            <w:tcW w:w="734" w:type="dxa"/>
          </w:tcPr>
          <w:p w14:paraId="20075A90">
            <w:pPr>
              <w:autoSpaceDE w:val="0"/>
              <w:autoSpaceDN w:val="0"/>
              <w:adjustRightInd w:val="0"/>
              <w:snapToGrid w:val="0"/>
              <w:jc w:val="left"/>
              <w:rPr>
                <w:rFonts w:ascii="宋体" w:hAnsi="宋体"/>
                <w:color w:val="auto"/>
                <w:kern w:val="0"/>
                <w:szCs w:val="21"/>
              </w:rPr>
            </w:pPr>
          </w:p>
        </w:tc>
        <w:tc>
          <w:tcPr>
            <w:tcW w:w="776" w:type="dxa"/>
          </w:tcPr>
          <w:p w14:paraId="7FD13C0E">
            <w:pPr>
              <w:autoSpaceDE w:val="0"/>
              <w:autoSpaceDN w:val="0"/>
              <w:adjustRightInd w:val="0"/>
              <w:snapToGrid w:val="0"/>
              <w:jc w:val="left"/>
              <w:rPr>
                <w:rFonts w:ascii="宋体" w:hAnsi="宋体"/>
                <w:color w:val="auto"/>
                <w:kern w:val="0"/>
                <w:szCs w:val="21"/>
              </w:rPr>
            </w:pPr>
          </w:p>
        </w:tc>
        <w:tc>
          <w:tcPr>
            <w:tcW w:w="1167" w:type="dxa"/>
          </w:tcPr>
          <w:p w14:paraId="4A4D6165">
            <w:pPr>
              <w:autoSpaceDE w:val="0"/>
              <w:autoSpaceDN w:val="0"/>
              <w:adjustRightInd w:val="0"/>
              <w:snapToGrid w:val="0"/>
              <w:jc w:val="left"/>
              <w:rPr>
                <w:rFonts w:ascii="宋体" w:hAnsi="宋体"/>
                <w:color w:val="auto"/>
                <w:kern w:val="0"/>
                <w:szCs w:val="21"/>
              </w:rPr>
            </w:pPr>
          </w:p>
        </w:tc>
        <w:tc>
          <w:tcPr>
            <w:tcW w:w="776" w:type="dxa"/>
          </w:tcPr>
          <w:p w14:paraId="2BDF62DF">
            <w:pPr>
              <w:autoSpaceDE w:val="0"/>
              <w:autoSpaceDN w:val="0"/>
              <w:adjustRightInd w:val="0"/>
              <w:snapToGrid w:val="0"/>
              <w:jc w:val="left"/>
              <w:rPr>
                <w:rFonts w:ascii="宋体" w:hAnsi="宋体"/>
                <w:color w:val="auto"/>
                <w:kern w:val="0"/>
                <w:szCs w:val="21"/>
              </w:rPr>
            </w:pPr>
          </w:p>
        </w:tc>
        <w:tc>
          <w:tcPr>
            <w:tcW w:w="778" w:type="dxa"/>
          </w:tcPr>
          <w:p w14:paraId="3FD60F8E">
            <w:pPr>
              <w:autoSpaceDE w:val="0"/>
              <w:autoSpaceDN w:val="0"/>
              <w:adjustRightInd w:val="0"/>
              <w:snapToGrid w:val="0"/>
              <w:jc w:val="left"/>
              <w:rPr>
                <w:rFonts w:ascii="宋体" w:hAnsi="宋体"/>
                <w:color w:val="auto"/>
                <w:kern w:val="0"/>
                <w:szCs w:val="21"/>
              </w:rPr>
            </w:pPr>
          </w:p>
        </w:tc>
        <w:tc>
          <w:tcPr>
            <w:tcW w:w="776" w:type="dxa"/>
          </w:tcPr>
          <w:p w14:paraId="0142391C">
            <w:pPr>
              <w:autoSpaceDE w:val="0"/>
              <w:autoSpaceDN w:val="0"/>
              <w:adjustRightInd w:val="0"/>
              <w:snapToGrid w:val="0"/>
              <w:jc w:val="left"/>
              <w:rPr>
                <w:rFonts w:ascii="宋体" w:hAnsi="宋体"/>
                <w:color w:val="auto"/>
                <w:kern w:val="0"/>
                <w:szCs w:val="21"/>
              </w:rPr>
            </w:pPr>
          </w:p>
        </w:tc>
        <w:tc>
          <w:tcPr>
            <w:tcW w:w="2723" w:type="dxa"/>
          </w:tcPr>
          <w:p w14:paraId="501D0A2C">
            <w:pPr>
              <w:autoSpaceDE w:val="0"/>
              <w:autoSpaceDN w:val="0"/>
              <w:adjustRightInd w:val="0"/>
              <w:snapToGrid w:val="0"/>
              <w:jc w:val="left"/>
              <w:rPr>
                <w:rFonts w:ascii="宋体" w:hAnsi="宋体"/>
                <w:color w:val="auto"/>
                <w:kern w:val="0"/>
                <w:szCs w:val="21"/>
              </w:rPr>
            </w:pPr>
          </w:p>
        </w:tc>
        <w:tc>
          <w:tcPr>
            <w:tcW w:w="896" w:type="dxa"/>
          </w:tcPr>
          <w:p w14:paraId="3E743657">
            <w:pPr>
              <w:autoSpaceDE w:val="0"/>
              <w:autoSpaceDN w:val="0"/>
              <w:adjustRightInd w:val="0"/>
              <w:snapToGrid w:val="0"/>
              <w:jc w:val="left"/>
              <w:rPr>
                <w:rFonts w:ascii="宋体" w:hAnsi="宋体"/>
                <w:color w:val="auto"/>
                <w:kern w:val="0"/>
                <w:szCs w:val="21"/>
              </w:rPr>
            </w:pPr>
          </w:p>
        </w:tc>
      </w:tr>
      <w:tr w14:paraId="41542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05D44C6">
            <w:pPr>
              <w:autoSpaceDE w:val="0"/>
              <w:autoSpaceDN w:val="0"/>
              <w:adjustRightInd w:val="0"/>
              <w:snapToGrid w:val="0"/>
              <w:jc w:val="left"/>
              <w:rPr>
                <w:rFonts w:ascii="宋体" w:hAnsi="宋体"/>
                <w:color w:val="auto"/>
                <w:kern w:val="0"/>
                <w:szCs w:val="21"/>
              </w:rPr>
            </w:pPr>
          </w:p>
        </w:tc>
        <w:tc>
          <w:tcPr>
            <w:tcW w:w="734" w:type="dxa"/>
          </w:tcPr>
          <w:p w14:paraId="44A6A69D">
            <w:pPr>
              <w:autoSpaceDE w:val="0"/>
              <w:autoSpaceDN w:val="0"/>
              <w:adjustRightInd w:val="0"/>
              <w:snapToGrid w:val="0"/>
              <w:jc w:val="left"/>
              <w:rPr>
                <w:rFonts w:ascii="宋体" w:hAnsi="宋体"/>
                <w:color w:val="auto"/>
                <w:kern w:val="0"/>
                <w:szCs w:val="21"/>
              </w:rPr>
            </w:pPr>
          </w:p>
        </w:tc>
        <w:tc>
          <w:tcPr>
            <w:tcW w:w="776" w:type="dxa"/>
          </w:tcPr>
          <w:p w14:paraId="335282E6">
            <w:pPr>
              <w:autoSpaceDE w:val="0"/>
              <w:autoSpaceDN w:val="0"/>
              <w:adjustRightInd w:val="0"/>
              <w:snapToGrid w:val="0"/>
              <w:jc w:val="left"/>
              <w:rPr>
                <w:rFonts w:ascii="宋体" w:hAnsi="宋体"/>
                <w:color w:val="auto"/>
                <w:kern w:val="0"/>
                <w:szCs w:val="21"/>
              </w:rPr>
            </w:pPr>
          </w:p>
        </w:tc>
        <w:tc>
          <w:tcPr>
            <w:tcW w:w="1167" w:type="dxa"/>
          </w:tcPr>
          <w:p w14:paraId="607D8932">
            <w:pPr>
              <w:autoSpaceDE w:val="0"/>
              <w:autoSpaceDN w:val="0"/>
              <w:adjustRightInd w:val="0"/>
              <w:snapToGrid w:val="0"/>
              <w:jc w:val="left"/>
              <w:rPr>
                <w:rFonts w:ascii="宋体" w:hAnsi="宋体"/>
                <w:color w:val="auto"/>
                <w:kern w:val="0"/>
                <w:szCs w:val="21"/>
              </w:rPr>
            </w:pPr>
          </w:p>
        </w:tc>
        <w:tc>
          <w:tcPr>
            <w:tcW w:w="776" w:type="dxa"/>
          </w:tcPr>
          <w:p w14:paraId="19629CF0">
            <w:pPr>
              <w:autoSpaceDE w:val="0"/>
              <w:autoSpaceDN w:val="0"/>
              <w:adjustRightInd w:val="0"/>
              <w:snapToGrid w:val="0"/>
              <w:jc w:val="left"/>
              <w:rPr>
                <w:rFonts w:ascii="宋体" w:hAnsi="宋体"/>
                <w:color w:val="auto"/>
                <w:kern w:val="0"/>
                <w:szCs w:val="21"/>
              </w:rPr>
            </w:pPr>
          </w:p>
        </w:tc>
        <w:tc>
          <w:tcPr>
            <w:tcW w:w="778" w:type="dxa"/>
          </w:tcPr>
          <w:p w14:paraId="7D3AA399">
            <w:pPr>
              <w:autoSpaceDE w:val="0"/>
              <w:autoSpaceDN w:val="0"/>
              <w:adjustRightInd w:val="0"/>
              <w:snapToGrid w:val="0"/>
              <w:jc w:val="left"/>
              <w:rPr>
                <w:rFonts w:ascii="宋体" w:hAnsi="宋体"/>
                <w:color w:val="auto"/>
                <w:kern w:val="0"/>
                <w:szCs w:val="21"/>
              </w:rPr>
            </w:pPr>
          </w:p>
        </w:tc>
        <w:tc>
          <w:tcPr>
            <w:tcW w:w="776" w:type="dxa"/>
          </w:tcPr>
          <w:p w14:paraId="7AE2427E">
            <w:pPr>
              <w:autoSpaceDE w:val="0"/>
              <w:autoSpaceDN w:val="0"/>
              <w:adjustRightInd w:val="0"/>
              <w:snapToGrid w:val="0"/>
              <w:jc w:val="left"/>
              <w:rPr>
                <w:rFonts w:ascii="宋体" w:hAnsi="宋体"/>
                <w:color w:val="auto"/>
                <w:kern w:val="0"/>
                <w:szCs w:val="21"/>
              </w:rPr>
            </w:pPr>
          </w:p>
        </w:tc>
        <w:tc>
          <w:tcPr>
            <w:tcW w:w="2723" w:type="dxa"/>
          </w:tcPr>
          <w:p w14:paraId="3048DB03">
            <w:pPr>
              <w:autoSpaceDE w:val="0"/>
              <w:autoSpaceDN w:val="0"/>
              <w:adjustRightInd w:val="0"/>
              <w:snapToGrid w:val="0"/>
              <w:jc w:val="left"/>
              <w:rPr>
                <w:rFonts w:ascii="宋体" w:hAnsi="宋体"/>
                <w:color w:val="auto"/>
                <w:kern w:val="0"/>
                <w:szCs w:val="21"/>
              </w:rPr>
            </w:pPr>
          </w:p>
        </w:tc>
        <w:tc>
          <w:tcPr>
            <w:tcW w:w="896" w:type="dxa"/>
          </w:tcPr>
          <w:p w14:paraId="7ABFBD15">
            <w:pPr>
              <w:autoSpaceDE w:val="0"/>
              <w:autoSpaceDN w:val="0"/>
              <w:adjustRightInd w:val="0"/>
              <w:snapToGrid w:val="0"/>
              <w:jc w:val="left"/>
              <w:rPr>
                <w:rFonts w:ascii="宋体" w:hAnsi="宋体"/>
                <w:color w:val="auto"/>
                <w:kern w:val="0"/>
                <w:szCs w:val="21"/>
              </w:rPr>
            </w:pPr>
          </w:p>
        </w:tc>
      </w:tr>
      <w:tr w14:paraId="6D44A6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FFF180F">
            <w:pPr>
              <w:autoSpaceDE w:val="0"/>
              <w:autoSpaceDN w:val="0"/>
              <w:adjustRightInd w:val="0"/>
              <w:snapToGrid w:val="0"/>
              <w:jc w:val="left"/>
              <w:rPr>
                <w:rFonts w:ascii="宋体" w:hAnsi="宋体"/>
                <w:color w:val="auto"/>
                <w:kern w:val="0"/>
                <w:szCs w:val="21"/>
              </w:rPr>
            </w:pPr>
          </w:p>
        </w:tc>
        <w:tc>
          <w:tcPr>
            <w:tcW w:w="734" w:type="dxa"/>
          </w:tcPr>
          <w:p w14:paraId="0E524185">
            <w:pPr>
              <w:autoSpaceDE w:val="0"/>
              <w:autoSpaceDN w:val="0"/>
              <w:adjustRightInd w:val="0"/>
              <w:snapToGrid w:val="0"/>
              <w:jc w:val="left"/>
              <w:rPr>
                <w:rFonts w:ascii="宋体" w:hAnsi="宋体"/>
                <w:color w:val="auto"/>
                <w:kern w:val="0"/>
                <w:szCs w:val="21"/>
              </w:rPr>
            </w:pPr>
          </w:p>
        </w:tc>
        <w:tc>
          <w:tcPr>
            <w:tcW w:w="776" w:type="dxa"/>
          </w:tcPr>
          <w:p w14:paraId="5F3EADB4">
            <w:pPr>
              <w:autoSpaceDE w:val="0"/>
              <w:autoSpaceDN w:val="0"/>
              <w:adjustRightInd w:val="0"/>
              <w:snapToGrid w:val="0"/>
              <w:jc w:val="left"/>
              <w:rPr>
                <w:rFonts w:ascii="宋体" w:hAnsi="宋体"/>
                <w:color w:val="auto"/>
                <w:kern w:val="0"/>
                <w:szCs w:val="21"/>
              </w:rPr>
            </w:pPr>
          </w:p>
        </w:tc>
        <w:tc>
          <w:tcPr>
            <w:tcW w:w="1167" w:type="dxa"/>
          </w:tcPr>
          <w:p w14:paraId="595FB817">
            <w:pPr>
              <w:autoSpaceDE w:val="0"/>
              <w:autoSpaceDN w:val="0"/>
              <w:adjustRightInd w:val="0"/>
              <w:snapToGrid w:val="0"/>
              <w:jc w:val="left"/>
              <w:rPr>
                <w:rFonts w:ascii="宋体" w:hAnsi="宋体"/>
                <w:color w:val="auto"/>
                <w:kern w:val="0"/>
                <w:szCs w:val="21"/>
              </w:rPr>
            </w:pPr>
          </w:p>
        </w:tc>
        <w:tc>
          <w:tcPr>
            <w:tcW w:w="776" w:type="dxa"/>
          </w:tcPr>
          <w:p w14:paraId="12EAA1AE">
            <w:pPr>
              <w:autoSpaceDE w:val="0"/>
              <w:autoSpaceDN w:val="0"/>
              <w:adjustRightInd w:val="0"/>
              <w:snapToGrid w:val="0"/>
              <w:jc w:val="left"/>
              <w:rPr>
                <w:rFonts w:ascii="宋体" w:hAnsi="宋体"/>
                <w:color w:val="auto"/>
                <w:kern w:val="0"/>
                <w:szCs w:val="21"/>
              </w:rPr>
            </w:pPr>
          </w:p>
        </w:tc>
        <w:tc>
          <w:tcPr>
            <w:tcW w:w="778" w:type="dxa"/>
          </w:tcPr>
          <w:p w14:paraId="1088CD97">
            <w:pPr>
              <w:autoSpaceDE w:val="0"/>
              <w:autoSpaceDN w:val="0"/>
              <w:adjustRightInd w:val="0"/>
              <w:snapToGrid w:val="0"/>
              <w:jc w:val="left"/>
              <w:rPr>
                <w:rFonts w:ascii="宋体" w:hAnsi="宋体"/>
                <w:color w:val="auto"/>
                <w:kern w:val="0"/>
                <w:szCs w:val="21"/>
              </w:rPr>
            </w:pPr>
          </w:p>
        </w:tc>
        <w:tc>
          <w:tcPr>
            <w:tcW w:w="776" w:type="dxa"/>
          </w:tcPr>
          <w:p w14:paraId="6A47D306">
            <w:pPr>
              <w:autoSpaceDE w:val="0"/>
              <w:autoSpaceDN w:val="0"/>
              <w:adjustRightInd w:val="0"/>
              <w:snapToGrid w:val="0"/>
              <w:jc w:val="left"/>
              <w:rPr>
                <w:rFonts w:ascii="宋体" w:hAnsi="宋体"/>
                <w:color w:val="auto"/>
                <w:kern w:val="0"/>
                <w:szCs w:val="21"/>
              </w:rPr>
            </w:pPr>
          </w:p>
        </w:tc>
        <w:tc>
          <w:tcPr>
            <w:tcW w:w="2723" w:type="dxa"/>
          </w:tcPr>
          <w:p w14:paraId="35707B36">
            <w:pPr>
              <w:autoSpaceDE w:val="0"/>
              <w:autoSpaceDN w:val="0"/>
              <w:adjustRightInd w:val="0"/>
              <w:snapToGrid w:val="0"/>
              <w:jc w:val="left"/>
              <w:rPr>
                <w:rFonts w:ascii="宋体" w:hAnsi="宋体"/>
                <w:color w:val="auto"/>
                <w:kern w:val="0"/>
                <w:szCs w:val="21"/>
              </w:rPr>
            </w:pPr>
          </w:p>
        </w:tc>
        <w:tc>
          <w:tcPr>
            <w:tcW w:w="896" w:type="dxa"/>
          </w:tcPr>
          <w:p w14:paraId="66B86807">
            <w:pPr>
              <w:autoSpaceDE w:val="0"/>
              <w:autoSpaceDN w:val="0"/>
              <w:adjustRightInd w:val="0"/>
              <w:snapToGrid w:val="0"/>
              <w:jc w:val="left"/>
              <w:rPr>
                <w:rFonts w:ascii="宋体" w:hAnsi="宋体"/>
                <w:color w:val="auto"/>
                <w:kern w:val="0"/>
                <w:szCs w:val="21"/>
              </w:rPr>
            </w:pPr>
          </w:p>
        </w:tc>
      </w:tr>
      <w:tr w14:paraId="3BDE01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631F63C">
            <w:pPr>
              <w:autoSpaceDE w:val="0"/>
              <w:autoSpaceDN w:val="0"/>
              <w:adjustRightInd w:val="0"/>
              <w:snapToGrid w:val="0"/>
              <w:jc w:val="left"/>
              <w:rPr>
                <w:rFonts w:ascii="宋体" w:hAnsi="宋体"/>
                <w:color w:val="auto"/>
                <w:kern w:val="0"/>
                <w:szCs w:val="21"/>
              </w:rPr>
            </w:pPr>
          </w:p>
        </w:tc>
        <w:tc>
          <w:tcPr>
            <w:tcW w:w="734" w:type="dxa"/>
          </w:tcPr>
          <w:p w14:paraId="34A4FE62">
            <w:pPr>
              <w:autoSpaceDE w:val="0"/>
              <w:autoSpaceDN w:val="0"/>
              <w:adjustRightInd w:val="0"/>
              <w:snapToGrid w:val="0"/>
              <w:jc w:val="left"/>
              <w:rPr>
                <w:rFonts w:ascii="宋体" w:hAnsi="宋体"/>
                <w:color w:val="auto"/>
                <w:kern w:val="0"/>
                <w:szCs w:val="21"/>
              </w:rPr>
            </w:pPr>
          </w:p>
        </w:tc>
        <w:tc>
          <w:tcPr>
            <w:tcW w:w="776" w:type="dxa"/>
          </w:tcPr>
          <w:p w14:paraId="3C618C46">
            <w:pPr>
              <w:autoSpaceDE w:val="0"/>
              <w:autoSpaceDN w:val="0"/>
              <w:adjustRightInd w:val="0"/>
              <w:snapToGrid w:val="0"/>
              <w:jc w:val="left"/>
              <w:rPr>
                <w:rFonts w:ascii="宋体" w:hAnsi="宋体"/>
                <w:color w:val="auto"/>
                <w:kern w:val="0"/>
                <w:szCs w:val="21"/>
              </w:rPr>
            </w:pPr>
          </w:p>
        </w:tc>
        <w:tc>
          <w:tcPr>
            <w:tcW w:w="1167" w:type="dxa"/>
          </w:tcPr>
          <w:p w14:paraId="17DC819A">
            <w:pPr>
              <w:autoSpaceDE w:val="0"/>
              <w:autoSpaceDN w:val="0"/>
              <w:adjustRightInd w:val="0"/>
              <w:snapToGrid w:val="0"/>
              <w:jc w:val="left"/>
              <w:rPr>
                <w:rFonts w:ascii="宋体" w:hAnsi="宋体"/>
                <w:color w:val="auto"/>
                <w:kern w:val="0"/>
                <w:szCs w:val="21"/>
              </w:rPr>
            </w:pPr>
          </w:p>
        </w:tc>
        <w:tc>
          <w:tcPr>
            <w:tcW w:w="776" w:type="dxa"/>
          </w:tcPr>
          <w:p w14:paraId="60A9CF85">
            <w:pPr>
              <w:autoSpaceDE w:val="0"/>
              <w:autoSpaceDN w:val="0"/>
              <w:adjustRightInd w:val="0"/>
              <w:snapToGrid w:val="0"/>
              <w:jc w:val="left"/>
              <w:rPr>
                <w:rFonts w:ascii="宋体" w:hAnsi="宋体"/>
                <w:color w:val="auto"/>
                <w:kern w:val="0"/>
                <w:szCs w:val="21"/>
              </w:rPr>
            </w:pPr>
          </w:p>
        </w:tc>
        <w:tc>
          <w:tcPr>
            <w:tcW w:w="778" w:type="dxa"/>
          </w:tcPr>
          <w:p w14:paraId="134C1BBF">
            <w:pPr>
              <w:autoSpaceDE w:val="0"/>
              <w:autoSpaceDN w:val="0"/>
              <w:adjustRightInd w:val="0"/>
              <w:snapToGrid w:val="0"/>
              <w:jc w:val="left"/>
              <w:rPr>
                <w:rFonts w:ascii="宋体" w:hAnsi="宋体"/>
                <w:color w:val="auto"/>
                <w:kern w:val="0"/>
                <w:szCs w:val="21"/>
              </w:rPr>
            </w:pPr>
          </w:p>
        </w:tc>
        <w:tc>
          <w:tcPr>
            <w:tcW w:w="776" w:type="dxa"/>
          </w:tcPr>
          <w:p w14:paraId="0F0FF52A">
            <w:pPr>
              <w:autoSpaceDE w:val="0"/>
              <w:autoSpaceDN w:val="0"/>
              <w:adjustRightInd w:val="0"/>
              <w:snapToGrid w:val="0"/>
              <w:jc w:val="left"/>
              <w:rPr>
                <w:rFonts w:ascii="宋体" w:hAnsi="宋体"/>
                <w:color w:val="auto"/>
                <w:kern w:val="0"/>
                <w:szCs w:val="21"/>
              </w:rPr>
            </w:pPr>
          </w:p>
        </w:tc>
        <w:tc>
          <w:tcPr>
            <w:tcW w:w="2723" w:type="dxa"/>
          </w:tcPr>
          <w:p w14:paraId="48849E4B">
            <w:pPr>
              <w:autoSpaceDE w:val="0"/>
              <w:autoSpaceDN w:val="0"/>
              <w:adjustRightInd w:val="0"/>
              <w:snapToGrid w:val="0"/>
              <w:jc w:val="left"/>
              <w:rPr>
                <w:rFonts w:ascii="宋体" w:hAnsi="宋体"/>
                <w:color w:val="auto"/>
                <w:kern w:val="0"/>
                <w:szCs w:val="21"/>
              </w:rPr>
            </w:pPr>
          </w:p>
        </w:tc>
        <w:tc>
          <w:tcPr>
            <w:tcW w:w="896" w:type="dxa"/>
          </w:tcPr>
          <w:p w14:paraId="0AFED0A3">
            <w:pPr>
              <w:autoSpaceDE w:val="0"/>
              <w:autoSpaceDN w:val="0"/>
              <w:adjustRightInd w:val="0"/>
              <w:snapToGrid w:val="0"/>
              <w:jc w:val="left"/>
              <w:rPr>
                <w:rFonts w:ascii="宋体" w:hAnsi="宋体"/>
                <w:color w:val="auto"/>
                <w:kern w:val="0"/>
                <w:szCs w:val="21"/>
              </w:rPr>
            </w:pPr>
          </w:p>
        </w:tc>
      </w:tr>
      <w:tr w14:paraId="1C3BC6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A3FBB50">
            <w:pPr>
              <w:autoSpaceDE w:val="0"/>
              <w:autoSpaceDN w:val="0"/>
              <w:adjustRightInd w:val="0"/>
              <w:snapToGrid w:val="0"/>
              <w:jc w:val="left"/>
              <w:rPr>
                <w:rFonts w:ascii="宋体" w:hAnsi="宋体"/>
                <w:color w:val="auto"/>
                <w:kern w:val="0"/>
                <w:szCs w:val="21"/>
              </w:rPr>
            </w:pPr>
          </w:p>
        </w:tc>
        <w:tc>
          <w:tcPr>
            <w:tcW w:w="734" w:type="dxa"/>
          </w:tcPr>
          <w:p w14:paraId="02D0D4E2">
            <w:pPr>
              <w:autoSpaceDE w:val="0"/>
              <w:autoSpaceDN w:val="0"/>
              <w:adjustRightInd w:val="0"/>
              <w:snapToGrid w:val="0"/>
              <w:jc w:val="left"/>
              <w:rPr>
                <w:rFonts w:ascii="宋体" w:hAnsi="宋体"/>
                <w:color w:val="auto"/>
                <w:kern w:val="0"/>
                <w:szCs w:val="21"/>
              </w:rPr>
            </w:pPr>
          </w:p>
        </w:tc>
        <w:tc>
          <w:tcPr>
            <w:tcW w:w="776" w:type="dxa"/>
          </w:tcPr>
          <w:p w14:paraId="24F05857">
            <w:pPr>
              <w:autoSpaceDE w:val="0"/>
              <w:autoSpaceDN w:val="0"/>
              <w:adjustRightInd w:val="0"/>
              <w:snapToGrid w:val="0"/>
              <w:jc w:val="left"/>
              <w:rPr>
                <w:rFonts w:ascii="宋体" w:hAnsi="宋体"/>
                <w:color w:val="auto"/>
                <w:kern w:val="0"/>
                <w:szCs w:val="21"/>
              </w:rPr>
            </w:pPr>
          </w:p>
        </w:tc>
        <w:tc>
          <w:tcPr>
            <w:tcW w:w="1167" w:type="dxa"/>
          </w:tcPr>
          <w:p w14:paraId="526BC4A1">
            <w:pPr>
              <w:autoSpaceDE w:val="0"/>
              <w:autoSpaceDN w:val="0"/>
              <w:adjustRightInd w:val="0"/>
              <w:snapToGrid w:val="0"/>
              <w:jc w:val="left"/>
              <w:rPr>
                <w:rFonts w:ascii="宋体" w:hAnsi="宋体"/>
                <w:color w:val="auto"/>
                <w:kern w:val="0"/>
                <w:szCs w:val="21"/>
              </w:rPr>
            </w:pPr>
          </w:p>
        </w:tc>
        <w:tc>
          <w:tcPr>
            <w:tcW w:w="776" w:type="dxa"/>
          </w:tcPr>
          <w:p w14:paraId="377306D6">
            <w:pPr>
              <w:autoSpaceDE w:val="0"/>
              <w:autoSpaceDN w:val="0"/>
              <w:adjustRightInd w:val="0"/>
              <w:snapToGrid w:val="0"/>
              <w:jc w:val="left"/>
              <w:rPr>
                <w:rFonts w:ascii="宋体" w:hAnsi="宋体"/>
                <w:color w:val="auto"/>
                <w:kern w:val="0"/>
                <w:szCs w:val="21"/>
              </w:rPr>
            </w:pPr>
          </w:p>
        </w:tc>
        <w:tc>
          <w:tcPr>
            <w:tcW w:w="778" w:type="dxa"/>
          </w:tcPr>
          <w:p w14:paraId="6655627C">
            <w:pPr>
              <w:autoSpaceDE w:val="0"/>
              <w:autoSpaceDN w:val="0"/>
              <w:adjustRightInd w:val="0"/>
              <w:snapToGrid w:val="0"/>
              <w:jc w:val="left"/>
              <w:rPr>
                <w:rFonts w:ascii="宋体" w:hAnsi="宋体"/>
                <w:color w:val="auto"/>
                <w:kern w:val="0"/>
                <w:szCs w:val="21"/>
              </w:rPr>
            </w:pPr>
          </w:p>
        </w:tc>
        <w:tc>
          <w:tcPr>
            <w:tcW w:w="776" w:type="dxa"/>
          </w:tcPr>
          <w:p w14:paraId="1FD0C2AF">
            <w:pPr>
              <w:autoSpaceDE w:val="0"/>
              <w:autoSpaceDN w:val="0"/>
              <w:adjustRightInd w:val="0"/>
              <w:snapToGrid w:val="0"/>
              <w:jc w:val="left"/>
              <w:rPr>
                <w:rFonts w:ascii="宋体" w:hAnsi="宋体"/>
                <w:color w:val="auto"/>
                <w:kern w:val="0"/>
                <w:szCs w:val="21"/>
              </w:rPr>
            </w:pPr>
          </w:p>
        </w:tc>
        <w:tc>
          <w:tcPr>
            <w:tcW w:w="2723" w:type="dxa"/>
          </w:tcPr>
          <w:p w14:paraId="68E2873C">
            <w:pPr>
              <w:autoSpaceDE w:val="0"/>
              <w:autoSpaceDN w:val="0"/>
              <w:adjustRightInd w:val="0"/>
              <w:snapToGrid w:val="0"/>
              <w:jc w:val="left"/>
              <w:rPr>
                <w:rFonts w:ascii="宋体" w:hAnsi="宋体"/>
                <w:color w:val="auto"/>
                <w:kern w:val="0"/>
                <w:szCs w:val="21"/>
              </w:rPr>
            </w:pPr>
          </w:p>
        </w:tc>
        <w:tc>
          <w:tcPr>
            <w:tcW w:w="896" w:type="dxa"/>
          </w:tcPr>
          <w:p w14:paraId="78AF71DC">
            <w:pPr>
              <w:autoSpaceDE w:val="0"/>
              <w:autoSpaceDN w:val="0"/>
              <w:adjustRightInd w:val="0"/>
              <w:snapToGrid w:val="0"/>
              <w:jc w:val="left"/>
              <w:rPr>
                <w:rFonts w:ascii="宋体" w:hAnsi="宋体"/>
                <w:color w:val="auto"/>
                <w:kern w:val="0"/>
                <w:szCs w:val="21"/>
              </w:rPr>
            </w:pPr>
          </w:p>
        </w:tc>
      </w:tr>
      <w:tr w14:paraId="02AD4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DC18BC2">
            <w:pPr>
              <w:autoSpaceDE w:val="0"/>
              <w:autoSpaceDN w:val="0"/>
              <w:adjustRightInd w:val="0"/>
              <w:snapToGrid w:val="0"/>
              <w:jc w:val="left"/>
              <w:rPr>
                <w:rFonts w:ascii="宋体" w:hAnsi="宋体"/>
                <w:color w:val="auto"/>
                <w:kern w:val="0"/>
                <w:szCs w:val="21"/>
              </w:rPr>
            </w:pPr>
          </w:p>
        </w:tc>
        <w:tc>
          <w:tcPr>
            <w:tcW w:w="734" w:type="dxa"/>
          </w:tcPr>
          <w:p w14:paraId="1A6F067F">
            <w:pPr>
              <w:autoSpaceDE w:val="0"/>
              <w:autoSpaceDN w:val="0"/>
              <w:adjustRightInd w:val="0"/>
              <w:snapToGrid w:val="0"/>
              <w:jc w:val="left"/>
              <w:rPr>
                <w:rFonts w:ascii="宋体" w:hAnsi="宋体"/>
                <w:color w:val="auto"/>
                <w:kern w:val="0"/>
                <w:szCs w:val="21"/>
              </w:rPr>
            </w:pPr>
          </w:p>
        </w:tc>
        <w:tc>
          <w:tcPr>
            <w:tcW w:w="776" w:type="dxa"/>
          </w:tcPr>
          <w:p w14:paraId="49D2B705">
            <w:pPr>
              <w:autoSpaceDE w:val="0"/>
              <w:autoSpaceDN w:val="0"/>
              <w:adjustRightInd w:val="0"/>
              <w:snapToGrid w:val="0"/>
              <w:jc w:val="left"/>
              <w:rPr>
                <w:rFonts w:ascii="宋体" w:hAnsi="宋体"/>
                <w:color w:val="auto"/>
                <w:kern w:val="0"/>
                <w:szCs w:val="21"/>
              </w:rPr>
            </w:pPr>
          </w:p>
        </w:tc>
        <w:tc>
          <w:tcPr>
            <w:tcW w:w="1167" w:type="dxa"/>
          </w:tcPr>
          <w:p w14:paraId="4CC04CB8">
            <w:pPr>
              <w:autoSpaceDE w:val="0"/>
              <w:autoSpaceDN w:val="0"/>
              <w:adjustRightInd w:val="0"/>
              <w:snapToGrid w:val="0"/>
              <w:jc w:val="left"/>
              <w:rPr>
                <w:rFonts w:ascii="宋体" w:hAnsi="宋体"/>
                <w:color w:val="auto"/>
                <w:kern w:val="0"/>
                <w:szCs w:val="21"/>
              </w:rPr>
            </w:pPr>
          </w:p>
        </w:tc>
        <w:tc>
          <w:tcPr>
            <w:tcW w:w="776" w:type="dxa"/>
          </w:tcPr>
          <w:p w14:paraId="1F56FF49">
            <w:pPr>
              <w:autoSpaceDE w:val="0"/>
              <w:autoSpaceDN w:val="0"/>
              <w:adjustRightInd w:val="0"/>
              <w:snapToGrid w:val="0"/>
              <w:jc w:val="left"/>
              <w:rPr>
                <w:rFonts w:ascii="宋体" w:hAnsi="宋体"/>
                <w:color w:val="auto"/>
                <w:kern w:val="0"/>
                <w:szCs w:val="21"/>
              </w:rPr>
            </w:pPr>
          </w:p>
        </w:tc>
        <w:tc>
          <w:tcPr>
            <w:tcW w:w="778" w:type="dxa"/>
          </w:tcPr>
          <w:p w14:paraId="16C568BF">
            <w:pPr>
              <w:autoSpaceDE w:val="0"/>
              <w:autoSpaceDN w:val="0"/>
              <w:adjustRightInd w:val="0"/>
              <w:snapToGrid w:val="0"/>
              <w:jc w:val="left"/>
              <w:rPr>
                <w:rFonts w:ascii="宋体" w:hAnsi="宋体"/>
                <w:color w:val="auto"/>
                <w:kern w:val="0"/>
                <w:szCs w:val="21"/>
              </w:rPr>
            </w:pPr>
          </w:p>
        </w:tc>
        <w:tc>
          <w:tcPr>
            <w:tcW w:w="776" w:type="dxa"/>
          </w:tcPr>
          <w:p w14:paraId="135149C2">
            <w:pPr>
              <w:autoSpaceDE w:val="0"/>
              <w:autoSpaceDN w:val="0"/>
              <w:adjustRightInd w:val="0"/>
              <w:snapToGrid w:val="0"/>
              <w:jc w:val="left"/>
              <w:rPr>
                <w:rFonts w:ascii="宋体" w:hAnsi="宋体"/>
                <w:color w:val="auto"/>
                <w:kern w:val="0"/>
                <w:szCs w:val="21"/>
              </w:rPr>
            </w:pPr>
          </w:p>
        </w:tc>
        <w:tc>
          <w:tcPr>
            <w:tcW w:w="2723" w:type="dxa"/>
          </w:tcPr>
          <w:p w14:paraId="3CA32457">
            <w:pPr>
              <w:autoSpaceDE w:val="0"/>
              <w:autoSpaceDN w:val="0"/>
              <w:adjustRightInd w:val="0"/>
              <w:snapToGrid w:val="0"/>
              <w:jc w:val="left"/>
              <w:rPr>
                <w:rFonts w:ascii="宋体" w:hAnsi="宋体"/>
                <w:color w:val="auto"/>
                <w:kern w:val="0"/>
                <w:szCs w:val="21"/>
              </w:rPr>
            </w:pPr>
          </w:p>
        </w:tc>
        <w:tc>
          <w:tcPr>
            <w:tcW w:w="896" w:type="dxa"/>
          </w:tcPr>
          <w:p w14:paraId="7EE7BEB7">
            <w:pPr>
              <w:autoSpaceDE w:val="0"/>
              <w:autoSpaceDN w:val="0"/>
              <w:adjustRightInd w:val="0"/>
              <w:snapToGrid w:val="0"/>
              <w:jc w:val="left"/>
              <w:rPr>
                <w:rFonts w:ascii="宋体" w:hAnsi="宋体"/>
                <w:color w:val="auto"/>
                <w:kern w:val="0"/>
                <w:szCs w:val="21"/>
              </w:rPr>
            </w:pPr>
          </w:p>
        </w:tc>
      </w:tr>
      <w:tr w14:paraId="71E30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824313">
            <w:pPr>
              <w:autoSpaceDE w:val="0"/>
              <w:autoSpaceDN w:val="0"/>
              <w:adjustRightInd w:val="0"/>
              <w:snapToGrid w:val="0"/>
              <w:jc w:val="left"/>
              <w:rPr>
                <w:rFonts w:ascii="宋体" w:hAnsi="宋体"/>
                <w:color w:val="auto"/>
                <w:kern w:val="0"/>
                <w:szCs w:val="21"/>
              </w:rPr>
            </w:pPr>
          </w:p>
        </w:tc>
        <w:tc>
          <w:tcPr>
            <w:tcW w:w="734" w:type="dxa"/>
          </w:tcPr>
          <w:p w14:paraId="6A866547">
            <w:pPr>
              <w:autoSpaceDE w:val="0"/>
              <w:autoSpaceDN w:val="0"/>
              <w:adjustRightInd w:val="0"/>
              <w:snapToGrid w:val="0"/>
              <w:jc w:val="left"/>
              <w:rPr>
                <w:rFonts w:ascii="宋体" w:hAnsi="宋体"/>
                <w:color w:val="auto"/>
                <w:kern w:val="0"/>
                <w:szCs w:val="21"/>
              </w:rPr>
            </w:pPr>
          </w:p>
        </w:tc>
        <w:tc>
          <w:tcPr>
            <w:tcW w:w="776" w:type="dxa"/>
          </w:tcPr>
          <w:p w14:paraId="6AB22BE7">
            <w:pPr>
              <w:autoSpaceDE w:val="0"/>
              <w:autoSpaceDN w:val="0"/>
              <w:adjustRightInd w:val="0"/>
              <w:snapToGrid w:val="0"/>
              <w:jc w:val="left"/>
              <w:rPr>
                <w:rFonts w:ascii="宋体" w:hAnsi="宋体"/>
                <w:color w:val="auto"/>
                <w:kern w:val="0"/>
                <w:szCs w:val="21"/>
              </w:rPr>
            </w:pPr>
          </w:p>
        </w:tc>
        <w:tc>
          <w:tcPr>
            <w:tcW w:w="1167" w:type="dxa"/>
          </w:tcPr>
          <w:p w14:paraId="319D2FBF">
            <w:pPr>
              <w:autoSpaceDE w:val="0"/>
              <w:autoSpaceDN w:val="0"/>
              <w:adjustRightInd w:val="0"/>
              <w:snapToGrid w:val="0"/>
              <w:jc w:val="left"/>
              <w:rPr>
                <w:rFonts w:ascii="宋体" w:hAnsi="宋体"/>
                <w:color w:val="auto"/>
                <w:kern w:val="0"/>
                <w:szCs w:val="21"/>
              </w:rPr>
            </w:pPr>
          </w:p>
        </w:tc>
        <w:tc>
          <w:tcPr>
            <w:tcW w:w="776" w:type="dxa"/>
          </w:tcPr>
          <w:p w14:paraId="2A363174">
            <w:pPr>
              <w:autoSpaceDE w:val="0"/>
              <w:autoSpaceDN w:val="0"/>
              <w:adjustRightInd w:val="0"/>
              <w:snapToGrid w:val="0"/>
              <w:jc w:val="left"/>
              <w:rPr>
                <w:rFonts w:ascii="宋体" w:hAnsi="宋体"/>
                <w:color w:val="auto"/>
                <w:kern w:val="0"/>
                <w:szCs w:val="21"/>
              </w:rPr>
            </w:pPr>
          </w:p>
        </w:tc>
        <w:tc>
          <w:tcPr>
            <w:tcW w:w="778" w:type="dxa"/>
          </w:tcPr>
          <w:p w14:paraId="5B5B86DA">
            <w:pPr>
              <w:autoSpaceDE w:val="0"/>
              <w:autoSpaceDN w:val="0"/>
              <w:adjustRightInd w:val="0"/>
              <w:snapToGrid w:val="0"/>
              <w:jc w:val="left"/>
              <w:rPr>
                <w:rFonts w:ascii="宋体" w:hAnsi="宋体"/>
                <w:color w:val="auto"/>
                <w:kern w:val="0"/>
                <w:szCs w:val="21"/>
              </w:rPr>
            </w:pPr>
          </w:p>
        </w:tc>
        <w:tc>
          <w:tcPr>
            <w:tcW w:w="776" w:type="dxa"/>
          </w:tcPr>
          <w:p w14:paraId="68C4AB39">
            <w:pPr>
              <w:autoSpaceDE w:val="0"/>
              <w:autoSpaceDN w:val="0"/>
              <w:adjustRightInd w:val="0"/>
              <w:snapToGrid w:val="0"/>
              <w:jc w:val="left"/>
              <w:rPr>
                <w:rFonts w:ascii="宋体" w:hAnsi="宋体"/>
                <w:color w:val="auto"/>
                <w:kern w:val="0"/>
                <w:szCs w:val="21"/>
              </w:rPr>
            </w:pPr>
          </w:p>
        </w:tc>
        <w:tc>
          <w:tcPr>
            <w:tcW w:w="2723" w:type="dxa"/>
          </w:tcPr>
          <w:p w14:paraId="0FAE1774">
            <w:pPr>
              <w:autoSpaceDE w:val="0"/>
              <w:autoSpaceDN w:val="0"/>
              <w:adjustRightInd w:val="0"/>
              <w:snapToGrid w:val="0"/>
              <w:jc w:val="left"/>
              <w:rPr>
                <w:rFonts w:ascii="宋体" w:hAnsi="宋体"/>
                <w:color w:val="auto"/>
                <w:kern w:val="0"/>
                <w:szCs w:val="21"/>
              </w:rPr>
            </w:pPr>
          </w:p>
        </w:tc>
        <w:tc>
          <w:tcPr>
            <w:tcW w:w="896" w:type="dxa"/>
          </w:tcPr>
          <w:p w14:paraId="70595659">
            <w:pPr>
              <w:autoSpaceDE w:val="0"/>
              <w:autoSpaceDN w:val="0"/>
              <w:adjustRightInd w:val="0"/>
              <w:snapToGrid w:val="0"/>
              <w:jc w:val="left"/>
              <w:rPr>
                <w:rFonts w:ascii="宋体" w:hAnsi="宋体"/>
                <w:color w:val="auto"/>
                <w:kern w:val="0"/>
                <w:szCs w:val="21"/>
              </w:rPr>
            </w:pPr>
          </w:p>
        </w:tc>
      </w:tr>
      <w:tr w14:paraId="7E9EBC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413A2F2">
            <w:pPr>
              <w:autoSpaceDE w:val="0"/>
              <w:autoSpaceDN w:val="0"/>
              <w:adjustRightInd w:val="0"/>
              <w:snapToGrid w:val="0"/>
              <w:jc w:val="left"/>
              <w:rPr>
                <w:rFonts w:ascii="宋体" w:hAnsi="宋体"/>
                <w:color w:val="auto"/>
                <w:kern w:val="0"/>
                <w:szCs w:val="21"/>
              </w:rPr>
            </w:pPr>
          </w:p>
        </w:tc>
        <w:tc>
          <w:tcPr>
            <w:tcW w:w="734" w:type="dxa"/>
          </w:tcPr>
          <w:p w14:paraId="784BB0FA">
            <w:pPr>
              <w:autoSpaceDE w:val="0"/>
              <w:autoSpaceDN w:val="0"/>
              <w:adjustRightInd w:val="0"/>
              <w:snapToGrid w:val="0"/>
              <w:jc w:val="left"/>
              <w:rPr>
                <w:rFonts w:ascii="宋体" w:hAnsi="宋体"/>
                <w:color w:val="auto"/>
                <w:kern w:val="0"/>
                <w:szCs w:val="21"/>
              </w:rPr>
            </w:pPr>
          </w:p>
        </w:tc>
        <w:tc>
          <w:tcPr>
            <w:tcW w:w="776" w:type="dxa"/>
          </w:tcPr>
          <w:p w14:paraId="6A0A4F4B">
            <w:pPr>
              <w:autoSpaceDE w:val="0"/>
              <w:autoSpaceDN w:val="0"/>
              <w:adjustRightInd w:val="0"/>
              <w:snapToGrid w:val="0"/>
              <w:jc w:val="left"/>
              <w:rPr>
                <w:rFonts w:ascii="宋体" w:hAnsi="宋体"/>
                <w:color w:val="auto"/>
                <w:kern w:val="0"/>
                <w:szCs w:val="21"/>
              </w:rPr>
            </w:pPr>
          </w:p>
        </w:tc>
        <w:tc>
          <w:tcPr>
            <w:tcW w:w="1167" w:type="dxa"/>
          </w:tcPr>
          <w:p w14:paraId="64292EB9">
            <w:pPr>
              <w:autoSpaceDE w:val="0"/>
              <w:autoSpaceDN w:val="0"/>
              <w:adjustRightInd w:val="0"/>
              <w:snapToGrid w:val="0"/>
              <w:jc w:val="left"/>
              <w:rPr>
                <w:rFonts w:ascii="宋体" w:hAnsi="宋体"/>
                <w:color w:val="auto"/>
                <w:kern w:val="0"/>
                <w:szCs w:val="21"/>
              </w:rPr>
            </w:pPr>
          </w:p>
        </w:tc>
        <w:tc>
          <w:tcPr>
            <w:tcW w:w="776" w:type="dxa"/>
          </w:tcPr>
          <w:p w14:paraId="67BA2DA8">
            <w:pPr>
              <w:autoSpaceDE w:val="0"/>
              <w:autoSpaceDN w:val="0"/>
              <w:adjustRightInd w:val="0"/>
              <w:snapToGrid w:val="0"/>
              <w:jc w:val="left"/>
              <w:rPr>
                <w:rFonts w:ascii="宋体" w:hAnsi="宋体"/>
                <w:color w:val="auto"/>
                <w:kern w:val="0"/>
                <w:szCs w:val="21"/>
              </w:rPr>
            </w:pPr>
          </w:p>
        </w:tc>
        <w:tc>
          <w:tcPr>
            <w:tcW w:w="778" w:type="dxa"/>
          </w:tcPr>
          <w:p w14:paraId="752E7D78">
            <w:pPr>
              <w:autoSpaceDE w:val="0"/>
              <w:autoSpaceDN w:val="0"/>
              <w:adjustRightInd w:val="0"/>
              <w:snapToGrid w:val="0"/>
              <w:jc w:val="left"/>
              <w:rPr>
                <w:rFonts w:ascii="宋体" w:hAnsi="宋体"/>
                <w:color w:val="auto"/>
                <w:kern w:val="0"/>
                <w:szCs w:val="21"/>
              </w:rPr>
            </w:pPr>
          </w:p>
        </w:tc>
        <w:tc>
          <w:tcPr>
            <w:tcW w:w="776" w:type="dxa"/>
          </w:tcPr>
          <w:p w14:paraId="763C9E33">
            <w:pPr>
              <w:autoSpaceDE w:val="0"/>
              <w:autoSpaceDN w:val="0"/>
              <w:adjustRightInd w:val="0"/>
              <w:snapToGrid w:val="0"/>
              <w:jc w:val="left"/>
              <w:rPr>
                <w:rFonts w:ascii="宋体" w:hAnsi="宋体"/>
                <w:color w:val="auto"/>
                <w:kern w:val="0"/>
                <w:szCs w:val="21"/>
              </w:rPr>
            </w:pPr>
          </w:p>
        </w:tc>
        <w:tc>
          <w:tcPr>
            <w:tcW w:w="2723" w:type="dxa"/>
          </w:tcPr>
          <w:p w14:paraId="37B517F5">
            <w:pPr>
              <w:autoSpaceDE w:val="0"/>
              <w:autoSpaceDN w:val="0"/>
              <w:adjustRightInd w:val="0"/>
              <w:snapToGrid w:val="0"/>
              <w:jc w:val="left"/>
              <w:rPr>
                <w:rFonts w:ascii="宋体" w:hAnsi="宋体"/>
                <w:color w:val="auto"/>
                <w:kern w:val="0"/>
                <w:szCs w:val="21"/>
              </w:rPr>
            </w:pPr>
          </w:p>
        </w:tc>
        <w:tc>
          <w:tcPr>
            <w:tcW w:w="896" w:type="dxa"/>
          </w:tcPr>
          <w:p w14:paraId="792A9BF4">
            <w:pPr>
              <w:autoSpaceDE w:val="0"/>
              <w:autoSpaceDN w:val="0"/>
              <w:adjustRightInd w:val="0"/>
              <w:snapToGrid w:val="0"/>
              <w:jc w:val="left"/>
              <w:rPr>
                <w:rFonts w:ascii="宋体" w:hAnsi="宋体"/>
                <w:color w:val="auto"/>
                <w:kern w:val="0"/>
                <w:szCs w:val="21"/>
              </w:rPr>
            </w:pPr>
          </w:p>
        </w:tc>
      </w:tr>
      <w:tr w14:paraId="4FAD44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552357E">
            <w:pPr>
              <w:autoSpaceDE w:val="0"/>
              <w:autoSpaceDN w:val="0"/>
              <w:adjustRightInd w:val="0"/>
              <w:snapToGrid w:val="0"/>
              <w:jc w:val="left"/>
              <w:rPr>
                <w:rFonts w:ascii="宋体" w:hAnsi="宋体"/>
                <w:color w:val="auto"/>
                <w:kern w:val="0"/>
                <w:szCs w:val="21"/>
              </w:rPr>
            </w:pPr>
          </w:p>
        </w:tc>
        <w:tc>
          <w:tcPr>
            <w:tcW w:w="734" w:type="dxa"/>
          </w:tcPr>
          <w:p w14:paraId="5CD217B1">
            <w:pPr>
              <w:autoSpaceDE w:val="0"/>
              <w:autoSpaceDN w:val="0"/>
              <w:adjustRightInd w:val="0"/>
              <w:snapToGrid w:val="0"/>
              <w:jc w:val="left"/>
              <w:rPr>
                <w:rFonts w:ascii="宋体" w:hAnsi="宋体"/>
                <w:color w:val="auto"/>
                <w:kern w:val="0"/>
                <w:szCs w:val="21"/>
              </w:rPr>
            </w:pPr>
          </w:p>
        </w:tc>
        <w:tc>
          <w:tcPr>
            <w:tcW w:w="776" w:type="dxa"/>
          </w:tcPr>
          <w:p w14:paraId="2966E8BF">
            <w:pPr>
              <w:autoSpaceDE w:val="0"/>
              <w:autoSpaceDN w:val="0"/>
              <w:adjustRightInd w:val="0"/>
              <w:snapToGrid w:val="0"/>
              <w:jc w:val="left"/>
              <w:rPr>
                <w:rFonts w:ascii="宋体" w:hAnsi="宋体"/>
                <w:color w:val="auto"/>
                <w:kern w:val="0"/>
                <w:szCs w:val="21"/>
              </w:rPr>
            </w:pPr>
          </w:p>
        </w:tc>
        <w:tc>
          <w:tcPr>
            <w:tcW w:w="1167" w:type="dxa"/>
          </w:tcPr>
          <w:p w14:paraId="2315912B">
            <w:pPr>
              <w:autoSpaceDE w:val="0"/>
              <w:autoSpaceDN w:val="0"/>
              <w:adjustRightInd w:val="0"/>
              <w:snapToGrid w:val="0"/>
              <w:jc w:val="left"/>
              <w:rPr>
                <w:rFonts w:ascii="宋体" w:hAnsi="宋体"/>
                <w:color w:val="auto"/>
                <w:kern w:val="0"/>
                <w:szCs w:val="21"/>
              </w:rPr>
            </w:pPr>
          </w:p>
        </w:tc>
        <w:tc>
          <w:tcPr>
            <w:tcW w:w="776" w:type="dxa"/>
          </w:tcPr>
          <w:p w14:paraId="4E930F62">
            <w:pPr>
              <w:autoSpaceDE w:val="0"/>
              <w:autoSpaceDN w:val="0"/>
              <w:adjustRightInd w:val="0"/>
              <w:snapToGrid w:val="0"/>
              <w:jc w:val="left"/>
              <w:rPr>
                <w:rFonts w:ascii="宋体" w:hAnsi="宋体"/>
                <w:color w:val="auto"/>
                <w:kern w:val="0"/>
                <w:szCs w:val="21"/>
              </w:rPr>
            </w:pPr>
          </w:p>
        </w:tc>
        <w:tc>
          <w:tcPr>
            <w:tcW w:w="778" w:type="dxa"/>
          </w:tcPr>
          <w:p w14:paraId="1A37F28B">
            <w:pPr>
              <w:autoSpaceDE w:val="0"/>
              <w:autoSpaceDN w:val="0"/>
              <w:adjustRightInd w:val="0"/>
              <w:snapToGrid w:val="0"/>
              <w:jc w:val="left"/>
              <w:rPr>
                <w:rFonts w:ascii="宋体" w:hAnsi="宋体"/>
                <w:color w:val="auto"/>
                <w:kern w:val="0"/>
                <w:szCs w:val="21"/>
              </w:rPr>
            </w:pPr>
          </w:p>
        </w:tc>
        <w:tc>
          <w:tcPr>
            <w:tcW w:w="776" w:type="dxa"/>
          </w:tcPr>
          <w:p w14:paraId="7B907F46">
            <w:pPr>
              <w:autoSpaceDE w:val="0"/>
              <w:autoSpaceDN w:val="0"/>
              <w:adjustRightInd w:val="0"/>
              <w:snapToGrid w:val="0"/>
              <w:jc w:val="left"/>
              <w:rPr>
                <w:rFonts w:ascii="宋体" w:hAnsi="宋体"/>
                <w:color w:val="auto"/>
                <w:kern w:val="0"/>
                <w:szCs w:val="21"/>
              </w:rPr>
            </w:pPr>
          </w:p>
        </w:tc>
        <w:tc>
          <w:tcPr>
            <w:tcW w:w="2723" w:type="dxa"/>
          </w:tcPr>
          <w:p w14:paraId="494227CB">
            <w:pPr>
              <w:autoSpaceDE w:val="0"/>
              <w:autoSpaceDN w:val="0"/>
              <w:adjustRightInd w:val="0"/>
              <w:snapToGrid w:val="0"/>
              <w:jc w:val="left"/>
              <w:rPr>
                <w:rFonts w:ascii="宋体" w:hAnsi="宋体"/>
                <w:color w:val="auto"/>
                <w:kern w:val="0"/>
                <w:szCs w:val="21"/>
              </w:rPr>
            </w:pPr>
          </w:p>
        </w:tc>
        <w:tc>
          <w:tcPr>
            <w:tcW w:w="896" w:type="dxa"/>
          </w:tcPr>
          <w:p w14:paraId="6C3FED89">
            <w:pPr>
              <w:autoSpaceDE w:val="0"/>
              <w:autoSpaceDN w:val="0"/>
              <w:adjustRightInd w:val="0"/>
              <w:snapToGrid w:val="0"/>
              <w:jc w:val="left"/>
              <w:rPr>
                <w:rFonts w:ascii="宋体" w:hAnsi="宋体"/>
                <w:color w:val="auto"/>
                <w:kern w:val="0"/>
                <w:szCs w:val="21"/>
              </w:rPr>
            </w:pPr>
          </w:p>
        </w:tc>
      </w:tr>
      <w:tr w14:paraId="323523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F19F3E">
            <w:pPr>
              <w:autoSpaceDE w:val="0"/>
              <w:autoSpaceDN w:val="0"/>
              <w:adjustRightInd w:val="0"/>
              <w:snapToGrid w:val="0"/>
              <w:jc w:val="left"/>
              <w:rPr>
                <w:rFonts w:ascii="宋体" w:hAnsi="宋体"/>
                <w:color w:val="auto"/>
                <w:kern w:val="0"/>
                <w:szCs w:val="21"/>
              </w:rPr>
            </w:pPr>
          </w:p>
        </w:tc>
        <w:tc>
          <w:tcPr>
            <w:tcW w:w="734" w:type="dxa"/>
          </w:tcPr>
          <w:p w14:paraId="1E7E43D0">
            <w:pPr>
              <w:autoSpaceDE w:val="0"/>
              <w:autoSpaceDN w:val="0"/>
              <w:adjustRightInd w:val="0"/>
              <w:snapToGrid w:val="0"/>
              <w:jc w:val="left"/>
              <w:rPr>
                <w:rFonts w:ascii="宋体" w:hAnsi="宋体"/>
                <w:color w:val="auto"/>
                <w:kern w:val="0"/>
                <w:szCs w:val="21"/>
              </w:rPr>
            </w:pPr>
          </w:p>
        </w:tc>
        <w:tc>
          <w:tcPr>
            <w:tcW w:w="776" w:type="dxa"/>
          </w:tcPr>
          <w:p w14:paraId="742867CF">
            <w:pPr>
              <w:autoSpaceDE w:val="0"/>
              <w:autoSpaceDN w:val="0"/>
              <w:adjustRightInd w:val="0"/>
              <w:snapToGrid w:val="0"/>
              <w:jc w:val="left"/>
              <w:rPr>
                <w:rFonts w:ascii="宋体" w:hAnsi="宋体"/>
                <w:color w:val="auto"/>
                <w:kern w:val="0"/>
                <w:szCs w:val="21"/>
              </w:rPr>
            </w:pPr>
          </w:p>
        </w:tc>
        <w:tc>
          <w:tcPr>
            <w:tcW w:w="1167" w:type="dxa"/>
          </w:tcPr>
          <w:p w14:paraId="4D0D952E">
            <w:pPr>
              <w:autoSpaceDE w:val="0"/>
              <w:autoSpaceDN w:val="0"/>
              <w:adjustRightInd w:val="0"/>
              <w:snapToGrid w:val="0"/>
              <w:jc w:val="left"/>
              <w:rPr>
                <w:rFonts w:ascii="宋体" w:hAnsi="宋体"/>
                <w:color w:val="auto"/>
                <w:kern w:val="0"/>
                <w:szCs w:val="21"/>
              </w:rPr>
            </w:pPr>
          </w:p>
        </w:tc>
        <w:tc>
          <w:tcPr>
            <w:tcW w:w="776" w:type="dxa"/>
          </w:tcPr>
          <w:p w14:paraId="788EF07E">
            <w:pPr>
              <w:autoSpaceDE w:val="0"/>
              <w:autoSpaceDN w:val="0"/>
              <w:adjustRightInd w:val="0"/>
              <w:snapToGrid w:val="0"/>
              <w:jc w:val="left"/>
              <w:rPr>
                <w:rFonts w:ascii="宋体" w:hAnsi="宋体"/>
                <w:color w:val="auto"/>
                <w:kern w:val="0"/>
                <w:szCs w:val="21"/>
              </w:rPr>
            </w:pPr>
          </w:p>
        </w:tc>
        <w:tc>
          <w:tcPr>
            <w:tcW w:w="778" w:type="dxa"/>
          </w:tcPr>
          <w:p w14:paraId="115688BB">
            <w:pPr>
              <w:autoSpaceDE w:val="0"/>
              <w:autoSpaceDN w:val="0"/>
              <w:adjustRightInd w:val="0"/>
              <w:snapToGrid w:val="0"/>
              <w:jc w:val="left"/>
              <w:rPr>
                <w:rFonts w:ascii="宋体" w:hAnsi="宋体"/>
                <w:color w:val="auto"/>
                <w:kern w:val="0"/>
                <w:szCs w:val="21"/>
              </w:rPr>
            </w:pPr>
          </w:p>
        </w:tc>
        <w:tc>
          <w:tcPr>
            <w:tcW w:w="776" w:type="dxa"/>
          </w:tcPr>
          <w:p w14:paraId="39447B8F">
            <w:pPr>
              <w:autoSpaceDE w:val="0"/>
              <w:autoSpaceDN w:val="0"/>
              <w:adjustRightInd w:val="0"/>
              <w:snapToGrid w:val="0"/>
              <w:jc w:val="left"/>
              <w:rPr>
                <w:rFonts w:ascii="宋体" w:hAnsi="宋体"/>
                <w:color w:val="auto"/>
                <w:kern w:val="0"/>
                <w:szCs w:val="21"/>
              </w:rPr>
            </w:pPr>
          </w:p>
        </w:tc>
        <w:tc>
          <w:tcPr>
            <w:tcW w:w="2723" w:type="dxa"/>
          </w:tcPr>
          <w:p w14:paraId="6A4521F8">
            <w:pPr>
              <w:autoSpaceDE w:val="0"/>
              <w:autoSpaceDN w:val="0"/>
              <w:adjustRightInd w:val="0"/>
              <w:snapToGrid w:val="0"/>
              <w:jc w:val="left"/>
              <w:rPr>
                <w:rFonts w:ascii="宋体" w:hAnsi="宋体"/>
                <w:color w:val="auto"/>
                <w:kern w:val="0"/>
                <w:szCs w:val="21"/>
              </w:rPr>
            </w:pPr>
          </w:p>
        </w:tc>
        <w:tc>
          <w:tcPr>
            <w:tcW w:w="896" w:type="dxa"/>
          </w:tcPr>
          <w:p w14:paraId="35028EA2">
            <w:pPr>
              <w:autoSpaceDE w:val="0"/>
              <w:autoSpaceDN w:val="0"/>
              <w:adjustRightInd w:val="0"/>
              <w:snapToGrid w:val="0"/>
              <w:jc w:val="left"/>
              <w:rPr>
                <w:rFonts w:ascii="宋体" w:hAnsi="宋体"/>
                <w:color w:val="auto"/>
                <w:kern w:val="0"/>
                <w:szCs w:val="21"/>
              </w:rPr>
            </w:pPr>
          </w:p>
        </w:tc>
      </w:tr>
    </w:tbl>
    <w:p w14:paraId="44190ADD">
      <w:pPr>
        <w:spacing w:line="20" w:lineRule="exact"/>
        <w:jc w:val="center"/>
        <w:rPr>
          <w:rFonts w:ascii="宋体" w:hAnsi="宋体"/>
          <w:color w:val="auto"/>
          <w:szCs w:val="21"/>
        </w:rPr>
      </w:pPr>
    </w:p>
    <w:p w14:paraId="2CAF1754">
      <w:pPr>
        <w:spacing w:line="360" w:lineRule="auto"/>
        <w:ind w:firstLine="420" w:firstLineChars="200"/>
        <w:jc w:val="center"/>
        <w:rPr>
          <w:rFonts w:ascii="宋体" w:hAnsi="宋体"/>
          <w:color w:val="auto"/>
          <w:sz w:val="32"/>
          <w:szCs w:val="32"/>
        </w:rPr>
      </w:pPr>
      <w:r>
        <w:rPr>
          <w:rFonts w:hint="eastAsia" w:ascii="宋体" w:hAnsi="宋体"/>
          <w:color w:val="auto"/>
          <w:szCs w:val="21"/>
        </w:rPr>
        <w:t>备注：本表仅填项目经理、项目技术负责人相关信息</w:t>
      </w:r>
      <w:r>
        <w:rPr>
          <w:rFonts w:ascii="宋体" w:hAnsi="宋体"/>
          <w:color w:val="auto"/>
          <w:sz w:val="32"/>
          <w:szCs w:val="32"/>
        </w:rPr>
        <w:br w:type="page"/>
      </w:r>
      <w:r>
        <w:rPr>
          <w:rFonts w:hint="eastAsia" w:ascii="宋体" w:hAnsi="宋体"/>
          <w:color w:val="auto"/>
          <w:sz w:val="32"/>
          <w:szCs w:val="32"/>
        </w:rPr>
        <w:t>项目经理及项目技术负责人简历表</w:t>
      </w:r>
      <w:bookmarkEnd w:id="824"/>
      <w:bookmarkEnd w:id="825"/>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84CAE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3AF0B7D">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55E187D1">
            <w:pPr>
              <w:autoSpaceDE w:val="0"/>
              <w:autoSpaceDN w:val="0"/>
              <w:adjustRightInd w:val="0"/>
              <w:snapToGrid w:val="0"/>
              <w:jc w:val="center"/>
              <w:rPr>
                <w:rFonts w:ascii="宋体" w:hAnsi="宋体"/>
                <w:color w:val="auto"/>
                <w:kern w:val="0"/>
                <w:szCs w:val="21"/>
              </w:rPr>
            </w:pPr>
          </w:p>
        </w:tc>
        <w:tc>
          <w:tcPr>
            <w:tcW w:w="1020" w:type="dxa"/>
            <w:vAlign w:val="center"/>
          </w:tcPr>
          <w:p w14:paraId="340FEF0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3540B70C">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00470F3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528" w:type="dxa"/>
            <w:vAlign w:val="center"/>
          </w:tcPr>
          <w:p w14:paraId="14E93208">
            <w:pPr>
              <w:autoSpaceDE w:val="0"/>
              <w:autoSpaceDN w:val="0"/>
              <w:adjustRightInd w:val="0"/>
              <w:snapToGrid w:val="0"/>
              <w:jc w:val="center"/>
              <w:rPr>
                <w:rFonts w:ascii="宋体" w:hAnsi="宋体"/>
                <w:color w:val="auto"/>
                <w:kern w:val="0"/>
                <w:szCs w:val="21"/>
              </w:rPr>
            </w:pPr>
          </w:p>
        </w:tc>
      </w:tr>
      <w:tr w14:paraId="235971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189407">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09BB557E">
            <w:pPr>
              <w:autoSpaceDE w:val="0"/>
              <w:autoSpaceDN w:val="0"/>
              <w:adjustRightInd w:val="0"/>
              <w:snapToGrid w:val="0"/>
              <w:jc w:val="center"/>
              <w:rPr>
                <w:rFonts w:ascii="宋体" w:hAnsi="宋体"/>
                <w:color w:val="auto"/>
                <w:kern w:val="0"/>
                <w:szCs w:val="21"/>
              </w:rPr>
            </w:pPr>
          </w:p>
        </w:tc>
        <w:tc>
          <w:tcPr>
            <w:tcW w:w="1020" w:type="dxa"/>
            <w:vAlign w:val="center"/>
          </w:tcPr>
          <w:p w14:paraId="356912E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11F921D1">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35B105E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528" w:type="dxa"/>
            <w:vAlign w:val="center"/>
          </w:tcPr>
          <w:p w14:paraId="1DBF6674">
            <w:pPr>
              <w:autoSpaceDE w:val="0"/>
              <w:autoSpaceDN w:val="0"/>
              <w:adjustRightInd w:val="0"/>
              <w:snapToGrid w:val="0"/>
              <w:jc w:val="center"/>
              <w:rPr>
                <w:rFonts w:ascii="宋体" w:hAnsi="宋体"/>
                <w:color w:val="auto"/>
                <w:kern w:val="0"/>
                <w:szCs w:val="21"/>
              </w:rPr>
            </w:pPr>
          </w:p>
        </w:tc>
      </w:tr>
      <w:tr w14:paraId="46FEF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5A788B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259" w:type="dxa"/>
            <w:gridSpan w:val="8"/>
            <w:vAlign w:val="center"/>
          </w:tcPr>
          <w:p w14:paraId="2636222A">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3AE3F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0647A45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660F7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A466CB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596F844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60A5845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706" w:type="dxa"/>
            <w:gridSpan w:val="2"/>
            <w:vAlign w:val="center"/>
          </w:tcPr>
          <w:p w14:paraId="5874C32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3BD192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989CBD2">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0458E9C">
            <w:pPr>
              <w:autoSpaceDE w:val="0"/>
              <w:autoSpaceDN w:val="0"/>
              <w:adjustRightInd w:val="0"/>
              <w:snapToGrid w:val="0"/>
              <w:jc w:val="center"/>
              <w:rPr>
                <w:rFonts w:ascii="宋体" w:hAnsi="宋体"/>
                <w:color w:val="auto"/>
                <w:kern w:val="0"/>
                <w:szCs w:val="21"/>
              </w:rPr>
            </w:pPr>
          </w:p>
        </w:tc>
        <w:tc>
          <w:tcPr>
            <w:tcW w:w="1388" w:type="dxa"/>
            <w:vAlign w:val="center"/>
          </w:tcPr>
          <w:p w14:paraId="07A82764">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69A3F753">
            <w:pPr>
              <w:autoSpaceDE w:val="0"/>
              <w:autoSpaceDN w:val="0"/>
              <w:adjustRightInd w:val="0"/>
              <w:snapToGrid w:val="0"/>
              <w:jc w:val="center"/>
              <w:rPr>
                <w:rFonts w:ascii="宋体" w:hAnsi="宋体"/>
                <w:color w:val="auto"/>
                <w:kern w:val="0"/>
                <w:szCs w:val="21"/>
              </w:rPr>
            </w:pPr>
          </w:p>
        </w:tc>
      </w:tr>
      <w:tr w14:paraId="6265B9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7CB5ADB">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8DF0981">
            <w:pPr>
              <w:autoSpaceDE w:val="0"/>
              <w:autoSpaceDN w:val="0"/>
              <w:adjustRightInd w:val="0"/>
              <w:snapToGrid w:val="0"/>
              <w:jc w:val="center"/>
              <w:rPr>
                <w:rFonts w:ascii="宋体" w:hAnsi="宋体"/>
                <w:color w:val="auto"/>
                <w:kern w:val="0"/>
                <w:szCs w:val="21"/>
              </w:rPr>
            </w:pPr>
          </w:p>
        </w:tc>
        <w:tc>
          <w:tcPr>
            <w:tcW w:w="1388" w:type="dxa"/>
            <w:vAlign w:val="center"/>
          </w:tcPr>
          <w:p w14:paraId="323940F3">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E99BF9C">
            <w:pPr>
              <w:autoSpaceDE w:val="0"/>
              <w:autoSpaceDN w:val="0"/>
              <w:adjustRightInd w:val="0"/>
              <w:snapToGrid w:val="0"/>
              <w:jc w:val="center"/>
              <w:rPr>
                <w:rFonts w:ascii="宋体" w:hAnsi="宋体"/>
                <w:color w:val="auto"/>
                <w:kern w:val="0"/>
                <w:szCs w:val="21"/>
              </w:rPr>
            </w:pPr>
          </w:p>
        </w:tc>
      </w:tr>
      <w:tr w14:paraId="31FE9C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0F23E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81CD107">
            <w:pPr>
              <w:autoSpaceDE w:val="0"/>
              <w:autoSpaceDN w:val="0"/>
              <w:adjustRightInd w:val="0"/>
              <w:snapToGrid w:val="0"/>
              <w:jc w:val="center"/>
              <w:rPr>
                <w:rFonts w:ascii="宋体" w:hAnsi="宋体"/>
                <w:color w:val="auto"/>
                <w:kern w:val="0"/>
                <w:szCs w:val="21"/>
              </w:rPr>
            </w:pPr>
          </w:p>
        </w:tc>
        <w:tc>
          <w:tcPr>
            <w:tcW w:w="1388" w:type="dxa"/>
            <w:vAlign w:val="center"/>
          </w:tcPr>
          <w:p w14:paraId="42FCCB06">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9923E6C">
            <w:pPr>
              <w:autoSpaceDE w:val="0"/>
              <w:autoSpaceDN w:val="0"/>
              <w:adjustRightInd w:val="0"/>
              <w:snapToGrid w:val="0"/>
              <w:jc w:val="center"/>
              <w:rPr>
                <w:rFonts w:ascii="宋体" w:hAnsi="宋体"/>
                <w:color w:val="auto"/>
                <w:kern w:val="0"/>
                <w:szCs w:val="21"/>
              </w:rPr>
            </w:pPr>
          </w:p>
        </w:tc>
      </w:tr>
      <w:tr w14:paraId="5C115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9E87C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DDF99AA">
            <w:pPr>
              <w:autoSpaceDE w:val="0"/>
              <w:autoSpaceDN w:val="0"/>
              <w:adjustRightInd w:val="0"/>
              <w:snapToGrid w:val="0"/>
              <w:jc w:val="center"/>
              <w:rPr>
                <w:rFonts w:ascii="宋体" w:hAnsi="宋体"/>
                <w:color w:val="auto"/>
                <w:kern w:val="0"/>
                <w:szCs w:val="21"/>
              </w:rPr>
            </w:pPr>
          </w:p>
        </w:tc>
        <w:tc>
          <w:tcPr>
            <w:tcW w:w="1388" w:type="dxa"/>
            <w:vAlign w:val="center"/>
          </w:tcPr>
          <w:p w14:paraId="624DC87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230DF01">
            <w:pPr>
              <w:autoSpaceDE w:val="0"/>
              <w:autoSpaceDN w:val="0"/>
              <w:adjustRightInd w:val="0"/>
              <w:snapToGrid w:val="0"/>
              <w:jc w:val="center"/>
              <w:rPr>
                <w:rFonts w:ascii="宋体" w:hAnsi="宋体"/>
                <w:color w:val="auto"/>
                <w:kern w:val="0"/>
                <w:szCs w:val="21"/>
              </w:rPr>
            </w:pPr>
          </w:p>
        </w:tc>
      </w:tr>
      <w:tr w14:paraId="3DDC8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93F02B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AA0BEA6">
            <w:pPr>
              <w:autoSpaceDE w:val="0"/>
              <w:autoSpaceDN w:val="0"/>
              <w:adjustRightInd w:val="0"/>
              <w:snapToGrid w:val="0"/>
              <w:jc w:val="center"/>
              <w:rPr>
                <w:rFonts w:ascii="宋体" w:hAnsi="宋体"/>
                <w:color w:val="auto"/>
                <w:kern w:val="0"/>
                <w:szCs w:val="21"/>
              </w:rPr>
            </w:pPr>
          </w:p>
        </w:tc>
        <w:tc>
          <w:tcPr>
            <w:tcW w:w="1388" w:type="dxa"/>
            <w:vAlign w:val="center"/>
          </w:tcPr>
          <w:p w14:paraId="56960CA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63F87D6">
            <w:pPr>
              <w:autoSpaceDE w:val="0"/>
              <w:autoSpaceDN w:val="0"/>
              <w:adjustRightInd w:val="0"/>
              <w:snapToGrid w:val="0"/>
              <w:jc w:val="center"/>
              <w:rPr>
                <w:rFonts w:ascii="宋体" w:hAnsi="宋体"/>
                <w:color w:val="auto"/>
                <w:kern w:val="0"/>
                <w:szCs w:val="21"/>
              </w:rPr>
            </w:pPr>
          </w:p>
        </w:tc>
      </w:tr>
      <w:tr w14:paraId="6ECA8A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6B3AF9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22350274">
            <w:pPr>
              <w:autoSpaceDE w:val="0"/>
              <w:autoSpaceDN w:val="0"/>
              <w:adjustRightInd w:val="0"/>
              <w:snapToGrid w:val="0"/>
              <w:jc w:val="center"/>
              <w:rPr>
                <w:rFonts w:ascii="宋体" w:hAnsi="宋体"/>
                <w:color w:val="auto"/>
                <w:kern w:val="0"/>
                <w:szCs w:val="21"/>
              </w:rPr>
            </w:pPr>
          </w:p>
        </w:tc>
        <w:tc>
          <w:tcPr>
            <w:tcW w:w="1388" w:type="dxa"/>
            <w:vAlign w:val="center"/>
          </w:tcPr>
          <w:p w14:paraId="207A2634">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6020BDB5">
            <w:pPr>
              <w:autoSpaceDE w:val="0"/>
              <w:autoSpaceDN w:val="0"/>
              <w:adjustRightInd w:val="0"/>
              <w:snapToGrid w:val="0"/>
              <w:jc w:val="center"/>
              <w:rPr>
                <w:rFonts w:ascii="宋体" w:hAnsi="宋体"/>
                <w:color w:val="auto"/>
                <w:kern w:val="0"/>
                <w:szCs w:val="21"/>
              </w:rPr>
            </w:pPr>
          </w:p>
        </w:tc>
      </w:tr>
      <w:tr w14:paraId="08D24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2BE82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0E5A557">
            <w:pPr>
              <w:autoSpaceDE w:val="0"/>
              <w:autoSpaceDN w:val="0"/>
              <w:adjustRightInd w:val="0"/>
              <w:snapToGrid w:val="0"/>
              <w:jc w:val="center"/>
              <w:rPr>
                <w:rFonts w:ascii="宋体" w:hAnsi="宋体"/>
                <w:color w:val="auto"/>
                <w:kern w:val="0"/>
                <w:szCs w:val="21"/>
              </w:rPr>
            </w:pPr>
          </w:p>
        </w:tc>
        <w:tc>
          <w:tcPr>
            <w:tcW w:w="1388" w:type="dxa"/>
            <w:vAlign w:val="center"/>
          </w:tcPr>
          <w:p w14:paraId="43352C0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CDCE673">
            <w:pPr>
              <w:autoSpaceDE w:val="0"/>
              <w:autoSpaceDN w:val="0"/>
              <w:adjustRightInd w:val="0"/>
              <w:snapToGrid w:val="0"/>
              <w:jc w:val="center"/>
              <w:rPr>
                <w:rFonts w:ascii="宋体" w:hAnsi="宋体"/>
                <w:color w:val="auto"/>
                <w:kern w:val="0"/>
                <w:szCs w:val="21"/>
              </w:rPr>
            </w:pPr>
          </w:p>
        </w:tc>
      </w:tr>
      <w:tr w14:paraId="349E5F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08869C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187A0ED">
            <w:pPr>
              <w:autoSpaceDE w:val="0"/>
              <w:autoSpaceDN w:val="0"/>
              <w:adjustRightInd w:val="0"/>
              <w:snapToGrid w:val="0"/>
              <w:jc w:val="center"/>
              <w:rPr>
                <w:rFonts w:ascii="宋体" w:hAnsi="宋体"/>
                <w:color w:val="auto"/>
                <w:kern w:val="0"/>
                <w:szCs w:val="21"/>
              </w:rPr>
            </w:pPr>
          </w:p>
        </w:tc>
        <w:tc>
          <w:tcPr>
            <w:tcW w:w="1388" w:type="dxa"/>
            <w:vAlign w:val="center"/>
          </w:tcPr>
          <w:p w14:paraId="08E6CB46">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00A2389">
            <w:pPr>
              <w:autoSpaceDE w:val="0"/>
              <w:autoSpaceDN w:val="0"/>
              <w:adjustRightInd w:val="0"/>
              <w:snapToGrid w:val="0"/>
              <w:jc w:val="center"/>
              <w:rPr>
                <w:rFonts w:ascii="宋体" w:hAnsi="宋体"/>
                <w:color w:val="auto"/>
                <w:kern w:val="0"/>
                <w:szCs w:val="21"/>
              </w:rPr>
            </w:pPr>
          </w:p>
        </w:tc>
      </w:tr>
      <w:tr w14:paraId="3F5412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8F255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1714FD">
            <w:pPr>
              <w:autoSpaceDE w:val="0"/>
              <w:autoSpaceDN w:val="0"/>
              <w:adjustRightInd w:val="0"/>
              <w:snapToGrid w:val="0"/>
              <w:jc w:val="center"/>
              <w:rPr>
                <w:rFonts w:ascii="宋体" w:hAnsi="宋体"/>
                <w:color w:val="auto"/>
                <w:kern w:val="0"/>
                <w:szCs w:val="21"/>
              </w:rPr>
            </w:pPr>
          </w:p>
        </w:tc>
        <w:tc>
          <w:tcPr>
            <w:tcW w:w="1388" w:type="dxa"/>
            <w:vAlign w:val="center"/>
          </w:tcPr>
          <w:p w14:paraId="0662266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5745F58E">
            <w:pPr>
              <w:autoSpaceDE w:val="0"/>
              <w:autoSpaceDN w:val="0"/>
              <w:adjustRightInd w:val="0"/>
              <w:snapToGrid w:val="0"/>
              <w:jc w:val="center"/>
              <w:rPr>
                <w:rFonts w:ascii="宋体" w:hAnsi="宋体"/>
                <w:color w:val="auto"/>
                <w:kern w:val="0"/>
                <w:szCs w:val="21"/>
              </w:rPr>
            </w:pPr>
          </w:p>
        </w:tc>
      </w:tr>
      <w:tr w14:paraId="324EFF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F5CE0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22279EE0">
            <w:pPr>
              <w:autoSpaceDE w:val="0"/>
              <w:autoSpaceDN w:val="0"/>
              <w:adjustRightInd w:val="0"/>
              <w:snapToGrid w:val="0"/>
              <w:jc w:val="center"/>
              <w:rPr>
                <w:rFonts w:ascii="宋体" w:hAnsi="宋体"/>
                <w:color w:val="auto"/>
                <w:kern w:val="0"/>
                <w:szCs w:val="21"/>
              </w:rPr>
            </w:pPr>
          </w:p>
        </w:tc>
        <w:tc>
          <w:tcPr>
            <w:tcW w:w="1388" w:type="dxa"/>
            <w:vAlign w:val="center"/>
          </w:tcPr>
          <w:p w14:paraId="60CC2BE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BAB950E">
            <w:pPr>
              <w:autoSpaceDE w:val="0"/>
              <w:autoSpaceDN w:val="0"/>
              <w:adjustRightInd w:val="0"/>
              <w:snapToGrid w:val="0"/>
              <w:jc w:val="center"/>
              <w:rPr>
                <w:rFonts w:ascii="宋体" w:hAnsi="宋体"/>
                <w:color w:val="auto"/>
                <w:kern w:val="0"/>
                <w:szCs w:val="21"/>
              </w:rPr>
            </w:pPr>
          </w:p>
        </w:tc>
      </w:tr>
      <w:tr w14:paraId="41E6E8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62E95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EFDDC04">
            <w:pPr>
              <w:autoSpaceDE w:val="0"/>
              <w:autoSpaceDN w:val="0"/>
              <w:adjustRightInd w:val="0"/>
              <w:snapToGrid w:val="0"/>
              <w:jc w:val="center"/>
              <w:rPr>
                <w:rFonts w:ascii="宋体" w:hAnsi="宋体"/>
                <w:color w:val="auto"/>
                <w:kern w:val="0"/>
                <w:szCs w:val="21"/>
              </w:rPr>
            </w:pPr>
          </w:p>
        </w:tc>
        <w:tc>
          <w:tcPr>
            <w:tcW w:w="1388" w:type="dxa"/>
            <w:vAlign w:val="center"/>
          </w:tcPr>
          <w:p w14:paraId="6045F2C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004039D">
            <w:pPr>
              <w:autoSpaceDE w:val="0"/>
              <w:autoSpaceDN w:val="0"/>
              <w:adjustRightInd w:val="0"/>
              <w:snapToGrid w:val="0"/>
              <w:jc w:val="center"/>
              <w:rPr>
                <w:rFonts w:ascii="宋体" w:hAnsi="宋体"/>
                <w:color w:val="auto"/>
                <w:kern w:val="0"/>
                <w:szCs w:val="21"/>
              </w:rPr>
            </w:pPr>
          </w:p>
        </w:tc>
      </w:tr>
      <w:tr w14:paraId="342C8C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7F5BCF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D28FA3A">
            <w:pPr>
              <w:autoSpaceDE w:val="0"/>
              <w:autoSpaceDN w:val="0"/>
              <w:adjustRightInd w:val="0"/>
              <w:snapToGrid w:val="0"/>
              <w:jc w:val="center"/>
              <w:rPr>
                <w:rFonts w:ascii="宋体" w:hAnsi="宋体"/>
                <w:color w:val="auto"/>
                <w:kern w:val="0"/>
                <w:szCs w:val="21"/>
              </w:rPr>
            </w:pPr>
          </w:p>
        </w:tc>
        <w:tc>
          <w:tcPr>
            <w:tcW w:w="1388" w:type="dxa"/>
            <w:vAlign w:val="center"/>
          </w:tcPr>
          <w:p w14:paraId="1C41C0D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0E1A308">
            <w:pPr>
              <w:autoSpaceDE w:val="0"/>
              <w:autoSpaceDN w:val="0"/>
              <w:adjustRightInd w:val="0"/>
              <w:snapToGrid w:val="0"/>
              <w:jc w:val="center"/>
              <w:rPr>
                <w:rFonts w:ascii="宋体" w:hAnsi="宋体"/>
                <w:color w:val="auto"/>
                <w:kern w:val="0"/>
                <w:szCs w:val="21"/>
              </w:rPr>
            </w:pPr>
          </w:p>
        </w:tc>
      </w:tr>
      <w:tr w14:paraId="640284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EC9C0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62AC9FB">
            <w:pPr>
              <w:autoSpaceDE w:val="0"/>
              <w:autoSpaceDN w:val="0"/>
              <w:adjustRightInd w:val="0"/>
              <w:snapToGrid w:val="0"/>
              <w:jc w:val="center"/>
              <w:rPr>
                <w:rFonts w:ascii="宋体" w:hAnsi="宋体"/>
                <w:color w:val="auto"/>
                <w:kern w:val="0"/>
                <w:szCs w:val="21"/>
              </w:rPr>
            </w:pPr>
          </w:p>
        </w:tc>
        <w:tc>
          <w:tcPr>
            <w:tcW w:w="1388" w:type="dxa"/>
            <w:vAlign w:val="center"/>
          </w:tcPr>
          <w:p w14:paraId="309D560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42237287">
            <w:pPr>
              <w:autoSpaceDE w:val="0"/>
              <w:autoSpaceDN w:val="0"/>
              <w:adjustRightInd w:val="0"/>
              <w:snapToGrid w:val="0"/>
              <w:jc w:val="center"/>
              <w:rPr>
                <w:rFonts w:ascii="宋体" w:hAnsi="宋体"/>
                <w:color w:val="auto"/>
                <w:kern w:val="0"/>
                <w:szCs w:val="21"/>
              </w:rPr>
            </w:pPr>
          </w:p>
        </w:tc>
      </w:tr>
    </w:tbl>
    <w:p w14:paraId="145D99D2">
      <w:pPr>
        <w:spacing w:line="360" w:lineRule="auto"/>
        <w:rPr>
          <w:rFonts w:ascii="宋体" w:hAnsi="宋体"/>
          <w:color w:val="auto"/>
        </w:rPr>
      </w:pPr>
      <w:bookmarkStart w:id="829" w:name="_Toc224103515"/>
    </w:p>
    <w:bookmarkEnd w:id="829"/>
    <w:p w14:paraId="2C392B0A">
      <w:pPr>
        <w:pStyle w:val="5"/>
        <w:spacing w:before="0" w:after="0" w:line="360" w:lineRule="auto"/>
        <w:jc w:val="center"/>
        <w:rPr>
          <w:rFonts w:ascii="宋体" w:hAnsi="宋体"/>
          <w:b w:val="0"/>
          <w:color w:val="auto"/>
        </w:rPr>
      </w:pPr>
      <w:bookmarkStart w:id="830" w:name="_Toc287620839"/>
      <w:bookmarkStart w:id="831" w:name="_Toc430530552"/>
      <w:bookmarkStart w:id="832" w:name="_Toc287607893"/>
      <w:bookmarkStart w:id="833" w:name="_Toc224103520"/>
      <w:bookmarkStart w:id="834" w:name="_Toc277082663"/>
      <w:bookmarkStart w:id="835" w:name="_Toc30130"/>
      <w:bookmarkStart w:id="836" w:name="_Toc509218866"/>
      <w:bookmarkStart w:id="837" w:name="_Toc534185843"/>
      <w:r>
        <w:rPr>
          <w:rFonts w:ascii="宋体" w:hAnsi="宋体"/>
          <w:b w:val="0"/>
          <w:color w:val="auto"/>
        </w:rPr>
        <w:t>（</w:t>
      </w:r>
      <w:r>
        <w:rPr>
          <w:rFonts w:hint="eastAsia" w:ascii="宋体" w:hAnsi="宋体"/>
          <w:b w:val="0"/>
          <w:color w:val="auto"/>
          <w:lang w:eastAsia="zh-CN"/>
        </w:rPr>
        <w:t>四</w:t>
      </w:r>
      <w:r>
        <w:rPr>
          <w:rFonts w:ascii="宋体" w:hAnsi="宋体"/>
          <w:b w:val="0"/>
          <w:color w:val="auto"/>
        </w:rPr>
        <w:t>）</w:t>
      </w:r>
      <w:bookmarkEnd w:id="830"/>
      <w:bookmarkEnd w:id="831"/>
      <w:bookmarkEnd w:id="832"/>
      <w:bookmarkEnd w:id="833"/>
      <w:bookmarkEnd w:id="834"/>
      <w:r>
        <w:rPr>
          <w:rFonts w:hint="eastAsia" w:ascii="宋体" w:hAnsi="宋体"/>
          <w:b w:val="0"/>
          <w:color w:val="auto"/>
        </w:rPr>
        <w:t>承诺</w:t>
      </w:r>
      <w:bookmarkEnd w:id="835"/>
    </w:p>
    <w:p w14:paraId="423D41F8">
      <w:pPr>
        <w:snapToGrid w:val="0"/>
        <w:spacing w:line="380" w:lineRule="exact"/>
        <w:rPr>
          <w:rFonts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u w:val="single"/>
          <w:lang w:eastAsia="zh-CN"/>
        </w:rPr>
        <w:t>比选人</w:t>
      </w:r>
      <w:r>
        <w:rPr>
          <w:rFonts w:hint="eastAsia" w:ascii="宋体" w:hAnsi="宋体"/>
          <w:color w:val="auto"/>
          <w:szCs w:val="21"/>
          <w:u w:val="single"/>
        </w:rPr>
        <w:t>名称）</w:t>
      </w:r>
      <w:r>
        <w:rPr>
          <w:rFonts w:hint="eastAsia" w:ascii="宋体" w:hAnsi="宋体"/>
          <w:color w:val="auto"/>
          <w:szCs w:val="21"/>
        </w:rPr>
        <w:t>：</w:t>
      </w:r>
    </w:p>
    <w:p w14:paraId="38A77C19">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78DB38EF">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7E5A0EEE">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0B3B68DF">
      <w:pPr>
        <w:snapToGrid w:val="0"/>
        <w:spacing w:line="380" w:lineRule="exact"/>
        <w:ind w:firstLine="420" w:firstLineChars="200"/>
        <w:rPr>
          <w:rFonts w:ascii="宋体" w:hAnsi="宋体"/>
          <w:color w:val="auto"/>
          <w:szCs w:val="21"/>
        </w:rPr>
      </w:pPr>
      <w:r>
        <w:rPr>
          <w:rFonts w:hint="eastAsia" w:ascii="宋体" w:hAnsi="宋体"/>
          <w:color w:val="auto"/>
          <w:szCs w:val="21"/>
        </w:rPr>
        <w:t>（2）被列入《重庆市工程建设领域招标投标信用管理暂行办法》规定的重点关注名单且记分达到12分且在记分有效期内；</w:t>
      </w:r>
    </w:p>
    <w:p w14:paraId="736E0517">
      <w:pPr>
        <w:snapToGrid w:val="0"/>
        <w:spacing w:line="380" w:lineRule="exact"/>
        <w:ind w:firstLine="420" w:firstLineChars="200"/>
        <w:rPr>
          <w:rFonts w:ascii="宋体" w:hAnsi="宋体"/>
          <w:color w:val="auto"/>
          <w:szCs w:val="21"/>
        </w:rPr>
      </w:pPr>
      <w:r>
        <w:rPr>
          <w:rFonts w:hint="eastAsia" w:ascii="宋体" w:hAnsi="宋体"/>
          <w:color w:val="auto"/>
          <w:szCs w:val="21"/>
        </w:rPr>
        <w:t>（3）被列入《重庆市工程建设领域招标投标信用管理暂行办法》规定的黑名单且在记分有效期内；</w:t>
      </w:r>
    </w:p>
    <w:p w14:paraId="72DA2609">
      <w:pPr>
        <w:snapToGrid w:val="0"/>
        <w:spacing w:line="38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7E129AFD">
      <w:pPr>
        <w:snapToGrid w:val="0"/>
        <w:spacing w:line="38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主管部门暂停在渝承揽新业务且在暂停期内。</w:t>
      </w:r>
    </w:p>
    <w:p w14:paraId="705A2AEB">
      <w:pPr>
        <w:snapToGrid w:val="0"/>
        <w:spacing w:line="38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14:paraId="16050C2B">
      <w:pPr>
        <w:snapToGrid w:val="0"/>
        <w:spacing w:line="38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3F518607">
      <w:pPr>
        <w:snapToGrid w:val="0"/>
        <w:spacing w:line="380" w:lineRule="exact"/>
        <w:ind w:firstLine="420" w:firstLineChars="200"/>
        <w:rPr>
          <w:rFonts w:ascii="宋体" w:hAnsi="宋体"/>
          <w:color w:val="auto"/>
          <w:szCs w:val="21"/>
        </w:rPr>
      </w:pPr>
      <w:r>
        <w:rPr>
          <w:rFonts w:hint="eastAsia" w:ascii="宋体" w:hAnsi="宋体"/>
          <w:color w:val="auto"/>
          <w:szCs w:val="21"/>
        </w:rPr>
        <w:t>2.2拟派的项目经理未被重庆市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2E2E017A">
      <w:pPr>
        <w:snapToGrid w:val="0"/>
        <w:spacing w:line="38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14:paraId="1D430E80">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lang w:eastAsia="zh-CN"/>
        </w:rPr>
        <w:t>比选文件</w:t>
      </w:r>
      <w:r>
        <w:rPr>
          <w:rFonts w:hint="eastAsia" w:ascii="宋体" w:hAnsi="宋体"/>
          <w:color w:val="auto"/>
          <w:szCs w:val="21"/>
        </w:rPr>
        <w:t>规定递交放弃在其他项目任职、中标或拟中标的相关资料，我公司自愿放弃中标资格。在合同签订时，我公司确保拟派项目经理符合《建筑施工企业项目经理资质管理办法》规定的项目经理任职条件，否则我公司自愿放弃中标资格。</w:t>
      </w:r>
    </w:p>
    <w:p w14:paraId="48E792BA">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14:paraId="74581358">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14:paraId="75F5D87E">
      <w:pPr>
        <w:numPr>
          <w:ilvl w:val="0"/>
          <w:numId w:val="2"/>
        </w:numPr>
        <w:snapToGrid w:val="0"/>
        <w:spacing w:line="380" w:lineRule="exact"/>
        <w:ind w:firstLine="420" w:firstLineChars="200"/>
        <w:rPr>
          <w:rFonts w:ascii="宋体" w:hAnsi="宋体"/>
          <w:color w:val="auto"/>
          <w:szCs w:val="21"/>
        </w:rPr>
      </w:pPr>
      <w:r>
        <w:rPr>
          <w:rFonts w:hint="eastAsia" w:ascii="宋体" w:hAnsi="宋体"/>
          <w:color w:val="auto"/>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lang w:val="en-US" w:eastAsia="zh-CN"/>
        </w:rPr>
        <w:t>贵单位</w:t>
      </w:r>
      <w:r>
        <w:rPr>
          <w:rFonts w:hint="eastAsia" w:ascii="宋体" w:hAnsi="宋体"/>
          <w:color w:val="auto"/>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lang w:val="en-US" w:eastAsia="zh-CN"/>
        </w:rPr>
        <w:t>贵单位</w:t>
      </w:r>
      <w:r>
        <w:rPr>
          <w:rFonts w:hint="eastAsia" w:ascii="宋体" w:hAnsi="宋体"/>
          <w:color w:val="auto"/>
          <w:szCs w:val="21"/>
        </w:rPr>
        <w:t>造成损失的，我公司依法承担违约赔偿责任。</w:t>
      </w:r>
    </w:p>
    <w:p w14:paraId="0BA37EFE">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、我公司在资格审查部分中提供的相关证明材料真实有效，不存在弄虚作假情形。</w:t>
      </w:r>
      <w:r>
        <w:rPr>
          <w:rFonts w:hint="eastAsia" w:ascii="宋体" w:hAnsi="宋体"/>
          <w:color w:val="auto"/>
          <w:szCs w:val="21"/>
          <w:u w:val="single"/>
          <w:lang w:val="en-US" w:eastAsia="zh-CN"/>
        </w:rPr>
        <w:t>贵单位</w:t>
      </w:r>
      <w:r>
        <w:rPr>
          <w:rFonts w:hint="eastAsia" w:ascii="宋体" w:hAnsi="宋体"/>
          <w:color w:val="auto"/>
          <w:szCs w:val="21"/>
          <w:u w:val="single"/>
        </w:rPr>
        <w:t>在合同签订前均有权对我</w:t>
      </w:r>
      <w:r>
        <w:rPr>
          <w:rFonts w:hint="eastAsia" w:ascii="宋体" w:hAnsi="宋体"/>
          <w:color w:val="auto"/>
          <w:szCs w:val="21"/>
          <w:u w:val="single"/>
          <w:lang w:val="en-US" w:eastAsia="zh-CN"/>
        </w:rPr>
        <w:t>公</w:t>
      </w:r>
      <w:r>
        <w:rPr>
          <w:rFonts w:hint="eastAsia" w:ascii="宋体" w:hAnsi="宋体"/>
          <w:color w:val="auto"/>
          <w:szCs w:val="21"/>
          <w:u w:val="single"/>
        </w:rPr>
        <w:t>司提供的资料进行核实，若发现弄虚作假，</w:t>
      </w:r>
      <w:r>
        <w:rPr>
          <w:rFonts w:hint="eastAsia" w:ascii="宋体" w:hAnsi="宋体"/>
          <w:color w:val="auto"/>
          <w:szCs w:val="21"/>
          <w:u w:val="single"/>
          <w:lang w:val="en-US" w:eastAsia="zh-CN"/>
        </w:rPr>
        <w:t>按相关规定</w:t>
      </w:r>
      <w:r>
        <w:rPr>
          <w:rFonts w:hint="eastAsia" w:ascii="宋体" w:hAnsi="宋体"/>
          <w:color w:val="auto"/>
          <w:szCs w:val="21"/>
          <w:u w:val="single"/>
        </w:rPr>
        <w:t>取消</w:t>
      </w:r>
      <w:r>
        <w:rPr>
          <w:rFonts w:hint="eastAsia" w:ascii="宋体" w:hAnsi="宋体"/>
          <w:color w:val="auto"/>
          <w:szCs w:val="21"/>
          <w:u w:val="single"/>
          <w:lang w:val="en-US" w:eastAsia="zh-CN"/>
        </w:rPr>
        <w:t>我公司</w:t>
      </w:r>
      <w:r>
        <w:rPr>
          <w:rFonts w:hint="eastAsia" w:ascii="宋体" w:hAnsi="宋体"/>
          <w:color w:val="auto"/>
          <w:szCs w:val="21"/>
          <w:u w:val="single"/>
        </w:rPr>
        <w:t>中标资格，并按相关法律法规报招标投标监督部门，我</w:t>
      </w:r>
      <w:r>
        <w:rPr>
          <w:rFonts w:hint="eastAsia" w:ascii="宋体" w:hAnsi="宋体"/>
          <w:color w:val="auto"/>
          <w:szCs w:val="21"/>
          <w:u w:val="single"/>
          <w:lang w:val="en-US" w:eastAsia="zh-CN"/>
        </w:rPr>
        <w:t>公</w:t>
      </w:r>
      <w:r>
        <w:rPr>
          <w:rFonts w:hint="eastAsia" w:ascii="宋体" w:hAnsi="宋体"/>
          <w:color w:val="auto"/>
          <w:szCs w:val="21"/>
          <w:u w:val="single"/>
        </w:rPr>
        <w:t>司自愿承担因此造成的相关责任并赔偿相应损失</w:t>
      </w:r>
      <w:r>
        <w:rPr>
          <w:rFonts w:hint="eastAsia" w:ascii="宋体" w:hAnsi="宋体"/>
          <w:color w:val="auto"/>
          <w:szCs w:val="21"/>
        </w:rPr>
        <w:t>。</w:t>
      </w:r>
    </w:p>
    <w:p w14:paraId="40BC56A8">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、我公司不存在第二章 投标人须知第 1.4.3 项规定的任何一种情形。</w:t>
      </w:r>
    </w:p>
    <w:p w14:paraId="2E93BE38">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、我公司的投标文件符合第二章 投标人须知第 1.3.1 项的规定。</w:t>
      </w:r>
    </w:p>
    <w:p w14:paraId="6F1C7F6C">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、我公司的投标文件符合第四章 合同条款及格式规定，投标文件中没有</w:t>
      </w:r>
      <w:r>
        <w:rPr>
          <w:rFonts w:hint="eastAsia" w:ascii="宋体" w:hAnsi="宋体"/>
          <w:color w:val="auto"/>
          <w:szCs w:val="21"/>
          <w:lang w:val="en-US" w:eastAsia="zh-CN"/>
        </w:rPr>
        <w:t>贵单位</w:t>
      </w:r>
      <w:r>
        <w:rPr>
          <w:rFonts w:hint="eastAsia" w:ascii="宋体" w:hAnsi="宋体"/>
          <w:color w:val="auto"/>
          <w:szCs w:val="21"/>
        </w:rPr>
        <w:t>不能接受的条件。</w:t>
      </w:r>
    </w:p>
    <w:p w14:paraId="44D7CA1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、我公司的投标文件符合第七章 技术标准和要求（如有）。</w:t>
      </w:r>
    </w:p>
    <w:p w14:paraId="7C0F4452">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836"/>
    <w:bookmarkEnd w:id="837"/>
    <w:p w14:paraId="5E751CB8">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1930EC52">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26C7C23D">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p>
    <w:p w14:paraId="0D19F684">
      <w:pPr>
        <w:tabs>
          <w:tab w:val="left" w:pos="6300"/>
        </w:tabs>
        <w:autoSpaceDE w:val="0"/>
        <w:autoSpaceDN w:val="0"/>
        <w:adjustRightInd w:val="0"/>
        <w:snapToGrid w:val="0"/>
        <w:ind w:firstLine="420" w:firstLineChars="200"/>
        <w:jc w:val="right"/>
        <w:rPr>
          <w:rFonts w:ascii="宋体" w:hAnsi="宋体"/>
          <w:b/>
          <w:color w:val="auto"/>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日</w:t>
      </w:r>
    </w:p>
    <w:p w14:paraId="51AB6B52">
      <w:pPr>
        <w:rPr>
          <w:color w:val="auto"/>
        </w:rPr>
      </w:pPr>
      <w:r>
        <w:rPr>
          <w:color w:val="auto"/>
        </w:rPr>
        <w:br w:type="page"/>
      </w:r>
    </w:p>
    <w:p w14:paraId="4F9D8F78">
      <w:pPr>
        <w:pStyle w:val="5"/>
        <w:spacing w:before="0" w:line="360" w:lineRule="auto"/>
        <w:jc w:val="center"/>
        <w:rPr>
          <w:rFonts w:ascii="宋体" w:hAnsi="宋体"/>
          <w:b w:val="0"/>
          <w:color w:val="auto"/>
        </w:rPr>
      </w:pPr>
      <w:bookmarkStart w:id="838" w:name="_Toc16722"/>
      <w:r>
        <w:rPr>
          <w:rFonts w:hint="eastAsia" w:ascii="宋体" w:hAnsi="宋体"/>
          <w:b w:val="0"/>
          <w:color w:val="auto"/>
        </w:rPr>
        <w:t>（</w:t>
      </w:r>
      <w:r>
        <w:rPr>
          <w:rFonts w:hint="eastAsia" w:ascii="宋体" w:hAnsi="宋体"/>
          <w:b w:val="0"/>
          <w:color w:val="auto"/>
          <w:lang w:eastAsia="zh-CN"/>
        </w:rPr>
        <w:t>五</w:t>
      </w:r>
      <w:r>
        <w:rPr>
          <w:rFonts w:hint="eastAsia" w:ascii="宋体" w:hAnsi="宋体"/>
          <w:b w:val="0"/>
          <w:color w:val="auto"/>
        </w:rPr>
        <w:t>）其他资料</w:t>
      </w:r>
      <w:bookmarkEnd w:id="598"/>
      <w:bookmarkEnd w:id="599"/>
      <w:bookmarkEnd w:id="600"/>
      <w:bookmarkEnd w:id="838"/>
    </w:p>
    <w:bookmarkEnd w:id="839"/>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E09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7EC105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0D3B">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7B">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351E69F">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B358DF">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3F4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3"/>
      <w:numFmt w:val="decimal"/>
      <w:suff w:val="space"/>
      <w:lvlText w:val="%1."/>
      <w:lvlJc w:val="left"/>
    </w:lvl>
  </w:abstractNum>
  <w:abstractNum w:abstractNumId="1">
    <w:nsid w:val="5F471D00"/>
    <w:multiLevelType w:val="singleLevel"/>
    <w:tmpl w:val="5F471D0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MzQ1NTJmMDEzZGU3NWJkM2Q5ZDk1NjQ5YzI2Mzg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BB8"/>
    <w:rsid w:val="00300F8D"/>
    <w:rsid w:val="00301A0A"/>
    <w:rsid w:val="003030A6"/>
    <w:rsid w:val="003059F4"/>
    <w:rsid w:val="0030689E"/>
    <w:rsid w:val="003068D7"/>
    <w:rsid w:val="00306CC7"/>
    <w:rsid w:val="00306D70"/>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76634"/>
    <w:rsid w:val="013F4369"/>
    <w:rsid w:val="018E166C"/>
    <w:rsid w:val="01B02EAD"/>
    <w:rsid w:val="02020BC4"/>
    <w:rsid w:val="02197498"/>
    <w:rsid w:val="022D4776"/>
    <w:rsid w:val="02923124"/>
    <w:rsid w:val="02977E36"/>
    <w:rsid w:val="029B6737"/>
    <w:rsid w:val="029E16D8"/>
    <w:rsid w:val="02D3433D"/>
    <w:rsid w:val="02E7478A"/>
    <w:rsid w:val="03000A08"/>
    <w:rsid w:val="031D357C"/>
    <w:rsid w:val="03454DED"/>
    <w:rsid w:val="03574019"/>
    <w:rsid w:val="03885E3A"/>
    <w:rsid w:val="03B540BC"/>
    <w:rsid w:val="03C545D6"/>
    <w:rsid w:val="0438160E"/>
    <w:rsid w:val="04472087"/>
    <w:rsid w:val="04541105"/>
    <w:rsid w:val="046928C3"/>
    <w:rsid w:val="046A589F"/>
    <w:rsid w:val="046D5737"/>
    <w:rsid w:val="04FF37B4"/>
    <w:rsid w:val="054934A8"/>
    <w:rsid w:val="057730B9"/>
    <w:rsid w:val="05AB059E"/>
    <w:rsid w:val="05DC71B6"/>
    <w:rsid w:val="06005601"/>
    <w:rsid w:val="065E4A58"/>
    <w:rsid w:val="06665122"/>
    <w:rsid w:val="06776E83"/>
    <w:rsid w:val="067B5829"/>
    <w:rsid w:val="06850C3E"/>
    <w:rsid w:val="068C36FE"/>
    <w:rsid w:val="06C43DE0"/>
    <w:rsid w:val="06C64491"/>
    <w:rsid w:val="071E3DC1"/>
    <w:rsid w:val="074A1FE5"/>
    <w:rsid w:val="07512DF9"/>
    <w:rsid w:val="07577FFE"/>
    <w:rsid w:val="076A7107"/>
    <w:rsid w:val="077305E3"/>
    <w:rsid w:val="079C4767"/>
    <w:rsid w:val="07A47412"/>
    <w:rsid w:val="07A74E36"/>
    <w:rsid w:val="080A52B6"/>
    <w:rsid w:val="08A4313C"/>
    <w:rsid w:val="08C327C4"/>
    <w:rsid w:val="08CC7876"/>
    <w:rsid w:val="08E20A1C"/>
    <w:rsid w:val="09A71123"/>
    <w:rsid w:val="09A727B4"/>
    <w:rsid w:val="0A1F5137"/>
    <w:rsid w:val="0A535C69"/>
    <w:rsid w:val="0A623C83"/>
    <w:rsid w:val="0A93506B"/>
    <w:rsid w:val="0AA907B9"/>
    <w:rsid w:val="0ACE0286"/>
    <w:rsid w:val="0B076D7D"/>
    <w:rsid w:val="0B1B7594"/>
    <w:rsid w:val="0B9351EB"/>
    <w:rsid w:val="0B9E48FD"/>
    <w:rsid w:val="0BA33F53"/>
    <w:rsid w:val="0BB622A7"/>
    <w:rsid w:val="0C3E42BE"/>
    <w:rsid w:val="0C4905FF"/>
    <w:rsid w:val="0C7301CA"/>
    <w:rsid w:val="0C8C29F3"/>
    <w:rsid w:val="0CB1696F"/>
    <w:rsid w:val="0D4806BF"/>
    <w:rsid w:val="0DC02CE4"/>
    <w:rsid w:val="0DCB2C80"/>
    <w:rsid w:val="0E024D74"/>
    <w:rsid w:val="0E0B0A7A"/>
    <w:rsid w:val="0E484301"/>
    <w:rsid w:val="0E5F1249"/>
    <w:rsid w:val="0E693D2B"/>
    <w:rsid w:val="0E855450"/>
    <w:rsid w:val="0EB72584"/>
    <w:rsid w:val="0EF82D0F"/>
    <w:rsid w:val="0F235FDA"/>
    <w:rsid w:val="0FC3094C"/>
    <w:rsid w:val="102B5AE8"/>
    <w:rsid w:val="105C3E76"/>
    <w:rsid w:val="10611A0A"/>
    <w:rsid w:val="108B186A"/>
    <w:rsid w:val="10A018FD"/>
    <w:rsid w:val="10AC5059"/>
    <w:rsid w:val="10B246CE"/>
    <w:rsid w:val="10EE7255"/>
    <w:rsid w:val="10F159F3"/>
    <w:rsid w:val="110A7E8F"/>
    <w:rsid w:val="112278CE"/>
    <w:rsid w:val="11BB2435"/>
    <w:rsid w:val="11DA2882"/>
    <w:rsid w:val="121D6159"/>
    <w:rsid w:val="12766C8D"/>
    <w:rsid w:val="127A292F"/>
    <w:rsid w:val="1282121E"/>
    <w:rsid w:val="12B3780B"/>
    <w:rsid w:val="13012641"/>
    <w:rsid w:val="13105389"/>
    <w:rsid w:val="131B6875"/>
    <w:rsid w:val="132C55F9"/>
    <w:rsid w:val="13337CD2"/>
    <w:rsid w:val="13703B82"/>
    <w:rsid w:val="137D3871"/>
    <w:rsid w:val="13FD7A4B"/>
    <w:rsid w:val="141B1890"/>
    <w:rsid w:val="144C513E"/>
    <w:rsid w:val="14614A30"/>
    <w:rsid w:val="14C10CB3"/>
    <w:rsid w:val="14DC6FEA"/>
    <w:rsid w:val="152F2422"/>
    <w:rsid w:val="15CD5139"/>
    <w:rsid w:val="15D702DB"/>
    <w:rsid w:val="15EE4223"/>
    <w:rsid w:val="15F36B10"/>
    <w:rsid w:val="15F67B8F"/>
    <w:rsid w:val="15F873A5"/>
    <w:rsid w:val="162967BB"/>
    <w:rsid w:val="16366F23"/>
    <w:rsid w:val="16486A32"/>
    <w:rsid w:val="16690670"/>
    <w:rsid w:val="168459D5"/>
    <w:rsid w:val="16CD33F4"/>
    <w:rsid w:val="16E1457B"/>
    <w:rsid w:val="16F26FDC"/>
    <w:rsid w:val="16FC038D"/>
    <w:rsid w:val="173B7FC9"/>
    <w:rsid w:val="17610ABD"/>
    <w:rsid w:val="17721137"/>
    <w:rsid w:val="177D4542"/>
    <w:rsid w:val="177F45B0"/>
    <w:rsid w:val="17E75995"/>
    <w:rsid w:val="183668EE"/>
    <w:rsid w:val="1849373C"/>
    <w:rsid w:val="185E3411"/>
    <w:rsid w:val="18633943"/>
    <w:rsid w:val="18B86094"/>
    <w:rsid w:val="19450E59"/>
    <w:rsid w:val="19813FB0"/>
    <w:rsid w:val="19C778A5"/>
    <w:rsid w:val="19D00461"/>
    <w:rsid w:val="19F14713"/>
    <w:rsid w:val="1A233853"/>
    <w:rsid w:val="1A3D4C07"/>
    <w:rsid w:val="1A476BAB"/>
    <w:rsid w:val="1A6C7B89"/>
    <w:rsid w:val="1AE42BDE"/>
    <w:rsid w:val="1B330726"/>
    <w:rsid w:val="1B4E6695"/>
    <w:rsid w:val="1B5A4D98"/>
    <w:rsid w:val="1B610368"/>
    <w:rsid w:val="1B6C51E3"/>
    <w:rsid w:val="1B9374A3"/>
    <w:rsid w:val="1BA96B88"/>
    <w:rsid w:val="1BE14108"/>
    <w:rsid w:val="1C2A481A"/>
    <w:rsid w:val="1C3C77AA"/>
    <w:rsid w:val="1C6A496F"/>
    <w:rsid w:val="1C887CA9"/>
    <w:rsid w:val="1D534161"/>
    <w:rsid w:val="1D6A734C"/>
    <w:rsid w:val="1DB943F8"/>
    <w:rsid w:val="1DCF7C4C"/>
    <w:rsid w:val="1DD063A3"/>
    <w:rsid w:val="1DED6684"/>
    <w:rsid w:val="1E157818"/>
    <w:rsid w:val="1F125176"/>
    <w:rsid w:val="1F374DC3"/>
    <w:rsid w:val="1FD03957"/>
    <w:rsid w:val="1FD80F9D"/>
    <w:rsid w:val="1FFE6BEE"/>
    <w:rsid w:val="1FFF2213"/>
    <w:rsid w:val="20387CC7"/>
    <w:rsid w:val="20825C93"/>
    <w:rsid w:val="20BA340F"/>
    <w:rsid w:val="20CB6E6D"/>
    <w:rsid w:val="20D32B8C"/>
    <w:rsid w:val="210E4F38"/>
    <w:rsid w:val="216F7993"/>
    <w:rsid w:val="217F6E19"/>
    <w:rsid w:val="21825E03"/>
    <w:rsid w:val="21BB220E"/>
    <w:rsid w:val="22023065"/>
    <w:rsid w:val="22032F8D"/>
    <w:rsid w:val="221D5633"/>
    <w:rsid w:val="226C3D0D"/>
    <w:rsid w:val="232C56DA"/>
    <w:rsid w:val="236A023F"/>
    <w:rsid w:val="23736492"/>
    <w:rsid w:val="2376637F"/>
    <w:rsid w:val="23B9354D"/>
    <w:rsid w:val="23C30DB2"/>
    <w:rsid w:val="241A569F"/>
    <w:rsid w:val="2420680B"/>
    <w:rsid w:val="24684FB6"/>
    <w:rsid w:val="24D0409C"/>
    <w:rsid w:val="250973F4"/>
    <w:rsid w:val="2515298E"/>
    <w:rsid w:val="251B35D9"/>
    <w:rsid w:val="252427C9"/>
    <w:rsid w:val="252517D7"/>
    <w:rsid w:val="25446C5E"/>
    <w:rsid w:val="25482BC9"/>
    <w:rsid w:val="258C521D"/>
    <w:rsid w:val="25CE1D34"/>
    <w:rsid w:val="266D15E5"/>
    <w:rsid w:val="26C171CB"/>
    <w:rsid w:val="26FB6A89"/>
    <w:rsid w:val="27235EBA"/>
    <w:rsid w:val="27466D84"/>
    <w:rsid w:val="2785369B"/>
    <w:rsid w:val="27960BB1"/>
    <w:rsid w:val="27AE7A61"/>
    <w:rsid w:val="2805374C"/>
    <w:rsid w:val="28054429"/>
    <w:rsid w:val="283B1374"/>
    <w:rsid w:val="285A1251"/>
    <w:rsid w:val="285F0DD3"/>
    <w:rsid w:val="28616274"/>
    <w:rsid w:val="286E52FC"/>
    <w:rsid w:val="287D3E84"/>
    <w:rsid w:val="28CB5762"/>
    <w:rsid w:val="29102DCA"/>
    <w:rsid w:val="291F36A4"/>
    <w:rsid w:val="29272AA7"/>
    <w:rsid w:val="29565C76"/>
    <w:rsid w:val="295D3F42"/>
    <w:rsid w:val="29606D8E"/>
    <w:rsid w:val="296A7617"/>
    <w:rsid w:val="29710966"/>
    <w:rsid w:val="29F400BC"/>
    <w:rsid w:val="29FF45A0"/>
    <w:rsid w:val="2A031877"/>
    <w:rsid w:val="2A135BAE"/>
    <w:rsid w:val="2A1E50CD"/>
    <w:rsid w:val="2A3A4796"/>
    <w:rsid w:val="2A3C6CBE"/>
    <w:rsid w:val="2A4D0970"/>
    <w:rsid w:val="2A51426B"/>
    <w:rsid w:val="2AAE29EC"/>
    <w:rsid w:val="2ABB7DF2"/>
    <w:rsid w:val="2ADC4E06"/>
    <w:rsid w:val="2ADE448E"/>
    <w:rsid w:val="2B6E158B"/>
    <w:rsid w:val="2BCC4943"/>
    <w:rsid w:val="2BD335BF"/>
    <w:rsid w:val="2BD902EC"/>
    <w:rsid w:val="2C042AFF"/>
    <w:rsid w:val="2C0E6F3E"/>
    <w:rsid w:val="2C340A51"/>
    <w:rsid w:val="2C354AFA"/>
    <w:rsid w:val="2C3E45FE"/>
    <w:rsid w:val="2C7F2051"/>
    <w:rsid w:val="2CC26B9B"/>
    <w:rsid w:val="2CD21732"/>
    <w:rsid w:val="2D0D5784"/>
    <w:rsid w:val="2D4143A7"/>
    <w:rsid w:val="2D41718A"/>
    <w:rsid w:val="2DA91509"/>
    <w:rsid w:val="2E135BB8"/>
    <w:rsid w:val="2E386092"/>
    <w:rsid w:val="2E3911FF"/>
    <w:rsid w:val="2E5161D8"/>
    <w:rsid w:val="2EB73928"/>
    <w:rsid w:val="2EE737A0"/>
    <w:rsid w:val="2EF21CAB"/>
    <w:rsid w:val="2F3841ED"/>
    <w:rsid w:val="2F3F780F"/>
    <w:rsid w:val="2F6F7D2B"/>
    <w:rsid w:val="2FAD1B5F"/>
    <w:rsid w:val="2FBE110A"/>
    <w:rsid w:val="30065A5D"/>
    <w:rsid w:val="30505CF5"/>
    <w:rsid w:val="306C4840"/>
    <w:rsid w:val="30B1408E"/>
    <w:rsid w:val="30C4779A"/>
    <w:rsid w:val="30CE71F9"/>
    <w:rsid w:val="30EF67E5"/>
    <w:rsid w:val="310311E3"/>
    <w:rsid w:val="310E785B"/>
    <w:rsid w:val="315E2912"/>
    <w:rsid w:val="31D408D5"/>
    <w:rsid w:val="31F4722E"/>
    <w:rsid w:val="328D7DE2"/>
    <w:rsid w:val="329B6479"/>
    <w:rsid w:val="32BA571C"/>
    <w:rsid w:val="32EE6C13"/>
    <w:rsid w:val="33066B2A"/>
    <w:rsid w:val="33204F3D"/>
    <w:rsid w:val="33A73676"/>
    <w:rsid w:val="33D10AFB"/>
    <w:rsid w:val="33E96F45"/>
    <w:rsid w:val="33F04E1E"/>
    <w:rsid w:val="34115391"/>
    <w:rsid w:val="344D3544"/>
    <w:rsid w:val="34535CDA"/>
    <w:rsid w:val="351617D7"/>
    <w:rsid w:val="351C7EED"/>
    <w:rsid w:val="35AE5FE3"/>
    <w:rsid w:val="35B448A7"/>
    <w:rsid w:val="35C00993"/>
    <w:rsid w:val="35DA7934"/>
    <w:rsid w:val="35DB1C68"/>
    <w:rsid w:val="36484BAA"/>
    <w:rsid w:val="36F4767F"/>
    <w:rsid w:val="36F91964"/>
    <w:rsid w:val="374E17CB"/>
    <w:rsid w:val="378418A7"/>
    <w:rsid w:val="378E5399"/>
    <w:rsid w:val="379F21F8"/>
    <w:rsid w:val="37BD4202"/>
    <w:rsid w:val="37D81322"/>
    <w:rsid w:val="38086502"/>
    <w:rsid w:val="383C102E"/>
    <w:rsid w:val="386709AA"/>
    <w:rsid w:val="387D642F"/>
    <w:rsid w:val="38F178D5"/>
    <w:rsid w:val="38F211A8"/>
    <w:rsid w:val="3919772A"/>
    <w:rsid w:val="39301B00"/>
    <w:rsid w:val="393A55BD"/>
    <w:rsid w:val="395F1099"/>
    <w:rsid w:val="39BC12DD"/>
    <w:rsid w:val="3A310809"/>
    <w:rsid w:val="3A357AAD"/>
    <w:rsid w:val="3A45279A"/>
    <w:rsid w:val="3A457C17"/>
    <w:rsid w:val="3A6C03DB"/>
    <w:rsid w:val="3A6E7A8D"/>
    <w:rsid w:val="3A7645E5"/>
    <w:rsid w:val="3A9318CD"/>
    <w:rsid w:val="3A936159"/>
    <w:rsid w:val="3AAF722D"/>
    <w:rsid w:val="3AC52161"/>
    <w:rsid w:val="3AC705C2"/>
    <w:rsid w:val="3B0D0B61"/>
    <w:rsid w:val="3B3339E2"/>
    <w:rsid w:val="3B4130B9"/>
    <w:rsid w:val="3B666444"/>
    <w:rsid w:val="3BB817B9"/>
    <w:rsid w:val="3BBF0327"/>
    <w:rsid w:val="3BE02AA4"/>
    <w:rsid w:val="3C0E4892"/>
    <w:rsid w:val="3C327705"/>
    <w:rsid w:val="3CA502EA"/>
    <w:rsid w:val="3CE50817"/>
    <w:rsid w:val="3CE5636E"/>
    <w:rsid w:val="3CE745E5"/>
    <w:rsid w:val="3D051CAA"/>
    <w:rsid w:val="3D280CCE"/>
    <w:rsid w:val="3D4027C3"/>
    <w:rsid w:val="3D6C2304"/>
    <w:rsid w:val="3DAB2720"/>
    <w:rsid w:val="3DB46376"/>
    <w:rsid w:val="3DBA137E"/>
    <w:rsid w:val="3E287CA5"/>
    <w:rsid w:val="3E3A5788"/>
    <w:rsid w:val="3E971150"/>
    <w:rsid w:val="3EA90890"/>
    <w:rsid w:val="3EBC62C8"/>
    <w:rsid w:val="3ED16F9F"/>
    <w:rsid w:val="3ED95EA9"/>
    <w:rsid w:val="3EF9046A"/>
    <w:rsid w:val="3EFE309E"/>
    <w:rsid w:val="3F512870"/>
    <w:rsid w:val="3F537959"/>
    <w:rsid w:val="3F6236D0"/>
    <w:rsid w:val="3F7A1CE3"/>
    <w:rsid w:val="3F94702A"/>
    <w:rsid w:val="3F9E79D3"/>
    <w:rsid w:val="3FD308BC"/>
    <w:rsid w:val="3FE06D3B"/>
    <w:rsid w:val="3FE2521F"/>
    <w:rsid w:val="40325C23"/>
    <w:rsid w:val="406C1549"/>
    <w:rsid w:val="40D309FB"/>
    <w:rsid w:val="41043DCC"/>
    <w:rsid w:val="4195506F"/>
    <w:rsid w:val="41D71CA1"/>
    <w:rsid w:val="42027EEF"/>
    <w:rsid w:val="4233454F"/>
    <w:rsid w:val="42343097"/>
    <w:rsid w:val="42A77BCB"/>
    <w:rsid w:val="42FB6DBC"/>
    <w:rsid w:val="4320610A"/>
    <w:rsid w:val="43527DA5"/>
    <w:rsid w:val="43D50508"/>
    <w:rsid w:val="43E74852"/>
    <w:rsid w:val="441113B5"/>
    <w:rsid w:val="444961F3"/>
    <w:rsid w:val="44793B21"/>
    <w:rsid w:val="44CB71D3"/>
    <w:rsid w:val="44F51BC3"/>
    <w:rsid w:val="44FC6D71"/>
    <w:rsid w:val="45093CD4"/>
    <w:rsid w:val="452E75AA"/>
    <w:rsid w:val="45473CA4"/>
    <w:rsid w:val="454D7023"/>
    <w:rsid w:val="455B0488"/>
    <w:rsid w:val="458647B0"/>
    <w:rsid w:val="45F32B73"/>
    <w:rsid w:val="466B4766"/>
    <w:rsid w:val="468039CF"/>
    <w:rsid w:val="468054CC"/>
    <w:rsid w:val="469F3291"/>
    <w:rsid w:val="46F07AD6"/>
    <w:rsid w:val="47460F43"/>
    <w:rsid w:val="47E130B4"/>
    <w:rsid w:val="48826C2D"/>
    <w:rsid w:val="489573EB"/>
    <w:rsid w:val="48A06FF6"/>
    <w:rsid w:val="48EB7FCA"/>
    <w:rsid w:val="48FD1AAC"/>
    <w:rsid w:val="49214880"/>
    <w:rsid w:val="49462819"/>
    <w:rsid w:val="494B70D5"/>
    <w:rsid w:val="49CF100D"/>
    <w:rsid w:val="49D325C2"/>
    <w:rsid w:val="4A28342E"/>
    <w:rsid w:val="4A2C4985"/>
    <w:rsid w:val="4A520AB3"/>
    <w:rsid w:val="4A696427"/>
    <w:rsid w:val="4ABC313C"/>
    <w:rsid w:val="4AF83480"/>
    <w:rsid w:val="4B096356"/>
    <w:rsid w:val="4B1A4535"/>
    <w:rsid w:val="4B6D570B"/>
    <w:rsid w:val="4B85051F"/>
    <w:rsid w:val="4BE52D84"/>
    <w:rsid w:val="4C806421"/>
    <w:rsid w:val="4CA0475B"/>
    <w:rsid w:val="4CBE1E9E"/>
    <w:rsid w:val="4CDF4A30"/>
    <w:rsid w:val="4D0E1A0D"/>
    <w:rsid w:val="4D2275DA"/>
    <w:rsid w:val="4D450A84"/>
    <w:rsid w:val="4D5B7255"/>
    <w:rsid w:val="4DE463DE"/>
    <w:rsid w:val="4DF57EEC"/>
    <w:rsid w:val="4DFB11F6"/>
    <w:rsid w:val="4DFF76D6"/>
    <w:rsid w:val="4E220EE9"/>
    <w:rsid w:val="4E274480"/>
    <w:rsid w:val="4E3009A0"/>
    <w:rsid w:val="4E503B4D"/>
    <w:rsid w:val="4E774DAA"/>
    <w:rsid w:val="4E9D5A90"/>
    <w:rsid w:val="4EBE76C9"/>
    <w:rsid w:val="4EF13B48"/>
    <w:rsid w:val="4EF703E0"/>
    <w:rsid w:val="4F343028"/>
    <w:rsid w:val="4F83749C"/>
    <w:rsid w:val="4FAC03B8"/>
    <w:rsid w:val="4FB76013"/>
    <w:rsid w:val="502065F2"/>
    <w:rsid w:val="504127DF"/>
    <w:rsid w:val="50577908"/>
    <w:rsid w:val="50776BB0"/>
    <w:rsid w:val="50EB36A6"/>
    <w:rsid w:val="513A53AC"/>
    <w:rsid w:val="5198191D"/>
    <w:rsid w:val="51C5369D"/>
    <w:rsid w:val="521A6BBB"/>
    <w:rsid w:val="527D5E79"/>
    <w:rsid w:val="52845B17"/>
    <w:rsid w:val="529B5ED7"/>
    <w:rsid w:val="529E7462"/>
    <w:rsid w:val="52BB0686"/>
    <w:rsid w:val="52BE2CB0"/>
    <w:rsid w:val="52FD030C"/>
    <w:rsid w:val="535737F6"/>
    <w:rsid w:val="5371731E"/>
    <w:rsid w:val="538928D5"/>
    <w:rsid w:val="53DC22CC"/>
    <w:rsid w:val="53F54B1F"/>
    <w:rsid w:val="544B74D7"/>
    <w:rsid w:val="54547704"/>
    <w:rsid w:val="546B6E19"/>
    <w:rsid w:val="548254F0"/>
    <w:rsid w:val="5485514F"/>
    <w:rsid w:val="548D558B"/>
    <w:rsid w:val="549A6C2B"/>
    <w:rsid w:val="54F2189F"/>
    <w:rsid w:val="55082A65"/>
    <w:rsid w:val="55363AB8"/>
    <w:rsid w:val="556B595C"/>
    <w:rsid w:val="557D26BD"/>
    <w:rsid w:val="55BB0299"/>
    <w:rsid w:val="55C53EA6"/>
    <w:rsid w:val="565B7FD3"/>
    <w:rsid w:val="56DC57FE"/>
    <w:rsid w:val="56E8263F"/>
    <w:rsid w:val="57001653"/>
    <w:rsid w:val="574309DD"/>
    <w:rsid w:val="579E4146"/>
    <w:rsid w:val="57D4668D"/>
    <w:rsid w:val="58426C15"/>
    <w:rsid w:val="58A509C8"/>
    <w:rsid w:val="59016536"/>
    <w:rsid w:val="590C29FE"/>
    <w:rsid w:val="590F51D9"/>
    <w:rsid w:val="59701D6E"/>
    <w:rsid w:val="59890551"/>
    <w:rsid w:val="598A53A3"/>
    <w:rsid w:val="59A537CB"/>
    <w:rsid w:val="59AE18CE"/>
    <w:rsid w:val="59DF7037"/>
    <w:rsid w:val="59F26FCA"/>
    <w:rsid w:val="5A01005C"/>
    <w:rsid w:val="5A0D04FE"/>
    <w:rsid w:val="5A2B7E5E"/>
    <w:rsid w:val="5A4D6600"/>
    <w:rsid w:val="5A76233F"/>
    <w:rsid w:val="5A844281"/>
    <w:rsid w:val="5AA07F40"/>
    <w:rsid w:val="5B071AB3"/>
    <w:rsid w:val="5B2846A4"/>
    <w:rsid w:val="5B354C94"/>
    <w:rsid w:val="5B4568B3"/>
    <w:rsid w:val="5B597A4B"/>
    <w:rsid w:val="5B650D9F"/>
    <w:rsid w:val="5B7C4A30"/>
    <w:rsid w:val="5B9404C9"/>
    <w:rsid w:val="5BDE0537"/>
    <w:rsid w:val="5BF47881"/>
    <w:rsid w:val="5C232B8A"/>
    <w:rsid w:val="5C367B48"/>
    <w:rsid w:val="5C3B6751"/>
    <w:rsid w:val="5C3C3BB3"/>
    <w:rsid w:val="5C8E1728"/>
    <w:rsid w:val="5C994C58"/>
    <w:rsid w:val="5CA006F4"/>
    <w:rsid w:val="5CE95B0C"/>
    <w:rsid w:val="5CF60E57"/>
    <w:rsid w:val="5D2B4E2A"/>
    <w:rsid w:val="5D3A1415"/>
    <w:rsid w:val="5D4D387D"/>
    <w:rsid w:val="5D6851F5"/>
    <w:rsid w:val="5DCD676E"/>
    <w:rsid w:val="5E531B97"/>
    <w:rsid w:val="5EE61D69"/>
    <w:rsid w:val="5F144DEA"/>
    <w:rsid w:val="5F7E3018"/>
    <w:rsid w:val="5FE05068"/>
    <w:rsid w:val="606C2E49"/>
    <w:rsid w:val="60982AB8"/>
    <w:rsid w:val="60A623D0"/>
    <w:rsid w:val="60D2227B"/>
    <w:rsid w:val="60D87B58"/>
    <w:rsid w:val="60F1388E"/>
    <w:rsid w:val="61132F80"/>
    <w:rsid w:val="61414EC5"/>
    <w:rsid w:val="6153769A"/>
    <w:rsid w:val="617F3339"/>
    <w:rsid w:val="61941252"/>
    <w:rsid w:val="61A77079"/>
    <w:rsid w:val="61B35F3E"/>
    <w:rsid w:val="61C6707F"/>
    <w:rsid w:val="61CC3EFC"/>
    <w:rsid w:val="61E44C31"/>
    <w:rsid w:val="62D6732E"/>
    <w:rsid w:val="62E62F4B"/>
    <w:rsid w:val="62FC6E08"/>
    <w:rsid w:val="63062799"/>
    <w:rsid w:val="634816F2"/>
    <w:rsid w:val="63550013"/>
    <w:rsid w:val="638279B4"/>
    <w:rsid w:val="63911317"/>
    <w:rsid w:val="639C64A0"/>
    <w:rsid w:val="63E018D1"/>
    <w:rsid w:val="64017803"/>
    <w:rsid w:val="64817D3D"/>
    <w:rsid w:val="648B3FB8"/>
    <w:rsid w:val="64B1537D"/>
    <w:rsid w:val="650F7961"/>
    <w:rsid w:val="65454382"/>
    <w:rsid w:val="655602FA"/>
    <w:rsid w:val="655D7FBE"/>
    <w:rsid w:val="65643470"/>
    <w:rsid w:val="657038D9"/>
    <w:rsid w:val="657047E3"/>
    <w:rsid w:val="65D51522"/>
    <w:rsid w:val="65FF1E91"/>
    <w:rsid w:val="6621558E"/>
    <w:rsid w:val="663A7B06"/>
    <w:rsid w:val="666E19D3"/>
    <w:rsid w:val="669177F7"/>
    <w:rsid w:val="66AE5C45"/>
    <w:rsid w:val="67330E07"/>
    <w:rsid w:val="673D0A8B"/>
    <w:rsid w:val="67675C75"/>
    <w:rsid w:val="676C6D40"/>
    <w:rsid w:val="676F770B"/>
    <w:rsid w:val="67B37570"/>
    <w:rsid w:val="67B43BAE"/>
    <w:rsid w:val="67CB1F96"/>
    <w:rsid w:val="67E0499E"/>
    <w:rsid w:val="683730B2"/>
    <w:rsid w:val="684F3C7A"/>
    <w:rsid w:val="6854579B"/>
    <w:rsid w:val="685C7BDC"/>
    <w:rsid w:val="68675C25"/>
    <w:rsid w:val="689513D5"/>
    <w:rsid w:val="68BB4E93"/>
    <w:rsid w:val="6A5275F9"/>
    <w:rsid w:val="6A633B5B"/>
    <w:rsid w:val="6AA410A4"/>
    <w:rsid w:val="6ABD617F"/>
    <w:rsid w:val="6AC25622"/>
    <w:rsid w:val="6AEC3960"/>
    <w:rsid w:val="6B261B6A"/>
    <w:rsid w:val="6B334618"/>
    <w:rsid w:val="6B57195A"/>
    <w:rsid w:val="6B6607F6"/>
    <w:rsid w:val="6B8320C0"/>
    <w:rsid w:val="6B972B01"/>
    <w:rsid w:val="6B99234A"/>
    <w:rsid w:val="6BAB2CF1"/>
    <w:rsid w:val="6BB95EE5"/>
    <w:rsid w:val="6BCE4EB6"/>
    <w:rsid w:val="6BD154CC"/>
    <w:rsid w:val="6C0B6409"/>
    <w:rsid w:val="6C1B1BAF"/>
    <w:rsid w:val="6C5D6CCE"/>
    <w:rsid w:val="6C6E6699"/>
    <w:rsid w:val="6CC92D08"/>
    <w:rsid w:val="6D04605E"/>
    <w:rsid w:val="6D2B65E5"/>
    <w:rsid w:val="6D9D294C"/>
    <w:rsid w:val="6DAF2C53"/>
    <w:rsid w:val="6E071562"/>
    <w:rsid w:val="6E1E6B73"/>
    <w:rsid w:val="6E3929AE"/>
    <w:rsid w:val="6E6508B3"/>
    <w:rsid w:val="6E8E1211"/>
    <w:rsid w:val="6EC922AC"/>
    <w:rsid w:val="6EDE7D98"/>
    <w:rsid w:val="6EE50815"/>
    <w:rsid w:val="6EFF64A4"/>
    <w:rsid w:val="6F083740"/>
    <w:rsid w:val="6F0F06CF"/>
    <w:rsid w:val="6F1F4627"/>
    <w:rsid w:val="6F286FD3"/>
    <w:rsid w:val="6F3C1174"/>
    <w:rsid w:val="6F407C72"/>
    <w:rsid w:val="6F562B80"/>
    <w:rsid w:val="6FB9145D"/>
    <w:rsid w:val="6FEF1B60"/>
    <w:rsid w:val="70301BC4"/>
    <w:rsid w:val="709F6941"/>
    <w:rsid w:val="70C0289D"/>
    <w:rsid w:val="70C31D6B"/>
    <w:rsid w:val="70DE72DA"/>
    <w:rsid w:val="70F74CDB"/>
    <w:rsid w:val="7102236F"/>
    <w:rsid w:val="71904B0C"/>
    <w:rsid w:val="71A96989"/>
    <w:rsid w:val="71B36BC8"/>
    <w:rsid w:val="71BF212E"/>
    <w:rsid w:val="71C73801"/>
    <w:rsid w:val="71CE671B"/>
    <w:rsid w:val="71D36D7A"/>
    <w:rsid w:val="72100761"/>
    <w:rsid w:val="7228490E"/>
    <w:rsid w:val="72324A62"/>
    <w:rsid w:val="7233601F"/>
    <w:rsid w:val="7256698F"/>
    <w:rsid w:val="729039BC"/>
    <w:rsid w:val="73010D7B"/>
    <w:rsid w:val="7397045C"/>
    <w:rsid w:val="73A27146"/>
    <w:rsid w:val="73D9657F"/>
    <w:rsid w:val="74024791"/>
    <w:rsid w:val="740A314B"/>
    <w:rsid w:val="74533F62"/>
    <w:rsid w:val="74891E24"/>
    <w:rsid w:val="749612EA"/>
    <w:rsid w:val="74BE00F6"/>
    <w:rsid w:val="74D527BF"/>
    <w:rsid w:val="75056307"/>
    <w:rsid w:val="75192277"/>
    <w:rsid w:val="75434A0D"/>
    <w:rsid w:val="758F00AE"/>
    <w:rsid w:val="76507BE4"/>
    <w:rsid w:val="76C667BC"/>
    <w:rsid w:val="76CC2DBF"/>
    <w:rsid w:val="76F05B1C"/>
    <w:rsid w:val="76F272F8"/>
    <w:rsid w:val="77306C9E"/>
    <w:rsid w:val="773A54BC"/>
    <w:rsid w:val="776F0CF3"/>
    <w:rsid w:val="777D0735"/>
    <w:rsid w:val="77BD1EC4"/>
    <w:rsid w:val="77CE6886"/>
    <w:rsid w:val="77D63978"/>
    <w:rsid w:val="788555E3"/>
    <w:rsid w:val="788B6DCB"/>
    <w:rsid w:val="78B77302"/>
    <w:rsid w:val="78CD3662"/>
    <w:rsid w:val="78DB67FF"/>
    <w:rsid w:val="790B6785"/>
    <w:rsid w:val="7937127B"/>
    <w:rsid w:val="796E49AC"/>
    <w:rsid w:val="79FE79DA"/>
    <w:rsid w:val="7A156350"/>
    <w:rsid w:val="7A29136C"/>
    <w:rsid w:val="7A2C61E7"/>
    <w:rsid w:val="7A735C17"/>
    <w:rsid w:val="7A887546"/>
    <w:rsid w:val="7A902F4D"/>
    <w:rsid w:val="7AA71D7C"/>
    <w:rsid w:val="7AAD5FEE"/>
    <w:rsid w:val="7AF65C91"/>
    <w:rsid w:val="7B147076"/>
    <w:rsid w:val="7B4638D7"/>
    <w:rsid w:val="7B465E48"/>
    <w:rsid w:val="7B65768B"/>
    <w:rsid w:val="7B964679"/>
    <w:rsid w:val="7BDE45F7"/>
    <w:rsid w:val="7BE205C8"/>
    <w:rsid w:val="7C195B55"/>
    <w:rsid w:val="7C3D7C78"/>
    <w:rsid w:val="7C466CEA"/>
    <w:rsid w:val="7CB51983"/>
    <w:rsid w:val="7CF312BE"/>
    <w:rsid w:val="7CFA0E6B"/>
    <w:rsid w:val="7D442303"/>
    <w:rsid w:val="7D9120E2"/>
    <w:rsid w:val="7DF9570E"/>
    <w:rsid w:val="7E014595"/>
    <w:rsid w:val="7E0C73F1"/>
    <w:rsid w:val="7E295D6A"/>
    <w:rsid w:val="7E5333C7"/>
    <w:rsid w:val="7E695E0F"/>
    <w:rsid w:val="7E7236B4"/>
    <w:rsid w:val="7E910D86"/>
    <w:rsid w:val="7FC317DF"/>
    <w:rsid w:val="7FDF3B50"/>
    <w:rsid w:val="7FE934FA"/>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2"/>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78"/>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1"/>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4"/>
    <w:autoRedefine/>
    <w:qFormat/>
    <w:uiPriority w:val="0"/>
    <w:pPr>
      <w:keepNext/>
      <w:keepLines/>
      <w:ind w:firstLine="200" w:firstLineChars="200"/>
      <w:outlineLvl w:val="5"/>
    </w:pPr>
    <w:rPr>
      <w:rFonts w:hAnsi="Arial"/>
    </w:rPr>
  </w:style>
  <w:style w:type="paragraph" w:styleId="10">
    <w:name w:val="heading 7"/>
    <w:basedOn w:val="1"/>
    <w:next w:val="1"/>
    <w:link w:val="271"/>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6"/>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7"/>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13"/>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3"/>
    <w:autoRedefine/>
    <w:qFormat/>
    <w:uiPriority w:val="0"/>
    <w:pPr>
      <w:shd w:val="clear" w:color="auto" w:fill="000080"/>
    </w:pPr>
  </w:style>
  <w:style w:type="paragraph" w:styleId="16">
    <w:name w:val="annotation text"/>
    <w:basedOn w:val="1"/>
    <w:link w:val="288"/>
    <w:autoRedefine/>
    <w:qFormat/>
    <w:uiPriority w:val="99"/>
    <w:pPr>
      <w:jc w:val="left"/>
    </w:pPr>
  </w:style>
  <w:style w:type="paragraph" w:styleId="17">
    <w:name w:val="Body Text 3"/>
    <w:basedOn w:val="1"/>
    <w:link w:val="307"/>
    <w:autoRedefine/>
    <w:qFormat/>
    <w:uiPriority w:val="0"/>
    <w:pPr>
      <w:spacing w:after="120"/>
    </w:pPr>
    <w:rPr>
      <w:sz w:val="16"/>
      <w:szCs w:val="16"/>
    </w:rPr>
  </w:style>
  <w:style w:type="paragraph" w:styleId="18">
    <w:name w:val="Body Text Indent"/>
    <w:basedOn w:val="1"/>
    <w:link w:val="268"/>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6"/>
    <w:autoRedefine/>
    <w:qFormat/>
    <w:uiPriority w:val="0"/>
    <w:pPr>
      <w:ind w:left="100" w:leftChars="2500"/>
    </w:pPr>
  </w:style>
  <w:style w:type="paragraph" w:styleId="26">
    <w:name w:val="Body Text Indent 2"/>
    <w:basedOn w:val="1"/>
    <w:link w:val="270"/>
    <w:autoRedefine/>
    <w:qFormat/>
    <w:uiPriority w:val="0"/>
    <w:pPr>
      <w:widowControl/>
      <w:spacing w:line="480" w:lineRule="auto"/>
      <w:ind w:firstLine="560"/>
      <w:jc w:val="left"/>
    </w:pPr>
    <w:rPr>
      <w:kern w:val="0"/>
      <w:sz w:val="28"/>
    </w:rPr>
  </w:style>
  <w:style w:type="paragraph" w:styleId="27">
    <w:name w:val="endnote text"/>
    <w:basedOn w:val="1"/>
    <w:link w:val="180"/>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7"/>
    <w:autoRedefine/>
    <w:qFormat/>
    <w:uiPriority w:val="0"/>
    <w:rPr>
      <w:sz w:val="18"/>
      <w:szCs w:val="18"/>
    </w:rPr>
  </w:style>
  <w:style w:type="paragraph" w:styleId="29">
    <w:name w:val="footer"/>
    <w:basedOn w:val="1"/>
    <w:link w:val="195"/>
    <w:autoRedefine/>
    <w:qFormat/>
    <w:uiPriority w:val="0"/>
    <w:pPr>
      <w:tabs>
        <w:tab w:val="center" w:pos="4153"/>
        <w:tab w:val="right" w:pos="8306"/>
      </w:tabs>
      <w:snapToGrid w:val="0"/>
      <w:jc w:val="left"/>
    </w:pPr>
    <w:rPr>
      <w:sz w:val="18"/>
      <w:szCs w:val="18"/>
    </w:rPr>
  </w:style>
  <w:style w:type="paragraph" w:styleId="30">
    <w:name w:val="header"/>
    <w:basedOn w:val="1"/>
    <w:link w:val="235"/>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autoRedefine/>
    <w:qFormat/>
    <w:uiPriority w:val="0"/>
    <w:pPr>
      <w:widowControl/>
      <w:jc w:val="center"/>
    </w:pPr>
    <w:rPr>
      <w:kern w:val="0"/>
      <w:sz w:val="20"/>
      <w:u w:val="single"/>
      <w:lang w:eastAsia="en-US"/>
    </w:rPr>
  </w:style>
  <w:style w:type="paragraph" w:styleId="34">
    <w:name w:val="footnote text"/>
    <w:basedOn w:val="1"/>
    <w:link w:val="215"/>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7"/>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3"/>
    <w:autoRedefine/>
    <w:qFormat/>
    <w:uiPriority w:val="0"/>
    <w:rPr>
      <w:i/>
      <w:iCs/>
      <w:sz w:val="26"/>
    </w:rPr>
  </w:style>
  <w:style w:type="paragraph" w:styleId="40">
    <w:name w:val="HTML Preformatted"/>
    <w:basedOn w:val="1"/>
    <w:link w:val="168"/>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0"/>
    <w:autoRedefine/>
    <w:qFormat/>
    <w:uiPriority w:val="0"/>
    <w:pPr>
      <w:widowControl/>
      <w:jc w:val="center"/>
    </w:pPr>
    <w:rPr>
      <w:kern w:val="0"/>
      <w:sz w:val="20"/>
      <w:u w:val="single"/>
      <w:lang w:eastAsia="en-US"/>
    </w:rPr>
  </w:style>
  <w:style w:type="paragraph" w:styleId="44">
    <w:name w:val="annotation subject"/>
    <w:basedOn w:val="16"/>
    <w:next w:val="16"/>
    <w:link w:val="262"/>
    <w:autoRedefine/>
    <w:qFormat/>
    <w:uiPriority w:val="0"/>
    <w:rPr>
      <w:b/>
      <w:bCs/>
    </w:rPr>
  </w:style>
  <w:style w:type="table" w:styleId="46">
    <w:name w:val="Table Grid"/>
    <w:basedOn w:val="45"/>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page number"/>
    <w:basedOn w:val="47"/>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autoRedefine/>
    <w:qFormat/>
    <w:uiPriority w:val="99"/>
    <w:pPr>
      <w:ind w:firstLine="420" w:firstLineChars="200"/>
    </w:pPr>
    <w:rPr>
      <w:sz w:val="28"/>
      <w:szCs w:val="28"/>
    </w:rPr>
  </w:style>
  <w:style w:type="paragraph" w:customStyle="1" w:styleId="58">
    <w:name w:val="表格标题"/>
    <w:basedOn w:val="59"/>
    <w:autoRedefine/>
    <w:qFormat/>
    <w:uiPriority w:val="0"/>
  </w:style>
  <w:style w:type="paragraph" w:customStyle="1" w:styleId="59">
    <w:name w:val="表格内容"/>
    <w:basedOn w:val="1"/>
    <w:autoRedefine/>
    <w:qFormat/>
    <w:uiPriority w:val="0"/>
    <w:pPr>
      <w:suppressLineNumbers/>
      <w:suppressAutoHyphens/>
    </w:pPr>
  </w:style>
  <w:style w:type="paragraph" w:customStyle="1" w:styleId="60">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autoRedefine/>
    <w:qFormat/>
    <w:uiPriority w:val="0"/>
    <w:pPr>
      <w:spacing w:line="600" w:lineRule="exact"/>
      <w:ind w:firstLine="567"/>
    </w:pPr>
    <w:rPr>
      <w:rFonts w:ascii="Calibri" w:hAnsi="Calibri"/>
      <w:sz w:val="28"/>
    </w:rPr>
  </w:style>
  <w:style w:type="paragraph" w:customStyle="1" w:styleId="64">
    <w:name w:val="列出段落11"/>
    <w:basedOn w:val="1"/>
    <w:autoRedefine/>
    <w:qFormat/>
    <w:uiPriority w:val="0"/>
    <w:pPr>
      <w:ind w:firstLine="420" w:firstLineChars="200"/>
    </w:pPr>
    <w:rPr>
      <w:sz w:val="28"/>
      <w:szCs w:val="28"/>
    </w:rPr>
  </w:style>
  <w:style w:type="paragraph" w:customStyle="1" w:styleId="65">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autoRedefine/>
    <w:qFormat/>
    <w:uiPriority w:val="0"/>
  </w:style>
  <w:style w:type="paragraph" w:customStyle="1" w:styleId="67">
    <w:name w:val="WW-表格内容"/>
    <w:basedOn w:val="1"/>
    <w:autoRedefine/>
    <w:qFormat/>
    <w:uiPriority w:val="0"/>
    <w:pPr>
      <w:suppressLineNumbers/>
      <w:suppressAutoHyphens/>
    </w:pPr>
  </w:style>
  <w:style w:type="paragraph" w:customStyle="1" w:styleId="68">
    <w:name w:val="引用2"/>
    <w:basedOn w:val="1"/>
    <w:next w:val="1"/>
    <w:link w:val="299"/>
    <w:autoRedefine/>
    <w:qFormat/>
    <w:uiPriority w:val="0"/>
    <w:rPr>
      <w:i/>
      <w:iCs/>
      <w:color w:val="000000"/>
    </w:rPr>
  </w:style>
  <w:style w:type="paragraph" w:customStyle="1" w:styleId="69">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5"/>
    <w:autoRedefine/>
    <w:qFormat/>
    <w:uiPriority w:val="0"/>
    <w:pPr>
      <w:spacing w:line="360" w:lineRule="auto"/>
      <w:ind w:firstLine="200" w:firstLineChars="200"/>
    </w:pPr>
    <w:rPr>
      <w:rFonts w:ascii="Tahoma" w:hAnsi="Tahoma"/>
      <w:sz w:val="24"/>
    </w:rPr>
  </w:style>
  <w:style w:type="paragraph" w:customStyle="1" w:styleId="72">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autoRedefine/>
    <w:qFormat/>
    <w:uiPriority w:val="0"/>
    <w:pPr>
      <w:widowControl/>
    </w:pPr>
    <w:rPr>
      <w:rFonts w:ascii="Calibri" w:hAnsi="Calibri" w:cs="宋体"/>
      <w:kern w:val="0"/>
      <w:szCs w:val="21"/>
    </w:rPr>
  </w:style>
  <w:style w:type="paragraph" w:customStyle="1" w:styleId="75">
    <w:name w:val="列出段落1"/>
    <w:basedOn w:val="1"/>
    <w:autoRedefine/>
    <w:qFormat/>
    <w:uiPriority w:val="0"/>
    <w:pPr>
      <w:ind w:firstLine="420" w:firstLineChars="200"/>
    </w:pPr>
    <w:rPr>
      <w:sz w:val="28"/>
      <w:szCs w:val="28"/>
    </w:rPr>
  </w:style>
  <w:style w:type="paragraph" w:customStyle="1" w:styleId="76">
    <w:name w:val="样式1"/>
    <w:basedOn w:val="1"/>
    <w:next w:val="6"/>
    <w:autoRedefine/>
    <w:qFormat/>
    <w:uiPriority w:val="0"/>
    <w:pPr>
      <w:spacing w:line="360" w:lineRule="auto"/>
      <w:ind w:firstLine="420" w:firstLineChars="200"/>
    </w:pPr>
    <w:rPr>
      <w:rFonts w:ascii="宋体" w:hAnsi="宋体"/>
      <w:szCs w:val="21"/>
    </w:rPr>
  </w:style>
  <w:style w:type="paragraph" w:customStyle="1" w:styleId="77">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79">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autoRedefine/>
    <w:qFormat/>
    <w:uiPriority w:val="29"/>
    <w:rPr>
      <w:i/>
      <w:iCs/>
      <w:color w:val="000000"/>
      <w:szCs w:val="20"/>
    </w:rPr>
  </w:style>
  <w:style w:type="paragraph" w:customStyle="1" w:styleId="81">
    <w:name w:val="表格文字"/>
    <w:basedOn w:val="1"/>
    <w:autoRedefine/>
    <w:qFormat/>
    <w:uiPriority w:val="0"/>
    <w:pPr>
      <w:adjustRightInd w:val="0"/>
      <w:spacing w:line="420" w:lineRule="atLeast"/>
      <w:jc w:val="left"/>
      <w:textAlignment w:val="baseline"/>
    </w:pPr>
    <w:rPr>
      <w:kern w:val="0"/>
      <w:szCs w:val="20"/>
    </w:rPr>
  </w:style>
  <w:style w:type="paragraph" w:customStyle="1" w:styleId="82">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autoRedefine/>
    <w:qFormat/>
    <w:uiPriority w:val="0"/>
    <w:pPr>
      <w:spacing w:line="360" w:lineRule="auto"/>
      <w:ind w:firstLine="200" w:firstLineChars="200"/>
    </w:pPr>
    <w:rPr>
      <w:rFonts w:ascii="宋体" w:hAnsi="Calibri"/>
      <w:sz w:val="24"/>
    </w:rPr>
  </w:style>
  <w:style w:type="paragraph" w:customStyle="1" w:styleId="86">
    <w:name w:val="标题4"/>
    <w:basedOn w:val="4"/>
    <w:next w:val="20"/>
    <w:link w:val="242"/>
    <w:autoRedefine/>
    <w:qFormat/>
    <w:uiPriority w:val="0"/>
    <w:pPr>
      <w:spacing w:line="413" w:lineRule="auto"/>
    </w:pPr>
    <w:rPr>
      <w:rFonts w:ascii="Arial" w:hAnsi="Arial"/>
      <w:kern w:val="0"/>
      <w:sz w:val="24"/>
    </w:rPr>
  </w:style>
  <w:style w:type="paragraph" w:customStyle="1" w:styleId="87">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autoRedefine/>
    <w:qFormat/>
    <w:uiPriority w:val="0"/>
    <w:pPr>
      <w:widowControl/>
      <w:spacing w:after="160" w:line="240" w:lineRule="exact"/>
      <w:jc w:val="left"/>
    </w:pPr>
    <w:rPr>
      <w:rFonts w:ascii="Calibri" w:hAnsi="Calibri"/>
      <w:szCs w:val="20"/>
    </w:rPr>
  </w:style>
  <w:style w:type="paragraph" w:customStyle="1" w:styleId="95">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autoRedefine/>
    <w:qFormat/>
    <w:uiPriority w:val="0"/>
    <w:pPr>
      <w:widowControl/>
      <w:spacing w:after="120"/>
    </w:pPr>
    <w:rPr>
      <w:kern w:val="0"/>
      <w:szCs w:val="21"/>
    </w:rPr>
  </w:style>
  <w:style w:type="paragraph" w:customStyle="1" w:styleId="9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autoRedefine/>
    <w:qFormat/>
    <w:uiPriority w:val="0"/>
    <w:rPr>
      <w:i/>
      <w:iCs/>
      <w:color w:val="000000"/>
      <w:szCs w:val="22"/>
    </w:rPr>
  </w:style>
  <w:style w:type="paragraph" w:customStyle="1" w:styleId="102">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7">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autoRedefine/>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autoRedefine/>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3"/>
    <w:next w:val="1"/>
    <w:autoRedefine/>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5"/>
    <w:link w:val="164"/>
    <w:autoRedefine/>
    <w:qFormat/>
    <w:uiPriority w:val="0"/>
    <w:pPr>
      <w:spacing w:line="413" w:lineRule="auto"/>
    </w:pPr>
    <w:rPr>
      <w:rFonts w:ascii="Arial" w:hAnsi="Arial"/>
      <w:kern w:val="0"/>
      <w:sz w:val="24"/>
    </w:rPr>
  </w:style>
  <w:style w:type="paragraph" w:customStyle="1" w:styleId="116">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autoRedefine/>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autoRedefine/>
    <w:qFormat/>
    <w:uiPriority w:val="0"/>
    <w:rPr>
      <w:rFonts w:ascii="Calibri" w:hAnsi="Calibri"/>
    </w:rPr>
  </w:style>
  <w:style w:type="paragraph" w:customStyle="1" w:styleId="120">
    <w:name w:val="_Style 87"/>
    <w:basedOn w:val="1"/>
    <w:autoRedefine/>
    <w:qFormat/>
    <w:uiPriority w:val="99"/>
    <w:pPr>
      <w:ind w:firstLine="420" w:firstLineChars="200"/>
    </w:pPr>
    <w:rPr>
      <w:rFonts w:ascii="Calibri" w:hAnsi="Calibri"/>
      <w:sz w:val="28"/>
      <w:szCs w:val="28"/>
    </w:rPr>
  </w:style>
  <w:style w:type="paragraph" w:customStyle="1" w:styleId="121">
    <w:name w:val="自定样式1"/>
    <w:basedOn w:val="1"/>
    <w:autoRedefine/>
    <w:qFormat/>
    <w:uiPriority w:val="0"/>
    <w:pPr>
      <w:suppressAutoHyphens/>
      <w:jc w:val="center"/>
    </w:pPr>
    <w:rPr>
      <w:rFonts w:ascii="宋体" w:hAnsi="宋体"/>
      <w:color w:val="000000"/>
      <w:sz w:val="18"/>
    </w:rPr>
  </w:style>
  <w:style w:type="paragraph" w:customStyle="1" w:styleId="122">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autoRedefine/>
    <w:qFormat/>
    <w:uiPriority w:val="0"/>
  </w:style>
  <w:style w:type="paragraph" w:customStyle="1" w:styleId="124">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autoRedefine/>
    <w:qFormat/>
    <w:uiPriority w:val="34"/>
    <w:pPr>
      <w:ind w:firstLine="420" w:firstLineChars="200"/>
    </w:pPr>
    <w:rPr>
      <w:rFonts w:ascii="Calibri" w:hAnsi="Calibri"/>
    </w:rPr>
  </w:style>
  <w:style w:type="paragraph" w:customStyle="1" w:styleId="126">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autoRedefine/>
    <w:qFormat/>
    <w:uiPriority w:val="0"/>
    <w:pPr>
      <w:spacing w:line="0" w:lineRule="atLeast"/>
    </w:pPr>
    <w:rPr>
      <w:rFonts w:ascii="Calibri" w:hAnsi="Calibri"/>
      <w:b/>
      <w:snapToGrid w:val="0"/>
      <w:szCs w:val="20"/>
    </w:rPr>
  </w:style>
  <w:style w:type="paragraph" w:customStyle="1" w:styleId="128">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autoRedefine/>
    <w:qFormat/>
    <w:uiPriority w:val="0"/>
  </w:style>
  <w:style w:type="paragraph" w:customStyle="1" w:styleId="132">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4">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autoRedefine/>
    <w:qFormat/>
    <w:uiPriority w:val="0"/>
  </w:style>
  <w:style w:type="paragraph" w:customStyle="1" w:styleId="136">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autoRedefine/>
    <w:qFormat/>
    <w:uiPriority w:val="99"/>
    <w:rPr>
      <w:kern w:val="2"/>
      <w:sz w:val="21"/>
      <w:szCs w:val="24"/>
    </w:rPr>
  </w:style>
  <w:style w:type="character" w:customStyle="1" w:styleId="142">
    <w:name w:val="尾注文本 Char1"/>
    <w:autoRedefine/>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autoRedefine/>
    <w:qFormat/>
    <w:uiPriority w:val="0"/>
    <w:rPr>
      <w:kern w:val="2"/>
      <w:sz w:val="26"/>
      <w:szCs w:val="24"/>
    </w:rPr>
  </w:style>
  <w:style w:type="character" w:customStyle="1" w:styleId="145">
    <w:name w:val="副标题 Char1"/>
    <w:autoRedefine/>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autoRedefine/>
    <w:qFormat/>
    <w:uiPriority w:val="0"/>
    <w:rPr>
      <w:b/>
      <w:bCs/>
      <w:kern w:val="44"/>
      <w:sz w:val="44"/>
      <w:szCs w:val="44"/>
    </w:rPr>
  </w:style>
  <w:style w:type="character" w:customStyle="1" w:styleId="148">
    <w:name w:val="批注主题 Char"/>
    <w:autoRedefine/>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autoRedefine/>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autoRedefine/>
    <w:semiHidden/>
    <w:qFormat/>
    <w:uiPriority w:val="99"/>
    <w:rPr>
      <w:rFonts w:ascii="Calibri" w:hAnsi="Calibri" w:eastAsia="宋体" w:cs="Times New Roman"/>
      <w:szCs w:val="24"/>
    </w:rPr>
  </w:style>
  <w:style w:type="character" w:customStyle="1" w:styleId="156">
    <w:name w:val="日期 字符"/>
    <w:link w:val="25"/>
    <w:autoRedefine/>
    <w:qFormat/>
    <w:uiPriority w:val="0"/>
    <w:rPr>
      <w:rFonts w:eastAsia="宋体"/>
      <w:kern w:val="2"/>
      <w:sz w:val="21"/>
      <w:szCs w:val="24"/>
      <w:lang w:val="en-US" w:eastAsia="zh-CN" w:bidi="ar-SA"/>
    </w:rPr>
  </w:style>
  <w:style w:type="character" w:customStyle="1" w:styleId="157">
    <w:name w:val="标题 2 Char"/>
    <w:autoRedefine/>
    <w:qFormat/>
    <w:uiPriority w:val="0"/>
    <w:rPr>
      <w:rFonts w:ascii="仿宋_GB2312" w:hAnsi="Calibri" w:eastAsia="仿宋_GB2312" w:cs="Times New Roman"/>
      <w:b/>
      <w:spacing w:val="1"/>
      <w:w w:val="99"/>
      <w:kern w:val="0"/>
      <w:sz w:val="28"/>
      <w:szCs w:val="32"/>
    </w:rPr>
  </w:style>
  <w:style w:type="character" w:customStyle="1" w:styleId="158">
    <w:name w:val="标题 7 Char"/>
    <w:autoRedefine/>
    <w:qFormat/>
    <w:uiPriority w:val="0"/>
    <w:rPr>
      <w:rFonts w:ascii="Calibri" w:hAnsi="Calibri" w:eastAsia="宋体" w:cs="Times New Roman"/>
      <w:b/>
      <w:bCs/>
      <w:sz w:val="24"/>
      <w:szCs w:val="24"/>
    </w:rPr>
  </w:style>
  <w:style w:type="character" w:customStyle="1" w:styleId="159">
    <w:name w:val="批注框文本 Char1"/>
    <w:autoRedefine/>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autoRedefine/>
    <w:qFormat/>
    <w:uiPriority w:val="0"/>
    <w:rPr>
      <w:b/>
      <w:bCs/>
      <w:i/>
      <w:iCs/>
      <w:color w:val="4F81BD"/>
    </w:rPr>
  </w:style>
  <w:style w:type="character" w:customStyle="1" w:styleId="162">
    <w:name w:val="Char Char22"/>
    <w:autoRedefine/>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autoRedefine/>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autoRedefine/>
    <w:qFormat/>
    <w:uiPriority w:val="0"/>
    <w:rPr>
      <w:rFonts w:ascii="宋体" w:hAnsi="宋体" w:eastAsia="宋体" w:cs="宋体"/>
      <w:b/>
      <w:bCs/>
      <w:sz w:val="24"/>
      <w:szCs w:val="24"/>
    </w:rPr>
  </w:style>
  <w:style w:type="character" w:customStyle="1" w:styleId="167">
    <w:name w:val="尾注文本 Char"/>
    <w:autoRedefine/>
    <w:qFormat/>
    <w:uiPriority w:val="0"/>
    <w:rPr>
      <w:kern w:val="2"/>
      <w:sz w:val="21"/>
      <w:szCs w:val="24"/>
    </w:rPr>
  </w:style>
  <w:style w:type="character" w:customStyle="1" w:styleId="168">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69">
    <w:name w:val="尾注文本 Char2"/>
    <w:autoRedefine/>
    <w:semiHidden/>
    <w:qFormat/>
    <w:uiPriority w:val="99"/>
    <w:rPr>
      <w:rFonts w:ascii="Calibri" w:hAnsi="Calibri" w:eastAsia="宋体" w:cs="Times New Roman"/>
      <w:szCs w:val="24"/>
    </w:rPr>
  </w:style>
  <w:style w:type="character" w:customStyle="1" w:styleId="170">
    <w:name w:val="明显强调1"/>
    <w:autoRedefine/>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autoRedefine/>
    <w:semiHidden/>
    <w:qFormat/>
    <w:uiPriority w:val="99"/>
    <w:rPr>
      <w:rFonts w:ascii="Calibri" w:hAnsi="Calibri" w:eastAsia="宋体" w:cs="Times New Roman"/>
      <w:sz w:val="18"/>
      <w:szCs w:val="18"/>
    </w:rPr>
  </w:style>
  <w:style w:type="character" w:customStyle="1" w:styleId="173">
    <w:name w:val="正文文本 2 Char1"/>
    <w:autoRedefine/>
    <w:semiHidden/>
    <w:qFormat/>
    <w:uiPriority w:val="99"/>
    <w:rPr>
      <w:rFonts w:ascii="Calibri" w:hAnsi="Calibri" w:eastAsia="宋体" w:cs="Times New Roman"/>
      <w:szCs w:val="24"/>
    </w:rPr>
  </w:style>
  <w:style w:type="character" w:customStyle="1" w:styleId="174">
    <w:name w:val="_Style 248"/>
    <w:autoRedefine/>
    <w:qFormat/>
    <w:uiPriority w:val="0"/>
    <w:rPr>
      <w:b/>
      <w:bCs/>
      <w:smallCaps/>
      <w:spacing w:val="5"/>
    </w:rPr>
  </w:style>
  <w:style w:type="character" w:customStyle="1" w:styleId="175">
    <w:name w:val="明显引用 Char3"/>
    <w:autoRedefine/>
    <w:qFormat/>
    <w:uiPriority w:val="30"/>
    <w:rPr>
      <w:rFonts w:ascii="Calibri" w:hAnsi="Calibri" w:eastAsia="宋体" w:cs="Times New Roman"/>
      <w:b/>
      <w:bCs/>
      <w:i/>
      <w:iCs/>
      <w:color w:val="4F81BD"/>
      <w:szCs w:val="24"/>
    </w:rPr>
  </w:style>
  <w:style w:type="character" w:customStyle="1" w:styleId="176">
    <w:name w:val="_Style 254"/>
    <w:autoRedefine/>
    <w:qFormat/>
    <w:uiPriority w:val="0"/>
    <w:rPr>
      <w:b/>
      <w:bCs/>
      <w:smallCaps/>
      <w:color w:val="C0504D"/>
      <w:spacing w:val="5"/>
      <w:u w:val="single"/>
    </w:rPr>
  </w:style>
  <w:style w:type="character" w:customStyle="1" w:styleId="177">
    <w:name w:val="正文文本缩进 Char2"/>
    <w:autoRedefine/>
    <w:semiHidden/>
    <w:qFormat/>
    <w:uiPriority w:val="99"/>
    <w:rPr>
      <w:rFonts w:ascii="Calibri" w:hAnsi="Calibri" w:eastAsia="宋体" w:cs="Times New Roman"/>
      <w:szCs w:val="24"/>
    </w:rPr>
  </w:style>
  <w:style w:type="character" w:customStyle="1" w:styleId="178">
    <w:name w:val="标题 4 字符"/>
    <w:link w:val="6"/>
    <w:autoRedefine/>
    <w:qFormat/>
    <w:uiPriority w:val="0"/>
    <w:rPr>
      <w:rFonts w:ascii="宋体" w:hAnsi="宋体" w:eastAsia="宋体" w:cs="宋体"/>
      <w:b/>
      <w:bCs/>
      <w:sz w:val="24"/>
      <w:szCs w:val="24"/>
      <w:lang w:val="en-US" w:eastAsia="zh-CN" w:bidi="ar-SA"/>
    </w:rPr>
  </w:style>
  <w:style w:type="character" w:customStyle="1" w:styleId="179">
    <w:name w:val="正文文本缩进 3 Char"/>
    <w:autoRedefine/>
    <w:qFormat/>
    <w:uiPriority w:val="0"/>
    <w:rPr>
      <w:kern w:val="2"/>
      <w:sz w:val="16"/>
      <w:szCs w:val="16"/>
    </w:rPr>
  </w:style>
  <w:style w:type="character" w:customStyle="1" w:styleId="180">
    <w:name w:val="尾注文本 字符"/>
    <w:link w:val="27"/>
    <w:autoRedefine/>
    <w:qFormat/>
    <w:uiPriority w:val="0"/>
    <w:rPr>
      <w:rFonts w:ascii="Arial" w:hAnsi="Arial" w:eastAsia="宋体" w:cs="Arial"/>
      <w:szCs w:val="24"/>
      <w:lang w:val="en-US" w:eastAsia="en-US" w:bidi="ar-SA"/>
    </w:rPr>
  </w:style>
  <w:style w:type="character" w:customStyle="1" w:styleId="181">
    <w:name w:val="引用 Char3"/>
    <w:autoRedefine/>
    <w:qFormat/>
    <w:uiPriority w:val="29"/>
    <w:rPr>
      <w:rFonts w:ascii="Calibri" w:hAnsi="Calibri" w:eastAsia="宋体" w:cs="Times New Roman"/>
      <w:i/>
      <w:iCs/>
      <w:color w:val="000000"/>
      <w:szCs w:val="24"/>
    </w:rPr>
  </w:style>
  <w:style w:type="character" w:customStyle="1" w:styleId="182">
    <w:name w:val="Char Char32"/>
    <w:autoRedefine/>
    <w:qFormat/>
    <w:uiPriority w:val="0"/>
    <w:rPr>
      <w:rFonts w:ascii="仿宋_GB2312" w:eastAsia="仿宋_GB2312" w:cs="MingLiU"/>
      <w:b/>
      <w:spacing w:val="1"/>
      <w:w w:val="99"/>
      <w:sz w:val="28"/>
      <w:szCs w:val="32"/>
    </w:rPr>
  </w:style>
  <w:style w:type="character" w:customStyle="1" w:styleId="183">
    <w:name w:val="日期 Char"/>
    <w:autoRedefine/>
    <w:qFormat/>
    <w:uiPriority w:val="0"/>
    <w:rPr>
      <w:rFonts w:eastAsia="宋体"/>
      <w:szCs w:val="24"/>
    </w:rPr>
  </w:style>
  <w:style w:type="character" w:customStyle="1" w:styleId="184">
    <w:name w:val="页脚 Char"/>
    <w:autoRedefine/>
    <w:qFormat/>
    <w:uiPriority w:val="0"/>
    <w:rPr>
      <w:sz w:val="18"/>
      <w:szCs w:val="18"/>
    </w:rPr>
  </w:style>
  <w:style w:type="character" w:customStyle="1" w:styleId="185">
    <w:name w:val="style121"/>
    <w:autoRedefine/>
    <w:qFormat/>
    <w:uiPriority w:val="0"/>
    <w:rPr>
      <w:rFonts w:hint="eastAsia" w:ascii="宋体" w:hAnsi="宋体" w:eastAsia="宋体"/>
      <w:sz w:val="18"/>
      <w:szCs w:val="18"/>
    </w:rPr>
  </w:style>
  <w:style w:type="character" w:customStyle="1" w:styleId="186">
    <w:name w:val="ss16"/>
    <w:autoRedefine/>
    <w:qFormat/>
    <w:uiPriority w:val="0"/>
    <w:rPr>
      <w:rFonts w:hint="eastAsia" w:ascii="宋体" w:hAnsi="宋体" w:eastAsia="宋体"/>
      <w:color w:val="000000"/>
      <w:sz w:val="9"/>
      <w:szCs w:val="9"/>
    </w:rPr>
  </w:style>
  <w:style w:type="character" w:customStyle="1" w:styleId="187">
    <w:name w:val="textcontents"/>
    <w:autoRedefine/>
    <w:qFormat/>
    <w:uiPriority w:val="0"/>
    <w:rPr>
      <w:rFonts w:cs="Times New Roman"/>
    </w:rPr>
  </w:style>
  <w:style w:type="character" w:customStyle="1" w:styleId="188">
    <w:name w:val="14t1"/>
    <w:autoRedefine/>
    <w:qFormat/>
    <w:uiPriority w:val="0"/>
    <w:rPr>
      <w:rFonts w:hint="eastAsia" w:ascii="宋体" w:hAnsi="宋体" w:eastAsia="宋体"/>
      <w:sz w:val="11"/>
      <w:szCs w:val="11"/>
    </w:rPr>
  </w:style>
  <w:style w:type="character" w:customStyle="1" w:styleId="189">
    <w:name w:val="不明显参考1"/>
    <w:autoRedefine/>
    <w:qFormat/>
    <w:uiPriority w:val="0"/>
    <w:rPr>
      <w:smallCaps/>
      <w:color w:val="C0504D"/>
      <w:u w:val="single"/>
    </w:rPr>
  </w:style>
  <w:style w:type="character" w:customStyle="1" w:styleId="190">
    <w:name w:val="unnamed1"/>
    <w:basedOn w:val="47"/>
    <w:autoRedefine/>
    <w:qFormat/>
    <w:uiPriority w:val="0"/>
  </w:style>
  <w:style w:type="character" w:customStyle="1" w:styleId="191">
    <w:name w:val="批注主题 Char3"/>
    <w:autoRedefine/>
    <w:semiHidden/>
    <w:qFormat/>
    <w:uiPriority w:val="99"/>
    <w:rPr>
      <w:rFonts w:ascii="Calibri" w:hAnsi="Calibri" w:eastAsia="宋体" w:cs="Times New Roman"/>
      <w:b/>
      <w:bCs/>
      <w:szCs w:val="24"/>
    </w:rPr>
  </w:style>
  <w:style w:type="character" w:customStyle="1" w:styleId="192">
    <w:name w:val="标题 3 字符"/>
    <w:link w:val="5"/>
    <w:autoRedefine/>
    <w:qFormat/>
    <w:uiPriority w:val="0"/>
    <w:rPr>
      <w:rFonts w:eastAsia="宋体"/>
      <w:b/>
      <w:bCs/>
      <w:kern w:val="2"/>
      <w:sz w:val="32"/>
      <w:szCs w:val="32"/>
      <w:lang w:val="en-US" w:eastAsia="zh-CN" w:bidi="ar-SA"/>
    </w:rPr>
  </w:style>
  <w:style w:type="character" w:customStyle="1" w:styleId="193">
    <w:name w:val="标题 2 字符"/>
    <w:link w:val="4"/>
    <w:autoRedefine/>
    <w:qFormat/>
    <w:uiPriority w:val="0"/>
    <w:rPr>
      <w:rFonts w:ascii="Cambria" w:hAnsi="Cambria" w:eastAsia="宋体"/>
      <w:b/>
      <w:bCs/>
      <w:kern w:val="2"/>
      <w:sz w:val="32"/>
      <w:szCs w:val="32"/>
      <w:lang w:val="en-US" w:eastAsia="zh-CN" w:bidi="ar-SA"/>
    </w:rPr>
  </w:style>
  <w:style w:type="character" w:customStyle="1" w:styleId="194">
    <w:name w:val="标题 6 字符"/>
    <w:link w:val="8"/>
    <w:autoRedefine/>
    <w:qFormat/>
    <w:uiPriority w:val="0"/>
    <w:rPr>
      <w:rFonts w:hAnsi="Arial" w:eastAsia="仿宋_GB2312"/>
      <w:sz w:val="30"/>
      <w:lang w:val="en-US" w:eastAsia="zh-CN" w:bidi="ar-SA"/>
    </w:rPr>
  </w:style>
  <w:style w:type="character" w:customStyle="1" w:styleId="195">
    <w:name w:val="页脚 字符"/>
    <w:link w:val="29"/>
    <w:autoRedefine/>
    <w:qFormat/>
    <w:uiPriority w:val="0"/>
    <w:rPr>
      <w:rFonts w:eastAsia="宋体"/>
      <w:kern w:val="2"/>
      <w:sz w:val="18"/>
      <w:szCs w:val="18"/>
      <w:lang w:val="en-US" w:eastAsia="zh-CN" w:bidi="ar-SA"/>
    </w:rPr>
  </w:style>
  <w:style w:type="character" w:customStyle="1" w:styleId="196">
    <w:name w:val="引用 Char4"/>
    <w:link w:val="101"/>
    <w:autoRedefine/>
    <w:qFormat/>
    <w:uiPriority w:val="0"/>
    <w:rPr>
      <w:i/>
      <w:iCs/>
      <w:color w:val="000000"/>
      <w:kern w:val="2"/>
      <w:sz w:val="21"/>
      <w:szCs w:val="22"/>
      <w:lang w:bidi="ar-SA"/>
    </w:rPr>
  </w:style>
  <w:style w:type="character" w:customStyle="1" w:styleId="197">
    <w:name w:val="标题 9 字符"/>
    <w:link w:val="12"/>
    <w:autoRedefine/>
    <w:qFormat/>
    <w:uiPriority w:val="0"/>
    <w:rPr>
      <w:rFonts w:eastAsia="仿宋_GB2312"/>
      <w:sz w:val="30"/>
      <w:lang w:val="en-US" w:eastAsia="zh-CN" w:bidi="ar-SA"/>
    </w:rPr>
  </w:style>
  <w:style w:type="character" w:customStyle="1" w:styleId="198">
    <w:name w:val="标题 3 Char"/>
    <w:autoRedefine/>
    <w:qFormat/>
    <w:uiPriority w:val="0"/>
    <w:rPr>
      <w:rFonts w:ascii="仿宋_GB2312" w:hAnsi="Calibri" w:eastAsia="仿宋_GB2312" w:cs="Times New Roman"/>
      <w:b/>
      <w:kern w:val="0"/>
      <w:sz w:val="24"/>
      <w:szCs w:val="28"/>
    </w:rPr>
  </w:style>
  <w:style w:type="character" w:customStyle="1" w:styleId="199">
    <w:name w:val="批注文字 Char2"/>
    <w:autoRedefine/>
    <w:qFormat/>
    <w:uiPriority w:val="0"/>
    <w:rPr>
      <w:rFonts w:ascii="Calibri" w:hAnsi="Calibri" w:eastAsia="宋体" w:cs="Times New Roman"/>
      <w:szCs w:val="24"/>
    </w:rPr>
  </w:style>
  <w:style w:type="character" w:customStyle="1" w:styleId="200">
    <w:name w:val="normaltext1"/>
    <w:autoRedefine/>
    <w:qFormat/>
    <w:uiPriority w:val="0"/>
    <w:rPr>
      <w:rFonts w:hint="default" w:ascii="ˎ̥" w:hAnsi="ˎ̥"/>
      <w:sz w:val="9"/>
      <w:szCs w:val="9"/>
    </w:rPr>
  </w:style>
  <w:style w:type="character" w:customStyle="1" w:styleId="201">
    <w:name w:val="ca-141"/>
    <w:autoRedefine/>
    <w:qFormat/>
    <w:uiPriority w:val="0"/>
    <w:rPr>
      <w:rFonts w:hint="eastAsia" w:ascii="仿宋_GB2312" w:eastAsia="仿宋_GB2312"/>
      <w:sz w:val="21"/>
      <w:szCs w:val="21"/>
    </w:rPr>
  </w:style>
  <w:style w:type="character" w:customStyle="1" w:styleId="202">
    <w:name w:val="main_tdbg_7601"/>
    <w:autoRedefine/>
    <w:qFormat/>
    <w:uiPriority w:val="0"/>
    <w:rPr>
      <w:sz w:val="14"/>
      <w:szCs w:val="14"/>
    </w:rPr>
  </w:style>
  <w:style w:type="character" w:customStyle="1" w:styleId="203">
    <w:name w:val="文档结构图 字符"/>
    <w:link w:val="15"/>
    <w:autoRedefine/>
    <w:qFormat/>
    <w:uiPriority w:val="0"/>
    <w:rPr>
      <w:rFonts w:eastAsia="宋体"/>
      <w:kern w:val="2"/>
      <w:sz w:val="21"/>
      <w:szCs w:val="24"/>
      <w:lang w:val="en-US" w:eastAsia="zh-CN" w:bidi="ar-SA"/>
    </w:rPr>
  </w:style>
  <w:style w:type="character" w:customStyle="1" w:styleId="204">
    <w:name w:val="批注框文本 Char3"/>
    <w:autoRedefine/>
    <w:semiHidden/>
    <w:qFormat/>
    <w:uiPriority w:val="99"/>
    <w:rPr>
      <w:rFonts w:ascii="Calibri" w:hAnsi="Calibri" w:eastAsia="宋体" w:cs="Times New Roman"/>
      <w:sz w:val="18"/>
      <w:szCs w:val="18"/>
    </w:rPr>
  </w:style>
  <w:style w:type="character" w:customStyle="1" w:styleId="205">
    <w:name w:val="Char Char9"/>
    <w:autoRedefine/>
    <w:qFormat/>
    <w:locked/>
    <w:uiPriority w:val="0"/>
    <w:rPr>
      <w:rFonts w:ascii="仿宋_GB2312" w:eastAsia="仿宋_GB2312" w:cs="MingLiU"/>
      <w:b/>
      <w:sz w:val="24"/>
      <w:szCs w:val="28"/>
      <w:lang w:val="en-US" w:eastAsia="zh-CN" w:bidi="ar-SA"/>
    </w:rPr>
  </w:style>
  <w:style w:type="character" w:customStyle="1" w:styleId="206">
    <w:name w:val="title11"/>
    <w:autoRedefine/>
    <w:qFormat/>
    <w:uiPriority w:val="0"/>
    <w:rPr>
      <w:b/>
      <w:bCs/>
      <w:color w:val="FFFFFF"/>
      <w:sz w:val="11"/>
      <w:szCs w:val="11"/>
    </w:rPr>
  </w:style>
  <w:style w:type="character" w:customStyle="1" w:styleId="207">
    <w:name w:val="批注框文本 字符"/>
    <w:link w:val="28"/>
    <w:autoRedefine/>
    <w:qFormat/>
    <w:uiPriority w:val="0"/>
    <w:rPr>
      <w:rFonts w:eastAsia="宋体"/>
      <w:kern w:val="2"/>
      <w:sz w:val="18"/>
      <w:szCs w:val="18"/>
      <w:lang w:val="en-US" w:eastAsia="zh-CN" w:bidi="ar-SA"/>
    </w:rPr>
  </w:style>
  <w:style w:type="character" w:customStyle="1" w:styleId="208">
    <w:name w:val="标题 8 Char1"/>
    <w:autoRedefine/>
    <w:qFormat/>
    <w:uiPriority w:val="0"/>
    <w:rPr>
      <w:rFonts w:ascii="Times New Roman" w:hAnsi="Arial" w:eastAsia="仿宋_GB2312" w:cs="Times New Roman"/>
      <w:sz w:val="30"/>
      <w:szCs w:val="20"/>
    </w:rPr>
  </w:style>
  <w:style w:type="character" w:customStyle="1" w:styleId="209">
    <w:name w:val="标题 Char2"/>
    <w:autoRedefine/>
    <w:qFormat/>
    <w:uiPriority w:val="10"/>
    <w:rPr>
      <w:rFonts w:ascii="Cambria" w:hAnsi="Cambria" w:eastAsia="宋体" w:cs="Times New Roman"/>
      <w:b/>
      <w:bCs/>
      <w:sz w:val="32"/>
      <w:szCs w:val="32"/>
    </w:rPr>
  </w:style>
  <w:style w:type="character" w:customStyle="1" w:styleId="210">
    <w:name w:val="标题 字符"/>
    <w:link w:val="43"/>
    <w:autoRedefine/>
    <w:qFormat/>
    <w:uiPriority w:val="0"/>
    <w:rPr>
      <w:rFonts w:eastAsia="宋体"/>
      <w:szCs w:val="24"/>
      <w:u w:val="single"/>
      <w:lang w:val="en-US" w:eastAsia="en-US" w:bidi="ar-SA"/>
    </w:rPr>
  </w:style>
  <w:style w:type="character" w:customStyle="1" w:styleId="211">
    <w:name w:val="批注主题 Char1"/>
    <w:autoRedefine/>
    <w:qFormat/>
    <w:uiPriority w:val="0"/>
    <w:rPr>
      <w:b/>
      <w:bCs/>
      <w:kern w:val="2"/>
      <w:sz w:val="21"/>
      <w:szCs w:val="22"/>
    </w:rPr>
  </w:style>
  <w:style w:type="character" w:customStyle="1" w:styleId="212">
    <w:name w:val="副标题 Char"/>
    <w:autoRedefine/>
    <w:qFormat/>
    <w:uiPriority w:val="0"/>
    <w:rPr>
      <w:rFonts w:ascii="Cambria" w:hAnsi="Cambria" w:eastAsia="宋体" w:cs="Times New Roman"/>
      <w:b/>
      <w:bCs/>
      <w:kern w:val="28"/>
      <w:sz w:val="32"/>
      <w:szCs w:val="32"/>
    </w:rPr>
  </w:style>
  <w:style w:type="character" w:customStyle="1" w:styleId="213">
    <w:name w:val="正文文本 字符"/>
    <w:link w:val="2"/>
    <w:autoRedefine/>
    <w:qFormat/>
    <w:uiPriority w:val="0"/>
    <w:rPr>
      <w:rFonts w:eastAsia="宋体"/>
      <w:kern w:val="2"/>
      <w:sz w:val="21"/>
      <w:szCs w:val="24"/>
      <w:lang w:val="en-US" w:eastAsia="zh-CN" w:bidi="ar-SA"/>
    </w:rPr>
  </w:style>
  <w:style w:type="character" w:customStyle="1" w:styleId="214">
    <w:name w:val="纯文本 Char1"/>
    <w:autoRedefine/>
    <w:qFormat/>
    <w:uiPriority w:val="0"/>
    <w:rPr>
      <w:rFonts w:ascii="宋体" w:hAnsi="Courier New" w:cs="Courier New"/>
      <w:kern w:val="2"/>
      <w:sz w:val="21"/>
      <w:szCs w:val="21"/>
    </w:rPr>
  </w:style>
  <w:style w:type="character" w:customStyle="1" w:styleId="215">
    <w:name w:val="脚注文本 字符"/>
    <w:link w:val="34"/>
    <w:autoRedefine/>
    <w:qFormat/>
    <w:uiPriority w:val="0"/>
    <w:rPr>
      <w:rFonts w:ascii="Arial" w:hAnsi="Arial" w:eastAsia="宋体" w:cs="Arial"/>
      <w:sz w:val="18"/>
      <w:szCs w:val="18"/>
      <w:lang w:val="en-US" w:eastAsia="en-US" w:bidi="ar-SA"/>
    </w:rPr>
  </w:style>
  <w:style w:type="character" w:customStyle="1" w:styleId="216">
    <w:name w:val="标题 2 Char1"/>
    <w:autoRedefine/>
    <w:qFormat/>
    <w:uiPriority w:val="0"/>
    <w:rPr>
      <w:rFonts w:ascii="Cambria" w:hAnsi="Cambria" w:eastAsia="宋体" w:cs="Times New Roman"/>
      <w:b/>
      <w:bCs/>
      <w:kern w:val="2"/>
      <w:sz w:val="32"/>
      <w:szCs w:val="32"/>
    </w:rPr>
  </w:style>
  <w:style w:type="character" w:customStyle="1" w:styleId="217">
    <w:name w:val="脚注文本 Char1"/>
    <w:autoRedefine/>
    <w:qFormat/>
    <w:uiPriority w:val="0"/>
    <w:rPr>
      <w:rFonts w:ascii="Arial" w:hAnsi="Arial" w:cs="Arial"/>
      <w:sz w:val="18"/>
      <w:szCs w:val="18"/>
      <w:lang w:eastAsia="en-US"/>
    </w:rPr>
  </w:style>
  <w:style w:type="character" w:customStyle="1" w:styleId="218">
    <w:name w:val="HTML 预设格式 Char2"/>
    <w:autoRedefine/>
    <w:semiHidden/>
    <w:qFormat/>
    <w:uiPriority w:val="99"/>
    <w:rPr>
      <w:rFonts w:ascii="Courier New" w:hAnsi="Courier New" w:eastAsia="宋体" w:cs="Courier New"/>
      <w:sz w:val="20"/>
      <w:szCs w:val="20"/>
    </w:rPr>
  </w:style>
  <w:style w:type="character" w:customStyle="1" w:styleId="219">
    <w:name w:val="标题 8 Char"/>
    <w:autoRedefine/>
    <w:qFormat/>
    <w:uiPriority w:val="0"/>
    <w:rPr>
      <w:rFonts w:ascii="Arial" w:hAnsi="Arial" w:eastAsia="黑体" w:cs="Times New Roman"/>
      <w:sz w:val="24"/>
      <w:szCs w:val="24"/>
    </w:rPr>
  </w:style>
  <w:style w:type="character" w:customStyle="1" w:styleId="220">
    <w:name w:val="s3"/>
    <w:autoRedefine/>
    <w:qFormat/>
    <w:uiPriority w:val="0"/>
  </w:style>
  <w:style w:type="character" w:customStyle="1" w:styleId="221">
    <w:name w:val="标题 4 Char"/>
    <w:autoRedefine/>
    <w:qFormat/>
    <w:uiPriority w:val="0"/>
    <w:rPr>
      <w:rFonts w:ascii="仿宋_GB2312" w:hAnsi="Calibri" w:eastAsia="仿宋_GB2312" w:cs="Times New Roman"/>
      <w:b/>
      <w:kern w:val="0"/>
      <w:sz w:val="24"/>
      <w:szCs w:val="28"/>
    </w:rPr>
  </w:style>
  <w:style w:type="character" w:customStyle="1" w:styleId="222">
    <w:name w:val="正文文本缩进 2 Char"/>
    <w:autoRedefine/>
    <w:qFormat/>
    <w:uiPriority w:val="0"/>
    <w:rPr>
      <w:kern w:val="2"/>
      <w:sz w:val="21"/>
      <w:szCs w:val="24"/>
    </w:rPr>
  </w:style>
  <w:style w:type="character" w:customStyle="1" w:styleId="223">
    <w:name w:val="style21"/>
    <w:autoRedefine/>
    <w:qFormat/>
    <w:uiPriority w:val="0"/>
    <w:rPr>
      <w:b/>
      <w:bCs/>
      <w:sz w:val="28"/>
      <w:szCs w:val="28"/>
    </w:rPr>
  </w:style>
  <w:style w:type="character" w:customStyle="1" w:styleId="224">
    <w:name w:val="正文文本缩进 2 Char2"/>
    <w:autoRedefine/>
    <w:semiHidden/>
    <w:qFormat/>
    <w:uiPriority w:val="99"/>
    <w:rPr>
      <w:rFonts w:ascii="Calibri" w:hAnsi="Calibri" w:eastAsia="宋体" w:cs="Times New Roman"/>
      <w:szCs w:val="24"/>
    </w:rPr>
  </w:style>
  <w:style w:type="character" w:customStyle="1" w:styleId="225">
    <w:name w:val="ht1"/>
    <w:autoRedefine/>
    <w:qFormat/>
    <w:uiPriority w:val="0"/>
    <w:rPr>
      <w:rFonts w:ascii="黑体" w:eastAsia="黑体"/>
      <w:b/>
      <w:bCs/>
    </w:rPr>
  </w:style>
  <w:style w:type="character" w:customStyle="1" w:styleId="226">
    <w:name w:val="文档结构图 Char3"/>
    <w:autoRedefine/>
    <w:semiHidden/>
    <w:qFormat/>
    <w:uiPriority w:val="99"/>
    <w:rPr>
      <w:rFonts w:ascii="宋体" w:hAnsi="Calibri" w:eastAsia="宋体" w:cs="Times New Roman"/>
      <w:sz w:val="18"/>
      <w:szCs w:val="18"/>
    </w:rPr>
  </w:style>
  <w:style w:type="character" w:customStyle="1" w:styleId="227">
    <w:name w:val="书籍标题1"/>
    <w:autoRedefine/>
    <w:qFormat/>
    <w:uiPriority w:val="0"/>
    <w:rPr>
      <w:b/>
      <w:bCs/>
      <w:smallCaps/>
      <w:spacing w:val="5"/>
    </w:rPr>
  </w:style>
  <w:style w:type="character" w:customStyle="1" w:styleId="228">
    <w:name w:val="标题 7 Char1"/>
    <w:autoRedefine/>
    <w:qFormat/>
    <w:uiPriority w:val="0"/>
    <w:rPr>
      <w:rFonts w:ascii="Times New Roman" w:hAnsi="Times New Roman" w:eastAsia="仿宋_GB2312" w:cs="Times New Roman"/>
      <w:sz w:val="30"/>
      <w:szCs w:val="20"/>
    </w:rPr>
  </w:style>
  <w:style w:type="character" w:customStyle="1" w:styleId="229">
    <w:name w:val="明显引用 Char2"/>
    <w:autoRedefine/>
    <w:qFormat/>
    <w:uiPriority w:val="99"/>
    <w:rPr>
      <w:b/>
      <w:bCs/>
      <w:i/>
      <w:iCs/>
      <w:color w:val="4F81BD"/>
      <w:kern w:val="2"/>
      <w:sz w:val="21"/>
      <w:szCs w:val="24"/>
    </w:rPr>
  </w:style>
  <w:style w:type="character" w:customStyle="1" w:styleId="230">
    <w:name w:val="不明显强调1"/>
    <w:autoRedefine/>
    <w:qFormat/>
    <w:uiPriority w:val="0"/>
    <w:rPr>
      <w:i/>
      <w:iCs/>
      <w:color w:val="808080"/>
    </w:rPr>
  </w:style>
  <w:style w:type="character" w:customStyle="1" w:styleId="231">
    <w:name w:val="普通文字 Char Char2"/>
    <w:autoRedefine/>
    <w:qFormat/>
    <w:uiPriority w:val="0"/>
    <w:rPr>
      <w:rFonts w:ascii="宋体" w:hAnsi="Courier New"/>
      <w:kern w:val="2"/>
      <w:sz w:val="28"/>
      <w:szCs w:val="28"/>
    </w:rPr>
  </w:style>
  <w:style w:type="character" w:customStyle="1" w:styleId="232">
    <w:name w:val="标题 6 Char"/>
    <w:autoRedefine/>
    <w:qFormat/>
    <w:uiPriority w:val="0"/>
    <w:rPr>
      <w:rFonts w:ascii="Arial" w:hAnsi="Arial" w:eastAsia="黑体" w:cs="Times New Roman"/>
      <w:b/>
      <w:bCs/>
      <w:sz w:val="24"/>
      <w:szCs w:val="24"/>
    </w:rPr>
  </w:style>
  <w:style w:type="character" w:customStyle="1" w:styleId="233">
    <w:name w:val="l1"/>
    <w:basedOn w:val="47"/>
    <w:autoRedefine/>
    <w:qFormat/>
    <w:uiPriority w:val="0"/>
  </w:style>
  <w:style w:type="character" w:customStyle="1" w:styleId="234">
    <w:name w:val="未处理的提及1"/>
    <w:autoRedefine/>
    <w:unhideWhenUsed/>
    <w:qFormat/>
    <w:uiPriority w:val="99"/>
    <w:rPr>
      <w:color w:val="808080"/>
      <w:shd w:val="clear" w:color="auto" w:fill="E6E6E6"/>
    </w:rPr>
  </w:style>
  <w:style w:type="character" w:customStyle="1" w:styleId="235">
    <w:name w:val="页眉 字符"/>
    <w:link w:val="30"/>
    <w:autoRedefine/>
    <w:qFormat/>
    <w:uiPriority w:val="0"/>
    <w:rPr>
      <w:rFonts w:eastAsia="宋体"/>
      <w:kern w:val="2"/>
      <w:sz w:val="18"/>
      <w:szCs w:val="18"/>
      <w:lang w:val="en-US" w:eastAsia="zh-CN" w:bidi="ar-SA"/>
    </w:rPr>
  </w:style>
  <w:style w:type="character" w:customStyle="1" w:styleId="236">
    <w:name w:val="Char Char35"/>
    <w:autoRedefine/>
    <w:qFormat/>
    <w:uiPriority w:val="0"/>
    <w:rPr>
      <w:rFonts w:ascii="仿宋_GB2312" w:eastAsia="仿宋_GB2312" w:cs="MingLiU"/>
      <w:b/>
      <w:sz w:val="24"/>
      <w:szCs w:val="28"/>
    </w:rPr>
  </w:style>
  <w:style w:type="character" w:customStyle="1" w:styleId="237">
    <w:name w:val="Char Char11"/>
    <w:autoRedefine/>
    <w:qFormat/>
    <w:locked/>
    <w:uiPriority w:val="0"/>
    <w:rPr>
      <w:rFonts w:eastAsia="黑体"/>
      <w:kern w:val="2"/>
      <w:sz w:val="44"/>
      <w:szCs w:val="44"/>
      <w:lang w:val="en-US" w:eastAsia="zh-CN" w:bidi="ar-SA"/>
    </w:rPr>
  </w:style>
  <w:style w:type="character" w:customStyle="1" w:styleId="238">
    <w:name w:val="style31"/>
    <w:autoRedefine/>
    <w:qFormat/>
    <w:uiPriority w:val="0"/>
    <w:rPr>
      <w:sz w:val="10"/>
      <w:szCs w:val="10"/>
    </w:rPr>
  </w:style>
  <w:style w:type="character" w:customStyle="1" w:styleId="239">
    <w:name w:val="0d1471"/>
    <w:autoRedefine/>
    <w:qFormat/>
    <w:uiPriority w:val="0"/>
    <w:rPr>
      <w:color w:val="000000"/>
      <w:sz w:val="11"/>
      <w:szCs w:val="11"/>
      <w:u w:val="none"/>
    </w:rPr>
  </w:style>
  <w:style w:type="character" w:customStyle="1" w:styleId="240">
    <w:name w:val="标题 9 Char"/>
    <w:autoRedefine/>
    <w:qFormat/>
    <w:uiPriority w:val="0"/>
    <w:rPr>
      <w:rFonts w:ascii="Arial" w:hAnsi="Arial" w:eastAsia="黑体" w:cs="Times New Roman"/>
      <w:szCs w:val="21"/>
    </w:rPr>
  </w:style>
  <w:style w:type="character" w:customStyle="1" w:styleId="241">
    <w:name w:val="标题 3 Char1"/>
    <w:autoRedefine/>
    <w:qFormat/>
    <w:uiPriority w:val="0"/>
    <w:rPr>
      <w:rFonts w:ascii="Times New Roman" w:hAnsi="Times New Roman" w:eastAsia="宋体" w:cs="Times New Roman"/>
      <w:b/>
      <w:bCs/>
      <w:kern w:val="2"/>
      <w:sz w:val="32"/>
      <w:szCs w:val="32"/>
    </w:rPr>
  </w:style>
  <w:style w:type="character" w:customStyle="1" w:styleId="242">
    <w:name w:val="标题4 Char Char"/>
    <w:link w:val="86"/>
    <w:autoRedefine/>
    <w:qFormat/>
    <w:uiPriority w:val="0"/>
    <w:rPr>
      <w:rFonts w:ascii="Arial" w:hAnsi="Arial"/>
      <w:b/>
      <w:bCs/>
      <w:sz w:val="24"/>
      <w:szCs w:val="32"/>
      <w:lang w:bidi="ar-SA"/>
    </w:rPr>
  </w:style>
  <w:style w:type="character" w:customStyle="1" w:styleId="243">
    <w:name w:val="标题 5 Char1"/>
    <w:autoRedefine/>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autoRedefine/>
    <w:qFormat/>
    <w:uiPriority w:val="0"/>
    <w:rPr>
      <w:rFonts w:ascii="仿宋_GB2312" w:eastAsia="仿宋_GB2312" w:cs="MingLiU"/>
      <w:b/>
      <w:sz w:val="24"/>
      <w:szCs w:val="28"/>
    </w:rPr>
  </w:style>
  <w:style w:type="character" w:customStyle="1" w:styleId="246">
    <w:name w:val="批注文字 Char1"/>
    <w:autoRedefine/>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autoRedefine/>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autoRedefine/>
    <w:qFormat/>
    <w:uiPriority w:val="0"/>
    <w:rPr>
      <w:color w:val="FA0004"/>
    </w:rPr>
  </w:style>
  <w:style w:type="character" w:customStyle="1" w:styleId="251">
    <w:name w:val="批注主题 Char2"/>
    <w:autoRedefine/>
    <w:qFormat/>
    <w:uiPriority w:val="99"/>
    <w:rPr>
      <w:b/>
      <w:bCs/>
      <w:kern w:val="2"/>
      <w:sz w:val="21"/>
      <w:szCs w:val="24"/>
    </w:rPr>
  </w:style>
  <w:style w:type="character" w:customStyle="1" w:styleId="252">
    <w:name w:val="Char Char34"/>
    <w:autoRedefine/>
    <w:qFormat/>
    <w:uiPriority w:val="0"/>
    <w:rPr>
      <w:rFonts w:ascii="仿宋_GB2312" w:eastAsia="仿宋_GB2312" w:cs="MingLiU"/>
      <w:b/>
      <w:spacing w:val="1"/>
      <w:w w:val="99"/>
      <w:sz w:val="28"/>
      <w:szCs w:val="32"/>
    </w:rPr>
  </w:style>
  <w:style w:type="character" w:customStyle="1" w:styleId="253">
    <w:name w:val="标题 1 Char"/>
    <w:autoRedefine/>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autoRedefine/>
    <w:qFormat/>
    <w:uiPriority w:val="0"/>
    <w:rPr>
      <w:kern w:val="2"/>
      <w:sz w:val="16"/>
      <w:szCs w:val="16"/>
    </w:rPr>
  </w:style>
  <w:style w:type="character" w:customStyle="1" w:styleId="256">
    <w:name w:val="标题 5 Char"/>
    <w:autoRedefine/>
    <w:qFormat/>
    <w:uiPriority w:val="0"/>
    <w:rPr>
      <w:rFonts w:ascii="Calibri" w:hAnsi="Calibri" w:eastAsia="宋体" w:cs="Times New Roman"/>
      <w:b/>
      <w:bCs/>
      <w:sz w:val="28"/>
      <w:szCs w:val="28"/>
    </w:rPr>
  </w:style>
  <w:style w:type="character" w:customStyle="1" w:styleId="257">
    <w:name w:val="style161"/>
    <w:autoRedefine/>
    <w:qFormat/>
    <w:uiPriority w:val="0"/>
    <w:rPr>
      <w:b/>
      <w:bCs/>
      <w:color w:val="333333"/>
    </w:rPr>
  </w:style>
  <w:style w:type="character" w:customStyle="1" w:styleId="258">
    <w:name w:val="文档结构图 Char2"/>
    <w:autoRedefine/>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autoRedefine/>
    <w:qFormat/>
    <w:uiPriority w:val="99"/>
    <w:rPr>
      <w:kern w:val="2"/>
      <w:sz w:val="21"/>
      <w:szCs w:val="24"/>
    </w:rPr>
  </w:style>
  <w:style w:type="character" w:customStyle="1" w:styleId="261">
    <w:name w:val="HTML 预设格式 Char"/>
    <w:autoRedefine/>
    <w:qFormat/>
    <w:uiPriority w:val="0"/>
    <w:rPr>
      <w:rFonts w:ascii="宋体" w:hAnsi="宋体" w:eastAsia="宋体" w:cs="宋体"/>
      <w:color w:val="000000"/>
      <w:sz w:val="24"/>
      <w:szCs w:val="24"/>
    </w:rPr>
  </w:style>
  <w:style w:type="character" w:customStyle="1" w:styleId="262">
    <w:name w:val="批注主题 字符"/>
    <w:link w:val="44"/>
    <w:autoRedefine/>
    <w:qFormat/>
    <w:uiPriority w:val="0"/>
    <w:rPr>
      <w:rFonts w:eastAsia="宋体"/>
      <w:b/>
      <w:bCs/>
      <w:kern w:val="2"/>
      <w:sz w:val="21"/>
      <w:szCs w:val="24"/>
      <w:lang w:val="en-US" w:eastAsia="zh-CN" w:bidi="ar-SA"/>
    </w:rPr>
  </w:style>
  <w:style w:type="character" w:customStyle="1" w:styleId="263">
    <w:name w:val="正文文本 2 字符"/>
    <w:link w:val="39"/>
    <w:autoRedefine/>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autoRedefine/>
    <w:qFormat/>
    <w:uiPriority w:val="0"/>
    <w:rPr>
      <w:rFonts w:ascii="宋体"/>
      <w:kern w:val="2"/>
      <w:sz w:val="18"/>
      <w:szCs w:val="18"/>
    </w:rPr>
  </w:style>
  <w:style w:type="character" w:customStyle="1" w:styleId="266">
    <w:name w:val="标题 8 字符"/>
    <w:link w:val="11"/>
    <w:autoRedefine/>
    <w:qFormat/>
    <w:uiPriority w:val="0"/>
    <w:rPr>
      <w:rFonts w:hAnsi="Arial" w:eastAsia="仿宋_GB2312"/>
      <w:sz w:val="30"/>
      <w:lang w:val="en-US" w:eastAsia="zh-CN" w:bidi="ar-SA"/>
    </w:rPr>
  </w:style>
  <w:style w:type="character" w:customStyle="1" w:styleId="267">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68">
    <w:name w:val="正文文本缩进 字符"/>
    <w:link w:val="18"/>
    <w:autoRedefine/>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autoRedefine/>
    <w:qFormat/>
    <w:uiPriority w:val="0"/>
    <w:rPr>
      <w:rFonts w:eastAsia="宋体"/>
      <w:sz w:val="28"/>
      <w:szCs w:val="24"/>
      <w:lang w:val="en-US" w:eastAsia="zh-CN" w:bidi="ar-SA"/>
    </w:rPr>
  </w:style>
  <w:style w:type="character" w:customStyle="1" w:styleId="271">
    <w:name w:val="标题 7 字符"/>
    <w:link w:val="10"/>
    <w:autoRedefine/>
    <w:qFormat/>
    <w:uiPriority w:val="0"/>
    <w:rPr>
      <w:rFonts w:eastAsia="仿宋_GB2312"/>
      <w:sz w:val="30"/>
      <w:lang w:val="en-US" w:eastAsia="zh-CN" w:bidi="ar-SA"/>
    </w:rPr>
  </w:style>
  <w:style w:type="character" w:customStyle="1" w:styleId="272">
    <w:name w:val="Char Char13"/>
    <w:autoRedefine/>
    <w:qFormat/>
    <w:uiPriority w:val="0"/>
    <w:rPr>
      <w:kern w:val="2"/>
      <w:sz w:val="18"/>
      <w:szCs w:val="18"/>
    </w:rPr>
  </w:style>
  <w:style w:type="character" w:customStyle="1" w:styleId="273">
    <w:name w:val="正文文本缩进 2 Char1"/>
    <w:autoRedefine/>
    <w:qFormat/>
    <w:uiPriority w:val="0"/>
    <w:rPr>
      <w:sz w:val="28"/>
      <w:szCs w:val="24"/>
    </w:rPr>
  </w:style>
  <w:style w:type="character" w:customStyle="1" w:styleId="274">
    <w:name w:val="Char Char21"/>
    <w:autoRedefine/>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autoRedefine/>
    <w:qFormat/>
    <w:uiPriority w:val="0"/>
    <w:rPr>
      <w:rFonts w:ascii="Cambria" w:hAnsi="Cambria" w:eastAsia="宋体" w:cs="Times New Roman"/>
      <w:b/>
      <w:bCs/>
      <w:kern w:val="2"/>
      <w:sz w:val="32"/>
      <w:szCs w:val="32"/>
    </w:rPr>
  </w:style>
  <w:style w:type="character" w:customStyle="1" w:styleId="277">
    <w:name w:val="_Style 275"/>
    <w:autoRedefine/>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autoRedefine/>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autoRedefine/>
    <w:qFormat/>
    <w:uiPriority w:val="99"/>
    <w:rPr>
      <w:kern w:val="2"/>
      <w:sz w:val="18"/>
      <w:szCs w:val="18"/>
    </w:rPr>
  </w:style>
  <w:style w:type="character" w:customStyle="1" w:styleId="282">
    <w:name w:val="subhead1"/>
    <w:autoRedefine/>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autoRedefine/>
    <w:semiHidden/>
    <w:qFormat/>
    <w:uiPriority w:val="99"/>
    <w:rPr>
      <w:rFonts w:ascii="Calibri" w:hAnsi="Calibri" w:eastAsia="宋体" w:cs="Times New Roman"/>
      <w:sz w:val="16"/>
      <w:szCs w:val="16"/>
    </w:rPr>
  </w:style>
  <w:style w:type="character" w:customStyle="1" w:styleId="284">
    <w:name w:val="纯文本 Char"/>
    <w:autoRedefine/>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autoRedefine/>
    <w:semiHidden/>
    <w:qFormat/>
    <w:uiPriority w:val="99"/>
    <w:rPr>
      <w:kern w:val="2"/>
      <w:sz w:val="18"/>
      <w:szCs w:val="18"/>
    </w:rPr>
  </w:style>
  <w:style w:type="character" w:customStyle="1" w:styleId="287">
    <w:name w:val="Char Char14"/>
    <w:autoRedefine/>
    <w:qFormat/>
    <w:uiPriority w:val="0"/>
    <w:rPr>
      <w:kern w:val="2"/>
      <w:sz w:val="18"/>
      <w:szCs w:val="18"/>
    </w:rPr>
  </w:style>
  <w:style w:type="character" w:customStyle="1" w:styleId="288">
    <w:name w:val="批注文字 字符"/>
    <w:link w:val="16"/>
    <w:autoRedefine/>
    <w:qFormat/>
    <w:uiPriority w:val="99"/>
    <w:rPr>
      <w:rFonts w:eastAsia="宋体"/>
      <w:kern w:val="2"/>
      <w:sz w:val="21"/>
      <w:szCs w:val="24"/>
      <w:lang w:val="en-US" w:eastAsia="zh-CN" w:bidi="ar-SA"/>
    </w:rPr>
  </w:style>
  <w:style w:type="character" w:customStyle="1" w:styleId="289">
    <w:name w:val="批注文字 Char Char"/>
    <w:autoRedefine/>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7"/>
    <w:autoRedefine/>
    <w:qFormat/>
    <w:uiPriority w:val="0"/>
    <w:rPr>
      <w:rFonts w:ascii="宋体" w:hAnsi="宋体" w:eastAsia="宋体" w:cs="宋体"/>
      <w:b/>
      <w:bCs/>
      <w:lang w:val="en-US" w:eastAsia="zh-CN" w:bidi="ar-SA"/>
    </w:rPr>
  </w:style>
  <w:style w:type="character" w:customStyle="1" w:styleId="292">
    <w:name w:val="手改 Char Char"/>
    <w:autoRedefine/>
    <w:qFormat/>
    <w:uiPriority w:val="0"/>
    <w:rPr>
      <w:kern w:val="2"/>
      <w:sz w:val="21"/>
      <w:szCs w:val="24"/>
    </w:rPr>
  </w:style>
  <w:style w:type="character" w:customStyle="1" w:styleId="293">
    <w:name w:val="标题 1 字符"/>
    <w:link w:val="3"/>
    <w:autoRedefine/>
    <w:qFormat/>
    <w:uiPriority w:val="0"/>
    <w:rPr>
      <w:rFonts w:eastAsia="宋体"/>
      <w:b/>
      <w:bCs/>
      <w:kern w:val="44"/>
      <w:sz w:val="44"/>
      <w:szCs w:val="44"/>
      <w:lang w:val="en-US" w:eastAsia="zh-CN" w:bidi="ar-SA"/>
    </w:rPr>
  </w:style>
  <w:style w:type="character" w:customStyle="1" w:styleId="294">
    <w:name w:val="intel3"/>
    <w:basedOn w:val="47"/>
    <w:autoRedefine/>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autoRedefine/>
    <w:qFormat/>
    <w:uiPriority w:val="0"/>
    <w:rPr>
      <w:b/>
      <w:bCs/>
      <w:i/>
      <w:iCs/>
      <w:color w:val="4F81BD"/>
      <w:kern w:val="2"/>
      <w:sz w:val="21"/>
      <w:szCs w:val="22"/>
      <w:lang w:bidi="ar-SA"/>
    </w:rPr>
  </w:style>
  <w:style w:type="character" w:customStyle="1" w:styleId="297">
    <w:name w:val="明显引用 Char1"/>
    <w:link w:val="110"/>
    <w:autoRedefine/>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autoRedefine/>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autoRedefine/>
    <w:qFormat/>
    <w:uiPriority w:val="0"/>
    <w:rPr>
      <w:rFonts w:eastAsia="黑体"/>
      <w:kern w:val="2"/>
      <w:sz w:val="44"/>
      <w:szCs w:val="44"/>
      <w:lang w:val="en-US" w:eastAsia="zh-CN" w:bidi="ar-SA"/>
    </w:rPr>
  </w:style>
  <w:style w:type="character" w:customStyle="1" w:styleId="302">
    <w:name w:val="日期 Char3"/>
    <w:autoRedefine/>
    <w:semiHidden/>
    <w:qFormat/>
    <w:uiPriority w:val="99"/>
    <w:rPr>
      <w:rFonts w:ascii="Calibri" w:hAnsi="Calibri" w:eastAsia="宋体" w:cs="Times New Roman"/>
      <w:szCs w:val="24"/>
    </w:rPr>
  </w:style>
  <w:style w:type="character" w:customStyle="1" w:styleId="303">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4">
    <w:name w:val="批注文字 Char"/>
    <w:autoRedefine/>
    <w:qFormat/>
    <w:uiPriority w:val="0"/>
    <w:rPr>
      <w:rFonts w:ascii="Times New Roman" w:hAnsi="Times New Roman" w:eastAsia="宋体" w:cs="Times New Roman"/>
      <w:kern w:val="2"/>
      <w:sz w:val="21"/>
      <w:szCs w:val="24"/>
    </w:rPr>
  </w:style>
  <w:style w:type="character" w:customStyle="1" w:styleId="305">
    <w:name w:val="Section Char"/>
    <w:autoRedefine/>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7"/>
    <w:autoRedefine/>
    <w:qFormat/>
    <w:uiPriority w:val="0"/>
    <w:rPr>
      <w:rFonts w:eastAsia="宋体"/>
      <w:kern w:val="2"/>
      <w:sz w:val="16"/>
      <w:szCs w:val="16"/>
      <w:lang w:val="en-US" w:eastAsia="zh-CN" w:bidi="ar-SA"/>
    </w:rPr>
  </w:style>
  <w:style w:type="character" w:customStyle="1" w:styleId="308">
    <w:name w:val="普通文字 Char Char1"/>
    <w:autoRedefine/>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autoRedefine/>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10090</Words>
  <Characters>10914</Characters>
  <Lines>1335</Lines>
  <Paragraphs>376</Paragraphs>
  <TotalTime>30</TotalTime>
  <ScaleCrop>false</ScaleCrop>
  <LinksUpToDate>false</LinksUpToDate>
  <CharactersWithSpaces>11235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阮零露</cp:lastModifiedBy>
  <cp:lastPrinted>2025-08-05T03:35:00Z</cp:lastPrinted>
  <dcterms:modified xsi:type="dcterms:W3CDTF">2025-11-24T09:24:18Z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79B6500CA8A146DF9DBBA58B57CF1930</vt:lpwstr>
  </property>
  <property fmtid="{D5CDD505-2E9C-101B-9397-08002B2CF9AE}" pid="4" name="KSOTemplateDocerSaveRecord">
    <vt:lpwstr>eyJoZGlkIjoiNDZlMzQ1NTJmMDEzZGU3NWJkM2Q5ZDk1NjQ5YzI2MzgiLCJ1c2VySWQiOiIxMTU0MTQyMTQxIn0=</vt:lpwstr>
  </property>
</Properties>
</file>