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0A6AFC">
      <w:pPr>
        <w:wordWrap w:val="0"/>
        <w:jc w:val="right"/>
        <w:rPr>
          <w:color w:val="000000" w:themeColor="text1"/>
          <w:highlight w:val="none"/>
          <w14:textFill>
            <w14:solidFill>
              <w14:schemeClr w14:val="tx1"/>
            </w14:solidFill>
          </w14:textFill>
        </w:rPr>
      </w:pPr>
    </w:p>
    <w:p w14:paraId="4FB72588">
      <w:pPr>
        <w:jc w:val="center"/>
        <w:outlineLvl w:val="0"/>
        <w:rPr>
          <w:color w:val="000000" w:themeColor="text1"/>
          <w:sz w:val="44"/>
          <w:szCs w:val="44"/>
          <w:highlight w:val="none"/>
          <w14:textFill>
            <w14:solidFill>
              <w14:schemeClr w14:val="tx1"/>
            </w14:solidFill>
          </w14:textFill>
        </w:rPr>
      </w:pPr>
    </w:p>
    <w:p w14:paraId="4B3333A3">
      <w:pPr>
        <w:jc w:val="center"/>
        <w:outlineLvl w:val="0"/>
        <w:rPr>
          <w:rFonts w:hint="eastAsia"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2025年火场通讯设备采购</w:t>
      </w:r>
    </w:p>
    <w:p w14:paraId="0650E12A">
      <w:pPr>
        <w:jc w:val="center"/>
        <w:outlineLvl w:val="0"/>
        <w:rPr>
          <w:color w:val="000000" w:themeColor="text1"/>
          <w:sz w:val="44"/>
          <w:szCs w:val="44"/>
          <w:highlight w:val="none"/>
          <w14:textFill>
            <w14:solidFill>
              <w14:schemeClr w14:val="tx1"/>
            </w14:solidFill>
          </w14:textFill>
        </w:rPr>
      </w:pPr>
    </w:p>
    <w:p w14:paraId="67DABFC7">
      <w:pPr>
        <w:jc w:val="center"/>
        <w:outlineLvl w:val="0"/>
        <w:rPr>
          <w:color w:val="000000" w:themeColor="text1"/>
          <w:sz w:val="44"/>
          <w:szCs w:val="44"/>
          <w:highlight w:val="none"/>
          <w14:textFill>
            <w14:solidFill>
              <w14:schemeClr w14:val="tx1"/>
            </w14:solidFill>
          </w14:textFill>
        </w:rPr>
      </w:pPr>
    </w:p>
    <w:p w14:paraId="4DFC25FC">
      <w:pPr>
        <w:jc w:val="center"/>
        <w:outlineLvl w:val="0"/>
        <w:rPr>
          <w:color w:val="000000" w:themeColor="text1"/>
          <w:sz w:val="44"/>
          <w:szCs w:val="44"/>
          <w:highlight w:val="none"/>
          <w14:textFill>
            <w14:solidFill>
              <w14:schemeClr w14:val="tx1"/>
            </w14:solidFill>
          </w14:textFill>
        </w:rPr>
      </w:pPr>
    </w:p>
    <w:p w14:paraId="5D4A1594">
      <w:pPr>
        <w:jc w:val="center"/>
        <w:outlineLvl w:val="0"/>
        <w:rPr>
          <w:color w:val="000000" w:themeColor="text1"/>
          <w:sz w:val="44"/>
          <w:szCs w:val="44"/>
          <w:highlight w:val="none"/>
          <w14:textFill>
            <w14:solidFill>
              <w14:schemeClr w14:val="tx1"/>
            </w14:solidFill>
          </w14:textFill>
        </w:rPr>
      </w:pPr>
    </w:p>
    <w:p w14:paraId="7E2AB138">
      <w:pPr>
        <w:jc w:val="center"/>
        <w:outlineLvl w:val="0"/>
        <w:rPr>
          <w:color w:val="000000" w:themeColor="text1"/>
          <w:sz w:val="44"/>
          <w:szCs w:val="44"/>
          <w:highlight w:val="none"/>
          <w14:textFill>
            <w14:solidFill>
              <w14:schemeClr w14:val="tx1"/>
            </w14:solidFill>
          </w14:textFill>
        </w:rPr>
      </w:pPr>
    </w:p>
    <w:p w14:paraId="46DDA51C">
      <w:pPr>
        <w:jc w:val="center"/>
        <w:outlineLvl w:val="0"/>
        <w:rPr>
          <w:color w:val="000000" w:themeColor="text1"/>
          <w:sz w:val="44"/>
          <w:szCs w:val="44"/>
          <w:highlight w:val="none"/>
          <w14:textFill>
            <w14:solidFill>
              <w14:schemeClr w14:val="tx1"/>
            </w14:solidFill>
          </w14:textFill>
        </w:rPr>
      </w:pPr>
    </w:p>
    <w:p w14:paraId="4013EF13">
      <w:pPr>
        <w:jc w:val="center"/>
        <w:outlineLvl w:val="0"/>
        <w:rPr>
          <w:color w:val="000000" w:themeColor="text1"/>
          <w:spacing w:val="80"/>
          <w:sz w:val="72"/>
          <w:szCs w:val="72"/>
          <w:highlight w:val="none"/>
          <w14:textFill>
            <w14:solidFill>
              <w14:schemeClr w14:val="tx1"/>
            </w14:solidFill>
          </w14:textFill>
        </w:rPr>
      </w:pPr>
      <w:r>
        <w:rPr>
          <w:color w:val="000000" w:themeColor="text1"/>
          <w:spacing w:val="80"/>
          <w:sz w:val="72"/>
          <w:szCs w:val="72"/>
          <w:highlight w:val="none"/>
          <w14:textFill>
            <w14:solidFill>
              <w14:schemeClr w14:val="tx1"/>
            </w14:solidFill>
          </w14:textFill>
        </w:rPr>
        <w:t>竞争性比选文件</w:t>
      </w:r>
    </w:p>
    <w:p w14:paraId="57C785D1">
      <w:pPr>
        <w:spacing w:line="700" w:lineRule="exact"/>
        <w:jc w:val="center"/>
        <w:rPr>
          <w:color w:val="000000" w:themeColor="text1"/>
          <w:sz w:val="36"/>
          <w:szCs w:val="30"/>
          <w:highlight w:val="none"/>
          <w14:textFill>
            <w14:solidFill>
              <w14:schemeClr w14:val="tx1"/>
            </w14:solidFill>
          </w14:textFill>
        </w:rPr>
      </w:pPr>
      <w:r>
        <w:rPr>
          <w:color w:val="000000" w:themeColor="text1"/>
          <w:sz w:val="36"/>
          <w:szCs w:val="30"/>
          <w:highlight w:val="none"/>
          <w14:textFill>
            <w14:solidFill>
              <w14:schemeClr w14:val="tx1"/>
            </w14:solidFill>
          </w14:textFill>
        </w:rPr>
        <w:t>项目号：CQCBJQ</w:t>
      </w:r>
      <w:r>
        <w:rPr>
          <w:rFonts w:hint="eastAsia"/>
          <w:color w:val="000000" w:themeColor="text1"/>
          <w:sz w:val="36"/>
          <w:szCs w:val="30"/>
          <w:highlight w:val="none"/>
          <w14:textFill>
            <w14:solidFill>
              <w14:schemeClr w14:val="tx1"/>
            </w14:solidFill>
          </w14:textFill>
        </w:rPr>
        <w:t>2506-217</w:t>
      </w:r>
    </w:p>
    <w:p w14:paraId="1C657B92">
      <w:pPr>
        <w:jc w:val="center"/>
        <w:outlineLvl w:val="0"/>
        <w:rPr>
          <w:color w:val="000000" w:themeColor="text1"/>
          <w:sz w:val="44"/>
          <w:szCs w:val="44"/>
          <w:highlight w:val="none"/>
          <w14:textFill>
            <w14:solidFill>
              <w14:schemeClr w14:val="tx1"/>
            </w14:solidFill>
          </w14:textFill>
        </w:rPr>
      </w:pPr>
    </w:p>
    <w:p w14:paraId="7C423EF1">
      <w:pPr>
        <w:jc w:val="center"/>
        <w:outlineLvl w:val="0"/>
        <w:rPr>
          <w:color w:val="000000" w:themeColor="text1"/>
          <w:sz w:val="44"/>
          <w:szCs w:val="44"/>
          <w:highlight w:val="none"/>
          <w14:textFill>
            <w14:solidFill>
              <w14:schemeClr w14:val="tx1"/>
            </w14:solidFill>
          </w14:textFill>
        </w:rPr>
      </w:pPr>
    </w:p>
    <w:p w14:paraId="14759884">
      <w:pPr>
        <w:jc w:val="center"/>
        <w:outlineLvl w:val="0"/>
        <w:rPr>
          <w:color w:val="000000" w:themeColor="text1"/>
          <w:sz w:val="44"/>
          <w:szCs w:val="44"/>
          <w:highlight w:val="none"/>
          <w14:textFill>
            <w14:solidFill>
              <w14:schemeClr w14:val="tx1"/>
            </w14:solidFill>
          </w14:textFill>
        </w:rPr>
      </w:pPr>
    </w:p>
    <w:p w14:paraId="59463920">
      <w:pPr>
        <w:jc w:val="center"/>
        <w:outlineLvl w:val="0"/>
        <w:rPr>
          <w:color w:val="000000" w:themeColor="text1"/>
          <w:sz w:val="44"/>
          <w:szCs w:val="44"/>
          <w:highlight w:val="none"/>
          <w14:textFill>
            <w14:solidFill>
              <w14:schemeClr w14:val="tx1"/>
            </w14:solidFill>
          </w14:textFill>
        </w:rPr>
      </w:pPr>
    </w:p>
    <w:p w14:paraId="03667B5C">
      <w:pPr>
        <w:jc w:val="center"/>
        <w:outlineLvl w:val="0"/>
        <w:rPr>
          <w:color w:val="000000" w:themeColor="text1"/>
          <w:sz w:val="44"/>
          <w:szCs w:val="44"/>
          <w:highlight w:val="none"/>
          <w14:textFill>
            <w14:solidFill>
              <w14:schemeClr w14:val="tx1"/>
            </w14:solidFill>
          </w14:textFill>
        </w:rPr>
      </w:pPr>
    </w:p>
    <w:p w14:paraId="7E68C841">
      <w:pPr>
        <w:jc w:val="center"/>
        <w:outlineLvl w:val="0"/>
        <w:rPr>
          <w:color w:val="000000" w:themeColor="text1"/>
          <w:sz w:val="44"/>
          <w:szCs w:val="44"/>
          <w:highlight w:val="none"/>
          <w14:textFill>
            <w14:solidFill>
              <w14:schemeClr w14:val="tx1"/>
            </w14:solidFill>
          </w14:textFill>
        </w:rPr>
      </w:pPr>
    </w:p>
    <w:p w14:paraId="14D770AF">
      <w:pPr>
        <w:jc w:val="center"/>
        <w:outlineLvl w:val="0"/>
        <w:rPr>
          <w:color w:val="000000" w:themeColor="text1"/>
          <w:sz w:val="44"/>
          <w:szCs w:val="44"/>
          <w:highlight w:val="none"/>
          <w14:textFill>
            <w14:solidFill>
              <w14:schemeClr w14:val="tx1"/>
            </w14:solidFill>
          </w14:textFill>
        </w:rPr>
      </w:pPr>
    </w:p>
    <w:p w14:paraId="280AA1D9">
      <w:pPr>
        <w:jc w:val="center"/>
        <w:outlineLvl w:val="0"/>
        <w:rPr>
          <w:color w:val="000000" w:themeColor="text1"/>
          <w:sz w:val="44"/>
          <w:szCs w:val="44"/>
          <w:highlight w:val="none"/>
          <w14:textFill>
            <w14:solidFill>
              <w14:schemeClr w14:val="tx1"/>
            </w14:solidFill>
          </w14:textFill>
        </w:rPr>
      </w:pPr>
    </w:p>
    <w:p w14:paraId="49DF81D5">
      <w:pPr>
        <w:jc w:val="center"/>
        <w:outlineLvl w:val="0"/>
        <w:rPr>
          <w:color w:val="000000" w:themeColor="text1"/>
          <w:sz w:val="44"/>
          <w:szCs w:val="44"/>
          <w:highlight w:val="none"/>
          <w14:textFill>
            <w14:solidFill>
              <w14:schemeClr w14:val="tx1"/>
            </w14:solidFill>
          </w14:textFill>
        </w:rPr>
      </w:pPr>
    </w:p>
    <w:p w14:paraId="1E8498EE">
      <w:pPr>
        <w:spacing w:line="700" w:lineRule="exact"/>
        <w:ind w:left="84" w:leftChars="30"/>
        <w:jc w:val="left"/>
        <w:rPr>
          <w:color w:val="000000" w:themeColor="text1"/>
          <w:sz w:val="36"/>
          <w:szCs w:val="30"/>
          <w:highlight w:val="none"/>
          <w14:textFill>
            <w14:solidFill>
              <w14:schemeClr w14:val="tx1"/>
            </w14:solidFill>
          </w14:textFill>
        </w:rPr>
      </w:pPr>
      <w:r>
        <w:rPr>
          <w:rFonts w:hint="eastAsia"/>
          <w:color w:val="000000" w:themeColor="text1"/>
          <w:sz w:val="36"/>
          <w:szCs w:val="30"/>
          <w:highlight w:val="none"/>
          <w14:textFill>
            <w14:solidFill>
              <w14:schemeClr w14:val="tx1"/>
            </w14:solidFill>
          </w14:textFill>
        </w:rPr>
        <w:t xml:space="preserve">    </w:t>
      </w:r>
      <w:r>
        <w:rPr>
          <w:color w:val="000000" w:themeColor="text1"/>
          <w:sz w:val="36"/>
          <w:szCs w:val="30"/>
          <w:highlight w:val="none"/>
          <w14:textFill>
            <w14:solidFill>
              <w14:schemeClr w14:val="tx1"/>
            </w14:solidFill>
          </w14:textFill>
        </w:rPr>
        <w:t>采   购   人：</w:t>
      </w:r>
      <w:r>
        <w:rPr>
          <w:rFonts w:hint="eastAsia"/>
          <w:color w:val="000000" w:themeColor="text1"/>
          <w:sz w:val="36"/>
          <w:szCs w:val="30"/>
          <w:highlight w:val="none"/>
          <w14:textFill>
            <w14:solidFill>
              <w14:schemeClr w14:val="tx1"/>
            </w14:solidFill>
          </w14:textFill>
        </w:rPr>
        <w:t>重庆市森林草原火灾预防预警监测中心</w:t>
      </w:r>
    </w:p>
    <w:p w14:paraId="5FEBA00D">
      <w:pPr>
        <w:spacing w:line="700" w:lineRule="exact"/>
        <w:jc w:val="center"/>
        <w:rPr>
          <w:color w:val="000000" w:themeColor="text1"/>
          <w:sz w:val="36"/>
          <w:szCs w:val="30"/>
          <w:highlight w:val="none"/>
          <w14:textFill>
            <w14:solidFill>
              <w14:schemeClr w14:val="tx1"/>
            </w14:solidFill>
          </w14:textFill>
        </w:rPr>
      </w:pPr>
      <w:r>
        <w:rPr>
          <w:color w:val="000000" w:themeColor="text1"/>
          <w:sz w:val="36"/>
          <w:szCs w:val="30"/>
          <w:highlight w:val="none"/>
          <w14:textFill>
            <w14:solidFill>
              <w14:schemeClr w14:val="tx1"/>
            </w14:solidFill>
          </w14:textFill>
        </w:rPr>
        <w:t>采购代理机构：重庆市中基致信招标代理有限公司</w:t>
      </w:r>
    </w:p>
    <w:p w14:paraId="6E0DB94E">
      <w:pPr>
        <w:spacing w:line="700" w:lineRule="exact"/>
        <w:jc w:val="center"/>
        <w:rPr>
          <w:color w:val="000000" w:themeColor="text1"/>
          <w:sz w:val="36"/>
          <w:szCs w:val="30"/>
          <w:highlight w:val="none"/>
          <w14:textFill>
            <w14:solidFill>
              <w14:schemeClr w14:val="tx1"/>
            </w14:solidFill>
          </w14:textFill>
        </w:rPr>
        <w:sectPr>
          <w:footerReference r:id="rId5" w:type="first"/>
          <w:headerReference r:id="rId3" w:type="default"/>
          <w:footerReference r:id="rId4" w:type="even"/>
          <w:pgSz w:w="11907" w:h="16840"/>
          <w:pgMar w:top="1134" w:right="1191" w:bottom="1134" w:left="1191" w:header="851" w:footer="992" w:gutter="0"/>
          <w:pgNumType w:fmt="numberInDash" w:start="1"/>
          <w:cols w:space="720" w:num="1"/>
          <w:docGrid w:linePitch="380" w:charSpace="-5735"/>
        </w:sectPr>
      </w:pPr>
      <w:r>
        <w:rPr>
          <w:color w:val="000000" w:themeColor="text1"/>
          <w:sz w:val="36"/>
          <w:szCs w:val="30"/>
          <w:highlight w:val="none"/>
          <w14:textFill>
            <w14:solidFill>
              <w14:schemeClr w14:val="tx1"/>
            </w14:solidFill>
          </w14:textFill>
        </w:rPr>
        <w:t>二</w:t>
      </w:r>
      <w:r>
        <w:rPr>
          <w:rFonts w:hint="eastAsia"/>
          <w:color w:val="000000" w:themeColor="text1"/>
          <w:sz w:val="36"/>
          <w:szCs w:val="30"/>
          <w:highlight w:val="none"/>
          <w14:textFill>
            <w14:solidFill>
              <w14:schemeClr w14:val="tx1"/>
            </w14:solidFill>
          </w14:textFill>
        </w:rPr>
        <w:t>〇</w:t>
      </w:r>
      <w:r>
        <w:rPr>
          <w:color w:val="000000" w:themeColor="text1"/>
          <w:sz w:val="36"/>
          <w:szCs w:val="30"/>
          <w:highlight w:val="none"/>
          <w14:textFill>
            <w14:solidFill>
              <w14:schemeClr w14:val="tx1"/>
            </w14:solidFill>
          </w14:textFill>
        </w:rPr>
        <w:t>二</w:t>
      </w:r>
      <w:r>
        <w:rPr>
          <w:rFonts w:hint="eastAsia"/>
          <w:color w:val="000000" w:themeColor="text1"/>
          <w:sz w:val="36"/>
          <w:szCs w:val="30"/>
          <w:highlight w:val="none"/>
          <w14:textFill>
            <w14:solidFill>
              <w14:schemeClr w14:val="tx1"/>
            </w14:solidFill>
          </w14:textFill>
        </w:rPr>
        <w:t>五</w:t>
      </w:r>
      <w:r>
        <w:rPr>
          <w:color w:val="000000" w:themeColor="text1"/>
          <w:sz w:val="36"/>
          <w:szCs w:val="30"/>
          <w:highlight w:val="none"/>
          <w14:textFill>
            <w14:solidFill>
              <w14:schemeClr w14:val="tx1"/>
            </w14:solidFill>
          </w14:textFill>
        </w:rPr>
        <w:t>年</w:t>
      </w:r>
      <w:r>
        <w:rPr>
          <w:rFonts w:hint="eastAsia"/>
          <w:color w:val="000000" w:themeColor="text1"/>
          <w:sz w:val="36"/>
          <w:szCs w:val="30"/>
          <w:highlight w:val="none"/>
          <w14:textFill>
            <w14:solidFill>
              <w14:schemeClr w14:val="tx1"/>
            </w14:solidFill>
          </w14:textFill>
        </w:rPr>
        <w:t>六</w:t>
      </w:r>
      <w:r>
        <w:rPr>
          <w:color w:val="000000" w:themeColor="text1"/>
          <w:sz w:val="36"/>
          <w:szCs w:val="30"/>
          <w:highlight w:val="none"/>
          <w14:textFill>
            <w14:solidFill>
              <w14:schemeClr w14:val="tx1"/>
            </w14:solidFill>
          </w14:textFill>
        </w:rPr>
        <w:t>月</w:t>
      </w:r>
    </w:p>
    <w:p w14:paraId="48B14D8D">
      <w:pPr>
        <w:pageBreakBefore/>
        <w:spacing w:line="480" w:lineRule="exact"/>
        <w:jc w:val="center"/>
        <w:outlineLvl w:val="0"/>
        <w:rPr>
          <w:rFonts w:hint="eastAsia" w:ascii="宋体" w:hAnsi="宋体"/>
          <w:color w:val="000000" w:themeColor="text1"/>
          <w:sz w:val="44"/>
          <w:szCs w:val="28"/>
          <w:highlight w:val="none"/>
          <w14:textFill>
            <w14:solidFill>
              <w14:schemeClr w14:val="tx1"/>
            </w14:solidFill>
          </w14:textFill>
        </w:rPr>
      </w:pPr>
      <w:r>
        <w:rPr>
          <w:rFonts w:hint="eastAsia" w:ascii="宋体" w:hAnsi="宋体"/>
          <w:color w:val="000000" w:themeColor="text1"/>
          <w:sz w:val="44"/>
          <w:szCs w:val="28"/>
          <w:highlight w:val="none"/>
          <w14:textFill>
            <w14:solidFill>
              <w14:schemeClr w14:val="tx1"/>
            </w14:solidFill>
          </w14:textFill>
        </w:rPr>
        <w:t>目   录</w:t>
      </w:r>
    </w:p>
    <w:p w14:paraId="36B32BBE">
      <w:pPr>
        <w:pStyle w:val="46"/>
        <w:tabs>
          <w:tab w:val="right" w:leader="dot" w:pos="9525"/>
          <w:tab w:val="clear" w:pos="9515"/>
        </w:tabs>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TOC \o "1-3" \h \z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color w:val="000000" w:themeColor="text1"/>
          <w:szCs w:val="24"/>
          <w:highlight w:val="none"/>
          <w14:textFill>
            <w14:solidFill>
              <w14:schemeClr w14:val="tx1"/>
            </w14:solidFill>
          </w14:textFill>
        </w:rPr>
        <w:instrText xml:space="preserve"> HYPERLINK \l _Toc26348 </w:instrText>
      </w:r>
      <w:r>
        <w:rPr>
          <w:rFonts w:hint="eastAsia" w:ascii="宋体" w:hAnsi="宋体"/>
          <w:color w:val="000000" w:themeColor="text1"/>
          <w:szCs w:val="24"/>
          <w:highlight w:val="none"/>
          <w14:textFill>
            <w14:solidFill>
              <w14:schemeClr w14:val="tx1"/>
            </w14:solidFill>
          </w14:textFill>
        </w:rPr>
        <w:fldChar w:fldCharType="separate"/>
      </w:r>
      <w:r>
        <w:rPr>
          <w:rFonts w:hint="eastAsia" w:ascii="宋体" w:hAnsi="宋体" w:eastAsia="宋体"/>
          <w:color w:val="000000" w:themeColor="text1"/>
          <w:szCs w:val="30"/>
          <w:highlight w:val="none"/>
          <w14:textFill>
            <w14:solidFill>
              <w14:schemeClr w14:val="tx1"/>
            </w14:solidFill>
          </w14:textFill>
        </w:rPr>
        <w:t>第一篇  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_Toc26348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rFonts w:hint="eastAsia" w:ascii="宋体" w:hAnsi="宋体"/>
          <w:color w:val="000000" w:themeColor="text1"/>
          <w:szCs w:val="24"/>
          <w:highlight w:val="none"/>
          <w14:textFill>
            <w14:solidFill>
              <w14:schemeClr w14:val="tx1"/>
            </w14:solidFill>
          </w14:textFill>
        </w:rPr>
        <w:fldChar w:fldCharType="end"/>
      </w:r>
    </w:p>
    <w:p w14:paraId="318A912D">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_Toc28895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一、竞争性比选内容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350EB7E4">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_Toc6002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69FDC5D9">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_Toc4326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三、供应商资格条件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7205232F">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_Toc28084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四、比选有关说明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_Toc28084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AFCEFEC">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_Toc2491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五、比选保证金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1084747">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_Toc13445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六、采购项目需落实的政府采购政策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02C679AD">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_Toc13558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七、其它有关规定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1F17753">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_Toc30952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八、联系方式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F5C4098">
      <w:pPr>
        <w:pStyle w:val="46"/>
        <w:tabs>
          <w:tab w:val="right" w:leader="dot" w:pos="9525"/>
          <w:tab w:val="clear" w:pos="951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_Toc17970 </w:instrText>
      </w:r>
      <w:r>
        <w:rPr>
          <w:rFonts w:hint="eastAsia"/>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30"/>
          <w:highlight w:val="none"/>
          <w14:textFill>
            <w14:solidFill>
              <w14:schemeClr w14:val="tx1"/>
            </w14:solidFill>
          </w14:textFill>
        </w:rPr>
        <w:t>第二篇  采购技术和服务需求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8B94AC0">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_Toc6181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一、</w:t>
      </w:r>
      <w:r>
        <w:rPr>
          <w:rFonts w:hint="eastAsia" w:ascii="宋体" w:hAnsi="宋体"/>
          <w:color w:val="000000" w:themeColor="text1"/>
          <w:szCs w:val="24"/>
          <w:highlight w:val="none"/>
          <w14:textFill>
            <w14:solidFill>
              <w14:schemeClr w14:val="tx1"/>
            </w14:solidFill>
          </w14:textFill>
        </w:rPr>
        <w:t>采购</w:t>
      </w:r>
      <w:r>
        <w:rPr>
          <w:rFonts w:ascii="宋体" w:hAnsi="宋体"/>
          <w:color w:val="000000" w:themeColor="text1"/>
          <w:szCs w:val="24"/>
          <w:highlight w:val="none"/>
          <w14:textFill>
            <w14:solidFill>
              <w14:schemeClr w14:val="tx1"/>
            </w14:solidFill>
          </w14:textFill>
        </w:rPr>
        <w:t>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32B9570">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_Toc9544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二、</w:t>
      </w:r>
      <w:r>
        <w:rPr>
          <w:rFonts w:hint="eastAsia" w:ascii="宋体" w:hAnsi="宋体"/>
          <w:color w:val="000000" w:themeColor="text1"/>
          <w:szCs w:val="24"/>
          <w:highlight w:val="none"/>
          <w14:textFill>
            <w14:solidFill>
              <w14:schemeClr w14:val="tx1"/>
            </w14:solidFill>
          </w14:textFill>
        </w:rPr>
        <w:t>采购</w:t>
      </w:r>
      <w:r>
        <w:rPr>
          <w:rFonts w:ascii="宋体" w:hAnsi="宋体"/>
          <w:color w:val="000000" w:themeColor="text1"/>
          <w:szCs w:val="24"/>
          <w:highlight w:val="none"/>
          <w14:textFill>
            <w14:solidFill>
              <w14:schemeClr w14:val="tx1"/>
            </w14:solidFill>
          </w14:textFill>
        </w:rPr>
        <w:t>项目技术需求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BB23796">
      <w:pPr>
        <w:pStyle w:val="46"/>
        <w:tabs>
          <w:tab w:val="right" w:leader="dot" w:pos="9525"/>
          <w:tab w:val="clear" w:pos="951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_Toc9114 </w:instrText>
      </w:r>
      <w:r>
        <w:rPr>
          <w:rFonts w:hint="eastAsia"/>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30"/>
          <w:highlight w:val="none"/>
          <w14:textFill>
            <w14:solidFill>
              <w14:schemeClr w14:val="tx1"/>
            </w14:solidFill>
          </w14:textFill>
        </w:rPr>
        <w:t>第三篇  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6151EC46">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_Toc27488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11792D0">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_Toc28686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540DE458">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_Toc8569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ascii="宋体" w:hAnsi="宋体"/>
          <w:color w:val="000000" w:themeColor="text1"/>
          <w:szCs w:val="24"/>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AC97516">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_Toc5254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6A3381A0">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_Toc5217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五、</w:t>
      </w:r>
      <w:r>
        <w:rPr>
          <w:rFonts w:ascii="宋体" w:hAnsi="宋体"/>
          <w:color w:val="000000" w:themeColor="text1"/>
          <w:szCs w:val="24"/>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EAA20D3">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_Toc31992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六</w:t>
      </w:r>
      <w:r>
        <w:rPr>
          <w:rFonts w:ascii="宋体" w:hAnsi="宋体"/>
          <w:color w:val="000000" w:themeColor="text1"/>
          <w:szCs w:val="24"/>
          <w:highlight w:val="none"/>
          <w14:textFill>
            <w14:solidFill>
              <w14:schemeClr w14:val="tx1"/>
            </w14:solidFill>
          </w14:textFill>
        </w:rPr>
        <w:t>、培训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368B14B9">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_Toc28975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14:textFill>
            <w14:solidFill>
              <w14:schemeClr w14:val="tx1"/>
            </w14:solidFill>
          </w14:textFill>
        </w:rPr>
        <w:t>七、违约责任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94EAE7F">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_Toc5958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八</w:t>
      </w:r>
      <w:r>
        <w:rPr>
          <w:rFonts w:ascii="宋体" w:hAnsi="宋体"/>
          <w:color w:val="000000" w:themeColor="text1"/>
          <w:szCs w:val="24"/>
          <w:highlight w:val="none"/>
          <w14:textFill>
            <w14:solidFill>
              <w14:schemeClr w14:val="tx1"/>
            </w14:solidFill>
          </w14:textFill>
        </w:rPr>
        <w:t>、附件、图纸及包装要求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5355E465">
      <w:pPr>
        <w:pStyle w:val="46"/>
        <w:tabs>
          <w:tab w:val="right" w:leader="dot" w:pos="9525"/>
          <w:tab w:val="clear" w:pos="951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_Toc14009 </w:instrText>
      </w:r>
      <w:r>
        <w:rPr>
          <w:rFonts w:hint="eastAsia"/>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30"/>
          <w:highlight w:val="none"/>
          <w14:textFill>
            <w14:solidFill>
              <w14:schemeClr w14:val="tx1"/>
            </w14:solidFill>
          </w14:textFill>
        </w:rPr>
        <w:t>第四篇  比选程序及方法、评审标准、无效响应和采购终止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- 11 -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1548F51">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_Toc5483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一、比选程序及方法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- 11 -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354F39B">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_Toc11170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二、评审标准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0E438E23">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_Toc21957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三、无效响应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D112332">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_Toc17907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四、采购终止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4AE90EC">
      <w:pPr>
        <w:pStyle w:val="46"/>
        <w:tabs>
          <w:tab w:val="right" w:leader="dot" w:pos="9525"/>
          <w:tab w:val="clear" w:pos="951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_Toc19157 </w:instrText>
      </w:r>
      <w:r>
        <w:rPr>
          <w:rFonts w:hint="eastAsia"/>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30"/>
          <w:highlight w:val="none"/>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74940234">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_Toc6236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一、比选费用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_Toc6236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AE7CF9F">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_Toc17910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二、竞争性比选文件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C384E56">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_Toc14985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三、比选要求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7402F9D1">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_Toc25818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四、成交供应商的确认和变更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674C5FD">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_Toc3389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五、成交通知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345C923">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_Toc8134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六、关于质疑和投诉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678A5821">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_Toc4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七、采购代理服务费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693BE6E">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_Toc9963 </w:instrText>
      </w:r>
      <w:r>
        <w:rPr>
          <w:rFonts w:hint="eastAsia"/>
          <w:color w:val="000000" w:themeColor="text1"/>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八、签订合同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5567EA29">
      <w:pPr>
        <w:pStyle w:val="46"/>
        <w:tabs>
          <w:tab w:val="right" w:leader="dot" w:pos="9525"/>
          <w:tab w:val="clear" w:pos="951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_Toc28097 </w:instrText>
      </w:r>
      <w:r>
        <w:rPr>
          <w:rFonts w:hint="eastAsia"/>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30"/>
          <w:highlight w:val="none"/>
          <w14:textFill>
            <w14:solidFill>
              <w14:schemeClr w14:val="tx1"/>
            </w14:solidFill>
          </w14:textFill>
        </w:rPr>
        <w:t>第六篇  合同草案条款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0107927">
      <w:pPr>
        <w:pStyle w:val="46"/>
        <w:tabs>
          <w:tab w:val="right" w:leader="dot" w:pos="9525"/>
          <w:tab w:val="clear" w:pos="951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_Toc28495 </w:instrText>
      </w:r>
      <w:r>
        <w:rPr>
          <w:rFonts w:hint="eastAsia"/>
          <w:color w:val="000000" w:themeColor="text1"/>
          <w:highlight w:val="none"/>
          <w14:textFill>
            <w14:solidFill>
              <w14:schemeClr w14:val="tx1"/>
            </w14:solidFill>
          </w14:textFill>
        </w:rPr>
        <w:fldChar w:fldCharType="separate"/>
      </w:r>
      <w:r>
        <w:rPr>
          <w:rFonts w:ascii="宋体" w:hAnsi="宋体" w:eastAsia="宋体"/>
          <w:color w:val="000000" w:themeColor="text1"/>
          <w:szCs w:val="30"/>
          <w:highlight w:val="none"/>
          <w14:textFill>
            <w14:solidFill>
              <w14:schemeClr w14:val="tx1"/>
            </w14:solidFill>
          </w14:textFill>
        </w:rPr>
        <w:t>第七篇  响应文件编制要求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F93394B">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_Toc3684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一、经济部分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796A7B11">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_Toc5146 </w:instrText>
      </w:r>
      <w:r>
        <w:rPr>
          <w:rFonts w:hint="eastAsia"/>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二、技术部分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6D1B8E9C">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_Toc12166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三、商务部分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724BECCB">
      <w:pPr>
        <w:pStyle w:val="29"/>
        <w:tabs>
          <w:tab w:val="right" w:leader="dot" w:pos="952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_Toc5966 </w:instrText>
      </w:r>
      <w:r>
        <w:rPr>
          <w:rFonts w:hint="eastAsia"/>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四、资格条件及其他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9B63E7E">
      <w:pPr>
        <w:pStyle w:val="46"/>
        <w:rPr>
          <w:color w:val="000000" w:themeColor="text1"/>
          <w:highlight w:val="none"/>
          <w14:textFill>
            <w14:solidFill>
              <w14:schemeClr w14:val="tx1"/>
            </w14:solidFill>
          </w14:textFill>
        </w:rPr>
        <w:sectPr>
          <w:footerReference r:id="rId6" w:type="default"/>
          <w:pgSz w:w="11907" w:h="16840"/>
          <w:pgMar w:top="1134" w:right="1191" w:bottom="1134" w:left="1191" w:header="851" w:footer="992" w:gutter="0"/>
          <w:pgNumType w:fmt="numberInDash" w:start="1"/>
          <w:cols w:space="720" w:num="1"/>
          <w:docGrid w:linePitch="380" w:charSpace="-5735"/>
        </w:sectPr>
      </w:pPr>
      <w:r>
        <w:rPr>
          <w:rFonts w:hint="eastAsia"/>
          <w:color w:val="000000" w:themeColor="text1"/>
          <w:highlight w:val="none"/>
          <w14:textFill>
            <w14:solidFill>
              <w14:schemeClr w14:val="tx1"/>
            </w14:solidFill>
          </w14:textFill>
        </w:rPr>
        <w:fldChar w:fldCharType="end"/>
      </w:r>
    </w:p>
    <w:p w14:paraId="0D3E406C">
      <w:pPr>
        <w:pStyle w:val="4"/>
        <w:spacing w:line="360" w:lineRule="auto"/>
        <w:jc w:val="center"/>
        <w:rPr>
          <w:rFonts w:hint="eastAsia" w:ascii="宋体" w:hAnsi="宋体" w:eastAsia="宋体"/>
          <w:color w:val="000000" w:themeColor="text1"/>
          <w:sz w:val="36"/>
          <w:szCs w:val="30"/>
          <w:highlight w:val="none"/>
          <w14:textFill>
            <w14:solidFill>
              <w14:schemeClr w14:val="tx1"/>
            </w14:solidFill>
          </w14:textFill>
        </w:rPr>
      </w:pPr>
      <w:bookmarkStart w:id="0" w:name="_Toc11641050"/>
      <w:bookmarkStart w:id="1" w:name="_Toc12789052"/>
      <w:bookmarkStart w:id="2" w:name="_Toc26348"/>
      <w:r>
        <w:rPr>
          <w:rFonts w:hint="eastAsia" w:ascii="宋体" w:hAnsi="宋体" w:eastAsia="宋体"/>
          <w:color w:val="000000" w:themeColor="text1"/>
          <w:sz w:val="36"/>
          <w:szCs w:val="30"/>
          <w:highlight w:val="none"/>
          <w14:textFill>
            <w14:solidFill>
              <w14:schemeClr w14:val="tx1"/>
            </w14:solidFill>
          </w14:textFill>
        </w:rPr>
        <w:t>第一篇  采购邀请书</w:t>
      </w:r>
      <w:bookmarkEnd w:id="0"/>
      <w:bookmarkEnd w:id="1"/>
      <w:bookmarkEnd w:id="2"/>
    </w:p>
    <w:p w14:paraId="283A1DEB">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重庆市中基致信招标代理有限公司（以下简称：采购代理机构）接</w:t>
      </w:r>
      <w:r>
        <w:rPr>
          <w:rFonts w:ascii="宋体" w:hAnsi="宋体"/>
          <w:color w:val="000000" w:themeColor="text1"/>
          <w:sz w:val="24"/>
          <w:szCs w:val="24"/>
          <w:highlight w:val="none"/>
          <w14:textFill>
            <w14:solidFill>
              <w14:schemeClr w14:val="tx1"/>
            </w14:solidFill>
          </w14:textFill>
        </w:rPr>
        <w:t>受</w:t>
      </w:r>
      <w:r>
        <w:rPr>
          <w:rFonts w:hint="eastAsia" w:ascii="宋体" w:hAnsi="宋体"/>
          <w:color w:val="000000" w:themeColor="text1"/>
          <w:sz w:val="24"/>
          <w:szCs w:val="24"/>
          <w:highlight w:val="none"/>
          <w14:textFill>
            <w14:solidFill>
              <w14:schemeClr w14:val="tx1"/>
            </w14:solidFill>
          </w14:textFill>
        </w:rPr>
        <w:t>重庆市森林草原火灾预防预警监测中心的委托，对2025年火场通讯设备采购（项目号：CQCBJQ2506-217）进行竞争性比选采购。欢迎有资格的供应商前来参与比选。</w:t>
      </w:r>
    </w:p>
    <w:p w14:paraId="589A7A11">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3" w:name="_Toc317775175"/>
      <w:bookmarkStart w:id="4" w:name="_Toc313893526"/>
      <w:bookmarkStart w:id="5" w:name="_Toc28895"/>
      <w:r>
        <w:rPr>
          <w:rFonts w:hint="eastAsia" w:ascii="宋体" w:hAnsi="宋体"/>
          <w:color w:val="000000" w:themeColor="text1"/>
          <w:sz w:val="24"/>
          <w:szCs w:val="24"/>
          <w:highlight w:val="none"/>
          <w14:textFill>
            <w14:solidFill>
              <w14:schemeClr w14:val="tx1"/>
            </w14:solidFill>
          </w14:textFill>
        </w:rPr>
        <w:t>一、竞争性比选内容</w:t>
      </w:r>
      <w:bookmarkEnd w:id="3"/>
      <w:bookmarkEnd w:id="4"/>
      <w:bookmarkEnd w:id="5"/>
    </w:p>
    <w:tbl>
      <w:tblPr>
        <w:tblStyle w:val="5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1134"/>
        <w:gridCol w:w="1147"/>
        <w:gridCol w:w="1350"/>
        <w:gridCol w:w="1726"/>
      </w:tblGrid>
      <w:tr w14:paraId="287D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82" w:type="dxa"/>
            <w:tcBorders>
              <w:top w:val="single" w:color="auto" w:sz="4" w:space="0"/>
              <w:left w:val="single" w:color="auto" w:sz="4" w:space="0"/>
              <w:right w:val="single" w:color="auto" w:sz="4" w:space="0"/>
            </w:tcBorders>
            <w:vAlign w:val="center"/>
          </w:tcPr>
          <w:p w14:paraId="3949B2C5">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bookmarkStart w:id="6" w:name="_Toc317775178"/>
            <w:bookmarkStart w:id="7" w:name="_Toc373860293"/>
            <w:r>
              <w:rPr>
                <w:rFonts w:hint="eastAsia" w:ascii="宋体" w:hAnsi="宋体" w:cs="宋体"/>
                <w:b/>
                <w:bCs/>
                <w:color w:val="000000" w:themeColor="text1"/>
                <w:kern w:val="0"/>
                <w:sz w:val="21"/>
                <w:szCs w:val="21"/>
                <w:highlight w:val="none"/>
                <w14:textFill>
                  <w14:solidFill>
                    <w14:schemeClr w14:val="tx1"/>
                  </w14:solidFill>
                </w14:textFill>
              </w:rPr>
              <w:t>项目内容</w:t>
            </w:r>
          </w:p>
        </w:tc>
        <w:tc>
          <w:tcPr>
            <w:tcW w:w="1134" w:type="dxa"/>
            <w:tcBorders>
              <w:top w:val="single" w:color="auto" w:sz="4" w:space="0"/>
              <w:left w:val="single" w:color="auto" w:sz="4" w:space="0"/>
              <w:right w:val="single" w:color="auto" w:sz="4" w:space="0"/>
            </w:tcBorders>
            <w:vAlign w:val="center"/>
          </w:tcPr>
          <w:p w14:paraId="5B5C0C2D">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最高限价</w:t>
            </w:r>
          </w:p>
          <w:p w14:paraId="754C07AA">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（万元）</w:t>
            </w:r>
          </w:p>
        </w:tc>
        <w:tc>
          <w:tcPr>
            <w:tcW w:w="1147" w:type="dxa"/>
            <w:tcBorders>
              <w:top w:val="single" w:color="auto" w:sz="4" w:space="0"/>
              <w:left w:val="single" w:color="auto" w:sz="4" w:space="0"/>
              <w:right w:val="single" w:color="auto" w:sz="4" w:space="0"/>
            </w:tcBorders>
            <w:vAlign w:val="center"/>
          </w:tcPr>
          <w:p w14:paraId="00CF057D">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比选保证金（元）</w:t>
            </w:r>
          </w:p>
        </w:tc>
        <w:tc>
          <w:tcPr>
            <w:tcW w:w="1350" w:type="dxa"/>
            <w:tcBorders>
              <w:top w:val="single" w:color="auto" w:sz="4" w:space="0"/>
              <w:left w:val="single" w:color="auto" w:sz="4" w:space="0"/>
              <w:right w:val="single" w:color="auto" w:sz="4" w:space="0"/>
            </w:tcBorders>
            <w:vAlign w:val="center"/>
          </w:tcPr>
          <w:p w14:paraId="21124249">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成交供应商数量（名）</w:t>
            </w:r>
          </w:p>
        </w:tc>
        <w:tc>
          <w:tcPr>
            <w:tcW w:w="1726" w:type="dxa"/>
            <w:tcBorders>
              <w:top w:val="single" w:color="auto" w:sz="4" w:space="0"/>
              <w:left w:val="single" w:color="auto" w:sz="4" w:space="0"/>
              <w:right w:val="single" w:color="auto" w:sz="4" w:space="0"/>
            </w:tcBorders>
            <w:vAlign w:val="center"/>
          </w:tcPr>
          <w:p w14:paraId="5485B500">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采购标的对应的中小企业划分标准所属行业</w:t>
            </w:r>
          </w:p>
        </w:tc>
      </w:tr>
      <w:tr w14:paraId="536A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82" w:type="dxa"/>
            <w:tcBorders>
              <w:top w:val="single" w:color="auto" w:sz="4" w:space="0"/>
              <w:left w:val="single" w:color="auto" w:sz="4" w:space="0"/>
              <w:right w:val="single" w:color="auto" w:sz="4" w:space="0"/>
            </w:tcBorders>
            <w:vAlign w:val="center"/>
          </w:tcPr>
          <w:p w14:paraId="74CE15B5">
            <w:pPr>
              <w:pStyle w:val="23"/>
              <w:spacing w:line="240" w:lineRule="auto"/>
              <w:ind w:left="0"/>
              <w:jc w:val="center"/>
              <w:outlineLvl w:val="0"/>
              <w:rPr>
                <w:rFonts w:hint="eastAsia" w:ascii="宋体" w:hAnsi="宋体"/>
                <w:color w:val="000000" w:themeColor="text1"/>
                <w:sz w:val="21"/>
                <w:szCs w:val="21"/>
                <w:highlight w:val="none"/>
                <w14:textFill>
                  <w14:solidFill>
                    <w14:schemeClr w14:val="tx1"/>
                  </w14:solidFill>
                </w14:textFill>
              </w:rPr>
            </w:pPr>
            <w:bookmarkStart w:id="8" w:name="_Hlk344477914"/>
            <w:r>
              <w:rPr>
                <w:rFonts w:hint="eastAsia" w:ascii="宋体" w:hAnsi="宋体"/>
                <w:color w:val="000000" w:themeColor="text1"/>
                <w:sz w:val="21"/>
                <w:szCs w:val="21"/>
                <w:highlight w:val="none"/>
                <w14:textFill>
                  <w14:solidFill>
                    <w14:schemeClr w14:val="tx1"/>
                  </w14:solidFill>
                </w14:textFill>
              </w:rPr>
              <w:t>2025年火场通讯设备采购</w:t>
            </w:r>
          </w:p>
        </w:tc>
        <w:tc>
          <w:tcPr>
            <w:tcW w:w="1134" w:type="dxa"/>
            <w:tcBorders>
              <w:top w:val="single" w:color="auto" w:sz="4" w:space="0"/>
              <w:left w:val="single" w:color="auto" w:sz="4" w:space="0"/>
              <w:right w:val="single" w:color="auto" w:sz="4" w:space="0"/>
            </w:tcBorders>
            <w:vAlign w:val="center"/>
          </w:tcPr>
          <w:p w14:paraId="2123A5FC">
            <w:pPr>
              <w:pStyle w:val="23"/>
              <w:spacing w:line="240" w:lineRule="auto"/>
              <w:ind w:left="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48</w:t>
            </w:r>
          </w:p>
        </w:tc>
        <w:tc>
          <w:tcPr>
            <w:tcW w:w="1147" w:type="dxa"/>
            <w:tcBorders>
              <w:top w:val="single" w:color="auto" w:sz="4" w:space="0"/>
              <w:left w:val="single" w:color="auto" w:sz="4" w:space="0"/>
              <w:right w:val="single" w:color="auto" w:sz="4" w:space="0"/>
            </w:tcBorders>
            <w:vAlign w:val="center"/>
          </w:tcPr>
          <w:p w14:paraId="6FA3774E">
            <w:pPr>
              <w:pStyle w:val="23"/>
              <w:spacing w:line="240" w:lineRule="auto"/>
              <w:ind w:left="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w:t>
            </w:r>
          </w:p>
        </w:tc>
        <w:tc>
          <w:tcPr>
            <w:tcW w:w="1350" w:type="dxa"/>
            <w:tcBorders>
              <w:top w:val="single" w:color="auto" w:sz="4" w:space="0"/>
              <w:left w:val="single" w:color="auto" w:sz="4" w:space="0"/>
              <w:right w:val="single" w:color="auto" w:sz="4" w:space="0"/>
            </w:tcBorders>
            <w:vAlign w:val="center"/>
          </w:tcPr>
          <w:p w14:paraId="6D24E577">
            <w:pPr>
              <w:pStyle w:val="23"/>
              <w:spacing w:line="240" w:lineRule="auto"/>
              <w:ind w:left="0"/>
              <w:jc w:val="center"/>
              <w:outlineLvl w:val="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1726" w:type="dxa"/>
            <w:tcBorders>
              <w:top w:val="single" w:color="auto" w:sz="4" w:space="0"/>
              <w:left w:val="single" w:color="auto" w:sz="4" w:space="0"/>
              <w:right w:val="single" w:color="auto" w:sz="4" w:space="0"/>
            </w:tcBorders>
            <w:vAlign w:val="center"/>
          </w:tcPr>
          <w:p w14:paraId="3B84096E">
            <w:pPr>
              <w:pStyle w:val="23"/>
              <w:spacing w:line="240" w:lineRule="auto"/>
              <w:ind w:left="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工业</w:t>
            </w:r>
          </w:p>
        </w:tc>
      </w:tr>
      <w:bookmarkEnd w:id="8"/>
    </w:tbl>
    <w:p w14:paraId="3C11F886">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9" w:name="_Toc6002"/>
      <w:r>
        <w:rPr>
          <w:rFonts w:hint="eastAsia" w:ascii="宋体" w:hAnsi="宋体"/>
          <w:color w:val="000000" w:themeColor="text1"/>
          <w:sz w:val="24"/>
          <w:szCs w:val="24"/>
          <w:highlight w:val="none"/>
          <w14:textFill>
            <w14:solidFill>
              <w14:schemeClr w14:val="tx1"/>
            </w14:solidFill>
          </w14:textFill>
        </w:rPr>
        <w:t>二、资金来源</w:t>
      </w:r>
      <w:bookmarkEnd w:id="9"/>
    </w:p>
    <w:p w14:paraId="187805C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财政预算资金,预算金额为</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48</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万元。</w:t>
      </w:r>
    </w:p>
    <w:bookmarkEnd w:id="6"/>
    <w:bookmarkEnd w:id="7"/>
    <w:p w14:paraId="4F822F48">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10" w:name="_Toc75258773"/>
      <w:bookmarkStart w:id="11" w:name="_Toc4326"/>
      <w:r>
        <w:rPr>
          <w:rFonts w:hint="eastAsia" w:ascii="宋体" w:hAnsi="宋体"/>
          <w:color w:val="000000" w:themeColor="text1"/>
          <w:sz w:val="24"/>
          <w:szCs w:val="24"/>
          <w:highlight w:val="none"/>
          <w14:textFill>
            <w14:solidFill>
              <w14:schemeClr w14:val="tx1"/>
            </w14:solidFill>
          </w14:textFill>
        </w:rPr>
        <w:t>三、供应商资格条件</w:t>
      </w:r>
      <w:bookmarkEnd w:id="10"/>
      <w:bookmarkEnd w:id="11"/>
    </w:p>
    <w:p w14:paraId="505CB964">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bookmarkStart w:id="12" w:name="_Toc75258774"/>
      <w:r>
        <w:rPr>
          <w:rFonts w:hint="eastAsia" w:ascii="宋体" w:hAnsi="宋体"/>
          <w:color w:val="000000" w:themeColor="text1"/>
          <w:sz w:val="24"/>
          <w:szCs w:val="24"/>
          <w:highlight w:val="none"/>
          <w14:textFill>
            <w14:solidFill>
              <w14:schemeClr w14:val="tx1"/>
            </w14:solidFill>
          </w14:textFill>
        </w:rPr>
        <w:t>（一）合格供应商应满足《中华人民共和国政府采购法》第二十二条规定；</w:t>
      </w:r>
    </w:p>
    <w:p w14:paraId="1041222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（二）本项目的特定资格条件：无；</w:t>
      </w:r>
    </w:p>
    <w:p w14:paraId="2DC8BA97">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（三）落实政府采购政策需满足的资格要求：无。</w:t>
      </w:r>
    </w:p>
    <w:p w14:paraId="08AB0D13">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13" w:name="_Toc28084"/>
      <w:r>
        <w:rPr>
          <w:rFonts w:hint="eastAsia" w:ascii="宋体" w:hAnsi="宋体"/>
          <w:color w:val="000000" w:themeColor="text1"/>
          <w:sz w:val="24"/>
          <w:szCs w:val="24"/>
          <w:highlight w:val="none"/>
          <w14:textFill>
            <w14:solidFill>
              <w14:schemeClr w14:val="tx1"/>
            </w14:solidFill>
          </w14:textFill>
        </w:rPr>
        <w:t>四、比选有关说明</w:t>
      </w:r>
      <w:bookmarkEnd w:id="12"/>
      <w:bookmarkEnd w:id="13"/>
    </w:p>
    <w:p w14:paraId="1DC268A0">
      <w:pPr>
        <w:wordWrap w:val="0"/>
        <w:spacing w:line="360" w:lineRule="auto"/>
        <w:ind w:firstLine="480" w:firstLineChars="200"/>
        <w:rPr>
          <w:color w:val="000000" w:themeColor="text1"/>
          <w:sz w:val="24"/>
          <w:szCs w:val="24"/>
          <w:highlight w:val="none"/>
          <w14:textFill>
            <w14:solidFill>
              <w14:schemeClr w14:val="tx1"/>
            </w14:solidFill>
          </w14:textFill>
        </w:rPr>
      </w:pPr>
      <w:bookmarkStart w:id="14" w:name="_Toc373860294"/>
      <w:bookmarkStart w:id="15" w:name="_Toc75258775"/>
      <w:r>
        <w:rPr>
          <w:color w:val="000000" w:themeColor="text1"/>
          <w:sz w:val="24"/>
          <w:szCs w:val="24"/>
          <w:highlight w:val="none"/>
          <w14:textFill>
            <w14:solidFill>
              <w14:schemeClr w14:val="tx1"/>
            </w14:solidFill>
          </w14:textFill>
        </w:rPr>
        <w:t>（一）供应商应通过“行采家”平台（https://www.gec123.com）进行注册，成为行采家平台供应商。</w:t>
      </w:r>
    </w:p>
    <w:p w14:paraId="463482CA">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w:t>
      </w:r>
      <w:r>
        <w:rPr>
          <w:color w:val="000000" w:themeColor="text1"/>
          <w:sz w:val="24"/>
          <w:szCs w:val="24"/>
          <w:highlight w:val="none"/>
          <w14:textFill>
            <w14:solidFill>
              <w14:schemeClr w14:val="tx1"/>
            </w14:solidFill>
          </w14:textFill>
        </w:rPr>
        <w:t>凡有意参加</w:t>
      </w:r>
      <w:r>
        <w:rPr>
          <w:rFonts w:hint="eastAsia"/>
          <w:color w:val="000000" w:themeColor="text1"/>
          <w:sz w:val="24"/>
          <w:szCs w:val="24"/>
          <w:highlight w:val="none"/>
          <w14:textFill>
            <w14:solidFill>
              <w14:schemeClr w14:val="tx1"/>
            </w14:solidFill>
          </w14:textFill>
        </w:rPr>
        <w:t>比选</w:t>
      </w:r>
      <w:r>
        <w:rPr>
          <w:color w:val="000000" w:themeColor="text1"/>
          <w:sz w:val="24"/>
          <w:szCs w:val="24"/>
          <w:highlight w:val="none"/>
          <w14:textFill>
            <w14:solidFill>
              <w14:schemeClr w14:val="tx1"/>
            </w14:solidFill>
          </w14:textFill>
        </w:rPr>
        <w:t>的供应商，请在规定时间内进行报名。报名方式为：</w:t>
      </w:r>
    </w:p>
    <w:p w14:paraId="678A4FDB">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1.潜在供应商将《采购文件</w:t>
      </w:r>
      <w:r>
        <w:rPr>
          <w:rFonts w:hint="eastAsia"/>
          <w:color w:val="000000" w:themeColor="text1"/>
          <w:sz w:val="24"/>
          <w:szCs w:val="24"/>
          <w:highlight w:val="none"/>
          <w14:textFill>
            <w14:solidFill>
              <w14:schemeClr w14:val="tx1"/>
            </w14:solidFill>
          </w14:textFill>
        </w:rPr>
        <w:t>获取</w:t>
      </w:r>
      <w:r>
        <w:rPr>
          <w:color w:val="000000" w:themeColor="text1"/>
          <w:sz w:val="24"/>
          <w:szCs w:val="24"/>
          <w:highlight w:val="none"/>
          <w14:textFill>
            <w14:solidFill>
              <w14:schemeClr w14:val="tx1"/>
            </w14:solidFill>
          </w14:textFill>
        </w:rPr>
        <w:t>登记表》（加盖供应商公章）及标书费转账凭证扫描后发送至hulin@cqchinabase.com。</w:t>
      </w:r>
    </w:p>
    <w:p w14:paraId="4026618B">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 收款账户：</w:t>
      </w:r>
    </w:p>
    <w:p w14:paraId="1B78FB4C">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户  名：重庆市中基致信招标代理有限公司</w:t>
      </w:r>
    </w:p>
    <w:p w14:paraId="0B4D585F">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开户行：中国银行重庆江北支行</w:t>
      </w:r>
    </w:p>
    <w:p w14:paraId="3143EC1C">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账  号：1144 6718 4234</w:t>
      </w:r>
    </w:p>
    <w:p w14:paraId="15C5BF7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（三）竞争性比选文件</w:t>
      </w:r>
      <w:r>
        <w:rPr>
          <w:rFonts w:hint="eastAsia" w:ascii="宋体"/>
          <w:color w:val="000000" w:themeColor="text1"/>
          <w:sz w:val="24"/>
          <w:szCs w:val="24"/>
          <w:highlight w:val="none"/>
          <w14:textFill>
            <w14:solidFill>
              <w14:schemeClr w14:val="tx1"/>
            </w14:solidFill>
          </w14:textFill>
        </w:rPr>
        <w:t>获取</w:t>
      </w:r>
      <w:r>
        <w:rPr>
          <w:rFonts w:ascii="宋体"/>
          <w:color w:val="000000" w:themeColor="text1"/>
          <w:sz w:val="24"/>
          <w:szCs w:val="24"/>
          <w:highlight w:val="none"/>
          <w14:textFill>
            <w14:solidFill>
              <w14:schemeClr w14:val="tx1"/>
            </w14:solidFill>
          </w14:textFill>
        </w:rPr>
        <w:t>期限：</w:t>
      </w:r>
      <w:r>
        <w:rPr>
          <w:rFonts w:hint="eastAsia" w:ascii="宋体"/>
          <w:color w:val="000000" w:themeColor="text1"/>
          <w:sz w:val="24"/>
          <w:szCs w:val="24"/>
          <w:highlight w:val="none"/>
          <w14:textFill>
            <w14:solidFill>
              <w14:schemeClr w14:val="tx1"/>
            </w14:solidFill>
          </w14:textFill>
        </w:rPr>
        <w:t>2025年</w:t>
      </w:r>
      <w:r>
        <w:rPr>
          <w:rFonts w:hint="eastAsia" w:ascii="宋体"/>
          <w:color w:val="000000" w:themeColor="text1"/>
          <w:sz w:val="24"/>
          <w:szCs w:val="24"/>
          <w:highlight w:val="none"/>
          <w:lang w:val="en-US" w:eastAsia="zh-CN"/>
          <w14:textFill>
            <w14:solidFill>
              <w14:schemeClr w14:val="tx1"/>
            </w14:solidFill>
          </w14:textFill>
        </w:rPr>
        <w:t>6</w:t>
      </w:r>
      <w:r>
        <w:rPr>
          <w:rFonts w:ascii="宋体"/>
          <w:color w:val="000000" w:themeColor="text1"/>
          <w:sz w:val="24"/>
          <w:szCs w:val="24"/>
          <w:highlight w:val="none"/>
          <w14:textFill>
            <w14:solidFill>
              <w14:schemeClr w14:val="tx1"/>
            </w14:solidFill>
          </w14:textFill>
        </w:rPr>
        <w:t>月</w:t>
      </w:r>
      <w:r>
        <w:rPr>
          <w:rFonts w:hint="eastAsia" w:ascii="宋体"/>
          <w:color w:val="000000" w:themeColor="text1"/>
          <w:sz w:val="24"/>
          <w:szCs w:val="24"/>
          <w:highlight w:val="none"/>
          <w:lang w:val="en-US" w:eastAsia="zh-CN"/>
          <w14:textFill>
            <w14:solidFill>
              <w14:schemeClr w14:val="tx1"/>
            </w14:solidFill>
          </w14:textFill>
        </w:rPr>
        <w:t>15</w:t>
      </w:r>
      <w:r>
        <w:rPr>
          <w:rFonts w:ascii="宋体"/>
          <w:color w:val="000000" w:themeColor="text1"/>
          <w:sz w:val="24"/>
          <w:szCs w:val="24"/>
          <w:highlight w:val="none"/>
          <w14:textFill>
            <w14:solidFill>
              <w14:schemeClr w14:val="tx1"/>
            </w14:solidFill>
          </w14:textFill>
        </w:rPr>
        <w:t>日-</w:t>
      </w:r>
      <w:r>
        <w:rPr>
          <w:rFonts w:hint="eastAsia" w:ascii="宋体"/>
          <w:color w:val="000000" w:themeColor="text1"/>
          <w:sz w:val="24"/>
          <w:szCs w:val="24"/>
          <w:highlight w:val="none"/>
          <w14:textFill>
            <w14:solidFill>
              <w14:schemeClr w14:val="tx1"/>
            </w14:solidFill>
          </w14:textFill>
        </w:rPr>
        <w:t>2025年</w:t>
      </w:r>
      <w:r>
        <w:rPr>
          <w:rFonts w:hint="eastAsia" w:ascii="宋体"/>
          <w:color w:val="000000" w:themeColor="text1"/>
          <w:sz w:val="24"/>
          <w:szCs w:val="24"/>
          <w:highlight w:val="none"/>
          <w:lang w:val="en-US" w:eastAsia="zh-CN"/>
          <w14:textFill>
            <w14:solidFill>
              <w14:schemeClr w14:val="tx1"/>
            </w14:solidFill>
          </w14:textFill>
        </w:rPr>
        <w:t>6</w:t>
      </w:r>
      <w:r>
        <w:rPr>
          <w:rFonts w:ascii="宋体"/>
          <w:color w:val="000000" w:themeColor="text1"/>
          <w:sz w:val="24"/>
          <w:szCs w:val="24"/>
          <w:highlight w:val="none"/>
          <w14:textFill>
            <w14:solidFill>
              <w14:schemeClr w14:val="tx1"/>
            </w14:solidFill>
          </w14:textFill>
        </w:rPr>
        <w:t>月</w:t>
      </w:r>
      <w:r>
        <w:rPr>
          <w:rFonts w:hint="eastAsia" w:ascii="宋体"/>
          <w:color w:val="000000" w:themeColor="text1"/>
          <w:sz w:val="24"/>
          <w:szCs w:val="24"/>
          <w:highlight w:val="none"/>
          <w:lang w:val="en-US" w:eastAsia="zh-CN"/>
          <w14:textFill>
            <w14:solidFill>
              <w14:schemeClr w14:val="tx1"/>
            </w14:solidFill>
          </w14:textFill>
        </w:rPr>
        <w:t>18</w:t>
      </w:r>
      <w:r>
        <w:rPr>
          <w:rFonts w:ascii="宋体"/>
          <w:color w:val="000000" w:themeColor="text1"/>
          <w:sz w:val="24"/>
          <w:szCs w:val="24"/>
          <w:highlight w:val="none"/>
          <w14:textFill>
            <w14:solidFill>
              <w14:schemeClr w14:val="tx1"/>
            </w14:solidFill>
          </w14:textFill>
        </w:rPr>
        <w:t>日</w:t>
      </w:r>
      <w:r>
        <w:rPr>
          <w:rFonts w:hint="eastAsia" w:ascii="宋体"/>
          <w:color w:val="000000" w:themeColor="text1"/>
          <w:sz w:val="24"/>
          <w:szCs w:val="24"/>
          <w:highlight w:val="none"/>
          <w14:textFill>
            <w14:solidFill>
              <w14:schemeClr w14:val="tx1"/>
            </w14:solidFill>
          </w14:textFill>
        </w:rPr>
        <w:t>（9:</w:t>
      </w:r>
      <w:r>
        <w:rPr>
          <w:rFonts w:ascii="宋体"/>
          <w:color w:val="000000" w:themeColor="text1"/>
          <w:sz w:val="24"/>
          <w:szCs w:val="24"/>
          <w:highlight w:val="none"/>
          <w14:textFill>
            <w14:solidFill>
              <w14:schemeClr w14:val="tx1"/>
            </w14:solidFill>
          </w14:textFill>
        </w:rPr>
        <w:t>00</w:t>
      </w:r>
      <w:r>
        <w:rPr>
          <w:rFonts w:hint="eastAsia" w:ascii="宋体"/>
          <w:color w:val="000000" w:themeColor="text1"/>
          <w:sz w:val="24"/>
          <w:szCs w:val="24"/>
          <w:highlight w:val="none"/>
          <w14:textFill>
            <w14:solidFill>
              <w14:schemeClr w14:val="tx1"/>
            </w14:solidFill>
          </w14:textFill>
        </w:rPr>
        <w:t>-</w:t>
      </w:r>
      <w:r>
        <w:rPr>
          <w:rFonts w:ascii="宋体"/>
          <w:color w:val="000000" w:themeColor="text1"/>
          <w:sz w:val="24"/>
          <w:szCs w:val="24"/>
          <w:highlight w:val="none"/>
          <w14:textFill>
            <w14:solidFill>
              <w14:schemeClr w14:val="tx1"/>
            </w14:solidFill>
          </w14:textFill>
        </w:rPr>
        <w:t>17</w:t>
      </w:r>
      <w:r>
        <w:rPr>
          <w:rFonts w:hint="eastAsia" w:ascii="宋体"/>
          <w:color w:val="000000" w:themeColor="text1"/>
          <w:sz w:val="24"/>
          <w:szCs w:val="24"/>
          <w:highlight w:val="none"/>
          <w14:textFill>
            <w14:solidFill>
              <w14:schemeClr w14:val="tx1"/>
            </w14:solidFill>
          </w14:textFill>
        </w:rPr>
        <w:t>:</w:t>
      </w:r>
      <w:r>
        <w:rPr>
          <w:rFonts w:ascii="宋体"/>
          <w:color w:val="000000" w:themeColor="text1"/>
          <w:sz w:val="24"/>
          <w:szCs w:val="24"/>
          <w:highlight w:val="none"/>
          <w14:textFill>
            <w14:solidFill>
              <w14:schemeClr w14:val="tx1"/>
            </w14:solidFill>
          </w14:textFill>
        </w:rPr>
        <w:t>00</w:t>
      </w:r>
      <w:r>
        <w:rPr>
          <w:rFonts w:hint="eastAsia" w:ascii="宋体"/>
          <w:color w:val="000000" w:themeColor="text1"/>
          <w:sz w:val="24"/>
          <w:szCs w:val="24"/>
          <w:highlight w:val="none"/>
          <w14:textFill>
            <w14:solidFill>
              <w14:schemeClr w14:val="tx1"/>
            </w14:solidFill>
          </w14:textFill>
        </w:rPr>
        <w:t>）</w:t>
      </w:r>
      <w:r>
        <w:rPr>
          <w:rFonts w:ascii="宋体"/>
          <w:color w:val="000000" w:themeColor="text1"/>
          <w:sz w:val="24"/>
          <w:szCs w:val="24"/>
          <w:highlight w:val="none"/>
          <w14:textFill>
            <w14:solidFill>
              <w14:schemeClr w14:val="tx1"/>
            </w14:solidFill>
          </w14:textFill>
        </w:rPr>
        <w:t>。</w:t>
      </w:r>
    </w:p>
    <w:p w14:paraId="5E4F3B8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（四）竞争性比选文件发售</w:t>
      </w:r>
    </w:p>
    <w:p w14:paraId="20AAA6B2">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1.售价：</w:t>
      </w:r>
      <w:r>
        <w:rPr>
          <w:rFonts w:hint="eastAsia" w:ascii="宋体"/>
          <w:color w:val="000000" w:themeColor="text1"/>
          <w:sz w:val="24"/>
          <w:szCs w:val="24"/>
          <w:highlight w:val="none"/>
          <w14:textFill>
            <w14:solidFill>
              <w14:schemeClr w14:val="tx1"/>
            </w14:solidFill>
          </w14:textFill>
        </w:rPr>
        <w:t>人民币 300 元/分包（售后不退）。</w:t>
      </w:r>
    </w:p>
    <w:p w14:paraId="4DC9C48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2.竞争性比选文件获取方式：由潜在供应商在</w:t>
      </w:r>
      <w:r>
        <w:rPr>
          <w:rFonts w:hint="eastAsia" w:ascii="宋体"/>
          <w:color w:val="000000" w:themeColor="text1"/>
          <w:sz w:val="24"/>
          <w:szCs w:val="24"/>
          <w:highlight w:val="none"/>
          <w14:textFill>
            <w14:solidFill>
              <w14:schemeClr w14:val="tx1"/>
            </w14:solidFill>
          </w14:textFill>
        </w:rPr>
        <w:t>行采家平台</w:t>
      </w:r>
      <w:r>
        <w:rPr>
          <w:rFonts w:ascii="宋体"/>
          <w:color w:val="000000" w:themeColor="text1"/>
          <w:sz w:val="24"/>
          <w:szCs w:val="24"/>
          <w:highlight w:val="none"/>
          <w14:textFill>
            <w14:solidFill>
              <w14:schemeClr w14:val="tx1"/>
            </w14:solidFill>
          </w14:textFill>
        </w:rPr>
        <w:t>自行下载。</w:t>
      </w:r>
    </w:p>
    <w:p w14:paraId="5085E615">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（五）供应商须满足以下</w:t>
      </w:r>
      <w:r>
        <w:rPr>
          <w:rFonts w:hint="eastAsia" w:ascii="宋体"/>
          <w:color w:val="000000" w:themeColor="text1"/>
          <w:sz w:val="24"/>
          <w:szCs w:val="24"/>
          <w:highlight w:val="none"/>
          <w14:textFill>
            <w14:solidFill>
              <w14:schemeClr w14:val="tx1"/>
            </w14:solidFill>
          </w14:textFill>
        </w:rPr>
        <w:t>两</w:t>
      </w:r>
      <w:r>
        <w:rPr>
          <w:rFonts w:ascii="宋体"/>
          <w:color w:val="000000" w:themeColor="text1"/>
          <w:sz w:val="24"/>
          <w:szCs w:val="24"/>
          <w:highlight w:val="none"/>
          <w14:textFill>
            <w14:solidFill>
              <w14:schemeClr w14:val="tx1"/>
            </w14:solidFill>
          </w14:textFill>
        </w:rPr>
        <w:t>种要件，其响应文件才被接受：</w:t>
      </w:r>
    </w:p>
    <w:p w14:paraId="3BD88873">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1.完成报名；</w:t>
      </w:r>
    </w:p>
    <w:p w14:paraId="7CF76EED">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2.按时递交了响应文件；</w:t>
      </w:r>
    </w:p>
    <w:p w14:paraId="3B67816B">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3.按时签到。</w:t>
      </w:r>
    </w:p>
    <w:p w14:paraId="0CDCC18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（六）递交响应文件地点：</w:t>
      </w:r>
      <w:r>
        <w:rPr>
          <w:rFonts w:hint="eastAsia" w:ascii="宋体"/>
          <w:color w:val="000000" w:themeColor="text1"/>
          <w:sz w:val="24"/>
          <w:szCs w:val="24"/>
          <w:highlight w:val="none"/>
          <w14:textFill>
            <w14:solidFill>
              <w14:schemeClr w14:val="tx1"/>
            </w14:solidFill>
          </w14:textFill>
        </w:rPr>
        <w:t>重庆市中基致信招标代理有限公司会议室</w:t>
      </w:r>
    </w:p>
    <w:p w14:paraId="0BF877B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（七）响应文件递交：</w:t>
      </w:r>
    </w:p>
    <w:p w14:paraId="56145E26">
      <w:pPr>
        <w:snapToGrid w:val="0"/>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1</w:t>
      </w:r>
      <w:r>
        <w:rPr>
          <w:rFonts w:ascii="宋体"/>
          <w:b/>
          <w:bCs/>
          <w:color w:val="000000" w:themeColor="text1"/>
          <w:sz w:val="24"/>
          <w:szCs w:val="24"/>
          <w:highlight w:val="none"/>
          <w14:textFill>
            <w14:solidFill>
              <w14:schemeClr w14:val="tx1"/>
            </w14:solidFill>
          </w14:textFill>
        </w:rPr>
        <w:t>.</w:t>
      </w:r>
      <w:r>
        <w:rPr>
          <w:rFonts w:hint="eastAsia" w:ascii="宋体"/>
          <w:b/>
          <w:bCs/>
          <w:color w:val="000000" w:themeColor="text1"/>
          <w:sz w:val="24"/>
          <w:szCs w:val="24"/>
          <w:highlight w:val="none"/>
          <w14:textFill>
            <w14:solidFill>
              <w14:schemeClr w14:val="tx1"/>
            </w14:solidFill>
          </w14:textFill>
        </w:rPr>
        <w:t>线上响应文件递交开始及截止时间：2025年</w:t>
      </w:r>
      <w:r>
        <w:rPr>
          <w:rFonts w:hint="eastAsia" w:ascii="宋体"/>
          <w:b/>
          <w:bCs/>
          <w:color w:val="000000" w:themeColor="text1"/>
          <w:sz w:val="24"/>
          <w:szCs w:val="24"/>
          <w:highlight w:val="none"/>
          <w:lang w:val="en-US" w:eastAsia="zh-CN"/>
          <w14:textFill>
            <w14:solidFill>
              <w14:schemeClr w14:val="tx1"/>
            </w14:solidFill>
          </w14:textFill>
        </w:rPr>
        <w:t>6</w:t>
      </w:r>
      <w:r>
        <w:rPr>
          <w:rFonts w:hint="eastAsia" w:ascii="宋体"/>
          <w:b/>
          <w:bCs/>
          <w:color w:val="000000" w:themeColor="text1"/>
          <w:sz w:val="24"/>
          <w:szCs w:val="24"/>
          <w:highlight w:val="none"/>
          <w14:textFill>
            <w14:solidFill>
              <w14:schemeClr w14:val="tx1"/>
            </w14:solidFill>
          </w14:textFill>
        </w:rPr>
        <w:t>月</w:t>
      </w:r>
      <w:r>
        <w:rPr>
          <w:rFonts w:hint="eastAsia" w:ascii="宋体"/>
          <w:b/>
          <w:bCs/>
          <w:color w:val="000000" w:themeColor="text1"/>
          <w:sz w:val="24"/>
          <w:szCs w:val="24"/>
          <w:highlight w:val="none"/>
          <w:lang w:val="en-US" w:eastAsia="zh-CN"/>
          <w14:textFill>
            <w14:solidFill>
              <w14:schemeClr w14:val="tx1"/>
            </w14:solidFill>
          </w14:textFill>
        </w:rPr>
        <w:t>19</w:t>
      </w:r>
      <w:r>
        <w:rPr>
          <w:rFonts w:hint="eastAsia" w:ascii="宋体"/>
          <w:b/>
          <w:bCs/>
          <w:color w:val="000000" w:themeColor="text1"/>
          <w:sz w:val="24"/>
          <w:szCs w:val="24"/>
          <w:highlight w:val="none"/>
          <w14:textFill>
            <w14:solidFill>
              <w14:schemeClr w14:val="tx1"/>
            </w14:solidFill>
          </w14:textFill>
        </w:rPr>
        <w:t>日9:0</w:t>
      </w:r>
      <w:r>
        <w:rPr>
          <w:rFonts w:ascii="宋体"/>
          <w:b/>
          <w:bCs/>
          <w:color w:val="000000" w:themeColor="text1"/>
          <w:sz w:val="24"/>
          <w:szCs w:val="24"/>
          <w:highlight w:val="none"/>
          <w14:textFill>
            <w14:solidFill>
              <w14:schemeClr w14:val="tx1"/>
            </w14:solidFill>
          </w14:textFill>
        </w:rPr>
        <w:t>0</w:t>
      </w:r>
      <w:r>
        <w:rPr>
          <w:rFonts w:hint="eastAsia" w:ascii="宋体"/>
          <w:b/>
          <w:bCs/>
          <w:color w:val="000000" w:themeColor="text1"/>
          <w:sz w:val="24"/>
          <w:szCs w:val="24"/>
          <w:highlight w:val="none"/>
          <w14:textFill>
            <w14:solidFill>
              <w14:schemeClr w14:val="tx1"/>
            </w14:solidFill>
          </w14:textFill>
        </w:rPr>
        <w:t>-</w:t>
      </w:r>
      <w:r>
        <w:rPr>
          <w:rFonts w:ascii="宋体"/>
          <w:b/>
          <w:bCs/>
          <w:color w:val="000000" w:themeColor="text1"/>
          <w:sz w:val="24"/>
          <w:szCs w:val="24"/>
          <w:highlight w:val="none"/>
          <w14:textFill>
            <w14:solidFill>
              <w14:schemeClr w14:val="tx1"/>
            </w14:solidFill>
          </w14:textFill>
        </w:rPr>
        <w:t>1</w:t>
      </w:r>
      <w:r>
        <w:rPr>
          <w:rFonts w:hint="eastAsia" w:ascii="宋体"/>
          <w:b/>
          <w:bCs/>
          <w:color w:val="000000" w:themeColor="text1"/>
          <w:sz w:val="24"/>
          <w:szCs w:val="24"/>
          <w:highlight w:val="none"/>
          <w14:textFill>
            <w14:solidFill>
              <w14:schemeClr w14:val="tx1"/>
            </w14:solidFill>
          </w14:textFill>
        </w:rPr>
        <w:t>1:0</w:t>
      </w:r>
      <w:r>
        <w:rPr>
          <w:rFonts w:ascii="宋体"/>
          <w:b/>
          <w:bCs/>
          <w:color w:val="000000" w:themeColor="text1"/>
          <w:sz w:val="24"/>
          <w:szCs w:val="24"/>
          <w:highlight w:val="none"/>
          <w14:textFill>
            <w14:solidFill>
              <w14:schemeClr w14:val="tx1"/>
            </w14:solidFill>
          </w14:textFill>
        </w:rPr>
        <w:t>0</w:t>
      </w:r>
    </w:p>
    <w:p w14:paraId="666CAF05">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线下响应文件递交开始及截止时间：</w:t>
      </w:r>
      <w:bookmarkStart w:id="16" w:name="_Hlk101716715"/>
      <w:r>
        <w:rPr>
          <w:rFonts w:hint="eastAsia" w:ascii="宋体"/>
          <w:color w:val="000000" w:themeColor="text1"/>
          <w:sz w:val="24"/>
          <w:szCs w:val="24"/>
          <w:highlight w:val="none"/>
          <w14:textFill>
            <w14:solidFill>
              <w14:schemeClr w14:val="tx1"/>
            </w14:solidFill>
          </w14:textFill>
        </w:rPr>
        <w:t>2025年</w:t>
      </w:r>
      <w:r>
        <w:rPr>
          <w:rFonts w:hint="eastAsia" w:ascii="宋体"/>
          <w:color w:val="000000" w:themeColor="text1"/>
          <w:sz w:val="24"/>
          <w:szCs w:val="24"/>
          <w:highlight w:val="none"/>
          <w:lang w:val="en-US" w:eastAsia="zh-CN"/>
          <w14:textFill>
            <w14:solidFill>
              <w14:schemeClr w14:val="tx1"/>
            </w14:solidFill>
          </w14:textFill>
        </w:rPr>
        <w:t>6</w:t>
      </w:r>
      <w:r>
        <w:rPr>
          <w:rFonts w:ascii="宋体"/>
          <w:color w:val="000000" w:themeColor="text1"/>
          <w:sz w:val="24"/>
          <w:szCs w:val="24"/>
          <w:highlight w:val="none"/>
          <w14:textFill>
            <w14:solidFill>
              <w14:schemeClr w14:val="tx1"/>
            </w14:solidFill>
          </w14:textFill>
        </w:rPr>
        <w:t>月</w:t>
      </w:r>
      <w:r>
        <w:rPr>
          <w:rFonts w:hint="eastAsia" w:ascii="宋体"/>
          <w:color w:val="000000" w:themeColor="text1"/>
          <w:sz w:val="24"/>
          <w:szCs w:val="24"/>
          <w:highlight w:val="none"/>
          <w:lang w:val="en-US" w:eastAsia="zh-CN"/>
          <w14:textFill>
            <w14:solidFill>
              <w14:schemeClr w14:val="tx1"/>
            </w14:solidFill>
          </w14:textFill>
        </w:rPr>
        <w:t>19</w:t>
      </w:r>
      <w:r>
        <w:rPr>
          <w:rFonts w:ascii="宋体"/>
          <w:color w:val="000000" w:themeColor="text1"/>
          <w:sz w:val="24"/>
          <w:szCs w:val="24"/>
          <w:highlight w:val="none"/>
          <w14:textFill>
            <w14:solidFill>
              <w14:schemeClr w14:val="tx1"/>
            </w14:solidFill>
          </w14:textFill>
        </w:rPr>
        <w:t>日1</w:t>
      </w:r>
      <w:r>
        <w:rPr>
          <w:rFonts w:hint="eastAsia" w:ascii="宋体"/>
          <w:color w:val="000000" w:themeColor="text1"/>
          <w:sz w:val="24"/>
          <w:szCs w:val="24"/>
          <w:highlight w:val="none"/>
          <w14:textFill>
            <w14:solidFill>
              <w14:schemeClr w14:val="tx1"/>
            </w14:solidFill>
          </w14:textFill>
        </w:rPr>
        <w:t>0</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3</w:t>
      </w:r>
      <w:r>
        <w:rPr>
          <w:rFonts w:ascii="宋体"/>
          <w:color w:val="000000" w:themeColor="text1"/>
          <w:sz w:val="24"/>
          <w:szCs w:val="24"/>
          <w:highlight w:val="none"/>
          <w14:textFill>
            <w14:solidFill>
              <w14:schemeClr w14:val="tx1"/>
            </w14:solidFill>
          </w14:textFill>
        </w:rPr>
        <w:t>0</w:t>
      </w:r>
      <w:r>
        <w:rPr>
          <w:rFonts w:hint="eastAsia" w:ascii="宋体"/>
          <w:color w:val="000000" w:themeColor="text1"/>
          <w:sz w:val="24"/>
          <w:szCs w:val="24"/>
          <w:highlight w:val="none"/>
          <w14:textFill>
            <w14:solidFill>
              <w14:schemeClr w14:val="tx1"/>
            </w14:solidFill>
          </w14:textFill>
        </w:rPr>
        <w:t>-</w:t>
      </w:r>
      <w:r>
        <w:rPr>
          <w:rFonts w:ascii="宋体"/>
          <w:color w:val="000000" w:themeColor="text1"/>
          <w:sz w:val="24"/>
          <w:szCs w:val="24"/>
          <w:highlight w:val="none"/>
          <w14:textFill>
            <w14:solidFill>
              <w14:schemeClr w14:val="tx1"/>
            </w14:solidFill>
          </w14:textFill>
        </w:rPr>
        <w:t>1</w:t>
      </w:r>
      <w:r>
        <w:rPr>
          <w:rFonts w:hint="eastAsia" w:ascii="宋体"/>
          <w:color w:val="000000" w:themeColor="text1"/>
          <w:sz w:val="24"/>
          <w:szCs w:val="24"/>
          <w:highlight w:val="none"/>
          <w14:textFill>
            <w14:solidFill>
              <w14:schemeClr w14:val="tx1"/>
            </w14:solidFill>
          </w14:textFill>
        </w:rPr>
        <w:t>1:0</w:t>
      </w:r>
      <w:r>
        <w:rPr>
          <w:rFonts w:ascii="宋体"/>
          <w:color w:val="000000" w:themeColor="text1"/>
          <w:sz w:val="24"/>
          <w:szCs w:val="24"/>
          <w:highlight w:val="none"/>
          <w14:textFill>
            <w14:solidFill>
              <w14:schemeClr w14:val="tx1"/>
            </w14:solidFill>
          </w14:textFill>
        </w:rPr>
        <w:t>0</w:t>
      </w:r>
      <w:bookmarkEnd w:id="16"/>
    </w:p>
    <w:p w14:paraId="72833D2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（八）响应文件开启时间：</w:t>
      </w:r>
      <w:r>
        <w:rPr>
          <w:rFonts w:hint="eastAsia" w:ascii="宋体"/>
          <w:color w:val="000000" w:themeColor="text1"/>
          <w:sz w:val="24"/>
          <w:szCs w:val="24"/>
          <w:highlight w:val="none"/>
          <w14:textFill>
            <w14:solidFill>
              <w14:schemeClr w14:val="tx1"/>
            </w14:solidFill>
          </w14:textFill>
        </w:rPr>
        <w:t>2025年</w:t>
      </w:r>
      <w:r>
        <w:rPr>
          <w:rFonts w:hint="eastAsia" w:ascii="宋体"/>
          <w:color w:val="000000" w:themeColor="text1"/>
          <w:sz w:val="24"/>
          <w:szCs w:val="24"/>
          <w:highlight w:val="none"/>
          <w:lang w:val="en-US" w:eastAsia="zh-CN"/>
          <w14:textFill>
            <w14:solidFill>
              <w14:schemeClr w14:val="tx1"/>
            </w14:solidFill>
          </w14:textFill>
        </w:rPr>
        <w:t>6</w:t>
      </w:r>
      <w:r>
        <w:rPr>
          <w:rFonts w:ascii="宋体"/>
          <w:color w:val="000000" w:themeColor="text1"/>
          <w:sz w:val="24"/>
          <w:szCs w:val="24"/>
          <w:highlight w:val="none"/>
          <w14:textFill>
            <w14:solidFill>
              <w14:schemeClr w14:val="tx1"/>
            </w14:solidFill>
          </w14:textFill>
        </w:rPr>
        <w:t>月</w:t>
      </w:r>
      <w:r>
        <w:rPr>
          <w:rFonts w:hint="eastAsia" w:ascii="宋体"/>
          <w:color w:val="000000" w:themeColor="text1"/>
          <w:sz w:val="24"/>
          <w:szCs w:val="24"/>
          <w:highlight w:val="none"/>
          <w:lang w:val="en-US" w:eastAsia="zh-CN"/>
          <w14:textFill>
            <w14:solidFill>
              <w14:schemeClr w14:val="tx1"/>
            </w14:solidFill>
          </w14:textFill>
        </w:rPr>
        <w:t>19</w:t>
      </w:r>
      <w:r>
        <w:rPr>
          <w:rFonts w:ascii="宋体"/>
          <w:color w:val="000000" w:themeColor="text1"/>
          <w:sz w:val="24"/>
          <w:szCs w:val="24"/>
          <w:highlight w:val="none"/>
          <w14:textFill>
            <w14:solidFill>
              <w14:schemeClr w14:val="tx1"/>
            </w14:solidFill>
          </w14:textFill>
        </w:rPr>
        <w:t>日1</w:t>
      </w:r>
      <w:r>
        <w:rPr>
          <w:rFonts w:hint="eastAsia" w:ascii="宋体"/>
          <w:color w:val="000000" w:themeColor="text1"/>
          <w:sz w:val="24"/>
          <w:szCs w:val="24"/>
          <w:highlight w:val="none"/>
          <w14:textFill>
            <w14:solidFill>
              <w14:schemeClr w14:val="tx1"/>
            </w14:solidFill>
          </w14:textFill>
        </w:rPr>
        <w:t>1</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0</w:t>
      </w:r>
      <w:r>
        <w:rPr>
          <w:rFonts w:ascii="宋体"/>
          <w:color w:val="000000" w:themeColor="text1"/>
          <w:sz w:val="24"/>
          <w:szCs w:val="24"/>
          <w:highlight w:val="none"/>
          <w14:textFill>
            <w14:solidFill>
              <w14:schemeClr w14:val="tx1"/>
            </w14:solidFill>
          </w14:textFill>
        </w:rPr>
        <w:t>0</w:t>
      </w:r>
    </w:p>
    <w:p w14:paraId="08F0D6D8">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17" w:name="_Toc2491"/>
      <w:r>
        <w:rPr>
          <w:rFonts w:hint="eastAsia" w:ascii="宋体" w:hAnsi="宋体"/>
          <w:color w:val="000000" w:themeColor="text1"/>
          <w:sz w:val="24"/>
          <w:szCs w:val="24"/>
          <w:highlight w:val="none"/>
          <w14:textFill>
            <w14:solidFill>
              <w14:schemeClr w14:val="tx1"/>
            </w14:solidFill>
          </w14:textFill>
        </w:rPr>
        <w:t>五、比选保证金</w:t>
      </w:r>
      <w:bookmarkEnd w:id="14"/>
      <w:bookmarkEnd w:id="15"/>
      <w:bookmarkEnd w:id="17"/>
    </w:p>
    <w:p w14:paraId="1A6ED411">
      <w:pPr>
        <w:snapToGrid w:val="0"/>
        <w:spacing w:line="360" w:lineRule="auto"/>
        <w:ind w:firstLine="480" w:firstLineChars="200"/>
        <w:rPr>
          <w:color w:val="000000" w:themeColor="text1"/>
          <w:sz w:val="24"/>
          <w:szCs w:val="24"/>
          <w:highlight w:val="none"/>
          <w14:textFill>
            <w14:solidFill>
              <w14:schemeClr w14:val="tx1"/>
            </w14:solidFill>
          </w14:textFill>
        </w:rPr>
      </w:pPr>
      <w:bookmarkStart w:id="18" w:name="_Toc530038692"/>
      <w:bookmarkStart w:id="19" w:name="_Toc75258776"/>
      <w:r>
        <w:rPr>
          <w:rFonts w:hint="eastAsia"/>
          <w:color w:val="000000" w:themeColor="text1"/>
          <w:sz w:val="24"/>
          <w:szCs w:val="24"/>
          <w:highlight w:val="none"/>
          <w14:textFill>
            <w14:solidFill>
              <w14:schemeClr w14:val="tx1"/>
            </w14:solidFill>
          </w14:textFill>
        </w:rPr>
        <w:t>本项目无需递交比选保证金。</w:t>
      </w:r>
    </w:p>
    <w:p w14:paraId="28CA617A">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20" w:name="_Toc13445"/>
      <w:r>
        <w:rPr>
          <w:rFonts w:hint="eastAsia" w:ascii="宋体" w:hAnsi="宋体"/>
          <w:color w:val="000000" w:themeColor="text1"/>
          <w:sz w:val="24"/>
          <w:szCs w:val="24"/>
          <w:highlight w:val="none"/>
          <w14:textFill>
            <w14:solidFill>
              <w14:schemeClr w14:val="tx1"/>
            </w14:solidFill>
          </w14:textFill>
        </w:rPr>
        <w:t>六、采购项目需落实的政府采购政策</w:t>
      </w:r>
      <w:bookmarkEnd w:id="18"/>
      <w:bookmarkEnd w:id="19"/>
      <w:bookmarkEnd w:id="20"/>
    </w:p>
    <w:p w14:paraId="770A3BDD">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（一）按照《财政部生态环境部关于印发环境标志产品政府采购品目清单的通知》（财库〔</w:t>
      </w:r>
      <w:r>
        <w:rPr>
          <w:rFonts w:ascii="宋体" w:hAnsi="宋体"/>
          <w:color w:val="000000" w:themeColor="text1"/>
          <w:sz w:val="24"/>
          <w:szCs w:val="24"/>
          <w:highlight w:val="none"/>
          <w14:textFill>
            <w14:solidFill>
              <w14:schemeClr w14:val="tx1"/>
            </w14:solidFill>
          </w14:textFill>
        </w:rPr>
        <w:t>2019</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18</w:t>
      </w:r>
      <w:r>
        <w:rPr>
          <w:rFonts w:hint="eastAsia" w:ascii="宋体" w:hAnsi="宋体"/>
          <w:color w:val="000000" w:themeColor="text1"/>
          <w:sz w:val="24"/>
          <w:szCs w:val="24"/>
          <w:highlight w:val="none"/>
          <w14:textFill>
            <w14:solidFill>
              <w14:schemeClr w14:val="tx1"/>
            </w14:solidFill>
          </w14:textFill>
        </w:rPr>
        <w:t>号）和《财政部发展改革委关于印发节能产品政府采购品目清单的通知》（财库〔</w:t>
      </w:r>
      <w:r>
        <w:rPr>
          <w:rFonts w:ascii="宋体" w:hAnsi="宋体"/>
          <w:color w:val="000000" w:themeColor="text1"/>
          <w:sz w:val="24"/>
          <w:szCs w:val="24"/>
          <w:highlight w:val="none"/>
          <w14:textFill>
            <w14:solidFill>
              <w14:schemeClr w14:val="tx1"/>
            </w14:solidFill>
          </w14:textFill>
        </w:rPr>
        <w:t>2019</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19</w:t>
      </w:r>
      <w:r>
        <w:rPr>
          <w:rFonts w:hint="eastAsia" w:ascii="宋体" w:hAnsi="宋体"/>
          <w:color w:val="000000" w:themeColor="text1"/>
          <w:sz w:val="24"/>
          <w:szCs w:val="24"/>
          <w:highlight w:val="none"/>
          <w14:textFill>
            <w14:solidFill>
              <w14:schemeClr w14:val="tx1"/>
            </w14:solidFill>
          </w14:textFill>
        </w:rPr>
        <w:t>号）的规定，落实国家节能环保政策。</w:t>
      </w:r>
    </w:p>
    <w:p w14:paraId="5EA7967A">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（二）按照《关于印发&lt;政府采购促进中小企业发展管理办法&gt;的通知》（财库〔2020〕46号）的规定，落实促进中小企业发展政策。</w:t>
      </w:r>
    </w:p>
    <w:p w14:paraId="5E44B6A3">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（三）按照《财政部、司法部关于政府采购支持监狱企业发展有关问题的通知》（财库〔</w:t>
      </w:r>
      <w:r>
        <w:rPr>
          <w:rFonts w:ascii="宋体" w:hAnsi="宋体"/>
          <w:color w:val="000000" w:themeColor="text1"/>
          <w:sz w:val="24"/>
          <w:szCs w:val="24"/>
          <w:highlight w:val="none"/>
          <w14:textFill>
            <w14:solidFill>
              <w14:schemeClr w14:val="tx1"/>
            </w14:solidFill>
          </w14:textFill>
        </w:rPr>
        <w:t>2014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68</w:t>
      </w:r>
      <w:r>
        <w:rPr>
          <w:rFonts w:hint="eastAsia" w:ascii="宋体" w:hAnsi="宋体"/>
          <w:color w:val="000000" w:themeColor="text1"/>
          <w:sz w:val="24"/>
          <w:szCs w:val="24"/>
          <w:highlight w:val="none"/>
          <w14:textFill>
            <w14:solidFill>
              <w14:schemeClr w14:val="tx1"/>
            </w14:solidFill>
          </w14:textFill>
        </w:rPr>
        <w:t>号）的规定，落实支持监狱企业发展政策。</w:t>
      </w:r>
    </w:p>
    <w:p w14:paraId="0D1F6FC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（四）按照《三部门联合发布关于促进残疾人就业政府采购政策的通知》（财库〔</w:t>
      </w:r>
      <w:r>
        <w:rPr>
          <w:rFonts w:ascii="宋体" w:hAnsi="宋体"/>
          <w:color w:val="000000" w:themeColor="text1"/>
          <w:sz w:val="24"/>
          <w:szCs w:val="24"/>
          <w:highlight w:val="none"/>
          <w14:textFill>
            <w14:solidFill>
              <w14:schemeClr w14:val="tx1"/>
            </w14:solidFill>
          </w14:textFill>
        </w:rPr>
        <w:t>2017</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141</w:t>
      </w:r>
      <w:r>
        <w:rPr>
          <w:rFonts w:hint="eastAsia" w:ascii="宋体" w:hAnsi="宋体"/>
          <w:color w:val="000000" w:themeColor="text1"/>
          <w:sz w:val="24"/>
          <w:szCs w:val="24"/>
          <w:highlight w:val="none"/>
          <w14:textFill>
            <w14:solidFill>
              <w14:schemeClr w14:val="tx1"/>
            </w14:solidFill>
          </w14:textFill>
        </w:rPr>
        <w:t>号）的规定，落实支持残疾人福利性单位发展政策。</w:t>
      </w:r>
    </w:p>
    <w:p w14:paraId="0A0FA945">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21" w:name="_Toc75258777"/>
      <w:bookmarkStart w:id="22" w:name="_Toc13558"/>
      <w:r>
        <w:rPr>
          <w:rFonts w:hint="eastAsia" w:ascii="宋体" w:hAnsi="宋体"/>
          <w:color w:val="000000" w:themeColor="text1"/>
          <w:sz w:val="24"/>
          <w:szCs w:val="24"/>
          <w:highlight w:val="none"/>
          <w14:textFill>
            <w14:solidFill>
              <w14:schemeClr w14:val="tx1"/>
            </w14:solidFill>
          </w14:textFill>
        </w:rPr>
        <w:t>七、其它有关规定</w:t>
      </w:r>
      <w:bookmarkEnd w:id="21"/>
      <w:bookmarkEnd w:id="22"/>
    </w:p>
    <w:p w14:paraId="15DD613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（一）单位负责人为同一人或者存在直接控股、管理关系的不同供应商，不得参加同一合同项下的采购活动，否则均为无效响应。 </w:t>
      </w:r>
    </w:p>
    <w:p w14:paraId="68E7F1DE">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（二）为采购项目提供整体设计、规范编制或者项目管理、监理、检测等服务的供应商，不得再参加该采购项目的其他采购活动，否则均为无效响应。</w:t>
      </w:r>
    </w:p>
    <w:p w14:paraId="2536BEE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本项目在响应文件提交截止时间前发布的竞争性比选文件及补遗文件（如果有）一律在“行采家”平台（https://www.gec123.com）发布，请各供应商注意下载；无论供应商下载与否，均视同供应商已知晓本项目竞争性比选文件、补遗文件（如果有）的内容。</w:t>
      </w:r>
    </w:p>
    <w:p w14:paraId="40462A9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（四）超过响应文件截止时间递交的响应文件为无效文件，恕不接收。</w:t>
      </w:r>
    </w:p>
    <w:p w14:paraId="5EDC9CB3">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（五）比选费用：无论比选结果如何，供应商参与本项目比选的所有费用均应由供应商自行承担。</w:t>
      </w:r>
    </w:p>
    <w:p w14:paraId="5074618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（六）本项目不接受联合体形式比选。</w:t>
      </w:r>
    </w:p>
    <w:p w14:paraId="1BCF7F52">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（七）本项目不接受合同分包。</w:t>
      </w:r>
    </w:p>
    <w:p w14:paraId="02543480">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（八）按照《财政部关于在政府采购活动中查询及使用信用记录有关问题的通知》财库〔</w:t>
      </w:r>
      <w:r>
        <w:rPr>
          <w:rFonts w:ascii="宋体" w:hAnsi="宋体"/>
          <w:color w:val="000000" w:themeColor="text1"/>
          <w:sz w:val="24"/>
          <w:szCs w:val="24"/>
          <w:highlight w:val="none"/>
          <w14:textFill>
            <w14:solidFill>
              <w14:schemeClr w14:val="tx1"/>
            </w14:solidFill>
          </w14:textFill>
        </w:rPr>
        <w:t>2016</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125</w:t>
      </w:r>
      <w:r>
        <w:rPr>
          <w:rFonts w:hint="eastAsia" w:ascii="宋体" w:hAnsi="宋体"/>
          <w:color w:val="000000" w:themeColor="text1"/>
          <w:sz w:val="24"/>
          <w:szCs w:val="24"/>
          <w:highlight w:val="none"/>
          <w14:textFill>
            <w14:solidFill>
              <w14:schemeClr w14:val="tx1"/>
            </w14:solidFill>
          </w14:textFill>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36EBF74">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23" w:name="_Toc30952"/>
      <w:r>
        <w:rPr>
          <w:rFonts w:hint="eastAsia" w:ascii="宋体" w:hAnsi="宋体"/>
          <w:color w:val="000000" w:themeColor="text1"/>
          <w:sz w:val="24"/>
          <w:szCs w:val="24"/>
          <w:highlight w:val="none"/>
          <w14:textFill>
            <w14:solidFill>
              <w14:schemeClr w14:val="tx1"/>
            </w14:solidFill>
          </w14:textFill>
        </w:rPr>
        <w:t>八、联系方式</w:t>
      </w:r>
      <w:bookmarkEnd w:id="23"/>
    </w:p>
    <w:p w14:paraId="7AB3C4BE">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（一）采购人：</w:t>
      </w:r>
      <w:r>
        <w:rPr>
          <w:rFonts w:ascii="宋体" w:hAnsi="宋体"/>
          <w:color w:val="000000" w:themeColor="text1"/>
          <w:sz w:val="24"/>
          <w:szCs w:val="24"/>
          <w:highlight w:val="none"/>
          <w14:textFill>
            <w14:solidFill>
              <w14:schemeClr w14:val="tx1"/>
            </w14:solidFill>
          </w14:textFill>
        </w:rPr>
        <w:t>重庆市森林草原火灾预防预警监测中心</w:t>
      </w:r>
    </w:p>
    <w:p w14:paraId="5D8FAAAD">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联系人：李老师</w:t>
      </w:r>
    </w:p>
    <w:p w14:paraId="6B93A036">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  话：（0</w:t>
      </w:r>
      <w:r>
        <w:rPr>
          <w:color w:val="000000" w:themeColor="text1"/>
          <w:sz w:val="24"/>
          <w:szCs w:val="24"/>
          <w:highlight w:val="none"/>
          <w14:textFill>
            <w14:solidFill>
              <w14:schemeClr w14:val="tx1"/>
            </w14:solidFill>
          </w14:textFill>
        </w:rPr>
        <w:t>23</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61965728</w:t>
      </w:r>
    </w:p>
    <w:p w14:paraId="19763101">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  址：重庆市渝北区春兰三路1号</w:t>
      </w:r>
    </w:p>
    <w:p w14:paraId="6642B0BA">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（二）采购代理机构：重庆市中基致信招标代理有限公司</w:t>
      </w:r>
    </w:p>
    <w:p w14:paraId="2782C6B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联系人：游建伟、胡琳</w:t>
      </w:r>
    </w:p>
    <w:p w14:paraId="5F0DE040">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话：（023）8</w:t>
      </w:r>
      <w:r>
        <w:rPr>
          <w:rFonts w:ascii="宋体" w:hAnsi="宋体"/>
          <w:color w:val="000000" w:themeColor="text1"/>
          <w:sz w:val="24"/>
          <w:szCs w:val="24"/>
          <w:highlight w:val="none"/>
          <w14:textFill>
            <w14:solidFill>
              <w14:schemeClr w14:val="tx1"/>
            </w14:solidFill>
          </w14:textFill>
        </w:rPr>
        <w:t>8758847</w:t>
      </w:r>
      <w:r>
        <w:rPr>
          <w:rFonts w:hint="eastAsia" w:ascii="宋体" w:hAnsi="宋体"/>
          <w:color w:val="000000" w:themeColor="text1"/>
          <w:sz w:val="24"/>
          <w:szCs w:val="24"/>
          <w:highlight w:val="none"/>
          <w14:textFill>
            <w14:solidFill>
              <w14:schemeClr w14:val="tx1"/>
            </w14:solidFill>
          </w14:textFill>
        </w:rPr>
        <w:t>、88758852</w:t>
      </w:r>
    </w:p>
    <w:p w14:paraId="3260D091">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传  真：（023）88505947</w:t>
      </w:r>
    </w:p>
    <w:p w14:paraId="472E11E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bookmarkStart w:id="24" w:name="_Toc178828108"/>
      <w:bookmarkStart w:id="25" w:name="_Toc180051219"/>
      <w:bookmarkStart w:id="26" w:name="_Toc216163282"/>
      <w:r>
        <w:rPr>
          <w:rFonts w:hint="eastAsia" w:ascii="宋体" w:hAnsi="宋体"/>
          <w:color w:val="000000" w:themeColor="text1"/>
          <w:sz w:val="24"/>
          <w:szCs w:val="24"/>
          <w:highlight w:val="none"/>
          <w14:textFill>
            <w14:solidFill>
              <w14:schemeClr w14:val="tx1"/>
            </w14:solidFill>
          </w14:textFill>
        </w:rPr>
        <w:t>地  址：重庆市渝北区财富大道2号财富大厦A座9楼</w:t>
      </w:r>
    </w:p>
    <w:bookmarkEnd w:id="24"/>
    <w:bookmarkEnd w:id="25"/>
    <w:bookmarkEnd w:id="26"/>
    <w:p w14:paraId="4D72CDB3">
      <w:pPr>
        <w:pStyle w:val="4"/>
        <w:pageBreakBefore/>
        <w:spacing w:line="360" w:lineRule="auto"/>
        <w:jc w:val="center"/>
        <w:rPr>
          <w:rFonts w:hint="eastAsia" w:ascii="宋体" w:hAnsi="宋体" w:eastAsia="宋体"/>
          <w:color w:val="000000" w:themeColor="text1"/>
          <w:sz w:val="36"/>
          <w:szCs w:val="30"/>
          <w:highlight w:val="none"/>
          <w14:textFill>
            <w14:solidFill>
              <w14:schemeClr w14:val="tx1"/>
            </w14:solidFill>
          </w14:textFill>
        </w:rPr>
      </w:pPr>
      <w:bookmarkStart w:id="27" w:name="_Toc17970"/>
      <w:r>
        <w:rPr>
          <w:rFonts w:hint="eastAsia" w:ascii="宋体" w:hAnsi="宋体" w:eastAsia="宋体"/>
          <w:color w:val="000000" w:themeColor="text1"/>
          <w:sz w:val="36"/>
          <w:szCs w:val="30"/>
          <w:highlight w:val="none"/>
          <w14:textFill>
            <w14:solidFill>
              <w14:schemeClr w14:val="tx1"/>
            </w14:solidFill>
          </w14:textFill>
        </w:rPr>
        <w:t>第二篇  采购技术和服务需求</w:t>
      </w:r>
      <w:bookmarkEnd w:id="27"/>
    </w:p>
    <w:p w14:paraId="484A17A1">
      <w:pPr>
        <w:snapToGrid w:val="0"/>
        <w:spacing w:line="360" w:lineRule="auto"/>
        <w:rPr>
          <w:rFonts w:hint="eastAsia" w:ascii="宋体" w:hAnsi="宋体"/>
          <w:b/>
          <w:color w:val="000000" w:themeColor="text1"/>
          <w:sz w:val="21"/>
          <w:szCs w:val="21"/>
          <w:highlight w:val="none"/>
          <w14:textFill>
            <w14:solidFill>
              <w14:schemeClr w14:val="tx1"/>
            </w14:solidFill>
          </w14:textFill>
        </w:rPr>
      </w:pPr>
      <w:bookmarkStart w:id="28" w:name="_Toc5006885"/>
      <w:bookmarkStart w:id="29" w:name="_Toc6232092"/>
      <w:bookmarkStart w:id="30" w:name="_Toc12789058"/>
      <w:r>
        <w:rPr>
          <w:rFonts w:hint="eastAsia" w:ascii="宋体" w:hAnsi="宋体"/>
          <w:b/>
          <w:color w:val="000000" w:themeColor="text1"/>
          <w:sz w:val="21"/>
          <w:szCs w:val="21"/>
          <w:highlight w:val="none"/>
          <w14:textFill>
            <w14:solidFill>
              <w14:schemeClr w14:val="tx1"/>
            </w14:solidFill>
          </w14:textFill>
        </w:rPr>
        <w:t>“※”标注的服务需求为符合性审查中的实质性要求</w:t>
      </w:r>
      <w:bookmarkStart w:id="123" w:name="_GoBack"/>
      <w:bookmarkEnd w:id="123"/>
      <w:r>
        <w:rPr>
          <w:rFonts w:hint="eastAsia" w:ascii="宋体" w:hAnsi="宋体"/>
          <w:b/>
          <w:color w:val="000000" w:themeColor="text1"/>
          <w:sz w:val="21"/>
          <w:szCs w:val="21"/>
          <w:highlight w:val="none"/>
          <w14:textFill>
            <w14:solidFill>
              <w14:schemeClr w14:val="tx1"/>
            </w14:solidFill>
          </w14:textFill>
        </w:rPr>
        <w:t>，响应文件若不满足按无效竞标处理。</w:t>
      </w:r>
    </w:p>
    <w:bookmarkEnd w:id="28"/>
    <w:bookmarkEnd w:id="29"/>
    <w:p w14:paraId="566A7B17">
      <w:pPr>
        <w:snapToGrid w:val="0"/>
        <w:spacing w:line="360" w:lineRule="auto"/>
        <w:rPr>
          <w:rFonts w:hint="eastAsia" w:ascii="宋体" w:hAnsi="宋体"/>
          <w:b/>
          <w:color w:val="000000" w:themeColor="text1"/>
          <w:sz w:val="21"/>
          <w:szCs w:val="21"/>
          <w:highlight w:val="none"/>
          <w14:textFill>
            <w14:solidFill>
              <w14:schemeClr w14:val="tx1"/>
            </w14:solidFill>
          </w14:textFill>
        </w:rPr>
      </w:pPr>
      <w:bookmarkStart w:id="31" w:name="_Toc132194552"/>
      <w:r>
        <w:rPr>
          <w:rFonts w:hint="eastAsia" w:ascii="宋体" w:hAnsi="宋体"/>
          <w:b/>
          <w:color w:val="000000" w:themeColor="text1"/>
          <w:sz w:val="21"/>
          <w:szCs w:val="21"/>
          <w:highlight w:val="none"/>
          <w14:textFill>
            <w14:solidFill>
              <w14:schemeClr w14:val="tx1"/>
            </w14:solidFill>
          </w14:textFill>
        </w:rPr>
        <w:t>“★”标注的技术需求为重要技术需求，若不满足将按照评标因素中相关规定处理。</w:t>
      </w:r>
    </w:p>
    <w:p w14:paraId="5D795FE4">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32" w:name="_Toc6181"/>
      <w:r>
        <w:rPr>
          <w:rFonts w:ascii="宋体" w:hAnsi="宋体"/>
          <w:color w:val="000000" w:themeColor="text1"/>
          <w:sz w:val="24"/>
          <w:szCs w:val="24"/>
          <w:highlight w:val="none"/>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采购</w:t>
      </w:r>
      <w:r>
        <w:rPr>
          <w:rFonts w:ascii="宋体" w:hAnsi="宋体"/>
          <w:color w:val="000000" w:themeColor="text1"/>
          <w:sz w:val="24"/>
          <w:szCs w:val="24"/>
          <w:highlight w:val="none"/>
          <w14:textFill>
            <w14:solidFill>
              <w14:schemeClr w14:val="tx1"/>
            </w14:solidFill>
          </w14:textFill>
        </w:rPr>
        <w:t>项目一览表</w:t>
      </w:r>
      <w:bookmarkEnd w:id="31"/>
      <w:bookmarkEnd w:id="32"/>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981"/>
        <w:gridCol w:w="1567"/>
        <w:gridCol w:w="2052"/>
      </w:tblGrid>
      <w:tr w14:paraId="34C4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8" w:type="dxa"/>
            <w:vAlign w:val="center"/>
          </w:tcPr>
          <w:p w14:paraId="146096F5">
            <w:pPr>
              <w:suppressAutoHyphens/>
              <w:jc w:val="center"/>
              <w:rPr>
                <w:b/>
                <w:color w:val="000000" w:themeColor="text1"/>
                <w:sz w:val="21"/>
                <w:szCs w:val="16"/>
                <w:highlight w:val="none"/>
                <w14:textFill>
                  <w14:solidFill>
                    <w14:schemeClr w14:val="tx1"/>
                  </w14:solidFill>
                </w14:textFill>
              </w:rPr>
            </w:pPr>
            <w:r>
              <w:rPr>
                <w:b/>
                <w:color w:val="000000" w:themeColor="text1"/>
                <w:sz w:val="21"/>
                <w:szCs w:val="16"/>
                <w:highlight w:val="none"/>
                <w14:textFill>
                  <w14:solidFill>
                    <w14:schemeClr w14:val="tx1"/>
                  </w14:solidFill>
                </w14:textFill>
              </w:rPr>
              <w:t>序号</w:t>
            </w:r>
          </w:p>
        </w:tc>
        <w:tc>
          <w:tcPr>
            <w:tcW w:w="4981" w:type="dxa"/>
            <w:vAlign w:val="center"/>
          </w:tcPr>
          <w:p w14:paraId="588BE269">
            <w:pPr>
              <w:suppressAutoHyphens/>
              <w:jc w:val="center"/>
              <w:rPr>
                <w:b/>
                <w:color w:val="000000" w:themeColor="text1"/>
                <w:sz w:val="21"/>
                <w:szCs w:val="16"/>
                <w:highlight w:val="none"/>
                <w14:textFill>
                  <w14:solidFill>
                    <w14:schemeClr w14:val="tx1"/>
                  </w14:solidFill>
                </w14:textFill>
              </w:rPr>
            </w:pPr>
            <w:r>
              <w:rPr>
                <w:b/>
                <w:color w:val="000000" w:themeColor="text1"/>
                <w:sz w:val="21"/>
                <w:szCs w:val="16"/>
                <w:highlight w:val="none"/>
                <w14:textFill>
                  <w14:solidFill>
                    <w14:schemeClr w14:val="tx1"/>
                  </w14:solidFill>
                </w14:textFill>
              </w:rPr>
              <w:t>产品名称（</w:t>
            </w:r>
            <w:r>
              <w:rPr>
                <w:b/>
                <w:i/>
                <w:color w:val="000000" w:themeColor="text1"/>
                <w:sz w:val="21"/>
                <w:szCs w:val="16"/>
                <w:highlight w:val="none"/>
                <w14:textFill>
                  <w14:solidFill>
                    <w14:schemeClr w14:val="tx1"/>
                  </w14:solidFill>
                </w14:textFill>
              </w:rPr>
              <w:t>设备名称</w:t>
            </w:r>
            <w:r>
              <w:rPr>
                <w:b/>
                <w:color w:val="000000" w:themeColor="text1"/>
                <w:sz w:val="21"/>
                <w:szCs w:val="16"/>
                <w:highlight w:val="none"/>
                <w14:textFill>
                  <w14:solidFill>
                    <w14:schemeClr w14:val="tx1"/>
                  </w14:solidFill>
                </w14:textFill>
              </w:rPr>
              <w:t>）</w:t>
            </w:r>
          </w:p>
        </w:tc>
        <w:tc>
          <w:tcPr>
            <w:tcW w:w="1567" w:type="dxa"/>
            <w:vAlign w:val="center"/>
          </w:tcPr>
          <w:p w14:paraId="0979B2D6">
            <w:pPr>
              <w:suppressAutoHyphens/>
              <w:jc w:val="center"/>
              <w:rPr>
                <w:b/>
                <w:color w:val="000000" w:themeColor="text1"/>
                <w:sz w:val="21"/>
                <w:szCs w:val="16"/>
                <w:highlight w:val="none"/>
                <w14:textFill>
                  <w14:solidFill>
                    <w14:schemeClr w14:val="tx1"/>
                  </w14:solidFill>
                </w14:textFill>
              </w:rPr>
            </w:pPr>
            <w:r>
              <w:rPr>
                <w:b/>
                <w:color w:val="000000" w:themeColor="text1"/>
                <w:sz w:val="21"/>
                <w:szCs w:val="16"/>
                <w:highlight w:val="none"/>
                <w14:textFill>
                  <w14:solidFill>
                    <w14:schemeClr w14:val="tx1"/>
                  </w14:solidFill>
                </w14:textFill>
              </w:rPr>
              <w:t>数量/单位</w:t>
            </w:r>
          </w:p>
        </w:tc>
        <w:tc>
          <w:tcPr>
            <w:tcW w:w="2052" w:type="dxa"/>
            <w:vAlign w:val="center"/>
          </w:tcPr>
          <w:p w14:paraId="1CCE634F">
            <w:pPr>
              <w:suppressAutoHyphens/>
              <w:jc w:val="center"/>
              <w:rPr>
                <w:b/>
                <w:color w:val="000000" w:themeColor="text1"/>
                <w:sz w:val="21"/>
                <w:szCs w:val="16"/>
                <w:highlight w:val="none"/>
                <w14:textFill>
                  <w14:solidFill>
                    <w14:schemeClr w14:val="tx1"/>
                  </w14:solidFill>
                </w14:textFill>
              </w:rPr>
            </w:pPr>
            <w:r>
              <w:rPr>
                <w:b/>
                <w:color w:val="000000" w:themeColor="text1"/>
                <w:sz w:val="21"/>
                <w:szCs w:val="16"/>
                <w:highlight w:val="none"/>
                <w14:textFill>
                  <w14:solidFill>
                    <w14:schemeClr w14:val="tx1"/>
                  </w14:solidFill>
                </w14:textFill>
              </w:rPr>
              <w:t>备注</w:t>
            </w:r>
          </w:p>
        </w:tc>
      </w:tr>
      <w:tr w14:paraId="1AD7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8" w:type="dxa"/>
            <w:vAlign w:val="center"/>
          </w:tcPr>
          <w:p w14:paraId="71127339">
            <w:pPr>
              <w:suppressAutoHyphens/>
              <w:jc w:val="center"/>
              <w:outlineLvl w:val="0"/>
              <w:rPr>
                <w:color w:val="000000" w:themeColor="text1"/>
                <w:sz w:val="21"/>
                <w:szCs w:val="16"/>
                <w:highlight w:val="none"/>
                <w14:textFill>
                  <w14:solidFill>
                    <w14:schemeClr w14:val="tx1"/>
                  </w14:solidFill>
                </w14:textFill>
              </w:rPr>
            </w:pPr>
            <w:r>
              <w:rPr>
                <w:color w:val="000000" w:themeColor="text1"/>
                <w:sz w:val="21"/>
                <w:szCs w:val="16"/>
                <w:highlight w:val="none"/>
                <w14:textFill>
                  <w14:solidFill>
                    <w14:schemeClr w14:val="tx1"/>
                  </w14:solidFill>
                </w14:textFill>
              </w:rPr>
              <w:t>1</w:t>
            </w:r>
          </w:p>
        </w:tc>
        <w:tc>
          <w:tcPr>
            <w:tcW w:w="4981" w:type="dxa"/>
            <w:vAlign w:val="center"/>
          </w:tcPr>
          <w:p w14:paraId="6BDB5774">
            <w:pPr>
              <w:suppressAutoHyphens/>
              <w:rPr>
                <w:color w:val="000000" w:themeColor="text1"/>
                <w:sz w:val="21"/>
                <w:szCs w:val="16"/>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移动基站（</w:t>
            </w:r>
            <w:r>
              <w:rPr>
                <w:rFonts w:hint="eastAsia" w:ascii="宋体" w:hAnsi="宋体" w:cs="宋体"/>
                <w:color w:val="000000" w:themeColor="text1"/>
                <w:kern w:val="0"/>
                <w:sz w:val="20"/>
                <w:highlight w:val="none"/>
                <w:lang w:bidi="ar"/>
                <w14:textFill>
                  <w14:solidFill>
                    <w14:schemeClr w14:val="tx1"/>
                  </w14:solidFill>
                </w14:textFill>
              </w:rPr>
              <w:t>自组网移动便携基站</w:t>
            </w:r>
            <w:r>
              <w:rPr>
                <w:rFonts w:hint="eastAsia" w:ascii="宋体" w:hAnsi="宋体" w:cs="宋体"/>
                <w:color w:val="000000" w:themeColor="text1"/>
                <w:kern w:val="0"/>
                <w:sz w:val="20"/>
                <w:highlight w:val="none"/>
                <w:lang w:bidi="ar"/>
                <w14:textFill>
                  <w14:solidFill>
                    <w14:schemeClr w14:val="tx1"/>
                  </w14:solidFill>
                </w14:textFill>
              </w:rPr>
              <w:t>）</w:t>
            </w:r>
          </w:p>
        </w:tc>
        <w:tc>
          <w:tcPr>
            <w:tcW w:w="1567" w:type="dxa"/>
            <w:vAlign w:val="center"/>
          </w:tcPr>
          <w:p w14:paraId="58B6DFD2">
            <w:pPr>
              <w:suppressAutoHyphens/>
              <w:jc w:val="center"/>
              <w:rPr>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1套</w:t>
            </w:r>
          </w:p>
        </w:tc>
        <w:tc>
          <w:tcPr>
            <w:tcW w:w="2052" w:type="dxa"/>
            <w:vMerge w:val="restart"/>
            <w:vAlign w:val="center"/>
          </w:tcPr>
          <w:p w14:paraId="7AB55DAB">
            <w:pPr>
              <w:suppressAutoHyphens/>
              <w:rPr>
                <w:color w:val="000000" w:themeColor="text1"/>
                <w:sz w:val="21"/>
                <w:szCs w:val="16"/>
                <w:highlight w:val="none"/>
                <w14:textFill>
                  <w14:solidFill>
                    <w14:schemeClr w14:val="tx1"/>
                  </w14:solidFill>
                </w14:textFill>
              </w:rPr>
            </w:pPr>
            <w:r>
              <w:rPr>
                <w:color w:val="000000" w:themeColor="text1"/>
                <w:sz w:val="21"/>
                <w:szCs w:val="16"/>
                <w:highlight w:val="none"/>
                <w14:textFill>
                  <w14:solidFill>
                    <w14:schemeClr w14:val="tx1"/>
                  </w14:solidFill>
                </w14:textFill>
              </w:rPr>
              <w:t>投标产品必须为中国关境内生产，若为进口产品将按无效投标处理。</w:t>
            </w:r>
          </w:p>
        </w:tc>
      </w:tr>
      <w:tr w14:paraId="4EA0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8" w:type="dxa"/>
            <w:vAlign w:val="center"/>
          </w:tcPr>
          <w:p w14:paraId="60D9EFAA">
            <w:pPr>
              <w:suppressAutoHyphens/>
              <w:jc w:val="center"/>
              <w:outlineLvl w:val="0"/>
              <w:rPr>
                <w:color w:val="000000" w:themeColor="text1"/>
                <w:sz w:val="21"/>
                <w:szCs w:val="16"/>
                <w:highlight w:val="none"/>
                <w14:textFill>
                  <w14:solidFill>
                    <w14:schemeClr w14:val="tx1"/>
                  </w14:solidFill>
                </w14:textFill>
              </w:rPr>
            </w:pPr>
            <w:bookmarkStart w:id="33" w:name="_Toc132194553"/>
            <w:r>
              <w:rPr>
                <w:rFonts w:hint="eastAsia"/>
                <w:color w:val="000000" w:themeColor="text1"/>
                <w:sz w:val="21"/>
                <w:szCs w:val="16"/>
                <w:highlight w:val="none"/>
                <w14:textFill>
                  <w14:solidFill>
                    <w14:schemeClr w14:val="tx1"/>
                  </w14:solidFill>
                </w14:textFill>
              </w:rPr>
              <w:t>2</w:t>
            </w:r>
          </w:p>
        </w:tc>
        <w:tc>
          <w:tcPr>
            <w:tcW w:w="4981" w:type="dxa"/>
            <w:vAlign w:val="center"/>
          </w:tcPr>
          <w:p w14:paraId="2194747F">
            <w:pPr>
              <w:suppressAutoHyphens/>
              <w:rPr>
                <w:color w:val="000000" w:themeColor="text1"/>
                <w:sz w:val="21"/>
                <w:szCs w:val="16"/>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移动终端（</w:t>
            </w:r>
            <w:r>
              <w:rPr>
                <w:rFonts w:hint="eastAsia" w:ascii="宋体" w:hAnsi="宋体" w:cs="宋体"/>
                <w:color w:val="000000" w:themeColor="text1"/>
                <w:kern w:val="0"/>
                <w:sz w:val="20"/>
                <w:highlight w:val="none"/>
                <w:lang w:bidi="ar"/>
                <w14:textFill>
                  <w14:solidFill>
                    <w14:schemeClr w14:val="tx1"/>
                  </w14:solidFill>
                </w14:textFill>
              </w:rPr>
              <w:t>双模手持对讲机</w:t>
            </w:r>
            <w:r>
              <w:rPr>
                <w:rFonts w:hint="eastAsia" w:ascii="宋体" w:hAnsi="宋体" w:cs="宋体"/>
                <w:color w:val="000000" w:themeColor="text1"/>
                <w:kern w:val="0"/>
                <w:sz w:val="20"/>
                <w:highlight w:val="none"/>
                <w:lang w:bidi="ar"/>
                <w14:textFill>
                  <w14:solidFill>
                    <w14:schemeClr w14:val="tx1"/>
                  </w14:solidFill>
                </w14:textFill>
              </w:rPr>
              <w:t>）</w:t>
            </w:r>
          </w:p>
        </w:tc>
        <w:tc>
          <w:tcPr>
            <w:tcW w:w="1567" w:type="dxa"/>
            <w:vAlign w:val="center"/>
          </w:tcPr>
          <w:p w14:paraId="4FD5E45D">
            <w:pPr>
              <w:suppressAutoHyphens/>
              <w:jc w:val="center"/>
              <w:rPr>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90套</w:t>
            </w:r>
          </w:p>
        </w:tc>
        <w:tc>
          <w:tcPr>
            <w:tcW w:w="2052" w:type="dxa"/>
            <w:vMerge w:val="continue"/>
            <w:vAlign w:val="center"/>
          </w:tcPr>
          <w:p w14:paraId="334E0FFD">
            <w:pPr>
              <w:suppressAutoHyphens/>
              <w:rPr>
                <w:color w:val="000000" w:themeColor="text1"/>
                <w:sz w:val="21"/>
                <w:szCs w:val="16"/>
                <w:highlight w:val="none"/>
                <w14:textFill>
                  <w14:solidFill>
                    <w14:schemeClr w14:val="tx1"/>
                  </w14:solidFill>
                </w14:textFill>
              </w:rPr>
            </w:pPr>
          </w:p>
        </w:tc>
      </w:tr>
    </w:tbl>
    <w:p w14:paraId="4065002D">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34" w:name="_Toc9544"/>
      <w:r>
        <w:rPr>
          <w:rFonts w:ascii="宋体" w:hAnsi="宋体"/>
          <w:color w:val="000000" w:themeColor="text1"/>
          <w:sz w:val="24"/>
          <w:szCs w:val="24"/>
          <w:highlight w:val="none"/>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采购</w:t>
      </w:r>
      <w:r>
        <w:rPr>
          <w:rFonts w:ascii="宋体" w:hAnsi="宋体"/>
          <w:color w:val="000000" w:themeColor="text1"/>
          <w:sz w:val="24"/>
          <w:szCs w:val="24"/>
          <w:highlight w:val="none"/>
          <w14:textFill>
            <w14:solidFill>
              <w14:schemeClr w14:val="tx1"/>
            </w14:solidFill>
          </w14:textFill>
        </w:rPr>
        <w:t>项目技术需求</w:t>
      </w:r>
      <w:bookmarkEnd w:id="33"/>
      <w:bookmarkEnd w:id="34"/>
    </w:p>
    <w:tbl>
      <w:tblPr>
        <w:tblStyle w:val="58"/>
        <w:tblW w:w="9461" w:type="dxa"/>
        <w:tblInd w:w="100" w:type="dxa"/>
        <w:tblLayout w:type="autofit"/>
        <w:tblCellMar>
          <w:top w:w="0" w:type="dxa"/>
          <w:left w:w="108" w:type="dxa"/>
          <w:bottom w:w="0" w:type="dxa"/>
          <w:right w:w="108" w:type="dxa"/>
        </w:tblCellMar>
      </w:tblPr>
      <w:tblGrid>
        <w:gridCol w:w="656"/>
        <w:gridCol w:w="1342"/>
        <w:gridCol w:w="5891"/>
        <w:gridCol w:w="793"/>
        <w:gridCol w:w="779"/>
      </w:tblGrid>
      <w:tr w14:paraId="1D0B4548">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DD56">
            <w:pPr>
              <w:widowControl/>
              <w:jc w:val="center"/>
              <w:textAlignment w:val="center"/>
              <w:rPr>
                <w:rFonts w:hint="eastAsia"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lang w:bidi="ar"/>
                <w14:textFill>
                  <w14:solidFill>
                    <w14:schemeClr w14:val="tx1"/>
                  </w14:solidFill>
                </w14:textFill>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4AF">
            <w:pPr>
              <w:widowControl/>
              <w:jc w:val="center"/>
              <w:textAlignment w:val="center"/>
              <w:rPr>
                <w:rFonts w:hint="eastAsia"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lang w:bidi="ar"/>
                <w14:textFill>
                  <w14:solidFill>
                    <w14:schemeClr w14:val="tx1"/>
                  </w14:solidFill>
                </w14:textFill>
              </w:rPr>
              <w:t>设备名称</w:t>
            </w:r>
          </w:p>
        </w:tc>
        <w:tc>
          <w:tcPr>
            <w:tcW w:w="5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C24">
            <w:pPr>
              <w:jc w:val="center"/>
              <w:rPr>
                <w:rFonts w:hint="eastAsia" w:ascii="宋体" w:hAnsi="宋体" w:cs="宋体"/>
                <w:b/>
                <w:bCs/>
                <w:color w:val="000000" w:themeColor="text1"/>
                <w:sz w:val="20"/>
                <w:highlight w:val="none"/>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709">
            <w:pPr>
              <w:widowControl/>
              <w:jc w:val="center"/>
              <w:textAlignment w:val="center"/>
              <w:rPr>
                <w:rFonts w:hint="eastAsia"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lang w:bidi="ar"/>
                <w14:textFill>
                  <w14:solidFill>
                    <w14:schemeClr w14:val="tx1"/>
                  </w14:solidFill>
                </w14:textFill>
              </w:rPr>
              <w:t>数量</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62F">
            <w:pPr>
              <w:widowControl/>
              <w:jc w:val="center"/>
              <w:textAlignment w:val="center"/>
              <w:rPr>
                <w:rFonts w:hint="eastAsia" w:ascii="宋体" w:hAnsi="宋体" w:cs="宋体"/>
                <w:b/>
                <w:bCs/>
                <w:color w:val="000000" w:themeColor="text1"/>
                <w:sz w:val="20"/>
                <w:highlight w:val="none"/>
                <w14:textFill>
                  <w14:solidFill>
                    <w14:schemeClr w14:val="tx1"/>
                  </w14:solidFill>
                </w14:textFill>
              </w:rPr>
            </w:pPr>
            <w:r>
              <w:rPr>
                <w:rFonts w:hint="eastAsia" w:ascii="宋体" w:hAnsi="宋体" w:cs="宋体"/>
                <w:b/>
                <w:bCs/>
                <w:color w:val="000000" w:themeColor="text1"/>
                <w:kern w:val="0"/>
                <w:sz w:val="20"/>
                <w:highlight w:val="none"/>
                <w:lang w:bidi="ar"/>
                <w14:textFill>
                  <w14:solidFill>
                    <w14:schemeClr w14:val="tx1"/>
                  </w14:solidFill>
                </w14:textFill>
              </w:rPr>
              <w:t>单位</w:t>
            </w:r>
          </w:p>
        </w:tc>
      </w:tr>
      <w:tr w14:paraId="187B3FCA">
        <w:tblPrEx>
          <w:tblCellMar>
            <w:top w:w="0" w:type="dxa"/>
            <w:left w:w="108" w:type="dxa"/>
            <w:bottom w:w="0" w:type="dxa"/>
            <w:right w:w="108" w:type="dxa"/>
          </w:tblCellMar>
        </w:tblPrEx>
        <w:trPr>
          <w:trHeight w:val="58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F4B9">
            <w:pPr>
              <w:widowControl/>
              <w:jc w:val="center"/>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6618">
            <w:pPr>
              <w:widowControl/>
              <w:jc w:val="left"/>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移动基站（</w:t>
            </w:r>
            <w:r>
              <w:rPr>
                <w:rFonts w:hint="eastAsia" w:ascii="宋体" w:hAnsi="宋体" w:cs="宋体"/>
                <w:color w:val="000000" w:themeColor="text1"/>
                <w:kern w:val="0"/>
                <w:sz w:val="20"/>
                <w:highlight w:val="none"/>
                <w:lang w:bidi="ar"/>
                <w14:textFill>
                  <w14:solidFill>
                    <w14:schemeClr w14:val="tx1"/>
                  </w14:solidFill>
                </w14:textFill>
              </w:rPr>
              <w:t>自组网移动便携基站</w:t>
            </w:r>
            <w:r>
              <w:rPr>
                <w:rFonts w:hint="eastAsia" w:ascii="宋体" w:hAnsi="宋体" w:cs="宋体"/>
                <w:color w:val="000000" w:themeColor="text1"/>
                <w:kern w:val="0"/>
                <w:sz w:val="20"/>
                <w:highlight w:val="none"/>
                <w:lang w:bidi="ar"/>
                <w14:textFill>
                  <w14:solidFill>
                    <w14:schemeClr w14:val="tx1"/>
                  </w14:solidFill>
                </w14:textFill>
              </w:rPr>
              <w:t>）</w:t>
            </w:r>
          </w:p>
        </w:tc>
        <w:tc>
          <w:tcPr>
            <w:tcW w:w="5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5024">
            <w:pPr>
              <w:widowControl/>
              <w:jc w:val="left"/>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（1）带可提式把手，机身小巧便携，使用标配便携式天线，可随时随身携带，支持快速投放延伸现场组网。</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（2）工作频段：136-174MHz，频率间隔：12.5kHz/25kHz。</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（3）电源电压DC12V，内置电池容量≥9Ah，输出功率≥20W。</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（4）调制方式：4FSK，4FSK调制频偏误差≤10.0%，4FSK发射误码率0.01%，发射杂散≤-36dBm (9kHz~1GHz)，≤-30dBm (1GHz~12.75GHz)。</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（5）工作温度：－20℃－+55℃。</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（6）频率稳定度：±1.5ppm。</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（7）灵敏度（误码率为5%时）≤-116dBm；邻道选择性≥60dB；互调响应抑制≥70dB；阻塞≥84dB；共信道抑制≥-12dB</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（8）主机前面板具备显示屏幕和操作旋钮／按键，支持快速调整基站工程参数和应用参数，无需计算机编程。</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（9）支持无中心单频无线同频同播功能。</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★（10）支持无中心自动寻址多级转发组网功能，即多个基站无线无中心自动组网的工作状态下，基站自动路由判选，分级转发联网。（需提供国家认可的第三方检测机构出具的检测报告复印件）</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（11）支持多跳无线单频组网功能，支持4G/5G公网链路。</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（12）含5年流量通信服务费。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E881">
            <w:pPr>
              <w:widowControl/>
              <w:jc w:val="center"/>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2198">
            <w:pPr>
              <w:widowControl/>
              <w:jc w:val="center"/>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套</w:t>
            </w:r>
          </w:p>
        </w:tc>
      </w:tr>
      <w:tr w14:paraId="17637281">
        <w:tblPrEx>
          <w:tblCellMar>
            <w:top w:w="0" w:type="dxa"/>
            <w:left w:w="108" w:type="dxa"/>
            <w:bottom w:w="0" w:type="dxa"/>
            <w:right w:w="108" w:type="dxa"/>
          </w:tblCellMar>
        </w:tblPrEx>
        <w:trPr>
          <w:trHeight w:val="61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F9D9">
            <w:pPr>
              <w:widowControl/>
              <w:jc w:val="center"/>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B27A">
            <w:pPr>
              <w:widowControl/>
              <w:jc w:val="left"/>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移动终端（</w:t>
            </w:r>
            <w:r>
              <w:rPr>
                <w:rFonts w:hint="eastAsia" w:ascii="宋体" w:hAnsi="宋体" w:cs="宋体"/>
                <w:color w:val="000000" w:themeColor="text1"/>
                <w:kern w:val="0"/>
                <w:sz w:val="20"/>
                <w:highlight w:val="none"/>
                <w:lang w:bidi="ar"/>
                <w14:textFill>
                  <w14:solidFill>
                    <w14:schemeClr w14:val="tx1"/>
                  </w14:solidFill>
                </w14:textFill>
              </w:rPr>
              <w:t>双模手持对讲机</w:t>
            </w:r>
            <w:r>
              <w:rPr>
                <w:rFonts w:hint="eastAsia" w:ascii="宋体" w:hAnsi="宋体" w:cs="宋体"/>
                <w:color w:val="000000" w:themeColor="text1"/>
                <w:kern w:val="0"/>
                <w:sz w:val="20"/>
                <w:highlight w:val="none"/>
                <w:lang w:bidi="ar"/>
                <w14:textFill>
                  <w14:solidFill>
                    <w14:schemeClr w14:val="tx1"/>
                  </w14:solidFill>
                </w14:textFill>
              </w:rPr>
              <w:t>）</w:t>
            </w:r>
          </w:p>
        </w:tc>
        <w:tc>
          <w:tcPr>
            <w:tcW w:w="5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0A1">
            <w:pPr>
              <w:widowControl/>
              <w:jc w:val="left"/>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（1）工作频段：136-174MHz</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（2）多址方式：TDMA</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（3）信道间隔：12.5kHz</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（4）收发间隔：10MHz</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（5）调制方式：4FSK</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（6）最大输出功率：≤37dBm</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（7）接收灵敏度：≤-118dBm</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（8）电池容量：不小于3100mAh</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★（9）支持单北斗卫星定位功能。（提供国家认可的第三方检测机构依据卫星定位导航授时设备单北斗测试技术规范进行认证后出具的检验证书或报告复印件）</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★（10）支持多种工作模式，支持数字集群、模拟集群、数字常规、模拟常规及单频自组网（应急网）等工作模式。（提供国家认可的第三方检测机构出具的检测报告复印件）</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★（11）支持电台间方位距离显示功能：被叫电台显示主叫电台的方位及距离。（提供国家认可的第三方检测机构出具的检测报告复印件）</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（12）支持同频六路组呼通信功能，若干电台均使用相同频点，配置不同组呼数量不少于6个，且其中任意 6个不同组呼可同时通话,互不影响。</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（13）支持自组网高级权限优先通话功能：系统中高权限的电台可以打断低权限电台的通话，并发起讲话，优先使用通信资源。</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（14）支持窄带专网对讲和公网POC对讲功能。</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（15）含5年流量通信服务费。</w:t>
            </w:r>
            <w:r>
              <w:rPr>
                <w:rFonts w:hint="eastAsia" w:ascii="宋体" w:hAnsi="宋体" w:cs="宋体"/>
                <w:color w:val="000000" w:themeColor="text1"/>
                <w:kern w:val="0"/>
                <w:sz w:val="20"/>
                <w:highlight w:val="none"/>
                <w:lang w:bidi="ar"/>
                <w14:textFill>
                  <w14:solidFill>
                    <w14:schemeClr w14:val="tx1"/>
                  </w14:solidFill>
                </w14:textFill>
              </w:rPr>
              <w:br w:type="textWrapping"/>
            </w:r>
            <w:r>
              <w:rPr>
                <w:rFonts w:hint="eastAsia" w:ascii="宋体" w:hAnsi="宋体" w:cs="宋体"/>
                <w:color w:val="000000" w:themeColor="text1"/>
                <w:kern w:val="0"/>
                <w:sz w:val="20"/>
                <w:highlight w:val="none"/>
                <w:lang w:bidi="ar"/>
                <w14:textFill>
                  <w14:solidFill>
                    <w14:schemeClr w14:val="tx1"/>
                  </w14:solidFill>
                </w14:textFill>
              </w:rPr>
              <w:t>配置要求：主机1个、</w:t>
            </w:r>
            <w:r>
              <w:rPr>
                <w:rFonts w:hint="eastAsia" w:ascii="宋体" w:hAnsi="宋体" w:cs="宋体"/>
                <w:color w:val="000000" w:themeColor="text1"/>
                <w:kern w:val="0"/>
                <w:sz w:val="20"/>
                <w:highlight w:val="none"/>
                <w:lang w:bidi="ar"/>
                <w14:textFill>
                  <w14:solidFill>
                    <w14:schemeClr w14:val="tx1"/>
                  </w14:solidFill>
                </w14:textFill>
              </w:rPr>
              <w:t>电池和备用电池各1块</w:t>
            </w:r>
            <w:r>
              <w:rPr>
                <w:rFonts w:hint="eastAsia" w:ascii="宋体" w:hAnsi="宋体" w:cs="宋体"/>
                <w:color w:val="000000" w:themeColor="text1"/>
                <w:kern w:val="0"/>
                <w:sz w:val="20"/>
                <w:highlight w:val="none"/>
                <w:lang w:bidi="ar"/>
                <w14:textFill>
                  <w14:solidFill>
                    <w14:schemeClr w14:val="tx1"/>
                  </w14:solidFill>
                </w14:textFill>
              </w:rPr>
              <w:t>、天线1根、充电器1套、吊绳1根、背夹1个。</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C569">
            <w:pPr>
              <w:widowControl/>
              <w:jc w:val="center"/>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90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A5F7">
            <w:pPr>
              <w:widowControl/>
              <w:jc w:val="center"/>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lang w:bidi="ar"/>
                <w14:textFill>
                  <w14:solidFill>
                    <w14:schemeClr w14:val="tx1"/>
                  </w14:solidFill>
                </w14:textFill>
              </w:rPr>
              <w:t>套</w:t>
            </w:r>
          </w:p>
        </w:tc>
      </w:tr>
    </w:tbl>
    <w:p w14:paraId="00B2EFF2">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p>
    <w:p w14:paraId="22963E04">
      <w:pPr>
        <w:pStyle w:val="4"/>
        <w:pageBreakBefore/>
        <w:spacing w:line="360" w:lineRule="auto"/>
        <w:jc w:val="center"/>
        <w:rPr>
          <w:rFonts w:hint="eastAsia" w:ascii="宋体" w:hAnsi="宋体" w:eastAsia="宋体"/>
          <w:color w:val="000000" w:themeColor="text1"/>
          <w:sz w:val="36"/>
          <w:szCs w:val="30"/>
          <w:highlight w:val="none"/>
          <w14:textFill>
            <w14:solidFill>
              <w14:schemeClr w14:val="tx1"/>
            </w14:solidFill>
          </w14:textFill>
        </w:rPr>
      </w:pPr>
      <w:bookmarkStart w:id="35" w:name="_Toc9114"/>
      <w:r>
        <w:rPr>
          <w:rFonts w:hint="eastAsia" w:ascii="宋体" w:hAnsi="宋体" w:eastAsia="宋体"/>
          <w:color w:val="000000" w:themeColor="text1"/>
          <w:sz w:val="36"/>
          <w:szCs w:val="30"/>
          <w:highlight w:val="none"/>
          <w14:textFill>
            <w14:solidFill>
              <w14:schemeClr w14:val="tx1"/>
            </w14:solidFill>
          </w14:textFill>
        </w:rPr>
        <w:t>第三篇  项目商务需求</w:t>
      </w:r>
      <w:bookmarkEnd w:id="30"/>
      <w:bookmarkEnd w:id="35"/>
    </w:p>
    <w:p w14:paraId="78D5F4B8">
      <w:pPr>
        <w:snapToGrid w:val="0"/>
        <w:spacing w:line="360" w:lineRule="auto"/>
        <w:ind w:firstLine="422" w:firstLineChars="200"/>
        <w:rPr>
          <w:rFonts w:hint="eastAsia" w:ascii="宋体" w:hAnsi="宋体"/>
          <w:b/>
          <w:color w:val="000000" w:themeColor="text1"/>
          <w:sz w:val="24"/>
          <w:szCs w:val="24"/>
          <w:highlight w:val="none"/>
          <w14:textFill>
            <w14:solidFill>
              <w14:schemeClr w14:val="tx1"/>
            </w14:solidFill>
          </w14:textFill>
        </w:rPr>
      </w:pPr>
      <w:bookmarkStart w:id="36" w:name="_Toc267320049"/>
      <w:r>
        <w:rPr>
          <w:rFonts w:hint="eastAsia" w:ascii="宋体" w:hAnsi="宋体"/>
          <w:b/>
          <w:color w:val="000000" w:themeColor="text1"/>
          <w:sz w:val="21"/>
          <w:szCs w:val="21"/>
          <w:highlight w:val="none"/>
          <w14:textFill>
            <w14:solidFill>
              <w14:schemeClr w14:val="tx1"/>
            </w14:solidFill>
          </w14:textFill>
        </w:rPr>
        <w:t>“※”标注的要求为符合性审查中的实质性要求，投标文件若不满足按无效投标处理。</w:t>
      </w:r>
    </w:p>
    <w:bookmarkEnd w:id="36"/>
    <w:p w14:paraId="431A2BCF">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37" w:name="_Toc132194555"/>
      <w:bookmarkStart w:id="38" w:name="_Toc27488"/>
      <w:r>
        <w:rPr>
          <w:rFonts w:ascii="宋体" w:hAnsi="宋体"/>
          <w:color w:val="000000" w:themeColor="text1"/>
          <w:sz w:val="24"/>
          <w:szCs w:val="24"/>
          <w:highlight w:val="none"/>
          <w14:textFill>
            <w14:solidFill>
              <w14:schemeClr w14:val="tx1"/>
            </w14:solidFill>
          </w14:textFill>
        </w:rPr>
        <w:t>一、交货期、交货地点及验收方式</w:t>
      </w:r>
      <w:bookmarkEnd w:id="37"/>
      <w:bookmarkEnd w:id="38"/>
    </w:p>
    <w:p w14:paraId="5E0F6C81">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※（一）交货期</w:t>
      </w:r>
    </w:p>
    <w:p w14:paraId="10C27592">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成交供应商应在采购合同签订后</w:t>
      </w:r>
      <w:r>
        <w:rPr>
          <w:rFonts w:hint="eastAsia" w:ascii="宋体" w:hAnsi="宋体"/>
          <w:color w:val="000000" w:themeColor="text1"/>
          <w:sz w:val="24"/>
          <w:szCs w:val="24"/>
          <w:highlight w:val="none"/>
          <w:lang w:val="en-US" w:eastAsia="zh-CN"/>
          <w14:textFill>
            <w14:solidFill>
              <w14:schemeClr w14:val="tx1"/>
            </w14:solidFill>
          </w14:textFill>
        </w:rPr>
        <w:t>15</w:t>
      </w:r>
      <w:r>
        <w:rPr>
          <w:rFonts w:ascii="宋体" w:hAnsi="宋体"/>
          <w:color w:val="000000" w:themeColor="text1"/>
          <w:sz w:val="24"/>
          <w:szCs w:val="24"/>
          <w:highlight w:val="none"/>
          <w14:textFill>
            <w14:solidFill>
              <w14:schemeClr w14:val="tx1"/>
            </w14:solidFill>
          </w14:textFill>
        </w:rPr>
        <w:t>个日历日内交货并完成安装调试</w:t>
      </w:r>
      <w:r>
        <w:rPr>
          <w:rFonts w:hint="eastAsia" w:ascii="宋体" w:hAnsi="宋体"/>
          <w:color w:val="000000" w:themeColor="text1"/>
          <w:sz w:val="24"/>
          <w:szCs w:val="24"/>
          <w:highlight w:val="none"/>
          <w14:textFill>
            <w14:solidFill>
              <w14:schemeClr w14:val="tx1"/>
            </w14:solidFill>
          </w14:textFill>
        </w:rPr>
        <w:t>，且通过采购人</w:t>
      </w:r>
      <w:r>
        <w:rPr>
          <w:rFonts w:hint="eastAsia" w:ascii="宋体" w:hAnsi="宋体"/>
          <w:color w:val="000000" w:themeColor="text1"/>
          <w:sz w:val="24"/>
          <w:szCs w:val="24"/>
          <w:highlight w:val="none"/>
          <w:lang w:val="en-US" w:eastAsia="zh-CN"/>
          <w14:textFill>
            <w14:solidFill>
              <w14:schemeClr w14:val="tx1"/>
            </w14:solidFill>
          </w14:textFill>
        </w:rPr>
        <w:t>验收</w:t>
      </w:r>
      <w:r>
        <w:rPr>
          <w:rFonts w:hint="eastAsia" w:ascii="宋体" w:hAnsi="宋体"/>
          <w:color w:val="000000" w:themeColor="text1"/>
          <w:sz w:val="24"/>
          <w:szCs w:val="24"/>
          <w:highlight w:val="none"/>
          <w14:textFill>
            <w14:solidFill>
              <w14:schemeClr w14:val="tx1"/>
            </w14:solidFill>
          </w14:textFill>
        </w:rPr>
        <w:t>确认</w:t>
      </w:r>
      <w:r>
        <w:rPr>
          <w:rFonts w:ascii="宋体" w:hAnsi="宋体"/>
          <w:color w:val="000000" w:themeColor="text1"/>
          <w:sz w:val="24"/>
          <w:szCs w:val="24"/>
          <w:highlight w:val="none"/>
          <w14:textFill>
            <w14:solidFill>
              <w14:schemeClr w14:val="tx1"/>
            </w14:solidFill>
          </w14:textFill>
        </w:rPr>
        <w:t>。</w:t>
      </w:r>
    </w:p>
    <w:p w14:paraId="0F251A50">
      <w:pPr>
        <w:tabs>
          <w:tab w:val="left" w:pos="6431"/>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（二）交货地点</w:t>
      </w:r>
      <w:r>
        <w:rPr>
          <w:rFonts w:hint="eastAsia" w:ascii="宋体" w:hAnsi="宋体"/>
          <w:color w:val="000000" w:themeColor="text1"/>
          <w:sz w:val="24"/>
          <w:szCs w:val="24"/>
          <w:highlight w:val="none"/>
          <w14:textFill>
            <w14:solidFill>
              <w14:schemeClr w14:val="tx1"/>
            </w14:solidFill>
          </w14:textFill>
        </w:rPr>
        <w:tab/>
      </w:r>
    </w:p>
    <w:p w14:paraId="1D6F325A">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交货地点：重庆市森林草原火灾预防预警监测中心指定地点（重庆市范围内）。</w:t>
      </w:r>
    </w:p>
    <w:p w14:paraId="4DEB5E84">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）验收方式</w:t>
      </w:r>
    </w:p>
    <w:p w14:paraId="5995D427">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1.货物到达现场后，成交供应商应在使用单位</w:t>
      </w:r>
      <w:bookmarkStart w:id="39" w:name="OLE_LINK1"/>
      <w:r>
        <w:rPr>
          <w:rFonts w:ascii="宋体" w:hAnsi="宋体"/>
          <w:color w:val="000000" w:themeColor="text1"/>
          <w:sz w:val="24"/>
          <w:szCs w:val="24"/>
          <w:highlight w:val="none"/>
          <w14:textFill>
            <w14:solidFill>
              <w14:schemeClr w14:val="tx1"/>
            </w14:solidFill>
          </w14:textFill>
        </w:rPr>
        <w:t>人员在场情况下当面开箱，共同清点、检查外观，作出开箱记录，双方签字确认。</w:t>
      </w:r>
    </w:p>
    <w:bookmarkEnd w:id="39"/>
    <w:p w14:paraId="63F8D314">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2.成交供应商应保证货物到达采购人所在地完好无损，如有缺漏、损坏，由供应商负责调换、补齐或赔偿。</w:t>
      </w:r>
    </w:p>
    <w:p w14:paraId="5BC68A38">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3.成交供应商应提供完备的技术资料、装箱单和合格证等，并派遣专业技术人员进行现场安装调试。验收合格条件如下：</w:t>
      </w:r>
    </w:p>
    <w:p w14:paraId="6AB16C0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3.1设备技术参数与采购合同一致，性能指标达到规定的标准。</w:t>
      </w:r>
    </w:p>
    <w:p w14:paraId="3389E850">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3.2货物技术资料、装箱单、合格证等资料齐全。</w:t>
      </w:r>
    </w:p>
    <w:p w14:paraId="029F548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3.3在规定时间内完成交货</w:t>
      </w:r>
      <w:r>
        <w:rPr>
          <w:rFonts w:hint="eastAsia" w:ascii="宋体" w:hAnsi="宋体"/>
          <w:color w:val="000000" w:themeColor="text1"/>
          <w:sz w:val="24"/>
          <w:szCs w:val="24"/>
          <w:highlight w:val="none"/>
          <w14:textFill>
            <w14:solidFill>
              <w14:schemeClr w14:val="tx1"/>
            </w14:solidFill>
          </w14:textFill>
        </w:rPr>
        <w:t>及安装调试</w:t>
      </w:r>
      <w:r>
        <w:rPr>
          <w:rFonts w:ascii="宋体" w:hAnsi="宋体"/>
          <w:color w:val="000000" w:themeColor="text1"/>
          <w:sz w:val="24"/>
          <w:szCs w:val="24"/>
          <w:highlight w:val="none"/>
          <w14:textFill>
            <w14:solidFill>
              <w14:schemeClr w14:val="tx1"/>
            </w14:solidFill>
          </w14:textFill>
        </w:rPr>
        <w:t>，并</w:t>
      </w:r>
      <w:r>
        <w:rPr>
          <w:rFonts w:hint="eastAsia" w:ascii="宋体" w:hAnsi="宋体"/>
          <w:color w:val="000000" w:themeColor="text1"/>
          <w:sz w:val="24"/>
          <w:szCs w:val="24"/>
          <w:highlight w:val="none"/>
          <w14:textFill>
            <w14:solidFill>
              <w14:schemeClr w14:val="tx1"/>
            </w14:solidFill>
          </w14:textFill>
        </w:rPr>
        <w:t>通过</w:t>
      </w:r>
      <w:r>
        <w:rPr>
          <w:rFonts w:ascii="宋体" w:hAnsi="宋体"/>
          <w:color w:val="000000" w:themeColor="text1"/>
          <w:sz w:val="24"/>
          <w:szCs w:val="24"/>
          <w:highlight w:val="none"/>
          <w14:textFill>
            <w14:solidFill>
              <w14:schemeClr w14:val="tx1"/>
            </w14:solidFill>
          </w14:textFill>
        </w:rPr>
        <w:t>采购人</w:t>
      </w:r>
      <w:r>
        <w:rPr>
          <w:rFonts w:hint="eastAsia" w:ascii="宋体" w:hAnsi="宋体"/>
          <w:color w:val="000000" w:themeColor="text1"/>
          <w:sz w:val="24"/>
          <w:szCs w:val="24"/>
          <w:highlight w:val="none"/>
          <w14:textFill>
            <w14:solidFill>
              <w14:schemeClr w14:val="tx1"/>
            </w14:solidFill>
          </w14:textFill>
        </w:rPr>
        <w:t>确认</w:t>
      </w:r>
      <w:r>
        <w:rPr>
          <w:rFonts w:ascii="宋体" w:hAnsi="宋体"/>
          <w:color w:val="000000" w:themeColor="text1"/>
          <w:sz w:val="24"/>
          <w:szCs w:val="24"/>
          <w:highlight w:val="none"/>
          <w14:textFill>
            <w14:solidFill>
              <w14:schemeClr w14:val="tx1"/>
            </w14:solidFill>
          </w14:textFill>
        </w:rPr>
        <w:t>。</w:t>
      </w:r>
    </w:p>
    <w:p w14:paraId="6443CFB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4.成交供应商提供的货物未达到竞争性比选文件规定要求，且对采购人造成损失的，由成交供应商承担一切责任，并赔偿所造成的损失</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包括但不限于直接损失、间接损失、律师费等维权费用</w:t>
      </w:r>
      <w:r>
        <w:rPr>
          <w:rFonts w:ascii="宋体" w:hAnsi="宋体"/>
          <w:color w:val="000000" w:themeColor="text1"/>
          <w:sz w:val="24"/>
          <w:szCs w:val="24"/>
          <w:highlight w:val="none"/>
          <w14:textFill>
            <w14:solidFill>
              <w14:schemeClr w14:val="tx1"/>
            </w14:solidFill>
          </w14:textFill>
        </w:rPr>
        <w:t>。</w:t>
      </w:r>
    </w:p>
    <w:p w14:paraId="18854C3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.采购人需要制造商对成交供应商交付的产品（包括质量、技术参数等）进行确认的，制造商应予以配合，并出具书面意见。</w:t>
      </w:r>
    </w:p>
    <w:p w14:paraId="4CCAC468">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.产品包装材料归采购人所有。</w:t>
      </w:r>
    </w:p>
    <w:p w14:paraId="19DDBA7A">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40" w:name="_Toc132194556"/>
      <w:bookmarkStart w:id="41" w:name="_Toc28686"/>
      <w:r>
        <w:rPr>
          <w:rFonts w:ascii="宋体" w:hAnsi="宋体"/>
          <w:color w:val="000000" w:themeColor="text1"/>
          <w:sz w:val="24"/>
          <w:szCs w:val="24"/>
          <w:highlight w:val="none"/>
          <w14:textFill>
            <w14:solidFill>
              <w14:schemeClr w14:val="tx1"/>
            </w14:solidFill>
          </w14:textFill>
        </w:rPr>
        <w:t>二、报价要求</w:t>
      </w:r>
      <w:bookmarkEnd w:id="40"/>
      <w:bookmarkEnd w:id="41"/>
    </w:p>
    <w:p w14:paraId="6A4794FD">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bookmarkStart w:id="42" w:name="_Toc132194557"/>
      <w:r>
        <w:rPr>
          <w:rFonts w:hint="eastAsia" w:ascii="宋体" w:hAnsi="宋体"/>
          <w:color w:val="000000" w:themeColor="text1"/>
          <w:sz w:val="24"/>
          <w:szCs w:val="24"/>
          <w:highlight w:val="none"/>
          <w14:textFill>
            <w14:solidFill>
              <w14:schemeClr w14:val="tx1"/>
            </w14:solidFill>
          </w14:textFill>
        </w:rPr>
        <w:t>本次报价须为人民币报价，包含但不限于：产品价、运输费（含装卸费）、保险费、安装调试费、税费、培训费、服务费、人工费、交通费、税费等一切费用等完成本项目所有费用。</w:t>
      </w:r>
      <w:r>
        <w:rPr>
          <w:rFonts w:hint="eastAsia" w:ascii="宋体" w:hAnsi="宋体" w:cs="宋体"/>
          <w:color w:val="000000" w:themeColor="text1"/>
          <w:kern w:val="0"/>
          <w:sz w:val="24"/>
          <w:szCs w:val="24"/>
          <w:highlight w:val="none"/>
          <w14:textFill>
            <w14:solidFill>
              <w14:schemeClr w14:val="tx1"/>
            </w14:solidFill>
          </w14:textFill>
        </w:rPr>
        <w:t>因成交供应商自身原因造成漏报、少报皆由其自行承担责任，采购人不再补偿。</w:t>
      </w:r>
    </w:p>
    <w:p w14:paraId="572B905D">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43" w:name="_Toc8569"/>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三、质量保证及售后服务</w:t>
      </w:r>
      <w:bookmarkEnd w:id="42"/>
      <w:bookmarkEnd w:id="43"/>
    </w:p>
    <w:p w14:paraId="3D4E338D">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（一）产品质量保证期：自验收合格之日起，其投标产品质量保证期达到</w:t>
      </w:r>
      <w:r>
        <w:rPr>
          <w:rFonts w:hint="eastAsia"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年。</w:t>
      </w:r>
    </w:p>
    <w:p w14:paraId="7C1C740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（二）售后服务内容</w:t>
      </w:r>
    </w:p>
    <w:p w14:paraId="6A9CE9AA">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1.供应商在质量保证期内应当为采购人提供以下技术支持和服务：</w:t>
      </w:r>
    </w:p>
    <w:p w14:paraId="4CB805A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电话咨询</w:t>
      </w:r>
    </w:p>
    <w:p w14:paraId="4ABD8E84">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供应商应当为采购人提供技术援助电话，解答采购人在使用中遇到的问题，及时为采购人提出解决问题的建议。</w:t>
      </w:r>
    </w:p>
    <w:p w14:paraId="6511364B">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现场响应</w:t>
      </w:r>
    </w:p>
    <w:p w14:paraId="605CBB01">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采购人遇到使用及技术问题，电话咨询不能解决的，供应商应</w:t>
      </w:r>
      <w:r>
        <w:rPr>
          <w:rFonts w:hint="eastAsia" w:ascii="宋体" w:hAnsi="宋体"/>
          <w:color w:val="000000" w:themeColor="text1"/>
          <w:sz w:val="24"/>
          <w:szCs w:val="24"/>
          <w:highlight w:val="none"/>
          <w14:textFill>
            <w14:solidFill>
              <w14:schemeClr w14:val="tx1"/>
            </w14:solidFill>
          </w14:textFill>
        </w:rPr>
        <w:t>在接到采购人通知后2小时内</w:t>
      </w:r>
      <w:r>
        <w:rPr>
          <w:rFonts w:ascii="宋体" w:hAnsi="宋体"/>
          <w:color w:val="000000" w:themeColor="text1"/>
          <w:sz w:val="24"/>
          <w:szCs w:val="24"/>
          <w:highlight w:val="none"/>
          <w14:textFill>
            <w14:solidFill>
              <w14:schemeClr w14:val="tx1"/>
            </w14:solidFill>
          </w14:textFill>
        </w:rPr>
        <w:t>到达现场进行处理，确保产品正常工作；无法在2小时内解决的，应在24小时内提供备用产品，使采购人能够正常使用。</w:t>
      </w:r>
    </w:p>
    <w:p w14:paraId="607EF472">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技术升级</w:t>
      </w:r>
    </w:p>
    <w:p w14:paraId="0174A684">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在质保期内，如果供应商的产品技术升级，供应商应及时通知采购人，如采购人有相应要求，供应商应对采购人购买的产品进行</w:t>
      </w:r>
      <w:r>
        <w:rPr>
          <w:rFonts w:hint="eastAsia" w:ascii="宋体" w:hAnsi="宋体"/>
          <w:color w:val="000000" w:themeColor="text1"/>
          <w:sz w:val="24"/>
          <w:szCs w:val="24"/>
          <w:highlight w:val="none"/>
          <w14:textFill>
            <w14:solidFill>
              <w14:schemeClr w14:val="tx1"/>
            </w14:solidFill>
          </w14:textFill>
        </w:rPr>
        <w:t>免费</w:t>
      </w:r>
      <w:r>
        <w:rPr>
          <w:rFonts w:ascii="宋体" w:hAnsi="宋体"/>
          <w:color w:val="000000" w:themeColor="text1"/>
          <w:sz w:val="24"/>
          <w:szCs w:val="24"/>
          <w:highlight w:val="none"/>
          <w14:textFill>
            <w14:solidFill>
              <w14:schemeClr w14:val="tx1"/>
            </w14:solidFill>
          </w14:textFill>
        </w:rPr>
        <w:t>升级服务。</w:t>
      </w:r>
    </w:p>
    <w:p w14:paraId="7324B50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2.质保期外服务要求</w:t>
      </w:r>
    </w:p>
    <w:p w14:paraId="624275C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2.1质量保证期过后，供应商应同样提供免费电话咨询服务，并应承诺提供产品上门维护服务。</w:t>
      </w:r>
    </w:p>
    <w:p w14:paraId="2AAE738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2.2质量保证期过后，采购人需要继续由原供应商提供售后服务的，该供应商应以优惠价格提供售后服务。</w:t>
      </w:r>
    </w:p>
    <w:p w14:paraId="01928FA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（三）备品备件及易损件</w:t>
      </w:r>
    </w:p>
    <w:p w14:paraId="6E9EE24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供应商售后服务中，维修使用的备品备件及易损件应为原厂配件，未经采购人同意不得使用非原厂配件，常用的、容易损坏的备品备件及易损件的价格清单须在投标文件中列出。</w:t>
      </w:r>
    </w:p>
    <w:p w14:paraId="605C6084">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44" w:name="_Toc132194558"/>
      <w:bookmarkStart w:id="45" w:name="_Toc5254"/>
      <w:r>
        <w:rPr>
          <w:rFonts w:ascii="宋体" w:hAnsi="宋体"/>
          <w:color w:val="000000" w:themeColor="text1"/>
          <w:sz w:val="24"/>
          <w:szCs w:val="24"/>
          <w:highlight w:val="none"/>
          <w14:textFill>
            <w14:solidFill>
              <w14:schemeClr w14:val="tx1"/>
            </w14:solidFill>
          </w14:textFill>
        </w:rPr>
        <w:t>四、付款方式</w:t>
      </w:r>
      <w:bookmarkEnd w:id="44"/>
      <w:bookmarkEnd w:id="45"/>
    </w:p>
    <w:p w14:paraId="52EF8457">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合同签订后，成交供应商按采购合同交货并安装调试完成的，</w:t>
      </w:r>
      <w:r>
        <w:rPr>
          <w:rFonts w:hint="eastAsia" w:ascii="宋体" w:hAnsi="宋体"/>
          <w:color w:val="000000" w:themeColor="text1"/>
          <w:sz w:val="24"/>
          <w:szCs w:val="24"/>
          <w:highlight w:val="none"/>
          <w:lang w:val="en-US" w:eastAsia="zh-CN"/>
          <w14:textFill>
            <w14:solidFill>
              <w14:schemeClr w14:val="tx1"/>
            </w14:solidFill>
          </w14:textFill>
        </w:rPr>
        <w:t>验收合格</w:t>
      </w:r>
      <w:r>
        <w:rPr>
          <w:rFonts w:hint="eastAsia" w:ascii="宋体" w:hAnsi="宋体"/>
          <w:color w:val="000000" w:themeColor="text1"/>
          <w:sz w:val="24"/>
          <w:szCs w:val="24"/>
          <w:highlight w:val="none"/>
          <w14:textFill>
            <w14:solidFill>
              <w14:schemeClr w14:val="tx1"/>
            </w14:solidFill>
          </w14:textFill>
        </w:rPr>
        <w:t>后</w:t>
      </w:r>
      <w:r>
        <w:rPr>
          <w:rFonts w:hint="eastAsia" w:ascii="宋体" w:hAnsi="宋体"/>
          <w:color w:val="000000" w:themeColor="text1"/>
          <w:sz w:val="24"/>
          <w:szCs w:val="24"/>
          <w:highlight w:val="none"/>
          <w14:textFill>
            <w14:solidFill>
              <w14:schemeClr w14:val="tx1"/>
            </w14:solidFill>
          </w14:textFill>
        </w:rPr>
        <w:t>向采购人提供中标金额足额正规发票，采购人按资金审批流程于10个工作日内支付合同款项。</w:t>
      </w:r>
    </w:p>
    <w:p w14:paraId="49B4D605">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46" w:name="_Toc129858361"/>
      <w:bookmarkStart w:id="47" w:name="_Toc137451076"/>
      <w:bookmarkStart w:id="48" w:name="_Toc105059458"/>
      <w:bookmarkStart w:id="49" w:name="_Toc132194559"/>
      <w:bookmarkStart w:id="50" w:name="_Toc5217"/>
      <w:r>
        <w:rPr>
          <w:rFonts w:hint="eastAsia" w:ascii="宋体" w:hAnsi="宋体"/>
          <w:color w:val="000000" w:themeColor="text1"/>
          <w:sz w:val="24"/>
          <w:szCs w:val="24"/>
          <w:highlight w:val="none"/>
          <w14:textFill>
            <w14:solidFill>
              <w14:schemeClr w14:val="tx1"/>
            </w14:solidFill>
          </w14:textFill>
        </w:rPr>
        <w:t>五、</w:t>
      </w:r>
      <w:bookmarkEnd w:id="46"/>
      <w:bookmarkEnd w:id="47"/>
      <w:bookmarkEnd w:id="48"/>
      <w:r>
        <w:rPr>
          <w:rFonts w:ascii="宋体" w:hAnsi="宋体"/>
          <w:color w:val="000000" w:themeColor="text1"/>
          <w:sz w:val="24"/>
          <w:szCs w:val="24"/>
          <w:highlight w:val="none"/>
          <w14:textFill>
            <w14:solidFill>
              <w14:schemeClr w14:val="tx1"/>
            </w14:solidFill>
          </w14:textFill>
        </w:rPr>
        <w:t>知识产权</w:t>
      </w:r>
      <w:bookmarkEnd w:id="49"/>
      <w:bookmarkEnd w:id="50"/>
    </w:p>
    <w:p w14:paraId="3983648B">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0B50377">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51" w:name="_Toc132194560"/>
      <w:bookmarkStart w:id="52" w:name="_Toc31992"/>
      <w:r>
        <w:rPr>
          <w:rFonts w:hint="eastAsia" w:ascii="宋体" w:hAnsi="宋体"/>
          <w:color w:val="000000" w:themeColor="text1"/>
          <w:sz w:val="24"/>
          <w:szCs w:val="24"/>
          <w:highlight w:val="none"/>
          <w14:textFill>
            <w14:solidFill>
              <w14:schemeClr w14:val="tx1"/>
            </w14:solidFill>
          </w14:textFill>
        </w:rPr>
        <w:t>六</w:t>
      </w:r>
      <w:r>
        <w:rPr>
          <w:rFonts w:ascii="宋体" w:hAnsi="宋体"/>
          <w:color w:val="000000" w:themeColor="text1"/>
          <w:sz w:val="24"/>
          <w:szCs w:val="24"/>
          <w:highlight w:val="none"/>
          <w14:textFill>
            <w14:solidFill>
              <w14:schemeClr w14:val="tx1"/>
            </w14:solidFill>
          </w14:textFill>
        </w:rPr>
        <w:t>、培训</w:t>
      </w:r>
      <w:bookmarkEnd w:id="51"/>
      <w:bookmarkEnd w:id="52"/>
    </w:p>
    <w:p w14:paraId="3B528CFA">
      <w:pPr>
        <w:suppressAutoHyphens/>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供应商对其提供产品的使用和操作应尽培训义务。供应商应提供对采购人的基本免费培训，使采购人使用人员能够正常操作。</w:t>
      </w:r>
    </w:p>
    <w:p w14:paraId="68F714C2">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53" w:name="_Toc132194561"/>
      <w:bookmarkStart w:id="54" w:name="_Toc28975"/>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七、违约责任</w:t>
      </w:r>
      <w:bookmarkEnd w:id="53"/>
      <w:bookmarkEnd w:id="54"/>
    </w:p>
    <w:p w14:paraId="69E435C8">
      <w:pPr>
        <w:suppressAutoHyphens/>
        <w:snapToGrid w:val="0"/>
        <w:spacing w:line="360" w:lineRule="auto"/>
        <w:ind w:firstLine="480" w:firstLineChars="200"/>
        <w:rPr>
          <w:color w:val="000000" w:themeColor="text1"/>
          <w:sz w:val="24"/>
          <w:highlight w:val="none"/>
          <w14:textFill>
            <w14:solidFill>
              <w14:schemeClr w14:val="tx1"/>
            </w14:solidFill>
          </w14:textFill>
        </w:rPr>
      </w:pPr>
      <w:bookmarkStart w:id="55" w:name="_Toc132194562"/>
      <w:r>
        <w:rPr>
          <w:rFonts w:hint="eastAsia"/>
          <w:color w:val="000000" w:themeColor="text1"/>
          <w:sz w:val="24"/>
          <w:highlight w:val="none"/>
          <w14:textFill>
            <w14:solidFill>
              <w14:schemeClr w14:val="tx1"/>
            </w14:solidFill>
          </w14:textFill>
        </w:rPr>
        <w:t>（一）成交供应商因自身原因不能履行合同的或提供的产品不符合竞争性比选文件规定的，成交供应商应全额退还采购人已支付款项，若因此对采购人造成损失的，由成交供应商承担一切责任，并赔偿所造成的损失，</w:t>
      </w:r>
      <w:r>
        <w:rPr>
          <w:rFonts w:hint="eastAsia" w:ascii="宋体" w:hAnsi="宋体" w:cs="宋体"/>
          <w:color w:val="000000" w:themeColor="text1"/>
          <w:sz w:val="24"/>
          <w:szCs w:val="24"/>
          <w:highlight w:val="none"/>
          <w14:textFill>
            <w14:solidFill>
              <w14:schemeClr w14:val="tx1"/>
            </w14:solidFill>
          </w14:textFill>
        </w:rPr>
        <w:t>包括但不限于直接损失、间接损失、律师费等维权费用</w:t>
      </w:r>
      <w:r>
        <w:rPr>
          <w:rFonts w:hint="eastAsia"/>
          <w:color w:val="000000" w:themeColor="text1"/>
          <w:sz w:val="24"/>
          <w:highlight w:val="none"/>
          <w14:textFill>
            <w14:solidFill>
              <w14:schemeClr w14:val="tx1"/>
            </w14:solidFill>
          </w14:textFill>
        </w:rPr>
        <w:t>。</w:t>
      </w:r>
    </w:p>
    <w:p w14:paraId="72F03BA7">
      <w:pPr>
        <w:suppressAutoHyphens/>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若成交供应商未在约定时间内提供产品、完成安装调试或通过验收的，每逾期1个日历日，成交供应商应按合同总金额的千分之一向采购人支付违约金。若逾期超过20个日历日未按时交货、完成安装调试或通过验收的，采购人有权解除合同，若因此对采购人造成损失的，由成交供应商承担一切责任，并赔偿所造成的损失，</w:t>
      </w:r>
      <w:r>
        <w:rPr>
          <w:rFonts w:hint="eastAsia" w:ascii="宋体" w:hAnsi="宋体" w:cs="宋体"/>
          <w:color w:val="000000" w:themeColor="text1"/>
          <w:sz w:val="24"/>
          <w:szCs w:val="24"/>
          <w:highlight w:val="none"/>
          <w14:textFill>
            <w14:solidFill>
              <w14:schemeClr w14:val="tx1"/>
            </w14:solidFill>
          </w14:textFill>
        </w:rPr>
        <w:t>包括但不限于直接损失、间接损失、律师费等维权费用</w:t>
      </w:r>
      <w:r>
        <w:rPr>
          <w:rFonts w:hint="eastAsia"/>
          <w:color w:val="000000" w:themeColor="text1"/>
          <w:sz w:val="24"/>
          <w:highlight w:val="none"/>
          <w14:textFill>
            <w14:solidFill>
              <w14:schemeClr w14:val="tx1"/>
            </w14:solidFill>
          </w14:textFill>
        </w:rPr>
        <w:t>。</w:t>
      </w:r>
    </w:p>
    <w:p w14:paraId="052D7B7E">
      <w:pPr>
        <w:suppressAutoHyphens/>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（三）若因相关政策调整、财政部门通知等不可抗力及因客观原因致使合同订立后因无法履行而解除的，成交供应商应全额退还采购人已支付款项，采购人不承担任何责任。</w:t>
      </w:r>
    </w:p>
    <w:p w14:paraId="3CE75422">
      <w:pPr>
        <w:suppressAutoHyphens/>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（四）成交供应商未能按照约定提供质量保证及售后服务约定的，应按照合同金额的20%向采购人支付违约金，并赔偿由此给采购人造成的全部损失，</w:t>
      </w:r>
      <w:r>
        <w:rPr>
          <w:rFonts w:hint="eastAsia" w:ascii="宋体" w:hAnsi="宋体" w:cs="宋体"/>
          <w:color w:val="000000" w:themeColor="text1"/>
          <w:sz w:val="24"/>
          <w:szCs w:val="24"/>
          <w:highlight w:val="none"/>
          <w14:textFill>
            <w14:solidFill>
              <w14:schemeClr w14:val="tx1"/>
            </w14:solidFill>
          </w14:textFill>
        </w:rPr>
        <w:t>包括但不限于直接损失、间接损失、律师费等维权费用</w:t>
      </w:r>
      <w:r>
        <w:rPr>
          <w:rFonts w:hint="eastAsia"/>
          <w:color w:val="000000" w:themeColor="text1"/>
          <w:sz w:val="24"/>
          <w:highlight w:val="none"/>
          <w14:textFill>
            <w14:solidFill>
              <w14:schemeClr w14:val="tx1"/>
            </w14:solidFill>
          </w14:textFill>
        </w:rPr>
        <w:t>。</w:t>
      </w:r>
    </w:p>
    <w:p w14:paraId="11938182">
      <w:pPr>
        <w:suppressAutoHyphens/>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（五）其他事宜按《中华人民共和国民法典》《中华人民共和国政府采购法》执行。</w:t>
      </w:r>
    </w:p>
    <w:p w14:paraId="62DC13F1">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56" w:name="_Toc5958"/>
      <w:r>
        <w:rPr>
          <w:rFonts w:hint="eastAsia" w:ascii="宋体" w:hAnsi="宋体"/>
          <w:color w:val="000000" w:themeColor="text1"/>
          <w:sz w:val="24"/>
          <w:szCs w:val="24"/>
          <w:highlight w:val="none"/>
          <w14:textFill>
            <w14:solidFill>
              <w14:schemeClr w14:val="tx1"/>
            </w14:solidFill>
          </w14:textFill>
        </w:rPr>
        <w:t>八</w:t>
      </w:r>
      <w:r>
        <w:rPr>
          <w:rFonts w:ascii="宋体" w:hAnsi="宋体"/>
          <w:color w:val="000000" w:themeColor="text1"/>
          <w:sz w:val="24"/>
          <w:szCs w:val="24"/>
          <w:highlight w:val="none"/>
          <w14:textFill>
            <w14:solidFill>
              <w14:schemeClr w14:val="tx1"/>
            </w14:solidFill>
          </w14:textFill>
        </w:rPr>
        <w:t>、附件、图纸及包装要求</w:t>
      </w:r>
      <w:bookmarkEnd w:id="55"/>
      <w:bookmarkEnd w:id="56"/>
    </w:p>
    <w:p w14:paraId="2FF5FBD7">
      <w:pPr>
        <w:suppressAutoHyphens/>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所有设备按照制造商规定的产品包装和随机标准附件为准。</w:t>
      </w:r>
    </w:p>
    <w:p w14:paraId="0ACB212E">
      <w:pPr>
        <w:pStyle w:val="4"/>
        <w:pageBreakBefore/>
        <w:spacing w:line="360" w:lineRule="auto"/>
        <w:jc w:val="center"/>
        <w:rPr>
          <w:rFonts w:hint="eastAsia" w:ascii="宋体" w:hAnsi="宋体" w:eastAsia="宋体"/>
          <w:color w:val="000000" w:themeColor="text1"/>
          <w:sz w:val="36"/>
          <w:szCs w:val="30"/>
          <w:highlight w:val="none"/>
          <w14:textFill>
            <w14:solidFill>
              <w14:schemeClr w14:val="tx1"/>
            </w14:solidFill>
          </w14:textFill>
        </w:rPr>
      </w:pPr>
      <w:bookmarkStart w:id="57" w:name="_Toc14009"/>
      <w:r>
        <w:rPr>
          <w:rFonts w:hint="eastAsia" w:ascii="宋体" w:hAnsi="宋体" w:eastAsia="宋体"/>
          <w:color w:val="000000" w:themeColor="text1"/>
          <w:sz w:val="36"/>
          <w:szCs w:val="30"/>
          <w:highlight w:val="none"/>
          <w14:textFill>
            <w14:solidFill>
              <w14:schemeClr w14:val="tx1"/>
            </w14:solidFill>
          </w14:textFill>
        </w:rPr>
        <w:t>第四篇  比选程序及方法、评审标准、无效响应和采购终止</w:t>
      </w:r>
      <w:bookmarkEnd w:id="57"/>
    </w:p>
    <w:p w14:paraId="2DC48C6C">
      <w:pPr>
        <w:pStyle w:val="5"/>
        <w:snapToGrid w:val="0"/>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58" w:name="_Toc5483"/>
      <w:r>
        <w:rPr>
          <w:rFonts w:hint="eastAsia" w:ascii="宋体" w:hAnsi="宋体"/>
          <w:color w:val="000000" w:themeColor="text1"/>
          <w:sz w:val="24"/>
          <w:szCs w:val="24"/>
          <w:highlight w:val="none"/>
          <w14:textFill>
            <w14:solidFill>
              <w14:schemeClr w14:val="tx1"/>
            </w14:solidFill>
          </w14:textFill>
        </w:rPr>
        <w:t>一、比选程序及方法</w:t>
      </w:r>
      <w:bookmarkEnd w:id="58"/>
    </w:p>
    <w:p w14:paraId="684BD33D">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（一）比选按竞争性比选文件规定的时间和地点进行，由本项目依法组建的评审委员会按比选文件内容进行。</w:t>
      </w:r>
    </w:p>
    <w:p w14:paraId="3FF3BA5B">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（二）评审委员会对各供应商的资格条件、响应文件的有效性、完整性和响应程度进行审查。各供应商只有在完全符合要求的前提下，才能参与正式比选。</w:t>
      </w:r>
    </w:p>
    <w:p w14:paraId="0440FDD1">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资格性检查。依据法律法规和竞争性比选文件的规定，对响应文件中的资格证明等进行审查，以确定供应商是否具备比选资格。资格性检查资料表如下：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3EF0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4C55FCB6">
            <w:pPr>
              <w:snapToGrid w:val="0"/>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4082" w:type="dxa"/>
            <w:gridSpan w:val="2"/>
            <w:vAlign w:val="center"/>
          </w:tcPr>
          <w:p w14:paraId="19CCBE64">
            <w:pPr>
              <w:snapToGrid w:val="0"/>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检查因素</w:t>
            </w:r>
          </w:p>
        </w:tc>
        <w:tc>
          <w:tcPr>
            <w:tcW w:w="4740" w:type="dxa"/>
            <w:vAlign w:val="center"/>
          </w:tcPr>
          <w:p w14:paraId="5EB0C7DC">
            <w:pPr>
              <w:snapToGrid w:val="0"/>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检查内容</w:t>
            </w:r>
          </w:p>
        </w:tc>
      </w:tr>
      <w:tr w14:paraId="354B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1FC81145">
            <w:pPr>
              <w:snapToGrid w:val="0"/>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w:t>
            </w:r>
          </w:p>
        </w:tc>
        <w:tc>
          <w:tcPr>
            <w:tcW w:w="822" w:type="dxa"/>
            <w:vMerge w:val="restart"/>
            <w:vAlign w:val="center"/>
          </w:tcPr>
          <w:p w14:paraId="594B397D">
            <w:pPr>
              <w:snapToGrid w:val="0"/>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《中华人民共和国政府采购法》第二十二条规定</w:t>
            </w:r>
          </w:p>
        </w:tc>
        <w:tc>
          <w:tcPr>
            <w:tcW w:w="3260" w:type="dxa"/>
            <w:vAlign w:val="center"/>
          </w:tcPr>
          <w:p w14:paraId="35E95DCE">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1.具有独立承担民事责任的能力</w:t>
            </w:r>
          </w:p>
        </w:tc>
        <w:tc>
          <w:tcPr>
            <w:tcW w:w="4740" w:type="dxa"/>
            <w:vAlign w:val="center"/>
          </w:tcPr>
          <w:p w14:paraId="54C0892B">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供应商法人营业执照（副本）或社会团体法人登记证书（副本）或民办非企业单位法人登记证书（副本）或事业单位法人证书（副本）或个体工商户营业执照或有效的自然人身份证明（提供复印件）；</w:t>
            </w:r>
          </w:p>
          <w:p w14:paraId="795B0E95">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供应商法定代表人身份证明和法定代表人授权代表委托书。</w:t>
            </w:r>
          </w:p>
        </w:tc>
      </w:tr>
      <w:tr w14:paraId="19FF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2AA54055">
            <w:pPr>
              <w:snapToGrid w:val="0"/>
              <w:jc w:val="center"/>
              <w:rPr>
                <w:rFonts w:hint="eastAsia"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20A1C8B5">
            <w:pPr>
              <w:snapToGrid w:val="0"/>
              <w:rPr>
                <w:rFonts w:hint="eastAsia"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799D9AB2">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具有良好的商业信誉和健全的财务会计制度</w:t>
            </w:r>
          </w:p>
        </w:tc>
        <w:tc>
          <w:tcPr>
            <w:tcW w:w="4740" w:type="dxa"/>
            <w:vMerge w:val="restart"/>
            <w:vAlign w:val="center"/>
          </w:tcPr>
          <w:p w14:paraId="2E44A1CA">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供应商提供《基本资格条件承诺函》（见格式文件）</w:t>
            </w:r>
          </w:p>
        </w:tc>
      </w:tr>
      <w:tr w14:paraId="222D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7D6110A7">
            <w:pPr>
              <w:snapToGrid w:val="0"/>
              <w:jc w:val="center"/>
              <w:rPr>
                <w:rFonts w:hint="eastAsia"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0FC8D1A1">
            <w:pPr>
              <w:snapToGrid w:val="0"/>
              <w:rPr>
                <w:rFonts w:hint="eastAsia"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261EC3D0">
            <w:pPr>
              <w:snapToGrid w:val="0"/>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3.具有履行合同所必需的设备和专业技术能力</w:t>
            </w:r>
          </w:p>
        </w:tc>
        <w:tc>
          <w:tcPr>
            <w:tcW w:w="4740" w:type="dxa"/>
            <w:vMerge w:val="continue"/>
            <w:vAlign w:val="center"/>
          </w:tcPr>
          <w:p w14:paraId="054AD07E">
            <w:pPr>
              <w:snapToGrid w:val="0"/>
              <w:rPr>
                <w:rFonts w:hint="eastAsia" w:ascii="宋体" w:hAnsi="宋体"/>
                <w:color w:val="000000" w:themeColor="text1"/>
                <w:sz w:val="21"/>
                <w:szCs w:val="21"/>
                <w:highlight w:val="none"/>
                <w14:textFill>
                  <w14:solidFill>
                    <w14:schemeClr w14:val="tx1"/>
                  </w14:solidFill>
                </w14:textFill>
              </w:rPr>
            </w:pPr>
          </w:p>
        </w:tc>
      </w:tr>
      <w:tr w14:paraId="26D5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3870E021">
            <w:pPr>
              <w:snapToGrid w:val="0"/>
              <w:jc w:val="center"/>
              <w:rPr>
                <w:rFonts w:hint="eastAsia"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5D53315F">
            <w:pPr>
              <w:snapToGrid w:val="0"/>
              <w:rPr>
                <w:rFonts w:hint="eastAsia"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5B99EC1E">
            <w:pPr>
              <w:snapToGrid w:val="0"/>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4.有依法缴纳税收的良好记录</w:t>
            </w:r>
          </w:p>
        </w:tc>
        <w:tc>
          <w:tcPr>
            <w:tcW w:w="4740" w:type="dxa"/>
            <w:vMerge w:val="continue"/>
            <w:vAlign w:val="center"/>
          </w:tcPr>
          <w:p w14:paraId="3B04163D">
            <w:pPr>
              <w:snapToGrid w:val="0"/>
              <w:rPr>
                <w:rFonts w:hint="eastAsia" w:ascii="宋体" w:hAnsi="宋体"/>
                <w:color w:val="000000" w:themeColor="text1"/>
                <w:sz w:val="21"/>
                <w:szCs w:val="21"/>
                <w:highlight w:val="none"/>
                <w14:textFill>
                  <w14:solidFill>
                    <w14:schemeClr w14:val="tx1"/>
                  </w14:solidFill>
                </w14:textFill>
              </w:rPr>
            </w:pPr>
          </w:p>
        </w:tc>
      </w:tr>
      <w:tr w14:paraId="3FE2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46" w:type="dxa"/>
            <w:vMerge w:val="continue"/>
            <w:vAlign w:val="center"/>
          </w:tcPr>
          <w:p w14:paraId="76DBA414">
            <w:pPr>
              <w:snapToGrid w:val="0"/>
              <w:jc w:val="center"/>
              <w:rPr>
                <w:rFonts w:hint="eastAsia"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63328F58">
            <w:pPr>
              <w:snapToGrid w:val="0"/>
              <w:rPr>
                <w:rFonts w:hint="eastAsia"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25B21B61">
            <w:pPr>
              <w:snapToGrid w:val="0"/>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5.参加政府采购活动前三年内，在经营活动中没有重大违法记录</w:t>
            </w:r>
          </w:p>
        </w:tc>
        <w:tc>
          <w:tcPr>
            <w:tcW w:w="4740" w:type="dxa"/>
            <w:vMerge w:val="continue"/>
            <w:vAlign w:val="center"/>
          </w:tcPr>
          <w:p w14:paraId="3CD12E1B">
            <w:pPr>
              <w:snapToGrid w:val="0"/>
              <w:rPr>
                <w:rFonts w:hint="eastAsia" w:ascii="宋体" w:hAnsi="宋体"/>
                <w:b/>
                <w:color w:val="000000" w:themeColor="text1"/>
                <w:sz w:val="21"/>
                <w:szCs w:val="21"/>
                <w:highlight w:val="none"/>
                <w14:textFill>
                  <w14:solidFill>
                    <w14:schemeClr w14:val="tx1"/>
                  </w14:solidFill>
                </w14:textFill>
              </w:rPr>
            </w:pPr>
          </w:p>
        </w:tc>
      </w:tr>
      <w:tr w14:paraId="7C52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7465B65E">
            <w:pPr>
              <w:snapToGrid w:val="0"/>
              <w:jc w:val="center"/>
              <w:rPr>
                <w:rFonts w:hint="eastAsia"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7D123B3E">
            <w:pPr>
              <w:snapToGrid w:val="0"/>
              <w:rPr>
                <w:rFonts w:hint="eastAsia"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3F77A68B">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6.法律、行政法规规定的其他条件</w:t>
            </w:r>
          </w:p>
        </w:tc>
        <w:tc>
          <w:tcPr>
            <w:tcW w:w="4740" w:type="dxa"/>
            <w:vAlign w:val="center"/>
          </w:tcPr>
          <w:p w14:paraId="6C3D076C">
            <w:pPr>
              <w:snapToGrid w:val="0"/>
              <w:rPr>
                <w:rFonts w:hint="eastAsia" w:ascii="宋体" w:hAnsi="宋体"/>
                <w:color w:val="000000" w:themeColor="text1"/>
                <w:sz w:val="21"/>
                <w:szCs w:val="21"/>
                <w:highlight w:val="none"/>
                <w14:textFill>
                  <w14:solidFill>
                    <w14:schemeClr w14:val="tx1"/>
                  </w14:solidFill>
                </w14:textFill>
              </w:rPr>
            </w:pPr>
          </w:p>
        </w:tc>
      </w:tr>
      <w:tr w14:paraId="0392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0AE1625E">
            <w:pPr>
              <w:snapToGrid w:val="0"/>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w:t>
            </w:r>
          </w:p>
        </w:tc>
        <w:tc>
          <w:tcPr>
            <w:tcW w:w="4082" w:type="dxa"/>
            <w:gridSpan w:val="2"/>
            <w:vAlign w:val="center"/>
          </w:tcPr>
          <w:p w14:paraId="0387771C">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本项目特定资格条件</w:t>
            </w:r>
          </w:p>
        </w:tc>
        <w:tc>
          <w:tcPr>
            <w:tcW w:w="4740" w:type="dxa"/>
            <w:vAlign w:val="center"/>
          </w:tcPr>
          <w:p w14:paraId="7EF1212B">
            <w:pPr>
              <w:snapToGrid w:val="0"/>
              <w:rPr>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按第一篇“三、供应商资格要求（二）本项目的特定资格要求”的要求提交（如果有）。</w:t>
            </w:r>
          </w:p>
        </w:tc>
      </w:tr>
      <w:tr w14:paraId="4B7D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2408A285">
            <w:pPr>
              <w:snapToGrid w:val="0"/>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w:t>
            </w:r>
          </w:p>
        </w:tc>
        <w:tc>
          <w:tcPr>
            <w:tcW w:w="4082" w:type="dxa"/>
            <w:gridSpan w:val="2"/>
            <w:vAlign w:val="center"/>
          </w:tcPr>
          <w:p w14:paraId="7A4FA021">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落实政府采购政策需满足的资格要求：</w:t>
            </w:r>
          </w:p>
        </w:tc>
        <w:tc>
          <w:tcPr>
            <w:tcW w:w="4740" w:type="dxa"/>
            <w:vAlign w:val="center"/>
          </w:tcPr>
          <w:p w14:paraId="5BBF0DB2">
            <w:pPr>
              <w:snapToGrid w:val="0"/>
              <w:rPr>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按第一篇“三、供应商资格要求（三）落实政府采购政策需满足的资格要求”的要求提交（如果有）。</w:t>
            </w:r>
          </w:p>
        </w:tc>
      </w:tr>
    </w:tbl>
    <w:p w14:paraId="4F41D8AB">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w:t>
      </w:r>
    </w:p>
    <w:p w14:paraId="2C220358">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供应商应对其承诺内容的真实性、合法性、有效性负责。经调查核实为虚假承诺的，视同为“提供虚假材料谋取中标、成交”的违法行为，依照《中华人民共和国政府采购法》等法律法规追究相应责任。</w:t>
      </w:r>
    </w:p>
    <w:p w14:paraId="2FE71E09">
      <w:pPr>
        <w:snapToGri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中华人民共和国政府采购法实施条例》第十九条第一款“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0781BA8">
      <w:pPr>
        <w:spacing w:line="360" w:lineRule="auto"/>
        <w:ind w:firstLine="480" w:firstLineChars="20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themeColor="text1"/>
          <w:kern w:val="0"/>
          <w:sz w:val="24"/>
          <w:szCs w:val="24"/>
          <w:highlight w:val="none"/>
          <w14:textFill>
            <w14:solidFill>
              <w14:schemeClr w14:val="tx1"/>
            </w14:solidFill>
          </w14:textFill>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75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AC9D473">
            <w:pPr>
              <w:spacing w:line="240" w:lineRule="exact"/>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3569" w:type="dxa"/>
            <w:gridSpan w:val="2"/>
            <w:vAlign w:val="center"/>
          </w:tcPr>
          <w:p w14:paraId="1BE80025">
            <w:pPr>
              <w:spacing w:line="240" w:lineRule="exact"/>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评审因素</w:t>
            </w:r>
          </w:p>
        </w:tc>
        <w:tc>
          <w:tcPr>
            <w:tcW w:w="5220" w:type="dxa"/>
            <w:vAlign w:val="center"/>
          </w:tcPr>
          <w:p w14:paraId="2E5A400B">
            <w:pPr>
              <w:spacing w:line="240" w:lineRule="exact"/>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评审标准</w:t>
            </w:r>
          </w:p>
        </w:tc>
      </w:tr>
      <w:tr w14:paraId="3010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998A6BF">
            <w:pPr>
              <w:spacing w:line="24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573" w:type="dxa"/>
            <w:vMerge w:val="restart"/>
            <w:vAlign w:val="center"/>
          </w:tcPr>
          <w:p w14:paraId="5041C13B">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有效性审查</w:t>
            </w:r>
          </w:p>
        </w:tc>
        <w:tc>
          <w:tcPr>
            <w:tcW w:w="1996" w:type="dxa"/>
            <w:vAlign w:val="center"/>
          </w:tcPr>
          <w:p w14:paraId="059ED818">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响应文件签署</w:t>
            </w:r>
          </w:p>
        </w:tc>
        <w:tc>
          <w:tcPr>
            <w:tcW w:w="5220" w:type="dxa"/>
            <w:vAlign w:val="center"/>
          </w:tcPr>
          <w:p w14:paraId="39D4B429">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响应文件按照竞争性比选文件要求签字或盖章。</w:t>
            </w:r>
          </w:p>
        </w:tc>
      </w:tr>
      <w:tr w14:paraId="7033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F2CFD87">
            <w:pPr>
              <w:spacing w:line="240" w:lineRule="exact"/>
              <w:jc w:val="center"/>
              <w:rPr>
                <w:rFonts w:hint="eastAsia" w:ascii="宋体" w:hAnsi="宋体"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7C07152E">
            <w:pPr>
              <w:spacing w:line="240" w:lineRule="exact"/>
              <w:rPr>
                <w:rFonts w:hint="eastAsia" w:ascii="宋体" w:hAnsi="宋体" w:cs="宋体"/>
                <w:color w:val="000000" w:themeColor="text1"/>
                <w:kern w:val="0"/>
                <w:sz w:val="21"/>
                <w:szCs w:val="21"/>
                <w:highlight w:val="none"/>
                <w14:textFill>
                  <w14:solidFill>
                    <w14:schemeClr w14:val="tx1"/>
                  </w14:solidFill>
                </w14:textFill>
              </w:rPr>
            </w:pPr>
          </w:p>
        </w:tc>
        <w:tc>
          <w:tcPr>
            <w:tcW w:w="1996" w:type="dxa"/>
            <w:vAlign w:val="center"/>
          </w:tcPr>
          <w:p w14:paraId="36C490B4">
            <w:pPr>
              <w:spacing w:line="240" w:lineRule="exact"/>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比选方案</w:t>
            </w:r>
          </w:p>
        </w:tc>
        <w:tc>
          <w:tcPr>
            <w:tcW w:w="5220" w:type="dxa"/>
            <w:vAlign w:val="center"/>
          </w:tcPr>
          <w:p w14:paraId="2DF02122">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只能有一个方案参与比选。</w:t>
            </w:r>
          </w:p>
        </w:tc>
      </w:tr>
      <w:tr w14:paraId="2394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1B43043">
            <w:pPr>
              <w:spacing w:line="240" w:lineRule="exact"/>
              <w:jc w:val="center"/>
              <w:rPr>
                <w:rFonts w:hint="eastAsia" w:ascii="宋体" w:hAnsi="宋体"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48AC3E26">
            <w:pPr>
              <w:spacing w:line="240" w:lineRule="exact"/>
              <w:rPr>
                <w:rFonts w:hint="eastAsia" w:ascii="宋体" w:hAnsi="宋体" w:cs="宋体"/>
                <w:color w:val="000000" w:themeColor="text1"/>
                <w:kern w:val="0"/>
                <w:sz w:val="21"/>
                <w:szCs w:val="21"/>
                <w:highlight w:val="none"/>
                <w14:textFill>
                  <w14:solidFill>
                    <w14:schemeClr w14:val="tx1"/>
                  </w14:solidFill>
                </w14:textFill>
              </w:rPr>
            </w:pPr>
          </w:p>
        </w:tc>
        <w:tc>
          <w:tcPr>
            <w:tcW w:w="1996" w:type="dxa"/>
            <w:vAlign w:val="center"/>
          </w:tcPr>
          <w:p w14:paraId="12D92068">
            <w:pPr>
              <w:spacing w:line="240" w:lineRule="exact"/>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报价唯一</w:t>
            </w:r>
          </w:p>
        </w:tc>
        <w:tc>
          <w:tcPr>
            <w:tcW w:w="5220" w:type="dxa"/>
            <w:vAlign w:val="center"/>
          </w:tcPr>
          <w:p w14:paraId="2EBCFF23">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只能在采购预算范围内报价，</w:t>
            </w:r>
            <w:r>
              <w:rPr>
                <w:rFonts w:hint="eastAsia" w:ascii="宋体" w:hAnsi="宋体"/>
                <w:color w:val="000000" w:themeColor="text1"/>
                <w:sz w:val="21"/>
                <w:szCs w:val="21"/>
                <w:highlight w:val="none"/>
                <w14:textFill>
                  <w14:solidFill>
                    <w14:schemeClr w14:val="tx1"/>
                  </w14:solidFill>
                </w14:textFill>
              </w:rPr>
              <w:t>只能有一个有效报价，不得提交选择性报价。</w:t>
            </w:r>
          </w:p>
        </w:tc>
      </w:tr>
      <w:tr w14:paraId="64C3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1AEC33C5">
            <w:pPr>
              <w:spacing w:line="24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573" w:type="dxa"/>
            <w:vAlign w:val="center"/>
          </w:tcPr>
          <w:p w14:paraId="728AD518">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完整性审查</w:t>
            </w:r>
          </w:p>
        </w:tc>
        <w:tc>
          <w:tcPr>
            <w:tcW w:w="1996" w:type="dxa"/>
            <w:vAlign w:val="center"/>
          </w:tcPr>
          <w:p w14:paraId="531DF354">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响应文件份数</w:t>
            </w:r>
          </w:p>
        </w:tc>
        <w:tc>
          <w:tcPr>
            <w:tcW w:w="5220" w:type="dxa"/>
            <w:vAlign w:val="center"/>
          </w:tcPr>
          <w:p w14:paraId="3F0CAFDD">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响应文件正、副本（含电子文档）数量符合竞争性比选文件要求。</w:t>
            </w:r>
          </w:p>
        </w:tc>
      </w:tr>
      <w:tr w14:paraId="5B36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A925542">
            <w:pPr>
              <w:spacing w:line="24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573" w:type="dxa"/>
            <w:vMerge w:val="restart"/>
            <w:vAlign w:val="center"/>
          </w:tcPr>
          <w:p w14:paraId="1ADD941A">
            <w:pPr>
              <w:spacing w:line="240" w:lineRule="exact"/>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竞争性比选文件的响应程度审查</w:t>
            </w:r>
          </w:p>
        </w:tc>
        <w:tc>
          <w:tcPr>
            <w:tcW w:w="1996" w:type="dxa"/>
            <w:vAlign w:val="center"/>
          </w:tcPr>
          <w:p w14:paraId="41877C17">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响应文件内容</w:t>
            </w:r>
          </w:p>
        </w:tc>
        <w:tc>
          <w:tcPr>
            <w:tcW w:w="5220" w:type="dxa"/>
            <w:vAlign w:val="center"/>
          </w:tcPr>
          <w:p w14:paraId="05B0659C">
            <w:pPr>
              <w:pStyle w:val="32"/>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满足本竞争性比选文件第二篇、第三篇中（※）号标注的部分要求</w:t>
            </w:r>
          </w:p>
        </w:tc>
      </w:tr>
      <w:tr w14:paraId="3B30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60F0C08F">
            <w:pPr>
              <w:spacing w:line="240" w:lineRule="exact"/>
              <w:jc w:val="center"/>
              <w:rPr>
                <w:rFonts w:hint="eastAsia" w:ascii="宋体" w:hAnsi="宋体"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0F1818E0">
            <w:pPr>
              <w:spacing w:line="240" w:lineRule="exact"/>
              <w:rPr>
                <w:rFonts w:hint="eastAsia" w:ascii="宋体" w:hAnsi="宋体" w:cs="仿宋_GB2312"/>
                <w:color w:val="000000" w:themeColor="text1"/>
                <w:sz w:val="21"/>
                <w:szCs w:val="21"/>
                <w:highlight w:val="none"/>
                <w:lang w:val="zh-CN"/>
                <w14:textFill>
                  <w14:solidFill>
                    <w14:schemeClr w14:val="tx1"/>
                  </w14:solidFill>
                </w14:textFill>
              </w:rPr>
            </w:pPr>
          </w:p>
        </w:tc>
        <w:tc>
          <w:tcPr>
            <w:tcW w:w="1996" w:type="dxa"/>
            <w:vAlign w:val="center"/>
          </w:tcPr>
          <w:p w14:paraId="2A7F0492">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比选有效期</w:t>
            </w:r>
          </w:p>
        </w:tc>
        <w:tc>
          <w:tcPr>
            <w:tcW w:w="5220" w:type="dxa"/>
            <w:vAlign w:val="center"/>
          </w:tcPr>
          <w:p w14:paraId="65DF1B8B">
            <w:pPr>
              <w:spacing w:line="24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满足竞争性比选文件</w:t>
            </w:r>
            <w:r>
              <w:rPr>
                <w:rFonts w:hint="eastAsia" w:ascii="宋体" w:hAnsi="宋体" w:cs="仿宋_GB2312"/>
                <w:color w:val="000000" w:themeColor="text1"/>
                <w:sz w:val="21"/>
                <w:szCs w:val="21"/>
                <w:highlight w:val="none"/>
                <w:lang w:val="zh-CN"/>
                <w14:textFill>
                  <w14:solidFill>
                    <w14:schemeClr w14:val="tx1"/>
                  </w14:solidFill>
                </w14:textFill>
              </w:rPr>
              <w:t>规定。</w:t>
            </w:r>
          </w:p>
        </w:tc>
      </w:tr>
    </w:tbl>
    <w:p w14:paraId="5394C0BE">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B319AF">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DED0E30">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5.在比选过程中比选的任何一方不得向他人透露与比选有关的技术资料、价格或其他信息。</w:t>
      </w:r>
    </w:p>
    <w:p w14:paraId="1A462972">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.供应商在比选时作出的所有书面承诺须由法定代表人或其授权代表签字。</w:t>
      </w:r>
    </w:p>
    <w:p w14:paraId="10B0C45F">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86A2EB3">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4C8E8017">
      <w:pPr>
        <w:pStyle w:val="5"/>
        <w:spacing w:before="0" w:after="0" w:line="440" w:lineRule="exact"/>
        <w:ind w:firstLine="482" w:firstLineChars="200"/>
        <w:rPr>
          <w:rFonts w:hint="eastAsia" w:ascii="宋体" w:hAnsi="宋体"/>
          <w:color w:val="000000" w:themeColor="text1"/>
          <w:sz w:val="24"/>
          <w:szCs w:val="24"/>
          <w:highlight w:val="none"/>
          <w14:textFill>
            <w14:solidFill>
              <w14:schemeClr w14:val="tx1"/>
            </w14:solidFill>
          </w14:textFill>
        </w:rPr>
      </w:pPr>
      <w:bookmarkStart w:id="59" w:name="_Toc11170"/>
      <w:r>
        <w:rPr>
          <w:rFonts w:hint="eastAsia" w:ascii="宋体" w:hAnsi="宋体"/>
          <w:color w:val="000000" w:themeColor="text1"/>
          <w:sz w:val="24"/>
          <w:szCs w:val="24"/>
          <w:highlight w:val="none"/>
          <w14:textFill>
            <w14:solidFill>
              <w14:schemeClr w14:val="tx1"/>
            </w14:solidFill>
          </w14:textFill>
        </w:rPr>
        <w:t>二、</w:t>
      </w:r>
      <w:bookmarkStart w:id="60" w:name="_Toc342913394"/>
      <w:bookmarkStart w:id="61" w:name="_Toc102227320"/>
      <w:r>
        <w:rPr>
          <w:rFonts w:hint="eastAsia" w:ascii="宋体" w:hAnsi="宋体"/>
          <w:color w:val="000000" w:themeColor="text1"/>
          <w:sz w:val="24"/>
          <w:szCs w:val="24"/>
          <w:highlight w:val="none"/>
          <w14:textFill>
            <w14:solidFill>
              <w14:schemeClr w14:val="tx1"/>
            </w14:solidFill>
          </w14:textFill>
        </w:rPr>
        <w:t>评审标准</w:t>
      </w:r>
      <w:bookmarkEnd w:id="59"/>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1"/>
        <w:gridCol w:w="4298"/>
        <w:gridCol w:w="2122"/>
      </w:tblGrid>
      <w:tr w14:paraId="5748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vAlign w:val="center"/>
          </w:tcPr>
          <w:p w14:paraId="11D4BDE3">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序号</w:t>
            </w:r>
          </w:p>
        </w:tc>
        <w:tc>
          <w:tcPr>
            <w:tcW w:w="1462" w:type="dxa"/>
            <w:vAlign w:val="center"/>
          </w:tcPr>
          <w:p w14:paraId="2985648A">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评分因素</w:t>
            </w:r>
          </w:p>
          <w:p w14:paraId="7D6EC903">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及权重</w:t>
            </w:r>
          </w:p>
        </w:tc>
        <w:tc>
          <w:tcPr>
            <w:tcW w:w="911" w:type="dxa"/>
            <w:vAlign w:val="center"/>
          </w:tcPr>
          <w:p w14:paraId="1E2271DA">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分值</w:t>
            </w:r>
          </w:p>
        </w:tc>
        <w:tc>
          <w:tcPr>
            <w:tcW w:w="4298" w:type="dxa"/>
            <w:vAlign w:val="center"/>
          </w:tcPr>
          <w:p w14:paraId="2A76721E">
            <w:pPr>
              <w:ind w:firstLine="28"/>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评分标准</w:t>
            </w:r>
          </w:p>
        </w:tc>
        <w:tc>
          <w:tcPr>
            <w:tcW w:w="2122" w:type="dxa"/>
            <w:vAlign w:val="center"/>
          </w:tcPr>
          <w:p w14:paraId="1D04AC09">
            <w:pPr>
              <w:ind w:firstLine="28"/>
              <w:jc w:val="center"/>
              <w:rPr>
                <w:color w:val="000000" w:themeColor="text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说明</w:t>
            </w:r>
          </w:p>
        </w:tc>
      </w:tr>
      <w:tr w14:paraId="731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902A766">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462" w:type="dxa"/>
            <w:vAlign w:val="center"/>
          </w:tcPr>
          <w:p w14:paraId="15DCC3DB">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比选</w:t>
            </w:r>
            <w:r>
              <w:rPr>
                <w:rFonts w:ascii="宋体" w:hAnsi="宋体"/>
                <w:color w:val="000000" w:themeColor="text1"/>
                <w:sz w:val="21"/>
                <w:szCs w:val="21"/>
                <w:highlight w:val="none"/>
                <w14:textFill>
                  <w14:solidFill>
                    <w14:schemeClr w14:val="tx1"/>
                  </w14:solidFill>
                </w14:textFill>
              </w:rPr>
              <w:t>报价（</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0%）</w:t>
            </w:r>
          </w:p>
        </w:tc>
        <w:tc>
          <w:tcPr>
            <w:tcW w:w="911" w:type="dxa"/>
            <w:vAlign w:val="center"/>
          </w:tcPr>
          <w:p w14:paraId="51526D31">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0分</w:t>
            </w:r>
          </w:p>
        </w:tc>
        <w:tc>
          <w:tcPr>
            <w:tcW w:w="4298" w:type="dxa"/>
            <w:vAlign w:val="center"/>
          </w:tcPr>
          <w:p w14:paraId="6233D953">
            <w:pPr>
              <w:snapToGrid w:val="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满足</w:t>
            </w:r>
            <w:r>
              <w:rPr>
                <w:rFonts w:hint="eastAsia" w:ascii="宋体" w:hAnsi="宋体"/>
                <w:color w:val="000000" w:themeColor="text1"/>
                <w:sz w:val="21"/>
                <w:szCs w:val="21"/>
                <w:highlight w:val="none"/>
                <w14:textFill>
                  <w14:solidFill>
                    <w14:schemeClr w14:val="tx1"/>
                  </w14:solidFill>
                </w14:textFill>
              </w:rPr>
              <w:t>竞争性比选</w:t>
            </w:r>
            <w:r>
              <w:rPr>
                <w:rFonts w:ascii="宋体" w:hAnsi="宋体"/>
                <w:color w:val="000000" w:themeColor="text1"/>
                <w:sz w:val="21"/>
                <w:szCs w:val="21"/>
                <w:highlight w:val="none"/>
                <w14:textFill>
                  <w14:solidFill>
                    <w14:schemeClr w14:val="tx1"/>
                  </w14:solidFill>
                </w14:textFill>
              </w:rPr>
              <w:t>文件资格性、符合性要求且报价最低的供应商的价格为评审基准价，其价格分为满分。其他供应商的价格分统一按照下列公式计算：</w:t>
            </w:r>
          </w:p>
          <w:p w14:paraId="7A252DE6">
            <w:pPr>
              <w:rPr>
                <w:rFonts w:hint="eastAsia"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报价得分=（评审基准价/</w:t>
            </w:r>
            <w:r>
              <w:rPr>
                <w:rFonts w:hint="eastAsia" w:ascii="宋体" w:hAnsi="宋体"/>
                <w:color w:val="000000" w:themeColor="text1"/>
                <w:sz w:val="21"/>
                <w:szCs w:val="21"/>
                <w:highlight w:val="none"/>
                <w14:textFill>
                  <w14:solidFill>
                    <w14:schemeClr w14:val="tx1"/>
                  </w14:solidFill>
                </w14:textFill>
              </w:rPr>
              <w:t>比选</w:t>
            </w:r>
            <w:r>
              <w:rPr>
                <w:rFonts w:ascii="宋体" w:hAnsi="宋体"/>
                <w:color w:val="000000" w:themeColor="text1"/>
                <w:sz w:val="21"/>
                <w:szCs w:val="21"/>
                <w:highlight w:val="none"/>
                <w14:textFill>
                  <w14:solidFill>
                    <w14:schemeClr w14:val="tx1"/>
                  </w14:solidFill>
                </w14:textFill>
              </w:rPr>
              <w:t>报价）×价格权值×100</w:t>
            </w:r>
          </w:p>
        </w:tc>
        <w:tc>
          <w:tcPr>
            <w:tcW w:w="2122" w:type="dxa"/>
            <w:vAlign w:val="center"/>
          </w:tcPr>
          <w:p w14:paraId="7F5ECE35">
            <w:pPr>
              <w:ind w:left="-38"/>
              <w:rPr>
                <w:rFonts w:hint="eastAsia"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对小微企业的价格用扣除后的价格参与评审，详见“关于小微企业报价扣除比例说明”。</w:t>
            </w:r>
          </w:p>
        </w:tc>
      </w:tr>
      <w:tr w14:paraId="3C0C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835" w:type="dxa"/>
            <w:vMerge w:val="restart"/>
            <w:vAlign w:val="center"/>
          </w:tcPr>
          <w:p w14:paraId="3CCC7EDC">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462" w:type="dxa"/>
            <w:vMerge w:val="restart"/>
            <w:vAlign w:val="center"/>
          </w:tcPr>
          <w:p w14:paraId="0C2B8256">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技术部分</w:t>
            </w:r>
          </w:p>
          <w:p w14:paraId="7C33CA7F">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（45%）</w:t>
            </w:r>
          </w:p>
        </w:tc>
        <w:tc>
          <w:tcPr>
            <w:tcW w:w="911" w:type="dxa"/>
            <w:vAlign w:val="center"/>
          </w:tcPr>
          <w:p w14:paraId="69EC5F3F">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技术参数（30分）</w:t>
            </w:r>
          </w:p>
        </w:tc>
        <w:tc>
          <w:tcPr>
            <w:tcW w:w="4298" w:type="dxa"/>
            <w:vAlign w:val="center"/>
          </w:tcPr>
          <w:p w14:paraId="2C0EF07E">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起评分：</w:t>
            </w:r>
          </w:p>
          <w:p w14:paraId="542CEE3C">
            <w:pPr>
              <w:snapToGrid w:val="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有效供应商的起评分为</w:t>
            </w:r>
            <w:r>
              <w:rPr>
                <w:rFonts w:hint="eastAsia" w:ascii="宋体" w:hAnsi="宋体"/>
                <w:color w:val="000000" w:themeColor="text1"/>
                <w:sz w:val="21"/>
                <w:szCs w:val="21"/>
                <w:highlight w:val="none"/>
                <w:lang w:val="en-US" w:eastAsia="zh-CN"/>
                <w14:textFill>
                  <w14:solidFill>
                    <w14:schemeClr w14:val="tx1"/>
                  </w14:solidFill>
                </w14:textFill>
              </w:rPr>
              <w:t>30</w:t>
            </w:r>
            <w:r>
              <w:rPr>
                <w:rFonts w:ascii="宋体" w:hAnsi="宋体"/>
                <w:color w:val="000000" w:themeColor="text1"/>
                <w:sz w:val="21"/>
                <w:szCs w:val="21"/>
                <w:highlight w:val="none"/>
                <w14:textFill>
                  <w14:solidFill>
                    <w14:schemeClr w14:val="tx1"/>
                  </w14:solidFill>
                </w14:textFill>
              </w:rPr>
              <w:t>分</w:t>
            </w:r>
            <w:r>
              <w:rPr>
                <w:rFonts w:ascii="宋体" w:hAnsi="宋体"/>
                <w:color w:val="000000" w:themeColor="text1"/>
                <w:sz w:val="21"/>
                <w:szCs w:val="21"/>
                <w:highlight w:val="none"/>
                <w14:textFill>
                  <w14:solidFill>
                    <w14:schemeClr w14:val="tx1"/>
                  </w14:solidFill>
                </w14:textFill>
              </w:rPr>
              <w:t>。</w:t>
            </w:r>
          </w:p>
          <w:p w14:paraId="5ABC532E">
            <w:pPr>
              <w:snapToGrid w:val="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扣分条款：</w:t>
            </w:r>
          </w:p>
          <w:p w14:paraId="05CFEE52">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.1重要技术参数</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第二篇</w:t>
            </w:r>
            <w:r>
              <w:rPr>
                <w:rFonts w:hint="eastAsia" w:ascii="宋体" w:hAnsi="宋体"/>
                <w:color w:val="000000" w:themeColor="text1"/>
                <w:sz w:val="21"/>
                <w:szCs w:val="21"/>
                <w:highlight w:val="none"/>
                <w14:textFill>
                  <w14:solidFill>
                    <w14:schemeClr w14:val="tx1"/>
                  </w14:solidFill>
                </w14:textFill>
              </w:rPr>
              <w:t>“二、采购项目技术需求”</w:t>
            </w:r>
            <w:r>
              <w:rPr>
                <w:rFonts w:ascii="宋体" w:hAnsi="宋体"/>
                <w:color w:val="000000" w:themeColor="text1"/>
                <w:sz w:val="21"/>
                <w:szCs w:val="21"/>
                <w:highlight w:val="none"/>
                <w14:textFill>
                  <w14:solidFill>
                    <w14:schemeClr w14:val="tx1"/>
                  </w14:solidFill>
                </w14:textFill>
              </w:rPr>
              <w:t>中带</w:t>
            </w:r>
            <w:bookmarkStart w:id="62" w:name="OLE_LINK5"/>
            <w:r>
              <w:rPr>
                <w:rFonts w:hint="eastAsia" w:ascii="宋体" w:hAnsi="宋体"/>
                <w:color w:val="000000" w:themeColor="text1"/>
                <w:sz w:val="21"/>
                <w:szCs w:val="21"/>
                <w:highlight w:val="none"/>
                <w14:textFill>
                  <w14:solidFill>
                    <w14:schemeClr w14:val="tx1"/>
                  </w14:solidFill>
                </w14:textFill>
              </w:rPr>
              <w:t>★</w:t>
            </w:r>
            <w:bookmarkEnd w:id="62"/>
            <w:r>
              <w:rPr>
                <w:rFonts w:ascii="宋体" w:hAnsi="宋体"/>
                <w:color w:val="000000" w:themeColor="text1"/>
                <w:sz w:val="21"/>
                <w:szCs w:val="21"/>
                <w:highlight w:val="none"/>
                <w14:textFill>
                  <w14:solidFill>
                    <w14:schemeClr w14:val="tx1"/>
                  </w14:solidFill>
                </w14:textFill>
              </w:rPr>
              <w:t>号标注的部分</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达不到竞争性比选文件要求的</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每负偏离一条从起评分中扣除</w:t>
            </w:r>
            <w:r>
              <w:rPr>
                <w:rFonts w:hint="eastAsia" w:ascii="宋体" w:hAnsi="宋体"/>
                <w:color w:val="000000" w:themeColor="text1"/>
                <w:sz w:val="21"/>
                <w:szCs w:val="21"/>
                <w:highlight w:val="none"/>
                <w14:textFill>
                  <w14:solidFill>
                    <w14:schemeClr w14:val="tx1"/>
                  </w14:solidFill>
                </w14:textFill>
              </w:rPr>
              <w:t>10分，有2条及以上不满足技术参数部分得0分。</w:t>
            </w:r>
          </w:p>
          <w:p w14:paraId="14F674C4">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.2一般性技术参数</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第二篇</w:t>
            </w:r>
            <w:r>
              <w:rPr>
                <w:rFonts w:hint="eastAsia" w:ascii="宋体" w:hAnsi="宋体"/>
                <w:color w:val="000000" w:themeColor="text1"/>
                <w:sz w:val="21"/>
                <w:szCs w:val="21"/>
                <w:highlight w:val="none"/>
                <w14:textFill>
                  <w14:solidFill>
                    <w14:schemeClr w14:val="tx1"/>
                  </w14:solidFill>
                </w14:textFill>
              </w:rPr>
              <w:t>“二、采购项目技术需求”</w:t>
            </w:r>
            <w:r>
              <w:rPr>
                <w:rFonts w:ascii="宋体" w:hAnsi="宋体"/>
                <w:color w:val="000000" w:themeColor="text1"/>
                <w:sz w:val="21"/>
                <w:szCs w:val="21"/>
                <w:highlight w:val="none"/>
                <w14:textFill>
                  <w14:solidFill>
                    <w14:schemeClr w14:val="tx1"/>
                  </w14:solidFill>
                </w14:textFill>
              </w:rPr>
              <w:t>中</w:t>
            </w:r>
            <w:r>
              <w:rPr>
                <w:rFonts w:hint="eastAsia" w:ascii="宋体" w:hAnsi="宋体"/>
                <w:color w:val="000000" w:themeColor="text1"/>
                <w:sz w:val="21"/>
                <w:szCs w:val="21"/>
                <w:highlight w:val="none"/>
                <w14:textFill>
                  <w14:solidFill>
                    <w14:schemeClr w14:val="tx1"/>
                  </w14:solidFill>
                </w14:textFill>
              </w:rPr>
              <w:t>非★及※</w:t>
            </w:r>
            <w:r>
              <w:rPr>
                <w:rFonts w:ascii="宋体" w:hAnsi="宋体"/>
                <w:color w:val="000000" w:themeColor="text1"/>
                <w:sz w:val="21"/>
                <w:szCs w:val="21"/>
                <w:highlight w:val="none"/>
                <w14:textFill>
                  <w14:solidFill>
                    <w14:schemeClr w14:val="tx1"/>
                  </w14:solidFill>
                </w14:textFill>
              </w:rPr>
              <w:t>号标注的部分</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达不到竞争性比选文件要求的，每负偏离一条从起评分中扣除</w:t>
            </w:r>
            <w:r>
              <w:rPr>
                <w:rFonts w:hint="eastAsia" w:ascii="宋体" w:hAnsi="宋体"/>
                <w:color w:val="000000" w:themeColor="text1"/>
                <w:sz w:val="21"/>
                <w:szCs w:val="21"/>
                <w:highlight w:val="none"/>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分</w:t>
            </w:r>
            <w:r>
              <w:rPr>
                <w:rFonts w:hint="eastAsia" w:ascii="宋体" w:hAnsi="宋体"/>
                <w:color w:val="000000" w:themeColor="text1"/>
                <w:sz w:val="21"/>
                <w:szCs w:val="21"/>
                <w:highlight w:val="none"/>
                <w14:textFill>
                  <w14:solidFill>
                    <w14:schemeClr w14:val="tx1"/>
                  </w14:solidFill>
                </w14:textFill>
              </w:rPr>
              <w:t>，扣完为止。</w:t>
            </w:r>
          </w:p>
        </w:tc>
        <w:tc>
          <w:tcPr>
            <w:tcW w:w="2122" w:type="dxa"/>
            <w:vAlign w:val="center"/>
          </w:tcPr>
          <w:p w14:paraId="4DEA46CA">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.标注★号技术参数须</w:t>
            </w:r>
            <w:r>
              <w:rPr>
                <w:rFonts w:hint="eastAsia" w:ascii="宋体" w:hAnsi="宋体" w:cs="宋体"/>
                <w:color w:val="000000" w:themeColor="text1"/>
                <w:sz w:val="21"/>
                <w:szCs w:val="21"/>
                <w:highlight w:val="none"/>
                <w:lang w:val="en-US" w:eastAsia="zh-CN"/>
                <w14:textFill>
                  <w14:solidFill>
                    <w14:schemeClr w14:val="tx1"/>
                  </w14:solidFill>
                </w14:textFill>
              </w:rPr>
              <w:t>按要求提供佐证材料</w:t>
            </w:r>
            <w:r>
              <w:rPr>
                <w:rFonts w:hint="eastAsia" w:ascii="宋体" w:hAnsi="宋体" w:cs="宋体"/>
                <w:color w:val="000000" w:themeColor="text1"/>
                <w:sz w:val="21"/>
                <w:szCs w:val="21"/>
                <w:highlight w:val="none"/>
                <w14:textFill>
                  <w14:solidFill>
                    <w14:schemeClr w14:val="tx1"/>
                  </w14:solidFill>
                </w14:textFill>
              </w:rPr>
              <w:t>复印件。</w:t>
            </w:r>
          </w:p>
          <w:p w14:paraId="2FAA8714">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2.未按上述要求提供或参数不满足竞争性比选文件要求或未提供的视为负偏离。</w:t>
            </w:r>
          </w:p>
        </w:tc>
      </w:tr>
      <w:tr w14:paraId="7B23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35" w:type="dxa"/>
            <w:vMerge w:val="continue"/>
            <w:vAlign w:val="center"/>
          </w:tcPr>
          <w:p w14:paraId="5A815644">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1462" w:type="dxa"/>
            <w:vMerge w:val="continue"/>
            <w:vAlign w:val="center"/>
          </w:tcPr>
          <w:p w14:paraId="50E433E5">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911" w:type="dxa"/>
            <w:vAlign w:val="center"/>
          </w:tcPr>
          <w:p w14:paraId="6FCFFDDA">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技术方案（15分）</w:t>
            </w:r>
          </w:p>
        </w:tc>
        <w:tc>
          <w:tcPr>
            <w:tcW w:w="4298" w:type="dxa"/>
            <w:vAlign w:val="center"/>
          </w:tcPr>
          <w:p w14:paraId="2A87BA89">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技术方案</w:t>
            </w:r>
            <w:r>
              <w:rPr>
                <w:rFonts w:hint="eastAsia" w:ascii="宋体" w:hAnsi="宋体"/>
                <w:color w:val="000000" w:themeColor="text1"/>
                <w:sz w:val="21"/>
                <w:szCs w:val="21"/>
                <w:highlight w:val="none"/>
                <w14:textFill>
                  <w14:solidFill>
                    <w14:schemeClr w14:val="tx1"/>
                  </w14:solidFill>
                </w14:textFill>
              </w:rPr>
              <w:t>（15分）</w:t>
            </w:r>
          </w:p>
          <w:p w14:paraId="18346D65">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供应商提供技术方案，内容包含服务保障措施、备货送货方案、联调联试方案等。</w:t>
            </w:r>
          </w:p>
          <w:p w14:paraId="2F570D09">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方案包含上述所有内容，且对各项内容均做出响应描述，内容不存在瑕疵，得15分，存在1处瑕疵，得12分，存在2处瑕疵，得8分，存在3处瑕疵，得4分，存在4处及以上瑕疵，得0分。</w:t>
            </w:r>
          </w:p>
        </w:tc>
        <w:tc>
          <w:tcPr>
            <w:tcW w:w="2122" w:type="dxa"/>
            <w:shd w:val="clear" w:color="auto" w:fill="auto"/>
            <w:vAlign w:val="center"/>
          </w:tcPr>
          <w:p w14:paraId="4102EF44">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瑕疵”指方案内容缺项、内容表述不完整或缺少关键分析点或基础资料收集有缺失，方案内容表述前后矛盾、无连贯性，内容存在逻辑漏洞、常识错误、分析点适应程度差、分析点存在缺陷、不实用、存在履约隐患等不利于本项目目标的实现、现有技术条件下不可能实现项目目标等任意一种情形。</w:t>
            </w:r>
          </w:p>
        </w:tc>
      </w:tr>
      <w:tr w14:paraId="167A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35" w:type="dxa"/>
            <w:vMerge w:val="restart"/>
            <w:vAlign w:val="center"/>
          </w:tcPr>
          <w:p w14:paraId="54F99898">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462" w:type="dxa"/>
            <w:vMerge w:val="restart"/>
            <w:vAlign w:val="center"/>
          </w:tcPr>
          <w:p w14:paraId="065FD517">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商务部分</w:t>
            </w:r>
          </w:p>
          <w:p w14:paraId="257E8CFA">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w:t>
            </w:r>
          </w:p>
        </w:tc>
        <w:tc>
          <w:tcPr>
            <w:tcW w:w="911" w:type="dxa"/>
            <w:vAlign w:val="center"/>
          </w:tcPr>
          <w:p w14:paraId="02F32073">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售后服务（5分）</w:t>
            </w:r>
          </w:p>
        </w:tc>
        <w:tc>
          <w:tcPr>
            <w:tcW w:w="4298" w:type="dxa"/>
            <w:vAlign w:val="center"/>
          </w:tcPr>
          <w:p w14:paraId="44309626">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售后服务方案（5分）</w:t>
            </w:r>
          </w:p>
          <w:p w14:paraId="16FCF664">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供应商提供售后服务方案，内容包括服务体系及管理制度、服务承诺、服务人员配置、退换货机制、维修响应时间及处理时间等。</w:t>
            </w:r>
          </w:p>
          <w:p w14:paraId="018528DB">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方案包含上述所有内容，且对各项内容均做出响应描述，内容不存在瑕疵，得5分，存在1处瑕疵，得3分，存在2处瑕疵，得1分，存在3处及以上瑕疵，得0分。</w:t>
            </w:r>
          </w:p>
        </w:tc>
        <w:tc>
          <w:tcPr>
            <w:tcW w:w="2122" w:type="dxa"/>
            <w:vMerge w:val="restart"/>
            <w:vAlign w:val="center"/>
          </w:tcPr>
          <w:p w14:paraId="6C7D1AD2">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瑕疵”指方案内容缺项、内容表述不完整或缺少关键分析点或基础资料收集有缺失，方案内容表述前后矛盾、无连贯性，内容存在逻辑漏洞、常识错误、分析点适应程度差、分析点存在缺陷、不实用、存在履约隐患等不利于本项目目标的实现、现有技术条件下不可能实现项目目标等任意一种情形。</w:t>
            </w:r>
          </w:p>
        </w:tc>
      </w:tr>
      <w:tr w14:paraId="3C43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7FF6955C">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1462" w:type="dxa"/>
            <w:vMerge w:val="continue"/>
            <w:vAlign w:val="center"/>
          </w:tcPr>
          <w:p w14:paraId="31CCD62C">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911" w:type="dxa"/>
            <w:vAlign w:val="center"/>
          </w:tcPr>
          <w:p w14:paraId="1A411141">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培训方案（5分）</w:t>
            </w:r>
          </w:p>
        </w:tc>
        <w:tc>
          <w:tcPr>
            <w:tcW w:w="4298" w:type="dxa"/>
            <w:vAlign w:val="center"/>
          </w:tcPr>
          <w:p w14:paraId="4D3FB817">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培训方案</w:t>
            </w:r>
            <w:r>
              <w:rPr>
                <w:rFonts w:hint="eastAsia" w:ascii="宋体" w:hAnsi="宋体"/>
                <w:color w:val="000000" w:themeColor="text1"/>
                <w:sz w:val="21"/>
                <w:szCs w:val="21"/>
                <w:highlight w:val="none"/>
                <w14:textFill>
                  <w14:solidFill>
                    <w14:schemeClr w14:val="tx1"/>
                  </w14:solidFill>
                </w14:textFill>
              </w:rPr>
              <w:t>（5分）</w:t>
            </w:r>
          </w:p>
          <w:p w14:paraId="20861D27">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供应商提供</w:t>
            </w:r>
            <w:r>
              <w:rPr>
                <w:rFonts w:hint="eastAsia" w:ascii="宋体" w:hAnsi="宋体" w:cs="宋体"/>
                <w:color w:val="000000" w:themeColor="text1"/>
                <w:sz w:val="21"/>
                <w:szCs w:val="21"/>
                <w:highlight w:val="none"/>
                <w14:textFill>
                  <w14:solidFill>
                    <w14:schemeClr w14:val="tx1"/>
                  </w14:solidFill>
                </w14:textFill>
              </w:rPr>
              <w:t>培训方案</w:t>
            </w:r>
            <w:r>
              <w:rPr>
                <w:rFonts w:hint="eastAsia" w:ascii="宋体" w:hAnsi="宋体"/>
                <w:color w:val="000000" w:themeColor="text1"/>
                <w:sz w:val="21"/>
                <w:szCs w:val="21"/>
                <w:highlight w:val="none"/>
                <w14:textFill>
                  <w14:solidFill>
                    <w14:schemeClr w14:val="tx1"/>
                  </w14:solidFill>
                </w14:textFill>
              </w:rPr>
              <w:t>，内容包括培训内容、培训课时、培训地点、培训人数等。</w:t>
            </w:r>
          </w:p>
          <w:p w14:paraId="54192FFE">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方案包含上述所有内容，且对各项内容均做出响应描述，内容不存在瑕疵，得5分，存在1处瑕疵，得3分，存在2处瑕疵，得1分，存在3处及以上瑕疵，得0分。</w:t>
            </w:r>
          </w:p>
        </w:tc>
        <w:tc>
          <w:tcPr>
            <w:tcW w:w="2122" w:type="dxa"/>
            <w:vMerge w:val="continue"/>
            <w:vAlign w:val="center"/>
          </w:tcPr>
          <w:p w14:paraId="65530068">
            <w:pPr>
              <w:rPr>
                <w:rFonts w:hint="eastAsia" w:ascii="宋体" w:hAnsi="宋体" w:cs="宋体"/>
                <w:color w:val="000000" w:themeColor="text1"/>
                <w:sz w:val="21"/>
                <w:szCs w:val="21"/>
                <w:highlight w:val="none"/>
                <w14:textFill>
                  <w14:solidFill>
                    <w14:schemeClr w14:val="tx1"/>
                  </w14:solidFill>
                </w14:textFill>
              </w:rPr>
            </w:pPr>
          </w:p>
        </w:tc>
      </w:tr>
      <w:tr w14:paraId="600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0698E4D6">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1462" w:type="dxa"/>
            <w:vMerge w:val="continue"/>
            <w:vAlign w:val="center"/>
          </w:tcPr>
          <w:p w14:paraId="328F9E17">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911" w:type="dxa"/>
            <w:vAlign w:val="center"/>
          </w:tcPr>
          <w:p w14:paraId="4AB0A29C">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质保承诺（5分）</w:t>
            </w:r>
          </w:p>
        </w:tc>
        <w:tc>
          <w:tcPr>
            <w:tcW w:w="4298" w:type="dxa"/>
            <w:vAlign w:val="center"/>
          </w:tcPr>
          <w:p w14:paraId="755B14BC">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供应商承诺所投产品在竞争性比选文件要求的质保期基础上，质保期每延长1年，得2.5分，本项满分5分。</w:t>
            </w:r>
          </w:p>
        </w:tc>
        <w:tc>
          <w:tcPr>
            <w:tcW w:w="2122" w:type="dxa"/>
            <w:vAlign w:val="center"/>
          </w:tcPr>
          <w:p w14:paraId="423756E0">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提供承诺书，加盖供应商公章。</w:t>
            </w:r>
          </w:p>
        </w:tc>
      </w:tr>
      <w:tr w14:paraId="585A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5EDBCAA3">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1462" w:type="dxa"/>
            <w:vMerge w:val="continue"/>
            <w:vAlign w:val="center"/>
          </w:tcPr>
          <w:p w14:paraId="30F9B2A5">
            <w:pPr>
              <w:ind w:firstLine="28"/>
              <w:jc w:val="center"/>
              <w:rPr>
                <w:rFonts w:hint="eastAsia" w:ascii="宋体" w:hAnsi="宋体" w:cs="宋体"/>
                <w:color w:val="000000" w:themeColor="text1"/>
                <w:sz w:val="21"/>
                <w:szCs w:val="21"/>
                <w:highlight w:val="none"/>
                <w14:textFill>
                  <w14:solidFill>
                    <w14:schemeClr w14:val="tx1"/>
                  </w14:solidFill>
                </w14:textFill>
              </w:rPr>
            </w:pPr>
          </w:p>
        </w:tc>
        <w:tc>
          <w:tcPr>
            <w:tcW w:w="911" w:type="dxa"/>
            <w:vAlign w:val="center"/>
          </w:tcPr>
          <w:p w14:paraId="76473F33">
            <w:pPr>
              <w:ind w:firstLine="28"/>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业绩（10分）</w:t>
            </w:r>
          </w:p>
        </w:tc>
        <w:tc>
          <w:tcPr>
            <w:tcW w:w="4298" w:type="dxa"/>
            <w:vAlign w:val="center"/>
          </w:tcPr>
          <w:p w14:paraId="265090DF">
            <w:pPr>
              <w:snapToGrid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2022年1月1日至响应文件递交截止时间，供应商承接过各种移动（固定）基站或移动（固定）终端设备销售业绩的，每提供1个有效项目合同得2分，最高得10分。</w:t>
            </w:r>
            <w:r>
              <w:rPr>
                <w:rFonts w:hint="eastAsia" w:ascii="宋体" w:hAnsi="宋体"/>
                <w:color w:val="000000" w:themeColor="text1"/>
                <w:sz w:val="21"/>
                <w:szCs w:val="21"/>
                <w:highlight w:val="none"/>
                <w14:textFill>
                  <w14:solidFill>
                    <w14:schemeClr w14:val="tx1"/>
                  </w14:solidFill>
                </w14:textFill>
              </w:rPr>
              <w:tab/>
            </w:r>
            <w:r>
              <w:rPr>
                <w:rFonts w:hint="eastAsia" w:ascii="宋体" w:hAnsi="宋体"/>
                <w:color w:val="000000" w:themeColor="text1"/>
                <w:sz w:val="21"/>
                <w:szCs w:val="21"/>
                <w:highlight w:val="none"/>
                <w14:textFill>
                  <w14:solidFill>
                    <w14:schemeClr w14:val="tx1"/>
                  </w14:solidFill>
                </w14:textFill>
              </w:rPr>
              <w:t>提供合同复印件，加盖供应商公章。</w:t>
            </w:r>
          </w:p>
        </w:tc>
        <w:tc>
          <w:tcPr>
            <w:tcW w:w="2122" w:type="dxa"/>
            <w:vAlign w:val="center"/>
          </w:tcPr>
          <w:p w14:paraId="7BD292E6">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提供合同复印件，加盖供应商公章。</w:t>
            </w:r>
          </w:p>
        </w:tc>
      </w:tr>
    </w:tbl>
    <w:p w14:paraId="238F9CE2">
      <w:pPr>
        <w:snapToGrid w:val="0"/>
        <w:spacing w:line="360" w:lineRule="auto"/>
        <w:ind w:firstLine="465"/>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说明：</w:t>
      </w:r>
    </w:p>
    <w:p w14:paraId="57824E96">
      <w:pPr>
        <w:snapToGrid w:val="0"/>
        <w:spacing w:line="360" w:lineRule="auto"/>
        <w:ind w:firstLine="46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3D0DAB15">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（二）关于小微企业报价扣除比例说明</w:t>
      </w:r>
    </w:p>
    <w:p w14:paraId="50690F42">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1.按《关于印发&lt;政府采购促进中小企业发展管理办法&gt;的通知》（财库〔2020〕46号）之规定，在政府采购活动中，供应商提供的货物、工程或者服务符合下列情形的，享受本办法规定的中小企业扶持政策：</w:t>
      </w:r>
    </w:p>
    <w:p w14:paraId="697B2D84">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58E194A">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（2）在工程采购项目中，工程由中小企业承建，即工程施工单位为中小企业；</w:t>
      </w:r>
    </w:p>
    <w:p w14:paraId="276CFAC9">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（3）在服务采购项目中，服务由中小企业承接，即提供服务的人员为中小企业依照《中华人民共和国民法典》订立劳动合同的从业人员。</w:t>
      </w:r>
    </w:p>
    <w:p w14:paraId="1ADDAEC3">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2.对小微型企业给予10%的扣除，以扣除后的报价参与评审。</w:t>
      </w:r>
    </w:p>
    <w:p w14:paraId="45863C17">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3.监狱企业、残疾人福利性单位视同小型、微型企业。</w:t>
      </w:r>
    </w:p>
    <w:p w14:paraId="49BC229C">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63" w:name="_Toc21957"/>
      <w:r>
        <w:rPr>
          <w:rFonts w:hint="eastAsia" w:ascii="宋体" w:hAnsi="宋体"/>
          <w:color w:val="000000" w:themeColor="text1"/>
          <w:sz w:val="24"/>
          <w:szCs w:val="24"/>
          <w:highlight w:val="none"/>
          <w14:textFill>
            <w14:solidFill>
              <w14:schemeClr w14:val="tx1"/>
            </w14:solidFill>
          </w14:textFill>
        </w:rPr>
        <w:t>三、无效响应</w:t>
      </w:r>
      <w:bookmarkEnd w:id="63"/>
    </w:p>
    <w:p w14:paraId="518895DC">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供应商发生以下条款情况之一者，视为无效响应：</w:t>
      </w:r>
    </w:p>
    <w:p w14:paraId="7FE9F4EE">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（一）供应商不符合规定的基本资格条件或特定资格条件的；</w:t>
      </w:r>
    </w:p>
    <w:p w14:paraId="4D6650C3">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（二）供应商的法定代表人或其授权代表未参加比选；</w:t>
      </w:r>
    </w:p>
    <w:p w14:paraId="69351DE2">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（三）供应商未按照竞争性比选文件的要求缴纳比选保证金；</w:t>
      </w:r>
    </w:p>
    <w:p w14:paraId="35C84729">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（四）供应商所提交的响应文件不按第七篇“响应文件编制要求”规定签字、盖章；</w:t>
      </w:r>
    </w:p>
    <w:p w14:paraId="5F5EC47D">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（五）供应商的报价超过采购预算金额或最高限价的；</w:t>
      </w:r>
    </w:p>
    <w:p w14:paraId="51A4CC05">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3A33C923">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14:paraId="6FB81E13">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（八）所提供的产品不符合必须强制执行的国家标准的；</w:t>
      </w:r>
    </w:p>
    <w:p w14:paraId="0566C15B">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（九）供应商的服务时间、服务质保期及比选有效期不满足竞争性比选文件要求的；</w:t>
      </w:r>
    </w:p>
    <w:p w14:paraId="52147CAD">
      <w:pPr>
        <w:snapToGrid w:val="0"/>
        <w:spacing w:line="360" w:lineRule="auto"/>
        <w:ind w:firstLine="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（十）供应商响应文件内容有与国家现行法律法规相违背的内容，或附有采购人无法接受的条件。</w:t>
      </w:r>
    </w:p>
    <w:p w14:paraId="76FFD0A9">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64" w:name="_Toc17907"/>
      <w:r>
        <w:rPr>
          <w:rFonts w:hint="eastAsia" w:ascii="宋体" w:hAnsi="宋体"/>
          <w:color w:val="000000" w:themeColor="text1"/>
          <w:sz w:val="24"/>
          <w:szCs w:val="24"/>
          <w:highlight w:val="none"/>
          <w14:textFill>
            <w14:solidFill>
              <w14:schemeClr w14:val="tx1"/>
            </w14:solidFill>
          </w14:textFill>
        </w:rPr>
        <w:t>四、</w:t>
      </w:r>
      <w:bookmarkEnd w:id="60"/>
      <w:bookmarkEnd w:id="61"/>
      <w:r>
        <w:rPr>
          <w:rFonts w:hint="eastAsia" w:ascii="宋体" w:hAnsi="宋体"/>
          <w:color w:val="000000" w:themeColor="text1"/>
          <w:sz w:val="24"/>
          <w:szCs w:val="24"/>
          <w:highlight w:val="none"/>
          <w14:textFill>
            <w14:solidFill>
              <w14:schemeClr w14:val="tx1"/>
            </w14:solidFill>
          </w14:textFill>
        </w:rPr>
        <w:t>采购终止</w:t>
      </w:r>
      <w:bookmarkEnd w:id="64"/>
    </w:p>
    <w:p w14:paraId="4EF4DF1A">
      <w:pPr>
        <w:snapToGrid w:val="0"/>
        <w:spacing w:line="360" w:lineRule="auto"/>
        <w:ind w:firstLine="46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出现下列情形之一的，采购人或者采购代理机构应当终止竞争性比选采购活动，发布项目终止公告并说明原因，重新开展采购活动：</w:t>
      </w:r>
    </w:p>
    <w:p w14:paraId="231FBE17">
      <w:pPr>
        <w:snapToGrid w:val="0"/>
        <w:spacing w:line="360" w:lineRule="auto"/>
        <w:ind w:firstLine="46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（一）因情况变化，不再符合规定的竞争性比选采购方式适用情形的；</w:t>
      </w:r>
    </w:p>
    <w:p w14:paraId="362E705F">
      <w:pPr>
        <w:snapToGrid w:val="0"/>
        <w:spacing w:line="360" w:lineRule="auto"/>
        <w:ind w:firstLine="465"/>
        <w:rPr>
          <w:rFonts w:hint="eastAsia" w:ascii="宋体" w:hAnsi="宋体"/>
          <w:color w:val="000000" w:themeColor="text1"/>
          <w:sz w:val="24"/>
          <w:szCs w:val="24"/>
          <w:highlight w:val="none"/>
          <w14:textFill>
            <w14:solidFill>
              <w14:schemeClr w14:val="tx1"/>
            </w14:solidFill>
          </w14:textFill>
        </w:rPr>
        <w:sectPr>
          <w:footerReference r:id="rId7" w:type="default"/>
          <w:pgSz w:w="11907" w:h="16840"/>
          <w:pgMar w:top="1134" w:right="1191" w:bottom="1134" w:left="1191" w:header="964" w:footer="992" w:gutter="0"/>
          <w:pgNumType w:fmt="numberInDash"/>
          <w:cols w:space="720" w:num="1"/>
          <w:docGrid w:linePitch="381" w:charSpace="0"/>
        </w:sectPr>
      </w:pPr>
      <w:r>
        <w:rPr>
          <w:rFonts w:hint="eastAsia" w:ascii="宋体" w:hAnsi="宋体"/>
          <w:color w:val="000000" w:themeColor="text1"/>
          <w:sz w:val="24"/>
          <w:szCs w:val="24"/>
          <w:highlight w:val="none"/>
          <w14:textFill>
            <w14:solidFill>
              <w14:schemeClr w14:val="tx1"/>
            </w14:solidFill>
          </w14:textFill>
        </w:rPr>
        <w:t>（二）出现影响采购公正的违法、违规行为的。</w:t>
      </w:r>
    </w:p>
    <w:p w14:paraId="1E43D351">
      <w:pPr>
        <w:pStyle w:val="4"/>
        <w:spacing w:line="360" w:lineRule="auto"/>
        <w:jc w:val="center"/>
        <w:rPr>
          <w:rFonts w:hint="eastAsia" w:ascii="宋体" w:hAnsi="宋体" w:eastAsia="宋体"/>
          <w:color w:val="000000" w:themeColor="text1"/>
          <w:sz w:val="36"/>
          <w:szCs w:val="30"/>
          <w:highlight w:val="none"/>
          <w14:textFill>
            <w14:solidFill>
              <w14:schemeClr w14:val="tx1"/>
            </w14:solidFill>
          </w14:textFill>
        </w:rPr>
      </w:pPr>
      <w:bookmarkStart w:id="65" w:name="_Toc102227313"/>
      <w:bookmarkStart w:id="66" w:name="_Toc19157"/>
      <w:r>
        <w:rPr>
          <w:rFonts w:hint="eastAsia" w:ascii="宋体" w:hAnsi="宋体" w:eastAsia="宋体"/>
          <w:color w:val="000000" w:themeColor="text1"/>
          <w:sz w:val="36"/>
          <w:szCs w:val="30"/>
          <w:highlight w:val="none"/>
          <w14:textFill>
            <w14:solidFill>
              <w14:schemeClr w14:val="tx1"/>
            </w14:solidFill>
          </w14:textFill>
        </w:rPr>
        <w:t>第五篇  供应商须知</w:t>
      </w:r>
      <w:bookmarkEnd w:id="65"/>
      <w:bookmarkEnd w:id="66"/>
    </w:p>
    <w:p w14:paraId="2B0E83AC">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67" w:name="_Toc342913389"/>
      <w:bookmarkStart w:id="68" w:name="_Toc6236"/>
      <w:r>
        <w:rPr>
          <w:rFonts w:hint="eastAsia" w:ascii="宋体" w:hAnsi="宋体"/>
          <w:color w:val="000000" w:themeColor="text1"/>
          <w:sz w:val="24"/>
          <w:szCs w:val="24"/>
          <w:highlight w:val="none"/>
          <w14:textFill>
            <w14:solidFill>
              <w14:schemeClr w14:val="tx1"/>
            </w14:solidFill>
          </w14:textFill>
        </w:rPr>
        <w:t>一、比选费用</w:t>
      </w:r>
      <w:bookmarkEnd w:id="67"/>
      <w:bookmarkEnd w:id="68"/>
    </w:p>
    <w:p w14:paraId="66DE2EA1">
      <w:pPr>
        <w:pStyle w:val="199"/>
        <w:spacing w:line="360" w:lineRule="auto"/>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参与比选的供应商应承担其编制响应文件与递交响应文件所涉及的一切费用，不论比选结果如何，采购人和采购代理机构在任何情况下无义务也无责任承担这些费用。</w:t>
      </w:r>
    </w:p>
    <w:p w14:paraId="74AFCBD3">
      <w:pPr>
        <w:pStyle w:val="5"/>
        <w:tabs>
          <w:tab w:val="left" w:pos="2640"/>
        </w:tabs>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69" w:name="_Toc342913391"/>
      <w:bookmarkStart w:id="70" w:name="_Toc17910"/>
      <w:r>
        <w:rPr>
          <w:rFonts w:hint="eastAsia" w:ascii="宋体" w:hAnsi="宋体"/>
          <w:color w:val="000000" w:themeColor="text1"/>
          <w:sz w:val="24"/>
          <w:szCs w:val="24"/>
          <w:highlight w:val="none"/>
          <w14:textFill>
            <w14:solidFill>
              <w14:schemeClr w14:val="tx1"/>
            </w14:solidFill>
          </w14:textFill>
        </w:rPr>
        <w:t>二、竞争性比选文件</w:t>
      </w:r>
      <w:bookmarkEnd w:id="69"/>
      <w:bookmarkEnd w:id="70"/>
    </w:p>
    <w:p w14:paraId="172B48BA">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（一）竞争性比选文件由采购邀请书；采购服务需求；采购商务需求；比选程序及方法、评审标准、无效响应和采购终止；供应商须知；合同草案条款；响应文件编制要求共七部分组成。</w:t>
      </w:r>
    </w:p>
    <w:p w14:paraId="7291D0C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（二）采购人（或采购代理机构）所作的一切有效的书面通知、修改及补充，都是竞争性比选文件不可分割的部分。</w:t>
      </w:r>
    </w:p>
    <w:p w14:paraId="5F03278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（三）竞争性比选文件的解释</w:t>
      </w:r>
    </w:p>
    <w:p w14:paraId="17103997">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1" w:name="_Toc318159349"/>
      <w:bookmarkStart w:id="72" w:name="_Toc318159160"/>
      <w:bookmarkStart w:id="73" w:name="_Toc318166429"/>
      <w:bookmarkStart w:id="74" w:name="_Toc318159780"/>
    </w:p>
    <w:p w14:paraId="647E1DA3">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（四）评审的依据为竞争性比选文件和响应文件（含有效的书面承诺）。评审委员会判断响应文件对竞争性比选文件的响应，仅基于响应文件本身而不靠外部证据。</w:t>
      </w:r>
    </w:p>
    <w:bookmarkEnd w:id="71"/>
    <w:bookmarkEnd w:id="72"/>
    <w:bookmarkEnd w:id="73"/>
    <w:bookmarkEnd w:id="74"/>
    <w:p w14:paraId="5543D081">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75" w:name="_Toc102227318"/>
      <w:bookmarkStart w:id="76" w:name="_Toc179714297"/>
      <w:bookmarkStart w:id="77" w:name="_Toc342913392"/>
      <w:bookmarkStart w:id="78" w:name="_Toc14985"/>
      <w:r>
        <w:rPr>
          <w:rFonts w:hint="eastAsia" w:ascii="宋体" w:hAnsi="宋体"/>
          <w:color w:val="000000" w:themeColor="text1"/>
          <w:sz w:val="24"/>
          <w:szCs w:val="24"/>
          <w:highlight w:val="none"/>
          <w14:textFill>
            <w14:solidFill>
              <w14:schemeClr w14:val="tx1"/>
            </w14:solidFill>
          </w14:textFill>
        </w:rPr>
        <w:t>三、比选要求</w:t>
      </w:r>
      <w:bookmarkEnd w:id="75"/>
      <w:bookmarkEnd w:id="76"/>
      <w:bookmarkEnd w:id="77"/>
      <w:bookmarkEnd w:id="78"/>
    </w:p>
    <w:p w14:paraId="25A2B9FC">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（一）响应文件</w:t>
      </w:r>
    </w:p>
    <w:p w14:paraId="6EC5B935">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1.供应商应当按照竞争性比选文件的要求编制响应文件，并对竞争性比选文件提出的要求和条件作出实质性响应，响应文件原则上采用软面订本，同时应编制完整的页码、目录。</w:t>
      </w:r>
    </w:p>
    <w:p w14:paraId="325F1D17">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2.响应文件组成</w:t>
      </w:r>
    </w:p>
    <w:p w14:paraId="05EBD87F">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3DD2B25">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（二）联合体</w:t>
      </w:r>
    </w:p>
    <w:p w14:paraId="16CD0E53">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本项目不接受联合体比选。</w:t>
      </w:r>
    </w:p>
    <w:p w14:paraId="53AB3E7F">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（三）比选有效期：响应文件及有关承诺文件有效期为提交响应文件截止时间起90天。</w:t>
      </w:r>
    </w:p>
    <w:p w14:paraId="6B897EC0">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（四）比选保证金：</w:t>
      </w:r>
    </w:p>
    <w:p w14:paraId="14D08C2E">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1.供应商提交保证金金额和方式详见本文件第一篇“五、比选保证金”；</w:t>
      </w:r>
    </w:p>
    <w:p w14:paraId="1F9E8114">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2.发生以下情况之一者，比选保证金不予退还：</w:t>
      </w:r>
    </w:p>
    <w:p w14:paraId="1ECA90DE">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 供应商在提交响应文件截止时间后撤回响应文件的；</w:t>
      </w:r>
    </w:p>
    <w:p w14:paraId="5C245BC1">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 供应商在响应文件中提供虚假材料的；</w:t>
      </w:r>
    </w:p>
    <w:p w14:paraId="79E0E369">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 除因不可抗力或竞争性比选文件认可的情形以外，成交供应商不与采购人签订合同的；</w:t>
      </w:r>
    </w:p>
    <w:p w14:paraId="43812D5A">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2.4 供应商与采购人、其他供应商或者采购代理机构恶意串通的；</w:t>
      </w:r>
    </w:p>
    <w:p w14:paraId="4DB5B96D">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2.5 成交供应商不按规定的时间或拒绝按成交状态签订合同（即不按照比选文件确定的合同文本以及采购标的、规格型号、采购金额、采购数量、技术和服务要求等事项签订政府采购合同的）。</w:t>
      </w:r>
    </w:p>
    <w:p w14:paraId="4F975B5F">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（五）修正错误</w:t>
      </w:r>
    </w:p>
    <w:p w14:paraId="7C991E01">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1.若供应商所递交的响应文件或报价中的价格出现大写金额和小写金额不一致的错误，以大写金额修正为准。</w:t>
      </w:r>
    </w:p>
    <w:p w14:paraId="19210C0B">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2.评审委员会按上述修正错误的原则及方法修正供应商的报价，供应商同意并签字确认后，修正后的报价对供应商具有约束作用。如果供应商不接受修正后的价格，将失去成为成交供应商的资格。</w:t>
      </w:r>
    </w:p>
    <w:p w14:paraId="23D7C941">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（六）提交响应文件的份数和签署</w:t>
      </w:r>
    </w:p>
    <w:p w14:paraId="3B33DBAD">
      <w:pPr>
        <w:snapToGrid w:val="0"/>
        <w:spacing w:line="360" w:lineRule="auto"/>
        <w:ind w:firstLine="480" w:firstLineChars="200"/>
        <w:rPr>
          <w:rFonts w:ascii="宋体"/>
          <w:b/>
          <w:bCs/>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1.响应文件一式三份，其中正本一份，副本一份，电子文件一份；副本可为正本的复印件，应与正本一致，如出现不一致情况以正本为准。</w:t>
      </w:r>
      <w:r>
        <w:rPr>
          <w:rFonts w:hint="eastAsia" w:ascii="宋体"/>
          <w:b/>
          <w:bCs/>
          <w:color w:val="000000" w:themeColor="text1"/>
          <w:sz w:val="24"/>
          <w:szCs w:val="24"/>
          <w:highlight w:val="none"/>
          <w14:textFill>
            <w14:solidFill>
              <w14:schemeClr w14:val="tx1"/>
            </w14:solidFill>
          </w14:textFill>
        </w:rPr>
        <w:t>电子文档需在规定时间内上传至“行采家”平台。</w:t>
      </w:r>
    </w:p>
    <w:p w14:paraId="36109104">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在响应文件正本中，竞争性比选文件第七篇响应文件编制要求中规定签字、盖章的地方必须按其规定签字、盖章。</w:t>
      </w:r>
    </w:p>
    <w:p w14:paraId="3498047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（七）响应文件的递交</w:t>
      </w:r>
    </w:p>
    <w:p w14:paraId="46F13EE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1.响应文件的密封与标记</w:t>
      </w:r>
    </w:p>
    <w:p w14:paraId="3006D153">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的正本、副本以及电子文档均应密封送达递交响应文件地点，应在封套上注明项目名称、供应商名称。若正本、副本以及电子文档分别进行密封的，还应在封套上注明“正本”、“副本”、“电子文档”字样。</w:t>
      </w:r>
    </w:p>
    <w:p w14:paraId="109939D8">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响应文件的装订形式为</w:t>
      </w:r>
      <w:r>
        <w:rPr>
          <w:rFonts w:hint="eastAsia" w:ascii="宋体" w:hAnsi="宋体"/>
          <w:b/>
          <w:color w:val="000000" w:themeColor="text1"/>
          <w:sz w:val="24"/>
          <w:szCs w:val="24"/>
          <w:highlight w:val="none"/>
          <w14:textFill>
            <w14:solidFill>
              <w14:schemeClr w14:val="tx1"/>
            </w14:solidFill>
          </w14:textFill>
        </w:rPr>
        <w:t>胶装</w:t>
      </w:r>
      <w:r>
        <w:rPr>
          <w:rFonts w:hint="eastAsia" w:ascii="宋体" w:hAnsi="宋体"/>
          <w:color w:val="000000" w:themeColor="text1"/>
          <w:sz w:val="24"/>
          <w:szCs w:val="24"/>
          <w:highlight w:val="none"/>
          <w14:textFill>
            <w14:solidFill>
              <w14:schemeClr w14:val="tx1"/>
            </w14:solidFill>
          </w14:textFill>
        </w:rPr>
        <w:t>。</w:t>
      </w:r>
    </w:p>
    <w:p w14:paraId="614CBB07">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2.响应文件递交截止时间：参阅采购邀请书。</w:t>
      </w:r>
    </w:p>
    <w:p w14:paraId="57AFF826">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3.响应文件语言：简体中文</w:t>
      </w:r>
    </w:p>
    <w:p w14:paraId="14CFA64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（八）供应商参与人员</w:t>
      </w:r>
    </w:p>
    <w:p w14:paraId="7D2A5E1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各个供应商可派1-2名代表参与比选，至少1人应为法定代表人或具有法定代表人授权委托书的授权代表。</w:t>
      </w:r>
    </w:p>
    <w:p w14:paraId="5D685499">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79" w:name="_Toc25818"/>
      <w:r>
        <w:rPr>
          <w:rFonts w:hint="eastAsia" w:ascii="宋体" w:hAnsi="宋体"/>
          <w:color w:val="000000" w:themeColor="text1"/>
          <w:sz w:val="24"/>
          <w:szCs w:val="24"/>
          <w:highlight w:val="none"/>
          <w14:textFill>
            <w14:solidFill>
              <w14:schemeClr w14:val="tx1"/>
            </w14:solidFill>
          </w14:textFill>
        </w:rPr>
        <w:t>四、成交供应商的确认和变更</w:t>
      </w:r>
      <w:bookmarkEnd w:id="79"/>
    </w:p>
    <w:p w14:paraId="06824CE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（一）成交供应商的确认</w:t>
      </w:r>
    </w:p>
    <w:p w14:paraId="4FCDBD52">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w:t>
      </w:r>
      <w:r>
        <w:rPr>
          <w:rFonts w:hint="eastAsia" w:ascii="宋体" w:hAnsi="宋体"/>
          <w:color w:val="000000" w:themeColor="text1"/>
          <w:sz w:val="24"/>
          <w:szCs w:val="24"/>
          <w:highlight w:val="none"/>
          <w14:textFill>
            <w14:solidFill>
              <w14:schemeClr w14:val="tx1"/>
            </w14:solidFill>
          </w14:textFill>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2E4C67C">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（二）成交供应商的变更</w:t>
      </w:r>
    </w:p>
    <w:p w14:paraId="3D9F58C4">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51D2940">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14:paraId="6AC4521E">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80" w:name="_Toc102227321"/>
      <w:bookmarkStart w:id="81" w:name="_Toc342913395"/>
      <w:bookmarkStart w:id="82" w:name="_Toc3389"/>
      <w:r>
        <w:rPr>
          <w:rFonts w:hint="eastAsia" w:ascii="宋体" w:hAnsi="宋体"/>
          <w:color w:val="000000" w:themeColor="text1"/>
          <w:sz w:val="24"/>
          <w:szCs w:val="24"/>
          <w:highlight w:val="none"/>
          <w14:textFill>
            <w14:solidFill>
              <w14:schemeClr w14:val="tx1"/>
            </w14:solidFill>
          </w14:textFill>
        </w:rPr>
        <w:t>五、成交通知</w:t>
      </w:r>
      <w:bookmarkEnd w:id="80"/>
      <w:bookmarkEnd w:id="81"/>
      <w:bookmarkEnd w:id="82"/>
    </w:p>
    <w:p w14:paraId="088F28E3">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（一）成交供应商确定后，采购代理机构将在“行采家”平台（https://www.gec123.com）发布成交结果公告。</w:t>
      </w:r>
    </w:p>
    <w:p w14:paraId="772033CD">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（二）结果公告期结束后，采购代理机构将以书面形式发出《成交通知书》。《成交通知书》一经发出即发生法律效力。</w:t>
      </w:r>
    </w:p>
    <w:p w14:paraId="2970272D">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（三）《成交通知书》将作为签订合同的依据。</w:t>
      </w:r>
    </w:p>
    <w:p w14:paraId="4E9BABCF">
      <w:pPr>
        <w:spacing w:line="360" w:lineRule="auto"/>
        <w:ind w:firstLine="48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（四）如有供应商对成交结果提出质疑的，在质疑处理完毕后发出成交通知书。</w:t>
      </w:r>
    </w:p>
    <w:p w14:paraId="451B0276">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83" w:name="_Toc8134"/>
      <w:r>
        <w:rPr>
          <w:rFonts w:hint="eastAsia" w:ascii="宋体" w:hAnsi="宋体"/>
          <w:color w:val="000000" w:themeColor="text1"/>
          <w:sz w:val="24"/>
          <w:szCs w:val="24"/>
          <w:highlight w:val="none"/>
          <w14:textFill>
            <w14:solidFill>
              <w14:schemeClr w14:val="tx1"/>
            </w14:solidFill>
          </w14:textFill>
        </w:rPr>
        <w:t>六、关于质疑和投诉</w:t>
      </w:r>
      <w:bookmarkEnd w:id="83"/>
    </w:p>
    <w:p w14:paraId="383A2FAD">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（一）质疑</w:t>
      </w:r>
    </w:p>
    <w:p w14:paraId="2B43CC47">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供应商认为比选文件、采购过程和成交结果使自己的权益收到伤害的，可向采购人或采购代理机构以书面形式提出质疑。</w:t>
      </w:r>
    </w:p>
    <w:p w14:paraId="63007DC2">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提出质疑的应当是参与所质疑项目采购活动的供应商。</w:t>
      </w:r>
    </w:p>
    <w:p w14:paraId="24E55DA2">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1.质疑内容、时限</w:t>
      </w:r>
    </w:p>
    <w:p w14:paraId="0E45E7BF">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1.1供应商认为比选文件、采购过程、成交结果使自己的权益受到损害的，可以在知道或者应知其权益受到损害之日起7个工作日内，以书面形式向采购人、采购代理机构提出质疑。</w:t>
      </w:r>
    </w:p>
    <w:p w14:paraId="2AD84056">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 供应商提出质疑应当提交质疑函和必要的证明材料，质疑函应当包括下列内容：</w:t>
      </w:r>
    </w:p>
    <w:p w14:paraId="4528F4B0">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（1）供应商的姓名或者名称、地址、邮编、联系人及联系电话；</w:t>
      </w:r>
    </w:p>
    <w:p w14:paraId="4F3FEEC9">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（2）质疑项目的名称、项目号以及招标项目编号；</w:t>
      </w:r>
    </w:p>
    <w:p w14:paraId="62B86F9B">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（3）具体、明确的质疑事项和与质疑事项相关的请求；</w:t>
      </w:r>
    </w:p>
    <w:p w14:paraId="589E7E4D">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（4）事实依据；</w:t>
      </w:r>
    </w:p>
    <w:p w14:paraId="53602684">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（5）必要的法律依据；</w:t>
      </w:r>
    </w:p>
    <w:p w14:paraId="2AB267ED">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（6）提出质疑的日期；</w:t>
      </w:r>
    </w:p>
    <w:p w14:paraId="1949BE00">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（7）营业执照（或事业单位法人证书，或个体工商户营业执照或有效的自然人身份证明、组织机构代码证）复印件；</w:t>
      </w:r>
    </w:p>
    <w:p w14:paraId="3D0AC3BE">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（8）法定代表人授权委托书原件、法定代表人身份证复印件和其授权代表的身份证复印件（供应商为自然人的提供自然人身份证复印件）；</w:t>
      </w:r>
    </w:p>
    <w:p w14:paraId="61041D46">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 供应商为自然人的，质疑函应当由本人签字；供应商为法人或者其他组织的，质疑函应当由法定代表人、主要负责人，或者其授权代表签字或者盖章，并加盖公章。</w:t>
      </w:r>
    </w:p>
    <w:p w14:paraId="75E3EAAE">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2.质疑答复</w:t>
      </w:r>
    </w:p>
    <w:p w14:paraId="43AF16C3">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2F0912EE">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3.其他</w:t>
      </w:r>
    </w:p>
    <w:p w14:paraId="0A27F102">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 供应商应按照《政府采购质疑和投诉办法》（财政部令第94号）及相关法律法规要求，在法定质疑期内一次性提出针对同一采购程序环节的质疑。</w:t>
      </w:r>
    </w:p>
    <w:p w14:paraId="39558436">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 质疑函范本可在财政部门户网站和中国政府采购网下载。</w:t>
      </w:r>
    </w:p>
    <w:p w14:paraId="20BDE515">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（二）投诉</w:t>
      </w:r>
    </w:p>
    <w:p w14:paraId="300A2BD3">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供应商对采购人、采购代理机构的答复不满意，或者采购人、采购代理机构未在规定时间内作出答复的，可以在答复期满后</w:t>
      </w:r>
      <w:r>
        <w:rPr>
          <w:rFonts w:ascii="宋体" w:hAnsi="宋体"/>
          <w:color w:val="000000" w:themeColor="text1"/>
          <w:sz w:val="24"/>
          <w:szCs w:val="24"/>
          <w:highlight w:val="none"/>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个工作日内按照相关法律法规向财政部门提起投诉。</w:t>
      </w:r>
    </w:p>
    <w:p w14:paraId="11400549">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供应商应按照《政府采购质疑和投诉办法》（财政部令第</w:t>
      </w:r>
      <w:r>
        <w:rPr>
          <w:rFonts w:ascii="宋体" w:hAnsi="宋体"/>
          <w:color w:val="000000" w:themeColor="text1"/>
          <w:sz w:val="24"/>
          <w:szCs w:val="24"/>
          <w:highlight w:val="none"/>
          <w14:textFill>
            <w14:solidFill>
              <w14:schemeClr w14:val="tx1"/>
            </w14:solidFill>
          </w14:textFill>
        </w:rPr>
        <w:t>94</w:t>
      </w:r>
      <w:r>
        <w:rPr>
          <w:rFonts w:hint="eastAsia" w:ascii="宋体" w:hAnsi="宋体"/>
          <w:color w:val="000000" w:themeColor="text1"/>
          <w:sz w:val="24"/>
          <w:szCs w:val="24"/>
          <w:highlight w:val="none"/>
          <w14:textFill>
            <w14:solidFill>
              <w14:schemeClr w14:val="tx1"/>
            </w14:solidFill>
          </w14:textFill>
        </w:rPr>
        <w:t>号）及相关法律法规要求递交投诉书和必要的证明材料。投诉书范本可在财政部门户网站和中国政府采购网下载。</w:t>
      </w:r>
    </w:p>
    <w:p w14:paraId="60178DDF">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2AA8160">
      <w:pPr>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在确定受理投诉后，财政部门自受理投诉之日起</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个工作日内（需要检验、检测、鉴定、专家评审以及需要投诉人补正材料的，所需时间不计算在投诉处理期限内）对投诉事项做出处理决定。</w:t>
      </w:r>
    </w:p>
    <w:p w14:paraId="6231FFC9">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84" w:name="_Toc4"/>
      <w:r>
        <w:rPr>
          <w:rFonts w:hint="eastAsia" w:ascii="宋体" w:hAnsi="宋体"/>
          <w:color w:val="000000" w:themeColor="text1"/>
          <w:sz w:val="24"/>
          <w:szCs w:val="24"/>
          <w:highlight w:val="none"/>
          <w14:textFill>
            <w14:solidFill>
              <w14:schemeClr w14:val="tx1"/>
            </w14:solidFill>
          </w14:textFill>
        </w:rPr>
        <w:t>七、采购代理服务费</w:t>
      </w:r>
      <w:bookmarkEnd w:id="84"/>
    </w:p>
    <w:p w14:paraId="332EBFE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（一）采购代理服务费标准</w:t>
      </w:r>
    </w:p>
    <w:p w14:paraId="2384D165">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978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961C651">
            <w:pPr>
              <w:spacing w:line="240" w:lineRule="atLeast"/>
              <w:jc w:val="right"/>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419654496"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AQ2ESc7wEAAN4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olor w:val="000000" w:themeColor="text1"/>
                <w:sz w:val="21"/>
                <w:szCs w:val="21"/>
                <w:highlight w:val="none"/>
                <w14:textFill>
                  <w14:solidFill>
                    <w14:schemeClr w14:val="tx1"/>
                  </w14:solidFill>
                </w14:textFill>
              </w:rPr>
              <w:t>招标类型</w:t>
            </w:r>
          </w:p>
          <w:p w14:paraId="7701D4DC">
            <w:pPr>
              <w:spacing w:line="240" w:lineRule="atLeas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中标金额（万元）</w:t>
            </w:r>
          </w:p>
        </w:tc>
        <w:tc>
          <w:tcPr>
            <w:tcW w:w="2273" w:type="dxa"/>
            <w:vAlign w:val="center"/>
          </w:tcPr>
          <w:p w14:paraId="1C4FE80C">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货物招标</w:t>
            </w:r>
          </w:p>
        </w:tc>
        <w:tc>
          <w:tcPr>
            <w:tcW w:w="2273" w:type="dxa"/>
            <w:vAlign w:val="center"/>
          </w:tcPr>
          <w:p w14:paraId="4085CC08">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服务招标</w:t>
            </w:r>
          </w:p>
        </w:tc>
        <w:tc>
          <w:tcPr>
            <w:tcW w:w="2272" w:type="dxa"/>
            <w:vAlign w:val="center"/>
          </w:tcPr>
          <w:p w14:paraId="67F1272B">
            <w:pPr>
              <w:pStyle w:val="211"/>
              <w:widowControl w:val="0"/>
              <w:pBdr>
                <w:left w:val="none" w:color="auto" w:sz="0" w:space="0"/>
                <w:right w:val="none" w:color="auto" w:sz="0" w:space="0"/>
              </w:pBdr>
              <w:spacing w:before="0" w:beforeAutospacing="0" w:after="0" w:afterAutospacing="0" w:line="240" w:lineRule="atLeast"/>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工程招标</w:t>
            </w:r>
          </w:p>
        </w:tc>
      </w:tr>
      <w:tr w14:paraId="0A02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2FCDE23">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100（含）以下</w:t>
            </w:r>
          </w:p>
        </w:tc>
        <w:tc>
          <w:tcPr>
            <w:tcW w:w="2273" w:type="dxa"/>
            <w:vAlign w:val="center"/>
          </w:tcPr>
          <w:p w14:paraId="09E2AB13">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w:t>
            </w:r>
          </w:p>
        </w:tc>
        <w:tc>
          <w:tcPr>
            <w:tcW w:w="2273" w:type="dxa"/>
            <w:vAlign w:val="center"/>
          </w:tcPr>
          <w:p w14:paraId="57C9C0E2">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w:t>
            </w:r>
          </w:p>
        </w:tc>
        <w:tc>
          <w:tcPr>
            <w:tcW w:w="2272" w:type="dxa"/>
            <w:vAlign w:val="center"/>
          </w:tcPr>
          <w:p w14:paraId="71F974CA">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w:t>
            </w:r>
          </w:p>
        </w:tc>
      </w:tr>
      <w:tr w14:paraId="2971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A8246B1">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100以上-500</w:t>
            </w:r>
          </w:p>
        </w:tc>
        <w:tc>
          <w:tcPr>
            <w:tcW w:w="2273" w:type="dxa"/>
            <w:vAlign w:val="center"/>
          </w:tcPr>
          <w:p w14:paraId="12DEB2CB">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w:t>
            </w:r>
          </w:p>
        </w:tc>
        <w:tc>
          <w:tcPr>
            <w:tcW w:w="2273" w:type="dxa"/>
            <w:vAlign w:val="center"/>
          </w:tcPr>
          <w:p w14:paraId="047DDBF5">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0.8%</w:t>
            </w:r>
          </w:p>
        </w:tc>
        <w:tc>
          <w:tcPr>
            <w:tcW w:w="2272" w:type="dxa"/>
            <w:vAlign w:val="center"/>
          </w:tcPr>
          <w:p w14:paraId="6B6C010C">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0.7%</w:t>
            </w:r>
          </w:p>
        </w:tc>
      </w:tr>
      <w:tr w14:paraId="7759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058047A">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500以上-1000</w:t>
            </w:r>
          </w:p>
        </w:tc>
        <w:tc>
          <w:tcPr>
            <w:tcW w:w="2273" w:type="dxa"/>
            <w:vAlign w:val="center"/>
          </w:tcPr>
          <w:p w14:paraId="7BB0B759">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0.8%</w:t>
            </w:r>
          </w:p>
        </w:tc>
        <w:tc>
          <w:tcPr>
            <w:tcW w:w="2273" w:type="dxa"/>
            <w:vAlign w:val="center"/>
          </w:tcPr>
          <w:p w14:paraId="4576DB6D">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0.45%</w:t>
            </w:r>
          </w:p>
        </w:tc>
        <w:tc>
          <w:tcPr>
            <w:tcW w:w="2272" w:type="dxa"/>
            <w:vAlign w:val="center"/>
          </w:tcPr>
          <w:p w14:paraId="7BCCB571">
            <w:pPr>
              <w:spacing w:line="240" w:lineRule="atLeast"/>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0.55%</w:t>
            </w:r>
          </w:p>
        </w:tc>
      </w:tr>
    </w:tbl>
    <w:p w14:paraId="46BD2015">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注：采购代理服务收费按差额定率累进法计算。采购代理服务费按上表计算出不足4000元的，按4000元记取。</w:t>
      </w:r>
    </w:p>
    <w:p w14:paraId="60849B4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（二）采购代理服务费缴纳账户信息：</w:t>
      </w:r>
    </w:p>
    <w:p w14:paraId="5A459782">
      <w:pPr>
        <w:snapToGrid w:val="0"/>
        <w:spacing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户  名：重庆市中基致信招标代理有限公司</w:t>
      </w:r>
    </w:p>
    <w:p w14:paraId="3AD23037">
      <w:pPr>
        <w:snapToGrid w:val="0"/>
        <w:spacing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开户行：中国银行重庆江北支行</w:t>
      </w:r>
    </w:p>
    <w:p w14:paraId="2C908D97">
      <w:pPr>
        <w:snapToGrid w:val="0"/>
        <w:spacing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账  号：1144 6718 4234</w:t>
      </w:r>
    </w:p>
    <w:p w14:paraId="4094AB01">
      <w:pPr>
        <w:pStyle w:val="5"/>
        <w:spacing w:before="0" w:after="0" w:line="360" w:lineRule="auto"/>
        <w:ind w:firstLine="482" w:firstLineChars="200"/>
        <w:rPr>
          <w:color w:val="000000" w:themeColor="text1"/>
          <w:sz w:val="24"/>
          <w:szCs w:val="24"/>
          <w:highlight w:val="none"/>
          <w14:textFill>
            <w14:solidFill>
              <w14:schemeClr w14:val="tx1"/>
            </w14:solidFill>
          </w14:textFill>
        </w:rPr>
      </w:pPr>
      <w:bookmarkStart w:id="85" w:name="_Toc102227322"/>
      <w:bookmarkStart w:id="86" w:name="_Toc342913396"/>
      <w:bookmarkStart w:id="87" w:name="_Toc142570705"/>
      <w:bookmarkStart w:id="88" w:name="_Toc9963"/>
      <w:bookmarkStart w:id="89" w:name="_Toc12789059"/>
      <w:bookmarkStart w:id="90" w:name="_Toc11641055"/>
      <w:r>
        <w:rPr>
          <w:color w:val="000000" w:themeColor="text1"/>
          <w:sz w:val="24"/>
          <w:szCs w:val="24"/>
          <w:highlight w:val="none"/>
          <w14:textFill>
            <w14:solidFill>
              <w14:schemeClr w14:val="tx1"/>
            </w14:solidFill>
          </w14:textFill>
        </w:rPr>
        <w:t>八、签订</w:t>
      </w:r>
      <w:bookmarkEnd w:id="85"/>
      <w:r>
        <w:rPr>
          <w:color w:val="000000" w:themeColor="text1"/>
          <w:sz w:val="24"/>
          <w:szCs w:val="24"/>
          <w:highlight w:val="none"/>
          <w14:textFill>
            <w14:solidFill>
              <w14:schemeClr w14:val="tx1"/>
            </w14:solidFill>
          </w14:textFill>
        </w:rPr>
        <w:t>合同</w:t>
      </w:r>
      <w:bookmarkEnd w:id="86"/>
      <w:bookmarkEnd w:id="87"/>
      <w:bookmarkEnd w:id="88"/>
    </w:p>
    <w:p w14:paraId="22711457">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（一）采购人与成交供应商应当在成交通知书发出之日起20日内，按照</w:t>
      </w:r>
      <w:r>
        <w:rPr>
          <w:rFonts w:hint="eastAsia"/>
          <w:color w:val="000000" w:themeColor="text1"/>
          <w:sz w:val="24"/>
          <w:szCs w:val="24"/>
          <w:highlight w:val="none"/>
          <w14:textFill>
            <w14:solidFill>
              <w14:schemeClr w14:val="tx1"/>
            </w14:solidFill>
          </w14:textFill>
        </w:rPr>
        <w:t>比选</w:t>
      </w:r>
      <w:r>
        <w:rPr>
          <w:color w:val="000000" w:themeColor="text1"/>
          <w:sz w:val="24"/>
          <w:szCs w:val="24"/>
          <w:highlight w:val="none"/>
          <w14:textFill>
            <w14:solidFill>
              <w14:schemeClr w14:val="tx1"/>
            </w14:solidFill>
          </w14:textFill>
        </w:rPr>
        <w:t>文件确定的合同文本以及技术和服务要求等事项签订政府采购合同。</w:t>
      </w:r>
    </w:p>
    <w:p w14:paraId="67261250">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（二）竞争性</w:t>
      </w:r>
      <w:r>
        <w:rPr>
          <w:rFonts w:hint="eastAsia"/>
          <w:color w:val="000000" w:themeColor="text1"/>
          <w:sz w:val="24"/>
          <w:szCs w:val="24"/>
          <w:highlight w:val="none"/>
          <w14:textFill>
            <w14:solidFill>
              <w14:schemeClr w14:val="tx1"/>
            </w14:solidFill>
          </w14:textFill>
        </w:rPr>
        <w:t>比选</w:t>
      </w:r>
      <w:r>
        <w:rPr>
          <w:color w:val="000000" w:themeColor="text1"/>
          <w:sz w:val="24"/>
          <w:szCs w:val="24"/>
          <w:highlight w:val="none"/>
          <w14:textFill>
            <w14:solidFill>
              <w14:schemeClr w14:val="tx1"/>
            </w14:solidFill>
          </w14:textFill>
        </w:rPr>
        <w:t>文件、成交供应商的响应文件及有效承诺文件等，均为签订合同的依据。</w:t>
      </w:r>
    </w:p>
    <w:p w14:paraId="3A99768E">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（三）如成交供应商放弃成交项目或在签订合同时擅自改变成交状态的，采购人将按照相关法律法规处理。</w:t>
      </w:r>
    </w:p>
    <w:p w14:paraId="2C660A37">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（四）采购人不得向成交供应商提出超出竞争性</w:t>
      </w:r>
      <w:r>
        <w:rPr>
          <w:rFonts w:hint="eastAsia"/>
          <w:color w:val="000000" w:themeColor="text1"/>
          <w:sz w:val="24"/>
          <w:szCs w:val="24"/>
          <w:highlight w:val="none"/>
          <w14:textFill>
            <w14:solidFill>
              <w14:schemeClr w14:val="tx1"/>
            </w14:solidFill>
          </w14:textFill>
        </w:rPr>
        <w:t>比选</w:t>
      </w:r>
      <w:r>
        <w:rPr>
          <w:color w:val="000000" w:themeColor="text1"/>
          <w:sz w:val="24"/>
          <w:szCs w:val="24"/>
          <w:highlight w:val="none"/>
          <w14:textFill>
            <w14:solidFill>
              <w14:schemeClr w14:val="tx1"/>
            </w14:solidFill>
          </w14:textFill>
        </w:rPr>
        <w:t>文件以外的任何要求作为签订合同的条件，不得与成交供应商订立背离竞争性</w:t>
      </w:r>
      <w:r>
        <w:rPr>
          <w:rFonts w:hint="eastAsia"/>
          <w:color w:val="000000" w:themeColor="text1"/>
          <w:sz w:val="24"/>
          <w:szCs w:val="24"/>
          <w:highlight w:val="none"/>
          <w14:textFill>
            <w14:solidFill>
              <w14:schemeClr w14:val="tx1"/>
            </w14:solidFill>
          </w14:textFill>
        </w:rPr>
        <w:t>比选</w:t>
      </w:r>
      <w:r>
        <w:rPr>
          <w:color w:val="000000" w:themeColor="text1"/>
          <w:sz w:val="24"/>
          <w:szCs w:val="24"/>
          <w:highlight w:val="none"/>
          <w14:textFill>
            <w14:solidFill>
              <w14:schemeClr w14:val="tx1"/>
            </w14:solidFill>
          </w14:textFill>
        </w:rPr>
        <w:t>确定的合同文本以及采购标的、规格型号、采购金额、采购数量、技术和服务要求等实质性内容的协议。</w:t>
      </w:r>
    </w:p>
    <w:p w14:paraId="61A2B7A5">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（五）除不可抗力等因素外，成交通知书发出后，采购人改变成交结果，或者成交供应商拒绝签订政府采购合同的，应当承担相应的法律责任。</w:t>
      </w:r>
    </w:p>
    <w:p w14:paraId="3A6C22B6">
      <w:pPr>
        <w:pStyle w:val="4"/>
        <w:pageBreakBefore/>
        <w:spacing w:line="360" w:lineRule="auto"/>
        <w:jc w:val="center"/>
        <w:rPr>
          <w:rFonts w:hint="eastAsia" w:ascii="宋体" w:hAnsi="宋体" w:eastAsia="宋体"/>
          <w:color w:val="000000" w:themeColor="text1"/>
          <w:sz w:val="36"/>
          <w:szCs w:val="30"/>
          <w:highlight w:val="none"/>
          <w14:textFill>
            <w14:solidFill>
              <w14:schemeClr w14:val="tx1"/>
            </w14:solidFill>
          </w14:textFill>
        </w:rPr>
      </w:pPr>
      <w:bookmarkStart w:id="91" w:name="_Toc28097"/>
      <w:r>
        <w:rPr>
          <w:rFonts w:hint="eastAsia" w:ascii="宋体" w:hAnsi="宋体" w:eastAsia="宋体"/>
          <w:color w:val="000000" w:themeColor="text1"/>
          <w:sz w:val="36"/>
          <w:szCs w:val="30"/>
          <w:highlight w:val="none"/>
          <w14:textFill>
            <w14:solidFill>
              <w14:schemeClr w14:val="tx1"/>
            </w14:solidFill>
          </w14:textFill>
        </w:rPr>
        <w:t xml:space="preserve">第六篇  </w:t>
      </w:r>
      <w:bookmarkEnd w:id="89"/>
      <w:bookmarkEnd w:id="90"/>
      <w:r>
        <w:rPr>
          <w:rFonts w:hint="eastAsia" w:ascii="宋体" w:hAnsi="宋体" w:eastAsia="宋体"/>
          <w:color w:val="000000" w:themeColor="text1"/>
          <w:sz w:val="36"/>
          <w:szCs w:val="30"/>
          <w:highlight w:val="none"/>
          <w14:textFill>
            <w14:solidFill>
              <w14:schemeClr w14:val="tx1"/>
            </w14:solidFill>
          </w14:textFill>
        </w:rPr>
        <w:t>合同草案条款</w:t>
      </w:r>
      <w:bookmarkEnd w:id="91"/>
    </w:p>
    <w:p w14:paraId="617C7DED">
      <w:pPr>
        <w:spacing w:line="360" w:lineRule="auto"/>
        <w:jc w:val="center"/>
        <w:rPr>
          <w:rFonts w:hint="eastAsia" w:ascii="宋体" w:hAnsi="宋体"/>
          <w:b/>
          <w:color w:val="000000" w:themeColor="text1"/>
          <w:sz w:val="44"/>
          <w:highlight w:val="none"/>
          <w14:textFill>
            <w14:solidFill>
              <w14:schemeClr w14:val="tx1"/>
            </w14:solidFill>
          </w14:textFill>
        </w:rPr>
      </w:pPr>
      <w:bookmarkStart w:id="92" w:name="_Hlt41879464"/>
      <w:bookmarkEnd w:id="92"/>
      <w:bookmarkStart w:id="93" w:name="_Toc23764521"/>
      <w:r>
        <w:rPr>
          <w:rFonts w:ascii="宋体" w:hAnsi="宋体"/>
          <w:b/>
          <w:color w:val="000000" w:themeColor="text1"/>
          <w:sz w:val="44"/>
          <w:highlight w:val="none"/>
          <w14:textFill>
            <w14:solidFill>
              <w14:schemeClr w14:val="tx1"/>
            </w14:solidFill>
          </w14:textFill>
        </w:rPr>
        <w:t>采购合同</w:t>
      </w:r>
    </w:p>
    <w:p w14:paraId="7FF7D6D1">
      <w:pPr>
        <w:spacing w:line="360" w:lineRule="auto"/>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（项目编号：     ）</w:t>
      </w:r>
    </w:p>
    <w:p w14:paraId="61F91B71">
      <w:pPr>
        <w:spacing w:line="360"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甲方（需方）：___________________________      计价单位：____________</w:t>
      </w:r>
    </w:p>
    <w:p w14:paraId="2C9EA049">
      <w:pPr>
        <w:spacing w:line="360"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乙方（供方）：___________________________      计量单位：_____________</w:t>
      </w:r>
    </w:p>
    <w:p w14:paraId="5C77C904">
      <w:pPr>
        <w:spacing w:line="360" w:lineRule="auto"/>
        <w:rPr>
          <w:rFonts w:hint="eastAsia" w:ascii="宋体" w:hAnsi="宋体"/>
          <w:color w:val="000000" w:themeColor="text1"/>
          <w:sz w:val="24"/>
          <w:highlight w:val="none"/>
          <w14:textFill>
            <w14:solidFill>
              <w14:schemeClr w14:val="tx1"/>
            </w14:solidFill>
          </w14:textFill>
        </w:rPr>
      </w:pPr>
    </w:p>
    <w:p w14:paraId="7A6776A4">
      <w:pPr>
        <w:spacing w:line="360"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82"/>
      </w:tblGrid>
      <w:tr w14:paraId="54B2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6E3F69C3">
            <w:pPr>
              <w:suppressAutoHyphens/>
              <w:spacing w:line="240" w:lineRule="atLeast"/>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商品名称</w:t>
            </w:r>
          </w:p>
        </w:tc>
        <w:tc>
          <w:tcPr>
            <w:tcW w:w="1741" w:type="dxa"/>
            <w:vAlign w:val="center"/>
          </w:tcPr>
          <w:p w14:paraId="11C9452B">
            <w:pPr>
              <w:suppressAutoHyphens/>
              <w:spacing w:line="240" w:lineRule="atLeast"/>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规格型号</w:t>
            </w:r>
          </w:p>
        </w:tc>
        <w:tc>
          <w:tcPr>
            <w:tcW w:w="984" w:type="dxa"/>
            <w:vAlign w:val="center"/>
          </w:tcPr>
          <w:p w14:paraId="716F48AD">
            <w:pPr>
              <w:suppressAutoHyphens/>
              <w:spacing w:line="240" w:lineRule="atLeast"/>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数量</w:t>
            </w:r>
          </w:p>
        </w:tc>
        <w:tc>
          <w:tcPr>
            <w:tcW w:w="1298" w:type="dxa"/>
            <w:gridSpan w:val="2"/>
            <w:vAlign w:val="center"/>
          </w:tcPr>
          <w:p w14:paraId="55440EAE">
            <w:pPr>
              <w:suppressAutoHyphens/>
              <w:spacing w:line="240" w:lineRule="atLeast"/>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综合单价</w:t>
            </w:r>
          </w:p>
        </w:tc>
        <w:tc>
          <w:tcPr>
            <w:tcW w:w="1134" w:type="dxa"/>
            <w:vAlign w:val="center"/>
          </w:tcPr>
          <w:p w14:paraId="2EF4108A">
            <w:pPr>
              <w:suppressAutoHyphens/>
              <w:spacing w:line="240" w:lineRule="atLeast"/>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总价</w:t>
            </w:r>
          </w:p>
        </w:tc>
        <w:tc>
          <w:tcPr>
            <w:tcW w:w="1559" w:type="dxa"/>
            <w:vAlign w:val="center"/>
          </w:tcPr>
          <w:p w14:paraId="642B441D">
            <w:pPr>
              <w:suppressAutoHyphens/>
              <w:spacing w:line="240" w:lineRule="atLeast"/>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交货时间</w:t>
            </w:r>
          </w:p>
        </w:tc>
        <w:tc>
          <w:tcPr>
            <w:tcW w:w="1567" w:type="dxa"/>
            <w:vAlign w:val="center"/>
          </w:tcPr>
          <w:p w14:paraId="6AE0FF66">
            <w:pPr>
              <w:suppressAutoHyphens/>
              <w:spacing w:line="240" w:lineRule="atLeast"/>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交货地点</w:t>
            </w:r>
          </w:p>
        </w:tc>
      </w:tr>
      <w:tr w14:paraId="3681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BFC75BA">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4F3D5F33">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007A0079">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6370C65F">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78770EFD">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0A86FB78">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7769F24C">
            <w:pPr>
              <w:suppressAutoHyphens/>
              <w:spacing w:line="240" w:lineRule="atLeast"/>
              <w:jc w:val="center"/>
              <w:rPr>
                <w:color w:val="000000" w:themeColor="text1"/>
                <w:sz w:val="21"/>
                <w:szCs w:val="21"/>
                <w:highlight w:val="none"/>
                <w14:textFill>
                  <w14:solidFill>
                    <w14:schemeClr w14:val="tx1"/>
                  </w14:solidFill>
                </w14:textFill>
              </w:rPr>
            </w:pPr>
          </w:p>
        </w:tc>
      </w:tr>
      <w:tr w14:paraId="44C2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898E17D">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3C0F38B3">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2EFEFF06">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078A5469">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60D501B5">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66AF541E">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6F3AFB28">
            <w:pPr>
              <w:suppressAutoHyphens/>
              <w:spacing w:line="240" w:lineRule="atLeast"/>
              <w:jc w:val="center"/>
              <w:rPr>
                <w:color w:val="000000" w:themeColor="text1"/>
                <w:sz w:val="21"/>
                <w:szCs w:val="21"/>
                <w:highlight w:val="none"/>
                <w14:textFill>
                  <w14:solidFill>
                    <w14:schemeClr w14:val="tx1"/>
                  </w14:solidFill>
                </w14:textFill>
              </w:rPr>
            </w:pPr>
          </w:p>
        </w:tc>
      </w:tr>
      <w:tr w14:paraId="6E6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0" w:type="dxa"/>
            <w:vAlign w:val="center"/>
          </w:tcPr>
          <w:p w14:paraId="65B255E0">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0595659E">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4F681FCF">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689937FD">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5905E569">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523EDAB0">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50588135">
            <w:pPr>
              <w:suppressAutoHyphens/>
              <w:spacing w:line="240" w:lineRule="atLeast"/>
              <w:jc w:val="center"/>
              <w:rPr>
                <w:color w:val="000000" w:themeColor="text1"/>
                <w:sz w:val="21"/>
                <w:szCs w:val="21"/>
                <w:highlight w:val="none"/>
                <w14:textFill>
                  <w14:solidFill>
                    <w14:schemeClr w14:val="tx1"/>
                  </w14:solidFill>
                </w14:textFill>
              </w:rPr>
            </w:pPr>
          </w:p>
        </w:tc>
      </w:tr>
      <w:tr w14:paraId="39BC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1F663DA">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5461688D">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37F4D891">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4725095E">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72E53B0E">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5F17751B">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21F471BD">
            <w:pPr>
              <w:suppressAutoHyphens/>
              <w:spacing w:line="240" w:lineRule="atLeast"/>
              <w:jc w:val="center"/>
              <w:rPr>
                <w:color w:val="000000" w:themeColor="text1"/>
                <w:sz w:val="21"/>
                <w:szCs w:val="21"/>
                <w:highlight w:val="none"/>
                <w14:textFill>
                  <w14:solidFill>
                    <w14:schemeClr w14:val="tx1"/>
                  </w14:solidFill>
                </w14:textFill>
              </w:rPr>
            </w:pPr>
          </w:p>
        </w:tc>
      </w:tr>
      <w:tr w14:paraId="68FD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310EB08">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3B154ADA">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3AE568D6">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0DF3A9D8">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57C77D9D">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1B2AC814">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534A6B26">
            <w:pPr>
              <w:suppressAutoHyphens/>
              <w:spacing w:line="240" w:lineRule="atLeast"/>
              <w:jc w:val="center"/>
              <w:rPr>
                <w:color w:val="000000" w:themeColor="text1"/>
                <w:sz w:val="21"/>
                <w:szCs w:val="21"/>
                <w:highlight w:val="none"/>
                <w14:textFill>
                  <w14:solidFill>
                    <w14:schemeClr w14:val="tx1"/>
                  </w14:solidFill>
                </w14:textFill>
              </w:rPr>
            </w:pPr>
          </w:p>
        </w:tc>
      </w:tr>
      <w:tr w14:paraId="6EF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32A81B">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12680DB8">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3CE313A0">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6E74BB69">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0F46A6A1">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24732F27">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71E4BBA3">
            <w:pPr>
              <w:suppressAutoHyphens/>
              <w:spacing w:line="240" w:lineRule="atLeast"/>
              <w:jc w:val="center"/>
              <w:rPr>
                <w:color w:val="000000" w:themeColor="text1"/>
                <w:sz w:val="21"/>
                <w:szCs w:val="21"/>
                <w:highlight w:val="none"/>
                <w14:textFill>
                  <w14:solidFill>
                    <w14:schemeClr w14:val="tx1"/>
                  </w14:solidFill>
                </w14:textFill>
              </w:rPr>
            </w:pPr>
          </w:p>
        </w:tc>
      </w:tr>
      <w:tr w14:paraId="0E33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602012F">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25F45B3E">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2A5D13F8">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4FD3DEA5">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0E1139B5">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45DF9F75">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2EF52904">
            <w:pPr>
              <w:suppressAutoHyphens/>
              <w:spacing w:line="240" w:lineRule="atLeast"/>
              <w:jc w:val="center"/>
              <w:rPr>
                <w:color w:val="000000" w:themeColor="text1"/>
                <w:sz w:val="21"/>
                <w:szCs w:val="21"/>
                <w:highlight w:val="none"/>
                <w14:textFill>
                  <w14:solidFill>
                    <w14:schemeClr w14:val="tx1"/>
                  </w14:solidFill>
                </w14:textFill>
              </w:rPr>
            </w:pPr>
          </w:p>
        </w:tc>
      </w:tr>
      <w:tr w14:paraId="2D6A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0" w:type="dxa"/>
            <w:vAlign w:val="center"/>
          </w:tcPr>
          <w:p w14:paraId="61031B9C">
            <w:pPr>
              <w:suppressAutoHyphens/>
              <w:spacing w:line="240" w:lineRule="atLeast"/>
              <w:jc w:val="center"/>
              <w:rPr>
                <w:color w:val="000000" w:themeColor="text1"/>
                <w:sz w:val="21"/>
                <w:szCs w:val="21"/>
                <w:highlight w:val="none"/>
                <w14:textFill>
                  <w14:solidFill>
                    <w14:schemeClr w14:val="tx1"/>
                  </w14:solidFill>
                </w14:textFill>
              </w:rPr>
            </w:pPr>
          </w:p>
        </w:tc>
        <w:tc>
          <w:tcPr>
            <w:tcW w:w="1741" w:type="dxa"/>
            <w:vAlign w:val="center"/>
          </w:tcPr>
          <w:p w14:paraId="4F471041">
            <w:pPr>
              <w:suppressAutoHyphens/>
              <w:spacing w:line="240" w:lineRule="atLeast"/>
              <w:jc w:val="center"/>
              <w:rPr>
                <w:color w:val="000000" w:themeColor="text1"/>
                <w:sz w:val="21"/>
                <w:szCs w:val="21"/>
                <w:highlight w:val="none"/>
                <w14:textFill>
                  <w14:solidFill>
                    <w14:schemeClr w14:val="tx1"/>
                  </w14:solidFill>
                </w14:textFill>
              </w:rPr>
            </w:pPr>
          </w:p>
        </w:tc>
        <w:tc>
          <w:tcPr>
            <w:tcW w:w="984" w:type="dxa"/>
            <w:vAlign w:val="center"/>
          </w:tcPr>
          <w:p w14:paraId="74476C9F">
            <w:pPr>
              <w:suppressAutoHyphens/>
              <w:spacing w:line="240" w:lineRule="atLeast"/>
              <w:jc w:val="center"/>
              <w:rPr>
                <w:color w:val="000000" w:themeColor="text1"/>
                <w:sz w:val="21"/>
                <w:szCs w:val="21"/>
                <w:highlight w:val="none"/>
                <w14:textFill>
                  <w14:solidFill>
                    <w14:schemeClr w14:val="tx1"/>
                  </w14:solidFill>
                </w14:textFill>
              </w:rPr>
            </w:pPr>
          </w:p>
        </w:tc>
        <w:tc>
          <w:tcPr>
            <w:tcW w:w="1298" w:type="dxa"/>
            <w:gridSpan w:val="2"/>
            <w:vAlign w:val="center"/>
          </w:tcPr>
          <w:p w14:paraId="731EF5E3">
            <w:pPr>
              <w:suppressAutoHyphens/>
              <w:spacing w:line="240" w:lineRule="atLeast"/>
              <w:jc w:val="center"/>
              <w:rPr>
                <w:color w:val="000000" w:themeColor="text1"/>
                <w:sz w:val="21"/>
                <w:szCs w:val="21"/>
                <w:highlight w:val="none"/>
                <w14:textFill>
                  <w14:solidFill>
                    <w14:schemeClr w14:val="tx1"/>
                  </w14:solidFill>
                </w14:textFill>
              </w:rPr>
            </w:pPr>
          </w:p>
        </w:tc>
        <w:tc>
          <w:tcPr>
            <w:tcW w:w="1134" w:type="dxa"/>
            <w:vAlign w:val="center"/>
          </w:tcPr>
          <w:p w14:paraId="05CBF57D">
            <w:pPr>
              <w:suppressAutoHyphens/>
              <w:spacing w:line="240" w:lineRule="atLeast"/>
              <w:jc w:val="center"/>
              <w:rPr>
                <w:color w:val="000000" w:themeColor="text1"/>
                <w:sz w:val="21"/>
                <w:szCs w:val="21"/>
                <w:highlight w:val="none"/>
                <w14:textFill>
                  <w14:solidFill>
                    <w14:schemeClr w14:val="tx1"/>
                  </w14:solidFill>
                </w14:textFill>
              </w:rPr>
            </w:pPr>
          </w:p>
        </w:tc>
        <w:tc>
          <w:tcPr>
            <w:tcW w:w="1559" w:type="dxa"/>
            <w:vAlign w:val="center"/>
          </w:tcPr>
          <w:p w14:paraId="7C955ECD">
            <w:pPr>
              <w:suppressAutoHyphens/>
              <w:spacing w:line="240" w:lineRule="atLeast"/>
              <w:jc w:val="center"/>
              <w:rPr>
                <w:color w:val="000000" w:themeColor="text1"/>
                <w:sz w:val="21"/>
                <w:szCs w:val="21"/>
                <w:highlight w:val="none"/>
                <w14:textFill>
                  <w14:solidFill>
                    <w14:schemeClr w14:val="tx1"/>
                  </w14:solidFill>
                </w14:textFill>
              </w:rPr>
            </w:pPr>
          </w:p>
        </w:tc>
        <w:tc>
          <w:tcPr>
            <w:tcW w:w="1567" w:type="dxa"/>
            <w:vAlign w:val="center"/>
          </w:tcPr>
          <w:p w14:paraId="0962C6A0">
            <w:pPr>
              <w:suppressAutoHyphens/>
              <w:spacing w:line="240" w:lineRule="atLeast"/>
              <w:jc w:val="center"/>
              <w:rPr>
                <w:color w:val="000000" w:themeColor="text1"/>
                <w:sz w:val="21"/>
                <w:szCs w:val="21"/>
                <w:highlight w:val="none"/>
                <w14:textFill>
                  <w14:solidFill>
                    <w14:schemeClr w14:val="tx1"/>
                  </w14:solidFill>
                </w14:textFill>
              </w:rPr>
            </w:pPr>
          </w:p>
        </w:tc>
      </w:tr>
      <w:tr w14:paraId="2185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vAlign w:val="center"/>
          </w:tcPr>
          <w:p w14:paraId="70A9148B">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合计人民币（小写）：</w:t>
            </w:r>
          </w:p>
        </w:tc>
      </w:tr>
      <w:tr w14:paraId="350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vAlign w:val="center"/>
          </w:tcPr>
          <w:p w14:paraId="2CAE47F8">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合计人民币（大写）：</w:t>
            </w:r>
          </w:p>
        </w:tc>
      </w:tr>
      <w:tr w14:paraId="6D4E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13" w:type="dxa"/>
            <w:gridSpan w:val="8"/>
          </w:tcPr>
          <w:p w14:paraId="21565544">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一、质量要求和技术标准。供方提供的商品必须是全新的，完全符合国家有关技术标准，供方的质量保证及售后服务承诺如下：</w:t>
            </w:r>
          </w:p>
          <w:p w14:paraId="0811D0CC">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1、质保期限：</w:t>
            </w:r>
          </w:p>
          <w:p w14:paraId="2E83D357">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2、保修范围：</w:t>
            </w:r>
          </w:p>
          <w:p w14:paraId="124F710C">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3、服务措施：</w:t>
            </w:r>
          </w:p>
          <w:p w14:paraId="0CB094EE">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4、质保期后服务：</w:t>
            </w:r>
          </w:p>
        </w:tc>
      </w:tr>
      <w:tr w14:paraId="043B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13" w:type="dxa"/>
            <w:gridSpan w:val="8"/>
          </w:tcPr>
          <w:p w14:paraId="6BCBCB16">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二、随机备品、附件、工具数量及供应方法：</w:t>
            </w:r>
          </w:p>
        </w:tc>
      </w:tr>
      <w:tr w14:paraId="4D1D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13" w:type="dxa"/>
            <w:gridSpan w:val="8"/>
          </w:tcPr>
          <w:p w14:paraId="66BF1F34">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三、交货方式：</w:t>
            </w:r>
          </w:p>
        </w:tc>
      </w:tr>
      <w:tr w14:paraId="568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D0073EB">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四、验收标准、方法：</w:t>
            </w:r>
          </w:p>
          <w:p w14:paraId="456BE03A">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如有异议，请于      日内提出。</w:t>
            </w:r>
          </w:p>
        </w:tc>
      </w:tr>
      <w:tr w14:paraId="2EF0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BDF2F50">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五、付款方式：</w:t>
            </w:r>
          </w:p>
          <w:p w14:paraId="6C26FE21">
            <w:pPr>
              <w:suppressAutoHyphens/>
              <w:spacing w:line="240" w:lineRule="atLeast"/>
              <w:rPr>
                <w:color w:val="000000" w:themeColor="text1"/>
                <w:sz w:val="21"/>
                <w:szCs w:val="21"/>
                <w:highlight w:val="none"/>
                <w14:textFill>
                  <w14:solidFill>
                    <w14:schemeClr w14:val="tx1"/>
                  </w14:solidFill>
                </w14:textFill>
              </w:rPr>
            </w:pPr>
          </w:p>
        </w:tc>
      </w:tr>
      <w:tr w14:paraId="5BCB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FB14CAB">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六、违约责任：</w:t>
            </w:r>
          </w:p>
          <w:p w14:paraId="74C1B195">
            <w:pPr>
              <w:suppressAutoHyphens/>
              <w:spacing w:line="240" w:lineRule="atLeas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乙方因自身原因不能履行合同的或提供的产品不符合竞争性比选文件规定的，乙方应全额退还甲方已支付款项，若因此对甲方造成损失的，由乙方承担一切责任，并赔偿所造成的损失，包括但不限于直接损失、间接损失、律师费等维权费用。</w:t>
            </w:r>
          </w:p>
          <w:p w14:paraId="425ED4A0">
            <w:pPr>
              <w:suppressAutoHyphens/>
              <w:spacing w:line="240" w:lineRule="atLeas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若乙方未在约定时间内提供产品、完成安装调试或通过验收的，每逾期1个日历日，乙方应按合同总金额的千分之一向甲方支付违约金。若逾期超过20个日历日未按时交货、完成安装调试或通过验收的，甲方有权解除合同，若因此对甲方造成损失的，由乙方承担一切责任，并赔偿所造成的损失，包括但不限于直接损失、间接损失、律师费等维权费用。</w:t>
            </w:r>
          </w:p>
          <w:p w14:paraId="61F60769">
            <w:pPr>
              <w:suppressAutoHyphens/>
              <w:spacing w:line="240" w:lineRule="atLeas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3.若因相关政策调整、财政部门通知等不可抗力及因客观原因致使合同订立后因无法履行而解除的，乙方应全额退还甲方已支付款项，甲方不承担任何责任。</w:t>
            </w:r>
          </w:p>
          <w:p w14:paraId="7F4C7FFC">
            <w:pPr>
              <w:suppressAutoHyphens/>
              <w:spacing w:line="240" w:lineRule="atLeas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4.乙方未能按照约定提供质量保证及售后服务约定的，应按照合同金额的20%向甲方支付违约金，并赔偿由此给甲方造成的全部损失，包括但不限于直接损失、间接损失、律师费等维权费用。</w:t>
            </w:r>
          </w:p>
          <w:p w14:paraId="5FD7259E">
            <w:pPr>
              <w:suppressAutoHyphens/>
              <w:spacing w:line="240" w:lineRule="atLeas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5.其他事宜按《中华人民共和国民法典》《中华人民共和国政府采购法》执行。</w:t>
            </w:r>
          </w:p>
        </w:tc>
      </w:tr>
      <w:tr w14:paraId="3F28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8F1DC2C">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七、其他约定事项：</w:t>
            </w:r>
          </w:p>
          <w:p w14:paraId="119853C9">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1.招标文件及其澄清文件、投标文件和承诺是本合同不可分割的部分。</w:t>
            </w:r>
          </w:p>
          <w:p w14:paraId="1BD30AA8">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2.本合同如发生争议由双方协商解决，协商不成向重庆仲裁委员会提请仲裁。</w:t>
            </w:r>
          </w:p>
          <w:p w14:paraId="0A4C9132">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3.本合同一式__份， 需方__份，供方__份，具备同等法律效力。</w:t>
            </w:r>
          </w:p>
          <w:p w14:paraId="366AED8D">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4.其他：</w:t>
            </w:r>
          </w:p>
        </w:tc>
      </w:tr>
      <w:tr w14:paraId="7D1E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7F34BFE1">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需方：</w:t>
            </w:r>
          </w:p>
          <w:p w14:paraId="25B20D28">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w:t>
            </w:r>
          </w:p>
          <w:p w14:paraId="3AAF7918">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联系电话：</w:t>
            </w:r>
          </w:p>
          <w:p w14:paraId="78C56515">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授权代表：</w:t>
            </w:r>
          </w:p>
        </w:tc>
        <w:tc>
          <w:tcPr>
            <w:tcW w:w="5125" w:type="dxa"/>
            <w:gridSpan w:val="4"/>
          </w:tcPr>
          <w:p w14:paraId="47C3CEE3">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供方：</w:t>
            </w:r>
          </w:p>
          <w:p w14:paraId="3DE4C8D6">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w:t>
            </w:r>
          </w:p>
          <w:p w14:paraId="0CF98293">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w:t>
            </w:r>
          </w:p>
          <w:p w14:paraId="5B130A28">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传真：</w:t>
            </w:r>
          </w:p>
          <w:p w14:paraId="047988AF">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p>
          <w:p w14:paraId="457D677B">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账号：</w:t>
            </w:r>
          </w:p>
          <w:p w14:paraId="76F7C594">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授权代表：</w:t>
            </w:r>
          </w:p>
          <w:p w14:paraId="1A63AE30">
            <w:pPr>
              <w:widowControl/>
              <w:suppressAutoHyphens/>
              <w:spacing w:line="240" w:lineRule="atLeast"/>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（本栏请用计算机打印以便于准确付款）</w:t>
            </w:r>
          </w:p>
        </w:tc>
      </w:tr>
      <w:tr w14:paraId="5A35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790CDF5">
            <w:pPr>
              <w:suppressAutoHyphens/>
              <w:spacing w:line="240" w:lineRule="atLeas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p w14:paraId="5939F310">
            <w:pPr>
              <w:suppressAutoHyphens/>
              <w:spacing w:line="240" w:lineRule="atLeast"/>
              <w:rPr>
                <w:color w:val="000000" w:themeColor="text1"/>
                <w:sz w:val="21"/>
                <w:szCs w:val="21"/>
                <w:highlight w:val="none"/>
                <w14:textFill>
                  <w14:solidFill>
                    <w14:schemeClr w14:val="tx1"/>
                  </w14:solidFill>
                </w14:textFill>
              </w:rPr>
            </w:pPr>
          </w:p>
          <w:p w14:paraId="1F2E9C75">
            <w:pPr>
              <w:suppressAutoHyphens/>
              <w:spacing w:line="240" w:lineRule="atLeast"/>
              <w:rPr>
                <w:color w:val="000000" w:themeColor="text1"/>
                <w:sz w:val="21"/>
                <w:szCs w:val="21"/>
                <w:highlight w:val="none"/>
                <w14:textFill>
                  <w14:solidFill>
                    <w14:schemeClr w14:val="tx1"/>
                  </w14:solidFill>
                </w14:textFill>
              </w:rPr>
            </w:pPr>
          </w:p>
        </w:tc>
      </w:tr>
    </w:tbl>
    <w:p w14:paraId="3E68EF2E">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签约时间：           年   月   日      签约地点：</w:t>
      </w:r>
    </w:p>
    <w:p w14:paraId="1E3601D7">
      <w:pPr>
        <w:spacing w:line="500" w:lineRule="exact"/>
        <w:ind w:firstLine="480" w:firstLineChars="200"/>
        <w:rPr>
          <w:rFonts w:hint="eastAsia" w:ascii="宋体" w:hAnsi="宋体"/>
          <w:color w:val="000000" w:themeColor="text1"/>
          <w:sz w:val="24"/>
          <w:highlight w:val="none"/>
          <w14:textFill>
            <w14:solidFill>
              <w14:schemeClr w14:val="tx1"/>
            </w14:solidFill>
          </w14:textFill>
        </w:rPr>
        <w:sectPr>
          <w:headerReference r:id="rId8" w:type="default"/>
          <w:pgSz w:w="11907" w:h="16840"/>
          <w:pgMar w:top="1134" w:right="1191" w:bottom="1134" w:left="1191" w:header="851" w:footer="992" w:gutter="0"/>
          <w:pgNumType w:fmt="numberInDash"/>
          <w:cols w:space="720" w:num="1"/>
          <w:docGrid w:linePitch="381" w:charSpace="-5735"/>
        </w:sectPr>
      </w:pPr>
    </w:p>
    <w:bookmarkEnd w:id="93"/>
    <w:p w14:paraId="26B23E6B">
      <w:pPr>
        <w:pStyle w:val="4"/>
        <w:spacing w:line="360" w:lineRule="auto"/>
        <w:jc w:val="center"/>
        <w:rPr>
          <w:rFonts w:hint="eastAsia" w:ascii="宋体" w:hAnsi="宋体" w:eastAsia="宋体"/>
          <w:color w:val="000000" w:themeColor="text1"/>
          <w:sz w:val="36"/>
          <w:szCs w:val="30"/>
          <w:highlight w:val="none"/>
          <w14:textFill>
            <w14:solidFill>
              <w14:schemeClr w14:val="tx1"/>
            </w14:solidFill>
          </w14:textFill>
        </w:rPr>
      </w:pPr>
      <w:bookmarkStart w:id="94" w:name="_Toc89693272"/>
      <w:bookmarkStart w:id="95" w:name="_Toc28495"/>
      <w:r>
        <w:rPr>
          <w:rFonts w:ascii="宋体" w:hAnsi="宋体" w:eastAsia="宋体"/>
          <w:color w:val="000000" w:themeColor="text1"/>
          <w:sz w:val="36"/>
          <w:szCs w:val="30"/>
          <w:highlight w:val="none"/>
          <w14:textFill>
            <w14:solidFill>
              <w14:schemeClr w14:val="tx1"/>
            </w14:solidFill>
          </w14:textFill>
        </w:rPr>
        <w:t>第七篇  响应文件编制要求</w:t>
      </w:r>
      <w:bookmarkEnd w:id="94"/>
      <w:bookmarkEnd w:id="95"/>
    </w:p>
    <w:p w14:paraId="1F114F63">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96" w:name="_Toc89693273"/>
      <w:bookmarkStart w:id="97" w:name="_Toc3684"/>
      <w:r>
        <w:rPr>
          <w:rFonts w:ascii="宋体" w:hAnsi="宋体"/>
          <w:color w:val="000000" w:themeColor="text1"/>
          <w:sz w:val="24"/>
          <w:szCs w:val="24"/>
          <w:highlight w:val="none"/>
          <w14:textFill>
            <w14:solidFill>
              <w14:schemeClr w14:val="tx1"/>
            </w14:solidFill>
          </w14:textFill>
        </w:rPr>
        <w:t>一、经济部分</w:t>
      </w:r>
      <w:bookmarkEnd w:id="96"/>
      <w:bookmarkEnd w:id="97"/>
    </w:p>
    <w:p w14:paraId="761F4B80">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（一）竞争性比选报价函</w:t>
      </w:r>
    </w:p>
    <w:p w14:paraId="29A052BB">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（二）分项报价明细表</w:t>
      </w:r>
    </w:p>
    <w:p w14:paraId="069292B3">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98" w:name="_Toc89693274"/>
      <w:bookmarkStart w:id="99" w:name="_Toc78194469"/>
      <w:bookmarkStart w:id="100" w:name="_Toc5146"/>
      <w:r>
        <w:rPr>
          <w:rFonts w:hint="eastAsia" w:ascii="宋体" w:hAnsi="宋体"/>
          <w:color w:val="000000" w:themeColor="text1"/>
          <w:sz w:val="24"/>
          <w:szCs w:val="24"/>
          <w:highlight w:val="none"/>
          <w14:textFill>
            <w14:solidFill>
              <w14:schemeClr w14:val="tx1"/>
            </w14:solidFill>
          </w14:textFill>
        </w:rPr>
        <w:t>二、技术部分</w:t>
      </w:r>
      <w:bookmarkEnd w:id="98"/>
      <w:bookmarkEnd w:id="99"/>
      <w:bookmarkEnd w:id="100"/>
    </w:p>
    <w:p w14:paraId="40128A6F">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（一）服务方案</w:t>
      </w:r>
    </w:p>
    <w:p w14:paraId="2255A103">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（二）技术响应偏离表</w:t>
      </w:r>
    </w:p>
    <w:p w14:paraId="4A0EBE04">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101" w:name="_Toc89693275"/>
      <w:bookmarkStart w:id="102" w:name="_Toc12166"/>
      <w:r>
        <w:rPr>
          <w:rFonts w:ascii="宋体" w:hAnsi="宋体"/>
          <w:color w:val="000000" w:themeColor="text1"/>
          <w:sz w:val="24"/>
          <w:szCs w:val="24"/>
          <w:highlight w:val="none"/>
          <w14:textFill>
            <w14:solidFill>
              <w14:schemeClr w14:val="tx1"/>
            </w14:solidFill>
          </w14:textFill>
        </w:rPr>
        <w:t>三、商务部分</w:t>
      </w:r>
      <w:bookmarkEnd w:id="101"/>
      <w:bookmarkEnd w:id="102"/>
    </w:p>
    <w:p w14:paraId="329C75B2">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商务</w:t>
      </w:r>
      <w:r>
        <w:rPr>
          <w:rFonts w:hint="eastAsia" w:ascii="宋体" w:hAnsi="宋体"/>
          <w:color w:val="000000" w:themeColor="text1"/>
          <w:sz w:val="24"/>
          <w:szCs w:val="24"/>
          <w:highlight w:val="none"/>
          <w14:textFill>
            <w14:solidFill>
              <w14:schemeClr w14:val="tx1"/>
            </w14:solidFill>
          </w14:textFill>
        </w:rPr>
        <w:t>响应偏离表</w:t>
      </w:r>
    </w:p>
    <w:p w14:paraId="375C0A20">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w:t>
      </w:r>
      <w:r>
        <w:rPr>
          <w:rFonts w:hint="eastAsia"/>
          <w:color w:val="000000" w:themeColor="text1"/>
          <w:sz w:val="24"/>
          <w:szCs w:val="24"/>
          <w:highlight w:val="none"/>
          <w14:textFill>
            <w14:solidFill>
              <w14:schemeClr w14:val="tx1"/>
            </w14:solidFill>
          </w14:textFill>
        </w:rPr>
        <w:t>其它优惠服务承诺</w:t>
      </w:r>
    </w:p>
    <w:p w14:paraId="60FD4D02">
      <w:pPr>
        <w:pStyle w:val="5"/>
        <w:spacing w:before="0" w:after="0" w:line="360" w:lineRule="auto"/>
        <w:ind w:firstLine="482" w:firstLineChars="200"/>
        <w:rPr>
          <w:rFonts w:hint="eastAsia" w:ascii="宋体" w:hAnsi="宋体"/>
          <w:color w:val="000000" w:themeColor="text1"/>
          <w:sz w:val="24"/>
          <w:szCs w:val="24"/>
          <w:highlight w:val="none"/>
          <w14:textFill>
            <w14:solidFill>
              <w14:schemeClr w14:val="tx1"/>
            </w14:solidFill>
          </w14:textFill>
        </w:rPr>
      </w:pPr>
      <w:bookmarkStart w:id="103" w:name="_Toc89693276"/>
      <w:bookmarkStart w:id="104" w:name="_Toc5966"/>
      <w:r>
        <w:rPr>
          <w:rFonts w:ascii="宋体" w:hAnsi="宋体"/>
          <w:color w:val="000000" w:themeColor="text1"/>
          <w:sz w:val="24"/>
          <w:szCs w:val="24"/>
          <w:highlight w:val="none"/>
          <w14:textFill>
            <w14:solidFill>
              <w14:schemeClr w14:val="tx1"/>
            </w14:solidFill>
          </w14:textFill>
        </w:rPr>
        <w:t>四、资格条件及其他</w:t>
      </w:r>
      <w:bookmarkEnd w:id="103"/>
      <w:bookmarkEnd w:id="104"/>
    </w:p>
    <w:p w14:paraId="70802854">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（一）法人营业执照（副本）或社会团体法人登记证书（副本）或民办非企业单位法人登记证书（副本）或事业单位法人证书（副本）或个体工商户营业执照或有效的自然人身份证明</w:t>
      </w:r>
    </w:p>
    <w:p w14:paraId="7F982037">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（二）法定代表人身份证明书（格式）</w:t>
      </w:r>
    </w:p>
    <w:p w14:paraId="0A18C802">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（三）法定代表人授权委托书（格式）</w:t>
      </w:r>
    </w:p>
    <w:p w14:paraId="73BDA919">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（四）基本资格条件承诺函（格式）</w:t>
      </w:r>
    </w:p>
    <w:p w14:paraId="4E0D2303">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（五）特定资格条件证书或证明文件</w:t>
      </w:r>
    </w:p>
    <w:p w14:paraId="6904F88A">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（六）其他应提供的资料</w:t>
      </w:r>
    </w:p>
    <w:p w14:paraId="7EBFA6C9">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1.中小企业声明函、监狱企业证明文件、残疾人福利性单位声明函</w:t>
      </w:r>
    </w:p>
    <w:p w14:paraId="196E795D">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2.其他与项目有关的资料（自附）</w:t>
      </w:r>
    </w:p>
    <w:p w14:paraId="08FAFC4C">
      <w:pPr>
        <w:spacing w:line="440" w:lineRule="exact"/>
        <w:ind w:firstLine="480" w:firstLineChars="200"/>
        <w:rPr>
          <w:color w:val="000000" w:themeColor="text1"/>
          <w:sz w:val="24"/>
          <w:szCs w:val="24"/>
          <w:highlight w:val="none"/>
          <w14:textFill>
            <w14:solidFill>
              <w14:schemeClr w14:val="tx1"/>
            </w14:solidFill>
          </w14:textFill>
        </w:rPr>
        <w:sectPr>
          <w:headerReference r:id="rId9" w:type="default"/>
          <w:pgSz w:w="11907" w:h="16840"/>
          <w:pgMar w:top="1134" w:right="1191" w:bottom="1134" w:left="1191" w:header="851" w:footer="992" w:gutter="0"/>
          <w:pgNumType w:fmt="numberInDash"/>
          <w:cols w:space="720" w:num="1"/>
          <w:docGrid w:linePitch="381" w:charSpace="-5735"/>
        </w:sectPr>
      </w:pPr>
    </w:p>
    <w:p w14:paraId="374445C9">
      <w:pPr>
        <w:pageBreakBefore/>
        <w:tabs>
          <w:tab w:val="left" w:pos="6300"/>
        </w:tabs>
        <w:snapToGrid w:val="0"/>
        <w:spacing w:line="360" w:lineRule="auto"/>
        <w:rPr>
          <w:b/>
          <w:color w:val="000000" w:themeColor="text1"/>
          <w:sz w:val="24"/>
          <w:szCs w:val="24"/>
          <w:highlight w:val="none"/>
          <w14:textFill>
            <w14:solidFill>
              <w14:schemeClr w14:val="tx1"/>
            </w14:solidFill>
          </w14:textFill>
        </w:rPr>
      </w:pPr>
      <w:bookmarkStart w:id="105" w:name="_Toc313008356"/>
      <w:bookmarkStart w:id="106" w:name="_Toc23764522"/>
      <w:bookmarkStart w:id="107" w:name="_Toc342913419"/>
      <w:bookmarkStart w:id="108" w:name="_Toc313888360"/>
      <w:bookmarkStart w:id="109" w:name="_Toc283382454"/>
      <w:bookmarkStart w:id="110" w:name="_Toc12789073"/>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一、经济部分</w:t>
      </w:r>
      <w:bookmarkEnd w:id="105"/>
      <w:bookmarkEnd w:id="106"/>
      <w:bookmarkEnd w:id="107"/>
      <w:bookmarkEnd w:id="108"/>
    </w:p>
    <w:bookmarkEnd w:id="109"/>
    <w:bookmarkEnd w:id="110"/>
    <w:p w14:paraId="51361074">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（一）竞争性比选报价函</w:t>
      </w:r>
    </w:p>
    <w:p w14:paraId="22220337">
      <w:pPr>
        <w:tabs>
          <w:tab w:val="left" w:pos="6300"/>
        </w:tabs>
        <w:snapToGrid w:val="0"/>
        <w:spacing w:line="520" w:lineRule="exact"/>
        <w:jc w:val="center"/>
        <w:outlineLvl w:val="0"/>
        <w:rPr>
          <w:b/>
          <w:color w:val="000000" w:themeColor="text1"/>
          <w:szCs w:val="28"/>
          <w:highlight w:val="none"/>
          <w14:textFill>
            <w14:solidFill>
              <w14:schemeClr w14:val="tx1"/>
            </w14:solidFill>
          </w14:textFill>
        </w:rPr>
      </w:pPr>
      <w:r>
        <w:rPr>
          <w:b/>
          <w:color w:val="000000" w:themeColor="text1"/>
          <w:szCs w:val="28"/>
          <w:highlight w:val="none"/>
          <w14:textFill>
            <w14:solidFill>
              <w14:schemeClr w14:val="tx1"/>
            </w14:solidFill>
          </w14:textFill>
        </w:rPr>
        <w:t>竞争性比选报价函</w:t>
      </w:r>
    </w:p>
    <w:p w14:paraId="0DE21CFD">
      <w:pPr>
        <w:tabs>
          <w:tab w:val="left" w:pos="6300"/>
        </w:tabs>
        <w:snapToGrid w:val="0"/>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u w:val="single"/>
          <w14:textFill>
            <w14:solidFill>
              <w14:schemeClr w14:val="tx1"/>
            </w14:solidFill>
          </w14:textFill>
        </w:rPr>
        <w:t>（采购代理机构名称）</w:t>
      </w:r>
      <w:r>
        <w:rPr>
          <w:color w:val="000000" w:themeColor="text1"/>
          <w:sz w:val="24"/>
          <w:szCs w:val="24"/>
          <w:highlight w:val="none"/>
          <w14:textFill>
            <w14:solidFill>
              <w14:schemeClr w14:val="tx1"/>
            </w14:solidFill>
          </w14:textFill>
        </w:rPr>
        <w:t>：</w:t>
      </w:r>
    </w:p>
    <w:p w14:paraId="367EDEBE">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我方收到____________________________（项目名称）的竞争性比选文件，经详细研究，决定参加该项目的比选。</w:t>
      </w:r>
    </w:p>
    <w:p w14:paraId="3C33E7C8">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1.愿意按照竞争性比选文件中的一切要求，提供本项目的</w:t>
      </w:r>
      <w:r>
        <w:rPr>
          <w:rFonts w:hint="eastAsia"/>
          <w:color w:val="000000" w:themeColor="text1"/>
          <w:sz w:val="24"/>
          <w:szCs w:val="24"/>
          <w:highlight w:val="none"/>
          <w14:textFill>
            <w14:solidFill>
              <w14:schemeClr w14:val="tx1"/>
            </w14:solidFill>
          </w14:textFill>
        </w:rPr>
        <w:t>供货及</w:t>
      </w:r>
      <w:r>
        <w:rPr>
          <w:color w:val="000000" w:themeColor="text1"/>
          <w:sz w:val="24"/>
          <w:szCs w:val="24"/>
          <w:highlight w:val="none"/>
          <w14:textFill>
            <w14:solidFill>
              <w14:schemeClr w14:val="tx1"/>
            </w14:solidFill>
          </w14:textFill>
        </w:rPr>
        <w:t>服务，</w:t>
      </w:r>
      <w:r>
        <w:rPr>
          <w:rFonts w:hint="eastAsia"/>
          <w:color w:val="000000" w:themeColor="text1"/>
          <w:sz w:val="24"/>
          <w:szCs w:val="24"/>
          <w:highlight w:val="none"/>
          <w14:textFill>
            <w14:solidFill>
              <w14:schemeClr w14:val="tx1"/>
            </w14:solidFill>
          </w14:textFill>
        </w:rPr>
        <w:t>比选</w:t>
      </w:r>
      <w:r>
        <w:rPr>
          <w:color w:val="000000" w:themeColor="text1"/>
          <w:sz w:val="24"/>
          <w:szCs w:val="24"/>
          <w:highlight w:val="none"/>
          <w14:textFill>
            <w14:solidFill>
              <w14:schemeClr w14:val="tx1"/>
            </w14:solidFill>
          </w14:textFill>
        </w:rPr>
        <w:t>报价为人民币大写：</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元整；人民币小写：</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元。</w:t>
      </w:r>
    </w:p>
    <w:p w14:paraId="2FD0F9F9">
      <w:pPr>
        <w:tabs>
          <w:tab w:val="left" w:pos="6300"/>
        </w:tabs>
        <w:snapToGrid w:val="0"/>
        <w:spacing w:line="520" w:lineRule="exact"/>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2.我方现提交的响应文件为：</w:t>
      </w:r>
      <w:r>
        <w:rPr>
          <w:rFonts w:hint="eastAsia" w:ascii="宋体"/>
          <w:color w:val="000000" w:themeColor="text1"/>
          <w:sz w:val="24"/>
          <w:szCs w:val="24"/>
          <w:highlight w:val="none"/>
          <w14:textFill>
            <w14:solidFill>
              <w14:schemeClr w14:val="tx1"/>
            </w14:solidFill>
          </w14:textFill>
        </w:rPr>
        <w:t>响应文件一式三份，其中正本一份，副本一份，电子文档一份</w:t>
      </w:r>
      <w:r>
        <w:rPr>
          <w:rFonts w:ascii="宋体"/>
          <w:color w:val="000000" w:themeColor="text1"/>
          <w:sz w:val="24"/>
          <w:szCs w:val="24"/>
          <w:highlight w:val="none"/>
          <w14:textFill>
            <w14:solidFill>
              <w14:schemeClr w14:val="tx1"/>
            </w14:solidFill>
          </w14:textFill>
        </w:rPr>
        <w:t>。</w:t>
      </w:r>
      <w:r>
        <w:rPr>
          <w:rFonts w:hint="eastAsia" w:ascii="宋体"/>
          <w:b/>
          <w:bCs/>
          <w:color w:val="000000" w:themeColor="text1"/>
          <w:sz w:val="24"/>
          <w:szCs w:val="24"/>
          <w:highlight w:val="none"/>
          <w14:textFill>
            <w14:solidFill>
              <w14:schemeClr w14:val="tx1"/>
            </w14:solidFill>
          </w14:textFill>
        </w:rPr>
        <w:t>电子文档需在规定时间内上传至“行采家”平台。</w:t>
      </w:r>
    </w:p>
    <w:p w14:paraId="408ACC53">
      <w:pPr>
        <w:tabs>
          <w:tab w:val="left" w:pos="6300"/>
        </w:tabs>
        <w:snapToGrid w:val="0"/>
        <w:spacing w:line="5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3.我方承诺：本次比选的有效期为90天。</w:t>
      </w:r>
    </w:p>
    <w:p w14:paraId="27CD51B0">
      <w:pPr>
        <w:tabs>
          <w:tab w:val="left" w:pos="6300"/>
        </w:tabs>
        <w:snapToGrid w:val="0"/>
        <w:spacing w:line="5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4.我方完全理解和接受贵方竞争性比选文件的一切规定和要求及评审办法。</w:t>
      </w:r>
    </w:p>
    <w:p w14:paraId="0AC395FF">
      <w:pPr>
        <w:tabs>
          <w:tab w:val="left" w:pos="6300"/>
        </w:tabs>
        <w:snapToGrid w:val="0"/>
        <w:spacing w:line="5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5.在整个竞争性比选过程中，我方若有违规行为，接受按照《中华人民共和国政府采购法》和《竞争性比选文件》之规定给予惩罚。</w:t>
      </w:r>
    </w:p>
    <w:p w14:paraId="0C5E0EF0">
      <w:pPr>
        <w:tabs>
          <w:tab w:val="left" w:pos="6300"/>
        </w:tabs>
        <w:snapToGrid w:val="0"/>
        <w:spacing w:line="5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6.我方若成为成交供应商，将按照最终比选结果签订合同，并且严格履行合同义务。本承诺函将成为合同不可分割的一部分，与合同具有同等的法律效力。</w:t>
      </w:r>
    </w:p>
    <w:p w14:paraId="0F6FC29D">
      <w:pPr>
        <w:tabs>
          <w:tab w:val="left" w:pos="6300"/>
        </w:tabs>
        <w:snapToGrid w:val="0"/>
        <w:spacing w:line="5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color w:val="000000" w:themeColor="text1"/>
          <w:sz w:val="24"/>
          <w:szCs w:val="24"/>
          <w:highlight w:val="none"/>
          <w14:textFill>
            <w14:solidFill>
              <w14:schemeClr w14:val="tx1"/>
            </w14:solidFill>
          </w14:textFill>
        </w:rPr>
        <w:t xml:space="preserve"> 我方同意按竞争性比选文件规定，交纳竞争性比选文件要求的比选保证金。</w:t>
      </w:r>
      <w:r>
        <w:rPr>
          <w:rFonts w:ascii="宋体" w:hAnsi="宋体"/>
          <w:color w:val="000000" w:themeColor="text1"/>
          <w:sz w:val="24"/>
          <w:szCs w:val="24"/>
          <w:highlight w:val="none"/>
          <w14:textFill>
            <w14:solidFill>
              <w14:schemeClr w14:val="tx1"/>
            </w14:solidFill>
          </w14:textFill>
        </w:rPr>
        <w:t>如果我方成为成交供应商，保证在接到成交通知书后，</w:t>
      </w:r>
      <w:r>
        <w:rPr>
          <w:rFonts w:hint="eastAsia" w:ascii="宋体" w:hAnsi="宋体"/>
          <w:color w:val="000000" w:themeColor="text1"/>
          <w:sz w:val="24"/>
          <w:szCs w:val="24"/>
          <w:highlight w:val="none"/>
          <w14:textFill>
            <w14:solidFill>
              <w14:schemeClr w14:val="tx1"/>
            </w14:solidFill>
          </w14:textFill>
        </w:rPr>
        <w:t>按</w:t>
      </w:r>
      <w:r>
        <w:rPr>
          <w:rFonts w:ascii="宋体" w:hAnsi="宋体"/>
          <w:color w:val="000000" w:themeColor="text1"/>
          <w:sz w:val="24"/>
          <w:szCs w:val="24"/>
          <w:highlight w:val="none"/>
          <w14:textFill>
            <w14:solidFill>
              <w14:schemeClr w14:val="tx1"/>
            </w14:solidFill>
          </w14:textFill>
        </w:rPr>
        <w:t>竞争性比选文件规定</w:t>
      </w:r>
      <w:r>
        <w:rPr>
          <w:rFonts w:hint="eastAsia" w:ascii="宋体" w:hAnsi="宋体"/>
          <w:color w:val="000000" w:themeColor="text1"/>
          <w:sz w:val="24"/>
          <w:szCs w:val="24"/>
          <w:highlight w:val="none"/>
          <w14:textFill>
            <w14:solidFill>
              <w14:schemeClr w14:val="tx1"/>
            </w14:solidFill>
          </w14:textFill>
        </w:rPr>
        <w:t>缴纳</w:t>
      </w:r>
      <w:r>
        <w:rPr>
          <w:rFonts w:ascii="宋体" w:hAnsi="宋体"/>
          <w:color w:val="000000" w:themeColor="text1"/>
          <w:sz w:val="24"/>
          <w:szCs w:val="24"/>
          <w:highlight w:val="none"/>
          <w14:textFill>
            <w14:solidFill>
              <w14:schemeClr w14:val="tx1"/>
            </w14:solidFill>
          </w14:textFill>
        </w:rPr>
        <w:t>采购代理服务费。</w:t>
      </w:r>
    </w:p>
    <w:p w14:paraId="4D89C811">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color w:val="000000" w:themeColor="text1"/>
          <w:sz w:val="24"/>
          <w:szCs w:val="28"/>
          <w:highlight w:val="none"/>
          <w14:textFill>
            <w14:solidFill>
              <w14:schemeClr w14:val="tx1"/>
            </w14:solidFill>
          </w14:textFill>
        </w:rPr>
        <w:t>我方未</w:t>
      </w:r>
      <w:r>
        <w:rPr>
          <w:color w:val="000000" w:themeColor="text1"/>
          <w:sz w:val="24"/>
          <w:szCs w:val="24"/>
          <w:highlight w:val="none"/>
          <w14:textFill>
            <w14:solidFill>
              <w14:schemeClr w14:val="tx1"/>
            </w14:solidFill>
          </w14:textFill>
        </w:rPr>
        <w:t>为采购项目提供整体设计、规范编制或者项目管理、监理、检测等服务。</w:t>
      </w:r>
    </w:p>
    <w:p w14:paraId="39CD1582">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供应商（公章）：</w:t>
      </w:r>
    </w:p>
    <w:p w14:paraId="0BBEF432">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p w14:paraId="37AADF15">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                                             传真：</w:t>
      </w:r>
    </w:p>
    <w:p w14:paraId="313CF5F5">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网址：                                             邮编：</w:t>
      </w:r>
    </w:p>
    <w:p w14:paraId="0AB47CDE">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联系人：</w:t>
      </w:r>
    </w:p>
    <w:p w14:paraId="4927015A">
      <w:pPr>
        <w:tabs>
          <w:tab w:val="left" w:pos="6300"/>
        </w:tabs>
        <w:snapToGrid w:val="0"/>
        <w:spacing w:line="520" w:lineRule="exact"/>
        <w:ind w:firstLine="570"/>
        <w:rPr>
          <w:color w:val="000000" w:themeColor="text1"/>
          <w:sz w:val="24"/>
          <w:szCs w:val="24"/>
          <w:highlight w:val="none"/>
          <w14:textFill>
            <w14:solidFill>
              <w14:schemeClr w14:val="tx1"/>
            </w14:solidFill>
          </w14:textFill>
        </w:rPr>
      </w:pPr>
    </w:p>
    <w:p w14:paraId="786BB614">
      <w:pPr>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   月   日</w:t>
      </w:r>
    </w:p>
    <w:p w14:paraId="57351C0B">
      <w:pPr>
        <w:snapToGrid w:val="0"/>
        <w:spacing w:line="520" w:lineRule="exact"/>
        <w:ind w:firstLine="480" w:firstLineChars="200"/>
        <w:rPr>
          <w:color w:val="000000" w:themeColor="text1"/>
          <w:sz w:val="24"/>
          <w:szCs w:val="24"/>
          <w:highlight w:val="none"/>
          <w14:textFill>
            <w14:solidFill>
              <w14:schemeClr w14:val="tx1"/>
            </w14:solidFill>
          </w14:textFill>
        </w:rPr>
      </w:pPr>
    </w:p>
    <w:p w14:paraId="531BAB29">
      <w:pPr>
        <w:snapToGrid w:val="0"/>
        <w:spacing w:line="520" w:lineRule="exact"/>
        <w:ind w:firstLine="480" w:firstLineChars="200"/>
        <w:rPr>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14:paraId="2A986C2C">
      <w:pPr>
        <w:pageBreakBefore/>
        <w:snapToGrid w:val="0"/>
        <w:spacing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bookmarkStart w:id="111" w:name="_Toc313888361"/>
      <w:bookmarkStart w:id="112" w:name="_Toc342913420"/>
      <w:bookmarkStart w:id="113" w:name="_Toc313008357"/>
      <w:bookmarkStart w:id="114" w:name="_Toc23764523"/>
      <w:r>
        <w:rPr>
          <w:rFonts w:hint="eastAsia" w:ascii="宋体" w:hAnsi="宋体"/>
          <w:color w:val="000000" w:themeColor="text1"/>
          <w:sz w:val="24"/>
          <w:szCs w:val="24"/>
          <w:highlight w:val="none"/>
          <w14:textFill>
            <w14:solidFill>
              <w14:schemeClr w14:val="tx1"/>
            </w14:solidFill>
          </w14:textFill>
        </w:rPr>
        <w:t>（二）分项报价明细表</w:t>
      </w:r>
    </w:p>
    <w:p w14:paraId="347A9B18">
      <w:pPr>
        <w:jc w:val="center"/>
        <w:rPr>
          <w:rFonts w:hint="eastAsia"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分项报价明细表</w:t>
      </w:r>
    </w:p>
    <w:p w14:paraId="5E9CA9A7">
      <w:pPr>
        <w:snapToGrid w:val="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项目号：</w:t>
      </w:r>
    </w:p>
    <w:p w14:paraId="3B2565E0">
      <w:pPr>
        <w:snapToGrid w:val="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01"/>
        <w:gridCol w:w="2107"/>
        <w:gridCol w:w="1242"/>
        <w:gridCol w:w="1242"/>
        <w:gridCol w:w="934"/>
        <w:gridCol w:w="934"/>
        <w:gridCol w:w="934"/>
      </w:tblGrid>
      <w:tr w14:paraId="31DB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34" w:type="dxa"/>
            <w:vAlign w:val="center"/>
          </w:tcPr>
          <w:p w14:paraId="24C22608">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序号</w:t>
            </w:r>
          </w:p>
        </w:tc>
        <w:tc>
          <w:tcPr>
            <w:tcW w:w="1301" w:type="dxa"/>
            <w:vAlign w:val="center"/>
          </w:tcPr>
          <w:p w14:paraId="4739CAB6">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名称</w:t>
            </w:r>
          </w:p>
        </w:tc>
        <w:tc>
          <w:tcPr>
            <w:tcW w:w="2107" w:type="dxa"/>
            <w:vAlign w:val="center"/>
          </w:tcPr>
          <w:p w14:paraId="0F227EBD">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品牌、规格型号</w:t>
            </w:r>
          </w:p>
        </w:tc>
        <w:tc>
          <w:tcPr>
            <w:tcW w:w="1242" w:type="dxa"/>
            <w:vAlign w:val="center"/>
          </w:tcPr>
          <w:p w14:paraId="3964CB3D">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制造商</w:t>
            </w:r>
          </w:p>
        </w:tc>
        <w:tc>
          <w:tcPr>
            <w:tcW w:w="1242" w:type="dxa"/>
            <w:vAlign w:val="center"/>
          </w:tcPr>
          <w:p w14:paraId="6AD5ADF0">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生产地</w:t>
            </w:r>
          </w:p>
        </w:tc>
        <w:tc>
          <w:tcPr>
            <w:tcW w:w="934" w:type="dxa"/>
            <w:vAlign w:val="center"/>
          </w:tcPr>
          <w:p w14:paraId="227EB4AB">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数量</w:t>
            </w:r>
          </w:p>
        </w:tc>
        <w:tc>
          <w:tcPr>
            <w:tcW w:w="934" w:type="dxa"/>
            <w:vAlign w:val="center"/>
          </w:tcPr>
          <w:p w14:paraId="71E5CDEC">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单价</w:t>
            </w:r>
          </w:p>
        </w:tc>
        <w:tc>
          <w:tcPr>
            <w:tcW w:w="934" w:type="dxa"/>
            <w:vAlign w:val="center"/>
          </w:tcPr>
          <w:p w14:paraId="1819D3B8">
            <w:pPr>
              <w:suppressAutoHyphens/>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合计</w:t>
            </w:r>
          </w:p>
        </w:tc>
      </w:tr>
      <w:tr w14:paraId="65C3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D09B603">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301" w:type="dxa"/>
            <w:vAlign w:val="center"/>
          </w:tcPr>
          <w:p w14:paraId="58987591">
            <w:pPr>
              <w:suppressAutoHyphens/>
              <w:jc w:val="center"/>
              <w:rPr>
                <w:color w:val="000000" w:themeColor="text1"/>
                <w:sz w:val="21"/>
                <w:szCs w:val="21"/>
                <w:highlight w:val="none"/>
                <w14:textFill>
                  <w14:solidFill>
                    <w14:schemeClr w14:val="tx1"/>
                  </w14:solidFill>
                </w14:textFill>
              </w:rPr>
            </w:pPr>
          </w:p>
        </w:tc>
        <w:tc>
          <w:tcPr>
            <w:tcW w:w="2107" w:type="dxa"/>
          </w:tcPr>
          <w:p w14:paraId="6BE32BC4">
            <w:pPr>
              <w:suppressAutoHyphens/>
              <w:jc w:val="center"/>
              <w:rPr>
                <w:color w:val="000000" w:themeColor="text1"/>
                <w:sz w:val="21"/>
                <w:szCs w:val="21"/>
                <w:highlight w:val="none"/>
                <w14:textFill>
                  <w14:solidFill>
                    <w14:schemeClr w14:val="tx1"/>
                  </w14:solidFill>
                </w14:textFill>
              </w:rPr>
            </w:pPr>
          </w:p>
        </w:tc>
        <w:tc>
          <w:tcPr>
            <w:tcW w:w="1242" w:type="dxa"/>
          </w:tcPr>
          <w:p w14:paraId="0512F438">
            <w:pPr>
              <w:suppressAutoHyphens/>
              <w:jc w:val="center"/>
              <w:rPr>
                <w:color w:val="000000" w:themeColor="text1"/>
                <w:sz w:val="21"/>
                <w:szCs w:val="21"/>
                <w:highlight w:val="none"/>
                <w14:textFill>
                  <w14:solidFill>
                    <w14:schemeClr w14:val="tx1"/>
                  </w14:solidFill>
                </w14:textFill>
              </w:rPr>
            </w:pPr>
          </w:p>
        </w:tc>
        <w:tc>
          <w:tcPr>
            <w:tcW w:w="1242" w:type="dxa"/>
          </w:tcPr>
          <w:p w14:paraId="432FBF1E">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19C3B346">
            <w:pPr>
              <w:suppressAutoHyphens/>
              <w:jc w:val="center"/>
              <w:rPr>
                <w:color w:val="000000" w:themeColor="text1"/>
                <w:sz w:val="21"/>
                <w:szCs w:val="21"/>
                <w:highlight w:val="none"/>
                <w14:textFill>
                  <w14:solidFill>
                    <w14:schemeClr w14:val="tx1"/>
                  </w14:solidFill>
                </w14:textFill>
              </w:rPr>
            </w:pPr>
          </w:p>
        </w:tc>
        <w:tc>
          <w:tcPr>
            <w:tcW w:w="934" w:type="dxa"/>
          </w:tcPr>
          <w:p w14:paraId="03C141F3">
            <w:pPr>
              <w:suppressAutoHyphens/>
              <w:jc w:val="center"/>
              <w:rPr>
                <w:color w:val="000000" w:themeColor="text1"/>
                <w:sz w:val="21"/>
                <w:szCs w:val="21"/>
                <w:highlight w:val="none"/>
                <w14:textFill>
                  <w14:solidFill>
                    <w14:schemeClr w14:val="tx1"/>
                  </w14:solidFill>
                </w14:textFill>
              </w:rPr>
            </w:pPr>
          </w:p>
        </w:tc>
        <w:tc>
          <w:tcPr>
            <w:tcW w:w="934" w:type="dxa"/>
          </w:tcPr>
          <w:p w14:paraId="280BBFA0">
            <w:pPr>
              <w:suppressAutoHyphens/>
              <w:jc w:val="center"/>
              <w:rPr>
                <w:color w:val="000000" w:themeColor="text1"/>
                <w:sz w:val="21"/>
                <w:szCs w:val="21"/>
                <w:highlight w:val="none"/>
                <w14:textFill>
                  <w14:solidFill>
                    <w14:schemeClr w14:val="tx1"/>
                  </w14:solidFill>
                </w14:textFill>
              </w:rPr>
            </w:pPr>
          </w:p>
        </w:tc>
      </w:tr>
      <w:tr w14:paraId="3959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ACA8E4E">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p>
        </w:tc>
        <w:tc>
          <w:tcPr>
            <w:tcW w:w="1301" w:type="dxa"/>
            <w:vAlign w:val="center"/>
          </w:tcPr>
          <w:p w14:paraId="17C2068D">
            <w:pPr>
              <w:suppressAutoHyphens/>
              <w:jc w:val="center"/>
              <w:rPr>
                <w:color w:val="000000" w:themeColor="text1"/>
                <w:sz w:val="21"/>
                <w:szCs w:val="21"/>
                <w:highlight w:val="none"/>
                <w14:textFill>
                  <w14:solidFill>
                    <w14:schemeClr w14:val="tx1"/>
                  </w14:solidFill>
                </w14:textFill>
              </w:rPr>
            </w:pPr>
          </w:p>
        </w:tc>
        <w:tc>
          <w:tcPr>
            <w:tcW w:w="2107" w:type="dxa"/>
          </w:tcPr>
          <w:p w14:paraId="09821C41">
            <w:pPr>
              <w:suppressAutoHyphens/>
              <w:jc w:val="center"/>
              <w:rPr>
                <w:color w:val="000000" w:themeColor="text1"/>
                <w:sz w:val="21"/>
                <w:szCs w:val="21"/>
                <w:highlight w:val="none"/>
                <w14:textFill>
                  <w14:solidFill>
                    <w14:schemeClr w14:val="tx1"/>
                  </w14:solidFill>
                </w14:textFill>
              </w:rPr>
            </w:pPr>
          </w:p>
        </w:tc>
        <w:tc>
          <w:tcPr>
            <w:tcW w:w="1242" w:type="dxa"/>
          </w:tcPr>
          <w:p w14:paraId="5F829299">
            <w:pPr>
              <w:suppressAutoHyphens/>
              <w:jc w:val="center"/>
              <w:rPr>
                <w:color w:val="000000" w:themeColor="text1"/>
                <w:sz w:val="21"/>
                <w:szCs w:val="21"/>
                <w:highlight w:val="none"/>
                <w14:textFill>
                  <w14:solidFill>
                    <w14:schemeClr w14:val="tx1"/>
                  </w14:solidFill>
                </w14:textFill>
              </w:rPr>
            </w:pPr>
          </w:p>
        </w:tc>
        <w:tc>
          <w:tcPr>
            <w:tcW w:w="1242" w:type="dxa"/>
          </w:tcPr>
          <w:p w14:paraId="2F3EDF22">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1A02F63E">
            <w:pPr>
              <w:suppressAutoHyphens/>
              <w:jc w:val="center"/>
              <w:rPr>
                <w:color w:val="000000" w:themeColor="text1"/>
                <w:sz w:val="21"/>
                <w:szCs w:val="21"/>
                <w:highlight w:val="none"/>
                <w14:textFill>
                  <w14:solidFill>
                    <w14:schemeClr w14:val="tx1"/>
                  </w14:solidFill>
                </w14:textFill>
              </w:rPr>
            </w:pPr>
          </w:p>
        </w:tc>
        <w:tc>
          <w:tcPr>
            <w:tcW w:w="934" w:type="dxa"/>
          </w:tcPr>
          <w:p w14:paraId="7EAD68A9">
            <w:pPr>
              <w:suppressAutoHyphens/>
              <w:jc w:val="center"/>
              <w:rPr>
                <w:color w:val="000000" w:themeColor="text1"/>
                <w:sz w:val="21"/>
                <w:szCs w:val="21"/>
                <w:highlight w:val="none"/>
                <w14:textFill>
                  <w14:solidFill>
                    <w14:schemeClr w14:val="tx1"/>
                  </w14:solidFill>
                </w14:textFill>
              </w:rPr>
            </w:pPr>
          </w:p>
        </w:tc>
        <w:tc>
          <w:tcPr>
            <w:tcW w:w="934" w:type="dxa"/>
          </w:tcPr>
          <w:p w14:paraId="5D9507D0">
            <w:pPr>
              <w:suppressAutoHyphens/>
              <w:jc w:val="center"/>
              <w:rPr>
                <w:color w:val="000000" w:themeColor="text1"/>
                <w:sz w:val="21"/>
                <w:szCs w:val="21"/>
                <w:highlight w:val="none"/>
                <w14:textFill>
                  <w14:solidFill>
                    <w14:schemeClr w14:val="tx1"/>
                  </w14:solidFill>
                </w14:textFill>
              </w:rPr>
            </w:pPr>
          </w:p>
        </w:tc>
      </w:tr>
      <w:tr w14:paraId="475C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0D3D9BD">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p>
        </w:tc>
        <w:tc>
          <w:tcPr>
            <w:tcW w:w="1301" w:type="dxa"/>
            <w:vAlign w:val="center"/>
          </w:tcPr>
          <w:p w14:paraId="1A5501F4">
            <w:pPr>
              <w:suppressAutoHyphens/>
              <w:jc w:val="center"/>
              <w:rPr>
                <w:color w:val="000000" w:themeColor="text1"/>
                <w:sz w:val="21"/>
                <w:szCs w:val="21"/>
                <w:highlight w:val="none"/>
                <w14:textFill>
                  <w14:solidFill>
                    <w14:schemeClr w14:val="tx1"/>
                  </w14:solidFill>
                </w14:textFill>
              </w:rPr>
            </w:pPr>
          </w:p>
        </w:tc>
        <w:tc>
          <w:tcPr>
            <w:tcW w:w="2107" w:type="dxa"/>
          </w:tcPr>
          <w:p w14:paraId="4A389C65">
            <w:pPr>
              <w:suppressAutoHyphens/>
              <w:jc w:val="center"/>
              <w:rPr>
                <w:color w:val="000000" w:themeColor="text1"/>
                <w:sz w:val="21"/>
                <w:szCs w:val="21"/>
                <w:highlight w:val="none"/>
                <w14:textFill>
                  <w14:solidFill>
                    <w14:schemeClr w14:val="tx1"/>
                  </w14:solidFill>
                </w14:textFill>
              </w:rPr>
            </w:pPr>
          </w:p>
        </w:tc>
        <w:tc>
          <w:tcPr>
            <w:tcW w:w="1242" w:type="dxa"/>
          </w:tcPr>
          <w:p w14:paraId="78D4B5B7">
            <w:pPr>
              <w:suppressAutoHyphens/>
              <w:jc w:val="center"/>
              <w:rPr>
                <w:color w:val="000000" w:themeColor="text1"/>
                <w:sz w:val="21"/>
                <w:szCs w:val="21"/>
                <w:highlight w:val="none"/>
                <w14:textFill>
                  <w14:solidFill>
                    <w14:schemeClr w14:val="tx1"/>
                  </w14:solidFill>
                </w14:textFill>
              </w:rPr>
            </w:pPr>
          </w:p>
        </w:tc>
        <w:tc>
          <w:tcPr>
            <w:tcW w:w="1242" w:type="dxa"/>
          </w:tcPr>
          <w:p w14:paraId="134C2452">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6B1A148F">
            <w:pPr>
              <w:suppressAutoHyphens/>
              <w:jc w:val="center"/>
              <w:rPr>
                <w:color w:val="000000" w:themeColor="text1"/>
                <w:sz w:val="21"/>
                <w:szCs w:val="21"/>
                <w:highlight w:val="none"/>
                <w14:textFill>
                  <w14:solidFill>
                    <w14:schemeClr w14:val="tx1"/>
                  </w14:solidFill>
                </w14:textFill>
              </w:rPr>
            </w:pPr>
          </w:p>
        </w:tc>
        <w:tc>
          <w:tcPr>
            <w:tcW w:w="934" w:type="dxa"/>
          </w:tcPr>
          <w:p w14:paraId="6293A9AF">
            <w:pPr>
              <w:suppressAutoHyphens/>
              <w:jc w:val="center"/>
              <w:rPr>
                <w:color w:val="000000" w:themeColor="text1"/>
                <w:sz w:val="21"/>
                <w:szCs w:val="21"/>
                <w:highlight w:val="none"/>
                <w14:textFill>
                  <w14:solidFill>
                    <w14:schemeClr w14:val="tx1"/>
                  </w14:solidFill>
                </w14:textFill>
              </w:rPr>
            </w:pPr>
          </w:p>
        </w:tc>
        <w:tc>
          <w:tcPr>
            <w:tcW w:w="934" w:type="dxa"/>
          </w:tcPr>
          <w:p w14:paraId="55E1829A">
            <w:pPr>
              <w:suppressAutoHyphens/>
              <w:jc w:val="center"/>
              <w:rPr>
                <w:color w:val="000000" w:themeColor="text1"/>
                <w:sz w:val="21"/>
                <w:szCs w:val="21"/>
                <w:highlight w:val="none"/>
                <w14:textFill>
                  <w14:solidFill>
                    <w14:schemeClr w14:val="tx1"/>
                  </w14:solidFill>
                </w14:textFill>
              </w:rPr>
            </w:pPr>
          </w:p>
        </w:tc>
      </w:tr>
      <w:tr w14:paraId="33A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8409B3B">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c>
          <w:tcPr>
            <w:tcW w:w="1301" w:type="dxa"/>
            <w:vAlign w:val="center"/>
          </w:tcPr>
          <w:p w14:paraId="21900140">
            <w:pPr>
              <w:suppressAutoHyphens/>
              <w:jc w:val="center"/>
              <w:rPr>
                <w:color w:val="000000" w:themeColor="text1"/>
                <w:sz w:val="21"/>
                <w:szCs w:val="21"/>
                <w:highlight w:val="none"/>
                <w14:textFill>
                  <w14:solidFill>
                    <w14:schemeClr w14:val="tx1"/>
                  </w14:solidFill>
                </w14:textFill>
              </w:rPr>
            </w:pPr>
          </w:p>
        </w:tc>
        <w:tc>
          <w:tcPr>
            <w:tcW w:w="2107" w:type="dxa"/>
          </w:tcPr>
          <w:p w14:paraId="2C8CAD6C">
            <w:pPr>
              <w:suppressAutoHyphens/>
              <w:jc w:val="center"/>
              <w:rPr>
                <w:color w:val="000000" w:themeColor="text1"/>
                <w:sz w:val="21"/>
                <w:szCs w:val="21"/>
                <w:highlight w:val="none"/>
                <w14:textFill>
                  <w14:solidFill>
                    <w14:schemeClr w14:val="tx1"/>
                  </w14:solidFill>
                </w14:textFill>
              </w:rPr>
            </w:pPr>
          </w:p>
        </w:tc>
        <w:tc>
          <w:tcPr>
            <w:tcW w:w="1242" w:type="dxa"/>
          </w:tcPr>
          <w:p w14:paraId="2BE5D26A">
            <w:pPr>
              <w:suppressAutoHyphens/>
              <w:jc w:val="center"/>
              <w:rPr>
                <w:color w:val="000000" w:themeColor="text1"/>
                <w:sz w:val="21"/>
                <w:szCs w:val="21"/>
                <w:highlight w:val="none"/>
                <w14:textFill>
                  <w14:solidFill>
                    <w14:schemeClr w14:val="tx1"/>
                  </w14:solidFill>
                </w14:textFill>
              </w:rPr>
            </w:pPr>
          </w:p>
        </w:tc>
        <w:tc>
          <w:tcPr>
            <w:tcW w:w="1242" w:type="dxa"/>
          </w:tcPr>
          <w:p w14:paraId="2AC5FF9B">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08EBA1A6">
            <w:pPr>
              <w:suppressAutoHyphens/>
              <w:jc w:val="center"/>
              <w:rPr>
                <w:color w:val="000000" w:themeColor="text1"/>
                <w:sz w:val="21"/>
                <w:szCs w:val="21"/>
                <w:highlight w:val="none"/>
                <w14:textFill>
                  <w14:solidFill>
                    <w14:schemeClr w14:val="tx1"/>
                  </w14:solidFill>
                </w14:textFill>
              </w:rPr>
            </w:pPr>
          </w:p>
        </w:tc>
        <w:tc>
          <w:tcPr>
            <w:tcW w:w="934" w:type="dxa"/>
          </w:tcPr>
          <w:p w14:paraId="52A50398">
            <w:pPr>
              <w:suppressAutoHyphens/>
              <w:jc w:val="center"/>
              <w:rPr>
                <w:color w:val="000000" w:themeColor="text1"/>
                <w:sz w:val="21"/>
                <w:szCs w:val="21"/>
                <w:highlight w:val="none"/>
                <w14:textFill>
                  <w14:solidFill>
                    <w14:schemeClr w14:val="tx1"/>
                  </w14:solidFill>
                </w14:textFill>
              </w:rPr>
            </w:pPr>
          </w:p>
        </w:tc>
        <w:tc>
          <w:tcPr>
            <w:tcW w:w="934" w:type="dxa"/>
          </w:tcPr>
          <w:p w14:paraId="1F87B117">
            <w:pPr>
              <w:suppressAutoHyphens/>
              <w:jc w:val="center"/>
              <w:rPr>
                <w:color w:val="000000" w:themeColor="text1"/>
                <w:sz w:val="21"/>
                <w:szCs w:val="21"/>
                <w:highlight w:val="none"/>
                <w14:textFill>
                  <w14:solidFill>
                    <w14:schemeClr w14:val="tx1"/>
                  </w14:solidFill>
                </w14:textFill>
              </w:rPr>
            </w:pPr>
          </w:p>
        </w:tc>
      </w:tr>
      <w:tr w14:paraId="57CB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8E3ABD1">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p>
        </w:tc>
        <w:tc>
          <w:tcPr>
            <w:tcW w:w="1301" w:type="dxa"/>
            <w:vAlign w:val="center"/>
          </w:tcPr>
          <w:p w14:paraId="31436909">
            <w:pPr>
              <w:suppressAutoHyphens/>
              <w:jc w:val="center"/>
              <w:rPr>
                <w:color w:val="000000" w:themeColor="text1"/>
                <w:sz w:val="21"/>
                <w:szCs w:val="21"/>
                <w:highlight w:val="none"/>
                <w14:textFill>
                  <w14:solidFill>
                    <w14:schemeClr w14:val="tx1"/>
                  </w14:solidFill>
                </w14:textFill>
              </w:rPr>
            </w:pPr>
          </w:p>
        </w:tc>
        <w:tc>
          <w:tcPr>
            <w:tcW w:w="2107" w:type="dxa"/>
          </w:tcPr>
          <w:p w14:paraId="02215EA2">
            <w:pPr>
              <w:suppressAutoHyphens/>
              <w:jc w:val="center"/>
              <w:rPr>
                <w:color w:val="000000" w:themeColor="text1"/>
                <w:sz w:val="21"/>
                <w:szCs w:val="21"/>
                <w:highlight w:val="none"/>
                <w14:textFill>
                  <w14:solidFill>
                    <w14:schemeClr w14:val="tx1"/>
                  </w14:solidFill>
                </w14:textFill>
              </w:rPr>
            </w:pPr>
          </w:p>
        </w:tc>
        <w:tc>
          <w:tcPr>
            <w:tcW w:w="1242" w:type="dxa"/>
          </w:tcPr>
          <w:p w14:paraId="55381097">
            <w:pPr>
              <w:suppressAutoHyphens/>
              <w:jc w:val="center"/>
              <w:rPr>
                <w:color w:val="000000" w:themeColor="text1"/>
                <w:sz w:val="21"/>
                <w:szCs w:val="21"/>
                <w:highlight w:val="none"/>
                <w14:textFill>
                  <w14:solidFill>
                    <w14:schemeClr w14:val="tx1"/>
                  </w14:solidFill>
                </w14:textFill>
              </w:rPr>
            </w:pPr>
          </w:p>
        </w:tc>
        <w:tc>
          <w:tcPr>
            <w:tcW w:w="1242" w:type="dxa"/>
          </w:tcPr>
          <w:p w14:paraId="62E16359">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7BAD2CCA">
            <w:pPr>
              <w:suppressAutoHyphens/>
              <w:jc w:val="center"/>
              <w:rPr>
                <w:color w:val="000000" w:themeColor="text1"/>
                <w:sz w:val="21"/>
                <w:szCs w:val="21"/>
                <w:highlight w:val="none"/>
                <w14:textFill>
                  <w14:solidFill>
                    <w14:schemeClr w14:val="tx1"/>
                  </w14:solidFill>
                </w14:textFill>
              </w:rPr>
            </w:pPr>
          </w:p>
        </w:tc>
        <w:tc>
          <w:tcPr>
            <w:tcW w:w="934" w:type="dxa"/>
          </w:tcPr>
          <w:p w14:paraId="3D9C2AF5">
            <w:pPr>
              <w:suppressAutoHyphens/>
              <w:jc w:val="center"/>
              <w:rPr>
                <w:color w:val="000000" w:themeColor="text1"/>
                <w:sz w:val="21"/>
                <w:szCs w:val="21"/>
                <w:highlight w:val="none"/>
                <w14:textFill>
                  <w14:solidFill>
                    <w14:schemeClr w14:val="tx1"/>
                  </w14:solidFill>
                </w14:textFill>
              </w:rPr>
            </w:pPr>
          </w:p>
        </w:tc>
        <w:tc>
          <w:tcPr>
            <w:tcW w:w="934" w:type="dxa"/>
          </w:tcPr>
          <w:p w14:paraId="2B28D04C">
            <w:pPr>
              <w:suppressAutoHyphens/>
              <w:jc w:val="center"/>
              <w:rPr>
                <w:color w:val="000000" w:themeColor="text1"/>
                <w:sz w:val="21"/>
                <w:szCs w:val="21"/>
                <w:highlight w:val="none"/>
                <w14:textFill>
                  <w14:solidFill>
                    <w14:schemeClr w14:val="tx1"/>
                  </w14:solidFill>
                </w14:textFill>
              </w:rPr>
            </w:pPr>
          </w:p>
        </w:tc>
      </w:tr>
      <w:tr w14:paraId="33F2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E59802F">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w:t>
            </w:r>
          </w:p>
        </w:tc>
        <w:tc>
          <w:tcPr>
            <w:tcW w:w="1301" w:type="dxa"/>
            <w:vAlign w:val="center"/>
          </w:tcPr>
          <w:p w14:paraId="0A9772EE">
            <w:pPr>
              <w:suppressAutoHyphens/>
              <w:jc w:val="center"/>
              <w:rPr>
                <w:color w:val="000000" w:themeColor="text1"/>
                <w:sz w:val="21"/>
                <w:szCs w:val="21"/>
                <w:highlight w:val="none"/>
                <w14:textFill>
                  <w14:solidFill>
                    <w14:schemeClr w14:val="tx1"/>
                  </w14:solidFill>
                </w14:textFill>
              </w:rPr>
            </w:pPr>
          </w:p>
        </w:tc>
        <w:tc>
          <w:tcPr>
            <w:tcW w:w="2107" w:type="dxa"/>
          </w:tcPr>
          <w:p w14:paraId="6F20BE7E">
            <w:pPr>
              <w:suppressAutoHyphens/>
              <w:jc w:val="center"/>
              <w:rPr>
                <w:color w:val="000000" w:themeColor="text1"/>
                <w:sz w:val="21"/>
                <w:szCs w:val="21"/>
                <w:highlight w:val="none"/>
                <w14:textFill>
                  <w14:solidFill>
                    <w14:schemeClr w14:val="tx1"/>
                  </w14:solidFill>
                </w14:textFill>
              </w:rPr>
            </w:pPr>
          </w:p>
        </w:tc>
        <w:tc>
          <w:tcPr>
            <w:tcW w:w="1242" w:type="dxa"/>
          </w:tcPr>
          <w:p w14:paraId="5638E427">
            <w:pPr>
              <w:suppressAutoHyphens/>
              <w:jc w:val="center"/>
              <w:rPr>
                <w:color w:val="000000" w:themeColor="text1"/>
                <w:sz w:val="21"/>
                <w:szCs w:val="21"/>
                <w:highlight w:val="none"/>
                <w14:textFill>
                  <w14:solidFill>
                    <w14:schemeClr w14:val="tx1"/>
                  </w14:solidFill>
                </w14:textFill>
              </w:rPr>
            </w:pPr>
          </w:p>
        </w:tc>
        <w:tc>
          <w:tcPr>
            <w:tcW w:w="1242" w:type="dxa"/>
          </w:tcPr>
          <w:p w14:paraId="5F959A16">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094529BE">
            <w:pPr>
              <w:suppressAutoHyphens/>
              <w:jc w:val="center"/>
              <w:rPr>
                <w:color w:val="000000" w:themeColor="text1"/>
                <w:sz w:val="21"/>
                <w:szCs w:val="21"/>
                <w:highlight w:val="none"/>
                <w14:textFill>
                  <w14:solidFill>
                    <w14:schemeClr w14:val="tx1"/>
                  </w14:solidFill>
                </w14:textFill>
              </w:rPr>
            </w:pPr>
          </w:p>
        </w:tc>
        <w:tc>
          <w:tcPr>
            <w:tcW w:w="934" w:type="dxa"/>
          </w:tcPr>
          <w:p w14:paraId="3D5F1924">
            <w:pPr>
              <w:suppressAutoHyphens/>
              <w:jc w:val="center"/>
              <w:rPr>
                <w:color w:val="000000" w:themeColor="text1"/>
                <w:sz w:val="21"/>
                <w:szCs w:val="21"/>
                <w:highlight w:val="none"/>
                <w14:textFill>
                  <w14:solidFill>
                    <w14:schemeClr w14:val="tx1"/>
                  </w14:solidFill>
                </w14:textFill>
              </w:rPr>
            </w:pPr>
          </w:p>
        </w:tc>
        <w:tc>
          <w:tcPr>
            <w:tcW w:w="934" w:type="dxa"/>
          </w:tcPr>
          <w:p w14:paraId="04545FFC">
            <w:pPr>
              <w:suppressAutoHyphens/>
              <w:jc w:val="center"/>
              <w:rPr>
                <w:color w:val="000000" w:themeColor="text1"/>
                <w:sz w:val="21"/>
                <w:szCs w:val="21"/>
                <w:highlight w:val="none"/>
                <w14:textFill>
                  <w14:solidFill>
                    <w14:schemeClr w14:val="tx1"/>
                  </w14:solidFill>
                </w14:textFill>
              </w:rPr>
            </w:pPr>
          </w:p>
        </w:tc>
      </w:tr>
      <w:tr w14:paraId="26B4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B9C87C9">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w:t>
            </w:r>
          </w:p>
        </w:tc>
        <w:tc>
          <w:tcPr>
            <w:tcW w:w="1301" w:type="dxa"/>
            <w:vAlign w:val="center"/>
          </w:tcPr>
          <w:p w14:paraId="0F11E7D7">
            <w:pPr>
              <w:suppressAutoHyphens/>
              <w:jc w:val="center"/>
              <w:rPr>
                <w:color w:val="000000" w:themeColor="text1"/>
                <w:sz w:val="21"/>
                <w:szCs w:val="21"/>
                <w:highlight w:val="none"/>
                <w14:textFill>
                  <w14:solidFill>
                    <w14:schemeClr w14:val="tx1"/>
                  </w14:solidFill>
                </w14:textFill>
              </w:rPr>
            </w:pPr>
          </w:p>
        </w:tc>
        <w:tc>
          <w:tcPr>
            <w:tcW w:w="2107" w:type="dxa"/>
          </w:tcPr>
          <w:p w14:paraId="3CF7D0F6">
            <w:pPr>
              <w:suppressAutoHyphens/>
              <w:jc w:val="center"/>
              <w:rPr>
                <w:color w:val="000000" w:themeColor="text1"/>
                <w:sz w:val="21"/>
                <w:szCs w:val="21"/>
                <w:highlight w:val="none"/>
                <w14:textFill>
                  <w14:solidFill>
                    <w14:schemeClr w14:val="tx1"/>
                  </w14:solidFill>
                </w14:textFill>
              </w:rPr>
            </w:pPr>
          </w:p>
        </w:tc>
        <w:tc>
          <w:tcPr>
            <w:tcW w:w="1242" w:type="dxa"/>
          </w:tcPr>
          <w:p w14:paraId="0A184D81">
            <w:pPr>
              <w:suppressAutoHyphens/>
              <w:jc w:val="center"/>
              <w:rPr>
                <w:color w:val="000000" w:themeColor="text1"/>
                <w:sz w:val="21"/>
                <w:szCs w:val="21"/>
                <w:highlight w:val="none"/>
                <w14:textFill>
                  <w14:solidFill>
                    <w14:schemeClr w14:val="tx1"/>
                  </w14:solidFill>
                </w14:textFill>
              </w:rPr>
            </w:pPr>
          </w:p>
        </w:tc>
        <w:tc>
          <w:tcPr>
            <w:tcW w:w="1242" w:type="dxa"/>
          </w:tcPr>
          <w:p w14:paraId="61620310">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081C554E">
            <w:pPr>
              <w:suppressAutoHyphens/>
              <w:jc w:val="center"/>
              <w:rPr>
                <w:color w:val="000000" w:themeColor="text1"/>
                <w:sz w:val="21"/>
                <w:szCs w:val="21"/>
                <w:highlight w:val="none"/>
                <w14:textFill>
                  <w14:solidFill>
                    <w14:schemeClr w14:val="tx1"/>
                  </w14:solidFill>
                </w14:textFill>
              </w:rPr>
            </w:pPr>
          </w:p>
        </w:tc>
        <w:tc>
          <w:tcPr>
            <w:tcW w:w="934" w:type="dxa"/>
          </w:tcPr>
          <w:p w14:paraId="420158AB">
            <w:pPr>
              <w:suppressAutoHyphens/>
              <w:jc w:val="center"/>
              <w:rPr>
                <w:color w:val="000000" w:themeColor="text1"/>
                <w:sz w:val="21"/>
                <w:szCs w:val="21"/>
                <w:highlight w:val="none"/>
                <w14:textFill>
                  <w14:solidFill>
                    <w14:schemeClr w14:val="tx1"/>
                  </w14:solidFill>
                </w14:textFill>
              </w:rPr>
            </w:pPr>
          </w:p>
        </w:tc>
        <w:tc>
          <w:tcPr>
            <w:tcW w:w="934" w:type="dxa"/>
          </w:tcPr>
          <w:p w14:paraId="48B36EF6">
            <w:pPr>
              <w:suppressAutoHyphens/>
              <w:jc w:val="center"/>
              <w:rPr>
                <w:color w:val="000000" w:themeColor="text1"/>
                <w:sz w:val="21"/>
                <w:szCs w:val="21"/>
                <w:highlight w:val="none"/>
                <w14:textFill>
                  <w14:solidFill>
                    <w14:schemeClr w14:val="tx1"/>
                  </w14:solidFill>
                </w14:textFill>
              </w:rPr>
            </w:pPr>
          </w:p>
        </w:tc>
      </w:tr>
      <w:tr w14:paraId="74B5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F651964">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w:t>
            </w:r>
          </w:p>
        </w:tc>
        <w:tc>
          <w:tcPr>
            <w:tcW w:w="1301" w:type="dxa"/>
            <w:vAlign w:val="center"/>
          </w:tcPr>
          <w:p w14:paraId="648C1D4B">
            <w:pPr>
              <w:suppressAutoHyphens/>
              <w:jc w:val="center"/>
              <w:rPr>
                <w:color w:val="000000" w:themeColor="text1"/>
                <w:sz w:val="21"/>
                <w:szCs w:val="21"/>
                <w:highlight w:val="none"/>
                <w14:textFill>
                  <w14:solidFill>
                    <w14:schemeClr w14:val="tx1"/>
                  </w14:solidFill>
                </w14:textFill>
              </w:rPr>
            </w:pPr>
          </w:p>
        </w:tc>
        <w:tc>
          <w:tcPr>
            <w:tcW w:w="2107" w:type="dxa"/>
          </w:tcPr>
          <w:p w14:paraId="6E4CABC5">
            <w:pPr>
              <w:suppressAutoHyphens/>
              <w:jc w:val="center"/>
              <w:rPr>
                <w:color w:val="000000" w:themeColor="text1"/>
                <w:sz w:val="21"/>
                <w:szCs w:val="21"/>
                <w:highlight w:val="none"/>
                <w14:textFill>
                  <w14:solidFill>
                    <w14:schemeClr w14:val="tx1"/>
                  </w14:solidFill>
                </w14:textFill>
              </w:rPr>
            </w:pPr>
          </w:p>
        </w:tc>
        <w:tc>
          <w:tcPr>
            <w:tcW w:w="1242" w:type="dxa"/>
          </w:tcPr>
          <w:p w14:paraId="0E66A97E">
            <w:pPr>
              <w:suppressAutoHyphens/>
              <w:jc w:val="center"/>
              <w:rPr>
                <w:color w:val="000000" w:themeColor="text1"/>
                <w:sz w:val="21"/>
                <w:szCs w:val="21"/>
                <w:highlight w:val="none"/>
                <w14:textFill>
                  <w14:solidFill>
                    <w14:schemeClr w14:val="tx1"/>
                  </w14:solidFill>
                </w14:textFill>
              </w:rPr>
            </w:pPr>
          </w:p>
        </w:tc>
        <w:tc>
          <w:tcPr>
            <w:tcW w:w="1242" w:type="dxa"/>
          </w:tcPr>
          <w:p w14:paraId="1381033E">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57662B67">
            <w:pPr>
              <w:suppressAutoHyphens/>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934" w:type="dxa"/>
          </w:tcPr>
          <w:p w14:paraId="059BEC02">
            <w:pPr>
              <w:suppressAutoHyphens/>
              <w:jc w:val="center"/>
              <w:rPr>
                <w:color w:val="000000" w:themeColor="text1"/>
                <w:sz w:val="21"/>
                <w:szCs w:val="21"/>
                <w:highlight w:val="none"/>
                <w14:textFill>
                  <w14:solidFill>
                    <w14:schemeClr w14:val="tx1"/>
                  </w14:solidFill>
                </w14:textFill>
              </w:rPr>
            </w:pPr>
          </w:p>
        </w:tc>
        <w:tc>
          <w:tcPr>
            <w:tcW w:w="934" w:type="dxa"/>
          </w:tcPr>
          <w:p w14:paraId="49B9B72F">
            <w:pPr>
              <w:suppressAutoHyphens/>
              <w:jc w:val="center"/>
              <w:rPr>
                <w:color w:val="000000" w:themeColor="text1"/>
                <w:sz w:val="21"/>
                <w:szCs w:val="21"/>
                <w:highlight w:val="none"/>
                <w14:textFill>
                  <w14:solidFill>
                    <w14:schemeClr w14:val="tx1"/>
                  </w14:solidFill>
                </w14:textFill>
              </w:rPr>
            </w:pPr>
          </w:p>
        </w:tc>
      </w:tr>
      <w:tr w14:paraId="211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AF9FF06">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w:t>
            </w:r>
          </w:p>
        </w:tc>
        <w:tc>
          <w:tcPr>
            <w:tcW w:w="1301" w:type="dxa"/>
            <w:vAlign w:val="center"/>
          </w:tcPr>
          <w:p w14:paraId="13B98B2F">
            <w:pPr>
              <w:suppressAutoHyphens/>
              <w:jc w:val="center"/>
              <w:rPr>
                <w:color w:val="000000" w:themeColor="text1"/>
                <w:sz w:val="21"/>
                <w:szCs w:val="21"/>
                <w:highlight w:val="none"/>
                <w14:textFill>
                  <w14:solidFill>
                    <w14:schemeClr w14:val="tx1"/>
                  </w14:solidFill>
                </w14:textFill>
              </w:rPr>
            </w:pPr>
          </w:p>
        </w:tc>
        <w:tc>
          <w:tcPr>
            <w:tcW w:w="2107" w:type="dxa"/>
          </w:tcPr>
          <w:p w14:paraId="501D433E">
            <w:pPr>
              <w:suppressAutoHyphens/>
              <w:jc w:val="center"/>
              <w:rPr>
                <w:color w:val="000000" w:themeColor="text1"/>
                <w:sz w:val="21"/>
                <w:szCs w:val="21"/>
                <w:highlight w:val="none"/>
                <w14:textFill>
                  <w14:solidFill>
                    <w14:schemeClr w14:val="tx1"/>
                  </w14:solidFill>
                </w14:textFill>
              </w:rPr>
            </w:pPr>
          </w:p>
        </w:tc>
        <w:tc>
          <w:tcPr>
            <w:tcW w:w="1242" w:type="dxa"/>
          </w:tcPr>
          <w:p w14:paraId="0DA99212">
            <w:pPr>
              <w:suppressAutoHyphens/>
              <w:jc w:val="center"/>
              <w:rPr>
                <w:color w:val="000000" w:themeColor="text1"/>
                <w:sz w:val="21"/>
                <w:szCs w:val="21"/>
                <w:highlight w:val="none"/>
                <w14:textFill>
                  <w14:solidFill>
                    <w14:schemeClr w14:val="tx1"/>
                  </w14:solidFill>
                </w14:textFill>
              </w:rPr>
            </w:pPr>
          </w:p>
        </w:tc>
        <w:tc>
          <w:tcPr>
            <w:tcW w:w="1242" w:type="dxa"/>
          </w:tcPr>
          <w:p w14:paraId="3D556946">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10B466C4">
            <w:pPr>
              <w:suppressAutoHyphens/>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934" w:type="dxa"/>
          </w:tcPr>
          <w:p w14:paraId="73D739DA">
            <w:pPr>
              <w:suppressAutoHyphens/>
              <w:jc w:val="center"/>
              <w:rPr>
                <w:color w:val="000000" w:themeColor="text1"/>
                <w:sz w:val="21"/>
                <w:szCs w:val="21"/>
                <w:highlight w:val="none"/>
                <w14:textFill>
                  <w14:solidFill>
                    <w14:schemeClr w14:val="tx1"/>
                  </w14:solidFill>
                </w14:textFill>
              </w:rPr>
            </w:pPr>
          </w:p>
        </w:tc>
        <w:tc>
          <w:tcPr>
            <w:tcW w:w="934" w:type="dxa"/>
          </w:tcPr>
          <w:p w14:paraId="22D3596E">
            <w:pPr>
              <w:suppressAutoHyphens/>
              <w:jc w:val="center"/>
              <w:rPr>
                <w:color w:val="000000" w:themeColor="text1"/>
                <w:sz w:val="21"/>
                <w:szCs w:val="21"/>
                <w:highlight w:val="none"/>
                <w14:textFill>
                  <w14:solidFill>
                    <w14:schemeClr w14:val="tx1"/>
                  </w14:solidFill>
                </w14:textFill>
              </w:rPr>
            </w:pPr>
          </w:p>
        </w:tc>
      </w:tr>
      <w:tr w14:paraId="19AF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681D2DF">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w:t>
            </w:r>
          </w:p>
        </w:tc>
        <w:tc>
          <w:tcPr>
            <w:tcW w:w="1301" w:type="dxa"/>
            <w:vAlign w:val="center"/>
          </w:tcPr>
          <w:p w14:paraId="0D837E85">
            <w:pPr>
              <w:suppressAutoHyphens/>
              <w:jc w:val="center"/>
              <w:rPr>
                <w:color w:val="000000" w:themeColor="text1"/>
                <w:sz w:val="21"/>
                <w:szCs w:val="21"/>
                <w:highlight w:val="none"/>
                <w14:textFill>
                  <w14:solidFill>
                    <w14:schemeClr w14:val="tx1"/>
                  </w14:solidFill>
                </w14:textFill>
              </w:rPr>
            </w:pPr>
          </w:p>
        </w:tc>
        <w:tc>
          <w:tcPr>
            <w:tcW w:w="2107" w:type="dxa"/>
          </w:tcPr>
          <w:p w14:paraId="08996F10">
            <w:pPr>
              <w:suppressAutoHyphens/>
              <w:jc w:val="center"/>
              <w:rPr>
                <w:color w:val="000000" w:themeColor="text1"/>
                <w:sz w:val="21"/>
                <w:szCs w:val="21"/>
                <w:highlight w:val="none"/>
                <w14:textFill>
                  <w14:solidFill>
                    <w14:schemeClr w14:val="tx1"/>
                  </w14:solidFill>
                </w14:textFill>
              </w:rPr>
            </w:pPr>
          </w:p>
        </w:tc>
        <w:tc>
          <w:tcPr>
            <w:tcW w:w="1242" w:type="dxa"/>
          </w:tcPr>
          <w:p w14:paraId="01467BE1">
            <w:pPr>
              <w:suppressAutoHyphens/>
              <w:jc w:val="center"/>
              <w:rPr>
                <w:color w:val="000000" w:themeColor="text1"/>
                <w:sz w:val="21"/>
                <w:szCs w:val="21"/>
                <w:highlight w:val="none"/>
                <w14:textFill>
                  <w14:solidFill>
                    <w14:schemeClr w14:val="tx1"/>
                  </w14:solidFill>
                </w14:textFill>
              </w:rPr>
            </w:pPr>
          </w:p>
        </w:tc>
        <w:tc>
          <w:tcPr>
            <w:tcW w:w="1242" w:type="dxa"/>
          </w:tcPr>
          <w:p w14:paraId="080B09A9">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2A7E3E3C">
            <w:pPr>
              <w:suppressAutoHyphens/>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934" w:type="dxa"/>
          </w:tcPr>
          <w:p w14:paraId="48265EB9">
            <w:pPr>
              <w:suppressAutoHyphens/>
              <w:jc w:val="center"/>
              <w:rPr>
                <w:color w:val="000000" w:themeColor="text1"/>
                <w:sz w:val="21"/>
                <w:szCs w:val="21"/>
                <w:highlight w:val="none"/>
                <w14:textFill>
                  <w14:solidFill>
                    <w14:schemeClr w14:val="tx1"/>
                  </w14:solidFill>
                </w14:textFill>
              </w:rPr>
            </w:pPr>
          </w:p>
        </w:tc>
        <w:tc>
          <w:tcPr>
            <w:tcW w:w="934" w:type="dxa"/>
          </w:tcPr>
          <w:p w14:paraId="030CB604">
            <w:pPr>
              <w:suppressAutoHyphens/>
              <w:jc w:val="center"/>
              <w:rPr>
                <w:color w:val="000000" w:themeColor="text1"/>
                <w:sz w:val="21"/>
                <w:szCs w:val="21"/>
                <w:highlight w:val="none"/>
                <w14:textFill>
                  <w14:solidFill>
                    <w14:schemeClr w14:val="tx1"/>
                  </w14:solidFill>
                </w14:textFill>
              </w:rPr>
            </w:pPr>
          </w:p>
        </w:tc>
      </w:tr>
      <w:tr w14:paraId="40D1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94162A9">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w:t>
            </w:r>
          </w:p>
        </w:tc>
        <w:tc>
          <w:tcPr>
            <w:tcW w:w="1301" w:type="dxa"/>
            <w:vAlign w:val="center"/>
          </w:tcPr>
          <w:p w14:paraId="5C72D492">
            <w:pPr>
              <w:suppressAutoHyphens/>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2107" w:type="dxa"/>
          </w:tcPr>
          <w:p w14:paraId="3C51C386">
            <w:pPr>
              <w:suppressAutoHyphens/>
              <w:jc w:val="center"/>
              <w:rPr>
                <w:color w:val="000000" w:themeColor="text1"/>
                <w:sz w:val="21"/>
                <w:szCs w:val="21"/>
                <w:highlight w:val="none"/>
                <w14:textFill>
                  <w14:solidFill>
                    <w14:schemeClr w14:val="tx1"/>
                  </w14:solidFill>
                </w14:textFill>
              </w:rPr>
            </w:pPr>
          </w:p>
        </w:tc>
        <w:tc>
          <w:tcPr>
            <w:tcW w:w="1242" w:type="dxa"/>
          </w:tcPr>
          <w:p w14:paraId="27C6C765">
            <w:pPr>
              <w:suppressAutoHyphens/>
              <w:jc w:val="center"/>
              <w:rPr>
                <w:color w:val="000000" w:themeColor="text1"/>
                <w:sz w:val="21"/>
                <w:szCs w:val="21"/>
                <w:highlight w:val="none"/>
                <w14:textFill>
                  <w14:solidFill>
                    <w14:schemeClr w14:val="tx1"/>
                  </w14:solidFill>
                </w14:textFill>
              </w:rPr>
            </w:pPr>
          </w:p>
        </w:tc>
        <w:tc>
          <w:tcPr>
            <w:tcW w:w="1242" w:type="dxa"/>
          </w:tcPr>
          <w:p w14:paraId="0FDC2DC2">
            <w:pPr>
              <w:suppressAutoHyphens/>
              <w:jc w:val="center"/>
              <w:rPr>
                <w:color w:val="000000" w:themeColor="text1"/>
                <w:sz w:val="21"/>
                <w:szCs w:val="21"/>
                <w:highlight w:val="none"/>
                <w14:textFill>
                  <w14:solidFill>
                    <w14:schemeClr w14:val="tx1"/>
                  </w14:solidFill>
                </w14:textFill>
              </w:rPr>
            </w:pPr>
          </w:p>
        </w:tc>
        <w:tc>
          <w:tcPr>
            <w:tcW w:w="934" w:type="dxa"/>
            <w:vAlign w:val="center"/>
          </w:tcPr>
          <w:p w14:paraId="0CD42A92">
            <w:pPr>
              <w:suppressAutoHyphens/>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934" w:type="dxa"/>
          </w:tcPr>
          <w:p w14:paraId="4271D444">
            <w:pPr>
              <w:suppressAutoHyphens/>
              <w:jc w:val="center"/>
              <w:rPr>
                <w:color w:val="000000" w:themeColor="text1"/>
                <w:sz w:val="21"/>
                <w:szCs w:val="21"/>
                <w:highlight w:val="none"/>
                <w14:textFill>
                  <w14:solidFill>
                    <w14:schemeClr w14:val="tx1"/>
                  </w14:solidFill>
                </w14:textFill>
              </w:rPr>
            </w:pPr>
          </w:p>
        </w:tc>
        <w:tc>
          <w:tcPr>
            <w:tcW w:w="934" w:type="dxa"/>
          </w:tcPr>
          <w:p w14:paraId="23E91B82">
            <w:pPr>
              <w:suppressAutoHyphens/>
              <w:jc w:val="center"/>
              <w:rPr>
                <w:color w:val="000000" w:themeColor="text1"/>
                <w:sz w:val="21"/>
                <w:szCs w:val="21"/>
                <w:highlight w:val="none"/>
                <w14:textFill>
                  <w14:solidFill>
                    <w14:schemeClr w14:val="tx1"/>
                  </w14:solidFill>
                </w14:textFill>
              </w:rPr>
            </w:pPr>
          </w:p>
        </w:tc>
      </w:tr>
      <w:tr w14:paraId="5D61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DD82619">
            <w:pPr>
              <w:suppressAutoHyphens/>
              <w:jc w:val="center"/>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w:t>
            </w:r>
          </w:p>
        </w:tc>
        <w:tc>
          <w:tcPr>
            <w:tcW w:w="1301" w:type="dxa"/>
            <w:vAlign w:val="center"/>
          </w:tcPr>
          <w:p w14:paraId="583A4F64">
            <w:pPr>
              <w:suppressAutoHyphens/>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总计</w:t>
            </w:r>
          </w:p>
        </w:tc>
        <w:tc>
          <w:tcPr>
            <w:tcW w:w="7393" w:type="dxa"/>
            <w:gridSpan w:val="6"/>
          </w:tcPr>
          <w:p w14:paraId="5004A604">
            <w:pPr>
              <w:suppressAutoHyphens/>
              <w:rPr>
                <w:color w:val="000000" w:themeColor="text1"/>
                <w:sz w:val="21"/>
                <w:szCs w:val="21"/>
                <w:highlight w:val="none"/>
                <w14:textFill>
                  <w14:solidFill>
                    <w14:schemeClr w14:val="tx1"/>
                  </w14:solidFill>
                </w14:textFill>
              </w:rPr>
            </w:pPr>
          </w:p>
        </w:tc>
      </w:tr>
    </w:tbl>
    <w:p w14:paraId="08A33E8B">
      <w:pPr>
        <w:spacing w:line="360" w:lineRule="auto"/>
        <w:ind w:firstLine="600" w:firstLineChars="250"/>
        <w:rPr>
          <w:rFonts w:hint="eastAsia" w:ascii="宋体" w:hAnsi="宋体"/>
          <w:color w:val="000000" w:themeColor="text1"/>
          <w:sz w:val="24"/>
          <w:szCs w:val="28"/>
          <w:highlight w:val="none"/>
          <w14:textFill>
            <w14:solidFill>
              <w14:schemeClr w14:val="tx1"/>
            </w14:solidFill>
          </w14:textFill>
        </w:rPr>
      </w:pPr>
    </w:p>
    <w:p w14:paraId="79A31F80">
      <w:pPr>
        <w:spacing w:line="360" w:lineRule="auto"/>
        <w:ind w:firstLine="600" w:firstLineChars="250"/>
        <w:rPr>
          <w:rFonts w:hint="eastAsia" w:ascii="宋体" w:hAnsi="宋体"/>
          <w:color w:val="000000" w:themeColor="text1"/>
          <w:sz w:val="24"/>
          <w:szCs w:val="28"/>
          <w:highlight w:val="none"/>
          <w14:textFill>
            <w14:solidFill>
              <w14:schemeClr w14:val="tx1"/>
            </w14:solidFill>
          </w14:textFill>
        </w:rPr>
      </w:pPr>
    </w:p>
    <w:p w14:paraId="01FC7CDF">
      <w:pPr>
        <w:spacing w:line="360" w:lineRule="auto"/>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供应商：                     法定代表人（或法定代表人授权代表）或自然人：</w:t>
      </w:r>
    </w:p>
    <w:p w14:paraId="4E4F24CB">
      <w:pPr>
        <w:spacing w:line="360" w:lineRule="auto"/>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w:t>
      </w:r>
    </w:p>
    <w:p w14:paraId="4D4358EA">
      <w:pPr>
        <w:spacing w:line="360" w:lineRule="auto"/>
        <w:ind w:firstLine="720" w:firstLineChars="300"/>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（供应商公章）                               （签字或盖章）</w:t>
      </w:r>
    </w:p>
    <w:p w14:paraId="2BB6D955">
      <w:pPr>
        <w:tabs>
          <w:tab w:val="left" w:pos="6300"/>
        </w:tabs>
        <w:snapToGrid w:val="0"/>
        <w:spacing w:line="360" w:lineRule="auto"/>
        <w:ind w:firstLine="57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年     月     日</w:t>
      </w:r>
    </w:p>
    <w:p w14:paraId="20BC60EE">
      <w:pPr>
        <w:snapToGrid w:val="0"/>
        <w:spacing w:line="500" w:lineRule="exact"/>
        <w:ind w:firstLine="480" w:firstLineChars="200"/>
        <w:rPr>
          <w:rFonts w:hint="eastAsia" w:ascii="宋体" w:hAnsi="宋体"/>
          <w:color w:val="000000" w:themeColor="text1"/>
          <w:sz w:val="24"/>
          <w:szCs w:val="28"/>
          <w:highlight w:val="none"/>
          <w14:textFill>
            <w14:solidFill>
              <w14:schemeClr w14:val="tx1"/>
            </w14:solidFill>
          </w14:textFill>
        </w:rPr>
      </w:pPr>
    </w:p>
    <w:p w14:paraId="75DF5623">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注：</w:t>
      </w:r>
    </w:p>
    <w:p w14:paraId="13F86817">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1.供应商可自行设计表格格式，分项内容应当完整；</w:t>
      </w:r>
    </w:p>
    <w:p w14:paraId="3BBDF912">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2.该表可扩展；</w:t>
      </w:r>
    </w:p>
    <w:p w14:paraId="020902A8">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p>
    <w:p w14:paraId="2EB795B7">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p>
    <w:p w14:paraId="53F7472D">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p>
    <w:p w14:paraId="507274F2">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p>
    <w:p w14:paraId="51FD3B75">
      <w:pPr>
        <w:snapToGrid w:val="0"/>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p>
    <w:p w14:paraId="7ADEE5A5">
      <w:pPr>
        <w:pageBreakBefore/>
        <w:tabs>
          <w:tab w:val="left" w:pos="6300"/>
        </w:tabs>
        <w:snapToGrid w:val="0"/>
        <w:spacing w:line="360" w:lineRule="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二、</w:t>
      </w:r>
      <w:r>
        <w:rPr>
          <w:rFonts w:hint="eastAsia"/>
          <w:b/>
          <w:color w:val="000000" w:themeColor="text1"/>
          <w:sz w:val="24"/>
          <w:szCs w:val="24"/>
          <w:highlight w:val="none"/>
          <w14:textFill>
            <w14:solidFill>
              <w14:schemeClr w14:val="tx1"/>
            </w14:solidFill>
          </w14:textFill>
        </w:rPr>
        <w:t>技术</w:t>
      </w:r>
      <w:r>
        <w:rPr>
          <w:b/>
          <w:color w:val="000000" w:themeColor="text1"/>
          <w:sz w:val="24"/>
          <w:szCs w:val="24"/>
          <w:highlight w:val="none"/>
          <w14:textFill>
            <w14:solidFill>
              <w14:schemeClr w14:val="tx1"/>
            </w14:solidFill>
          </w14:textFill>
        </w:rPr>
        <w:t>部分</w:t>
      </w:r>
      <w:bookmarkEnd w:id="111"/>
      <w:bookmarkEnd w:id="112"/>
      <w:bookmarkEnd w:id="113"/>
      <w:bookmarkEnd w:id="114"/>
    </w:p>
    <w:p w14:paraId="541CEB98">
      <w:pPr>
        <w:snapToGrid w:val="0"/>
        <w:spacing w:line="360" w:lineRule="auto"/>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（一）服务方案</w:t>
      </w:r>
    </w:p>
    <w:p w14:paraId="7486FB69">
      <w:pPr>
        <w:snapToGrid w:val="0"/>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（二）技术响应偏离表</w:t>
      </w:r>
    </w:p>
    <w:p w14:paraId="7967D923">
      <w:pPr>
        <w:tabs>
          <w:tab w:val="left" w:pos="6300"/>
        </w:tabs>
        <w:snapToGrid w:val="0"/>
        <w:spacing w:line="360" w:lineRule="auto"/>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技术响应偏离表</w:t>
      </w:r>
    </w:p>
    <w:p w14:paraId="2002066F">
      <w:pPr>
        <w:pStyle w:val="32"/>
        <w:tabs>
          <w:tab w:val="left" w:pos="6300"/>
        </w:tabs>
        <w:snapToGrid w:val="0"/>
        <w:spacing w:line="360" w:lineRule="auto"/>
        <w:ind w:firstLine="480" w:firstLineChars="200"/>
        <w:outlineLvl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项目号：</w:t>
      </w:r>
    </w:p>
    <w:p w14:paraId="08BD8766">
      <w:pPr>
        <w:pStyle w:val="32"/>
        <w:tabs>
          <w:tab w:val="left" w:pos="6300"/>
        </w:tabs>
        <w:snapToGrid w:val="0"/>
        <w:spacing w:line="360" w:lineRule="auto"/>
        <w:ind w:firstLine="480" w:firstLineChars="200"/>
        <w:outlineLvl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71C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A001AEF">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2658" w:type="dxa"/>
            <w:vAlign w:val="center"/>
          </w:tcPr>
          <w:p w14:paraId="21163C96">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采购需求</w:t>
            </w:r>
          </w:p>
        </w:tc>
        <w:tc>
          <w:tcPr>
            <w:tcW w:w="2759" w:type="dxa"/>
            <w:vAlign w:val="center"/>
          </w:tcPr>
          <w:p w14:paraId="6D1F0056">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响应情况</w:t>
            </w:r>
          </w:p>
        </w:tc>
        <w:tc>
          <w:tcPr>
            <w:tcW w:w="2633" w:type="dxa"/>
            <w:vAlign w:val="center"/>
          </w:tcPr>
          <w:p w14:paraId="595CC5C6">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差异说明</w:t>
            </w:r>
          </w:p>
        </w:tc>
      </w:tr>
      <w:tr w14:paraId="337F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D35E8C">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58" w:type="dxa"/>
            <w:vAlign w:val="center"/>
          </w:tcPr>
          <w:p w14:paraId="49DF166C">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759" w:type="dxa"/>
            <w:vAlign w:val="center"/>
          </w:tcPr>
          <w:p w14:paraId="0E6C06ED">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33" w:type="dxa"/>
            <w:vAlign w:val="center"/>
          </w:tcPr>
          <w:p w14:paraId="615275D5">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r>
      <w:tr w14:paraId="5D5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E09691">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58" w:type="dxa"/>
            <w:vAlign w:val="center"/>
          </w:tcPr>
          <w:p w14:paraId="03FD0B7A">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759" w:type="dxa"/>
            <w:vAlign w:val="center"/>
          </w:tcPr>
          <w:p w14:paraId="1DADEFC9">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33" w:type="dxa"/>
            <w:vAlign w:val="center"/>
          </w:tcPr>
          <w:p w14:paraId="34D4A8CB">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r>
      <w:tr w14:paraId="719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D473C7">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58" w:type="dxa"/>
            <w:vAlign w:val="center"/>
          </w:tcPr>
          <w:p w14:paraId="6C6A7800">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759" w:type="dxa"/>
            <w:vAlign w:val="center"/>
          </w:tcPr>
          <w:p w14:paraId="4B8A889E">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33" w:type="dxa"/>
            <w:vAlign w:val="center"/>
          </w:tcPr>
          <w:p w14:paraId="1CA7EF8A">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r>
      <w:tr w14:paraId="40EB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EC1455">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58" w:type="dxa"/>
            <w:vAlign w:val="center"/>
          </w:tcPr>
          <w:p w14:paraId="30D4D0AE">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759" w:type="dxa"/>
            <w:vAlign w:val="center"/>
          </w:tcPr>
          <w:p w14:paraId="6F5667D8">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33" w:type="dxa"/>
            <w:vAlign w:val="center"/>
          </w:tcPr>
          <w:p w14:paraId="60DAB1FE">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r>
      <w:tr w14:paraId="1631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ED0B58">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58" w:type="dxa"/>
            <w:vAlign w:val="center"/>
          </w:tcPr>
          <w:p w14:paraId="4CD8F5C7">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759" w:type="dxa"/>
            <w:vAlign w:val="center"/>
          </w:tcPr>
          <w:p w14:paraId="3A599FB8">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33" w:type="dxa"/>
            <w:vAlign w:val="center"/>
          </w:tcPr>
          <w:p w14:paraId="1B513A2D">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r>
      <w:tr w14:paraId="56C2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DA18F9">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58" w:type="dxa"/>
            <w:vAlign w:val="center"/>
          </w:tcPr>
          <w:p w14:paraId="1AFCBE68">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759" w:type="dxa"/>
            <w:vAlign w:val="center"/>
          </w:tcPr>
          <w:p w14:paraId="6D216D3A">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33" w:type="dxa"/>
            <w:vAlign w:val="center"/>
          </w:tcPr>
          <w:p w14:paraId="366834EB">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r>
      <w:tr w14:paraId="216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6868BE">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58" w:type="dxa"/>
            <w:vAlign w:val="center"/>
          </w:tcPr>
          <w:p w14:paraId="1086E8F7">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759" w:type="dxa"/>
            <w:vAlign w:val="center"/>
          </w:tcPr>
          <w:p w14:paraId="22A3F817">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c>
          <w:tcPr>
            <w:tcW w:w="2633" w:type="dxa"/>
            <w:vAlign w:val="center"/>
          </w:tcPr>
          <w:p w14:paraId="07715237">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p>
        </w:tc>
      </w:tr>
    </w:tbl>
    <w:p w14:paraId="3E1FDC5F">
      <w:pPr>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p>
    <w:p w14:paraId="67560FE9">
      <w:pPr>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供应商：             法定代表人（或法定代表人授权代表）或自然人：</w:t>
      </w:r>
    </w:p>
    <w:p w14:paraId="6BAD50F5">
      <w:pPr>
        <w:spacing w:line="360" w:lineRule="auto"/>
        <w:ind w:firstLine="600" w:firstLineChars="250"/>
        <w:rPr>
          <w:rFonts w:hint="eastAsia" w:ascii="宋体" w:hAnsi="宋体"/>
          <w:color w:val="000000" w:themeColor="text1"/>
          <w:sz w:val="24"/>
          <w:szCs w:val="28"/>
          <w:highlight w:val="none"/>
          <w14:textFill>
            <w14:solidFill>
              <w14:schemeClr w14:val="tx1"/>
            </w14:solidFill>
          </w14:textFill>
        </w:rPr>
      </w:pPr>
    </w:p>
    <w:p w14:paraId="7307B5BF">
      <w:pPr>
        <w:spacing w:line="360" w:lineRule="auto"/>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（供应商公章）                               （签字或盖章）</w:t>
      </w:r>
    </w:p>
    <w:p w14:paraId="09D44C36">
      <w:pPr>
        <w:tabs>
          <w:tab w:val="left" w:pos="6300"/>
        </w:tabs>
        <w:snapToGrid w:val="0"/>
        <w:spacing w:line="360" w:lineRule="auto"/>
        <w:ind w:firstLine="57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年     月     日</w:t>
      </w:r>
    </w:p>
    <w:p w14:paraId="307C75C8">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31BF3C0B">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.本表即为对本项目“第二篇 采购技术和服务需求”中所列技术要求进行比较和响应；</w:t>
      </w:r>
    </w:p>
    <w:p w14:paraId="106F494A">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2.该表必须按照招标要求逐条如实填写，根据响应情况在“差异说明”项填写正偏离或负偏离及原因，完全符合的填写“无差异”；</w:t>
      </w:r>
    </w:p>
    <w:p w14:paraId="185B66D0">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3.该表可扩展；</w:t>
      </w:r>
    </w:p>
    <w:p w14:paraId="0584059E">
      <w:pPr>
        <w:pageBreakBefore/>
        <w:tabs>
          <w:tab w:val="left" w:pos="6300"/>
        </w:tabs>
        <w:snapToGrid w:val="0"/>
        <w:spacing w:line="360" w:lineRule="auto"/>
        <w:rPr>
          <w:b/>
          <w:color w:val="000000" w:themeColor="text1"/>
          <w:sz w:val="24"/>
          <w:szCs w:val="24"/>
          <w:highlight w:val="none"/>
          <w14:textFill>
            <w14:solidFill>
              <w14:schemeClr w14:val="tx1"/>
            </w14:solidFill>
          </w14:textFill>
        </w:rPr>
      </w:pPr>
      <w:bookmarkStart w:id="115" w:name="_Toc313008358"/>
      <w:bookmarkStart w:id="116" w:name="_Toc342913421"/>
      <w:bookmarkStart w:id="117" w:name="_Toc313888362"/>
      <w:bookmarkStart w:id="118" w:name="_Toc23764524"/>
      <w:r>
        <w:rPr>
          <w:rFonts w:hint="eastAsia"/>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三、商务部分</w:t>
      </w:r>
      <w:bookmarkEnd w:id="115"/>
      <w:bookmarkEnd w:id="116"/>
      <w:bookmarkEnd w:id="117"/>
      <w:bookmarkEnd w:id="118"/>
    </w:p>
    <w:p w14:paraId="34D83FE3">
      <w:pPr>
        <w:tabs>
          <w:tab w:val="left" w:pos="6300"/>
        </w:tabs>
        <w:snapToGri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（一）商务要求响应情况（格式自定）：</w:t>
      </w:r>
    </w:p>
    <w:p w14:paraId="6717B7DC">
      <w:pPr>
        <w:tabs>
          <w:tab w:val="left" w:pos="6300"/>
        </w:tabs>
        <w:snapToGrid w:val="0"/>
        <w:spacing w:line="360" w:lineRule="auto"/>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（二）商务响应偏离表</w:t>
      </w:r>
    </w:p>
    <w:p w14:paraId="13F56F4E">
      <w:pPr>
        <w:tabs>
          <w:tab w:val="left" w:pos="6300"/>
        </w:tabs>
        <w:snapToGrid w:val="0"/>
        <w:spacing w:line="360" w:lineRule="auto"/>
        <w:jc w:val="center"/>
        <w:rPr>
          <w:rFonts w:hint="eastAsia"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商务响应偏离表</w:t>
      </w:r>
    </w:p>
    <w:p w14:paraId="49BBCAE4">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项目号：</w:t>
      </w:r>
    </w:p>
    <w:p w14:paraId="44637893">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77A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71580E3">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2428" w:type="dxa"/>
            <w:vAlign w:val="center"/>
          </w:tcPr>
          <w:p w14:paraId="4EFE4401">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采购需求</w:t>
            </w:r>
          </w:p>
        </w:tc>
        <w:tc>
          <w:tcPr>
            <w:tcW w:w="2520" w:type="dxa"/>
            <w:vAlign w:val="center"/>
          </w:tcPr>
          <w:p w14:paraId="0B83B568">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响应情况</w:t>
            </w:r>
          </w:p>
        </w:tc>
        <w:tc>
          <w:tcPr>
            <w:tcW w:w="2416" w:type="dxa"/>
            <w:vAlign w:val="center"/>
          </w:tcPr>
          <w:p w14:paraId="56D2FE7E">
            <w:pPr>
              <w:tabs>
                <w:tab w:val="left" w:pos="6300"/>
              </w:tabs>
              <w:snapToGrid w:val="0"/>
              <w:jc w:val="center"/>
              <w:outlineLvl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差异说明</w:t>
            </w:r>
          </w:p>
        </w:tc>
      </w:tr>
      <w:tr w14:paraId="0F5A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02963DD">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6EE8CF0D">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745C27A5">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0E69E3F3">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3DAB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05D098C">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2C4403F9">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48591F34">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1E0EED20">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3D8C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FF055D2">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421968DA">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63D84DEE">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7C32A263">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4B54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7948748">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7816CA57">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1D5D6F1B">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247C3042">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0725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43B4174">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204AF022">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75EB1EE4">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580D0929">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3161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FC62561">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2F94BF40">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7879B8E3">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70B6D6F8">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6EAE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4027E65">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3EB79D4B">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251A0D5B">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737F1DFE">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4299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5CB96A">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1241E85C">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057BC487">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782F1DDF">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r w14:paraId="508B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4803315">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28" w:type="dxa"/>
            <w:vAlign w:val="center"/>
          </w:tcPr>
          <w:p w14:paraId="653463A0">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520" w:type="dxa"/>
            <w:vAlign w:val="center"/>
          </w:tcPr>
          <w:p w14:paraId="25DED767">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c>
          <w:tcPr>
            <w:tcW w:w="2416" w:type="dxa"/>
            <w:vAlign w:val="center"/>
          </w:tcPr>
          <w:p w14:paraId="70FA61EE">
            <w:pPr>
              <w:tabs>
                <w:tab w:val="left" w:pos="6300"/>
              </w:tabs>
              <w:snapToGrid w:val="0"/>
              <w:ind w:firstLine="420" w:firstLineChars="200"/>
              <w:rPr>
                <w:rFonts w:hint="eastAsia" w:ascii="宋体" w:hAnsi="宋体"/>
                <w:color w:val="000000" w:themeColor="text1"/>
                <w:sz w:val="21"/>
                <w:szCs w:val="21"/>
                <w:highlight w:val="none"/>
                <w14:textFill>
                  <w14:solidFill>
                    <w14:schemeClr w14:val="tx1"/>
                  </w14:solidFill>
                </w14:textFill>
              </w:rPr>
            </w:pPr>
          </w:p>
        </w:tc>
      </w:tr>
    </w:tbl>
    <w:p w14:paraId="23292C29">
      <w:pPr>
        <w:spacing w:line="360" w:lineRule="auto"/>
        <w:ind w:firstLine="480" w:firstLineChars="200"/>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供应商：                         </w:t>
      </w:r>
      <w:r>
        <w:rPr>
          <w:rFonts w:ascii="宋体" w:hAnsi="宋体"/>
          <w:color w:val="000000" w:themeColor="text1"/>
          <w:sz w:val="24"/>
          <w:szCs w:val="28"/>
          <w:highlight w:val="none"/>
          <w14:textFill>
            <w14:solidFill>
              <w14:schemeClr w14:val="tx1"/>
            </w14:solidFill>
          </w14:textFill>
        </w:rPr>
        <w:t xml:space="preserve"> </w:t>
      </w:r>
      <w:r>
        <w:rPr>
          <w:rFonts w:hint="eastAsia" w:ascii="宋体" w:hAnsi="宋体"/>
          <w:color w:val="000000" w:themeColor="text1"/>
          <w:sz w:val="24"/>
          <w:szCs w:val="28"/>
          <w:highlight w:val="none"/>
          <w14:textFill>
            <w14:solidFill>
              <w14:schemeClr w14:val="tx1"/>
            </w14:solidFill>
          </w14:textFill>
        </w:rPr>
        <w:t>法定代表人（或法定代表人授权代表）或自然人：</w:t>
      </w:r>
    </w:p>
    <w:p w14:paraId="7D8FEA78">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（供应商公章）                          （签字或盖章）</w:t>
      </w:r>
    </w:p>
    <w:p w14:paraId="15230C09">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     日</w:t>
      </w:r>
    </w:p>
    <w:p w14:paraId="7C917448">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注：1.本表即为对本项目“第三篇 项目商务要求”中所列商务条款进行比较和响应；</w:t>
      </w:r>
    </w:p>
    <w:p w14:paraId="7326E524">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2.该表必须按照采购文件要求逐条如实填写，根据投标情况在“差异说明”项填写正偏离或负偏离及原因，完全符合的填写“无差异”。</w:t>
      </w:r>
    </w:p>
    <w:p w14:paraId="36318100">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3.该表可扩展。</w:t>
      </w:r>
    </w:p>
    <w:p w14:paraId="242EBEA2">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p>
    <w:p w14:paraId="30541A54">
      <w:pPr>
        <w:tabs>
          <w:tab w:val="left" w:pos="6300"/>
        </w:tabs>
        <w:snapToGrid w:val="0"/>
        <w:spacing w:line="5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（三）其它优惠承诺（格式自定）</w:t>
      </w:r>
    </w:p>
    <w:p w14:paraId="2582DB50">
      <w:pPr>
        <w:pStyle w:val="2"/>
        <w:rPr>
          <w:color w:val="000000" w:themeColor="text1"/>
          <w:highlight w:val="none"/>
          <w14:textFill>
            <w14:solidFill>
              <w14:schemeClr w14:val="tx1"/>
            </w14:solidFill>
          </w14:textFill>
        </w:rPr>
      </w:pPr>
    </w:p>
    <w:p w14:paraId="28245AE4">
      <w:pPr>
        <w:pageBreakBefore/>
        <w:tabs>
          <w:tab w:val="left" w:pos="6300"/>
        </w:tabs>
        <w:snapToGrid w:val="0"/>
        <w:spacing w:line="360" w:lineRule="auto"/>
        <w:rPr>
          <w:b/>
          <w:color w:val="000000" w:themeColor="text1"/>
          <w:sz w:val="24"/>
          <w:szCs w:val="24"/>
          <w:highlight w:val="none"/>
          <w14:textFill>
            <w14:solidFill>
              <w14:schemeClr w14:val="tx1"/>
            </w14:solidFill>
          </w14:textFill>
        </w:rPr>
      </w:pPr>
      <w:bookmarkStart w:id="119" w:name="_Toc23764525"/>
      <w:bookmarkStart w:id="120" w:name="_Toc313888363"/>
      <w:bookmarkStart w:id="121" w:name="_Toc342913422"/>
      <w:bookmarkStart w:id="122" w:name="_Toc313008359"/>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四、资格条件及其他</w:t>
      </w:r>
      <w:bookmarkEnd w:id="119"/>
      <w:bookmarkEnd w:id="120"/>
      <w:bookmarkEnd w:id="121"/>
      <w:bookmarkEnd w:id="122"/>
    </w:p>
    <w:p w14:paraId="15BF939B">
      <w:pPr>
        <w:tabs>
          <w:tab w:val="left" w:pos="6300"/>
        </w:tabs>
        <w:snapToGrid w:val="0"/>
        <w:spacing w:line="360" w:lineRule="auto"/>
        <w:ind w:firstLine="57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718E4C51">
      <w:pPr>
        <w:tabs>
          <w:tab w:val="left" w:pos="6300"/>
        </w:tabs>
        <w:snapToGrid w:val="0"/>
        <w:spacing w:line="360" w:lineRule="auto"/>
        <w:rPr>
          <w:rFonts w:hint="eastAsia" w:ascii="宋体" w:hAnsi="宋体"/>
          <w:color w:val="000000" w:themeColor="text1"/>
          <w:sz w:val="24"/>
          <w:szCs w:val="24"/>
          <w:highlight w:val="none"/>
          <w14:textFill>
            <w14:solidFill>
              <w14:schemeClr w14:val="tx1"/>
            </w14:solidFill>
          </w14:textFill>
        </w:rPr>
      </w:pPr>
    </w:p>
    <w:p w14:paraId="7B12A34D">
      <w:pPr>
        <w:widowControl/>
        <w:snapToGrid w:val="0"/>
        <w:spacing w:line="360" w:lineRule="auto"/>
        <w:ind w:firstLine="600" w:firstLineChars="2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w:t>
      </w:r>
      <w:r>
        <w:rPr>
          <w:rFonts w:ascii="宋体" w:hAnsi="宋体"/>
          <w:color w:val="000000" w:themeColor="text1"/>
          <w:sz w:val="24"/>
          <w:szCs w:val="24"/>
          <w:highlight w:val="none"/>
          <w14:textFill>
            <w14:solidFill>
              <w14:schemeClr w14:val="tx1"/>
            </w14:solidFill>
          </w14:textFill>
        </w:rPr>
        <w:t>法定代表人身份证明书（格式）</w:t>
      </w:r>
    </w:p>
    <w:p w14:paraId="150FC620">
      <w:pPr>
        <w:tabs>
          <w:tab w:val="left" w:pos="6300"/>
        </w:tabs>
        <w:snapToGrid w:val="0"/>
        <w:spacing w:line="5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法定代表人身份证明书</w:t>
      </w:r>
    </w:p>
    <w:p w14:paraId="19306490">
      <w:pPr>
        <w:tabs>
          <w:tab w:val="left" w:pos="6300"/>
        </w:tabs>
        <w:snapToGrid w:val="0"/>
        <w:spacing w:line="500" w:lineRule="exact"/>
        <w:jc w:val="center"/>
        <w:rPr>
          <w:rFonts w:hint="eastAsia" w:ascii="宋体" w:hAnsi="宋体"/>
          <w:color w:val="000000" w:themeColor="text1"/>
          <w:sz w:val="24"/>
          <w:szCs w:val="24"/>
          <w:highlight w:val="none"/>
          <w14:textFill>
            <w14:solidFill>
              <w14:schemeClr w14:val="tx1"/>
            </w14:solidFill>
          </w14:textFill>
        </w:rPr>
      </w:pPr>
    </w:p>
    <w:p w14:paraId="708E9EDC">
      <w:pPr>
        <w:tabs>
          <w:tab w:val="left" w:pos="6300"/>
        </w:tabs>
        <w:snapToGrid w:val="0"/>
        <w:spacing w:line="500" w:lineRule="exact"/>
        <w:ind w:firstLine="57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项目名称：</w:t>
      </w:r>
      <w:r>
        <w:rPr>
          <w:rFonts w:ascii="宋体" w:hAnsi="宋体"/>
          <w:color w:val="000000" w:themeColor="text1"/>
          <w:sz w:val="24"/>
          <w:szCs w:val="24"/>
          <w:highlight w:val="none"/>
          <w:u w:val="single"/>
          <w14:textFill>
            <w14:solidFill>
              <w14:schemeClr w14:val="tx1"/>
            </w14:solidFill>
          </w14:textFill>
        </w:rPr>
        <w:t xml:space="preserve">                                                </w:t>
      </w:r>
    </w:p>
    <w:p w14:paraId="2A7140C1">
      <w:pPr>
        <w:tabs>
          <w:tab w:val="left" w:pos="6300"/>
        </w:tabs>
        <w:snapToGrid w:val="0"/>
        <w:spacing w:line="500" w:lineRule="exact"/>
        <w:ind w:firstLine="570"/>
        <w:rPr>
          <w:rFonts w:hint="eastAsia" w:ascii="宋体" w:hAnsi="宋体"/>
          <w:color w:val="000000" w:themeColor="text1"/>
          <w:sz w:val="24"/>
          <w:szCs w:val="24"/>
          <w:highlight w:val="none"/>
          <w14:textFill>
            <w14:solidFill>
              <w14:schemeClr w14:val="tx1"/>
            </w14:solidFill>
          </w14:textFill>
        </w:rPr>
      </w:pPr>
    </w:p>
    <w:p w14:paraId="55CDF611">
      <w:pPr>
        <w:tabs>
          <w:tab w:val="left" w:pos="6300"/>
        </w:tabs>
        <w:snapToGrid w:val="0"/>
        <w:spacing w:line="500" w:lineRule="exact"/>
        <w:ind w:firstLine="57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致：</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（采购代理机构名称）：</w:t>
      </w:r>
    </w:p>
    <w:p w14:paraId="5965CEBA">
      <w:pPr>
        <w:tabs>
          <w:tab w:val="left" w:pos="6300"/>
        </w:tabs>
        <w:snapToGrid w:val="0"/>
        <w:spacing w:line="500" w:lineRule="exact"/>
        <w:ind w:firstLine="57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（法定代表人姓名）在</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（供应商名称）任</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（职务名称）职务，是（供应商名称）</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的法定代表人。</w:t>
      </w:r>
    </w:p>
    <w:p w14:paraId="31B8ACA2">
      <w:pPr>
        <w:tabs>
          <w:tab w:val="left" w:pos="6300"/>
        </w:tabs>
        <w:snapToGrid w:val="0"/>
        <w:spacing w:line="500" w:lineRule="exact"/>
        <w:ind w:firstLine="570"/>
        <w:rPr>
          <w:rFonts w:hint="eastAsia" w:ascii="宋体" w:hAnsi="宋体"/>
          <w:color w:val="000000" w:themeColor="text1"/>
          <w:sz w:val="24"/>
          <w:szCs w:val="24"/>
          <w:highlight w:val="none"/>
          <w14:textFill>
            <w14:solidFill>
              <w14:schemeClr w14:val="tx1"/>
            </w14:solidFill>
          </w14:textFill>
        </w:rPr>
      </w:pPr>
    </w:p>
    <w:p w14:paraId="14C38E62">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特此证</w:t>
      </w:r>
      <w:r>
        <w:rPr>
          <w:color w:val="000000" w:themeColor="text1"/>
          <w:sz w:val="24"/>
          <w:szCs w:val="24"/>
          <w:highlight w:val="none"/>
          <w14:textFill>
            <w14:solidFill>
              <w14:schemeClr w14:val="tx1"/>
            </w14:solidFill>
          </w14:textFill>
        </w:rPr>
        <w:t>明。</w:t>
      </w:r>
    </w:p>
    <w:p w14:paraId="2D39FCAD">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249F3FBB">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0C5CBC55">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5CB1C2B9">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（供应商公章）</w:t>
      </w:r>
    </w:p>
    <w:p w14:paraId="2A8815BD">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41B6C808">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   月   日</w:t>
      </w:r>
    </w:p>
    <w:p w14:paraId="1C24A29D">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447F345B">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（附：法定代表人身份证正反面复印件）</w:t>
      </w:r>
    </w:p>
    <w:p w14:paraId="5F08604C">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5F632A42">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7A592055">
      <w:pPr>
        <w:tabs>
          <w:tab w:val="left" w:pos="6300"/>
        </w:tabs>
        <w:snapToGrid w:val="0"/>
        <w:spacing w:line="500" w:lineRule="exact"/>
        <w:ind w:firstLine="570"/>
        <w:rPr>
          <w:color w:val="000000" w:themeColor="text1"/>
          <w:sz w:val="24"/>
          <w:highlight w:val="none"/>
          <w14:textFill>
            <w14:solidFill>
              <w14:schemeClr w14:val="tx1"/>
            </w14:solidFill>
          </w14:textFill>
        </w:rPr>
      </w:pPr>
    </w:p>
    <w:p w14:paraId="483A4E78">
      <w:pPr>
        <w:tabs>
          <w:tab w:val="left" w:pos="6300"/>
        </w:tabs>
        <w:snapToGrid w:val="0"/>
        <w:spacing w:line="500" w:lineRule="exact"/>
        <w:ind w:firstLine="570"/>
        <w:rPr>
          <w:color w:val="000000" w:themeColor="text1"/>
          <w:sz w:val="24"/>
          <w:highlight w:val="none"/>
          <w14:textFill>
            <w14:solidFill>
              <w14:schemeClr w14:val="tx1"/>
            </w14:solidFill>
          </w14:textFill>
        </w:rPr>
      </w:pPr>
    </w:p>
    <w:p w14:paraId="7FE13984">
      <w:pPr>
        <w:tabs>
          <w:tab w:val="left" w:pos="6300"/>
        </w:tabs>
        <w:snapToGrid w:val="0"/>
        <w:spacing w:line="500" w:lineRule="exact"/>
        <w:ind w:firstLine="570"/>
        <w:rPr>
          <w:color w:val="000000" w:themeColor="text1"/>
          <w:sz w:val="24"/>
          <w:highlight w:val="none"/>
          <w14:textFill>
            <w14:solidFill>
              <w14:schemeClr w14:val="tx1"/>
            </w14:solidFill>
          </w14:textFill>
        </w:rPr>
      </w:pPr>
    </w:p>
    <w:p w14:paraId="7E687AAE">
      <w:pPr>
        <w:tabs>
          <w:tab w:val="left" w:pos="6300"/>
        </w:tabs>
        <w:snapToGrid w:val="0"/>
        <w:spacing w:line="500" w:lineRule="exact"/>
        <w:ind w:firstLine="480" w:firstLineChars="200"/>
        <w:rPr>
          <w:rFonts w:hint="eastAsia" w:ascii="宋体" w:hAnsi="宋体"/>
          <w:color w:val="000000" w:themeColor="text1"/>
          <w:sz w:val="24"/>
          <w:szCs w:val="24"/>
          <w:highlight w:val="none"/>
          <w14:textFill>
            <w14:solidFill>
              <w14:schemeClr w14:val="tx1"/>
            </w14:solidFill>
          </w14:textFill>
        </w:rPr>
      </w:pPr>
    </w:p>
    <w:p w14:paraId="09375DA0">
      <w:pPr>
        <w:pageBreakBefore/>
        <w:tabs>
          <w:tab w:val="left" w:pos="6300"/>
        </w:tabs>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法定</w:t>
      </w:r>
      <w:r>
        <w:rPr>
          <w:color w:val="000000" w:themeColor="text1"/>
          <w:sz w:val="24"/>
          <w:szCs w:val="24"/>
          <w:highlight w:val="none"/>
          <w14:textFill>
            <w14:solidFill>
              <w14:schemeClr w14:val="tx1"/>
            </w14:solidFill>
          </w14:textFill>
        </w:rPr>
        <w:t>代表人授权委托书（格式）</w:t>
      </w:r>
    </w:p>
    <w:p w14:paraId="2C0F72B5">
      <w:pPr>
        <w:tabs>
          <w:tab w:val="left" w:pos="6300"/>
        </w:tabs>
        <w:snapToGrid w:val="0"/>
        <w:spacing w:line="5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法定代表人授权委托书</w:t>
      </w:r>
    </w:p>
    <w:p w14:paraId="67B04A57">
      <w:pPr>
        <w:tabs>
          <w:tab w:val="left" w:pos="6300"/>
        </w:tabs>
        <w:snapToGrid w:val="0"/>
        <w:spacing w:line="500" w:lineRule="exact"/>
        <w:jc w:val="center"/>
        <w:rPr>
          <w:color w:val="000000" w:themeColor="text1"/>
          <w:sz w:val="24"/>
          <w:szCs w:val="24"/>
          <w:highlight w:val="none"/>
          <w14:textFill>
            <w14:solidFill>
              <w14:schemeClr w14:val="tx1"/>
            </w14:solidFill>
          </w14:textFill>
        </w:rPr>
      </w:pPr>
    </w:p>
    <w:p w14:paraId="7120DB79">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r>
        <w:rPr>
          <w:color w:val="000000" w:themeColor="text1"/>
          <w:sz w:val="24"/>
          <w:szCs w:val="24"/>
          <w:highlight w:val="none"/>
          <w:u w:val="single"/>
          <w14:textFill>
            <w14:solidFill>
              <w14:schemeClr w14:val="tx1"/>
            </w14:solidFill>
          </w14:textFill>
        </w:rPr>
        <w:t xml:space="preserve">                                                </w:t>
      </w:r>
    </w:p>
    <w:p w14:paraId="14909211">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0940593E">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（采购代理机构名称）：</w:t>
      </w:r>
    </w:p>
    <w:p w14:paraId="04AC4272">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（供应商法定代表人名称）是</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（供应商名称）的法定代表人，特授权</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（被授权人姓名及身份证代码）代表我单位全权办理上述项目的投标、谈判、签约等具体工作，并签署全部有关文件、协议及合同。</w:t>
      </w:r>
    </w:p>
    <w:p w14:paraId="5F7DB540">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我单位对被授权人的签字负全部责任。</w:t>
      </w:r>
    </w:p>
    <w:p w14:paraId="749F4E09">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1E819DCB">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6D8F2539">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2793E98E">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被授权人：                                 供应商法定代表人：</w:t>
      </w:r>
    </w:p>
    <w:p w14:paraId="7073AB26">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（签字或盖章）                                （签字或盖章）</w:t>
      </w:r>
    </w:p>
    <w:p w14:paraId="2079C459">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7A6E4167">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72CFF9A9">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（附：被授权人身份证正反面复印件）</w:t>
      </w:r>
    </w:p>
    <w:p w14:paraId="2FA9C24E">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1E8FF232">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134B2310">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448CC772">
      <w:pPr>
        <w:tabs>
          <w:tab w:val="left" w:pos="6300"/>
        </w:tabs>
        <w:snapToGrid w:val="0"/>
        <w:spacing w:line="500" w:lineRule="exact"/>
        <w:ind w:right="480" w:firstLine="57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（供应商公章）</w:t>
      </w:r>
    </w:p>
    <w:p w14:paraId="67CC47D0">
      <w:pPr>
        <w:tabs>
          <w:tab w:val="left" w:pos="6300"/>
        </w:tabs>
        <w:snapToGrid w:val="0"/>
        <w:spacing w:line="500" w:lineRule="exact"/>
        <w:ind w:right="480" w:firstLine="57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22EBE9E1">
      <w:pPr>
        <w:tabs>
          <w:tab w:val="left" w:pos="6300"/>
        </w:tabs>
        <w:snapToGrid w:val="0"/>
        <w:spacing w:line="500" w:lineRule="exact"/>
        <w:ind w:right="480" w:firstLine="570"/>
        <w:jc w:val="right"/>
        <w:rPr>
          <w:color w:val="000000" w:themeColor="text1"/>
          <w:sz w:val="24"/>
          <w:szCs w:val="24"/>
          <w:highlight w:val="none"/>
          <w14:textFill>
            <w14:solidFill>
              <w14:schemeClr w14:val="tx1"/>
            </w14:solidFill>
          </w14:textFill>
        </w:rPr>
      </w:pPr>
    </w:p>
    <w:p w14:paraId="4F78251E">
      <w:pPr>
        <w:tabs>
          <w:tab w:val="left" w:pos="6300"/>
        </w:tabs>
        <w:snapToGrid w:val="0"/>
        <w:spacing w:line="500" w:lineRule="exact"/>
        <w:ind w:right="480" w:firstLine="57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r>
        <w:rPr>
          <w:rFonts w:ascii="宋体" w:hAnsi="宋体"/>
          <w:color w:val="000000" w:themeColor="text1"/>
          <w:sz w:val="24"/>
          <w:szCs w:val="24"/>
          <w:highlight w:val="none"/>
          <w14:textFill>
            <w14:solidFill>
              <w14:schemeClr w14:val="tx1"/>
            </w14:solidFill>
          </w14:textFill>
        </w:rPr>
        <w:t>若为法定代表人办理并签署响应文件的，不提供此文件。</w:t>
      </w:r>
    </w:p>
    <w:p w14:paraId="4F34DB92">
      <w:pPr>
        <w:tabs>
          <w:tab w:val="left" w:pos="6300"/>
        </w:tabs>
        <w:snapToGrid w:val="0"/>
        <w:spacing w:line="360" w:lineRule="auto"/>
        <w:ind w:firstLine="56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column"/>
      </w:r>
      <w:r>
        <w:rPr>
          <w:rFonts w:hint="eastAsia" w:ascii="宋体" w:hAnsi="宋体"/>
          <w:color w:val="000000" w:themeColor="text1"/>
          <w:sz w:val="24"/>
          <w:highlight w:val="none"/>
          <w14:textFill>
            <w14:solidFill>
              <w14:schemeClr w14:val="tx1"/>
            </w14:solidFill>
          </w14:textFill>
        </w:rPr>
        <w:t>（四）基本资格条件承诺函（格式）</w:t>
      </w:r>
    </w:p>
    <w:p w14:paraId="39D84A8E">
      <w:pPr>
        <w:tabs>
          <w:tab w:val="left" w:pos="6300"/>
        </w:tabs>
        <w:snapToGrid w:val="0"/>
        <w:spacing w:line="360" w:lineRule="auto"/>
        <w:jc w:val="center"/>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基本资格条件承诺函</w:t>
      </w:r>
    </w:p>
    <w:p w14:paraId="39B0ED3F">
      <w:pPr>
        <w:tabs>
          <w:tab w:val="left" w:pos="6300"/>
        </w:tabs>
        <w:snapToGrid w:val="0"/>
        <w:spacing w:line="360" w:lineRule="auto"/>
        <w:rPr>
          <w:rFonts w:hint="eastAsia" w:ascii="宋体" w:hAnsi="宋体"/>
          <w:color w:val="000000" w:themeColor="text1"/>
          <w:sz w:val="24"/>
          <w:szCs w:val="24"/>
          <w:highlight w:val="none"/>
          <w14:textFill>
            <w14:solidFill>
              <w14:schemeClr w14:val="tx1"/>
            </w14:solidFill>
          </w14:textFill>
        </w:rPr>
      </w:pPr>
    </w:p>
    <w:p w14:paraId="538A648D">
      <w:pPr>
        <w:tabs>
          <w:tab w:val="left" w:pos="6300"/>
        </w:tabs>
        <w:snapToGrid w:val="0"/>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（采购代理机构名称）：</w:t>
      </w:r>
    </w:p>
    <w:p w14:paraId="7F4046D1">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（供应商名称）郑重承诺：</w:t>
      </w:r>
    </w:p>
    <w:p w14:paraId="5FE9B8B5">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cs="仿宋_GB2312"/>
          <w:color w:val="000000" w:themeColor="text1"/>
          <w:sz w:val="24"/>
          <w:szCs w:val="24"/>
          <w:highlight w:val="none"/>
          <w:lang w:val="zh-CN"/>
          <w14:textFill>
            <w14:solidFill>
              <w14:schemeClr w14:val="tx1"/>
            </w14:solidFill>
          </w14:textFill>
        </w:rPr>
        <w:t>有依法缴纳税收和社会保障金的良好记录</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参加本项目采购活动前三年内无重大违法活动记录。</w:t>
      </w:r>
    </w:p>
    <w:p w14:paraId="245FF077">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F98D09D">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7487C02B">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我方对以上承诺负全部法律责任。</w:t>
      </w:r>
    </w:p>
    <w:p w14:paraId="16E4271D">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特此承诺。</w:t>
      </w:r>
    </w:p>
    <w:p w14:paraId="49BD2FD1">
      <w:pPr>
        <w:tabs>
          <w:tab w:val="left" w:pos="6300"/>
        </w:tabs>
        <w:snapToGrid w:val="0"/>
        <w:spacing w:line="360" w:lineRule="auto"/>
        <w:rPr>
          <w:rFonts w:hint="eastAsia" w:ascii="宋体" w:hAnsi="宋体"/>
          <w:color w:val="000000" w:themeColor="text1"/>
          <w:sz w:val="24"/>
          <w:szCs w:val="24"/>
          <w:highlight w:val="none"/>
          <w14:textFill>
            <w14:solidFill>
              <w14:schemeClr w14:val="tx1"/>
            </w14:solidFill>
          </w14:textFill>
        </w:rPr>
      </w:pPr>
    </w:p>
    <w:p w14:paraId="79E04C2C">
      <w:pPr>
        <w:tabs>
          <w:tab w:val="left" w:pos="6300"/>
        </w:tabs>
        <w:snapToGrid w:val="0"/>
        <w:spacing w:line="360" w:lineRule="auto"/>
        <w:ind w:right="424" w:firstLine="57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（供应商公章）</w:t>
      </w:r>
    </w:p>
    <w:p w14:paraId="2CD73FBA">
      <w:pPr>
        <w:tabs>
          <w:tab w:val="left" w:pos="6300"/>
        </w:tabs>
        <w:snapToGrid w:val="0"/>
        <w:spacing w:line="360" w:lineRule="auto"/>
        <w:ind w:right="480" w:firstLine="57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p>
    <w:p w14:paraId="58B49344">
      <w:pPr>
        <w:spacing w:line="360" w:lineRule="auto"/>
        <w:rPr>
          <w:color w:val="000000" w:themeColor="text1"/>
          <w:highlight w:val="none"/>
          <w14:textFill>
            <w14:solidFill>
              <w14:schemeClr w14:val="tx1"/>
            </w14:solidFill>
          </w14:textFill>
        </w:rPr>
      </w:pPr>
    </w:p>
    <w:p w14:paraId="22828999">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（五）特定资格条件证书或证明文件</w:t>
      </w:r>
    </w:p>
    <w:p w14:paraId="04E569A9">
      <w:pPr>
        <w:tabs>
          <w:tab w:val="left" w:pos="6300"/>
        </w:tabs>
        <w:snapToGrid w:val="0"/>
        <w:spacing w:line="360" w:lineRule="auto"/>
        <w:ind w:firstLine="573"/>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701318E9">
      <w:pPr>
        <w:tabs>
          <w:tab w:val="left" w:pos="6300"/>
        </w:tabs>
        <w:snapToGrid w:val="0"/>
        <w:spacing w:line="360" w:lineRule="auto"/>
        <w:ind w:firstLine="560" w:firstLineChars="200"/>
        <w:rPr>
          <w:rFonts w:hint="eastAsia" w:ascii="宋体" w:hAnsi="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六</w:t>
      </w:r>
      <w:r>
        <w:rPr>
          <w:rFonts w:ascii="宋体" w:hAnsi="宋体"/>
          <w:color w:val="000000" w:themeColor="text1"/>
          <w:sz w:val="24"/>
          <w:highlight w:val="none"/>
          <w14:textFill>
            <w14:solidFill>
              <w14:schemeClr w14:val="tx1"/>
            </w14:solidFill>
          </w14:textFill>
        </w:rPr>
        <w:t>）其他应提供的资料</w:t>
      </w:r>
    </w:p>
    <w:p w14:paraId="27AF9C68">
      <w:pPr>
        <w:tabs>
          <w:tab w:val="left" w:pos="6300"/>
        </w:tabs>
        <w:snapToGrid w:val="0"/>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1.中小企业声明函、监狱企业证明文件、残疾人福利性单位声明函</w:t>
      </w:r>
    </w:p>
    <w:p w14:paraId="170FFBB4">
      <w:pPr>
        <w:tabs>
          <w:tab w:val="left" w:pos="6300"/>
        </w:tabs>
        <w:snapToGrid w:val="0"/>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（1）中小企业声明函</w:t>
      </w:r>
    </w:p>
    <w:p w14:paraId="5B37EB86">
      <w:pPr>
        <w:tabs>
          <w:tab w:val="left" w:pos="6300"/>
        </w:tabs>
        <w:suppressAutoHyphens/>
        <w:snapToGrid w:val="0"/>
        <w:spacing w:line="5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中小企业声明函（货物类）</w:t>
      </w:r>
    </w:p>
    <w:p w14:paraId="0B536A4B">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i/>
          <w:color w:val="000000" w:themeColor="text1"/>
          <w:sz w:val="24"/>
          <w:szCs w:val="24"/>
          <w:highlight w:val="none"/>
          <w:u w:val="single"/>
          <w14:textFill>
            <w14:solidFill>
              <w14:schemeClr w14:val="tx1"/>
            </w14:solidFill>
          </w14:textFill>
        </w:rPr>
        <w:t>（单位名称）</w:t>
      </w:r>
      <w:r>
        <w:rPr>
          <w:color w:val="000000" w:themeColor="text1"/>
          <w:sz w:val="24"/>
          <w:szCs w:val="24"/>
          <w:highlight w:val="none"/>
          <w14:textFill>
            <w14:solidFill>
              <w14:schemeClr w14:val="tx1"/>
            </w14:solidFill>
          </w14:textFill>
        </w:rPr>
        <w:t>的</w:t>
      </w:r>
      <w:r>
        <w:rPr>
          <w:i/>
          <w:color w:val="000000" w:themeColor="text1"/>
          <w:sz w:val="24"/>
          <w:szCs w:val="24"/>
          <w:highlight w:val="none"/>
          <w:u w:val="single"/>
          <w14:textFill>
            <w14:solidFill>
              <w14:schemeClr w14:val="tx1"/>
            </w14:solidFill>
          </w14:textFill>
        </w:rPr>
        <w:t>（项目名称）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1A218754">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i/>
          <w:color w:val="000000" w:themeColor="text1"/>
          <w:sz w:val="24"/>
          <w:szCs w:val="24"/>
          <w:highlight w:val="none"/>
          <w:u w:val="single"/>
          <w14:textFill>
            <w14:solidFill>
              <w14:schemeClr w14:val="tx1"/>
            </w14:solidFill>
          </w14:textFill>
        </w:rPr>
        <w:t>（标的名称）</w:t>
      </w:r>
      <w:r>
        <w:rPr>
          <w:color w:val="000000" w:themeColor="text1"/>
          <w:sz w:val="24"/>
          <w:szCs w:val="24"/>
          <w:highlight w:val="none"/>
          <w14:textFill>
            <w14:solidFill>
              <w14:schemeClr w14:val="tx1"/>
            </w14:solidFill>
          </w14:textFill>
        </w:rPr>
        <w:t>，属于</w:t>
      </w:r>
      <w:r>
        <w:rPr>
          <w:i/>
          <w:color w:val="000000" w:themeColor="text1"/>
          <w:sz w:val="24"/>
          <w:szCs w:val="24"/>
          <w:highlight w:val="none"/>
          <w:u w:val="single"/>
          <w14:textFill>
            <w14:solidFill>
              <w14:schemeClr w14:val="tx1"/>
            </w14:solidFill>
          </w14:textFill>
        </w:rPr>
        <w:t>（采购文件中明确的所属行业）行业</w:t>
      </w:r>
      <w:r>
        <w:rPr>
          <w:color w:val="000000" w:themeColor="text1"/>
          <w:sz w:val="24"/>
          <w:szCs w:val="24"/>
          <w:highlight w:val="none"/>
          <w14:textFill>
            <w14:solidFill>
              <w14:schemeClr w14:val="tx1"/>
            </w14:solidFill>
          </w14:textFill>
        </w:rPr>
        <w:t>；制造商为</w:t>
      </w:r>
      <w:r>
        <w:rPr>
          <w:i/>
          <w:color w:val="000000" w:themeColor="text1"/>
          <w:sz w:val="24"/>
          <w:szCs w:val="24"/>
          <w:highlight w:val="none"/>
          <w:u w:val="single"/>
          <w14:textFill>
            <w14:solidFill>
              <w14:schemeClr w14:val="tx1"/>
            </w14:solidFill>
          </w14:textFill>
        </w:rPr>
        <w:t>（企业名称）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i/>
          <w:color w:val="000000" w:themeColor="text1"/>
          <w:sz w:val="24"/>
          <w:szCs w:val="24"/>
          <w:highlight w:val="none"/>
          <w:u w:val="single"/>
          <w14:textFill>
            <w14:solidFill>
              <w14:schemeClr w14:val="tx1"/>
            </w14:solidFill>
          </w14:textFill>
        </w:rPr>
        <w:t>（中型企业、小型企业、微型企业）</w:t>
      </w:r>
      <w:r>
        <w:rPr>
          <w:color w:val="000000" w:themeColor="text1"/>
          <w:sz w:val="24"/>
          <w:szCs w:val="24"/>
          <w:highlight w:val="none"/>
          <w14:textFill>
            <w14:solidFill>
              <w14:schemeClr w14:val="tx1"/>
            </w14:solidFill>
          </w14:textFill>
        </w:rPr>
        <w:t>；</w:t>
      </w:r>
    </w:p>
    <w:p w14:paraId="13517151">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i/>
          <w:color w:val="000000" w:themeColor="text1"/>
          <w:sz w:val="24"/>
          <w:szCs w:val="24"/>
          <w:highlight w:val="none"/>
          <w:u w:val="single"/>
          <w14:textFill>
            <w14:solidFill>
              <w14:schemeClr w14:val="tx1"/>
            </w14:solidFill>
          </w14:textFill>
        </w:rPr>
        <w:t>（标的名称）</w:t>
      </w:r>
      <w:r>
        <w:rPr>
          <w:color w:val="000000" w:themeColor="text1"/>
          <w:sz w:val="24"/>
          <w:szCs w:val="24"/>
          <w:highlight w:val="none"/>
          <w14:textFill>
            <w14:solidFill>
              <w14:schemeClr w14:val="tx1"/>
            </w14:solidFill>
          </w14:textFill>
        </w:rPr>
        <w:t>，属于</w:t>
      </w:r>
      <w:r>
        <w:rPr>
          <w:i/>
          <w:color w:val="000000" w:themeColor="text1"/>
          <w:sz w:val="24"/>
          <w:szCs w:val="24"/>
          <w:highlight w:val="none"/>
          <w:u w:val="single"/>
          <w14:textFill>
            <w14:solidFill>
              <w14:schemeClr w14:val="tx1"/>
            </w14:solidFill>
          </w14:textFill>
        </w:rPr>
        <w:t>（采购文件中明确的所属行业）行业</w:t>
      </w:r>
      <w:r>
        <w:rPr>
          <w:color w:val="000000" w:themeColor="text1"/>
          <w:sz w:val="24"/>
          <w:szCs w:val="24"/>
          <w:highlight w:val="none"/>
          <w14:textFill>
            <w14:solidFill>
              <w14:schemeClr w14:val="tx1"/>
            </w14:solidFill>
          </w14:textFill>
        </w:rPr>
        <w:t>；制造商为</w:t>
      </w:r>
      <w:r>
        <w:rPr>
          <w:i/>
          <w:color w:val="000000" w:themeColor="text1"/>
          <w:sz w:val="24"/>
          <w:szCs w:val="24"/>
          <w:highlight w:val="none"/>
          <w:u w:val="single"/>
          <w14:textFill>
            <w14:solidFill>
              <w14:schemeClr w14:val="tx1"/>
            </w14:solidFill>
          </w14:textFill>
        </w:rPr>
        <w:t>（企业名称）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i/>
          <w:color w:val="000000" w:themeColor="text1"/>
          <w:sz w:val="24"/>
          <w:szCs w:val="24"/>
          <w:highlight w:val="none"/>
          <w:u w:val="single"/>
          <w14:textFill>
            <w14:solidFill>
              <w14:schemeClr w14:val="tx1"/>
            </w14:solidFill>
          </w14:textFill>
        </w:rPr>
        <w:t>（中型企业、小型企业、微型企业）</w:t>
      </w:r>
      <w:r>
        <w:rPr>
          <w:color w:val="000000" w:themeColor="text1"/>
          <w:sz w:val="24"/>
          <w:szCs w:val="24"/>
          <w:highlight w:val="none"/>
          <w14:textFill>
            <w14:solidFill>
              <w14:schemeClr w14:val="tx1"/>
            </w14:solidFill>
          </w14:textFill>
        </w:rPr>
        <w:t>；</w:t>
      </w:r>
    </w:p>
    <w:p w14:paraId="3674F510">
      <w:pPr>
        <w:tabs>
          <w:tab w:val="left" w:pos="6300"/>
        </w:tabs>
        <w:suppressAutoHyphens/>
        <w:snapToGrid w:val="0"/>
        <w:spacing w:line="500" w:lineRule="exact"/>
        <w:ind w:right="782"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p w14:paraId="3FEA28F9">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1532C136">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572AE58B">
      <w:pPr>
        <w:tabs>
          <w:tab w:val="left" w:pos="6300"/>
        </w:tabs>
        <w:suppressAutoHyphens/>
        <w:snapToGrid w:val="0"/>
        <w:spacing w:line="5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23B4F6CA">
      <w:pPr>
        <w:tabs>
          <w:tab w:val="left" w:pos="6300"/>
        </w:tabs>
        <w:suppressAutoHyphens/>
        <w:snapToGrid w:val="0"/>
        <w:spacing w:line="500" w:lineRule="exact"/>
        <w:ind w:right="960" w:firstLine="6000" w:firstLineChars="25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企业名称（盖章）： </w:t>
      </w:r>
    </w:p>
    <w:p w14:paraId="706C6F6F">
      <w:pPr>
        <w:tabs>
          <w:tab w:val="left" w:pos="6300"/>
        </w:tabs>
        <w:suppressAutoHyphens/>
        <w:snapToGrid w:val="0"/>
        <w:spacing w:line="500" w:lineRule="exact"/>
        <w:ind w:right="960" w:firstLine="6000" w:firstLineChars="25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0AFBDD2E">
      <w:pPr>
        <w:tabs>
          <w:tab w:val="left" w:pos="6300"/>
        </w:tabs>
        <w:suppressAutoHyphens/>
        <w:snapToGrid w:val="0"/>
        <w:spacing w:line="420" w:lineRule="exact"/>
        <w:jc w:val="left"/>
        <w:rPr>
          <w:color w:val="000000" w:themeColor="text1"/>
          <w:kern w:val="0"/>
          <w:sz w:val="24"/>
          <w:szCs w:val="24"/>
          <w:highlight w:val="none"/>
          <w14:textFill>
            <w14:solidFill>
              <w14:schemeClr w14:val="tx1"/>
            </w14:solidFill>
          </w14:textFill>
        </w:rPr>
      </w:pPr>
    </w:p>
    <w:p w14:paraId="7B60D7E4">
      <w:pPr>
        <w:tabs>
          <w:tab w:val="left" w:pos="6300"/>
        </w:tabs>
        <w:suppressAutoHyphens/>
        <w:snapToGrid w:val="0"/>
        <w:spacing w:line="420" w:lineRule="exact"/>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填写时应注意以下事项：</w:t>
      </w:r>
    </w:p>
    <w:p w14:paraId="4D475025">
      <w:pPr>
        <w:tabs>
          <w:tab w:val="left" w:pos="6300"/>
        </w:tabs>
        <w:suppressAutoHyphens/>
        <w:snapToGrid w:val="0"/>
        <w:spacing w:line="420" w:lineRule="exact"/>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1.从业人员、营业收入、资产总额填报上一年度数据，无上一年度数据的新成立企业可不填报。</w:t>
      </w:r>
    </w:p>
    <w:p w14:paraId="43DA8145">
      <w:pPr>
        <w:tabs>
          <w:tab w:val="left" w:pos="6300"/>
        </w:tabs>
        <w:suppressAutoHyphens/>
        <w:snapToGrid w:val="0"/>
        <w:spacing w:line="420" w:lineRule="exact"/>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2.中小企业应当按照《中小企业划型标准规定》（工信部联企业〔2011〕300号），如实填写并提交《中小企业声明函》。</w:t>
      </w:r>
    </w:p>
    <w:p w14:paraId="309E0823">
      <w:pPr>
        <w:tabs>
          <w:tab w:val="left" w:pos="6300"/>
        </w:tabs>
        <w:suppressAutoHyphens/>
        <w:snapToGrid w:val="0"/>
        <w:spacing w:line="420" w:lineRule="exact"/>
        <w:ind w:firstLine="480" w:firstLineChars="200"/>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3.供应商填写《中小企业声明函》中所属行业时，应与采购文件第一篇“采购标的对应的中小企业划分标准所属行业”中填写的所属行业一致。</w:t>
      </w:r>
    </w:p>
    <w:p w14:paraId="39AAF8E9">
      <w:pPr>
        <w:tabs>
          <w:tab w:val="left" w:pos="6300"/>
        </w:tabs>
        <w:suppressAutoHyphens/>
        <w:snapToGrid w:val="0"/>
        <w:spacing w:line="420" w:lineRule="exact"/>
        <w:ind w:firstLine="482" w:firstLineChars="200"/>
        <w:jc w:val="left"/>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4.本声明函“企业名称（盖章）”处为供应商盖章。</w:t>
      </w:r>
    </w:p>
    <w:p w14:paraId="6F1BE672">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r>
        <w:rPr>
          <w:color w:val="000000" w:themeColor="text1"/>
          <w:sz w:val="24"/>
          <w:szCs w:val="24"/>
          <w:highlight w:val="none"/>
          <w14:textFill>
            <w14:solidFill>
              <w14:schemeClr w14:val="tx1"/>
            </w14:solidFill>
          </w14:textFill>
        </w:rPr>
        <w:t>注：各行业划型标准：</w:t>
      </w:r>
    </w:p>
    <w:p w14:paraId="1C64A185">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5B9539C4">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D5F4DD">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1F81E6">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C73690">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84FC43">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CEA141">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0D31D4">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3D4531">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9444F6">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67B3D">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52C641">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8C5F16">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28C707">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683116">
      <w:pPr>
        <w:tabs>
          <w:tab w:val="left" w:pos="6300"/>
        </w:tabs>
        <w:suppressAutoHyphen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2FCECB">
      <w:pPr>
        <w:tabs>
          <w:tab w:val="left" w:pos="6300"/>
        </w:tabs>
        <w:suppressAutoHyphens/>
        <w:snapToGrid w:val="0"/>
        <w:spacing w:line="5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r>
        <w:rPr>
          <w:rFonts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（2）监狱企业证明文件</w:t>
      </w:r>
    </w:p>
    <w:p w14:paraId="051D0543">
      <w:pPr>
        <w:tabs>
          <w:tab w:val="left" w:pos="6300"/>
        </w:tabs>
        <w:snapToGrid w:val="0"/>
        <w:spacing w:line="360" w:lineRule="auto"/>
        <w:ind w:firstLine="480" w:firstLineChars="200"/>
        <w:rPr>
          <w:rFonts w:hint="eastAsia" w:ascii="宋体" w:hAnsi="宋体"/>
          <w:color w:val="000000" w:themeColor="text1"/>
          <w:sz w:val="29"/>
          <w:szCs w:val="29"/>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以省级以上监狱管理局、戒毒管理局（含新疆生产建设兵团）出具的属于监狱企业的证明文件为准</w:t>
      </w:r>
      <w:r>
        <w:rPr>
          <w:rFonts w:hint="eastAsia" w:ascii="宋体" w:hAnsi="宋体"/>
          <w:color w:val="000000" w:themeColor="text1"/>
          <w:sz w:val="29"/>
          <w:szCs w:val="29"/>
          <w:highlight w:val="none"/>
          <w14:textFill>
            <w14:solidFill>
              <w14:schemeClr w14:val="tx1"/>
            </w14:solidFill>
          </w14:textFill>
        </w:rPr>
        <w:t>。</w:t>
      </w:r>
    </w:p>
    <w:p w14:paraId="455F81B4">
      <w:pPr>
        <w:tabs>
          <w:tab w:val="left" w:pos="6300"/>
        </w:tabs>
        <w:snapToGrid w:val="0"/>
        <w:spacing w:line="360" w:lineRule="auto"/>
        <w:ind w:firstLine="580" w:firstLineChars="200"/>
        <w:rPr>
          <w:rFonts w:hint="eastAsia" w:ascii="宋体" w:hAnsi="宋体"/>
          <w:color w:val="000000" w:themeColor="text1"/>
          <w:sz w:val="29"/>
          <w:szCs w:val="29"/>
          <w:highlight w:val="none"/>
          <w14:textFill>
            <w14:solidFill>
              <w14:schemeClr w14:val="tx1"/>
            </w14:solidFill>
          </w14:textFill>
        </w:rPr>
      </w:pPr>
    </w:p>
    <w:p w14:paraId="7BFFB03A">
      <w:pPr>
        <w:tabs>
          <w:tab w:val="left" w:pos="6300"/>
        </w:tabs>
        <w:snapToGrid w:val="0"/>
        <w:spacing w:line="360" w:lineRule="auto"/>
        <w:ind w:firstLine="580" w:firstLineChars="200"/>
        <w:rPr>
          <w:rFonts w:hint="eastAsia" w:ascii="宋体" w:hAnsi="宋体"/>
          <w:color w:val="000000" w:themeColor="text1"/>
          <w:sz w:val="29"/>
          <w:szCs w:val="29"/>
          <w:highlight w:val="none"/>
          <w14:textFill>
            <w14:solidFill>
              <w14:schemeClr w14:val="tx1"/>
            </w14:solidFill>
          </w14:textFill>
        </w:rPr>
      </w:pPr>
    </w:p>
    <w:p w14:paraId="1B18991C">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（3）残疾人福利性单位声明函（格式）</w:t>
      </w:r>
    </w:p>
    <w:p w14:paraId="19B67A5A">
      <w:pPr>
        <w:tabs>
          <w:tab w:val="left" w:pos="6300"/>
        </w:tabs>
        <w:snapToGrid w:val="0"/>
        <w:spacing w:line="360" w:lineRule="auto"/>
        <w:ind w:firstLine="560" w:firstLineChars="200"/>
        <w:jc w:val="center"/>
        <w:rPr>
          <w:rFonts w:hint="eastAsia"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残疾人福利性单位声明函</w:t>
      </w:r>
    </w:p>
    <w:p w14:paraId="0880847F">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67BFA6">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本单位对上述声明的真实性负责。如有虚假，将依法承担相应责任。</w:t>
      </w:r>
    </w:p>
    <w:p w14:paraId="38301008">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26E3DCBF">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0E985D10">
      <w:pPr>
        <w:tabs>
          <w:tab w:val="left" w:pos="63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供应商名称（盖章）：</w:t>
      </w:r>
    </w:p>
    <w:p w14:paraId="0636E1D8">
      <w:pPr>
        <w:tabs>
          <w:tab w:val="left" w:pos="6300"/>
        </w:tabs>
        <w:snapToGrid w:val="0"/>
        <w:spacing w:line="360" w:lineRule="auto"/>
        <w:ind w:firstLine="57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p>
    <w:p w14:paraId="0282C356">
      <w:pPr>
        <w:tabs>
          <w:tab w:val="left" w:pos="6300"/>
        </w:tabs>
        <w:snapToGrid w:val="0"/>
        <w:spacing w:line="500" w:lineRule="exact"/>
        <w:jc w:val="left"/>
        <w:rPr>
          <w:rFonts w:hint="eastAsia" w:ascii="宋体" w:hAnsi="宋体"/>
          <w:color w:val="000000" w:themeColor="text1"/>
          <w:highlight w:val="none"/>
          <w14:textFill>
            <w14:solidFill>
              <w14:schemeClr w14:val="tx1"/>
            </w14:solidFill>
          </w14:textFill>
        </w:rPr>
      </w:pPr>
    </w:p>
    <w:p w14:paraId="6D8C5FA1">
      <w:pPr>
        <w:tabs>
          <w:tab w:val="left" w:pos="6300"/>
        </w:tabs>
        <w:snapToGrid w:val="0"/>
        <w:spacing w:line="500" w:lineRule="exact"/>
        <w:ind w:firstLine="57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若成交供应商为残疾人福利性单位的，将在结果公告时公告其《残疾人福利性单位声明函》。</w:t>
      </w:r>
    </w:p>
    <w:p w14:paraId="3D3D95D5">
      <w:pPr>
        <w:tabs>
          <w:tab w:val="left" w:pos="6300"/>
        </w:tabs>
        <w:snapToGrid w:val="0"/>
        <w:spacing w:line="500" w:lineRule="exact"/>
        <w:jc w:val="left"/>
        <w:rPr>
          <w:rFonts w:hint="eastAsia" w:ascii="宋体" w:hAnsi="宋体"/>
          <w:color w:val="000000" w:themeColor="text1"/>
          <w:highlight w:val="none"/>
          <w14:textFill>
            <w14:solidFill>
              <w14:schemeClr w14:val="tx1"/>
            </w14:solidFill>
          </w14:textFill>
        </w:rPr>
      </w:pPr>
    </w:p>
    <w:p w14:paraId="7EA9DDF9">
      <w:pPr>
        <w:tabs>
          <w:tab w:val="left" w:pos="6300"/>
        </w:tabs>
        <w:snapToGrid w:val="0"/>
        <w:spacing w:line="500" w:lineRule="exact"/>
        <w:jc w:val="left"/>
        <w:rPr>
          <w:rFonts w:hint="eastAsia" w:ascii="宋体" w:hAnsi="宋体"/>
          <w:color w:val="000000" w:themeColor="text1"/>
          <w:highlight w:val="none"/>
          <w14:textFill>
            <w14:solidFill>
              <w14:schemeClr w14:val="tx1"/>
            </w14:solidFill>
          </w14:textFill>
        </w:rPr>
      </w:pPr>
    </w:p>
    <w:p w14:paraId="55B5923E">
      <w:pPr>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2.其他与项目有关的资料（自附）</w:t>
      </w:r>
    </w:p>
    <w:p w14:paraId="31B826DF">
      <w:pPr>
        <w:ind w:firstLine="480" w:firstLineChars="200"/>
        <w:jc w:val="left"/>
        <w:rPr>
          <w:rFonts w:hint="eastAsia" w:ascii="宋体" w:hAnsi="宋体"/>
          <w:color w:val="000000" w:themeColor="text1"/>
          <w:sz w:val="24"/>
          <w:szCs w:val="24"/>
          <w:highlight w:val="none"/>
          <w14:textFill>
            <w14:solidFill>
              <w14:schemeClr w14:val="tx1"/>
            </w14:solidFill>
          </w14:textFill>
        </w:rPr>
      </w:pPr>
    </w:p>
    <w:p w14:paraId="00B80465">
      <w:pPr>
        <w:ind w:firstLine="480" w:firstLineChars="200"/>
        <w:jc w:val="left"/>
        <w:rPr>
          <w:rFonts w:hint="eastAsia" w:ascii="宋体" w:hAnsi="宋体"/>
          <w:color w:val="000000" w:themeColor="text1"/>
          <w:sz w:val="24"/>
          <w:szCs w:val="24"/>
          <w:highlight w:val="none"/>
          <w14:textFill>
            <w14:solidFill>
              <w14:schemeClr w14:val="tx1"/>
            </w14:solidFill>
          </w14:textFill>
        </w:rPr>
      </w:pPr>
    </w:p>
    <w:p w14:paraId="2E8D3FD4">
      <w:pPr>
        <w:ind w:firstLine="480" w:firstLineChars="200"/>
        <w:jc w:val="left"/>
        <w:rPr>
          <w:rFonts w:hint="eastAsia" w:ascii="宋体" w:hAnsi="宋体"/>
          <w:color w:val="000000" w:themeColor="text1"/>
          <w:sz w:val="24"/>
          <w:szCs w:val="24"/>
          <w:highlight w:val="none"/>
          <w14:textFill>
            <w14:solidFill>
              <w14:schemeClr w14:val="tx1"/>
            </w14:solidFill>
          </w14:textFill>
        </w:rPr>
      </w:pPr>
    </w:p>
    <w:p w14:paraId="7BD67723">
      <w:pPr>
        <w:ind w:firstLine="480" w:firstLineChars="200"/>
        <w:jc w:val="left"/>
        <w:rPr>
          <w:rFonts w:hint="eastAsia" w:ascii="宋体" w:hAnsi="宋体"/>
          <w:color w:val="000000" w:themeColor="text1"/>
          <w:sz w:val="24"/>
          <w:szCs w:val="24"/>
          <w:highlight w:val="none"/>
          <w14:textFill>
            <w14:solidFill>
              <w14:schemeClr w14:val="tx1"/>
            </w14:solidFill>
          </w14:textFill>
        </w:rPr>
      </w:pPr>
    </w:p>
    <w:p w14:paraId="6DA57E39">
      <w:pPr>
        <w:jc w:val="left"/>
        <w:rPr>
          <w:rFonts w:hint="eastAsia" w:ascii="宋体" w:hAnsi="宋体"/>
          <w:color w:val="000000" w:themeColor="text1"/>
          <w:sz w:val="24"/>
          <w:szCs w:val="24"/>
          <w:highlight w:val="none"/>
          <w14:textFill>
            <w14:solidFill>
              <w14:schemeClr w14:val="tx1"/>
            </w14:solidFill>
          </w14:textFill>
        </w:rPr>
      </w:pPr>
    </w:p>
    <w:p w14:paraId="00E846B9">
      <w:pPr>
        <w:tabs>
          <w:tab w:val="left" w:pos="6300"/>
        </w:tabs>
        <w:snapToGrid w:val="0"/>
        <w:spacing w:line="500" w:lineRule="exact"/>
        <w:rPr>
          <w:rFonts w:hint="eastAsia" w:ascii="宋体" w:hAnsi="宋体"/>
          <w:color w:val="000000" w:themeColor="text1"/>
          <w:sz w:val="24"/>
          <w:szCs w:val="24"/>
          <w:highlight w:val="none"/>
          <w14:textFill>
            <w14:solidFill>
              <w14:schemeClr w14:val="tx1"/>
            </w14:solidFill>
          </w14:textFill>
        </w:rPr>
      </w:pPr>
    </w:p>
    <w:p w14:paraId="69EDDDFA">
      <w:pPr>
        <w:tabs>
          <w:tab w:val="left" w:pos="6300"/>
        </w:tabs>
        <w:snapToGrid w:val="0"/>
        <w:spacing w:line="500" w:lineRule="exact"/>
        <w:rPr>
          <w:rFonts w:hint="eastAsia" w:ascii="宋体" w:hAnsi="宋体"/>
          <w:color w:val="000000" w:themeColor="text1"/>
          <w:sz w:val="24"/>
          <w:szCs w:val="24"/>
          <w:highlight w:val="none"/>
          <w14:textFill>
            <w14:solidFill>
              <w14:schemeClr w14:val="tx1"/>
            </w14:solidFill>
          </w14:textFill>
        </w:rPr>
      </w:pPr>
    </w:p>
    <w:p w14:paraId="7BEB2B97">
      <w:pPr>
        <w:tabs>
          <w:tab w:val="left" w:pos="6300"/>
        </w:tabs>
        <w:snapToGrid w:val="0"/>
        <w:spacing w:line="5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（结束）</w:t>
      </w:r>
      <w:r>
        <w:rPr>
          <w:color w:val="000000" w:themeColor="text1"/>
          <w:sz w:val="24"/>
          <w:szCs w:val="24"/>
          <w:highlight w:val="none"/>
          <w14:textFill>
            <w14:solidFill>
              <w14:schemeClr w14:val="tx1"/>
            </w14:solidFill>
          </w14:textFill>
        </w:rPr>
        <w:br w:type="page"/>
      </w:r>
    </w:p>
    <w:p w14:paraId="07F440A9">
      <w:pPr>
        <w:jc w:val="center"/>
        <w:rPr>
          <w:rFonts w:eastAsia="黑体"/>
          <w:b/>
          <w:bCs/>
          <w:color w:val="000000" w:themeColor="text1"/>
          <w:sz w:val="44"/>
          <w:szCs w:val="44"/>
          <w:highlight w:val="none"/>
          <w14:textFill>
            <w14:solidFill>
              <w14:schemeClr w14:val="tx1"/>
            </w14:solidFill>
          </w14:textFill>
        </w:rPr>
      </w:pPr>
    </w:p>
    <w:p w14:paraId="40615029">
      <w:pPr>
        <w:jc w:val="center"/>
        <w:rPr>
          <w:rFonts w:eastAsia="黑体"/>
          <w:b/>
          <w:bCs/>
          <w:color w:val="000000" w:themeColor="text1"/>
          <w:sz w:val="44"/>
          <w:szCs w:val="44"/>
          <w:highlight w:val="none"/>
          <w14:textFill>
            <w14:solidFill>
              <w14:schemeClr w14:val="tx1"/>
            </w14:solidFill>
          </w14:textFill>
        </w:rPr>
      </w:pPr>
      <w:r>
        <w:rPr>
          <w:rFonts w:hint="eastAsia" w:eastAsia="黑体"/>
          <w:b/>
          <w:bCs/>
          <w:color w:val="000000" w:themeColor="text1"/>
          <w:sz w:val="44"/>
          <w:szCs w:val="44"/>
          <w:highlight w:val="none"/>
          <w14:textFill>
            <w14:solidFill>
              <w14:schemeClr w14:val="tx1"/>
            </w14:solidFill>
          </w14:textFill>
        </w:rPr>
        <w:t>采购文件获取登记表</w:t>
      </w:r>
    </w:p>
    <w:p w14:paraId="704D1AA5">
      <w:pPr>
        <w:jc w:val="left"/>
        <w:rPr>
          <w:rFonts w:eastAsia="黑体"/>
          <w:b/>
          <w:bCs/>
          <w:color w:val="000000" w:themeColor="text1"/>
          <w:spacing w:val="40"/>
          <w:highlight w:val="none"/>
          <w14:textFill>
            <w14:solidFill>
              <w14:schemeClr w14:val="tx1"/>
            </w14:solidFill>
          </w14:textFill>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521"/>
      </w:tblGrid>
      <w:tr w14:paraId="3C8E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top w:val="double" w:color="auto" w:sz="4" w:space="0"/>
              <w:left w:val="double" w:color="auto" w:sz="4" w:space="0"/>
            </w:tcBorders>
            <w:vAlign w:val="center"/>
          </w:tcPr>
          <w:p w14:paraId="59041F68">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项目号</w:t>
            </w:r>
          </w:p>
        </w:tc>
        <w:tc>
          <w:tcPr>
            <w:tcW w:w="6521" w:type="dxa"/>
            <w:tcBorders>
              <w:top w:val="double" w:color="auto" w:sz="4" w:space="0"/>
              <w:right w:val="double" w:color="auto" w:sz="4" w:space="0"/>
            </w:tcBorders>
            <w:vAlign w:val="center"/>
          </w:tcPr>
          <w:p w14:paraId="0E35AF2D">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CQCBJQ2506-217</w:t>
            </w:r>
          </w:p>
        </w:tc>
      </w:tr>
      <w:tr w14:paraId="2F82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tcBorders>
            <w:vAlign w:val="center"/>
          </w:tcPr>
          <w:p w14:paraId="31D727BF">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项目名称</w:t>
            </w:r>
          </w:p>
        </w:tc>
        <w:tc>
          <w:tcPr>
            <w:tcW w:w="6521" w:type="dxa"/>
            <w:tcBorders>
              <w:right w:val="double" w:color="auto" w:sz="4" w:space="0"/>
            </w:tcBorders>
            <w:vAlign w:val="center"/>
          </w:tcPr>
          <w:p w14:paraId="261C8761">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2025年火场通讯设备采购</w:t>
            </w:r>
          </w:p>
        </w:tc>
      </w:tr>
      <w:tr w14:paraId="6025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tcBorders>
            <w:vAlign w:val="center"/>
          </w:tcPr>
          <w:p w14:paraId="38F11082">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供应商名称</w:t>
            </w:r>
          </w:p>
        </w:tc>
        <w:tc>
          <w:tcPr>
            <w:tcW w:w="6521" w:type="dxa"/>
            <w:tcBorders>
              <w:right w:val="double" w:color="auto" w:sz="4" w:space="0"/>
            </w:tcBorders>
            <w:vAlign w:val="center"/>
          </w:tcPr>
          <w:p w14:paraId="131322AC">
            <w:pPr>
              <w:jc w:val="center"/>
              <w:rPr>
                <w:color w:val="000000" w:themeColor="text1"/>
                <w:sz w:val="30"/>
                <w:szCs w:val="30"/>
                <w:highlight w:val="none"/>
                <w14:textFill>
                  <w14:solidFill>
                    <w14:schemeClr w14:val="tx1"/>
                  </w14:solidFill>
                </w14:textFill>
              </w:rPr>
            </w:pPr>
          </w:p>
        </w:tc>
      </w:tr>
      <w:tr w14:paraId="0B13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tcBorders>
            <w:vAlign w:val="center"/>
          </w:tcPr>
          <w:p w14:paraId="261BF7B9">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税号</w:t>
            </w:r>
          </w:p>
        </w:tc>
        <w:tc>
          <w:tcPr>
            <w:tcW w:w="6521" w:type="dxa"/>
            <w:tcBorders>
              <w:right w:val="double" w:color="auto" w:sz="4" w:space="0"/>
            </w:tcBorders>
            <w:vAlign w:val="center"/>
          </w:tcPr>
          <w:p w14:paraId="19FB3672">
            <w:pPr>
              <w:jc w:val="center"/>
              <w:rPr>
                <w:color w:val="000000" w:themeColor="text1"/>
                <w:sz w:val="30"/>
                <w:szCs w:val="30"/>
                <w:highlight w:val="none"/>
                <w14:textFill>
                  <w14:solidFill>
                    <w14:schemeClr w14:val="tx1"/>
                  </w14:solidFill>
                </w14:textFill>
              </w:rPr>
            </w:pPr>
          </w:p>
          <w:p w14:paraId="55647CC5">
            <w:pPr>
              <w:jc w:val="center"/>
              <w:rPr>
                <w:color w:val="000000" w:themeColor="text1"/>
                <w:sz w:val="30"/>
                <w:szCs w:val="30"/>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是否开票：</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是 </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w:t>
            </w:r>
          </w:p>
        </w:tc>
      </w:tr>
      <w:tr w14:paraId="7AA7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tcBorders>
            <w:vAlign w:val="center"/>
          </w:tcPr>
          <w:p w14:paraId="020C71F8">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联系人</w:t>
            </w:r>
          </w:p>
        </w:tc>
        <w:tc>
          <w:tcPr>
            <w:tcW w:w="6521" w:type="dxa"/>
            <w:tcBorders>
              <w:right w:val="double" w:color="auto" w:sz="4" w:space="0"/>
            </w:tcBorders>
            <w:vAlign w:val="center"/>
          </w:tcPr>
          <w:p w14:paraId="327CD943">
            <w:pPr>
              <w:jc w:val="center"/>
              <w:rPr>
                <w:color w:val="000000" w:themeColor="text1"/>
                <w:sz w:val="30"/>
                <w:szCs w:val="30"/>
                <w:highlight w:val="none"/>
                <w14:textFill>
                  <w14:solidFill>
                    <w14:schemeClr w14:val="tx1"/>
                  </w14:solidFill>
                </w14:textFill>
              </w:rPr>
            </w:pPr>
          </w:p>
        </w:tc>
      </w:tr>
      <w:tr w14:paraId="2942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3085" w:type="dxa"/>
            <w:tcBorders>
              <w:left w:val="double" w:color="auto" w:sz="4" w:space="0"/>
            </w:tcBorders>
            <w:vAlign w:val="center"/>
          </w:tcPr>
          <w:p w14:paraId="0E7B0DC5">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手机</w:t>
            </w:r>
          </w:p>
        </w:tc>
        <w:tc>
          <w:tcPr>
            <w:tcW w:w="6521" w:type="dxa"/>
            <w:tcBorders>
              <w:right w:val="double" w:color="auto" w:sz="4" w:space="0"/>
            </w:tcBorders>
            <w:vAlign w:val="center"/>
          </w:tcPr>
          <w:p w14:paraId="21CBF9FD">
            <w:pPr>
              <w:jc w:val="center"/>
              <w:rPr>
                <w:color w:val="000000" w:themeColor="text1"/>
                <w:sz w:val="30"/>
                <w:szCs w:val="30"/>
                <w:highlight w:val="none"/>
                <w14:textFill>
                  <w14:solidFill>
                    <w14:schemeClr w14:val="tx1"/>
                  </w14:solidFill>
                </w14:textFill>
              </w:rPr>
            </w:pPr>
          </w:p>
        </w:tc>
      </w:tr>
      <w:tr w14:paraId="53B0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tcBorders>
            <w:vAlign w:val="center"/>
          </w:tcPr>
          <w:p w14:paraId="67048EEB">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办公电话</w:t>
            </w:r>
          </w:p>
        </w:tc>
        <w:tc>
          <w:tcPr>
            <w:tcW w:w="6521" w:type="dxa"/>
            <w:tcBorders>
              <w:right w:val="double" w:color="auto" w:sz="4" w:space="0"/>
            </w:tcBorders>
            <w:vAlign w:val="center"/>
          </w:tcPr>
          <w:p w14:paraId="34EBC34F">
            <w:pPr>
              <w:jc w:val="center"/>
              <w:rPr>
                <w:color w:val="000000" w:themeColor="text1"/>
                <w:sz w:val="30"/>
                <w:szCs w:val="30"/>
                <w:highlight w:val="none"/>
                <w14:textFill>
                  <w14:solidFill>
                    <w14:schemeClr w14:val="tx1"/>
                  </w14:solidFill>
                </w14:textFill>
              </w:rPr>
            </w:pPr>
          </w:p>
        </w:tc>
      </w:tr>
      <w:tr w14:paraId="6C5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tcBorders>
            <w:vAlign w:val="center"/>
          </w:tcPr>
          <w:p w14:paraId="35BCD146">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传真</w:t>
            </w:r>
          </w:p>
        </w:tc>
        <w:tc>
          <w:tcPr>
            <w:tcW w:w="6521" w:type="dxa"/>
            <w:tcBorders>
              <w:right w:val="double" w:color="auto" w:sz="4" w:space="0"/>
            </w:tcBorders>
            <w:vAlign w:val="center"/>
          </w:tcPr>
          <w:p w14:paraId="27B52BB2">
            <w:pPr>
              <w:jc w:val="center"/>
              <w:rPr>
                <w:color w:val="000000" w:themeColor="text1"/>
                <w:sz w:val="30"/>
                <w:szCs w:val="30"/>
                <w:highlight w:val="none"/>
                <w14:textFill>
                  <w14:solidFill>
                    <w14:schemeClr w14:val="tx1"/>
                  </w14:solidFill>
                </w14:textFill>
              </w:rPr>
            </w:pPr>
          </w:p>
        </w:tc>
      </w:tr>
      <w:tr w14:paraId="1ED7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tcBorders>
            <w:vAlign w:val="center"/>
          </w:tcPr>
          <w:p w14:paraId="54D16BE9">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E-mail</w:t>
            </w:r>
          </w:p>
        </w:tc>
        <w:tc>
          <w:tcPr>
            <w:tcW w:w="6521" w:type="dxa"/>
            <w:tcBorders>
              <w:right w:val="double" w:color="auto" w:sz="4" w:space="0"/>
            </w:tcBorders>
            <w:vAlign w:val="center"/>
          </w:tcPr>
          <w:p w14:paraId="0125B685">
            <w:pPr>
              <w:jc w:val="center"/>
              <w:rPr>
                <w:color w:val="000000" w:themeColor="text1"/>
                <w:sz w:val="30"/>
                <w:szCs w:val="30"/>
                <w:highlight w:val="none"/>
                <w14:textFill>
                  <w14:solidFill>
                    <w14:schemeClr w14:val="tx1"/>
                  </w14:solidFill>
                </w14:textFill>
              </w:rPr>
            </w:pPr>
          </w:p>
        </w:tc>
      </w:tr>
      <w:tr w14:paraId="17A4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5" w:type="dxa"/>
            <w:tcBorders>
              <w:left w:val="double" w:color="auto" w:sz="4" w:space="0"/>
              <w:bottom w:val="double" w:color="auto" w:sz="4" w:space="0"/>
            </w:tcBorders>
            <w:vAlign w:val="center"/>
          </w:tcPr>
          <w:p w14:paraId="55758576">
            <w:pPr>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单位地址</w:t>
            </w:r>
          </w:p>
        </w:tc>
        <w:tc>
          <w:tcPr>
            <w:tcW w:w="6521" w:type="dxa"/>
            <w:tcBorders>
              <w:bottom w:val="double" w:color="auto" w:sz="4" w:space="0"/>
              <w:right w:val="double" w:color="auto" w:sz="4" w:space="0"/>
            </w:tcBorders>
            <w:vAlign w:val="center"/>
          </w:tcPr>
          <w:p w14:paraId="188DEC07">
            <w:pPr>
              <w:jc w:val="left"/>
              <w:rPr>
                <w:color w:val="000000" w:themeColor="text1"/>
                <w:sz w:val="30"/>
                <w:szCs w:val="30"/>
                <w:highlight w:val="none"/>
                <w14:textFill>
                  <w14:solidFill>
                    <w14:schemeClr w14:val="tx1"/>
                  </w14:solidFill>
                </w14:textFill>
              </w:rPr>
            </w:pPr>
          </w:p>
        </w:tc>
      </w:tr>
    </w:tbl>
    <w:p w14:paraId="2038CF52">
      <w:pP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注：发票现为数电发票，于标书费支付后5个工作日内开具，请于国家税务总局电子税务局——我要办税——税务数字账户——全量发票查询处，查询下载。</w:t>
      </w:r>
    </w:p>
    <w:p w14:paraId="3E7648C4">
      <w:pPr>
        <w:rPr>
          <w:rFonts w:hint="eastAsia" w:ascii="宋体" w:hAnsi="宋体"/>
          <w:b/>
          <w:bCs/>
          <w:color w:val="000000" w:themeColor="text1"/>
          <w:sz w:val="24"/>
          <w:highlight w:val="none"/>
          <w14:textFill>
            <w14:solidFill>
              <w14:schemeClr w14:val="tx1"/>
            </w14:solidFill>
          </w14:textFill>
        </w:rPr>
      </w:pPr>
    </w:p>
    <w:p w14:paraId="09E75BA1">
      <w:pPr>
        <w:tabs>
          <w:tab w:val="left" w:pos="6300"/>
        </w:tabs>
        <w:snapToGrid w:val="0"/>
        <w:spacing w:line="500" w:lineRule="exact"/>
        <w:jc w:val="center"/>
        <w:rPr>
          <w:color w:val="000000" w:themeColor="text1"/>
          <w:sz w:val="24"/>
          <w:szCs w:val="24"/>
          <w:highlight w:val="none"/>
          <w14:textFill>
            <w14:solidFill>
              <w14:schemeClr w14:val="tx1"/>
            </w14:solidFill>
          </w14:textFill>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宋体-繁">
    <w:altName w:val="宋体"/>
    <w:panose1 w:val="02010600040101010101"/>
    <w:charset w:val="86"/>
    <w:family w:val="auto"/>
    <w:pitch w:val="default"/>
    <w:sig w:usb0="00000000" w:usb1="00000000" w:usb2="00000000" w:usb3="00000000" w:csb0="0004009F" w:csb1="DFD70000"/>
  </w:font>
  <w:font w:name="_x000B__x000C_">
    <w:altName w:val="Segoe Print"/>
    <w:panose1 w:val="00000000000000000000"/>
    <w:charset w:val="00"/>
    <w:family w:val="roman"/>
    <w:pitch w:val="default"/>
    <w:sig w:usb0="00000000" w:usb1="00000000" w:usb2="00000000" w:usb3="00000000" w:csb0="00000001" w:csb1="00000000"/>
  </w:font>
  <w:font w:name="苹方-简">
    <w:altName w:val="宋体"/>
    <w:panose1 w:val="020B0400000000000000"/>
    <w:charset w:val="86"/>
    <w:family w:val="auto"/>
    <w:pitch w:val="default"/>
    <w:sig w:usb0="00000000" w:usb1="00000000" w:usb2="00000017"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DB2F">
    <w:pPr>
      <w:pStyle w:val="35"/>
      <w:framePr w:wrap="around" w:vAnchor="text" w:hAnchor="margin" w:xAlign="center" w:y="1"/>
      <w:rPr>
        <w:rStyle w:val="62"/>
      </w:rPr>
    </w:pPr>
    <w:r>
      <w:fldChar w:fldCharType="begin"/>
    </w:r>
    <w:r>
      <w:rPr>
        <w:rStyle w:val="62"/>
      </w:rPr>
      <w:instrText xml:space="preserve">PAGE  </w:instrText>
    </w:r>
    <w:r>
      <w:fldChar w:fldCharType="end"/>
    </w:r>
  </w:p>
  <w:p w14:paraId="400A8FD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9AD2">
    <w:pPr>
      <w:pStyle w:val="35"/>
      <w:framePr w:wrap="around" w:vAnchor="text" w:hAnchor="margin" w:xAlign="center" w:y="1"/>
      <w:rPr>
        <w:rStyle w:val="62"/>
      </w:rPr>
    </w:pPr>
  </w:p>
  <w:p w14:paraId="10FF2AF5">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6C85">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76D141D">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2950">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AA44">
    <w:pPr>
      <w:pStyle w:val="36"/>
    </w:pPr>
    <w:r>
      <w:rPr>
        <w:rFonts w:hint="eastAsia"/>
      </w:rPr>
      <w:t xml:space="preserve">重庆市中基致信招标代理有限公司                                                      </w:t>
    </w:r>
    <w:r>
      <w:t xml:space="preserve">     </w:t>
    </w:r>
    <w:r>
      <w:rPr>
        <w:rFonts w:hint="eastAsia"/>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0038">
    <w:pPr>
      <w:pStyle w:val="36"/>
    </w:pPr>
    <w:r>
      <w:rPr>
        <w:rFonts w:hint="eastAsia"/>
      </w:rPr>
      <w:t xml:space="preserve">重庆市中基致信招标代理有限公司                                                      </w:t>
    </w:r>
    <w:r>
      <w:t xml:space="preserve">     </w:t>
    </w:r>
    <w:r>
      <w:rPr>
        <w:rFonts w:hint="eastAsia"/>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9EA66">
    <w:pPr>
      <w:pStyle w:val="36"/>
    </w:pPr>
    <w:r>
      <w:rPr>
        <w:rFonts w:hint="eastAsia"/>
      </w:rPr>
      <w:t xml:space="preserve">重庆市中基致信招标代理有限公司                                                      </w:t>
    </w:r>
    <w:r>
      <w:t xml:space="preserve">     </w:t>
    </w:r>
    <w:r>
      <w:rPr>
        <w:rFonts w:hint="eastAsia"/>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0DC4"/>
    <w:rsid w:val="0000179A"/>
    <w:rsid w:val="00001E90"/>
    <w:rsid w:val="00002121"/>
    <w:rsid w:val="000040DE"/>
    <w:rsid w:val="00004CA8"/>
    <w:rsid w:val="00004E1A"/>
    <w:rsid w:val="00006B3E"/>
    <w:rsid w:val="00006F86"/>
    <w:rsid w:val="00006FAA"/>
    <w:rsid w:val="00007528"/>
    <w:rsid w:val="000075E8"/>
    <w:rsid w:val="0000767A"/>
    <w:rsid w:val="00007E86"/>
    <w:rsid w:val="0001002D"/>
    <w:rsid w:val="000106E5"/>
    <w:rsid w:val="00011A48"/>
    <w:rsid w:val="00011B4B"/>
    <w:rsid w:val="00011FEE"/>
    <w:rsid w:val="00012920"/>
    <w:rsid w:val="000132A7"/>
    <w:rsid w:val="00013454"/>
    <w:rsid w:val="000134F9"/>
    <w:rsid w:val="00013F82"/>
    <w:rsid w:val="00015A5E"/>
    <w:rsid w:val="00016B79"/>
    <w:rsid w:val="00017816"/>
    <w:rsid w:val="00017DDB"/>
    <w:rsid w:val="000202A5"/>
    <w:rsid w:val="00021BFC"/>
    <w:rsid w:val="00023349"/>
    <w:rsid w:val="00023B94"/>
    <w:rsid w:val="00023DF8"/>
    <w:rsid w:val="00024976"/>
    <w:rsid w:val="00026234"/>
    <w:rsid w:val="00026BB9"/>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26B2"/>
    <w:rsid w:val="00042EA1"/>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1B32"/>
    <w:rsid w:val="0005298B"/>
    <w:rsid w:val="000529F4"/>
    <w:rsid w:val="000533A5"/>
    <w:rsid w:val="00053430"/>
    <w:rsid w:val="00053904"/>
    <w:rsid w:val="00053AFB"/>
    <w:rsid w:val="0005417C"/>
    <w:rsid w:val="000552F4"/>
    <w:rsid w:val="000568F9"/>
    <w:rsid w:val="000574AB"/>
    <w:rsid w:val="000576E1"/>
    <w:rsid w:val="00057B29"/>
    <w:rsid w:val="00061192"/>
    <w:rsid w:val="00063981"/>
    <w:rsid w:val="000645F1"/>
    <w:rsid w:val="000653C6"/>
    <w:rsid w:val="0006707C"/>
    <w:rsid w:val="00072161"/>
    <w:rsid w:val="0007233F"/>
    <w:rsid w:val="00073BB7"/>
    <w:rsid w:val="0007459B"/>
    <w:rsid w:val="00075C5F"/>
    <w:rsid w:val="000763E3"/>
    <w:rsid w:val="00077795"/>
    <w:rsid w:val="00080519"/>
    <w:rsid w:val="0008070D"/>
    <w:rsid w:val="00080A20"/>
    <w:rsid w:val="0008102B"/>
    <w:rsid w:val="00081582"/>
    <w:rsid w:val="000818A1"/>
    <w:rsid w:val="00082494"/>
    <w:rsid w:val="00083B84"/>
    <w:rsid w:val="00083E8B"/>
    <w:rsid w:val="00084F45"/>
    <w:rsid w:val="000850F5"/>
    <w:rsid w:val="00085577"/>
    <w:rsid w:val="0008593E"/>
    <w:rsid w:val="00085F90"/>
    <w:rsid w:val="00086033"/>
    <w:rsid w:val="000868BD"/>
    <w:rsid w:val="00086D6B"/>
    <w:rsid w:val="00086F80"/>
    <w:rsid w:val="00087004"/>
    <w:rsid w:val="00087882"/>
    <w:rsid w:val="00087B92"/>
    <w:rsid w:val="0009001B"/>
    <w:rsid w:val="000904AB"/>
    <w:rsid w:val="00090C5A"/>
    <w:rsid w:val="00091622"/>
    <w:rsid w:val="00091B1C"/>
    <w:rsid w:val="000921A8"/>
    <w:rsid w:val="000923FA"/>
    <w:rsid w:val="00092576"/>
    <w:rsid w:val="0009269D"/>
    <w:rsid w:val="00093E4F"/>
    <w:rsid w:val="00094140"/>
    <w:rsid w:val="000943FB"/>
    <w:rsid w:val="00094D17"/>
    <w:rsid w:val="00094F0C"/>
    <w:rsid w:val="00095A24"/>
    <w:rsid w:val="00096E3E"/>
    <w:rsid w:val="00097FF6"/>
    <w:rsid w:val="000A164E"/>
    <w:rsid w:val="000A3747"/>
    <w:rsid w:val="000A3861"/>
    <w:rsid w:val="000A49C2"/>
    <w:rsid w:val="000A5754"/>
    <w:rsid w:val="000A588D"/>
    <w:rsid w:val="000A58D1"/>
    <w:rsid w:val="000A5D17"/>
    <w:rsid w:val="000A5F16"/>
    <w:rsid w:val="000A6575"/>
    <w:rsid w:val="000A7241"/>
    <w:rsid w:val="000A72C0"/>
    <w:rsid w:val="000B0272"/>
    <w:rsid w:val="000B1483"/>
    <w:rsid w:val="000B2811"/>
    <w:rsid w:val="000B42F4"/>
    <w:rsid w:val="000B4B56"/>
    <w:rsid w:val="000B4BD9"/>
    <w:rsid w:val="000B4DA2"/>
    <w:rsid w:val="000B5AF8"/>
    <w:rsid w:val="000B621E"/>
    <w:rsid w:val="000B64C0"/>
    <w:rsid w:val="000B6523"/>
    <w:rsid w:val="000B6A62"/>
    <w:rsid w:val="000B6A82"/>
    <w:rsid w:val="000B6CF0"/>
    <w:rsid w:val="000B7377"/>
    <w:rsid w:val="000B749C"/>
    <w:rsid w:val="000B7D5E"/>
    <w:rsid w:val="000B7F54"/>
    <w:rsid w:val="000C1461"/>
    <w:rsid w:val="000C14D1"/>
    <w:rsid w:val="000C1C7C"/>
    <w:rsid w:val="000C23E6"/>
    <w:rsid w:val="000C3A1D"/>
    <w:rsid w:val="000C3E9A"/>
    <w:rsid w:val="000C4773"/>
    <w:rsid w:val="000C4915"/>
    <w:rsid w:val="000C4B4C"/>
    <w:rsid w:val="000C4FD2"/>
    <w:rsid w:val="000C6472"/>
    <w:rsid w:val="000C6AE5"/>
    <w:rsid w:val="000C6EB2"/>
    <w:rsid w:val="000C7A10"/>
    <w:rsid w:val="000C7C24"/>
    <w:rsid w:val="000C7E4E"/>
    <w:rsid w:val="000D01D9"/>
    <w:rsid w:val="000D052B"/>
    <w:rsid w:val="000D10E9"/>
    <w:rsid w:val="000D1516"/>
    <w:rsid w:val="000D1893"/>
    <w:rsid w:val="000D206B"/>
    <w:rsid w:val="000D2216"/>
    <w:rsid w:val="000D2C89"/>
    <w:rsid w:val="000D37C7"/>
    <w:rsid w:val="000D5453"/>
    <w:rsid w:val="000D5701"/>
    <w:rsid w:val="000D5FCB"/>
    <w:rsid w:val="000D63AA"/>
    <w:rsid w:val="000D68FF"/>
    <w:rsid w:val="000D6B20"/>
    <w:rsid w:val="000D6E28"/>
    <w:rsid w:val="000D79BB"/>
    <w:rsid w:val="000D7F20"/>
    <w:rsid w:val="000E0074"/>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19B"/>
    <w:rsid w:val="000F2EDE"/>
    <w:rsid w:val="000F358C"/>
    <w:rsid w:val="000F35A5"/>
    <w:rsid w:val="000F464A"/>
    <w:rsid w:val="000F52CF"/>
    <w:rsid w:val="000F5401"/>
    <w:rsid w:val="000F5BB5"/>
    <w:rsid w:val="000F5E2E"/>
    <w:rsid w:val="000F5F78"/>
    <w:rsid w:val="000F5FD6"/>
    <w:rsid w:val="000F6077"/>
    <w:rsid w:val="000F65BF"/>
    <w:rsid w:val="000F6929"/>
    <w:rsid w:val="000F6F04"/>
    <w:rsid w:val="000F7921"/>
    <w:rsid w:val="000F7DBF"/>
    <w:rsid w:val="0010014A"/>
    <w:rsid w:val="00100639"/>
    <w:rsid w:val="0010237E"/>
    <w:rsid w:val="00102544"/>
    <w:rsid w:val="0010266D"/>
    <w:rsid w:val="0010286A"/>
    <w:rsid w:val="001040CE"/>
    <w:rsid w:val="001042C7"/>
    <w:rsid w:val="00105650"/>
    <w:rsid w:val="00106CD4"/>
    <w:rsid w:val="00106FF6"/>
    <w:rsid w:val="00107149"/>
    <w:rsid w:val="00107445"/>
    <w:rsid w:val="00107E74"/>
    <w:rsid w:val="00107FD0"/>
    <w:rsid w:val="001100DA"/>
    <w:rsid w:val="001113BE"/>
    <w:rsid w:val="00111939"/>
    <w:rsid w:val="00111D5C"/>
    <w:rsid w:val="00112547"/>
    <w:rsid w:val="00113728"/>
    <w:rsid w:val="001167CA"/>
    <w:rsid w:val="00116856"/>
    <w:rsid w:val="0011789B"/>
    <w:rsid w:val="00117C75"/>
    <w:rsid w:val="00117CDC"/>
    <w:rsid w:val="00117DF9"/>
    <w:rsid w:val="0012006D"/>
    <w:rsid w:val="00120259"/>
    <w:rsid w:val="0012069A"/>
    <w:rsid w:val="00120BA7"/>
    <w:rsid w:val="001230D8"/>
    <w:rsid w:val="001234BD"/>
    <w:rsid w:val="00123756"/>
    <w:rsid w:val="0012398A"/>
    <w:rsid w:val="00123B94"/>
    <w:rsid w:val="00123DB7"/>
    <w:rsid w:val="00124D09"/>
    <w:rsid w:val="001253F8"/>
    <w:rsid w:val="001253FF"/>
    <w:rsid w:val="00125B78"/>
    <w:rsid w:val="00125DBA"/>
    <w:rsid w:val="001266BF"/>
    <w:rsid w:val="00127F11"/>
    <w:rsid w:val="0013085B"/>
    <w:rsid w:val="0013289E"/>
    <w:rsid w:val="001330DD"/>
    <w:rsid w:val="00133D16"/>
    <w:rsid w:val="00135FF6"/>
    <w:rsid w:val="0013601C"/>
    <w:rsid w:val="00136D2B"/>
    <w:rsid w:val="0013794A"/>
    <w:rsid w:val="00137EB6"/>
    <w:rsid w:val="0014072C"/>
    <w:rsid w:val="00142491"/>
    <w:rsid w:val="001429F3"/>
    <w:rsid w:val="001430CC"/>
    <w:rsid w:val="00143186"/>
    <w:rsid w:val="00143675"/>
    <w:rsid w:val="0014474A"/>
    <w:rsid w:val="00145999"/>
    <w:rsid w:val="001460CF"/>
    <w:rsid w:val="001460FA"/>
    <w:rsid w:val="001464CE"/>
    <w:rsid w:val="0014672E"/>
    <w:rsid w:val="001473BF"/>
    <w:rsid w:val="001475B4"/>
    <w:rsid w:val="00147FB4"/>
    <w:rsid w:val="0015011C"/>
    <w:rsid w:val="00150429"/>
    <w:rsid w:val="00150E1E"/>
    <w:rsid w:val="00151887"/>
    <w:rsid w:val="001518F9"/>
    <w:rsid w:val="00151911"/>
    <w:rsid w:val="00151F3B"/>
    <w:rsid w:val="001537C6"/>
    <w:rsid w:val="00153F29"/>
    <w:rsid w:val="0015429E"/>
    <w:rsid w:val="0015489A"/>
    <w:rsid w:val="00154B3C"/>
    <w:rsid w:val="00154C98"/>
    <w:rsid w:val="00154FB4"/>
    <w:rsid w:val="001556FB"/>
    <w:rsid w:val="00156D10"/>
    <w:rsid w:val="00157E6F"/>
    <w:rsid w:val="00160A1A"/>
    <w:rsid w:val="00160D3D"/>
    <w:rsid w:val="00160EA2"/>
    <w:rsid w:val="00161270"/>
    <w:rsid w:val="001625B8"/>
    <w:rsid w:val="00165715"/>
    <w:rsid w:val="001661E0"/>
    <w:rsid w:val="0016657A"/>
    <w:rsid w:val="0016695C"/>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71D"/>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190E"/>
    <w:rsid w:val="001A24BA"/>
    <w:rsid w:val="001A3732"/>
    <w:rsid w:val="001A43A9"/>
    <w:rsid w:val="001A4C8E"/>
    <w:rsid w:val="001A5897"/>
    <w:rsid w:val="001A6632"/>
    <w:rsid w:val="001A6DCC"/>
    <w:rsid w:val="001B0906"/>
    <w:rsid w:val="001B2523"/>
    <w:rsid w:val="001B3DBD"/>
    <w:rsid w:val="001B418D"/>
    <w:rsid w:val="001B4377"/>
    <w:rsid w:val="001B522C"/>
    <w:rsid w:val="001B6580"/>
    <w:rsid w:val="001B6EEA"/>
    <w:rsid w:val="001B74F5"/>
    <w:rsid w:val="001B7861"/>
    <w:rsid w:val="001B7942"/>
    <w:rsid w:val="001B7BB4"/>
    <w:rsid w:val="001C04DF"/>
    <w:rsid w:val="001C0B59"/>
    <w:rsid w:val="001C0E58"/>
    <w:rsid w:val="001C185F"/>
    <w:rsid w:val="001C1FC7"/>
    <w:rsid w:val="001C23E7"/>
    <w:rsid w:val="001C2B3A"/>
    <w:rsid w:val="001C2D6E"/>
    <w:rsid w:val="001C2F68"/>
    <w:rsid w:val="001C4803"/>
    <w:rsid w:val="001C4C12"/>
    <w:rsid w:val="001C4C9F"/>
    <w:rsid w:val="001C62F9"/>
    <w:rsid w:val="001C6F1E"/>
    <w:rsid w:val="001C6FA3"/>
    <w:rsid w:val="001C6FE0"/>
    <w:rsid w:val="001C7ABE"/>
    <w:rsid w:val="001C7CD2"/>
    <w:rsid w:val="001D100C"/>
    <w:rsid w:val="001D1A56"/>
    <w:rsid w:val="001D212D"/>
    <w:rsid w:val="001D2321"/>
    <w:rsid w:val="001D23AE"/>
    <w:rsid w:val="001D25D6"/>
    <w:rsid w:val="001D2DCD"/>
    <w:rsid w:val="001D472D"/>
    <w:rsid w:val="001D5055"/>
    <w:rsid w:val="001D581E"/>
    <w:rsid w:val="001D58BC"/>
    <w:rsid w:val="001D58CD"/>
    <w:rsid w:val="001D59A3"/>
    <w:rsid w:val="001D5D16"/>
    <w:rsid w:val="001D629E"/>
    <w:rsid w:val="001D630C"/>
    <w:rsid w:val="001D64EE"/>
    <w:rsid w:val="001D65AE"/>
    <w:rsid w:val="001E086A"/>
    <w:rsid w:val="001E1573"/>
    <w:rsid w:val="001E1837"/>
    <w:rsid w:val="001E193C"/>
    <w:rsid w:val="001E201B"/>
    <w:rsid w:val="001E20B0"/>
    <w:rsid w:val="001E210A"/>
    <w:rsid w:val="001E233D"/>
    <w:rsid w:val="001E2708"/>
    <w:rsid w:val="001E272B"/>
    <w:rsid w:val="001E2B42"/>
    <w:rsid w:val="001E2B6A"/>
    <w:rsid w:val="001E309B"/>
    <w:rsid w:val="001E38F9"/>
    <w:rsid w:val="001E4717"/>
    <w:rsid w:val="001E479D"/>
    <w:rsid w:val="001E57AC"/>
    <w:rsid w:val="001E5CAC"/>
    <w:rsid w:val="001E68DF"/>
    <w:rsid w:val="001E725F"/>
    <w:rsid w:val="001E7A23"/>
    <w:rsid w:val="001F0738"/>
    <w:rsid w:val="001F0B34"/>
    <w:rsid w:val="001F1336"/>
    <w:rsid w:val="001F13DA"/>
    <w:rsid w:val="001F1AF7"/>
    <w:rsid w:val="001F1DAB"/>
    <w:rsid w:val="001F2104"/>
    <w:rsid w:val="001F2882"/>
    <w:rsid w:val="001F2F9C"/>
    <w:rsid w:val="001F3754"/>
    <w:rsid w:val="001F3A3C"/>
    <w:rsid w:val="001F3BA0"/>
    <w:rsid w:val="001F3C12"/>
    <w:rsid w:val="001F4964"/>
    <w:rsid w:val="001F5C52"/>
    <w:rsid w:val="001F5EAF"/>
    <w:rsid w:val="001F6AA9"/>
    <w:rsid w:val="001F7063"/>
    <w:rsid w:val="001F7652"/>
    <w:rsid w:val="00200571"/>
    <w:rsid w:val="00200A34"/>
    <w:rsid w:val="00200DD0"/>
    <w:rsid w:val="002011FE"/>
    <w:rsid w:val="00202918"/>
    <w:rsid w:val="00202B04"/>
    <w:rsid w:val="00202C55"/>
    <w:rsid w:val="00203D88"/>
    <w:rsid w:val="00204936"/>
    <w:rsid w:val="00204DA3"/>
    <w:rsid w:val="00204F16"/>
    <w:rsid w:val="002053C4"/>
    <w:rsid w:val="00205903"/>
    <w:rsid w:val="0020678E"/>
    <w:rsid w:val="00206C70"/>
    <w:rsid w:val="00207568"/>
    <w:rsid w:val="002100EE"/>
    <w:rsid w:val="00210F5A"/>
    <w:rsid w:val="002111DD"/>
    <w:rsid w:val="00212475"/>
    <w:rsid w:val="0021305C"/>
    <w:rsid w:val="00214C0F"/>
    <w:rsid w:val="0021500E"/>
    <w:rsid w:val="0021704D"/>
    <w:rsid w:val="002208B1"/>
    <w:rsid w:val="00220EE5"/>
    <w:rsid w:val="002214BC"/>
    <w:rsid w:val="00221E35"/>
    <w:rsid w:val="00222097"/>
    <w:rsid w:val="0022217B"/>
    <w:rsid w:val="0022270C"/>
    <w:rsid w:val="002228BA"/>
    <w:rsid w:val="0022333F"/>
    <w:rsid w:val="0022520A"/>
    <w:rsid w:val="00225342"/>
    <w:rsid w:val="0022543D"/>
    <w:rsid w:val="00225E2A"/>
    <w:rsid w:val="00226419"/>
    <w:rsid w:val="0022675C"/>
    <w:rsid w:val="00226EB8"/>
    <w:rsid w:val="00226F04"/>
    <w:rsid w:val="00227734"/>
    <w:rsid w:val="00227D53"/>
    <w:rsid w:val="00227EF7"/>
    <w:rsid w:val="0023107B"/>
    <w:rsid w:val="00231660"/>
    <w:rsid w:val="00233099"/>
    <w:rsid w:val="00233421"/>
    <w:rsid w:val="002348E0"/>
    <w:rsid w:val="00234F22"/>
    <w:rsid w:val="002350DA"/>
    <w:rsid w:val="00236009"/>
    <w:rsid w:val="00236B3E"/>
    <w:rsid w:val="00237015"/>
    <w:rsid w:val="00237AF1"/>
    <w:rsid w:val="00237C93"/>
    <w:rsid w:val="00241034"/>
    <w:rsid w:val="002410D9"/>
    <w:rsid w:val="00241148"/>
    <w:rsid w:val="002415EF"/>
    <w:rsid w:val="00241D18"/>
    <w:rsid w:val="00242E9E"/>
    <w:rsid w:val="00243306"/>
    <w:rsid w:val="002437FD"/>
    <w:rsid w:val="00244353"/>
    <w:rsid w:val="0024491C"/>
    <w:rsid w:val="00245B40"/>
    <w:rsid w:val="00245FAF"/>
    <w:rsid w:val="0024641F"/>
    <w:rsid w:val="00246C53"/>
    <w:rsid w:val="00247A03"/>
    <w:rsid w:val="00247A95"/>
    <w:rsid w:val="00247EE9"/>
    <w:rsid w:val="002503AD"/>
    <w:rsid w:val="00252228"/>
    <w:rsid w:val="0025309E"/>
    <w:rsid w:val="002530E6"/>
    <w:rsid w:val="00253AC1"/>
    <w:rsid w:val="00253B46"/>
    <w:rsid w:val="0025490D"/>
    <w:rsid w:val="002561E6"/>
    <w:rsid w:val="00256357"/>
    <w:rsid w:val="00256966"/>
    <w:rsid w:val="00256F52"/>
    <w:rsid w:val="00257F64"/>
    <w:rsid w:val="00261083"/>
    <w:rsid w:val="002612A6"/>
    <w:rsid w:val="00262839"/>
    <w:rsid w:val="00262CFB"/>
    <w:rsid w:val="00263E6C"/>
    <w:rsid w:val="002643C1"/>
    <w:rsid w:val="00264BB5"/>
    <w:rsid w:val="00265203"/>
    <w:rsid w:val="00265498"/>
    <w:rsid w:val="0026695A"/>
    <w:rsid w:val="0026699C"/>
    <w:rsid w:val="0026720A"/>
    <w:rsid w:val="00270AEA"/>
    <w:rsid w:val="00271D47"/>
    <w:rsid w:val="002721D9"/>
    <w:rsid w:val="002721EA"/>
    <w:rsid w:val="0027223B"/>
    <w:rsid w:val="00272E62"/>
    <w:rsid w:val="00273E32"/>
    <w:rsid w:val="00274D82"/>
    <w:rsid w:val="00274DF0"/>
    <w:rsid w:val="00274E22"/>
    <w:rsid w:val="00274E91"/>
    <w:rsid w:val="002750A5"/>
    <w:rsid w:val="002763F1"/>
    <w:rsid w:val="00276F49"/>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1828"/>
    <w:rsid w:val="0029297D"/>
    <w:rsid w:val="00293B0B"/>
    <w:rsid w:val="00294AD2"/>
    <w:rsid w:val="002952B5"/>
    <w:rsid w:val="00295A91"/>
    <w:rsid w:val="00295B8C"/>
    <w:rsid w:val="00295EA4"/>
    <w:rsid w:val="002971F4"/>
    <w:rsid w:val="00297317"/>
    <w:rsid w:val="00297357"/>
    <w:rsid w:val="00297C93"/>
    <w:rsid w:val="002A061E"/>
    <w:rsid w:val="002A072B"/>
    <w:rsid w:val="002A1232"/>
    <w:rsid w:val="002A2590"/>
    <w:rsid w:val="002A2C40"/>
    <w:rsid w:val="002A2ED1"/>
    <w:rsid w:val="002A398F"/>
    <w:rsid w:val="002A3C7C"/>
    <w:rsid w:val="002A4956"/>
    <w:rsid w:val="002A57AD"/>
    <w:rsid w:val="002A63E5"/>
    <w:rsid w:val="002A65D6"/>
    <w:rsid w:val="002A6615"/>
    <w:rsid w:val="002A6710"/>
    <w:rsid w:val="002A722C"/>
    <w:rsid w:val="002A7EC8"/>
    <w:rsid w:val="002B0725"/>
    <w:rsid w:val="002B082C"/>
    <w:rsid w:val="002B1774"/>
    <w:rsid w:val="002B1D66"/>
    <w:rsid w:val="002B1F17"/>
    <w:rsid w:val="002B2FE6"/>
    <w:rsid w:val="002B4AB4"/>
    <w:rsid w:val="002B594E"/>
    <w:rsid w:val="002B6B34"/>
    <w:rsid w:val="002B71A5"/>
    <w:rsid w:val="002B72D3"/>
    <w:rsid w:val="002B7501"/>
    <w:rsid w:val="002B780C"/>
    <w:rsid w:val="002B7904"/>
    <w:rsid w:val="002C0E64"/>
    <w:rsid w:val="002C2136"/>
    <w:rsid w:val="002C2507"/>
    <w:rsid w:val="002C2E6E"/>
    <w:rsid w:val="002C3A48"/>
    <w:rsid w:val="002C4781"/>
    <w:rsid w:val="002C5403"/>
    <w:rsid w:val="002C5DE2"/>
    <w:rsid w:val="002C6EF6"/>
    <w:rsid w:val="002D081E"/>
    <w:rsid w:val="002D0B7B"/>
    <w:rsid w:val="002D1745"/>
    <w:rsid w:val="002D2349"/>
    <w:rsid w:val="002D49AE"/>
    <w:rsid w:val="002D4D51"/>
    <w:rsid w:val="002D4FF8"/>
    <w:rsid w:val="002D6696"/>
    <w:rsid w:val="002D7707"/>
    <w:rsid w:val="002D7725"/>
    <w:rsid w:val="002E0A13"/>
    <w:rsid w:val="002E0A25"/>
    <w:rsid w:val="002E11BC"/>
    <w:rsid w:val="002E13A6"/>
    <w:rsid w:val="002E167C"/>
    <w:rsid w:val="002E19DE"/>
    <w:rsid w:val="002E1BD1"/>
    <w:rsid w:val="002E3413"/>
    <w:rsid w:val="002E391B"/>
    <w:rsid w:val="002E40BB"/>
    <w:rsid w:val="002E4386"/>
    <w:rsid w:val="002E69BB"/>
    <w:rsid w:val="002E6A9E"/>
    <w:rsid w:val="002E7B5E"/>
    <w:rsid w:val="002F1DBB"/>
    <w:rsid w:val="002F228B"/>
    <w:rsid w:val="002F31FF"/>
    <w:rsid w:val="002F3DE3"/>
    <w:rsid w:val="002F459D"/>
    <w:rsid w:val="002F4996"/>
    <w:rsid w:val="002F4FBE"/>
    <w:rsid w:val="002F5102"/>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6777"/>
    <w:rsid w:val="00307859"/>
    <w:rsid w:val="00307A35"/>
    <w:rsid w:val="00307AA8"/>
    <w:rsid w:val="00310438"/>
    <w:rsid w:val="00310694"/>
    <w:rsid w:val="00310AF2"/>
    <w:rsid w:val="00310AF9"/>
    <w:rsid w:val="003117BB"/>
    <w:rsid w:val="00313635"/>
    <w:rsid w:val="00313F79"/>
    <w:rsid w:val="0031465E"/>
    <w:rsid w:val="0031557E"/>
    <w:rsid w:val="00315742"/>
    <w:rsid w:val="003159D7"/>
    <w:rsid w:val="003163B3"/>
    <w:rsid w:val="00316ECF"/>
    <w:rsid w:val="00317F28"/>
    <w:rsid w:val="003202F5"/>
    <w:rsid w:val="00320A87"/>
    <w:rsid w:val="0032163E"/>
    <w:rsid w:val="00322A7A"/>
    <w:rsid w:val="00322E66"/>
    <w:rsid w:val="00323542"/>
    <w:rsid w:val="00324734"/>
    <w:rsid w:val="00324A00"/>
    <w:rsid w:val="00324A75"/>
    <w:rsid w:val="00325296"/>
    <w:rsid w:val="0032568A"/>
    <w:rsid w:val="00326213"/>
    <w:rsid w:val="00326F29"/>
    <w:rsid w:val="00327ABD"/>
    <w:rsid w:val="00331002"/>
    <w:rsid w:val="00331E07"/>
    <w:rsid w:val="00332BE1"/>
    <w:rsid w:val="003344F6"/>
    <w:rsid w:val="003355B5"/>
    <w:rsid w:val="00335CD5"/>
    <w:rsid w:val="003369C5"/>
    <w:rsid w:val="00337753"/>
    <w:rsid w:val="00340873"/>
    <w:rsid w:val="00340ADC"/>
    <w:rsid w:val="0034102D"/>
    <w:rsid w:val="00341065"/>
    <w:rsid w:val="00341DEB"/>
    <w:rsid w:val="00341F60"/>
    <w:rsid w:val="00342B0C"/>
    <w:rsid w:val="00342B14"/>
    <w:rsid w:val="003447A1"/>
    <w:rsid w:val="00344DDB"/>
    <w:rsid w:val="00345768"/>
    <w:rsid w:val="003458F8"/>
    <w:rsid w:val="0034591F"/>
    <w:rsid w:val="0034639B"/>
    <w:rsid w:val="0034664F"/>
    <w:rsid w:val="0034697B"/>
    <w:rsid w:val="00346A3D"/>
    <w:rsid w:val="00346B60"/>
    <w:rsid w:val="00347A4A"/>
    <w:rsid w:val="00347F6B"/>
    <w:rsid w:val="00350C20"/>
    <w:rsid w:val="003518A4"/>
    <w:rsid w:val="003524B8"/>
    <w:rsid w:val="00352864"/>
    <w:rsid w:val="003530F8"/>
    <w:rsid w:val="003548FA"/>
    <w:rsid w:val="00354DE5"/>
    <w:rsid w:val="00354F48"/>
    <w:rsid w:val="003551F3"/>
    <w:rsid w:val="0035560B"/>
    <w:rsid w:val="00355A0F"/>
    <w:rsid w:val="00355A74"/>
    <w:rsid w:val="00356B83"/>
    <w:rsid w:val="00356C32"/>
    <w:rsid w:val="00356F69"/>
    <w:rsid w:val="0035742F"/>
    <w:rsid w:val="00357B84"/>
    <w:rsid w:val="00357D6C"/>
    <w:rsid w:val="0036013B"/>
    <w:rsid w:val="003606CD"/>
    <w:rsid w:val="0036078D"/>
    <w:rsid w:val="00361266"/>
    <w:rsid w:val="00361427"/>
    <w:rsid w:val="0036458B"/>
    <w:rsid w:val="00365521"/>
    <w:rsid w:val="00365F6B"/>
    <w:rsid w:val="00366B73"/>
    <w:rsid w:val="00367266"/>
    <w:rsid w:val="003708F9"/>
    <w:rsid w:val="00371D2F"/>
    <w:rsid w:val="0037257D"/>
    <w:rsid w:val="00372AFF"/>
    <w:rsid w:val="00373217"/>
    <w:rsid w:val="003748AD"/>
    <w:rsid w:val="00375EE6"/>
    <w:rsid w:val="00376B94"/>
    <w:rsid w:val="003771CA"/>
    <w:rsid w:val="00377953"/>
    <w:rsid w:val="0038033A"/>
    <w:rsid w:val="00380447"/>
    <w:rsid w:val="0038051C"/>
    <w:rsid w:val="0038274F"/>
    <w:rsid w:val="00384161"/>
    <w:rsid w:val="003846FE"/>
    <w:rsid w:val="0038626A"/>
    <w:rsid w:val="00386454"/>
    <w:rsid w:val="00387610"/>
    <w:rsid w:val="00387A38"/>
    <w:rsid w:val="0039076D"/>
    <w:rsid w:val="00391C7C"/>
    <w:rsid w:val="00391DC2"/>
    <w:rsid w:val="00391F16"/>
    <w:rsid w:val="00391FE2"/>
    <w:rsid w:val="00392883"/>
    <w:rsid w:val="00392B74"/>
    <w:rsid w:val="00393369"/>
    <w:rsid w:val="0039371F"/>
    <w:rsid w:val="00394922"/>
    <w:rsid w:val="00395749"/>
    <w:rsid w:val="00395C2F"/>
    <w:rsid w:val="00396744"/>
    <w:rsid w:val="00396D43"/>
    <w:rsid w:val="003973D3"/>
    <w:rsid w:val="003A0049"/>
    <w:rsid w:val="003A01E5"/>
    <w:rsid w:val="003A0892"/>
    <w:rsid w:val="003A0CAB"/>
    <w:rsid w:val="003A117E"/>
    <w:rsid w:val="003A1674"/>
    <w:rsid w:val="003A19D4"/>
    <w:rsid w:val="003A449E"/>
    <w:rsid w:val="003A529A"/>
    <w:rsid w:val="003A567D"/>
    <w:rsid w:val="003A60D6"/>
    <w:rsid w:val="003A649A"/>
    <w:rsid w:val="003A668A"/>
    <w:rsid w:val="003A6B70"/>
    <w:rsid w:val="003A6BF3"/>
    <w:rsid w:val="003A71F3"/>
    <w:rsid w:val="003A7E2E"/>
    <w:rsid w:val="003B0314"/>
    <w:rsid w:val="003B0C9B"/>
    <w:rsid w:val="003B13E4"/>
    <w:rsid w:val="003B19F5"/>
    <w:rsid w:val="003B227C"/>
    <w:rsid w:val="003B2680"/>
    <w:rsid w:val="003B286E"/>
    <w:rsid w:val="003B2FDB"/>
    <w:rsid w:val="003B310D"/>
    <w:rsid w:val="003B3618"/>
    <w:rsid w:val="003B5E9C"/>
    <w:rsid w:val="003B63C5"/>
    <w:rsid w:val="003B6590"/>
    <w:rsid w:val="003B73FC"/>
    <w:rsid w:val="003B764A"/>
    <w:rsid w:val="003B7A39"/>
    <w:rsid w:val="003B7EE9"/>
    <w:rsid w:val="003B7F30"/>
    <w:rsid w:val="003C00D4"/>
    <w:rsid w:val="003C15DE"/>
    <w:rsid w:val="003C27CC"/>
    <w:rsid w:val="003C2A17"/>
    <w:rsid w:val="003C313A"/>
    <w:rsid w:val="003C3A7F"/>
    <w:rsid w:val="003C3DD8"/>
    <w:rsid w:val="003C41F9"/>
    <w:rsid w:val="003C4A44"/>
    <w:rsid w:val="003C520B"/>
    <w:rsid w:val="003C565D"/>
    <w:rsid w:val="003C6E36"/>
    <w:rsid w:val="003C707F"/>
    <w:rsid w:val="003D0A3E"/>
    <w:rsid w:val="003D0E0A"/>
    <w:rsid w:val="003D14D0"/>
    <w:rsid w:val="003D2401"/>
    <w:rsid w:val="003D24B4"/>
    <w:rsid w:val="003D2D09"/>
    <w:rsid w:val="003D3B22"/>
    <w:rsid w:val="003D422B"/>
    <w:rsid w:val="003D4272"/>
    <w:rsid w:val="003D4828"/>
    <w:rsid w:val="003D4EF3"/>
    <w:rsid w:val="003D5AE7"/>
    <w:rsid w:val="003D5F8B"/>
    <w:rsid w:val="003D613D"/>
    <w:rsid w:val="003E0F85"/>
    <w:rsid w:val="003E107F"/>
    <w:rsid w:val="003E153E"/>
    <w:rsid w:val="003E170A"/>
    <w:rsid w:val="003E1D0F"/>
    <w:rsid w:val="003E1FA0"/>
    <w:rsid w:val="003E387D"/>
    <w:rsid w:val="003E47A9"/>
    <w:rsid w:val="003E4851"/>
    <w:rsid w:val="003E58D9"/>
    <w:rsid w:val="003E63CD"/>
    <w:rsid w:val="003E6488"/>
    <w:rsid w:val="003F065A"/>
    <w:rsid w:val="003F08FA"/>
    <w:rsid w:val="003F09AB"/>
    <w:rsid w:val="003F0F58"/>
    <w:rsid w:val="003F11CF"/>
    <w:rsid w:val="003F1363"/>
    <w:rsid w:val="003F1742"/>
    <w:rsid w:val="003F17E5"/>
    <w:rsid w:val="003F24B5"/>
    <w:rsid w:val="003F2D2B"/>
    <w:rsid w:val="003F3A29"/>
    <w:rsid w:val="003F5130"/>
    <w:rsid w:val="003F61A0"/>
    <w:rsid w:val="003F7A1C"/>
    <w:rsid w:val="003F7B16"/>
    <w:rsid w:val="00400859"/>
    <w:rsid w:val="00400A7F"/>
    <w:rsid w:val="00400F9C"/>
    <w:rsid w:val="00401528"/>
    <w:rsid w:val="00401C5D"/>
    <w:rsid w:val="00401D58"/>
    <w:rsid w:val="004021E6"/>
    <w:rsid w:val="00402B32"/>
    <w:rsid w:val="00403CAC"/>
    <w:rsid w:val="00403F2D"/>
    <w:rsid w:val="00405FB2"/>
    <w:rsid w:val="0040638D"/>
    <w:rsid w:val="00406553"/>
    <w:rsid w:val="00406647"/>
    <w:rsid w:val="004067A5"/>
    <w:rsid w:val="0040695C"/>
    <w:rsid w:val="00407E02"/>
    <w:rsid w:val="00410AFE"/>
    <w:rsid w:val="00410C34"/>
    <w:rsid w:val="00410C93"/>
    <w:rsid w:val="00410D9A"/>
    <w:rsid w:val="00410FB5"/>
    <w:rsid w:val="00411B4A"/>
    <w:rsid w:val="0041250D"/>
    <w:rsid w:val="004133CA"/>
    <w:rsid w:val="00413472"/>
    <w:rsid w:val="00413C81"/>
    <w:rsid w:val="0041597E"/>
    <w:rsid w:val="00415FB9"/>
    <w:rsid w:val="00416B34"/>
    <w:rsid w:val="0041741A"/>
    <w:rsid w:val="00417715"/>
    <w:rsid w:val="00417E99"/>
    <w:rsid w:val="00422467"/>
    <w:rsid w:val="004225C6"/>
    <w:rsid w:val="00422B84"/>
    <w:rsid w:val="00423570"/>
    <w:rsid w:val="004236A7"/>
    <w:rsid w:val="00423870"/>
    <w:rsid w:val="00424C96"/>
    <w:rsid w:val="0042744F"/>
    <w:rsid w:val="0042756B"/>
    <w:rsid w:val="0042763A"/>
    <w:rsid w:val="00427DFB"/>
    <w:rsid w:val="00427E1E"/>
    <w:rsid w:val="00427EAF"/>
    <w:rsid w:val="004311DD"/>
    <w:rsid w:val="00431B4F"/>
    <w:rsid w:val="00431BA1"/>
    <w:rsid w:val="00432024"/>
    <w:rsid w:val="00432155"/>
    <w:rsid w:val="004323D3"/>
    <w:rsid w:val="0043395E"/>
    <w:rsid w:val="00433B13"/>
    <w:rsid w:val="004349C4"/>
    <w:rsid w:val="00434CCF"/>
    <w:rsid w:val="00435671"/>
    <w:rsid w:val="00435C7F"/>
    <w:rsid w:val="00435E9E"/>
    <w:rsid w:val="004368BE"/>
    <w:rsid w:val="00437210"/>
    <w:rsid w:val="00440138"/>
    <w:rsid w:val="0044095A"/>
    <w:rsid w:val="00441109"/>
    <w:rsid w:val="00441BC8"/>
    <w:rsid w:val="00443B94"/>
    <w:rsid w:val="00443D18"/>
    <w:rsid w:val="00443F18"/>
    <w:rsid w:val="004454AC"/>
    <w:rsid w:val="00447BBB"/>
    <w:rsid w:val="004516A1"/>
    <w:rsid w:val="004519B6"/>
    <w:rsid w:val="00452C65"/>
    <w:rsid w:val="00452E53"/>
    <w:rsid w:val="0045377A"/>
    <w:rsid w:val="004558C7"/>
    <w:rsid w:val="00455DF4"/>
    <w:rsid w:val="00456020"/>
    <w:rsid w:val="0045751F"/>
    <w:rsid w:val="00457EF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49F"/>
    <w:rsid w:val="00475525"/>
    <w:rsid w:val="00476638"/>
    <w:rsid w:val="00477255"/>
    <w:rsid w:val="00477B52"/>
    <w:rsid w:val="00481371"/>
    <w:rsid w:val="00482630"/>
    <w:rsid w:val="00482B3F"/>
    <w:rsid w:val="00484133"/>
    <w:rsid w:val="00484915"/>
    <w:rsid w:val="00485137"/>
    <w:rsid w:val="00485D16"/>
    <w:rsid w:val="00485FB5"/>
    <w:rsid w:val="004873A7"/>
    <w:rsid w:val="00490B2F"/>
    <w:rsid w:val="00491B3D"/>
    <w:rsid w:val="004920AB"/>
    <w:rsid w:val="00492C53"/>
    <w:rsid w:val="00494F23"/>
    <w:rsid w:val="004951F1"/>
    <w:rsid w:val="004953EC"/>
    <w:rsid w:val="00495DFF"/>
    <w:rsid w:val="00496A05"/>
    <w:rsid w:val="00497562"/>
    <w:rsid w:val="00497DED"/>
    <w:rsid w:val="004A026D"/>
    <w:rsid w:val="004A04BC"/>
    <w:rsid w:val="004A07B6"/>
    <w:rsid w:val="004A09A9"/>
    <w:rsid w:val="004A0C58"/>
    <w:rsid w:val="004A0D29"/>
    <w:rsid w:val="004A0DE1"/>
    <w:rsid w:val="004A1022"/>
    <w:rsid w:val="004A2410"/>
    <w:rsid w:val="004A27AC"/>
    <w:rsid w:val="004A2CA3"/>
    <w:rsid w:val="004A35C8"/>
    <w:rsid w:val="004A39C4"/>
    <w:rsid w:val="004A5D69"/>
    <w:rsid w:val="004A66E6"/>
    <w:rsid w:val="004B023C"/>
    <w:rsid w:val="004B0706"/>
    <w:rsid w:val="004B230F"/>
    <w:rsid w:val="004B32A2"/>
    <w:rsid w:val="004B399E"/>
    <w:rsid w:val="004B4073"/>
    <w:rsid w:val="004B6613"/>
    <w:rsid w:val="004B6BFA"/>
    <w:rsid w:val="004B6C5C"/>
    <w:rsid w:val="004B7859"/>
    <w:rsid w:val="004C1DD0"/>
    <w:rsid w:val="004C1EB2"/>
    <w:rsid w:val="004C1F32"/>
    <w:rsid w:val="004C2517"/>
    <w:rsid w:val="004C2CF6"/>
    <w:rsid w:val="004C3FBF"/>
    <w:rsid w:val="004C4070"/>
    <w:rsid w:val="004C448E"/>
    <w:rsid w:val="004C532E"/>
    <w:rsid w:val="004C64E4"/>
    <w:rsid w:val="004C6C3E"/>
    <w:rsid w:val="004C6DBC"/>
    <w:rsid w:val="004C710D"/>
    <w:rsid w:val="004D1016"/>
    <w:rsid w:val="004D19F2"/>
    <w:rsid w:val="004D1A16"/>
    <w:rsid w:val="004D3A62"/>
    <w:rsid w:val="004D7D78"/>
    <w:rsid w:val="004D7E7A"/>
    <w:rsid w:val="004E0535"/>
    <w:rsid w:val="004E12D8"/>
    <w:rsid w:val="004E14C0"/>
    <w:rsid w:val="004E156F"/>
    <w:rsid w:val="004E4901"/>
    <w:rsid w:val="004E5186"/>
    <w:rsid w:val="004E55DB"/>
    <w:rsid w:val="004E5CC8"/>
    <w:rsid w:val="004E6127"/>
    <w:rsid w:val="004E6A84"/>
    <w:rsid w:val="004E6D2E"/>
    <w:rsid w:val="004E7146"/>
    <w:rsid w:val="004E71FB"/>
    <w:rsid w:val="004E7695"/>
    <w:rsid w:val="004E7B0D"/>
    <w:rsid w:val="004F277D"/>
    <w:rsid w:val="004F2BC7"/>
    <w:rsid w:val="004F3025"/>
    <w:rsid w:val="004F35D4"/>
    <w:rsid w:val="004F36B8"/>
    <w:rsid w:val="004F38AF"/>
    <w:rsid w:val="004F38E0"/>
    <w:rsid w:val="004F4CA0"/>
    <w:rsid w:val="004F68B1"/>
    <w:rsid w:val="004F69D2"/>
    <w:rsid w:val="004F6BF4"/>
    <w:rsid w:val="004F75E9"/>
    <w:rsid w:val="005008F1"/>
    <w:rsid w:val="00500904"/>
    <w:rsid w:val="0050123A"/>
    <w:rsid w:val="00501656"/>
    <w:rsid w:val="00501E53"/>
    <w:rsid w:val="00501F66"/>
    <w:rsid w:val="00502B2F"/>
    <w:rsid w:val="0050304F"/>
    <w:rsid w:val="0050350B"/>
    <w:rsid w:val="005035D0"/>
    <w:rsid w:val="005037AE"/>
    <w:rsid w:val="00504261"/>
    <w:rsid w:val="00505710"/>
    <w:rsid w:val="00505CD8"/>
    <w:rsid w:val="005062DC"/>
    <w:rsid w:val="0050632D"/>
    <w:rsid w:val="00506ECD"/>
    <w:rsid w:val="00507A3A"/>
    <w:rsid w:val="005100B2"/>
    <w:rsid w:val="005106C5"/>
    <w:rsid w:val="005106C9"/>
    <w:rsid w:val="00511051"/>
    <w:rsid w:val="00511123"/>
    <w:rsid w:val="00511829"/>
    <w:rsid w:val="005118AA"/>
    <w:rsid w:val="00511BCF"/>
    <w:rsid w:val="00512015"/>
    <w:rsid w:val="00512D00"/>
    <w:rsid w:val="00514179"/>
    <w:rsid w:val="005141D6"/>
    <w:rsid w:val="005144DD"/>
    <w:rsid w:val="00514E1B"/>
    <w:rsid w:val="005164F8"/>
    <w:rsid w:val="00516B1A"/>
    <w:rsid w:val="00520075"/>
    <w:rsid w:val="00520230"/>
    <w:rsid w:val="0052293F"/>
    <w:rsid w:val="005237B2"/>
    <w:rsid w:val="00523C6A"/>
    <w:rsid w:val="00524203"/>
    <w:rsid w:val="005242A4"/>
    <w:rsid w:val="00524693"/>
    <w:rsid w:val="0052505D"/>
    <w:rsid w:val="005251A3"/>
    <w:rsid w:val="00525E4E"/>
    <w:rsid w:val="00526206"/>
    <w:rsid w:val="0052628F"/>
    <w:rsid w:val="00526D11"/>
    <w:rsid w:val="00527273"/>
    <w:rsid w:val="005274DB"/>
    <w:rsid w:val="00527F76"/>
    <w:rsid w:val="005309E0"/>
    <w:rsid w:val="00530AD3"/>
    <w:rsid w:val="00530AD6"/>
    <w:rsid w:val="0053139B"/>
    <w:rsid w:val="005315CC"/>
    <w:rsid w:val="00531E45"/>
    <w:rsid w:val="00532B59"/>
    <w:rsid w:val="00532C25"/>
    <w:rsid w:val="00532F67"/>
    <w:rsid w:val="00534BDF"/>
    <w:rsid w:val="0053607B"/>
    <w:rsid w:val="005363A2"/>
    <w:rsid w:val="00536A00"/>
    <w:rsid w:val="0053749A"/>
    <w:rsid w:val="00537AFE"/>
    <w:rsid w:val="00537C6B"/>
    <w:rsid w:val="00537DAE"/>
    <w:rsid w:val="00540351"/>
    <w:rsid w:val="005404D9"/>
    <w:rsid w:val="00540AA3"/>
    <w:rsid w:val="00540E8C"/>
    <w:rsid w:val="00542134"/>
    <w:rsid w:val="00542299"/>
    <w:rsid w:val="00542872"/>
    <w:rsid w:val="00542CEF"/>
    <w:rsid w:val="00542D04"/>
    <w:rsid w:val="005435A3"/>
    <w:rsid w:val="005435AD"/>
    <w:rsid w:val="00543C71"/>
    <w:rsid w:val="005444D5"/>
    <w:rsid w:val="0054470E"/>
    <w:rsid w:val="00544933"/>
    <w:rsid w:val="00544BEA"/>
    <w:rsid w:val="0054525E"/>
    <w:rsid w:val="0054599C"/>
    <w:rsid w:val="005460D5"/>
    <w:rsid w:val="00552C49"/>
    <w:rsid w:val="0055348E"/>
    <w:rsid w:val="005550EC"/>
    <w:rsid w:val="00556630"/>
    <w:rsid w:val="00556913"/>
    <w:rsid w:val="00557401"/>
    <w:rsid w:val="00557F14"/>
    <w:rsid w:val="00561AAA"/>
    <w:rsid w:val="0056241D"/>
    <w:rsid w:val="00562420"/>
    <w:rsid w:val="00564FC7"/>
    <w:rsid w:val="005650C6"/>
    <w:rsid w:val="0056623E"/>
    <w:rsid w:val="00566A85"/>
    <w:rsid w:val="00566EB3"/>
    <w:rsid w:val="00567161"/>
    <w:rsid w:val="00567733"/>
    <w:rsid w:val="00567ABA"/>
    <w:rsid w:val="00570337"/>
    <w:rsid w:val="005707AA"/>
    <w:rsid w:val="00571F99"/>
    <w:rsid w:val="0057247C"/>
    <w:rsid w:val="0057276A"/>
    <w:rsid w:val="00573AE3"/>
    <w:rsid w:val="00574613"/>
    <w:rsid w:val="00574D27"/>
    <w:rsid w:val="00575438"/>
    <w:rsid w:val="00577A40"/>
    <w:rsid w:val="00577F44"/>
    <w:rsid w:val="005806F6"/>
    <w:rsid w:val="00580E9C"/>
    <w:rsid w:val="00586976"/>
    <w:rsid w:val="00586AA9"/>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4363"/>
    <w:rsid w:val="005B523A"/>
    <w:rsid w:val="005B72D2"/>
    <w:rsid w:val="005B7761"/>
    <w:rsid w:val="005C00A8"/>
    <w:rsid w:val="005C04A5"/>
    <w:rsid w:val="005C156C"/>
    <w:rsid w:val="005C20E5"/>
    <w:rsid w:val="005C2700"/>
    <w:rsid w:val="005C36AE"/>
    <w:rsid w:val="005C42AC"/>
    <w:rsid w:val="005C496E"/>
    <w:rsid w:val="005C4BFA"/>
    <w:rsid w:val="005C4F84"/>
    <w:rsid w:val="005C5540"/>
    <w:rsid w:val="005C5864"/>
    <w:rsid w:val="005C5903"/>
    <w:rsid w:val="005C5ACC"/>
    <w:rsid w:val="005C5E78"/>
    <w:rsid w:val="005C6348"/>
    <w:rsid w:val="005C6AF5"/>
    <w:rsid w:val="005D01C6"/>
    <w:rsid w:val="005D12F6"/>
    <w:rsid w:val="005D1909"/>
    <w:rsid w:val="005D1DE8"/>
    <w:rsid w:val="005D1EF4"/>
    <w:rsid w:val="005D2489"/>
    <w:rsid w:val="005D37D0"/>
    <w:rsid w:val="005D40CA"/>
    <w:rsid w:val="005D4CBC"/>
    <w:rsid w:val="005D703E"/>
    <w:rsid w:val="005D7278"/>
    <w:rsid w:val="005D73C5"/>
    <w:rsid w:val="005D77A3"/>
    <w:rsid w:val="005E0478"/>
    <w:rsid w:val="005E0972"/>
    <w:rsid w:val="005E1171"/>
    <w:rsid w:val="005E1C29"/>
    <w:rsid w:val="005E32B2"/>
    <w:rsid w:val="005E37DA"/>
    <w:rsid w:val="005E40E1"/>
    <w:rsid w:val="005E4194"/>
    <w:rsid w:val="005E5525"/>
    <w:rsid w:val="005E5E03"/>
    <w:rsid w:val="005E5FDA"/>
    <w:rsid w:val="005E6014"/>
    <w:rsid w:val="005E657B"/>
    <w:rsid w:val="005E6ABF"/>
    <w:rsid w:val="005E726D"/>
    <w:rsid w:val="005F0D88"/>
    <w:rsid w:val="005F11E2"/>
    <w:rsid w:val="005F120C"/>
    <w:rsid w:val="005F14CC"/>
    <w:rsid w:val="005F21B6"/>
    <w:rsid w:val="005F2756"/>
    <w:rsid w:val="005F3566"/>
    <w:rsid w:val="005F4AD0"/>
    <w:rsid w:val="005F5712"/>
    <w:rsid w:val="005F5A2C"/>
    <w:rsid w:val="005F5ED1"/>
    <w:rsid w:val="005F6BA9"/>
    <w:rsid w:val="005F7FA6"/>
    <w:rsid w:val="00600AFC"/>
    <w:rsid w:val="00600D7C"/>
    <w:rsid w:val="0060240C"/>
    <w:rsid w:val="00602DA8"/>
    <w:rsid w:val="00604CF8"/>
    <w:rsid w:val="00605547"/>
    <w:rsid w:val="00606122"/>
    <w:rsid w:val="00606613"/>
    <w:rsid w:val="006069D4"/>
    <w:rsid w:val="006073A3"/>
    <w:rsid w:val="00607416"/>
    <w:rsid w:val="006076ED"/>
    <w:rsid w:val="00610069"/>
    <w:rsid w:val="0061030F"/>
    <w:rsid w:val="006104BE"/>
    <w:rsid w:val="00610E1E"/>
    <w:rsid w:val="00610EA6"/>
    <w:rsid w:val="006113A6"/>
    <w:rsid w:val="00611A5B"/>
    <w:rsid w:val="00611A70"/>
    <w:rsid w:val="00613410"/>
    <w:rsid w:val="00613618"/>
    <w:rsid w:val="00613AA3"/>
    <w:rsid w:val="00613E29"/>
    <w:rsid w:val="0061427D"/>
    <w:rsid w:val="00615008"/>
    <w:rsid w:val="00616362"/>
    <w:rsid w:val="00617415"/>
    <w:rsid w:val="00617986"/>
    <w:rsid w:val="00622116"/>
    <w:rsid w:val="00622D51"/>
    <w:rsid w:val="006230A6"/>
    <w:rsid w:val="00623B74"/>
    <w:rsid w:val="00623BE2"/>
    <w:rsid w:val="00623F6C"/>
    <w:rsid w:val="0062480E"/>
    <w:rsid w:val="006254A0"/>
    <w:rsid w:val="0062709B"/>
    <w:rsid w:val="0063090E"/>
    <w:rsid w:val="006313C6"/>
    <w:rsid w:val="006316C2"/>
    <w:rsid w:val="00631D8E"/>
    <w:rsid w:val="006321D7"/>
    <w:rsid w:val="00633C60"/>
    <w:rsid w:val="0063450D"/>
    <w:rsid w:val="00634C9C"/>
    <w:rsid w:val="00634D6B"/>
    <w:rsid w:val="006350CE"/>
    <w:rsid w:val="0063569A"/>
    <w:rsid w:val="00636637"/>
    <w:rsid w:val="00636A07"/>
    <w:rsid w:val="00636C34"/>
    <w:rsid w:val="00640423"/>
    <w:rsid w:val="00641ABF"/>
    <w:rsid w:val="006420D2"/>
    <w:rsid w:val="006428C7"/>
    <w:rsid w:val="00642FD1"/>
    <w:rsid w:val="006434DE"/>
    <w:rsid w:val="006435E9"/>
    <w:rsid w:val="00644494"/>
    <w:rsid w:val="0064495C"/>
    <w:rsid w:val="006450F3"/>
    <w:rsid w:val="00645383"/>
    <w:rsid w:val="00646291"/>
    <w:rsid w:val="006463C6"/>
    <w:rsid w:val="006467F5"/>
    <w:rsid w:val="0064698B"/>
    <w:rsid w:val="00650E95"/>
    <w:rsid w:val="006515E1"/>
    <w:rsid w:val="00654179"/>
    <w:rsid w:val="00654A48"/>
    <w:rsid w:val="00655009"/>
    <w:rsid w:val="0065651B"/>
    <w:rsid w:val="00656764"/>
    <w:rsid w:val="00656929"/>
    <w:rsid w:val="00656AD7"/>
    <w:rsid w:val="00657A21"/>
    <w:rsid w:val="00657D7A"/>
    <w:rsid w:val="00660E71"/>
    <w:rsid w:val="00662544"/>
    <w:rsid w:val="00662FB2"/>
    <w:rsid w:val="006634D7"/>
    <w:rsid w:val="00663BC0"/>
    <w:rsid w:val="006640BE"/>
    <w:rsid w:val="00664607"/>
    <w:rsid w:val="006646B7"/>
    <w:rsid w:val="00664D7C"/>
    <w:rsid w:val="0066533E"/>
    <w:rsid w:val="00666780"/>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85EBA"/>
    <w:rsid w:val="00686197"/>
    <w:rsid w:val="00687AB1"/>
    <w:rsid w:val="006917A1"/>
    <w:rsid w:val="006921DE"/>
    <w:rsid w:val="00692AE1"/>
    <w:rsid w:val="00692FDE"/>
    <w:rsid w:val="006937CB"/>
    <w:rsid w:val="00693C1A"/>
    <w:rsid w:val="00694263"/>
    <w:rsid w:val="0069443F"/>
    <w:rsid w:val="00694DF8"/>
    <w:rsid w:val="0069520F"/>
    <w:rsid w:val="006955B0"/>
    <w:rsid w:val="0069639D"/>
    <w:rsid w:val="00696CD8"/>
    <w:rsid w:val="00697D0B"/>
    <w:rsid w:val="00697F6A"/>
    <w:rsid w:val="006A100B"/>
    <w:rsid w:val="006A143A"/>
    <w:rsid w:val="006A22DE"/>
    <w:rsid w:val="006A23C3"/>
    <w:rsid w:val="006A3285"/>
    <w:rsid w:val="006A35C6"/>
    <w:rsid w:val="006A4A07"/>
    <w:rsid w:val="006A511B"/>
    <w:rsid w:val="006A523C"/>
    <w:rsid w:val="006A5338"/>
    <w:rsid w:val="006A7395"/>
    <w:rsid w:val="006A756E"/>
    <w:rsid w:val="006B2530"/>
    <w:rsid w:val="006B2AA4"/>
    <w:rsid w:val="006B3321"/>
    <w:rsid w:val="006B350A"/>
    <w:rsid w:val="006B3A53"/>
    <w:rsid w:val="006B3ECB"/>
    <w:rsid w:val="006B4899"/>
    <w:rsid w:val="006B56BA"/>
    <w:rsid w:val="006B5BE4"/>
    <w:rsid w:val="006B5BED"/>
    <w:rsid w:val="006B6F91"/>
    <w:rsid w:val="006B7029"/>
    <w:rsid w:val="006B72DE"/>
    <w:rsid w:val="006B7942"/>
    <w:rsid w:val="006B7EFF"/>
    <w:rsid w:val="006C1D37"/>
    <w:rsid w:val="006C1E2F"/>
    <w:rsid w:val="006C2C51"/>
    <w:rsid w:val="006C2F61"/>
    <w:rsid w:val="006C3449"/>
    <w:rsid w:val="006C5819"/>
    <w:rsid w:val="006C5D17"/>
    <w:rsid w:val="006C5FC1"/>
    <w:rsid w:val="006C6D1C"/>
    <w:rsid w:val="006C772C"/>
    <w:rsid w:val="006C7984"/>
    <w:rsid w:val="006D01B5"/>
    <w:rsid w:val="006D06FD"/>
    <w:rsid w:val="006D1153"/>
    <w:rsid w:val="006D19D4"/>
    <w:rsid w:val="006D21BD"/>
    <w:rsid w:val="006D24E9"/>
    <w:rsid w:val="006D27B1"/>
    <w:rsid w:val="006D29EB"/>
    <w:rsid w:val="006D3073"/>
    <w:rsid w:val="006D35A7"/>
    <w:rsid w:val="006D3BCF"/>
    <w:rsid w:val="006D44E1"/>
    <w:rsid w:val="006D657D"/>
    <w:rsid w:val="006E0490"/>
    <w:rsid w:val="006E1823"/>
    <w:rsid w:val="006E21FA"/>
    <w:rsid w:val="006E244C"/>
    <w:rsid w:val="006E2963"/>
    <w:rsid w:val="006E3197"/>
    <w:rsid w:val="006E3DDF"/>
    <w:rsid w:val="006E3FE8"/>
    <w:rsid w:val="006E412F"/>
    <w:rsid w:val="006E4F5E"/>
    <w:rsid w:val="006E54B8"/>
    <w:rsid w:val="006E62E0"/>
    <w:rsid w:val="006F0190"/>
    <w:rsid w:val="006F0A64"/>
    <w:rsid w:val="006F0FB7"/>
    <w:rsid w:val="006F2359"/>
    <w:rsid w:val="006F272D"/>
    <w:rsid w:val="006F2781"/>
    <w:rsid w:val="006F2B9A"/>
    <w:rsid w:val="006F34E9"/>
    <w:rsid w:val="006F3D0B"/>
    <w:rsid w:val="006F5290"/>
    <w:rsid w:val="006F533E"/>
    <w:rsid w:val="006F55B3"/>
    <w:rsid w:val="006F5A07"/>
    <w:rsid w:val="006F6F48"/>
    <w:rsid w:val="007001FA"/>
    <w:rsid w:val="007007B1"/>
    <w:rsid w:val="0070091A"/>
    <w:rsid w:val="00700D1B"/>
    <w:rsid w:val="007010CF"/>
    <w:rsid w:val="00701818"/>
    <w:rsid w:val="007020EC"/>
    <w:rsid w:val="007024B8"/>
    <w:rsid w:val="00703636"/>
    <w:rsid w:val="00704455"/>
    <w:rsid w:val="00704645"/>
    <w:rsid w:val="007049CF"/>
    <w:rsid w:val="007049D8"/>
    <w:rsid w:val="00704E5D"/>
    <w:rsid w:val="00705292"/>
    <w:rsid w:val="007055E8"/>
    <w:rsid w:val="00705739"/>
    <w:rsid w:val="00705B42"/>
    <w:rsid w:val="00706335"/>
    <w:rsid w:val="00706802"/>
    <w:rsid w:val="007077B0"/>
    <w:rsid w:val="00707988"/>
    <w:rsid w:val="00710548"/>
    <w:rsid w:val="00710E3C"/>
    <w:rsid w:val="00711109"/>
    <w:rsid w:val="0071316F"/>
    <w:rsid w:val="00713A16"/>
    <w:rsid w:val="00713F21"/>
    <w:rsid w:val="0071469E"/>
    <w:rsid w:val="00715CD1"/>
    <w:rsid w:val="00715FB5"/>
    <w:rsid w:val="00716C93"/>
    <w:rsid w:val="007171A6"/>
    <w:rsid w:val="00717300"/>
    <w:rsid w:val="0071799D"/>
    <w:rsid w:val="00717BD0"/>
    <w:rsid w:val="00717CFB"/>
    <w:rsid w:val="0072280D"/>
    <w:rsid w:val="00723BB2"/>
    <w:rsid w:val="00724A96"/>
    <w:rsid w:val="00725BDC"/>
    <w:rsid w:val="00726088"/>
    <w:rsid w:val="00726240"/>
    <w:rsid w:val="00727775"/>
    <w:rsid w:val="00727965"/>
    <w:rsid w:val="00730858"/>
    <w:rsid w:val="00730921"/>
    <w:rsid w:val="00730B6A"/>
    <w:rsid w:val="00731110"/>
    <w:rsid w:val="007320FD"/>
    <w:rsid w:val="0073299A"/>
    <w:rsid w:val="00733E36"/>
    <w:rsid w:val="00733F32"/>
    <w:rsid w:val="00735A84"/>
    <w:rsid w:val="00736D88"/>
    <w:rsid w:val="00736DD2"/>
    <w:rsid w:val="007371E8"/>
    <w:rsid w:val="0074046C"/>
    <w:rsid w:val="00741B65"/>
    <w:rsid w:val="0074206E"/>
    <w:rsid w:val="0074243B"/>
    <w:rsid w:val="00742EC4"/>
    <w:rsid w:val="00743227"/>
    <w:rsid w:val="007436B5"/>
    <w:rsid w:val="007438E7"/>
    <w:rsid w:val="0074681C"/>
    <w:rsid w:val="00746EC2"/>
    <w:rsid w:val="0074754C"/>
    <w:rsid w:val="00747EB5"/>
    <w:rsid w:val="00750592"/>
    <w:rsid w:val="0075083D"/>
    <w:rsid w:val="00750AA9"/>
    <w:rsid w:val="0075156E"/>
    <w:rsid w:val="00751DFD"/>
    <w:rsid w:val="00751E42"/>
    <w:rsid w:val="007532A0"/>
    <w:rsid w:val="00753492"/>
    <w:rsid w:val="0075426B"/>
    <w:rsid w:val="00755648"/>
    <w:rsid w:val="00757324"/>
    <w:rsid w:val="00757641"/>
    <w:rsid w:val="00760BE7"/>
    <w:rsid w:val="00761A44"/>
    <w:rsid w:val="00763D03"/>
    <w:rsid w:val="007647D2"/>
    <w:rsid w:val="00764955"/>
    <w:rsid w:val="00764AE2"/>
    <w:rsid w:val="00765743"/>
    <w:rsid w:val="00765C3F"/>
    <w:rsid w:val="0076678F"/>
    <w:rsid w:val="00767998"/>
    <w:rsid w:val="00770713"/>
    <w:rsid w:val="00770AB5"/>
    <w:rsid w:val="00770AD3"/>
    <w:rsid w:val="00770C53"/>
    <w:rsid w:val="00771192"/>
    <w:rsid w:val="007716CD"/>
    <w:rsid w:val="00771AFC"/>
    <w:rsid w:val="00771D8D"/>
    <w:rsid w:val="00772398"/>
    <w:rsid w:val="007726AA"/>
    <w:rsid w:val="00772F47"/>
    <w:rsid w:val="00774007"/>
    <w:rsid w:val="00774392"/>
    <w:rsid w:val="007748E5"/>
    <w:rsid w:val="0077590F"/>
    <w:rsid w:val="00775E09"/>
    <w:rsid w:val="00775EAF"/>
    <w:rsid w:val="00775FDF"/>
    <w:rsid w:val="00777024"/>
    <w:rsid w:val="0078000F"/>
    <w:rsid w:val="0078095E"/>
    <w:rsid w:val="00781626"/>
    <w:rsid w:val="00781AFA"/>
    <w:rsid w:val="00781B2D"/>
    <w:rsid w:val="00781BA3"/>
    <w:rsid w:val="0078293F"/>
    <w:rsid w:val="00782D67"/>
    <w:rsid w:val="00782F31"/>
    <w:rsid w:val="00783BD0"/>
    <w:rsid w:val="00784042"/>
    <w:rsid w:val="0078629F"/>
    <w:rsid w:val="007869F0"/>
    <w:rsid w:val="00786DB5"/>
    <w:rsid w:val="0079019C"/>
    <w:rsid w:val="00790F9F"/>
    <w:rsid w:val="00791DC6"/>
    <w:rsid w:val="00791F68"/>
    <w:rsid w:val="0079271C"/>
    <w:rsid w:val="007927DF"/>
    <w:rsid w:val="0079288D"/>
    <w:rsid w:val="00792CD2"/>
    <w:rsid w:val="007931C8"/>
    <w:rsid w:val="00794D1E"/>
    <w:rsid w:val="007951E8"/>
    <w:rsid w:val="007959AC"/>
    <w:rsid w:val="00796723"/>
    <w:rsid w:val="0079676B"/>
    <w:rsid w:val="0079726B"/>
    <w:rsid w:val="00797841"/>
    <w:rsid w:val="00797CCC"/>
    <w:rsid w:val="007A0F3F"/>
    <w:rsid w:val="007A12F4"/>
    <w:rsid w:val="007A1846"/>
    <w:rsid w:val="007A1919"/>
    <w:rsid w:val="007A20E0"/>
    <w:rsid w:val="007A2DA6"/>
    <w:rsid w:val="007A3A3A"/>
    <w:rsid w:val="007A4430"/>
    <w:rsid w:val="007A4D61"/>
    <w:rsid w:val="007A67A7"/>
    <w:rsid w:val="007A7373"/>
    <w:rsid w:val="007A73AD"/>
    <w:rsid w:val="007A73D5"/>
    <w:rsid w:val="007B02B9"/>
    <w:rsid w:val="007B0C43"/>
    <w:rsid w:val="007B2204"/>
    <w:rsid w:val="007B2C0A"/>
    <w:rsid w:val="007B4056"/>
    <w:rsid w:val="007B4B60"/>
    <w:rsid w:val="007B4E1B"/>
    <w:rsid w:val="007B5581"/>
    <w:rsid w:val="007B69E3"/>
    <w:rsid w:val="007B6D79"/>
    <w:rsid w:val="007B7037"/>
    <w:rsid w:val="007B70AB"/>
    <w:rsid w:val="007C0124"/>
    <w:rsid w:val="007C0842"/>
    <w:rsid w:val="007C08AD"/>
    <w:rsid w:val="007C1B6E"/>
    <w:rsid w:val="007C20BD"/>
    <w:rsid w:val="007C2149"/>
    <w:rsid w:val="007C29B0"/>
    <w:rsid w:val="007C3750"/>
    <w:rsid w:val="007C3DBA"/>
    <w:rsid w:val="007C4DF5"/>
    <w:rsid w:val="007C6E12"/>
    <w:rsid w:val="007D0A74"/>
    <w:rsid w:val="007D0EDC"/>
    <w:rsid w:val="007D0F51"/>
    <w:rsid w:val="007D10D9"/>
    <w:rsid w:val="007D14F5"/>
    <w:rsid w:val="007D1E65"/>
    <w:rsid w:val="007D3DF9"/>
    <w:rsid w:val="007D46FC"/>
    <w:rsid w:val="007D4D87"/>
    <w:rsid w:val="007D4FB3"/>
    <w:rsid w:val="007D5166"/>
    <w:rsid w:val="007D5271"/>
    <w:rsid w:val="007D52E1"/>
    <w:rsid w:val="007D5361"/>
    <w:rsid w:val="007D5FE4"/>
    <w:rsid w:val="007D6C2E"/>
    <w:rsid w:val="007D7E65"/>
    <w:rsid w:val="007E0ADF"/>
    <w:rsid w:val="007E1718"/>
    <w:rsid w:val="007E1FB5"/>
    <w:rsid w:val="007E1FD7"/>
    <w:rsid w:val="007E2B3E"/>
    <w:rsid w:val="007E30AE"/>
    <w:rsid w:val="007E3173"/>
    <w:rsid w:val="007E3498"/>
    <w:rsid w:val="007E3571"/>
    <w:rsid w:val="007E3AA3"/>
    <w:rsid w:val="007E418B"/>
    <w:rsid w:val="007E43E0"/>
    <w:rsid w:val="007E56FA"/>
    <w:rsid w:val="007E5F58"/>
    <w:rsid w:val="007E6305"/>
    <w:rsid w:val="007E63CE"/>
    <w:rsid w:val="007E7040"/>
    <w:rsid w:val="007F029F"/>
    <w:rsid w:val="007F17FC"/>
    <w:rsid w:val="007F2690"/>
    <w:rsid w:val="007F2B97"/>
    <w:rsid w:val="007F3377"/>
    <w:rsid w:val="007F4BB4"/>
    <w:rsid w:val="007F541D"/>
    <w:rsid w:val="007F6999"/>
    <w:rsid w:val="007F6CB3"/>
    <w:rsid w:val="007F708C"/>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6E7B"/>
    <w:rsid w:val="0080728C"/>
    <w:rsid w:val="00807318"/>
    <w:rsid w:val="00807595"/>
    <w:rsid w:val="00807662"/>
    <w:rsid w:val="00807954"/>
    <w:rsid w:val="00810C1B"/>
    <w:rsid w:val="00810C60"/>
    <w:rsid w:val="00810F79"/>
    <w:rsid w:val="0081156A"/>
    <w:rsid w:val="008116F0"/>
    <w:rsid w:val="00811CDC"/>
    <w:rsid w:val="00813C0C"/>
    <w:rsid w:val="00813FE1"/>
    <w:rsid w:val="00814772"/>
    <w:rsid w:val="0081496C"/>
    <w:rsid w:val="00814F49"/>
    <w:rsid w:val="00816527"/>
    <w:rsid w:val="00816923"/>
    <w:rsid w:val="00816F77"/>
    <w:rsid w:val="008172F4"/>
    <w:rsid w:val="0081734A"/>
    <w:rsid w:val="008176A0"/>
    <w:rsid w:val="0082079B"/>
    <w:rsid w:val="00820ED6"/>
    <w:rsid w:val="0082155D"/>
    <w:rsid w:val="00821EFD"/>
    <w:rsid w:val="00822604"/>
    <w:rsid w:val="00823F36"/>
    <w:rsid w:val="008242F5"/>
    <w:rsid w:val="008247D9"/>
    <w:rsid w:val="00825D94"/>
    <w:rsid w:val="008264A7"/>
    <w:rsid w:val="008266A6"/>
    <w:rsid w:val="00826CCA"/>
    <w:rsid w:val="00826D42"/>
    <w:rsid w:val="00827129"/>
    <w:rsid w:val="00827398"/>
    <w:rsid w:val="008278CB"/>
    <w:rsid w:val="0083075B"/>
    <w:rsid w:val="00830F57"/>
    <w:rsid w:val="00831D86"/>
    <w:rsid w:val="00832199"/>
    <w:rsid w:val="00832270"/>
    <w:rsid w:val="00832D86"/>
    <w:rsid w:val="0083362F"/>
    <w:rsid w:val="00833AEF"/>
    <w:rsid w:val="008342AF"/>
    <w:rsid w:val="008342C3"/>
    <w:rsid w:val="008346F6"/>
    <w:rsid w:val="00835A22"/>
    <w:rsid w:val="00835F02"/>
    <w:rsid w:val="00836E30"/>
    <w:rsid w:val="00837487"/>
    <w:rsid w:val="00840435"/>
    <w:rsid w:val="00840446"/>
    <w:rsid w:val="0084287A"/>
    <w:rsid w:val="00842974"/>
    <w:rsid w:val="00843966"/>
    <w:rsid w:val="00844366"/>
    <w:rsid w:val="008452FF"/>
    <w:rsid w:val="008468A9"/>
    <w:rsid w:val="008473C7"/>
    <w:rsid w:val="00847A83"/>
    <w:rsid w:val="00850BF5"/>
    <w:rsid w:val="0085245B"/>
    <w:rsid w:val="00852814"/>
    <w:rsid w:val="00852DB7"/>
    <w:rsid w:val="00853D80"/>
    <w:rsid w:val="00854936"/>
    <w:rsid w:val="0085550A"/>
    <w:rsid w:val="008566B6"/>
    <w:rsid w:val="00856AB8"/>
    <w:rsid w:val="0085707D"/>
    <w:rsid w:val="00857C4E"/>
    <w:rsid w:val="008616EF"/>
    <w:rsid w:val="00861A7E"/>
    <w:rsid w:val="0086209C"/>
    <w:rsid w:val="00862BE3"/>
    <w:rsid w:val="008639FF"/>
    <w:rsid w:val="00863C25"/>
    <w:rsid w:val="0086432B"/>
    <w:rsid w:val="008662A7"/>
    <w:rsid w:val="008663DF"/>
    <w:rsid w:val="0086729A"/>
    <w:rsid w:val="00867C84"/>
    <w:rsid w:val="008705BC"/>
    <w:rsid w:val="0087107F"/>
    <w:rsid w:val="00871139"/>
    <w:rsid w:val="00871213"/>
    <w:rsid w:val="008720CE"/>
    <w:rsid w:val="00874AFC"/>
    <w:rsid w:val="00874E31"/>
    <w:rsid w:val="00875667"/>
    <w:rsid w:val="00875A42"/>
    <w:rsid w:val="00875F81"/>
    <w:rsid w:val="00876CEE"/>
    <w:rsid w:val="008770CE"/>
    <w:rsid w:val="008773B9"/>
    <w:rsid w:val="00880BDF"/>
    <w:rsid w:val="0088114C"/>
    <w:rsid w:val="0088211C"/>
    <w:rsid w:val="00882BE2"/>
    <w:rsid w:val="00886FF1"/>
    <w:rsid w:val="008877F0"/>
    <w:rsid w:val="0088789D"/>
    <w:rsid w:val="008904A8"/>
    <w:rsid w:val="00890A0E"/>
    <w:rsid w:val="0089131C"/>
    <w:rsid w:val="00892103"/>
    <w:rsid w:val="0089236E"/>
    <w:rsid w:val="00892722"/>
    <w:rsid w:val="00892B9F"/>
    <w:rsid w:val="00893520"/>
    <w:rsid w:val="00894190"/>
    <w:rsid w:val="0089454D"/>
    <w:rsid w:val="00894863"/>
    <w:rsid w:val="00894AAF"/>
    <w:rsid w:val="00894B38"/>
    <w:rsid w:val="0089531E"/>
    <w:rsid w:val="0089646D"/>
    <w:rsid w:val="0089738F"/>
    <w:rsid w:val="008975A4"/>
    <w:rsid w:val="008A0224"/>
    <w:rsid w:val="008A04AF"/>
    <w:rsid w:val="008A06EC"/>
    <w:rsid w:val="008A18C0"/>
    <w:rsid w:val="008A2865"/>
    <w:rsid w:val="008A2A52"/>
    <w:rsid w:val="008A2F96"/>
    <w:rsid w:val="008A3133"/>
    <w:rsid w:val="008A3612"/>
    <w:rsid w:val="008A3D79"/>
    <w:rsid w:val="008A4057"/>
    <w:rsid w:val="008A4A6A"/>
    <w:rsid w:val="008A50D7"/>
    <w:rsid w:val="008A513F"/>
    <w:rsid w:val="008A5E65"/>
    <w:rsid w:val="008A638D"/>
    <w:rsid w:val="008A6480"/>
    <w:rsid w:val="008A663E"/>
    <w:rsid w:val="008A66AD"/>
    <w:rsid w:val="008A722D"/>
    <w:rsid w:val="008B0871"/>
    <w:rsid w:val="008B1BA8"/>
    <w:rsid w:val="008B2198"/>
    <w:rsid w:val="008B3513"/>
    <w:rsid w:val="008B40D8"/>
    <w:rsid w:val="008B626C"/>
    <w:rsid w:val="008B6E63"/>
    <w:rsid w:val="008B782A"/>
    <w:rsid w:val="008C02FD"/>
    <w:rsid w:val="008C11DB"/>
    <w:rsid w:val="008C144E"/>
    <w:rsid w:val="008C14F9"/>
    <w:rsid w:val="008C1B57"/>
    <w:rsid w:val="008C299C"/>
    <w:rsid w:val="008C3244"/>
    <w:rsid w:val="008C341F"/>
    <w:rsid w:val="008C3845"/>
    <w:rsid w:val="008C4934"/>
    <w:rsid w:val="008C499D"/>
    <w:rsid w:val="008C510F"/>
    <w:rsid w:val="008C56FE"/>
    <w:rsid w:val="008C5AAB"/>
    <w:rsid w:val="008C6586"/>
    <w:rsid w:val="008C6769"/>
    <w:rsid w:val="008C6F85"/>
    <w:rsid w:val="008D027C"/>
    <w:rsid w:val="008D0550"/>
    <w:rsid w:val="008D13CD"/>
    <w:rsid w:val="008D1FF7"/>
    <w:rsid w:val="008D2351"/>
    <w:rsid w:val="008D2D66"/>
    <w:rsid w:val="008D3535"/>
    <w:rsid w:val="008D44A0"/>
    <w:rsid w:val="008D49F3"/>
    <w:rsid w:val="008D4A23"/>
    <w:rsid w:val="008D54A7"/>
    <w:rsid w:val="008E151E"/>
    <w:rsid w:val="008E22F1"/>
    <w:rsid w:val="008E2A27"/>
    <w:rsid w:val="008E3B3E"/>
    <w:rsid w:val="008E3F17"/>
    <w:rsid w:val="008E41E0"/>
    <w:rsid w:val="008E4808"/>
    <w:rsid w:val="008E512F"/>
    <w:rsid w:val="008E51EA"/>
    <w:rsid w:val="008E596B"/>
    <w:rsid w:val="008E66B8"/>
    <w:rsid w:val="008E75FA"/>
    <w:rsid w:val="008E7F87"/>
    <w:rsid w:val="008F01C1"/>
    <w:rsid w:val="008F109F"/>
    <w:rsid w:val="008F1483"/>
    <w:rsid w:val="008F1988"/>
    <w:rsid w:val="008F227F"/>
    <w:rsid w:val="008F22F3"/>
    <w:rsid w:val="008F450F"/>
    <w:rsid w:val="008F6252"/>
    <w:rsid w:val="008F6D8C"/>
    <w:rsid w:val="008F71B6"/>
    <w:rsid w:val="008F78E2"/>
    <w:rsid w:val="00901323"/>
    <w:rsid w:val="009023F3"/>
    <w:rsid w:val="009026F4"/>
    <w:rsid w:val="00902942"/>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11DA"/>
    <w:rsid w:val="009227B8"/>
    <w:rsid w:val="00922EA8"/>
    <w:rsid w:val="00922F48"/>
    <w:rsid w:val="00922FAD"/>
    <w:rsid w:val="00923376"/>
    <w:rsid w:val="009248A4"/>
    <w:rsid w:val="00924903"/>
    <w:rsid w:val="00924F0A"/>
    <w:rsid w:val="00925681"/>
    <w:rsid w:val="00925C70"/>
    <w:rsid w:val="00925C89"/>
    <w:rsid w:val="00925D5C"/>
    <w:rsid w:val="0092624C"/>
    <w:rsid w:val="00926384"/>
    <w:rsid w:val="00926E80"/>
    <w:rsid w:val="0092708B"/>
    <w:rsid w:val="009270EA"/>
    <w:rsid w:val="009271F5"/>
    <w:rsid w:val="0093049D"/>
    <w:rsid w:val="009313FB"/>
    <w:rsid w:val="00931AD1"/>
    <w:rsid w:val="00932004"/>
    <w:rsid w:val="00932186"/>
    <w:rsid w:val="009321D6"/>
    <w:rsid w:val="009321E4"/>
    <w:rsid w:val="00933F40"/>
    <w:rsid w:val="00935625"/>
    <w:rsid w:val="0093610F"/>
    <w:rsid w:val="0093611F"/>
    <w:rsid w:val="009369F2"/>
    <w:rsid w:val="00936CFD"/>
    <w:rsid w:val="00936F66"/>
    <w:rsid w:val="00937713"/>
    <w:rsid w:val="0093771B"/>
    <w:rsid w:val="00937D8C"/>
    <w:rsid w:val="00940235"/>
    <w:rsid w:val="0094051B"/>
    <w:rsid w:val="00940BEC"/>
    <w:rsid w:val="00940EA9"/>
    <w:rsid w:val="00942E54"/>
    <w:rsid w:val="00943CE3"/>
    <w:rsid w:val="00943D8D"/>
    <w:rsid w:val="00944110"/>
    <w:rsid w:val="00944592"/>
    <w:rsid w:val="0094485C"/>
    <w:rsid w:val="00944CC1"/>
    <w:rsid w:val="00945839"/>
    <w:rsid w:val="00945A4A"/>
    <w:rsid w:val="009466A5"/>
    <w:rsid w:val="00946941"/>
    <w:rsid w:val="0094696B"/>
    <w:rsid w:val="00947A5B"/>
    <w:rsid w:val="009520EB"/>
    <w:rsid w:val="00953333"/>
    <w:rsid w:val="0095340A"/>
    <w:rsid w:val="00953BAE"/>
    <w:rsid w:val="00953F54"/>
    <w:rsid w:val="009542F6"/>
    <w:rsid w:val="009547B6"/>
    <w:rsid w:val="00954B4D"/>
    <w:rsid w:val="009551F9"/>
    <w:rsid w:val="00955392"/>
    <w:rsid w:val="00955A35"/>
    <w:rsid w:val="0095672D"/>
    <w:rsid w:val="00956DFE"/>
    <w:rsid w:val="00957648"/>
    <w:rsid w:val="009606C4"/>
    <w:rsid w:val="00961208"/>
    <w:rsid w:val="00961503"/>
    <w:rsid w:val="00961ADF"/>
    <w:rsid w:val="0096342A"/>
    <w:rsid w:val="00963D5F"/>
    <w:rsid w:val="00963E4A"/>
    <w:rsid w:val="0096444A"/>
    <w:rsid w:val="00965B96"/>
    <w:rsid w:val="00966408"/>
    <w:rsid w:val="00966820"/>
    <w:rsid w:val="00966BBD"/>
    <w:rsid w:val="00967762"/>
    <w:rsid w:val="0096788A"/>
    <w:rsid w:val="00967F6F"/>
    <w:rsid w:val="00970D25"/>
    <w:rsid w:val="00971B13"/>
    <w:rsid w:val="00971E57"/>
    <w:rsid w:val="009723CF"/>
    <w:rsid w:val="00972A9D"/>
    <w:rsid w:val="00972C86"/>
    <w:rsid w:val="00973700"/>
    <w:rsid w:val="00973A5F"/>
    <w:rsid w:val="009745EB"/>
    <w:rsid w:val="00974A62"/>
    <w:rsid w:val="00974DE7"/>
    <w:rsid w:val="00975A73"/>
    <w:rsid w:val="00977343"/>
    <w:rsid w:val="009776AE"/>
    <w:rsid w:val="00977C81"/>
    <w:rsid w:val="00980037"/>
    <w:rsid w:val="00980BDD"/>
    <w:rsid w:val="009814A6"/>
    <w:rsid w:val="00981DFD"/>
    <w:rsid w:val="009825D8"/>
    <w:rsid w:val="00983202"/>
    <w:rsid w:val="00983B43"/>
    <w:rsid w:val="009844DD"/>
    <w:rsid w:val="00985462"/>
    <w:rsid w:val="0098595B"/>
    <w:rsid w:val="009875D5"/>
    <w:rsid w:val="00987850"/>
    <w:rsid w:val="00990179"/>
    <w:rsid w:val="00991006"/>
    <w:rsid w:val="009917FB"/>
    <w:rsid w:val="00991B37"/>
    <w:rsid w:val="00992231"/>
    <w:rsid w:val="0099236F"/>
    <w:rsid w:val="0099271F"/>
    <w:rsid w:val="009927D8"/>
    <w:rsid w:val="00993C07"/>
    <w:rsid w:val="00994029"/>
    <w:rsid w:val="009942B5"/>
    <w:rsid w:val="00995C45"/>
    <w:rsid w:val="00995D19"/>
    <w:rsid w:val="00995E9D"/>
    <w:rsid w:val="00995F35"/>
    <w:rsid w:val="009963B5"/>
    <w:rsid w:val="00996680"/>
    <w:rsid w:val="009967FA"/>
    <w:rsid w:val="00996E82"/>
    <w:rsid w:val="009974B5"/>
    <w:rsid w:val="009A02D9"/>
    <w:rsid w:val="009A0A29"/>
    <w:rsid w:val="009A0F1B"/>
    <w:rsid w:val="009A1735"/>
    <w:rsid w:val="009A297F"/>
    <w:rsid w:val="009A2D05"/>
    <w:rsid w:val="009A2D0D"/>
    <w:rsid w:val="009A402E"/>
    <w:rsid w:val="009A43F9"/>
    <w:rsid w:val="009A53B5"/>
    <w:rsid w:val="009A5499"/>
    <w:rsid w:val="009A5880"/>
    <w:rsid w:val="009A7FA3"/>
    <w:rsid w:val="009B075C"/>
    <w:rsid w:val="009B10F7"/>
    <w:rsid w:val="009B18B2"/>
    <w:rsid w:val="009B2D9A"/>
    <w:rsid w:val="009B367A"/>
    <w:rsid w:val="009B3C4A"/>
    <w:rsid w:val="009B4B3E"/>
    <w:rsid w:val="009B4C7C"/>
    <w:rsid w:val="009B5476"/>
    <w:rsid w:val="009B5FF5"/>
    <w:rsid w:val="009B776E"/>
    <w:rsid w:val="009B791C"/>
    <w:rsid w:val="009B7C1C"/>
    <w:rsid w:val="009B7EE5"/>
    <w:rsid w:val="009C1339"/>
    <w:rsid w:val="009C16EE"/>
    <w:rsid w:val="009C237D"/>
    <w:rsid w:val="009C2583"/>
    <w:rsid w:val="009C2C42"/>
    <w:rsid w:val="009C3034"/>
    <w:rsid w:val="009C36E8"/>
    <w:rsid w:val="009C3D9F"/>
    <w:rsid w:val="009C41C3"/>
    <w:rsid w:val="009C488E"/>
    <w:rsid w:val="009C513C"/>
    <w:rsid w:val="009C54B9"/>
    <w:rsid w:val="009C5595"/>
    <w:rsid w:val="009C6A78"/>
    <w:rsid w:val="009C6FC6"/>
    <w:rsid w:val="009C7687"/>
    <w:rsid w:val="009D20AC"/>
    <w:rsid w:val="009D21BF"/>
    <w:rsid w:val="009D2B2E"/>
    <w:rsid w:val="009D2FDC"/>
    <w:rsid w:val="009D314F"/>
    <w:rsid w:val="009D3181"/>
    <w:rsid w:val="009D41B2"/>
    <w:rsid w:val="009D4815"/>
    <w:rsid w:val="009D4BA0"/>
    <w:rsid w:val="009D6300"/>
    <w:rsid w:val="009D7719"/>
    <w:rsid w:val="009D7C75"/>
    <w:rsid w:val="009D7FE0"/>
    <w:rsid w:val="009E049D"/>
    <w:rsid w:val="009E0853"/>
    <w:rsid w:val="009E17F7"/>
    <w:rsid w:val="009E1E17"/>
    <w:rsid w:val="009E28EE"/>
    <w:rsid w:val="009E49E4"/>
    <w:rsid w:val="009E4CA2"/>
    <w:rsid w:val="009E54F9"/>
    <w:rsid w:val="009E59C7"/>
    <w:rsid w:val="009E5A7E"/>
    <w:rsid w:val="009E7207"/>
    <w:rsid w:val="009E7285"/>
    <w:rsid w:val="009E737D"/>
    <w:rsid w:val="009E744B"/>
    <w:rsid w:val="009E7859"/>
    <w:rsid w:val="009E7A0E"/>
    <w:rsid w:val="009F089C"/>
    <w:rsid w:val="009F0D81"/>
    <w:rsid w:val="009F15AF"/>
    <w:rsid w:val="009F1F8C"/>
    <w:rsid w:val="009F2151"/>
    <w:rsid w:val="009F2518"/>
    <w:rsid w:val="009F292C"/>
    <w:rsid w:val="009F2A0B"/>
    <w:rsid w:val="009F2A5C"/>
    <w:rsid w:val="009F2A83"/>
    <w:rsid w:val="009F2B2E"/>
    <w:rsid w:val="009F3C8C"/>
    <w:rsid w:val="009F41BD"/>
    <w:rsid w:val="009F4231"/>
    <w:rsid w:val="009F6484"/>
    <w:rsid w:val="00A001EA"/>
    <w:rsid w:val="00A017A2"/>
    <w:rsid w:val="00A01E7F"/>
    <w:rsid w:val="00A01F90"/>
    <w:rsid w:val="00A0299E"/>
    <w:rsid w:val="00A03484"/>
    <w:rsid w:val="00A0351C"/>
    <w:rsid w:val="00A03977"/>
    <w:rsid w:val="00A03D23"/>
    <w:rsid w:val="00A0425C"/>
    <w:rsid w:val="00A0486E"/>
    <w:rsid w:val="00A05117"/>
    <w:rsid w:val="00A05121"/>
    <w:rsid w:val="00A07C7F"/>
    <w:rsid w:val="00A10447"/>
    <w:rsid w:val="00A1077A"/>
    <w:rsid w:val="00A10FAB"/>
    <w:rsid w:val="00A11057"/>
    <w:rsid w:val="00A11454"/>
    <w:rsid w:val="00A1215A"/>
    <w:rsid w:val="00A12848"/>
    <w:rsid w:val="00A144B2"/>
    <w:rsid w:val="00A145A0"/>
    <w:rsid w:val="00A151AA"/>
    <w:rsid w:val="00A15B4C"/>
    <w:rsid w:val="00A1610D"/>
    <w:rsid w:val="00A16589"/>
    <w:rsid w:val="00A165DC"/>
    <w:rsid w:val="00A16DAB"/>
    <w:rsid w:val="00A17D17"/>
    <w:rsid w:val="00A21425"/>
    <w:rsid w:val="00A220A4"/>
    <w:rsid w:val="00A2395B"/>
    <w:rsid w:val="00A23C57"/>
    <w:rsid w:val="00A24787"/>
    <w:rsid w:val="00A247D5"/>
    <w:rsid w:val="00A24A41"/>
    <w:rsid w:val="00A25902"/>
    <w:rsid w:val="00A2635D"/>
    <w:rsid w:val="00A26FF7"/>
    <w:rsid w:val="00A27535"/>
    <w:rsid w:val="00A277B8"/>
    <w:rsid w:val="00A27DA5"/>
    <w:rsid w:val="00A30DD2"/>
    <w:rsid w:val="00A310A7"/>
    <w:rsid w:val="00A315D8"/>
    <w:rsid w:val="00A32F46"/>
    <w:rsid w:val="00A32FB8"/>
    <w:rsid w:val="00A33F3F"/>
    <w:rsid w:val="00A34063"/>
    <w:rsid w:val="00A345B6"/>
    <w:rsid w:val="00A3496C"/>
    <w:rsid w:val="00A35E60"/>
    <w:rsid w:val="00A35F97"/>
    <w:rsid w:val="00A36452"/>
    <w:rsid w:val="00A3666F"/>
    <w:rsid w:val="00A36726"/>
    <w:rsid w:val="00A37419"/>
    <w:rsid w:val="00A37BF1"/>
    <w:rsid w:val="00A405EC"/>
    <w:rsid w:val="00A423A8"/>
    <w:rsid w:val="00A43C97"/>
    <w:rsid w:val="00A445DC"/>
    <w:rsid w:val="00A44BEA"/>
    <w:rsid w:val="00A44CCB"/>
    <w:rsid w:val="00A45ED3"/>
    <w:rsid w:val="00A46518"/>
    <w:rsid w:val="00A479C0"/>
    <w:rsid w:val="00A50886"/>
    <w:rsid w:val="00A50D4D"/>
    <w:rsid w:val="00A51332"/>
    <w:rsid w:val="00A515C0"/>
    <w:rsid w:val="00A51732"/>
    <w:rsid w:val="00A51A32"/>
    <w:rsid w:val="00A51EB3"/>
    <w:rsid w:val="00A52A41"/>
    <w:rsid w:val="00A54006"/>
    <w:rsid w:val="00A54348"/>
    <w:rsid w:val="00A55114"/>
    <w:rsid w:val="00A5558C"/>
    <w:rsid w:val="00A567D4"/>
    <w:rsid w:val="00A569E8"/>
    <w:rsid w:val="00A572DB"/>
    <w:rsid w:val="00A5743E"/>
    <w:rsid w:val="00A57DFB"/>
    <w:rsid w:val="00A57F36"/>
    <w:rsid w:val="00A60FEE"/>
    <w:rsid w:val="00A619DB"/>
    <w:rsid w:val="00A624A6"/>
    <w:rsid w:val="00A62BAE"/>
    <w:rsid w:val="00A637B0"/>
    <w:rsid w:val="00A63D7F"/>
    <w:rsid w:val="00A644B2"/>
    <w:rsid w:val="00A645AE"/>
    <w:rsid w:val="00A65E08"/>
    <w:rsid w:val="00A65FE7"/>
    <w:rsid w:val="00A6600A"/>
    <w:rsid w:val="00A661B8"/>
    <w:rsid w:val="00A6697D"/>
    <w:rsid w:val="00A66A2D"/>
    <w:rsid w:val="00A66AC4"/>
    <w:rsid w:val="00A679AE"/>
    <w:rsid w:val="00A700F6"/>
    <w:rsid w:val="00A70C39"/>
    <w:rsid w:val="00A70FE2"/>
    <w:rsid w:val="00A711C6"/>
    <w:rsid w:val="00A71FB5"/>
    <w:rsid w:val="00A737C3"/>
    <w:rsid w:val="00A73C28"/>
    <w:rsid w:val="00A7437E"/>
    <w:rsid w:val="00A743D0"/>
    <w:rsid w:val="00A74D3D"/>
    <w:rsid w:val="00A74D5D"/>
    <w:rsid w:val="00A7728F"/>
    <w:rsid w:val="00A7730B"/>
    <w:rsid w:val="00A777A3"/>
    <w:rsid w:val="00A81541"/>
    <w:rsid w:val="00A829AE"/>
    <w:rsid w:val="00A82D79"/>
    <w:rsid w:val="00A830E4"/>
    <w:rsid w:val="00A83C9E"/>
    <w:rsid w:val="00A83DED"/>
    <w:rsid w:val="00A84863"/>
    <w:rsid w:val="00A84A62"/>
    <w:rsid w:val="00A84AE4"/>
    <w:rsid w:val="00A937BF"/>
    <w:rsid w:val="00A93BF2"/>
    <w:rsid w:val="00A9403B"/>
    <w:rsid w:val="00A94B1B"/>
    <w:rsid w:val="00A95D95"/>
    <w:rsid w:val="00A96028"/>
    <w:rsid w:val="00A96047"/>
    <w:rsid w:val="00A96C84"/>
    <w:rsid w:val="00A97622"/>
    <w:rsid w:val="00A977EC"/>
    <w:rsid w:val="00AA0619"/>
    <w:rsid w:val="00AA1300"/>
    <w:rsid w:val="00AA200F"/>
    <w:rsid w:val="00AA3456"/>
    <w:rsid w:val="00AA3725"/>
    <w:rsid w:val="00AA3FD1"/>
    <w:rsid w:val="00AA443F"/>
    <w:rsid w:val="00AA4DBB"/>
    <w:rsid w:val="00AA57A0"/>
    <w:rsid w:val="00AA5832"/>
    <w:rsid w:val="00AA6900"/>
    <w:rsid w:val="00AA69B8"/>
    <w:rsid w:val="00AA7759"/>
    <w:rsid w:val="00AB0FA5"/>
    <w:rsid w:val="00AB11B3"/>
    <w:rsid w:val="00AB1513"/>
    <w:rsid w:val="00AB1935"/>
    <w:rsid w:val="00AB2126"/>
    <w:rsid w:val="00AB223A"/>
    <w:rsid w:val="00AB2B9A"/>
    <w:rsid w:val="00AB4F07"/>
    <w:rsid w:val="00AB50E0"/>
    <w:rsid w:val="00AB5196"/>
    <w:rsid w:val="00AB5CC8"/>
    <w:rsid w:val="00AB5ED3"/>
    <w:rsid w:val="00AB65F7"/>
    <w:rsid w:val="00AB6B0C"/>
    <w:rsid w:val="00AB70CD"/>
    <w:rsid w:val="00AB7481"/>
    <w:rsid w:val="00AB77AA"/>
    <w:rsid w:val="00AB79DB"/>
    <w:rsid w:val="00AB7F65"/>
    <w:rsid w:val="00AC02C3"/>
    <w:rsid w:val="00AC2B04"/>
    <w:rsid w:val="00AC2D19"/>
    <w:rsid w:val="00AC2E09"/>
    <w:rsid w:val="00AC33AD"/>
    <w:rsid w:val="00AC37E5"/>
    <w:rsid w:val="00AC4674"/>
    <w:rsid w:val="00AC4898"/>
    <w:rsid w:val="00AC48B3"/>
    <w:rsid w:val="00AC5DD6"/>
    <w:rsid w:val="00AC6B0D"/>
    <w:rsid w:val="00AC7626"/>
    <w:rsid w:val="00AC7AC9"/>
    <w:rsid w:val="00AC7E92"/>
    <w:rsid w:val="00AD0477"/>
    <w:rsid w:val="00AD0621"/>
    <w:rsid w:val="00AD1B7B"/>
    <w:rsid w:val="00AD22DE"/>
    <w:rsid w:val="00AD24E3"/>
    <w:rsid w:val="00AD380C"/>
    <w:rsid w:val="00AD58EC"/>
    <w:rsid w:val="00AD6CCC"/>
    <w:rsid w:val="00AD6DBA"/>
    <w:rsid w:val="00AD748B"/>
    <w:rsid w:val="00AD7B20"/>
    <w:rsid w:val="00AE07BA"/>
    <w:rsid w:val="00AE1920"/>
    <w:rsid w:val="00AE263B"/>
    <w:rsid w:val="00AE3014"/>
    <w:rsid w:val="00AE33E0"/>
    <w:rsid w:val="00AE35A4"/>
    <w:rsid w:val="00AE38AB"/>
    <w:rsid w:val="00AE4666"/>
    <w:rsid w:val="00AE5971"/>
    <w:rsid w:val="00AE5D62"/>
    <w:rsid w:val="00AE64DB"/>
    <w:rsid w:val="00AE72EC"/>
    <w:rsid w:val="00AE7519"/>
    <w:rsid w:val="00AF0198"/>
    <w:rsid w:val="00AF01B3"/>
    <w:rsid w:val="00AF0B91"/>
    <w:rsid w:val="00AF0F13"/>
    <w:rsid w:val="00AF0F15"/>
    <w:rsid w:val="00AF1969"/>
    <w:rsid w:val="00AF1EF0"/>
    <w:rsid w:val="00AF1F22"/>
    <w:rsid w:val="00AF2180"/>
    <w:rsid w:val="00AF338F"/>
    <w:rsid w:val="00AF3718"/>
    <w:rsid w:val="00AF3812"/>
    <w:rsid w:val="00AF3947"/>
    <w:rsid w:val="00AF3E79"/>
    <w:rsid w:val="00AF556F"/>
    <w:rsid w:val="00AF6467"/>
    <w:rsid w:val="00AF671D"/>
    <w:rsid w:val="00AF7992"/>
    <w:rsid w:val="00AF7B7A"/>
    <w:rsid w:val="00B00545"/>
    <w:rsid w:val="00B00AB3"/>
    <w:rsid w:val="00B011FE"/>
    <w:rsid w:val="00B031EF"/>
    <w:rsid w:val="00B032FE"/>
    <w:rsid w:val="00B037F8"/>
    <w:rsid w:val="00B03FE9"/>
    <w:rsid w:val="00B05D4B"/>
    <w:rsid w:val="00B0669E"/>
    <w:rsid w:val="00B06973"/>
    <w:rsid w:val="00B077BA"/>
    <w:rsid w:val="00B077F0"/>
    <w:rsid w:val="00B07EF5"/>
    <w:rsid w:val="00B07F89"/>
    <w:rsid w:val="00B10B2D"/>
    <w:rsid w:val="00B10C1B"/>
    <w:rsid w:val="00B111E2"/>
    <w:rsid w:val="00B116AF"/>
    <w:rsid w:val="00B12133"/>
    <w:rsid w:val="00B126EE"/>
    <w:rsid w:val="00B13C27"/>
    <w:rsid w:val="00B13E92"/>
    <w:rsid w:val="00B14837"/>
    <w:rsid w:val="00B14C52"/>
    <w:rsid w:val="00B14C9D"/>
    <w:rsid w:val="00B14DF2"/>
    <w:rsid w:val="00B1557F"/>
    <w:rsid w:val="00B1641D"/>
    <w:rsid w:val="00B168D4"/>
    <w:rsid w:val="00B200AA"/>
    <w:rsid w:val="00B206CB"/>
    <w:rsid w:val="00B21DED"/>
    <w:rsid w:val="00B22021"/>
    <w:rsid w:val="00B226F3"/>
    <w:rsid w:val="00B230AC"/>
    <w:rsid w:val="00B23A86"/>
    <w:rsid w:val="00B24C7E"/>
    <w:rsid w:val="00B2511D"/>
    <w:rsid w:val="00B251E0"/>
    <w:rsid w:val="00B2580A"/>
    <w:rsid w:val="00B25B64"/>
    <w:rsid w:val="00B25F39"/>
    <w:rsid w:val="00B269CD"/>
    <w:rsid w:val="00B27A42"/>
    <w:rsid w:val="00B27BC4"/>
    <w:rsid w:val="00B27ED6"/>
    <w:rsid w:val="00B27F74"/>
    <w:rsid w:val="00B30883"/>
    <w:rsid w:val="00B319CE"/>
    <w:rsid w:val="00B32A4C"/>
    <w:rsid w:val="00B32D4B"/>
    <w:rsid w:val="00B32E50"/>
    <w:rsid w:val="00B3300D"/>
    <w:rsid w:val="00B33304"/>
    <w:rsid w:val="00B3363D"/>
    <w:rsid w:val="00B33ACB"/>
    <w:rsid w:val="00B34073"/>
    <w:rsid w:val="00B34878"/>
    <w:rsid w:val="00B349ED"/>
    <w:rsid w:val="00B34F08"/>
    <w:rsid w:val="00B34FF0"/>
    <w:rsid w:val="00B3692A"/>
    <w:rsid w:val="00B36A32"/>
    <w:rsid w:val="00B37410"/>
    <w:rsid w:val="00B400C2"/>
    <w:rsid w:val="00B402ED"/>
    <w:rsid w:val="00B407DA"/>
    <w:rsid w:val="00B40F7B"/>
    <w:rsid w:val="00B418B5"/>
    <w:rsid w:val="00B42132"/>
    <w:rsid w:val="00B4216A"/>
    <w:rsid w:val="00B42F19"/>
    <w:rsid w:val="00B43901"/>
    <w:rsid w:val="00B450D6"/>
    <w:rsid w:val="00B45E21"/>
    <w:rsid w:val="00B478C3"/>
    <w:rsid w:val="00B479FB"/>
    <w:rsid w:val="00B51093"/>
    <w:rsid w:val="00B52715"/>
    <w:rsid w:val="00B52FAF"/>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5583"/>
    <w:rsid w:val="00B6582B"/>
    <w:rsid w:val="00B658FD"/>
    <w:rsid w:val="00B6603F"/>
    <w:rsid w:val="00B66604"/>
    <w:rsid w:val="00B66CCC"/>
    <w:rsid w:val="00B67061"/>
    <w:rsid w:val="00B67114"/>
    <w:rsid w:val="00B67F5A"/>
    <w:rsid w:val="00B70291"/>
    <w:rsid w:val="00B70CBB"/>
    <w:rsid w:val="00B715B7"/>
    <w:rsid w:val="00B727CE"/>
    <w:rsid w:val="00B72972"/>
    <w:rsid w:val="00B72BA2"/>
    <w:rsid w:val="00B72DFC"/>
    <w:rsid w:val="00B72E0A"/>
    <w:rsid w:val="00B72F10"/>
    <w:rsid w:val="00B75449"/>
    <w:rsid w:val="00B75BF7"/>
    <w:rsid w:val="00B76396"/>
    <w:rsid w:val="00B80B0E"/>
    <w:rsid w:val="00B817CF"/>
    <w:rsid w:val="00B83272"/>
    <w:rsid w:val="00B835C5"/>
    <w:rsid w:val="00B83858"/>
    <w:rsid w:val="00B83D62"/>
    <w:rsid w:val="00B83E56"/>
    <w:rsid w:val="00B84A28"/>
    <w:rsid w:val="00B852FF"/>
    <w:rsid w:val="00B85D48"/>
    <w:rsid w:val="00B86174"/>
    <w:rsid w:val="00B86D23"/>
    <w:rsid w:val="00B87672"/>
    <w:rsid w:val="00B87E13"/>
    <w:rsid w:val="00B90CA5"/>
    <w:rsid w:val="00B917E7"/>
    <w:rsid w:val="00B91910"/>
    <w:rsid w:val="00B91E45"/>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2FA1"/>
    <w:rsid w:val="00BC3560"/>
    <w:rsid w:val="00BC3B8E"/>
    <w:rsid w:val="00BC4775"/>
    <w:rsid w:val="00BC546C"/>
    <w:rsid w:val="00BC7413"/>
    <w:rsid w:val="00BC753C"/>
    <w:rsid w:val="00BD04E7"/>
    <w:rsid w:val="00BD09AF"/>
    <w:rsid w:val="00BD0A23"/>
    <w:rsid w:val="00BD136C"/>
    <w:rsid w:val="00BD1E11"/>
    <w:rsid w:val="00BD43BB"/>
    <w:rsid w:val="00BD4745"/>
    <w:rsid w:val="00BD49EF"/>
    <w:rsid w:val="00BD4BE5"/>
    <w:rsid w:val="00BD53BC"/>
    <w:rsid w:val="00BD5B3C"/>
    <w:rsid w:val="00BD65EB"/>
    <w:rsid w:val="00BD75ED"/>
    <w:rsid w:val="00BE07A9"/>
    <w:rsid w:val="00BE084D"/>
    <w:rsid w:val="00BE098D"/>
    <w:rsid w:val="00BE099A"/>
    <w:rsid w:val="00BE172D"/>
    <w:rsid w:val="00BE3C2C"/>
    <w:rsid w:val="00BE428C"/>
    <w:rsid w:val="00BE4A6C"/>
    <w:rsid w:val="00BE50BD"/>
    <w:rsid w:val="00BE5491"/>
    <w:rsid w:val="00BE57C1"/>
    <w:rsid w:val="00BE5B08"/>
    <w:rsid w:val="00BF01F5"/>
    <w:rsid w:val="00BF088B"/>
    <w:rsid w:val="00BF1176"/>
    <w:rsid w:val="00BF46A7"/>
    <w:rsid w:val="00BF4ADB"/>
    <w:rsid w:val="00BF4D96"/>
    <w:rsid w:val="00BF5230"/>
    <w:rsid w:val="00BF55B6"/>
    <w:rsid w:val="00BF6307"/>
    <w:rsid w:val="00BF7A28"/>
    <w:rsid w:val="00BF7CCE"/>
    <w:rsid w:val="00C00525"/>
    <w:rsid w:val="00C005F8"/>
    <w:rsid w:val="00C02269"/>
    <w:rsid w:val="00C02E19"/>
    <w:rsid w:val="00C03672"/>
    <w:rsid w:val="00C04072"/>
    <w:rsid w:val="00C04C2F"/>
    <w:rsid w:val="00C05690"/>
    <w:rsid w:val="00C1090C"/>
    <w:rsid w:val="00C10C70"/>
    <w:rsid w:val="00C1209D"/>
    <w:rsid w:val="00C120DF"/>
    <w:rsid w:val="00C13F9B"/>
    <w:rsid w:val="00C144DB"/>
    <w:rsid w:val="00C159C7"/>
    <w:rsid w:val="00C15B26"/>
    <w:rsid w:val="00C16CCA"/>
    <w:rsid w:val="00C176A9"/>
    <w:rsid w:val="00C17705"/>
    <w:rsid w:val="00C177AD"/>
    <w:rsid w:val="00C20D8D"/>
    <w:rsid w:val="00C20D9B"/>
    <w:rsid w:val="00C21574"/>
    <w:rsid w:val="00C21766"/>
    <w:rsid w:val="00C22A04"/>
    <w:rsid w:val="00C22D61"/>
    <w:rsid w:val="00C23214"/>
    <w:rsid w:val="00C2329C"/>
    <w:rsid w:val="00C23675"/>
    <w:rsid w:val="00C23C31"/>
    <w:rsid w:val="00C23FD0"/>
    <w:rsid w:val="00C240C8"/>
    <w:rsid w:val="00C26513"/>
    <w:rsid w:val="00C2653B"/>
    <w:rsid w:val="00C310C9"/>
    <w:rsid w:val="00C32088"/>
    <w:rsid w:val="00C32495"/>
    <w:rsid w:val="00C328C9"/>
    <w:rsid w:val="00C32C04"/>
    <w:rsid w:val="00C3336D"/>
    <w:rsid w:val="00C339A4"/>
    <w:rsid w:val="00C3668D"/>
    <w:rsid w:val="00C36891"/>
    <w:rsid w:val="00C37080"/>
    <w:rsid w:val="00C37F6D"/>
    <w:rsid w:val="00C37F72"/>
    <w:rsid w:val="00C37FC8"/>
    <w:rsid w:val="00C4017D"/>
    <w:rsid w:val="00C41609"/>
    <w:rsid w:val="00C41EF6"/>
    <w:rsid w:val="00C420C1"/>
    <w:rsid w:val="00C422E6"/>
    <w:rsid w:val="00C448C7"/>
    <w:rsid w:val="00C44A21"/>
    <w:rsid w:val="00C44A38"/>
    <w:rsid w:val="00C44E91"/>
    <w:rsid w:val="00C45963"/>
    <w:rsid w:val="00C472B8"/>
    <w:rsid w:val="00C47A0B"/>
    <w:rsid w:val="00C47C87"/>
    <w:rsid w:val="00C47E19"/>
    <w:rsid w:val="00C501C4"/>
    <w:rsid w:val="00C50375"/>
    <w:rsid w:val="00C51574"/>
    <w:rsid w:val="00C52673"/>
    <w:rsid w:val="00C53124"/>
    <w:rsid w:val="00C532C8"/>
    <w:rsid w:val="00C53B2E"/>
    <w:rsid w:val="00C544AC"/>
    <w:rsid w:val="00C54D5C"/>
    <w:rsid w:val="00C56911"/>
    <w:rsid w:val="00C56B71"/>
    <w:rsid w:val="00C57206"/>
    <w:rsid w:val="00C572B0"/>
    <w:rsid w:val="00C57DD2"/>
    <w:rsid w:val="00C60B6A"/>
    <w:rsid w:val="00C61216"/>
    <w:rsid w:val="00C6157A"/>
    <w:rsid w:val="00C6160A"/>
    <w:rsid w:val="00C62A6C"/>
    <w:rsid w:val="00C631C4"/>
    <w:rsid w:val="00C63D6E"/>
    <w:rsid w:val="00C63E60"/>
    <w:rsid w:val="00C648F3"/>
    <w:rsid w:val="00C65711"/>
    <w:rsid w:val="00C66943"/>
    <w:rsid w:val="00C66AC4"/>
    <w:rsid w:val="00C67AE2"/>
    <w:rsid w:val="00C67D38"/>
    <w:rsid w:val="00C710E7"/>
    <w:rsid w:val="00C721C5"/>
    <w:rsid w:val="00C72B08"/>
    <w:rsid w:val="00C73211"/>
    <w:rsid w:val="00C739D2"/>
    <w:rsid w:val="00C73C05"/>
    <w:rsid w:val="00C74118"/>
    <w:rsid w:val="00C74BAB"/>
    <w:rsid w:val="00C74D5B"/>
    <w:rsid w:val="00C74D7D"/>
    <w:rsid w:val="00C755B8"/>
    <w:rsid w:val="00C75849"/>
    <w:rsid w:val="00C76ECD"/>
    <w:rsid w:val="00C77235"/>
    <w:rsid w:val="00C77262"/>
    <w:rsid w:val="00C77AC1"/>
    <w:rsid w:val="00C80D99"/>
    <w:rsid w:val="00C80F82"/>
    <w:rsid w:val="00C80FDF"/>
    <w:rsid w:val="00C82A97"/>
    <w:rsid w:val="00C82AF1"/>
    <w:rsid w:val="00C831A4"/>
    <w:rsid w:val="00C83500"/>
    <w:rsid w:val="00C8408A"/>
    <w:rsid w:val="00C84D18"/>
    <w:rsid w:val="00C84E04"/>
    <w:rsid w:val="00C85C43"/>
    <w:rsid w:val="00C864CE"/>
    <w:rsid w:val="00C865C9"/>
    <w:rsid w:val="00C90463"/>
    <w:rsid w:val="00C90BD4"/>
    <w:rsid w:val="00C910BE"/>
    <w:rsid w:val="00C918FD"/>
    <w:rsid w:val="00C91B52"/>
    <w:rsid w:val="00C922BE"/>
    <w:rsid w:val="00C92E16"/>
    <w:rsid w:val="00C92FBC"/>
    <w:rsid w:val="00C93A2E"/>
    <w:rsid w:val="00C942D7"/>
    <w:rsid w:val="00C949A2"/>
    <w:rsid w:val="00C94B43"/>
    <w:rsid w:val="00C9662F"/>
    <w:rsid w:val="00C96A12"/>
    <w:rsid w:val="00C96EBD"/>
    <w:rsid w:val="00CA0D31"/>
    <w:rsid w:val="00CA121A"/>
    <w:rsid w:val="00CA14BE"/>
    <w:rsid w:val="00CA1A83"/>
    <w:rsid w:val="00CA2168"/>
    <w:rsid w:val="00CA2836"/>
    <w:rsid w:val="00CA2B1D"/>
    <w:rsid w:val="00CA2F46"/>
    <w:rsid w:val="00CA3F71"/>
    <w:rsid w:val="00CA4162"/>
    <w:rsid w:val="00CA41EC"/>
    <w:rsid w:val="00CA4900"/>
    <w:rsid w:val="00CA5844"/>
    <w:rsid w:val="00CA5ECC"/>
    <w:rsid w:val="00CA65AC"/>
    <w:rsid w:val="00CA6E66"/>
    <w:rsid w:val="00CA7272"/>
    <w:rsid w:val="00CA7415"/>
    <w:rsid w:val="00CA7A8A"/>
    <w:rsid w:val="00CA7C77"/>
    <w:rsid w:val="00CB0071"/>
    <w:rsid w:val="00CB0925"/>
    <w:rsid w:val="00CB265C"/>
    <w:rsid w:val="00CB3721"/>
    <w:rsid w:val="00CB3759"/>
    <w:rsid w:val="00CB43D6"/>
    <w:rsid w:val="00CB4540"/>
    <w:rsid w:val="00CB4601"/>
    <w:rsid w:val="00CB5151"/>
    <w:rsid w:val="00CB6222"/>
    <w:rsid w:val="00CB69F4"/>
    <w:rsid w:val="00CB6D6E"/>
    <w:rsid w:val="00CB7A07"/>
    <w:rsid w:val="00CB7AE3"/>
    <w:rsid w:val="00CB7DBA"/>
    <w:rsid w:val="00CC01BD"/>
    <w:rsid w:val="00CC1922"/>
    <w:rsid w:val="00CC2E5C"/>
    <w:rsid w:val="00CC3305"/>
    <w:rsid w:val="00CC493D"/>
    <w:rsid w:val="00CC4CE5"/>
    <w:rsid w:val="00CC59BB"/>
    <w:rsid w:val="00CC5AE5"/>
    <w:rsid w:val="00CC6624"/>
    <w:rsid w:val="00CC70BF"/>
    <w:rsid w:val="00CC7BDF"/>
    <w:rsid w:val="00CC7DC1"/>
    <w:rsid w:val="00CD08FF"/>
    <w:rsid w:val="00CD0FD9"/>
    <w:rsid w:val="00CD1274"/>
    <w:rsid w:val="00CD1A92"/>
    <w:rsid w:val="00CD2942"/>
    <w:rsid w:val="00CD2AA1"/>
    <w:rsid w:val="00CD2AE2"/>
    <w:rsid w:val="00CD48C6"/>
    <w:rsid w:val="00CD535A"/>
    <w:rsid w:val="00CD635D"/>
    <w:rsid w:val="00CD6CBF"/>
    <w:rsid w:val="00CD7194"/>
    <w:rsid w:val="00CD72E9"/>
    <w:rsid w:val="00CD7CED"/>
    <w:rsid w:val="00CD7F23"/>
    <w:rsid w:val="00CE0367"/>
    <w:rsid w:val="00CE03E6"/>
    <w:rsid w:val="00CE04C7"/>
    <w:rsid w:val="00CE1702"/>
    <w:rsid w:val="00CE381D"/>
    <w:rsid w:val="00CE3D79"/>
    <w:rsid w:val="00CE4344"/>
    <w:rsid w:val="00CE4FE1"/>
    <w:rsid w:val="00CE543A"/>
    <w:rsid w:val="00CE5C1F"/>
    <w:rsid w:val="00CE6444"/>
    <w:rsid w:val="00CE7286"/>
    <w:rsid w:val="00CE74D8"/>
    <w:rsid w:val="00CE7D98"/>
    <w:rsid w:val="00CF0A80"/>
    <w:rsid w:val="00CF0E02"/>
    <w:rsid w:val="00CF14B7"/>
    <w:rsid w:val="00CF156B"/>
    <w:rsid w:val="00CF1A7D"/>
    <w:rsid w:val="00CF1E02"/>
    <w:rsid w:val="00CF1E1F"/>
    <w:rsid w:val="00CF1EF9"/>
    <w:rsid w:val="00CF30E0"/>
    <w:rsid w:val="00CF3177"/>
    <w:rsid w:val="00CF3F93"/>
    <w:rsid w:val="00CF597A"/>
    <w:rsid w:val="00CF7B3E"/>
    <w:rsid w:val="00CF7BFF"/>
    <w:rsid w:val="00CF7D10"/>
    <w:rsid w:val="00D008E5"/>
    <w:rsid w:val="00D01A51"/>
    <w:rsid w:val="00D01ECF"/>
    <w:rsid w:val="00D02779"/>
    <w:rsid w:val="00D02CAD"/>
    <w:rsid w:val="00D02D75"/>
    <w:rsid w:val="00D02DDE"/>
    <w:rsid w:val="00D032E5"/>
    <w:rsid w:val="00D042B0"/>
    <w:rsid w:val="00D05750"/>
    <w:rsid w:val="00D05AFA"/>
    <w:rsid w:val="00D05BAA"/>
    <w:rsid w:val="00D05DDD"/>
    <w:rsid w:val="00D05F6E"/>
    <w:rsid w:val="00D06E50"/>
    <w:rsid w:val="00D07484"/>
    <w:rsid w:val="00D07494"/>
    <w:rsid w:val="00D07805"/>
    <w:rsid w:val="00D07D43"/>
    <w:rsid w:val="00D1007A"/>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3A3"/>
    <w:rsid w:val="00D237B9"/>
    <w:rsid w:val="00D23E7D"/>
    <w:rsid w:val="00D2405F"/>
    <w:rsid w:val="00D245CF"/>
    <w:rsid w:val="00D25404"/>
    <w:rsid w:val="00D255B9"/>
    <w:rsid w:val="00D27566"/>
    <w:rsid w:val="00D27F2E"/>
    <w:rsid w:val="00D30C7F"/>
    <w:rsid w:val="00D31089"/>
    <w:rsid w:val="00D317DB"/>
    <w:rsid w:val="00D33AF3"/>
    <w:rsid w:val="00D33F15"/>
    <w:rsid w:val="00D33F5A"/>
    <w:rsid w:val="00D363DD"/>
    <w:rsid w:val="00D36935"/>
    <w:rsid w:val="00D36BD8"/>
    <w:rsid w:val="00D40C55"/>
    <w:rsid w:val="00D41187"/>
    <w:rsid w:val="00D412EF"/>
    <w:rsid w:val="00D41BA9"/>
    <w:rsid w:val="00D41DD9"/>
    <w:rsid w:val="00D42782"/>
    <w:rsid w:val="00D4409C"/>
    <w:rsid w:val="00D4449D"/>
    <w:rsid w:val="00D44A28"/>
    <w:rsid w:val="00D451AB"/>
    <w:rsid w:val="00D4571F"/>
    <w:rsid w:val="00D458DA"/>
    <w:rsid w:val="00D46FE7"/>
    <w:rsid w:val="00D47217"/>
    <w:rsid w:val="00D47E4B"/>
    <w:rsid w:val="00D5092F"/>
    <w:rsid w:val="00D52376"/>
    <w:rsid w:val="00D52531"/>
    <w:rsid w:val="00D53466"/>
    <w:rsid w:val="00D54475"/>
    <w:rsid w:val="00D546AD"/>
    <w:rsid w:val="00D55A9E"/>
    <w:rsid w:val="00D55D20"/>
    <w:rsid w:val="00D57CF1"/>
    <w:rsid w:val="00D60272"/>
    <w:rsid w:val="00D60EA0"/>
    <w:rsid w:val="00D612C2"/>
    <w:rsid w:val="00D61E40"/>
    <w:rsid w:val="00D64E3B"/>
    <w:rsid w:val="00D654A1"/>
    <w:rsid w:val="00D6706C"/>
    <w:rsid w:val="00D67609"/>
    <w:rsid w:val="00D70172"/>
    <w:rsid w:val="00D73528"/>
    <w:rsid w:val="00D73F21"/>
    <w:rsid w:val="00D73F3C"/>
    <w:rsid w:val="00D73FC3"/>
    <w:rsid w:val="00D743BF"/>
    <w:rsid w:val="00D745E0"/>
    <w:rsid w:val="00D7504F"/>
    <w:rsid w:val="00D75B98"/>
    <w:rsid w:val="00D762C7"/>
    <w:rsid w:val="00D767F8"/>
    <w:rsid w:val="00D76805"/>
    <w:rsid w:val="00D768BF"/>
    <w:rsid w:val="00D76AA3"/>
    <w:rsid w:val="00D76EA5"/>
    <w:rsid w:val="00D8032A"/>
    <w:rsid w:val="00D8053F"/>
    <w:rsid w:val="00D80604"/>
    <w:rsid w:val="00D80D4F"/>
    <w:rsid w:val="00D812EC"/>
    <w:rsid w:val="00D832A7"/>
    <w:rsid w:val="00D84AC8"/>
    <w:rsid w:val="00D84DBB"/>
    <w:rsid w:val="00D85758"/>
    <w:rsid w:val="00D85F87"/>
    <w:rsid w:val="00D86717"/>
    <w:rsid w:val="00D87DCF"/>
    <w:rsid w:val="00D923B5"/>
    <w:rsid w:val="00D924B1"/>
    <w:rsid w:val="00D929F4"/>
    <w:rsid w:val="00D9333A"/>
    <w:rsid w:val="00D934BF"/>
    <w:rsid w:val="00D94163"/>
    <w:rsid w:val="00D941CD"/>
    <w:rsid w:val="00D94B3B"/>
    <w:rsid w:val="00D94B3C"/>
    <w:rsid w:val="00D94DB1"/>
    <w:rsid w:val="00D95D4A"/>
    <w:rsid w:val="00D95F85"/>
    <w:rsid w:val="00D9671E"/>
    <w:rsid w:val="00DA06A8"/>
    <w:rsid w:val="00DA086B"/>
    <w:rsid w:val="00DA18E2"/>
    <w:rsid w:val="00DA1D7A"/>
    <w:rsid w:val="00DA3163"/>
    <w:rsid w:val="00DA3D82"/>
    <w:rsid w:val="00DA3DBD"/>
    <w:rsid w:val="00DA3E80"/>
    <w:rsid w:val="00DA4097"/>
    <w:rsid w:val="00DA4232"/>
    <w:rsid w:val="00DA44C1"/>
    <w:rsid w:val="00DA6677"/>
    <w:rsid w:val="00DA6834"/>
    <w:rsid w:val="00DA711B"/>
    <w:rsid w:val="00DA7428"/>
    <w:rsid w:val="00DA747E"/>
    <w:rsid w:val="00DA784E"/>
    <w:rsid w:val="00DA7BE9"/>
    <w:rsid w:val="00DA7E05"/>
    <w:rsid w:val="00DA7EE9"/>
    <w:rsid w:val="00DB051B"/>
    <w:rsid w:val="00DB0A44"/>
    <w:rsid w:val="00DB17E3"/>
    <w:rsid w:val="00DB1F69"/>
    <w:rsid w:val="00DB2360"/>
    <w:rsid w:val="00DB2D9D"/>
    <w:rsid w:val="00DB36ED"/>
    <w:rsid w:val="00DB4190"/>
    <w:rsid w:val="00DB4794"/>
    <w:rsid w:val="00DB4D23"/>
    <w:rsid w:val="00DB51C9"/>
    <w:rsid w:val="00DB5B8F"/>
    <w:rsid w:val="00DB5C3E"/>
    <w:rsid w:val="00DB628E"/>
    <w:rsid w:val="00DB6762"/>
    <w:rsid w:val="00DB6DFE"/>
    <w:rsid w:val="00DB6EFB"/>
    <w:rsid w:val="00DC0895"/>
    <w:rsid w:val="00DC0F27"/>
    <w:rsid w:val="00DC1029"/>
    <w:rsid w:val="00DC1348"/>
    <w:rsid w:val="00DC1AC9"/>
    <w:rsid w:val="00DC25BD"/>
    <w:rsid w:val="00DC31EF"/>
    <w:rsid w:val="00DC3D31"/>
    <w:rsid w:val="00DC4714"/>
    <w:rsid w:val="00DC4FAD"/>
    <w:rsid w:val="00DC6214"/>
    <w:rsid w:val="00DC69E0"/>
    <w:rsid w:val="00DC709A"/>
    <w:rsid w:val="00DC729C"/>
    <w:rsid w:val="00DC782B"/>
    <w:rsid w:val="00DD01AE"/>
    <w:rsid w:val="00DD034F"/>
    <w:rsid w:val="00DD0754"/>
    <w:rsid w:val="00DD1A2E"/>
    <w:rsid w:val="00DD1FA7"/>
    <w:rsid w:val="00DD4A01"/>
    <w:rsid w:val="00DD54FD"/>
    <w:rsid w:val="00DD6F04"/>
    <w:rsid w:val="00DD7A02"/>
    <w:rsid w:val="00DE0379"/>
    <w:rsid w:val="00DE050F"/>
    <w:rsid w:val="00DE0D29"/>
    <w:rsid w:val="00DE33DC"/>
    <w:rsid w:val="00DE4FDA"/>
    <w:rsid w:val="00DE5A13"/>
    <w:rsid w:val="00DE5A29"/>
    <w:rsid w:val="00DE6A6D"/>
    <w:rsid w:val="00DE702E"/>
    <w:rsid w:val="00DE7179"/>
    <w:rsid w:val="00DF0886"/>
    <w:rsid w:val="00DF156F"/>
    <w:rsid w:val="00DF24E3"/>
    <w:rsid w:val="00DF2873"/>
    <w:rsid w:val="00DF32EB"/>
    <w:rsid w:val="00DF3ADE"/>
    <w:rsid w:val="00DF3B95"/>
    <w:rsid w:val="00DF3D63"/>
    <w:rsid w:val="00DF4960"/>
    <w:rsid w:val="00DF5425"/>
    <w:rsid w:val="00DF58B3"/>
    <w:rsid w:val="00DF5E05"/>
    <w:rsid w:val="00DF6EC2"/>
    <w:rsid w:val="00DF7042"/>
    <w:rsid w:val="00DF782C"/>
    <w:rsid w:val="00DF79B5"/>
    <w:rsid w:val="00E00A51"/>
    <w:rsid w:val="00E030A0"/>
    <w:rsid w:val="00E03253"/>
    <w:rsid w:val="00E0450C"/>
    <w:rsid w:val="00E04F63"/>
    <w:rsid w:val="00E0549C"/>
    <w:rsid w:val="00E05704"/>
    <w:rsid w:val="00E06106"/>
    <w:rsid w:val="00E06E27"/>
    <w:rsid w:val="00E06EDE"/>
    <w:rsid w:val="00E075A1"/>
    <w:rsid w:val="00E079A9"/>
    <w:rsid w:val="00E10462"/>
    <w:rsid w:val="00E10661"/>
    <w:rsid w:val="00E11A2C"/>
    <w:rsid w:val="00E124E3"/>
    <w:rsid w:val="00E1252B"/>
    <w:rsid w:val="00E12E68"/>
    <w:rsid w:val="00E14812"/>
    <w:rsid w:val="00E14DE9"/>
    <w:rsid w:val="00E15DDE"/>
    <w:rsid w:val="00E169D7"/>
    <w:rsid w:val="00E16FCC"/>
    <w:rsid w:val="00E1781D"/>
    <w:rsid w:val="00E17F19"/>
    <w:rsid w:val="00E20253"/>
    <w:rsid w:val="00E2031F"/>
    <w:rsid w:val="00E20857"/>
    <w:rsid w:val="00E218E4"/>
    <w:rsid w:val="00E2314C"/>
    <w:rsid w:val="00E2339E"/>
    <w:rsid w:val="00E234BF"/>
    <w:rsid w:val="00E234FF"/>
    <w:rsid w:val="00E2417C"/>
    <w:rsid w:val="00E24491"/>
    <w:rsid w:val="00E24884"/>
    <w:rsid w:val="00E24FEE"/>
    <w:rsid w:val="00E25773"/>
    <w:rsid w:val="00E257E6"/>
    <w:rsid w:val="00E26EA5"/>
    <w:rsid w:val="00E26F1B"/>
    <w:rsid w:val="00E276DB"/>
    <w:rsid w:val="00E276F5"/>
    <w:rsid w:val="00E27E7D"/>
    <w:rsid w:val="00E30877"/>
    <w:rsid w:val="00E30CBF"/>
    <w:rsid w:val="00E3245B"/>
    <w:rsid w:val="00E3353D"/>
    <w:rsid w:val="00E3362F"/>
    <w:rsid w:val="00E33EED"/>
    <w:rsid w:val="00E34185"/>
    <w:rsid w:val="00E3504A"/>
    <w:rsid w:val="00E364AB"/>
    <w:rsid w:val="00E3707B"/>
    <w:rsid w:val="00E37819"/>
    <w:rsid w:val="00E37E43"/>
    <w:rsid w:val="00E40CE5"/>
    <w:rsid w:val="00E4109C"/>
    <w:rsid w:val="00E41568"/>
    <w:rsid w:val="00E4199A"/>
    <w:rsid w:val="00E41A6A"/>
    <w:rsid w:val="00E42144"/>
    <w:rsid w:val="00E4401E"/>
    <w:rsid w:val="00E453F7"/>
    <w:rsid w:val="00E46517"/>
    <w:rsid w:val="00E466C6"/>
    <w:rsid w:val="00E477CF"/>
    <w:rsid w:val="00E47822"/>
    <w:rsid w:val="00E47B7A"/>
    <w:rsid w:val="00E50685"/>
    <w:rsid w:val="00E50B62"/>
    <w:rsid w:val="00E50D58"/>
    <w:rsid w:val="00E51966"/>
    <w:rsid w:val="00E52847"/>
    <w:rsid w:val="00E52A51"/>
    <w:rsid w:val="00E53108"/>
    <w:rsid w:val="00E53933"/>
    <w:rsid w:val="00E54D2D"/>
    <w:rsid w:val="00E55F2E"/>
    <w:rsid w:val="00E55F88"/>
    <w:rsid w:val="00E577A1"/>
    <w:rsid w:val="00E57F6B"/>
    <w:rsid w:val="00E62B41"/>
    <w:rsid w:val="00E632FB"/>
    <w:rsid w:val="00E633D3"/>
    <w:rsid w:val="00E641A8"/>
    <w:rsid w:val="00E64FF7"/>
    <w:rsid w:val="00E658AD"/>
    <w:rsid w:val="00E65E1B"/>
    <w:rsid w:val="00E66508"/>
    <w:rsid w:val="00E66C3B"/>
    <w:rsid w:val="00E673C1"/>
    <w:rsid w:val="00E70CB5"/>
    <w:rsid w:val="00E70CED"/>
    <w:rsid w:val="00E71327"/>
    <w:rsid w:val="00E71A86"/>
    <w:rsid w:val="00E7342C"/>
    <w:rsid w:val="00E737AC"/>
    <w:rsid w:val="00E737E2"/>
    <w:rsid w:val="00E73CA3"/>
    <w:rsid w:val="00E741FE"/>
    <w:rsid w:val="00E74861"/>
    <w:rsid w:val="00E75485"/>
    <w:rsid w:val="00E75A4B"/>
    <w:rsid w:val="00E761FA"/>
    <w:rsid w:val="00E76363"/>
    <w:rsid w:val="00E763CA"/>
    <w:rsid w:val="00E77A80"/>
    <w:rsid w:val="00E80026"/>
    <w:rsid w:val="00E8022D"/>
    <w:rsid w:val="00E80569"/>
    <w:rsid w:val="00E807B4"/>
    <w:rsid w:val="00E81253"/>
    <w:rsid w:val="00E82AFD"/>
    <w:rsid w:val="00E8393E"/>
    <w:rsid w:val="00E83C05"/>
    <w:rsid w:val="00E84514"/>
    <w:rsid w:val="00E84F00"/>
    <w:rsid w:val="00E857C0"/>
    <w:rsid w:val="00E85ED9"/>
    <w:rsid w:val="00E86244"/>
    <w:rsid w:val="00E86836"/>
    <w:rsid w:val="00E8731D"/>
    <w:rsid w:val="00E87C59"/>
    <w:rsid w:val="00E9047F"/>
    <w:rsid w:val="00E91A62"/>
    <w:rsid w:val="00E91D81"/>
    <w:rsid w:val="00E929D0"/>
    <w:rsid w:val="00E92BC2"/>
    <w:rsid w:val="00E9318F"/>
    <w:rsid w:val="00E93755"/>
    <w:rsid w:val="00E93BD5"/>
    <w:rsid w:val="00E93D07"/>
    <w:rsid w:val="00E945B4"/>
    <w:rsid w:val="00E9593F"/>
    <w:rsid w:val="00E95FCF"/>
    <w:rsid w:val="00E97536"/>
    <w:rsid w:val="00E9796D"/>
    <w:rsid w:val="00E97974"/>
    <w:rsid w:val="00EA010E"/>
    <w:rsid w:val="00EA08D9"/>
    <w:rsid w:val="00EA1302"/>
    <w:rsid w:val="00EA2515"/>
    <w:rsid w:val="00EA25E1"/>
    <w:rsid w:val="00EA30E7"/>
    <w:rsid w:val="00EA4FA2"/>
    <w:rsid w:val="00EA53F1"/>
    <w:rsid w:val="00EA55E1"/>
    <w:rsid w:val="00EA5987"/>
    <w:rsid w:val="00EA5A65"/>
    <w:rsid w:val="00EA70AE"/>
    <w:rsid w:val="00EA7468"/>
    <w:rsid w:val="00EA7A87"/>
    <w:rsid w:val="00EA7F1A"/>
    <w:rsid w:val="00EB060B"/>
    <w:rsid w:val="00EB0681"/>
    <w:rsid w:val="00EB11AE"/>
    <w:rsid w:val="00EB1E33"/>
    <w:rsid w:val="00EB2AB1"/>
    <w:rsid w:val="00EB2D6B"/>
    <w:rsid w:val="00EB2FC4"/>
    <w:rsid w:val="00EB3A1F"/>
    <w:rsid w:val="00EB47C1"/>
    <w:rsid w:val="00EB5E45"/>
    <w:rsid w:val="00EB702C"/>
    <w:rsid w:val="00EB71F0"/>
    <w:rsid w:val="00EB7CB4"/>
    <w:rsid w:val="00EC0548"/>
    <w:rsid w:val="00EC0881"/>
    <w:rsid w:val="00EC133B"/>
    <w:rsid w:val="00EC1BE6"/>
    <w:rsid w:val="00EC22CB"/>
    <w:rsid w:val="00EC2B22"/>
    <w:rsid w:val="00EC3019"/>
    <w:rsid w:val="00EC37A9"/>
    <w:rsid w:val="00EC3ACB"/>
    <w:rsid w:val="00EC492A"/>
    <w:rsid w:val="00EC4B4E"/>
    <w:rsid w:val="00EC52E5"/>
    <w:rsid w:val="00ED05AA"/>
    <w:rsid w:val="00ED1497"/>
    <w:rsid w:val="00ED14C6"/>
    <w:rsid w:val="00ED212B"/>
    <w:rsid w:val="00ED2B38"/>
    <w:rsid w:val="00ED4270"/>
    <w:rsid w:val="00ED5224"/>
    <w:rsid w:val="00ED58A5"/>
    <w:rsid w:val="00ED5D4A"/>
    <w:rsid w:val="00ED6EBF"/>
    <w:rsid w:val="00EE03E6"/>
    <w:rsid w:val="00EE0E0C"/>
    <w:rsid w:val="00EE1ED5"/>
    <w:rsid w:val="00EE212F"/>
    <w:rsid w:val="00EE28C8"/>
    <w:rsid w:val="00EE3E02"/>
    <w:rsid w:val="00EE49B5"/>
    <w:rsid w:val="00EE58B2"/>
    <w:rsid w:val="00EE5A62"/>
    <w:rsid w:val="00EE5E42"/>
    <w:rsid w:val="00EE6258"/>
    <w:rsid w:val="00EE6ECF"/>
    <w:rsid w:val="00EE7401"/>
    <w:rsid w:val="00EE7799"/>
    <w:rsid w:val="00EE7822"/>
    <w:rsid w:val="00EF0E72"/>
    <w:rsid w:val="00EF163B"/>
    <w:rsid w:val="00EF1D36"/>
    <w:rsid w:val="00EF2517"/>
    <w:rsid w:val="00EF2B3E"/>
    <w:rsid w:val="00EF2D55"/>
    <w:rsid w:val="00EF3384"/>
    <w:rsid w:val="00EF3E03"/>
    <w:rsid w:val="00EF591F"/>
    <w:rsid w:val="00EF6540"/>
    <w:rsid w:val="00EF7705"/>
    <w:rsid w:val="00F004A5"/>
    <w:rsid w:val="00F01B83"/>
    <w:rsid w:val="00F01DD8"/>
    <w:rsid w:val="00F020A6"/>
    <w:rsid w:val="00F0231C"/>
    <w:rsid w:val="00F024D7"/>
    <w:rsid w:val="00F04218"/>
    <w:rsid w:val="00F04414"/>
    <w:rsid w:val="00F04717"/>
    <w:rsid w:val="00F05F49"/>
    <w:rsid w:val="00F06843"/>
    <w:rsid w:val="00F07F3D"/>
    <w:rsid w:val="00F10D32"/>
    <w:rsid w:val="00F114FB"/>
    <w:rsid w:val="00F11E97"/>
    <w:rsid w:val="00F121A4"/>
    <w:rsid w:val="00F1245B"/>
    <w:rsid w:val="00F12B88"/>
    <w:rsid w:val="00F1394D"/>
    <w:rsid w:val="00F14C80"/>
    <w:rsid w:val="00F17559"/>
    <w:rsid w:val="00F175D0"/>
    <w:rsid w:val="00F17EEC"/>
    <w:rsid w:val="00F20FF1"/>
    <w:rsid w:val="00F21901"/>
    <w:rsid w:val="00F22D23"/>
    <w:rsid w:val="00F23A81"/>
    <w:rsid w:val="00F2441C"/>
    <w:rsid w:val="00F24514"/>
    <w:rsid w:val="00F26957"/>
    <w:rsid w:val="00F30A50"/>
    <w:rsid w:val="00F31213"/>
    <w:rsid w:val="00F31AE1"/>
    <w:rsid w:val="00F31CE1"/>
    <w:rsid w:val="00F32E27"/>
    <w:rsid w:val="00F32F33"/>
    <w:rsid w:val="00F33C26"/>
    <w:rsid w:val="00F33F2F"/>
    <w:rsid w:val="00F341EF"/>
    <w:rsid w:val="00F351FD"/>
    <w:rsid w:val="00F35457"/>
    <w:rsid w:val="00F355E5"/>
    <w:rsid w:val="00F3595B"/>
    <w:rsid w:val="00F359D9"/>
    <w:rsid w:val="00F35C54"/>
    <w:rsid w:val="00F3617B"/>
    <w:rsid w:val="00F36228"/>
    <w:rsid w:val="00F40207"/>
    <w:rsid w:val="00F402D8"/>
    <w:rsid w:val="00F40BA8"/>
    <w:rsid w:val="00F41AC8"/>
    <w:rsid w:val="00F42399"/>
    <w:rsid w:val="00F426A6"/>
    <w:rsid w:val="00F429FD"/>
    <w:rsid w:val="00F42C1A"/>
    <w:rsid w:val="00F43C6B"/>
    <w:rsid w:val="00F44D6B"/>
    <w:rsid w:val="00F45195"/>
    <w:rsid w:val="00F4623C"/>
    <w:rsid w:val="00F46897"/>
    <w:rsid w:val="00F46D79"/>
    <w:rsid w:val="00F47278"/>
    <w:rsid w:val="00F477E2"/>
    <w:rsid w:val="00F478B0"/>
    <w:rsid w:val="00F47C6A"/>
    <w:rsid w:val="00F50EA6"/>
    <w:rsid w:val="00F513D1"/>
    <w:rsid w:val="00F5144C"/>
    <w:rsid w:val="00F51ACA"/>
    <w:rsid w:val="00F54C4A"/>
    <w:rsid w:val="00F5560C"/>
    <w:rsid w:val="00F55977"/>
    <w:rsid w:val="00F55FAA"/>
    <w:rsid w:val="00F56399"/>
    <w:rsid w:val="00F56463"/>
    <w:rsid w:val="00F5669E"/>
    <w:rsid w:val="00F56897"/>
    <w:rsid w:val="00F602AD"/>
    <w:rsid w:val="00F607CC"/>
    <w:rsid w:val="00F6120D"/>
    <w:rsid w:val="00F625D1"/>
    <w:rsid w:val="00F6282C"/>
    <w:rsid w:val="00F62937"/>
    <w:rsid w:val="00F62C35"/>
    <w:rsid w:val="00F631CA"/>
    <w:rsid w:val="00F63644"/>
    <w:rsid w:val="00F63DE0"/>
    <w:rsid w:val="00F640C3"/>
    <w:rsid w:val="00F6680D"/>
    <w:rsid w:val="00F66EF6"/>
    <w:rsid w:val="00F67048"/>
    <w:rsid w:val="00F70E3C"/>
    <w:rsid w:val="00F72305"/>
    <w:rsid w:val="00F7247B"/>
    <w:rsid w:val="00F73028"/>
    <w:rsid w:val="00F731C6"/>
    <w:rsid w:val="00F750CF"/>
    <w:rsid w:val="00F75648"/>
    <w:rsid w:val="00F75C9F"/>
    <w:rsid w:val="00F7679D"/>
    <w:rsid w:val="00F76911"/>
    <w:rsid w:val="00F76999"/>
    <w:rsid w:val="00F76C7E"/>
    <w:rsid w:val="00F7750A"/>
    <w:rsid w:val="00F80006"/>
    <w:rsid w:val="00F80084"/>
    <w:rsid w:val="00F81C57"/>
    <w:rsid w:val="00F81CEF"/>
    <w:rsid w:val="00F81DDA"/>
    <w:rsid w:val="00F839A6"/>
    <w:rsid w:val="00F83C19"/>
    <w:rsid w:val="00F845D8"/>
    <w:rsid w:val="00F85DF6"/>
    <w:rsid w:val="00F86313"/>
    <w:rsid w:val="00F86581"/>
    <w:rsid w:val="00F874B2"/>
    <w:rsid w:val="00F87B0B"/>
    <w:rsid w:val="00F90757"/>
    <w:rsid w:val="00F91DA1"/>
    <w:rsid w:val="00F924F5"/>
    <w:rsid w:val="00F93D0B"/>
    <w:rsid w:val="00F93D98"/>
    <w:rsid w:val="00F94152"/>
    <w:rsid w:val="00F94DBC"/>
    <w:rsid w:val="00F95676"/>
    <w:rsid w:val="00F96AEB"/>
    <w:rsid w:val="00F97A78"/>
    <w:rsid w:val="00F97EFB"/>
    <w:rsid w:val="00FA0685"/>
    <w:rsid w:val="00FA0C89"/>
    <w:rsid w:val="00FA1949"/>
    <w:rsid w:val="00FA2A8C"/>
    <w:rsid w:val="00FA2C6C"/>
    <w:rsid w:val="00FA2C8E"/>
    <w:rsid w:val="00FA2E1D"/>
    <w:rsid w:val="00FA2E64"/>
    <w:rsid w:val="00FA35DC"/>
    <w:rsid w:val="00FA3936"/>
    <w:rsid w:val="00FA3F3E"/>
    <w:rsid w:val="00FA5F62"/>
    <w:rsid w:val="00FB01FE"/>
    <w:rsid w:val="00FB09AB"/>
    <w:rsid w:val="00FB113E"/>
    <w:rsid w:val="00FB1235"/>
    <w:rsid w:val="00FB1BA2"/>
    <w:rsid w:val="00FB2570"/>
    <w:rsid w:val="00FB2839"/>
    <w:rsid w:val="00FB3BEA"/>
    <w:rsid w:val="00FB5894"/>
    <w:rsid w:val="00FB62B5"/>
    <w:rsid w:val="00FB64E2"/>
    <w:rsid w:val="00FB7075"/>
    <w:rsid w:val="00FB79AA"/>
    <w:rsid w:val="00FB7EAD"/>
    <w:rsid w:val="00FC0D15"/>
    <w:rsid w:val="00FC0FDF"/>
    <w:rsid w:val="00FC29DC"/>
    <w:rsid w:val="00FC2DBE"/>
    <w:rsid w:val="00FC2FD6"/>
    <w:rsid w:val="00FC3534"/>
    <w:rsid w:val="00FC4297"/>
    <w:rsid w:val="00FC430D"/>
    <w:rsid w:val="00FC4462"/>
    <w:rsid w:val="00FC4DFC"/>
    <w:rsid w:val="00FC4E46"/>
    <w:rsid w:val="00FC559E"/>
    <w:rsid w:val="00FC596A"/>
    <w:rsid w:val="00FC68A2"/>
    <w:rsid w:val="00FC6A14"/>
    <w:rsid w:val="00FC7496"/>
    <w:rsid w:val="00FC7F2D"/>
    <w:rsid w:val="00FD0A57"/>
    <w:rsid w:val="00FD1267"/>
    <w:rsid w:val="00FD184C"/>
    <w:rsid w:val="00FD1A5D"/>
    <w:rsid w:val="00FD2470"/>
    <w:rsid w:val="00FD27C1"/>
    <w:rsid w:val="00FD2DC2"/>
    <w:rsid w:val="00FD2FB4"/>
    <w:rsid w:val="00FD35E4"/>
    <w:rsid w:val="00FD479E"/>
    <w:rsid w:val="00FD4C3A"/>
    <w:rsid w:val="00FD5823"/>
    <w:rsid w:val="00FD5F5C"/>
    <w:rsid w:val="00FD6531"/>
    <w:rsid w:val="00FD7369"/>
    <w:rsid w:val="00FD73EE"/>
    <w:rsid w:val="00FE02BF"/>
    <w:rsid w:val="00FE0A73"/>
    <w:rsid w:val="00FE101A"/>
    <w:rsid w:val="00FE1C27"/>
    <w:rsid w:val="00FE1DA4"/>
    <w:rsid w:val="00FE208F"/>
    <w:rsid w:val="00FE249F"/>
    <w:rsid w:val="00FE2AE4"/>
    <w:rsid w:val="00FE44F6"/>
    <w:rsid w:val="00FE44F9"/>
    <w:rsid w:val="00FE5C31"/>
    <w:rsid w:val="00FE665E"/>
    <w:rsid w:val="00FE6CDB"/>
    <w:rsid w:val="00FE74FD"/>
    <w:rsid w:val="00FF0984"/>
    <w:rsid w:val="00FF0D46"/>
    <w:rsid w:val="00FF1B0E"/>
    <w:rsid w:val="00FF1DC3"/>
    <w:rsid w:val="00FF1DFF"/>
    <w:rsid w:val="00FF1E3E"/>
    <w:rsid w:val="00FF2000"/>
    <w:rsid w:val="00FF2A8F"/>
    <w:rsid w:val="00FF2F51"/>
    <w:rsid w:val="00FF31D6"/>
    <w:rsid w:val="00FF40FC"/>
    <w:rsid w:val="00FF445B"/>
    <w:rsid w:val="00FF56E2"/>
    <w:rsid w:val="00FF5B7C"/>
    <w:rsid w:val="00FF6605"/>
    <w:rsid w:val="00FF748B"/>
    <w:rsid w:val="00FF7DE3"/>
    <w:rsid w:val="01840314"/>
    <w:rsid w:val="01B12E58"/>
    <w:rsid w:val="01DE0743"/>
    <w:rsid w:val="01EF7E4C"/>
    <w:rsid w:val="021D6E5E"/>
    <w:rsid w:val="03107F16"/>
    <w:rsid w:val="03343D40"/>
    <w:rsid w:val="036F6564"/>
    <w:rsid w:val="0398212A"/>
    <w:rsid w:val="03A10CAA"/>
    <w:rsid w:val="03B56484"/>
    <w:rsid w:val="046A618B"/>
    <w:rsid w:val="04B213C1"/>
    <w:rsid w:val="05370FE1"/>
    <w:rsid w:val="05FC5B2F"/>
    <w:rsid w:val="062F07EF"/>
    <w:rsid w:val="070752C8"/>
    <w:rsid w:val="078E4F37"/>
    <w:rsid w:val="07BE007D"/>
    <w:rsid w:val="07DC3699"/>
    <w:rsid w:val="0808252C"/>
    <w:rsid w:val="08613ED7"/>
    <w:rsid w:val="08A41020"/>
    <w:rsid w:val="08FE48C8"/>
    <w:rsid w:val="090C0797"/>
    <w:rsid w:val="090C0806"/>
    <w:rsid w:val="092B7994"/>
    <w:rsid w:val="098B0C04"/>
    <w:rsid w:val="09952844"/>
    <w:rsid w:val="099C263F"/>
    <w:rsid w:val="099D5A03"/>
    <w:rsid w:val="09AA5678"/>
    <w:rsid w:val="09C46967"/>
    <w:rsid w:val="09FD66D9"/>
    <w:rsid w:val="0A5E4659"/>
    <w:rsid w:val="0A807EF4"/>
    <w:rsid w:val="0AEB5FE9"/>
    <w:rsid w:val="0B325009"/>
    <w:rsid w:val="0B605985"/>
    <w:rsid w:val="0B865355"/>
    <w:rsid w:val="0C115F15"/>
    <w:rsid w:val="0C4D7C21"/>
    <w:rsid w:val="0C965124"/>
    <w:rsid w:val="0C9E5D48"/>
    <w:rsid w:val="0CA8710F"/>
    <w:rsid w:val="0D707872"/>
    <w:rsid w:val="0DDD1A0E"/>
    <w:rsid w:val="0DE912C7"/>
    <w:rsid w:val="0E0F3BB1"/>
    <w:rsid w:val="0E4B0190"/>
    <w:rsid w:val="0E760B47"/>
    <w:rsid w:val="0E874A06"/>
    <w:rsid w:val="0E924011"/>
    <w:rsid w:val="0EA24254"/>
    <w:rsid w:val="0F763767"/>
    <w:rsid w:val="0FDF67C4"/>
    <w:rsid w:val="0FEC0384"/>
    <w:rsid w:val="0FFF22DA"/>
    <w:rsid w:val="108B729C"/>
    <w:rsid w:val="10BE7CE8"/>
    <w:rsid w:val="114504B4"/>
    <w:rsid w:val="1185666D"/>
    <w:rsid w:val="11F75004"/>
    <w:rsid w:val="121F089B"/>
    <w:rsid w:val="12687E9E"/>
    <w:rsid w:val="13430C72"/>
    <w:rsid w:val="135E55DA"/>
    <w:rsid w:val="13CB1E77"/>
    <w:rsid w:val="14641FAC"/>
    <w:rsid w:val="14643D5A"/>
    <w:rsid w:val="14F35954"/>
    <w:rsid w:val="14F36A63"/>
    <w:rsid w:val="15E1607E"/>
    <w:rsid w:val="15F9039C"/>
    <w:rsid w:val="16D847EC"/>
    <w:rsid w:val="180C0000"/>
    <w:rsid w:val="180C51F5"/>
    <w:rsid w:val="1825466A"/>
    <w:rsid w:val="1875217F"/>
    <w:rsid w:val="18BE5C62"/>
    <w:rsid w:val="194355A9"/>
    <w:rsid w:val="194F1402"/>
    <w:rsid w:val="19625EB7"/>
    <w:rsid w:val="19A327C1"/>
    <w:rsid w:val="19D73FF0"/>
    <w:rsid w:val="1B6D2228"/>
    <w:rsid w:val="1BC11A92"/>
    <w:rsid w:val="1BD70701"/>
    <w:rsid w:val="1BE85869"/>
    <w:rsid w:val="1C107927"/>
    <w:rsid w:val="1C5E227A"/>
    <w:rsid w:val="1C9F6277"/>
    <w:rsid w:val="1CF459BA"/>
    <w:rsid w:val="1DA01722"/>
    <w:rsid w:val="1DCB1A4C"/>
    <w:rsid w:val="1DCF1FD6"/>
    <w:rsid w:val="1DF67FA2"/>
    <w:rsid w:val="1E26477C"/>
    <w:rsid w:val="1F0C52E3"/>
    <w:rsid w:val="1F2A2C2F"/>
    <w:rsid w:val="1F4F6B54"/>
    <w:rsid w:val="1F7243BD"/>
    <w:rsid w:val="1FE12A83"/>
    <w:rsid w:val="204376E1"/>
    <w:rsid w:val="207C5004"/>
    <w:rsid w:val="214772A1"/>
    <w:rsid w:val="21521D41"/>
    <w:rsid w:val="224B6D79"/>
    <w:rsid w:val="22935557"/>
    <w:rsid w:val="22D62815"/>
    <w:rsid w:val="22F00A83"/>
    <w:rsid w:val="232B63B6"/>
    <w:rsid w:val="237C2E6E"/>
    <w:rsid w:val="239A7550"/>
    <w:rsid w:val="242D23BA"/>
    <w:rsid w:val="24CA1512"/>
    <w:rsid w:val="24FD7FDE"/>
    <w:rsid w:val="251A293E"/>
    <w:rsid w:val="254554E2"/>
    <w:rsid w:val="25603788"/>
    <w:rsid w:val="26091741"/>
    <w:rsid w:val="26BE6858"/>
    <w:rsid w:val="26CD1C32"/>
    <w:rsid w:val="27CA4F73"/>
    <w:rsid w:val="27FD2863"/>
    <w:rsid w:val="282377EF"/>
    <w:rsid w:val="283D6944"/>
    <w:rsid w:val="28655BFD"/>
    <w:rsid w:val="287E747C"/>
    <w:rsid w:val="28F134A2"/>
    <w:rsid w:val="291970F1"/>
    <w:rsid w:val="2AAD36A8"/>
    <w:rsid w:val="2B26326E"/>
    <w:rsid w:val="2B900426"/>
    <w:rsid w:val="2BEB2CFC"/>
    <w:rsid w:val="2C3F26E5"/>
    <w:rsid w:val="2C6017EA"/>
    <w:rsid w:val="2C661776"/>
    <w:rsid w:val="2CC60F8D"/>
    <w:rsid w:val="2D24388A"/>
    <w:rsid w:val="2E22281F"/>
    <w:rsid w:val="2E291E44"/>
    <w:rsid w:val="2E797950"/>
    <w:rsid w:val="2E84707B"/>
    <w:rsid w:val="2E9C7667"/>
    <w:rsid w:val="2ED33B5E"/>
    <w:rsid w:val="2F3F2FA2"/>
    <w:rsid w:val="2F601896"/>
    <w:rsid w:val="2F9A3FB4"/>
    <w:rsid w:val="301A4E70"/>
    <w:rsid w:val="302A1EA4"/>
    <w:rsid w:val="30A0772C"/>
    <w:rsid w:val="30E90E7B"/>
    <w:rsid w:val="316658B8"/>
    <w:rsid w:val="31865C9B"/>
    <w:rsid w:val="321D581C"/>
    <w:rsid w:val="322807D5"/>
    <w:rsid w:val="32CE7A7E"/>
    <w:rsid w:val="338A14B1"/>
    <w:rsid w:val="33B2026B"/>
    <w:rsid w:val="33EF326C"/>
    <w:rsid w:val="33FE255E"/>
    <w:rsid w:val="347463DD"/>
    <w:rsid w:val="34DA207D"/>
    <w:rsid w:val="35CB4C4D"/>
    <w:rsid w:val="35EE17C2"/>
    <w:rsid w:val="3650579C"/>
    <w:rsid w:val="36612E47"/>
    <w:rsid w:val="369A61FE"/>
    <w:rsid w:val="36A77DAA"/>
    <w:rsid w:val="37834C70"/>
    <w:rsid w:val="37AF6778"/>
    <w:rsid w:val="37E940B1"/>
    <w:rsid w:val="37F4568F"/>
    <w:rsid w:val="38124BC9"/>
    <w:rsid w:val="38A30185"/>
    <w:rsid w:val="38A345A1"/>
    <w:rsid w:val="392C0A52"/>
    <w:rsid w:val="39624D5A"/>
    <w:rsid w:val="39C15930"/>
    <w:rsid w:val="39CE7FA5"/>
    <w:rsid w:val="3A9C053F"/>
    <w:rsid w:val="3AE4139A"/>
    <w:rsid w:val="3AEE2596"/>
    <w:rsid w:val="3AFA638A"/>
    <w:rsid w:val="3B0D6A85"/>
    <w:rsid w:val="3B32452A"/>
    <w:rsid w:val="3B6345BC"/>
    <w:rsid w:val="3B9F72A2"/>
    <w:rsid w:val="3BCF631D"/>
    <w:rsid w:val="3C481A30"/>
    <w:rsid w:val="3C4A7778"/>
    <w:rsid w:val="3C677367"/>
    <w:rsid w:val="3C6B7ACC"/>
    <w:rsid w:val="3CC656EB"/>
    <w:rsid w:val="3CCA21E8"/>
    <w:rsid w:val="3CED0588"/>
    <w:rsid w:val="3D1F334F"/>
    <w:rsid w:val="3D546277"/>
    <w:rsid w:val="3E2057E8"/>
    <w:rsid w:val="3E38578C"/>
    <w:rsid w:val="3E3D429E"/>
    <w:rsid w:val="3FC159A6"/>
    <w:rsid w:val="40152228"/>
    <w:rsid w:val="402C6CE6"/>
    <w:rsid w:val="4139769D"/>
    <w:rsid w:val="416A6C53"/>
    <w:rsid w:val="428A3BA8"/>
    <w:rsid w:val="42925DB2"/>
    <w:rsid w:val="42A74EAA"/>
    <w:rsid w:val="42F72259"/>
    <w:rsid w:val="43545656"/>
    <w:rsid w:val="43AA0EDA"/>
    <w:rsid w:val="43E450C9"/>
    <w:rsid w:val="43F31FE2"/>
    <w:rsid w:val="44640439"/>
    <w:rsid w:val="446B0669"/>
    <w:rsid w:val="44812C35"/>
    <w:rsid w:val="45572B6C"/>
    <w:rsid w:val="455B320C"/>
    <w:rsid w:val="45700B7C"/>
    <w:rsid w:val="46767799"/>
    <w:rsid w:val="46BD2CD2"/>
    <w:rsid w:val="46E510A4"/>
    <w:rsid w:val="470A2591"/>
    <w:rsid w:val="473B0ECC"/>
    <w:rsid w:val="475C4800"/>
    <w:rsid w:val="478618F4"/>
    <w:rsid w:val="47B14D93"/>
    <w:rsid w:val="47E37552"/>
    <w:rsid w:val="47EE6FCF"/>
    <w:rsid w:val="48A15F32"/>
    <w:rsid w:val="48B23078"/>
    <w:rsid w:val="48C9665E"/>
    <w:rsid w:val="491E4498"/>
    <w:rsid w:val="49742C4D"/>
    <w:rsid w:val="49A63EF1"/>
    <w:rsid w:val="49CA6C65"/>
    <w:rsid w:val="49EC4F85"/>
    <w:rsid w:val="4A455FF0"/>
    <w:rsid w:val="4A77022A"/>
    <w:rsid w:val="4AB8064A"/>
    <w:rsid w:val="4B1347D3"/>
    <w:rsid w:val="4B3118C3"/>
    <w:rsid w:val="4B4340EE"/>
    <w:rsid w:val="4B49460C"/>
    <w:rsid w:val="4BFD2018"/>
    <w:rsid w:val="4C0F52AD"/>
    <w:rsid w:val="4C3B0E2F"/>
    <w:rsid w:val="4C88662F"/>
    <w:rsid w:val="4CAB0D7C"/>
    <w:rsid w:val="4CC065E9"/>
    <w:rsid w:val="4D0038F1"/>
    <w:rsid w:val="4DEE462C"/>
    <w:rsid w:val="4E261AA5"/>
    <w:rsid w:val="4E7567C2"/>
    <w:rsid w:val="4E81597F"/>
    <w:rsid w:val="4E8A5B90"/>
    <w:rsid w:val="4ECA2430"/>
    <w:rsid w:val="4EED7D2B"/>
    <w:rsid w:val="4EF13E61"/>
    <w:rsid w:val="4F113781"/>
    <w:rsid w:val="4F667E20"/>
    <w:rsid w:val="4F6A3739"/>
    <w:rsid w:val="4F7E6D01"/>
    <w:rsid w:val="4FF35FAD"/>
    <w:rsid w:val="50355192"/>
    <w:rsid w:val="509800C2"/>
    <w:rsid w:val="50FD4D3F"/>
    <w:rsid w:val="51213D3A"/>
    <w:rsid w:val="515A150F"/>
    <w:rsid w:val="519311FF"/>
    <w:rsid w:val="523B6030"/>
    <w:rsid w:val="52650DED"/>
    <w:rsid w:val="529924B5"/>
    <w:rsid w:val="533C54BD"/>
    <w:rsid w:val="53D770A4"/>
    <w:rsid w:val="53FC6338"/>
    <w:rsid w:val="543D22A5"/>
    <w:rsid w:val="54BA0063"/>
    <w:rsid w:val="554F316F"/>
    <w:rsid w:val="55743938"/>
    <w:rsid w:val="55791323"/>
    <w:rsid w:val="55796678"/>
    <w:rsid w:val="55A05D34"/>
    <w:rsid w:val="56E90786"/>
    <w:rsid w:val="57363421"/>
    <w:rsid w:val="57783371"/>
    <w:rsid w:val="58BC54DF"/>
    <w:rsid w:val="590F6F90"/>
    <w:rsid w:val="59550094"/>
    <w:rsid w:val="59834466"/>
    <w:rsid w:val="59906AA6"/>
    <w:rsid w:val="59961FE4"/>
    <w:rsid w:val="59E92304"/>
    <w:rsid w:val="59E95FFF"/>
    <w:rsid w:val="5A987886"/>
    <w:rsid w:val="5ADF1011"/>
    <w:rsid w:val="5B112E71"/>
    <w:rsid w:val="5B303F63"/>
    <w:rsid w:val="5BAD6AF9"/>
    <w:rsid w:val="5BBE59A3"/>
    <w:rsid w:val="5C002B30"/>
    <w:rsid w:val="5C062738"/>
    <w:rsid w:val="5CBD5146"/>
    <w:rsid w:val="5CBF0FAA"/>
    <w:rsid w:val="5D1064AF"/>
    <w:rsid w:val="5D6020D5"/>
    <w:rsid w:val="5DD10043"/>
    <w:rsid w:val="5E604C28"/>
    <w:rsid w:val="5EB27BC2"/>
    <w:rsid w:val="5ED879CC"/>
    <w:rsid w:val="601D2D07"/>
    <w:rsid w:val="60675D31"/>
    <w:rsid w:val="609A7B49"/>
    <w:rsid w:val="609F55E6"/>
    <w:rsid w:val="60B14DC5"/>
    <w:rsid w:val="60BB7E2A"/>
    <w:rsid w:val="611008D8"/>
    <w:rsid w:val="612058DB"/>
    <w:rsid w:val="61CD5C05"/>
    <w:rsid w:val="61E97573"/>
    <w:rsid w:val="6229058D"/>
    <w:rsid w:val="62CA07F9"/>
    <w:rsid w:val="63224F0E"/>
    <w:rsid w:val="632640D9"/>
    <w:rsid w:val="6370314E"/>
    <w:rsid w:val="63FC0E86"/>
    <w:rsid w:val="64235C8D"/>
    <w:rsid w:val="64440F4B"/>
    <w:rsid w:val="64524F4A"/>
    <w:rsid w:val="64EA50B9"/>
    <w:rsid w:val="65536F9A"/>
    <w:rsid w:val="65BA088F"/>
    <w:rsid w:val="65EC0A86"/>
    <w:rsid w:val="66216982"/>
    <w:rsid w:val="66444FD8"/>
    <w:rsid w:val="664F1741"/>
    <w:rsid w:val="66CC5B6F"/>
    <w:rsid w:val="67564D51"/>
    <w:rsid w:val="67A5546D"/>
    <w:rsid w:val="67B33F51"/>
    <w:rsid w:val="68AD4B14"/>
    <w:rsid w:val="68B009A8"/>
    <w:rsid w:val="68ED6FEF"/>
    <w:rsid w:val="69127D3A"/>
    <w:rsid w:val="69134E7F"/>
    <w:rsid w:val="693E574D"/>
    <w:rsid w:val="694B1853"/>
    <w:rsid w:val="6A93762C"/>
    <w:rsid w:val="6A996F13"/>
    <w:rsid w:val="6A9B2760"/>
    <w:rsid w:val="6BDD6BDD"/>
    <w:rsid w:val="6C011206"/>
    <w:rsid w:val="6C4130E2"/>
    <w:rsid w:val="6C515AE7"/>
    <w:rsid w:val="6C6C4759"/>
    <w:rsid w:val="6C865790"/>
    <w:rsid w:val="6C910893"/>
    <w:rsid w:val="6C9675FC"/>
    <w:rsid w:val="6D0019E7"/>
    <w:rsid w:val="6D6313BE"/>
    <w:rsid w:val="6D634EEB"/>
    <w:rsid w:val="6DCE5641"/>
    <w:rsid w:val="6E3E0A57"/>
    <w:rsid w:val="6EC5514E"/>
    <w:rsid w:val="6F3B6D06"/>
    <w:rsid w:val="701004CD"/>
    <w:rsid w:val="70DD60FC"/>
    <w:rsid w:val="70FF71F1"/>
    <w:rsid w:val="71D670BE"/>
    <w:rsid w:val="724E4FA2"/>
    <w:rsid w:val="7255060F"/>
    <w:rsid w:val="72781DA8"/>
    <w:rsid w:val="729F162E"/>
    <w:rsid w:val="73776322"/>
    <w:rsid w:val="743F2A8B"/>
    <w:rsid w:val="753F56C3"/>
    <w:rsid w:val="7549288D"/>
    <w:rsid w:val="75C97B9D"/>
    <w:rsid w:val="75FF7605"/>
    <w:rsid w:val="76780840"/>
    <w:rsid w:val="76987618"/>
    <w:rsid w:val="7715608F"/>
    <w:rsid w:val="77422BFC"/>
    <w:rsid w:val="77460B34"/>
    <w:rsid w:val="777423E0"/>
    <w:rsid w:val="777D6649"/>
    <w:rsid w:val="77940978"/>
    <w:rsid w:val="78185B78"/>
    <w:rsid w:val="78372035"/>
    <w:rsid w:val="787C2959"/>
    <w:rsid w:val="78AD22F7"/>
    <w:rsid w:val="7A0837FC"/>
    <w:rsid w:val="7B330BD4"/>
    <w:rsid w:val="7B4C229B"/>
    <w:rsid w:val="7BA464AD"/>
    <w:rsid w:val="7BF94230"/>
    <w:rsid w:val="7C5D4075"/>
    <w:rsid w:val="7D182BA5"/>
    <w:rsid w:val="7D4F3478"/>
    <w:rsid w:val="7D561A1F"/>
    <w:rsid w:val="7D5B1D38"/>
    <w:rsid w:val="7DEE255C"/>
    <w:rsid w:val="7E062BD5"/>
    <w:rsid w:val="7EE35DD8"/>
    <w:rsid w:val="7F2F30B3"/>
    <w:rsid w:val="7FDE58D4"/>
    <w:rsid w:val="A51E2466"/>
    <w:rsid w:val="BF196EAF"/>
    <w:rsid w:val="CDDBDC6E"/>
    <w:rsid w:val="DEFF87A9"/>
    <w:rsid w:val="DFFF3B4F"/>
    <w:rsid w:val="E2ED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8"/>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2"/>
    <w:qFormat/>
    <w:uiPriority w:val="99"/>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6"/>
    <w:qFormat/>
    <w:uiPriority w:val="99"/>
    <w:pPr>
      <w:tabs>
        <w:tab w:val="center" w:pos="4153"/>
        <w:tab w:val="right" w:pos="8306"/>
      </w:tabs>
      <w:snapToGrid w:val="0"/>
      <w:jc w:val="left"/>
    </w:pPr>
    <w:rPr>
      <w:sz w:val="18"/>
    </w:rPr>
  </w:style>
  <w:style w:type="paragraph" w:styleId="36">
    <w:name w:val="header"/>
    <w:basedOn w:val="1"/>
    <w:link w:val="77"/>
    <w:qFormat/>
    <w:uiPriority w:val="99"/>
    <w:pPr>
      <w:pBdr>
        <w:bottom w:val="single" w:color="auto" w:sz="6" w:space="1"/>
      </w:pBdr>
      <w:tabs>
        <w:tab w:val="center" w:pos="4153"/>
        <w:tab w:val="right" w:pos="8306"/>
      </w:tabs>
      <w:snapToGrid w:val="0"/>
      <w:jc w:val="left"/>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9515"/>
      </w:tabs>
      <w:ind w:left="56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0"/>
    <w:qFormat/>
    <w:uiPriority w:val="0"/>
    <w:pPr>
      <w:spacing w:after="120" w:line="240" w:lineRule="auto"/>
      <w:ind w:left="420" w:leftChars="200" w:firstLine="420" w:firstLineChars="200"/>
    </w:pPr>
  </w:style>
  <w:style w:type="table" w:styleId="59">
    <w:name w:val="Table Grid"/>
    <w:basedOn w:val="58"/>
    <w:qFormat/>
    <w:uiPriority w:val="9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正文缩进 字符"/>
    <w:link w:val="16"/>
    <w:qFormat/>
    <w:uiPriority w:val="0"/>
    <w:rPr>
      <w:kern w:val="2"/>
      <w:sz w:val="24"/>
    </w:rPr>
  </w:style>
  <w:style w:type="character" w:customStyle="1" w:styleId="72">
    <w:name w:val="批注文字 字符"/>
    <w:link w:val="20"/>
    <w:qFormat/>
    <w:uiPriority w:val="0"/>
    <w:rPr>
      <w:sz w:val="24"/>
    </w:rPr>
  </w:style>
  <w:style w:type="character" w:customStyle="1" w:styleId="73">
    <w:name w:val="正文文本缩进 字符"/>
    <w:link w:val="23"/>
    <w:qFormat/>
    <w:uiPriority w:val="0"/>
    <w:rPr>
      <w:kern w:val="2"/>
      <w:sz w:val="44"/>
    </w:rPr>
  </w:style>
  <w:style w:type="character" w:customStyle="1" w:styleId="74">
    <w:name w:val="日期 字符"/>
    <w:link w:val="32"/>
    <w:qFormat/>
    <w:uiPriority w:val="0"/>
    <w:rPr>
      <w:kern w:val="2"/>
      <w:sz w:val="28"/>
    </w:rPr>
  </w:style>
  <w:style w:type="character" w:customStyle="1" w:styleId="75">
    <w:name w:val="正文文本缩进 2 字符"/>
    <w:link w:val="33"/>
    <w:qFormat/>
    <w:uiPriority w:val="0"/>
    <w:rPr>
      <w:kern w:val="2"/>
      <w:sz w:val="28"/>
    </w:rPr>
  </w:style>
  <w:style w:type="character" w:customStyle="1" w:styleId="76">
    <w:name w:val="页脚 字符"/>
    <w:link w:val="35"/>
    <w:qFormat/>
    <w:uiPriority w:val="99"/>
    <w:rPr>
      <w:kern w:val="2"/>
      <w:sz w:val="18"/>
    </w:rPr>
  </w:style>
  <w:style w:type="character" w:customStyle="1" w:styleId="77">
    <w:name w:val="页眉 字符"/>
    <w:link w:val="36"/>
    <w:qFormat/>
    <w:uiPriority w:val="99"/>
    <w:rPr>
      <w:rFonts w:ascii="Calibri" w:hAnsi="Calibri"/>
      <w:kern w:val="2"/>
      <w:sz w:val="18"/>
    </w:rPr>
  </w:style>
  <w:style w:type="character" w:customStyle="1" w:styleId="78">
    <w:name w:val="脚注文本 字符"/>
    <w:link w:val="40"/>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3"/>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4"/>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6"/>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0"/>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6"/>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6"/>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8"/>
    <w:qFormat/>
    <w:uiPriority w:val="0"/>
    <w:rPr>
      <w:rFonts w:ascii="Tahoma" w:hAnsi="Tahoma"/>
      <w:sz w:val="24"/>
    </w:rPr>
  </w:style>
  <w:style w:type="paragraph" w:customStyle="1" w:styleId="199">
    <w:name w:val="1"/>
    <w:basedOn w:val="1"/>
    <w:next w:val="30"/>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8"/>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 w:type="paragraph" w:customStyle="1" w:styleId="273">
    <w:name w:val="修订6"/>
    <w:hidden/>
    <w:unhideWhenUsed/>
    <w:qFormat/>
    <w:uiPriority w:val="99"/>
    <w:rPr>
      <w:rFonts w:ascii="Calibri" w:hAnsi="Calibri" w:eastAsia="宋体" w:cs="Times New Roman"/>
      <w:kern w:val="2"/>
      <w:sz w:val="28"/>
      <w:lang w:val="en-US" w:eastAsia="zh-CN" w:bidi="ar-SA"/>
    </w:rPr>
  </w:style>
  <w:style w:type="paragraph" w:customStyle="1" w:styleId="274">
    <w:name w:val="修订7"/>
    <w:hidden/>
    <w:unhideWhenUsed/>
    <w:qFormat/>
    <w:uiPriority w:val="99"/>
    <w:rPr>
      <w:rFonts w:ascii="Calibri" w:hAnsi="Calibri" w:eastAsia="宋体" w:cs="Times New Roman"/>
      <w:kern w:val="2"/>
      <w:sz w:val="28"/>
      <w:lang w:val="en-US" w:eastAsia="zh-CN" w:bidi="ar-SA"/>
    </w:rPr>
  </w:style>
  <w:style w:type="character" w:customStyle="1" w:styleId="275">
    <w:name w:val="批注文字 字符1"/>
    <w:qFormat/>
    <w:uiPriority w:val="99"/>
    <w:rPr>
      <w:kern w:val="2"/>
      <w:sz w:val="21"/>
      <w:szCs w:val="24"/>
    </w:rPr>
  </w:style>
  <w:style w:type="paragraph" w:customStyle="1" w:styleId="276">
    <w:name w:val="修订8"/>
    <w:hidden/>
    <w:unhideWhenUsed/>
    <w:qFormat/>
    <w:uiPriority w:val="99"/>
    <w:rPr>
      <w:rFonts w:ascii="Calibri" w:hAnsi="Calibri" w:eastAsia="宋体" w:cs="Times New Roman"/>
      <w:kern w:val="2"/>
      <w:sz w:val="28"/>
      <w:lang w:val="en-US" w:eastAsia="zh-CN" w:bidi="ar-SA"/>
    </w:rPr>
  </w:style>
  <w:style w:type="paragraph" w:customStyle="1" w:styleId="277">
    <w:name w:val="修订9"/>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1125</Words>
  <Characters>1258</Characters>
  <Lines>177</Lines>
  <Paragraphs>50</Paragraphs>
  <TotalTime>5</TotalTime>
  <ScaleCrop>false</ScaleCrop>
  <LinksUpToDate>false</LinksUpToDate>
  <CharactersWithSpaces>1421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2023-07-04T10:34:00Z</dcterms:created>
  <dc:creator>罗成</dc:creator>
  <cp:lastModifiedBy>You-JW</cp:lastModifiedBy>
  <cp:lastPrinted>2025-02-19T14:29:00Z</cp:lastPrinted>
  <dcterms:modified xsi:type="dcterms:W3CDTF">2025-06-15T12:56:43Z</dcterms:modified>
  <dc:title>竞争性谈判文件</dc:title>
  <cp:revision>690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6D2B93B7EAC7EC4D4BBE3E68314E54C7_43</vt:lpwstr>
  </property>
  <property fmtid="{D5CDD505-2E9C-101B-9397-08002B2CF9AE}" pid="4" name="KSOTemplateDocerSaveRecord">
    <vt:lpwstr>eyJoZGlkIjoiODgxOWZkNGMyYThlMDYxNjI3NTA5MjhmZDhkOTdjMjEiLCJ1c2VySWQiOiI1OTEzMzMwMzgifQ==</vt:lpwstr>
  </property>
</Properties>
</file>